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CDCF8">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597"/>
      <w:bookmarkStart w:id="2" w:name="_Toc15378441"/>
      <w:bookmarkStart w:id="3" w:name="_Toc15306267"/>
      <w:bookmarkStart w:id="4" w:name="_Toc15377193"/>
      <w:bookmarkStart w:id="5" w:name="_Toc15396475"/>
    </w:p>
    <w:p w14:paraId="14752125">
      <w:pPr>
        <w:pStyle w:val="8"/>
        <w:rPr>
          <w:rFonts w:hint="eastAsia" w:ascii="Times New Roman" w:hAnsi="Times New Roman" w:eastAsia="方正小标宋简体" w:cs="Times New Roman"/>
          <w:color w:val="auto"/>
          <w:kern w:val="2"/>
          <w:sz w:val="72"/>
          <w:szCs w:val="72"/>
          <w:highlight w:val="none"/>
          <w:lang w:val="en-US" w:eastAsia="zh-CN" w:bidi="ar-SA"/>
        </w:rPr>
      </w:pPr>
    </w:p>
    <w:p w14:paraId="2AF6B7C3">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部门决算</w:t>
      </w:r>
    </w:p>
    <w:p w14:paraId="4D2AB06C">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6C5CC0F9">
      <w:pPr>
        <w:pStyle w:val="8"/>
        <w:rPr>
          <w:rFonts w:hint="eastAsia" w:ascii="Times New Roman" w:hAnsi="Times New Roman" w:eastAsia="方正小标宋简体" w:cs="Times New Roman"/>
          <w:color w:val="auto"/>
          <w:kern w:val="2"/>
          <w:sz w:val="72"/>
          <w:szCs w:val="72"/>
          <w:highlight w:val="none"/>
          <w:lang w:val="en-US" w:eastAsia="zh-CN" w:bidi="ar-SA"/>
        </w:rPr>
      </w:pPr>
    </w:p>
    <w:p w14:paraId="38E68063">
      <w:pPr>
        <w:pStyle w:val="8"/>
        <w:jc w:val="center"/>
        <w:rPr>
          <w:rFonts w:hint="eastAsia" w:ascii="Times New Roman" w:eastAsia="方正小标宋简体" w:cs="Times New Roman"/>
          <w:color w:val="auto"/>
          <w:kern w:val="2"/>
          <w:sz w:val="44"/>
          <w:szCs w:val="44"/>
          <w:highlight w:val="none"/>
          <w:lang w:val="en-US" w:eastAsia="zh-CN" w:bidi="ar-SA"/>
        </w:rPr>
      </w:pPr>
    </w:p>
    <w:p w14:paraId="0C47AB8A">
      <w:pPr>
        <w:pStyle w:val="8"/>
        <w:jc w:val="center"/>
        <w:rPr>
          <w:rFonts w:hint="eastAsia" w:ascii="Times New Roman" w:eastAsia="方正小标宋简体" w:cs="Times New Roman"/>
          <w:color w:val="auto"/>
          <w:kern w:val="2"/>
          <w:sz w:val="44"/>
          <w:szCs w:val="44"/>
          <w:highlight w:val="none"/>
          <w:lang w:val="en-US" w:eastAsia="zh-CN" w:bidi="ar-SA"/>
        </w:rPr>
      </w:pPr>
    </w:p>
    <w:p w14:paraId="2A580968">
      <w:pPr>
        <w:pStyle w:val="8"/>
        <w:jc w:val="center"/>
        <w:rPr>
          <w:rFonts w:hint="eastAsia" w:ascii="Times New Roman" w:eastAsia="方正小标宋简体" w:cs="Times New Roman"/>
          <w:color w:val="auto"/>
          <w:kern w:val="2"/>
          <w:sz w:val="44"/>
          <w:szCs w:val="44"/>
          <w:highlight w:val="none"/>
          <w:lang w:val="en-US" w:eastAsia="zh-CN" w:bidi="ar-SA"/>
        </w:rPr>
      </w:pPr>
    </w:p>
    <w:p w14:paraId="0FDBBA5A">
      <w:pPr>
        <w:pStyle w:val="8"/>
        <w:jc w:val="center"/>
        <w:rPr>
          <w:rFonts w:hint="eastAsia" w:ascii="Times New Roman" w:eastAsia="方正小标宋简体" w:cs="Times New Roman"/>
          <w:color w:val="auto"/>
          <w:kern w:val="2"/>
          <w:sz w:val="44"/>
          <w:szCs w:val="44"/>
          <w:highlight w:val="none"/>
          <w:lang w:val="en-US" w:eastAsia="zh-CN" w:bidi="ar-SA"/>
        </w:rPr>
      </w:pPr>
    </w:p>
    <w:p w14:paraId="751C4EDB">
      <w:pPr>
        <w:pStyle w:val="8"/>
        <w:jc w:val="center"/>
        <w:rPr>
          <w:rFonts w:hint="eastAsia" w:ascii="Times New Roman" w:eastAsia="方正小标宋简体" w:cs="Times New Roman"/>
          <w:color w:val="auto"/>
          <w:kern w:val="2"/>
          <w:sz w:val="44"/>
          <w:szCs w:val="44"/>
          <w:highlight w:val="none"/>
          <w:lang w:val="en-US" w:eastAsia="zh-CN" w:bidi="ar-SA"/>
        </w:rPr>
      </w:pPr>
    </w:p>
    <w:p w14:paraId="0B21F791">
      <w:pPr>
        <w:pStyle w:val="8"/>
        <w:jc w:val="center"/>
        <w:rPr>
          <w:rFonts w:hint="eastAsia" w:ascii="Times New Roman" w:eastAsia="方正小标宋简体" w:cs="Times New Roman"/>
          <w:color w:val="auto"/>
          <w:kern w:val="2"/>
          <w:sz w:val="44"/>
          <w:szCs w:val="44"/>
          <w:highlight w:val="none"/>
          <w:lang w:val="en-US" w:eastAsia="zh-CN" w:bidi="ar-SA"/>
        </w:rPr>
      </w:pPr>
    </w:p>
    <w:p w14:paraId="18132BF7">
      <w:pPr>
        <w:pStyle w:val="8"/>
        <w:jc w:val="center"/>
        <w:rPr>
          <w:rFonts w:hint="eastAsia" w:ascii="Times New Roman" w:eastAsia="方正小标宋简体" w:cs="Times New Roman"/>
          <w:color w:val="auto"/>
          <w:kern w:val="2"/>
          <w:sz w:val="44"/>
          <w:szCs w:val="44"/>
          <w:highlight w:val="none"/>
          <w:lang w:val="en-US" w:eastAsia="zh-CN" w:bidi="ar-SA"/>
        </w:rPr>
      </w:pPr>
    </w:p>
    <w:p w14:paraId="7CF7D2DF">
      <w:pPr>
        <w:pStyle w:val="8"/>
        <w:jc w:val="center"/>
        <w:rPr>
          <w:rFonts w:hint="eastAsia" w:ascii="Times New Roman" w:eastAsia="方正小标宋简体" w:cs="Times New Roman"/>
          <w:color w:val="auto"/>
          <w:kern w:val="2"/>
          <w:sz w:val="44"/>
          <w:szCs w:val="44"/>
          <w:highlight w:val="none"/>
          <w:lang w:val="en-US" w:eastAsia="zh-CN" w:bidi="ar-SA"/>
        </w:rPr>
      </w:pPr>
    </w:p>
    <w:p w14:paraId="5CD650F9">
      <w:pPr>
        <w:pStyle w:val="8"/>
        <w:jc w:val="center"/>
        <w:rPr>
          <w:rFonts w:hint="eastAsia" w:ascii="Times New Roman" w:eastAsia="方正小标宋简体" w:cs="Times New Roman"/>
          <w:color w:val="auto"/>
          <w:kern w:val="2"/>
          <w:sz w:val="44"/>
          <w:szCs w:val="44"/>
          <w:highlight w:val="none"/>
          <w:lang w:val="en-US" w:eastAsia="zh-CN" w:bidi="ar-SA"/>
        </w:rPr>
      </w:pPr>
    </w:p>
    <w:p w14:paraId="15F0AB1F">
      <w:pPr>
        <w:pStyle w:val="8"/>
        <w:jc w:val="center"/>
        <w:rPr>
          <w:rFonts w:hint="eastAsia" w:ascii="Times New Roman" w:eastAsia="方正小标宋简体" w:cs="Times New Roman"/>
          <w:color w:val="auto"/>
          <w:kern w:val="2"/>
          <w:sz w:val="44"/>
          <w:szCs w:val="44"/>
          <w:highlight w:val="none"/>
          <w:lang w:val="en-US" w:eastAsia="zh-CN" w:bidi="ar-SA"/>
        </w:rPr>
      </w:pPr>
    </w:p>
    <w:p w14:paraId="221D1D9D">
      <w:pPr>
        <w:pStyle w:val="8"/>
        <w:jc w:val="center"/>
        <w:rPr>
          <w:rFonts w:hint="eastAsia" w:ascii="Times New Roman" w:eastAsia="方正小标宋简体" w:cs="Times New Roman"/>
          <w:color w:val="auto"/>
          <w:kern w:val="2"/>
          <w:sz w:val="44"/>
          <w:szCs w:val="44"/>
          <w:highlight w:val="none"/>
          <w:lang w:val="en-US" w:eastAsia="zh-CN" w:bidi="ar-SA"/>
        </w:rPr>
      </w:pPr>
    </w:p>
    <w:p w14:paraId="5251FEA5">
      <w:pPr>
        <w:pStyle w:val="8"/>
        <w:jc w:val="center"/>
        <w:rPr>
          <w:rFonts w:hint="eastAsia" w:ascii="Times New Roman" w:eastAsia="方正小标宋简体" w:cs="Times New Roman"/>
          <w:color w:val="auto"/>
          <w:kern w:val="2"/>
          <w:sz w:val="44"/>
          <w:szCs w:val="44"/>
          <w:highlight w:val="none"/>
          <w:lang w:val="en-US" w:eastAsia="zh-CN" w:bidi="ar-SA"/>
        </w:rPr>
      </w:pPr>
    </w:p>
    <w:p w14:paraId="4A629E3A">
      <w:pPr>
        <w:pStyle w:val="8"/>
        <w:jc w:val="center"/>
        <w:rPr>
          <w:rFonts w:hint="eastAsia" w:ascii="Times New Roman" w:eastAsia="方正小标宋简体" w:cs="Times New Roman"/>
          <w:color w:val="auto"/>
          <w:kern w:val="2"/>
          <w:sz w:val="44"/>
          <w:szCs w:val="44"/>
          <w:highlight w:val="none"/>
          <w:lang w:val="en-US" w:eastAsia="zh-CN" w:bidi="ar-SA"/>
        </w:rPr>
      </w:pPr>
    </w:p>
    <w:p w14:paraId="18091EF0">
      <w:pPr>
        <w:pStyle w:val="8"/>
        <w:jc w:val="center"/>
        <w:rPr>
          <w:rFonts w:hint="eastAsia" w:ascii="Times New Roman" w:eastAsia="方正小标宋简体" w:cs="Times New Roman"/>
          <w:color w:val="auto"/>
          <w:kern w:val="2"/>
          <w:sz w:val="44"/>
          <w:szCs w:val="44"/>
          <w:highlight w:val="none"/>
          <w:lang w:val="en-US" w:eastAsia="zh-CN" w:bidi="ar-SA"/>
        </w:rPr>
      </w:pPr>
    </w:p>
    <w:p w14:paraId="008BEAD5">
      <w:pPr>
        <w:pStyle w:val="8"/>
        <w:jc w:val="center"/>
        <w:rPr>
          <w:rFonts w:hint="eastAsia" w:ascii="Times New Roman" w:eastAsia="方正小标宋简体" w:cs="Times New Roman"/>
          <w:color w:val="auto"/>
          <w:kern w:val="2"/>
          <w:sz w:val="44"/>
          <w:szCs w:val="44"/>
          <w:highlight w:val="none"/>
          <w:lang w:val="en-US" w:eastAsia="zh-CN" w:bidi="ar-SA"/>
        </w:rPr>
      </w:pPr>
    </w:p>
    <w:p w14:paraId="2A6998CD">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2025年度攀枝花市</w:t>
      </w:r>
    </w:p>
    <w:p w14:paraId="73EC819A">
      <w:pPr>
        <w:pStyle w:val="8"/>
        <w:jc w:val="center"/>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cs="Times New Roman"/>
          <w:color w:val="auto"/>
          <w:kern w:val="2"/>
          <w:sz w:val="44"/>
          <w:szCs w:val="44"/>
          <w:highlight w:val="none"/>
          <w:lang w:val="en-US" w:eastAsia="zh-CN" w:bidi="ar-SA"/>
        </w:rPr>
        <w:t>西区民政局部门</w:t>
      </w:r>
      <w:r>
        <w:rPr>
          <w:rFonts w:hint="eastAsia" w:ascii="Times New Roman" w:hAnsi="Times New Roman" w:eastAsia="方正小标宋简体" w:cs="Times New Roman"/>
          <w:color w:val="auto"/>
          <w:kern w:val="2"/>
          <w:sz w:val="44"/>
          <w:szCs w:val="44"/>
          <w:highlight w:val="none"/>
          <w:lang w:val="en-US" w:eastAsia="zh-CN" w:bidi="ar-SA"/>
        </w:rPr>
        <w:t>决算公开</w:t>
      </w:r>
    </w:p>
    <w:bookmarkEnd w:id="0"/>
    <w:bookmarkEnd w:id="1"/>
    <w:bookmarkEnd w:id="2"/>
    <w:bookmarkEnd w:id="3"/>
    <w:bookmarkEnd w:id="4"/>
    <w:bookmarkEnd w:id="5"/>
    <w:p w14:paraId="114B6310">
      <w:pPr>
        <w:pStyle w:val="8"/>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76DAE89">
      <w:pPr>
        <w:widowControl/>
        <w:jc w:val="center"/>
        <w:rPr>
          <w:rFonts w:ascii="Times New Roman" w:hAnsi="Times New Roman" w:eastAsia="黑体" w:cstheme="minorBidi"/>
          <w:color w:val="auto"/>
          <w:sz w:val="28"/>
          <w:szCs w:val="28"/>
          <w:highlight w:val="none"/>
        </w:rPr>
      </w:pPr>
    </w:p>
    <w:p w14:paraId="2904D8A5">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bookmarkStart w:id="61" w:name="_GoBack"/>
      <w:bookmarkEnd w:id="61"/>
      <w:r>
        <w:rPr>
          <w:rFonts w:hint="eastAsia" w:ascii="Times New Roman" w:hAnsi="Times New Roman" w:eastAsia="仿宋_GB2312" w:cs="仿宋_GB2312"/>
          <w:color w:val="auto"/>
          <w:sz w:val="32"/>
          <w:szCs w:val="32"/>
          <w:highlight w:val="none"/>
        </w:rPr>
        <w:t>日</w:t>
      </w:r>
    </w:p>
    <w:p w14:paraId="40E21CCA">
      <w:pPr>
        <w:rPr>
          <w:rFonts w:ascii="Times New Roman" w:hAnsi="Times New Roman"/>
          <w:color w:val="auto"/>
          <w:highlight w:val="none"/>
        </w:rPr>
      </w:pPr>
    </w:p>
    <w:p w14:paraId="0CA04152">
      <w:pPr>
        <w:pStyle w:val="14"/>
        <w:adjustRightInd w:val="0"/>
        <w:snapToGrid w:val="0"/>
        <w:spacing w:before="0" w:line="440" w:lineRule="exact"/>
        <w:jc w:val="left"/>
        <w:rPr>
          <w:rFonts w:cs="Times New Roman"/>
          <w:color w:val="auto"/>
          <w:sz w:val="24"/>
          <w:szCs w:val="24"/>
          <w:highlight w:val="none"/>
        </w:rPr>
      </w:pPr>
      <w:bookmarkStart w:id="6" w:name="_Toc15396599"/>
      <w:bookmarkStart w:id="7" w:name="_Toc15377196"/>
      <w:r>
        <w:rPr>
          <w:rFonts w:hint="eastAsia"/>
          <w:color w:val="auto"/>
          <w:sz w:val="24"/>
          <w:highlight w:val="none"/>
        </w:rPr>
        <w:t>第一部分</w:t>
      </w:r>
      <w:r>
        <w:rPr>
          <w:color w:val="auto"/>
          <w:sz w:val="24"/>
          <w:highlight w:val="none"/>
        </w:rPr>
        <w:t xml:space="preserve"> </w:t>
      </w:r>
      <w:r>
        <w:rPr>
          <w:rFonts w:hint="eastAsia"/>
          <w:color w:val="auto"/>
          <w:sz w:val="24"/>
          <w:highlight w:val="none"/>
        </w:rPr>
        <w:t>部门概况</w:t>
      </w:r>
    </w:p>
    <w:p w14:paraId="79B40D25">
      <w:pPr>
        <w:pStyle w:val="15"/>
        <w:adjustRightInd w:val="0"/>
        <w:snapToGrid w:val="0"/>
        <w:spacing w:line="440" w:lineRule="exact"/>
        <w:jc w:val="left"/>
        <w:rPr>
          <w:rFonts w:hint="default" w:ascii="仿宋" w:hAnsi="仿宋" w:eastAsia="仿宋"/>
          <w:color w:val="auto"/>
          <w:sz w:val="24"/>
          <w:highlight w:val="none"/>
          <w:lang w:val="en-US"/>
        </w:rPr>
      </w:pPr>
      <w:r>
        <w:rPr>
          <w:rFonts w:hint="eastAsia"/>
          <w:color w:val="auto"/>
          <w:sz w:val="24"/>
          <w:highlight w:val="none"/>
        </w:rPr>
        <w:t>一、</w:t>
      </w:r>
      <w:r>
        <w:rPr>
          <w:rFonts w:hint="eastAsia"/>
          <w:color w:val="auto"/>
          <w:sz w:val="24"/>
          <w:highlight w:val="none"/>
          <w:lang w:eastAsia="zh-CN"/>
        </w:rPr>
        <w:t>部门职责</w:t>
      </w:r>
      <w:r>
        <w:rPr>
          <w:rFonts w:hint="eastAsia"/>
          <w:color w:val="auto"/>
          <w:sz w:val="24"/>
          <w:highlight w:val="none"/>
          <w:lang w:val="en-US" w:eastAsia="zh-CN"/>
        </w:rPr>
        <w:t>................................................................................................3</w:t>
      </w:r>
    </w:p>
    <w:p w14:paraId="4449EFDF">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二、机构设置</w:t>
      </w:r>
      <w:r>
        <w:rPr>
          <w:rFonts w:hint="eastAsia"/>
          <w:color w:val="auto"/>
          <w:sz w:val="24"/>
          <w:highlight w:val="none"/>
          <w:lang w:val="en-US" w:eastAsia="zh-CN"/>
        </w:rPr>
        <w:t>................................................................................................5</w:t>
      </w:r>
    </w:p>
    <w:p w14:paraId="120579AD">
      <w:pPr>
        <w:pStyle w:val="14"/>
        <w:adjustRightInd w:val="0"/>
        <w:snapToGrid w:val="0"/>
        <w:spacing w:before="0" w:line="440" w:lineRule="exact"/>
        <w:jc w:val="left"/>
        <w:rPr>
          <w:color w:val="auto"/>
          <w:sz w:val="24"/>
          <w:szCs w:val="24"/>
          <w:highlight w:val="none"/>
        </w:rPr>
      </w:pPr>
      <w:r>
        <w:rPr>
          <w:rFonts w:hint="eastAsia"/>
          <w:color w:val="auto"/>
          <w:sz w:val="24"/>
          <w:highlight w:val="none"/>
        </w:rPr>
        <w:t>第二部分</w:t>
      </w:r>
      <w:r>
        <w:rPr>
          <w:rFonts w:hint="eastAsia"/>
          <w:color w:val="auto"/>
          <w:sz w:val="24"/>
          <w:highlight w:val="none"/>
          <w:lang w:val="en-US" w:eastAsia="zh-CN"/>
        </w:rPr>
        <w:t xml:space="preserve"> 2025年度</w:t>
      </w:r>
      <w:r>
        <w:rPr>
          <w:rFonts w:hint="eastAsia"/>
          <w:color w:val="auto"/>
          <w:sz w:val="24"/>
          <w:highlight w:val="none"/>
        </w:rPr>
        <w:t>部门决算情况说明</w:t>
      </w:r>
    </w:p>
    <w:p w14:paraId="438AE0C1">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一、收入支出决算总体情况说明</w:t>
      </w:r>
      <w:r>
        <w:rPr>
          <w:rFonts w:hint="eastAsia"/>
          <w:color w:val="auto"/>
          <w:sz w:val="24"/>
          <w:highlight w:val="none"/>
          <w:lang w:val="en-US" w:eastAsia="zh-CN"/>
        </w:rPr>
        <w:t>................................................................7</w:t>
      </w:r>
    </w:p>
    <w:p w14:paraId="378FA1EC">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二、收入决算情况说明</w:t>
      </w:r>
      <w:r>
        <w:rPr>
          <w:rFonts w:hint="eastAsia"/>
          <w:color w:val="auto"/>
          <w:sz w:val="24"/>
          <w:highlight w:val="none"/>
          <w:lang w:val="en-US" w:eastAsia="zh-CN"/>
        </w:rPr>
        <w:t>................................................................................7</w:t>
      </w:r>
    </w:p>
    <w:p w14:paraId="5605AB0F">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三、支出决算情况说明</w:t>
      </w:r>
      <w:r>
        <w:rPr>
          <w:rFonts w:hint="eastAsia"/>
          <w:color w:val="auto"/>
          <w:sz w:val="24"/>
          <w:highlight w:val="none"/>
          <w:lang w:val="en-US" w:eastAsia="zh-CN"/>
        </w:rPr>
        <w:t>................................................................................8</w:t>
      </w:r>
    </w:p>
    <w:p w14:paraId="66131A80">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四、财政拨款收入支出决算总体情况说明</w:t>
      </w:r>
      <w:r>
        <w:rPr>
          <w:rFonts w:hint="eastAsia"/>
          <w:color w:val="auto"/>
          <w:sz w:val="24"/>
          <w:highlight w:val="none"/>
          <w:lang w:val="en-US" w:eastAsia="zh-CN"/>
        </w:rPr>
        <w:t>................................................8</w:t>
      </w:r>
    </w:p>
    <w:p w14:paraId="66A7406C">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五、一般公共预算财政拨款支出决算情况说明</w:t>
      </w:r>
      <w:r>
        <w:rPr>
          <w:rFonts w:hint="eastAsia"/>
          <w:color w:val="auto"/>
          <w:sz w:val="24"/>
          <w:highlight w:val="none"/>
          <w:lang w:val="en-US" w:eastAsia="zh-CN"/>
        </w:rPr>
        <w:t>........................................9</w:t>
      </w:r>
    </w:p>
    <w:p w14:paraId="53E26FFB">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六、一般公共预算财政拨款基本支出决算情况说明</w:t>
      </w:r>
      <w:r>
        <w:rPr>
          <w:rFonts w:hint="eastAsia"/>
          <w:color w:val="auto"/>
          <w:sz w:val="24"/>
          <w:highlight w:val="none"/>
          <w:lang w:val="en-US" w:eastAsia="zh-CN"/>
        </w:rPr>
        <w:t>...............................13</w:t>
      </w:r>
    </w:p>
    <w:p w14:paraId="2EC285DD">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七、财政拨款</w:t>
      </w:r>
      <w:r>
        <w:rPr>
          <w:rFonts w:hint="eastAsia"/>
          <w:color w:val="auto"/>
          <w:sz w:val="24"/>
          <w:highlight w:val="none"/>
          <w:lang w:eastAsia="zh-CN"/>
        </w:rPr>
        <w:t>“</w:t>
      </w:r>
      <w:r>
        <w:rPr>
          <w:rFonts w:hint="eastAsia"/>
          <w:color w:val="auto"/>
          <w:sz w:val="24"/>
          <w:highlight w:val="none"/>
        </w:rPr>
        <w:t>三公”经费支出决算情况说明</w:t>
      </w:r>
      <w:r>
        <w:rPr>
          <w:rFonts w:hint="eastAsia"/>
          <w:color w:val="auto"/>
          <w:sz w:val="24"/>
          <w:highlight w:val="none"/>
          <w:lang w:val="en-US" w:eastAsia="zh-CN"/>
        </w:rPr>
        <w:t>.......................................13</w:t>
      </w:r>
    </w:p>
    <w:p w14:paraId="71E57495">
      <w:pPr>
        <w:pStyle w:val="15"/>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八、政府性基金预算支出决算情况说明</w:t>
      </w:r>
      <w:r>
        <w:rPr>
          <w:rFonts w:hint="eastAsia"/>
          <w:color w:val="auto"/>
          <w:sz w:val="24"/>
          <w:highlight w:val="none"/>
          <w:lang w:val="en-US" w:eastAsia="zh-CN"/>
        </w:rPr>
        <w:t>...................................................15</w:t>
      </w:r>
    </w:p>
    <w:p w14:paraId="7D477022">
      <w:pPr>
        <w:pStyle w:val="15"/>
        <w:adjustRightInd w:val="0"/>
        <w:snapToGrid w:val="0"/>
        <w:spacing w:line="440" w:lineRule="exact"/>
        <w:ind w:leftChars="0"/>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九、</w:t>
      </w:r>
      <w:r>
        <w:rPr>
          <w:rFonts w:hint="eastAsia" w:ascii="宋体" w:hAnsi="宋体" w:eastAsia="宋体" w:cs="宋体"/>
          <w:color w:val="auto"/>
          <w:sz w:val="24"/>
          <w:highlight w:val="none"/>
          <w:lang w:eastAsia="zh-CN"/>
        </w:rPr>
        <w:t>国</w:t>
      </w:r>
      <w:r>
        <w:rPr>
          <w:rFonts w:hint="eastAsia" w:ascii="宋体" w:hAnsi="宋体" w:eastAsia="宋体" w:cs="宋体"/>
          <w:color w:val="auto"/>
          <w:sz w:val="24"/>
          <w:highlight w:val="none"/>
        </w:rPr>
        <w:t>有资本经营预算支出决算情况说明</w:t>
      </w:r>
      <w:r>
        <w:rPr>
          <w:rFonts w:hint="eastAsia" w:ascii="宋体" w:hAnsi="宋体" w:cs="宋体"/>
          <w:color w:val="auto"/>
          <w:sz w:val="24"/>
          <w:highlight w:val="none"/>
          <w:lang w:val="en-US" w:eastAsia="zh-CN"/>
        </w:rPr>
        <w:t>........................15</w:t>
      </w:r>
    </w:p>
    <w:p w14:paraId="05BC1742">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175"/>
        <w:jc w:val="left"/>
        <w:textAlignment w:val="auto"/>
        <w:rPr>
          <w:rFonts w:hint="default" w:ascii="宋体" w:hAnsi="宋体" w:eastAsia="宋体" w:cs="宋体"/>
          <w:color w:val="auto"/>
          <w:sz w:val="24"/>
          <w:highlight w:val="none"/>
          <w:lang w:val="en-US" w:eastAsia="zh-CN"/>
        </w:rPr>
      </w:pPr>
      <w:r>
        <w:rPr>
          <w:rStyle w:val="19"/>
          <w:rFonts w:hint="eastAsia" w:ascii="宋体" w:hAnsi="宋体" w:eastAsia="宋体" w:cs="宋体"/>
          <w:color w:val="auto"/>
          <w:sz w:val="24"/>
          <w:highlight w:val="none"/>
          <w:u w:val="none"/>
          <w:lang w:eastAsia="zh-CN"/>
        </w:rPr>
        <w:t>十</w:t>
      </w:r>
      <w:r>
        <w:rPr>
          <w:rStyle w:val="19"/>
          <w:rFonts w:hint="eastAsia" w:ascii="宋体" w:hAnsi="宋体" w:eastAsia="宋体" w:cs="宋体"/>
          <w:color w:val="auto"/>
          <w:sz w:val="24"/>
          <w:highlight w:val="none"/>
          <w:u w:val="none"/>
        </w:rPr>
        <w:t>、</w:t>
      </w:r>
      <w:r>
        <w:rPr>
          <w:rFonts w:hint="eastAsia" w:ascii="宋体" w:hAnsi="宋体" w:eastAsia="宋体" w:cs="宋体"/>
          <w:color w:val="auto"/>
          <w:sz w:val="24"/>
          <w:highlight w:val="none"/>
        </w:rPr>
        <w:t>其他重要事项的情况说明</w:t>
      </w:r>
      <w:r>
        <w:rPr>
          <w:rFonts w:hint="eastAsia" w:ascii="宋体" w:hAnsi="宋体" w:eastAsia="宋体" w:cs="宋体"/>
          <w:color w:val="auto"/>
          <w:sz w:val="24"/>
          <w:highlight w:val="none"/>
        </w:rPr>
        <w:tab/>
      </w:r>
      <w:r>
        <w:rPr>
          <w:rFonts w:hint="eastAsia" w:ascii="宋体" w:hAnsi="宋体" w:cs="宋体"/>
          <w:color w:val="auto"/>
          <w:sz w:val="24"/>
          <w:highlight w:val="none"/>
          <w:lang w:val="en-US" w:eastAsia="zh-CN"/>
        </w:rPr>
        <w:t>................................15</w:t>
      </w:r>
    </w:p>
    <w:p w14:paraId="625CAA3B">
      <w:pPr>
        <w:pStyle w:val="14"/>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第三部分</w:t>
      </w:r>
      <w:r>
        <w:rPr>
          <w:color w:val="auto"/>
          <w:sz w:val="24"/>
          <w:highlight w:val="none"/>
        </w:rPr>
        <w:t xml:space="preserve"> </w:t>
      </w:r>
      <w:r>
        <w:rPr>
          <w:rFonts w:hint="eastAsia"/>
          <w:color w:val="auto"/>
          <w:sz w:val="24"/>
          <w:highlight w:val="none"/>
        </w:rPr>
        <w:t>名词解释</w:t>
      </w:r>
      <w:r>
        <w:rPr>
          <w:rFonts w:hint="eastAsia"/>
          <w:color w:val="auto"/>
          <w:sz w:val="24"/>
          <w:highlight w:val="none"/>
          <w:lang w:val="en-US" w:eastAsia="zh-CN"/>
        </w:rPr>
        <w:t>..............................................18</w:t>
      </w:r>
    </w:p>
    <w:p w14:paraId="00EA4F55">
      <w:pPr>
        <w:pStyle w:val="14"/>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第四部分</w:t>
      </w:r>
      <w:r>
        <w:rPr>
          <w:color w:val="auto"/>
          <w:sz w:val="24"/>
          <w:highlight w:val="none"/>
        </w:rPr>
        <w:t xml:space="preserve"> </w:t>
      </w:r>
      <w:r>
        <w:rPr>
          <w:rFonts w:hint="eastAsia"/>
          <w:color w:val="auto"/>
          <w:sz w:val="24"/>
          <w:highlight w:val="none"/>
        </w:rPr>
        <w:t>附件</w:t>
      </w:r>
      <w:r>
        <w:rPr>
          <w:rFonts w:hint="eastAsia"/>
          <w:color w:val="auto"/>
          <w:sz w:val="24"/>
          <w:highlight w:val="none"/>
          <w:lang w:val="en-US" w:eastAsia="zh-CN"/>
        </w:rPr>
        <w:t>..................................................23</w:t>
      </w:r>
    </w:p>
    <w:p w14:paraId="7E975FD8">
      <w:pPr>
        <w:pStyle w:val="14"/>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第五部分</w:t>
      </w:r>
      <w:r>
        <w:rPr>
          <w:color w:val="auto"/>
          <w:sz w:val="24"/>
          <w:highlight w:val="none"/>
        </w:rPr>
        <w:t xml:space="preserve"> </w:t>
      </w:r>
      <w:r>
        <w:rPr>
          <w:rFonts w:hint="eastAsia"/>
          <w:color w:val="auto"/>
          <w:sz w:val="24"/>
          <w:highlight w:val="none"/>
        </w:rPr>
        <w:t>附表</w:t>
      </w:r>
      <w:r>
        <w:rPr>
          <w:rFonts w:hint="eastAsia"/>
          <w:color w:val="auto"/>
          <w:sz w:val="24"/>
          <w:highlight w:val="none"/>
          <w:lang w:val="en-US" w:eastAsia="zh-CN"/>
        </w:rPr>
        <w:t>..................................................35</w:t>
      </w:r>
    </w:p>
    <w:p w14:paraId="6A999038">
      <w:pPr>
        <w:pStyle w:val="15"/>
        <w:adjustRightInd w:val="0"/>
        <w:snapToGrid w:val="0"/>
        <w:spacing w:line="440" w:lineRule="exact"/>
        <w:jc w:val="left"/>
        <w:rPr>
          <w:rFonts w:hint="eastAsia"/>
          <w:color w:val="auto"/>
          <w:sz w:val="24"/>
          <w:highlight w:val="none"/>
        </w:rPr>
      </w:pPr>
      <w:r>
        <w:rPr>
          <w:rFonts w:hint="eastAsia"/>
          <w:color w:val="auto"/>
          <w:sz w:val="24"/>
          <w:highlight w:val="none"/>
        </w:rPr>
        <w:t>一、收入支出决算总表</w:t>
      </w:r>
    </w:p>
    <w:p w14:paraId="2E7F6BB2">
      <w:pPr>
        <w:pStyle w:val="15"/>
        <w:adjustRightInd w:val="0"/>
        <w:snapToGrid w:val="0"/>
        <w:spacing w:line="440" w:lineRule="exact"/>
        <w:jc w:val="left"/>
        <w:rPr>
          <w:rFonts w:hint="eastAsia"/>
          <w:color w:val="auto"/>
          <w:sz w:val="24"/>
          <w:highlight w:val="none"/>
        </w:rPr>
      </w:pPr>
      <w:r>
        <w:rPr>
          <w:rFonts w:hint="eastAsia"/>
          <w:color w:val="auto"/>
          <w:sz w:val="24"/>
          <w:highlight w:val="none"/>
        </w:rPr>
        <w:t>二、收入决算表</w:t>
      </w:r>
    </w:p>
    <w:p w14:paraId="453660A2">
      <w:pPr>
        <w:pStyle w:val="15"/>
        <w:adjustRightInd w:val="0"/>
        <w:snapToGrid w:val="0"/>
        <w:spacing w:line="440" w:lineRule="exact"/>
        <w:jc w:val="left"/>
        <w:rPr>
          <w:rFonts w:hint="eastAsia"/>
          <w:color w:val="auto"/>
          <w:sz w:val="24"/>
          <w:highlight w:val="none"/>
        </w:rPr>
      </w:pPr>
      <w:r>
        <w:rPr>
          <w:rFonts w:hint="eastAsia"/>
          <w:color w:val="auto"/>
          <w:sz w:val="24"/>
          <w:highlight w:val="none"/>
        </w:rPr>
        <w:t>三、支出决算表</w:t>
      </w:r>
    </w:p>
    <w:p w14:paraId="212D7354">
      <w:pPr>
        <w:pStyle w:val="15"/>
        <w:adjustRightInd w:val="0"/>
        <w:snapToGrid w:val="0"/>
        <w:spacing w:line="440" w:lineRule="exact"/>
        <w:jc w:val="left"/>
        <w:rPr>
          <w:rFonts w:hint="eastAsia"/>
          <w:color w:val="auto"/>
          <w:sz w:val="24"/>
          <w:highlight w:val="none"/>
        </w:rPr>
      </w:pPr>
      <w:r>
        <w:rPr>
          <w:rFonts w:hint="eastAsia"/>
          <w:color w:val="auto"/>
          <w:sz w:val="24"/>
          <w:highlight w:val="none"/>
        </w:rPr>
        <w:t>四、财政拨款收入支出决算总表</w:t>
      </w:r>
    </w:p>
    <w:p w14:paraId="0BE890A4">
      <w:pPr>
        <w:pStyle w:val="15"/>
        <w:adjustRightInd w:val="0"/>
        <w:snapToGrid w:val="0"/>
        <w:spacing w:line="440" w:lineRule="exact"/>
        <w:jc w:val="left"/>
        <w:rPr>
          <w:rFonts w:hint="eastAsia"/>
          <w:color w:val="auto"/>
          <w:sz w:val="24"/>
          <w:highlight w:val="none"/>
        </w:rPr>
      </w:pPr>
      <w:r>
        <w:rPr>
          <w:rFonts w:hint="eastAsia"/>
          <w:color w:val="auto"/>
          <w:sz w:val="24"/>
          <w:highlight w:val="none"/>
        </w:rPr>
        <w:t>五、财政拨款支出决算明细表</w:t>
      </w:r>
    </w:p>
    <w:p w14:paraId="1DB6DBD5">
      <w:pPr>
        <w:pStyle w:val="15"/>
        <w:adjustRightInd w:val="0"/>
        <w:snapToGrid w:val="0"/>
        <w:spacing w:line="440" w:lineRule="exact"/>
        <w:jc w:val="left"/>
        <w:rPr>
          <w:rFonts w:hint="eastAsia"/>
          <w:color w:val="auto"/>
          <w:sz w:val="24"/>
          <w:highlight w:val="none"/>
        </w:rPr>
      </w:pPr>
      <w:r>
        <w:rPr>
          <w:rFonts w:hint="eastAsia"/>
          <w:color w:val="auto"/>
          <w:sz w:val="24"/>
          <w:highlight w:val="none"/>
        </w:rPr>
        <w:t>六、一般公共预算财政拨款支出决算表</w:t>
      </w:r>
    </w:p>
    <w:p w14:paraId="6CC156F3">
      <w:pPr>
        <w:pStyle w:val="15"/>
        <w:adjustRightInd w:val="0"/>
        <w:snapToGrid w:val="0"/>
        <w:spacing w:line="440" w:lineRule="exact"/>
        <w:jc w:val="left"/>
        <w:rPr>
          <w:rFonts w:hint="eastAsia"/>
          <w:color w:val="auto"/>
          <w:sz w:val="24"/>
          <w:highlight w:val="none"/>
        </w:rPr>
      </w:pPr>
      <w:r>
        <w:rPr>
          <w:rFonts w:hint="eastAsia"/>
          <w:color w:val="auto"/>
          <w:sz w:val="24"/>
          <w:highlight w:val="none"/>
        </w:rPr>
        <w:t>七、一般公共预算财政拨款支出决算明细表</w:t>
      </w:r>
    </w:p>
    <w:p w14:paraId="2B026D46">
      <w:pPr>
        <w:pStyle w:val="15"/>
        <w:adjustRightInd w:val="0"/>
        <w:snapToGrid w:val="0"/>
        <w:spacing w:line="440" w:lineRule="exact"/>
        <w:jc w:val="left"/>
        <w:rPr>
          <w:rFonts w:hint="eastAsia"/>
          <w:color w:val="auto"/>
          <w:sz w:val="24"/>
          <w:highlight w:val="none"/>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p>
    <w:p w14:paraId="2747CF17">
      <w:pPr>
        <w:pStyle w:val="15"/>
        <w:adjustRightInd w:val="0"/>
        <w:snapToGrid w:val="0"/>
        <w:spacing w:line="440" w:lineRule="exact"/>
        <w:jc w:val="left"/>
        <w:rPr>
          <w:rFonts w:hint="eastAsia"/>
          <w:color w:val="auto"/>
          <w:sz w:val="24"/>
          <w:highlight w:val="none"/>
        </w:rPr>
      </w:pPr>
      <w:r>
        <w:rPr>
          <w:rFonts w:hint="eastAsia"/>
          <w:color w:val="auto"/>
          <w:sz w:val="24"/>
          <w:highlight w:val="none"/>
        </w:rPr>
        <w:t>九、一般公共预算财政拨款项目支出决算表</w:t>
      </w:r>
    </w:p>
    <w:p w14:paraId="2770E0EB">
      <w:pPr>
        <w:pStyle w:val="15"/>
        <w:adjustRightInd w:val="0"/>
        <w:snapToGrid w:val="0"/>
        <w:spacing w:line="440" w:lineRule="exact"/>
        <w:jc w:val="left"/>
        <w:rPr>
          <w:rFonts w:hint="eastAsia"/>
          <w:color w:val="auto"/>
          <w:sz w:val="24"/>
          <w:highlight w:val="none"/>
        </w:rPr>
      </w:pPr>
      <w:r>
        <w:rPr>
          <w:rFonts w:hint="eastAsia"/>
          <w:color w:val="auto"/>
          <w:sz w:val="24"/>
          <w:highlight w:val="none"/>
        </w:rPr>
        <w:t>十、政府性基金预算财政拨款收入支出决算表</w:t>
      </w:r>
    </w:p>
    <w:p w14:paraId="55794927">
      <w:pPr>
        <w:pStyle w:val="15"/>
        <w:adjustRightInd w:val="0"/>
        <w:snapToGrid w:val="0"/>
        <w:spacing w:line="440" w:lineRule="exact"/>
        <w:jc w:val="left"/>
        <w:rPr>
          <w:rFonts w:hint="eastAsia"/>
          <w:color w:val="auto"/>
          <w:sz w:val="24"/>
          <w:highlight w:val="none"/>
        </w:rPr>
      </w:pPr>
      <w:r>
        <w:rPr>
          <w:rFonts w:hint="eastAsia"/>
          <w:color w:val="auto"/>
          <w:sz w:val="24"/>
          <w:highlight w:val="none"/>
        </w:rPr>
        <w:t>十一、国有资本经营预算财政拨款收入支出决算表</w:t>
      </w:r>
    </w:p>
    <w:p w14:paraId="40432EB2">
      <w:pPr>
        <w:pStyle w:val="15"/>
        <w:adjustRightInd w:val="0"/>
        <w:snapToGrid w:val="0"/>
        <w:spacing w:line="440" w:lineRule="exact"/>
        <w:jc w:val="left"/>
        <w:rPr>
          <w:rFonts w:hint="eastAsia"/>
          <w:color w:val="auto"/>
          <w:sz w:val="24"/>
          <w:highlight w:val="none"/>
        </w:rPr>
      </w:pPr>
      <w:r>
        <w:rPr>
          <w:rFonts w:hint="eastAsia"/>
          <w:color w:val="auto"/>
          <w:sz w:val="24"/>
          <w:highlight w:val="none"/>
        </w:rPr>
        <w:t>十二、</w:t>
      </w:r>
      <w:r>
        <w:rPr>
          <w:rFonts w:hint="eastAsia"/>
          <w:color w:val="auto"/>
          <w:sz w:val="24"/>
          <w:highlight w:val="none"/>
          <w:lang w:val="en-US" w:eastAsia="zh-CN"/>
        </w:rPr>
        <w:t>国有资本经营预算财政拨款支出决算表</w:t>
      </w:r>
    </w:p>
    <w:p w14:paraId="3F03E107">
      <w:pPr>
        <w:pStyle w:val="15"/>
        <w:adjustRightInd w:val="0"/>
        <w:snapToGrid w:val="0"/>
        <w:spacing w:line="440" w:lineRule="exact"/>
        <w:jc w:val="left"/>
        <w:rPr>
          <w:rFonts w:hint="eastAsia" w:ascii="宋体" w:hAnsi="宋体" w:eastAsia="宋体" w:cs="宋体"/>
          <w:color w:val="auto"/>
          <w:sz w:val="24"/>
          <w:highlight w:val="none"/>
          <w:lang w:val="en-US" w:eastAsia="zh-CN"/>
        </w:rPr>
      </w:pPr>
      <w:r>
        <w:rPr>
          <w:rFonts w:hint="eastAsia"/>
          <w:color w:val="auto"/>
          <w:sz w:val="24"/>
          <w:highlight w:val="none"/>
        </w:rPr>
        <w:t>十三、财政拨款“三公”经费支出决算表</w:t>
      </w:r>
    </w:p>
    <w:p w14:paraId="3B8ADB2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22F39CC0">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2877E694">
      <w:pPr>
        <w:widowControl/>
        <w:jc w:val="left"/>
        <w:rPr>
          <w:rFonts w:ascii="Times New Roman" w:hAnsi="Times New Roman" w:eastAsia="黑体"/>
          <w:color w:val="auto"/>
          <w:sz w:val="32"/>
          <w:szCs w:val="32"/>
          <w:highlight w:val="none"/>
        </w:rPr>
      </w:pPr>
    </w:p>
    <w:p w14:paraId="1EE67145">
      <w:pPr>
        <w:pStyle w:val="6"/>
        <w:pageBreakBefore w:val="0"/>
        <w:widowControl w:val="0"/>
        <w:kinsoku/>
        <w:wordWrap/>
        <w:overflowPunct/>
        <w:topLinePunct w:val="0"/>
        <w:autoSpaceDE/>
        <w:autoSpaceDN/>
        <w:bidi w:val="0"/>
        <w:spacing w:line="360" w:lineRule="auto"/>
        <w:ind w:firstLine="640" w:firstLineChars="200"/>
        <w:textAlignment w:val="auto"/>
        <w:rPr>
          <w:rStyle w:val="30"/>
          <w:rFonts w:hint="eastAsia" w:ascii="Times New Roman" w:hAnsi="Times New Roman" w:eastAsia="黑体"/>
          <w:b w:val="0"/>
          <w:bCs w:val="0"/>
          <w:color w:val="auto"/>
          <w:highlight w:val="none"/>
          <w:lang w:eastAsia="zh-CN"/>
        </w:rPr>
      </w:pPr>
      <w:bookmarkStart w:id="8" w:name="_Toc15377197"/>
      <w:bookmarkStart w:id="9" w:name="_Toc15396600"/>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14:paraId="44BC5E38">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bookmarkStart w:id="10" w:name="_Toc15377200"/>
      <w:bookmarkStart w:id="11" w:name="_Toc15396601"/>
      <w:r>
        <w:rPr>
          <w:rFonts w:hint="eastAsia" w:ascii="Times New Roman" w:hAnsi="Times New Roman" w:eastAsia="仿宋_GB2312" w:cs="仿宋_GB2312"/>
          <w:color w:val="auto"/>
          <w:kern w:val="0"/>
          <w:sz w:val="32"/>
          <w:szCs w:val="32"/>
          <w:highlight w:val="none"/>
          <w:lang w:val="en-US" w:eastAsia="zh-CN" w:bidi="ar-SA"/>
        </w:rPr>
        <w:t>（1）贯彻执行党和国家有关民政工作的方针政策和法律法规；拟订全区民政事业发展政策、规划并组织实施和监督检查。</w:t>
      </w:r>
    </w:p>
    <w:p w14:paraId="4B3712F5">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（2）负责区属社会团体和社会服务机构的审核、登记和年度检查；监督社会团体和社会服务机构活动；查处社会团体和社会服务机构的违法行为和未经登记以社会团体和社会服务机构名义开展活动的非法组织。</w:t>
      </w:r>
    </w:p>
    <w:p w14:paraId="719E2862">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（3）组织拟订全区社会救助规划、政策和标准，健全社会救助体系，监督指导区城乡最低生活保障中心实施城乡居民最低生活保障、临时救助、城市低收入家庭收入核定的管理等业务工作。</w:t>
      </w:r>
    </w:p>
    <w:p w14:paraId="418348DF">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（4）负责特困人员救助供养、生活无着流浪乞讨人员救助工作。</w:t>
      </w:r>
    </w:p>
    <w:p w14:paraId="1BE27013">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5）贯彻落实城乡基层群众自治建设和社区治理政策；推动基层民主政治建设。贯彻实施村（居）民委员会组织法，指导村（居）民委员会民主选举、民主决策、民主管理和民主监督工作；加强村（居）民委员会的组织建设、制度建设、负责村（居）民委员会干部培训。</w:t>
      </w:r>
    </w:p>
    <w:p w14:paraId="19B353BC">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（6）负责全区行政区域规划、调整、更名及变更工作；负责全区地名命名、更名的审核报批；负责行政区域界线的勘定、维护管理及边界争议的调查和调处。</w:t>
      </w:r>
    </w:p>
    <w:p w14:paraId="3EFC7342">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（7）组织实施婚姻管理政策，推进婚俗改革。</w:t>
      </w:r>
    </w:p>
    <w:p w14:paraId="2624E718">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（8）组织实施殡葬管理政策，负责殡葬管理工作，推进殡葬改革。</w:t>
      </w:r>
    </w:p>
    <w:p w14:paraId="521AD2EC">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（9）拟订社会福利事业发展规划；组织实施社会福利机构管理办法；贯彻残疾人权益保护政策；负责康复辅助器具行业管理，协调推进残疾人福利制度建设和康复辅助器具产业发展。</w:t>
      </w:r>
    </w:p>
    <w:p w14:paraId="65BE67B3">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10）统筹推进、督促指导、监督管理养老服务工作，拟定养老服务体系建设规划、政策并组织实施，承担老年人福利和特殊困难老年人救助工作，协调推进农村留守老年人关爱服务工作，承担城乡老年社会组织管理工作。</w:t>
      </w:r>
    </w:p>
    <w:p w14:paraId="6EBC3B58">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（11）贯彻落实儿童福利、孤弃儿童保障、儿童收养、儿童救助保护政策、标准、协调推进全区农村留守儿童关爱服务体系和困境儿童保障制度建设。</w:t>
      </w:r>
    </w:p>
    <w:p w14:paraId="4ABEF316">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（12）贯彻执行促进慈善事业发展政策，指导社会捐助工作。</w:t>
      </w:r>
    </w:p>
    <w:p w14:paraId="74D6579B">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（13）贯彻落实社会工作、志愿服务政策和标准，会同有关部门推进社会工作人才队伍建设和相关志愿队伍建设。</w:t>
      </w:r>
    </w:p>
    <w:p w14:paraId="3EDF74AF">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（14）依法依规履行康复辅助器具行业和社会福利、养老服务、殡葬服务、救助管理机构安全生产监督管理工作。</w:t>
      </w:r>
    </w:p>
    <w:p w14:paraId="61F0E6D7">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（15）完成区委、区政府交办的其他任务。</w:t>
      </w:r>
    </w:p>
    <w:p w14:paraId="01131239">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（16）负责职责范围内的职业健康、生态环境保护、审批服务便民化等工作。</w:t>
      </w:r>
    </w:p>
    <w:p w14:paraId="7182007A">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0"/>
          <w:sz w:val="32"/>
          <w:szCs w:val="32"/>
          <w:highlight w:val="none"/>
          <w:lang w:val="en-US" w:eastAsia="zh-CN" w:bidi="ar-SA"/>
        </w:rPr>
      </w:pPr>
      <w:r>
        <w:rPr>
          <w:rFonts w:hint="eastAsia" w:ascii="Times New Roman" w:hAnsi="Times New Roman" w:eastAsia="仿宋_GB2312" w:cs="仿宋_GB2312"/>
          <w:color w:val="auto"/>
          <w:kern w:val="0"/>
          <w:sz w:val="32"/>
          <w:szCs w:val="32"/>
          <w:highlight w:val="none"/>
          <w:lang w:val="en-US" w:eastAsia="zh-CN" w:bidi="ar-SA"/>
        </w:rPr>
        <w:t>（17）职能转变。民政方面应强化基本民生保障职能，为困难群众、孤老孤残孤儿等特殊群体提供基本社会服务。积极培育社会组织、社会工作者等多元参与主体，推动搭建基层社会治理和社区公共服务平台。</w:t>
      </w:r>
    </w:p>
    <w:p w14:paraId="0D784F71">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18）有关职责分工。与区卫生健康局的有关职责分工。区民政局负责统筹推进、督促指导、监督管理养老服务工作，拟订养老服务体系建设规划、政策、标准并组织实施，承担老年人福利和特殊困难老年人救助工作。区卫生健康局负责拟订应对人口老龄化、医养结合政策措施，综合协调、督促指导、组织推进老龄健康事业发展，承担老年疾病防治、老年人医疗照护、老年人心理健康与关怀服务等老年健康工作。</w:t>
      </w:r>
    </w:p>
    <w:p w14:paraId="1E659B0B">
      <w:pPr>
        <w:pStyle w:val="6"/>
        <w:pageBreakBefore w:val="0"/>
        <w:widowControl w:val="0"/>
        <w:kinsoku/>
        <w:wordWrap/>
        <w:overflowPunct/>
        <w:topLinePunct w:val="0"/>
        <w:autoSpaceDE/>
        <w:autoSpaceDN/>
        <w:bidi w:val="0"/>
        <w:spacing w:line="360" w:lineRule="auto"/>
        <w:ind w:firstLine="640" w:firstLineChars="200"/>
        <w:textAlignment w:val="auto"/>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p>
    <w:p w14:paraId="03816335">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攀枝花市西区民政局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57C08720">
      <w:pPr>
        <w:pStyle w:val="8"/>
        <w:pageBreakBefore w:val="0"/>
        <w:widowControl w:val="0"/>
        <w:kinsoku/>
        <w:wordWrap/>
        <w:overflowPunct/>
        <w:topLinePunct w:val="0"/>
        <w:autoSpaceDE/>
        <w:autoSpaceDN/>
        <w:bidi w:val="0"/>
        <w:adjustRightInd w:val="0"/>
        <w:snapToGrid w:val="0"/>
        <w:spacing w:before="93" w:line="360" w:lineRule="auto"/>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攀枝花市西区民政局</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55F46844">
      <w:pPr>
        <w:pageBreakBefore w:val="0"/>
        <w:widowControl w:val="0"/>
        <w:kinsoku/>
        <w:wordWrap/>
        <w:overflowPunct/>
        <w:topLinePunct w:val="0"/>
        <w:autoSpaceDE/>
        <w:autoSpaceDN/>
        <w:bidi w:val="0"/>
        <w:spacing w:line="360" w:lineRule="auto"/>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1.攀枝花市</w:t>
      </w:r>
      <w:r>
        <w:rPr>
          <w:rFonts w:hint="eastAsia" w:ascii="Times New Roman" w:hAnsi="Times New Roman" w:eastAsia="仿宋_GB2312" w:cs="仿宋_GB2312"/>
          <w:color w:val="auto"/>
          <w:sz w:val="32"/>
          <w:szCs w:val="32"/>
          <w:highlight w:val="none"/>
          <w:lang w:eastAsia="zh-CN"/>
        </w:rPr>
        <w:t>西区老龄健康服务中心</w:t>
      </w:r>
    </w:p>
    <w:p w14:paraId="0D2992A1">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2.攀枝花市</w:t>
      </w:r>
      <w:r>
        <w:rPr>
          <w:rFonts w:hint="eastAsia" w:ascii="Times New Roman" w:hAnsi="Times New Roman" w:eastAsia="仿宋_GB2312" w:cs="仿宋_GB2312"/>
          <w:color w:val="auto"/>
          <w:sz w:val="32"/>
          <w:szCs w:val="32"/>
          <w:highlight w:val="none"/>
        </w:rPr>
        <w:t>西区城乡最低生活保障中心</w:t>
      </w:r>
    </w:p>
    <w:p w14:paraId="01455917">
      <w:pPr>
        <w:pStyle w:val="8"/>
        <w:pageBreakBefore w:val="0"/>
        <w:widowControl w:val="0"/>
        <w:numPr>
          <w:ilvl w:val="0"/>
          <w:numId w:val="0"/>
        </w:numPr>
        <w:kinsoku/>
        <w:wordWrap/>
        <w:overflowPunct/>
        <w:topLinePunct w:val="0"/>
        <w:autoSpaceDE/>
        <w:autoSpaceDN/>
        <w:bidi w:val="0"/>
        <w:adjustRightInd w:val="0"/>
        <w:snapToGrid w:val="0"/>
        <w:spacing w:before="93" w:line="360" w:lineRule="auto"/>
        <w:ind w:firstLine="640" w:firstLineChars="200"/>
        <w:textAlignment w:val="auto"/>
        <w:outlineLvl w:val="2"/>
        <w:rPr>
          <w:rFonts w:hint="eastAsia" w:ascii="Times New Roman" w:hAnsi="Times New Roman" w:eastAsia="仿宋_GB2312" w:cs="仿宋_GB2312"/>
          <w:color w:val="auto"/>
          <w:sz w:val="32"/>
          <w:szCs w:val="32"/>
          <w:highlight w:val="none"/>
        </w:rPr>
      </w:pPr>
    </w:p>
    <w:p w14:paraId="3EBBCF7A">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bookmarkStart w:id="12" w:name="_Toc15396602"/>
      <w:bookmarkStart w:id="13" w:name="_Toc15377204"/>
    </w:p>
    <w:p w14:paraId="50DE1D3A">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31D4B96B">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609F71DE">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55B81572">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6EE71E09">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55A5D015">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29798187">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340A5491">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405382D6">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710CC975">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6C566902">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1EFA6E8D">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46E183AB">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0A120050">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6C8F2F67">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028482AD">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73D74249">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p>
    <w:p w14:paraId="3F723690">
      <w:pPr>
        <w:pageBreakBefore w:val="0"/>
        <w:widowControl w:val="0"/>
        <w:numPr>
          <w:ilvl w:val="0"/>
          <w:numId w:val="0"/>
        </w:numPr>
        <w:kinsoku/>
        <w:wordWrap/>
        <w:overflowPunct/>
        <w:topLinePunct w:val="0"/>
        <w:autoSpaceDE/>
        <w:autoSpaceDN/>
        <w:bidi w:val="0"/>
        <w:spacing w:line="360" w:lineRule="auto"/>
        <w:ind w:firstLine="880" w:firstLineChars="200"/>
        <w:jc w:val="center"/>
        <w:textAlignment w:val="auto"/>
        <w:outlineLvl w:val="0"/>
        <w:rPr>
          <w:rFonts w:hint="eastAsia" w:ascii="Times New Roman" w:hAnsi="Times New Roman" w:eastAsia="黑体" w:cs="Times New Roman"/>
          <w:color w:val="auto"/>
          <w:sz w:val="44"/>
          <w:szCs w:val="44"/>
          <w:highlight w:val="none"/>
        </w:rPr>
      </w:pPr>
      <w:r>
        <w:rPr>
          <w:rFonts w:hint="eastAsia" w:ascii="Times New Roman" w:hAnsi="Times New Roman" w:eastAsia="黑体" w:cs="Times New Roman"/>
          <w:color w:val="auto"/>
          <w:sz w:val="44"/>
          <w:szCs w:val="44"/>
          <w:highlight w:val="none"/>
        </w:rPr>
        <w:t>第二部分</w:t>
      </w:r>
      <w:r>
        <w:rPr>
          <w:rFonts w:hint="eastAsia" w:ascii="Times New Roman" w:hAnsi="Times New Roman" w:eastAsia="黑体" w:cs="Times New Roman"/>
          <w:color w:val="auto"/>
          <w:sz w:val="44"/>
          <w:szCs w:val="44"/>
          <w:highlight w:val="none"/>
          <w:lang w:val="en-US" w:eastAsia="zh-CN"/>
        </w:rPr>
        <w:t xml:space="preserve"> </w:t>
      </w:r>
      <w:r>
        <w:rPr>
          <w:rFonts w:hint="eastAsia" w:ascii="Times New Roman" w:hAnsi="Times New Roman" w:eastAsia="黑体" w:cs="Times New Roman"/>
          <w:color w:val="auto"/>
          <w:sz w:val="44"/>
          <w:szCs w:val="44"/>
          <w:highlight w:val="none"/>
        </w:rPr>
        <w:t xml:space="preserve"> </w:t>
      </w:r>
      <w:r>
        <w:rPr>
          <w:rFonts w:hint="eastAsia" w:eastAsia="黑体" w:cs="Times New Roman"/>
          <w:color w:val="auto"/>
          <w:sz w:val="44"/>
          <w:szCs w:val="44"/>
          <w:highlight w:val="none"/>
          <w:lang w:val="en-US" w:eastAsia="zh-CN"/>
        </w:rPr>
        <w:t>2025年度</w:t>
      </w:r>
      <w:r>
        <w:rPr>
          <w:rFonts w:hint="eastAsia" w:ascii="Times New Roman" w:hAnsi="Times New Roman" w:eastAsia="黑体" w:cs="Times New Roman"/>
          <w:color w:val="auto"/>
          <w:sz w:val="44"/>
          <w:szCs w:val="44"/>
          <w:highlight w:val="none"/>
        </w:rPr>
        <w:t>部门决算情况说明</w:t>
      </w:r>
      <w:bookmarkEnd w:id="12"/>
      <w:bookmarkEnd w:id="13"/>
    </w:p>
    <w:p w14:paraId="75D9547D">
      <w:pPr>
        <w:pageBreakBefore w:val="0"/>
        <w:widowControl w:val="0"/>
        <w:kinsoku/>
        <w:wordWrap/>
        <w:overflowPunct/>
        <w:topLinePunct w:val="0"/>
        <w:autoSpaceDE/>
        <w:autoSpaceDN/>
        <w:bidi w:val="0"/>
        <w:spacing w:line="360" w:lineRule="auto"/>
        <w:ind w:firstLine="420" w:firstLineChars="200"/>
        <w:textAlignment w:val="auto"/>
        <w:rPr>
          <w:rFonts w:ascii="Times New Roman" w:hAnsi="Times New Roman"/>
          <w:color w:val="auto"/>
          <w:highlight w:val="none"/>
        </w:rPr>
      </w:pPr>
    </w:p>
    <w:p w14:paraId="567C3F78">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Style w:val="30"/>
          <w:rFonts w:hint="eastAsia" w:ascii="Times New Roman" w:hAnsi="Times New Roman" w:eastAsia="黑体"/>
          <w:b w:val="0"/>
          <w:color w:val="auto"/>
          <w:highlight w:val="none"/>
        </w:rPr>
      </w:pPr>
      <w:bookmarkStart w:id="14" w:name="_Toc15377205"/>
      <w:bookmarkStart w:id="1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4"/>
      <w:bookmarkEnd w:id="15"/>
    </w:p>
    <w:p w14:paraId="7E3B8A08">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ascii="Times New Roman" w:hAnsi="Times New Roman" w:eastAsia="仿宋"/>
          <w:b w:val="0"/>
          <w:color w:val="000000"/>
          <w:sz w:val="32"/>
        </w:rPr>
        <w:t>2025年度收入、支出总计均为4493.11万元。与上年度相比，收入、支出总计各减少2286.54万元，下降33.7%。主要变动原因是减少了养老服务中心建设资金</w:t>
      </w:r>
      <w:r>
        <w:rPr>
          <w:rFonts w:hint="eastAsia" w:eastAsia="仿宋_GB2312" w:cs="仿宋_GB2312"/>
          <w:color w:val="auto"/>
          <w:sz w:val="32"/>
          <w:szCs w:val="32"/>
          <w:highlight w:val="none"/>
          <w:lang w:eastAsia="zh-CN"/>
        </w:rPr>
        <w:t>。</w:t>
      </w:r>
    </w:p>
    <w:p w14:paraId="43AD4C9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2E74B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Times New Roman" w:hAnsi="Times New Roman" w:eastAsia="仿宋_GB2312" w:cs="仿宋_GB2312"/>
          <w:color w:val="auto"/>
          <w:sz w:val="32"/>
          <w:szCs w:val="32"/>
          <w:highlight w:val="none"/>
        </w:rPr>
      </w:pPr>
      <w:r>
        <w:drawing>
          <wp:inline distT="0" distB="0" distL="114300" distR="114300">
            <wp:extent cx="4657725" cy="2714625"/>
            <wp:effectExtent l="0" t="0" r="9525" b="952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9"/>
                    <a:stretch>
                      <a:fillRect/>
                    </a:stretch>
                  </pic:blipFill>
                  <pic:spPr>
                    <a:xfrm>
                      <a:off x="0" y="0"/>
                      <a:ext cx="4657725" cy="2714625"/>
                    </a:xfrm>
                    <a:prstGeom prst="rect">
                      <a:avLst/>
                    </a:prstGeom>
                    <a:noFill/>
                    <a:ln>
                      <a:noFill/>
                    </a:ln>
                  </pic:spPr>
                </pic:pic>
              </a:graphicData>
            </a:graphic>
          </wp:inline>
        </w:drawing>
      </w:r>
    </w:p>
    <w:p w14:paraId="24A78889">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77206"/>
      <w:bookmarkStart w:id="17" w:name="_Toc15396604"/>
      <w:r>
        <w:rPr>
          <w:rFonts w:hint="eastAsia" w:ascii="Times New Roman" w:hAnsi="Times New Roman" w:eastAsia="黑体"/>
          <w:color w:val="auto"/>
          <w:sz w:val="32"/>
          <w:szCs w:val="32"/>
          <w:highlight w:val="none"/>
          <w:lang w:eastAsia="zh-CN"/>
        </w:rPr>
        <w:t>二、收入决算情况说明</w:t>
      </w:r>
      <w:bookmarkEnd w:id="16"/>
      <w:bookmarkEnd w:id="17"/>
    </w:p>
    <w:p w14:paraId="0DC9E992">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ascii="Times New Roman" w:hAnsi="Times New Roman" w:eastAsia="仿宋"/>
          <w:b w:val="0"/>
          <w:color w:val="000000"/>
          <w:sz w:val="32"/>
        </w:rPr>
        <w:t>2025年度本年收入合计4482.11万元，其中：一般公共预算财政拨款收入4325.85万元，占96.5%；政府性基金预算财政拨款收入156.26万元，占3.5%</w:t>
      </w:r>
      <w:r>
        <w:rPr>
          <w:rFonts w:hint="eastAsia" w:ascii="仿宋_GB2312" w:hAnsi="仿宋_GB2312" w:eastAsia="仿宋_GB2312" w:cs="仿宋_GB2312"/>
          <w:color w:val="auto"/>
          <w:sz w:val="32"/>
          <w:szCs w:val="32"/>
          <w:highlight w:val="none"/>
          <w:lang w:eastAsia="zh-CN"/>
        </w:rPr>
        <w:t>。</w:t>
      </w:r>
    </w:p>
    <w:p w14:paraId="467C7197">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88AFC00">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4724400" cy="2609850"/>
            <wp:effectExtent l="0" t="0" r="0" b="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0"/>
                    <a:stretch>
                      <a:fillRect/>
                    </a:stretch>
                  </pic:blipFill>
                  <pic:spPr>
                    <a:xfrm>
                      <a:off x="0" y="0"/>
                      <a:ext cx="4724400" cy="2609850"/>
                    </a:xfrm>
                    <a:prstGeom prst="rect">
                      <a:avLst/>
                    </a:prstGeom>
                    <a:noFill/>
                    <a:ln>
                      <a:noFill/>
                    </a:ln>
                  </pic:spPr>
                </pic:pic>
              </a:graphicData>
            </a:graphic>
          </wp:inline>
        </w:drawing>
      </w:r>
    </w:p>
    <w:p w14:paraId="7EAD3D84">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Style w:val="30"/>
          <w:rFonts w:hint="eastAsia" w:ascii="Times New Roman" w:hAnsi="Times New Roman" w:eastAsia="黑体"/>
          <w:b w:val="0"/>
          <w:color w:val="auto"/>
          <w:highlight w:val="none"/>
        </w:rPr>
      </w:pPr>
      <w:bookmarkStart w:id="18" w:name="_Toc15377207"/>
      <w:bookmarkStart w:id="1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8"/>
      <w:bookmarkEnd w:id="19"/>
    </w:p>
    <w:p w14:paraId="39A4EDCF">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ascii="Times New Roman" w:hAnsi="Times New Roman" w:eastAsia="仿宋"/>
          <w:b w:val="0"/>
          <w:color w:val="000000"/>
          <w:sz w:val="32"/>
        </w:rPr>
        <w:t>2025年度本年支出合计4493.11万元，其中：基本支出480.38万元，占10.7%；项目支出4012.72万元，占89.3%</w:t>
      </w:r>
      <w:r>
        <w:rPr>
          <w:rFonts w:hint="eastAsia" w:ascii="Times New Roman" w:hAnsi="Times New Roman" w:eastAsia="仿宋_GB2312" w:cs="仿宋_GB2312"/>
          <w:color w:val="auto"/>
          <w:sz w:val="32"/>
          <w:szCs w:val="32"/>
          <w:highlight w:val="none"/>
          <w:lang w:eastAsia="zh-CN"/>
        </w:rPr>
        <w:t>（图3：支出决算结构图）（饼状图）</w:t>
      </w:r>
    </w:p>
    <w:p w14:paraId="0E191EA1">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3419475" cy="2705100"/>
            <wp:effectExtent l="0" t="0" r="9525"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1"/>
                    <a:stretch>
                      <a:fillRect/>
                    </a:stretch>
                  </pic:blipFill>
                  <pic:spPr>
                    <a:xfrm>
                      <a:off x="0" y="0"/>
                      <a:ext cx="3419475" cy="2705100"/>
                    </a:xfrm>
                    <a:prstGeom prst="rect">
                      <a:avLst/>
                    </a:prstGeom>
                    <a:noFill/>
                    <a:ln>
                      <a:noFill/>
                    </a:ln>
                  </pic:spPr>
                </pic:pic>
              </a:graphicData>
            </a:graphic>
          </wp:inline>
        </w:drawing>
      </w:r>
    </w:p>
    <w:p w14:paraId="061ECD4D">
      <w:pPr>
        <w:pageBreakBefore w:val="0"/>
        <w:widowControl w:val="0"/>
        <w:kinsoku/>
        <w:wordWrap/>
        <w:overflowPunct/>
        <w:topLinePunct w:val="0"/>
        <w:autoSpaceDE/>
        <w:autoSpaceDN/>
        <w:bidi w:val="0"/>
        <w:spacing w:line="360" w:lineRule="auto"/>
        <w:ind w:firstLine="640" w:firstLineChars="200"/>
        <w:textAlignment w:val="auto"/>
        <w:outlineLvl w:val="1"/>
        <w:rPr>
          <w:rStyle w:val="30"/>
          <w:rFonts w:ascii="Times New Roman" w:hAnsi="Times New Roman" w:eastAsia="黑体"/>
          <w:b w:val="0"/>
          <w:color w:val="auto"/>
          <w:highlight w:val="none"/>
        </w:rPr>
      </w:pPr>
      <w:bookmarkStart w:id="20" w:name="_Toc15377208"/>
      <w:bookmarkStart w:id="21"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0"/>
      <w:bookmarkEnd w:id="21"/>
    </w:p>
    <w:p w14:paraId="20399235">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2025年度财政拨款收入、支出总计均为4493.11万元。与上年度相比，财政拨款收入、支出总计各减少2286.54万元，下降33.7%。主要变动原因是减少了养老服务中心建设资金</w:t>
      </w:r>
      <w:r>
        <w:rPr>
          <w:rFonts w:hint="eastAsia" w:eastAsia="仿宋_GB2312" w:cs="仿宋_GB2312"/>
          <w:color w:val="auto"/>
          <w:sz w:val="32"/>
          <w:szCs w:val="32"/>
          <w:highlight w:val="none"/>
          <w:lang w:eastAsia="zh-CN"/>
        </w:rPr>
        <w:t>。</w:t>
      </w:r>
    </w:p>
    <w:p w14:paraId="5F334187">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A7D151D">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43425" cy="2705100"/>
            <wp:effectExtent l="0" t="0" r="9525"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2"/>
                    <a:stretch>
                      <a:fillRect/>
                    </a:stretch>
                  </pic:blipFill>
                  <pic:spPr>
                    <a:xfrm>
                      <a:off x="0" y="0"/>
                      <a:ext cx="4543425" cy="2705100"/>
                    </a:xfrm>
                    <a:prstGeom prst="rect">
                      <a:avLst/>
                    </a:prstGeom>
                    <a:noFill/>
                    <a:ln>
                      <a:noFill/>
                    </a:ln>
                  </pic:spPr>
                </pic:pic>
              </a:graphicData>
            </a:graphic>
          </wp:inline>
        </w:drawing>
      </w:r>
    </w:p>
    <w:p w14:paraId="27468101">
      <w:pPr>
        <w:pageBreakBefore w:val="0"/>
        <w:widowControl w:val="0"/>
        <w:kinsoku/>
        <w:wordWrap/>
        <w:overflowPunct/>
        <w:topLinePunct w:val="0"/>
        <w:autoSpaceDE/>
        <w:autoSpaceDN/>
        <w:bidi w:val="0"/>
        <w:spacing w:line="360" w:lineRule="auto"/>
        <w:ind w:firstLine="640" w:firstLineChars="200"/>
        <w:textAlignment w:val="auto"/>
        <w:outlineLvl w:val="1"/>
        <w:rPr>
          <w:rStyle w:val="30"/>
          <w:rFonts w:ascii="Times New Roman" w:hAnsi="Times New Roman" w:eastAsia="黑体"/>
          <w:b w:val="0"/>
          <w:color w:val="auto"/>
          <w:highlight w:val="none"/>
        </w:rPr>
      </w:pPr>
      <w:bookmarkStart w:id="22" w:name="_Toc15377209"/>
      <w:bookmarkStart w:id="2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2"/>
      <w:bookmarkEnd w:id="23"/>
    </w:p>
    <w:p w14:paraId="71630403">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14:paraId="537851A1">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2025年度一般公共预算财政拨款支出4336.85万元，占本年支出合计的96.5%。与上年度相比，一般公共预算财政拨款支出减少2361.14万元，下降35.3%。主要变动原因是减少了养老服务中心建设资金</w:t>
      </w:r>
      <w:r>
        <w:rPr>
          <w:rFonts w:hint="eastAsia" w:eastAsia="仿宋_GB2312" w:cs="仿宋_GB2312"/>
          <w:color w:val="auto"/>
          <w:sz w:val="32"/>
          <w:szCs w:val="32"/>
          <w:highlight w:val="none"/>
          <w:lang w:eastAsia="zh-CN"/>
        </w:rPr>
        <w:t>。</w:t>
      </w:r>
    </w:p>
    <w:p w14:paraId="70BA2D9C">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D11508A">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400550" cy="2724150"/>
            <wp:effectExtent l="0" t="0" r="0" b="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3"/>
                    <a:stretch>
                      <a:fillRect/>
                    </a:stretch>
                  </pic:blipFill>
                  <pic:spPr>
                    <a:xfrm>
                      <a:off x="0" y="0"/>
                      <a:ext cx="4400550" cy="2724150"/>
                    </a:xfrm>
                    <a:prstGeom prst="rect">
                      <a:avLst/>
                    </a:prstGeom>
                    <a:noFill/>
                    <a:ln>
                      <a:noFill/>
                    </a:ln>
                  </pic:spPr>
                </pic:pic>
              </a:graphicData>
            </a:graphic>
          </wp:inline>
        </w:drawing>
      </w:r>
    </w:p>
    <w:p w14:paraId="271098A0">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587556D4">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2025年度一般公共预算财政拨款支出4336.85万元，主要用于以下方面：社会保障和就业支出4284.94万元，占98.8%；卫生健康支出30.14万元，占0.7%；住房保障支出21.76万元，占0.5%</w:t>
      </w:r>
      <w:r>
        <w:rPr>
          <w:rFonts w:hint="eastAsia" w:eastAsia="仿宋_GB2312" w:cs="仿宋_GB2312"/>
          <w:color w:val="auto"/>
          <w:kern w:val="2"/>
          <w:sz w:val="32"/>
          <w:szCs w:val="32"/>
          <w:highlight w:val="none"/>
          <w:lang w:val="en-US" w:eastAsia="zh-CN" w:bidi="ar-SA"/>
        </w:rPr>
        <w:t>。</w:t>
      </w:r>
    </w:p>
    <w:p w14:paraId="2E9F0D66">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7A7D985B">
      <w:pPr>
        <w:pageBreakBefore w:val="0"/>
        <w:widowControl w:val="0"/>
        <w:kinsoku/>
        <w:wordWrap/>
        <w:overflowPunct/>
        <w:topLinePunct w:val="0"/>
        <w:autoSpaceDE/>
        <w:autoSpaceDN/>
        <w:bidi w:val="0"/>
        <w:spacing w:line="360" w:lineRule="auto"/>
        <w:ind w:firstLine="420" w:firstLineChars="20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467225" cy="2590800"/>
            <wp:effectExtent l="0" t="0" r="9525" b="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4"/>
                    <a:stretch>
                      <a:fillRect/>
                    </a:stretch>
                  </pic:blipFill>
                  <pic:spPr>
                    <a:xfrm>
                      <a:off x="0" y="0"/>
                      <a:ext cx="4467225" cy="2590800"/>
                    </a:xfrm>
                    <a:prstGeom prst="rect">
                      <a:avLst/>
                    </a:prstGeom>
                    <a:noFill/>
                    <a:ln>
                      <a:noFill/>
                    </a:ln>
                  </pic:spPr>
                </pic:pic>
              </a:graphicData>
            </a:graphic>
          </wp:inline>
        </w:drawing>
      </w:r>
    </w:p>
    <w:p w14:paraId="6DFEE694">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53315DF9">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2025年度一般公共预算财政拨款支出决算数为4336.85万元，完成预算100%。其中：</w:t>
      </w:r>
    </w:p>
    <w:p w14:paraId="5961E9B2">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1.社会保障和就业支出（类）民政管理事务（款）行政运行（项）：支出决算为174.58万元，完成预算100%。</w:t>
      </w:r>
    </w:p>
    <w:p w14:paraId="79DB67D6">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2.社会保障和就业支出（类）民政管理事务（款）其他民政管理事务支出（项）：支出决算为241.69万元，完成预算100%。</w:t>
      </w:r>
    </w:p>
    <w:p w14:paraId="3F2AD95A">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3.社会保障和就业支出（类）行政事业单位养老支出（款）行政单位离退休（项）：支出决算为7.29万元，完成预算100%。</w:t>
      </w:r>
    </w:p>
    <w:p w14:paraId="79962222">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4.社会保障和就业支出（类）行政事业单位养老支出（款）事业单位离退休（项）：支出决算为3.80万元，完成预算100%。</w:t>
      </w:r>
    </w:p>
    <w:p w14:paraId="11269AD5">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5.社会保障和就业支出（类）行政事业单位养老支出（款）机关事业单位基本养老保险缴费支出（项）：支出决算为28.45万元，完成预算100%。</w:t>
      </w:r>
    </w:p>
    <w:p w14:paraId="57CA79D3">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6.社会保障和就业支出（类）行政事业单位养老支出（款）机关事业单位职业年金缴费支出（项）：支出决算为0.04万元，完成预算100%。</w:t>
      </w:r>
    </w:p>
    <w:p w14:paraId="340E5437">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7.社会保障和就业支出（类）社会福利（款）儿童福利（项）：支出决算为10.36万元，完成预算100%。</w:t>
      </w:r>
    </w:p>
    <w:p w14:paraId="604D6656">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8.社会保障和就业支出（类）社会福利（款）老年福利（项）：支出决算为384.16万元，完成预算100%。</w:t>
      </w:r>
    </w:p>
    <w:p w14:paraId="52E55D5F">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9.社会保障和就业支出（类）社会福利（款）殡葬（项）：支出决算为35.86万元，完成预算100%。</w:t>
      </w:r>
    </w:p>
    <w:p w14:paraId="153AD5D5">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10.社会保障和就业支出（类）社会福利（款）养老服务（项）：支出决算为25.50万元，完成预算100%。</w:t>
      </w:r>
    </w:p>
    <w:p w14:paraId="6E9F538D">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11.社会保障和就业支出（类）社会福利（款）其他社会福利支出（项）：支出决算为2.47万元，完成预算100%。</w:t>
      </w:r>
    </w:p>
    <w:p w14:paraId="45178EDC">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12.社会保障和就业支出（类）残疾人事业（款）残疾人生活和护理补贴（项）：支出决算为208.33万元，完成预算100%。</w:t>
      </w:r>
    </w:p>
    <w:p w14:paraId="65666D7E">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13.社会保障和就业支出（类）其他社会保障和就业支出（款）其他社会保障和就业支出（项）：支出决算为3162.42万元，完成预算100%。</w:t>
      </w:r>
    </w:p>
    <w:p w14:paraId="0F68C2D2">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14.卫生健康支出（类）行政事业单位医疗（款）行政单位医疗（项）：支出决算为9.11万元，完成预算100%。</w:t>
      </w:r>
    </w:p>
    <w:p w14:paraId="43E4A74B">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15.卫生健康支出（类）行政事业单位医疗（款）事业单位医疗（项）：支出决算为6.06万元，完成预算100%。</w:t>
      </w:r>
    </w:p>
    <w:p w14:paraId="5289F30B">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16.卫生健康支出（类）行政事业单位医疗（款）公务员医疗补助（项）：支出决算为9.95万元，完成预算100%。</w:t>
      </w:r>
    </w:p>
    <w:p w14:paraId="590960A2">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17.卫生健康支出（类）行政事业单位医疗（款）其他行政事业单位医疗支出（项）：支出决算为5.03万元，完成预算100%。</w:t>
      </w:r>
    </w:p>
    <w:p w14:paraId="5B70C73D">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18.住房保障支出（类）住房改革支出（款）住房公积金（项）：支出决算为21.76万元，完成预算100%</w:t>
      </w:r>
      <w:r>
        <w:rPr>
          <w:rStyle w:val="18"/>
          <w:rFonts w:hint="eastAsia" w:ascii="仿宋" w:hAnsi="仿宋" w:eastAsia="仿宋"/>
          <w:b w:val="0"/>
          <w:bCs/>
          <w:color w:val="auto"/>
          <w:sz w:val="32"/>
          <w:szCs w:val="32"/>
          <w:highlight w:val="none"/>
        </w:rPr>
        <w:t>。</w:t>
      </w:r>
    </w:p>
    <w:p w14:paraId="2BE4C718">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4AA5F82">
      <w:pPr>
        <w:pageBreakBefore w:val="0"/>
        <w:widowControl w:val="0"/>
        <w:tabs>
          <w:tab w:val="right" w:pos="8306"/>
        </w:tabs>
        <w:kinsoku/>
        <w:wordWrap/>
        <w:overflowPunct/>
        <w:topLinePunct w:val="0"/>
        <w:autoSpaceDE/>
        <w:autoSpaceDN/>
        <w:bidi w:val="0"/>
        <w:spacing w:line="360" w:lineRule="auto"/>
        <w:ind w:firstLine="640" w:firstLineChars="200"/>
        <w:textAlignment w:val="auto"/>
        <w:outlineLvl w:val="1"/>
        <w:rPr>
          <w:rStyle w:val="30"/>
          <w:rFonts w:ascii="Times New Roman" w:hAnsi="Times New Roman"/>
          <w:color w:val="auto"/>
          <w:highlight w:val="none"/>
        </w:rPr>
      </w:pPr>
      <w:bookmarkStart w:id="27" w:name="_Toc15396608"/>
      <w:bookmarkStart w:id="28"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7"/>
      <w:bookmarkEnd w:id="28"/>
      <w:r>
        <w:rPr>
          <w:rStyle w:val="30"/>
          <w:rFonts w:ascii="Times New Roman" w:hAnsi="Times New Roman" w:eastAsia="黑体"/>
          <w:b w:val="0"/>
          <w:color w:val="auto"/>
          <w:highlight w:val="none"/>
        </w:rPr>
        <w:tab/>
      </w:r>
    </w:p>
    <w:p w14:paraId="61D54DB7">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2025年度一般公共预算财政拨款基本支出480.38万元，其中：</w:t>
      </w:r>
    </w:p>
    <w:p w14:paraId="4F8A3360">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人员经费453.22万元，主要包括：基本工资、津贴补贴、奖金、绩效工资、机关事业单位基本养老保险缴费、职业年金缴费、职工基本医疗保险缴费、公务员医疗补助缴费、其他社会保障缴费、其他工资福利支出、生活补助、奖励金、住房公积金。</w:t>
      </w:r>
    </w:p>
    <w:p w14:paraId="3E630F3C">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公用经费27.17万元，主要包括：办公费、水费、电费、差旅费、劳务费、工会经费、福利费、公务用车运行维护费、其他交通费用、其他商品和服务支出</w:t>
      </w:r>
      <w:r>
        <w:rPr>
          <w:rFonts w:hint="eastAsia" w:ascii="Times New Roman" w:hAnsi="Times New Roman" w:eastAsia="仿宋_GB2312" w:cs="仿宋_GB2312"/>
          <w:color w:val="auto"/>
          <w:kern w:val="2"/>
          <w:sz w:val="32"/>
          <w:szCs w:val="32"/>
          <w:highlight w:val="none"/>
          <w:lang w:val="en-US" w:eastAsia="zh-CN" w:bidi="ar-SA"/>
        </w:rPr>
        <w:t>。</w:t>
      </w:r>
    </w:p>
    <w:p w14:paraId="1B80DD24">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0F4F42B">
      <w:pPr>
        <w:pageBreakBefore w:val="0"/>
        <w:widowControl w:val="0"/>
        <w:kinsoku/>
        <w:wordWrap/>
        <w:overflowPunct/>
        <w:topLinePunct w:val="0"/>
        <w:autoSpaceDE/>
        <w:autoSpaceDN/>
        <w:bidi w:val="0"/>
        <w:spacing w:line="360" w:lineRule="auto"/>
        <w:ind w:firstLine="640" w:firstLineChars="200"/>
        <w:textAlignment w:val="auto"/>
        <w:outlineLvl w:val="1"/>
        <w:rPr>
          <w:rStyle w:val="30"/>
          <w:rFonts w:ascii="Times New Roman" w:hAnsi="Times New Roman" w:eastAsia="黑体"/>
          <w:b w:val="0"/>
          <w:color w:val="auto"/>
          <w:highlight w:val="none"/>
        </w:rPr>
      </w:pPr>
      <w:bookmarkStart w:id="29" w:name="_Toc15377215"/>
      <w:bookmarkStart w:id="30"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29"/>
      <w:bookmarkEnd w:id="30"/>
    </w:p>
    <w:p w14:paraId="522F5360">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1"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1"/>
    </w:p>
    <w:p w14:paraId="5CC912D2">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2025年度财政拨款“三公”经费支出决算为5万元，完成预算100%，较上年度减少0.54万元，下降9.8%。决算数小于预算数（或与预算数持平）的主要原因是本年度无公务接待任务，公务接待费无支出</w:t>
      </w:r>
      <w:r>
        <w:rPr>
          <w:rFonts w:hint="eastAsia" w:ascii="Times New Roman" w:hAnsi="Times New Roman" w:eastAsia="仿宋_GB2312" w:cs="仿宋_GB2312"/>
          <w:color w:val="auto"/>
          <w:kern w:val="2"/>
          <w:sz w:val="32"/>
          <w:szCs w:val="32"/>
          <w:highlight w:val="none"/>
          <w:lang w:val="en-US" w:eastAsia="zh-CN" w:bidi="ar-SA"/>
        </w:rPr>
        <w:t>。</w:t>
      </w:r>
    </w:p>
    <w:p w14:paraId="141051E7">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2"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2"/>
    </w:p>
    <w:p w14:paraId="06C39D64">
      <w:pPr>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2025年度财政拨款“三公”经费支出决算中，因公出国（境）费支出决算0万元，占0%；公务用车购置及运行维护费支出决算5万元，占100%；公务接待费支出决算0万元，占0%。具体情况如下</w:t>
      </w:r>
      <w:r>
        <w:rPr>
          <w:rFonts w:hint="eastAsia" w:ascii="仿宋_GB2312" w:hAnsi="仿宋_GB2312" w:eastAsia="仿宋_GB2312" w:cs="仿宋_GB2312"/>
          <w:color w:val="auto"/>
          <w:kern w:val="2"/>
          <w:sz w:val="32"/>
          <w:szCs w:val="32"/>
          <w:highlight w:val="none"/>
          <w:lang w:val="en-US" w:eastAsia="zh-CN" w:bidi="ar-SA"/>
        </w:rPr>
        <w:t>：</w:t>
      </w:r>
    </w:p>
    <w:p w14:paraId="50525B79">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05F65319">
      <w:pPr>
        <w:pageBreakBefore w:val="0"/>
        <w:widowControl w:val="0"/>
        <w:kinsoku/>
        <w:wordWrap/>
        <w:overflowPunct/>
        <w:topLinePunct w:val="0"/>
        <w:autoSpaceDE/>
        <w:autoSpaceDN/>
        <w:bidi w:val="0"/>
        <w:spacing w:line="360" w:lineRule="auto"/>
        <w:ind w:firstLine="42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drawing>
          <wp:inline distT="0" distB="0" distL="114300" distR="114300">
            <wp:extent cx="4381500" cy="2676525"/>
            <wp:effectExtent l="0" t="0" r="0" b="952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15"/>
                    <a:stretch>
                      <a:fillRect/>
                    </a:stretch>
                  </pic:blipFill>
                  <pic:spPr>
                    <a:xfrm>
                      <a:off x="0" y="0"/>
                      <a:ext cx="4381500" cy="2676525"/>
                    </a:xfrm>
                    <a:prstGeom prst="rect">
                      <a:avLst/>
                    </a:prstGeom>
                    <a:noFill/>
                    <a:ln>
                      <a:noFill/>
                    </a:ln>
                  </pic:spPr>
                </pic:pic>
              </a:graphicData>
            </a:graphic>
          </wp:inline>
        </w:drawing>
      </w:r>
    </w:p>
    <w:p w14:paraId="1C9BE1BD">
      <w:pPr>
        <w:pageBreakBefore w:val="0"/>
        <w:widowControl w:val="0"/>
        <w:kinsoku/>
        <w:wordWrap/>
        <w:overflowPunct/>
        <w:topLinePunct w:val="0"/>
        <w:autoSpaceDE/>
        <w:autoSpaceDN/>
        <w:bidi w:val="0"/>
        <w:spacing w:line="360" w:lineRule="auto"/>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与2024年持平</w:t>
      </w:r>
      <w:r>
        <w:rPr>
          <w:rFonts w:hint="eastAsia" w:ascii="Times New Roman" w:hAnsi="Times New Roman" w:eastAsia="仿宋_GB2312" w:cs="仿宋_GB2312"/>
          <w:color w:val="auto"/>
          <w:kern w:val="2"/>
          <w:sz w:val="32"/>
          <w:szCs w:val="32"/>
          <w:highlight w:val="none"/>
          <w:lang w:val="en-US" w:eastAsia="zh-CN" w:bidi="ar-SA"/>
        </w:rPr>
        <w:t>。</w:t>
      </w:r>
    </w:p>
    <w:p w14:paraId="00A639F9">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14:paraId="31A6DC0D">
      <w:pPr>
        <w:pageBreakBefore w:val="0"/>
        <w:widowControl w:val="0"/>
        <w:kinsoku/>
        <w:wordWrap/>
        <w:overflowPunct/>
        <w:topLinePunct w:val="0"/>
        <w:autoSpaceDE/>
        <w:autoSpaceDN/>
        <w:bidi w:val="0"/>
        <w:spacing w:line="360" w:lineRule="auto"/>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5万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6632207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w:t>
      </w:r>
      <w:r>
        <w:rPr>
          <w:rFonts w:hint="eastAsia"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en-US" w:eastAsia="zh-CN" w:bidi="ar-SA"/>
        </w:rPr>
        <w:t>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07E2733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s="宋体"/>
          <w:color w:val="333333"/>
          <w:kern w:val="0"/>
          <w:sz w:val="32"/>
          <w:szCs w:val="32"/>
        </w:rPr>
        <w:t>保障单位低保入户、养老机构安全检查、流浪乞讨救助</w:t>
      </w:r>
      <w:r>
        <w:rPr>
          <w:rFonts w:hint="eastAsia" w:ascii="仿宋_GB2312" w:eastAsia="仿宋_GB2312"/>
          <w:sz w:val="32"/>
          <w:szCs w:val="32"/>
        </w:rPr>
        <w:t>等所需的公务用车燃料费、维修费、过路过桥费、保险费等支出</w:t>
      </w:r>
      <w:r>
        <w:rPr>
          <w:rFonts w:hint="eastAsia" w:ascii="Times New Roman" w:hAnsi="Times New Roman" w:eastAsia="仿宋_GB2312" w:cs="仿宋_GB2312"/>
          <w:color w:val="auto"/>
          <w:kern w:val="2"/>
          <w:sz w:val="32"/>
          <w:szCs w:val="32"/>
          <w:highlight w:val="none"/>
          <w:lang w:val="en-US" w:eastAsia="zh-CN" w:bidi="ar-SA"/>
        </w:rPr>
        <w:t>。</w:t>
      </w:r>
    </w:p>
    <w:p w14:paraId="4AD08F8B">
      <w:pPr>
        <w:pageBreakBefore w:val="0"/>
        <w:widowControl w:val="0"/>
        <w:kinsoku/>
        <w:wordWrap/>
        <w:overflowPunct/>
        <w:topLinePunct w:val="0"/>
        <w:autoSpaceDE/>
        <w:autoSpaceDN/>
        <w:bidi w:val="0"/>
        <w:spacing w:line="360" w:lineRule="auto"/>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2024年</w:t>
      </w:r>
      <w:r>
        <w:rPr>
          <w:rFonts w:hint="eastAsia" w:ascii="Times New Roman" w:hAnsi="Times New Roman" w:eastAsia="仿宋_GB2312" w:cs="仿宋_GB2312"/>
          <w:color w:val="auto"/>
          <w:kern w:val="2"/>
          <w:sz w:val="32"/>
          <w:szCs w:val="32"/>
          <w:highlight w:val="none"/>
          <w:lang w:val="en-US" w:eastAsia="zh-CN" w:bidi="ar-SA"/>
        </w:rPr>
        <w:t>度</w:t>
      </w:r>
      <w:r>
        <w:rPr>
          <w:rFonts w:hint="eastAsia" w:eastAsia="仿宋_GB2312" w:cs="仿宋_GB2312"/>
          <w:color w:val="auto"/>
          <w:kern w:val="2"/>
          <w:sz w:val="32"/>
          <w:szCs w:val="32"/>
          <w:highlight w:val="none"/>
          <w:lang w:val="en-US" w:eastAsia="zh-CN" w:bidi="ar-SA"/>
        </w:rPr>
        <w:t>减少0.54</w:t>
      </w:r>
      <w:r>
        <w:rPr>
          <w:rFonts w:hint="eastAsia" w:ascii="Times New Roman" w:hAnsi="Times New Roman" w:eastAsia="仿宋_GB2312" w:cs="仿宋_GB2312"/>
          <w:color w:val="auto"/>
          <w:kern w:val="2"/>
          <w:sz w:val="32"/>
          <w:szCs w:val="32"/>
          <w:highlight w:val="none"/>
          <w:lang w:val="en-US" w:eastAsia="zh-CN" w:bidi="ar-SA"/>
        </w:rPr>
        <w:t>万元，</w:t>
      </w:r>
      <w:r>
        <w:rPr>
          <w:rFonts w:ascii="Times New Roman" w:hAnsi="Times New Roman" w:eastAsia="仿宋"/>
          <w:b w:val="0"/>
          <w:color w:val="000000"/>
          <w:sz w:val="32"/>
        </w:rPr>
        <w:t>下降100%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b w:val="0"/>
          <w:color w:val="000000"/>
          <w:sz w:val="32"/>
        </w:rPr>
        <w:t>主要原因是本年度无公务接待任务</w:t>
      </w:r>
      <w:r>
        <w:rPr>
          <w:rFonts w:hint="eastAsia" w:ascii="Times New Roman" w:hAnsi="Times New Roman" w:eastAsia="仿宋_GB2312" w:cs="仿宋_GB2312"/>
          <w:color w:val="auto"/>
          <w:kern w:val="2"/>
          <w:sz w:val="32"/>
          <w:szCs w:val="32"/>
          <w:highlight w:val="none"/>
          <w:lang w:val="en-US" w:eastAsia="zh-CN" w:bidi="ar-SA"/>
        </w:rPr>
        <w:t>。其中：</w:t>
      </w:r>
    </w:p>
    <w:p w14:paraId="66458CB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国内公务接待支出0万元</w:t>
      </w:r>
      <w:r>
        <w:rPr>
          <w:rFonts w:hint="eastAsia" w:ascii="Times New Roman" w:hAnsi="Times New Roman" w:eastAsia="仿宋_GB2312" w:cs="仿宋_GB2312"/>
          <w:color w:val="auto"/>
          <w:kern w:val="2"/>
          <w:sz w:val="32"/>
          <w:szCs w:val="32"/>
          <w:highlight w:val="none"/>
          <w:lang w:val="en-US" w:eastAsia="zh-CN" w:bidi="ar-SA"/>
        </w:rPr>
        <w:t>。</w:t>
      </w:r>
    </w:p>
    <w:p w14:paraId="6862701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78E896D9">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33" w:name="_Toc15396610"/>
      <w:bookmarkStart w:id="34" w:name="_Toc15377218"/>
    </w:p>
    <w:p w14:paraId="17D9DD4E">
      <w:pPr>
        <w:pageBreakBefore w:val="0"/>
        <w:widowControl w:val="0"/>
        <w:kinsoku/>
        <w:wordWrap/>
        <w:overflowPunct/>
        <w:topLinePunct w:val="0"/>
        <w:autoSpaceDE/>
        <w:autoSpaceDN/>
        <w:bidi w:val="0"/>
        <w:spacing w:line="360" w:lineRule="auto"/>
        <w:ind w:firstLine="640" w:firstLineChars="200"/>
        <w:textAlignment w:val="auto"/>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3"/>
      <w:bookmarkEnd w:id="34"/>
    </w:p>
    <w:p w14:paraId="5F8186DB">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2025年度政府性基金预算财政拨款支出156.26万元，占本年支出合计的3.5%。与上年度相比，政府性基金预算财政拨款支出增加74.60万元，增长91.3%。主要变动原因是增加了养老服务业项目支出</w:t>
      </w:r>
      <w:r>
        <w:rPr>
          <w:rFonts w:hint="eastAsia" w:eastAsia="仿宋_GB2312" w:cs="仿宋_GB2312"/>
          <w:color w:val="auto"/>
          <w:kern w:val="2"/>
          <w:sz w:val="32"/>
          <w:szCs w:val="32"/>
          <w:highlight w:val="none"/>
          <w:lang w:val="en-US" w:eastAsia="zh-CN" w:bidi="ar-SA"/>
        </w:rPr>
        <w:t>。</w:t>
      </w:r>
    </w:p>
    <w:p w14:paraId="035E566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5662AB7">
      <w:pPr>
        <w:pageBreakBefore w:val="0"/>
        <w:widowControl w:val="0"/>
        <w:numPr>
          <w:ilvl w:val="0"/>
          <w:numId w:val="0"/>
        </w:numPr>
        <w:kinsoku/>
        <w:wordWrap/>
        <w:overflowPunct/>
        <w:topLinePunct w:val="0"/>
        <w:autoSpaceDE/>
        <w:autoSpaceDN/>
        <w:bidi w:val="0"/>
        <w:spacing w:line="360" w:lineRule="auto"/>
        <w:ind w:left="630" w:leftChars="0" w:firstLine="640" w:firstLineChars="200"/>
        <w:textAlignment w:val="auto"/>
        <w:outlineLvl w:val="1"/>
        <w:rPr>
          <w:rStyle w:val="30"/>
          <w:rFonts w:ascii="Times New Roman" w:hAnsi="Times New Roman" w:eastAsia="黑体"/>
          <w:b w:val="0"/>
          <w:color w:val="auto"/>
          <w:highlight w:val="none"/>
        </w:rPr>
      </w:pPr>
      <w:bookmarkStart w:id="35" w:name="_Toc15377219"/>
      <w:bookmarkStart w:id="36"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5"/>
      <w:bookmarkEnd w:id="36"/>
    </w:p>
    <w:p w14:paraId="6F265097">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59106710">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46AAC6C">
      <w:pPr>
        <w:pageBreakBefore w:val="0"/>
        <w:widowControl w:val="0"/>
        <w:numPr>
          <w:ilvl w:val="0"/>
          <w:numId w:val="0"/>
        </w:numPr>
        <w:kinsoku/>
        <w:wordWrap/>
        <w:overflowPunct/>
        <w:topLinePunct w:val="0"/>
        <w:autoSpaceDE/>
        <w:autoSpaceDN/>
        <w:bidi w:val="0"/>
        <w:spacing w:line="360" w:lineRule="auto"/>
        <w:ind w:left="630" w:leftChars="0" w:firstLine="640" w:firstLineChars="200"/>
        <w:textAlignment w:val="auto"/>
        <w:outlineLvl w:val="1"/>
        <w:rPr>
          <w:rStyle w:val="30"/>
          <w:rFonts w:hint="eastAsia" w:ascii="Times New Roman" w:hAnsi="Times New Roman" w:eastAsia="黑体"/>
          <w:b w:val="0"/>
          <w:color w:val="auto"/>
          <w:highlight w:val="none"/>
        </w:rPr>
      </w:pPr>
      <w:bookmarkStart w:id="37" w:name="_Toc15396612"/>
      <w:bookmarkStart w:id="38"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7"/>
      <w:bookmarkEnd w:id="38"/>
    </w:p>
    <w:p w14:paraId="541EAFEF">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9" w:name="_Toc15377222"/>
      <w:r>
        <w:rPr>
          <w:rFonts w:hint="eastAsia" w:ascii="Times New Roman" w:hAnsi="Times New Roman" w:eastAsia="楷体_GB2312" w:cs="楷体_GB2312"/>
          <w:b/>
          <w:color w:val="auto"/>
          <w:sz w:val="32"/>
          <w:szCs w:val="32"/>
          <w:highlight w:val="none"/>
        </w:rPr>
        <w:t>（一）机关运行经费支出情况</w:t>
      </w:r>
      <w:bookmarkEnd w:id="39"/>
    </w:p>
    <w:p w14:paraId="199C3E5F">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2025年度，攀枝花市西区民政局机关运行经费支出27.17万元，比上年度增加0.69万元，增长2.6%。主要原因是支付了上年度未支付的报刊费</w:t>
      </w:r>
      <w:r>
        <w:rPr>
          <w:rFonts w:hint="eastAsia" w:eastAsia="仿宋_GB2312" w:cs="仿宋_GB2312"/>
          <w:color w:val="auto"/>
          <w:kern w:val="2"/>
          <w:sz w:val="32"/>
          <w:szCs w:val="32"/>
          <w:highlight w:val="none"/>
          <w:lang w:val="en-US" w:eastAsia="zh-CN" w:bidi="ar-SA"/>
        </w:rPr>
        <w:t>。</w:t>
      </w:r>
    </w:p>
    <w:p w14:paraId="0496CCFE">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2D9EEA8">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0" w:name="_Toc15377223"/>
      <w:r>
        <w:rPr>
          <w:rFonts w:hint="eastAsia" w:ascii="Times New Roman" w:hAnsi="Times New Roman" w:eastAsia="楷体_GB2312" w:cs="楷体_GB2312"/>
          <w:b/>
          <w:color w:val="auto"/>
          <w:sz w:val="32"/>
          <w:szCs w:val="32"/>
          <w:highlight w:val="none"/>
        </w:rPr>
        <w:t>（二）政府采购支出情况</w:t>
      </w:r>
      <w:bookmarkEnd w:id="40"/>
    </w:p>
    <w:p w14:paraId="4DE6B772">
      <w:pPr>
        <w:pageBreakBefore w:val="0"/>
        <w:widowControl w:val="0"/>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2025年度，攀枝花市西区民政局政府采购支出总额3.64万元，其中：政府采购货物支出0万元、政府采购工程支出0万元、政府采购服务支出3.64万元。主要用于保障机关日常运转所需的购买服务支出。授予中小企业合同金额3.39万元，占政府采购支出总额的93.1%，其中：授予小微企业合同金额2.11万元，占政府采购支出总额的58.1%</w:t>
      </w:r>
      <w:r>
        <w:rPr>
          <w:rFonts w:hint="eastAsia" w:ascii="仿宋_GB2312" w:hAnsi="仿宋_GB2312" w:eastAsia="仿宋_GB2312" w:cs="仿宋_GB2312"/>
          <w:color w:val="auto"/>
          <w:kern w:val="2"/>
          <w:sz w:val="32"/>
          <w:szCs w:val="32"/>
          <w:highlight w:val="none"/>
          <w:lang w:val="en-US" w:eastAsia="zh-CN" w:bidi="ar-SA"/>
        </w:rPr>
        <w:t>。</w:t>
      </w:r>
    </w:p>
    <w:p w14:paraId="16375116">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60CBE49">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1" w:name="_Toc15377224"/>
      <w:r>
        <w:rPr>
          <w:rFonts w:hint="eastAsia" w:ascii="Times New Roman" w:hAnsi="Times New Roman" w:eastAsia="楷体_GB2312" w:cs="楷体_GB2312"/>
          <w:b/>
          <w:color w:val="auto"/>
          <w:sz w:val="32"/>
          <w:szCs w:val="32"/>
          <w:highlight w:val="none"/>
        </w:rPr>
        <w:t>（三）国有资产占有使用情况</w:t>
      </w:r>
      <w:bookmarkEnd w:id="41"/>
    </w:p>
    <w:p w14:paraId="2DEE1B61">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攀枝花市西区民政局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2CF43C6">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0E0F9FD">
      <w:pPr>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37B68B7">
      <w:pPr>
        <w:keepNext/>
        <w:pageBreakBefore w:val="0"/>
        <w:widowControl w:val="0"/>
        <w:kinsoku/>
        <w:wordWrap/>
        <w:overflowPunct/>
        <w:topLinePunct w:val="0"/>
        <w:autoSpaceDE/>
        <w:autoSpaceDN/>
        <w:bidi w:val="0"/>
        <w:spacing w:before="0" w:after="0" w:line="360" w:lineRule="auto"/>
        <w:ind w:firstLine="640" w:firstLineChars="200"/>
        <w:textAlignment w:val="auto"/>
      </w:pPr>
      <w:r>
        <w:rPr>
          <w:rFonts w:ascii="Times New Roman" w:hAnsi="Times New Roman" w:eastAsia="仿宋"/>
          <w:b w:val="0"/>
          <w:color w:val="000000"/>
          <w:sz w:val="32"/>
        </w:rPr>
        <w:t>根据预算绩效管理要求，本部门在2025年度预算编制阶段，组织对困难群众救助、残疾人两项补贴、高龄长寿补贴、儿童福利等纳入2025年度部门预算的项目开展了预算事前绩效评估，对相关项目编制了绩效目标，预算执行过程中，选取部分项目开展绩效监控。</w:t>
      </w:r>
    </w:p>
    <w:p w14:paraId="0C063A53">
      <w:pPr>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Times New Roman" w:hAnsi="Times New Roman" w:eastAsia="仿宋"/>
          <w:b w:val="0"/>
          <w:color w:val="000000"/>
          <w:sz w:val="32"/>
        </w:rPr>
        <w:t>组织对2025年度一般公共预算、政府性基金预算等全面开展绩效自评，形成西区民政局部门整体（含部门预算项目）绩效自评报告，以及困难群众救助、残疾人两项补贴、高龄长寿补贴、儿童福利、养老服务中心建设等专项预算项目绩效自评报告。绩效自评综述：本部门紧紧围绕区委、区政府中心工作和上级民政部门决策部署，聚焦主责主业，严格落实各项救助政策，2025年度累计保障城乡低保对象21994人次、发放低保金1968.58万元，实施临时救助151人、发放救助金52.48万元，保障特困人员395人次、发放资金64.57万元；按时足额发放困难残疾人生活补贴和重度残疾人护理补贴242.37万元、惠及26222人次，发放高龄津贴415.14万元、惠及老年人6.79万人次；全面落实孤儿、事实无人抚养儿童等基本生活保障，累计发放生活补贴和助学金23.16万元、惠及411人次；西区养老服务中心项目、大宝鼎社区养老服务综合体等养老项目建设稳步推进，民政服务保障能力和水平持续提升。各项目绩效自评得分及绩效自评报告详见附件</w:t>
      </w:r>
      <w:r>
        <w:rPr>
          <w:rFonts w:hint="eastAsia" w:ascii="仿宋_GB2312" w:hAnsi="华文中宋" w:eastAsia="仿宋_GB2312" w:cs="仿宋"/>
          <w:color w:val="000000"/>
          <w:kern w:val="0"/>
          <w:sz w:val="32"/>
          <w:szCs w:val="32"/>
          <w:u w:val="none"/>
          <w:lang w:val="en-US" w:eastAsia="zh-CN" w:bidi="ar-SA"/>
        </w:rPr>
        <w:t>。绩效自评报告详见</w:t>
      </w:r>
      <w:r>
        <w:rPr>
          <w:rFonts w:hint="eastAsia" w:ascii="Times New Roman" w:hAnsi="Times New Roman" w:eastAsia="仿宋_GB2312" w:cs="仿宋_GB2312"/>
          <w:color w:val="auto"/>
          <w:kern w:val="2"/>
          <w:sz w:val="32"/>
          <w:szCs w:val="32"/>
          <w:highlight w:val="none"/>
          <w:lang w:val="en-US" w:eastAsia="zh-CN" w:bidi="ar-SA"/>
        </w:rPr>
        <w:t>附件。</w:t>
      </w:r>
    </w:p>
    <w:p w14:paraId="73EE0570">
      <w:pPr>
        <w:pageBreakBefore w:val="0"/>
        <w:kinsoku/>
        <w:wordWrap/>
        <w:overflowPunct/>
        <w:topLinePunct w:val="0"/>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4991CE57">
      <w:pPr>
        <w:pageBreakBefore w:val="0"/>
        <w:kinsoku/>
        <w:wordWrap/>
        <w:overflowPunct/>
        <w:topLinePunct w:val="0"/>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0BF53D62">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bookmarkStart w:id="42" w:name="_Toc15377225"/>
      <w:bookmarkStart w:id="43" w:name="_Toc15396613"/>
    </w:p>
    <w:p w14:paraId="03D29D3F">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p>
    <w:p w14:paraId="2E7E992E">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p>
    <w:p w14:paraId="5B5C85A6">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p>
    <w:p w14:paraId="57C358B4">
      <w:pPr>
        <w:pageBreakBefore w:val="0"/>
        <w:numPr>
          <w:ilvl w:val="0"/>
          <w:numId w:val="0"/>
        </w:numPr>
        <w:kinsoku/>
        <w:wordWrap/>
        <w:overflowPunct/>
        <w:topLinePunct w:val="0"/>
        <w:bidi w:val="0"/>
        <w:spacing w:line="600" w:lineRule="exact"/>
        <w:jc w:val="both"/>
        <w:textAlignment w:val="auto"/>
        <w:outlineLvl w:val="0"/>
        <w:rPr>
          <w:rFonts w:hint="eastAsia" w:ascii="Times New Roman" w:hAnsi="Times New Roman" w:eastAsia="黑体"/>
          <w:color w:val="auto"/>
          <w:sz w:val="44"/>
          <w:szCs w:val="44"/>
          <w:highlight w:val="none"/>
        </w:rPr>
      </w:pPr>
    </w:p>
    <w:p w14:paraId="7B00F9E0">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p>
    <w:p w14:paraId="4728BFC4">
      <w:pPr>
        <w:pageBreakBefore w:val="0"/>
        <w:numPr>
          <w:ilvl w:val="0"/>
          <w:numId w:val="0"/>
        </w:numPr>
        <w:kinsoku/>
        <w:wordWrap/>
        <w:overflowPunct/>
        <w:topLinePunct w:val="0"/>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2"/>
      <w:bookmarkEnd w:id="43"/>
    </w:p>
    <w:p w14:paraId="76864E60">
      <w:pPr>
        <w:keepNext/>
        <w:spacing w:before="0" w:after="0" w:line="560" w:lineRule="exact"/>
        <w:ind w:firstLine="640" w:firstLineChars="200"/>
      </w:pPr>
      <w:r>
        <w:rPr>
          <w:rFonts w:ascii="Times New Roman" w:hAnsi="Times New Roman" w:eastAsia="仿宋"/>
          <w:b w:val="0"/>
          <w:color w:val="000000"/>
          <w:sz w:val="32"/>
        </w:rPr>
        <w:t>1.财政拨款收入：指单位从同级财政部门取得的财政预算资金。</w:t>
      </w:r>
    </w:p>
    <w:p w14:paraId="5BBECE48">
      <w:pPr>
        <w:keepNext/>
        <w:spacing w:before="0" w:after="0" w:line="560" w:lineRule="exact"/>
        <w:ind w:firstLine="640" w:firstLineChars="200"/>
      </w:pPr>
      <w:r>
        <w:rPr>
          <w:rFonts w:ascii="Times New Roman" w:hAnsi="Times New Roman" w:eastAsia="仿宋"/>
          <w:b w:val="0"/>
          <w:color w:val="000000"/>
          <w:sz w:val="32"/>
        </w:rPr>
        <w:t>2.事业收入：指事业单位开展专业业务活动及辅助活动取得的收入。</w:t>
      </w:r>
    </w:p>
    <w:p w14:paraId="478E0F16">
      <w:pPr>
        <w:keepNext/>
        <w:spacing w:before="0" w:after="0" w:line="560" w:lineRule="exact"/>
        <w:ind w:firstLine="640" w:firstLineChars="200"/>
      </w:pPr>
      <w:r>
        <w:rPr>
          <w:rFonts w:ascii="Times New Roman" w:hAnsi="Times New Roman" w:eastAsia="仿宋"/>
          <w:b w:val="0"/>
          <w:color w:val="000000"/>
          <w:sz w:val="32"/>
        </w:rPr>
        <w:t>3.经营收入：指事业单位在专业业务活动及其辅助活动之外开展非独立核算经营活动取得的收入。</w:t>
      </w:r>
    </w:p>
    <w:p w14:paraId="69C6DED1">
      <w:pPr>
        <w:keepNext/>
        <w:spacing w:before="0" w:after="0" w:line="560" w:lineRule="exact"/>
        <w:ind w:firstLine="640" w:firstLineChars="200"/>
      </w:pPr>
      <w:r>
        <w:rPr>
          <w:rFonts w:ascii="Times New Roman" w:hAnsi="Times New Roman" w:eastAsia="仿宋"/>
          <w:b w:val="0"/>
          <w:color w:val="000000"/>
          <w:sz w:val="32"/>
        </w:rPr>
        <w:t>4.其他收入：指单位取得的除上述收入以外的各项收入。</w:t>
      </w:r>
    </w:p>
    <w:p w14:paraId="43EAE087">
      <w:pPr>
        <w:keepNext/>
        <w:spacing w:before="0" w:after="0" w:line="560" w:lineRule="exact"/>
        <w:ind w:firstLine="640" w:firstLineChars="200"/>
      </w:pPr>
      <w:r>
        <w:rPr>
          <w:rFonts w:ascii="Times New Roman" w:hAnsi="Times New Roman" w:eastAsia="仿宋"/>
          <w:b w:val="0"/>
          <w:color w:val="000000"/>
          <w:sz w:val="32"/>
        </w:rPr>
        <w:t>5.使用非财政拨款结余（含专用结余）：指事业单位使用以前年度积累的非财政拨款结余弥补当年收支差额的金额。</w:t>
      </w:r>
    </w:p>
    <w:p w14:paraId="26F2DB80">
      <w:pPr>
        <w:keepNext/>
        <w:spacing w:before="0" w:after="0" w:line="560" w:lineRule="exact"/>
        <w:ind w:firstLine="640" w:firstLineChars="200"/>
      </w:pPr>
      <w:r>
        <w:rPr>
          <w:rFonts w:ascii="Times New Roman" w:hAnsi="Times New Roman" w:eastAsia="仿宋"/>
          <w:b w:val="0"/>
          <w:color w:val="000000"/>
          <w:sz w:val="32"/>
        </w:rPr>
        <w:t>6.年初结转和结余：指以前年度尚未完成、结转到本年按有关规定继续使用的资金。</w:t>
      </w:r>
    </w:p>
    <w:p w14:paraId="212698E0">
      <w:pPr>
        <w:keepNext/>
        <w:spacing w:before="0" w:after="0" w:line="560" w:lineRule="exact"/>
        <w:ind w:firstLine="640" w:firstLineChars="200"/>
      </w:pPr>
      <w:r>
        <w:rPr>
          <w:rFonts w:ascii="Times New Roman" w:hAnsi="Times New Roman" w:eastAsia="仿宋"/>
          <w:b w:val="0"/>
          <w:color w:val="000000"/>
          <w:sz w:val="32"/>
        </w:rPr>
        <w:t>7.结余分配：指事业单位按照会计制度规定缴纳的所得税、提取的专用结余以及转入非财政拨款结余的金额等。</w:t>
      </w:r>
    </w:p>
    <w:p w14:paraId="7ADCF22A">
      <w:pPr>
        <w:keepNext/>
        <w:spacing w:before="0" w:after="0" w:line="560" w:lineRule="exact"/>
        <w:ind w:firstLine="640" w:firstLineChars="200"/>
      </w:pPr>
      <w:r>
        <w:rPr>
          <w:rFonts w:ascii="Times New Roman" w:hAnsi="Times New Roman" w:eastAsia="仿宋"/>
          <w:b w:val="0"/>
          <w:color w:val="000000"/>
          <w:sz w:val="32"/>
        </w:rPr>
        <w:t>8.年末结转和结余：指单位按有关规定结转到下年或以后年度继续使用的资金。</w:t>
      </w:r>
    </w:p>
    <w:p w14:paraId="48A48D8B">
      <w:pPr>
        <w:keepNext/>
        <w:spacing w:before="0" w:after="0" w:line="560" w:lineRule="exact"/>
        <w:ind w:firstLine="640" w:firstLineChars="200"/>
      </w:pPr>
      <w:r>
        <w:rPr>
          <w:rFonts w:ascii="Times New Roman" w:hAnsi="Times New Roman" w:eastAsia="仿宋"/>
          <w:b w:val="0"/>
          <w:color w:val="000000"/>
          <w:sz w:val="32"/>
        </w:rPr>
        <w:t>9.社会保障和就业支出（类）民政管理事务（款）行政运行（项）：指行政单位（包括实行公务员管理的事业单位）的基本支出。</w:t>
      </w:r>
    </w:p>
    <w:p w14:paraId="6F3322AB">
      <w:pPr>
        <w:keepNext/>
        <w:spacing w:before="0" w:after="0" w:line="560" w:lineRule="exact"/>
        <w:ind w:firstLine="640" w:firstLineChars="200"/>
      </w:pPr>
      <w:r>
        <w:rPr>
          <w:rFonts w:ascii="Times New Roman" w:hAnsi="Times New Roman" w:eastAsia="仿宋"/>
          <w:b w:val="0"/>
          <w:color w:val="000000"/>
          <w:sz w:val="32"/>
        </w:rPr>
        <w:t>10.社会保障和就业支出（类）民政管理事务（款）其他民政管理事务支出（项）：反映除上述项目以外其他用于民政管理事务的支出。</w:t>
      </w:r>
    </w:p>
    <w:p w14:paraId="225E8C84">
      <w:pPr>
        <w:keepNext/>
        <w:spacing w:before="0" w:after="0" w:line="560" w:lineRule="exact"/>
        <w:ind w:firstLine="640" w:firstLineChars="200"/>
      </w:pPr>
      <w:r>
        <w:rPr>
          <w:rFonts w:ascii="Times New Roman" w:hAnsi="Times New Roman" w:eastAsia="仿宋"/>
          <w:b w:val="0"/>
          <w:color w:val="000000"/>
          <w:sz w:val="32"/>
        </w:rPr>
        <w:t>11.社会保障和就业支出（类）行政事业单位养老支出（款）行政单位离退休（项）：指行政单位（包括实行公务员管理的事业单位）开支的离退休支出。</w:t>
      </w:r>
    </w:p>
    <w:p w14:paraId="7694CA59">
      <w:pPr>
        <w:keepNext/>
        <w:spacing w:before="0" w:after="0" w:line="560" w:lineRule="exact"/>
        <w:ind w:firstLine="640" w:firstLineChars="200"/>
      </w:pPr>
      <w:r>
        <w:rPr>
          <w:rFonts w:ascii="Times New Roman" w:hAnsi="Times New Roman" w:eastAsia="仿宋"/>
          <w:b w:val="0"/>
          <w:color w:val="000000"/>
          <w:sz w:val="32"/>
        </w:rPr>
        <w:t>12.社会保障和就业支出（类）行政事业单位养老支出（款）事业单位离退休（项）：反映事业单位开支的离退休经费。</w:t>
      </w:r>
    </w:p>
    <w:p w14:paraId="79FE2245">
      <w:pPr>
        <w:keepNext/>
        <w:spacing w:before="0" w:after="0" w:line="560" w:lineRule="exact"/>
        <w:ind w:firstLine="640" w:firstLineChars="200"/>
      </w:pPr>
      <w:r>
        <w:rPr>
          <w:rFonts w:ascii="Times New Roman" w:hAnsi="Times New Roman" w:eastAsia="仿宋"/>
          <w:b w:val="0"/>
          <w:color w:val="000000"/>
          <w:sz w:val="32"/>
        </w:rPr>
        <w:t>13.社会保障和就业支出（类）行政事业单位养老支出（款）机关事业单位基本养老保险缴费支出（项）：指机关事业单位实施养老保险制度由单位缴纳的基本养老保险费支出。</w:t>
      </w:r>
    </w:p>
    <w:p w14:paraId="46F8DDAC">
      <w:pPr>
        <w:keepNext/>
        <w:spacing w:before="0" w:after="0" w:line="560" w:lineRule="exact"/>
        <w:ind w:firstLine="640" w:firstLineChars="200"/>
      </w:pPr>
      <w:r>
        <w:rPr>
          <w:rFonts w:ascii="Times New Roman" w:hAnsi="Times New Roman" w:eastAsia="仿宋"/>
          <w:b w:val="0"/>
          <w:color w:val="000000"/>
          <w:sz w:val="32"/>
        </w:rPr>
        <w:t>14.社会保障和就业支出（类）行政事业单位养老支出（款）机关事业单位职业年金缴费支出（项）：反映机关事业单位实施养老保险制度由单位实际缴纳的职业年金支出。</w:t>
      </w:r>
    </w:p>
    <w:p w14:paraId="20BD01CA">
      <w:pPr>
        <w:keepNext/>
        <w:spacing w:before="0" w:after="0" w:line="560" w:lineRule="exact"/>
        <w:ind w:firstLine="640" w:firstLineChars="200"/>
      </w:pPr>
      <w:r>
        <w:rPr>
          <w:rFonts w:ascii="Times New Roman" w:hAnsi="Times New Roman" w:eastAsia="仿宋"/>
          <w:b w:val="0"/>
          <w:color w:val="000000"/>
          <w:sz w:val="32"/>
        </w:rPr>
        <w:t>15.社会保障和就业支出（类）社会福利（款）儿童福利（项）：反映对儿童提供福利服务方面的支出。</w:t>
      </w:r>
    </w:p>
    <w:p w14:paraId="7726D7C2">
      <w:pPr>
        <w:keepNext/>
        <w:spacing w:before="0" w:after="0" w:line="560" w:lineRule="exact"/>
        <w:ind w:firstLine="640" w:firstLineChars="200"/>
      </w:pPr>
      <w:r>
        <w:rPr>
          <w:rFonts w:ascii="Times New Roman" w:hAnsi="Times New Roman" w:eastAsia="仿宋"/>
          <w:b w:val="0"/>
          <w:color w:val="000000"/>
          <w:sz w:val="32"/>
        </w:rPr>
        <w:t>16.社会保障和就业支出（类）社会福利（款）老年福利（项）：反映对老年人提供福利服务方面的支出，包括为经济困难的高龄、失能等老年人提供基本养老服务保障的资金补助等支出。</w:t>
      </w:r>
    </w:p>
    <w:p w14:paraId="5BF506C1">
      <w:pPr>
        <w:keepNext/>
        <w:spacing w:before="0" w:after="0" w:line="560" w:lineRule="exact"/>
        <w:ind w:firstLine="640" w:firstLineChars="200"/>
      </w:pPr>
      <w:r>
        <w:rPr>
          <w:rFonts w:ascii="Times New Roman" w:hAnsi="Times New Roman" w:eastAsia="仿宋"/>
          <w:b w:val="0"/>
          <w:color w:val="000000"/>
          <w:sz w:val="32"/>
        </w:rPr>
        <w:t>17.社会保障和就业支出（类）社会福利（款）殡葬（项）：反映殡葬管理和殡葬服务方面的支出，包括民政部门直属的殡仪馆、公墓、殡葬管理服务机构的支出。</w:t>
      </w:r>
    </w:p>
    <w:p w14:paraId="10EB02ED">
      <w:pPr>
        <w:keepNext/>
        <w:spacing w:before="0" w:after="0" w:line="560" w:lineRule="exact"/>
        <w:ind w:firstLine="640" w:firstLineChars="200"/>
      </w:pPr>
      <w:r>
        <w:rPr>
          <w:rFonts w:ascii="Times New Roman" w:hAnsi="Times New Roman" w:eastAsia="仿宋"/>
          <w:b w:val="0"/>
          <w:color w:val="000000"/>
          <w:sz w:val="32"/>
        </w:rPr>
        <w:t>18.社会保障和就业支出（类）社会福利（款）养老服务（项）：反映财政在养老服务方面的补助支出，包括支持居家养老服务、社区养老服务和机构养老服务的支出，对养老服务机构的运营、建设补助支出等，不包括对社会福利事业单位的补助支出。</w:t>
      </w:r>
    </w:p>
    <w:p w14:paraId="6342AD5C">
      <w:pPr>
        <w:keepNext/>
        <w:spacing w:before="0" w:after="0" w:line="560" w:lineRule="exact"/>
        <w:ind w:firstLine="640" w:firstLineChars="200"/>
      </w:pPr>
      <w:r>
        <w:rPr>
          <w:rFonts w:ascii="Times New Roman" w:hAnsi="Times New Roman" w:eastAsia="仿宋"/>
          <w:b w:val="0"/>
          <w:color w:val="000000"/>
          <w:sz w:val="32"/>
        </w:rPr>
        <w:t>19.社会保障和就业支出（类）社会福利（款）其他社会福利支出（项）：反映除上述项目以外其他用于社会福利方面的支出。</w:t>
      </w:r>
    </w:p>
    <w:p w14:paraId="7323C011">
      <w:pPr>
        <w:keepNext/>
        <w:spacing w:before="0" w:after="0" w:line="560" w:lineRule="exact"/>
        <w:ind w:firstLine="640" w:firstLineChars="200"/>
      </w:pPr>
      <w:r>
        <w:rPr>
          <w:rFonts w:ascii="Times New Roman" w:hAnsi="Times New Roman" w:eastAsia="仿宋"/>
          <w:b w:val="0"/>
          <w:color w:val="000000"/>
          <w:sz w:val="32"/>
        </w:rPr>
        <w:t>20.社会保障和就业支出（类）残疾人事业（款）残疾人生活和护理补贴（项）：反映困难残疾人生活补贴和重度残疾人护理补贴支出。</w:t>
      </w:r>
    </w:p>
    <w:p w14:paraId="44F8C90C">
      <w:pPr>
        <w:keepNext/>
        <w:spacing w:before="0" w:after="0" w:line="560" w:lineRule="exact"/>
        <w:ind w:firstLine="640" w:firstLineChars="200"/>
      </w:pPr>
      <w:r>
        <w:rPr>
          <w:rFonts w:ascii="Times New Roman" w:hAnsi="Times New Roman" w:eastAsia="仿宋"/>
          <w:b w:val="0"/>
          <w:color w:val="000000"/>
          <w:sz w:val="32"/>
        </w:rPr>
        <w:t>21.社会保障和就业支出（类）其他社会保障和就业支出（款）其他社会保障和就业支出（项）：反映除上述项目以外其他用于社会保障和就业方面的支出。</w:t>
      </w:r>
    </w:p>
    <w:p w14:paraId="26FFC520">
      <w:pPr>
        <w:keepNext/>
        <w:spacing w:before="0" w:after="0" w:line="560" w:lineRule="exact"/>
        <w:ind w:firstLine="640" w:firstLineChars="200"/>
      </w:pPr>
      <w:r>
        <w:rPr>
          <w:rFonts w:ascii="Times New Roman" w:hAnsi="Times New Roman" w:eastAsia="仿宋"/>
          <w:b w:val="0"/>
          <w:color w:val="000000"/>
          <w:sz w:val="32"/>
        </w:rPr>
        <w:t>22.卫生健康支出（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w:t>
      </w:r>
    </w:p>
    <w:p w14:paraId="3A5F27ED">
      <w:pPr>
        <w:keepNext/>
        <w:spacing w:before="0" w:after="0" w:line="560" w:lineRule="exact"/>
        <w:ind w:firstLine="640" w:firstLineChars="200"/>
      </w:pPr>
      <w:r>
        <w:rPr>
          <w:rFonts w:ascii="Times New Roman" w:hAnsi="Times New Roman" w:eastAsia="仿宋"/>
          <w:b w:val="0"/>
          <w:color w:val="000000"/>
          <w:sz w:val="32"/>
        </w:rPr>
        <w:t>23.卫生健康支出（类）行政事业单位医疗（款）事业单位医疗（项）：反映财政部门安排的事业单位基本医疗保险缴费经费，未参加医疗保险的事业单位的公费医疗经费，按国家规定享受离休人员待遇的医疗经费。</w:t>
      </w:r>
    </w:p>
    <w:p w14:paraId="6A069199">
      <w:pPr>
        <w:keepNext/>
        <w:spacing w:before="0" w:after="0" w:line="560" w:lineRule="exact"/>
        <w:ind w:firstLine="640" w:firstLineChars="200"/>
      </w:pPr>
      <w:r>
        <w:rPr>
          <w:rFonts w:ascii="Times New Roman" w:hAnsi="Times New Roman" w:eastAsia="仿宋"/>
          <w:b w:val="0"/>
          <w:color w:val="000000"/>
          <w:sz w:val="32"/>
        </w:rPr>
        <w:t>24.卫生健康支出（类）行政事业单位医疗（款）公务员医疗补助（项）：反映财政部门安排的公务员医疗补助经费。</w:t>
      </w:r>
    </w:p>
    <w:p w14:paraId="028F2543">
      <w:pPr>
        <w:keepNext/>
        <w:spacing w:before="0" w:after="0" w:line="560" w:lineRule="exact"/>
        <w:ind w:firstLine="640" w:firstLineChars="200"/>
      </w:pPr>
      <w:r>
        <w:rPr>
          <w:rFonts w:ascii="Times New Roman" w:hAnsi="Times New Roman" w:eastAsia="仿宋"/>
          <w:b w:val="0"/>
          <w:color w:val="000000"/>
          <w:sz w:val="32"/>
        </w:rPr>
        <w:t>25.卫生健康支出（类）行政事业单位医疗（款）其他行政事业单位医疗支出（项）：反映除上述项目以外的其他用于行政事业单位医疗方面的支出。</w:t>
      </w:r>
    </w:p>
    <w:p w14:paraId="62022037">
      <w:pPr>
        <w:keepNext/>
        <w:spacing w:before="0" w:after="0" w:line="560" w:lineRule="exact"/>
        <w:ind w:firstLine="640" w:firstLineChars="200"/>
      </w:pPr>
      <w:r>
        <w:rPr>
          <w:rFonts w:ascii="Times New Roman" w:hAnsi="Times New Roman" w:eastAsia="仿宋"/>
          <w:b w:val="0"/>
          <w:color w:val="000000"/>
          <w:sz w:val="32"/>
        </w:rPr>
        <w:t>26.城乡社区支出（类）国有土地使用权出让收入安排的支出（款）土地开发支出（项）：反映地方政府用于前期土地开发性支出以及与前期土地开发相关的费用等支出。</w:t>
      </w:r>
    </w:p>
    <w:p w14:paraId="5E1DFBC6">
      <w:pPr>
        <w:keepNext/>
        <w:spacing w:before="0" w:after="0" w:line="560" w:lineRule="exact"/>
        <w:ind w:firstLine="640" w:firstLineChars="200"/>
      </w:pPr>
      <w:r>
        <w:rPr>
          <w:rFonts w:ascii="Times New Roman" w:hAnsi="Times New Roman" w:eastAsia="仿宋"/>
          <w:b w:val="0"/>
          <w:color w:val="000000"/>
          <w:sz w:val="32"/>
        </w:rPr>
        <w:t>27.住房保障支出（类）住房改革支出（款）住房公积金（项）：指行政事业单位按人力资源和社会保障部、财政部规定的基本工资和津贴补贴以及规定比例为职工缴纳的住房公积金。</w:t>
      </w:r>
    </w:p>
    <w:p w14:paraId="74CA6380">
      <w:pPr>
        <w:keepNext/>
        <w:spacing w:before="0" w:after="0" w:line="560" w:lineRule="exact"/>
        <w:ind w:firstLine="640" w:firstLineChars="200"/>
      </w:pPr>
      <w:r>
        <w:rPr>
          <w:rFonts w:ascii="Times New Roman" w:hAnsi="Times New Roman" w:eastAsia="仿宋"/>
          <w:b w:val="0"/>
          <w:color w:val="000000"/>
          <w:sz w:val="32"/>
        </w:rPr>
        <w:t>28.其他支出（类）彩票公益金安排的支出（款）用于社会福利的彩票公益金支出（项）：反映用于社会福利和社会救助的彩票公益金支出。</w:t>
      </w:r>
    </w:p>
    <w:p w14:paraId="0C99568B">
      <w:pPr>
        <w:keepNext/>
        <w:spacing w:before="0" w:after="0" w:line="560" w:lineRule="exact"/>
        <w:ind w:firstLine="640" w:firstLineChars="200"/>
      </w:pPr>
      <w:r>
        <w:rPr>
          <w:rFonts w:ascii="Times New Roman" w:hAnsi="Times New Roman" w:eastAsia="仿宋"/>
          <w:b w:val="0"/>
          <w:color w:val="000000"/>
          <w:sz w:val="32"/>
        </w:rPr>
        <w:t>29.基本支出：指为保障机构正常运转、完成日常工作任务而发生的人员支出和公用支出。</w:t>
      </w:r>
    </w:p>
    <w:p w14:paraId="5BACD9F6">
      <w:pPr>
        <w:keepNext/>
        <w:spacing w:before="0" w:after="0" w:line="560" w:lineRule="exact"/>
        <w:ind w:firstLine="640" w:firstLineChars="200"/>
      </w:pPr>
      <w:r>
        <w:rPr>
          <w:rFonts w:ascii="Times New Roman" w:hAnsi="Times New Roman" w:eastAsia="仿宋"/>
          <w:b w:val="0"/>
          <w:color w:val="000000"/>
          <w:sz w:val="32"/>
        </w:rPr>
        <w:t>30.项目支出：指在基本支出之外为完成特定行政任务和事业发展目标所发生的支出。</w:t>
      </w:r>
    </w:p>
    <w:p w14:paraId="616E2F23">
      <w:pPr>
        <w:keepNext/>
        <w:spacing w:before="0" w:after="0" w:line="560" w:lineRule="exact"/>
        <w:ind w:firstLine="640" w:firstLineChars="200"/>
      </w:pPr>
      <w:r>
        <w:rPr>
          <w:rFonts w:ascii="Times New Roman" w:hAnsi="Times New Roman" w:eastAsia="仿宋"/>
          <w:b w:val="0"/>
          <w:color w:val="000000"/>
          <w:sz w:val="32"/>
        </w:rPr>
        <w:t>31.经营支出：指事业单位在专业业务活动及其辅助活动之外开展非独立核算经营活动发生的支出。</w:t>
      </w:r>
    </w:p>
    <w:p w14:paraId="6EC06DCF">
      <w:pPr>
        <w:keepNext/>
        <w:spacing w:before="0" w:after="0" w:line="560" w:lineRule="exact"/>
        <w:ind w:firstLine="640" w:firstLineChars="200"/>
      </w:pPr>
      <w:r>
        <w:rPr>
          <w:rFonts w:ascii="Times New Roman" w:hAnsi="Times New Roman" w:eastAsia="仿宋"/>
          <w:b w:val="0"/>
          <w:color w:val="000000"/>
          <w:sz w:val="32"/>
        </w:rPr>
        <w:t>32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CED76B8">
      <w:pPr>
        <w:pageBreakBefore w:val="0"/>
        <w:kinsoku/>
        <w:wordWrap/>
        <w:overflowPunct/>
        <w:topLinePunct w:val="0"/>
        <w:bidi w:val="0"/>
        <w:spacing w:line="600" w:lineRule="exact"/>
        <w:ind w:firstLine="480" w:firstLineChars="150"/>
        <w:textAlignment w:val="auto"/>
        <w:rPr>
          <w:rFonts w:ascii="仿宋_GB2312" w:eastAsia="仿宋_GB2312"/>
          <w:color w:val="auto"/>
          <w:sz w:val="32"/>
          <w:szCs w:val="32"/>
          <w:highlight w:val="none"/>
        </w:rPr>
      </w:pPr>
      <w:r>
        <w:rPr>
          <w:rFonts w:ascii="Times New Roman" w:hAnsi="Times New Roman" w:eastAsia="仿宋"/>
          <w:b w:val="0"/>
          <w:color w:val="000000"/>
          <w:sz w:val="32"/>
        </w:rPr>
        <w:t>33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color w:val="auto"/>
          <w:sz w:val="32"/>
          <w:szCs w:val="32"/>
          <w:highlight w:val="none"/>
        </w:rPr>
        <w:t>。</w:t>
      </w:r>
    </w:p>
    <w:p w14:paraId="73C0BE53">
      <w:pPr>
        <w:pageBreakBefore w:val="0"/>
        <w:kinsoku/>
        <w:wordWrap/>
        <w:overflowPunct/>
        <w:topLinePunct w:val="0"/>
        <w:bidi w:val="0"/>
        <w:spacing w:line="600" w:lineRule="exact"/>
        <w:ind w:firstLine="482" w:firstLineChars="150"/>
        <w:textAlignment w:val="auto"/>
        <w:rPr>
          <w:rFonts w:hint="eastAsia" w:ascii="Times New Roman" w:hAnsi="Times New Roman" w:eastAsia="仿宋_GB2312" w:cs="仿宋_GB2312"/>
          <w:b/>
          <w:bCs/>
          <w:color w:val="auto"/>
          <w:kern w:val="2"/>
          <w:sz w:val="32"/>
          <w:szCs w:val="32"/>
          <w:highlight w:val="none"/>
          <w:lang w:val="en-US" w:eastAsia="zh-CN" w:bidi="ar-SA"/>
        </w:rPr>
      </w:pPr>
    </w:p>
    <w:p w14:paraId="12B7F491">
      <w:pPr>
        <w:spacing w:line="600" w:lineRule="exact"/>
        <w:jc w:val="center"/>
        <w:rPr>
          <w:rStyle w:val="29"/>
          <w:rFonts w:hint="eastAsia" w:ascii="Times New Roman" w:hAnsi="Times New Roman" w:eastAsia="黑体"/>
          <w:b w:val="0"/>
          <w:color w:val="auto"/>
          <w:highlight w:val="none"/>
          <w:lang w:eastAsia="zh-CN"/>
        </w:rPr>
      </w:pPr>
      <w:bookmarkStart w:id="44"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5"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6E4BBCF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131EDC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321504E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185627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2C5963F0">
      <w:pPr>
        <w:keepNext w:val="0"/>
        <w:keepLines w:val="0"/>
        <w:pageBreakBefore w:val="0"/>
        <w:widowControl w:val="0"/>
        <w:kinsoku/>
        <w:wordWrap/>
        <w:overflowPunct/>
        <w:topLinePunct w:val="0"/>
        <w:autoSpaceDE/>
        <w:autoSpaceDN/>
        <w:bidi w:val="0"/>
        <w:spacing w:line="600" w:lineRule="exact"/>
        <w:ind w:firstLine="480" w:firstLineChars="150"/>
        <w:jc w:val="center"/>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highlight w:val="none"/>
          <w:shd w:val="clear" w:color="auto" w:fill="FFFFFF"/>
        </w:rPr>
        <w:t>（报告范围包括机关和下属单位）</w:t>
      </w:r>
    </w:p>
    <w:p w14:paraId="38C41C83">
      <w:pPr>
        <w:pStyle w:val="6"/>
        <w:pageBreakBefore w:val="0"/>
        <w:kinsoku/>
        <w:wordWrap/>
        <w:overflowPunct/>
        <w:topLinePunct w:val="0"/>
        <w:autoSpaceDE/>
        <w:autoSpaceDN/>
        <w:bidi w:val="0"/>
        <w:spacing w:line="360" w:lineRule="auto"/>
        <w:ind w:firstLine="640" w:firstLineChars="200"/>
        <w:textAlignment w:val="auto"/>
        <w:rPr>
          <w:rFonts w:hint="eastAsia" w:ascii="Times New Roman" w:hAnsi="Times New Roman" w:eastAsia="黑体"/>
          <w:b w:val="0"/>
          <w:color w:val="auto"/>
          <w:highlight w:val="none"/>
        </w:rPr>
      </w:pPr>
      <w:r>
        <w:rPr>
          <w:rFonts w:hint="eastAsia" w:ascii="Times New Roman" w:hAnsi="Times New Roman" w:eastAsia="黑体"/>
          <w:b w:val="0"/>
          <w:color w:val="auto"/>
          <w:highlight w:val="none"/>
          <w:lang w:val="zh-CN"/>
        </w:rPr>
        <w:t>一、部门（单位）基本情况</w:t>
      </w:r>
    </w:p>
    <w:p w14:paraId="555F2FFB">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zh-CN" w:eastAsia="zh-CN"/>
        </w:rPr>
        <w:t>（一）机构组成。</w:t>
      </w:r>
    </w:p>
    <w:p w14:paraId="485D6CE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西区民政局</w:t>
      </w:r>
      <w:r>
        <w:rPr>
          <w:rFonts w:hint="eastAsia" w:ascii="仿宋_GB2312" w:hAnsi="仿宋_GB2312" w:eastAsia="仿宋_GB2312" w:cs="仿宋_GB2312"/>
          <w:b w:val="0"/>
          <w:bCs w:val="0"/>
          <w:sz w:val="32"/>
          <w:szCs w:val="32"/>
          <w:lang w:val="en-US" w:eastAsia="zh-CN"/>
        </w:rPr>
        <w:t>内设股室4个，下属二级单位2个，其中行政单位1个，西区民政局，参照公务员法管理的事业单位1个，其他事业单位1个，西区老龄健康服务中心、西区城乡最低生活保障中心。</w:t>
      </w:r>
    </w:p>
    <w:p w14:paraId="6DCE40D1">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（二）机构职能。</w:t>
      </w:r>
    </w:p>
    <w:p w14:paraId="71C2C5E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en-US" w:eastAsia="zh-CN"/>
        </w:rPr>
        <w:t>西区民政局的主要职责：贯彻执行党和国家有关民政工作的方针政策和法律法规；拟订全区民政事业发展政策、规划并组织实施和监督检查。负责区属社会团体和社会服务机构的审核、登记和年度检查；监督社会团体和社会服务机构活动；查处社会团体和社会服务机构的违法行为和未经登记以社会团体和社会服务机构名义开展活动的非法组织。组织拟订全区社会救助规划、政策和标准，健全社会救助体系，监督指导区城乡最低生活保障中心实施城乡居民最低生活保障、临时救助、城市低收入家庭收入核定的管理等业务工作。负责特困人员救助供养、生活无着流浪乞讨人员救助工作。贯彻落实城乡基层群众自治建设和社区治理政策；推动基层民主政治建设。贯彻实施村（居）民委员会组织法，指导村（居）民委员会民主选举、民主决策、民主管理和民主监督工作；加强村（居）民委员会的组织建设、制度建设、负责村（居）民委员会干部培训。负责全区行政区域规划、调整、更名及变更工作；负责全区地名命名、更名的审核报批；负责行政区域界线的勘定、维护管理及边界争议的调查和调处。组织实施婚姻管理政策，推进婚俗改革。组织实施殡葬管理政策，负责殡葬管理工作，推进殡葬改革。拟订社会福利事业发展规划；组织实施社会福利机构管理办法；贯彻残疾人权益保护政策；负责康复辅助器具行业管理，协调推进残疾人福利制度建设和康复辅助器具产业发展。统筹推进、督促指导、监督管理养老服务工作，拟定养老服务体系建设规划、政策并组织实施，承担老年人福利和特殊困难老年人救助工作，协调推进农村留守老年人关爱服务工作，承担城乡老年社会组织管理工作。贯彻落实儿童福利、孤弃儿童保障、儿童收养、儿童救助保护政策、标准、协调推进全区农村留守儿童关爱服务体系和困境儿童保障制度建设。贯彻执行促进慈善事业发展政策，指导社会捐助工作。贯彻落实社会工作、志愿服务政策和标准，会同有关部门推进社会工作人才队伍建设和相关志愿队伍建设。依法依规履行康复辅助器具行业和社会福利、养老服务、殡葬服务、救助管理机构安全生产监督管理工作。完成区委、区政府交办的其他任务。负责职责范围内的职业健康、生态环境保护、审批服务便民化等工作。职能转变。民政方面应强化基本民生保障职能，为困难群众、孤老孤残孤儿等特殊群体提供基本社会服务。积极培育社会组织、社会工作者等多元参与主体，推动搭建基层社会治理和社区公共服务平台。有关职责分工。与区卫生健康局的有关职责分工。区民政局负责统筹推进、督促指导、监督管理养老服务工作，拟订养老服务体系建设规划、政策、标准并组织实施，承担老年人福利和特殊困难老年人救助工作。区卫生健康局负责拟订应对人口老龄化、医养结合政策措施，综合协调、督促指导、组织推进老龄健康事业发展，承担老年疾病防治、老年人医疗照护、老年人心理健康与关怀服务等老年健康工作。</w:t>
      </w:r>
    </w:p>
    <w:p w14:paraId="583022DF">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（三）人员概况。</w:t>
      </w:r>
    </w:p>
    <w:p w14:paraId="4166E651">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eastAsia="黑体"/>
          <w:color w:val="000000"/>
          <w:kern w:val="0"/>
          <w:szCs w:val="32"/>
          <w:shd w:val="clear" w:color="auto" w:fill="FFFFFF"/>
        </w:rPr>
      </w:pPr>
      <w:r>
        <w:rPr>
          <w:rFonts w:hint="eastAsia" w:ascii="仿宋_GB2312" w:hAnsi="仿宋_GB2312" w:eastAsia="仿宋_GB2312" w:cs="仿宋_GB2312"/>
          <w:b w:val="0"/>
          <w:bCs w:val="0"/>
          <w:sz w:val="32"/>
          <w:szCs w:val="32"/>
          <w:lang w:val="en-US" w:eastAsia="zh-CN"/>
        </w:rPr>
        <w:t>2025年末，西区民政局实有人数45人（含三支一扶岗位人员14人、专职社会工作者12人），与上年度相比在职人员减少2人、新增三支一扶岗位人员14人、专职社会工作者12人。</w:t>
      </w:r>
    </w:p>
    <w:p w14:paraId="1981DA81">
      <w:pPr>
        <w:pStyle w:val="6"/>
        <w:pageBreakBefore w:val="0"/>
        <w:kinsoku/>
        <w:wordWrap/>
        <w:overflowPunct/>
        <w:topLinePunct w:val="0"/>
        <w:autoSpaceDE/>
        <w:autoSpaceDN/>
        <w:bidi w:val="0"/>
        <w:spacing w:line="360" w:lineRule="auto"/>
        <w:ind w:firstLine="640" w:firstLineChars="200"/>
        <w:textAlignment w:val="auto"/>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二、部门资金收支情况</w:t>
      </w:r>
    </w:p>
    <w:p w14:paraId="70F9D9FA">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（一）收入情况。</w:t>
      </w:r>
    </w:p>
    <w:p w14:paraId="3930F7F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2025年度，西区民政局全年预算收入4482.11万元。其中：一般公共预算财政拨款收入4325.85万元，占96.51%；政府性基金预算财政拨款收入156.26万元，占3.49%</w:t>
      </w:r>
      <w:r>
        <w:rPr>
          <w:rFonts w:hint="eastAsia" w:ascii="仿宋_GB2312" w:hAnsi="仿宋_GB2312" w:eastAsia="仿宋_GB2312" w:cs="仿宋_GB2312"/>
          <w:b w:val="0"/>
          <w:bCs w:val="0"/>
          <w:sz w:val="32"/>
          <w:szCs w:val="32"/>
          <w:lang w:val="zh-CN" w:eastAsia="zh-CN"/>
        </w:rPr>
        <w:t>。与2024年相比，2024年收支合计3376.78万元，其中一般公共预算财政拨款收入3230.7万元，政府性基金预算财政拨款收入146.07万元，增加3397.41万元，增长100.61%。主要原因是困难群众、高龄津贴等项目经费增加</w:t>
      </w:r>
      <w:r>
        <w:rPr>
          <w:rFonts w:hint="eastAsia" w:ascii="仿宋_GB2312" w:hAnsi="仿宋_GB2312" w:eastAsia="仿宋_GB2312" w:cs="仿宋_GB2312"/>
          <w:b w:val="0"/>
          <w:bCs w:val="0"/>
          <w:sz w:val="32"/>
          <w:szCs w:val="32"/>
          <w:lang w:val="en-US" w:eastAsia="zh-CN"/>
        </w:rPr>
        <w:t>。</w:t>
      </w:r>
    </w:p>
    <w:p w14:paraId="2136C091">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（二）支出情况。</w:t>
      </w:r>
    </w:p>
    <w:p w14:paraId="14DF422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2025年度，西区民政局全年预算支出4493.11万元。其中：基本支出480.38万元（人员经费453.22万元，公用经费27.17万元），占10.69%；项目支出4012.72万元，占89.31%。</w:t>
      </w:r>
    </w:p>
    <w:p w14:paraId="084A0D1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按经济分类支出：工资福利支出392.66万元，商品和服务支出931.57万元，对个人和家庭的补助支出3164.80万元，资本性支出1.39万元，对企业补助2.69万元。</w:t>
      </w:r>
    </w:p>
    <w:p w14:paraId="29035F67">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（三）结余分配和结转结余情况。</w:t>
      </w:r>
    </w:p>
    <w:p w14:paraId="5BBC379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2025年度，西区民政局年初结转和结余11万元，年末结转和结余0万元，无结余分配。</w:t>
      </w:r>
    </w:p>
    <w:p w14:paraId="386A48D4">
      <w:pPr>
        <w:pStyle w:val="6"/>
        <w:pageBreakBefore w:val="0"/>
        <w:kinsoku/>
        <w:wordWrap/>
        <w:overflowPunct/>
        <w:topLinePunct w:val="0"/>
        <w:autoSpaceDE/>
        <w:autoSpaceDN/>
        <w:bidi w:val="0"/>
        <w:spacing w:line="360" w:lineRule="auto"/>
        <w:ind w:firstLine="640" w:firstLineChars="200"/>
        <w:textAlignment w:val="auto"/>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三、部门预算绩效分析</w:t>
      </w:r>
    </w:p>
    <w:p w14:paraId="50B2DF05">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Times New Roman" w:hAnsi="Times New Roman" w:eastAsia="楷体_GB2312" w:cs="楷体_GB2312"/>
          <w:b/>
          <w:color w:val="auto"/>
          <w:sz w:val="32"/>
          <w:szCs w:val="32"/>
          <w:highlight w:val="none"/>
          <w:lang w:val="zh-CN" w:eastAsia="zh-CN"/>
        </w:rPr>
        <w:t>（一）部门预算总体绩效分析。</w:t>
      </w:r>
      <w:r>
        <w:rPr>
          <w:rFonts w:hint="eastAsia" w:ascii="仿宋_GB2312" w:hAnsi="仿宋_GB2312" w:eastAsia="仿宋_GB2312" w:cs="仿宋_GB2312"/>
          <w:b w:val="0"/>
          <w:bCs w:val="0"/>
          <w:sz w:val="32"/>
          <w:szCs w:val="32"/>
          <w:lang w:val="zh-CN" w:eastAsia="zh-CN"/>
        </w:rPr>
        <w:t>根据部门预算绩效评价指标体系“总体绩效”涉及二、三级指标进行逐项绩效分析并评分，依次包括履职效能、预算管理、财务管理、资产管理、采购管理等情况。</w:t>
      </w:r>
    </w:p>
    <w:p w14:paraId="18FE4CA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zh-CN" w:eastAsia="zh-CN"/>
        </w:rPr>
        <w:t>履职效能。部门整体绩效目标中选定3—5个核心职能目标，对职能目标完成效果情况绩效分析。</w:t>
      </w:r>
    </w:p>
    <w:p w14:paraId="03AF8E0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（1）织密民生保障网，兜牢共富底线。 落实社会救助兜底保障政策，累计保障困难群众22094人次，发放低保金1822.90万元；落实临时救助政策，救助126人44.90万元；落实城乡特困救助人员基本保障，为37名特困人员发放基本生活及护理费39.44万元。</w:t>
      </w:r>
    </w:p>
    <w:p w14:paraId="1A2678D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（2）强化社会事务管理，提高服务水平。 做好第五轮县级行政区域界线联合检查工作；采集整理上报217条地名信息录入全国地名系统；53家社会组织年检合格，办理3家社会组织注销、2家成立登记、4家变更法人；办理结婚登记423对、离婚登记267对；发放惠民殡葬补贴577人54.36万元；为西区农村公益性墓地建设做好前期准备。</w:t>
      </w:r>
    </w:p>
    <w:p w14:paraId="18B61EB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（3）推进养老事业发展，健全养老服务体系。 发放高龄长寿津（补）贴72000人次443万元；指导玉泉街道河石坝社区养老服务综合体项目完成验收并投入试运营；督促陶家渡街道社区养老服务综合体完成消防验收备案；指导大宝鼎街道社区养老服务综合体项目有序开展施工。</w:t>
      </w:r>
    </w:p>
    <w:p w14:paraId="5E6E53B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color w:val="000000"/>
          <w:kern w:val="0"/>
          <w:szCs w:val="32"/>
          <w:shd w:val="clear" w:color="auto" w:fill="FFFFFF"/>
        </w:rPr>
      </w:pPr>
      <w:r>
        <w:rPr>
          <w:rFonts w:hint="eastAsia" w:ascii="仿宋_GB2312" w:hAnsi="仿宋_GB2312" w:eastAsia="仿宋_GB2312" w:cs="仿宋_GB2312"/>
          <w:b w:val="0"/>
          <w:bCs w:val="0"/>
          <w:sz w:val="32"/>
          <w:szCs w:val="32"/>
          <w:lang w:val="en-US" w:eastAsia="zh-CN"/>
        </w:rPr>
        <w:t>（4）落实残疾人两项补贴政策。 发放困难残疾人生活补贴7258人次72.58万元，重度残疾人护理补贴19261人次158.92万元；发放困境儿童生活补贴20.97万元435人次；发放福彩圆梦助学金49人4.08万元</w:t>
      </w:r>
      <w:r>
        <w:rPr>
          <w:rFonts w:hint="eastAsia" w:ascii="仿宋_GB2312" w:hAnsi="仿宋_GB2312" w:eastAsia="仿宋_GB2312" w:cs="仿宋_GB2312"/>
          <w:b w:val="0"/>
          <w:bCs w:val="0"/>
          <w:color w:val="auto"/>
          <w:sz w:val="32"/>
          <w:szCs w:val="32"/>
          <w:lang w:val="en-US" w:eastAsia="zh-CN"/>
        </w:rPr>
        <w:t>。</w:t>
      </w:r>
    </w:p>
    <w:p w14:paraId="13C28D15">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预算编制情况。</w:t>
      </w:r>
    </w:p>
    <w:p w14:paraId="128E204B">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2025年，西区民政局严格按照西区财政局预算编制通知和有关要求，按时按质完成决算编制等工作，并按时提交部门预算编制草案。2025年收入、支出年初预算3725.14万元，与2024年相比增加2282.82万元，增长158.27%，主要变动原因是困难群众、高龄津贴等项目经费增加。</w:t>
      </w:r>
    </w:p>
    <w:p w14:paraId="4788C3BA">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3.财务管理。</w:t>
      </w:r>
    </w:p>
    <w:p w14:paraId="50096784">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建立健全财务管理制度，涵盖预算管理、收支管理、资产管理等方面，制度执行严格，确保财务工作有章可循；财务岗位设置科学分工，明确岗位权责，做到不相容岗位相互分离；资金使用规范，严格把控资金审批流程，确保每一笔资金都按照规定用途、标准和程序使用，杜绝挪用、滥用等违规行为</w:t>
      </w:r>
      <w:r>
        <w:rPr>
          <w:rFonts w:hint="eastAsia" w:ascii="Times New Roman" w:hAnsi="Times New Roman" w:eastAsia="仿宋_GB2312" w:cs="仿宋_GB2312"/>
          <w:color w:val="auto"/>
          <w:kern w:val="2"/>
          <w:sz w:val="32"/>
          <w:szCs w:val="32"/>
          <w:highlight w:val="none"/>
          <w:lang w:val="zh-CN" w:eastAsia="zh-CN" w:bidi="ar-SA"/>
        </w:rPr>
        <w:t>。</w:t>
      </w:r>
    </w:p>
    <w:p w14:paraId="0AC6BFE9">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4.资产管理。</w:t>
      </w:r>
    </w:p>
    <w:p w14:paraId="515AF262">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高度重视闲置资产管理，建立动态清查机制，定期梳理闲置资产明细，通过内部调剂、共享使用等方式，将闲置设备、办公用品等调配至需求</w:t>
      </w:r>
      <w:r>
        <w:rPr>
          <w:rFonts w:hint="eastAsia" w:ascii="Times New Roman" w:hAnsi="Times New Roman" w:eastAsia="仿宋_GB2312" w:cs="仿宋_GB2312"/>
          <w:color w:val="auto"/>
          <w:kern w:val="2"/>
          <w:sz w:val="32"/>
          <w:szCs w:val="32"/>
          <w:highlight w:val="none"/>
          <w:lang w:val="zh-CN" w:eastAsia="zh-CN" w:bidi="ar-SA"/>
        </w:rPr>
        <w:t>股</w:t>
      </w:r>
      <w:r>
        <w:rPr>
          <w:rFonts w:hint="default" w:ascii="Times New Roman" w:hAnsi="Times New Roman" w:eastAsia="仿宋_GB2312" w:cs="仿宋_GB2312"/>
          <w:color w:val="auto"/>
          <w:kern w:val="2"/>
          <w:sz w:val="32"/>
          <w:szCs w:val="32"/>
          <w:highlight w:val="none"/>
          <w:lang w:val="zh-CN" w:eastAsia="zh-CN" w:bidi="ar-SA"/>
        </w:rPr>
        <w:t>室。同时，在资产系统内对固定资产状态及时进行更新，优化资源配置，显著提升资产利用率。</w:t>
      </w:r>
    </w:p>
    <w:p w14:paraId="4A65E79E">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5.采购管理。</w:t>
      </w:r>
    </w:p>
    <w:p w14:paraId="2E4DE60A">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严格按照采购管理文件要求执行，采购前精准预算编制，结合实际需求科学规划；采购中坚持公开透明，严格执行采购程序；采购后加强验收与监督，确保物资质量达标，同时强化档案管理，保障采购全程留痕、规范有</w:t>
      </w:r>
      <w:r>
        <w:rPr>
          <w:rFonts w:hint="eastAsia" w:ascii="Times New Roman" w:hAnsi="Times New Roman" w:eastAsia="仿宋_GB2312" w:cs="仿宋_GB2312"/>
          <w:color w:val="auto"/>
          <w:kern w:val="2"/>
          <w:sz w:val="32"/>
          <w:szCs w:val="32"/>
          <w:highlight w:val="none"/>
          <w:lang w:val="zh-CN" w:eastAsia="zh-CN" w:bidi="ar-SA"/>
        </w:rPr>
        <w:t>序。</w:t>
      </w:r>
    </w:p>
    <w:p w14:paraId="76964CF3">
      <w:pPr>
        <w:keepNext w:val="0"/>
        <w:keepLines w:val="0"/>
        <w:pageBreakBefore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（二）部门预算项目绩效分析。</w:t>
      </w:r>
    </w:p>
    <w:p w14:paraId="1EB15431">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常年项目绩效分析。该类项目总数</w:t>
      </w:r>
      <w:r>
        <w:rPr>
          <w:rFonts w:hint="eastAsia" w:ascii="Times New Roman" w:hAnsi="Times New Roman"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zh-CN" w:eastAsia="zh-CN" w:bidi="ar-SA"/>
        </w:rPr>
        <w:t>个，涉及预算总金额4012.73万元，1至12月预算执行总体进度为100%。其中，预算结余率大于10%的项目共计0个，所有常年项目均已完成年度支出任务。</w:t>
      </w:r>
    </w:p>
    <w:p w14:paraId="485B92A4">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主要常年项目包括：困难群众救助、残疾人两项补贴、高龄长寿补贴、绿色殡葬服务费、儿童福利经费等。以上项目均按政策要求按月或按需通过“一卡通”系统及时足额发放，全年执行情况良好。</w:t>
      </w:r>
    </w:p>
    <w:p w14:paraId="2D2FA486">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部分项目预算执行率偏低，主要原因分析如下：养老服务业发展补助资金（省级）调整后预算5万元，实际执行0万元，执行率0%，原因为资金计划调整、实施方案未及时确定；福彩公益金-孤儿助学调整后预算7.3万元，实际执行3.42万元，执行率46.81%，原因为资金结转下年度使用；社会救助救济补助（省级）调整后预算68.04万元，实际执行33.66万元，执行率49.47%，原因为资金到位晚、救助对象减少；中央预算内基建-积极应对老龄化和托养建设调整后预算1503.9万元，实际执行42.1万元，执行率2.8%，原因为项目尚在建设初期；民政事业补助（省级）调整后预算57.99万元，实际执行10.35万元，执行率17.84%，原因为项目尚在推进中</w:t>
      </w:r>
    </w:p>
    <w:p w14:paraId="6B244D08">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阶段（含一次性）项目绩效分析。该类项目总数</w:t>
      </w:r>
      <w:r>
        <w:rPr>
          <w:rFonts w:hint="eastAsia" w:ascii="Times New Roman" w:hAnsi="Times New Roman"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zh-CN" w:eastAsia="zh-CN" w:bidi="ar-SA"/>
        </w:rPr>
        <w:t>个，涉及预算总金额尚未完全执行，1至12月预算执行总体进度为部分项目未启动。</w:t>
      </w:r>
    </w:p>
    <w:p w14:paraId="3A430468">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部分项目未启动或执行率偏低，主要原因分析如下：养老服务业补助资金（省级彩票）调整后预算16.95万元，实际执行0万元，执行率0%，原因为资金未到位；惠民殡葬（省级）调整后预算1.9万元，实际执行0万元，执行率0%，原因为资金未到位；高龄津贴（省级）调整后预算7.05万元，实际执行0万元，执行率0%，原因为资金未到位；民政事业补助（省级福彩）调整后预算251万元，实际执行0万元，执行率0%，原因为资金未到位；养老服务业发展补助（中央彩票）调整后预算27.51万元，实际执行0万元，执行率0%，原因为资金未到位；市级福利彩票公益金分成调整后预算2.94万元，实际执行2.16万元，执行率73.59%，原因为项目未完全实施；重度残疾儿童特别关爱帮扶资金调整后预算2.31万元，实际执行2.07万元，执行率89.3%，原因为部分资金结转。</w:t>
      </w:r>
    </w:p>
    <w:p w14:paraId="22DCCA2F">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以上项目因资金到位时间较晚、资金未到位或项目尚在推进中，当年未能形成有效支出或支出进度滞后，剩余资金将结转至下年度继续使用</w:t>
      </w:r>
    </w:p>
    <w:p w14:paraId="2D8A013B">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1.项目决策。</w:t>
      </w:r>
    </w:p>
    <w:p w14:paraId="14844C6D">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以2025年工作安排为参考，以2025年工作计划为依据，预算安排共计4482.11万元，以不断提高服务对象满意度，及时发现工作存在的问题，提升服务质量，提高政策知晓率。投入成本与预期产出及效果相匹配，成本测算依据充分。同时在支出过程中，严格履行政府采购程序，合理控制成本，确保资金投入与支出比例合理。当年实际支出4493.11万元，执行率100.25%。</w:t>
      </w:r>
    </w:p>
    <w:p w14:paraId="3B7A4705">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2.项目执行。</w:t>
      </w:r>
    </w:p>
    <w:p w14:paraId="75928A71">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项目实施期限为2025年1月至12月，由区民政局申报，西区财政局审核批复，主要用于保障困难群众救助、残疾人两项补贴、老龄补贴等项目工作开展，加强项目实施过程中的监督审核，建立健全财政专项资金的公开机制、评审机制、跟踪检查机制，确保财政资金安全高效使用。</w:t>
      </w:r>
    </w:p>
    <w:p w14:paraId="3B01DDC6">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3.目标实现。</w:t>
      </w:r>
    </w:p>
    <w:p w14:paraId="22182F92">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2025年度，区民政局预算资金4482.11万元由区财政局纳入一体化管理平台统一管理，专款专用，资金拨付执行审批程序，使用规范，入账手续齐全。</w:t>
      </w:r>
    </w:p>
    <w:p w14:paraId="65F701E4">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项目的经济效益分析。</w:t>
      </w:r>
    </w:p>
    <w:p w14:paraId="2C7C4EED">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专项工作经费的预算符合国家财经法规和财务管理制度以及有关资金管理办法的规定，资金的拨付报账有完整的审批程序和手续，资金使用符合项目预算批复，项目开展不超预算成本。严格执行项目管理制度，同时财务人员定期或不定期对资金使用、管理情况进行自查和检查，做到财务会计资料信息真实、及时、完整，资金的拨付有完整的审批程序和手续，各项制度执行落实较好，资金使用较为安全规范，项目开展控制在预算范围内。</w:t>
      </w:r>
    </w:p>
    <w:p w14:paraId="4B4D24C2">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项目的社会效益分析。</w:t>
      </w:r>
    </w:p>
    <w:p w14:paraId="45D00102">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通过项目实施，累计保障困难群众22094人次，发放低保金1822.9万元；发放临时救助126人44.9万元；为37名特困人员发放基本生活及护理费39.44万元。发放困难残疾人生活补贴7258人次72.58万元，重度残疾人护理补贴19261人次158.92万元。发放高龄长寿津补贴72000人次443万元。落实惠民殡葬补贴577人54.36万元。发放困境儿童生活补贴435人次20.97万元，发放福彩圆梦助学金49人4.08万元。有效促进了地方经济发展、社会进步，带动了就业，提高了人民生活水平，顺利完成工作任务，达到预期目标。</w:t>
      </w:r>
    </w:p>
    <w:p w14:paraId="2673548B">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项目的可持续性分析。</w:t>
      </w:r>
    </w:p>
    <w:p w14:paraId="765987D9">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度较好地完成了年初制定的工作目标任务，各个项目有序开展，整体支出平稳，较好地实现了社会效益和可持续效益目标。养老服务中心建设、儿童救助保护阵地建设、养老服务综合体建设等项目的推进，为后续民政事业持续发展奠定了良好基础。</w:t>
      </w:r>
    </w:p>
    <w:p w14:paraId="45A82D80">
      <w:pPr>
        <w:keepNext w:val="0"/>
        <w:keepLines w:val="0"/>
        <w:pageBreakBefore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（三）绩效结果应用情况。</w:t>
      </w:r>
    </w:p>
    <w:p w14:paraId="192C7BDD">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本单位所有开支均按照财务管理制度执行，资金的使用严格把关，机关的日常工作运行基本得到保障。绩效评价对全年工作目标起到积极的促进作用。强调部门目标的层层分解与传递以明确岗位职责提高执行力，为明年的工作开展及实施奠定坚实的基础。我单位将绩效自评结果运用到下一年工作的统筹安排、项目资金划拨及按照工作任务的重要性来明确资金使用上，以提高工作效率保质保量完成区委区政府交办的各项工作任务。在绩效自评工作完成后将结果放在攀枝花市西区人民政府网站政务公开栏目中公开公示。</w:t>
      </w:r>
    </w:p>
    <w:p w14:paraId="706803FB">
      <w:pPr>
        <w:pStyle w:val="6"/>
        <w:pageBreakBefore w:val="0"/>
        <w:kinsoku/>
        <w:wordWrap/>
        <w:overflowPunct/>
        <w:topLinePunct w:val="0"/>
        <w:autoSpaceDE/>
        <w:autoSpaceDN/>
        <w:bidi w:val="0"/>
        <w:spacing w:line="360" w:lineRule="auto"/>
        <w:ind w:firstLine="640" w:firstLineChars="200"/>
        <w:textAlignment w:val="auto"/>
        <w:rPr>
          <w:rFonts w:hint="eastAsia" w:ascii="Times New Roman" w:hAnsi="Times New Roman" w:eastAsia="黑体"/>
          <w:b w:val="0"/>
          <w:color w:val="auto"/>
          <w:highlight w:val="none"/>
          <w:lang w:val="zh-CN"/>
        </w:rPr>
      </w:pPr>
      <w:r>
        <w:rPr>
          <w:rFonts w:hint="eastAsia" w:ascii="Times New Roman" w:hAnsi="Times New Roman" w:eastAsia="黑体"/>
          <w:b w:val="0"/>
          <w:color w:val="auto"/>
          <w:highlight w:val="none"/>
          <w:lang w:val="zh-CN"/>
        </w:rPr>
        <w:t>四、评价结论及建议</w:t>
      </w:r>
    </w:p>
    <w:p w14:paraId="5CBCA8AA">
      <w:pPr>
        <w:keepNext w:val="0"/>
        <w:keepLines w:val="0"/>
        <w:pageBreakBefore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（一）评价结论。</w:t>
      </w:r>
    </w:p>
    <w:p w14:paraId="4AB1BD23">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025年，西区民政局整体支出绩效自评较科学准确，真实地反映了本单位财政收支情况，较好完成年初绩效目标任务。通过绩效目标的设置情况、资金使用情况、项目实施管理情况、项目绩效表现情况分析，项目预算执行率总体较好，圆满完成各项工作目标。自评得分97分。</w:t>
      </w:r>
    </w:p>
    <w:p w14:paraId="2D78D477">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在资金安排和使用上仍有不可预见性：如在预算执行中，有时会因临时新增重要的工作任务或者人员增加发生新的费用，而年初预算时很难精确测算相关支出，导致预算执行中需要追加经费。</w:t>
      </w:r>
    </w:p>
    <w:p w14:paraId="30CA6EA0">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en-US" w:eastAsia="zh-CN" w:bidi="ar-SA"/>
        </w:rPr>
        <w:t>因为个别专项工作需按照上级部门安排部署开展，本年度无法完成，导致项目资金结转下年。</w:t>
      </w:r>
    </w:p>
    <w:p w14:paraId="05170856">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部分项目资金到位时间较晚，与年度支出计划不匹配，影响预算执行进度</w:t>
      </w:r>
      <w:r>
        <w:rPr>
          <w:rFonts w:hint="eastAsia" w:ascii="Times New Roman" w:hAnsi="Times New Roman" w:eastAsia="仿宋_GB2312" w:cs="仿宋_GB2312"/>
          <w:color w:val="auto"/>
          <w:kern w:val="2"/>
          <w:sz w:val="32"/>
          <w:szCs w:val="32"/>
          <w:highlight w:val="none"/>
          <w:lang w:val="en-US" w:eastAsia="zh-CN" w:bidi="ar-SA"/>
        </w:rPr>
        <w:t>。</w:t>
      </w:r>
    </w:p>
    <w:p w14:paraId="5D8CF406">
      <w:pPr>
        <w:pageBreakBefore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en" w:eastAsia="zh-CN"/>
        </w:rPr>
      </w:pPr>
      <w:r>
        <w:rPr>
          <w:rFonts w:hint="eastAsia" w:ascii="Times New Roman" w:hAnsi="Times New Roman" w:eastAsia="楷体_GB2312" w:cs="楷体_GB2312"/>
          <w:b/>
          <w:color w:val="auto"/>
          <w:sz w:val="32"/>
          <w:szCs w:val="32"/>
          <w:highlight w:val="none"/>
          <w:lang w:val="zh-CN"/>
        </w:rPr>
        <w:t>（三）改进建议。</w:t>
      </w:r>
      <w:bookmarkStart w:id="46" w:name="_Hlk110546638"/>
    </w:p>
    <w:bookmarkEnd w:id="46"/>
    <w:p w14:paraId="40B50E87">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1.进一步完善和加强单位内部财务管理制度，加强预算编制的精准性及预算项目的可实施性。</w:t>
      </w:r>
    </w:p>
    <w:p w14:paraId="41F380E9">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2.加强资金使用动态管理，确保资金使用效益最大化.</w:t>
      </w:r>
    </w:p>
    <w:p w14:paraId="288F3389">
      <w:pPr>
        <w:keepNext w:val="0"/>
        <w:keepLines w:val="0"/>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3.加强与上级部门沟通，争取资金尽早下达，提前谋划项目实施方案，确保资金下达后能够及时启动实施。</w:t>
      </w:r>
    </w:p>
    <w:p w14:paraId="54C048BF">
      <w:pPr>
        <w:pStyle w:val="3"/>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2297B50D">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0410713">
      <w:pPr>
        <w:keepNext w:val="0"/>
        <w:keepLines w:val="0"/>
        <w:pageBreakBefore w:val="0"/>
        <w:widowControl w:val="0"/>
        <w:kinsoku/>
        <w:wordWrap/>
        <w:overflowPunct/>
        <w:topLinePunct w:val="0"/>
        <w:autoSpaceDE/>
        <w:autoSpaceDN/>
        <w:bidi w:val="0"/>
        <w:spacing w:line="600" w:lineRule="exact"/>
        <w:ind w:firstLine="480" w:firstLineChars="15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3E046EE">
      <w:pPr>
        <w:keepNext w:val="0"/>
        <w:keepLines w:val="0"/>
        <w:pageBreakBefore w:val="0"/>
        <w:widowControl w:val="0"/>
        <w:kinsoku/>
        <w:wordWrap/>
        <w:overflowPunct/>
        <w:topLinePunct w:val="0"/>
        <w:autoSpaceDE/>
        <w:autoSpaceDN/>
        <w:bidi w:val="0"/>
        <w:spacing w:line="600" w:lineRule="exact"/>
        <w:ind w:firstLine="480" w:firstLineChars="15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5378419">
      <w:pPr>
        <w:pageBreakBefore w:val="0"/>
        <w:widowControl/>
        <w:kinsoku/>
        <w:wordWrap/>
        <w:overflowPunct/>
        <w:topLinePunct w:val="0"/>
        <w:bidi w:val="0"/>
        <w:spacing w:line="600" w:lineRule="exact"/>
        <w:ind w:firstLine="660" w:firstLineChars="150"/>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4"/>
      <w:bookmarkEnd w:id="47"/>
      <w:bookmarkStart w:id="48" w:name="_Toc15396619"/>
    </w:p>
    <w:p w14:paraId="66B8D13C">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p>
    <w:p w14:paraId="37B7723E">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21CFCEE7">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462393E2">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3C94273F">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6C9635F4">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6C33A50F">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59C39534">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7076CEA5">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0DBBA95">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0BEC0202">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2C8E1049">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3054911">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25070BA9">
      <w:pPr>
        <w:pStyle w:val="15"/>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39D6BC07">
      <w:pPr>
        <w:pageBreakBefore w:val="0"/>
        <w:kinsoku/>
        <w:wordWrap/>
        <w:overflowPunct/>
        <w:topLinePunct w:val="0"/>
        <w:bidi w:val="0"/>
        <w:spacing w:line="600" w:lineRule="exact"/>
        <w:ind w:firstLine="315" w:firstLineChars="150"/>
        <w:textAlignment w:val="auto"/>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57389">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4CD4E">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84CD4E">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14:paraId="77E2B56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FA3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43F27">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F43F27">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4DDA7">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D8B01">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30D8B01">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14:paraId="7C533ED3">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EEA75">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27CF4F">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27CF4F">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65B0B">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25096D"/>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EC74E79"/>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03117"/>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293B4C"/>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D7412C"/>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next w:val="9"/>
    <w:link w:val="27"/>
    <w:qFormat/>
    <w:uiPriority w:val="99"/>
    <w:pPr>
      <w:spacing w:beforeLines="30"/>
    </w:pPr>
    <w:rPr>
      <w:rFonts w:ascii="仿宋_GB2312" w:eastAsia="仿宋_GB2312"/>
      <w:kern w:val="0"/>
      <w:sz w:val="30"/>
    </w:rPr>
  </w:style>
  <w:style w:type="paragraph" w:styleId="9">
    <w:name w:val="Body Text First Indent"/>
    <w:basedOn w:val="8"/>
    <w:next w:val="3"/>
    <w:qFormat/>
    <w:uiPriority w:val="0"/>
    <w:pPr>
      <w:widowControl w:val="0"/>
      <w:ind w:firstLine="420" w:firstLineChars="100"/>
      <w:jc w:val="center"/>
    </w:pPr>
    <w:rPr>
      <w:rFonts w:ascii="Calibri" w:hAnsi="Calibri" w:eastAsia="Arial Unicode MS" w:cs="Times New Roman"/>
      <w:kern w:val="2"/>
      <w:sz w:val="36"/>
      <w:szCs w:val="24"/>
      <w:lang w:val="en-US" w:eastAsia="zh-CN" w:bidi="ar-SA"/>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next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12916</Words>
  <Characters>14789</Characters>
  <Lines>61</Lines>
  <Paragraphs>17</Paragraphs>
  <TotalTime>33</TotalTime>
  <ScaleCrop>false</ScaleCrop>
  <LinksUpToDate>false</LinksUpToDate>
  <CharactersWithSpaces>14809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从头再来</cp:lastModifiedBy>
  <cp:lastPrinted>2025-08-06T17:34:00Z</cp:lastPrinted>
  <dcterms:modified xsi:type="dcterms:W3CDTF">2026-10-22T08:30:35Z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eyJoZGlkIjoiMzk4OGZhYzAzMTE4ZjAyYmE4NDBjZTRjODNlOWE3ZTUiLCJ1c2VySWQiOiI1NjY2NzMwMjAifQ==</vt:lpwstr>
  </property>
</Properties>
</file>