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0F8008">
      <w:pPr>
        <w:spacing w:line="600" w:lineRule="exact"/>
        <w:jc w:val="center"/>
        <w:outlineLvl w:val="0"/>
        <w:rPr>
          <w:rFonts w:hint="default" w:ascii="Times New Roman" w:hAnsi="Times New Roman" w:eastAsia="方正小标宋简体" w:cs="Times New Roman"/>
          <w:sz w:val="72"/>
          <w:szCs w:val="72"/>
        </w:rPr>
      </w:pPr>
      <w:bookmarkStart w:id="0" w:name="_Toc15306267"/>
      <w:bookmarkStart w:id="1" w:name="_Toc15396597"/>
      <w:bookmarkStart w:id="2" w:name="_Toc15378441"/>
      <w:bookmarkStart w:id="3" w:name="_Toc15377193"/>
      <w:bookmarkStart w:id="4" w:name="_Toc15396475"/>
      <w:bookmarkStart w:id="5" w:name="_Toc15377425"/>
      <w:bookmarkStart w:id="63" w:name="_GoBack"/>
      <w:bookmarkEnd w:id="63"/>
    </w:p>
    <w:p w14:paraId="448B09B6">
      <w:pPr>
        <w:spacing w:line="600" w:lineRule="exact"/>
        <w:jc w:val="center"/>
        <w:outlineLvl w:val="0"/>
        <w:rPr>
          <w:rFonts w:hint="default" w:ascii="Times New Roman" w:hAnsi="Times New Roman" w:eastAsia="方正小标宋简体" w:cs="Times New Roman"/>
          <w:sz w:val="72"/>
          <w:szCs w:val="72"/>
        </w:rPr>
      </w:pPr>
    </w:p>
    <w:p w14:paraId="73AB27AF">
      <w:pPr>
        <w:spacing w:line="600" w:lineRule="exact"/>
        <w:jc w:val="center"/>
        <w:outlineLvl w:val="0"/>
        <w:rPr>
          <w:rFonts w:hint="default" w:ascii="Times New Roman" w:hAnsi="Times New Roman" w:eastAsia="方正小标宋简体" w:cs="Times New Roman"/>
          <w:sz w:val="72"/>
          <w:szCs w:val="72"/>
        </w:rPr>
      </w:pPr>
    </w:p>
    <w:p w14:paraId="41F1E8FC">
      <w:pPr>
        <w:adjustRightInd w:val="0"/>
        <w:snapToGrid w:val="0"/>
        <w:spacing w:line="360" w:lineRule="auto"/>
        <w:jc w:val="center"/>
        <w:outlineLvl w:val="0"/>
        <w:rPr>
          <w:rFonts w:hint="default" w:ascii="Times New Roman" w:hAnsi="Times New Roman" w:eastAsia="方正小标宋简体" w:cs="Times New Roman"/>
          <w:sz w:val="56"/>
          <w:szCs w:val="56"/>
        </w:rPr>
      </w:pPr>
      <w:r>
        <w:rPr>
          <w:rFonts w:hint="default" w:ascii="Times New Roman" w:hAnsi="Times New Roman" w:eastAsia="方正小标宋简体" w:cs="Times New Roman"/>
          <w:sz w:val="56"/>
          <w:szCs w:val="56"/>
        </w:rPr>
        <w:t>2022年度</w:t>
      </w:r>
      <w:bookmarkEnd w:id="0"/>
      <w:bookmarkEnd w:id="1"/>
      <w:bookmarkEnd w:id="2"/>
      <w:bookmarkEnd w:id="3"/>
      <w:bookmarkEnd w:id="4"/>
      <w:bookmarkEnd w:id="5"/>
      <w:r>
        <w:rPr>
          <w:rFonts w:hint="default" w:ascii="Times New Roman" w:hAnsi="Times New Roman" w:eastAsia="方正小标宋简体" w:cs="Times New Roman"/>
          <w:sz w:val="56"/>
          <w:szCs w:val="56"/>
        </w:rPr>
        <w:t>中国人民政治协商会议</w:t>
      </w:r>
    </w:p>
    <w:p w14:paraId="7F7B3CA8">
      <w:pPr>
        <w:adjustRightInd w:val="0"/>
        <w:snapToGrid w:val="0"/>
        <w:spacing w:line="360" w:lineRule="auto"/>
        <w:jc w:val="center"/>
        <w:outlineLvl w:val="0"/>
        <w:rPr>
          <w:rFonts w:hint="default" w:ascii="Times New Roman" w:hAnsi="Times New Roman" w:eastAsia="方正小标宋简体" w:cs="Times New Roman"/>
          <w:sz w:val="56"/>
          <w:szCs w:val="56"/>
        </w:rPr>
      </w:pPr>
      <w:r>
        <w:rPr>
          <w:rFonts w:hint="default" w:ascii="Times New Roman" w:hAnsi="Times New Roman" w:eastAsia="方正小标宋简体" w:cs="Times New Roman"/>
          <w:sz w:val="56"/>
          <w:szCs w:val="56"/>
        </w:rPr>
        <w:t>攀枝花市西区委员会部门决算</w:t>
      </w:r>
    </w:p>
    <w:p w14:paraId="5E21B756">
      <w:pPr>
        <w:widowControl/>
        <w:jc w:val="center"/>
        <w:rPr>
          <w:rFonts w:hint="default" w:ascii="Times New Roman" w:hAnsi="Times New Roman" w:eastAsia="黑体" w:cs="Times New Roman"/>
          <w:sz w:val="48"/>
          <w:szCs w:val="48"/>
        </w:rPr>
      </w:pPr>
      <w:r>
        <w:rPr>
          <w:rFonts w:hint="default" w:ascii="Times New Roman" w:hAnsi="Times New Roman" w:eastAsia="方正小标宋简体" w:cs="Times New Roman"/>
          <w:sz w:val="36"/>
          <w:szCs w:val="36"/>
        </w:rPr>
        <w:br w:type="page"/>
      </w:r>
      <w:r>
        <w:rPr>
          <w:rFonts w:hint="default" w:ascii="Times New Roman" w:hAnsi="Times New Roman" w:eastAsia="黑体" w:cs="Times New Roman"/>
          <w:sz w:val="48"/>
          <w:szCs w:val="48"/>
        </w:rPr>
        <w:t>目录</w:t>
      </w:r>
    </w:p>
    <w:p w14:paraId="7F3D4983">
      <w:pPr>
        <w:widowControl/>
        <w:jc w:val="center"/>
        <w:rPr>
          <w:rFonts w:hint="default" w:ascii="Times New Roman" w:hAnsi="Times New Roman" w:eastAsia="黑体" w:cs="Times New Roman"/>
          <w:sz w:val="28"/>
          <w:szCs w:val="28"/>
        </w:rPr>
      </w:pPr>
    </w:p>
    <w:p w14:paraId="5F1C87E0">
      <w:pPr>
        <w:pStyle w:val="11"/>
        <w:rPr>
          <w:rFonts w:hint="default" w:ascii="Times New Roman" w:hAnsi="Times New Roman" w:cs="Times New Roman"/>
          <w:color w:val="FF0000"/>
        </w:rPr>
      </w:pPr>
      <w:r>
        <w:rPr>
          <w:rFonts w:hint="default" w:ascii="Times New Roman" w:hAnsi="Times New Roman" w:cs="Times New Roman"/>
          <w:color w:val="auto"/>
        </w:rPr>
        <w:t>公开时间：2023年10月30日</w:t>
      </w:r>
    </w:p>
    <w:p w14:paraId="0E57DB37">
      <w:pPr>
        <w:rPr>
          <w:rFonts w:hint="default" w:ascii="Times New Roman" w:hAnsi="Times New Roman" w:cs="Times New Roman"/>
        </w:rPr>
      </w:pPr>
    </w:p>
    <w:p w14:paraId="7EEC4F31">
      <w:pPr>
        <w:pStyle w:val="11"/>
        <w:adjustRightInd w:val="0"/>
        <w:snapToGrid w:val="0"/>
        <w:spacing w:before="0" w:line="440" w:lineRule="exact"/>
        <w:jc w:val="left"/>
        <w:rPr>
          <w:rFonts w:hint="default" w:ascii="Times New Roman" w:hAnsi="Times New Roman" w:eastAsia="仿宋" w:cs="Times New Roman"/>
          <w:sz w:val="24"/>
          <w:szCs w:val="24"/>
          <w:lang w:val="en-US" w:eastAsia="zh-CN"/>
        </w:rPr>
      </w:pPr>
      <w:r>
        <w:rPr>
          <w:rFonts w:hint="default" w:ascii="Times New Roman" w:hAnsi="Times New Roman" w:cs="Times New Roman"/>
          <w:sz w:val="24"/>
        </w:rPr>
        <w:t>第一部分 部门概况</w:t>
      </w:r>
      <w:r>
        <w:rPr>
          <w:rFonts w:hint="default" w:ascii="Times New Roman" w:hAnsi="Times New Roman" w:cs="Times New Roman"/>
          <w:sz w:val="24"/>
          <w:szCs w:val="24"/>
        </w:rPr>
        <w:tab/>
      </w:r>
      <w:r>
        <w:rPr>
          <w:rFonts w:hint="default" w:ascii="Times New Roman" w:hAnsi="Times New Roman" w:cs="Times New Roman"/>
          <w:sz w:val="24"/>
          <w:szCs w:val="24"/>
          <w:lang w:val="en-US" w:eastAsia="zh-CN"/>
        </w:rPr>
        <w:t>4</w:t>
      </w:r>
    </w:p>
    <w:p w14:paraId="6F6ECADD">
      <w:pPr>
        <w:pStyle w:val="12"/>
        <w:adjustRightInd w:val="0"/>
        <w:snapToGrid w:val="0"/>
        <w:spacing w:line="440" w:lineRule="exact"/>
        <w:jc w:val="left"/>
        <w:rPr>
          <w:rFonts w:hint="default" w:ascii="Times New Roman" w:hAnsi="Times New Roman" w:eastAsia="宋体" w:cs="Times New Roman"/>
          <w:sz w:val="24"/>
          <w:lang w:val="en-US" w:eastAsia="zh-CN"/>
        </w:rPr>
      </w:pPr>
      <w:r>
        <w:rPr>
          <w:rFonts w:hint="default" w:ascii="Times New Roman" w:hAnsi="Times New Roman" w:cs="Times New Roman"/>
          <w:sz w:val="24"/>
        </w:rPr>
        <w:t>一、部门职责</w:t>
      </w:r>
      <w:r>
        <w:rPr>
          <w:rFonts w:hint="default" w:ascii="Times New Roman" w:hAnsi="Times New Roman" w:cs="Times New Roman"/>
          <w:sz w:val="24"/>
        </w:rPr>
        <w:tab/>
      </w:r>
      <w:r>
        <w:rPr>
          <w:rFonts w:hint="default" w:ascii="Times New Roman" w:hAnsi="Times New Roman" w:cs="Times New Roman"/>
          <w:sz w:val="24"/>
          <w:lang w:val="en-US" w:eastAsia="zh-CN"/>
        </w:rPr>
        <w:t>4</w:t>
      </w:r>
    </w:p>
    <w:p w14:paraId="12A1A5BF">
      <w:pPr>
        <w:pStyle w:val="12"/>
        <w:adjustRightInd w:val="0"/>
        <w:snapToGrid w:val="0"/>
        <w:spacing w:line="440" w:lineRule="exact"/>
        <w:jc w:val="left"/>
        <w:rPr>
          <w:rFonts w:hint="default" w:ascii="Times New Roman" w:hAnsi="Times New Roman" w:cs="Times New Roman"/>
          <w:sz w:val="24"/>
          <w:lang w:val="en-US" w:eastAsia="zh-CN"/>
        </w:rPr>
      </w:pPr>
      <w:r>
        <w:rPr>
          <w:rFonts w:hint="default" w:ascii="Times New Roman" w:hAnsi="Times New Roman" w:cs="Times New Roman"/>
          <w:sz w:val="24"/>
        </w:rPr>
        <w:t>二、机构设置</w:t>
      </w:r>
      <w:r>
        <w:rPr>
          <w:rFonts w:hint="default" w:ascii="Times New Roman" w:hAnsi="Times New Roman" w:cs="Times New Roman"/>
          <w:sz w:val="24"/>
        </w:rPr>
        <w:tab/>
      </w:r>
      <w:r>
        <w:rPr>
          <w:rFonts w:hint="default" w:ascii="Times New Roman" w:hAnsi="Times New Roman" w:cs="Times New Roman"/>
          <w:sz w:val="24"/>
          <w:lang w:val="en-US" w:eastAsia="zh-CN"/>
        </w:rPr>
        <w:t>4</w:t>
      </w:r>
    </w:p>
    <w:p w14:paraId="3548A7D4">
      <w:pPr>
        <w:pStyle w:val="12"/>
        <w:adjustRightInd w:val="0"/>
        <w:snapToGrid w:val="0"/>
        <w:spacing w:line="440" w:lineRule="exact"/>
        <w:jc w:val="left"/>
        <w:rPr>
          <w:rFonts w:hint="default" w:ascii="Times New Roman" w:hAnsi="Times New Roman" w:cs="Times New Roman"/>
          <w:sz w:val="24"/>
          <w:szCs w:val="24"/>
        </w:rPr>
      </w:pPr>
      <w:r>
        <w:rPr>
          <w:rFonts w:hint="default" w:ascii="Times New Roman" w:hAnsi="Times New Roman" w:cs="Times New Roman"/>
          <w:sz w:val="24"/>
        </w:rPr>
        <w:t>第二部分 2022年度部门决算情况说明</w:t>
      </w:r>
      <w:r>
        <w:rPr>
          <w:rFonts w:hint="default" w:ascii="Times New Roman" w:hAnsi="Times New Roman" w:cs="Times New Roman"/>
          <w:sz w:val="24"/>
        </w:rPr>
        <w:tab/>
      </w:r>
      <w:r>
        <w:rPr>
          <w:rFonts w:hint="default" w:ascii="Times New Roman" w:hAnsi="Times New Roman" w:cs="Times New Roman"/>
          <w:sz w:val="24"/>
          <w:lang w:val="en-US" w:eastAsia="zh-CN"/>
        </w:rPr>
        <w:t>4</w:t>
      </w:r>
    </w:p>
    <w:p w14:paraId="13963013">
      <w:pPr>
        <w:pStyle w:val="12"/>
        <w:adjustRightInd w:val="0"/>
        <w:snapToGrid w:val="0"/>
        <w:spacing w:line="440" w:lineRule="exact"/>
        <w:jc w:val="left"/>
        <w:rPr>
          <w:rFonts w:hint="default" w:ascii="Times New Roman" w:hAnsi="Times New Roman" w:eastAsia="仿宋" w:cs="Times New Roman"/>
          <w:sz w:val="24"/>
        </w:rPr>
      </w:pPr>
      <w:r>
        <w:rPr>
          <w:rFonts w:hint="default" w:ascii="Times New Roman" w:hAnsi="Times New Roman" w:cs="Times New Roman"/>
          <w:sz w:val="24"/>
        </w:rPr>
        <w:t>一、收入支出决算总体情况说明</w:t>
      </w:r>
      <w:r>
        <w:rPr>
          <w:rFonts w:hint="default" w:ascii="Times New Roman" w:hAnsi="Times New Roman" w:cs="Times New Roman"/>
          <w:sz w:val="24"/>
        </w:rPr>
        <w:tab/>
      </w:r>
      <w:r>
        <w:rPr>
          <w:rFonts w:hint="default" w:ascii="Times New Roman" w:hAnsi="Times New Roman" w:cs="Times New Roman"/>
          <w:sz w:val="24"/>
          <w:lang w:val="en-US" w:eastAsia="zh-CN"/>
        </w:rPr>
        <w:t>4</w:t>
      </w:r>
    </w:p>
    <w:p w14:paraId="63EA2CE0">
      <w:pPr>
        <w:pStyle w:val="12"/>
        <w:adjustRightInd w:val="0"/>
        <w:snapToGrid w:val="0"/>
        <w:spacing w:line="440" w:lineRule="exact"/>
        <w:jc w:val="left"/>
        <w:rPr>
          <w:rFonts w:hint="default" w:ascii="Times New Roman" w:hAnsi="Times New Roman" w:eastAsia="仿宋" w:cs="Times New Roman"/>
          <w:sz w:val="24"/>
        </w:rPr>
      </w:pPr>
      <w:r>
        <w:rPr>
          <w:rFonts w:hint="default" w:ascii="Times New Roman" w:hAnsi="Times New Roman" w:cs="Times New Roman"/>
          <w:sz w:val="24"/>
        </w:rPr>
        <w:t>二、收入决算情况说明</w:t>
      </w:r>
      <w:r>
        <w:rPr>
          <w:rFonts w:hint="default" w:ascii="Times New Roman" w:hAnsi="Times New Roman" w:cs="Times New Roman"/>
          <w:sz w:val="24"/>
        </w:rPr>
        <w:tab/>
      </w:r>
      <w:r>
        <w:rPr>
          <w:rFonts w:hint="default" w:ascii="Times New Roman" w:hAnsi="Times New Roman" w:cs="Times New Roman"/>
          <w:sz w:val="24"/>
          <w:lang w:val="en-US" w:eastAsia="zh-CN"/>
        </w:rPr>
        <w:t>5</w:t>
      </w:r>
    </w:p>
    <w:p w14:paraId="6B701943">
      <w:pPr>
        <w:pStyle w:val="12"/>
        <w:adjustRightInd w:val="0"/>
        <w:snapToGrid w:val="0"/>
        <w:spacing w:line="440" w:lineRule="exact"/>
        <w:jc w:val="left"/>
        <w:rPr>
          <w:rFonts w:hint="default" w:ascii="Times New Roman" w:hAnsi="Times New Roman" w:eastAsia="仿宋" w:cs="Times New Roman"/>
          <w:sz w:val="24"/>
        </w:rPr>
      </w:pPr>
      <w:r>
        <w:rPr>
          <w:rFonts w:hint="default" w:ascii="Times New Roman" w:hAnsi="Times New Roman" w:cs="Times New Roman"/>
          <w:sz w:val="24"/>
        </w:rPr>
        <w:t>三、支出决算情况说明</w:t>
      </w:r>
      <w:r>
        <w:rPr>
          <w:rFonts w:hint="default" w:ascii="Times New Roman" w:hAnsi="Times New Roman" w:cs="Times New Roman"/>
          <w:sz w:val="24"/>
        </w:rPr>
        <w:tab/>
      </w:r>
      <w:r>
        <w:rPr>
          <w:rFonts w:hint="default" w:ascii="Times New Roman" w:hAnsi="Times New Roman" w:cs="Times New Roman"/>
          <w:sz w:val="24"/>
          <w:lang w:val="en-US" w:eastAsia="zh-CN"/>
        </w:rPr>
        <w:t>5</w:t>
      </w:r>
    </w:p>
    <w:p w14:paraId="1F8486DF">
      <w:pPr>
        <w:pStyle w:val="12"/>
        <w:adjustRightInd w:val="0"/>
        <w:snapToGrid w:val="0"/>
        <w:spacing w:line="440" w:lineRule="exact"/>
        <w:jc w:val="left"/>
        <w:rPr>
          <w:rFonts w:hint="default" w:ascii="Times New Roman" w:hAnsi="Times New Roman" w:eastAsia="仿宋" w:cs="Times New Roman"/>
          <w:sz w:val="24"/>
        </w:rPr>
      </w:pPr>
      <w:r>
        <w:rPr>
          <w:rFonts w:hint="default" w:ascii="Times New Roman" w:hAnsi="Times New Roman" w:cs="Times New Roman"/>
          <w:sz w:val="24"/>
        </w:rPr>
        <w:t>四、财政拨款收入支出决算总体情况说明</w:t>
      </w:r>
      <w:r>
        <w:rPr>
          <w:rFonts w:hint="default" w:ascii="Times New Roman" w:hAnsi="Times New Roman" w:cs="Times New Roman"/>
          <w:sz w:val="24"/>
        </w:rPr>
        <w:tab/>
      </w:r>
      <w:r>
        <w:rPr>
          <w:rFonts w:hint="default" w:ascii="Times New Roman" w:hAnsi="Times New Roman" w:cs="Times New Roman"/>
          <w:sz w:val="24"/>
          <w:lang w:val="en-US" w:eastAsia="zh-CN"/>
        </w:rPr>
        <w:t>6</w:t>
      </w:r>
    </w:p>
    <w:p w14:paraId="36692F0E">
      <w:pPr>
        <w:pStyle w:val="12"/>
        <w:adjustRightInd w:val="0"/>
        <w:snapToGrid w:val="0"/>
        <w:spacing w:line="440" w:lineRule="exact"/>
        <w:jc w:val="left"/>
        <w:rPr>
          <w:rFonts w:hint="default" w:ascii="Times New Roman" w:hAnsi="Times New Roman" w:eastAsia="宋体" w:cs="Times New Roman"/>
          <w:sz w:val="24"/>
          <w:lang w:val="en-US" w:eastAsia="zh-CN"/>
        </w:rPr>
      </w:pPr>
      <w:r>
        <w:rPr>
          <w:rFonts w:hint="default" w:ascii="Times New Roman" w:hAnsi="Times New Roman" w:cs="Times New Roman"/>
          <w:sz w:val="24"/>
        </w:rPr>
        <w:t>五、一般公共预算财政拨款支出决算情况说明</w:t>
      </w:r>
      <w:r>
        <w:rPr>
          <w:rFonts w:hint="default" w:ascii="Times New Roman" w:hAnsi="Times New Roman" w:cs="Times New Roman"/>
          <w:sz w:val="24"/>
        </w:rPr>
        <w:tab/>
      </w:r>
      <w:r>
        <w:rPr>
          <w:rFonts w:hint="default" w:ascii="Times New Roman" w:hAnsi="Times New Roman" w:cs="Times New Roman"/>
          <w:sz w:val="24"/>
          <w:lang w:val="en-US" w:eastAsia="zh-CN"/>
        </w:rPr>
        <w:t>7</w:t>
      </w:r>
    </w:p>
    <w:p w14:paraId="64CBB166">
      <w:pPr>
        <w:pStyle w:val="12"/>
        <w:adjustRightInd w:val="0"/>
        <w:snapToGrid w:val="0"/>
        <w:spacing w:line="440" w:lineRule="exact"/>
        <w:jc w:val="left"/>
        <w:rPr>
          <w:rFonts w:hint="default" w:ascii="Times New Roman" w:hAnsi="Times New Roman" w:eastAsia="仿宋" w:cs="Times New Roman"/>
          <w:sz w:val="24"/>
        </w:rPr>
      </w:pPr>
      <w:r>
        <w:rPr>
          <w:rFonts w:hint="default" w:ascii="Times New Roman" w:hAnsi="Times New Roman" w:cs="Times New Roman"/>
          <w:sz w:val="24"/>
        </w:rPr>
        <w:t>六、一般公共预算财政拨款基本支出决算情况说明</w:t>
      </w:r>
      <w:r>
        <w:rPr>
          <w:rFonts w:hint="default" w:ascii="Times New Roman" w:hAnsi="Times New Roman" w:cs="Times New Roman"/>
          <w:sz w:val="24"/>
        </w:rPr>
        <w:tab/>
      </w:r>
      <w:r>
        <w:rPr>
          <w:rFonts w:hint="default" w:ascii="Times New Roman" w:hAnsi="Times New Roman" w:cs="Times New Roman"/>
          <w:sz w:val="24"/>
          <w:lang w:val="en-US" w:eastAsia="zh-CN"/>
        </w:rPr>
        <w:t>9</w:t>
      </w:r>
    </w:p>
    <w:p w14:paraId="7CCB6A5D">
      <w:pPr>
        <w:pStyle w:val="12"/>
        <w:adjustRightInd w:val="0"/>
        <w:snapToGrid w:val="0"/>
        <w:spacing w:line="440" w:lineRule="exact"/>
        <w:jc w:val="left"/>
        <w:rPr>
          <w:rFonts w:hint="default" w:ascii="Times New Roman" w:hAnsi="Times New Roman" w:eastAsia="仿宋" w:cs="Times New Roman"/>
          <w:sz w:val="24"/>
        </w:rPr>
      </w:pPr>
      <w:r>
        <w:rPr>
          <w:rFonts w:hint="default" w:ascii="Times New Roman" w:hAnsi="Times New Roman" w:cs="Times New Roman"/>
          <w:sz w:val="24"/>
        </w:rPr>
        <w:t>七、财政拨款“三公”经费支出决算情况说明</w:t>
      </w:r>
      <w:r>
        <w:rPr>
          <w:rFonts w:hint="default" w:ascii="Times New Roman" w:hAnsi="Times New Roman" w:cs="Times New Roman"/>
          <w:sz w:val="24"/>
        </w:rPr>
        <w:tab/>
      </w:r>
      <w:r>
        <w:rPr>
          <w:rFonts w:hint="default" w:ascii="Times New Roman" w:hAnsi="Times New Roman" w:cs="Times New Roman"/>
          <w:sz w:val="24"/>
          <w:lang w:val="en-US" w:eastAsia="zh-CN"/>
        </w:rPr>
        <w:t>10</w:t>
      </w:r>
    </w:p>
    <w:p w14:paraId="54D44223">
      <w:pPr>
        <w:pStyle w:val="12"/>
        <w:adjustRightInd w:val="0"/>
        <w:snapToGrid w:val="0"/>
        <w:spacing w:line="440" w:lineRule="exact"/>
        <w:jc w:val="left"/>
        <w:rPr>
          <w:rFonts w:hint="default" w:ascii="Times New Roman" w:hAnsi="Times New Roman" w:eastAsia="仿宋" w:cs="Times New Roman"/>
          <w:sz w:val="24"/>
        </w:rPr>
      </w:pPr>
      <w:r>
        <w:rPr>
          <w:rFonts w:hint="default" w:ascii="Times New Roman" w:hAnsi="Times New Roman" w:cs="Times New Roman"/>
          <w:sz w:val="24"/>
        </w:rPr>
        <w:t>八、政府性基金预算支出决算情况说明</w:t>
      </w:r>
      <w:r>
        <w:rPr>
          <w:rFonts w:hint="default" w:ascii="Times New Roman" w:hAnsi="Times New Roman" w:cs="Times New Roman"/>
          <w:sz w:val="24"/>
        </w:rPr>
        <w:tab/>
      </w:r>
      <w:r>
        <w:rPr>
          <w:rFonts w:hint="default" w:ascii="Times New Roman" w:hAnsi="Times New Roman" w:cs="Times New Roman"/>
          <w:sz w:val="24"/>
          <w:lang w:val="en-US" w:eastAsia="zh-CN"/>
        </w:rPr>
        <w:t>11</w:t>
      </w:r>
    </w:p>
    <w:p w14:paraId="4323121A">
      <w:pPr>
        <w:pStyle w:val="12"/>
        <w:adjustRightInd w:val="0"/>
        <w:snapToGrid w:val="0"/>
        <w:spacing w:line="440" w:lineRule="exact"/>
        <w:jc w:val="left"/>
        <w:rPr>
          <w:rFonts w:hint="default" w:ascii="Times New Roman" w:hAnsi="Times New Roman" w:cs="Times New Roman" w:eastAsiaTheme="minorEastAsia"/>
          <w:sz w:val="24"/>
        </w:rPr>
      </w:pPr>
      <w:r>
        <w:rPr>
          <w:rFonts w:hint="default" w:ascii="Times New Roman" w:hAnsi="Times New Roman" w:cs="Times New Roman" w:eastAsiaTheme="minorEastAsia"/>
          <w:sz w:val="24"/>
        </w:rPr>
        <w:t>九、国有资本经营预算支出决算情况说明</w:t>
      </w:r>
      <w:r>
        <w:rPr>
          <w:rFonts w:hint="default" w:ascii="Times New Roman" w:hAnsi="Times New Roman" w:cs="Times New Roman"/>
          <w:sz w:val="24"/>
        </w:rPr>
        <w:tab/>
      </w:r>
      <w:r>
        <w:rPr>
          <w:rFonts w:hint="default" w:ascii="Times New Roman" w:hAnsi="Times New Roman" w:cs="Times New Roman"/>
          <w:sz w:val="24"/>
          <w:lang w:val="en-US" w:eastAsia="zh-CN"/>
        </w:rPr>
        <w:t>12</w:t>
      </w:r>
    </w:p>
    <w:p w14:paraId="48C5C617">
      <w:pPr>
        <w:pStyle w:val="12"/>
        <w:adjustRightInd w:val="0"/>
        <w:snapToGrid w:val="0"/>
        <w:spacing w:line="440" w:lineRule="exact"/>
        <w:jc w:val="left"/>
        <w:rPr>
          <w:rFonts w:hint="default" w:ascii="Times New Roman" w:hAnsi="Times New Roman" w:cs="Times New Roman" w:eastAsiaTheme="minorEastAsia"/>
          <w:sz w:val="24"/>
        </w:rPr>
      </w:pPr>
      <w:r>
        <w:rPr>
          <w:rStyle w:val="20"/>
          <w:rFonts w:hint="default" w:ascii="Times New Roman" w:hAnsi="Times New Roman" w:cs="Times New Roman" w:eastAsiaTheme="minorEastAsia"/>
          <w:color w:val="auto"/>
          <w:sz w:val="24"/>
          <w:u w:val="none"/>
        </w:rPr>
        <w:t>十、</w:t>
      </w:r>
      <w:r>
        <w:rPr>
          <w:rFonts w:hint="default" w:ascii="Times New Roman" w:hAnsi="Times New Roman" w:cs="Times New Roman" w:eastAsiaTheme="minorEastAsia"/>
          <w:sz w:val="24"/>
        </w:rPr>
        <w:t>其他重要事项的情况说明</w:t>
      </w:r>
      <w:r>
        <w:rPr>
          <w:rFonts w:hint="default" w:ascii="Times New Roman" w:hAnsi="Times New Roman" w:cs="Times New Roman"/>
          <w:sz w:val="24"/>
        </w:rPr>
        <w:tab/>
      </w:r>
      <w:r>
        <w:rPr>
          <w:rFonts w:hint="default" w:ascii="Times New Roman" w:hAnsi="Times New Roman" w:cs="Times New Roman"/>
          <w:sz w:val="24"/>
          <w:lang w:val="en-US" w:eastAsia="zh-CN"/>
        </w:rPr>
        <w:t>12</w:t>
      </w:r>
    </w:p>
    <w:p w14:paraId="13858E2B">
      <w:pPr>
        <w:pStyle w:val="12"/>
        <w:adjustRightInd w:val="0"/>
        <w:snapToGrid w:val="0"/>
        <w:spacing w:line="440" w:lineRule="exact"/>
        <w:jc w:val="left"/>
        <w:rPr>
          <w:rFonts w:hint="default" w:ascii="Times New Roman" w:hAnsi="Times New Roman" w:cs="Times New Roman"/>
          <w:sz w:val="24"/>
          <w:szCs w:val="24"/>
        </w:rPr>
      </w:pPr>
      <w:r>
        <w:rPr>
          <w:rFonts w:hint="default" w:ascii="Times New Roman" w:hAnsi="Times New Roman" w:cs="Times New Roman"/>
          <w:sz w:val="24"/>
        </w:rPr>
        <w:t>第三部分 名词解释</w:t>
      </w:r>
      <w:r>
        <w:rPr>
          <w:rFonts w:hint="default" w:ascii="Times New Roman" w:hAnsi="Times New Roman" w:cs="Times New Roman"/>
          <w:sz w:val="24"/>
        </w:rPr>
        <w:tab/>
      </w:r>
      <w:r>
        <w:rPr>
          <w:rFonts w:hint="default" w:ascii="Times New Roman" w:hAnsi="Times New Roman" w:cs="Times New Roman"/>
          <w:sz w:val="24"/>
          <w:lang w:val="en-US" w:eastAsia="zh-CN"/>
        </w:rPr>
        <w:t>14</w:t>
      </w:r>
    </w:p>
    <w:p w14:paraId="2796261D">
      <w:pPr>
        <w:pStyle w:val="12"/>
        <w:adjustRightInd w:val="0"/>
        <w:snapToGrid w:val="0"/>
        <w:spacing w:line="440" w:lineRule="exact"/>
        <w:jc w:val="left"/>
        <w:rPr>
          <w:rFonts w:hint="default" w:ascii="Times New Roman" w:hAnsi="Times New Roman" w:cs="Times New Roman"/>
          <w:sz w:val="24"/>
          <w:szCs w:val="24"/>
        </w:rPr>
      </w:pPr>
      <w:r>
        <w:rPr>
          <w:rFonts w:hint="default" w:ascii="Times New Roman" w:hAnsi="Times New Roman" w:cs="Times New Roman"/>
          <w:sz w:val="24"/>
        </w:rPr>
        <w:t>第四部分 附件</w:t>
      </w:r>
      <w:r>
        <w:rPr>
          <w:rFonts w:hint="default" w:ascii="Times New Roman" w:hAnsi="Times New Roman" w:cs="Times New Roman"/>
          <w:sz w:val="24"/>
        </w:rPr>
        <w:tab/>
      </w:r>
      <w:r>
        <w:rPr>
          <w:rFonts w:hint="default" w:ascii="Times New Roman" w:hAnsi="Times New Roman" w:cs="Times New Roman"/>
          <w:sz w:val="24"/>
          <w:lang w:val="en-US" w:eastAsia="zh-CN"/>
        </w:rPr>
        <w:t>16</w:t>
      </w:r>
    </w:p>
    <w:p w14:paraId="1678BBDE">
      <w:pPr>
        <w:pStyle w:val="11"/>
        <w:adjustRightInd w:val="0"/>
        <w:snapToGrid w:val="0"/>
        <w:spacing w:before="0" w:line="440" w:lineRule="exact"/>
        <w:jc w:val="left"/>
        <w:rPr>
          <w:rFonts w:hint="default" w:ascii="Times New Roman" w:hAnsi="Times New Roman" w:cs="Times New Roman"/>
          <w:sz w:val="24"/>
          <w:szCs w:val="24"/>
          <w:lang w:val="en-US"/>
        </w:rPr>
      </w:pPr>
      <w:r>
        <w:rPr>
          <w:rFonts w:hint="default" w:ascii="Times New Roman" w:hAnsi="Times New Roman" w:cs="Times New Roman"/>
          <w:sz w:val="24"/>
        </w:rPr>
        <w:t>第五部分 附表</w:t>
      </w:r>
      <w:r>
        <w:rPr>
          <w:rFonts w:hint="default" w:ascii="Times New Roman" w:hAnsi="Times New Roman" w:cs="Times New Roman"/>
          <w:sz w:val="24"/>
        </w:rPr>
        <w:tab/>
      </w:r>
      <w:r>
        <w:rPr>
          <w:rFonts w:hint="eastAsia" w:ascii="Times New Roman" w:hAnsi="Times New Roman" w:cs="Times New Roman"/>
          <w:sz w:val="24"/>
          <w:lang w:val="en-US" w:eastAsia="zh-CN"/>
        </w:rPr>
        <w:t>32</w:t>
      </w:r>
    </w:p>
    <w:p w14:paraId="354687C1">
      <w:pPr>
        <w:pStyle w:val="12"/>
        <w:adjustRightInd w:val="0"/>
        <w:snapToGrid w:val="0"/>
        <w:spacing w:line="440" w:lineRule="exact"/>
        <w:jc w:val="left"/>
        <w:rPr>
          <w:rFonts w:hint="default" w:ascii="Times New Roman" w:hAnsi="Times New Roman" w:cs="Times New Roman"/>
          <w:sz w:val="24"/>
          <w:lang w:val="en-US" w:eastAsia="zh-CN"/>
        </w:rPr>
      </w:pPr>
      <w:r>
        <w:rPr>
          <w:rFonts w:hint="default" w:ascii="Times New Roman" w:hAnsi="Times New Roman" w:cs="Times New Roman"/>
          <w:sz w:val="24"/>
        </w:rPr>
        <w:t>一、收入支出决算总表</w:t>
      </w:r>
      <w:r>
        <w:rPr>
          <w:rFonts w:hint="default" w:ascii="Times New Roman" w:hAnsi="Times New Roman" w:cs="Times New Roman"/>
          <w:sz w:val="24"/>
        </w:rPr>
        <w:tab/>
      </w:r>
      <w:r>
        <w:rPr>
          <w:rFonts w:hint="eastAsia" w:ascii="Times New Roman" w:hAnsi="Times New Roman" w:cs="Times New Roman"/>
          <w:sz w:val="24"/>
          <w:lang w:val="en-US" w:eastAsia="zh-CN"/>
        </w:rPr>
        <w:t>32</w:t>
      </w:r>
    </w:p>
    <w:p w14:paraId="45BD719D">
      <w:pPr>
        <w:pStyle w:val="12"/>
        <w:adjustRightInd w:val="0"/>
        <w:snapToGrid w:val="0"/>
        <w:spacing w:line="440" w:lineRule="exact"/>
        <w:jc w:val="left"/>
        <w:rPr>
          <w:rFonts w:hint="default" w:ascii="Times New Roman" w:hAnsi="Times New Roman" w:cs="Times New Roman"/>
          <w:sz w:val="24"/>
          <w:lang w:val="en-US" w:eastAsia="zh-CN"/>
        </w:rPr>
      </w:pPr>
      <w:r>
        <w:rPr>
          <w:rFonts w:hint="default" w:ascii="Times New Roman" w:hAnsi="Times New Roman" w:cs="Times New Roman"/>
          <w:sz w:val="24"/>
        </w:rPr>
        <w:t>二、收入决算表</w:t>
      </w:r>
      <w:r>
        <w:rPr>
          <w:rFonts w:hint="default" w:ascii="Times New Roman" w:hAnsi="Times New Roman" w:cs="Times New Roman"/>
          <w:sz w:val="24"/>
        </w:rPr>
        <w:tab/>
      </w:r>
      <w:r>
        <w:rPr>
          <w:rFonts w:hint="eastAsia" w:ascii="Times New Roman" w:hAnsi="Times New Roman" w:cs="Times New Roman"/>
          <w:sz w:val="24"/>
          <w:lang w:val="en-US" w:eastAsia="zh-CN"/>
        </w:rPr>
        <w:t>32</w:t>
      </w:r>
    </w:p>
    <w:p w14:paraId="615870FB">
      <w:pPr>
        <w:pStyle w:val="12"/>
        <w:adjustRightInd w:val="0"/>
        <w:snapToGrid w:val="0"/>
        <w:spacing w:line="440" w:lineRule="exact"/>
        <w:jc w:val="left"/>
        <w:rPr>
          <w:rFonts w:hint="default" w:ascii="Times New Roman" w:hAnsi="Times New Roman" w:cs="Times New Roman"/>
          <w:sz w:val="24"/>
        </w:rPr>
      </w:pPr>
      <w:r>
        <w:rPr>
          <w:rFonts w:hint="default" w:ascii="Times New Roman" w:hAnsi="Times New Roman" w:cs="Times New Roman"/>
          <w:sz w:val="24"/>
        </w:rPr>
        <w:t>三、支出决算表</w:t>
      </w:r>
      <w:r>
        <w:rPr>
          <w:rFonts w:hint="default" w:ascii="Times New Roman" w:hAnsi="Times New Roman" w:cs="Times New Roman"/>
          <w:sz w:val="24"/>
        </w:rPr>
        <w:tab/>
      </w:r>
      <w:r>
        <w:rPr>
          <w:rFonts w:hint="eastAsia" w:ascii="Times New Roman" w:hAnsi="Times New Roman" w:cs="Times New Roman"/>
          <w:sz w:val="24"/>
          <w:lang w:val="en-US" w:eastAsia="zh-CN"/>
        </w:rPr>
        <w:t>32</w:t>
      </w:r>
    </w:p>
    <w:p w14:paraId="47ED32BC">
      <w:pPr>
        <w:pStyle w:val="12"/>
        <w:adjustRightInd w:val="0"/>
        <w:snapToGrid w:val="0"/>
        <w:spacing w:line="440" w:lineRule="exact"/>
        <w:jc w:val="left"/>
        <w:rPr>
          <w:rFonts w:hint="default" w:ascii="Times New Roman" w:hAnsi="Times New Roman" w:cs="Times New Roman"/>
          <w:sz w:val="24"/>
          <w:lang w:val="en-US" w:eastAsia="zh-CN"/>
        </w:rPr>
      </w:pPr>
      <w:r>
        <w:rPr>
          <w:rFonts w:hint="default" w:ascii="Times New Roman" w:hAnsi="Times New Roman" w:cs="Times New Roman"/>
          <w:sz w:val="24"/>
        </w:rPr>
        <w:t>四、财政拨款收入支出决算总表</w:t>
      </w:r>
      <w:r>
        <w:rPr>
          <w:rFonts w:hint="default" w:ascii="Times New Roman" w:hAnsi="Times New Roman" w:cs="Times New Roman"/>
          <w:sz w:val="24"/>
        </w:rPr>
        <w:tab/>
      </w:r>
      <w:r>
        <w:rPr>
          <w:rFonts w:hint="eastAsia" w:ascii="Times New Roman" w:hAnsi="Times New Roman" w:cs="Times New Roman"/>
          <w:sz w:val="24"/>
          <w:lang w:val="en-US" w:eastAsia="zh-CN"/>
        </w:rPr>
        <w:t>32</w:t>
      </w:r>
    </w:p>
    <w:p w14:paraId="42708355">
      <w:pPr>
        <w:pStyle w:val="12"/>
        <w:adjustRightInd w:val="0"/>
        <w:snapToGrid w:val="0"/>
        <w:spacing w:line="440" w:lineRule="exact"/>
        <w:jc w:val="left"/>
        <w:rPr>
          <w:rFonts w:hint="default" w:ascii="Times New Roman" w:hAnsi="Times New Roman" w:cs="Times New Roman"/>
          <w:sz w:val="24"/>
        </w:rPr>
      </w:pPr>
      <w:r>
        <w:rPr>
          <w:rFonts w:hint="default" w:ascii="Times New Roman" w:hAnsi="Times New Roman" w:cs="Times New Roman"/>
          <w:sz w:val="24"/>
        </w:rPr>
        <w:t>五、财政拨款支出决算明细表</w:t>
      </w:r>
      <w:r>
        <w:rPr>
          <w:rFonts w:hint="default" w:ascii="Times New Roman" w:hAnsi="Times New Roman" w:cs="Times New Roman"/>
          <w:sz w:val="24"/>
        </w:rPr>
        <w:tab/>
      </w:r>
      <w:r>
        <w:rPr>
          <w:rFonts w:hint="eastAsia" w:ascii="Times New Roman" w:hAnsi="Times New Roman" w:cs="Times New Roman"/>
          <w:sz w:val="24"/>
          <w:lang w:val="en-US" w:eastAsia="zh-CN"/>
        </w:rPr>
        <w:t>32</w:t>
      </w:r>
    </w:p>
    <w:p w14:paraId="491E43F9">
      <w:pPr>
        <w:pStyle w:val="12"/>
        <w:adjustRightInd w:val="0"/>
        <w:snapToGrid w:val="0"/>
        <w:spacing w:line="440" w:lineRule="exact"/>
        <w:jc w:val="left"/>
        <w:rPr>
          <w:rFonts w:hint="default" w:ascii="Times New Roman" w:hAnsi="Times New Roman" w:cs="Times New Roman"/>
          <w:sz w:val="24"/>
        </w:rPr>
      </w:pPr>
      <w:r>
        <w:rPr>
          <w:rFonts w:hint="default" w:ascii="Times New Roman" w:hAnsi="Times New Roman" w:cs="Times New Roman"/>
          <w:sz w:val="24"/>
        </w:rPr>
        <w:t>六、一般公共预算财政拨款支出决算表</w:t>
      </w:r>
      <w:r>
        <w:rPr>
          <w:rFonts w:hint="default" w:ascii="Times New Roman" w:hAnsi="Times New Roman" w:cs="Times New Roman"/>
          <w:sz w:val="24"/>
        </w:rPr>
        <w:tab/>
      </w:r>
      <w:r>
        <w:rPr>
          <w:rFonts w:hint="eastAsia" w:ascii="Times New Roman" w:hAnsi="Times New Roman" w:cs="Times New Roman"/>
          <w:sz w:val="24"/>
          <w:lang w:val="en-US" w:eastAsia="zh-CN"/>
        </w:rPr>
        <w:t>32</w:t>
      </w:r>
    </w:p>
    <w:p w14:paraId="0790B9D9">
      <w:pPr>
        <w:pStyle w:val="12"/>
        <w:adjustRightInd w:val="0"/>
        <w:snapToGrid w:val="0"/>
        <w:spacing w:line="440" w:lineRule="exact"/>
        <w:jc w:val="left"/>
        <w:rPr>
          <w:rFonts w:hint="default" w:ascii="Times New Roman" w:hAnsi="Times New Roman" w:cs="Times New Roman"/>
          <w:sz w:val="24"/>
          <w:lang w:val="en-US" w:eastAsia="zh-CN"/>
        </w:rPr>
      </w:pPr>
      <w:r>
        <w:rPr>
          <w:rFonts w:hint="default" w:ascii="Times New Roman" w:hAnsi="Times New Roman" w:cs="Times New Roman"/>
          <w:sz w:val="24"/>
        </w:rPr>
        <w:t>七、一般公共预算财政拨款支出决算明细表</w:t>
      </w:r>
      <w:r>
        <w:rPr>
          <w:rFonts w:hint="default" w:ascii="Times New Roman" w:hAnsi="Times New Roman" w:cs="Times New Roman"/>
          <w:sz w:val="24"/>
        </w:rPr>
        <w:tab/>
      </w:r>
      <w:r>
        <w:rPr>
          <w:rFonts w:hint="eastAsia" w:ascii="Times New Roman" w:hAnsi="Times New Roman" w:cs="Times New Roman"/>
          <w:sz w:val="24"/>
          <w:lang w:val="en-US" w:eastAsia="zh-CN"/>
        </w:rPr>
        <w:t>32</w:t>
      </w:r>
    </w:p>
    <w:p w14:paraId="09E9AF05">
      <w:pPr>
        <w:pStyle w:val="12"/>
        <w:adjustRightInd w:val="0"/>
        <w:snapToGrid w:val="0"/>
        <w:spacing w:line="440" w:lineRule="exact"/>
        <w:jc w:val="left"/>
        <w:rPr>
          <w:rFonts w:hint="default" w:ascii="Times New Roman" w:hAnsi="Times New Roman" w:cs="Times New Roman"/>
          <w:sz w:val="24"/>
        </w:rPr>
      </w:pPr>
      <w:r>
        <w:rPr>
          <w:rFonts w:hint="default" w:ascii="Times New Roman" w:hAnsi="Times New Roman" w:cs="Times New Roman"/>
          <w:sz w:val="24"/>
        </w:rPr>
        <w:t>八、一般公共预算财政拨款基本支出决算明细表</w:t>
      </w:r>
      <w:r>
        <w:rPr>
          <w:rFonts w:hint="default" w:ascii="Times New Roman" w:hAnsi="Times New Roman" w:cs="Times New Roman"/>
          <w:sz w:val="24"/>
        </w:rPr>
        <w:tab/>
      </w:r>
      <w:r>
        <w:rPr>
          <w:rFonts w:hint="eastAsia" w:ascii="Times New Roman" w:hAnsi="Times New Roman" w:cs="Times New Roman"/>
          <w:sz w:val="24"/>
          <w:lang w:val="en-US" w:eastAsia="zh-CN"/>
        </w:rPr>
        <w:t>32</w:t>
      </w:r>
    </w:p>
    <w:p w14:paraId="567047A1">
      <w:pPr>
        <w:pStyle w:val="12"/>
        <w:adjustRightInd w:val="0"/>
        <w:snapToGrid w:val="0"/>
        <w:spacing w:line="440" w:lineRule="exact"/>
        <w:jc w:val="left"/>
        <w:rPr>
          <w:rFonts w:hint="default" w:ascii="Times New Roman" w:hAnsi="Times New Roman" w:cs="Times New Roman"/>
          <w:sz w:val="24"/>
          <w:lang w:val="en-US" w:eastAsia="zh-CN"/>
        </w:rPr>
      </w:pPr>
      <w:r>
        <w:rPr>
          <w:rFonts w:hint="default" w:ascii="Times New Roman" w:hAnsi="Times New Roman" w:cs="Times New Roman"/>
          <w:sz w:val="24"/>
        </w:rPr>
        <w:t>九、一般公共预算财政拨款项目支出决算表</w:t>
      </w:r>
      <w:r>
        <w:rPr>
          <w:rFonts w:hint="default" w:ascii="Times New Roman" w:hAnsi="Times New Roman" w:cs="Times New Roman"/>
          <w:sz w:val="24"/>
        </w:rPr>
        <w:tab/>
      </w:r>
      <w:r>
        <w:rPr>
          <w:rFonts w:hint="eastAsia" w:ascii="Times New Roman" w:hAnsi="Times New Roman" w:cs="Times New Roman"/>
          <w:sz w:val="24"/>
          <w:lang w:val="en-US" w:eastAsia="zh-CN"/>
        </w:rPr>
        <w:t>32</w:t>
      </w:r>
    </w:p>
    <w:p w14:paraId="11BCAC85">
      <w:pPr>
        <w:pStyle w:val="12"/>
        <w:adjustRightInd w:val="0"/>
        <w:snapToGrid w:val="0"/>
        <w:spacing w:line="440" w:lineRule="exact"/>
        <w:jc w:val="left"/>
        <w:rPr>
          <w:rFonts w:hint="default" w:ascii="Times New Roman" w:hAnsi="Times New Roman" w:cs="Times New Roman"/>
          <w:sz w:val="24"/>
        </w:rPr>
      </w:pPr>
      <w:r>
        <w:rPr>
          <w:rFonts w:hint="default" w:ascii="Times New Roman" w:hAnsi="Times New Roman" w:cs="Times New Roman"/>
          <w:sz w:val="24"/>
        </w:rPr>
        <w:t>十、政府性基金预算财政拨款收入支出决算表</w:t>
      </w:r>
      <w:r>
        <w:rPr>
          <w:rFonts w:hint="default" w:ascii="Times New Roman" w:hAnsi="Times New Roman" w:cs="Times New Roman"/>
          <w:sz w:val="24"/>
        </w:rPr>
        <w:tab/>
      </w:r>
      <w:r>
        <w:rPr>
          <w:rFonts w:hint="eastAsia" w:ascii="Times New Roman" w:hAnsi="Times New Roman" w:cs="Times New Roman"/>
          <w:sz w:val="24"/>
          <w:lang w:val="en-US" w:eastAsia="zh-CN"/>
        </w:rPr>
        <w:t>32</w:t>
      </w:r>
    </w:p>
    <w:p w14:paraId="06F7B6BA">
      <w:pPr>
        <w:pStyle w:val="12"/>
        <w:adjustRightInd w:val="0"/>
        <w:snapToGrid w:val="0"/>
        <w:spacing w:line="440" w:lineRule="exact"/>
        <w:jc w:val="left"/>
        <w:rPr>
          <w:rFonts w:hint="default" w:ascii="Times New Roman" w:hAnsi="Times New Roman" w:cs="Times New Roman"/>
          <w:sz w:val="24"/>
        </w:rPr>
      </w:pPr>
      <w:r>
        <w:rPr>
          <w:rFonts w:hint="default" w:ascii="Times New Roman" w:hAnsi="Times New Roman" w:cs="Times New Roman"/>
          <w:sz w:val="24"/>
        </w:rPr>
        <w:t>十一、国有资本经营预算财政拨款收入支出决算表</w:t>
      </w:r>
      <w:r>
        <w:rPr>
          <w:rFonts w:hint="default" w:ascii="Times New Roman" w:hAnsi="Times New Roman" w:cs="Times New Roman"/>
          <w:sz w:val="24"/>
        </w:rPr>
        <w:tab/>
      </w:r>
      <w:r>
        <w:rPr>
          <w:rFonts w:hint="eastAsia" w:ascii="Times New Roman" w:hAnsi="Times New Roman" w:cs="Times New Roman"/>
          <w:sz w:val="24"/>
          <w:lang w:val="en-US" w:eastAsia="zh-CN"/>
        </w:rPr>
        <w:t>32</w:t>
      </w:r>
    </w:p>
    <w:p w14:paraId="52A1FD19">
      <w:pPr>
        <w:pStyle w:val="12"/>
        <w:adjustRightInd w:val="0"/>
        <w:snapToGrid w:val="0"/>
        <w:spacing w:line="440" w:lineRule="exact"/>
        <w:jc w:val="left"/>
        <w:rPr>
          <w:rFonts w:hint="default" w:ascii="Times New Roman" w:hAnsi="Times New Roman" w:cs="Times New Roman"/>
          <w:sz w:val="24"/>
        </w:rPr>
      </w:pPr>
      <w:r>
        <w:rPr>
          <w:rFonts w:hint="default" w:ascii="Times New Roman" w:hAnsi="Times New Roman" w:cs="Times New Roman"/>
          <w:sz w:val="24"/>
        </w:rPr>
        <w:t>十二、国有资本经营预算财政拨款支出决算表</w:t>
      </w:r>
      <w:r>
        <w:rPr>
          <w:rFonts w:hint="default" w:ascii="Times New Roman" w:hAnsi="Times New Roman" w:cs="Times New Roman"/>
          <w:sz w:val="24"/>
        </w:rPr>
        <w:tab/>
      </w:r>
      <w:r>
        <w:rPr>
          <w:rFonts w:hint="eastAsia" w:ascii="Times New Roman" w:hAnsi="Times New Roman" w:cs="Times New Roman"/>
          <w:sz w:val="24"/>
          <w:lang w:val="en-US" w:eastAsia="zh-CN"/>
        </w:rPr>
        <w:t>32</w:t>
      </w:r>
    </w:p>
    <w:p w14:paraId="50ACF261">
      <w:pPr>
        <w:pStyle w:val="12"/>
        <w:adjustRightInd w:val="0"/>
        <w:snapToGrid w:val="0"/>
        <w:spacing w:line="440" w:lineRule="exact"/>
        <w:jc w:val="left"/>
        <w:rPr>
          <w:rFonts w:hint="default" w:ascii="Times New Roman" w:hAnsi="Times New Roman" w:cs="Times New Roman" w:eastAsiaTheme="minorEastAsia"/>
          <w:sz w:val="24"/>
          <w:lang w:val="en-US"/>
        </w:rPr>
      </w:pPr>
      <w:r>
        <w:rPr>
          <w:rFonts w:hint="default" w:ascii="Times New Roman" w:hAnsi="Times New Roman" w:cs="Times New Roman"/>
          <w:sz w:val="24"/>
        </w:rPr>
        <w:t>十三、财政拨款“三公”经费支出决算表</w:t>
      </w:r>
      <w:r>
        <w:rPr>
          <w:rFonts w:hint="default" w:ascii="Times New Roman" w:hAnsi="Times New Roman" w:cs="Times New Roman"/>
          <w:sz w:val="24"/>
        </w:rPr>
        <w:tab/>
      </w:r>
      <w:r>
        <w:rPr>
          <w:rFonts w:hint="eastAsia" w:ascii="Times New Roman" w:hAnsi="Times New Roman" w:cs="Times New Roman"/>
          <w:sz w:val="24"/>
          <w:lang w:val="en-US" w:eastAsia="zh-CN"/>
        </w:rPr>
        <w:t>32</w:t>
      </w:r>
    </w:p>
    <w:p w14:paraId="7C2B4619">
      <w:pPr>
        <w:widowControl/>
        <w:spacing w:line="440" w:lineRule="exact"/>
        <w:jc w:val="left"/>
        <w:rPr>
          <w:rFonts w:hint="default" w:ascii="Times New Roman" w:hAnsi="Times New Roman" w:eastAsia="仿宋" w:cs="Times New Roman"/>
          <w:bCs/>
          <w:kern w:val="44"/>
          <w:sz w:val="24"/>
        </w:rPr>
      </w:pPr>
      <w:bookmarkStart w:id="6" w:name="_Toc15396599"/>
      <w:bookmarkStart w:id="7" w:name="_Toc15377196"/>
      <w:r>
        <w:rPr>
          <w:rFonts w:hint="default" w:ascii="Times New Roman" w:hAnsi="Times New Roman" w:eastAsia="仿宋" w:cs="Times New Roman"/>
          <w:b/>
          <w:sz w:val="24"/>
        </w:rPr>
        <w:br w:type="page"/>
      </w:r>
    </w:p>
    <w:p w14:paraId="0659EC64">
      <w:pPr>
        <w:pStyle w:val="3"/>
        <w:spacing w:before="0" w:after="0" w:line="600" w:lineRule="exact"/>
        <w:jc w:val="center"/>
        <w:rPr>
          <w:rStyle w:val="31"/>
          <w:rFonts w:hint="default" w:ascii="Times New Roman" w:hAnsi="Times New Roman" w:eastAsia="黑体" w:cs="Times New Roman"/>
          <w:b/>
          <w:bCs w:val="0"/>
        </w:rPr>
      </w:pPr>
      <w:r>
        <w:rPr>
          <w:rFonts w:hint="default" w:ascii="Times New Roman" w:hAnsi="Times New Roman" w:eastAsia="黑体" w:cs="Times New Roman"/>
          <w:b w:val="0"/>
        </w:rPr>
        <w:t xml:space="preserve">第一部分 </w:t>
      </w:r>
      <w:r>
        <w:rPr>
          <w:rStyle w:val="31"/>
          <w:rFonts w:hint="default" w:ascii="Times New Roman" w:hAnsi="Times New Roman" w:eastAsia="黑体" w:cs="Times New Roman"/>
          <w:b w:val="0"/>
          <w:bCs w:val="0"/>
        </w:rPr>
        <w:t>部门概况</w:t>
      </w:r>
      <w:bookmarkEnd w:id="6"/>
      <w:bookmarkEnd w:id="7"/>
    </w:p>
    <w:p w14:paraId="1A732176">
      <w:pPr>
        <w:widowControl/>
        <w:spacing w:line="600" w:lineRule="exact"/>
        <w:jc w:val="left"/>
        <w:rPr>
          <w:rFonts w:hint="default" w:ascii="Times New Roman" w:hAnsi="Times New Roman" w:eastAsia="黑体" w:cs="Times New Roman"/>
          <w:sz w:val="32"/>
          <w:szCs w:val="32"/>
        </w:rPr>
      </w:pPr>
    </w:p>
    <w:p w14:paraId="6D0EFEB7">
      <w:pPr>
        <w:widowControl/>
        <w:spacing w:line="600" w:lineRule="exact"/>
        <w:ind w:firstLine="707" w:firstLineChars="220"/>
        <w:rPr>
          <w:rStyle w:val="53"/>
          <w:rFonts w:hint="default" w:ascii="Times New Roman" w:hAnsi="Times New Roman" w:eastAsia="黑体" w:cs="Times New Roman"/>
          <w:kern w:val="44"/>
          <w:sz w:val="44"/>
          <w:szCs w:val="44"/>
        </w:rPr>
      </w:pPr>
      <w:bookmarkStart w:id="8" w:name="_Toc15378445"/>
      <w:bookmarkStart w:id="9" w:name="_Toc15377198"/>
      <w:r>
        <w:rPr>
          <w:rStyle w:val="53"/>
          <w:rFonts w:hint="default" w:ascii="Times New Roman" w:hAnsi="Times New Roman" w:eastAsia="黑体" w:cs="Times New Roman"/>
        </w:rPr>
        <w:t>一、部门职责</w:t>
      </w:r>
    </w:p>
    <w:p w14:paraId="6046339C">
      <w:pPr>
        <w:pStyle w:val="2"/>
        <w:widowControl/>
        <w:adjustRightInd w:val="0"/>
        <w:snapToGrid w:val="0"/>
        <w:spacing w:beforeLines="0" w:line="600" w:lineRule="exact"/>
        <w:ind w:firstLine="672" w:firstLineChars="210"/>
        <w:outlineLvl w:val="2"/>
        <w:rPr>
          <w:rFonts w:hint="default" w:ascii="Times New Roman" w:hAnsi="Times New Roman" w:eastAsia="仿宋" w:cs="Times New Roman"/>
          <w:sz w:val="32"/>
          <w:szCs w:val="32"/>
        </w:rPr>
      </w:pPr>
      <w:r>
        <w:rPr>
          <w:rFonts w:hint="default" w:ascii="Times New Roman" w:hAnsi="Times New Roman" w:eastAsia="楷体_GB2312" w:cs="Times New Roman"/>
          <w:sz w:val="32"/>
          <w:szCs w:val="32"/>
        </w:rPr>
        <w:t>（一）主要职能。</w:t>
      </w:r>
      <w:bookmarkEnd w:id="8"/>
      <w:bookmarkEnd w:id="9"/>
    </w:p>
    <w:p w14:paraId="61DF27D2">
      <w:pPr>
        <w:snapToGrid w:val="0"/>
        <w:spacing w:line="520" w:lineRule="exact"/>
        <w:ind w:firstLine="640" w:firstLineChars="200"/>
        <w:rPr>
          <w:rFonts w:hint="default" w:ascii="Times New Roman" w:hAnsi="Times New Roman" w:eastAsia="仿宋_GB2312" w:cs="Times New Roman"/>
          <w:sz w:val="32"/>
          <w:szCs w:val="32"/>
        </w:rPr>
      </w:pPr>
      <w:bookmarkStart w:id="10" w:name="_Toc15396601"/>
      <w:bookmarkStart w:id="11" w:name="_Toc15377200"/>
      <w:r>
        <w:rPr>
          <w:rFonts w:hint="default" w:ascii="Times New Roman" w:hAnsi="Times New Roman" w:eastAsia="仿宋_GB2312" w:cs="Times New Roman"/>
          <w:sz w:val="32"/>
          <w:szCs w:val="32"/>
        </w:rPr>
        <w:t>按照《中国人民政治协商会议章程》规定，地方政协主要职能是</w:t>
      </w:r>
      <w:r>
        <w:rPr>
          <w:rFonts w:hint="default" w:ascii="Times New Roman" w:hAnsi="Times New Roman" w:cs="Times New Roman"/>
          <w:sz w:val="32"/>
          <w:szCs w:val="32"/>
        </w:rPr>
        <w:t>：</w:t>
      </w:r>
      <w:r>
        <w:rPr>
          <w:rFonts w:hint="default" w:ascii="Times New Roman" w:hAnsi="Times New Roman" w:eastAsia="仿宋_GB2312" w:cs="Times New Roman"/>
          <w:sz w:val="32"/>
          <w:szCs w:val="32"/>
        </w:rPr>
        <w:t>政治协商、民主监督、参政议政。</w:t>
      </w:r>
    </w:p>
    <w:p w14:paraId="07EAD6EE">
      <w:pPr>
        <w:pStyle w:val="4"/>
        <w:spacing w:before="0" w:after="0" w:line="600" w:lineRule="exact"/>
        <w:ind w:firstLine="643" w:firstLineChars="200"/>
        <w:rPr>
          <w:rStyle w:val="32"/>
          <w:rFonts w:hint="default" w:ascii="Times New Roman" w:hAnsi="Times New Roman" w:cs="Times New Roman"/>
          <w:b w:val="0"/>
          <w:bCs w:val="0"/>
        </w:rPr>
      </w:pPr>
      <w:r>
        <w:rPr>
          <w:rStyle w:val="53"/>
          <w:rFonts w:hint="default" w:ascii="Times New Roman" w:hAnsi="Times New Roman" w:eastAsia="黑体" w:cs="Times New Roman"/>
          <w:b/>
          <w:bCs/>
        </w:rPr>
        <w:t>二、机构设置</w:t>
      </w:r>
      <w:bookmarkEnd w:id="10"/>
      <w:bookmarkEnd w:id="11"/>
    </w:p>
    <w:p w14:paraId="4916B34B">
      <w:pPr>
        <w:widowControl/>
        <w:spacing w:line="600" w:lineRule="exact"/>
        <w:ind w:firstLine="709"/>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政协攀枝花市西区委员会内设二室六委：办公室、政策研究室、提案委员会、学习文史教科文卫委员会、法制群团委员会、经济民族宗教联谊委员会、人口资源环境委员会、委员联络委员会。</w:t>
      </w:r>
    </w:p>
    <w:p w14:paraId="440C9D3D">
      <w:pPr>
        <w:pStyle w:val="3"/>
        <w:spacing w:before="0" w:after="0" w:line="600" w:lineRule="exact"/>
        <w:ind w:right="440"/>
        <w:jc w:val="center"/>
        <w:rPr>
          <w:rFonts w:hint="default" w:ascii="Times New Roman" w:hAnsi="Times New Roman" w:eastAsia="黑体" w:cs="Times New Roman"/>
          <w:b w:val="0"/>
        </w:rPr>
      </w:pPr>
      <w:bookmarkStart w:id="12" w:name="_Toc15396602"/>
      <w:bookmarkStart w:id="13" w:name="_Toc15377204"/>
    </w:p>
    <w:p w14:paraId="02AF83F7">
      <w:pPr>
        <w:pStyle w:val="3"/>
        <w:spacing w:before="0" w:after="0" w:line="600" w:lineRule="exact"/>
        <w:ind w:right="440"/>
        <w:jc w:val="center"/>
        <w:rPr>
          <w:rStyle w:val="31"/>
          <w:rFonts w:hint="default" w:ascii="Times New Roman" w:hAnsi="Times New Roman" w:eastAsia="黑体" w:cs="Times New Roman"/>
          <w:b w:val="0"/>
          <w:bCs/>
        </w:rPr>
      </w:pPr>
      <w:r>
        <w:rPr>
          <w:rFonts w:hint="default" w:ascii="Times New Roman" w:hAnsi="Times New Roman" w:eastAsia="黑体" w:cs="Times New Roman"/>
          <w:b w:val="0"/>
        </w:rPr>
        <w:t>第二部分 2022年度</w:t>
      </w:r>
      <w:r>
        <w:rPr>
          <w:rStyle w:val="31"/>
          <w:rFonts w:hint="default" w:ascii="Times New Roman" w:hAnsi="Times New Roman" w:eastAsia="黑体" w:cs="Times New Roman"/>
          <w:b w:val="0"/>
          <w:bCs/>
        </w:rPr>
        <w:t>部门决算情况说明</w:t>
      </w:r>
      <w:bookmarkEnd w:id="12"/>
      <w:bookmarkEnd w:id="13"/>
    </w:p>
    <w:p w14:paraId="45281DAD">
      <w:pPr>
        <w:spacing w:line="600" w:lineRule="exact"/>
        <w:rPr>
          <w:rFonts w:hint="default" w:ascii="Times New Roman" w:hAnsi="Times New Roman" w:cs="Times New Roman"/>
        </w:rPr>
      </w:pPr>
    </w:p>
    <w:p w14:paraId="15202F55">
      <w:pPr>
        <w:pStyle w:val="30"/>
        <w:spacing w:line="600" w:lineRule="exact"/>
        <w:ind w:firstLine="838" w:firstLineChars="262"/>
        <w:outlineLvl w:val="1"/>
        <w:rPr>
          <w:rStyle w:val="32"/>
          <w:rFonts w:hint="default" w:ascii="Times New Roman" w:hAnsi="Times New Roman" w:eastAsia="黑体" w:cs="Times New Roman"/>
          <w:b w:val="0"/>
        </w:rPr>
      </w:pPr>
      <w:bookmarkStart w:id="14" w:name="_Toc15377205"/>
      <w:bookmarkStart w:id="15" w:name="_Toc15396603"/>
      <w:r>
        <w:rPr>
          <w:rFonts w:hint="default" w:ascii="Times New Roman" w:hAnsi="Times New Roman" w:eastAsia="黑体" w:cs="Times New Roman"/>
          <w:sz w:val="32"/>
          <w:szCs w:val="32"/>
        </w:rPr>
        <w:t>一、收</w:t>
      </w:r>
      <w:r>
        <w:rPr>
          <w:rStyle w:val="32"/>
          <w:rFonts w:hint="default" w:ascii="Times New Roman" w:hAnsi="Times New Roman" w:eastAsia="黑体" w:cs="Times New Roman"/>
          <w:b w:val="0"/>
        </w:rPr>
        <w:t>入支出决算总体情况说明</w:t>
      </w:r>
      <w:bookmarkEnd w:id="14"/>
      <w:bookmarkEnd w:id="15"/>
    </w:p>
    <w:p w14:paraId="340AEE19">
      <w:pPr>
        <w:snapToGrid w:val="0"/>
        <w:spacing w:line="600" w:lineRule="exact"/>
        <w:ind w:firstLine="630" w:firstLineChars="197"/>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2022年度收、支总计597.7万元。与2021年相比，收、支总计各增加30.58万元，增长5.39%。</w:t>
      </w:r>
      <w:r>
        <w:rPr>
          <w:rFonts w:hint="default" w:ascii="Times New Roman" w:hAnsi="Times New Roman" w:eastAsia="仿宋_GB2312" w:cs="Times New Roman"/>
          <w:sz w:val="32"/>
          <w:szCs w:val="32"/>
        </w:rPr>
        <w:t>其中:2022年人员经费支出504.34万元，较去年增加支出61.18万元，同比增长13.81%；2022年日常公用经费支出40.88万元，较去年减少6.04万元，同比减少12.87%；2022年项目经费支出50.32万元，较去年减少24.58万元，同比减少32.82%。</w:t>
      </w:r>
    </w:p>
    <w:p w14:paraId="3D2FC23D">
      <w:pPr>
        <w:spacing w:line="600" w:lineRule="exact"/>
        <w:ind w:firstLine="640" w:firstLineChars="200"/>
        <w:rPr>
          <w:rStyle w:val="32"/>
          <w:rFonts w:hint="default" w:ascii="Times New Roman" w:hAnsi="Times New Roman" w:eastAsia="黑体" w:cs="Times New Roman"/>
          <w:b w:val="0"/>
        </w:rPr>
      </w:pPr>
      <w:r>
        <w:rPr>
          <w:rStyle w:val="32"/>
          <w:rFonts w:hint="default" w:ascii="Times New Roman" w:hAnsi="Times New Roman" w:eastAsia="黑体" w:cs="Times New Roman"/>
          <w:b w:val="0"/>
        </w:rPr>
        <w:drawing>
          <wp:anchor distT="0" distB="0" distL="114300" distR="114300" simplePos="0" relativeHeight="251659264" behindDoc="0" locked="0" layoutInCell="1" allowOverlap="1">
            <wp:simplePos x="0" y="0"/>
            <wp:positionH relativeFrom="column">
              <wp:posOffset>108585</wp:posOffset>
            </wp:positionH>
            <wp:positionV relativeFrom="paragraph">
              <wp:posOffset>180975</wp:posOffset>
            </wp:positionV>
            <wp:extent cx="5344795" cy="1857375"/>
            <wp:effectExtent l="4445" t="4445" r="5080" b="5715"/>
            <wp:wrapSquare wrapText="bothSides"/>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bookmarkStart w:id="16" w:name="_Toc15377206"/>
      <w:bookmarkStart w:id="17" w:name="_Toc15396604"/>
      <w:r>
        <w:rPr>
          <w:rStyle w:val="32"/>
          <w:rFonts w:hint="default" w:ascii="Times New Roman" w:hAnsi="Times New Roman" w:eastAsia="黑体" w:cs="Times New Roman"/>
          <w:b w:val="0"/>
        </w:rPr>
        <w:t>二、</w:t>
      </w:r>
      <w:r>
        <w:rPr>
          <w:rFonts w:hint="default" w:ascii="Times New Roman" w:hAnsi="Times New Roman" w:eastAsia="黑体" w:cs="Times New Roman"/>
          <w:sz w:val="32"/>
          <w:szCs w:val="32"/>
        </w:rPr>
        <w:t>收</w:t>
      </w:r>
      <w:r>
        <w:rPr>
          <w:rStyle w:val="32"/>
          <w:rFonts w:hint="default" w:ascii="Times New Roman" w:hAnsi="Times New Roman" w:eastAsia="黑体" w:cs="Times New Roman"/>
          <w:b w:val="0"/>
        </w:rPr>
        <w:t>入决算情况说明</w:t>
      </w:r>
      <w:bookmarkEnd w:id="16"/>
      <w:bookmarkEnd w:id="17"/>
    </w:p>
    <w:p w14:paraId="3689158C">
      <w:pPr>
        <w:spacing w:line="600" w:lineRule="exact"/>
        <w:ind w:firstLine="640" w:firstLineChars="200"/>
        <w:outlineLvl w:val="1"/>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年本年收入合计595.56万元，其中：一般公共预算财政拨款收入551.7万元，占92.63%；政府性基金预算财政拨款收入43.83万元，占7.36%；国有资本经营预算财政拨款收入0万元，占0%；上级补助收入0万元，占0%；事业收入0万元，占0%；经营收入0万元，占0%；附属单位上缴收入0万元，占0%；其他收入0.02万元，占0.01%。</w:t>
      </w:r>
    </w:p>
    <w:p w14:paraId="6CD27B5F">
      <w:pPr>
        <w:spacing w:line="600" w:lineRule="exact"/>
        <w:ind w:firstLine="420" w:firstLineChars="200"/>
        <w:outlineLvl w:val="1"/>
        <w:rPr>
          <w:rFonts w:hint="default" w:ascii="Times New Roman" w:hAnsi="Times New Roman" w:eastAsia="仿宋" w:cs="Times New Roman"/>
          <w:sz w:val="32"/>
          <w:szCs w:val="32"/>
        </w:rPr>
      </w:pPr>
      <w:r>
        <w:rPr>
          <w:rFonts w:hint="default" w:ascii="Times New Roman" w:hAnsi="Times New Roman" w:cs="Times New Roman"/>
        </w:rPr>
        <w:drawing>
          <wp:anchor distT="0" distB="0" distL="114300" distR="114300" simplePos="0" relativeHeight="251660288" behindDoc="0" locked="0" layoutInCell="1" allowOverlap="1">
            <wp:simplePos x="0" y="0"/>
            <wp:positionH relativeFrom="column">
              <wp:posOffset>450215</wp:posOffset>
            </wp:positionH>
            <wp:positionV relativeFrom="paragraph">
              <wp:posOffset>330200</wp:posOffset>
            </wp:positionV>
            <wp:extent cx="5157470" cy="2470150"/>
            <wp:effectExtent l="4445" t="4445" r="8890" b="8255"/>
            <wp:wrapSquare wrapText="bothSides"/>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572723BD">
      <w:pPr>
        <w:spacing w:line="600" w:lineRule="exact"/>
        <w:ind w:firstLine="420" w:firstLineChars="200"/>
        <w:rPr>
          <w:rFonts w:hint="default" w:ascii="Times New Roman" w:hAnsi="Times New Roman" w:cs="Times New Roman"/>
        </w:rPr>
      </w:pPr>
    </w:p>
    <w:p w14:paraId="6AD7C90A">
      <w:pPr>
        <w:pStyle w:val="22"/>
        <w:rPr>
          <w:rFonts w:hint="default" w:ascii="Times New Roman" w:hAnsi="Times New Roman" w:cs="Times New Roman"/>
        </w:rPr>
      </w:pPr>
    </w:p>
    <w:p w14:paraId="34D38F4E">
      <w:pPr>
        <w:pStyle w:val="22"/>
        <w:rPr>
          <w:rFonts w:hint="default" w:ascii="Times New Roman" w:hAnsi="Times New Roman" w:cs="Times New Roman"/>
        </w:rPr>
      </w:pPr>
    </w:p>
    <w:p w14:paraId="0BE5AD5F">
      <w:pPr>
        <w:pStyle w:val="22"/>
        <w:rPr>
          <w:rFonts w:hint="default" w:ascii="Times New Roman" w:hAnsi="Times New Roman" w:cs="Times New Roman"/>
        </w:rPr>
      </w:pPr>
    </w:p>
    <w:p w14:paraId="280B80DF">
      <w:pPr>
        <w:pStyle w:val="22"/>
        <w:rPr>
          <w:rFonts w:hint="default" w:ascii="Times New Roman" w:hAnsi="Times New Roman" w:cs="Times New Roman"/>
        </w:rPr>
      </w:pPr>
    </w:p>
    <w:p w14:paraId="26078810">
      <w:pPr>
        <w:spacing w:line="600" w:lineRule="exact"/>
        <w:ind w:firstLine="640" w:firstLineChars="200"/>
        <w:rPr>
          <w:rFonts w:hint="default" w:ascii="Times New Roman" w:hAnsi="Times New Roman" w:eastAsia="仿宋" w:cs="Times New Roman"/>
          <w:sz w:val="32"/>
          <w:szCs w:val="32"/>
        </w:rPr>
      </w:pPr>
    </w:p>
    <w:p w14:paraId="43733D48">
      <w:pPr>
        <w:spacing w:line="600" w:lineRule="exact"/>
        <w:ind w:firstLine="640" w:firstLineChars="200"/>
        <w:rPr>
          <w:rFonts w:hint="default" w:ascii="Times New Roman" w:hAnsi="Times New Roman" w:eastAsia="仿宋" w:cs="Times New Roman"/>
          <w:sz w:val="32"/>
          <w:szCs w:val="32"/>
        </w:rPr>
      </w:pPr>
    </w:p>
    <w:p w14:paraId="5F938C98">
      <w:pPr>
        <w:spacing w:line="600" w:lineRule="exact"/>
        <w:ind w:firstLine="640" w:firstLineChars="200"/>
        <w:rPr>
          <w:rFonts w:hint="default" w:ascii="Times New Roman" w:hAnsi="Times New Roman" w:eastAsia="仿宋" w:cs="Times New Roman"/>
          <w:sz w:val="32"/>
          <w:szCs w:val="32"/>
        </w:rPr>
      </w:pPr>
    </w:p>
    <w:p w14:paraId="0B59CDEA">
      <w:pPr>
        <w:pStyle w:val="30"/>
        <w:ind w:firstLine="0" w:firstLineChars="0"/>
        <w:outlineLvl w:val="1"/>
        <w:rPr>
          <w:rFonts w:hint="default" w:ascii="Times New Roman" w:hAnsi="Times New Roman" w:cs="Times New Roman"/>
        </w:rPr>
      </w:pPr>
      <w:bookmarkStart w:id="18" w:name="_Toc15377207"/>
      <w:bookmarkStart w:id="19" w:name="_Toc15396605"/>
    </w:p>
    <w:p w14:paraId="068D1B86">
      <w:pPr>
        <w:pStyle w:val="30"/>
        <w:ind w:firstLine="640"/>
        <w:outlineLvl w:val="1"/>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三、支出决算情况说明</w:t>
      </w:r>
      <w:bookmarkEnd w:id="18"/>
      <w:bookmarkEnd w:id="19"/>
    </w:p>
    <w:p w14:paraId="15F8D8BA">
      <w:pPr>
        <w:spacing w:line="600" w:lineRule="exact"/>
        <w:ind w:firstLine="640" w:firstLineChars="200"/>
        <w:outlineLvl w:val="1"/>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2022年本年支出合计595.53万元，其中：基本支出545.21万元，占91.55%；项目支出50.32万元，占8.45%；上缴上级支出0万元，占0%；经营支出0万元，占0%；对附属单位补助支出0万元，占0%。</w:t>
      </w:r>
    </w:p>
    <w:p w14:paraId="52DED14C">
      <w:pPr>
        <w:spacing w:line="600" w:lineRule="exact"/>
        <w:ind w:firstLine="640"/>
        <w:rPr>
          <w:rFonts w:hint="default" w:ascii="Times New Roman" w:hAnsi="Times New Roman" w:eastAsia="仿宋" w:cs="Times New Roman"/>
          <w:sz w:val="32"/>
          <w:szCs w:val="32"/>
          <w:shd w:val="pct10" w:color="auto" w:fill="FFFFFF"/>
        </w:rPr>
      </w:pPr>
      <w:r>
        <w:rPr>
          <w:rFonts w:hint="default" w:ascii="Times New Roman" w:hAnsi="Times New Roman" w:cs="Times New Roman"/>
        </w:rPr>
        <w:drawing>
          <wp:anchor distT="0" distB="0" distL="114300" distR="114300" simplePos="0" relativeHeight="251661312" behindDoc="0" locked="0" layoutInCell="1" allowOverlap="1">
            <wp:simplePos x="0" y="0"/>
            <wp:positionH relativeFrom="column">
              <wp:posOffset>360045</wp:posOffset>
            </wp:positionH>
            <wp:positionV relativeFrom="paragraph">
              <wp:posOffset>219075</wp:posOffset>
            </wp:positionV>
            <wp:extent cx="4826000" cy="2635885"/>
            <wp:effectExtent l="4445" t="4445" r="5715" b="15240"/>
            <wp:wrapSquare wrapText="bothSides"/>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01C13224">
      <w:pPr>
        <w:spacing w:line="600" w:lineRule="exact"/>
        <w:ind w:firstLine="640" w:firstLineChars="200"/>
        <w:rPr>
          <w:rFonts w:hint="default" w:ascii="Times New Roman" w:hAnsi="Times New Roman" w:eastAsia="仿宋_GB2312" w:cs="Times New Roman"/>
          <w:sz w:val="32"/>
          <w:szCs w:val="32"/>
        </w:rPr>
      </w:pPr>
    </w:p>
    <w:p w14:paraId="6C1267BB">
      <w:pPr>
        <w:spacing w:line="600" w:lineRule="exact"/>
        <w:ind w:firstLine="640" w:firstLineChars="200"/>
        <w:outlineLvl w:val="1"/>
        <w:rPr>
          <w:rStyle w:val="32"/>
          <w:rFonts w:hint="default" w:ascii="Times New Roman" w:hAnsi="Times New Roman" w:eastAsia="黑体" w:cs="Times New Roman"/>
          <w:b w:val="0"/>
        </w:rPr>
      </w:pPr>
      <w:bookmarkStart w:id="20" w:name="_Toc15396606"/>
      <w:bookmarkStart w:id="21" w:name="_Toc15377208"/>
      <w:r>
        <w:rPr>
          <w:rFonts w:hint="default" w:ascii="Times New Roman" w:hAnsi="Times New Roman" w:eastAsia="黑体" w:cs="Times New Roman"/>
          <w:sz w:val="32"/>
          <w:szCs w:val="32"/>
        </w:rPr>
        <w:t>四、财</w:t>
      </w:r>
      <w:r>
        <w:rPr>
          <w:rStyle w:val="32"/>
          <w:rFonts w:hint="default" w:ascii="Times New Roman" w:hAnsi="Times New Roman" w:eastAsia="黑体" w:cs="Times New Roman"/>
          <w:b w:val="0"/>
        </w:rPr>
        <w:t>政拨款收入支出决算总体情况说明</w:t>
      </w:r>
      <w:bookmarkEnd w:id="20"/>
      <w:bookmarkEnd w:id="21"/>
    </w:p>
    <w:p w14:paraId="5FC0AD5D">
      <w:pPr>
        <w:snapToGrid w:val="0"/>
        <w:spacing w:line="600" w:lineRule="exact"/>
        <w:ind w:firstLine="630" w:firstLineChars="197"/>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2022年财政拨款收、支总计595.53万元。与2021年相比，财政拨款收、支总计各增加30.59万元，增长5.41%。</w:t>
      </w:r>
      <w:r>
        <w:rPr>
          <w:rFonts w:hint="default" w:ascii="Times New Roman" w:hAnsi="Times New Roman" w:eastAsia="仿宋_GB2312" w:cs="Times New Roman"/>
          <w:sz w:val="32"/>
          <w:szCs w:val="32"/>
        </w:rPr>
        <w:t>其中:2022年人员经费支出504.34万元，较去年增加支出61.18万元，同比增长13.81%；2022年日常公用经费支出40.88万元，较去年减少6万元，同比减少12.8%；2022年项目经费支出50.32万元，较去年减少24.58万元，同比减少32.82%。</w:t>
      </w:r>
    </w:p>
    <w:p w14:paraId="6E487EEB">
      <w:pPr>
        <w:spacing w:line="600" w:lineRule="exact"/>
        <w:ind w:firstLine="640"/>
        <w:rPr>
          <w:rFonts w:hint="default" w:ascii="Times New Roman" w:hAnsi="Times New Roman" w:eastAsia="仿宋" w:cs="Times New Roman"/>
          <w:b/>
          <w:sz w:val="32"/>
          <w:szCs w:val="32"/>
        </w:rPr>
      </w:pPr>
    </w:p>
    <w:p w14:paraId="3F8D0EFA">
      <w:pPr>
        <w:spacing w:line="600" w:lineRule="exact"/>
        <w:ind w:firstLine="638" w:firstLineChars="304"/>
        <w:rPr>
          <w:rStyle w:val="32"/>
          <w:rFonts w:hint="default" w:ascii="Times New Roman" w:hAnsi="Times New Roman" w:eastAsia="黑体" w:cs="Times New Roman"/>
          <w:b w:val="0"/>
        </w:rPr>
      </w:pPr>
      <w:r>
        <w:rPr>
          <w:rFonts w:hint="default" w:ascii="Times New Roman" w:hAnsi="Times New Roman" w:cs="Times New Roman"/>
        </w:rPr>
        <w:drawing>
          <wp:anchor distT="0" distB="0" distL="114300" distR="114300" simplePos="0" relativeHeight="251662336" behindDoc="0" locked="0" layoutInCell="1" allowOverlap="1">
            <wp:simplePos x="0" y="0"/>
            <wp:positionH relativeFrom="column">
              <wp:posOffset>41910</wp:posOffset>
            </wp:positionH>
            <wp:positionV relativeFrom="paragraph">
              <wp:posOffset>60960</wp:posOffset>
            </wp:positionV>
            <wp:extent cx="5457190" cy="2084070"/>
            <wp:effectExtent l="4445" t="4445" r="11430" b="5715"/>
            <wp:wrapSquare wrapText="bothSides"/>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bookmarkStart w:id="22" w:name="_Toc15396607"/>
      <w:bookmarkStart w:id="23" w:name="_Toc15377209"/>
      <w:r>
        <w:rPr>
          <w:rFonts w:hint="default" w:ascii="Times New Roman" w:hAnsi="Times New Roman" w:eastAsia="黑体" w:cs="Times New Roman"/>
          <w:sz w:val="32"/>
          <w:szCs w:val="32"/>
        </w:rPr>
        <w:t>五、</w:t>
      </w:r>
      <w:r>
        <w:rPr>
          <w:rFonts w:hint="default" w:ascii="Times New Roman" w:hAnsi="Times New Roman" w:eastAsia="黑体" w:cs="Times New Roman"/>
          <w:b/>
          <w:sz w:val="32"/>
          <w:szCs w:val="32"/>
        </w:rPr>
        <w:t>一</w:t>
      </w:r>
      <w:r>
        <w:rPr>
          <w:rStyle w:val="32"/>
          <w:rFonts w:hint="default" w:ascii="Times New Roman" w:hAnsi="Times New Roman" w:eastAsia="黑体" w:cs="Times New Roman"/>
          <w:b w:val="0"/>
        </w:rPr>
        <w:t>般公共预算财政拨款支出决算情况说明</w:t>
      </w:r>
      <w:bookmarkEnd w:id="22"/>
      <w:bookmarkEnd w:id="23"/>
    </w:p>
    <w:p w14:paraId="6366C5A5">
      <w:pPr>
        <w:spacing w:line="600" w:lineRule="exact"/>
        <w:ind w:firstLine="643" w:firstLineChars="200"/>
        <w:outlineLvl w:val="2"/>
        <w:rPr>
          <w:rFonts w:hint="default" w:ascii="Times New Roman" w:hAnsi="Times New Roman" w:eastAsia="仿宋" w:cs="Times New Roman"/>
          <w:b/>
          <w:sz w:val="32"/>
          <w:szCs w:val="32"/>
        </w:rPr>
      </w:pPr>
      <w:bookmarkStart w:id="24" w:name="_Toc15377210"/>
      <w:r>
        <w:rPr>
          <w:rFonts w:hint="default" w:ascii="Times New Roman" w:hAnsi="Times New Roman" w:eastAsia="仿宋" w:cs="Times New Roman"/>
          <w:b/>
          <w:sz w:val="32"/>
          <w:szCs w:val="32"/>
        </w:rPr>
        <w:t>（一）一般公共预算财政拨款支出决算总体情况</w:t>
      </w:r>
      <w:bookmarkEnd w:id="24"/>
    </w:p>
    <w:p w14:paraId="69C7DD56">
      <w:pPr>
        <w:snapToGrid w:val="0"/>
        <w:spacing w:line="588"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 w:cs="Times New Roman"/>
          <w:sz w:val="32"/>
          <w:szCs w:val="32"/>
        </w:rPr>
        <w:t>2022年一般公共预算财政拨款支出551.7万元，占本年支出合计的92.64%。与2021年相比，一般公共预算财政拨款支出增加29.72万元，增长5.69%。主要变动原因是发放事业单位基础奖，</w:t>
      </w:r>
      <w:r>
        <w:rPr>
          <w:rFonts w:hint="default" w:ascii="Times New Roman" w:hAnsi="Times New Roman" w:eastAsia="仿宋_GB2312" w:cs="Times New Roman"/>
          <w:sz w:val="32"/>
          <w:szCs w:val="32"/>
        </w:rPr>
        <w:t>补发2021年10月至2022年2月基本工资调标部分，新增公务员工伤保险</w:t>
      </w:r>
      <w:r>
        <w:rPr>
          <w:rFonts w:hint="default" w:ascii="Times New Roman" w:hAnsi="Times New Roman" w:eastAsia="仿宋_GB2312" w:cs="Times New Roman"/>
          <w:color w:val="auto"/>
          <w:sz w:val="32"/>
          <w:szCs w:val="32"/>
        </w:rPr>
        <w:t>等通过人</w:t>
      </w:r>
      <w:r>
        <w:rPr>
          <w:rFonts w:hint="default" w:ascii="Times New Roman" w:hAnsi="Times New Roman" w:eastAsia="仿宋_GB2312" w:cs="Times New Roman"/>
          <w:sz w:val="32"/>
          <w:szCs w:val="32"/>
        </w:rPr>
        <w:t>员支出经费</w:t>
      </w:r>
      <w:r>
        <w:rPr>
          <w:rFonts w:hint="default" w:ascii="Times New Roman" w:hAnsi="Times New Roman" w:eastAsia="仿宋_GB2312" w:cs="Times New Roman"/>
          <w:color w:val="000000"/>
          <w:sz w:val="32"/>
          <w:szCs w:val="32"/>
        </w:rPr>
        <w:t>。</w:t>
      </w:r>
    </w:p>
    <w:p w14:paraId="43D19E12">
      <w:pPr>
        <w:spacing w:line="600" w:lineRule="exact"/>
        <w:ind w:firstLine="420" w:firstLineChars="200"/>
        <w:rPr>
          <w:rFonts w:hint="default" w:ascii="Times New Roman" w:hAnsi="Times New Roman" w:eastAsia="仿宋" w:cs="Times New Roman"/>
          <w:b/>
          <w:sz w:val="32"/>
          <w:szCs w:val="32"/>
        </w:rPr>
      </w:pPr>
      <w:r>
        <w:rPr>
          <w:rFonts w:hint="default" w:ascii="Times New Roman" w:hAnsi="Times New Roman" w:cs="Times New Roman"/>
        </w:rPr>
        <w:drawing>
          <wp:anchor distT="0" distB="0" distL="114300" distR="114300" simplePos="0" relativeHeight="251663360" behindDoc="0" locked="0" layoutInCell="1" allowOverlap="1">
            <wp:simplePos x="0" y="0"/>
            <wp:positionH relativeFrom="column">
              <wp:posOffset>265430</wp:posOffset>
            </wp:positionH>
            <wp:positionV relativeFrom="paragraph">
              <wp:posOffset>176530</wp:posOffset>
            </wp:positionV>
            <wp:extent cx="5264150" cy="2364740"/>
            <wp:effectExtent l="5080" t="4445" r="9525" b="5715"/>
            <wp:wrapSquare wrapText="bothSides"/>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bookmarkStart w:id="25" w:name="_Toc15377211"/>
      <w:r>
        <w:rPr>
          <w:rFonts w:hint="default" w:ascii="Times New Roman" w:hAnsi="Times New Roman" w:eastAsia="仿宋" w:cs="Times New Roman"/>
          <w:b/>
          <w:sz w:val="32"/>
          <w:szCs w:val="32"/>
        </w:rPr>
        <w:t>（二）一般公共预算财政拨款支出决算结构情况</w:t>
      </w:r>
      <w:bookmarkEnd w:id="25"/>
    </w:p>
    <w:p w14:paraId="158BA022">
      <w:pPr>
        <w:spacing w:line="600" w:lineRule="exact"/>
        <w:ind w:firstLine="64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2022年一般公共预算财政拨款支出551.7万元，主要用于以</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275590</wp:posOffset>
            </wp:positionH>
            <wp:positionV relativeFrom="paragraph">
              <wp:posOffset>2007235</wp:posOffset>
            </wp:positionV>
            <wp:extent cx="4826000" cy="2493010"/>
            <wp:effectExtent l="4445" t="4445" r="5715" b="6985"/>
            <wp:wrapTight wrapText="bothSides">
              <wp:wrapPolygon>
                <wp:start x="-20" y="-39"/>
                <wp:lineTo x="-20" y="21380"/>
                <wp:lineTo x="21384" y="21380"/>
                <wp:lineTo x="21384" y="-39"/>
                <wp:lineTo x="-20" y="-39"/>
              </wp:wrapPolygon>
            </wp:wrapTight>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default" w:ascii="Times New Roman" w:hAnsi="Times New Roman" w:eastAsia="仿宋" w:cs="Times New Roman"/>
          <w:sz w:val="32"/>
          <w:szCs w:val="32"/>
        </w:rPr>
        <w:t>下方面:</w:t>
      </w:r>
      <w:r>
        <w:rPr>
          <w:rFonts w:hint="default" w:ascii="Times New Roman" w:hAnsi="Times New Roman" w:eastAsia="仿宋" w:cs="Times New Roman"/>
          <w:b/>
          <w:sz w:val="32"/>
          <w:szCs w:val="32"/>
        </w:rPr>
        <w:t>一般公共服务</w:t>
      </w:r>
      <w:r>
        <w:rPr>
          <w:rFonts w:hint="default" w:ascii="Times New Roman" w:hAnsi="Times New Roman" w:eastAsia="仿宋" w:cs="Times New Roman"/>
          <w:b/>
          <w:bCs/>
          <w:sz w:val="32"/>
          <w:szCs w:val="32"/>
        </w:rPr>
        <w:t>支出</w:t>
      </w:r>
      <w:r>
        <w:rPr>
          <w:rFonts w:hint="default" w:ascii="Times New Roman" w:hAnsi="Times New Roman" w:eastAsia="仿宋" w:cs="Times New Roman"/>
          <w:sz w:val="32"/>
          <w:szCs w:val="32"/>
        </w:rPr>
        <w:t>401.42万元，占72.76%；</w:t>
      </w:r>
      <w:r>
        <w:rPr>
          <w:rFonts w:hint="default" w:ascii="Times New Roman" w:hAnsi="Times New Roman" w:eastAsia="仿宋" w:cs="Times New Roman"/>
          <w:b/>
          <w:sz w:val="32"/>
          <w:szCs w:val="32"/>
        </w:rPr>
        <w:t>教育支出</w:t>
      </w:r>
      <w:r>
        <w:rPr>
          <w:rFonts w:hint="default" w:ascii="Times New Roman" w:hAnsi="Times New Roman" w:eastAsia="仿宋" w:cs="Times New Roman"/>
          <w:sz w:val="32"/>
          <w:szCs w:val="32"/>
        </w:rPr>
        <w:t>0万元，占0%；</w:t>
      </w:r>
      <w:r>
        <w:rPr>
          <w:rFonts w:hint="default" w:ascii="Times New Roman" w:hAnsi="Times New Roman" w:eastAsia="仿宋" w:cs="Times New Roman"/>
          <w:b/>
          <w:sz w:val="32"/>
          <w:szCs w:val="32"/>
        </w:rPr>
        <w:t>科学技术</w:t>
      </w:r>
      <w:r>
        <w:rPr>
          <w:rFonts w:hint="default" w:ascii="Times New Roman" w:hAnsi="Times New Roman" w:eastAsia="仿宋" w:cs="Times New Roman"/>
          <w:b/>
          <w:bCs/>
          <w:sz w:val="32"/>
          <w:szCs w:val="32"/>
        </w:rPr>
        <w:t>支出</w:t>
      </w:r>
      <w:r>
        <w:rPr>
          <w:rFonts w:hint="default" w:ascii="Times New Roman" w:hAnsi="Times New Roman" w:eastAsia="仿宋" w:cs="Times New Roman"/>
          <w:sz w:val="32"/>
          <w:szCs w:val="32"/>
        </w:rPr>
        <w:t>0万元，占0%；</w:t>
      </w:r>
      <w:r>
        <w:rPr>
          <w:rFonts w:hint="default" w:ascii="Times New Roman" w:hAnsi="Times New Roman" w:eastAsia="仿宋" w:cs="Times New Roman"/>
          <w:b/>
          <w:bCs/>
          <w:sz w:val="32"/>
          <w:szCs w:val="32"/>
        </w:rPr>
        <w:t>文化旅游体育与传媒支出0万元，占0%</w:t>
      </w:r>
      <w:r>
        <w:rPr>
          <w:rFonts w:hint="default" w:ascii="Times New Roman" w:hAnsi="Times New Roman" w:eastAsia="仿宋" w:cs="Times New Roman"/>
          <w:sz w:val="32"/>
          <w:szCs w:val="32"/>
        </w:rPr>
        <w:t>；</w:t>
      </w:r>
      <w:r>
        <w:rPr>
          <w:rFonts w:hint="default" w:ascii="Times New Roman" w:hAnsi="Times New Roman" w:eastAsia="仿宋" w:cs="Times New Roman"/>
          <w:b/>
          <w:sz w:val="32"/>
          <w:szCs w:val="32"/>
        </w:rPr>
        <w:t>社会保障和就业</w:t>
      </w:r>
      <w:r>
        <w:rPr>
          <w:rFonts w:hint="default" w:ascii="Times New Roman" w:hAnsi="Times New Roman" w:eastAsia="仿宋" w:cs="Times New Roman"/>
          <w:b/>
          <w:bCs/>
          <w:sz w:val="32"/>
          <w:szCs w:val="32"/>
        </w:rPr>
        <w:t>支出</w:t>
      </w:r>
      <w:r>
        <w:rPr>
          <w:rFonts w:hint="default" w:ascii="Times New Roman" w:hAnsi="Times New Roman" w:eastAsia="仿宋" w:cs="Times New Roman"/>
          <w:sz w:val="32"/>
          <w:szCs w:val="32"/>
        </w:rPr>
        <w:t>78.28万元，占14.19%；</w:t>
      </w:r>
      <w:r>
        <w:rPr>
          <w:rFonts w:hint="default" w:ascii="Times New Roman" w:hAnsi="Times New Roman" w:eastAsia="仿宋" w:cs="Times New Roman"/>
          <w:b/>
          <w:bCs/>
          <w:sz w:val="32"/>
          <w:szCs w:val="32"/>
        </w:rPr>
        <w:t>卫生健康支出</w:t>
      </w:r>
      <w:r>
        <w:rPr>
          <w:rFonts w:hint="default" w:ascii="Times New Roman" w:hAnsi="Times New Roman" w:eastAsia="仿宋" w:cs="Times New Roman"/>
          <w:sz w:val="32"/>
          <w:szCs w:val="32"/>
        </w:rPr>
        <w:t>31.61万元，占5.73%；</w:t>
      </w:r>
      <w:r>
        <w:rPr>
          <w:rFonts w:hint="default" w:ascii="Times New Roman" w:hAnsi="Times New Roman" w:eastAsia="仿宋" w:cs="Times New Roman"/>
          <w:b/>
          <w:bCs/>
          <w:sz w:val="32"/>
          <w:szCs w:val="32"/>
        </w:rPr>
        <w:t>住房保障支出</w:t>
      </w:r>
      <w:r>
        <w:rPr>
          <w:rFonts w:hint="default" w:ascii="Times New Roman" w:hAnsi="Times New Roman" w:eastAsia="仿宋" w:cs="Times New Roman"/>
          <w:sz w:val="32"/>
          <w:szCs w:val="32"/>
        </w:rPr>
        <w:t>40.38万元，占7.32%。</w:t>
      </w:r>
    </w:p>
    <w:p w14:paraId="34D79196">
      <w:pPr>
        <w:spacing w:line="600" w:lineRule="exact"/>
        <w:ind w:firstLine="640"/>
        <w:rPr>
          <w:rFonts w:hint="default" w:ascii="Times New Roman" w:hAnsi="Times New Roman" w:eastAsia="仿宋" w:cs="Times New Roman"/>
          <w:sz w:val="32"/>
          <w:szCs w:val="32"/>
        </w:rPr>
      </w:pPr>
    </w:p>
    <w:p w14:paraId="5C4E6B66">
      <w:pPr>
        <w:pStyle w:val="2"/>
        <w:rPr>
          <w:rFonts w:hint="default" w:ascii="Times New Roman" w:hAnsi="Times New Roman" w:eastAsia="仿宋" w:cs="Times New Roman"/>
          <w:sz w:val="32"/>
          <w:szCs w:val="32"/>
        </w:rPr>
      </w:pPr>
    </w:p>
    <w:p w14:paraId="1D61E6B5">
      <w:pPr>
        <w:pStyle w:val="2"/>
        <w:rPr>
          <w:rFonts w:hint="default" w:ascii="Times New Roman" w:hAnsi="Times New Roman" w:eastAsia="仿宋" w:cs="Times New Roman"/>
          <w:sz w:val="32"/>
          <w:szCs w:val="32"/>
        </w:rPr>
      </w:pPr>
    </w:p>
    <w:p w14:paraId="1E58065C">
      <w:pPr>
        <w:pStyle w:val="2"/>
        <w:rPr>
          <w:rFonts w:hint="default" w:ascii="Times New Roman" w:hAnsi="Times New Roman" w:eastAsia="仿宋" w:cs="Times New Roman"/>
          <w:sz w:val="32"/>
          <w:szCs w:val="32"/>
        </w:rPr>
      </w:pPr>
    </w:p>
    <w:p w14:paraId="0846791D">
      <w:pPr>
        <w:pStyle w:val="2"/>
        <w:rPr>
          <w:rFonts w:hint="default" w:ascii="Times New Roman" w:hAnsi="Times New Roman" w:eastAsia="仿宋" w:cs="Times New Roman"/>
          <w:sz w:val="32"/>
          <w:szCs w:val="32"/>
        </w:rPr>
      </w:pPr>
    </w:p>
    <w:p w14:paraId="2A9F9D91">
      <w:pPr>
        <w:pStyle w:val="2"/>
        <w:rPr>
          <w:rFonts w:hint="default" w:ascii="Times New Roman" w:hAnsi="Times New Roman" w:eastAsia="仿宋" w:cs="Times New Roman"/>
          <w:sz w:val="32"/>
          <w:szCs w:val="32"/>
        </w:rPr>
      </w:pPr>
    </w:p>
    <w:p w14:paraId="47DEC361">
      <w:pPr>
        <w:spacing w:line="600" w:lineRule="exact"/>
        <w:ind w:firstLine="643" w:firstLineChars="200"/>
        <w:outlineLvl w:val="2"/>
        <w:rPr>
          <w:rFonts w:hint="default" w:ascii="Times New Roman" w:hAnsi="Times New Roman" w:eastAsia="仿宋" w:cs="Times New Roman"/>
          <w:b/>
          <w:sz w:val="32"/>
          <w:szCs w:val="32"/>
        </w:rPr>
      </w:pPr>
      <w:bookmarkStart w:id="26" w:name="_Toc15377212"/>
      <w:r>
        <w:rPr>
          <w:rFonts w:hint="default" w:ascii="Times New Roman" w:hAnsi="Times New Roman" w:eastAsia="仿宋" w:cs="Times New Roman"/>
          <w:b/>
          <w:sz w:val="32"/>
          <w:szCs w:val="32"/>
        </w:rPr>
        <w:t>（三）一般公共预算财政拨款支出决算具体情况</w:t>
      </w:r>
      <w:bookmarkEnd w:id="26"/>
    </w:p>
    <w:p w14:paraId="75DE4432">
      <w:pPr>
        <w:spacing w:line="600" w:lineRule="exact"/>
        <w:ind w:firstLine="643" w:firstLineChars="200"/>
        <w:outlineLvl w:val="2"/>
        <w:rPr>
          <w:rFonts w:hint="default" w:ascii="Times New Roman" w:hAnsi="Times New Roman" w:eastAsia="仿宋" w:cs="Times New Roman"/>
          <w:sz w:val="32"/>
          <w:szCs w:val="32"/>
        </w:rPr>
      </w:pPr>
      <w:bookmarkStart w:id="27" w:name="_Toc15377444"/>
      <w:bookmarkStart w:id="28" w:name="_Toc15378460"/>
      <w:bookmarkStart w:id="29" w:name="_Toc15377213"/>
      <w:r>
        <w:rPr>
          <w:rFonts w:hint="default" w:ascii="Times New Roman" w:hAnsi="Times New Roman" w:eastAsia="仿宋" w:cs="Times New Roman"/>
          <w:b/>
          <w:sz w:val="32"/>
          <w:szCs w:val="32"/>
        </w:rPr>
        <w:t>2022年一般公共预算支出决算数为551.7万元</w:t>
      </w:r>
      <w:r>
        <w:rPr>
          <w:rFonts w:hint="default" w:ascii="Times New Roman" w:hAnsi="Times New Roman" w:eastAsia="仿宋" w:cs="Times New Roman"/>
          <w:sz w:val="32"/>
          <w:szCs w:val="32"/>
        </w:rPr>
        <w:t>，</w:t>
      </w:r>
      <w:r>
        <w:rPr>
          <w:rStyle w:val="17"/>
          <w:rFonts w:hint="default" w:ascii="Times New Roman" w:hAnsi="Times New Roman" w:eastAsia="仿宋" w:cs="Times New Roman"/>
          <w:bCs/>
          <w:sz w:val="32"/>
          <w:szCs w:val="32"/>
        </w:rPr>
        <w:t>完成预算100%。其中：</w:t>
      </w:r>
      <w:bookmarkEnd w:id="27"/>
      <w:bookmarkEnd w:id="28"/>
      <w:bookmarkEnd w:id="29"/>
    </w:p>
    <w:p w14:paraId="26B739A8">
      <w:pPr>
        <w:pStyle w:val="2"/>
        <w:adjustRightInd w:val="0"/>
        <w:snapToGrid w:val="0"/>
        <w:spacing w:beforeLines="0" w:line="600" w:lineRule="exact"/>
        <w:ind w:firstLine="675" w:firstLineChars="210"/>
        <w:outlineLvl w:val="2"/>
        <w:rPr>
          <w:rFonts w:hint="default" w:ascii="Times New Roman" w:hAnsi="Times New Roman" w:cs="Times New Roman"/>
          <w:sz w:val="32"/>
          <w:szCs w:val="32"/>
        </w:rPr>
      </w:pPr>
      <w:r>
        <w:rPr>
          <w:rStyle w:val="17"/>
          <w:rFonts w:hint="default" w:ascii="Times New Roman" w:hAnsi="Times New Roman" w:eastAsia="仿宋" w:cs="Times New Roman"/>
          <w:bCs/>
          <w:sz w:val="32"/>
          <w:szCs w:val="32"/>
        </w:rPr>
        <w:t>1.一般公共服务（类）</w:t>
      </w:r>
      <w:r>
        <w:rPr>
          <w:rFonts w:hint="default" w:ascii="Times New Roman" w:hAnsi="Times New Roman" w:cs="Times New Roman"/>
          <w:b/>
          <w:bCs/>
          <w:sz w:val="32"/>
          <w:szCs w:val="32"/>
        </w:rPr>
        <w:t>政协事务（款）行政运行（项）:</w:t>
      </w:r>
      <w:r>
        <w:rPr>
          <w:rFonts w:hint="default" w:ascii="Times New Roman" w:hAnsi="Times New Roman" w:cs="Times New Roman"/>
          <w:sz w:val="32"/>
          <w:szCs w:val="32"/>
        </w:rPr>
        <w:t>支出决算为358.02万元,完成预算100%。</w:t>
      </w:r>
    </w:p>
    <w:p w14:paraId="5EEEE3DC">
      <w:pPr>
        <w:pStyle w:val="2"/>
        <w:adjustRightInd w:val="0"/>
        <w:snapToGrid w:val="0"/>
        <w:spacing w:beforeLines="0" w:line="600" w:lineRule="exact"/>
        <w:ind w:firstLine="672" w:firstLineChars="210"/>
        <w:outlineLvl w:val="2"/>
        <w:rPr>
          <w:rFonts w:hint="default" w:ascii="Times New Roman" w:hAnsi="Times New Roman" w:cs="Times New Roman"/>
          <w:sz w:val="32"/>
          <w:szCs w:val="32"/>
        </w:rPr>
      </w:pPr>
      <w:r>
        <w:rPr>
          <w:rFonts w:hint="default" w:ascii="Times New Roman" w:hAnsi="Times New Roman" w:cs="Times New Roman"/>
          <w:sz w:val="32"/>
          <w:szCs w:val="32"/>
        </w:rPr>
        <w:t>2.</w:t>
      </w:r>
      <w:r>
        <w:rPr>
          <w:rStyle w:val="17"/>
          <w:rFonts w:hint="default" w:ascii="Times New Roman" w:hAnsi="Times New Roman" w:eastAsia="仿宋" w:cs="Times New Roman"/>
          <w:bCs/>
          <w:sz w:val="32"/>
          <w:szCs w:val="32"/>
        </w:rPr>
        <w:t>一般公共服务（类）</w:t>
      </w:r>
      <w:r>
        <w:rPr>
          <w:rFonts w:hint="default" w:ascii="Times New Roman" w:hAnsi="Times New Roman" w:cs="Times New Roman"/>
          <w:b/>
          <w:bCs/>
          <w:sz w:val="32"/>
          <w:szCs w:val="32"/>
        </w:rPr>
        <w:t>政协事务（款）一般行政管理事务（项）：</w:t>
      </w:r>
      <w:r>
        <w:rPr>
          <w:rFonts w:hint="default" w:ascii="Times New Roman" w:hAnsi="Times New Roman" w:cs="Times New Roman"/>
          <w:sz w:val="32"/>
          <w:szCs w:val="32"/>
        </w:rPr>
        <w:t>支出决算为6.48万元，完成预算100%。</w:t>
      </w:r>
    </w:p>
    <w:p w14:paraId="7578CBAC">
      <w:pPr>
        <w:pStyle w:val="2"/>
        <w:adjustRightInd w:val="0"/>
        <w:snapToGrid w:val="0"/>
        <w:spacing w:beforeLines="0" w:line="600" w:lineRule="exact"/>
        <w:ind w:firstLine="675" w:firstLineChars="210"/>
        <w:outlineLvl w:val="2"/>
        <w:rPr>
          <w:rFonts w:hint="default" w:ascii="Times New Roman" w:hAnsi="Times New Roman" w:cs="Times New Roman"/>
          <w:color w:val="000000"/>
          <w:sz w:val="32"/>
          <w:szCs w:val="32"/>
        </w:rPr>
      </w:pPr>
      <w:r>
        <w:rPr>
          <w:rStyle w:val="17"/>
          <w:rFonts w:hint="default" w:ascii="Times New Roman" w:hAnsi="Times New Roman" w:eastAsia="仿宋" w:cs="Times New Roman"/>
          <w:bCs/>
          <w:sz w:val="32"/>
          <w:szCs w:val="32"/>
        </w:rPr>
        <w:t>3.一般公共服务（类）</w:t>
      </w:r>
      <w:r>
        <w:rPr>
          <w:rFonts w:hint="default" w:ascii="Times New Roman" w:hAnsi="Times New Roman" w:cs="Times New Roman"/>
          <w:b/>
          <w:bCs/>
          <w:sz w:val="32"/>
          <w:szCs w:val="32"/>
        </w:rPr>
        <w:t>政协事务（款）事业运行（项）：</w:t>
      </w:r>
      <w:r>
        <w:rPr>
          <w:rFonts w:hint="default" w:ascii="Times New Roman" w:hAnsi="Times New Roman" w:cs="Times New Roman"/>
          <w:sz w:val="32"/>
          <w:szCs w:val="32"/>
        </w:rPr>
        <w:t>支出决算为36.92万元，完成预算100%。</w:t>
      </w:r>
    </w:p>
    <w:p w14:paraId="07E92465">
      <w:pPr>
        <w:pStyle w:val="2"/>
        <w:adjustRightInd w:val="0"/>
        <w:snapToGrid w:val="0"/>
        <w:spacing w:beforeLines="0" w:line="600" w:lineRule="exact"/>
        <w:ind w:firstLine="675" w:firstLineChars="210"/>
        <w:outlineLvl w:val="2"/>
        <w:rPr>
          <w:rFonts w:hint="default" w:ascii="Times New Roman" w:hAnsi="Times New Roman" w:cs="Times New Roman"/>
          <w:sz w:val="32"/>
          <w:szCs w:val="32"/>
        </w:rPr>
      </w:pPr>
      <w:r>
        <w:rPr>
          <w:rFonts w:hint="default" w:ascii="Times New Roman" w:hAnsi="Times New Roman" w:cs="Times New Roman"/>
          <w:b/>
          <w:bCs/>
          <w:sz w:val="32"/>
          <w:szCs w:val="32"/>
        </w:rPr>
        <w:t>4.社会保障和就业支出（类）行政事业单位养老支出（款）行政单位离退休（项）:</w:t>
      </w:r>
      <w:r>
        <w:rPr>
          <w:rFonts w:hint="default" w:ascii="Times New Roman" w:hAnsi="Times New Roman" w:cs="Times New Roman"/>
          <w:sz w:val="32"/>
          <w:szCs w:val="32"/>
        </w:rPr>
        <w:t>支出决算为27.2万元，完成预算100%。</w:t>
      </w:r>
    </w:p>
    <w:p w14:paraId="1F756CCC">
      <w:pPr>
        <w:pStyle w:val="2"/>
        <w:adjustRightInd w:val="0"/>
        <w:snapToGrid w:val="0"/>
        <w:spacing w:beforeLines="0" w:line="600" w:lineRule="exact"/>
        <w:ind w:firstLine="672" w:firstLineChars="210"/>
        <w:outlineLvl w:val="2"/>
        <w:rPr>
          <w:rFonts w:hint="default" w:ascii="Times New Roman" w:hAnsi="Times New Roman" w:cs="Times New Roman"/>
          <w:sz w:val="32"/>
          <w:szCs w:val="32"/>
        </w:rPr>
      </w:pPr>
      <w:r>
        <w:rPr>
          <w:rFonts w:hint="default" w:ascii="Times New Roman" w:hAnsi="Times New Roman" w:cs="Times New Roman"/>
          <w:sz w:val="32"/>
          <w:szCs w:val="32"/>
        </w:rPr>
        <w:t>5.</w:t>
      </w:r>
      <w:r>
        <w:rPr>
          <w:rFonts w:hint="default" w:ascii="Times New Roman" w:hAnsi="Times New Roman" w:cs="Times New Roman"/>
          <w:b/>
          <w:bCs/>
          <w:sz w:val="32"/>
          <w:szCs w:val="32"/>
        </w:rPr>
        <w:t>社会保障和就业支出（类）行政事业单位养老支出（款）机关事业单位基本养老保险缴费支出（项）:</w:t>
      </w:r>
      <w:r>
        <w:rPr>
          <w:rFonts w:hint="default" w:ascii="Times New Roman" w:hAnsi="Times New Roman" w:cs="Times New Roman"/>
          <w:sz w:val="32"/>
          <w:szCs w:val="32"/>
        </w:rPr>
        <w:t>支出决算为31.13万元，完成预算100%。</w:t>
      </w:r>
    </w:p>
    <w:p w14:paraId="53DEF642">
      <w:pPr>
        <w:pStyle w:val="2"/>
        <w:adjustRightInd w:val="0"/>
        <w:snapToGrid w:val="0"/>
        <w:spacing w:beforeLines="0" w:line="600" w:lineRule="exact"/>
        <w:ind w:firstLine="675" w:firstLineChars="210"/>
        <w:outlineLvl w:val="2"/>
        <w:rPr>
          <w:rFonts w:hint="default" w:ascii="Times New Roman" w:hAnsi="Times New Roman" w:cs="Times New Roman"/>
          <w:sz w:val="32"/>
          <w:szCs w:val="32"/>
        </w:rPr>
      </w:pPr>
      <w:r>
        <w:rPr>
          <w:rFonts w:hint="default" w:ascii="Times New Roman" w:hAnsi="Times New Roman" w:cs="Times New Roman"/>
          <w:b/>
          <w:bCs/>
          <w:sz w:val="32"/>
          <w:szCs w:val="32"/>
        </w:rPr>
        <w:t>6.社会保障和就业支出（类）行政事业单位养老支出（款）机关事业单位职业年金缴费（项）：</w:t>
      </w:r>
      <w:r>
        <w:rPr>
          <w:rFonts w:hint="default" w:ascii="Times New Roman" w:hAnsi="Times New Roman" w:cs="Times New Roman"/>
          <w:sz w:val="32"/>
          <w:szCs w:val="32"/>
        </w:rPr>
        <w:t>支出19.95万元，完成预算100%。</w:t>
      </w:r>
    </w:p>
    <w:p w14:paraId="564ABE91">
      <w:pPr>
        <w:pStyle w:val="2"/>
        <w:adjustRightInd w:val="0"/>
        <w:snapToGrid w:val="0"/>
        <w:spacing w:beforeLines="0" w:line="600" w:lineRule="exact"/>
        <w:ind w:firstLine="675" w:firstLineChars="210"/>
        <w:outlineLvl w:val="2"/>
        <w:rPr>
          <w:rFonts w:hint="default" w:ascii="Times New Roman" w:hAnsi="Times New Roman" w:cs="Times New Roman"/>
          <w:sz w:val="32"/>
          <w:szCs w:val="32"/>
        </w:rPr>
      </w:pPr>
      <w:r>
        <w:rPr>
          <w:rFonts w:hint="default" w:ascii="Times New Roman" w:hAnsi="Times New Roman" w:cs="Times New Roman"/>
          <w:b/>
          <w:bCs/>
          <w:sz w:val="32"/>
          <w:szCs w:val="32"/>
        </w:rPr>
        <w:t>7.</w:t>
      </w:r>
      <w:r>
        <w:rPr>
          <w:rFonts w:hint="default" w:ascii="Times New Roman" w:hAnsi="Times New Roman" w:cs="Times New Roman"/>
          <w:b/>
          <w:bCs/>
          <w:color w:val="000000"/>
          <w:sz w:val="32"/>
          <w:szCs w:val="32"/>
        </w:rPr>
        <w:t>卫生健康支出</w:t>
      </w:r>
      <w:r>
        <w:rPr>
          <w:rFonts w:hint="default" w:ascii="Times New Roman" w:hAnsi="Times New Roman" w:cs="Times New Roman"/>
          <w:b/>
          <w:bCs/>
          <w:sz w:val="32"/>
          <w:szCs w:val="32"/>
        </w:rPr>
        <w:t>（类）行政事业单位医疗（款）行政单位医疗（项）:</w:t>
      </w:r>
      <w:r>
        <w:rPr>
          <w:rFonts w:hint="default" w:ascii="Times New Roman" w:hAnsi="Times New Roman" w:cs="Times New Roman"/>
          <w:sz w:val="32"/>
          <w:szCs w:val="32"/>
        </w:rPr>
        <w:t>支出决算为26.65万元，完成预算100%。</w:t>
      </w:r>
    </w:p>
    <w:p w14:paraId="54048571">
      <w:pPr>
        <w:pStyle w:val="2"/>
        <w:adjustRightInd w:val="0"/>
        <w:snapToGrid w:val="0"/>
        <w:spacing w:beforeLines="0" w:line="600" w:lineRule="exact"/>
        <w:ind w:firstLine="672" w:firstLineChars="210"/>
        <w:outlineLvl w:val="2"/>
        <w:rPr>
          <w:rFonts w:hint="default" w:ascii="Times New Roman" w:hAnsi="Times New Roman" w:cs="Times New Roman"/>
          <w:sz w:val="32"/>
          <w:szCs w:val="32"/>
        </w:rPr>
      </w:pPr>
      <w:r>
        <w:rPr>
          <w:rFonts w:hint="default" w:ascii="Times New Roman" w:hAnsi="Times New Roman" w:cs="Times New Roman"/>
          <w:sz w:val="32"/>
          <w:szCs w:val="32"/>
        </w:rPr>
        <w:t>8.</w:t>
      </w:r>
      <w:r>
        <w:rPr>
          <w:rFonts w:hint="default" w:ascii="Times New Roman" w:hAnsi="Times New Roman" w:cs="Times New Roman"/>
          <w:b/>
          <w:bCs/>
          <w:color w:val="000000"/>
          <w:sz w:val="32"/>
          <w:szCs w:val="32"/>
        </w:rPr>
        <w:t>卫生健康支出</w:t>
      </w:r>
      <w:r>
        <w:rPr>
          <w:rFonts w:hint="default" w:ascii="Times New Roman" w:hAnsi="Times New Roman" w:cs="Times New Roman"/>
          <w:b/>
          <w:bCs/>
          <w:sz w:val="32"/>
          <w:szCs w:val="32"/>
        </w:rPr>
        <w:t>（类）行政事业单位医疗（款）事业单位医疗（项）:</w:t>
      </w:r>
      <w:r>
        <w:rPr>
          <w:rFonts w:hint="default" w:ascii="Times New Roman" w:hAnsi="Times New Roman" w:cs="Times New Roman"/>
          <w:sz w:val="32"/>
          <w:szCs w:val="32"/>
        </w:rPr>
        <w:t>支出决算为2.33万元，完成预算100%。</w:t>
      </w:r>
    </w:p>
    <w:p w14:paraId="1110999B">
      <w:pPr>
        <w:pStyle w:val="2"/>
        <w:adjustRightInd w:val="0"/>
        <w:snapToGrid w:val="0"/>
        <w:spacing w:beforeLines="0" w:line="600" w:lineRule="exact"/>
        <w:ind w:firstLine="672" w:firstLineChars="210"/>
        <w:outlineLvl w:val="2"/>
        <w:rPr>
          <w:rFonts w:hint="default" w:ascii="Times New Roman" w:hAnsi="Times New Roman" w:cs="Times New Roman"/>
          <w:sz w:val="32"/>
          <w:szCs w:val="32"/>
        </w:rPr>
      </w:pPr>
      <w:r>
        <w:rPr>
          <w:rFonts w:hint="default" w:ascii="Times New Roman" w:hAnsi="Times New Roman" w:cs="Times New Roman"/>
          <w:sz w:val="32"/>
          <w:szCs w:val="32"/>
        </w:rPr>
        <w:t>9.</w:t>
      </w:r>
      <w:r>
        <w:rPr>
          <w:rFonts w:hint="default" w:ascii="Times New Roman" w:hAnsi="Times New Roman" w:cs="Times New Roman"/>
          <w:b/>
          <w:bCs/>
          <w:color w:val="000000"/>
          <w:sz w:val="32"/>
          <w:szCs w:val="32"/>
        </w:rPr>
        <w:t>卫生健康支出</w:t>
      </w:r>
      <w:r>
        <w:rPr>
          <w:rFonts w:hint="default" w:ascii="Times New Roman" w:hAnsi="Times New Roman" w:cs="Times New Roman"/>
          <w:b/>
          <w:bCs/>
          <w:sz w:val="32"/>
          <w:szCs w:val="32"/>
        </w:rPr>
        <w:t>（类）行政事业单位医疗（款）公务员医疗补助（项）:</w:t>
      </w:r>
      <w:r>
        <w:rPr>
          <w:rFonts w:hint="default" w:ascii="Times New Roman" w:hAnsi="Times New Roman" w:cs="Times New Roman"/>
          <w:sz w:val="32"/>
          <w:szCs w:val="32"/>
        </w:rPr>
        <w:t>支出决算为2.41万元，完成预算100%。</w:t>
      </w:r>
    </w:p>
    <w:p w14:paraId="43311877">
      <w:pPr>
        <w:pStyle w:val="2"/>
        <w:adjustRightInd w:val="0"/>
        <w:snapToGrid w:val="0"/>
        <w:spacing w:beforeLines="0" w:line="600" w:lineRule="exact"/>
        <w:ind w:firstLine="675" w:firstLineChars="210"/>
        <w:outlineLvl w:val="2"/>
        <w:rPr>
          <w:rFonts w:hint="default" w:ascii="Times New Roman" w:hAnsi="Times New Roman" w:cs="Times New Roman"/>
          <w:sz w:val="32"/>
          <w:szCs w:val="32"/>
        </w:rPr>
      </w:pPr>
      <w:r>
        <w:rPr>
          <w:rFonts w:hint="default" w:ascii="Times New Roman" w:hAnsi="Times New Roman" w:cs="Times New Roman"/>
          <w:b/>
          <w:bCs/>
          <w:color w:val="000000"/>
          <w:sz w:val="32"/>
          <w:szCs w:val="32"/>
        </w:rPr>
        <w:t>10.卫生健康支出</w:t>
      </w:r>
      <w:r>
        <w:rPr>
          <w:rFonts w:hint="default" w:ascii="Times New Roman" w:hAnsi="Times New Roman" w:cs="Times New Roman"/>
          <w:b/>
          <w:bCs/>
          <w:sz w:val="32"/>
          <w:szCs w:val="32"/>
        </w:rPr>
        <w:t>（类）行政事业单位医疗（款）其他行政事业单位医疗支出（项）：</w:t>
      </w:r>
      <w:r>
        <w:rPr>
          <w:rFonts w:hint="default" w:ascii="Times New Roman" w:hAnsi="Times New Roman" w:cs="Times New Roman"/>
          <w:sz w:val="32"/>
          <w:szCs w:val="32"/>
        </w:rPr>
        <w:t>支出决算为0.23万元，完成预算100%。</w:t>
      </w:r>
    </w:p>
    <w:p w14:paraId="61924C6E">
      <w:pPr>
        <w:pStyle w:val="2"/>
        <w:adjustRightInd w:val="0"/>
        <w:snapToGrid w:val="0"/>
        <w:spacing w:beforeLines="0" w:line="600" w:lineRule="exact"/>
        <w:ind w:firstLine="675" w:firstLineChars="210"/>
        <w:outlineLvl w:val="2"/>
        <w:rPr>
          <w:rFonts w:hint="default" w:ascii="Times New Roman" w:hAnsi="Times New Roman" w:cs="Times New Roman"/>
          <w:sz w:val="32"/>
          <w:szCs w:val="32"/>
        </w:rPr>
      </w:pPr>
      <w:r>
        <w:rPr>
          <w:rFonts w:hint="default" w:ascii="Times New Roman" w:hAnsi="Times New Roman" w:cs="Times New Roman"/>
          <w:b/>
          <w:bCs/>
          <w:sz w:val="32"/>
          <w:szCs w:val="32"/>
        </w:rPr>
        <w:t>11.住房保障支出（类）住房改革支出（款）住房公积金（项）:</w:t>
      </w:r>
      <w:r>
        <w:rPr>
          <w:rFonts w:hint="default" w:ascii="Times New Roman" w:hAnsi="Times New Roman" w:cs="Times New Roman"/>
          <w:sz w:val="32"/>
          <w:szCs w:val="32"/>
        </w:rPr>
        <w:t>支出决算为40.38万元，完成预算100%。</w:t>
      </w:r>
    </w:p>
    <w:p w14:paraId="31C37116">
      <w:pPr>
        <w:tabs>
          <w:tab w:val="right" w:pos="8306"/>
        </w:tabs>
        <w:spacing w:line="600" w:lineRule="exact"/>
        <w:ind w:firstLine="640"/>
        <w:outlineLvl w:val="1"/>
        <w:rPr>
          <w:rStyle w:val="32"/>
          <w:rFonts w:hint="default" w:ascii="Times New Roman" w:hAnsi="Times New Roman" w:cs="Times New Roman"/>
        </w:rPr>
      </w:pPr>
      <w:bookmarkStart w:id="30" w:name="_Toc15377214"/>
      <w:bookmarkStart w:id="31" w:name="_Toc15396608"/>
      <w:r>
        <w:rPr>
          <w:rFonts w:hint="default" w:ascii="Times New Roman" w:hAnsi="Times New Roman" w:eastAsia="黑体" w:cs="Times New Roman"/>
          <w:sz w:val="32"/>
          <w:szCs w:val="32"/>
        </w:rPr>
        <w:t>六</w:t>
      </w:r>
      <w:r>
        <w:rPr>
          <w:rFonts w:hint="default" w:ascii="Times New Roman" w:hAnsi="Times New Roman" w:eastAsia="黑体" w:cs="Times New Roman"/>
          <w:b/>
          <w:sz w:val="32"/>
          <w:szCs w:val="32"/>
        </w:rPr>
        <w:t>、一</w:t>
      </w:r>
      <w:r>
        <w:rPr>
          <w:rStyle w:val="32"/>
          <w:rFonts w:hint="default" w:ascii="Times New Roman" w:hAnsi="Times New Roman" w:eastAsia="黑体" w:cs="Times New Roman"/>
          <w:b w:val="0"/>
        </w:rPr>
        <w:t>般公共预算财政拨款基本支出决算情况说明</w:t>
      </w:r>
      <w:bookmarkEnd w:id="30"/>
      <w:bookmarkEnd w:id="31"/>
      <w:r>
        <w:rPr>
          <w:rStyle w:val="32"/>
          <w:rFonts w:hint="default" w:ascii="Times New Roman" w:hAnsi="Times New Roman" w:eastAsia="黑体" w:cs="Times New Roman"/>
          <w:b w:val="0"/>
        </w:rPr>
        <w:tab/>
      </w:r>
    </w:p>
    <w:p w14:paraId="443CD593">
      <w:pPr>
        <w:spacing w:line="600" w:lineRule="exact"/>
        <w:ind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2022年一般公共预算财政拨款基本支出545.2</w:t>
      </w:r>
      <w:r>
        <w:rPr>
          <w:rFonts w:hint="eastAsia" w:eastAsia="仿宋" w:cs="Times New Roman"/>
          <w:sz w:val="32"/>
          <w:szCs w:val="32"/>
          <w:lang w:val="en-US" w:eastAsia="zh-CN"/>
        </w:rPr>
        <w:t>1</w:t>
      </w:r>
      <w:r>
        <w:rPr>
          <w:rFonts w:hint="default" w:ascii="Times New Roman" w:hAnsi="Times New Roman" w:eastAsia="仿宋" w:cs="Times New Roman"/>
          <w:sz w:val="32"/>
          <w:szCs w:val="32"/>
        </w:rPr>
        <w:t>万元，其中：</w:t>
      </w:r>
    </w:p>
    <w:p w14:paraId="0B4EBA69">
      <w:pPr>
        <w:spacing w:line="600" w:lineRule="exac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人员经费504.34万元，主要包括：基本工资、津贴补贴、奖金、绩效工资、机关事业单位基本养老保险缴费、职业年金缴费、职工基本医疗保险缴费、公务员医疗补助缴费、其他社会保障缴费、其他工资福利支出、生活补助、住房公积金等。</w:t>
      </w:r>
      <w:r>
        <w:rPr>
          <w:rFonts w:hint="default" w:ascii="Times New Roman" w:hAnsi="Times New Roman" w:eastAsia="仿宋" w:cs="Times New Roman"/>
          <w:sz w:val="32"/>
          <w:szCs w:val="32"/>
        </w:rPr>
        <w:br w:type="textWrapping"/>
      </w:r>
      <w:r>
        <w:rPr>
          <w:rFonts w:hint="default" w:ascii="Times New Roman" w:hAnsi="Times New Roman" w:eastAsia="仿宋" w:cs="Times New Roman"/>
          <w:sz w:val="32"/>
          <w:szCs w:val="32"/>
        </w:rPr>
        <w:t>　　公用经费40.88万元，主要包括：办公费、咨询费、手续费、邮电费、差旅费、公务接待费、劳务费、委托业务费、工会经费、福利费、其他交通费、其他商品和服务支出、办公设备购置等。</w:t>
      </w:r>
    </w:p>
    <w:p w14:paraId="183B41F4">
      <w:pPr>
        <w:spacing w:line="600" w:lineRule="exact"/>
        <w:ind w:firstLine="640"/>
        <w:outlineLvl w:val="1"/>
        <w:rPr>
          <w:rStyle w:val="32"/>
          <w:rFonts w:hint="default" w:ascii="Times New Roman" w:hAnsi="Times New Roman" w:eastAsia="黑体" w:cs="Times New Roman"/>
          <w:b w:val="0"/>
        </w:rPr>
      </w:pPr>
      <w:bookmarkStart w:id="32" w:name="_Toc15396609"/>
      <w:bookmarkStart w:id="33" w:name="_Toc15377215"/>
      <w:r>
        <w:rPr>
          <w:rFonts w:hint="default" w:ascii="Times New Roman" w:hAnsi="Times New Roman" w:eastAsia="黑体" w:cs="Times New Roman"/>
          <w:sz w:val="32"/>
          <w:szCs w:val="32"/>
        </w:rPr>
        <w:t>七、</w:t>
      </w:r>
      <w:r>
        <w:rPr>
          <w:rStyle w:val="32"/>
          <w:rFonts w:hint="default" w:ascii="Times New Roman" w:hAnsi="Times New Roman" w:eastAsia="黑体" w:cs="Times New Roman"/>
          <w:b w:val="0"/>
        </w:rPr>
        <w:t>财政拨款</w:t>
      </w:r>
      <w:r>
        <w:rPr>
          <w:rStyle w:val="32"/>
          <w:rFonts w:hint="default" w:ascii="Times New Roman" w:hAnsi="Times New Roman" w:eastAsia="黑体" w:cs="Times New Roman"/>
        </w:rPr>
        <w:t>“</w:t>
      </w:r>
      <w:r>
        <w:rPr>
          <w:rStyle w:val="32"/>
          <w:rFonts w:hint="default" w:ascii="Times New Roman" w:hAnsi="Times New Roman" w:eastAsia="黑体" w:cs="Times New Roman"/>
          <w:b w:val="0"/>
        </w:rPr>
        <w:t>三公”经费支出决算情况说明</w:t>
      </w:r>
      <w:bookmarkEnd w:id="32"/>
      <w:bookmarkEnd w:id="33"/>
    </w:p>
    <w:p w14:paraId="0E7FF847">
      <w:pPr>
        <w:spacing w:line="600" w:lineRule="exact"/>
        <w:ind w:firstLine="640"/>
        <w:outlineLvl w:val="2"/>
        <w:rPr>
          <w:rFonts w:hint="default" w:ascii="Times New Roman" w:hAnsi="Times New Roman" w:eastAsia="仿宋" w:cs="Times New Roman"/>
          <w:b/>
          <w:sz w:val="32"/>
          <w:szCs w:val="32"/>
        </w:rPr>
      </w:pPr>
      <w:bookmarkStart w:id="34" w:name="_Toc15377216"/>
      <w:r>
        <w:rPr>
          <w:rFonts w:hint="default" w:ascii="Times New Roman" w:hAnsi="Times New Roman" w:eastAsia="仿宋" w:cs="Times New Roman"/>
          <w:b/>
          <w:sz w:val="32"/>
          <w:szCs w:val="32"/>
        </w:rPr>
        <w:t>（一）“三公”经费财政拨款支出决算总体情况说明</w:t>
      </w:r>
      <w:bookmarkEnd w:id="34"/>
    </w:p>
    <w:p w14:paraId="61DC45D7">
      <w:pPr>
        <w:spacing w:line="600" w:lineRule="exact"/>
        <w:ind w:firstLine="64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2022年“三公”经费财政拨款支出决算为0.46万元，完成预算76.67%，较上年减少0.14万元，下降23.33%。主要原因是厉行节约，缩减支出。</w:t>
      </w:r>
    </w:p>
    <w:p w14:paraId="7F50392B">
      <w:pPr>
        <w:spacing w:line="600" w:lineRule="exact"/>
        <w:ind w:firstLine="640"/>
        <w:outlineLvl w:val="2"/>
        <w:rPr>
          <w:rFonts w:hint="default" w:ascii="Times New Roman" w:hAnsi="Times New Roman" w:eastAsia="仿宋" w:cs="Times New Roman"/>
          <w:b/>
          <w:sz w:val="32"/>
          <w:szCs w:val="32"/>
        </w:rPr>
      </w:pPr>
      <w:bookmarkStart w:id="35" w:name="_Toc15377217"/>
      <w:r>
        <w:rPr>
          <w:rFonts w:hint="default" w:ascii="Times New Roman" w:hAnsi="Times New Roman" w:eastAsia="仿宋" w:cs="Times New Roman"/>
          <w:b/>
          <w:sz w:val="32"/>
          <w:szCs w:val="32"/>
        </w:rPr>
        <w:t>（二）“三公”经费财政拨款支出决算具体情况说明</w:t>
      </w:r>
      <w:bookmarkEnd w:id="35"/>
    </w:p>
    <w:p w14:paraId="453CC3A8">
      <w:pPr>
        <w:spacing w:line="600" w:lineRule="exact"/>
        <w:ind w:firstLine="640"/>
        <w:rPr>
          <w:rFonts w:hint="default" w:ascii="Times New Roman" w:hAnsi="Times New Roman" w:eastAsia="仿宋" w:cs="Times New Roman"/>
          <w:sz w:val="32"/>
          <w:szCs w:val="32"/>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322580</wp:posOffset>
            </wp:positionH>
            <wp:positionV relativeFrom="paragraph">
              <wp:posOffset>1701800</wp:posOffset>
            </wp:positionV>
            <wp:extent cx="4826000" cy="2108200"/>
            <wp:effectExtent l="4445" t="4445" r="5715" b="35560"/>
            <wp:wrapTight wrapText="bothSides">
              <wp:wrapPolygon>
                <wp:start x="-20" y="-46"/>
                <wp:lineTo x="-20" y="21411"/>
                <wp:lineTo x="21384" y="21411"/>
                <wp:lineTo x="21384" y="-46"/>
                <wp:lineTo x="-20" y="-46"/>
              </wp:wrapPolygon>
            </wp:wrapTight>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default" w:ascii="Times New Roman" w:hAnsi="Times New Roman" w:eastAsia="仿宋" w:cs="Times New Roman"/>
          <w:sz w:val="32"/>
          <w:szCs w:val="32"/>
        </w:rPr>
        <w:t>2022年“三公”经费财政拨款支出决算中，因公出国（境）费支出决算0万元，占0%；公务用车购置及运行维护费支出决算0万元，占0%；公务接待费支出决算0.46万元，占100%。具体情况如下：</w:t>
      </w:r>
    </w:p>
    <w:p w14:paraId="4E18BE12">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1.因公出国（境）经费支出</w:t>
      </w:r>
      <w:r>
        <w:rPr>
          <w:rFonts w:hint="default" w:ascii="Times New Roman" w:hAnsi="Times New Roman" w:eastAsia="仿宋_GB2312" w:cs="Times New Roman"/>
          <w:sz w:val="32"/>
          <w:szCs w:val="32"/>
        </w:rPr>
        <w:t>0万元，</w:t>
      </w:r>
      <w:r>
        <w:rPr>
          <w:rStyle w:val="17"/>
          <w:rFonts w:hint="default" w:ascii="Times New Roman" w:hAnsi="Times New Roman" w:eastAsia="仿宋" w:cs="Times New Roman"/>
          <w:b w:val="0"/>
          <w:bCs/>
          <w:sz w:val="32"/>
          <w:szCs w:val="32"/>
        </w:rPr>
        <w:t>完成预算0%。</w:t>
      </w:r>
      <w:r>
        <w:rPr>
          <w:rFonts w:hint="default" w:ascii="Times New Roman" w:hAnsi="Times New Roman" w:eastAsia="仿宋_GB2312" w:cs="Times New Roman"/>
          <w:sz w:val="32"/>
          <w:szCs w:val="32"/>
        </w:rPr>
        <w:t>全年安排因公出国（境）团组0次，出国（境）0人。因公出国（境）支出决算与2021年持平。</w:t>
      </w:r>
    </w:p>
    <w:p w14:paraId="5CD2F1AC">
      <w:pPr>
        <w:spacing w:line="600" w:lineRule="exact"/>
        <w:ind w:firstLine="640"/>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2.公务用车购置及运行维护费支出</w:t>
      </w:r>
      <w:r>
        <w:rPr>
          <w:rFonts w:hint="default" w:ascii="Times New Roman" w:hAnsi="Times New Roman" w:eastAsia="仿宋_GB2312" w:cs="Times New Roman"/>
          <w:sz w:val="32"/>
          <w:szCs w:val="32"/>
        </w:rPr>
        <w:t>0万元,</w:t>
      </w:r>
      <w:r>
        <w:rPr>
          <w:rStyle w:val="17"/>
          <w:rFonts w:hint="default" w:ascii="Times New Roman" w:hAnsi="Times New Roman" w:eastAsia="仿宋" w:cs="Times New Roman"/>
          <w:b w:val="0"/>
          <w:bCs/>
          <w:sz w:val="32"/>
          <w:szCs w:val="32"/>
        </w:rPr>
        <w:t>完成预算0%。</w:t>
      </w:r>
      <w:r>
        <w:rPr>
          <w:rFonts w:hint="default" w:ascii="Times New Roman" w:hAnsi="Times New Roman" w:eastAsia="仿宋_GB2312" w:cs="Times New Roman"/>
          <w:sz w:val="32"/>
          <w:szCs w:val="32"/>
        </w:rPr>
        <w:t>公务用车购置及运行维护费与2021年持平。</w:t>
      </w:r>
    </w:p>
    <w:p w14:paraId="38AA9350">
      <w:pPr>
        <w:spacing w:line="600" w:lineRule="exact"/>
        <w:ind w:firstLine="640" w:firstLineChars="200"/>
        <w:rPr>
          <w:rFonts w:hint="default" w:ascii="Times New Roman" w:hAnsi="Times New Roman" w:eastAsia="仿宋_GB2312" w:cs="Times New Roman"/>
          <w:b/>
          <w:sz w:val="32"/>
          <w:szCs w:val="32"/>
        </w:rPr>
      </w:pPr>
      <w:r>
        <w:rPr>
          <w:rFonts w:hint="default" w:ascii="Times New Roman" w:hAnsi="Times New Roman" w:eastAsia="仿宋_GB2312" w:cs="Times New Roman"/>
          <w:sz w:val="32"/>
          <w:szCs w:val="32"/>
        </w:rPr>
        <w:t>其中：</w:t>
      </w:r>
      <w:r>
        <w:rPr>
          <w:rFonts w:hint="default" w:ascii="Times New Roman" w:hAnsi="Times New Roman" w:eastAsia="仿宋_GB2312" w:cs="Times New Roman"/>
          <w:b/>
          <w:sz w:val="32"/>
          <w:szCs w:val="32"/>
        </w:rPr>
        <w:t>公务用车购置支出</w:t>
      </w:r>
      <w:r>
        <w:rPr>
          <w:rFonts w:hint="default" w:ascii="Times New Roman" w:hAnsi="Times New Roman" w:eastAsia="仿宋_GB2312" w:cs="Times New Roman"/>
          <w:sz w:val="32"/>
          <w:szCs w:val="32"/>
        </w:rPr>
        <w:t>0万元。全年按规定更新购置公务用车0辆，其中：轿车0辆、金额0万元，越野车0辆、金额0万元，载客汽车0辆、金额0万元。截至2022年12月底，单位共有公务用车0辆，其中：轿车0辆、越野车0辆、载客汽车0辆。</w:t>
      </w:r>
    </w:p>
    <w:p w14:paraId="6609728A">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公务用车运行维护费支出</w:t>
      </w:r>
      <w:r>
        <w:rPr>
          <w:rFonts w:hint="default" w:ascii="Times New Roman" w:hAnsi="Times New Roman" w:eastAsia="仿宋_GB2312" w:cs="Times New Roman"/>
          <w:sz w:val="32"/>
          <w:szCs w:val="32"/>
        </w:rPr>
        <w:t>0万元。</w:t>
      </w:r>
    </w:p>
    <w:p w14:paraId="75F00E77">
      <w:pPr>
        <w:spacing w:line="600" w:lineRule="exact"/>
        <w:ind w:firstLine="640"/>
        <w:rPr>
          <w:rFonts w:hint="default" w:ascii="Times New Roman" w:hAnsi="Times New Roman" w:eastAsia="仿宋" w:cs="Times New Roman"/>
          <w:sz w:val="32"/>
          <w:szCs w:val="32"/>
        </w:rPr>
      </w:pPr>
      <w:r>
        <w:rPr>
          <w:rFonts w:hint="default" w:ascii="Times New Roman" w:hAnsi="Times New Roman" w:eastAsia="仿宋_GB2312" w:cs="Times New Roman"/>
          <w:b/>
          <w:sz w:val="32"/>
          <w:szCs w:val="32"/>
        </w:rPr>
        <w:t>3.公务接待费支出</w:t>
      </w:r>
      <w:r>
        <w:rPr>
          <w:rFonts w:hint="default" w:ascii="Times New Roman" w:hAnsi="Times New Roman" w:eastAsia="仿宋_GB2312" w:cs="Times New Roman"/>
          <w:sz w:val="32"/>
          <w:szCs w:val="32"/>
        </w:rPr>
        <w:t>0.46万元，</w:t>
      </w:r>
      <w:r>
        <w:rPr>
          <w:rStyle w:val="17"/>
          <w:rFonts w:hint="default" w:ascii="Times New Roman" w:hAnsi="Times New Roman" w:eastAsia="仿宋" w:cs="Times New Roman"/>
          <w:b w:val="0"/>
          <w:bCs/>
          <w:sz w:val="32"/>
          <w:szCs w:val="32"/>
        </w:rPr>
        <w:t>完成预算76.67%。</w:t>
      </w:r>
      <w:r>
        <w:rPr>
          <w:rFonts w:hint="default" w:ascii="Times New Roman" w:hAnsi="Times New Roman" w:eastAsia="仿宋_GB2312" w:cs="Times New Roman"/>
          <w:sz w:val="32"/>
          <w:szCs w:val="32"/>
        </w:rPr>
        <w:t>公务接待费支出决算比2021年减少</w:t>
      </w:r>
      <w:r>
        <w:rPr>
          <w:rFonts w:hint="default" w:ascii="Times New Roman" w:hAnsi="Times New Roman" w:eastAsia="仿宋" w:cs="Times New Roman"/>
          <w:sz w:val="32"/>
          <w:szCs w:val="32"/>
        </w:rPr>
        <w:t>0.14万元，下降23.33%</w:t>
      </w:r>
      <w:r>
        <w:rPr>
          <w:rFonts w:hint="default" w:ascii="Times New Roman" w:hAnsi="Times New Roman" w:eastAsia="仿宋_GB2312" w:cs="Times New Roman"/>
          <w:sz w:val="32"/>
          <w:szCs w:val="32"/>
        </w:rPr>
        <w:t>。主要</w:t>
      </w:r>
      <w:r>
        <w:rPr>
          <w:rFonts w:hint="default" w:ascii="Times New Roman" w:hAnsi="Times New Roman" w:eastAsia="仿宋" w:cs="Times New Roman"/>
          <w:sz w:val="32"/>
          <w:szCs w:val="32"/>
        </w:rPr>
        <w:t>原因是厉行节约，缩减支出。</w:t>
      </w:r>
    </w:p>
    <w:p w14:paraId="4703DA5D">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 w:cs="Times New Roman"/>
          <w:b/>
          <w:sz w:val="32"/>
          <w:szCs w:val="32"/>
        </w:rPr>
        <w:t>国内公务接待支出</w:t>
      </w:r>
      <w:r>
        <w:rPr>
          <w:rFonts w:hint="default" w:ascii="Times New Roman" w:hAnsi="Times New Roman" w:eastAsia="仿宋_GB2312" w:cs="Times New Roman"/>
          <w:sz w:val="32"/>
          <w:szCs w:val="32"/>
        </w:rPr>
        <w:t>0.46万元</w:t>
      </w:r>
      <w:r>
        <w:rPr>
          <w:rFonts w:hint="default" w:ascii="Times New Roman" w:hAnsi="Times New Roman" w:eastAsia="仿宋_GB2312" w:cs="Times New Roman"/>
          <w:color w:val="auto"/>
          <w:sz w:val="32"/>
          <w:szCs w:val="32"/>
        </w:rPr>
        <w:t>，主要用于接待</w:t>
      </w:r>
      <w:r>
        <w:rPr>
          <w:rFonts w:hint="default" w:ascii="Times New Roman" w:hAnsi="Times New Roman" w:eastAsia="仿宋_GB2312" w:cs="Times New Roman"/>
          <w:color w:val="auto"/>
          <w:sz w:val="32"/>
          <w:szCs w:val="32"/>
          <w:lang w:val="en-US" w:eastAsia="zh-CN"/>
        </w:rPr>
        <w:t>市政协督导市级重点项目、东区政协赴西区考察学习等服务保障</w:t>
      </w:r>
      <w:r>
        <w:rPr>
          <w:rFonts w:hint="default" w:ascii="Times New Roman" w:hAnsi="Times New Roman" w:eastAsia="仿宋_GB2312" w:cs="Times New Roman"/>
          <w:color w:val="auto"/>
          <w:sz w:val="32"/>
          <w:szCs w:val="32"/>
        </w:rPr>
        <w:t>。国</w:t>
      </w:r>
      <w:r>
        <w:rPr>
          <w:rFonts w:hint="default" w:ascii="Times New Roman" w:hAnsi="Times New Roman" w:eastAsia="仿宋_GB2312" w:cs="Times New Roman"/>
          <w:sz w:val="32"/>
          <w:szCs w:val="32"/>
        </w:rPr>
        <w:t>内公务接待</w:t>
      </w:r>
      <w:r>
        <w:rPr>
          <w:rFonts w:hint="default" w:ascii="Times New Roman" w:hAnsi="Times New Roman" w:eastAsia="仿宋_GB2312" w:cs="Times New Roman"/>
          <w:color w:val="000000"/>
          <w:sz w:val="32"/>
          <w:szCs w:val="32"/>
          <w:lang w:val="en-US" w:eastAsia="zh-CN"/>
        </w:rPr>
        <w:t>6</w:t>
      </w:r>
      <w:r>
        <w:rPr>
          <w:rFonts w:hint="default" w:ascii="Times New Roman" w:hAnsi="Times New Roman" w:eastAsia="仿宋_GB2312" w:cs="Times New Roman"/>
          <w:color w:val="000000"/>
          <w:sz w:val="32"/>
          <w:szCs w:val="32"/>
        </w:rPr>
        <w:t>批次</w:t>
      </w:r>
      <w:r>
        <w:rPr>
          <w:rFonts w:hint="default" w:ascii="Times New Roman" w:hAnsi="Times New Roman" w:eastAsia="仿宋_GB2312" w:cs="Times New Roman"/>
          <w:color w:val="auto"/>
          <w:sz w:val="32"/>
          <w:szCs w:val="32"/>
        </w:rPr>
        <w:t>，4</w:t>
      </w:r>
      <w:r>
        <w:rPr>
          <w:rFonts w:hint="eastAsia" w:eastAsia="仿宋_GB2312" w:cs="Times New Roman"/>
          <w:color w:val="auto"/>
          <w:sz w:val="32"/>
          <w:szCs w:val="32"/>
          <w:lang w:val="en-US" w:eastAsia="zh-CN"/>
        </w:rPr>
        <w:t>5</w:t>
      </w:r>
      <w:r>
        <w:rPr>
          <w:rFonts w:hint="default" w:ascii="Times New Roman" w:hAnsi="Times New Roman" w:eastAsia="仿宋_GB2312" w:cs="Times New Roman"/>
          <w:sz w:val="32"/>
          <w:szCs w:val="32"/>
        </w:rPr>
        <w:t>人次（不包括陪同人员），共计支出0.46万元。</w:t>
      </w:r>
    </w:p>
    <w:p w14:paraId="0F8547D2">
      <w:pPr>
        <w:spacing w:line="60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 w:cs="Times New Roman"/>
          <w:b/>
          <w:sz w:val="32"/>
          <w:szCs w:val="32"/>
        </w:rPr>
        <w:t>外事接待支出</w:t>
      </w:r>
      <w:r>
        <w:rPr>
          <w:rFonts w:hint="default" w:ascii="Times New Roman" w:hAnsi="Times New Roman" w:eastAsia="仿宋" w:cs="Times New Roman"/>
          <w:sz w:val="32"/>
          <w:szCs w:val="32"/>
        </w:rPr>
        <w:t>0</w:t>
      </w:r>
      <w:r>
        <w:rPr>
          <w:rFonts w:hint="default" w:ascii="Times New Roman" w:hAnsi="Times New Roman" w:eastAsia="仿宋_GB2312" w:cs="Times New Roman"/>
          <w:sz w:val="32"/>
          <w:szCs w:val="32"/>
        </w:rPr>
        <w:t>万元0。外事接待0批次，0人次（不包括陪同人员），共计支出0万元。</w:t>
      </w:r>
    </w:p>
    <w:p w14:paraId="388DD486">
      <w:pPr>
        <w:spacing w:line="600" w:lineRule="exact"/>
        <w:ind w:firstLine="640"/>
        <w:outlineLvl w:val="1"/>
        <w:rPr>
          <w:rStyle w:val="32"/>
          <w:rFonts w:hint="default" w:ascii="Times New Roman" w:hAnsi="Times New Roman" w:eastAsia="黑体" w:cs="Times New Roman"/>
        </w:rPr>
      </w:pPr>
      <w:bookmarkStart w:id="36" w:name="_Toc15377218"/>
      <w:bookmarkStart w:id="37" w:name="_Toc15396610"/>
      <w:r>
        <w:rPr>
          <w:rFonts w:hint="default" w:ascii="Times New Roman" w:hAnsi="Times New Roman" w:eastAsia="黑体" w:cs="Times New Roman"/>
          <w:sz w:val="32"/>
          <w:szCs w:val="32"/>
        </w:rPr>
        <w:t>八、</w:t>
      </w:r>
      <w:r>
        <w:rPr>
          <w:rStyle w:val="32"/>
          <w:rFonts w:hint="default" w:ascii="Times New Roman" w:hAnsi="Times New Roman" w:eastAsia="黑体" w:cs="Times New Roman"/>
          <w:b w:val="0"/>
        </w:rPr>
        <w:t>政府性基金预算支出决算情况说明</w:t>
      </w:r>
      <w:bookmarkEnd w:id="36"/>
      <w:bookmarkEnd w:id="37"/>
    </w:p>
    <w:p w14:paraId="4D5B0309">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2022年政府性基金预算财政拨款支出43.83万元。</w:t>
      </w:r>
    </w:p>
    <w:p w14:paraId="25CC2D79">
      <w:pPr>
        <w:spacing w:line="600" w:lineRule="exact"/>
        <w:ind w:firstLine="640"/>
        <w:rPr>
          <w:rFonts w:hint="default" w:ascii="Times New Roman" w:hAnsi="Times New Roman" w:eastAsia="仿宋_GB2312" w:cs="Times New Roman"/>
          <w:sz w:val="32"/>
          <w:szCs w:val="32"/>
        </w:rPr>
      </w:pPr>
    </w:p>
    <w:p w14:paraId="3549CA51">
      <w:pPr>
        <w:numPr>
          <w:ilvl w:val="0"/>
          <w:numId w:val="1"/>
        </w:numPr>
        <w:spacing w:line="600" w:lineRule="exact"/>
        <w:ind w:firstLine="640"/>
        <w:outlineLvl w:val="1"/>
        <w:rPr>
          <w:rStyle w:val="32"/>
          <w:rFonts w:hint="default" w:ascii="Times New Roman" w:hAnsi="Times New Roman" w:eastAsia="黑体" w:cs="Times New Roman"/>
          <w:b w:val="0"/>
        </w:rPr>
      </w:pPr>
      <w:bookmarkStart w:id="38" w:name="_Toc15396611"/>
      <w:bookmarkStart w:id="39" w:name="_Toc15377219"/>
      <w:r>
        <w:rPr>
          <w:rStyle w:val="32"/>
          <w:rFonts w:hint="default" w:ascii="Times New Roman" w:hAnsi="Times New Roman" w:eastAsia="黑体" w:cs="Times New Roman"/>
          <w:b w:val="0"/>
        </w:rPr>
        <w:t>国有资本经营预算支出决算情况说明</w:t>
      </w:r>
      <w:bookmarkEnd w:id="38"/>
      <w:bookmarkEnd w:id="39"/>
    </w:p>
    <w:p w14:paraId="11C9D22F">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2022年国有资本经营预算财政拨款支出0万元。</w:t>
      </w:r>
    </w:p>
    <w:p w14:paraId="30458DE9">
      <w:pPr>
        <w:numPr>
          <w:ilvl w:val="0"/>
          <w:numId w:val="1"/>
        </w:numPr>
        <w:spacing w:line="600" w:lineRule="exact"/>
        <w:ind w:firstLine="640"/>
        <w:outlineLvl w:val="1"/>
        <w:rPr>
          <w:rStyle w:val="32"/>
          <w:rFonts w:hint="default" w:ascii="Times New Roman" w:hAnsi="Times New Roman" w:eastAsia="黑体" w:cs="Times New Roman"/>
          <w:b w:val="0"/>
        </w:rPr>
      </w:pPr>
      <w:bookmarkStart w:id="40" w:name="_Toc15377221"/>
      <w:bookmarkStart w:id="41" w:name="_Toc15396612"/>
      <w:r>
        <w:rPr>
          <w:rStyle w:val="32"/>
          <w:rFonts w:hint="default" w:ascii="Times New Roman" w:hAnsi="Times New Roman" w:eastAsia="黑体" w:cs="Times New Roman"/>
          <w:b w:val="0"/>
        </w:rPr>
        <w:t>其他重要事项的情况说明</w:t>
      </w:r>
      <w:bookmarkEnd w:id="40"/>
      <w:bookmarkEnd w:id="41"/>
    </w:p>
    <w:p w14:paraId="2AC82F0A">
      <w:pPr>
        <w:spacing w:line="600" w:lineRule="exact"/>
        <w:ind w:firstLine="643" w:firstLineChars="200"/>
        <w:outlineLvl w:val="2"/>
        <w:rPr>
          <w:rFonts w:hint="default" w:ascii="Times New Roman" w:hAnsi="Times New Roman" w:eastAsia="仿宋" w:cs="Times New Roman"/>
          <w:sz w:val="32"/>
          <w:szCs w:val="32"/>
        </w:rPr>
      </w:pPr>
      <w:bookmarkStart w:id="42" w:name="_Toc15377222"/>
      <w:r>
        <w:rPr>
          <w:rFonts w:hint="default" w:ascii="Times New Roman" w:hAnsi="Times New Roman" w:eastAsia="仿宋" w:cs="Times New Roman"/>
          <w:b/>
          <w:sz w:val="32"/>
          <w:szCs w:val="32"/>
        </w:rPr>
        <w:t>（一）机关运行经费支出情况</w:t>
      </w:r>
      <w:bookmarkEnd w:id="42"/>
    </w:p>
    <w:p w14:paraId="75316164">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2022年，中国人民政治协商会议攀枝花市西区委员会机关运行经费支出40.88万元，比2021年减少6万元，下降12.8%。主要原因是2022年贯彻落实过紧日子要求，公务活动减少。</w:t>
      </w:r>
    </w:p>
    <w:p w14:paraId="55C870AB">
      <w:pPr>
        <w:autoSpaceDE w:val="0"/>
        <w:autoSpaceDN w:val="0"/>
        <w:adjustRightInd w:val="0"/>
        <w:spacing w:line="600" w:lineRule="exact"/>
        <w:ind w:firstLine="643" w:firstLineChars="200"/>
        <w:jc w:val="left"/>
        <w:outlineLvl w:val="2"/>
        <w:rPr>
          <w:rFonts w:hint="default" w:ascii="Times New Roman" w:hAnsi="Times New Roman" w:eastAsia="仿宋" w:cs="Times New Roman"/>
          <w:b/>
          <w:sz w:val="32"/>
          <w:szCs w:val="32"/>
        </w:rPr>
      </w:pPr>
      <w:bookmarkStart w:id="43" w:name="_Toc15377223"/>
      <w:r>
        <w:rPr>
          <w:rFonts w:hint="default" w:ascii="Times New Roman" w:hAnsi="Times New Roman" w:eastAsia="仿宋" w:cs="Times New Roman"/>
          <w:b/>
          <w:sz w:val="32"/>
          <w:szCs w:val="32"/>
        </w:rPr>
        <w:t>（二）政府采购支出情况</w:t>
      </w:r>
      <w:bookmarkEnd w:id="43"/>
    </w:p>
    <w:p w14:paraId="4299E4D6">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2022年，中国人民政治协商会议攀枝花市西区委员会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14:paraId="1EB39860">
      <w:pPr>
        <w:autoSpaceDE w:val="0"/>
        <w:autoSpaceDN w:val="0"/>
        <w:adjustRightInd w:val="0"/>
        <w:spacing w:line="600" w:lineRule="exact"/>
        <w:ind w:firstLine="643" w:firstLineChars="200"/>
        <w:jc w:val="left"/>
        <w:outlineLvl w:val="2"/>
        <w:rPr>
          <w:rFonts w:hint="default" w:ascii="Times New Roman" w:hAnsi="Times New Roman" w:eastAsia="仿宋" w:cs="Times New Roman"/>
          <w:b/>
          <w:sz w:val="32"/>
          <w:szCs w:val="32"/>
        </w:rPr>
      </w:pPr>
      <w:bookmarkStart w:id="44" w:name="_Toc15377224"/>
      <w:r>
        <w:rPr>
          <w:rFonts w:hint="default" w:ascii="Times New Roman" w:hAnsi="Times New Roman" w:eastAsia="仿宋" w:cs="Times New Roman"/>
          <w:b/>
          <w:sz w:val="32"/>
          <w:szCs w:val="32"/>
        </w:rPr>
        <w:t>（三）国有资产占有使用情况</w:t>
      </w:r>
      <w:bookmarkEnd w:id="44"/>
    </w:p>
    <w:p w14:paraId="56F03857">
      <w:pPr>
        <w:autoSpaceDE w:val="0"/>
        <w:autoSpaceDN w:val="0"/>
        <w:adjustRightInd w:val="0"/>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截至2022年12月31日，本单位共有车辆0辆，其中：主要领导干部用车0辆、机要通信用车0辆、应急保障用车0辆、其他用车0辆。单价100万元以上专用设备0台（套）。</w:t>
      </w:r>
    </w:p>
    <w:p w14:paraId="5272C651">
      <w:pPr>
        <w:autoSpaceDE w:val="0"/>
        <w:autoSpaceDN w:val="0"/>
        <w:adjustRightInd w:val="0"/>
        <w:spacing w:line="600" w:lineRule="exact"/>
        <w:ind w:firstLine="643" w:firstLineChars="200"/>
        <w:jc w:val="left"/>
        <w:outlineLvl w:val="2"/>
        <w:rPr>
          <w:rFonts w:hint="default" w:ascii="Times New Roman" w:hAnsi="Times New Roman" w:eastAsia="仿宋" w:cs="Times New Roman"/>
          <w:b/>
          <w:sz w:val="32"/>
          <w:szCs w:val="32"/>
        </w:rPr>
      </w:pPr>
      <w:r>
        <w:rPr>
          <w:rFonts w:hint="default" w:ascii="Times New Roman" w:hAnsi="Times New Roman" w:eastAsia="仿宋" w:cs="Times New Roman"/>
          <w:b/>
          <w:sz w:val="32"/>
          <w:szCs w:val="32"/>
        </w:rPr>
        <w:t>（四）预算绩效管理情况</w:t>
      </w:r>
    </w:p>
    <w:p w14:paraId="292B0AC2">
      <w:pPr>
        <w:widowControl/>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根据预算绩效管理要求，本部门在2022年度预算编制阶段，组织对政协业务经费项目等5个项目开展了预算事前绩效评估，对5个项目编制了绩效目标，预算执行过程中，选取5个项目开展绩效监控。</w:t>
      </w:r>
    </w:p>
    <w:p w14:paraId="19605D47">
      <w:pPr>
        <w:widowControl/>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组织对2022年度一般公共预算、政府性基金预算、国有资本经营预算、社会保险基金预算以及资本资产、债券资金等全面开展绩效自评，形成政协攀枝花市西区委员会部门整体（含部门预算项目）绩效自评报告。</w:t>
      </w:r>
    </w:p>
    <w:p w14:paraId="423AD7DB">
      <w:pPr>
        <w:widowControl/>
        <w:ind w:firstLine="643" w:firstLineChars="200"/>
        <w:jc w:val="left"/>
        <w:rPr>
          <w:rFonts w:hint="default" w:ascii="Times New Roman" w:hAnsi="Times New Roman" w:eastAsia="仿宋_GB2312" w:cs="Times New Roman"/>
          <w:b/>
          <w:color w:val="FF0000"/>
          <w:sz w:val="32"/>
          <w:szCs w:val="32"/>
        </w:rPr>
      </w:pPr>
      <w:r>
        <w:rPr>
          <w:rFonts w:hint="default" w:ascii="Times New Roman" w:hAnsi="Times New Roman" w:eastAsia="仿宋_GB2312" w:cs="Times New Roman"/>
          <w:b/>
          <w:color w:val="FF0000"/>
          <w:sz w:val="32"/>
          <w:szCs w:val="32"/>
        </w:rPr>
        <w:br w:type="page"/>
      </w:r>
    </w:p>
    <w:p w14:paraId="18620F12">
      <w:pPr>
        <w:numPr>
          <w:ilvl w:val="0"/>
          <w:numId w:val="2"/>
        </w:numPr>
        <w:spacing w:line="600" w:lineRule="exact"/>
        <w:ind w:firstLine="660" w:firstLineChars="150"/>
        <w:jc w:val="center"/>
        <w:outlineLvl w:val="0"/>
        <w:rPr>
          <w:rStyle w:val="31"/>
          <w:rFonts w:hint="default" w:ascii="Times New Roman" w:hAnsi="Times New Roman" w:eastAsia="黑体" w:cs="Times New Roman"/>
          <w:b w:val="0"/>
        </w:rPr>
      </w:pPr>
      <w:bookmarkStart w:id="45" w:name="_Toc15396613"/>
      <w:bookmarkStart w:id="46" w:name="_Toc15377225"/>
      <w:r>
        <w:rPr>
          <w:rFonts w:hint="default" w:ascii="Times New Roman" w:hAnsi="Times New Roman" w:eastAsia="黑体" w:cs="Times New Roman"/>
          <w:sz w:val="44"/>
          <w:szCs w:val="44"/>
        </w:rPr>
        <w:t>名</w:t>
      </w:r>
      <w:r>
        <w:rPr>
          <w:rStyle w:val="31"/>
          <w:rFonts w:hint="default" w:ascii="Times New Roman" w:hAnsi="Times New Roman" w:eastAsia="黑体" w:cs="Times New Roman"/>
          <w:b w:val="0"/>
        </w:rPr>
        <w:t>词解释</w:t>
      </w:r>
      <w:bookmarkEnd w:id="45"/>
      <w:bookmarkEnd w:id="46"/>
    </w:p>
    <w:p w14:paraId="6562AF79">
      <w:pPr>
        <w:spacing w:line="600" w:lineRule="exact"/>
        <w:jc w:val="left"/>
        <w:rPr>
          <w:rFonts w:hint="default" w:ascii="Times New Roman" w:hAnsi="Times New Roman" w:cs="Times New Roman"/>
          <w:b/>
          <w:sz w:val="44"/>
          <w:szCs w:val="44"/>
        </w:rPr>
      </w:pPr>
    </w:p>
    <w:p w14:paraId="32A8B744">
      <w:pPr>
        <w:pStyle w:val="22"/>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1.财政拨款收入：指单位从同级财政部门取得的财政预算资金。</w:t>
      </w:r>
    </w:p>
    <w:p w14:paraId="2402C6F9">
      <w:pPr>
        <w:pStyle w:val="22"/>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2.其他收入：指单位取得的除上述收入以外的各项收入。主要是</w:t>
      </w:r>
      <w:r>
        <w:rPr>
          <w:rFonts w:hint="default" w:ascii="Times New Roman" w:hAnsi="Times New Roman" w:eastAsia="方正仿宋_GBK" w:cs="Times New Roman"/>
          <w:sz w:val="33"/>
        </w:rPr>
        <w:t>存款利息收入</w:t>
      </w:r>
      <w:r>
        <w:rPr>
          <w:rFonts w:hint="default" w:ascii="Times New Roman" w:hAnsi="Times New Roman" w:eastAsia="仿宋_GB2312" w:cs="Times New Roman"/>
          <w:color w:val="auto"/>
          <w:sz w:val="32"/>
          <w:szCs w:val="32"/>
        </w:rPr>
        <w:t xml:space="preserve">等。 </w:t>
      </w:r>
    </w:p>
    <w:p w14:paraId="23C35144">
      <w:pPr>
        <w:pStyle w:val="22"/>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 xml:space="preserve">.年初结转和结余：指以前年度尚未完成、结转到本年按有关规定继续使用的资金。 </w:t>
      </w:r>
    </w:p>
    <w:p w14:paraId="1A8E906B">
      <w:pPr>
        <w:pStyle w:val="22"/>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.年末结转和结余：指单位按有关规定结转到下年或以后年度继续使用的资金。</w:t>
      </w:r>
    </w:p>
    <w:p w14:paraId="3684887A">
      <w:pPr>
        <w:pStyle w:val="22"/>
        <w:spacing w:line="560" w:lineRule="exact"/>
        <w:ind w:firstLine="640" w:firstLineChars="200"/>
        <w:rPr>
          <w:rStyle w:val="54"/>
          <w:rFonts w:hint="default" w:ascii="Times New Roman" w:hAnsi="Times New Roman" w:cs="Times New Roman"/>
        </w:rPr>
      </w:pPr>
      <w:r>
        <w:rPr>
          <w:rStyle w:val="54"/>
          <w:rFonts w:hint="default" w:ascii="Times New Roman" w:hAnsi="Times New Roman" w:eastAsia="仿宋_GB2312" w:cs="Times New Roman"/>
          <w:color w:val="auto"/>
          <w:lang w:val="en-US" w:eastAsia="zh-CN"/>
        </w:rPr>
        <w:t>5.</w:t>
      </w:r>
      <w:r>
        <w:rPr>
          <w:rStyle w:val="54"/>
          <w:rFonts w:hint="default" w:ascii="Times New Roman" w:hAnsi="Times New Roman" w:cs="Times New Roman"/>
          <w:color w:val="auto"/>
        </w:rPr>
        <w:t>社</w:t>
      </w:r>
      <w:r>
        <w:rPr>
          <w:rStyle w:val="54"/>
          <w:rFonts w:hint="default" w:ascii="Times New Roman" w:hAnsi="Times New Roman" w:cs="Times New Roman"/>
        </w:rPr>
        <w:t>会保障和就业支出（类）人力资源和社会保障管理事务（项）</w:t>
      </w:r>
      <w:r>
        <w:rPr>
          <w:rFonts w:hint="default" w:ascii="Times New Roman" w:hAnsi="Times New Roman" w:cs="Times New Roman"/>
          <w:sz w:val="32"/>
          <w:szCs w:val="32"/>
        </w:rPr>
        <w:t>其他</w:t>
      </w:r>
      <w:r>
        <w:rPr>
          <w:rStyle w:val="54"/>
          <w:rFonts w:hint="default" w:ascii="Times New Roman" w:hAnsi="Times New Roman" w:cs="Times New Roman"/>
        </w:rPr>
        <w:t>人力资源和社会保障管理事务支出（项）：指政协攀枝花市西区委员会用于社会保险业务管理和基金监管专门性工作任务的项目支出。</w:t>
      </w:r>
    </w:p>
    <w:p w14:paraId="1AE84AE8">
      <w:pPr>
        <w:pStyle w:val="22"/>
        <w:spacing w:line="560" w:lineRule="exact"/>
        <w:ind w:firstLine="640" w:firstLineChars="200"/>
        <w:rPr>
          <w:rStyle w:val="54"/>
          <w:rFonts w:hint="default" w:ascii="Times New Roman" w:hAnsi="Times New Roman" w:cs="Times New Roman"/>
        </w:rPr>
      </w:pPr>
      <w:r>
        <w:rPr>
          <w:rStyle w:val="54"/>
          <w:rFonts w:hint="default" w:ascii="Times New Roman" w:hAnsi="Times New Roman" w:cs="Times New Roman"/>
          <w:lang w:val="en-US" w:eastAsia="zh-CN"/>
        </w:rPr>
        <w:t>6</w:t>
      </w:r>
      <w:r>
        <w:rPr>
          <w:rFonts w:hint="default" w:ascii="Times New Roman" w:hAnsi="Times New Roman" w:cs="Times New Roman"/>
          <w:sz w:val="32"/>
          <w:szCs w:val="32"/>
        </w:rPr>
        <w:t>.</w:t>
      </w:r>
      <w:r>
        <w:rPr>
          <w:rStyle w:val="54"/>
          <w:rFonts w:hint="default" w:ascii="Times New Roman" w:hAnsi="Times New Roman" w:cs="Times New Roman"/>
        </w:rPr>
        <w:t>社会保障和就业支出（类）行政事业单位养老支出（款）行政单位离退休（项）：指政协攀枝花市西区委员会统一管理的局机关离退休人员的支出。</w:t>
      </w:r>
    </w:p>
    <w:p w14:paraId="44564837">
      <w:pPr>
        <w:pStyle w:val="22"/>
        <w:spacing w:line="560" w:lineRule="exact"/>
        <w:ind w:firstLine="640" w:firstLineChars="200"/>
        <w:rPr>
          <w:rStyle w:val="54"/>
          <w:rFonts w:hint="default" w:ascii="Times New Roman" w:hAnsi="Times New Roman" w:cs="Times New Roman"/>
        </w:rPr>
      </w:pPr>
      <w:r>
        <w:rPr>
          <w:rStyle w:val="54"/>
          <w:rFonts w:hint="default" w:ascii="Times New Roman" w:hAnsi="Times New Roman" w:cs="Times New Roman"/>
          <w:lang w:val="en-US" w:eastAsia="zh-CN"/>
        </w:rPr>
        <w:t>7</w:t>
      </w:r>
      <w:r>
        <w:rPr>
          <w:rFonts w:hint="default" w:ascii="Times New Roman" w:hAnsi="Times New Roman" w:cs="Times New Roman"/>
          <w:sz w:val="32"/>
          <w:szCs w:val="32"/>
        </w:rPr>
        <w:t>.</w:t>
      </w:r>
      <w:r>
        <w:rPr>
          <w:rStyle w:val="54"/>
          <w:rFonts w:hint="default" w:ascii="Times New Roman" w:hAnsi="Times New Roman" w:cs="Times New Roman"/>
        </w:rPr>
        <w:t>社会保障和就业（类）行政事业单位养老支出（款）机关事业单位基本养老保险缴费支出（项）：指机关事业单位实施养老保险制度由单位缴纳的基本养老保险费支出。</w:t>
      </w:r>
    </w:p>
    <w:p w14:paraId="4B469420">
      <w:pPr>
        <w:pStyle w:val="22"/>
        <w:spacing w:line="560" w:lineRule="exact"/>
        <w:ind w:firstLine="640" w:firstLineChars="200"/>
        <w:rPr>
          <w:rStyle w:val="54"/>
          <w:rFonts w:hint="default" w:ascii="Times New Roman" w:hAnsi="Times New Roman" w:cs="Times New Roman"/>
        </w:rPr>
      </w:pPr>
      <w:r>
        <w:rPr>
          <w:rStyle w:val="54"/>
          <w:rFonts w:hint="default" w:ascii="Times New Roman" w:hAnsi="Times New Roman" w:cs="Times New Roman"/>
          <w:lang w:val="en-US" w:eastAsia="zh-CN"/>
        </w:rPr>
        <w:t>8</w:t>
      </w:r>
      <w:r>
        <w:rPr>
          <w:rFonts w:hint="default" w:ascii="Times New Roman" w:hAnsi="Times New Roman" w:cs="Times New Roman"/>
          <w:sz w:val="32"/>
          <w:szCs w:val="32"/>
        </w:rPr>
        <w:t>.</w:t>
      </w:r>
      <w:r>
        <w:rPr>
          <w:rStyle w:val="54"/>
          <w:rFonts w:hint="default" w:ascii="Times New Roman" w:hAnsi="Times New Roman" w:cs="Times New Roman"/>
        </w:rPr>
        <w:t>住房保障支出（类）住房改革支出（款）住房公积金（项）：指按照《住房公积金管理条例》的规定，由单位及其在职职工缴存的长期住房储金。缴存比例最低不低于5%，最高不超过12%，缴存基数为职工本人上年工资。</w:t>
      </w:r>
    </w:p>
    <w:p w14:paraId="6217E878">
      <w:pPr>
        <w:keepNext w:val="0"/>
        <w:keepLines w:val="0"/>
        <w:pageBreakBefore w:val="0"/>
        <w:kinsoku/>
        <w:wordWrap/>
        <w:overflowPunct/>
        <w:topLinePunct w:val="0"/>
        <w:bidi w:val="0"/>
        <w:spacing w:line="600" w:lineRule="exact"/>
        <w:ind w:firstLine="640" w:firstLineChars="200"/>
        <w:rPr>
          <w:rFonts w:hint="default" w:ascii="Times New Roman" w:hAnsi="Times New Roman" w:eastAsia="仿宋" w:cs="Times New Roman"/>
          <w:color w:val="000000"/>
          <w:sz w:val="32"/>
          <w:szCs w:val="32"/>
        </w:rPr>
      </w:pP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.城乡社区</w:t>
      </w:r>
      <w:r>
        <w:rPr>
          <w:rFonts w:hint="default" w:ascii="Times New Roman" w:hAnsi="Times New Roman" w:eastAsia="仿宋_GB2312" w:cs="Times New Roman"/>
          <w:sz w:val="32"/>
          <w:szCs w:val="32"/>
          <w:lang w:val="en-US" w:eastAsia="zh-CN"/>
        </w:rPr>
        <w:t>支出</w:t>
      </w:r>
      <w:r>
        <w:rPr>
          <w:rFonts w:hint="default" w:ascii="Times New Roman" w:hAnsi="Times New Roman" w:eastAsia="仿宋_GB2312" w:cs="Times New Roman"/>
          <w:sz w:val="32"/>
          <w:szCs w:val="32"/>
        </w:rPr>
        <w:t>（类）</w:t>
      </w:r>
      <w:r>
        <w:rPr>
          <w:rFonts w:hint="default" w:ascii="Times New Roman" w:hAnsi="Times New Roman" w:eastAsia="仿宋_GB2312" w:cs="Times New Roman"/>
          <w:sz w:val="32"/>
          <w:szCs w:val="32"/>
          <w:lang w:val="en-US" w:eastAsia="zh-CN"/>
        </w:rPr>
        <w:t>国有土地使用权出让收入及对应专项债券收入安排的支出</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val="en-US" w:eastAsia="zh-CN"/>
        </w:rPr>
        <w:t>土地开发支出</w:t>
      </w:r>
      <w:r>
        <w:rPr>
          <w:rFonts w:hint="default" w:ascii="Times New Roman" w:hAnsi="Times New Roman" w:eastAsia="仿宋_GB2312" w:cs="Times New Roman"/>
          <w:sz w:val="32"/>
          <w:szCs w:val="32"/>
        </w:rPr>
        <w:t>（项）：</w:t>
      </w:r>
      <w:r>
        <w:rPr>
          <w:rStyle w:val="54"/>
          <w:rFonts w:hint="default" w:ascii="Times New Roman" w:hAnsi="Times New Roman" w:cs="Times New Roman"/>
        </w:rPr>
        <w:t>指</w:t>
      </w:r>
      <w:r>
        <w:rPr>
          <w:rFonts w:hint="default" w:ascii="Times New Roman" w:hAnsi="Times New Roman" w:eastAsia="仿宋" w:cs="Times New Roman"/>
          <w:color w:val="000000"/>
          <w:sz w:val="32"/>
          <w:szCs w:val="32"/>
        </w:rPr>
        <w:t>反映新疆生产建设兵团和地方政府用于前期土地开发性支出以及与前期土地开发相关的费用等支出。</w:t>
      </w:r>
    </w:p>
    <w:p w14:paraId="02285A7F">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.基本支出：指为保障机构正常运转、完成日常工作任务而发生的人员支出和公用支出。</w:t>
      </w:r>
    </w:p>
    <w:p w14:paraId="23045591">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 xml:space="preserve">.项目支出：指在基本支出之外为完成特定行政任务和事业发展目标所发生的支出。 </w:t>
      </w:r>
    </w:p>
    <w:p w14:paraId="45AD20A4">
      <w:pPr>
        <w:pStyle w:val="22"/>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AD6BF24">
      <w:pPr>
        <w:pStyle w:val="22"/>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13</w:t>
      </w:r>
      <w:r>
        <w:rPr>
          <w:rFonts w:hint="default" w:ascii="Times New Roman" w:hAnsi="Times New Roman" w:eastAsia="仿宋_GB2312" w:cs="Times New Roman"/>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5375CA5">
      <w:pPr>
        <w:spacing w:line="600" w:lineRule="exact"/>
        <w:jc w:val="center"/>
        <w:outlineLvl w:val="0"/>
        <w:rPr>
          <w:rStyle w:val="31"/>
          <w:rFonts w:hint="default" w:ascii="Times New Roman" w:hAnsi="Times New Roman" w:eastAsia="黑体" w:cs="Times New Roman"/>
          <w:b w:val="0"/>
        </w:rPr>
      </w:pPr>
      <w:bookmarkStart w:id="47" w:name="_Toc15377226"/>
      <w:r>
        <w:rPr>
          <w:rFonts w:hint="default" w:ascii="Times New Roman" w:hAnsi="Times New Roman" w:cs="Times New Roman"/>
          <w:b/>
          <w:sz w:val="44"/>
          <w:szCs w:val="44"/>
        </w:rPr>
        <w:br w:type="page"/>
      </w:r>
      <w:bookmarkStart w:id="48" w:name="_Toc15396614"/>
      <w:r>
        <w:rPr>
          <w:rFonts w:hint="default" w:ascii="Times New Roman" w:hAnsi="Times New Roman" w:eastAsia="黑体" w:cs="Times New Roman"/>
          <w:sz w:val="44"/>
          <w:szCs w:val="44"/>
        </w:rPr>
        <w:t>第</w:t>
      </w:r>
      <w:r>
        <w:rPr>
          <w:rStyle w:val="31"/>
          <w:rFonts w:hint="default" w:ascii="Times New Roman" w:hAnsi="Times New Roman" w:eastAsia="黑体" w:cs="Times New Roman"/>
          <w:b w:val="0"/>
        </w:rPr>
        <w:t>四部分 附件</w:t>
      </w:r>
      <w:bookmarkEnd w:id="48"/>
    </w:p>
    <w:p w14:paraId="326A4CEE">
      <w:pPr>
        <w:spacing w:line="572" w:lineRule="exact"/>
        <w:jc w:val="left"/>
        <w:outlineLvl w:val="0"/>
        <w:rPr>
          <w:rFonts w:hint="default" w:ascii="Times New Roman" w:hAnsi="Times New Roman" w:eastAsia="方正小标宋简体" w:cs="Times New Roman"/>
          <w:sz w:val="44"/>
          <w:szCs w:val="44"/>
        </w:rPr>
      </w:pPr>
    </w:p>
    <w:p w14:paraId="0909B217">
      <w:pPr>
        <w:widowControl/>
        <w:spacing w:line="580" w:lineRule="exact"/>
        <w:contextualSpacing/>
        <w:jc w:val="center"/>
        <w:rPr>
          <w:rFonts w:hint="default" w:ascii="Times New Roman" w:hAnsi="Times New Roman" w:eastAsia="方正小标宋_GBK" w:cs="Times New Roman"/>
          <w:b/>
          <w:sz w:val="38"/>
          <w:szCs w:val="38"/>
          <w:shd w:val="clear" w:color="auto" w:fill="FFFFFF"/>
        </w:rPr>
      </w:pPr>
      <w:r>
        <w:rPr>
          <w:rFonts w:hint="default" w:ascii="Times New Roman" w:hAnsi="Times New Roman" w:eastAsia="方正小标宋_GBK" w:cs="Times New Roman"/>
          <w:b/>
          <w:sz w:val="38"/>
          <w:szCs w:val="38"/>
          <w:shd w:val="clear" w:color="auto" w:fill="FFFFFF"/>
        </w:rPr>
        <w:t>中国人民政治协商会议攀枝花市西区委员会</w:t>
      </w:r>
    </w:p>
    <w:p w14:paraId="71A26870">
      <w:pPr>
        <w:widowControl/>
        <w:spacing w:line="580" w:lineRule="exact"/>
        <w:contextualSpacing/>
        <w:jc w:val="center"/>
        <w:rPr>
          <w:rFonts w:hint="default" w:ascii="Times New Roman" w:hAnsi="Times New Roman" w:eastAsia="方正小标宋_GBK" w:cs="Times New Roman"/>
          <w:b/>
          <w:sz w:val="38"/>
          <w:szCs w:val="38"/>
          <w:shd w:val="clear" w:color="auto" w:fill="FFFFFF"/>
        </w:rPr>
      </w:pPr>
      <w:r>
        <w:rPr>
          <w:rFonts w:ascii="方正小标宋_GBK" w:hAnsi="宋体" w:eastAsia="方正小标宋_GBK" w:cs="方正小标宋_GBK"/>
          <w:b/>
          <w:bCs/>
          <w:sz w:val="36"/>
          <w:szCs w:val="36"/>
          <w:shd w:val="clear" w:color="auto" w:fill="FFFFFF"/>
        </w:rPr>
        <w:t>202</w:t>
      </w:r>
      <w:r>
        <w:rPr>
          <w:rFonts w:hint="eastAsia" w:ascii="方正小标宋_GBK" w:hAnsi="宋体" w:eastAsia="方正小标宋_GBK" w:cs="方正小标宋_GBK"/>
          <w:b/>
          <w:bCs/>
          <w:sz w:val="36"/>
          <w:szCs w:val="36"/>
          <w:shd w:val="clear" w:color="auto" w:fill="FFFFFF"/>
          <w:lang w:val="en-US" w:eastAsia="zh-CN"/>
        </w:rPr>
        <w:t>2</w:t>
      </w:r>
      <w:r>
        <w:rPr>
          <w:rFonts w:hint="eastAsia" w:ascii="方正小标宋_GBK" w:hAnsi="宋体" w:eastAsia="方正小标宋_GBK" w:cs="方正小标宋_GBK"/>
          <w:b/>
          <w:bCs/>
          <w:sz w:val="36"/>
          <w:szCs w:val="36"/>
          <w:shd w:val="clear" w:color="auto" w:fill="FFFFFF"/>
        </w:rPr>
        <w:t>年</w:t>
      </w:r>
      <w:r>
        <w:rPr>
          <w:rFonts w:hint="default" w:ascii="Times New Roman" w:hAnsi="Times New Roman" w:eastAsia="方正小标宋_GBK" w:cs="Times New Roman"/>
          <w:b/>
          <w:sz w:val="38"/>
          <w:szCs w:val="38"/>
          <w:shd w:val="clear" w:color="auto" w:fill="FFFFFF"/>
        </w:rPr>
        <w:t>部门整体绩效评价报告</w:t>
      </w:r>
    </w:p>
    <w:p w14:paraId="3A6AFDE0">
      <w:pPr>
        <w:widowControl/>
        <w:adjustRightInd w:val="0"/>
        <w:snapToGrid w:val="0"/>
        <w:spacing w:line="580" w:lineRule="exact"/>
        <w:ind w:firstLine="480" w:firstLineChars="200"/>
        <w:contextualSpacing/>
        <w:jc w:val="left"/>
        <w:rPr>
          <w:rFonts w:hint="default" w:ascii="Times New Roman" w:hAnsi="Times New Roman" w:eastAsia="黑体" w:cs="Times New Roman"/>
          <w:color w:val="000000"/>
          <w:kern w:val="0"/>
          <w:sz w:val="24"/>
          <w:szCs w:val="32"/>
          <w:shd w:val="clear" w:color="auto" w:fill="FFFFFF"/>
        </w:rPr>
      </w:pPr>
    </w:p>
    <w:p w14:paraId="5AAFCBEB">
      <w:pPr>
        <w:widowControl/>
        <w:adjustRightInd w:val="0"/>
        <w:snapToGrid w:val="0"/>
        <w:spacing w:line="580" w:lineRule="exact"/>
        <w:ind w:firstLine="640" w:firstLineChars="200"/>
        <w:contextualSpacing/>
        <w:jc w:val="left"/>
        <w:rPr>
          <w:rFonts w:hint="default" w:ascii="Times New Roman" w:hAnsi="Times New Roman" w:eastAsia="黑体" w:cs="Times New Roman"/>
          <w:color w:val="000000"/>
          <w:kern w:val="0"/>
          <w:sz w:val="32"/>
          <w:szCs w:val="32"/>
          <w:shd w:val="clear" w:color="auto" w:fill="FFFFFF"/>
          <w:lang w:val="zh-CN"/>
        </w:rPr>
      </w:pPr>
      <w:r>
        <w:rPr>
          <w:rFonts w:hint="default" w:ascii="Times New Roman" w:hAnsi="Times New Roman" w:eastAsia="黑体" w:cs="Times New Roman"/>
          <w:color w:val="000000"/>
          <w:kern w:val="0"/>
          <w:sz w:val="32"/>
          <w:szCs w:val="32"/>
          <w:shd w:val="clear" w:color="auto" w:fill="FFFFFF"/>
        </w:rPr>
        <w:t>一、</w:t>
      </w:r>
      <w:r>
        <w:rPr>
          <w:rFonts w:hint="default" w:ascii="Times New Roman" w:hAnsi="Times New Roman" w:eastAsia="黑体" w:cs="Times New Roman"/>
          <w:color w:val="000000"/>
          <w:kern w:val="0"/>
          <w:sz w:val="32"/>
          <w:szCs w:val="32"/>
          <w:shd w:val="clear" w:color="auto" w:fill="FFFFFF"/>
          <w:lang w:val="zh-CN"/>
        </w:rPr>
        <w:t>部门概况</w:t>
      </w:r>
    </w:p>
    <w:p w14:paraId="10F5FE31">
      <w:pPr>
        <w:widowControl/>
        <w:adjustRightInd w:val="0"/>
        <w:snapToGrid w:val="0"/>
        <w:spacing w:line="560" w:lineRule="exact"/>
        <w:ind w:firstLine="643" w:firstLineChars="200"/>
        <w:contextualSpacing/>
        <w:jc w:val="left"/>
        <w:rPr>
          <w:rFonts w:hint="default" w:ascii="Times New Roman" w:hAnsi="Times New Roman" w:eastAsia="楷体_GB2312" w:cs="Times New Roman"/>
          <w:b/>
          <w:bCs/>
          <w:kern w:val="0"/>
          <w:sz w:val="32"/>
          <w:szCs w:val="32"/>
          <w:shd w:val="clear" w:color="auto" w:fill="FFFFFF"/>
          <w:lang w:val="zh-CN"/>
        </w:rPr>
      </w:pPr>
      <w:r>
        <w:rPr>
          <w:rFonts w:hint="default" w:ascii="Times New Roman" w:hAnsi="Times New Roman" w:eastAsia="楷体_GB2312" w:cs="Times New Roman"/>
          <w:b/>
          <w:bCs/>
          <w:kern w:val="0"/>
          <w:sz w:val="32"/>
          <w:szCs w:val="32"/>
          <w:shd w:val="clear" w:color="auto" w:fill="FFFFFF"/>
          <w:lang w:val="zh-CN"/>
        </w:rPr>
        <w:t>（一）机构组成</w:t>
      </w:r>
    </w:p>
    <w:p w14:paraId="4ABB0168">
      <w:pPr>
        <w:snapToGrid w:val="0"/>
        <w:spacing w:line="520" w:lineRule="exact"/>
        <w:ind w:firstLine="640" w:firstLineChars="200"/>
        <w:rPr>
          <w:rFonts w:hint="default" w:ascii="Times New Roman" w:hAnsi="Times New Roman" w:cs="Times New Roman"/>
          <w:color w:val="000000"/>
          <w:kern w:val="0"/>
          <w:szCs w:val="32"/>
          <w:shd w:val="clear" w:color="auto" w:fill="FFFFFF"/>
          <w:lang w:val="zh-CN"/>
        </w:rPr>
      </w:pPr>
      <w:r>
        <w:rPr>
          <w:rFonts w:hint="default" w:ascii="Times New Roman" w:hAnsi="Times New Roman" w:eastAsia="仿宋_GB2312" w:cs="Times New Roman"/>
          <w:sz w:val="32"/>
          <w:szCs w:val="32"/>
        </w:rPr>
        <w:t>政协攀枝花市西区委员会内设二室六委：办公室（挂政策研究室牌子）、提案委员会、学习文史教科文卫委员会、法制群团委员会、经济民族宗教联谊委员会、人口资源环境委员会、委员联络委员会。</w:t>
      </w:r>
    </w:p>
    <w:p w14:paraId="78DCEBCB">
      <w:pPr>
        <w:snapToGrid w:val="0"/>
        <w:spacing w:line="520" w:lineRule="exact"/>
        <w:ind w:firstLine="663" w:firstLineChars="200"/>
        <w:rPr>
          <w:rFonts w:hint="default" w:ascii="Times New Roman" w:hAnsi="Times New Roman" w:cs="Times New Roman"/>
          <w:color w:val="000000"/>
          <w:kern w:val="0"/>
          <w:szCs w:val="32"/>
          <w:shd w:val="clear" w:color="auto" w:fill="FFFFFF"/>
          <w:lang w:val="zh-CN"/>
        </w:rPr>
      </w:pPr>
      <w:r>
        <w:rPr>
          <w:rFonts w:hint="default" w:ascii="Times New Roman" w:hAnsi="Times New Roman" w:eastAsia="方正楷体_GBK" w:cs="Times New Roman"/>
          <w:b/>
          <w:bCs/>
          <w:color w:val="000000"/>
          <w:kern w:val="0"/>
          <w:sz w:val="33"/>
          <w:szCs w:val="33"/>
          <w:shd w:val="clear" w:color="auto" w:fill="FFFFFF"/>
          <w:lang w:val="zh-CN"/>
        </w:rPr>
        <w:t>（二）</w:t>
      </w:r>
      <w:r>
        <w:rPr>
          <w:rFonts w:hint="default" w:ascii="Times New Roman" w:hAnsi="Times New Roman" w:eastAsia="楷体_GB2312" w:cs="Times New Roman"/>
          <w:b/>
          <w:bCs/>
          <w:kern w:val="0"/>
          <w:sz w:val="32"/>
          <w:szCs w:val="32"/>
          <w:shd w:val="clear" w:color="auto" w:fill="FFFFFF"/>
          <w:lang w:val="zh-CN"/>
        </w:rPr>
        <w:t>机构职能和人员概况。</w:t>
      </w:r>
    </w:p>
    <w:p w14:paraId="33C6D32C">
      <w:pPr>
        <w:pStyle w:val="4"/>
        <w:spacing w:before="0" w:after="0" w:line="600" w:lineRule="exact"/>
        <w:ind w:firstLine="643" w:firstLineChars="200"/>
        <w:rPr>
          <w:rFonts w:hint="default" w:ascii="Times New Roman" w:hAnsi="Times New Roman" w:eastAsia="方正楷体_GBK" w:cs="Times New Roman"/>
        </w:rPr>
      </w:pPr>
      <w:r>
        <w:rPr>
          <w:rFonts w:hint="default" w:ascii="Times New Roman" w:hAnsi="Times New Roman" w:eastAsia="仿宋_GB2312" w:cs="Times New Roman"/>
          <w:bCs w:val="0"/>
        </w:rPr>
        <w:t>1.机构职能。</w:t>
      </w:r>
    </w:p>
    <w:p w14:paraId="6C2E4202">
      <w:pPr>
        <w:widowControl/>
        <w:adjustRightInd w:val="0"/>
        <w:snapToGrid w:val="0"/>
        <w:spacing w:line="580" w:lineRule="exact"/>
        <w:ind w:firstLine="640" w:firstLineChars="200"/>
        <w:contextualSpacing/>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按照《中国人民政治协商会议章程》规定，地方政协主要职能是</w:t>
      </w:r>
      <w:r>
        <w:rPr>
          <w:rFonts w:hint="default" w:ascii="Times New Roman" w:hAnsi="Times New Roman" w:cs="Times New Roman"/>
          <w:sz w:val="32"/>
          <w:szCs w:val="32"/>
        </w:rPr>
        <w:t>：</w:t>
      </w:r>
      <w:r>
        <w:rPr>
          <w:rFonts w:hint="default" w:ascii="Times New Roman" w:hAnsi="Times New Roman" w:eastAsia="仿宋_GB2312" w:cs="Times New Roman"/>
          <w:sz w:val="32"/>
          <w:szCs w:val="32"/>
        </w:rPr>
        <w:t>政治协商、民主监督、参政议政。</w:t>
      </w:r>
    </w:p>
    <w:p w14:paraId="011D3775">
      <w:pPr>
        <w:pStyle w:val="4"/>
        <w:spacing w:before="0" w:after="0" w:line="600" w:lineRule="exact"/>
        <w:ind w:firstLine="643" w:firstLineChars="200"/>
        <w:rPr>
          <w:rFonts w:hint="default" w:ascii="Times New Roman" w:hAnsi="Times New Roman" w:eastAsia="仿宋_GB2312" w:cs="Times New Roman"/>
          <w:bCs w:val="0"/>
        </w:rPr>
      </w:pPr>
      <w:r>
        <w:rPr>
          <w:rFonts w:hint="default" w:ascii="Times New Roman" w:hAnsi="Times New Roman" w:eastAsia="仿宋_GB2312" w:cs="Times New Roman"/>
          <w:bCs w:val="0"/>
        </w:rPr>
        <w:t>2.人员概况</w:t>
      </w:r>
    </w:p>
    <w:p w14:paraId="0776E449">
      <w:pPr>
        <w:snapToGrid w:val="0"/>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2022年行政编制13名、临聘编制2名、事业编制4名，2022年年末实有在职人员25人（其中公务员19人，事业4人，临聘人员2人），由养老保险基金发放养老金的财政拨款退休人员14人。</w:t>
      </w:r>
    </w:p>
    <w:p w14:paraId="09196A13">
      <w:pPr>
        <w:widowControl/>
        <w:adjustRightInd w:val="0"/>
        <w:snapToGrid w:val="0"/>
        <w:spacing w:line="560" w:lineRule="exact"/>
        <w:ind w:firstLine="643" w:firstLineChars="200"/>
        <w:contextualSpacing/>
        <w:jc w:val="left"/>
        <w:rPr>
          <w:rFonts w:hint="default" w:ascii="Times New Roman" w:hAnsi="Times New Roman" w:eastAsia="楷体_GB2312" w:cs="Times New Roman"/>
          <w:b/>
          <w:bCs/>
          <w:kern w:val="0"/>
          <w:sz w:val="32"/>
          <w:szCs w:val="32"/>
          <w:shd w:val="clear" w:color="auto" w:fill="FFFFFF"/>
          <w:lang w:val="zh-CN"/>
        </w:rPr>
      </w:pPr>
      <w:r>
        <w:rPr>
          <w:rFonts w:hint="default" w:ascii="Times New Roman" w:hAnsi="Times New Roman" w:eastAsia="楷体_GB2312" w:cs="Times New Roman"/>
          <w:b/>
          <w:bCs/>
          <w:kern w:val="0"/>
          <w:sz w:val="32"/>
          <w:szCs w:val="32"/>
          <w:shd w:val="clear" w:color="auto" w:fill="FFFFFF"/>
          <w:lang w:val="zh-CN"/>
        </w:rPr>
        <w:t>（三）年度主要工作任务。</w:t>
      </w:r>
    </w:p>
    <w:p w14:paraId="4428F02E">
      <w:pPr>
        <w:spacing w:line="6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2022年，是新一届区政协工作开局起步、守正创新、深受鼓舞的一年。区委深入开展中央政协工作会议精神贯彻落实情况“回头看”，认真落实《关于加强和改进新时代市县政协工作的意见》，切实加强对政协工作的全面领导，积极为政协履职营造良好环境。省、市政协主要领导多次莅临西区调研指导，我区“有事来协商”工作经验在全省交流、“书香政协”建设创新做法得到充分肯定、宣传思想工作持续保持全省政协先进行列，这些都给予我们极大鼓舞和有力鞭策。区政协在中共攀枝花市西区区委坚强领导和区政府大力支持下，坚定以习近平新时代中国特色社会主义思想为指导，深入学习贯彻中共二十大和习近平总书记来川视察重要指示精神，全面落实中央和省委、市委、区委政协工作会议精神，突出政治思想引领，提高协商建言水平，深化凝聚共识工作，强化委员责任担当，团结奋进，为推动“一区一城”战略目标，全面建设社会主义现代化西区贡献智慧和力量。全年共召开</w:t>
      </w:r>
      <w:r>
        <w:rPr>
          <w:rFonts w:hint="eastAsia" w:eastAsia="方正仿宋_GBK" w:cs="Times New Roman"/>
          <w:sz w:val="32"/>
          <w:szCs w:val="32"/>
          <w:lang w:eastAsia="zh-CN"/>
        </w:rPr>
        <w:t>党组会议</w:t>
      </w:r>
      <w:r>
        <w:rPr>
          <w:rFonts w:hint="eastAsia" w:eastAsia="方正仿宋_GBK" w:cs="Times New Roman"/>
          <w:sz w:val="32"/>
          <w:szCs w:val="32"/>
          <w:lang w:val="en-US" w:eastAsia="zh-CN"/>
        </w:rPr>
        <w:t>17次、</w:t>
      </w:r>
      <w:r>
        <w:rPr>
          <w:rFonts w:hint="default" w:ascii="Times New Roman" w:hAnsi="Times New Roman" w:eastAsia="方正仿宋_GBK" w:cs="Times New Roman"/>
          <w:sz w:val="32"/>
          <w:szCs w:val="32"/>
        </w:rPr>
        <w:t>主席会议15次、常委会会议</w:t>
      </w:r>
      <w:r>
        <w:rPr>
          <w:rFonts w:hint="eastAsia" w:eastAsia="方正仿宋_GBK" w:cs="Times New Roman"/>
          <w:color w:val="auto"/>
          <w:sz w:val="32"/>
          <w:szCs w:val="32"/>
          <w:lang w:val="en-US" w:eastAsia="zh-CN"/>
        </w:rPr>
        <w:t>7</w:t>
      </w:r>
      <w:r>
        <w:rPr>
          <w:rFonts w:hint="default" w:ascii="Times New Roman" w:hAnsi="Times New Roman" w:eastAsia="方正仿宋_GBK" w:cs="Times New Roman"/>
          <w:sz w:val="32"/>
          <w:szCs w:val="32"/>
        </w:rPr>
        <w:t>次，组织开展专题调研视察活动23次，形成调研报告8篇。</w:t>
      </w:r>
    </w:p>
    <w:p w14:paraId="07BB1B19">
      <w:pPr>
        <w:spacing w:line="620" w:lineRule="exact"/>
        <w:ind w:firstLine="640" w:firstLineChars="200"/>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一年来，我们坚决维护核心，在强化政治引领夯实根基上得到新加强</w:t>
      </w:r>
    </w:p>
    <w:p w14:paraId="45B8EDFA">
      <w:pPr>
        <w:spacing w:line="6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始终把坚持党的全面领导作为最高政治原则，团结引导各党派团体、各族各界人士深刻认识“两个确立”的决定性意义，切实增强“四个意识”</w:t>
      </w:r>
      <w:r>
        <w:rPr>
          <w:rFonts w:hint="eastAsia" w:eastAsia="方正仿宋_GBK" w:cs="Times New Roman"/>
          <w:sz w:val="32"/>
          <w:szCs w:val="32"/>
          <w:lang w:eastAsia="zh-CN"/>
        </w:rPr>
        <w:t>、</w:t>
      </w:r>
      <w:r>
        <w:rPr>
          <w:rFonts w:hint="default" w:ascii="Times New Roman" w:hAnsi="Times New Roman" w:eastAsia="方正仿宋_GBK" w:cs="Times New Roman"/>
          <w:sz w:val="32"/>
          <w:szCs w:val="32"/>
        </w:rPr>
        <w:t>坚定“四个自信”</w:t>
      </w:r>
      <w:r>
        <w:rPr>
          <w:rFonts w:hint="eastAsia" w:eastAsia="方正仿宋_GBK" w:cs="Times New Roman"/>
          <w:sz w:val="32"/>
          <w:szCs w:val="32"/>
          <w:lang w:eastAsia="zh-CN"/>
        </w:rPr>
        <w:t>、</w:t>
      </w:r>
      <w:r>
        <w:rPr>
          <w:rFonts w:hint="default" w:ascii="Times New Roman" w:hAnsi="Times New Roman" w:eastAsia="方正仿宋_GBK" w:cs="Times New Roman"/>
          <w:sz w:val="32"/>
          <w:szCs w:val="32"/>
        </w:rPr>
        <w:t>做到“两个维护”。</w:t>
      </w:r>
    </w:p>
    <w:p w14:paraId="251DE504">
      <w:pPr>
        <w:widowControl/>
        <w:spacing w:line="620" w:lineRule="exact"/>
        <w:ind w:firstLine="643" w:firstLineChars="200"/>
        <w:rPr>
          <w:rFonts w:hint="default" w:ascii="Times New Roman" w:hAnsi="Times New Roman" w:eastAsia="方正仿宋_GBK" w:cs="Times New Roman"/>
          <w:sz w:val="32"/>
          <w:szCs w:val="32"/>
        </w:rPr>
      </w:pPr>
      <w:r>
        <w:rPr>
          <w:rFonts w:hint="default" w:ascii="Times New Roman" w:hAnsi="Times New Roman" w:eastAsia="方正楷体_GBK" w:cs="Times New Roman"/>
          <w:b/>
          <w:bCs/>
          <w:sz w:val="32"/>
          <w:szCs w:val="32"/>
        </w:rPr>
        <w:t>思想引领筑根基。</w:t>
      </w:r>
      <w:r>
        <w:rPr>
          <w:rFonts w:hint="default" w:ascii="Times New Roman" w:hAnsi="Times New Roman" w:eastAsia="方正仿宋_GBK" w:cs="Times New Roman"/>
          <w:sz w:val="32"/>
          <w:szCs w:val="32"/>
        </w:rPr>
        <w:t>建立健全以政协党组理论</w:t>
      </w:r>
      <w:r>
        <w:rPr>
          <w:rFonts w:hint="eastAsia" w:eastAsia="方正仿宋_GBK" w:cs="Times New Roman"/>
          <w:sz w:val="32"/>
          <w:szCs w:val="32"/>
          <w:lang w:val="en-US" w:eastAsia="zh-CN"/>
        </w:rPr>
        <w:t>学习</w:t>
      </w:r>
      <w:r>
        <w:rPr>
          <w:rFonts w:hint="default" w:ascii="Times New Roman" w:hAnsi="Times New Roman" w:eastAsia="方正仿宋_GBK" w:cs="Times New Roman"/>
          <w:sz w:val="32"/>
          <w:szCs w:val="32"/>
        </w:rPr>
        <w:t>中心组学习为引领的学习制度体系。坚持“第一议题”制度，组织政协委员和机关干部深入学习中共二十大和十九届六中全会精神、《习近平谈治国理政》第四卷，及时跟进学习习近平总书记最新重要讲话、重要指示批示精神，教育引领广大委员旗帜鲜明讲政治、坚定不移跟党走，把党的主张转化为社会各界的广泛认知和自觉行动，确保政协事业正确前进方向。全年区政协党组理论</w:t>
      </w:r>
      <w:r>
        <w:rPr>
          <w:rFonts w:hint="eastAsia" w:eastAsia="方正仿宋_GBK" w:cs="Times New Roman"/>
          <w:sz w:val="32"/>
          <w:szCs w:val="32"/>
          <w:lang w:val="en-US" w:eastAsia="zh-CN"/>
        </w:rPr>
        <w:t>学习</w:t>
      </w:r>
      <w:r>
        <w:rPr>
          <w:rFonts w:hint="default" w:ascii="Times New Roman" w:hAnsi="Times New Roman" w:eastAsia="方正仿宋_GBK" w:cs="Times New Roman"/>
          <w:sz w:val="32"/>
          <w:szCs w:val="32"/>
        </w:rPr>
        <w:t>中心组共开展理论集中学习10次，党组会、主席会及委员学习组学习32次，理论宣讲18次，不断从新思想中汲取理论力量、信仰力量、奋进力量。</w:t>
      </w:r>
    </w:p>
    <w:p w14:paraId="61B4E2ED">
      <w:pPr>
        <w:pStyle w:val="22"/>
        <w:spacing w:line="620" w:lineRule="exact"/>
        <w:ind w:firstLine="643" w:firstLineChars="200"/>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b/>
          <w:bCs/>
          <w:color w:val="auto"/>
          <w:sz w:val="32"/>
          <w:szCs w:val="32"/>
        </w:rPr>
        <w:t>党的领导强保障。</w:t>
      </w:r>
      <w:r>
        <w:rPr>
          <w:rFonts w:hint="default" w:ascii="Times New Roman" w:hAnsi="Times New Roman" w:eastAsia="方正仿宋_GBK" w:cs="Times New Roman"/>
          <w:sz w:val="32"/>
          <w:szCs w:val="32"/>
        </w:rPr>
        <w:t>毫不动摇坚持党的全面领导，自觉地把政协工作置于区委坚强领导之下，做到一切重要工作在区委的领导下开展，一切重要活动围绕区委中心任务进行。区委、区政府主要领导亲自为政协协商点题，亲自审批年度协商计划，</w:t>
      </w:r>
      <w:r>
        <w:rPr>
          <w:rFonts w:hint="default" w:ascii="Times New Roman" w:hAnsi="Times New Roman" w:eastAsia="方正仿宋_GBK" w:cs="Times New Roman"/>
          <w:color w:val="auto"/>
          <w:sz w:val="32"/>
          <w:szCs w:val="32"/>
        </w:rPr>
        <w:t>主动参加政协重要活动6次，为政协精准履职明标靶向。区政协党组充分发挥把方向、管大局、保落实的领导作用，坚持重大事项主动报告、重要问题及时请示，做到区委有部署、政协有行动，区委有要求、政协有响应。一年来，区委、区政府主要领导对区政协重要报告作出明确批示10次。</w:t>
      </w:r>
    </w:p>
    <w:p w14:paraId="1236828F">
      <w:pPr>
        <w:widowControl/>
        <w:spacing w:line="620" w:lineRule="exact"/>
        <w:ind w:firstLine="643" w:firstLineChars="200"/>
        <w:rPr>
          <w:rFonts w:hint="default" w:ascii="Times New Roman" w:hAnsi="Times New Roman" w:eastAsia="方正仿宋_GBK" w:cs="Times New Roman"/>
          <w:sz w:val="32"/>
          <w:szCs w:val="32"/>
        </w:rPr>
      </w:pPr>
      <w:r>
        <w:rPr>
          <w:rFonts w:hint="default" w:ascii="Times New Roman" w:hAnsi="Times New Roman" w:eastAsia="方正楷体_GBK" w:cs="Times New Roman"/>
          <w:b/>
          <w:bCs/>
          <w:sz w:val="32"/>
          <w:szCs w:val="32"/>
        </w:rPr>
        <w:t>党建引领提质量。</w:t>
      </w:r>
      <w:r>
        <w:rPr>
          <w:rFonts w:hint="default" w:ascii="Times New Roman" w:hAnsi="Times New Roman" w:eastAsia="方正仿宋_GBK" w:cs="Times New Roman"/>
          <w:sz w:val="32"/>
          <w:szCs w:val="32"/>
        </w:rPr>
        <w:t>新建区政协委员综合党总支部，设立6个委员学习党小组，形成“区政协党组—机关党组—机关党支部”“区政协党组—委员综合党总支部—委员学习党小组”政协党组织体系架构，党组织政治功能进一步强化，实现党的组织对党员委员全覆盖、党的工作对政协委员全覆盖。“党建+协商建言、党建+项目督导、党建+凝聚共识”党建品牌成效明显，机关党员和委员党员先锋模范作用得到充分发挥。</w:t>
      </w:r>
    </w:p>
    <w:p w14:paraId="5A463B33">
      <w:pPr>
        <w:spacing w:line="620" w:lineRule="exact"/>
        <w:ind w:firstLine="640" w:firstLineChars="200"/>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一年来，我们倾力服务中心，在推动协商议政助力发展上作出新贡献</w:t>
      </w:r>
    </w:p>
    <w:p w14:paraId="42708D14">
      <w:pPr>
        <w:pStyle w:val="22"/>
        <w:spacing w:line="620" w:lineRule="exact"/>
        <w:ind w:firstLine="640" w:firstLineChars="200"/>
        <w:rPr>
          <w:rFonts w:hint="default" w:ascii="Times New Roman" w:hAnsi="Times New Roman" w:eastAsia="方正仿宋_GBK" w:cs="Times New Roman"/>
          <w:color w:val="333333"/>
          <w:sz w:val="32"/>
          <w:szCs w:val="32"/>
          <w:shd w:val="clear" w:color="auto" w:fill="FFFFFF"/>
        </w:rPr>
      </w:pPr>
      <w:r>
        <w:rPr>
          <w:rFonts w:hint="default" w:ascii="Times New Roman" w:hAnsi="Times New Roman" w:eastAsia="方正仿宋_GBK" w:cs="Times New Roman"/>
          <w:color w:val="auto"/>
          <w:sz w:val="32"/>
          <w:szCs w:val="32"/>
        </w:rPr>
        <w:t>始终把牢人民政协作为专门协商机构的性质定位，认真落实年度协商计划，紧扣中心，为助推“一区一城”建设和实现高质量发展精准建言、持续发力卓有成效。</w:t>
      </w:r>
    </w:p>
    <w:p w14:paraId="69FAC08F">
      <w:pPr>
        <w:spacing w:line="620" w:lineRule="exact"/>
        <w:ind w:firstLine="643" w:firstLineChars="200"/>
        <w:rPr>
          <w:rFonts w:hint="default" w:ascii="Times New Roman" w:hAnsi="Times New Roman" w:eastAsia="方正仿宋_GBK" w:cs="Times New Roman"/>
          <w:sz w:val="32"/>
          <w:szCs w:val="32"/>
        </w:rPr>
      </w:pPr>
      <w:r>
        <w:rPr>
          <w:rFonts w:hint="default" w:ascii="Times New Roman" w:hAnsi="Times New Roman" w:eastAsia="方正楷体_GBK" w:cs="Times New Roman"/>
          <w:b/>
          <w:bCs/>
          <w:sz w:val="32"/>
          <w:szCs w:val="32"/>
        </w:rPr>
        <w:t>协商议政集智慧。</w:t>
      </w:r>
      <w:r>
        <w:rPr>
          <w:rFonts w:hint="default" w:ascii="Times New Roman" w:hAnsi="Times New Roman" w:eastAsia="方正仿宋_GBK" w:cs="Times New Roman"/>
          <w:sz w:val="32"/>
          <w:szCs w:val="32"/>
        </w:rPr>
        <w:t>按照“1+2+4+N”协商工作体系，共召开1次全体会议、2次议政性常委会会议、5次专题（对口）协商会议、1次提案办理协商会议，开展18次“小微协商”活动，年度协商计划全面完成。提交大会发言25篇、提案86件，形成调研报告8篇，其中4篇调研报告得到区委</w:t>
      </w:r>
      <w:r>
        <w:rPr>
          <w:rFonts w:hint="eastAsia" w:eastAsia="方正仿宋_GBK" w:cs="Times New Roman"/>
          <w:color w:val="auto"/>
          <w:sz w:val="32"/>
          <w:szCs w:val="32"/>
          <w:lang w:eastAsia="zh-CN"/>
        </w:rPr>
        <w:t>主要领导</w:t>
      </w:r>
      <w:r>
        <w:rPr>
          <w:rFonts w:hint="default" w:ascii="Times New Roman" w:hAnsi="Times New Roman" w:eastAsia="方正仿宋_GBK" w:cs="Times New Roman"/>
          <w:sz w:val="32"/>
          <w:szCs w:val="32"/>
        </w:rPr>
        <w:t>肯定性批示和批转，区政协八届二次会议期间21条委员建议得到区政府</w:t>
      </w:r>
      <w:r>
        <w:rPr>
          <w:rFonts w:hint="eastAsia" w:eastAsia="方正仿宋_GBK" w:cs="Times New Roman"/>
          <w:color w:val="auto"/>
          <w:sz w:val="32"/>
          <w:szCs w:val="32"/>
          <w:lang w:eastAsia="zh-CN"/>
        </w:rPr>
        <w:t>主要领导</w:t>
      </w:r>
      <w:r>
        <w:rPr>
          <w:rFonts w:hint="default" w:ascii="Times New Roman" w:hAnsi="Times New Roman" w:eastAsia="方正仿宋_GBK" w:cs="Times New Roman"/>
          <w:sz w:val="32"/>
          <w:szCs w:val="32"/>
        </w:rPr>
        <w:t>批转吸纳办理。</w:t>
      </w:r>
      <w:r>
        <w:rPr>
          <w:rFonts w:hint="default" w:ascii="Times New Roman" w:hAnsi="Times New Roman" w:eastAsia="方正仿宋_GBK" w:cs="Times New Roman"/>
          <w:b/>
          <w:bCs/>
          <w:sz w:val="32"/>
          <w:szCs w:val="32"/>
        </w:rPr>
        <w:t>聚焦“山水灵秀新城”建设，</w:t>
      </w:r>
      <w:r>
        <w:rPr>
          <w:rFonts w:hint="default" w:ascii="Times New Roman" w:hAnsi="Times New Roman" w:eastAsia="方正仿宋_GBK" w:cs="Times New Roman"/>
          <w:sz w:val="32"/>
          <w:szCs w:val="32"/>
        </w:rPr>
        <w:t>围绕“水文章”开展深度调研协商，形成《山水灵秀新城 • 水篇——关于西区水资源保护开发利用的研究与思考》研究报告，立足“水空间、水经济、水文化、水生态”四个方面提出建设性项目80个，为我区项目包装提供了参考，区委对这一协商成果给予了高度肯定。</w:t>
      </w:r>
      <w:r>
        <w:rPr>
          <w:rFonts w:hint="default" w:ascii="Times New Roman" w:hAnsi="Times New Roman" w:eastAsia="方正仿宋_GBK" w:cs="Times New Roman"/>
          <w:b/>
          <w:bCs/>
          <w:sz w:val="32"/>
          <w:szCs w:val="32"/>
        </w:rPr>
        <w:t>聚焦“攀西工业强区”建设</w:t>
      </w:r>
      <w:r>
        <w:rPr>
          <w:rFonts w:hint="default" w:ascii="Times New Roman" w:hAnsi="Times New Roman" w:eastAsia="方正仿宋_GBK" w:cs="Times New Roman"/>
          <w:b/>
          <w:bCs/>
          <w:sz w:val="32"/>
          <w:szCs w:val="32"/>
        </w:rPr>
        <mc:AlternateContent>
          <mc:Choice Requires="wps">
            <w:drawing>
              <wp:anchor distT="0" distB="0" distL="114300" distR="114300" simplePos="0" relativeHeight="251665408" behindDoc="0" locked="0" layoutInCell="1" allowOverlap="1">
                <wp:simplePos x="0" y="0"/>
                <wp:positionH relativeFrom="column">
                  <wp:posOffset>2209800</wp:posOffset>
                </wp:positionH>
                <wp:positionV relativeFrom="paragraph">
                  <wp:posOffset>-243840</wp:posOffset>
                </wp:positionV>
                <wp:extent cx="635"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635" cy="0"/>
                        </a:xfrm>
                        <a:prstGeom prst="straightConnector1">
                          <a:avLst/>
                        </a:prstGeom>
                        <a:ln>
                          <a:noFill/>
                        </a:ln>
                        <a:effectLst/>
                      </wps:spPr>
                      <wps:bodyPr/>
                    </wps:wsp>
                  </a:graphicData>
                </a:graphic>
              </wp:anchor>
            </w:drawing>
          </mc:Choice>
          <mc:Fallback>
            <w:pict>
              <v:shape id="_x0000_s1026" o:spid="_x0000_s1026" o:spt="32" type="#_x0000_t32" style="position:absolute;left:0pt;margin-left:174pt;margin-top:-19.2pt;height:0pt;width:0.05pt;z-index:251665408;mso-width-relative:page;mso-height-relative:page;" filled="f" stroked="f" coordsize="21600,21600" o:gfxdata="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jL8yWNgAAAAL&#10;AQAADwAAAAAAAAABACAAAAAiAAAAZHJzL2Rvd25yZXYueG1sUEsBAhQAFAAAAAgAh07iQHNRh1Wq&#10;AQAAQQMAAA4AAAAAAAAAAQAgAAAAJwEAAGRycy9lMm9Eb2MueG1sUEsFBgAAAAAGAAYAWQEAAEMF&#10;AAAAAA==&#10;">
                <v:fill on="f" focussize="0,0"/>
                <v:stroke on="f"/>
                <v:imagedata o:title=""/>
                <o:lock v:ext="edit" aspectratio="f"/>
              </v:shape>
            </w:pict>
          </mc:Fallback>
        </mc:AlternateContent>
      </w:r>
      <w:r>
        <w:rPr>
          <w:rFonts w:hint="default" w:ascii="Times New Roman" w:hAnsi="Times New Roman" w:eastAsia="方正仿宋_GBK" w:cs="Times New Roman"/>
          <w:b/>
          <w:bCs/>
          <w:sz w:val="32"/>
          <w:szCs w:val="32"/>
        </w:rPr>
        <w:t>，</w:t>
      </w:r>
      <w:r>
        <w:rPr>
          <w:rFonts w:hint="default" w:ascii="Times New Roman" w:hAnsi="Times New Roman" w:eastAsia="方正仿宋_GBK" w:cs="Times New Roman"/>
          <w:sz w:val="32"/>
          <w:szCs w:val="32"/>
        </w:rPr>
        <w:t>围绕园区僵尸企业治理深入调研和协商，形成《关于格里坪特色产业园区特困企业治理的对策建议》，提出园区特困企业治理工作总体思路和14条具体建议，为充分盘活利用园区闲置资源、优化园区发展环境、稳住全区经济大盘建言献策，得到区政府分管领导的肯定性批示和转办。</w:t>
      </w:r>
      <w:r>
        <w:rPr>
          <w:rFonts w:hint="default" w:ascii="Times New Roman" w:hAnsi="Times New Roman" w:eastAsia="方正仿宋_GBK" w:cs="Times New Roman"/>
          <w:b/>
          <w:bCs/>
          <w:sz w:val="32"/>
          <w:szCs w:val="32"/>
        </w:rPr>
        <w:t>聚焦“城市精明增长”战略，</w:t>
      </w:r>
      <w:r>
        <w:rPr>
          <w:rFonts w:hint="default" w:ascii="Times New Roman" w:hAnsi="Times New Roman" w:eastAsia="方正仿宋_GBK" w:cs="Times New Roman"/>
          <w:sz w:val="32"/>
          <w:szCs w:val="32"/>
        </w:rPr>
        <w:t>围绕老旧小区改造、三线文化传承、困难群体帮扶等组织开展专题协商、对口协商和提案办理协商，形成协商成果6个，《关于西区三线文化资源保护开发SWOT分析及对策建议》《关于西区城市困难群体情况的调研及对策建议》等专题调研报告，区委</w:t>
      </w:r>
      <w:r>
        <w:rPr>
          <w:rFonts w:hint="eastAsia" w:eastAsia="方正仿宋_GBK" w:cs="Times New Roman"/>
          <w:sz w:val="32"/>
          <w:szCs w:val="32"/>
          <w:lang w:eastAsia="zh-CN"/>
        </w:rPr>
        <w:t>主要领导</w:t>
      </w:r>
      <w:r>
        <w:rPr>
          <w:rFonts w:hint="default" w:ascii="Times New Roman" w:hAnsi="Times New Roman" w:eastAsia="方正仿宋_GBK" w:cs="Times New Roman"/>
          <w:sz w:val="32"/>
          <w:szCs w:val="32"/>
        </w:rPr>
        <w:t>作出肯定性批示。</w:t>
      </w:r>
    </w:p>
    <w:p w14:paraId="1DA86A3A">
      <w:pPr>
        <w:pStyle w:val="13"/>
        <w:widowControl/>
        <w:spacing w:before="0" w:beforeAutospacing="0" w:after="0" w:afterAutospacing="0" w:line="600" w:lineRule="exact"/>
        <w:ind w:firstLine="643" w:firstLineChars="200"/>
        <w:jc w:val="both"/>
        <w:rPr>
          <w:rFonts w:hint="default" w:ascii="Times New Roman" w:hAnsi="Times New Roman" w:eastAsia="方正仿宋_GBK" w:cs="Times New Roman"/>
          <w:color w:val="FF0000"/>
          <w:sz w:val="32"/>
          <w:szCs w:val="32"/>
          <w:u w:val="single"/>
        </w:rPr>
      </w:pPr>
      <w:r>
        <w:rPr>
          <w:rFonts w:hint="default" w:ascii="Times New Roman" w:hAnsi="Times New Roman" w:eastAsia="方正楷体_GBK" w:cs="Times New Roman"/>
          <w:b/>
          <w:bCs/>
          <w:kern w:val="2"/>
          <w:sz w:val="32"/>
          <w:szCs w:val="32"/>
        </w:rPr>
        <w:t>协商式监督促落实。</w:t>
      </w:r>
      <w:r>
        <w:rPr>
          <w:rFonts w:hint="default" w:ascii="Times New Roman" w:hAnsi="Times New Roman" w:eastAsia="方正仿宋_GBK" w:cs="Times New Roman"/>
          <w:color w:val="000000"/>
          <w:sz w:val="32"/>
          <w:szCs w:val="32"/>
        </w:rPr>
        <w:t>围绕全区非煤矿山执法情况、屋顶分布式光伏整区试点项目建设、公园城市建设规划编制等进行调研协商，</w:t>
      </w:r>
      <w:r>
        <w:rPr>
          <w:rFonts w:hint="eastAsia" w:eastAsia="方正仿宋_GBK" w:cs="Times New Roman"/>
          <w:sz w:val="32"/>
          <w:szCs w:val="32"/>
          <w:lang w:eastAsia="zh-CN"/>
        </w:rPr>
        <w:t>区政府主要领导</w:t>
      </w:r>
      <w:r>
        <w:rPr>
          <w:rFonts w:hint="default" w:ascii="Times New Roman" w:hAnsi="Times New Roman" w:eastAsia="方正仿宋_GBK" w:cs="Times New Roman"/>
          <w:sz w:val="32"/>
          <w:szCs w:val="32"/>
        </w:rPr>
        <w:t>对《关于西区</w:t>
      </w:r>
      <w:r>
        <w:rPr>
          <w:rFonts w:hint="default" w:ascii="Times New Roman" w:hAnsi="Times New Roman" w:eastAsia="方正仿宋_GBK" w:cs="Times New Roman"/>
          <w:color w:val="000000"/>
          <w:sz w:val="32"/>
          <w:szCs w:val="32"/>
        </w:rPr>
        <w:t>非煤矿山综合执法情况的调研报告</w:t>
      </w:r>
      <w:r>
        <w:rPr>
          <w:rFonts w:hint="default" w:ascii="Times New Roman" w:hAnsi="Times New Roman" w:eastAsia="方正仿宋_GBK" w:cs="Times New Roman"/>
          <w:sz w:val="32"/>
          <w:szCs w:val="32"/>
        </w:rPr>
        <w:t>》进行了批转，</w:t>
      </w:r>
      <w:r>
        <w:rPr>
          <w:rFonts w:hint="default" w:ascii="Times New Roman" w:hAnsi="Times New Roman" w:eastAsia="方正仿宋_GBK" w:cs="Times New Roman"/>
          <w:color w:val="000000"/>
          <w:sz w:val="32"/>
          <w:szCs w:val="32"/>
        </w:rPr>
        <w:t>助力重</w:t>
      </w:r>
      <w:r>
        <w:rPr>
          <w:rFonts w:hint="default" w:ascii="Times New Roman" w:hAnsi="Times New Roman" w:eastAsia="方正仿宋_GBK" w:cs="Times New Roman"/>
          <w:sz w:val="32"/>
          <w:szCs w:val="32"/>
        </w:rPr>
        <w:t>点工作推进。发挥重点提案办理示范引领作用，推动</w:t>
      </w:r>
      <w:r>
        <w:rPr>
          <w:rFonts w:hint="eastAsia" w:eastAsia="方正仿宋_GBK" w:cs="Times New Roman"/>
          <w:sz w:val="32"/>
          <w:szCs w:val="32"/>
          <w:lang w:eastAsia="zh-CN"/>
        </w:rPr>
        <w:t>区委、区政府主要领导</w:t>
      </w:r>
      <w:r>
        <w:rPr>
          <w:rFonts w:hint="default" w:ascii="Times New Roman" w:hAnsi="Times New Roman" w:eastAsia="方正仿宋_GBK" w:cs="Times New Roman"/>
          <w:sz w:val="32"/>
          <w:szCs w:val="32"/>
        </w:rPr>
        <w:t>批示的</w:t>
      </w:r>
      <w:r>
        <w:rPr>
          <w:rFonts w:hint="default" w:ascii="Times New Roman" w:hAnsi="Times New Roman" w:eastAsia="方正仿宋_GBK" w:cs="Times New Roman"/>
          <w:color w:val="000000"/>
          <w:sz w:val="32"/>
          <w:szCs w:val="32"/>
        </w:rPr>
        <w:t>“省政府领导领衔办理政协提案”工作创新机制在我区落地落实，实行重点提案</w:t>
      </w:r>
      <w:r>
        <w:rPr>
          <w:rFonts w:hint="default" w:ascii="Times New Roman" w:hAnsi="Times New Roman" w:eastAsia="方正仿宋_GBK" w:cs="Times New Roman"/>
          <w:sz w:val="32"/>
          <w:szCs w:val="32"/>
        </w:rPr>
        <w:t>区政府领导领衔办理与区政协主席班子成员领衔督办相衔接工作机制，对5件重点提案办理开展协商式监督。</w:t>
      </w:r>
      <w:r>
        <w:rPr>
          <w:rFonts w:hint="default" w:ascii="Times New Roman" w:hAnsi="Times New Roman" w:eastAsia="方正仿宋_GBK" w:cs="Times New Roman"/>
          <w:color w:val="000000"/>
          <w:sz w:val="32"/>
          <w:szCs w:val="32"/>
        </w:rPr>
        <w:t>围绕文明城市创建、电梯加装等，向区委报送社情民意信息8条，其中《电梯增设“喜”“忧”参半》《规范运行农村客运线路保民生》等4条，区委</w:t>
      </w:r>
      <w:r>
        <w:rPr>
          <w:rFonts w:hint="eastAsia" w:eastAsia="方正仿宋_GBK" w:cs="Times New Roman"/>
          <w:color w:val="000000"/>
          <w:sz w:val="32"/>
          <w:szCs w:val="32"/>
          <w:lang w:eastAsia="zh-CN"/>
        </w:rPr>
        <w:t>主要领导</w:t>
      </w:r>
      <w:r>
        <w:rPr>
          <w:rFonts w:hint="default" w:ascii="Times New Roman" w:hAnsi="Times New Roman" w:eastAsia="方正仿宋_GBK" w:cs="Times New Roman"/>
          <w:color w:val="000000"/>
          <w:sz w:val="32"/>
          <w:szCs w:val="32"/>
        </w:rPr>
        <w:t>及时批转办理，关于进一步整治</w:t>
      </w:r>
      <w:r>
        <w:rPr>
          <w:rFonts w:hint="default" w:ascii="Times New Roman" w:hAnsi="Times New Roman" w:eastAsia="方正仿宋_GBK" w:cs="Times New Roman"/>
          <w:color w:val="000000"/>
          <w:spacing w:val="-8"/>
          <w:sz w:val="32"/>
          <w:szCs w:val="32"/>
        </w:rPr>
        <w:t>街道小广告、在新庄高速路口搭建固定板房等建议得到办理落实</w:t>
      </w:r>
      <w:r>
        <w:rPr>
          <w:rFonts w:hint="default" w:ascii="Times New Roman" w:hAnsi="Times New Roman" w:eastAsia="方正仿宋_GBK" w:cs="Times New Roman"/>
          <w:color w:val="000000"/>
          <w:sz w:val="32"/>
          <w:szCs w:val="32"/>
        </w:rPr>
        <w:t>。</w:t>
      </w:r>
    </w:p>
    <w:p w14:paraId="47285A5F">
      <w:pPr>
        <w:pStyle w:val="13"/>
        <w:widowControl/>
        <w:spacing w:before="0" w:beforeAutospacing="0" w:after="0" w:afterAutospacing="0" w:line="600" w:lineRule="exact"/>
        <w:ind w:firstLine="643" w:firstLineChars="200"/>
        <w:jc w:val="both"/>
        <w:rPr>
          <w:rFonts w:hint="default" w:ascii="Times New Roman" w:hAnsi="Times New Roman" w:eastAsia="方正仿宋_GBK" w:cs="Times New Roman"/>
          <w:sz w:val="32"/>
          <w:szCs w:val="32"/>
        </w:rPr>
      </w:pPr>
      <w:r>
        <w:rPr>
          <w:rFonts w:hint="default" w:ascii="Times New Roman" w:hAnsi="Times New Roman" w:eastAsia="方正楷体_GBK" w:cs="Times New Roman"/>
          <w:b/>
          <w:bCs/>
          <w:kern w:val="2"/>
          <w:sz w:val="32"/>
          <w:szCs w:val="32"/>
        </w:rPr>
        <w:t>参与重点添合力。</w:t>
      </w:r>
      <w:r>
        <w:rPr>
          <w:rFonts w:hint="default" w:ascii="Times New Roman" w:hAnsi="Times New Roman" w:eastAsia="方正仿宋_GBK" w:cs="Times New Roman"/>
          <w:kern w:val="2"/>
          <w:sz w:val="32"/>
          <w:szCs w:val="32"/>
        </w:rPr>
        <w:t>区政协主席班子成员倾力参与中心工作。牵头推进7个重点项目、督导推进16个重点项目，坚持深入项目了解情况、指导协调关联事项；参与向上争取政策、资金支持协调工作，合力推动“项目攻坚突破”；参与助力疫情防控和全国文明城市创建，开展督导调研50人次，推动包联社区解决僵尸车乱停乱放、小广告乱贴乱画、空中飞线不规范等棘手问题治理。区政协机关干部参加疫苗接种、高速公路卡点、包联社区核酸检测等志愿服务165人次，参加文明城市创建、森林草原防灭火志愿服务75人次。</w:t>
      </w:r>
    </w:p>
    <w:p w14:paraId="7E77C23F">
      <w:pPr>
        <w:spacing w:line="620" w:lineRule="exact"/>
        <w:ind w:firstLine="640" w:firstLineChars="200"/>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一年来，我们坚守为民初心，在促进改善民生增强福祉上发挥新作用</w:t>
      </w:r>
    </w:p>
    <w:p w14:paraId="7C7230FA">
      <w:pPr>
        <w:spacing w:line="620" w:lineRule="exact"/>
        <w:ind w:firstLine="640" w:firstLineChars="200"/>
        <w:rPr>
          <w:rFonts w:hint="default" w:ascii="Times New Roman" w:hAnsi="Times New Roman" w:eastAsia="方正黑体_GBK" w:cs="Times New Roman"/>
          <w:b/>
          <w:bCs/>
          <w:sz w:val="32"/>
          <w:szCs w:val="32"/>
        </w:rPr>
      </w:pPr>
      <w:r>
        <w:rPr>
          <w:rFonts w:hint="default" w:ascii="Times New Roman" w:hAnsi="Times New Roman" w:eastAsia="方正仿宋_GBK" w:cs="Times New Roman"/>
          <w:sz w:val="32"/>
          <w:szCs w:val="32"/>
        </w:rPr>
        <w:t>始终坚守为民情怀，关注</w:t>
      </w:r>
      <w:r>
        <w:rPr>
          <w:rFonts w:hint="default" w:ascii="Times New Roman" w:hAnsi="Times New Roman" w:eastAsia="方正仿宋_GBK" w:cs="Times New Roman"/>
          <w:color w:val="000000"/>
          <w:sz w:val="32"/>
          <w:szCs w:val="32"/>
        </w:rPr>
        <w:t>社会治理难点，</w:t>
      </w:r>
      <w:r>
        <w:rPr>
          <w:rFonts w:hint="default" w:ascii="Times New Roman" w:hAnsi="Times New Roman" w:eastAsia="方正仿宋_GBK" w:cs="Times New Roman"/>
          <w:sz w:val="32"/>
          <w:szCs w:val="32"/>
        </w:rPr>
        <w:t>回应群众关切，发挥桥梁作用，拉近与人民群众之间的距离，助力社会建设。</w:t>
      </w:r>
    </w:p>
    <w:p w14:paraId="7330A753">
      <w:pPr>
        <w:pStyle w:val="22"/>
        <w:spacing w:line="620" w:lineRule="exact"/>
        <w:ind w:firstLine="643" w:firstLineChars="200"/>
        <w:rPr>
          <w:rFonts w:hint="default" w:ascii="Times New Roman" w:hAnsi="Times New Roman" w:eastAsia="方正仿宋_GBK" w:cs="Times New Roman"/>
          <w:sz w:val="32"/>
          <w:szCs w:val="32"/>
        </w:rPr>
      </w:pPr>
      <w:r>
        <w:rPr>
          <w:rFonts w:hint="default" w:ascii="Times New Roman" w:hAnsi="Times New Roman" w:eastAsia="方正楷体_GBK" w:cs="Times New Roman"/>
          <w:b/>
          <w:bCs/>
          <w:color w:val="auto"/>
          <w:sz w:val="32"/>
          <w:szCs w:val="32"/>
        </w:rPr>
        <w:t>履职为民献良策。</w:t>
      </w:r>
      <w:r>
        <w:rPr>
          <w:rFonts w:hint="default" w:ascii="Times New Roman" w:hAnsi="Times New Roman" w:eastAsia="方正仿宋_GBK" w:cs="Times New Roman"/>
          <w:sz w:val="32"/>
          <w:szCs w:val="32"/>
        </w:rPr>
        <w:t>委员提出涉及民生方面提案38件，包括居住环境、道路交通、校园安全、停车场建设等问题。25篇大会发言中涉及民生问题10篇，主要围绕加强公共基础设施建设、发展教育医疗高地等建言献策。强化提案办理，《关于解决职工子女假期托管难的建议》《关于精心打造人才公寓，夯实人才集聚基础的建议》等提案得到办理落实。关注城市困难群体，开展对口协商形成《关于西区城市困难群体现状调查情况报告》，得到区委主要领导高度重视、批转研究。开展“双助”专项活动，重点围绕“水美乡村”和乡村产业发展开展专题调研，农业和企业界委员发挥自身优势立足实际投资兴业、助解群众就业、农牧产品销售等。区政协领导协调争取10万元资金支持陶家渡街道和太平社区公共设施建设；工商联界委员为疫情防控捐款捐物22万余元，为老旧小区改造加装电梯捐款20万元，助力销售“噹噹鸡”350余只等。1名委员被评为全省政协系统“双助”活动先进个人。政协机关走访慰问困难群众85人，送慰问金、捐助物资共3.47万元。</w:t>
      </w:r>
    </w:p>
    <w:p w14:paraId="784ABEF2">
      <w:pPr>
        <w:widowControl/>
        <w:spacing w:line="620" w:lineRule="exact"/>
        <w:ind w:firstLine="643" w:firstLineChars="200"/>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b/>
          <w:bCs/>
          <w:sz w:val="32"/>
          <w:szCs w:val="32"/>
        </w:rPr>
        <w:t>“小微协商”促治理。</w:t>
      </w:r>
      <w:r>
        <w:rPr>
          <w:rFonts w:hint="default" w:ascii="Times New Roman" w:hAnsi="Times New Roman" w:eastAsia="方正仿宋_GBK" w:cs="Times New Roman"/>
          <w:color w:val="000000"/>
          <w:sz w:val="32"/>
          <w:szCs w:val="32"/>
        </w:rPr>
        <w:t>6个委员联络站因地制宜开展协商，逐步形成了“一站一特色”“协商+”模式，取得了系列有亮点的协商成果。格里坪站突出“协商+乡村振兴”，助推缺水10年的农业生产难题得到解决，万亩芒果林解了渴；玉泉站创新“协商+三治”，推动联动治理、共建共治、居民自治，助推了文明城市创建；河门口站坚持“协商+社会组织”方式，调动各方力量，帮助困难群众实现“微心愿”；陶家渡站“协商+地企共建”，尽力解决国企改革职能移交中物业管理问题；大宝鼎站“协商+民情大走访”，让陈年垃圾出清复绿、还居民清净环境；清香坪站运用“协商+众筹”，调动企业、居民积极性，让停用多年的公厕重新用起来。我区“一三四六”政协“小微协商”工作机制及工作成效得到省、市政协充分肯定，区政协获全省政协系统“有事来协商”工作先进单位，1名同志获先进个人。</w:t>
      </w:r>
    </w:p>
    <w:p w14:paraId="23B05E26">
      <w:pPr>
        <w:spacing w:line="620" w:lineRule="exact"/>
        <w:ind w:firstLine="640" w:firstLineChars="200"/>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一年来，我们广泛凝聚人心，在促进团结民主凝聚共识上取得新成效</w:t>
      </w:r>
    </w:p>
    <w:p w14:paraId="50C70B31">
      <w:pPr>
        <w:pStyle w:val="13"/>
        <w:widowControl/>
        <w:spacing w:before="0" w:beforeAutospacing="0" w:after="0" w:afterAutospacing="0" w:line="620" w:lineRule="exact"/>
        <w:ind w:firstLine="640" w:firstLineChars="200"/>
        <w:jc w:val="both"/>
        <w:rPr>
          <w:rFonts w:hint="default" w:ascii="Times New Roman" w:hAnsi="Times New Roman" w:eastAsia="方正仿宋_GBK" w:cs="Times New Roman"/>
          <w:kern w:val="2"/>
          <w:sz w:val="32"/>
          <w:szCs w:val="32"/>
        </w:rPr>
      </w:pPr>
      <w:r>
        <w:rPr>
          <w:rFonts w:hint="default" w:ascii="Times New Roman" w:hAnsi="Times New Roman" w:eastAsia="方正仿宋_GBK" w:cs="Times New Roman"/>
          <w:kern w:val="2"/>
          <w:sz w:val="32"/>
          <w:szCs w:val="32"/>
        </w:rPr>
        <w:t>始终坚持团结民主主题，发挥人民政协组织优势，加强思想政治引领，广泛凝聚各界共识，努力为全区改革发展添助力、聚合力。</w:t>
      </w:r>
    </w:p>
    <w:p w14:paraId="5F4A3718">
      <w:pPr>
        <w:pStyle w:val="13"/>
        <w:widowControl/>
        <w:shd w:val="clear" w:color="auto" w:fill="FFFFFF"/>
        <w:spacing w:before="0" w:beforeAutospacing="0" w:after="0" w:afterAutospacing="0" w:line="620" w:lineRule="exact"/>
        <w:ind w:firstLine="643" w:firstLineChars="200"/>
        <w:jc w:val="both"/>
        <w:rPr>
          <w:rFonts w:hint="default" w:ascii="Times New Roman" w:hAnsi="Times New Roman" w:eastAsia="方正仿宋_GBK" w:cs="Times New Roman"/>
          <w:kern w:val="2"/>
          <w:sz w:val="32"/>
          <w:szCs w:val="32"/>
        </w:rPr>
      </w:pPr>
      <w:r>
        <w:rPr>
          <w:rFonts w:hint="default" w:ascii="Times New Roman" w:hAnsi="Times New Roman" w:eastAsia="方正楷体_GBK" w:cs="Times New Roman"/>
          <w:b/>
          <w:bCs/>
          <w:kern w:val="2"/>
          <w:sz w:val="32"/>
          <w:szCs w:val="32"/>
        </w:rPr>
        <w:t>搭建共事大舞台。</w:t>
      </w:r>
      <w:r>
        <w:rPr>
          <w:rFonts w:hint="default" w:ascii="Times New Roman" w:hAnsi="Times New Roman" w:eastAsia="方正仿宋_GBK" w:cs="Times New Roman"/>
          <w:kern w:val="2"/>
          <w:sz w:val="32"/>
          <w:szCs w:val="32"/>
        </w:rPr>
        <w:t>深入学习贯彻新修订的《中国共产党统一战线工作条例》，通过开展调研视察、协商议政活动等方式，努力为各民主党派、工商联、无党派人士和人民团体发声发力创造条件、搭建平台。民主党派和有关团体提交集体提案7件、大会发言18篇，民主党派和无党派人士委员提出提案34件。</w:t>
      </w:r>
      <w:r>
        <w:rPr>
          <w:rFonts w:hint="default" w:ascii="Times New Roman" w:hAnsi="Times New Roman" w:eastAsia="方正仿宋_GBK" w:cs="Times New Roman"/>
          <w:sz w:val="32"/>
          <w:szCs w:val="32"/>
        </w:rPr>
        <w:t>建立主席会议成员联系常委、联系界别委员，常委联系界别委员制度，在全市区县首先开展主席班子成员走访界别委员活动，全年共走访界别委员48名、走访委员所在单位23个</w:t>
      </w:r>
      <w:r>
        <w:rPr>
          <w:rFonts w:hint="default" w:ascii="Times New Roman" w:hAnsi="Times New Roman" w:eastAsia="方正仿宋_GBK" w:cs="Times New Roman"/>
          <w:kern w:val="2"/>
          <w:sz w:val="32"/>
          <w:szCs w:val="32"/>
        </w:rPr>
        <w:t>，密切同各界别委员及党外知识分子、非公有制经济人士、新的社会阶层人士沟通联系。积极推荐非中共人士参加区委、区政府部门的监督、评议活动，充分发挥民主党派成员和无党派人士的重要作用。</w:t>
      </w:r>
    </w:p>
    <w:p w14:paraId="21C18C43">
      <w:pPr>
        <w:pStyle w:val="22"/>
        <w:spacing w:line="620" w:lineRule="exact"/>
        <w:ind w:firstLine="643" w:firstLineChars="200"/>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b/>
          <w:bCs/>
          <w:color w:val="auto"/>
          <w:sz w:val="32"/>
          <w:szCs w:val="32"/>
        </w:rPr>
        <w:t>书香政协聚能量。</w:t>
      </w:r>
      <w:r>
        <w:rPr>
          <w:rFonts w:hint="default" w:ascii="Times New Roman" w:hAnsi="Times New Roman" w:eastAsia="方正仿宋_GBK" w:cs="Times New Roman"/>
          <w:color w:val="auto"/>
          <w:sz w:val="32"/>
          <w:szCs w:val="32"/>
        </w:rPr>
        <w:t>深入贯彻落实习近平总书记关于委员读书的重要指示精神和上级政协部署要求，区政协丰富载体、创新形式，坚持示范带动、互促联动、融合能动、提升实效，构建起“一二三三”书香政协建设和委员读书活动体系，推动广大委员在读书中聚共识、强本领、显担当，走出了一条读书和履职相互促进、相得益彰的“书香之路”。按照“1+1+8”模式，建立悦读书房悦读点，依托委员联络站开展读书学习分享活动12次、举办“委员讲堂”10场；建立“6+1”读书群，推送各类书目12期89本。成功举办“牢记嘱托·同心奋进”委员读书分享会。书香政协建设成效得到省政协田向利主席和市政协</w:t>
      </w:r>
      <w:r>
        <w:rPr>
          <w:rFonts w:hint="eastAsia" w:ascii="Times New Roman" w:hAnsi="Times New Roman" w:eastAsia="方正仿宋_GBK" w:cs="Times New Roman"/>
          <w:color w:val="auto"/>
          <w:sz w:val="32"/>
          <w:szCs w:val="32"/>
          <w:lang w:eastAsia="zh-CN"/>
        </w:rPr>
        <w:t>主要领导</w:t>
      </w:r>
      <w:r>
        <w:rPr>
          <w:rFonts w:hint="default" w:ascii="Times New Roman" w:hAnsi="Times New Roman" w:eastAsia="方正仿宋_GBK" w:cs="Times New Roman"/>
          <w:color w:val="auto"/>
          <w:sz w:val="32"/>
          <w:szCs w:val="32"/>
        </w:rPr>
        <w:t>的充分肯定。</w:t>
      </w:r>
    </w:p>
    <w:p w14:paraId="10B195C8">
      <w:pPr>
        <w:spacing w:line="600" w:lineRule="exact"/>
        <w:ind w:firstLine="643" w:firstLineChars="200"/>
        <w:rPr>
          <w:rFonts w:hint="default" w:ascii="Times New Roman" w:hAnsi="Times New Roman" w:eastAsia="方正仿宋_GBK" w:cs="Times New Roman"/>
          <w:sz w:val="32"/>
          <w:szCs w:val="32"/>
        </w:rPr>
      </w:pPr>
      <w:r>
        <w:rPr>
          <w:rFonts w:hint="default" w:ascii="Times New Roman" w:hAnsi="Times New Roman" w:eastAsia="方正楷体_GBK" w:cs="Times New Roman"/>
          <w:b/>
          <w:bCs/>
          <w:sz w:val="32"/>
          <w:szCs w:val="32"/>
        </w:rPr>
        <w:t>联谊宣传扩影响。</w:t>
      </w:r>
      <w:r>
        <w:rPr>
          <w:rFonts w:hint="default" w:ascii="Times New Roman" w:hAnsi="Times New Roman" w:eastAsia="方正仿宋_GBK" w:cs="Times New Roman"/>
          <w:sz w:val="32"/>
          <w:szCs w:val="32"/>
        </w:rPr>
        <w:t>接待湖南、绵阳等省市级政协和盐边、东区、仁和区等县区政协来西区调研考察交流活动，同时，区政协前往盐边、仁和等地开展学习交流活动。支持区政协书画院开展“迎庆中共二十大”采风和书画创作活动3次。着力宣传西区、讲好西区故事、讲好政协故事，政协宣传工作水平得到极大提升，全年64篇信息稿件被国家、省、市级媒体采用，其中有关“小微协商”活动、“书香政协”建设和助力文明城市创建经验做法3篇信息在《人民政协报》上刊发，38篇信息在省政协报（网）上刊发，信息宣传综合排名位居全省各区县前30名，宣传思想工作获全省政协宣传思想工作先进单位，2名同志获先进个人。</w:t>
      </w:r>
    </w:p>
    <w:p w14:paraId="6F238E65">
      <w:pPr>
        <w:spacing w:line="600" w:lineRule="exact"/>
        <w:ind w:firstLine="640" w:firstLineChars="200"/>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一年来，我们振奋履职信心，在加强自身建设提升效能上展示新形象</w:t>
      </w:r>
    </w:p>
    <w:p w14:paraId="52B32E32">
      <w:pPr>
        <w:pStyle w:val="13"/>
        <w:widowControl/>
        <w:spacing w:before="0" w:beforeAutospacing="0" w:after="0" w:afterAutospacing="0" w:line="600" w:lineRule="exact"/>
        <w:ind w:firstLine="640" w:firstLineChars="200"/>
        <w:jc w:val="both"/>
        <w:rPr>
          <w:rFonts w:hint="default" w:ascii="Times New Roman" w:hAnsi="Times New Roman" w:eastAsia="方正仿宋_GBK" w:cs="Times New Roman"/>
          <w:kern w:val="2"/>
          <w:sz w:val="32"/>
          <w:szCs w:val="32"/>
        </w:rPr>
      </w:pPr>
      <w:r>
        <w:rPr>
          <w:rFonts w:hint="default" w:ascii="Times New Roman" w:hAnsi="Times New Roman" w:eastAsia="方正仿宋_GBK" w:cs="Times New Roman"/>
          <w:kern w:val="2"/>
          <w:sz w:val="32"/>
          <w:szCs w:val="32"/>
        </w:rPr>
        <w:t>始终坚持把加强自身建设作为做好政协工作的基本保障，切实抓好“两支队伍”建设，不断夯实履职基础，着力破解“两个薄弱”，全面增强系统合力，努力展现新时代政协新样子。</w:t>
      </w:r>
    </w:p>
    <w:p w14:paraId="1A42B466">
      <w:pPr>
        <w:widowControl/>
        <w:spacing w:line="600" w:lineRule="exact"/>
        <w:ind w:firstLine="643" w:firstLineChars="200"/>
        <w:rPr>
          <w:rFonts w:hint="default" w:ascii="Times New Roman" w:hAnsi="Times New Roman" w:eastAsia="方正仿宋_GBK" w:cs="Times New Roman"/>
          <w:sz w:val="32"/>
          <w:szCs w:val="32"/>
        </w:rPr>
      </w:pPr>
      <w:r>
        <w:rPr>
          <w:rFonts w:hint="default" w:ascii="Times New Roman" w:hAnsi="Times New Roman" w:eastAsia="方正楷体_GBK" w:cs="Times New Roman"/>
          <w:b/>
          <w:bCs/>
          <w:sz w:val="32"/>
          <w:szCs w:val="32"/>
        </w:rPr>
        <w:t>开展“回头看”补短板。</w:t>
      </w:r>
      <w:r>
        <w:rPr>
          <w:rFonts w:hint="default" w:ascii="Times New Roman" w:hAnsi="Times New Roman" w:eastAsia="方正仿宋_GBK" w:cs="Times New Roman"/>
          <w:sz w:val="32"/>
          <w:szCs w:val="32"/>
        </w:rPr>
        <w:t>积极开展中央和省委、市委政协工作会议精神贯彻落实情况“回头看”工作，落实《关于加强和改进新时代市县政协工作的意见》，实施《中共政协攀枝花市西区委员会党组关于“五好政协”建设实施意见》，落实《西区政协“守正创新年”工作方案》。为6个专委会配备兼职副主任12名，补齐1名联络服务中心工作人员，工作力量有所加强。</w:t>
      </w:r>
    </w:p>
    <w:p w14:paraId="4146BA41">
      <w:pPr>
        <w:spacing w:line="600" w:lineRule="exact"/>
        <w:ind w:firstLine="643" w:firstLineChars="200"/>
        <w:rPr>
          <w:rFonts w:hint="default" w:ascii="Times New Roman" w:hAnsi="Times New Roman" w:eastAsia="方正仿宋_GBK" w:cs="Times New Roman"/>
          <w:sz w:val="32"/>
          <w:szCs w:val="32"/>
        </w:rPr>
      </w:pPr>
      <w:r>
        <w:rPr>
          <w:rFonts w:hint="default" w:ascii="Times New Roman" w:hAnsi="Times New Roman" w:eastAsia="方正楷体_GBK" w:cs="Times New Roman"/>
          <w:b/>
          <w:bCs/>
          <w:sz w:val="32"/>
          <w:szCs w:val="32"/>
        </w:rPr>
        <w:t>建机立制促履职。</w:t>
      </w:r>
      <w:r>
        <w:rPr>
          <w:rFonts w:hint="default" w:ascii="Times New Roman" w:hAnsi="Times New Roman" w:eastAsia="方正仿宋_GBK" w:cs="Times New Roman"/>
          <w:sz w:val="32"/>
          <w:szCs w:val="32"/>
        </w:rPr>
        <w:t>修订完善了“委员履职工作规则”“委员请假制度”等；结合实际新制定了委员履职考核办法、常委和委员年度述职制度等5项制度，新建立了主席班子成员联系走访界别委员制度和镇、街道委员联络站工作考评机制，</w:t>
      </w:r>
      <w:r>
        <w:rPr>
          <w:rFonts w:hint="default" w:ascii="Times New Roman" w:hAnsi="Times New Roman" w:eastAsia="方正仿宋_GBK" w:cs="Times New Roman"/>
          <w:color w:val="000000"/>
          <w:sz w:val="32"/>
          <w:szCs w:val="32"/>
        </w:rPr>
        <w:t>实行专委会、委员学习小组、全体会讨论小组委员分组“三合一”机制，</w:t>
      </w:r>
      <w:r>
        <w:rPr>
          <w:rFonts w:hint="default" w:ascii="Times New Roman" w:hAnsi="Times New Roman" w:eastAsia="方正仿宋_GBK" w:cs="Times New Roman"/>
          <w:kern w:val="0"/>
          <w:sz w:val="32"/>
          <w:szCs w:val="32"/>
        </w:rPr>
        <w:t>委员履职质效得到有效提升。</w:t>
      </w:r>
    </w:p>
    <w:p w14:paraId="547F983F">
      <w:pPr>
        <w:spacing w:line="600" w:lineRule="exact"/>
        <w:ind w:firstLine="643" w:firstLineChars="200"/>
        <w:rPr>
          <w:rFonts w:hint="default" w:ascii="Times New Roman" w:hAnsi="Times New Roman" w:eastAsia="黑体" w:cs="Times New Roman"/>
          <w:sz w:val="32"/>
          <w:szCs w:val="32"/>
        </w:rPr>
      </w:pPr>
      <w:r>
        <w:rPr>
          <w:rFonts w:hint="default" w:ascii="Times New Roman" w:hAnsi="Times New Roman" w:eastAsia="方正楷体_GBK" w:cs="Times New Roman"/>
          <w:b/>
          <w:bCs/>
          <w:sz w:val="32"/>
          <w:szCs w:val="32"/>
        </w:rPr>
        <w:t>固本强基增实效。</w:t>
      </w:r>
      <w:r>
        <w:rPr>
          <w:rFonts w:hint="default" w:ascii="Times New Roman" w:hAnsi="Times New Roman" w:eastAsia="方正仿宋_GBK" w:cs="Times New Roman"/>
          <w:sz w:val="32"/>
          <w:szCs w:val="32"/>
        </w:rPr>
        <w:t>建立委员履职档案，开展常委、委员年度述职和委员考核工作，在书面述职的基础上，5名常委和20名委员进行了会议述职；撤销1名委员资格，接受8名委员辞去委员职务和1名常委辞去常委职务，及时增补委员6名。首次召开区政协专委会工作会、委员联络站工作推进会；加强区政协机关党建、党风廉政建设和意识形态工作，坚持每季度向区委报告落实党风廉政建设责任制的情况。积极支持区派驻纪检监察组有效开展工作，持之以恒纠“四风”，扎实推进机关作风建设和效能建设，服务保障能力不断增强。</w:t>
      </w:r>
    </w:p>
    <w:p w14:paraId="4C4DF8BB">
      <w:pPr>
        <w:widowControl/>
        <w:adjustRightInd w:val="0"/>
        <w:snapToGrid w:val="0"/>
        <w:spacing w:line="560" w:lineRule="exact"/>
        <w:ind w:firstLine="640" w:firstLineChars="200"/>
        <w:contextualSpacing/>
        <w:jc w:val="left"/>
        <w:rPr>
          <w:rFonts w:hint="default" w:ascii="Times New Roman" w:hAnsi="Times New Roman" w:eastAsia="黑体" w:cs="Times New Roman"/>
          <w:kern w:val="0"/>
          <w:sz w:val="32"/>
          <w:szCs w:val="32"/>
          <w:shd w:val="clear" w:color="auto" w:fill="FFFFFF"/>
        </w:rPr>
      </w:pPr>
      <w:r>
        <w:rPr>
          <w:rFonts w:hint="default" w:ascii="Times New Roman" w:hAnsi="Times New Roman" w:eastAsia="黑体" w:cs="Times New Roman"/>
          <w:kern w:val="0"/>
          <w:sz w:val="32"/>
          <w:szCs w:val="32"/>
          <w:shd w:val="clear" w:color="auto" w:fill="FFFFFF"/>
        </w:rPr>
        <w:t>二、部门资金收支情况</w:t>
      </w:r>
    </w:p>
    <w:p w14:paraId="06A65F8B">
      <w:pPr>
        <w:widowControl/>
        <w:adjustRightInd w:val="0"/>
        <w:snapToGrid w:val="0"/>
        <w:spacing w:line="560" w:lineRule="exact"/>
        <w:ind w:firstLine="643" w:firstLineChars="200"/>
        <w:contextualSpacing/>
        <w:jc w:val="left"/>
        <w:rPr>
          <w:rFonts w:hint="default" w:ascii="Times New Roman" w:hAnsi="Times New Roman" w:eastAsia="楷体_GB2312" w:cs="Times New Roman"/>
          <w:b/>
          <w:bCs/>
          <w:kern w:val="0"/>
          <w:sz w:val="32"/>
          <w:szCs w:val="32"/>
          <w:shd w:val="clear" w:color="auto" w:fill="FFFFFF"/>
          <w:lang w:val="zh-CN"/>
        </w:rPr>
      </w:pPr>
      <w:r>
        <w:rPr>
          <w:rFonts w:hint="default" w:ascii="Times New Roman" w:hAnsi="Times New Roman" w:eastAsia="楷体_GB2312" w:cs="Times New Roman"/>
          <w:b/>
          <w:bCs/>
          <w:kern w:val="0"/>
          <w:sz w:val="32"/>
          <w:szCs w:val="32"/>
          <w:shd w:val="clear" w:color="auto" w:fill="FFFFFF"/>
          <w:lang w:val="zh-CN"/>
        </w:rPr>
        <w:t>（一）部门总体收支情况。</w:t>
      </w:r>
    </w:p>
    <w:p w14:paraId="568B669C">
      <w:pPr>
        <w:widowControl/>
        <w:adjustRightInd w:val="0"/>
        <w:snapToGrid w:val="0"/>
        <w:spacing w:line="580" w:lineRule="exact"/>
        <w:ind w:firstLine="643" w:firstLineChars="200"/>
        <w:contextualSpacing/>
        <w:jc w:val="left"/>
        <w:rPr>
          <w:rFonts w:hint="default" w:ascii="Times New Roman" w:hAnsi="Times New Roman" w:cs="Times New Roman"/>
          <w:color w:val="000000"/>
          <w:kern w:val="0"/>
          <w:szCs w:val="32"/>
          <w:shd w:val="clear" w:color="auto" w:fill="FFFFFF"/>
          <w:lang w:val="zh-CN"/>
        </w:rPr>
      </w:pPr>
      <w:r>
        <w:rPr>
          <w:rFonts w:hint="default" w:ascii="Times New Roman" w:hAnsi="Times New Roman" w:eastAsia="仿宋_GB2312" w:cs="Times New Roman"/>
          <w:b/>
          <w:bCs/>
          <w:kern w:val="0"/>
          <w:sz w:val="32"/>
          <w:szCs w:val="32"/>
          <w:shd w:val="clear" w:color="auto" w:fill="FFFFFF"/>
        </w:rPr>
        <w:t>1.部门总体收入情况</w:t>
      </w:r>
    </w:p>
    <w:p w14:paraId="1AF236CE">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2022年区政协财政拨款收入595.53万元，其中：一般公共预算财政拨款收入551.7万元，主要用于维持部门日常运转的人员经费和日常公用经费；政府性基金预算财政拨款收入43.83万元，主要用于：政协委员视察调研、小微协商、政协会议、专委会工作、界别活动等工作的开展。</w:t>
      </w:r>
    </w:p>
    <w:p w14:paraId="66D4042A">
      <w:pPr>
        <w:widowControl/>
        <w:adjustRightInd w:val="0"/>
        <w:snapToGrid w:val="0"/>
        <w:spacing w:line="560" w:lineRule="exact"/>
        <w:ind w:firstLine="643" w:firstLineChars="200"/>
        <w:contextualSpacing/>
        <w:jc w:val="left"/>
        <w:rPr>
          <w:rFonts w:hint="default" w:ascii="Times New Roman" w:hAnsi="Times New Roman" w:eastAsia="仿宋_GB2312" w:cs="Times New Roman"/>
          <w:kern w:val="0"/>
          <w:sz w:val="32"/>
          <w:szCs w:val="32"/>
          <w:shd w:val="clear" w:color="auto" w:fill="FFFFFF"/>
        </w:rPr>
      </w:pPr>
      <w:r>
        <w:rPr>
          <w:rFonts w:hint="default" w:ascii="Times New Roman" w:hAnsi="Times New Roman" w:eastAsia="仿宋_GB2312" w:cs="Times New Roman"/>
          <w:b/>
          <w:bCs/>
          <w:kern w:val="0"/>
          <w:sz w:val="32"/>
          <w:szCs w:val="32"/>
          <w:shd w:val="clear" w:color="auto" w:fill="FFFFFF"/>
        </w:rPr>
        <w:t>2.部门总体支出情况</w:t>
      </w:r>
    </w:p>
    <w:p w14:paraId="3681F2DA">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2022年区政协一般公共服务支出财政拨款收入595.53万元，其中:一般公共服务支出401.43万元，社会保障和就业支出78.28万元，卫生健康支出31.61万元，住房保障支出40.38万元，城乡社区支出43.83万元。</w:t>
      </w:r>
    </w:p>
    <w:p w14:paraId="4FC597AD">
      <w:pPr>
        <w:widowControl/>
        <w:adjustRightInd w:val="0"/>
        <w:snapToGrid w:val="0"/>
        <w:spacing w:line="580" w:lineRule="exact"/>
        <w:ind w:firstLine="643" w:firstLineChars="200"/>
        <w:contextualSpacing/>
        <w:jc w:val="left"/>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1.基本支出安排及使用情况</w:t>
      </w:r>
    </w:p>
    <w:p w14:paraId="5EA3EA0E">
      <w:pPr>
        <w:widowControl/>
        <w:adjustRightInd w:val="0"/>
        <w:snapToGrid w:val="0"/>
        <w:spacing w:line="580" w:lineRule="exact"/>
        <w:ind w:firstLine="640" w:firstLineChars="200"/>
        <w:contextualSpacing/>
        <w:jc w:val="left"/>
        <w:rPr>
          <w:rFonts w:hint="default" w:ascii="Times New Roman" w:hAnsi="Times New Roman" w:eastAsia="方正仿宋_GBK" w:cs="Times New Roman"/>
          <w:b/>
          <w:bCs/>
          <w:color w:val="000000"/>
          <w:kern w:val="0"/>
          <w:sz w:val="33"/>
          <w:szCs w:val="33"/>
          <w:shd w:val="clear" w:color="auto" w:fill="FFFFFF"/>
        </w:rPr>
      </w:pPr>
      <w:r>
        <w:rPr>
          <w:rFonts w:hint="default" w:ascii="Times New Roman" w:hAnsi="Times New Roman" w:eastAsia="仿宋_GB2312" w:cs="Times New Roman"/>
          <w:sz w:val="32"/>
          <w:szCs w:val="32"/>
        </w:rPr>
        <w:t>2022年基本支出545.21万元，其中：人员经费504.34万元；公用经费40.8</w:t>
      </w:r>
      <w:r>
        <w:rPr>
          <w:rFonts w:hint="eastAsia" w:eastAsia="仿宋_GB2312" w:cs="Times New Roman"/>
          <w:sz w:val="32"/>
          <w:szCs w:val="32"/>
          <w:lang w:val="en-US" w:eastAsia="zh-CN"/>
        </w:rPr>
        <w:t>8</w:t>
      </w:r>
      <w:r>
        <w:rPr>
          <w:rFonts w:hint="default" w:ascii="Times New Roman" w:hAnsi="Times New Roman" w:eastAsia="仿宋_GB2312" w:cs="Times New Roman"/>
          <w:sz w:val="32"/>
          <w:szCs w:val="32"/>
        </w:rPr>
        <w:t>万元。</w:t>
      </w:r>
    </w:p>
    <w:p w14:paraId="05785E65">
      <w:pPr>
        <w:widowControl/>
        <w:adjustRightInd w:val="0"/>
        <w:snapToGrid w:val="0"/>
        <w:spacing w:line="580" w:lineRule="exact"/>
        <w:ind w:firstLine="710" w:firstLineChars="221"/>
        <w:contextualSpacing/>
        <w:jc w:val="left"/>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2.项目支出安排及使用情况</w:t>
      </w:r>
    </w:p>
    <w:p w14:paraId="65ABAF87">
      <w:pPr>
        <w:widowControl/>
        <w:adjustRightInd w:val="0"/>
        <w:snapToGrid w:val="0"/>
        <w:spacing w:line="580" w:lineRule="exact"/>
        <w:ind w:firstLine="707" w:firstLineChars="221"/>
        <w:contextualSpacing/>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2022年项目支出50.32万元，其中：政协业务经费支出27.24万元；政协会议经费支出16.59万元；政协基层委员联络站支出0.26万元；上年结转政协委员联络站工作经费支出6.23万元。</w:t>
      </w:r>
    </w:p>
    <w:p w14:paraId="42DE2C84">
      <w:pPr>
        <w:widowControl/>
        <w:adjustRightInd w:val="0"/>
        <w:snapToGrid w:val="0"/>
        <w:spacing w:line="580" w:lineRule="exact"/>
        <w:ind w:firstLine="707" w:firstLineChars="221"/>
        <w:contextualSpacing/>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3.部门总体结转结余情况</w:t>
      </w:r>
    </w:p>
    <w:p w14:paraId="5D16DDF5">
      <w:pPr>
        <w:widowControl/>
        <w:adjustRightInd w:val="0"/>
        <w:snapToGrid w:val="0"/>
        <w:spacing w:line="580" w:lineRule="exact"/>
        <w:ind w:firstLine="640" w:firstLineChars="200"/>
        <w:contextualSpacing/>
        <w:jc w:val="left"/>
        <w:rPr>
          <w:rFonts w:hint="default" w:ascii="Times New Roman" w:hAnsi="Times New Roman" w:eastAsia="仿宋_GB2312" w:cs="Times New Roman"/>
          <w:kern w:val="0"/>
          <w:sz w:val="32"/>
          <w:szCs w:val="32"/>
          <w:shd w:val="clear" w:color="auto" w:fill="FFFFFF"/>
        </w:rPr>
      </w:pPr>
      <w:r>
        <w:rPr>
          <w:rFonts w:hint="default" w:ascii="Times New Roman" w:hAnsi="Times New Roman" w:eastAsia="仿宋_GB2312" w:cs="Times New Roman"/>
          <w:kern w:val="0"/>
          <w:sz w:val="32"/>
          <w:szCs w:val="32"/>
          <w:shd w:val="clear" w:color="auto" w:fill="FFFFFF"/>
        </w:rPr>
        <w:t>年末结转和结余资金2.16万元。</w:t>
      </w:r>
    </w:p>
    <w:p w14:paraId="7988CB51">
      <w:pPr>
        <w:widowControl/>
        <w:adjustRightInd w:val="0"/>
        <w:snapToGrid w:val="0"/>
        <w:spacing w:line="560" w:lineRule="exact"/>
        <w:ind w:firstLine="643" w:firstLineChars="200"/>
        <w:contextualSpacing/>
        <w:jc w:val="left"/>
        <w:rPr>
          <w:rFonts w:hint="default" w:ascii="Times New Roman" w:hAnsi="Times New Roman" w:eastAsia="楷体_GB2312" w:cs="Times New Roman"/>
          <w:b/>
          <w:bCs/>
          <w:kern w:val="0"/>
          <w:sz w:val="32"/>
          <w:szCs w:val="32"/>
          <w:shd w:val="clear" w:color="auto" w:fill="FFFFFF"/>
          <w:lang w:val="zh-CN"/>
        </w:rPr>
      </w:pPr>
      <w:r>
        <w:rPr>
          <w:rFonts w:hint="default" w:ascii="Times New Roman" w:hAnsi="Times New Roman" w:eastAsia="楷体_GB2312" w:cs="Times New Roman"/>
          <w:b/>
          <w:bCs/>
          <w:kern w:val="0"/>
          <w:sz w:val="32"/>
          <w:szCs w:val="32"/>
          <w:shd w:val="clear" w:color="auto" w:fill="FFFFFF"/>
          <w:lang w:val="zh-CN"/>
        </w:rPr>
        <w:t>（二）部门财政拨款收支情况。</w:t>
      </w:r>
    </w:p>
    <w:p w14:paraId="30E3B142">
      <w:pPr>
        <w:widowControl/>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rPr>
      </w:pPr>
      <w:r>
        <w:rPr>
          <w:rFonts w:hint="default" w:ascii="Times New Roman" w:hAnsi="Times New Roman" w:eastAsia="仿宋_GB2312" w:cs="Times New Roman"/>
          <w:kern w:val="0"/>
          <w:sz w:val="32"/>
          <w:szCs w:val="32"/>
          <w:shd w:val="clear" w:color="auto" w:fill="FFFFFF"/>
        </w:rPr>
        <w:t>1.部门财政拨款收入情况</w:t>
      </w:r>
    </w:p>
    <w:p w14:paraId="621A9126">
      <w:pPr>
        <w:snapToGrid w:val="0"/>
        <w:spacing w:line="600" w:lineRule="exact"/>
        <w:ind w:firstLine="630" w:firstLineChars="197"/>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2022年财政拨款收入总计595.53万元,其中：一般公共服务支出401.42万元，社会保障和就业支出78.28万元，卫生健康支出31.62万元，城乡社区支出43.83万元，住房保障支出40.38万元。</w:t>
      </w:r>
    </w:p>
    <w:p w14:paraId="7A3ED69F">
      <w:pPr>
        <w:widowControl/>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rPr>
      </w:pPr>
      <w:r>
        <w:rPr>
          <w:rFonts w:hint="default" w:ascii="Times New Roman" w:hAnsi="Times New Roman" w:eastAsia="仿宋_GB2312" w:cs="Times New Roman"/>
          <w:kern w:val="0"/>
          <w:sz w:val="32"/>
          <w:szCs w:val="32"/>
          <w:shd w:val="clear" w:color="auto" w:fill="FFFFFF"/>
        </w:rPr>
        <w:t>2.部门财政拨款支出情况</w:t>
      </w:r>
    </w:p>
    <w:p w14:paraId="09C7B9DC">
      <w:pPr>
        <w:snapToGrid w:val="0"/>
        <w:spacing w:line="600" w:lineRule="exact"/>
        <w:ind w:firstLine="630" w:firstLineChars="197"/>
        <w:rPr>
          <w:rFonts w:hint="default" w:ascii="Times New Roman" w:hAnsi="Times New Roman" w:eastAsia="仿宋" w:cs="Times New Roman"/>
          <w:sz w:val="32"/>
          <w:szCs w:val="32"/>
        </w:rPr>
      </w:pPr>
      <w:r>
        <w:rPr>
          <w:rFonts w:hint="default" w:ascii="Times New Roman" w:hAnsi="Times New Roman" w:eastAsia="仿宋_GB2312" w:cs="Times New Roman"/>
          <w:sz w:val="32"/>
          <w:szCs w:val="32"/>
        </w:rPr>
        <w:t>2022年部门支出595.53万元，其中基本支出545.21万元，占总支出的91.55%，其中人员经费支出504.34万元，日常公用经费支出40.8</w:t>
      </w:r>
      <w:r>
        <w:rPr>
          <w:rFonts w:hint="eastAsia" w:eastAsia="仿宋_GB2312" w:cs="Times New Roman"/>
          <w:sz w:val="32"/>
          <w:szCs w:val="32"/>
          <w:lang w:val="en-US" w:eastAsia="zh-CN"/>
        </w:rPr>
        <w:t>8</w:t>
      </w:r>
      <w:r>
        <w:rPr>
          <w:rFonts w:hint="default" w:ascii="Times New Roman" w:hAnsi="Times New Roman" w:eastAsia="仿宋_GB2312" w:cs="Times New Roman"/>
          <w:sz w:val="32"/>
          <w:szCs w:val="32"/>
        </w:rPr>
        <w:t>万元；项目经费支出50.32万元，占总支出的8.45%。</w:t>
      </w:r>
    </w:p>
    <w:p w14:paraId="34709E1C">
      <w:pPr>
        <w:widowControl/>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rPr>
      </w:pPr>
      <w:r>
        <w:rPr>
          <w:rFonts w:hint="default" w:ascii="Times New Roman" w:hAnsi="Times New Roman" w:eastAsia="仿宋_GB2312" w:cs="Times New Roman"/>
          <w:kern w:val="0"/>
          <w:sz w:val="32"/>
          <w:szCs w:val="32"/>
          <w:shd w:val="clear" w:color="auto" w:fill="FFFFFF"/>
        </w:rPr>
        <w:t>3.部门财政拨款结转结余情况</w:t>
      </w:r>
    </w:p>
    <w:p w14:paraId="01AA63A7">
      <w:pPr>
        <w:widowControl/>
        <w:adjustRightInd w:val="0"/>
        <w:snapToGrid w:val="0"/>
        <w:spacing w:line="580" w:lineRule="exact"/>
        <w:ind w:firstLine="640" w:firstLineChars="200"/>
        <w:contextualSpacing/>
        <w:jc w:val="left"/>
        <w:rPr>
          <w:rFonts w:hint="default" w:ascii="Times New Roman" w:hAnsi="Times New Roman" w:eastAsia="仿宋_GB2312" w:cs="Times New Roman"/>
          <w:kern w:val="0"/>
          <w:sz w:val="32"/>
          <w:szCs w:val="32"/>
          <w:shd w:val="clear" w:color="auto" w:fill="FFFFFF"/>
        </w:rPr>
      </w:pPr>
      <w:r>
        <w:rPr>
          <w:rFonts w:hint="default" w:ascii="Times New Roman" w:hAnsi="Times New Roman" w:eastAsia="仿宋_GB2312" w:cs="Times New Roman"/>
          <w:kern w:val="0"/>
          <w:sz w:val="32"/>
          <w:szCs w:val="32"/>
          <w:shd w:val="clear" w:color="auto" w:fill="FFFFFF"/>
        </w:rPr>
        <w:t>本年无财政拨款结转结余资金。</w:t>
      </w:r>
    </w:p>
    <w:p w14:paraId="44F1520E">
      <w:pPr>
        <w:widowControl/>
        <w:adjustRightInd w:val="0"/>
        <w:snapToGrid w:val="0"/>
        <w:spacing w:line="580" w:lineRule="exact"/>
        <w:ind w:firstLine="660" w:firstLineChars="200"/>
        <w:contextualSpacing/>
        <w:jc w:val="left"/>
        <w:rPr>
          <w:rFonts w:hint="default" w:ascii="Times New Roman" w:hAnsi="Times New Roman" w:eastAsia="方正黑体_GBK" w:cs="Times New Roman"/>
          <w:color w:val="000000"/>
          <w:kern w:val="0"/>
          <w:sz w:val="33"/>
          <w:szCs w:val="33"/>
          <w:shd w:val="clear" w:color="auto" w:fill="FFFFFF"/>
        </w:rPr>
      </w:pPr>
      <w:r>
        <w:rPr>
          <w:rFonts w:hint="default" w:ascii="Times New Roman" w:hAnsi="Times New Roman" w:eastAsia="方正黑体_GBK" w:cs="Times New Roman"/>
          <w:color w:val="000000"/>
          <w:kern w:val="0"/>
          <w:sz w:val="33"/>
          <w:szCs w:val="33"/>
          <w:shd w:val="clear" w:color="auto" w:fill="FFFFFF"/>
        </w:rPr>
        <w:t>三、</w:t>
      </w:r>
      <w:r>
        <w:rPr>
          <w:rFonts w:hint="default" w:ascii="Times New Roman" w:hAnsi="Times New Roman" w:eastAsia="黑体" w:cs="Times New Roman"/>
          <w:kern w:val="0"/>
          <w:sz w:val="32"/>
          <w:szCs w:val="32"/>
          <w:shd w:val="clear" w:color="auto" w:fill="FFFFFF"/>
        </w:rPr>
        <w:t>部门整体绩效分析</w:t>
      </w:r>
    </w:p>
    <w:p w14:paraId="3F065237">
      <w:pPr>
        <w:widowControl/>
        <w:adjustRightInd w:val="0"/>
        <w:snapToGrid w:val="0"/>
        <w:spacing w:line="580" w:lineRule="exact"/>
        <w:ind w:firstLine="643" w:firstLineChars="200"/>
        <w:contextualSpacing/>
        <w:jc w:val="left"/>
        <w:rPr>
          <w:rFonts w:hint="default" w:ascii="Times New Roman" w:hAnsi="Times New Roman" w:eastAsia="方正楷体_GBK" w:cs="Times New Roman"/>
          <w:b/>
          <w:bCs/>
          <w:color w:val="000000"/>
          <w:kern w:val="0"/>
          <w:sz w:val="33"/>
          <w:szCs w:val="33"/>
          <w:shd w:val="clear" w:color="auto" w:fill="FFFFFF"/>
          <w:lang w:val="zh-CN"/>
        </w:rPr>
      </w:pPr>
      <w:r>
        <w:rPr>
          <w:rFonts w:hint="default" w:ascii="Times New Roman" w:hAnsi="Times New Roman" w:eastAsia="楷体_GB2312" w:cs="Times New Roman"/>
          <w:b/>
          <w:bCs/>
          <w:kern w:val="0"/>
          <w:sz w:val="32"/>
          <w:szCs w:val="32"/>
          <w:shd w:val="clear" w:color="auto" w:fill="FFFFFF"/>
          <w:lang w:val="zh-CN"/>
        </w:rPr>
        <w:t>（一）部门预算项目绩效分析。</w:t>
      </w:r>
    </w:p>
    <w:p w14:paraId="11E75F22">
      <w:pPr>
        <w:widowControl/>
        <w:adjustRightInd w:val="0"/>
        <w:snapToGrid w:val="0"/>
        <w:spacing w:line="580" w:lineRule="exact"/>
        <w:ind w:firstLine="643" w:firstLineChars="200"/>
        <w:contextualSpacing/>
        <w:jc w:val="left"/>
        <w:rPr>
          <w:rFonts w:hint="default" w:ascii="Times New Roman" w:hAnsi="Times New Roman" w:eastAsia="仿宋_GB2312" w:cs="Times New Roman"/>
          <w:b/>
          <w:kern w:val="0"/>
          <w:sz w:val="32"/>
          <w:szCs w:val="32"/>
          <w:shd w:val="clear" w:color="auto" w:fill="FFFFFF"/>
        </w:rPr>
      </w:pPr>
      <w:r>
        <w:rPr>
          <w:rFonts w:hint="default" w:ascii="Times New Roman" w:hAnsi="Times New Roman" w:eastAsia="仿宋_GB2312" w:cs="Times New Roman"/>
          <w:b/>
          <w:kern w:val="0"/>
          <w:sz w:val="32"/>
          <w:szCs w:val="32"/>
          <w:shd w:val="clear" w:color="auto" w:fill="FFFFFF"/>
        </w:rPr>
        <w:t>1.人员类项目绩效分析</w:t>
      </w:r>
    </w:p>
    <w:p w14:paraId="391280D1">
      <w:pPr>
        <w:widowControl/>
        <w:adjustRightInd w:val="0"/>
        <w:snapToGrid w:val="0"/>
        <w:spacing w:line="580" w:lineRule="exact"/>
        <w:ind w:firstLine="640" w:firstLineChars="200"/>
        <w:contextualSpacing/>
        <w:jc w:val="left"/>
        <w:rPr>
          <w:rFonts w:hint="default" w:ascii="Times New Roman" w:hAnsi="Times New Roman" w:cs="Times New Roman"/>
          <w:color w:val="000000"/>
          <w:szCs w:val="32"/>
        </w:rPr>
      </w:pPr>
      <w:r>
        <w:rPr>
          <w:rFonts w:hint="default" w:ascii="Times New Roman" w:hAnsi="Times New Roman" w:eastAsia="仿宋_GB2312" w:cs="Times New Roman"/>
          <w:color w:val="000000"/>
          <w:sz w:val="32"/>
          <w:szCs w:val="32"/>
        </w:rPr>
        <w:t>部门绩效目标依据机构职能制定，人员类项目主要包括全年在编在岗人员的基本工资、公务员的国家规定的津贴补贴、基础绩效奖，事业人员绩效工资，退休人员部分补贴、生活补助、在编在职人员五险一金定额定期扣缴。2022年人员经费预算安排</w:t>
      </w:r>
      <w:r>
        <w:rPr>
          <w:rFonts w:hint="default" w:ascii="Times New Roman" w:hAnsi="Times New Roman" w:cs="Times New Roman"/>
          <w:sz w:val="32"/>
          <w:szCs w:val="32"/>
        </w:rPr>
        <w:t>417.39</w:t>
      </w:r>
      <w:r>
        <w:rPr>
          <w:rFonts w:hint="default" w:ascii="Times New Roman" w:hAnsi="Times New Roman" w:eastAsia="仿宋_GB2312" w:cs="Times New Roman"/>
          <w:color w:val="000000"/>
          <w:sz w:val="32"/>
          <w:szCs w:val="32"/>
        </w:rPr>
        <w:t>万元，年中各项人员经费追加下达86.95万元，</w:t>
      </w:r>
      <w:r>
        <w:rPr>
          <w:rFonts w:hint="default" w:ascii="Times New Roman" w:hAnsi="Times New Roman" w:cs="Times New Roman"/>
          <w:kern w:val="0"/>
          <w:sz w:val="32"/>
          <w:szCs w:val="32"/>
          <w:shd w:val="clear" w:color="auto" w:fill="FFFFFF"/>
        </w:rPr>
        <w:t>执行率120.83%；</w:t>
      </w:r>
      <w:r>
        <w:rPr>
          <w:rFonts w:hint="default" w:ascii="Times New Roman" w:hAnsi="Times New Roman" w:eastAsia="方正仿宋_GBK" w:cs="Times New Roman"/>
          <w:sz w:val="33"/>
          <w:szCs w:val="33"/>
        </w:rPr>
        <w:t>我单位较好地完成了数量指标、质量指标、时效指标的指标值，绩效目标完成率为100%,</w:t>
      </w:r>
      <w:r>
        <w:rPr>
          <w:rFonts w:hint="default" w:ascii="Times New Roman" w:hAnsi="Times New Roman" w:eastAsia="仿宋_GB2312" w:cs="Times New Roman"/>
          <w:color w:val="000000"/>
          <w:sz w:val="32"/>
          <w:szCs w:val="32"/>
        </w:rPr>
        <w:t>年末人员类资金无结余，无违规情况。</w:t>
      </w:r>
    </w:p>
    <w:p w14:paraId="088315B3">
      <w:pPr>
        <w:widowControl/>
        <w:adjustRightInd w:val="0"/>
        <w:snapToGrid w:val="0"/>
        <w:spacing w:line="560" w:lineRule="exact"/>
        <w:ind w:firstLine="643" w:firstLineChars="200"/>
        <w:contextualSpacing/>
        <w:jc w:val="left"/>
        <w:rPr>
          <w:rFonts w:hint="default" w:ascii="Times New Roman" w:hAnsi="Times New Roman" w:eastAsia="仿宋_GB2312" w:cs="Times New Roman"/>
          <w:b/>
          <w:kern w:val="0"/>
          <w:sz w:val="32"/>
          <w:szCs w:val="32"/>
          <w:shd w:val="clear" w:color="auto" w:fill="FFFFFF"/>
        </w:rPr>
      </w:pPr>
      <w:r>
        <w:rPr>
          <w:rFonts w:hint="default" w:ascii="Times New Roman" w:hAnsi="Times New Roman" w:eastAsia="仿宋_GB2312" w:cs="Times New Roman"/>
          <w:b/>
          <w:kern w:val="0"/>
          <w:sz w:val="32"/>
          <w:szCs w:val="32"/>
          <w:shd w:val="clear" w:color="auto" w:fill="FFFFFF"/>
        </w:rPr>
        <w:t>2.运转类项目绩效分析</w:t>
      </w:r>
    </w:p>
    <w:p w14:paraId="63B5CF6D">
      <w:pPr>
        <w:widowControl/>
        <w:adjustRightInd w:val="0"/>
        <w:snapToGrid w:val="0"/>
        <w:spacing w:line="600" w:lineRule="exact"/>
        <w:ind w:firstLine="640" w:firstLineChars="200"/>
        <w:contextualSpacing/>
        <w:rPr>
          <w:rFonts w:hint="default" w:ascii="Times New Roman" w:hAnsi="Times New Roman" w:eastAsia="仿宋_GB2312" w:cs="Times New Roman"/>
          <w:kern w:val="0"/>
          <w:sz w:val="32"/>
          <w:szCs w:val="32"/>
          <w:shd w:val="clear" w:color="auto" w:fill="FFFFFF"/>
          <w:lang w:val="zh-CN"/>
        </w:rPr>
      </w:pPr>
      <w:r>
        <w:rPr>
          <w:rFonts w:hint="default" w:ascii="Times New Roman" w:hAnsi="Times New Roman" w:eastAsia="仿宋_GB2312" w:cs="Times New Roman"/>
          <w:color w:val="000000"/>
          <w:kern w:val="0"/>
          <w:sz w:val="32"/>
          <w:szCs w:val="32"/>
          <w:shd w:val="clear" w:color="auto" w:fill="FFFFFF"/>
          <w:lang w:val="zh-CN"/>
        </w:rPr>
        <w:t>运转类项目主要是维持单位基本运转的各类商品服务，包括办公费、三公经费、差旅费、</w:t>
      </w:r>
      <w:r>
        <w:rPr>
          <w:rFonts w:hint="default" w:ascii="Times New Roman" w:hAnsi="Times New Roman" w:eastAsia="仿宋_GB2312" w:cs="Times New Roman"/>
          <w:color w:val="000000"/>
          <w:kern w:val="0"/>
          <w:sz w:val="32"/>
          <w:szCs w:val="32"/>
          <w:shd w:val="clear" w:color="auto" w:fill="FFFFFF"/>
        </w:rPr>
        <w:t>邮电费</w:t>
      </w:r>
      <w:r>
        <w:rPr>
          <w:rFonts w:hint="default" w:ascii="Times New Roman" w:hAnsi="Times New Roman" w:eastAsia="仿宋_GB2312" w:cs="Times New Roman"/>
          <w:color w:val="000000"/>
          <w:kern w:val="0"/>
          <w:sz w:val="32"/>
          <w:szCs w:val="32"/>
          <w:shd w:val="clear" w:color="auto" w:fill="FFFFFF"/>
          <w:lang w:val="zh-CN"/>
        </w:rPr>
        <w:t>等。2022年</w:t>
      </w:r>
      <w:r>
        <w:rPr>
          <w:rFonts w:hint="default" w:ascii="Times New Roman" w:hAnsi="Times New Roman" w:eastAsia="仿宋_GB2312" w:cs="Times New Roman"/>
          <w:color w:val="000000"/>
          <w:kern w:val="0"/>
          <w:sz w:val="32"/>
          <w:szCs w:val="32"/>
          <w:shd w:val="clear" w:color="auto" w:fill="FFFFFF"/>
        </w:rPr>
        <w:t>年初</w:t>
      </w:r>
      <w:r>
        <w:rPr>
          <w:rFonts w:hint="default" w:ascii="Times New Roman" w:hAnsi="Times New Roman" w:eastAsia="仿宋_GB2312" w:cs="Times New Roman"/>
          <w:color w:val="000000"/>
          <w:kern w:val="0"/>
          <w:sz w:val="32"/>
          <w:szCs w:val="32"/>
          <w:shd w:val="clear" w:color="auto" w:fill="FFFFFF"/>
          <w:lang w:val="zh-CN"/>
        </w:rPr>
        <w:t>日常公用经费52.99万元，年中支出追减12.11万元，执行率77.15%,主要是落实过紧日子的要求，鼓励使用公务卡结算，严控会务、培训、差旅等公务事项审批，加强内部控制管理，推行无纸化办公，压减各项公用经费，年末运转类资金无结余，无违规情况。</w:t>
      </w:r>
    </w:p>
    <w:p w14:paraId="7E41A32C">
      <w:pPr>
        <w:spacing w:line="620" w:lineRule="exact"/>
        <w:ind w:firstLine="643" w:firstLineChars="200"/>
        <w:rPr>
          <w:rFonts w:hint="default" w:ascii="Times New Roman" w:hAnsi="Times New Roman" w:eastAsia="楷体_GB2312" w:cs="Times New Roman"/>
          <w:b/>
          <w:bCs/>
          <w:kern w:val="0"/>
          <w:sz w:val="32"/>
          <w:szCs w:val="32"/>
          <w:shd w:val="clear" w:color="auto" w:fill="FFFFFF"/>
          <w:lang w:val="zh-CN"/>
        </w:rPr>
      </w:pPr>
      <w:r>
        <w:rPr>
          <w:rFonts w:hint="default" w:ascii="Times New Roman" w:hAnsi="Times New Roman" w:eastAsia="楷体_GB2312" w:cs="Times New Roman"/>
          <w:b/>
          <w:bCs/>
          <w:kern w:val="0"/>
          <w:sz w:val="32"/>
          <w:szCs w:val="32"/>
          <w:shd w:val="clear" w:color="auto" w:fill="FFFFFF"/>
          <w:lang w:val="zh-CN"/>
        </w:rPr>
        <w:t>3.特定目标类项目绩效分析</w:t>
      </w:r>
    </w:p>
    <w:p w14:paraId="6CB55C05">
      <w:pPr>
        <w:widowControl/>
        <w:adjustRightInd w:val="0"/>
        <w:snapToGrid w:val="0"/>
        <w:spacing w:line="600" w:lineRule="exact"/>
        <w:ind w:firstLine="640" w:firstLineChars="200"/>
        <w:contextualSpacing/>
        <w:rPr>
          <w:rFonts w:hint="default" w:ascii="Times New Roman" w:hAnsi="Times New Roman" w:eastAsia="仿宋_GB2312" w:cs="Times New Roman"/>
          <w:color w:val="000000"/>
          <w:kern w:val="0"/>
          <w:sz w:val="32"/>
          <w:szCs w:val="32"/>
          <w:shd w:val="clear" w:color="auto" w:fill="FFFFFF"/>
          <w:lang w:val="zh-CN"/>
        </w:rPr>
      </w:pPr>
      <w:r>
        <w:rPr>
          <w:rFonts w:hint="default" w:ascii="Times New Roman" w:hAnsi="Times New Roman" w:eastAsia="仿宋_GB2312" w:cs="Times New Roman"/>
          <w:color w:val="000000"/>
          <w:kern w:val="0"/>
          <w:sz w:val="32"/>
          <w:szCs w:val="32"/>
          <w:shd w:val="clear" w:color="auto" w:fill="FFFFFF"/>
          <w:lang w:val="zh-CN"/>
        </w:rPr>
        <w:t>2022年年初预算项目经费75.38万元，年中支出追减25.06万元，执行率66.76%。主要原因：一是委员联络站经费为市级专项资金，主要根据西区6个委员联络站的实际情况安排资金，该项经费将于2023年用于委员联络站的升级打造等支出；二是政协工作保障经费2022年年底下达，在2022年度内未能使用。</w:t>
      </w:r>
    </w:p>
    <w:p w14:paraId="2AA0128D">
      <w:pPr>
        <w:widowControl/>
        <w:adjustRightInd w:val="0"/>
        <w:snapToGrid w:val="0"/>
        <w:spacing w:line="560" w:lineRule="exact"/>
        <w:ind w:firstLine="643" w:firstLineChars="200"/>
        <w:contextualSpacing/>
        <w:jc w:val="left"/>
        <w:rPr>
          <w:rFonts w:hint="default" w:ascii="Times New Roman" w:hAnsi="Times New Roman" w:eastAsia="楷体_GB2312" w:cs="Times New Roman"/>
          <w:b/>
          <w:bCs/>
          <w:kern w:val="0"/>
          <w:sz w:val="32"/>
          <w:szCs w:val="32"/>
          <w:shd w:val="clear" w:color="auto" w:fill="FFFFFF"/>
          <w:lang w:val="zh-CN"/>
        </w:rPr>
      </w:pPr>
      <w:r>
        <w:rPr>
          <w:rFonts w:hint="default" w:ascii="Times New Roman" w:hAnsi="Times New Roman" w:eastAsia="楷体_GB2312" w:cs="Times New Roman"/>
          <w:b/>
          <w:bCs/>
          <w:kern w:val="0"/>
          <w:sz w:val="32"/>
          <w:szCs w:val="32"/>
          <w:shd w:val="clear" w:color="auto" w:fill="FFFFFF"/>
          <w:lang w:val="zh-CN"/>
        </w:rPr>
        <w:t>（二）部门整体履职绩效分析。</w:t>
      </w:r>
    </w:p>
    <w:p w14:paraId="1E4C6E76">
      <w:pPr>
        <w:widowControl/>
        <w:adjustRightInd w:val="0"/>
        <w:snapToGrid w:val="0"/>
        <w:spacing w:line="580" w:lineRule="exact"/>
        <w:ind w:firstLine="640" w:firstLineChars="200"/>
        <w:contextualSpacing/>
        <w:jc w:val="left"/>
        <w:rPr>
          <w:rFonts w:hint="default" w:ascii="Times New Roman" w:hAnsi="Times New Roman" w:eastAsia="仿宋" w:cs="Times New Roman"/>
          <w:b/>
          <w:bCs/>
          <w:kern w:val="0"/>
          <w:sz w:val="32"/>
          <w:szCs w:val="32"/>
          <w:shd w:val="clear" w:color="auto" w:fill="FFFFFF"/>
        </w:rPr>
      </w:pPr>
      <w:r>
        <w:rPr>
          <w:rFonts w:hint="default" w:ascii="Times New Roman" w:hAnsi="Times New Roman" w:eastAsia="仿宋_GB2312" w:cs="Times New Roman"/>
          <w:sz w:val="32"/>
          <w:szCs w:val="32"/>
          <w:lang w:val="zh-CN"/>
        </w:rPr>
        <w:t>在过去的</w:t>
      </w: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val="zh-CN"/>
        </w:rPr>
        <w:t>年中，</w:t>
      </w:r>
      <w:r>
        <w:rPr>
          <w:rFonts w:hint="default" w:ascii="Times New Roman" w:hAnsi="Times New Roman" w:eastAsia="仿宋_GB2312" w:cs="Times New Roman"/>
          <w:sz w:val="32"/>
          <w:szCs w:val="32"/>
        </w:rPr>
        <w:t>区政协围绕区委区政府中心工作,开展专题调研协商，积极建言献策，反应社情民意，凝聚共识，推动了西区经济、社会、生态可持续发展。</w:t>
      </w:r>
      <w:r>
        <w:rPr>
          <w:rFonts w:hint="default" w:ascii="Times New Roman" w:hAnsi="Times New Roman" w:eastAsia="仿宋_GB2312" w:cs="Times New Roman"/>
          <w:sz w:val="32"/>
          <w:szCs w:val="32"/>
          <w:lang w:val="zh-CN"/>
        </w:rPr>
        <w:t>顺利完</w:t>
      </w:r>
      <w:r>
        <w:rPr>
          <w:rFonts w:hint="default" w:ascii="Times New Roman" w:hAnsi="Times New Roman" w:eastAsia="仿宋_GB2312" w:cs="Times New Roman"/>
          <w:sz w:val="32"/>
          <w:szCs w:val="32"/>
        </w:rPr>
        <w:t>成</w:t>
      </w:r>
      <w:r>
        <w:rPr>
          <w:rFonts w:hint="default" w:ascii="Times New Roman" w:hAnsi="Times New Roman" w:eastAsia="仿宋_GB2312" w:cs="Times New Roman"/>
          <w:sz w:val="32"/>
          <w:szCs w:val="32"/>
          <w:lang w:val="zh-CN"/>
        </w:rPr>
        <w:t>了项目预算执行任务</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zh-CN"/>
        </w:rPr>
        <w:t>通过各项指标的监测和分析，工作效率</w:t>
      </w:r>
      <w:r>
        <w:rPr>
          <w:rFonts w:hint="default" w:ascii="Times New Roman" w:hAnsi="Times New Roman" w:eastAsia="仿宋_GB2312" w:cs="Times New Roman"/>
          <w:sz w:val="32"/>
          <w:szCs w:val="32"/>
        </w:rPr>
        <w:t>得到了较大</w:t>
      </w:r>
      <w:r>
        <w:rPr>
          <w:rFonts w:hint="default" w:ascii="Times New Roman" w:hAnsi="Times New Roman" w:eastAsia="仿宋_GB2312" w:cs="Times New Roman"/>
          <w:sz w:val="32"/>
          <w:szCs w:val="32"/>
          <w:lang w:val="zh-CN"/>
        </w:rPr>
        <w:t>提高，但</w:t>
      </w:r>
      <w:r>
        <w:rPr>
          <w:rFonts w:hint="default" w:ascii="Times New Roman" w:hAnsi="Times New Roman" w:eastAsia="仿宋_GB2312" w:cs="Times New Roman"/>
          <w:sz w:val="32"/>
          <w:szCs w:val="32"/>
        </w:rPr>
        <w:t>还</w:t>
      </w:r>
      <w:r>
        <w:rPr>
          <w:rFonts w:hint="default" w:ascii="Times New Roman" w:hAnsi="Times New Roman" w:eastAsia="仿宋_GB2312" w:cs="Times New Roman"/>
          <w:sz w:val="32"/>
          <w:szCs w:val="32"/>
          <w:lang w:val="zh-CN"/>
        </w:rPr>
        <w:t>需要进一步加强预算执行的管理和监督，确保预算资金使用的合规性和效益性</w:t>
      </w:r>
      <w:r>
        <w:rPr>
          <w:rFonts w:hint="default" w:ascii="Times New Roman" w:hAnsi="Times New Roman" w:eastAsia="仿宋_GB2312" w:cs="Times New Roman"/>
          <w:sz w:val="32"/>
          <w:szCs w:val="32"/>
        </w:rPr>
        <w:t>。</w:t>
      </w:r>
    </w:p>
    <w:p w14:paraId="152761D2">
      <w:pPr>
        <w:widowControl/>
        <w:adjustRightInd w:val="0"/>
        <w:snapToGrid w:val="0"/>
        <w:spacing w:line="580" w:lineRule="exact"/>
        <w:ind w:firstLine="643" w:firstLineChars="200"/>
        <w:contextualSpacing/>
        <w:jc w:val="left"/>
        <w:rPr>
          <w:rFonts w:hint="default" w:ascii="Times New Roman" w:hAnsi="Times New Roman" w:eastAsia="楷体_GB2312" w:cs="Times New Roman"/>
          <w:b/>
          <w:bCs/>
          <w:kern w:val="0"/>
          <w:sz w:val="32"/>
          <w:szCs w:val="32"/>
          <w:shd w:val="clear" w:color="auto" w:fill="FFFFFF"/>
          <w:lang w:val="zh-CN"/>
        </w:rPr>
      </w:pPr>
      <w:r>
        <w:rPr>
          <w:rFonts w:hint="default" w:ascii="Times New Roman" w:hAnsi="Times New Roman" w:eastAsia="楷体_GB2312" w:cs="Times New Roman"/>
          <w:b/>
          <w:bCs/>
          <w:kern w:val="0"/>
          <w:sz w:val="32"/>
          <w:szCs w:val="32"/>
          <w:shd w:val="clear" w:color="auto" w:fill="FFFFFF"/>
          <w:lang w:val="zh-CN"/>
        </w:rPr>
        <w:t>（三）结果应用情况。</w:t>
      </w:r>
    </w:p>
    <w:p w14:paraId="1044675A">
      <w:pPr>
        <w:widowControl/>
        <w:adjustRightInd w:val="0"/>
        <w:snapToGrid w:val="0"/>
        <w:spacing w:line="580" w:lineRule="exact"/>
        <w:ind w:firstLine="643" w:firstLineChars="200"/>
        <w:contextualSpacing/>
        <w:jc w:val="left"/>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1.内部应用</w:t>
      </w:r>
    </w:p>
    <w:p w14:paraId="19A21C52">
      <w:pPr>
        <w:adjustRightInd w:val="0"/>
        <w:snapToGrid w:val="0"/>
        <w:spacing w:line="580" w:lineRule="exact"/>
        <w:ind w:firstLine="640" w:firstLineChars="200"/>
        <w:contextualSpacing/>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过自评工作的开展，将评价结果作为改进预算管理和财务管理及今后年度预算安排的重要依据。我单位资金管理制度健全，款项支付规范，专款专用，最大限度地发挥了财政资金的使用效率，较好地执行了年初预算各项资金计划；账务核算及时规范，保障了机关正常运转，较好的完成了年度工作目标。</w:t>
      </w:r>
    </w:p>
    <w:p w14:paraId="1B4E7EEE">
      <w:pPr>
        <w:widowControl/>
        <w:adjustRightInd w:val="0"/>
        <w:snapToGrid w:val="0"/>
        <w:spacing w:line="580" w:lineRule="exact"/>
        <w:ind w:firstLine="643" w:firstLineChars="200"/>
        <w:contextualSpacing/>
        <w:jc w:val="left"/>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2.自评公开</w:t>
      </w:r>
    </w:p>
    <w:p w14:paraId="001D2F0B">
      <w:pPr>
        <w:widowControl/>
        <w:adjustRightInd w:val="0"/>
        <w:snapToGrid w:val="0"/>
        <w:spacing w:line="580" w:lineRule="exact"/>
        <w:ind w:firstLine="640" w:firstLineChars="200"/>
        <w:contextualSpacing/>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按照财政部门的规定认真开展绩效评价工作，根据财政信息公开相关规定，将评价结果及时在政府门户网站进行公开。</w:t>
      </w:r>
    </w:p>
    <w:p w14:paraId="588742AF">
      <w:pPr>
        <w:widowControl/>
        <w:adjustRightInd w:val="0"/>
        <w:snapToGrid w:val="0"/>
        <w:spacing w:line="580" w:lineRule="exact"/>
        <w:ind w:firstLine="643" w:firstLineChars="200"/>
        <w:contextualSpacing/>
        <w:jc w:val="left"/>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3.问题整改和应用反馈</w:t>
      </w:r>
    </w:p>
    <w:p w14:paraId="16633E84">
      <w:pPr>
        <w:widowControl/>
        <w:adjustRightInd w:val="0"/>
        <w:snapToGrid w:val="0"/>
        <w:spacing w:line="580" w:lineRule="exact"/>
        <w:ind w:firstLine="640" w:firstLineChars="200"/>
        <w:contextualSpacing/>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2022年区政协个别项目执行率较低，今后将根据年初预算情况，加强项目执行管理，提高预算资金使用绩效；加强预算编制，做到尽量细化项目资金支出预算范围和科目，在编制项目预算时对项目进行充分论证和可行性分析。区政协严格执行各项政策法规规定，规范财务管理，将预算执行纳入单位整体支出绩效目标和项目绩效目标管理，按期及时向财政部门反馈部门资金使用情况，提高财政资金使用效益。</w:t>
      </w:r>
    </w:p>
    <w:p w14:paraId="63176936">
      <w:pPr>
        <w:widowControl/>
        <w:adjustRightInd w:val="0"/>
        <w:snapToGrid w:val="0"/>
        <w:spacing w:line="580" w:lineRule="exact"/>
        <w:ind w:firstLine="663" w:firstLineChars="200"/>
        <w:contextualSpacing/>
        <w:jc w:val="left"/>
        <w:rPr>
          <w:rFonts w:hint="default" w:ascii="Times New Roman" w:hAnsi="Times New Roman" w:eastAsia="方正楷体_GBK" w:cs="Times New Roman"/>
          <w:b/>
          <w:bCs/>
          <w:color w:val="000000"/>
          <w:kern w:val="0"/>
          <w:sz w:val="33"/>
          <w:szCs w:val="33"/>
          <w:shd w:val="clear" w:color="auto" w:fill="FFFFFF"/>
          <w:lang w:val="zh-CN"/>
        </w:rPr>
      </w:pPr>
      <w:r>
        <w:rPr>
          <w:rFonts w:hint="default" w:ascii="Times New Roman" w:hAnsi="Times New Roman" w:eastAsia="方正楷体_GBK" w:cs="Times New Roman"/>
          <w:b/>
          <w:bCs/>
          <w:color w:val="000000"/>
          <w:kern w:val="0"/>
          <w:sz w:val="33"/>
          <w:szCs w:val="33"/>
          <w:shd w:val="clear" w:color="auto" w:fill="FFFFFF"/>
          <w:lang w:val="zh-CN"/>
        </w:rPr>
        <w:t>（三）自评质量。</w:t>
      </w:r>
    </w:p>
    <w:p w14:paraId="6AE11227">
      <w:pPr>
        <w:widowControl/>
        <w:adjustRightInd w:val="0"/>
        <w:snapToGrid w:val="0"/>
        <w:spacing w:line="580" w:lineRule="exact"/>
        <w:ind w:firstLine="640" w:firstLineChars="200"/>
        <w:contextualSpacing/>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2022年区政协在绩效评价工作中，依照《2023年区级部门整体支出绩效评价指标体系（无专项预算项目的部门）》罗列项目，严格对照2022年预决算数据，条理清晰，逐项核对，准确高效地完成自评，部门预算整体绩效评价自评90分。</w:t>
      </w:r>
    </w:p>
    <w:p w14:paraId="6F0BD6EE">
      <w:pPr>
        <w:widowControl/>
        <w:adjustRightInd w:val="0"/>
        <w:snapToGrid w:val="0"/>
        <w:spacing w:line="580" w:lineRule="exact"/>
        <w:ind w:firstLine="660" w:firstLineChars="200"/>
        <w:contextualSpacing/>
        <w:jc w:val="left"/>
        <w:rPr>
          <w:rFonts w:hint="default" w:ascii="Times New Roman" w:hAnsi="Times New Roman" w:eastAsia="方正黑体_GBK" w:cs="Times New Roman"/>
          <w:color w:val="000000"/>
          <w:kern w:val="0"/>
          <w:sz w:val="33"/>
          <w:szCs w:val="33"/>
          <w:shd w:val="clear" w:color="auto" w:fill="FFFFFF"/>
        </w:rPr>
      </w:pPr>
      <w:r>
        <w:rPr>
          <w:rFonts w:hint="default" w:ascii="Times New Roman" w:hAnsi="Times New Roman" w:eastAsia="方正黑体_GBK" w:cs="Times New Roman"/>
          <w:color w:val="000000"/>
          <w:kern w:val="0"/>
          <w:sz w:val="33"/>
          <w:szCs w:val="33"/>
          <w:shd w:val="clear" w:color="auto" w:fill="FFFFFF"/>
        </w:rPr>
        <w:t>四、评价结论及建议</w:t>
      </w:r>
    </w:p>
    <w:p w14:paraId="0CCBCD46">
      <w:pPr>
        <w:widowControl/>
        <w:adjustRightInd w:val="0"/>
        <w:snapToGrid w:val="0"/>
        <w:spacing w:line="580" w:lineRule="exact"/>
        <w:ind w:firstLine="663" w:firstLineChars="200"/>
        <w:contextualSpacing/>
        <w:jc w:val="left"/>
        <w:rPr>
          <w:rFonts w:hint="default" w:ascii="Times New Roman" w:hAnsi="Times New Roman" w:eastAsia="方正楷体_GBK" w:cs="Times New Roman"/>
          <w:b/>
          <w:bCs/>
          <w:color w:val="000000"/>
          <w:kern w:val="0"/>
          <w:sz w:val="33"/>
          <w:szCs w:val="33"/>
          <w:shd w:val="clear" w:color="auto" w:fill="FFFFFF"/>
          <w:lang w:val="zh-CN"/>
        </w:rPr>
      </w:pPr>
      <w:r>
        <w:rPr>
          <w:rFonts w:hint="default" w:ascii="Times New Roman" w:hAnsi="Times New Roman" w:eastAsia="方正楷体_GBK" w:cs="Times New Roman"/>
          <w:b/>
          <w:bCs/>
          <w:color w:val="000000"/>
          <w:kern w:val="0"/>
          <w:sz w:val="33"/>
          <w:szCs w:val="33"/>
          <w:shd w:val="clear" w:color="auto" w:fill="FFFFFF"/>
          <w:lang w:val="zh-CN"/>
        </w:rPr>
        <w:t>（一）评价结论</w:t>
      </w:r>
    </w:p>
    <w:p w14:paraId="23CBBFDC">
      <w:pPr>
        <w:widowControl/>
        <w:adjustRightInd w:val="0"/>
        <w:snapToGrid w:val="0"/>
        <w:spacing w:line="580" w:lineRule="exact"/>
        <w:ind w:firstLine="616" w:firstLineChars="200"/>
        <w:contextualSpacing/>
        <w:jc w:val="left"/>
        <w:rPr>
          <w:rFonts w:hint="default" w:ascii="Times New Roman" w:hAnsi="Times New Roman" w:eastAsia="仿宋_GB2312" w:cs="Times New Roman"/>
          <w:color w:val="000000"/>
          <w:spacing w:val="-6"/>
          <w:kern w:val="0"/>
          <w:sz w:val="32"/>
          <w:szCs w:val="32"/>
          <w:shd w:val="clear" w:color="auto" w:fill="FFFFFF"/>
          <w:lang w:val="zh-CN"/>
        </w:rPr>
      </w:pPr>
      <w:r>
        <w:rPr>
          <w:rFonts w:hint="default" w:ascii="Times New Roman" w:hAnsi="Times New Roman" w:eastAsia="仿宋_GB2312" w:cs="Times New Roman"/>
          <w:spacing w:val="-6"/>
          <w:sz w:val="32"/>
          <w:szCs w:val="32"/>
        </w:rPr>
        <w:t>2022</w:t>
      </w:r>
      <w:r>
        <w:rPr>
          <w:rFonts w:hint="default" w:ascii="Times New Roman" w:hAnsi="Times New Roman" w:eastAsia="仿宋_GB2312" w:cs="Times New Roman"/>
          <w:color w:val="000000"/>
          <w:spacing w:val="-6"/>
          <w:kern w:val="0"/>
          <w:sz w:val="32"/>
          <w:szCs w:val="32"/>
          <w:shd w:val="clear" w:color="auto" w:fill="FFFFFF"/>
        </w:rPr>
        <w:t>年部门整体运行情况良好，建立健全相关制度、机制，严格执行了部门预算整体绩效评价机制，达到了预期效果。款项支付规范，专款专用，最大限度地发挥了财政资金的使用效率。从预算到执行和收入、支出都在合理范围内，预、决算及时在政府网站公开。有效保证机构运转，圆满完成了区政协制定的工作目标和上级下达的任务</w:t>
      </w:r>
      <w:r>
        <w:rPr>
          <w:rFonts w:hint="default" w:ascii="Times New Roman" w:hAnsi="Times New Roman" w:cs="Times New Roman"/>
          <w:color w:val="000000"/>
          <w:spacing w:val="-6"/>
          <w:kern w:val="0"/>
          <w:sz w:val="32"/>
          <w:szCs w:val="32"/>
          <w:shd w:val="clear" w:color="auto" w:fill="FFFFFF"/>
        </w:rPr>
        <w:t>，</w:t>
      </w:r>
      <w:r>
        <w:rPr>
          <w:rFonts w:hint="default" w:ascii="Times New Roman" w:hAnsi="Times New Roman" w:eastAsia="仿宋_GB2312" w:cs="Times New Roman"/>
          <w:color w:val="000000"/>
          <w:spacing w:val="-6"/>
          <w:kern w:val="0"/>
          <w:sz w:val="32"/>
          <w:szCs w:val="32"/>
          <w:shd w:val="clear" w:color="auto" w:fill="FFFFFF"/>
        </w:rPr>
        <w:t>为全区创新发展营造了良好的环境</w:t>
      </w:r>
      <w:r>
        <w:rPr>
          <w:rFonts w:hint="default" w:ascii="Times New Roman" w:hAnsi="Times New Roman" w:cs="Times New Roman"/>
          <w:color w:val="000000"/>
          <w:spacing w:val="-6"/>
          <w:kern w:val="0"/>
          <w:sz w:val="32"/>
          <w:szCs w:val="32"/>
          <w:shd w:val="clear" w:color="auto" w:fill="FFFFFF"/>
        </w:rPr>
        <w:t>。</w:t>
      </w:r>
    </w:p>
    <w:p w14:paraId="2A64A89F">
      <w:pPr>
        <w:widowControl/>
        <w:adjustRightInd w:val="0"/>
        <w:snapToGrid w:val="0"/>
        <w:spacing w:line="580" w:lineRule="exact"/>
        <w:ind w:firstLine="663" w:firstLineChars="200"/>
        <w:contextualSpacing/>
        <w:jc w:val="left"/>
        <w:rPr>
          <w:rFonts w:hint="default" w:ascii="Times New Roman" w:hAnsi="Times New Roman" w:eastAsia="方正楷体_GBK" w:cs="Times New Roman"/>
          <w:b/>
          <w:bCs/>
          <w:color w:val="000000"/>
          <w:kern w:val="0"/>
          <w:sz w:val="33"/>
          <w:szCs w:val="33"/>
          <w:shd w:val="clear" w:color="auto" w:fill="FFFFFF"/>
          <w:lang w:val="zh-CN"/>
        </w:rPr>
      </w:pPr>
      <w:r>
        <w:rPr>
          <w:rFonts w:hint="default" w:ascii="Times New Roman" w:hAnsi="Times New Roman" w:eastAsia="方正楷体_GBK" w:cs="Times New Roman"/>
          <w:b/>
          <w:bCs/>
          <w:color w:val="000000"/>
          <w:kern w:val="0"/>
          <w:sz w:val="33"/>
          <w:szCs w:val="33"/>
          <w:shd w:val="clear" w:color="auto" w:fill="FFFFFF"/>
          <w:lang w:val="zh-CN"/>
        </w:rPr>
        <w:t>（二）存在问题</w:t>
      </w:r>
    </w:p>
    <w:p w14:paraId="542CFEF9">
      <w:pPr>
        <w:widowControl/>
        <w:adjustRightInd w:val="0"/>
        <w:snapToGrid w:val="0"/>
        <w:spacing w:line="580" w:lineRule="exact"/>
        <w:ind w:firstLine="640" w:firstLineChars="200"/>
        <w:contextualSpacing/>
        <w:jc w:val="left"/>
        <w:rPr>
          <w:rFonts w:hint="default" w:ascii="Times New Roman" w:hAnsi="Times New Roman" w:eastAsia="仿宋_GB2312" w:cs="Times New Roman"/>
          <w:color w:val="000000"/>
          <w:kern w:val="0"/>
          <w:sz w:val="32"/>
          <w:szCs w:val="32"/>
          <w:shd w:val="clear" w:color="auto" w:fill="FFFFFF"/>
          <w:lang w:val="zh-CN"/>
        </w:rPr>
      </w:pPr>
      <w:r>
        <w:rPr>
          <w:rFonts w:hint="default" w:ascii="Times New Roman" w:hAnsi="Times New Roman" w:eastAsia="仿宋_GB2312" w:cs="Times New Roman"/>
          <w:color w:val="000000"/>
          <w:kern w:val="0"/>
          <w:sz w:val="32"/>
          <w:szCs w:val="32"/>
          <w:shd w:val="clear" w:color="auto" w:fill="FFFFFF"/>
        </w:rPr>
        <w:t>无</w:t>
      </w:r>
    </w:p>
    <w:p w14:paraId="722CDA6B">
      <w:pPr>
        <w:widowControl/>
        <w:adjustRightInd w:val="0"/>
        <w:snapToGrid w:val="0"/>
        <w:spacing w:line="580" w:lineRule="exact"/>
        <w:ind w:firstLine="663" w:firstLineChars="200"/>
        <w:contextualSpacing/>
        <w:jc w:val="left"/>
        <w:rPr>
          <w:rFonts w:hint="default" w:ascii="Times New Roman" w:hAnsi="Times New Roman" w:eastAsia="方正楷体_GBK" w:cs="Times New Roman"/>
          <w:b/>
          <w:bCs/>
          <w:color w:val="000000"/>
          <w:kern w:val="0"/>
          <w:sz w:val="33"/>
          <w:szCs w:val="33"/>
          <w:shd w:val="clear" w:color="auto" w:fill="FFFFFF"/>
          <w:lang w:val="zh-CN"/>
        </w:rPr>
      </w:pPr>
      <w:r>
        <w:rPr>
          <w:rFonts w:hint="default" w:ascii="Times New Roman" w:hAnsi="Times New Roman" w:eastAsia="方正楷体_GBK" w:cs="Times New Roman"/>
          <w:b/>
          <w:bCs/>
          <w:color w:val="000000"/>
          <w:kern w:val="0"/>
          <w:sz w:val="33"/>
          <w:szCs w:val="33"/>
          <w:shd w:val="clear" w:color="auto" w:fill="FFFFFF"/>
          <w:lang w:val="zh-CN"/>
        </w:rPr>
        <w:t>（三）改进建议</w:t>
      </w:r>
    </w:p>
    <w:p w14:paraId="00F7F802">
      <w:pPr>
        <w:widowControl/>
        <w:adjustRightInd w:val="0"/>
        <w:snapToGrid w:val="0"/>
        <w:spacing w:line="580" w:lineRule="exact"/>
        <w:ind w:firstLine="640" w:firstLineChars="200"/>
        <w:contextualSpacing/>
        <w:jc w:val="left"/>
        <w:rPr>
          <w:rFonts w:hint="default" w:ascii="Times New Roman" w:hAnsi="Times New Roman" w:eastAsia="仿宋_GB2312" w:cs="Times New Roman"/>
          <w:color w:val="000000"/>
          <w:kern w:val="0"/>
          <w:sz w:val="32"/>
          <w:szCs w:val="32"/>
          <w:shd w:val="clear" w:color="auto" w:fill="FFFFFF"/>
        </w:rPr>
      </w:pPr>
      <w:r>
        <w:rPr>
          <w:rFonts w:hint="default" w:ascii="Times New Roman" w:hAnsi="Times New Roman" w:eastAsia="仿宋_GB2312" w:cs="Times New Roman"/>
          <w:color w:val="000000"/>
          <w:kern w:val="0"/>
          <w:sz w:val="32"/>
          <w:szCs w:val="32"/>
          <w:shd w:val="clear" w:color="auto" w:fill="FFFFFF"/>
        </w:rPr>
        <w:t>无</w:t>
      </w:r>
    </w:p>
    <w:p w14:paraId="130B69A2">
      <w:pPr>
        <w:widowControl/>
        <w:adjustRightInd w:val="0"/>
        <w:snapToGrid w:val="0"/>
        <w:spacing w:line="580" w:lineRule="exact"/>
        <w:contextualSpacing/>
        <w:jc w:val="left"/>
        <w:rPr>
          <w:rFonts w:hint="default" w:ascii="Times New Roman" w:hAnsi="Times New Roman" w:eastAsia="仿宋_GB2312" w:cs="Times New Roman"/>
          <w:color w:val="000000"/>
          <w:kern w:val="0"/>
          <w:sz w:val="32"/>
          <w:szCs w:val="32"/>
          <w:shd w:val="clear" w:color="auto" w:fill="FFFFFF"/>
        </w:rPr>
      </w:pPr>
    </w:p>
    <w:p w14:paraId="5C75A2E3">
      <w:pPr>
        <w:pStyle w:val="2"/>
        <w:spacing w:before="93"/>
        <w:rPr>
          <w:rFonts w:hint="default" w:ascii="Times New Roman" w:hAnsi="Times New Roman" w:cs="Times New Roman"/>
          <w:sz w:val="32"/>
          <w:szCs w:val="32"/>
          <w:shd w:val="clear" w:color="auto" w:fill="FFFFFF"/>
          <w:lang w:val="zh-CN"/>
        </w:rPr>
      </w:pPr>
    </w:p>
    <w:p w14:paraId="663F7316">
      <w:pPr>
        <w:pStyle w:val="2"/>
        <w:spacing w:before="93"/>
        <w:rPr>
          <w:rFonts w:hint="default" w:ascii="Times New Roman" w:hAnsi="Times New Roman" w:cs="Times New Roman"/>
          <w:sz w:val="32"/>
          <w:szCs w:val="32"/>
          <w:shd w:val="clear" w:color="auto" w:fill="FFFFFF"/>
          <w:lang w:val="zh-CN"/>
        </w:rPr>
      </w:pPr>
    </w:p>
    <w:p w14:paraId="52CBA87F">
      <w:pPr>
        <w:pStyle w:val="2"/>
        <w:spacing w:before="93"/>
        <w:rPr>
          <w:rFonts w:hint="default" w:ascii="Times New Roman" w:hAnsi="Times New Roman" w:cs="Times New Roman"/>
          <w:sz w:val="32"/>
          <w:szCs w:val="32"/>
          <w:shd w:val="clear" w:color="auto" w:fill="FFFFFF"/>
          <w:lang w:val="zh-CN"/>
        </w:rPr>
      </w:pPr>
    </w:p>
    <w:p w14:paraId="38DCC85D">
      <w:pPr>
        <w:pStyle w:val="2"/>
        <w:spacing w:before="93"/>
        <w:rPr>
          <w:rFonts w:hint="default" w:ascii="Times New Roman" w:hAnsi="Times New Roman" w:cs="Times New Roman"/>
          <w:sz w:val="32"/>
          <w:szCs w:val="32"/>
          <w:shd w:val="clear" w:color="auto" w:fill="FFFFFF"/>
          <w:lang w:val="zh-CN"/>
        </w:rPr>
      </w:pPr>
    </w:p>
    <w:p w14:paraId="4D68E4BD">
      <w:pPr>
        <w:pStyle w:val="2"/>
        <w:spacing w:before="93"/>
        <w:rPr>
          <w:rFonts w:hint="default" w:ascii="Times New Roman" w:hAnsi="Times New Roman" w:cs="Times New Roman"/>
          <w:sz w:val="32"/>
          <w:szCs w:val="32"/>
          <w:shd w:val="clear" w:color="auto" w:fill="FFFFFF"/>
          <w:lang w:val="zh-CN"/>
        </w:rPr>
      </w:pPr>
    </w:p>
    <w:p w14:paraId="7A7C5886">
      <w:pPr>
        <w:pStyle w:val="2"/>
        <w:spacing w:before="93"/>
        <w:rPr>
          <w:rFonts w:hint="default" w:ascii="Times New Roman" w:hAnsi="Times New Roman" w:cs="Times New Roman"/>
          <w:sz w:val="32"/>
          <w:szCs w:val="32"/>
          <w:shd w:val="clear" w:color="auto" w:fill="FFFFFF"/>
          <w:lang w:val="zh-CN"/>
        </w:rPr>
      </w:pPr>
    </w:p>
    <w:p w14:paraId="3BFC9E28">
      <w:pPr>
        <w:pStyle w:val="2"/>
        <w:spacing w:before="93"/>
        <w:rPr>
          <w:rFonts w:hint="default" w:ascii="Times New Roman" w:hAnsi="Times New Roman" w:cs="Times New Roman"/>
          <w:sz w:val="32"/>
          <w:szCs w:val="32"/>
          <w:shd w:val="clear" w:color="auto" w:fill="FFFFFF"/>
          <w:lang w:val="zh-CN"/>
        </w:rPr>
      </w:pPr>
    </w:p>
    <w:p w14:paraId="5DE02A41">
      <w:pPr>
        <w:pStyle w:val="2"/>
        <w:spacing w:before="93"/>
        <w:rPr>
          <w:rFonts w:hint="default" w:ascii="Times New Roman" w:hAnsi="Times New Roman" w:cs="Times New Roman"/>
          <w:sz w:val="32"/>
          <w:szCs w:val="32"/>
          <w:shd w:val="clear" w:color="auto" w:fill="FFFFFF"/>
          <w:lang w:val="zh-CN"/>
        </w:rPr>
      </w:pPr>
    </w:p>
    <w:p w14:paraId="3B950624">
      <w:pPr>
        <w:pStyle w:val="2"/>
        <w:spacing w:before="93"/>
        <w:rPr>
          <w:rFonts w:hint="default" w:ascii="Times New Roman" w:hAnsi="Times New Roman" w:cs="Times New Roman"/>
          <w:sz w:val="32"/>
          <w:szCs w:val="32"/>
          <w:shd w:val="clear" w:color="auto" w:fill="FFFFFF"/>
          <w:lang w:val="zh-CN"/>
        </w:rPr>
      </w:pPr>
    </w:p>
    <w:p w14:paraId="5E4A52A3">
      <w:pPr>
        <w:pStyle w:val="2"/>
        <w:spacing w:before="93"/>
        <w:rPr>
          <w:rFonts w:hint="default" w:ascii="Times New Roman" w:hAnsi="Times New Roman" w:cs="Times New Roman"/>
          <w:sz w:val="32"/>
          <w:szCs w:val="32"/>
          <w:shd w:val="clear" w:color="auto" w:fill="FFFFFF"/>
          <w:lang w:val="zh-CN"/>
        </w:rPr>
      </w:pPr>
    </w:p>
    <w:p w14:paraId="4E2952F0">
      <w:pPr>
        <w:pStyle w:val="2"/>
        <w:spacing w:before="93"/>
        <w:rPr>
          <w:rFonts w:hint="default" w:ascii="Times New Roman" w:hAnsi="Times New Roman" w:cs="Times New Roman"/>
          <w:sz w:val="32"/>
          <w:szCs w:val="32"/>
          <w:shd w:val="clear" w:color="auto" w:fill="FFFFFF"/>
          <w:lang w:val="zh-CN"/>
        </w:rPr>
      </w:pPr>
    </w:p>
    <w:p w14:paraId="4615D7E6">
      <w:pPr>
        <w:pStyle w:val="2"/>
        <w:spacing w:before="93"/>
        <w:rPr>
          <w:rFonts w:hint="default" w:ascii="Times New Roman" w:hAnsi="Times New Roman" w:cs="Times New Roman"/>
          <w:sz w:val="32"/>
          <w:szCs w:val="32"/>
          <w:shd w:val="clear" w:color="auto" w:fill="FFFFFF"/>
          <w:lang w:val="zh-CN"/>
        </w:rPr>
      </w:pPr>
    </w:p>
    <w:p w14:paraId="75F48339">
      <w:pPr>
        <w:spacing w:line="600" w:lineRule="exact"/>
        <w:jc w:val="center"/>
        <w:outlineLvl w:val="0"/>
        <w:rPr>
          <w:rFonts w:hint="default" w:ascii="Times New Roman" w:hAnsi="Times New Roman" w:eastAsia="黑体" w:cs="Times New Roman"/>
          <w:sz w:val="44"/>
          <w:szCs w:val="44"/>
        </w:rPr>
      </w:pPr>
      <w:bookmarkStart w:id="49" w:name="_Toc15396618"/>
    </w:p>
    <w:p w14:paraId="679FAE33">
      <w:pPr>
        <w:spacing w:line="600" w:lineRule="exact"/>
        <w:jc w:val="center"/>
        <w:outlineLvl w:val="0"/>
        <w:rPr>
          <w:rFonts w:hint="default" w:ascii="Times New Roman" w:hAnsi="Times New Roman" w:eastAsia="黑体" w:cs="Times New Roman"/>
          <w:sz w:val="44"/>
          <w:szCs w:val="44"/>
        </w:rPr>
      </w:pPr>
    </w:p>
    <w:p w14:paraId="343412B4">
      <w:pPr>
        <w:spacing w:line="600" w:lineRule="exact"/>
        <w:jc w:val="center"/>
        <w:outlineLvl w:val="0"/>
        <w:rPr>
          <w:rFonts w:hint="default" w:ascii="Times New Roman" w:hAnsi="Times New Roman" w:eastAsia="黑体" w:cs="Times New Roman"/>
          <w:sz w:val="44"/>
          <w:szCs w:val="44"/>
        </w:rPr>
      </w:pPr>
    </w:p>
    <w:p w14:paraId="5CEC539B">
      <w:pPr>
        <w:spacing w:line="600" w:lineRule="exact"/>
        <w:jc w:val="center"/>
        <w:outlineLvl w:val="0"/>
        <w:rPr>
          <w:rFonts w:hint="default" w:ascii="Times New Roman" w:hAnsi="Times New Roman" w:eastAsia="仿宋" w:cs="Times New Roman"/>
        </w:rPr>
      </w:pPr>
      <w:r>
        <w:rPr>
          <w:rFonts w:hint="default" w:ascii="Times New Roman" w:hAnsi="Times New Roman" w:eastAsia="黑体" w:cs="Times New Roman"/>
          <w:sz w:val="44"/>
          <w:szCs w:val="44"/>
        </w:rPr>
        <w:t>第</w:t>
      </w:r>
      <w:r>
        <w:rPr>
          <w:rStyle w:val="31"/>
          <w:rFonts w:hint="default" w:ascii="Times New Roman" w:hAnsi="Times New Roman" w:eastAsia="黑体" w:cs="Times New Roman"/>
          <w:b w:val="0"/>
        </w:rPr>
        <w:t>五部分 附表</w:t>
      </w:r>
      <w:bookmarkEnd w:id="47"/>
      <w:bookmarkEnd w:id="49"/>
      <w:bookmarkStart w:id="50" w:name="_Toc15396619"/>
    </w:p>
    <w:p w14:paraId="06E25427">
      <w:pPr>
        <w:pStyle w:val="4"/>
        <w:rPr>
          <w:rFonts w:hint="default" w:ascii="Times New Roman" w:hAnsi="Times New Roman" w:eastAsia="仿宋" w:cs="Times New Roman"/>
        </w:rPr>
      </w:pPr>
      <w:r>
        <w:rPr>
          <w:rFonts w:hint="default" w:ascii="Times New Roman" w:hAnsi="Times New Roman" w:eastAsia="仿宋" w:cs="Times New Roman"/>
          <w:b w:val="0"/>
        </w:rPr>
        <w:t>一、收</w:t>
      </w:r>
      <w:r>
        <w:rPr>
          <w:rStyle w:val="32"/>
          <w:rFonts w:hint="default" w:ascii="Times New Roman" w:hAnsi="Times New Roman" w:eastAsia="仿宋" w:cs="Times New Roman"/>
          <w:b w:val="0"/>
          <w:bCs w:val="0"/>
        </w:rPr>
        <w:t>入支出决算总表</w:t>
      </w:r>
      <w:bookmarkEnd w:id="50"/>
    </w:p>
    <w:p w14:paraId="51356E68">
      <w:pPr>
        <w:pStyle w:val="4"/>
        <w:rPr>
          <w:rFonts w:hint="default" w:ascii="Times New Roman" w:hAnsi="Times New Roman" w:eastAsia="仿宋" w:cs="Times New Roman"/>
        </w:rPr>
      </w:pPr>
      <w:bookmarkStart w:id="51" w:name="_Toc15396620"/>
      <w:r>
        <w:rPr>
          <w:rFonts w:hint="default" w:ascii="Times New Roman" w:hAnsi="Times New Roman" w:eastAsia="仿宋" w:cs="Times New Roman"/>
          <w:b w:val="0"/>
        </w:rPr>
        <w:t>二、收</w:t>
      </w:r>
      <w:r>
        <w:rPr>
          <w:rStyle w:val="32"/>
          <w:rFonts w:hint="default" w:ascii="Times New Roman" w:hAnsi="Times New Roman" w:eastAsia="仿宋" w:cs="Times New Roman"/>
          <w:b w:val="0"/>
          <w:bCs w:val="0"/>
        </w:rPr>
        <w:t>入决算表</w:t>
      </w:r>
      <w:bookmarkEnd w:id="51"/>
    </w:p>
    <w:p w14:paraId="3E879232">
      <w:pPr>
        <w:pStyle w:val="4"/>
        <w:rPr>
          <w:rFonts w:hint="default" w:ascii="Times New Roman" w:hAnsi="Times New Roman" w:eastAsia="仿宋" w:cs="Times New Roman"/>
        </w:rPr>
      </w:pPr>
      <w:bookmarkStart w:id="52" w:name="_Toc15396621"/>
      <w:r>
        <w:rPr>
          <w:rStyle w:val="32"/>
          <w:rFonts w:hint="default" w:ascii="Times New Roman" w:hAnsi="Times New Roman" w:eastAsia="仿宋" w:cs="Times New Roman"/>
          <w:b w:val="0"/>
          <w:bCs w:val="0"/>
        </w:rPr>
        <w:t>三、</w:t>
      </w:r>
      <w:r>
        <w:rPr>
          <w:rFonts w:hint="default" w:ascii="Times New Roman" w:hAnsi="Times New Roman" w:eastAsia="仿宋" w:cs="Times New Roman"/>
          <w:b w:val="0"/>
        </w:rPr>
        <w:t>支</w:t>
      </w:r>
      <w:r>
        <w:rPr>
          <w:rStyle w:val="32"/>
          <w:rFonts w:hint="default" w:ascii="Times New Roman" w:hAnsi="Times New Roman" w:eastAsia="仿宋" w:cs="Times New Roman"/>
          <w:b w:val="0"/>
          <w:bCs w:val="0"/>
        </w:rPr>
        <w:t>出决算表</w:t>
      </w:r>
      <w:bookmarkEnd w:id="52"/>
    </w:p>
    <w:p w14:paraId="497B27CC">
      <w:pPr>
        <w:pStyle w:val="4"/>
        <w:rPr>
          <w:rFonts w:hint="default" w:ascii="Times New Roman" w:hAnsi="Times New Roman" w:eastAsia="仿宋" w:cs="Times New Roman"/>
          <w:b w:val="0"/>
        </w:rPr>
      </w:pPr>
      <w:bookmarkStart w:id="53" w:name="_Toc15396622"/>
      <w:r>
        <w:rPr>
          <w:rStyle w:val="32"/>
          <w:rFonts w:hint="default" w:ascii="Times New Roman" w:hAnsi="Times New Roman" w:eastAsia="仿宋" w:cs="Times New Roman"/>
          <w:b w:val="0"/>
          <w:bCs w:val="0"/>
        </w:rPr>
        <w:t>四、</w:t>
      </w:r>
      <w:r>
        <w:rPr>
          <w:rFonts w:hint="default" w:ascii="Times New Roman" w:hAnsi="Times New Roman" w:eastAsia="仿宋" w:cs="Times New Roman"/>
          <w:b w:val="0"/>
        </w:rPr>
        <w:t>财</w:t>
      </w:r>
      <w:r>
        <w:rPr>
          <w:rStyle w:val="32"/>
          <w:rFonts w:hint="default" w:ascii="Times New Roman" w:hAnsi="Times New Roman" w:eastAsia="仿宋" w:cs="Times New Roman"/>
          <w:b w:val="0"/>
          <w:bCs w:val="0"/>
        </w:rPr>
        <w:t>政拨款收入支出决算总表</w:t>
      </w:r>
      <w:bookmarkEnd w:id="53"/>
    </w:p>
    <w:p w14:paraId="5CE3D500">
      <w:pPr>
        <w:pStyle w:val="4"/>
        <w:rPr>
          <w:rStyle w:val="32"/>
          <w:rFonts w:hint="default" w:ascii="Times New Roman" w:hAnsi="Times New Roman" w:eastAsia="仿宋" w:cs="Times New Roman"/>
          <w:b w:val="0"/>
          <w:bCs w:val="0"/>
        </w:rPr>
      </w:pPr>
      <w:bookmarkStart w:id="54" w:name="_Toc15396623"/>
      <w:r>
        <w:rPr>
          <w:rStyle w:val="32"/>
          <w:rFonts w:hint="default" w:ascii="Times New Roman" w:hAnsi="Times New Roman" w:eastAsia="仿宋" w:cs="Times New Roman"/>
          <w:b w:val="0"/>
          <w:bCs w:val="0"/>
        </w:rPr>
        <w:t>五、</w:t>
      </w:r>
      <w:r>
        <w:rPr>
          <w:rFonts w:hint="default" w:ascii="Times New Roman" w:hAnsi="Times New Roman" w:eastAsia="仿宋" w:cs="Times New Roman"/>
          <w:b w:val="0"/>
        </w:rPr>
        <w:t>财</w:t>
      </w:r>
      <w:r>
        <w:rPr>
          <w:rStyle w:val="32"/>
          <w:rFonts w:hint="default" w:ascii="Times New Roman" w:hAnsi="Times New Roman" w:eastAsia="仿宋" w:cs="Times New Roman"/>
          <w:b w:val="0"/>
          <w:bCs w:val="0"/>
        </w:rPr>
        <w:t>政拨款支出决算明细表</w:t>
      </w:r>
      <w:bookmarkEnd w:id="54"/>
      <w:bookmarkStart w:id="55" w:name="_Toc15396624"/>
    </w:p>
    <w:p w14:paraId="602BA7EB">
      <w:pPr>
        <w:pStyle w:val="4"/>
        <w:rPr>
          <w:rFonts w:hint="default" w:ascii="Times New Roman" w:hAnsi="Times New Roman" w:eastAsia="仿宋" w:cs="Times New Roman"/>
        </w:rPr>
      </w:pPr>
      <w:r>
        <w:rPr>
          <w:rStyle w:val="32"/>
          <w:rFonts w:hint="default" w:ascii="Times New Roman" w:hAnsi="Times New Roman" w:eastAsia="仿宋" w:cs="Times New Roman"/>
          <w:b w:val="0"/>
          <w:bCs w:val="0"/>
        </w:rPr>
        <w:t>六、</w:t>
      </w:r>
      <w:r>
        <w:rPr>
          <w:rFonts w:hint="default" w:ascii="Times New Roman" w:hAnsi="Times New Roman" w:eastAsia="仿宋" w:cs="Times New Roman"/>
          <w:b w:val="0"/>
        </w:rPr>
        <w:t>一</w:t>
      </w:r>
      <w:r>
        <w:rPr>
          <w:rStyle w:val="32"/>
          <w:rFonts w:hint="default" w:ascii="Times New Roman" w:hAnsi="Times New Roman" w:eastAsia="仿宋" w:cs="Times New Roman"/>
          <w:b w:val="0"/>
          <w:bCs w:val="0"/>
        </w:rPr>
        <w:t>般公共预算财政拨款支出决算表</w:t>
      </w:r>
      <w:bookmarkEnd w:id="55"/>
    </w:p>
    <w:p w14:paraId="23A28CE6">
      <w:pPr>
        <w:pStyle w:val="4"/>
        <w:rPr>
          <w:rFonts w:hint="default" w:ascii="Times New Roman" w:hAnsi="Times New Roman" w:eastAsia="仿宋" w:cs="Times New Roman"/>
        </w:rPr>
      </w:pPr>
      <w:bookmarkStart w:id="56" w:name="_Toc15396625"/>
      <w:r>
        <w:rPr>
          <w:rStyle w:val="32"/>
          <w:rFonts w:hint="default" w:ascii="Times New Roman" w:hAnsi="Times New Roman" w:eastAsia="仿宋" w:cs="Times New Roman"/>
          <w:b w:val="0"/>
          <w:bCs w:val="0"/>
        </w:rPr>
        <w:t>七、</w:t>
      </w:r>
      <w:r>
        <w:rPr>
          <w:rFonts w:hint="default" w:ascii="Times New Roman" w:hAnsi="Times New Roman" w:eastAsia="仿宋" w:cs="Times New Roman"/>
          <w:b w:val="0"/>
        </w:rPr>
        <w:t>一</w:t>
      </w:r>
      <w:r>
        <w:rPr>
          <w:rStyle w:val="32"/>
          <w:rFonts w:hint="default" w:ascii="Times New Roman" w:hAnsi="Times New Roman" w:eastAsia="仿宋" w:cs="Times New Roman"/>
          <w:b w:val="0"/>
          <w:bCs w:val="0"/>
        </w:rPr>
        <w:t>般公共预算财政拨款支出决算明细表</w:t>
      </w:r>
      <w:bookmarkEnd w:id="56"/>
    </w:p>
    <w:p w14:paraId="76DBB518">
      <w:pPr>
        <w:pStyle w:val="4"/>
        <w:rPr>
          <w:rFonts w:hint="default" w:ascii="Times New Roman" w:hAnsi="Times New Roman" w:eastAsia="仿宋" w:cs="Times New Roman"/>
        </w:rPr>
      </w:pPr>
      <w:bookmarkStart w:id="57" w:name="_Toc15396626"/>
      <w:r>
        <w:rPr>
          <w:rStyle w:val="32"/>
          <w:rFonts w:hint="default" w:ascii="Times New Roman" w:hAnsi="Times New Roman" w:eastAsia="仿宋" w:cs="Times New Roman"/>
          <w:b w:val="0"/>
          <w:bCs w:val="0"/>
        </w:rPr>
        <w:t>八、</w:t>
      </w:r>
      <w:r>
        <w:rPr>
          <w:rFonts w:hint="default" w:ascii="Times New Roman" w:hAnsi="Times New Roman" w:eastAsia="仿宋" w:cs="Times New Roman"/>
          <w:b w:val="0"/>
        </w:rPr>
        <w:t>一</w:t>
      </w:r>
      <w:r>
        <w:rPr>
          <w:rStyle w:val="32"/>
          <w:rFonts w:hint="default" w:ascii="Times New Roman" w:hAnsi="Times New Roman" w:eastAsia="仿宋" w:cs="Times New Roman"/>
          <w:b w:val="0"/>
          <w:bCs w:val="0"/>
        </w:rPr>
        <w:t>般公共预算财政拨款基本支出决算表</w:t>
      </w:r>
      <w:bookmarkEnd w:id="57"/>
    </w:p>
    <w:p w14:paraId="5AA40869">
      <w:pPr>
        <w:pStyle w:val="4"/>
        <w:rPr>
          <w:rFonts w:hint="default" w:ascii="Times New Roman" w:hAnsi="Times New Roman" w:eastAsia="仿宋" w:cs="Times New Roman"/>
        </w:rPr>
      </w:pPr>
      <w:bookmarkStart w:id="58" w:name="_Toc15396627"/>
      <w:r>
        <w:rPr>
          <w:rStyle w:val="32"/>
          <w:rFonts w:hint="default" w:ascii="Times New Roman" w:hAnsi="Times New Roman" w:eastAsia="仿宋" w:cs="Times New Roman"/>
          <w:b w:val="0"/>
          <w:bCs w:val="0"/>
        </w:rPr>
        <w:t>九、</w:t>
      </w:r>
      <w:r>
        <w:rPr>
          <w:rFonts w:hint="default" w:ascii="Times New Roman" w:hAnsi="Times New Roman" w:eastAsia="仿宋" w:cs="Times New Roman"/>
          <w:b w:val="0"/>
        </w:rPr>
        <w:t>一</w:t>
      </w:r>
      <w:r>
        <w:rPr>
          <w:rStyle w:val="32"/>
          <w:rFonts w:hint="default" w:ascii="Times New Roman" w:hAnsi="Times New Roman" w:eastAsia="仿宋" w:cs="Times New Roman"/>
          <w:b w:val="0"/>
          <w:bCs w:val="0"/>
        </w:rPr>
        <w:t>般公共预算财政拨款项目支出决算表</w:t>
      </w:r>
      <w:bookmarkEnd w:id="58"/>
    </w:p>
    <w:p w14:paraId="42B51A25">
      <w:pPr>
        <w:pStyle w:val="4"/>
        <w:rPr>
          <w:rFonts w:hint="default" w:ascii="Times New Roman" w:hAnsi="Times New Roman" w:eastAsia="仿宋" w:cs="Times New Roman"/>
        </w:rPr>
      </w:pPr>
      <w:bookmarkStart w:id="59" w:name="_Toc15396628"/>
      <w:r>
        <w:rPr>
          <w:rStyle w:val="32"/>
          <w:rFonts w:hint="default" w:ascii="Times New Roman" w:hAnsi="Times New Roman" w:eastAsia="仿宋" w:cs="Times New Roman"/>
          <w:b w:val="0"/>
          <w:bCs w:val="0"/>
        </w:rPr>
        <w:t>十、</w:t>
      </w:r>
      <w:bookmarkEnd w:id="59"/>
      <w:r>
        <w:rPr>
          <w:rFonts w:hint="default" w:ascii="Times New Roman" w:hAnsi="Times New Roman" w:eastAsia="仿宋" w:cs="Times New Roman"/>
          <w:b w:val="0"/>
        </w:rPr>
        <w:t>政</w:t>
      </w:r>
      <w:r>
        <w:rPr>
          <w:rStyle w:val="32"/>
          <w:rFonts w:hint="default" w:ascii="Times New Roman" w:hAnsi="Times New Roman" w:eastAsia="仿宋" w:cs="Times New Roman"/>
          <w:b w:val="0"/>
          <w:bCs w:val="0"/>
        </w:rPr>
        <w:t>府性基金预算财政拨款收入支出决算表</w:t>
      </w:r>
    </w:p>
    <w:p w14:paraId="203EF180">
      <w:pPr>
        <w:pStyle w:val="4"/>
        <w:rPr>
          <w:rFonts w:hint="default" w:ascii="Times New Roman" w:hAnsi="Times New Roman" w:eastAsia="仿宋" w:cs="Times New Roman"/>
        </w:rPr>
      </w:pPr>
      <w:bookmarkStart w:id="60" w:name="_Toc15396629"/>
      <w:r>
        <w:rPr>
          <w:rStyle w:val="32"/>
          <w:rFonts w:hint="default" w:ascii="Times New Roman" w:hAnsi="Times New Roman" w:eastAsia="仿宋" w:cs="Times New Roman"/>
          <w:b w:val="0"/>
          <w:bCs w:val="0"/>
        </w:rPr>
        <w:t>十一、</w:t>
      </w:r>
      <w:bookmarkEnd w:id="60"/>
      <w:r>
        <w:rPr>
          <w:rFonts w:hint="default" w:ascii="Times New Roman" w:hAnsi="Times New Roman" w:eastAsia="仿宋" w:cs="Times New Roman"/>
          <w:b w:val="0"/>
        </w:rPr>
        <w:t>国</w:t>
      </w:r>
      <w:r>
        <w:rPr>
          <w:rStyle w:val="32"/>
          <w:rFonts w:hint="default" w:ascii="Times New Roman" w:hAnsi="Times New Roman" w:eastAsia="仿宋" w:cs="Times New Roman"/>
          <w:b w:val="0"/>
          <w:bCs w:val="0"/>
        </w:rPr>
        <w:t>有资本经营预算财政拨款收入支出决算表</w:t>
      </w:r>
    </w:p>
    <w:p w14:paraId="5E9F7EE6">
      <w:pPr>
        <w:pStyle w:val="4"/>
        <w:rPr>
          <w:rFonts w:hint="default" w:ascii="Times New Roman" w:hAnsi="Times New Roman" w:eastAsia="仿宋" w:cs="Times New Roman"/>
        </w:rPr>
      </w:pPr>
      <w:bookmarkStart w:id="61" w:name="_Toc15396630"/>
      <w:r>
        <w:rPr>
          <w:rStyle w:val="32"/>
          <w:rFonts w:hint="default" w:ascii="Times New Roman" w:hAnsi="Times New Roman" w:eastAsia="仿宋" w:cs="Times New Roman"/>
          <w:b w:val="0"/>
          <w:bCs w:val="0"/>
        </w:rPr>
        <w:t>十二、</w:t>
      </w:r>
      <w:bookmarkEnd w:id="61"/>
      <w:r>
        <w:rPr>
          <w:rStyle w:val="32"/>
          <w:rFonts w:hint="default" w:ascii="Times New Roman" w:hAnsi="Times New Roman" w:eastAsia="仿宋" w:cs="Times New Roman"/>
          <w:b w:val="0"/>
          <w:bCs w:val="0"/>
        </w:rPr>
        <w:t>国有资本经营预算财政拨款支出决算表</w:t>
      </w:r>
    </w:p>
    <w:p w14:paraId="5DCB10C7">
      <w:pPr>
        <w:pStyle w:val="4"/>
        <w:rPr>
          <w:rFonts w:hint="default" w:ascii="Times New Roman" w:hAnsi="Times New Roman" w:eastAsia="仿宋" w:cs="Times New Roman"/>
        </w:rPr>
      </w:pPr>
      <w:bookmarkStart w:id="62" w:name="_Toc15396631"/>
      <w:r>
        <w:rPr>
          <w:rStyle w:val="32"/>
          <w:rFonts w:hint="default" w:ascii="Times New Roman" w:hAnsi="Times New Roman" w:eastAsia="仿宋" w:cs="Times New Roman"/>
          <w:b w:val="0"/>
          <w:bCs w:val="0"/>
        </w:rPr>
        <w:t>十三、</w:t>
      </w:r>
      <w:bookmarkEnd w:id="62"/>
      <w:r>
        <w:rPr>
          <w:rStyle w:val="32"/>
          <w:rFonts w:hint="default" w:ascii="Times New Roman" w:hAnsi="Times New Roman" w:eastAsia="仿宋" w:cs="Times New Roman"/>
          <w:b w:val="0"/>
          <w:bCs w:val="0"/>
        </w:rPr>
        <w:t>财政拨款“三公”经费支出决算表</w:t>
      </w:r>
    </w:p>
    <w:sectPr>
      <w:headerReference r:id="rId3" w:type="default"/>
      <w:footerReference r:id="rId4" w:type="default"/>
      <w:pgSz w:w="11906" w:h="16838"/>
      <w:pgMar w:top="2098" w:right="1474" w:bottom="1984" w:left="1587" w:header="851" w:footer="992" w:gutter="0"/>
      <w:pgNumType w:start="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1AF9DC15">
        <w:pPr>
          <w:pStyle w:val="9"/>
          <w:jc w:val="center"/>
        </w:pPr>
        <w:r>
          <w:fldChar w:fldCharType="begin"/>
        </w:r>
        <w:r>
          <w:instrText xml:space="preserve">PAGE   \* MERGEFORMAT</w:instrText>
        </w:r>
        <w:r>
          <w:fldChar w:fldCharType="separate"/>
        </w:r>
        <w:r>
          <w:rPr>
            <w:lang w:val="zh-CN"/>
          </w:rPr>
          <w:t>53</w:t>
        </w:r>
        <w:r>
          <w:rPr>
            <w:lang w:val="zh-CN"/>
          </w:rPr>
          <w:fldChar w:fldCharType="end"/>
        </w:r>
      </w:p>
    </w:sdtContent>
  </w:sdt>
  <w:p w14:paraId="5605E470">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38A2F">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mirrorMargin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JiYmQwZWRkM2Y5NDNiNDY1ZTFiYWQxMWYzNjkyYTcifQ=="/>
  </w:docVars>
  <w:rsids>
    <w:rsidRoot w:val="00F1361C"/>
    <w:rsid w:val="000222C6"/>
    <w:rsid w:val="0002549F"/>
    <w:rsid w:val="000411AE"/>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15653"/>
    <w:rsid w:val="00134C6D"/>
    <w:rsid w:val="00136D0C"/>
    <w:rsid w:val="00142216"/>
    <w:rsid w:val="00144D6A"/>
    <w:rsid w:val="0014729F"/>
    <w:rsid w:val="00157BAB"/>
    <w:rsid w:val="001654D1"/>
    <w:rsid w:val="00174518"/>
    <w:rsid w:val="0018106D"/>
    <w:rsid w:val="001877A7"/>
    <w:rsid w:val="00191536"/>
    <w:rsid w:val="00196687"/>
    <w:rsid w:val="001C0962"/>
    <w:rsid w:val="001D7531"/>
    <w:rsid w:val="001E2FF1"/>
    <w:rsid w:val="001E737D"/>
    <w:rsid w:val="001F0592"/>
    <w:rsid w:val="001F7506"/>
    <w:rsid w:val="002006CD"/>
    <w:rsid w:val="00202B36"/>
    <w:rsid w:val="00204B7A"/>
    <w:rsid w:val="00204CDE"/>
    <w:rsid w:val="0021101A"/>
    <w:rsid w:val="00217081"/>
    <w:rsid w:val="00220536"/>
    <w:rsid w:val="00235629"/>
    <w:rsid w:val="00247B82"/>
    <w:rsid w:val="00260C38"/>
    <w:rsid w:val="002616C0"/>
    <w:rsid w:val="00265372"/>
    <w:rsid w:val="002662AA"/>
    <w:rsid w:val="00280496"/>
    <w:rsid w:val="00294DC9"/>
    <w:rsid w:val="00295495"/>
    <w:rsid w:val="002A20A9"/>
    <w:rsid w:val="002A31DE"/>
    <w:rsid w:val="002B2613"/>
    <w:rsid w:val="002D6D05"/>
    <w:rsid w:val="002F1818"/>
    <w:rsid w:val="002F538A"/>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F2D45"/>
    <w:rsid w:val="00406254"/>
    <w:rsid w:val="004160D2"/>
    <w:rsid w:val="004223DE"/>
    <w:rsid w:val="00434489"/>
    <w:rsid w:val="00437085"/>
    <w:rsid w:val="00443880"/>
    <w:rsid w:val="004464F4"/>
    <w:rsid w:val="00446E63"/>
    <w:rsid w:val="00467094"/>
    <w:rsid w:val="00471401"/>
    <w:rsid w:val="00473F31"/>
    <w:rsid w:val="0048263A"/>
    <w:rsid w:val="00487E5D"/>
    <w:rsid w:val="004A711F"/>
    <w:rsid w:val="004B199D"/>
    <w:rsid w:val="004B4690"/>
    <w:rsid w:val="004E0A2D"/>
    <w:rsid w:val="004E206B"/>
    <w:rsid w:val="004E60E1"/>
    <w:rsid w:val="004E6DF7"/>
    <w:rsid w:val="004F0FBD"/>
    <w:rsid w:val="00505A47"/>
    <w:rsid w:val="00512FDA"/>
    <w:rsid w:val="00520DA0"/>
    <w:rsid w:val="00525E15"/>
    <w:rsid w:val="005664BB"/>
    <w:rsid w:val="00566FFA"/>
    <w:rsid w:val="00572431"/>
    <w:rsid w:val="0057481D"/>
    <w:rsid w:val="0058486E"/>
    <w:rsid w:val="00585B33"/>
    <w:rsid w:val="0059014D"/>
    <w:rsid w:val="005B5C64"/>
    <w:rsid w:val="005B67C6"/>
    <w:rsid w:val="005C5337"/>
    <w:rsid w:val="005C6BD0"/>
    <w:rsid w:val="005D1C8B"/>
    <w:rsid w:val="005D468D"/>
    <w:rsid w:val="005D5CED"/>
    <w:rsid w:val="005D7D8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280B"/>
    <w:rsid w:val="006748A4"/>
    <w:rsid w:val="00681A31"/>
    <w:rsid w:val="00683E73"/>
    <w:rsid w:val="006960DF"/>
    <w:rsid w:val="006A3141"/>
    <w:rsid w:val="006A5E34"/>
    <w:rsid w:val="006B2422"/>
    <w:rsid w:val="006B2B9A"/>
    <w:rsid w:val="006C1937"/>
    <w:rsid w:val="006D44F9"/>
    <w:rsid w:val="006E00B1"/>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E78D9"/>
    <w:rsid w:val="007F101D"/>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948DA"/>
    <w:rsid w:val="008B768C"/>
    <w:rsid w:val="008C4DB1"/>
    <w:rsid w:val="008C4EAF"/>
    <w:rsid w:val="008C5176"/>
    <w:rsid w:val="008C7FD0"/>
    <w:rsid w:val="008E1DE7"/>
    <w:rsid w:val="008E6C40"/>
    <w:rsid w:val="008E707C"/>
    <w:rsid w:val="008F6A9C"/>
    <w:rsid w:val="00900B08"/>
    <w:rsid w:val="00902155"/>
    <w:rsid w:val="00902FA3"/>
    <w:rsid w:val="00923564"/>
    <w:rsid w:val="0092392E"/>
    <w:rsid w:val="009315F9"/>
    <w:rsid w:val="00933499"/>
    <w:rsid w:val="00935C98"/>
    <w:rsid w:val="00943DCE"/>
    <w:rsid w:val="00946945"/>
    <w:rsid w:val="00951248"/>
    <w:rsid w:val="0095152F"/>
    <w:rsid w:val="00954C49"/>
    <w:rsid w:val="00955E37"/>
    <w:rsid w:val="0097099F"/>
    <w:rsid w:val="00971997"/>
    <w:rsid w:val="00971FFC"/>
    <w:rsid w:val="0098660A"/>
    <w:rsid w:val="009931C3"/>
    <w:rsid w:val="009B2C43"/>
    <w:rsid w:val="009B4EAE"/>
    <w:rsid w:val="009B7573"/>
    <w:rsid w:val="009C1825"/>
    <w:rsid w:val="009C22F4"/>
    <w:rsid w:val="009C2A4B"/>
    <w:rsid w:val="009C2E98"/>
    <w:rsid w:val="009D3447"/>
    <w:rsid w:val="009D4711"/>
    <w:rsid w:val="009E4DB6"/>
    <w:rsid w:val="009F1185"/>
    <w:rsid w:val="009F18CD"/>
    <w:rsid w:val="009F2A13"/>
    <w:rsid w:val="009F5540"/>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393D"/>
    <w:rsid w:val="00AB64C9"/>
    <w:rsid w:val="00AC00E6"/>
    <w:rsid w:val="00AC3C6A"/>
    <w:rsid w:val="00AD5620"/>
    <w:rsid w:val="00AD656B"/>
    <w:rsid w:val="00AD7C1B"/>
    <w:rsid w:val="00AE16BA"/>
    <w:rsid w:val="00AE1EBE"/>
    <w:rsid w:val="00AF0A50"/>
    <w:rsid w:val="00B03C9D"/>
    <w:rsid w:val="00B060AE"/>
    <w:rsid w:val="00B10517"/>
    <w:rsid w:val="00B14E76"/>
    <w:rsid w:val="00B161B8"/>
    <w:rsid w:val="00B2048C"/>
    <w:rsid w:val="00B310B9"/>
    <w:rsid w:val="00B35F3F"/>
    <w:rsid w:val="00B36CBB"/>
    <w:rsid w:val="00B413B7"/>
    <w:rsid w:val="00B425E0"/>
    <w:rsid w:val="00B440AA"/>
    <w:rsid w:val="00B44B70"/>
    <w:rsid w:val="00B53C56"/>
    <w:rsid w:val="00B57B01"/>
    <w:rsid w:val="00B57DAF"/>
    <w:rsid w:val="00B77EA6"/>
    <w:rsid w:val="00B81598"/>
    <w:rsid w:val="00B841F1"/>
    <w:rsid w:val="00B944D6"/>
    <w:rsid w:val="00BB4DF0"/>
    <w:rsid w:val="00BC289F"/>
    <w:rsid w:val="00BC2D50"/>
    <w:rsid w:val="00BC5361"/>
    <w:rsid w:val="00BC5460"/>
    <w:rsid w:val="00BC6B50"/>
    <w:rsid w:val="00BD0E25"/>
    <w:rsid w:val="00BD1205"/>
    <w:rsid w:val="00BF5BD6"/>
    <w:rsid w:val="00C03E31"/>
    <w:rsid w:val="00C33E72"/>
    <w:rsid w:val="00C354B2"/>
    <w:rsid w:val="00C35554"/>
    <w:rsid w:val="00C42709"/>
    <w:rsid w:val="00C52575"/>
    <w:rsid w:val="00C533CC"/>
    <w:rsid w:val="00C5751C"/>
    <w:rsid w:val="00C61BFC"/>
    <w:rsid w:val="00C62B85"/>
    <w:rsid w:val="00C65438"/>
    <w:rsid w:val="00C800F4"/>
    <w:rsid w:val="00C87FD8"/>
    <w:rsid w:val="00C91381"/>
    <w:rsid w:val="00C91CBB"/>
    <w:rsid w:val="00CB4E70"/>
    <w:rsid w:val="00CC09B6"/>
    <w:rsid w:val="00CC666F"/>
    <w:rsid w:val="00CC6BAC"/>
    <w:rsid w:val="00CD1E3F"/>
    <w:rsid w:val="00CE44F6"/>
    <w:rsid w:val="00CE49DA"/>
    <w:rsid w:val="00CE7B61"/>
    <w:rsid w:val="00D00095"/>
    <w:rsid w:val="00D114F0"/>
    <w:rsid w:val="00D14AE5"/>
    <w:rsid w:val="00D20620"/>
    <w:rsid w:val="00D254F7"/>
    <w:rsid w:val="00D26091"/>
    <w:rsid w:val="00D2685C"/>
    <w:rsid w:val="00D314B4"/>
    <w:rsid w:val="00D34E7C"/>
    <w:rsid w:val="00D34F17"/>
    <w:rsid w:val="00D35489"/>
    <w:rsid w:val="00D36AFE"/>
    <w:rsid w:val="00D51276"/>
    <w:rsid w:val="00D7035F"/>
    <w:rsid w:val="00D708FD"/>
    <w:rsid w:val="00DA634F"/>
    <w:rsid w:val="00DA65AC"/>
    <w:rsid w:val="00DB1913"/>
    <w:rsid w:val="00DC410D"/>
    <w:rsid w:val="00DC4B63"/>
    <w:rsid w:val="00DC5A81"/>
    <w:rsid w:val="00DC68CA"/>
    <w:rsid w:val="00DC7CBA"/>
    <w:rsid w:val="00DD73B7"/>
    <w:rsid w:val="00DF06E2"/>
    <w:rsid w:val="00DF28BC"/>
    <w:rsid w:val="00DF34B9"/>
    <w:rsid w:val="00E01053"/>
    <w:rsid w:val="00E07ACF"/>
    <w:rsid w:val="00E1655D"/>
    <w:rsid w:val="00E22135"/>
    <w:rsid w:val="00E331A1"/>
    <w:rsid w:val="00E33202"/>
    <w:rsid w:val="00E336A9"/>
    <w:rsid w:val="00E41745"/>
    <w:rsid w:val="00E42BB2"/>
    <w:rsid w:val="00E472B1"/>
    <w:rsid w:val="00E50624"/>
    <w:rsid w:val="00E5285B"/>
    <w:rsid w:val="00E568DF"/>
    <w:rsid w:val="00E64269"/>
    <w:rsid w:val="00E82267"/>
    <w:rsid w:val="00E853CE"/>
    <w:rsid w:val="00E867B6"/>
    <w:rsid w:val="00EA010F"/>
    <w:rsid w:val="00ED1B63"/>
    <w:rsid w:val="00ED3C1F"/>
    <w:rsid w:val="00ED4085"/>
    <w:rsid w:val="00ED420E"/>
    <w:rsid w:val="00ED6FBE"/>
    <w:rsid w:val="00EE2F57"/>
    <w:rsid w:val="00EF39C0"/>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7F6"/>
    <w:rsid w:val="00F84A94"/>
    <w:rsid w:val="00F87E96"/>
    <w:rsid w:val="00FA0D5B"/>
    <w:rsid w:val="00FA23E8"/>
    <w:rsid w:val="00FD3CC1"/>
    <w:rsid w:val="00FF1E02"/>
    <w:rsid w:val="00FF30B4"/>
    <w:rsid w:val="00FF7A62"/>
    <w:rsid w:val="015975B8"/>
    <w:rsid w:val="02143E91"/>
    <w:rsid w:val="04133956"/>
    <w:rsid w:val="05B213A0"/>
    <w:rsid w:val="066E0107"/>
    <w:rsid w:val="06AC5AAB"/>
    <w:rsid w:val="07996F6E"/>
    <w:rsid w:val="089D2DD4"/>
    <w:rsid w:val="09FC4E8C"/>
    <w:rsid w:val="0A2032A3"/>
    <w:rsid w:val="0F98263C"/>
    <w:rsid w:val="101860EC"/>
    <w:rsid w:val="10C055FF"/>
    <w:rsid w:val="118107EC"/>
    <w:rsid w:val="13333040"/>
    <w:rsid w:val="13D50BC4"/>
    <w:rsid w:val="160B1827"/>
    <w:rsid w:val="16BB723D"/>
    <w:rsid w:val="1BE8440E"/>
    <w:rsid w:val="1C13053F"/>
    <w:rsid w:val="1C4B1F9F"/>
    <w:rsid w:val="1D155CEE"/>
    <w:rsid w:val="1E353000"/>
    <w:rsid w:val="1EC7098C"/>
    <w:rsid w:val="1FF35744"/>
    <w:rsid w:val="20BC7CF3"/>
    <w:rsid w:val="23860B96"/>
    <w:rsid w:val="240371BF"/>
    <w:rsid w:val="24D941B0"/>
    <w:rsid w:val="28FD0864"/>
    <w:rsid w:val="298B48AF"/>
    <w:rsid w:val="29FD04D3"/>
    <w:rsid w:val="2B795EE5"/>
    <w:rsid w:val="2C8A61B5"/>
    <w:rsid w:val="2DF04E50"/>
    <w:rsid w:val="2E3654F5"/>
    <w:rsid w:val="2F040D46"/>
    <w:rsid w:val="2FF93EC6"/>
    <w:rsid w:val="30B6317B"/>
    <w:rsid w:val="30F009F7"/>
    <w:rsid w:val="319F7F4E"/>
    <w:rsid w:val="3304709D"/>
    <w:rsid w:val="33C323F3"/>
    <w:rsid w:val="36AA5135"/>
    <w:rsid w:val="37224DA6"/>
    <w:rsid w:val="376D39B2"/>
    <w:rsid w:val="37BA3B0D"/>
    <w:rsid w:val="37E16F03"/>
    <w:rsid w:val="38D469F0"/>
    <w:rsid w:val="391A2AB5"/>
    <w:rsid w:val="39AC7EA6"/>
    <w:rsid w:val="3B27120A"/>
    <w:rsid w:val="3D98207C"/>
    <w:rsid w:val="3E6B5B61"/>
    <w:rsid w:val="3E78745D"/>
    <w:rsid w:val="419516AC"/>
    <w:rsid w:val="44E268DA"/>
    <w:rsid w:val="49B06F76"/>
    <w:rsid w:val="4A627F82"/>
    <w:rsid w:val="4A8E4C24"/>
    <w:rsid w:val="4B0E749A"/>
    <w:rsid w:val="4B4A640F"/>
    <w:rsid w:val="4B4F25DA"/>
    <w:rsid w:val="4B6767A6"/>
    <w:rsid w:val="4BE068DB"/>
    <w:rsid w:val="4D577224"/>
    <w:rsid w:val="4EAB630A"/>
    <w:rsid w:val="4ECE2238"/>
    <w:rsid w:val="50D11F15"/>
    <w:rsid w:val="527252B8"/>
    <w:rsid w:val="53593A0D"/>
    <w:rsid w:val="537E6D0A"/>
    <w:rsid w:val="53D65FD1"/>
    <w:rsid w:val="5AF92295"/>
    <w:rsid w:val="5CD71FC4"/>
    <w:rsid w:val="5CFC5EBF"/>
    <w:rsid w:val="5DE242C9"/>
    <w:rsid w:val="615A0571"/>
    <w:rsid w:val="62E228E1"/>
    <w:rsid w:val="65D34124"/>
    <w:rsid w:val="684E5A28"/>
    <w:rsid w:val="695E1C9B"/>
    <w:rsid w:val="6AE93672"/>
    <w:rsid w:val="6C4A05C8"/>
    <w:rsid w:val="6CB17EC7"/>
    <w:rsid w:val="6D8276B5"/>
    <w:rsid w:val="6E3E356B"/>
    <w:rsid w:val="6E7E3605"/>
    <w:rsid w:val="6FF5CC65"/>
    <w:rsid w:val="715C0E4B"/>
    <w:rsid w:val="72734D90"/>
    <w:rsid w:val="730A31F9"/>
    <w:rsid w:val="73AD73D5"/>
    <w:rsid w:val="73B6EB34"/>
    <w:rsid w:val="73FF06AF"/>
    <w:rsid w:val="744731E5"/>
    <w:rsid w:val="76E3355F"/>
    <w:rsid w:val="778769C8"/>
    <w:rsid w:val="78CD124C"/>
    <w:rsid w:val="791F223E"/>
    <w:rsid w:val="797209CF"/>
    <w:rsid w:val="79EE5BA4"/>
    <w:rsid w:val="7A894339"/>
    <w:rsid w:val="7CEC0EE7"/>
    <w:rsid w:val="7E22762F"/>
    <w:rsid w:val="7EAF6F91"/>
    <w:rsid w:val="7EE51721"/>
    <w:rsid w:val="7EEF11D3"/>
    <w:rsid w:val="7FA30C79"/>
    <w:rsid w:val="7FB7269E"/>
    <w:rsid w:val="7FC96657"/>
    <w:rsid w:val="D8D6DB89"/>
    <w:rsid w:val="DB6F4CAB"/>
    <w:rsid w:val="DF6F978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5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9"/>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200"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4"/>
    <w:semiHidden/>
    <w:unhideWhenUsed/>
    <w:qFormat/>
    <w:uiPriority w:val="99"/>
    <w:rPr>
      <w:sz w:val="18"/>
      <w:szCs w:val="18"/>
    </w:rPr>
  </w:style>
  <w:style w:type="paragraph" w:styleId="9">
    <w:name w:val="footer"/>
    <w:basedOn w:val="1"/>
    <w:link w:val="27"/>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5"/>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paragraph" w:styleId="13">
    <w:name w:val="Normal (Web)"/>
    <w:basedOn w:val="1"/>
    <w:qFormat/>
    <w:uiPriority w:val="0"/>
    <w:pPr>
      <w:spacing w:before="100" w:beforeAutospacing="1" w:after="100" w:afterAutospacing="1"/>
      <w:jc w:val="left"/>
    </w:pPr>
    <w:rPr>
      <w:kern w:val="0"/>
      <w:sz w:val="24"/>
    </w:rPr>
  </w:style>
  <w:style w:type="paragraph" w:styleId="14">
    <w:name w:val="Body Text First Indent 2"/>
    <w:basedOn w:val="6"/>
    <w:unhideWhenUsed/>
    <w:qFormat/>
    <w:uiPriority w:val="99"/>
    <w:pPr>
      <w:ind w:firstLine="420" w:firstLineChars="200"/>
    </w:pPr>
  </w:style>
  <w:style w:type="character" w:styleId="17">
    <w:name w:val="Strong"/>
    <w:basedOn w:val="16"/>
    <w:qFormat/>
    <w:uiPriority w:val="99"/>
    <w:rPr>
      <w:b/>
    </w:rPr>
  </w:style>
  <w:style w:type="character" w:styleId="18">
    <w:name w:val="FollowedHyperlink"/>
    <w:basedOn w:val="16"/>
    <w:semiHidden/>
    <w:unhideWhenUsed/>
    <w:qFormat/>
    <w:uiPriority w:val="99"/>
    <w:rPr>
      <w:color w:val="954F72"/>
      <w:u w:val="single"/>
    </w:rPr>
  </w:style>
  <w:style w:type="character" w:styleId="19">
    <w:name w:val="Emphasis"/>
    <w:basedOn w:val="16"/>
    <w:qFormat/>
    <w:uiPriority w:val="20"/>
  </w:style>
  <w:style w:type="character" w:styleId="20">
    <w:name w:val="Hyperlink"/>
    <w:basedOn w:val="16"/>
    <w:unhideWhenUsed/>
    <w:qFormat/>
    <w:uiPriority w:val="99"/>
    <w:rPr>
      <w:color w:val="0000FF" w:themeColor="hyperlink"/>
      <w:u w:val="single"/>
    </w:rPr>
  </w:style>
  <w:style w:type="character" w:styleId="21">
    <w:name w:val="HTML Code"/>
    <w:basedOn w:val="16"/>
    <w:semiHidden/>
    <w:unhideWhenUsed/>
    <w:qFormat/>
    <w:uiPriority w:val="99"/>
    <w:rPr>
      <w:rFonts w:ascii="Courier New" w:hAnsi="Courier New"/>
      <w:sz w:val="20"/>
    </w:rPr>
  </w:style>
  <w:style w:type="paragraph" w:customStyle="1" w:styleId="22">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3">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4">
    <w:name w:val="Header Char"/>
    <w:basedOn w:val="16"/>
    <w:semiHidden/>
    <w:qFormat/>
    <w:uiPriority w:val="99"/>
    <w:rPr>
      <w:rFonts w:ascii="Times New Roman" w:hAnsi="Times New Roman"/>
      <w:sz w:val="18"/>
      <w:szCs w:val="18"/>
    </w:rPr>
  </w:style>
  <w:style w:type="character" w:customStyle="1" w:styleId="25">
    <w:name w:val="页眉 Char"/>
    <w:link w:val="10"/>
    <w:semiHidden/>
    <w:qFormat/>
    <w:locked/>
    <w:uiPriority w:val="99"/>
    <w:rPr>
      <w:sz w:val="18"/>
    </w:rPr>
  </w:style>
  <w:style w:type="character" w:customStyle="1" w:styleId="26">
    <w:name w:val="Footer Char"/>
    <w:basedOn w:val="16"/>
    <w:semiHidden/>
    <w:qFormat/>
    <w:uiPriority w:val="99"/>
    <w:rPr>
      <w:rFonts w:ascii="Times New Roman" w:hAnsi="Times New Roman"/>
      <w:sz w:val="18"/>
      <w:szCs w:val="18"/>
    </w:rPr>
  </w:style>
  <w:style w:type="character" w:customStyle="1" w:styleId="27">
    <w:name w:val="页脚 Char"/>
    <w:link w:val="9"/>
    <w:qFormat/>
    <w:locked/>
    <w:uiPriority w:val="99"/>
    <w:rPr>
      <w:sz w:val="18"/>
    </w:rPr>
  </w:style>
  <w:style w:type="character" w:customStyle="1" w:styleId="28">
    <w:name w:val="Body Text Char"/>
    <w:basedOn w:val="16"/>
    <w:semiHidden/>
    <w:qFormat/>
    <w:uiPriority w:val="99"/>
    <w:rPr>
      <w:rFonts w:ascii="Times New Roman" w:hAnsi="Times New Roman"/>
      <w:szCs w:val="24"/>
    </w:rPr>
  </w:style>
  <w:style w:type="character" w:customStyle="1" w:styleId="29">
    <w:name w:val="正文文本 Char"/>
    <w:link w:val="2"/>
    <w:qFormat/>
    <w:locked/>
    <w:uiPriority w:val="99"/>
    <w:rPr>
      <w:rFonts w:ascii="仿宋_GB2312" w:hAnsi="Times New Roman" w:eastAsia="仿宋_GB2312"/>
      <w:sz w:val="24"/>
    </w:rPr>
  </w:style>
  <w:style w:type="paragraph" w:styleId="30">
    <w:name w:val="List Paragraph"/>
    <w:basedOn w:val="1"/>
    <w:qFormat/>
    <w:uiPriority w:val="34"/>
    <w:pPr>
      <w:ind w:firstLine="420" w:firstLineChars="200"/>
    </w:pPr>
  </w:style>
  <w:style w:type="character" w:customStyle="1" w:styleId="31">
    <w:name w:val="标题 1 Char"/>
    <w:basedOn w:val="16"/>
    <w:link w:val="3"/>
    <w:qFormat/>
    <w:uiPriority w:val="9"/>
    <w:rPr>
      <w:rFonts w:ascii="Times New Roman" w:hAnsi="Times New Roman"/>
      <w:b/>
      <w:bCs/>
      <w:kern w:val="44"/>
      <w:sz w:val="44"/>
      <w:szCs w:val="44"/>
    </w:rPr>
  </w:style>
  <w:style w:type="character" w:customStyle="1" w:styleId="32">
    <w:name w:val="标题 2 字符"/>
    <w:basedOn w:val="16"/>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4">
    <w:name w:val="批注框文本 Char"/>
    <w:basedOn w:val="16"/>
    <w:link w:val="8"/>
    <w:semiHidden/>
    <w:qFormat/>
    <w:uiPriority w:val="99"/>
    <w:rPr>
      <w:rFonts w:ascii="Times New Roman" w:hAnsi="Times New Roman"/>
      <w:kern w:val="2"/>
      <w:sz w:val="18"/>
      <w:szCs w:val="18"/>
    </w:rPr>
  </w:style>
  <w:style w:type="character" w:customStyle="1" w:styleId="35">
    <w:name w:val="标题 3 Char"/>
    <w:basedOn w:val="16"/>
    <w:link w:val="5"/>
    <w:qFormat/>
    <w:uiPriority w:val="9"/>
    <w:rPr>
      <w:rFonts w:ascii="Times New Roman" w:hAnsi="Times New Roman"/>
      <w:b/>
      <w:bCs/>
      <w:kern w:val="2"/>
      <w:sz w:val="32"/>
      <w:szCs w:val="32"/>
    </w:rPr>
  </w:style>
  <w:style w:type="paragraph" w:customStyle="1" w:styleId="36">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7">
    <w:name w:val="四号正文"/>
    <w:basedOn w:val="1"/>
    <w:qFormat/>
    <w:uiPriority w:val="0"/>
    <w:pPr>
      <w:spacing w:line="360" w:lineRule="auto"/>
    </w:pPr>
    <w:rPr>
      <w:rFonts w:ascii="??" w:hAnsi="??"/>
      <w:color w:val="000000"/>
      <w:kern w:val="0"/>
      <w:sz w:val="28"/>
      <w:szCs w:val="21"/>
      <w:lang w:val="zh-CN"/>
    </w:rPr>
  </w:style>
  <w:style w:type="paragraph" w:customStyle="1" w:styleId="38">
    <w:name w:val="TOC 标题3"/>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66091" w:themeColor="accent1" w:themeShade="BF"/>
      <w:kern w:val="0"/>
      <w:sz w:val="32"/>
      <w:szCs w:val="32"/>
    </w:rPr>
  </w:style>
  <w:style w:type="paragraph" w:customStyle="1" w:styleId="39">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0">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41">
    <w:name w:val="xl6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kern w:val="0"/>
      <w:sz w:val="18"/>
      <w:szCs w:val="18"/>
    </w:rPr>
  </w:style>
  <w:style w:type="paragraph" w:customStyle="1" w:styleId="42">
    <w:name w:val="xl64"/>
    <w:basedOn w:val="1"/>
    <w:qFormat/>
    <w:uiPriority w:val="0"/>
    <w:pPr>
      <w:widowControl/>
      <w:spacing w:before="100" w:beforeAutospacing="1" w:after="100" w:afterAutospacing="1"/>
      <w:jc w:val="left"/>
    </w:pPr>
    <w:rPr>
      <w:rFonts w:ascii="Courier New" w:hAnsi="Courier New" w:cs="Courier New"/>
      <w:color w:val="000000"/>
      <w:kern w:val="0"/>
      <w:sz w:val="18"/>
      <w:szCs w:val="18"/>
    </w:rPr>
  </w:style>
  <w:style w:type="paragraph" w:customStyle="1" w:styleId="43">
    <w:name w:val="xl6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4">
    <w:name w:val="xl6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5">
    <w:name w:val="xl6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6">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微软雅黑" w:hAnsi="微软雅黑" w:eastAsia="微软雅黑" w:cs="宋体"/>
      <w:i/>
      <w:iCs/>
      <w:color w:val="000000"/>
      <w:kern w:val="0"/>
      <w:sz w:val="16"/>
      <w:szCs w:val="16"/>
    </w:rPr>
  </w:style>
  <w:style w:type="paragraph" w:customStyle="1" w:styleId="47">
    <w:name w:val="xl6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8">
    <w:name w:val="xl7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黑体" w:hAnsi="黑体" w:eastAsia="黑体" w:cs="宋体"/>
      <w:b/>
      <w:bCs/>
      <w:color w:val="000000"/>
      <w:kern w:val="0"/>
      <w:sz w:val="30"/>
      <w:szCs w:val="30"/>
    </w:rPr>
  </w:style>
  <w:style w:type="paragraph" w:customStyle="1" w:styleId="49">
    <w:name w:val="xl7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Courier New" w:hAnsi="Courier New" w:cs="Courier New"/>
      <w:color w:val="000000"/>
      <w:kern w:val="0"/>
      <w:sz w:val="18"/>
      <w:szCs w:val="18"/>
    </w:rPr>
  </w:style>
  <w:style w:type="paragraph" w:customStyle="1" w:styleId="50">
    <w:name w:val="xl7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color w:val="000000"/>
      <w:kern w:val="0"/>
      <w:sz w:val="18"/>
      <w:szCs w:val="18"/>
    </w:rPr>
  </w:style>
  <w:style w:type="paragraph" w:customStyle="1" w:styleId="51">
    <w:name w:val="xl7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i/>
      <w:iCs/>
      <w:color w:val="000000"/>
      <w:kern w:val="0"/>
      <w:sz w:val="18"/>
      <w:szCs w:val="18"/>
    </w:rPr>
  </w:style>
  <w:style w:type="paragraph" w:customStyle="1" w:styleId="52">
    <w:name w:val="xl7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微软雅黑" w:hAnsi="微软雅黑" w:eastAsia="微软雅黑" w:cs="宋体"/>
      <w:i/>
      <w:iCs/>
      <w:color w:val="000000"/>
      <w:kern w:val="0"/>
      <w:sz w:val="16"/>
      <w:szCs w:val="16"/>
    </w:rPr>
  </w:style>
  <w:style w:type="character" w:customStyle="1" w:styleId="53">
    <w:name w:val="标题 2 Char"/>
    <w:basedOn w:val="16"/>
    <w:link w:val="4"/>
    <w:qFormat/>
    <w:locked/>
    <w:uiPriority w:val="9"/>
    <w:rPr>
      <w:rFonts w:ascii="Cambria" w:hAnsi="Cambria" w:eastAsia="宋体" w:cs="Cambria"/>
      <w:b/>
      <w:bCs/>
      <w:kern w:val="2"/>
      <w:sz w:val="32"/>
      <w:szCs w:val="32"/>
    </w:rPr>
  </w:style>
  <w:style w:type="character" w:customStyle="1" w:styleId="54">
    <w:name w:val="fontstyle01"/>
    <w:basedOn w:val="16"/>
    <w:qFormat/>
    <w:uiPriority w:val="0"/>
    <w:rPr>
      <w:rFonts w:hint="eastAsia" w:ascii="仿宋_GB2312" w:eastAsia="仿宋_GB2312"/>
      <w:color w:val="000000"/>
      <w:sz w:val="32"/>
      <w:szCs w:val="32"/>
    </w:rPr>
  </w:style>
  <w:style w:type="character" w:customStyle="1" w:styleId="55">
    <w:name w:val="active1"/>
    <w:basedOn w:val="16"/>
    <w:qFormat/>
    <w:uiPriority w:val="0"/>
    <w:rPr>
      <w:color w:val="FFFFFF"/>
    </w:rPr>
  </w:style>
  <w:style w:type="character" w:customStyle="1" w:styleId="56">
    <w:name w:val="page_next"/>
    <w:basedOn w:val="16"/>
    <w:qFormat/>
    <w:uiPriority w:val="0"/>
  </w:style>
  <w:style w:type="character" w:customStyle="1" w:styleId="57">
    <w:name w:val="more"/>
    <w:basedOn w:val="16"/>
    <w:qFormat/>
    <w:uiPriority w:val="0"/>
    <w:rPr>
      <w:rFonts w:hint="eastAsia" w:ascii="宋体" w:hAnsi="宋体" w:eastAsia="宋体" w:cs="宋体"/>
      <w:sz w:val="10"/>
      <w:szCs w:val="10"/>
    </w:rPr>
  </w:style>
  <w:style w:type="character" w:customStyle="1" w:styleId="58">
    <w:name w:val="hover10"/>
    <w:basedOn w:val="16"/>
    <w:qFormat/>
    <w:uiPriority w:val="0"/>
    <w:rPr>
      <w:color w:val="FFFFFF"/>
    </w:rPr>
  </w:style>
  <w:style w:type="character" w:customStyle="1" w:styleId="59">
    <w:name w:val="page_prev"/>
    <w:basedOn w:val="16"/>
    <w:qFormat/>
    <w:uiPriority w:val="0"/>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G:\&#25919;&#21327;2022&#24180;&#20915;&#31639;&#25991;&#20214;\&#20915;&#31639;&#20844;&#24320;&#22270;&#3492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G:\&#25919;&#21327;2022&#24180;&#20915;&#31639;&#25991;&#20214;\&#20915;&#31639;&#20844;&#24320;&#22270;&#349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G:\&#25919;&#21327;2022&#24180;&#20915;&#31639;&#25991;&#20214;\&#20915;&#31639;&#20844;&#24320;&#22270;&#3492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G:\&#25919;&#21327;2022&#24180;&#20915;&#31639;&#25991;&#20214;\&#20915;&#31639;&#20844;&#24320;&#22270;&#34920;.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G:\&#25919;&#21327;2022&#24180;&#20915;&#31639;&#25991;&#20214;\&#20915;&#31639;&#20844;&#24320;&#22270;&#3492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G:\&#25919;&#21327;2022&#24180;&#20915;&#31639;&#25991;&#20214;\&#20915;&#31639;&#20844;&#24320;&#22270;&#34920;.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G:\&#25919;&#21327;2022&#24180;&#20915;&#31639;&#25991;&#20214;\&#20915;&#31639;&#20844;&#24320;&#22270;&#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rPr>
                <a:latin typeface="方正小标宋_GBK" panose="03000509000000000000" charset="-122"/>
                <a:ea typeface="方正小标宋_GBK" panose="03000509000000000000" charset="-122"/>
                <a:cs typeface="方正小标宋_GBK" panose="03000509000000000000" charset="-122"/>
              </a:rPr>
              <a:t>2021年与2022年收、支决算总计对比图</a:t>
            </a:r>
            <a:endParaRPr>
              <a:latin typeface="方正小标宋_GBK" panose="03000509000000000000" charset="-122"/>
              <a:ea typeface="方正小标宋_GBK" panose="03000509000000000000" charset="-122"/>
              <a:cs typeface="方正小标宋_GBK" panose="03000509000000000000" charset="-122"/>
            </a:endParaRPr>
          </a:p>
          <a:p>
            <a:pPr defTabSz="914400">
              <a:defRPr lang="zh-CN" sz="1400" b="1" i="0" u="none" strike="noStrike" kern="1200" baseline="0">
                <a:solidFill>
                  <a:schemeClr val="dk1">
                    <a:lumMod val="75000"/>
                    <a:lumOff val="25000"/>
                  </a:schemeClr>
                </a:solidFill>
                <a:latin typeface="+mn-lt"/>
                <a:ea typeface="+mn-ea"/>
                <a:cs typeface="+mn-cs"/>
              </a:defRPr>
            </a:pPr>
            <a:r>
              <a:rPr sz="1000">
                <a:latin typeface="仿宋_GB2312" panose="02010609030101010101" pitchFamily="3" charset="-122"/>
                <a:ea typeface="仿宋_GB2312" panose="02010609030101010101" pitchFamily="3" charset="-122"/>
              </a:rPr>
              <a:t>单位：万元</a:t>
            </a:r>
            <a:endParaRPr sz="1000">
              <a:latin typeface="仿宋_GB2312" panose="02010609030101010101" pitchFamily="3" charset="-122"/>
              <a:ea typeface="仿宋_GB2312" panose="02010609030101010101" pitchFamily="3" charset="-122"/>
            </a:endParaRPr>
          </a:p>
        </c:rich>
      </c:tx>
      <c:layout>
        <c:manualLayout>
          <c:xMode val="edge"/>
          <c:yMode val="edge"/>
          <c:x val="0.174210526315789"/>
          <c:y val="0.0608265424912689"/>
        </c:manualLayout>
      </c:layout>
      <c:overlay val="0"/>
      <c:spPr>
        <a:noFill/>
        <a:ln>
          <a:noFill/>
        </a:ln>
        <a:effectLst/>
      </c:spPr>
    </c:title>
    <c:autoTitleDeleted val="0"/>
    <c:plotArea>
      <c:layout>
        <c:manualLayout>
          <c:layoutTarget val="inner"/>
          <c:xMode val="edge"/>
          <c:yMode val="edge"/>
          <c:x val="0.0556730426517762"/>
          <c:y val="0.31008547008547"/>
          <c:w val="0.900130687893549"/>
          <c:h val="0.400820512820513"/>
        </c:manualLayout>
      </c:layout>
      <c:barChart>
        <c:barDir val="col"/>
        <c:grouping val="clustered"/>
        <c:varyColors val="0"/>
        <c:ser>
          <c:idx val="0"/>
          <c:order val="0"/>
          <c:spPr>
            <a:solidFill>
              <a:schemeClr val="accent1"/>
            </a:solidFill>
            <a:ln>
              <a:noFill/>
            </a:ln>
            <a:effectLst/>
          </c:spPr>
          <c:invertIfNegative val="0"/>
          <c:dLbls>
            <c:delete val="1"/>
          </c:dLbls>
          <c:cat>
            <c:strRef>
              <c:f>[决算公开图表.xlsx]Sheet1!$A$1:$A$3</c:f>
              <c:strCache>
                <c:ptCount val="3"/>
                <c:pt idx="0">
                  <c:v>
</c:v>
                </c:pt>
                <c:pt idx="1">
                  <c:v>2021年</c:v>
                </c:pt>
                <c:pt idx="2">
                  <c:v>2022年</c:v>
                </c:pt>
              </c:strCache>
            </c:strRef>
          </c:cat>
          <c:val>
            <c:numRef>
              <c:f>[决算公开图表.xlsx]Sheet1!$B$1:$B$3</c:f>
              <c:numCache>
                <c:formatCode>General</c:formatCode>
                <c:ptCount val="3"/>
                <c:pt idx="1">
                  <c:v>567.12</c:v>
                </c:pt>
                <c:pt idx="2">
                  <c:v>597.7</c:v>
                </c:pt>
              </c:numCache>
            </c:numRef>
          </c:val>
        </c:ser>
        <c:ser>
          <c:idx val="1"/>
          <c:order val="1"/>
          <c:spPr>
            <a:solidFill>
              <a:schemeClr val="accent2"/>
            </a:solidFill>
            <a:ln>
              <a:noFill/>
            </a:ln>
            <a:effectLst/>
          </c:spPr>
          <c:invertIfNegative val="0"/>
          <c:dLbls>
            <c:delete val="1"/>
          </c:dLbls>
          <c:val>
            <c:numRef>
              <c:f>{4.3,2.5,3.5,4.5}</c:f>
              <c:numCache>
                <c:formatCode>General</c:formatCode>
                <c:ptCount val="4"/>
                <c:pt idx="0">
                  <c:v>4.3</c:v>
                </c:pt>
                <c:pt idx="1">
                  <c:v>2.5</c:v>
                </c:pt>
                <c:pt idx="2">
                  <c:v>3.5</c:v>
                </c:pt>
                <c:pt idx="3">
                  <c:v>4.5</c:v>
                </c:pt>
              </c:numCache>
            </c:numRef>
          </c:val>
        </c:ser>
        <c:ser>
          <c:idx val="2"/>
          <c:order val="2"/>
          <c:spPr>
            <a:solidFill>
              <a:schemeClr val="accent3"/>
            </a:solidFill>
            <a:ln>
              <a:noFill/>
            </a:ln>
            <a:effectLst/>
          </c:spPr>
          <c:invertIfNegative val="0"/>
          <c:dLbls>
            <c:delete val="1"/>
          </c:dLbls>
          <c:val>
            <c:numRef>
              <c:f>{2.4,4.4,1.8,2.8}</c:f>
              <c:numCache>
                <c:formatCode>General</c:formatCode>
                <c:ptCount val="4"/>
                <c:pt idx="0">
                  <c:v>2.4</c:v>
                </c:pt>
                <c:pt idx="1">
                  <c:v>4.4</c:v>
                </c:pt>
                <c:pt idx="2">
                  <c:v>1.8</c:v>
                </c:pt>
                <c:pt idx="3">
                  <c:v>2.8</c:v>
                </c:pt>
              </c:numCache>
            </c:numRef>
          </c:val>
        </c:ser>
        <c:ser>
          <c:idx val="3"/>
          <c:order val="3"/>
          <c:spPr>
            <a:solidFill>
              <a:schemeClr val="accent4"/>
            </a:solidFill>
            <a:ln>
              <a:noFill/>
            </a:ln>
            <a:effectLst/>
          </c:spPr>
          <c:invertIfNegative val="0"/>
          <c:dLbls>
            <c:delete val="1"/>
          </c:dLbls>
          <c:val>
            <c:numRef>
              <c:f>{2,2,3,5}</c:f>
              <c:numCache>
                <c:formatCode>General</c:formatCode>
                <c:ptCount val="4"/>
                <c:pt idx="0">
                  <c:v>2</c:v>
                </c:pt>
                <c:pt idx="1">
                  <c:v>2</c:v>
                </c:pt>
                <c:pt idx="2">
                  <c:v>3</c:v>
                </c:pt>
                <c:pt idx="3">
                  <c:v>5</c:v>
                </c:pt>
              </c:numCache>
            </c:numRef>
          </c:val>
        </c:ser>
        <c:dLbls>
          <c:showLegendKey val="0"/>
          <c:showVal val="0"/>
          <c:showCatName val="0"/>
          <c:showSerName val="0"/>
          <c:showPercent val="0"/>
          <c:showBubbleSize val="0"/>
        </c:dLbls>
        <c:gapWidth val="246"/>
        <c:overlap val="-28"/>
        <c:axId val="128667008"/>
        <c:axId val="128685184"/>
      </c:barChart>
      <c:catAx>
        <c:axId val="12866700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8685184"/>
        <c:crosses val="autoZero"/>
        <c:auto val="1"/>
        <c:lblAlgn val="ctr"/>
        <c:lblOffset val="100"/>
        <c:noMultiLvlLbl val="0"/>
      </c:catAx>
      <c:valAx>
        <c:axId val="128685184"/>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8667008"/>
        <c:crosses val="autoZero"/>
        <c:crossBetween val="between"/>
      </c:valAx>
      <c:spPr>
        <a:noFill/>
        <a:ln>
          <a:noFill/>
        </a:ln>
        <a:effectLst/>
      </c:spPr>
    </c:plotArea>
    <c:plotVisOnly val="1"/>
    <c:dispBlanksAs val="gap"/>
    <c:showDLblsOverMax val="0"/>
    <c:extLst>
      <c:ext uri="{0b15fc19-7d7d-44ad-8c2d-2c3a37ce22c3}">
        <chartProps xmlns="https://web.wps.cn/et/2018/main" chartId="{47c903d8-b4b2-4979-82b7-b50447f613f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2022年收入决算结构图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2"/>
              <c:layout>
                <c:manualLayout>
                  <c:x val="-0.0376745713240685"/>
                  <c:y val="0.0278491979848166"/>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[决算公开图表.xlsx]Sheet1!$A$14:$A$17</c:f>
              <c:strCache>
                <c:ptCount val="4"/>
                <c:pt idx="1">
                  <c:v>一般公共预算财政拨款收入</c:v>
                </c:pt>
                <c:pt idx="2">
                  <c:v>政府性基金预算财政拨款收入</c:v>
                </c:pt>
                <c:pt idx="3">
                  <c:v>其他收入</c:v>
                </c:pt>
              </c:strCache>
            </c:strRef>
          </c:cat>
          <c:val>
            <c:numRef>
              <c:f>[决算公开图表.xlsx]Sheet1!$B$14:$B$17</c:f>
              <c:numCache>
                <c:formatCode>General</c:formatCode>
                <c:ptCount val="4"/>
                <c:pt idx="1" c:formatCode="0.00%">
                  <c:v>0.9263</c:v>
                </c:pt>
                <c:pt idx="2" c:formatCode="0.00%">
                  <c:v>0.0736</c:v>
                </c:pt>
                <c:pt idx="3" c:formatCode="0.00%">
                  <c:v>0.0001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0717763157894737"/>
          <c:y val="0.88289747743577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540f5753-f675-4e5b-a50a-5d823172c81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2022年支出决算结构图</a:t>
            </a:r>
          </a:p>
        </c:rich>
      </c:tx>
      <c:layout>
        <c:manualLayout>
          <c:xMode val="edge"/>
          <c:yMode val="edge"/>
          <c:x val="0.418947368421053"/>
          <c:y val="0.0234699103382564"/>
        </c:manualLayout>
      </c:layout>
      <c:overlay val="0"/>
      <c:spPr>
        <a:noFill/>
        <a:ln>
          <a:noFill/>
        </a:ln>
        <a:effectLst/>
      </c:spPr>
    </c:title>
    <c:autoTitleDeleted val="0"/>
    <c:plotArea>
      <c:layout>
        <c:manualLayout>
          <c:layoutTarget val="inner"/>
          <c:xMode val="edge"/>
          <c:yMode val="edge"/>
          <c:x val="0.324605263157895"/>
          <c:y val="0.163816604708798"/>
          <c:w val="0.341578947368421"/>
          <c:h val="0.643370508054523"/>
        </c:manualLayout>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[决算公开图表.xlsx]Sheet1!$A$23:$A$25</c:f>
              <c:strCache>
                <c:ptCount val="3"/>
                <c:pt idx="1">
                  <c:v>基本支出</c:v>
                </c:pt>
                <c:pt idx="2">
                  <c:v>项目支出</c:v>
                </c:pt>
              </c:strCache>
            </c:strRef>
          </c:cat>
          <c:val>
            <c:numRef>
              <c:f>[决算公开图表.xlsx]Sheet1!$B$23:$B$25</c:f>
              <c:numCache>
                <c:formatCode>General</c:formatCode>
                <c:ptCount val="3"/>
                <c:pt idx="1" c:formatCode="0.00%">
                  <c:v>0.9155</c:v>
                </c:pt>
                <c:pt idx="2" c:formatCode="0.00%">
                  <c:v>0.0845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317763157894737"/>
          <c:y val="0.91595276684417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e54da690-2581-43ec-9ac1-c7433e22bd9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rPr sz="1200">
                <a:latin typeface="方正小标宋_GBK" panose="03000509000000000000" charset="-122"/>
                <a:ea typeface="方正小标宋_GBK" panose="03000509000000000000" charset="-122"/>
                <a:cs typeface="方正小标宋_GBK" panose="03000509000000000000" charset="-122"/>
              </a:rPr>
              <a:t>2021年与2022年财政拨款收、支决算总计变动情况</a:t>
            </a:r>
            <a:endParaRPr sz="1200">
              <a:latin typeface="方正小标宋_GBK" panose="03000509000000000000" charset="-122"/>
              <a:ea typeface="方正小标宋_GBK" panose="03000509000000000000" charset="-122"/>
              <a:cs typeface="方正小标宋_GBK" panose="03000509000000000000" charset="-122"/>
            </a:endParaRPr>
          </a:p>
          <a:p>
            <a:pPr defTabSz="914400">
              <a:defRPr lang="zh-CN" sz="1400" b="1" i="0" u="none" strike="noStrike" kern="1200" baseline="0">
                <a:solidFill>
                  <a:schemeClr val="dk1">
                    <a:lumMod val="75000"/>
                    <a:lumOff val="25000"/>
                  </a:schemeClr>
                </a:solidFill>
                <a:latin typeface="+mn-lt"/>
                <a:ea typeface="+mn-ea"/>
                <a:cs typeface="+mn-cs"/>
              </a:defRPr>
            </a:pPr>
            <a:r>
              <a:rPr sz="1000">
                <a:latin typeface="仿宋_GB2312" panose="02010609030101010101" pitchFamily="3" charset="-122"/>
                <a:ea typeface="仿宋_GB2312" panose="02010609030101010101" pitchFamily="3" charset="-122"/>
              </a:rPr>
              <a:t>单位：万元</a:t>
            </a:r>
            <a:endParaRPr sz="1000">
              <a:latin typeface="仿宋_GB2312" panose="02010609030101010101" pitchFamily="3" charset="-122"/>
              <a:ea typeface="仿宋_GB2312" panose="02010609030101010101" pitchFamily="3" charset="-122"/>
            </a:endParaRPr>
          </a:p>
        </c:rich>
      </c:tx>
      <c:layout>
        <c:manualLayout>
          <c:xMode val="edge"/>
          <c:yMode val="edge"/>
          <c:x val="0.136447368421053"/>
          <c:y val="0.0447930166958908"/>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elete val="1"/>
          </c:dLbls>
          <c:cat>
            <c:strRef>
              <c:f>[决算公开图表.xlsx]Sheet1!$A$41:$A$43</c:f>
              <c:strCache>
                <c:ptCount val="3"/>
                <c:pt idx="0">
                  <c:v>
</c:v>
                </c:pt>
                <c:pt idx="1">
                  <c:v>2021年</c:v>
                </c:pt>
                <c:pt idx="2">
                  <c:v>2022年</c:v>
                </c:pt>
              </c:strCache>
            </c:strRef>
          </c:cat>
          <c:val>
            <c:numRef>
              <c:f>[决算公开图表.xlsx]Sheet1!$B$41:$B$43</c:f>
              <c:numCache>
                <c:formatCode>General</c:formatCode>
                <c:ptCount val="3"/>
                <c:pt idx="1">
                  <c:v>564.94</c:v>
                </c:pt>
                <c:pt idx="2">
                  <c:v>595.53</c:v>
                </c:pt>
              </c:numCache>
            </c:numRef>
          </c:val>
        </c:ser>
        <c:dLbls>
          <c:showLegendKey val="0"/>
          <c:showVal val="0"/>
          <c:showCatName val="0"/>
          <c:showSerName val="0"/>
          <c:showPercent val="0"/>
          <c:showBubbleSize val="0"/>
        </c:dLbls>
        <c:gapWidth val="246"/>
        <c:overlap val="-28"/>
        <c:axId val="130888448"/>
        <c:axId val="130889984"/>
      </c:barChart>
      <c:catAx>
        <c:axId val="13088844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0889984"/>
        <c:crosses val="autoZero"/>
        <c:auto val="1"/>
        <c:lblAlgn val="ctr"/>
        <c:lblOffset val="100"/>
        <c:noMultiLvlLbl val="0"/>
      </c:catAx>
      <c:valAx>
        <c:axId val="130889984"/>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0888448"/>
        <c:crosses val="autoZero"/>
        <c:crossBetween val="between"/>
      </c:valAx>
      <c:spPr>
        <a:noFill/>
        <a:ln>
          <a:noFill/>
        </a:ln>
        <a:effectLst/>
      </c:spPr>
    </c:plotArea>
    <c:plotVisOnly val="1"/>
    <c:dispBlanksAs val="gap"/>
    <c:showDLblsOverMax val="0"/>
    <c:extLst>
      <c:ext uri="{0b15fc19-7d7d-44ad-8c2d-2c3a37ce22c3}">
        <chartProps xmlns="https://web.wps.cn/et/2018/main" chartId="{c34d52c9-36c4-46ce-980a-7c35abeb150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rPr>
                <a:latin typeface="方正小标宋_GBK" panose="03000509000000000000" charset="-122"/>
                <a:ea typeface="方正小标宋_GBK" panose="03000509000000000000" charset="-122"/>
              </a:rPr>
              <a:t>一般公共预算财政拨款支出决算结构图</a:t>
            </a:r>
            <a:endParaRPr>
              <a:latin typeface="方正小标宋_GBK" panose="03000509000000000000" charset="-122"/>
              <a:ea typeface="方正小标宋_GBK" panose="03000509000000000000" charset="-122"/>
            </a:endParaRPr>
          </a:p>
          <a:p>
            <a:pPr defTabSz="914400">
              <a:defRPr lang="zh-CN" sz="1400" b="1" i="0" u="none" strike="noStrike" kern="1200" baseline="0">
                <a:solidFill>
                  <a:schemeClr val="dk1">
                    <a:lumMod val="75000"/>
                    <a:lumOff val="25000"/>
                  </a:schemeClr>
                </a:solidFill>
                <a:latin typeface="+mn-lt"/>
                <a:ea typeface="+mn-ea"/>
                <a:cs typeface="+mn-cs"/>
              </a:defRPr>
            </a:pPr>
            <a:r>
              <a:rPr sz="1200">
                <a:latin typeface="仿宋_GB2312" panose="02010609030101010101" pitchFamily="3" charset="-122"/>
                <a:ea typeface="仿宋_GB2312" panose="02010609030101010101" pitchFamily="3" charset="-122"/>
              </a:rPr>
              <a:t>单位：万元</a:t>
            </a:r>
            <a:endParaRPr sz="1200">
              <a:latin typeface="仿宋_GB2312" panose="02010609030101010101" pitchFamily="3" charset="-122"/>
              <a:ea typeface="仿宋_GB2312" panose="02010609030101010101" pitchFamily="3" charset="-122"/>
            </a:endParaRPr>
          </a:p>
        </c:rich>
      </c:tx>
      <c:layout/>
      <c:overlay val="0"/>
      <c:spPr>
        <a:noFill/>
        <a:ln>
          <a:noFill/>
        </a:ln>
        <a:effectLst/>
      </c:spPr>
    </c:title>
    <c:autoTitleDeleted val="0"/>
    <c:plotArea>
      <c:layout>
        <c:manualLayout>
          <c:layoutTarget val="inner"/>
          <c:xMode val="edge"/>
          <c:yMode val="edge"/>
          <c:x val="0.0458684210526316"/>
          <c:y val="0.344303097345133"/>
          <c:w val="0.900184210526316"/>
          <c:h val="0.514767699115044"/>
        </c:manualLayout>
      </c:layout>
      <c:barChart>
        <c:barDir val="col"/>
        <c:grouping val="clustered"/>
        <c:varyColors val="0"/>
        <c:ser>
          <c:idx val="0"/>
          <c:order val="0"/>
          <c:spPr>
            <a:solidFill>
              <a:schemeClr val="accent1"/>
            </a:solidFill>
            <a:ln>
              <a:noFill/>
            </a:ln>
            <a:effectLst/>
          </c:spPr>
          <c:invertIfNegative val="0"/>
          <c:dLbls>
            <c:delete val="1"/>
          </c:dLbls>
          <c:cat>
            <c:strRef>
              <c:f>[决算公开图表.xlsx]Sheet1!$A$53:$A$55</c:f>
              <c:strCache>
                <c:ptCount val="3"/>
                <c:pt idx="0">
                  <c:v>
</c:v>
                </c:pt>
                <c:pt idx="1">
                  <c:v>2021年</c:v>
                </c:pt>
                <c:pt idx="2">
                  <c:v>2022年</c:v>
                </c:pt>
              </c:strCache>
            </c:strRef>
          </c:cat>
          <c:val>
            <c:numRef>
              <c:f>[决算公开图表.xlsx]Sheet1!$B$53:$B$55</c:f>
              <c:numCache>
                <c:formatCode>General</c:formatCode>
                <c:ptCount val="3"/>
                <c:pt idx="1">
                  <c:v>521.98</c:v>
                </c:pt>
                <c:pt idx="2">
                  <c:v>551.7</c:v>
                </c:pt>
              </c:numCache>
            </c:numRef>
          </c:val>
        </c:ser>
        <c:dLbls>
          <c:showLegendKey val="0"/>
          <c:showVal val="0"/>
          <c:showCatName val="0"/>
          <c:showSerName val="0"/>
          <c:showPercent val="0"/>
          <c:showBubbleSize val="0"/>
        </c:dLbls>
        <c:gapWidth val="246"/>
        <c:overlap val="-28"/>
        <c:axId val="130926464"/>
        <c:axId val="130928000"/>
      </c:barChart>
      <c:catAx>
        <c:axId val="13092646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0928000"/>
        <c:crosses val="autoZero"/>
        <c:auto val="1"/>
        <c:lblAlgn val="ctr"/>
        <c:lblOffset val="100"/>
        <c:noMultiLvlLbl val="0"/>
      </c:catAx>
      <c:valAx>
        <c:axId val="130928000"/>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0926464"/>
        <c:crosses val="autoZero"/>
        <c:crossBetween val="between"/>
      </c:valAx>
      <c:spPr>
        <a:noFill/>
        <a:ln>
          <a:noFill/>
        </a:ln>
        <a:effectLst/>
      </c:spPr>
    </c:plotArea>
    <c:plotVisOnly val="1"/>
    <c:dispBlanksAs val="gap"/>
    <c:showDLblsOverMax val="0"/>
    <c:extLst>
      <c:ext uri="{0b15fc19-7d7d-44ad-8c2d-2c3a37ce22c3}">
        <chartProps xmlns="https://web.wps.cn/et/2018/main" chartId="{8f5b87cb-b846-4896-8e53-df8af6b059b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rPr>
                <a:latin typeface="方正小标宋_GBK" panose="03000509000000000000" charset="-122"/>
                <a:ea typeface="方正小标宋_GBK" panose="03000509000000000000" charset="-122"/>
              </a:rPr>
              <a:t>一般公共预算财政拨款支出决算结构图</a:t>
            </a:r>
            <a:endParaRPr>
              <a:latin typeface="方正小标宋_GBK" panose="03000509000000000000" charset="-122"/>
              <a:ea typeface="方正小标宋_GBK" panose="03000509000000000000" charset="-122"/>
            </a:endParaRPr>
          </a:p>
        </c:rich>
      </c:tx>
      <c:layout>
        <c:manualLayout>
          <c:xMode val="edge"/>
          <c:yMode val="edge"/>
          <c:x val="0.143026315789474"/>
          <c:y val="0.022677105719877"/>
        </c:manualLayout>
      </c:layout>
      <c:overlay val="0"/>
      <c:spPr>
        <a:noFill/>
        <a:ln>
          <a:noFill/>
        </a:ln>
        <a:effectLst/>
      </c:spPr>
    </c:title>
    <c:autoTitleDeleted val="0"/>
    <c:view3D>
      <c:rotX val="30"/>
      <c:rotY val="0"/>
      <c:depthPercent val="100"/>
      <c:rAngAx val="0"/>
      <c:perspective val="3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935"/>
          <c:y val="0.174386480529023"/>
          <c:w val="0.829052631578947"/>
          <c:h val="0.453578251285819"/>
        </c:manualLayout>
      </c:layout>
      <c:pie3DChart>
        <c:varyColors val="1"/>
        <c:ser>
          <c:idx val="0"/>
          <c:order val="0"/>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Pt>
            <c:idx val="2"/>
            <c:bubble3D val="0"/>
            <c:spPr>
              <a:solidFill>
                <a:schemeClr val="accent3"/>
              </a:solidFill>
              <a:ln>
                <a:solidFill>
                  <a:schemeClr val="bg1"/>
                </a:solidFill>
              </a:ln>
              <a:effectLst/>
              <a:scene3d>
                <a:camera prst="orthographicFront"/>
                <a:lightRig rig="threePt" dir="t"/>
              </a:scene3d>
              <a:sp3d contourW="9525"/>
            </c:spPr>
          </c:dPt>
          <c:dPt>
            <c:idx val="3"/>
            <c:bubble3D val="0"/>
            <c:spPr>
              <a:solidFill>
                <a:schemeClr val="accent4"/>
              </a:solidFill>
              <a:ln>
                <a:solidFill>
                  <a:schemeClr val="bg1"/>
                </a:solidFill>
              </a:ln>
              <a:effectLst/>
              <a:scene3d>
                <a:camera prst="orthographicFront"/>
                <a:lightRig rig="threePt" dir="t"/>
              </a:scene3d>
              <a:sp3d contourW="9525"/>
            </c:spPr>
          </c:dPt>
          <c:dPt>
            <c:idx val="4"/>
            <c:bubble3D val="0"/>
            <c:spPr>
              <a:solidFill>
                <a:schemeClr val="accent5"/>
              </a:solidFill>
              <a:ln>
                <a:solidFill>
                  <a:schemeClr val="bg1"/>
                </a:solidFill>
              </a:ln>
              <a:effectLst/>
              <a:scene3d>
                <a:camera prst="orthographicFront"/>
                <a:lightRig rig="threePt" dir="t"/>
              </a:scene3d>
              <a:sp3d contourW="9525"/>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[决算公开图表.xlsx]Sheet1!$A$65:$A$69</c:f>
              <c:strCache>
                <c:ptCount val="5"/>
                <c:pt idx="0">
                  <c:v>
</c:v>
                </c:pt>
                <c:pt idx="1">
                  <c:v>一般公共服务支出</c:v>
                </c:pt>
                <c:pt idx="2">
                  <c:v>社会保障和就业支出</c:v>
                </c:pt>
                <c:pt idx="3">
                  <c:v>卫生健康支出</c:v>
                </c:pt>
                <c:pt idx="4">
                  <c:v>住房保障支出</c:v>
                </c:pt>
              </c:strCache>
            </c:strRef>
          </c:cat>
          <c:val>
            <c:numRef>
              <c:f>[决算公开图表.xlsx]Sheet1!$B$65:$B$69</c:f>
              <c:numCache>
                <c:formatCode>General</c:formatCode>
                <c:ptCount val="5"/>
                <c:pt idx="1" c:formatCode="0.00%">
                  <c:v>0.7276</c:v>
                </c:pt>
                <c:pt idx="2" c:formatCode="0.00%">
                  <c:v>0.1419</c:v>
                </c:pt>
                <c:pt idx="3" c:formatCode="0.00%">
                  <c:v>0.0573</c:v>
                </c:pt>
                <c:pt idx="4" c:formatCode="0.00%">
                  <c:v>0.0732</c:v>
                </c:pt>
              </c:numCache>
            </c:numRef>
          </c:val>
        </c:ser>
        <c:dLbls>
          <c:showLegendKey val="0"/>
          <c:showVal val="1"/>
          <c:showCatName val="0"/>
          <c:showSerName val="0"/>
          <c:showPercent val="0"/>
          <c:showBubbleSize val="0"/>
        </c:dLbls>
      </c:pie3DChart>
      <c:spPr>
        <a:noFill/>
        <a:ln>
          <a:noFill/>
        </a:ln>
        <a:effectLst/>
      </c:spPr>
    </c:plotArea>
    <c:legend>
      <c:legendPos val="t"/>
      <c:layout>
        <c:manualLayout>
          <c:xMode val="edge"/>
          <c:yMode val="edge"/>
          <c:x val="0.040328947368421"/>
          <c:y val="0.75116361857930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d84ce7c4-8f0a-46ec-88b4-4f2f03fb29f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“三公”经费财政拨款支出结构</a:t>
            </a:r>
          </a:p>
        </c:rich>
      </c:tx>
      <c:layout>
        <c:manualLayout>
          <c:xMode val="edge"/>
          <c:yMode val="edge"/>
          <c:x val="0.246447368421053"/>
          <c:y val="0.00862068965517242"/>
        </c:manualLayout>
      </c:layout>
      <c:overlay val="0"/>
      <c:spPr>
        <a:noFill/>
        <a:ln>
          <a:noFill/>
        </a:ln>
        <a:effectLst/>
      </c:spPr>
    </c:title>
    <c:autoTitleDeleted val="0"/>
    <c:plotArea>
      <c:layout>
        <c:manualLayout>
          <c:layoutTarget val="inner"/>
          <c:xMode val="edge"/>
          <c:yMode val="edge"/>
          <c:x val="0.374144736842105"/>
          <c:y val="0.192528735632184"/>
          <c:w val="0.240394736842105"/>
          <c:h val="0.525"/>
        </c:manualLayout>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gradFill>
                <a:gsLst>
                  <a:gs pos="0">
                    <a:srgbClr val="14CD68"/>
                  </a:gs>
                  <a:gs pos="100000">
                    <a:srgbClr val="035C7D"/>
                  </a:gs>
                </a:gsLst>
                <a:lin ang="5400000" scaled="0"/>
              </a:gradFill>
              <a:ln>
                <a:solidFill>
                  <a:schemeClr val="bg1"/>
                </a:solidFill>
              </a:ln>
              <a:effectLst/>
            </c:spPr>
          </c:dPt>
          <c:dLbls>
            <c:dLbl>
              <c:idx val="2"/>
              <c:layout>
                <c:manualLayout>
                  <c:x val="-0.0478947368421052"/>
                  <c:y val="-0.0489152298834726"/>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[决算公开图表.xlsx]Sheet1!$A$78:$A$81</c:f>
              <c:strCache>
                <c:ptCount val="4"/>
                <c:pt idx="0">
                  <c:v>
</c:v>
                </c:pt>
                <c:pt idx="1">
                  <c:v>因公出国（境）费</c:v>
                </c:pt>
                <c:pt idx="2">
                  <c:v>公务用车购置及运行维护费</c:v>
                </c:pt>
                <c:pt idx="3">
                  <c:v>公务接待费</c:v>
                </c:pt>
              </c:strCache>
            </c:strRef>
          </c:cat>
          <c:val>
            <c:numRef>
              <c:f>[决算公开图表.xlsx]Sheet1!$B$78:$B$81</c:f>
              <c:numCache>
                <c:formatCode>General</c:formatCode>
                <c:ptCount val="4"/>
                <c:pt idx="1" c:formatCode="0%">
                  <c:v>0</c:v>
                </c:pt>
                <c:pt idx="2" c:formatCode="0%">
                  <c:v>0</c:v>
                </c:pt>
                <c:pt idx="3" c:formatCode="0%">
                  <c:v>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0979605263157895"/>
          <c:y val="0.83304597701149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f786afde-718c-4485-8882-4b3e2f6fc93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3D5CC5-FABC-4018-9762-024D3541E830}">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32</Pages>
  <Words>11810</Words>
  <Characters>12701</Characters>
  <Lines>24</Lines>
  <Paragraphs>44</Paragraphs>
  <TotalTime>3</TotalTime>
  <ScaleCrop>false</ScaleCrop>
  <LinksUpToDate>false</LinksUpToDate>
  <CharactersWithSpaces>12748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陌</cp:lastModifiedBy>
  <cp:lastPrinted>2023-10-23T12:36:00Z</cp:lastPrinted>
  <dcterms:modified xsi:type="dcterms:W3CDTF">2026-10-21T03:46:06Z</dcterms:modified>
  <dc:title>四川省***</dc:title>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3C5CF4E322BE4FDDB22BB9691FEC1C50_13</vt:lpwstr>
  </property>
  <property fmtid="{D5CDD505-2E9C-101B-9397-08002B2CF9AE}" pid="4" name="KSOTemplateDocerSaveRecord">
    <vt:lpwstr>eyJoZGlkIjoiOTA3NDZmZDhhMDM0YTZmNjU1ZGVmODE3MmQ0ZmRjNzYiLCJ1c2VySWQiOiI1OTI3OTU5ODIifQ==</vt:lpwstr>
  </property>
</Properties>
</file>