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955AC">
      <w:pPr>
        <w:adjustRightInd w:val="0"/>
        <w:spacing w:line="353" w:lineRule="auto"/>
        <w:jc w:val="center"/>
        <w:outlineLvl w:val="0"/>
        <w:rPr>
          <w:rFonts w:eastAsia="方正小标宋_GBK"/>
          <w:color w:val="000000" w:themeColor="text1"/>
          <w:sz w:val="72"/>
          <w:szCs w:val="72"/>
          <w14:textFill>
            <w14:solidFill>
              <w14:schemeClr w14:val="tx1"/>
            </w14:solidFill>
          </w14:textFill>
        </w:rPr>
      </w:pPr>
      <w:bookmarkStart w:id="0" w:name="_Toc15396475"/>
      <w:bookmarkStart w:id="1" w:name="_Toc15377193"/>
      <w:bookmarkStart w:id="2" w:name="_Toc15377425"/>
      <w:bookmarkStart w:id="3" w:name="_Toc15378441"/>
      <w:bookmarkStart w:id="4" w:name="_Toc15396597"/>
      <w:bookmarkStart w:id="5" w:name="_Toc15306267"/>
      <w:bookmarkStart w:id="6" w:name="_Toc18792"/>
    </w:p>
    <w:p w14:paraId="0B09958C">
      <w:pPr>
        <w:adjustRightInd w:val="0"/>
        <w:spacing w:line="353" w:lineRule="auto"/>
        <w:jc w:val="center"/>
        <w:outlineLvl w:val="0"/>
        <w:rPr>
          <w:rFonts w:eastAsia="方正小标宋_GBK"/>
          <w:color w:val="000000" w:themeColor="text1"/>
          <w:sz w:val="72"/>
          <w:szCs w:val="72"/>
          <w14:textFill>
            <w14:solidFill>
              <w14:schemeClr w14:val="tx1"/>
            </w14:solidFill>
          </w14:textFill>
        </w:rPr>
      </w:pPr>
    </w:p>
    <w:p w14:paraId="2D3A995A">
      <w:pPr>
        <w:adjustRightInd w:val="0"/>
        <w:spacing w:line="353" w:lineRule="auto"/>
        <w:jc w:val="center"/>
        <w:outlineLvl w:val="0"/>
        <w:rPr>
          <w:rFonts w:eastAsia="方正小标宋_GBK"/>
          <w:color w:val="000000" w:themeColor="text1"/>
          <w:sz w:val="72"/>
          <w:szCs w:val="72"/>
          <w14:textFill>
            <w14:solidFill>
              <w14:schemeClr w14:val="tx1"/>
            </w14:solidFill>
          </w14:textFill>
        </w:rPr>
      </w:pPr>
      <w:bookmarkStart w:id="7" w:name="_Toc16972"/>
      <w:r>
        <w:rPr>
          <w:rFonts w:eastAsia="方正小标宋_GBK"/>
          <w:color w:val="000000" w:themeColor="text1"/>
          <w:sz w:val="72"/>
          <w:szCs w:val="72"/>
          <w14:textFill>
            <w14:solidFill>
              <w14:schemeClr w14:val="tx1"/>
            </w14:solidFill>
          </w14:textFill>
        </w:rPr>
        <w:t>2019年度</w:t>
      </w:r>
      <w:bookmarkEnd w:id="0"/>
      <w:bookmarkEnd w:id="1"/>
      <w:bookmarkEnd w:id="2"/>
      <w:bookmarkEnd w:id="3"/>
      <w:bookmarkEnd w:id="4"/>
      <w:bookmarkEnd w:id="7"/>
      <w:bookmarkStart w:id="8" w:name="_Toc15378442"/>
      <w:bookmarkStart w:id="9" w:name="_Toc15396598"/>
      <w:bookmarkStart w:id="10" w:name="_Toc15377194"/>
      <w:bookmarkStart w:id="11" w:name="_Toc15396476"/>
      <w:bookmarkStart w:id="12" w:name="_Toc15377426"/>
    </w:p>
    <w:p w14:paraId="7E99E1FE">
      <w:pPr>
        <w:adjustRightInd w:val="0"/>
        <w:spacing w:line="353" w:lineRule="auto"/>
        <w:jc w:val="center"/>
        <w:outlineLvl w:val="0"/>
        <w:rPr>
          <w:rFonts w:eastAsia="方正小标宋_GBK"/>
          <w:color w:val="000000" w:themeColor="text1"/>
          <w:sz w:val="72"/>
          <w:szCs w:val="72"/>
          <w14:textFill>
            <w14:solidFill>
              <w14:schemeClr w14:val="tx1"/>
            </w14:solidFill>
          </w14:textFill>
        </w:rPr>
      </w:pPr>
      <w:bookmarkStart w:id="13" w:name="_Toc11602"/>
      <w:r>
        <w:rPr>
          <w:rFonts w:eastAsia="方正小标宋_GBK"/>
          <w:color w:val="000000" w:themeColor="text1"/>
          <w:sz w:val="72"/>
          <w:szCs w:val="72"/>
          <w14:textFill>
            <w14:solidFill>
              <w14:schemeClr w14:val="tx1"/>
            </w14:solidFill>
          </w14:textFill>
        </w:rPr>
        <w:t>四川省</w:t>
      </w:r>
      <w:bookmarkEnd w:id="5"/>
      <w:bookmarkStart w:id="14" w:name="_Toc15306268"/>
      <w:r>
        <w:rPr>
          <w:rFonts w:eastAsia="方正小标宋_GBK"/>
          <w:color w:val="000000" w:themeColor="text1"/>
          <w:sz w:val="72"/>
          <w:szCs w:val="72"/>
          <w14:textFill>
            <w14:solidFill>
              <w14:schemeClr w14:val="tx1"/>
            </w14:solidFill>
          </w14:textFill>
        </w:rPr>
        <w:t>攀枝花市</w:t>
      </w:r>
      <w:bookmarkEnd w:id="13"/>
    </w:p>
    <w:p w14:paraId="6C1FBA84">
      <w:pPr>
        <w:adjustRightInd w:val="0"/>
        <w:spacing w:line="353" w:lineRule="auto"/>
        <w:jc w:val="center"/>
        <w:outlineLvl w:val="0"/>
        <w:rPr>
          <w:rFonts w:eastAsia="方正小标宋_GBK"/>
          <w:color w:val="000000" w:themeColor="text1"/>
          <w:sz w:val="72"/>
          <w:szCs w:val="72"/>
          <w14:textFill>
            <w14:solidFill>
              <w14:schemeClr w14:val="tx1"/>
            </w14:solidFill>
          </w14:textFill>
        </w:rPr>
      </w:pPr>
      <w:bookmarkStart w:id="15" w:name="_Toc15999"/>
      <w:r>
        <w:rPr>
          <w:rFonts w:eastAsia="方正小标宋_GBK"/>
          <w:color w:val="000000" w:themeColor="text1"/>
          <w:sz w:val="72"/>
          <w:szCs w:val="72"/>
          <w14:textFill>
            <w14:solidFill>
              <w14:schemeClr w14:val="tx1"/>
            </w14:solidFill>
          </w14:textFill>
        </w:rPr>
        <w:t>西区人力资源和社会保</w:t>
      </w:r>
      <w:r>
        <w:rPr>
          <w:rFonts w:hint="eastAsia" w:eastAsia="方正小标宋_GBK"/>
          <w:color w:val="000000" w:themeColor="text1"/>
          <w:sz w:val="72"/>
          <w:szCs w:val="72"/>
          <w14:textFill>
            <w14:solidFill>
              <w14:schemeClr w14:val="tx1"/>
            </w14:solidFill>
          </w14:textFill>
        </w:rPr>
        <w:t>障</w:t>
      </w:r>
      <w:r>
        <w:rPr>
          <w:rFonts w:eastAsia="方正小标宋_GBK"/>
          <w:color w:val="000000" w:themeColor="text1"/>
          <w:sz w:val="72"/>
          <w:szCs w:val="72"/>
          <w14:textFill>
            <w14:solidFill>
              <w14:schemeClr w14:val="tx1"/>
            </w14:solidFill>
          </w14:textFill>
        </w:rPr>
        <w:t>局</w:t>
      </w:r>
      <w:bookmarkEnd w:id="6"/>
      <w:bookmarkEnd w:id="15"/>
    </w:p>
    <w:p w14:paraId="16EEB333">
      <w:pPr>
        <w:adjustRightInd w:val="0"/>
        <w:spacing w:line="353" w:lineRule="auto"/>
        <w:jc w:val="center"/>
        <w:outlineLvl w:val="0"/>
        <w:rPr>
          <w:rFonts w:eastAsia="方正小标宋_GBK"/>
          <w:color w:val="000000" w:themeColor="text1"/>
          <w:sz w:val="72"/>
          <w:szCs w:val="72"/>
          <w14:textFill>
            <w14:solidFill>
              <w14:schemeClr w14:val="tx1"/>
            </w14:solidFill>
          </w14:textFill>
        </w:rPr>
      </w:pPr>
      <w:bookmarkStart w:id="16" w:name="_Toc28056"/>
      <w:bookmarkStart w:id="17" w:name="_Toc11823"/>
      <w:r>
        <w:rPr>
          <w:rFonts w:eastAsia="方正小标宋_GBK"/>
          <w:color w:val="000000" w:themeColor="text1"/>
          <w:sz w:val="72"/>
          <w:szCs w:val="72"/>
          <w14:textFill>
            <w14:solidFill>
              <w14:schemeClr w14:val="tx1"/>
            </w14:solidFill>
          </w14:textFill>
        </w:rPr>
        <w:t>部门决算</w:t>
      </w:r>
      <w:bookmarkEnd w:id="8"/>
      <w:bookmarkEnd w:id="9"/>
      <w:bookmarkEnd w:id="10"/>
      <w:bookmarkEnd w:id="11"/>
      <w:bookmarkEnd w:id="12"/>
      <w:bookmarkEnd w:id="14"/>
      <w:bookmarkEnd w:id="16"/>
      <w:bookmarkEnd w:id="17"/>
    </w:p>
    <w:p w14:paraId="793C4B92">
      <w:pPr>
        <w:widowControl/>
        <w:spacing w:line="353" w:lineRule="auto"/>
        <w:jc w:val="center"/>
        <w:rPr>
          <w:rFonts w:eastAsia="黑体"/>
          <w:color w:val="000000" w:themeColor="text1"/>
          <w:sz w:val="48"/>
          <w:szCs w:val="48"/>
          <w14:textFill>
            <w14:solidFill>
              <w14:schemeClr w14:val="tx1"/>
            </w14:solidFill>
          </w14:textFill>
        </w:rPr>
      </w:pPr>
      <w:r>
        <w:rPr>
          <w:rFonts w:eastAsia="方正小标宋简体"/>
          <w:color w:val="000000" w:themeColor="text1"/>
          <w:sz w:val="36"/>
          <w:szCs w:val="36"/>
          <w14:textFill>
            <w14:solidFill>
              <w14:schemeClr w14:val="tx1"/>
            </w14:solidFill>
          </w14:textFill>
        </w:rPr>
        <w:br w:type="page"/>
      </w:r>
      <w:r>
        <w:rPr>
          <w:rFonts w:eastAsia="黑体"/>
          <w:color w:val="000000" w:themeColor="text1"/>
          <w:sz w:val="48"/>
          <w:szCs w:val="48"/>
          <w14:textFill>
            <w14:solidFill>
              <w14:schemeClr w14:val="tx1"/>
            </w14:solidFill>
          </w14:textFill>
        </w:rPr>
        <w:t>目录</w:t>
      </w:r>
    </w:p>
    <w:p w14:paraId="5F220DF8">
      <w:pPr>
        <w:pStyle w:val="11"/>
        <w:spacing w:line="353" w:lineRule="auto"/>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公开时间：2020年9月3日</w:t>
      </w:r>
    </w:p>
    <w:sdt>
      <w:sdtPr>
        <w:id w:val="147452436"/>
        <w15:color w:val="DBDBDB"/>
        <w:docPartObj>
          <w:docPartGallery w:val="Table of Contents"/>
          <w:docPartUnique/>
        </w:docPartObj>
      </w:sdtPr>
      <w:sdtContent>
        <w:p w14:paraId="6298C44A">
          <w:pPr>
            <w:jc w:val="center"/>
          </w:pPr>
          <w:bookmarkStart w:id="18" w:name="_Toc15377196"/>
          <w:bookmarkStart w:id="19" w:name="_Toc15396599"/>
          <w:r>
            <w:rPr>
              <w:rFonts w:eastAsia="仿宋_GB2312"/>
              <w:sz w:val="24"/>
            </w:rPr>
            <w:fldChar w:fldCharType="begin"/>
          </w:r>
          <w:r>
            <w:rPr>
              <w:rFonts w:eastAsia="仿宋_GB2312"/>
              <w:sz w:val="24"/>
            </w:rPr>
            <w:instrText xml:space="preserve">TOC \o "1-3" \h \u </w:instrText>
          </w:r>
          <w:r>
            <w:rPr>
              <w:rFonts w:eastAsia="仿宋_GB2312"/>
              <w:sz w:val="24"/>
            </w:rPr>
            <w:fldChar w:fldCharType="separate"/>
          </w:r>
        </w:p>
        <w:p w14:paraId="35ACE8BA">
          <w:pPr>
            <w:pStyle w:val="11"/>
            <w:tabs>
              <w:tab w:val="right" w:leader="dot" w:pos="8844"/>
              <w:tab w:val="clear" w:pos="8296"/>
            </w:tabs>
            <w:rPr>
              <w:rFonts w:ascii="宋体" w:hAnsi="宋体" w:eastAsia="宋体" w:cs="宋体"/>
              <w:sz w:val="24"/>
              <w:szCs w:val="24"/>
            </w:rPr>
          </w:pPr>
          <w:r>
            <w:fldChar w:fldCharType="begin"/>
          </w:r>
          <w:r>
            <w:instrText xml:space="preserve"> HYPERLINK \l "_Toc26538" </w:instrText>
          </w:r>
          <w:r>
            <w:fldChar w:fldCharType="separate"/>
          </w:r>
          <w:r>
            <w:rPr>
              <w:rFonts w:hint="eastAsia" w:ascii="宋体" w:hAnsi="宋体" w:eastAsia="宋体" w:cs="宋体"/>
              <w:sz w:val="24"/>
              <w:szCs w:val="24"/>
            </w:rPr>
            <w:t>第一部分 部门概况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_Toc26538 </w:instrText>
          </w:r>
          <w:r>
            <w:rPr>
              <w:rFonts w:hint="eastAsia" w:ascii="宋体" w:hAnsi="宋体" w:eastAsia="宋体" w:cs="宋体"/>
              <w:sz w:val="24"/>
              <w:szCs w:val="24"/>
            </w:rPr>
            <w:fldChar w:fldCharType="separate"/>
          </w:r>
          <w:r>
            <w:rPr>
              <w:rFonts w:hint="eastAsia" w:ascii="宋体" w:hAnsi="宋体" w:eastAsia="宋体" w:cs="宋体"/>
              <w:sz w:val="24"/>
              <w:szCs w:val="24"/>
            </w:rPr>
            <w:t>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50D05792">
          <w:pPr>
            <w:pStyle w:val="12"/>
            <w:tabs>
              <w:tab w:val="right" w:leader="dot" w:pos="8844"/>
              <w:tab w:val="clear" w:pos="8296"/>
            </w:tabs>
            <w:rPr>
              <w:rFonts w:ascii="宋体" w:hAnsi="宋体" w:cs="宋体"/>
              <w:sz w:val="24"/>
            </w:rPr>
          </w:pPr>
          <w:r>
            <w:fldChar w:fldCharType="begin"/>
          </w:r>
          <w:r>
            <w:instrText xml:space="preserve"> HYPERLINK \l "_Toc2821" </w:instrText>
          </w:r>
          <w:r>
            <w:fldChar w:fldCharType="separate"/>
          </w:r>
          <w:r>
            <w:rPr>
              <w:rFonts w:hint="eastAsia" w:ascii="宋体" w:hAnsi="宋体" w:cs="宋体"/>
              <w:sz w:val="24"/>
            </w:rPr>
            <w:t>一、基本职能及主要工作</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_Toc2821 </w:instrText>
          </w:r>
          <w:r>
            <w:rPr>
              <w:rFonts w:hint="eastAsia" w:ascii="宋体" w:hAnsi="宋体" w:cs="宋体"/>
              <w:sz w:val="24"/>
            </w:rPr>
            <w:fldChar w:fldCharType="separate"/>
          </w:r>
          <w:r>
            <w:rPr>
              <w:rFonts w:hint="eastAsia" w:ascii="宋体" w:hAnsi="宋体" w:cs="宋体"/>
              <w:sz w:val="24"/>
            </w:rPr>
            <w:t>4</w:t>
          </w:r>
          <w:r>
            <w:rPr>
              <w:rFonts w:hint="eastAsia" w:ascii="宋体" w:hAnsi="宋体" w:cs="宋体"/>
              <w:sz w:val="24"/>
            </w:rPr>
            <w:fldChar w:fldCharType="end"/>
          </w:r>
          <w:r>
            <w:rPr>
              <w:rFonts w:hint="eastAsia" w:ascii="宋体" w:hAnsi="宋体" w:cs="宋体"/>
              <w:sz w:val="24"/>
            </w:rPr>
            <w:fldChar w:fldCharType="end"/>
          </w:r>
        </w:p>
        <w:p w14:paraId="78F25117">
          <w:pPr>
            <w:pStyle w:val="6"/>
            <w:tabs>
              <w:tab w:val="right" w:leader="dot" w:pos="8844"/>
              <w:tab w:val="clear" w:pos="8296"/>
            </w:tabs>
            <w:rPr>
              <w:rFonts w:ascii="宋体" w:hAnsi="宋体" w:cs="宋体"/>
              <w:sz w:val="24"/>
            </w:rPr>
          </w:pPr>
          <w:r>
            <w:fldChar w:fldCharType="begin"/>
          </w:r>
          <w:r>
            <w:instrText xml:space="preserve"> HYPERLINK \l "_Toc13628" </w:instrText>
          </w:r>
          <w:r>
            <w:fldChar w:fldCharType="separate"/>
          </w:r>
          <w:r>
            <w:rPr>
              <w:rFonts w:hint="eastAsia" w:ascii="宋体" w:hAnsi="宋体" w:cs="宋体"/>
              <w:bCs/>
              <w:sz w:val="24"/>
            </w:rPr>
            <w:t>（一）主要职能</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_Toc13628 </w:instrText>
          </w:r>
          <w:r>
            <w:rPr>
              <w:rFonts w:hint="eastAsia" w:ascii="宋体" w:hAnsi="宋体" w:cs="宋体"/>
              <w:sz w:val="24"/>
            </w:rPr>
            <w:fldChar w:fldCharType="separate"/>
          </w:r>
          <w:r>
            <w:rPr>
              <w:rFonts w:hint="eastAsia" w:ascii="宋体" w:hAnsi="宋体" w:cs="宋体"/>
              <w:sz w:val="24"/>
            </w:rPr>
            <w:t>4</w:t>
          </w:r>
          <w:r>
            <w:rPr>
              <w:rFonts w:hint="eastAsia" w:ascii="宋体" w:hAnsi="宋体" w:cs="宋体"/>
              <w:sz w:val="24"/>
            </w:rPr>
            <w:fldChar w:fldCharType="end"/>
          </w:r>
          <w:r>
            <w:rPr>
              <w:rFonts w:hint="eastAsia" w:ascii="宋体" w:hAnsi="宋体" w:cs="宋体"/>
              <w:sz w:val="24"/>
            </w:rPr>
            <w:fldChar w:fldCharType="end"/>
          </w:r>
        </w:p>
        <w:p w14:paraId="102A078D">
          <w:pPr>
            <w:pStyle w:val="6"/>
            <w:tabs>
              <w:tab w:val="right" w:leader="dot" w:pos="8844"/>
              <w:tab w:val="clear" w:pos="8296"/>
            </w:tabs>
            <w:rPr>
              <w:rFonts w:ascii="宋体" w:hAnsi="宋体" w:cs="宋体"/>
              <w:sz w:val="24"/>
            </w:rPr>
          </w:pPr>
          <w:r>
            <w:fldChar w:fldCharType="begin"/>
          </w:r>
          <w:r>
            <w:instrText xml:space="preserve"> HYPERLINK \l "_Toc11950" </w:instrText>
          </w:r>
          <w:r>
            <w:fldChar w:fldCharType="separate"/>
          </w:r>
          <w:r>
            <w:rPr>
              <w:rFonts w:hint="eastAsia" w:ascii="宋体" w:hAnsi="宋体" w:cs="宋体"/>
              <w:sz w:val="24"/>
            </w:rPr>
            <w:t>（二）2019年重点工作完成情况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_Toc11950 </w:instrText>
          </w:r>
          <w:r>
            <w:rPr>
              <w:rFonts w:hint="eastAsia" w:ascii="宋体" w:hAnsi="宋体" w:cs="宋体"/>
              <w:sz w:val="24"/>
            </w:rPr>
            <w:fldChar w:fldCharType="separate"/>
          </w:r>
          <w:r>
            <w:rPr>
              <w:rFonts w:hint="eastAsia" w:ascii="宋体" w:hAnsi="宋体" w:cs="宋体"/>
              <w:sz w:val="24"/>
            </w:rPr>
            <w:t>7</w:t>
          </w:r>
          <w:r>
            <w:rPr>
              <w:rFonts w:hint="eastAsia" w:ascii="宋体" w:hAnsi="宋体" w:cs="宋体"/>
              <w:sz w:val="24"/>
            </w:rPr>
            <w:fldChar w:fldCharType="end"/>
          </w:r>
          <w:r>
            <w:rPr>
              <w:rFonts w:hint="eastAsia" w:ascii="宋体" w:hAnsi="宋体" w:cs="宋体"/>
              <w:sz w:val="24"/>
            </w:rPr>
            <w:fldChar w:fldCharType="end"/>
          </w:r>
        </w:p>
        <w:p w14:paraId="60548542">
          <w:pPr>
            <w:pStyle w:val="12"/>
            <w:tabs>
              <w:tab w:val="right" w:leader="dot" w:pos="8844"/>
              <w:tab w:val="clear" w:pos="8296"/>
            </w:tabs>
            <w:rPr>
              <w:rFonts w:ascii="宋体" w:hAnsi="宋体" w:cs="宋体"/>
              <w:sz w:val="24"/>
            </w:rPr>
          </w:pPr>
          <w:r>
            <w:fldChar w:fldCharType="begin"/>
          </w:r>
          <w:r>
            <w:instrText xml:space="preserve"> HYPERLINK \l "_Toc31558" </w:instrText>
          </w:r>
          <w:r>
            <w:fldChar w:fldCharType="separate"/>
          </w:r>
          <w:r>
            <w:rPr>
              <w:rFonts w:hint="eastAsia" w:ascii="宋体" w:hAnsi="宋体" w:cs="宋体"/>
              <w:sz w:val="24"/>
            </w:rPr>
            <w:t>二、机构设置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_Toc31558 </w:instrText>
          </w:r>
          <w:r>
            <w:rPr>
              <w:rFonts w:hint="eastAsia" w:ascii="宋体" w:hAnsi="宋体" w:cs="宋体"/>
              <w:sz w:val="24"/>
            </w:rPr>
            <w:fldChar w:fldCharType="separate"/>
          </w:r>
          <w:r>
            <w:rPr>
              <w:rFonts w:hint="eastAsia" w:ascii="宋体" w:hAnsi="宋体" w:cs="宋体"/>
              <w:sz w:val="24"/>
            </w:rPr>
            <w:t>8</w:t>
          </w:r>
          <w:r>
            <w:rPr>
              <w:rFonts w:hint="eastAsia" w:ascii="宋体" w:hAnsi="宋体" w:cs="宋体"/>
              <w:sz w:val="24"/>
            </w:rPr>
            <w:fldChar w:fldCharType="end"/>
          </w:r>
          <w:r>
            <w:rPr>
              <w:rFonts w:hint="eastAsia" w:ascii="宋体" w:hAnsi="宋体" w:cs="宋体"/>
              <w:sz w:val="24"/>
            </w:rPr>
            <w:fldChar w:fldCharType="end"/>
          </w:r>
        </w:p>
        <w:p w14:paraId="413B21F1">
          <w:pPr>
            <w:pStyle w:val="6"/>
            <w:tabs>
              <w:tab w:val="right" w:leader="dot" w:pos="8844"/>
              <w:tab w:val="clear" w:pos="8296"/>
            </w:tabs>
            <w:rPr>
              <w:rFonts w:ascii="宋体" w:hAnsi="宋体" w:cs="宋体"/>
              <w:sz w:val="24"/>
            </w:rPr>
          </w:pPr>
          <w:r>
            <w:fldChar w:fldCharType="begin"/>
          </w:r>
          <w:r>
            <w:instrText xml:space="preserve"> HYPERLINK \l "_Toc18215" </w:instrText>
          </w:r>
          <w:r>
            <w:fldChar w:fldCharType="separate"/>
          </w:r>
          <w:r>
            <w:rPr>
              <w:rFonts w:hint="eastAsia" w:ascii="宋体" w:hAnsi="宋体" w:cs="宋体"/>
              <w:sz w:val="24"/>
            </w:rPr>
            <w:t>1.攀枝花市西区人才交流服务中心</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_Toc18215 </w:instrText>
          </w:r>
          <w:r>
            <w:rPr>
              <w:rFonts w:hint="eastAsia" w:ascii="宋体" w:hAnsi="宋体" w:cs="宋体"/>
              <w:sz w:val="24"/>
            </w:rPr>
            <w:fldChar w:fldCharType="separate"/>
          </w:r>
          <w:r>
            <w:rPr>
              <w:rFonts w:hint="eastAsia" w:ascii="宋体" w:hAnsi="宋体" w:cs="宋体"/>
              <w:sz w:val="24"/>
            </w:rPr>
            <w:t>9</w:t>
          </w:r>
          <w:r>
            <w:rPr>
              <w:rFonts w:hint="eastAsia" w:ascii="宋体" w:hAnsi="宋体" w:cs="宋体"/>
              <w:sz w:val="24"/>
            </w:rPr>
            <w:fldChar w:fldCharType="end"/>
          </w:r>
          <w:r>
            <w:rPr>
              <w:rFonts w:hint="eastAsia" w:ascii="宋体" w:hAnsi="宋体" w:cs="宋体"/>
              <w:sz w:val="24"/>
            </w:rPr>
            <w:fldChar w:fldCharType="end"/>
          </w:r>
        </w:p>
        <w:p w14:paraId="69775AD6">
          <w:pPr>
            <w:pStyle w:val="6"/>
            <w:tabs>
              <w:tab w:val="right" w:leader="dot" w:pos="8844"/>
              <w:tab w:val="clear" w:pos="8296"/>
            </w:tabs>
            <w:rPr>
              <w:rFonts w:ascii="宋体" w:hAnsi="宋体" w:cs="宋体"/>
              <w:sz w:val="24"/>
            </w:rPr>
          </w:pPr>
          <w:r>
            <w:fldChar w:fldCharType="begin"/>
          </w:r>
          <w:r>
            <w:instrText xml:space="preserve"> HYPERLINK \l "_Toc31028" </w:instrText>
          </w:r>
          <w:r>
            <w:fldChar w:fldCharType="separate"/>
          </w:r>
          <w:r>
            <w:rPr>
              <w:rFonts w:hint="eastAsia" w:ascii="宋体" w:hAnsi="宋体" w:cs="宋体"/>
              <w:sz w:val="24"/>
            </w:rPr>
            <w:t>2.攀枝花市西区劳动人事争议仲裁院</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_Toc31028 </w:instrText>
          </w:r>
          <w:r>
            <w:rPr>
              <w:rFonts w:hint="eastAsia" w:ascii="宋体" w:hAnsi="宋体" w:cs="宋体"/>
              <w:sz w:val="24"/>
            </w:rPr>
            <w:fldChar w:fldCharType="separate"/>
          </w:r>
          <w:r>
            <w:rPr>
              <w:rFonts w:hint="eastAsia" w:ascii="宋体" w:hAnsi="宋体" w:cs="宋体"/>
              <w:sz w:val="24"/>
            </w:rPr>
            <w:t>9</w:t>
          </w:r>
          <w:r>
            <w:rPr>
              <w:rFonts w:hint="eastAsia" w:ascii="宋体" w:hAnsi="宋体" w:cs="宋体"/>
              <w:sz w:val="24"/>
            </w:rPr>
            <w:fldChar w:fldCharType="end"/>
          </w:r>
          <w:r>
            <w:rPr>
              <w:rFonts w:hint="eastAsia" w:ascii="宋体" w:hAnsi="宋体" w:cs="宋体"/>
              <w:sz w:val="24"/>
            </w:rPr>
            <w:fldChar w:fldCharType="end"/>
          </w:r>
        </w:p>
        <w:p w14:paraId="1A8810F3">
          <w:pPr>
            <w:pStyle w:val="6"/>
            <w:tabs>
              <w:tab w:val="right" w:leader="dot" w:pos="8844"/>
              <w:tab w:val="clear" w:pos="8296"/>
            </w:tabs>
            <w:rPr>
              <w:rFonts w:ascii="宋体" w:hAnsi="宋体" w:cs="宋体"/>
              <w:sz w:val="24"/>
            </w:rPr>
          </w:pPr>
          <w:r>
            <w:fldChar w:fldCharType="begin"/>
          </w:r>
          <w:r>
            <w:instrText xml:space="preserve"> HYPERLINK \l "_Toc25072" </w:instrText>
          </w:r>
          <w:r>
            <w:fldChar w:fldCharType="separate"/>
          </w:r>
          <w:r>
            <w:rPr>
              <w:rFonts w:hint="eastAsia" w:ascii="宋体" w:hAnsi="宋体" w:cs="宋体"/>
              <w:sz w:val="24"/>
            </w:rPr>
            <w:t>3.攀枝花市西区劳动保障监察大队</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_Toc25072 </w:instrText>
          </w:r>
          <w:r>
            <w:rPr>
              <w:rFonts w:hint="eastAsia" w:ascii="宋体" w:hAnsi="宋体" w:cs="宋体"/>
              <w:sz w:val="24"/>
            </w:rPr>
            <w:fldChar w:fldCharType="separate"/>
          </w:r>
          <w:r>
            <w:rPr>
              <w:rFonts w:hint="eastAsia" w:ascii="宋体" w:hAnsi="宋体" w:cs="宋体"/>
              <w:sz w:val="24"/>
            </w:rPr>
            <w:t>9</w:t>
          </w:r>
          <w:r>
            <w:rPr>
              <w:rFonts w:hint="eastAsia" w:ascii="宋体" w:hAnsi="宋体" w:cs="宋体"/>
              <w:sz w:val="24"/>
            </w:rPr>
            <w:fldChar w:fldCharType="end"/>
          </w:r>
          <w:r>
            <w:rPr>
              <w:rFonts w:hint="eastAsia" w:ascii="宋体" w:hAnsi="宋体" w:cs="宋体"/>
              <w:sz w:val="24"/>
            </w:rPr>
            <w:fldChar w:fldCharType="end"/>
          </w:r>
        </w:p>
        <w:p w14:paraId="5D8725C6">
          <w:pPr>
            <w:pStyle w:val="11"/>
            <w:tabs>
              <w:tab w:val="right" w:leader="dot" w:pos="8844"/>
              <w:tab w:val="clear" w:pos="8296"/>
            </w:tabs>
            <w:rPr>
              <w:rFonts w:ascii="宋体" w:hAnsi="宋体" w:eastAsia="宋体" w:cs="宋体"/>
              <w:sz w:val="24"/>
              <w:szCs w:val="24"/>
            </w:rPr>
          </w:pPr>
          <w:r>
            <w:fldChar w:fldCharType="begin"/>
          </w:r>
          <w:r>
            <w:instrText xml:space="preserve"> HYPERLINK \l "_Toc11078" </w:instrText>
          </w:r>
          <w:r>
            <w:fldChar w:fldCharType="separate"/>
          </w:r>
          <w:r>
            <w:rPr>
              <w:rFonts w:hint="eastAsia" w:ascii="宋体" w:hAnsi="宋体" w:eastAsia="宋体" w:cs="宋体"/>
              <w:sz w:val="24"/>
              <w:szCs w:val="24"/>
            </w:rPr>
            <w:t>第二部分 2019年度部门决算情况说明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_Toc11078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AE4986A">
          <w:pPr>
            <w:pStyle w:val="12"/>
            <w:tabs>
              <w:tab w:val="right" w:leader="dot" w:pos="8844"/>
              <w:tab w:val="clear" w:pos="8296"/>
            </w:tabs>
            <w:rPr>
              <w:rFonts w:ascii="宋体" w:hAnsi="宋体" w:cs="宋体"/>
              <w:sz w:val="24"/>
            </w:rPr>
          </w:pPr>
          <w:r>
            <w:fldChar w:fldCharType="begin"/>
          </w:r>
          <w:r>
            <w:instrText xml:space="preserve"> HYPERLINK \l "_Toc1048" </w:instrText>
          </w:r>
          <w:r>
            <w:fldChar w:fldCharType="separate"/>
          </w:r>
          <w:r>
            <w:rPr>
              <w:rFonts w:hint="eastAsia" w:ascii="宋体" w:hAnsi="宋体" w:cs="宋体"/>
              <w:sz w:val="24"/>
            </w:rPr>
            <w:t>一、 收入支出决算总体情况说明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_Toc1048 </w:instrText>
          </w:r>
          <w:r>
            <w:rPr>
              <w:rFonts w:hint="eastAsia" w:ascii="宋体" w:hAnsi="宋体" w:cs="宋体"/>
              <w:sz w:val="24"/>
            </w:rPr>
            <w:fldChar w:fldCharType="separate"/>
          </w:r>
          <w:r>
            <w:rPr>
              <w:rFonts w:hint="eastAsia" w:ascii="宋体" w:hAnsi="宋体" w:cs="宋体"/>
              <w:sz w:val="24"/>
            </w:rPr>
            <w:t>9</w:t>
          </w:r>
          <w:r>
            <w:rPr>
              <w:rFonts w:hint="eastAsia" w:ascii="宋体" w:hAnsi="宋体" w:cs="宋体"/>
              <w:sz w:val="24"/>
            </w:rPr>
            <w:fldChar w:fldCharType="end"/>
          </w:r>
          <w:r>
            <w:rPr>
              <w:rFonts w:hint="eastAsia" w:ascii="宋体" w:hAnsi="宋体" w:cs="宋体"/>
              <w:sz w:val="24"/>
            </w:rPr>
            <w:fldChar w:fldCharType="end"/>
          </w:r>
        </w:p>
        <w:p w14:paraId="12495291">
          <w:pPr>
            <w:pStyle w:val="12"/>
            <w:tabs>
              <w:tab w:val="right" w:leader="dot" w:pos="8844"/>
              <w:tab w:val="clear" w:pos="8296"/>
            </w:tabs>
            <w:rPr>
              <w:rFonts w:ascii="宋体" w:hAnsi="宋体" w:cs="宋体"/>
              <w:sz w:val="24"/>
            </w:rPr>
          </w:pPr>
          <w:r>
            <w:fldChar w:fldCharType="begin"/>
          </w:r>
          <w:r>
            <w:instrText xml:space="preserve"> HYPERLINK \l "_Toc23762" </w:instrText>
          </w:r>
          <w:r>
            <w:fldChar w:fldCharType="separate"/>
          </w:r>
          <w:r>
            <w:rPr>
              <w:rFonts w:hint="eastAsia" w:ascii="宋体" w:hAnsi="宋体" w:cs="宋体"/>
              <w:sz w:val="24"/>
            </w:rPr>
            <w:t>二、 收入决算情况说明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_Toc23762 </w:instrText>
          </w:r>
          <w:r>
            <w:rPr>
              <w:rFonts w:hint="eastAsia" w:ascii="宋体" w:hAnsi="宋体" w:cs="宋体"/>
              <w:sz w:val="24"/>
            </w:rPr>
            <w:fldChar w:fldCharType="separate"/>
          </w:r>
          <w:r>
            <w:rPr>
              <w:rFonts w:hint="eastAsia" w:ascii="宋体" w:hAnsi="宋体" w:cs="宋体"/>
              <w:sz w:val="24"/>
            </w:rPr>
            <w:t>10</w:t>
          </w:r>
          <w:r>
            <w:rPr>
              <w:rFonts w:hint="eastAsia" w:ascii="宋体" w:hAnsi="宋体" w:cs="宋体"/>
              <w:sz w:val="24"/>
            </w:rPr>
            <w:fldChar w:fldCharType="end"/>
          </w:r>
          <w:r>
            <w:rPr>
              <w:rFonts w:hint="eastAsia" w:ascii="宋体" w:hAnsi="宋体" w:cs="宋体"/>
              <w:sz w:val="24"/>
            </w:rPr>
            <w:fldChar w:fldCharType="end"/>
          </w:r>
        </w:p>
        <w:p w14:paraId="30ACD96E">
          <w:pPr>
            <w:pStyle w:val="12"/>
            <w:tabs>
              <w:tab w:val="right" w:leader="dot" w:pos="8844"/>
              <w:tab w:val="clear" w:pos="8296"/>
            </w:tabs>
            <w:rPr>
              <w:rFonts w:ascii="宋体" w:hAnsi="宋体" w:cs="宋体"/>
              <w:sz w:val="24"/>
            </w:rPr>
          </w:pPr>
          <w:r>
            <w:fldChar w:fldCharType="begin"/>
          </w:r>
          <w:r>
            <w:instrText xml:space="preserve"> HYPERLINK \l "_Toc10649" </w:instrText>
          </w:r>
          <w:r>
            <w:fldChar w:fldCharType="separate"/>
          </w:r>
          <w:r>
            <w:rPr>
              <w:rFonts w:hint="eastAsia" w:ascii="宋体" w:hAnsi="宋体" w:cs="宋体"/>
              <w:sz w:val="24"/>
            </w:rPr>
            <w:t>三、 支出决算情况说明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_Toc10649 </w:instrText>
          </w:r>
          <w:r>
            <w:rPr>
              <w:rFonts w:hint="eastAsia" w:ascii="宋体" w:hAnsi="宋体" w:cs="宋体"/>
              <w:sz w:val="24"/>
            </w:rPr>
            <w:fldChar w:fldCharType="separate"/>
          </w:r>
          <w:r>
            <w:rPr>
              <w:rFonts w:hint="eastAsia" w:ascii="宋体" w:hAnsi="宋体" w:cs="宋体"/>
              <w:sz w:val="24"/>
            </w:rPr>
            <w:t>10</w:t>
          </w:r>
          <w:r>
            <w:rPr>
              <w:rFonts w:hint="eastAsia" w:ascii="宋体" w:hAnsi="宋体" w:cs="宋体"/>
              <w:sz w:val="24"/>
            </w:rPr>
            <w:fldChar w:fldCharType="end"/>
          </w:r>
          <w:r>
            <w:rPr>
              <w:rFonts w:hint="eastAsia" w:ascii="宋体" w:hAnsi="宋体" w:cs="宋体"/>
              <w:sz w:val="24"/>
            </w:rPr>
            <w:fldChar w:fldCharType="end"/>
          </w:r>
        </w:p>
        <w:p w14:paraId="73723583">
          <w:pPr>
            <w:pStyle w:val="12"/>
            <w:tabs>
              <w:tab w:val="right" w:leader="dot" w:pos="8844"/>
              <w:tab w:val="clear" w:pos="8296"/>
            </w:tabs>
            <w:rPr>
              <w:rFonts w:ascii="宋体" w:hAnsi="宋体" w:cs="宋体"/>
              <w:sz w:val="24"/>
            </w:rPr>
          </w:pPr>
          <w:r>
            <w:fldChar w:fldCharType="begin"/>
          </w:r>
          <w:r>
            <w:instrText xml:space="preserve"> HYPERLINK \l "_Toc20145" </w:instrText>
          </w:r>
          <w:r>
            <w:fldChar w:fldCharType="separate"/>
          </w:r>
          <w:r>
            <w:rPr>
              <w:rFonts w:hint="eastAsia" w:ascii="宋体" w:hAnsi="宋体" w:cs="宋体"/>
              <w:sz w:val="24"/>
            </w:rPr>
            <w:t>四、财政拨款收入支出决算总体情况说明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_Toc20145 </w:instrText>
          </w:r>
          <w:r>
            <w:rPr>
              <w:rFonts w:hint="eastAsia" w:ascii="宋体" w:hAnsi="宋体" w:cs="宋体"/>
              <w:sz w:val="24"/>
            </w:rPr>
            <w:fldChar w:fldCharType="separate"/>
          </w:r>
          <w:r>
            <w:rPr>
              <w:rFonts w:hint="eastAsia" w:ascii="宋体" w:hAnsi="宋体" w:cs="宋体"/>
              <w:sz w:val="24"/>
            </w:rPr>
            <w:t>11</w:t>
          </w:r>
          <w:r>
            <w:rPr>
              <w:rFonts w:hint="eastAsia" w:ascii="宋体" w:hAnsi="宋体" w:cs="宋体"/>
              <w:sz w:val="24"/>
            </w:rPr>
            <w:fldChar w:fldCharType="end"/>
          </w:r>
          <w:r>
            <w:rPr>
              <w:rFonts w:hint="eastAsia" w:ascii="宋体" w:hAnsi="宋体" w:cs="宋体"/>
              <w:sz w:val="24"/>
            </w:rPr>
            <w:fldChar w:fldCharType="end"/>
          </w:r>
        </w:p>
        <w:p w14:paraId="03D0F771">
          <w:pPr>
            <w:pStyle w:val="12"/>
            <w:tabs>
              <w:tab w:val="right" w:leader="dot" w:pos="8844"/>
              <w:tab w:val="clear" w:pos="8296"/>
            </w:tabs>
            <w:rPr>
              <w:rFonts w:ascii="宋体" w:hAnsi="宋体" w:cs="宋体"/>
              <w:sz w:val="24"/>
            </w:rPr>
          </w:pPr>
          <w:r>
            <w:fldChar w:fldCharType="begin"/>
          </w:r>
          <w:r>
            <w:instrText xml:space="preserve"> HYPERLINK \l "_Toc1372" </w:instrText>
          </w:r>
          <w:r>
            <w:fldChar w:fldCharType="separate"/>
          </w:r>
          <w:r>
            <w:rPr>
              <w:rFonts w:hint="eastAsia" w:ascii="宋体" w:hAnsi="宋体" w:cs="宋体"/>
              <w:sz w:val="24"/>
            </w:rPr>
            <w:t>五、一般公共预算财政拨款支出决算情况说明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_Toc1372 </w:instrText>
          </w:r>
          <w:r>
            <w:rPr>
              <w:rFonts w:hint="eastAsia" w:ascii="宋体" w:hAnsi="宋体" w:cs="宋体"/>
              <w:sz w:val="24"/>
            </w:rPr>
            <w:fldChar w:fldCharType="separate"/>
          </w:r>
          <w:r>
            <w:rPr>
              <w:rFonts w:hint="eastAsia" w:ascii="宋体" w:hAnsi="宋体" w:cs="宋体"/>
              <w:sz w:val="24"/>
            </w:rPr>
            <w:t>12</w:t>
          </w:r>
          <w:r>
            <w:rPr>
              <w:rFonts w:hint="eastAsia" w:ascii="宋体" w:hAnsi="宋体" w:cs="宋体"/>
              <w:sz w:val="24"/>
            </w:rPr>
            <w:fldChar w:fldCharType="end"/>
          </w:r>
          <w:r>
            <w:rPr>
              <w:rFonts w:hint="eastAsia" w:ascii="宋体" w:hAnsi="宋体" w:cs="宋体"/>
              <w:sz w:val="24"/>
            </w:rPr>
            <w:fldChar w:fldCharType="end"/>
          </w:r>
        </w:p>
        <w:p w14:paraId="70E69661">
          <w:pPr>
            <w:pStyle w:val="6"/>
            <w:tabs>
              <w:tab w:val="right" w:leader="dot" w:pos="8844"/>
              <w:tab w:val="clear" w:pos="8296"/>
            </w:tabs>
            <w:rPr>
              <w:rFonts w:ascii="宋体" w:hAnsi="宋体" w:cs="宋体"/>
              <w:sz w:val="24"/>
            </w:rPr>
          </w:pPr>
          <w:r>
            <w:fldChar w:fldCharType="begin"/>
          </w:r>
          <w:r>
            <w:instrText xml:space="preserve"> HYPERLINK \l "_Toc28627" </w:instrText>
          </w:r>
          <w:r>
            <w:fldChar w:fldCharType="separate"/>
          </w:r>
          <w:r>
            <w:rPr>
              <w:rFonts w:hint="eastAsia" w:ascii="宋体" w:hAnsi="宋体" w:cs="宋体"/>
              <w:bCs/>
              <w:sz w:val="24"/>
            </w:rPr>
            <w:t>（一）一般公共预算财政拨款支出决算总体情况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_Toc28627 </w:instrText>
          </w:r>
          <w:r>
            <w:rPr>
              <w:rFonts w:hint="eastAsia" w:ascii="宋体" w:hAnsi="宋体" w:cs="宋体"/>
              <w:sz w:val="24"/>
            </w:rPr>
            <w:fldChar w:fldCharType="separate"/>
          </w:r>
          <w:r>
            <w:rPr>
              <w:rFonts w:hint="eastAsia" w:ascii="宋体" w:hAnsi="宋体" w:cs="宋体"/>
              <w:sz w:val="24"/>
            </w:rPr>
            <w:t>12</w:t>
          </w:r>
          <w:r>
            <w:rPr>
              <w:rFonts w:hint="eastAsia" w:ascii="宋体" w:hAnsi="宋体" w:cs="宋体"/>
              <w:sz w:val="24"/>
            </w:rPr>
            <w:fldChar w:fldCharType="end"/>
          </w:r>
          <w:r>
            <w:rPr>
              <w:rFonts w:hint="eastAsia" w:ascii="宋体" w:hAnsi="宋体" w:cs="宋体"/>
              <w:sz w:val="24"/>
            </w:rPr>
            <w:fldChar w:fldCharType="end"/>
          </w:r>
        </w:p>
        <w:p w14:paraId="4DC58396">
          <w:pPr>
            <w:pStyle w:val="6"/>
            <w:tabs>
              <w:tab w:val="right" w:leader="dot" w:pos="8844"/>
              <w:tab w:val="clear" w:pos="8296"/>
            </w:tabs>
            <w:rPr>
              <w:rFonts w:ascii="宋体" w:hAnsi="宋体" w:cs="宋体"/>
              <w:sz w:val="24"/>
            </w:rPr>
          </w:pPr>
          <w:r>
            <w:fldChar w:fldCharType="begin"/>
          </w:r>
          <w:r>
            <w:instrText xml:space="preserve"> HYPERLINK \l "_Toc23162" </w:instrText>
          </w:r>
          <w:r>
            <w:fldChar w:fldCharType="separate"/>
          </w:r>
          <w:r>
            <w:rPr>
              <w:rFonts w:hint="eastAsia" w:ascii="宋体" w:hAnsi="宋体" w:cs="宋体"/>
              <w:bCs/>
              <w:sz w:val="24"/>
            </w:rPr>
            <w:t>（二）一般公共预算财政拨款支出决算结构情况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_Toc23162 </w:instrText>
          </w:r>
          <w:r>
            <w:rPr>
              <w:rFonts w:hint="eastAsia" w:ascii="宋体" w:hAnsi="宋体" w:cs="宋体"/>
              <w:sz w:val="24"/>
            </w:rPr>
            <w:fldChar w:fldCharType="separate"/>
          </w:r>
          <w:r>
            <w:rPr>
              <w:rFonts w:hint="eastAsia" w:ascii="宋体" w:hAnsi="宋体" w:cs="宋体"/>
              <w:sz w:val="24"/>
            </w:rPr>
            <w:t>12</w:t>
          </w:r>
          <w:r>
            <w:rPr>
              <w:rFonts w:hint="eastAsia" w:ascii="宋体" w:hAnsi="宋体" w:cs="宋体"/>
              <w:sz w:val="24"/>
            </w:rPr>
            <w:fldChar w:fldCharType="end"/>
          </w:r>
          <w:r>
            <w:rPr>
              <w:rFonts w:hint="eastAsia" w:ascii="宋体" w:hAnsi="宋体" w:cs="宋体"/>
              <w:sz w:val="24"/>
            </w:rPr>
            <w:fldChar w:fldCharType="end"/>
          </w:r>
        </w:p>
        <w:p w14:paraId="47EF239E">
          <w:pPr>
            <w:pStyle w:val="6"/>
            <w:tabs>
              <w:tab w:val="right" w:leader="dot" w:pos="8844"/>
              <w:tab w:val="clear" w:pos="8296"/>
            </w:tabs>
            <w:rPr>
              <w:rFonts w:ascii="宋体" w:hAnsi="宋体" w:cs="宋体"/>
              <w:sz w:val="24"/>
            </w:rPr>
          </w:pPr>
          <w:r>
            <w:fldChar w:fldCharType="begin"/>
          </w:r>
          <w:r>
            <w:instrText xml:space="preserve"> HYPERLINK \l "_Toc23567" </w:instrText>
          </w:r>
          <w:r>
            <w:fldChar w:fldCharType="separate"/>
          </w:r>
          <w:r>
            <w:rPr>
              <w:rFonts w:hint="eastAsia" w:ascii="宋体" w:hAnsi="宋体" w:cs="宋体"/>
              <w:bCs/>
              <w:sz w:val="24"/>
            </w:rPr>
            <w:t>（三）一般公共预算财政拨款支出决算具体情况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_Toc23567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14:paraId="1A526855">
          <w:pPr>
            <w:pStyle w:val="12"/>
            <w:tabs>
              <w:tab w:val="right" w:leader="dot" w:pos="8844"/>
              <w:tab w:val="clear" w:pos="8296"/>
            </w:tabs>
            <w:rPr>
              <w:rFonts w:ascii="宋体" w:hAnsi="宋体" w:cs="宋体"/>
              <w:sz w:val="24"/>
            </w:rPr>
          </w:pPr>
          <w:r>
            <w:fldChar w:fldCharType="begin"/>
          </w:r>
          <w:r>
            <w:instrText xml:space="preserve"> HYPERLINK \l "_Toc30008" </w:instrText>
          </w:r>
          <w:r>
            <w:fldChar w:fldCharType="separate"/>
          </w:r>
          <w:r>
            <w:rPr>
              <w:rFonts w:hint="eastAsia" w:ascii="宋体" w:hAnsi="宋体" w:cs="宋体"/>
              <w:sz w:val="24"/>
            </w:rPr>
            <w:t>六、一般公共预算财政拨款基本支出决算情况说明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_Toc30008 </w:instrText>
          </w:r>
          <w:r>
            <w:rPr>
              <w:rFonts w:hint="eastAsia" w:ascii="宋体" w:hAnsi="宋体" w:cs="宋体"/>
              <w:sz w:val="24"/>
            </w:rPr>
            <w:fldChar w:fldCharType="separate"/>
          </w:r>
          <w:r>
            <w:rPr>
              <w:rFonts w:hint="eastAsia" w:ascii="宋体" w:hAnsi="宋体" w:cs="宋体"/>
              <w:sz w:val="24"/>
            </w:rPr>
            <w:t>14</w:t>
          </w:r>
          <w:r>
            <w:rPr>
              <w:rFonts w:hint="eastAsia" w:ascii="宋体" w:hAnsi="宋体" w:cs="宋体"/>
              <w:sz w:val="24"/>
            </w:rPr>
            <w:fldChar w:fldCharType="end"/>
          </w:r>
          <w:r>
            <w:rPr>
              <w:rFonts w:hint="eastAsia" w:ascii="宋体" w:hAnsi="宋体" w:cs="宋体"/>
              <w:sz w:val="24"/>
            </w:rPr>
            <w:fldChar w:fldCharType="end"/>
          </w:r>
        </w:p>
        <w:p w14:paraId="7420E2D8">
          <w:pPr>
            <w:pStyle w:val="12"/>
            <w:tabs>
              <w:tab w:val="right" w:leader="dot" w:pos="8844"/>
              <w:tab w:val="clear" w:pos="8296"/>
            </w:tabs>
            <w:rPr>
              <w:rFonts w:ascii="宋体" w:hAnsi="宋体" w:cs="宋体"/>
              <w:sz w:val="24"/>
            </w:rPr>
          </w:pPr>
          <w:r>
            <w:fldChar w:fldCharType="begin"/>
          </w:r>
          <w:r>
            <w:instrText xml:space="preserve"> HYPERLINK \l "_Toc16390" </w:instrText>
          </w:r>
          <w:r>
            <w:fldChar w:fldCharType="separate"/>
          </w:r>
          <w:r>
            <w:rPr>
              <w:rFonts w:hint="eastAsia" w:ascii="宋体" w:hAnsi="宋体" w:cs="宋体"/>
              <w:sz w:val="24"/>
            </w:rPr>
            <w:t>七、“三公”经费财政拨款支出决算情况说明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_Toc16390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14:paraId="441CA571">
          <w:pPr>
            <w:pStyle w:val="6"/>
            <w:tabs>
              <w:tab w:val="right" w:leader="dot" w:pos="8844"/>
              <w:tab w:val="clear" w:pos="8296"/>
            </w:tabs>
            <w:rPr>
              <w:rFonts w:ascii="宋体" w:hAnsi="宋体" w:cs="宋体"/>
              <w:sz w:val="24"/>
            </w:rPr>
          </w:pPr>
          <w:r>
            <w:fldChar w:fldCharType="begin"/>
          </w:r>
          <w:r>
            <w:instrText xml:space="preserve"> HYPERLINK \l "_Toc14207" </w:instrText>
          </w:r>
          <w:r>
            <w:fldChar w:fldCharType="separate"/>
          </w:r>
          <w:r>
            <w:rPr>
              <w:rFonts w:hint="eastAsia" w:ascii="宋体" w:hAnsi="宋体" w:cs="宋体"/>
              <w:sz w:val="24"/>
            </w:rPr>
            <w:t>（一）“三公”经费财政拨款支出决算总体情况说明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_Toc14207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14:paraId="4FA07001">
          <w:pPr>
            <w:pStyle w:val="6"/>
            <w:tabs>
              <w:tab w:val="right" w:leader="dot" w:pos="8844"/>
              <w:tab w:val="clear" w:pos="8296"/>
            </w:tabs>
            <w:rPr>
              <w:rFonts w:ascii="宋体" w:hAnsi="宋体" w:cs="宋体"/>
              <w:sz w:val="24"/>
            </w:rPr>
          </w:pPr>
          <w:r>
            <w:fldChar w:fldCharType="begin"/>
          </w:r>
          <w:r>
            <w:instrText xml:space="preserve"> HYPERLINK \l "_Toc5469" </w:instrText>
          </w:r>
          <w:r>
            <w:fldChar w:fldCharType="separate"/>
          </w:r>
          <w:r>
            <w:rPr>
              <w:rFonts w:hint="eastAsia" w:ascii="宋体" w:hAnsi="宋体" w:cs="宋体"/>
              <w:sz w:val="24"/>
            </w:rPr>
            <w:t>（二）“三公”经费财政拨款支出决算具体情况说明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_Toc5469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14:paraId="00F11584">
          <w:pPr>
            <w:pStyle w:val="12"/>
            <w:tabs>
              <w:tab w:val="right" w:leader="dot" w:pos="8844"/>
              <w:tab w:val="clear" w:pos="8296"/>
            </w:tabs>
            <w:rPr>
              <w:rFonts w:ascii="宋体" w:hAnsi="宋体" w:cs="宋体"/>
              <w:sz w:val="24"/>
            </w:rPr>
          </w:pPr>
          <w:r>
            <w:fldChar w:fldCharType="begin"/>
          </w:r>
          <w:r>
            <w:instrText xml:space="preserve"> HYPERLINK \l "_Toc10077" </w:instrText>
          </w:r>
          <w:r>
            <w:fldChar w:fldCharType="separate"/>
          </w:r>
          <w:r>
            <w:rPr>
              <w:rFonts w:hint="eastAsia" w:ascii="宋体" w:hAnsi="宋体" w:cs="宋体"/>
              <w:sz w:val="24"/>
            </w:rPr>
            <w:t>八、政府性基金预算支出决算情况说明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_Toc10077 </w:instrText>
          </w:r>
          <w:r>
            <w:rPr>
              <w:rFonts w:hint="eastAsia" w:ascii="宋体" w:hAnsi="宋体" w:cs="宋体"/>
              <w:sz w:val="24"/>
            </w:rPr>
            <w:fldChar w:fldCharType="separate"/>
          </w:r>
          <w:r>
            <w:rPr>
              <w:rFonts w:hint="eastAsia" w:ascii="宋体" w:hAnsi="宋体" w:cs="宋体"/>
              <w:sz w:val="24"/>
            </w:rPr>
            <w:t>17</w:t>
          </w:r>
          <w:r>
            <w:rPr>
              <w:rFonts w:hint="eastAsia" w:ascii="宋体" w:hAnsi="宋体" w:cs="宋体"/>
              <w:sz w:val="24"/>
            </w:rPr>
            <w:fldChar w:fldCharType="end"/>
          </w:r>
          <w:r>
            <w:rPr>
              <w:rFonts w:hint="eastAsia" w:ascii="宋体" w:hAnsi="宋体" w:cs="宋体"/>
              <w:sz w:val="24"/>
            </w:rPr>
            <w:fldChar w:fldCharType="end"/>
          </w:r>
        </w:p>
        <w:p w14:paraId="5BCA7D17">
          <w:pPr>
            <w:pStyle w:val="12"/>
            <w:tabs>
              <w:tab w:val="right" w:leader="dot" w:pos="8844"/>
              <w:tab w:val="clear" w:pos="8296"/>
            </w:tabs>
            <w:rPr>
              <w:rFonts w:ascii="宋体" w:hAnsi="宋体" w:cs="宋体"/>
              <w:sz w:val="24"/>
            </w:rPr>
          </w:pPr>
          <w:r>
            <w:fldChar w:fldCharType="begin"/>
          </w:r>
          <w:r>
            <w:instrText xml:space="preserve"> HYPERLINK \l "_Toc6109" </w:instrText>
          </w:r>
          <w:r>
            <w:fldChar w:fldCharType="separate"/>
          </w:r>
          <w:r>
            <w:rPr>
              <w:rFonts w:hint="eastAsia" w:ascii="宋体" w:hAnsi="宋体" w:cs="宋体"/>
              <w:sz w:val="24"/>
            </w:rPr>
            <w:t>九、 国有资本经营预算支出决算情况说明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_Toc6109 </w:instrText>
          </w:r>
          <w:r>
            <w:rPr>
              <w:rFonts w:hint="eastAsia" w:ascii="宋体" w:hAnsi="宋体" w:cs="宋体"/>
              <w:sz w:val="24"/>
            </w:rPr>
            <w:fldChar w:fldCharType="separate"/>
          </w:r>
          <w:r>
            <w:rPr>
              <w:rFonts w:hint="eastAsia" w:ascii="宋体" w:hAnsi="宋体" w:cs="宋体"/>
              <w:sz w:val="24"/>
            </w:rPr>
            <w:t>17</w:t>
          </w:r>
          <w:r>
            <w:rPr>
              <w:rFonts w:hint="eastAsia" w:ascii="宋体" w:hAnsi="宋体" w:cs="宋体"/>
              <w:sz w:val="24"/>
            </w:rPr>
            <w:fldChar w:fldCharType="end"/>
          </w:r>
          <w:r>
            <w:rPr>
              <w:rFonts w:hint="eastAsia" w:ascii="宋体" w:hAnsi="宋体" w:cs="宋体"/>
              <w:sz w:val="24"/>
            </w:rPr>
            <w:fldChar w:fldCharType="end"/>
          </w:r>
        </w:p>
        <w:p w14:paraId="7B5C3BB6">
          <w:pPr>
            <w:pStyle w:val="12"/>
            <w:tabs>
              <w:tab w:val="right" w:leader="dot" w:pos="8844"/>
              <w:tab w:val="clear" w:pos="8296"/>
            </w:tabs>
            <w:rPr>
              <w:rFonts w:ascii="宋体" w:hAnsi="宋体" w:cs="宋体"/>
              <w:sz w:val="24"/>
            </w:rPr>
          </w:pPr>
          <w:r>
            <w:fldChar w:fldCharType="begin"/>
          </w:r>
          <w:r>
            <w:instrText xml:space="preserve"> HYPERLINK \l "_Toc32078" </w:instrText>
          </w:r>
          <w:r>
            <w:fldChar w:fldCharType="separate"/>
          </w:r>
          <w:r>
            <w:rPr>
              <w:rFonts w:hint="eastAsia" w:ascii="宋体" w:hAnsi="宋体" w:cs="宋体"/>
              <w:sz w:val="24"/>
            </w:rPr>
            <w:t>十、 其他重要事项的情况说明</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_Toc32078 </w:instrText>
          </w:r>
          <w:r>
            <w:rPr>
              <w:rFonts w:hint="eastAsia" w:ascii="宋体" w:hAnsi="宋体" w:cs="宋体"/>
              <w:sz w:val="24"/>
            </w:rPr>
            <w:fldChar w:fldCharType="separate"/>
          </w:r>
          <w:r>
            <w:rPr>
              <w:rFonts w:hint="eastAsia" w:ascii="宋体" w:hAnsi="宋体" w:cs="宋体"/>
              <w:sz w:val="24"/>
            </w:rPr>
            <w:t>17</w:t>
          </w:r>
          <w:r>
            <w:rPr>
              <w:rFonts w:hint="eastAsia" w:ascii="宋体" w:hAnsi="宋体" w:cs="宋体"/>
              <w:sz w:val="24"/>
            </w:rPr>
            <w:fldChar w:fldCharType="end"/>
          </w:r>
          <w:r>
            <w:rPr>
              <w:rFonts w:hint="eastAsia" w:ascii="宋体" w:hAnsi="宋体" w:cs="宋体"/>
              <w:sz w:val="24"/>
            </w:rPr>
            <w:fldChar w:fldCharType="end"/>
          </w:r>
        </w:p>
        <w:p w14:paraId="0AFD9A96">
          <w:pPr>
            <w:pStyle w:val="6"/>
            <w:tabs>
              <w:tab w:val="right" w:leader="dot" w:pos="8844"/>
              <w:tab w:val="clear" w:pos="8296"/>
            </w:tabs>
            <w:rPr>
              <w:rFonts w:ascii="宋体" w:hAnsi="宋体" w:cs="宋体"/>
              <w:sz w:val="24"/>
            </w:rPr>
          </w:pPr>
          <w:r>
            <w:fldChar w:fldCharType="begin"/>
          </w:r>
          <w:r>
            <w:instrText xml:space="preserve"> HYPERLINK \l "_Toc21337" </w:instrText>
          </w:r>
          <w:r>
            <w:fldChar w:fldCharType="separate"/>
          </w:r>
          <w:r>
            <w:rPr>
              <w:rFonts w:hint="eastAsia" w:ascii="宋体" w:hAnsi="宋体" w:cs="宋体"/>
              <w:sz w:val="24"/>
            </w:rPr>
            <w:t>（一）机关运行经费支出情况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_Toc21337 </w:instrText>
          </w:r>
          <w:r>
            <w:rPr>
              <w:rFonts w:hint="eastAsia" w:ascii="宋体" w:hAnsi="宋体" w:cs="宋体"/>
              <w:sz w:val="24"/>
            </w:rPr>
            <w:fldChar w:fldCharType="separate"/>
          </w:r>
          <w:r>
            <w:rPr>
              <w:rFonts w:hint="eastAsia" w:ascii="宋体" w:hAnsi="宋体" w:cs="宋体"/>
              <w:sz w:val="24"/>
            </w:rPr>
            <w:t>18</w:t>
          </w:r>
          <w:r>
            <w:rPr>
              <w:rFonts w:hint="eastAsia" w:ascii="宋体" w:hAnsi="宋体" w:cs="宋体"/>
              <w:sz w:val="24"/>
            </w:rPr>
            <w:fldChar w:fldCharType="end"/>
          </w:r>
          <w:r>
            <w:rPr>
              <w:rFonts w:hint="eastAsia" w:ascii="宋体" w:hAnsi="宋体" w:cs="宋体"/>
              <w:sz w:val="24"/>
            </w:rPr>
            <w:fldChar w:fldCharType="end"/>
          </w:r>
        </w:p>
        <w:p w14:paraId="2553D595">
          <w:pPr>
            <w:pStyle w:val="6"/>
            <w:tabs>
              <w:tab w:val="right" w:leader="dot" w:pos="8844"/>
              <w:tab w:val="clear" w:pos="8296"/>
            </w:tabs>
            <w:rPr>
              <w:rFonts w:ascii="宋体" w:hAnsi="宋体" w:cs="宋体"/>
              <w:sz w:val="24"/>
            </w:rPr>
          </w:pPr>
          <w:r>
            <w:fldChar w:fldCharType="begin"/>
          </w:r>
          <w:r>
            <w:instrText xml:space="preserve"> HYPERLINK \l "_Toc31891" </w:instrText>
          </w:r>
          <w:r>
            <w:fldChar w:fldCharType="separate"/>
          </w:r>
          <w:r>
            <w:rPr>
              <w:rFonts w:hint="eastAsia" w:ascii="宋体" w:hAnsi="宋体" w:cs="宋体"/>
              <w:sz w:val="24"/>
            </w:rPr>
            <w:t>（二）政府采购支出情况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_Toc31891 </w:instrText>
          </w:r>
          <w:r>
            <w:rPr>
              <w:rFonts w:hint="eastAsia" w:ascii="宋体" w:hAnsi="宋体" w:cs="宋体"/>
              <w:sz w:val="24"/>
            </w:rPr>
            <w:fldChar w:fldCharType="separate"/>
          </w:r>
          <w:r>
            <w:rPr>
              <w:rFonts w:hint="eastAsia" w:ascii="宋体" w:hAnsi="宋体" w:cs="宋体"/>
              <w:sz w:val="24"/>
            </w:rPr>
            <w:t>18</w:t>
          </w:r>
          <w:r>
            <w:rPr>
              <w:rFonts w:hint="eastAsia" w:ascii="宋体" w:hAnsi="宋体" w:cs="宋体"/>
              <w:sz w:val="24"/>
            </w:rPr>
            <w:fldChar w:fldCharType="end"/>
          </w:r>
          <w:r>
            <w:rPr>
              <w:rFonts w:hint="eastAsia" w:ascii="宋体" w:hAnsi="宋体" w:cs="宋体"/>
              <w:sz w:val="24"/>
            </w:rPr>
            <w:fldChar w:fldCharType="end"/>
          </w:r>
        </w:p>
        <w:p w14:paraId="198F4DD1">
          <w:pPr>
            <w:pStyle w:val="6"/>
            <w:tabs>
              <w:tab w:val="right" w:leader="dot" w:pos="8844"/>
              <w:tab w:val="clear" w:pos="8296"/>
            </w:tabs>
            <w:rPr>
              <w:rFonts w:ascii="宋体" w:hAnsi="宋体" w:cs="宋体"/>
              <w:sz w:val="24"/>
            </w:rPr>
          </w:pPr>
          <w:r>
            <w:fldChar w:fldCharType="begin"/>
          </w:r>
          <w:r>
            <w:instrText xml:space="preserve"> HYPERLINK \l "_Toc903" </w:instrText>
          </w:r>
          <w:r>
            <w:fldChar w:fldCharType="separate"/>
          </w:r>
          <w:r>
            <w:rPr>
              <w:rFonts w:hint="eastAsia" w:ascii="宋体" w:hAnsi="宋体" w:cs="宋体"/>
              <w:sz w:val="24"/>
            </w:rPr>
            <w:t>（三）国有资产占有使用情况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_Toc903 </w:instrText>
          </w:r>
          <w:r>
            <w:rPr>
              <w:rFonts w:hint="eastAsia" w:ascii="宋体" w:hAnsi="宋体" w:cs="宋体"/>
              <w:sz w:val="24"/>
            </w:rPr>
            <w:fldChar w:fldCharType="separate"/>
          </w:r>
          <w:r>
            <w:rPr>
              <w:rFonts w:hint="eastAsia" w:ascii="宋体" w:hAnsi="宋体" w:cs="宋体"/>
              <w:sz w:val="24"/>
            </w:rPr>
            <w:t>18</w:t>
          </w:r>
          <w:r>
            <w:rPr>
              <w:rFonts w:hint="eastAsia" w:ascii="宋体" w:hAnsi="宋体" w:cs="宋体"/>
              <w:sz w:val="24"/>
            </w:rPr>
            <w:fldChar w:fldCharType="end"/>
          </w:r>
          <w:r>
            <w:rPr>
              <w:rFonts w:hint="eastAsia" w:ascii="宋体" w:hAnsi="宋体" w:cs="宋体"/>
              <w:sz w:val="24"/>
            </w:rPr>
            <w:fldChar w:fldCharType="end"/>
          </w:r>
        </w:p>
        <w:p w14:paraId="75823574">
          <w:pPr>
            <w:pStyle w:val="6"/>
            <w:tabs>
              <w:tab w:val="right" w:leader="dot" w:pos="8844"/>
              <w:tab w:val="clear" w:pos="8296"/>
            </w:tabs>
            <w:rPr>
              <w:rFonts w:ascii="宋体" w:hAnsi="宋体" w:cs="宋体"/>
              <w:sz w:val="24"/>
            </w:rPr>
          </w:pPr>
          <w:r>
            <w:fldChar w:fldCharType="begin"/>
          </w:r>
          <w:r>
            <w:instrText xml:space="preserve"> HYPERLINK \l "_Toc6319" </w:instrText>
          </w:r>
          <w:r>
            <w:fldChar w:fldCharType="separate"/>
          </w:r>
          <w:r>
            <w:rPr>
              <w:rFonts w:hint="eastAsia" w:ascii="宋体" w:hAnsi="宋体" w:cs="宋体"/>
              <w:sz w:val="24"/>
            </w:rPr>
            <w:t>（四）预算绩效管理情况</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_Toc6319 </w:instrText>
          </w:r>
          <w:r>
            <w:rPr>
              <w:rFonts w:hint="eastAsia" w:ascii="宋体" w:hAnsi="宋体" w:cs="宋体"/>
              <w:sz w:val="24"/>
            </w:rPr>
            <w:fldChar w:fldCharType="separate"/>
          </w:r>
          <w:r>
            <w:rPr>
              <w:rFonts w:hint="eastAsia" w:ascii="宋体" w:hAnsi="宋体" w:cs="宋体"/>
              <w:sz w:val="24"/>
            </w:rPr>
            <w:t>18</w:t>
          </w:r>
          <w:r>
            <w:rPr>
              <w:rFonts w:hint="eastAsia" w:ascii="宋体" w:hAnsi="宋体" w:cs="宋体"/>
              <w:sz w:val="24"/>
            </w:rPr>
            <w:fldChar w:fldCharType="end"/>
          </w:r>
          <w:r>
            <w:rPr>
              <w:rFonts w:hint="eastAsia" w:ascii="宋体" w:hAnsi="宋体" w:cs="宋体"/>
              <w:sz w:val="24"/>
            </w:rPr>
            <w:fldChar w:fldCharType="end"/>
          </w:r>
        </w:p>
        <w:p w14:paraId="7BE155D8">
          <w:pPr>
            <w:pStyle w:val="12"/>
            <w:tabs>
              <w:tab w:val="right" w:leader="dot" w:pos="8844"/>
              <w:tab w:val="clear" w:pos="8296"/>
            </w:tabs>
            <w:ind w:firstLine="420" w:firstLineChars="200"/>
            <w:rPr>
              <w:rFonts w:ascii="宋体" w:hAnsi="宋体" w:cs="宋体"/>
              <w:sz w:val="24"/>
            </w:rPr>
          </w:pPr>
          <w:r>
            <w:fldChar w:fldCharType="begin"/>
          </w:r>
          <w:r>
            <w:instrText xml:space="preserve"> HYPERLINK \l "_Toc1369" </w:instrText>
          </w:r>
          <w:r>
            <w:fldChar w:fldCharType="separate"/>
          </w:r>
          <w:r>
            <w:rPr>
              <w:rFonts w:hint="eastAsia" w:ascii="宋体" w:hAnsi="宋体" w:cs="宋体"/>
              <w:bCs/>
              <w:kern w:val="0"/>
              <w:sz w:val="24"/>
            </w:rPr>
            <w:t>2019年“维护农民权益业务费”项目绩效目标完成表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_Toc1369 </w:instrText>
          </w:r>
          <w:r>
            <w:rPr>
              <w:rFonts w:hint="eastAsia" w:ascii="宋体" w:hAnsi="宋体" w:cs="宋体"/>
              <w:sz w:val="24"/>
            </w:rPr>
            <w:fldChar w:fldCharType="separate"/>
          </w:r>
          <w:r>
            <w:rPr>
              <w:rFonts w:hint="eastAsia" w:ascii="宋体" w:hAnsi="宋体" w:cs="宋体"/>
              <w:sz w:val="24"/>
            </w:rPr>
            <w:t>22</w:t>
          </w:r>
          <w:r>
            <w:rPr>
              <w:rFonts w:hint="eastAsia" w:ascii="宋体" w:hAnsi="宋体" w:cs="宋体"/>
              <w:sz w:val="24"/>
            </w:rPr>
            <w:fldChar w:fldCharType="end"/>
          </w:r>
          <w:r>
            <w:rPr>
              <w:rFonts w:hint="eastAsia" w:ascii="宋体" w:hAnsi="宋体" w:cs="宋体"/>
              <w:sz w:val="24"/>
            </w:rPr>
            <w:fldChar w:fldCharType="end"/>
          </w:r>
        </w:p>
        <w:p w14:paraId="1382A4D6">
          <w:pPr>
            <w:pStyle w:val="12"/>
            <w:tabs>
              <w:tab w:val="right" w:leader="dot" w:pos="8844"/>
              <w:tab w:val="clear" w:pos="8296"/>
            </w:tabs>
            <w:ind w:firstLine="420" w:firstLineChars="200"/>
            <w:rPr>
              <w:rFonts w:ascii="宋体" w:hAnsi="宋体" w:cs="宋体"/>
              <w:sz w:val="24"/>
            </w:rPr>
          </w:pPr>
          <w:r>
            <w:fldChar w:fldCharType="begin"/>
          </w:r>
          <w:r>
            <w:instrText xml:space="preserve"> HYPERLINK \l "_Toc31847" </w:instrText>
          </w:r>
          <w:r>
            <w:fldChar w:fldCharType="separate"/>
          </w:r>
          <w:r>
            <w:rPr>
              <w:rFonts w:hint="eastAsia" w:ascii="宋体" w:hAnsi="宋体" w:cs="宋体"/>
              <w:bCs/>
              <w:kern w:val="0"/>
              <w:sz w:val="24"/>
            </w:rPr>
            <w:t>2019年“军转干部社保”项目绩效目标完成表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_Toc31847 </w:instrText>
          </w:r>
          <w:r>
            <w:rPr>
              <w:rFonts w:hint="eastAsia" w:ascii="宋体" w:hAnsi="宋体" w:cs="宋体"/>
              <w:sz w:val="24"/>
            </w:rPr>
            <w:fldChar w:fldCharType="separate"/>
          </w:r>
          <w:r>
            <w:rPr>
              <w:rFonts w:hint="eastAsia" w:ascii="宋体" w:hAnsi="宋体" w:cs="宋体"/>
              <w:sz w:val="24"/>
            </w:rPr>
            <w:t>23</w:t>
          </w:r>
          <w:r>
            <w:rPr>
              <w:rFonts w:hint="eastAsia" w:ascii="宋体" w:hAnsi="宋体" w:cs="宋体"/>
              <w:sz w:val="24"/>
            </w:rPr>
            <w:fldChar w:fldCharType="end"/>
          </w:r>
          <w:r>
            <w:rPr>
              <w:rFonts w:hint="eastAsia" w:ascii="宋体" w:hAnsi="宋体" w:cs="宋体"/>
              <w:sz w:val="24"/>
            </w:rPr>
            <w:fldChar w:fldCharType="end"/>
          </w:r>
        </w:p>
        <w:p w14:paraId="595DDC7C">
          <w:pPr>
            <w:pStyle w:val="12"/>
            <w:tabs>
              <w:tab w:val="right" w:leader="dot" w:pos="8844"/>
              <w:tab w:val="clear" w:pos="8296"/>
            </w:tabs>
            <w:ind w:firstLine="420" w:firstLineChars="200"/>
            <w:rPr>
              <w:rFonts w:ascii="宋体" w:hAnsi="宋体" w:cs="宋体"/>
              <w:sz w:val="24"/>
            </w:rPr>
          </w:pPr>
          <w:r>
            <w:fldChar w:fldCharType="begin"/>
          </w:r>
          <w:r>
            <w:instrText xml:space="preserve"> HYPERLINK \l "_Toc23498" </w:instrText>
          </w:r>
          <w:r>
            <w:fldChar w:fldCharType="separate"/>
          </w:r>
          <w:r>
            <w:rPr>
              <w:rFonts w:hint="eastAsia" w:ascii="宋体" w:hAnsi="宋体" w:cs="宋体"/>
              <w:bCs/>
              <w:kern w:val="0"/>
              <w:sz w:val="24"/>
            </w:rPr>
            <w:t>2019年“金保网络专项经费”项目绩效目标完成表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_Toc23498 </w:instrText>
          </w:r>
          <w:r>
            <w:rPr>
              <w:rFonts w:hint="eastAsia" w:ascii="宋体" w:hAnsi="宋体" w:cs="宋体"/>
              <w:sz w:val="24"/>
            </w:rPr>
            <w:fldChar w:fldCharType="separate"/>
          </w:r>
          <w:r>
            <w:rPr>
              <w:rFonts w:hint="eastAsia" w:ascii="宋体" w:hAnsi="宋体" w:cs="宋体"/>
              <w:sz w:val="24"/>
            </w:rPr>
            <w:t>24</w:t>
          </w:r>
          <w:r>
            <w:rPr>
              <w:rFonts w:hint="eastAsia" w:ascii="宋体" w:hAnsi="宋体" w:cs="宋体"/>
              <w:sz w:val="24"/>
            </w:rPr>
            <w:fldChar w:fldCharType="end"/>
          </w:r>
          <w:r>
            <w:rPr>
              <w:rFonts w:hint="eastAsia" w:ascii="宋体" w:hAnsi="宋体" w:cs="宋体"/>
              <w:sz w:val="24"/>
            </w:rPr>
            <w:fldChar w:fldCharType="end"/>
          </w:r>
        </w:p>
        <w:p w14:paraId="7A887CEB">
          <w:pPr>
            <w:pStyle w:val="12"/>
            <w:tabs>
              <w:tab w:val="right" w:leader="dot" w:pos="8844"/>
              <w:tab w:val="clear" w:pos="8296"/>
            </w:tabs>
            <w:ind w:firstLine="420" w:firstLineChars="200"/>
            <w:rPr>
              <w:rFonts w:ascii="宋体" w:hAnsi="宋体" w:cs="宋体"/>
              <w:sz w:val="24"/>
            </w:rPr>
          </w:pPr>
          <w:r>
            <w:fldChar w:fldCharType="begin"/>
          </w:r>
          <w:r>
            <w:instrText xml:space="preserve"> HYPERLINK \l "_Toc15590" </w:instrText>
          </w:r>
          <w:r>
            <w:fldChar w:fldCharType="separate"/>
          </w:r>
          <w:r>
            <w:rPr>
              <w:rFonts w:hint="eastAsia" w:ascii="宋体" w:hAnsi="宋体" w:cs="宋体"/>
              <w:bCs/>
              <w:spacing w:val="-6"/>
              <w:kern w:val="0"/>
              <w:sz w:val="24"/>
            </w:rPr>
            <w:t>2019年“劳动和谐关系协调业务费”项目绩效目标完成表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_Toc15590 </w:instrText>
          </w:r>
          <w:r>
            <w:rPr>
              <w:rFonts w:hint="eastAsia" w:ascii="宋体" w:hAnsi="宋体" w:cs="宋体"/>
              <w:sz w:val="24"/>
            </w:rPr>
            <w:fldChar w:fldCharType="separate"/>
          </w:r>
          <w:r>
            <w:rPr>
              <w:rFonts w:hint="eastAsia" w:ascii="宋体" w:hAnsi="宋体" w:cs="宋体"/>
              <w:sz w:val="24"/>
            </w:rPr>
            <w:t>26</w:t>
          </w:r>
          <w:r>
            <w:rPr>
              <w:rFonts w:hint="eastAsia" w:ascii="宋体" w:hAnsi="宋体" w:cs="宋体"/>
              <w:sz w:val="24"/>
            </w:rPr>
            <w:fldChar w:fldCharType="end"/>
          </w:r>
          <w:r>
            <w:rPr>
              <w:rFonts w:hint="eastAsia" w:ascii="宋体" w:hAnsi="宋体" w:cs="宋体"/>
              <w:sz w:val="24"/>
            </w:rPr>
            <w:fldChar w:fldCharType="end"/>
          </w:r>
        </w:p>
        <w:p w14:paraId="1F1DA695">
          <w:pPr>
            <w:pStyle w:val="12"/>
            <w:tabs>
              <w:tab w:val="right" w:leader="dot" w:pos="8844"/>
              <w:tab w:val="clear" w:pos="8296"/>
            </w:tabs>
            <w:ind w:firstLine="420" w:firstLineChars="200"/>
            <w:rPr>
              <w:rFonts w:ascii="宋体" w:hAnsi="宋体" w:cs="宋体"/>
              <w:sz w:val="24"/>
            </w:rPr>
          </w:pPr>
          <w:r>
            <w:fldChar w:fldCharType="begin"/>
          </w:r>
          <w:r>
            <w:instrText xml:space="preserve"> HYPERLINK \l "_Toc29942" </w:instrText>
          </w:r>
          <w:r>
            <w:fldChar w:fldCharType="separate"/>
          </w:r>
          <w:r>
            <w:rPr>
              <w:rFonts w:hint="eastAsia" w:ascii="宋体" w:hAnsi="宋体" w:cs="宋体"/>
              <w:bCs/>
              <w:spacing w:val="-6"/>
              <w:kern w:val="0"/>
              <w:sz w:val="24"/>
            </w:rPr>
            <w:t>2019年“劳动保障协理员人员经费”项目绩效目标完成表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_Toc29942 </w:instrText>
          </w:r>
          <w:r>
            <w:rPr>
              <w:rFonts w:hint="eastAsia" w:ascii="宋体" w:hAnsi="宋体" w:cs="宋体"/>
              <w:sz w:val="24"/>
            </w:rPr>
            <w:fldChar w:fldCharType="separate"/>
          </w:r>
          <w:r>
            <w:rPr>
              <w:rFonts w:hint="eastAsia" w:ascii="宋体" w:hAnsi="宋体" w:cs="宋体"/>
              <w:sz w:val="24"/>
            </w:rPr>
            <w:t>27</w:t>
          </w:r>
          <w:r>
            <w:rPr>
              <w:rFonts w:hint="eastAsia" w:ascii="宋体" w:hAnsi="宋体" w:cs="宋体"/>
              <w:sz w:val="24"/>
            </w:rPr>
            <w:fldChar w:fldCharType="end"/>
          </w:r>
          <w:r>
            <w:rPr>
              <w:rFonts w:hint="eastAsia" w:ascii="宋体" w:hAnsi="宋体" w:cs="宋体"/>
              <w:sz w:val="24"/>
            </w:rPr>
            <w:fldChar w:fldCharType="end"/>
          </w:r>
        </w:p>
        <w:p w14:paraId="32B23AB7">
          <w:pPr>
            <w:pStyle w:val="11"/>
            <w:tabs>
              <w:tab w:val="right" w:leader="dot" w:pos="8844"/>
              <w:tab w:val="clear" w:pos="8296"/>
            </w:tabs>
            <w:rPr>
              <w:rFonts w:ascii="宋体" w:hAnsi="宋体" w:eastAsia="宋体" w:cs="宋体"/>
              <w:sz w:val="24"/>
              <w:szCs w:val="24"/>
            </w:rPr>
          </w:pPr>
          <w:r>
            <w:rPr>
              <w:rFonts w:hint="eastAsia" w:ascii="宋体" w:hAnsi="宋体" w:eastAsia="宋体" w:cs="宋体"/>
              <w:sz w:val="24"/>
              <w:szCs w:val="24"/>
            </w:rPr>
            <w:t xml:space="preserve"> </w:t>
          </w:r>
          <w:r>
            <w:fldChar w:fldCharType="begin"/>
          </w:r>
          <w:r>
            <w:instrText xml:space="preserve"> HYPERLINK \l "_Toc28430" </w:instrText>
          </w:r>
          <w:r>
            <w:fldChar w:fldCharType="separate"/>
          </w:r>
          <w:r>
            <w:rPr>
              <w:rFonts w:hint="eastAsia" w:ascii="宋体" w:hAnsi="宋体" w:eastAsia="宋体" w:cs="宋体"/>
              <w:sz w:val="24"/>
              <w:szCs w:val="24"/>
            </w:rPr>
            <w:t>第三部分 名词解释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_Toc28430 </w:instrText>
          </w:r>
          <w:r>
            <w:rPr>
              <w:rFonts w:hint="eastAsia" w:ascii="宋体" w:hAnsi="宋体" w:eastAsia="宋体" w:cs="宋体"/>
              <w:sz w:val="24"/>
              <w:szCs w:val="24"/>
            </w:rPr>
            <w:fldChar w:fldCharType="separate"/>
          </w:r>
          <w:r>
            <w:rPr>
              <w:rFonts w:hint="eastAsia" w:ascii="宋体" w:hAnsi="宋体" w:eastAsia="宋体" w:cs="宋体"/>
              <w:sz w:val="24"/>
              <w:szCs w:val="24"/>
            </w:rPr>
            <w:t>29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66FE82A">
          <w:pPr>
            <w:pStyle w:val="11"/>
            <w:tabs>
              <w:tab w:val="right" w:leader="dot" w:pos="8844"/>
              <w:tab w:val="clear" w:pos="8296"/>
            </w:tabs>
            <w:rPr>
              <w:rFonts w:ascii="宋体" w:hAnsi="宋体" w:eastAsia="宋体" w:cs="宋体"/>
              <w:sz w:val="24"/>
              <w:szCs w:val="24"/>
            </w:rPr>
          </w:pPr>
          <w:r>
            <w:rPr>
              <w:rFonts w:hint="eastAsia" w:ascii="宋体" w:hAnsi="宋体" w:eastAsia="宋体" w:cs="宋体"/>
              <w:sz w:val="24"/>
              <w:szCs w:val="24"/>
            </w:rPr>
            <w:t xml:space="preserve"> </w:t>
          </w:r>
          <w:r>
            <w:fldChar w:fldCharType="begin"/>
          </w:r>
          <w:r>
            <w:instrText xml:space="preserve"> HYPERLINK \l "_Toc15515" </w:instrText>
          </w:r>
          <w:r>
            <w:fldChar w:fldCharType="separate"/>
          </w:r>
          <w:r>
            <w:rPr>
              <w:rFonts w:hint="eastAsia" w:ascii="宋体" w:hAnsi="宋体" w:eastAsia="宋体" w:cs="宋体"/>
              <w:sz w:val="24"/>
              <w:szCs w:val="24"/>
            </w:rPr>
            <w:t>第四部分 附件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_Toc15515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640A093B">
          <w:pPr>
            <w:pStyle w:val="11"/>
            <w:tabs>
              <w:tab w:val="right" w:leader="dot" w:pos="8844"/>
              <w:tab w:val="clear" w:pos="8296"/>
            </w:tabs>
            <w:rPr>
              <w:rFonts w:ascii="宋体" w:hAnsi="宋体" w:eastAsia="宋体" w:cs="宋体"/>
              <w:sz w:val="24"/>
              <w:szCs w:val="24"/>
            </w:rPr>
          </w:pPr>
          <w:r>
            <w:rPr>
              <w:rFonts w:hint="eastAsia" w:ascii="宋体" w:hAnsi="宋体" w:eastAsia="宋体" w:cs="宋体"/>
              <w:sz w:val="24"/>
              <w:szCs w:val="24"/>
            </w:rPr>
            <w:t xml:space="preserve">          </w:t>
          </w:r>
          <w:r>
            <w:fldChar w:fldCharType="begin"/>
          </w:r>
          <w:r>
            <w:instrText xml:space="preserve"> HYPERLINK \l "_Toc30821" </w:instrText>
          </w:r>
          <w:r>
            <w:fldChar w:fldCharType="separate"/>
          </w:r>
          <w:r>
            <w:rPr>
              <w:rFonts w:hint="eastAsia" w:ascii="宋体" w:hAnsi="宋体" w:eastAsia="宋体" w:cs="宋体"/>
              <w:sz w:val="24"/>
              <w:szCs w:val="24"/>
            </w:rPr>
            <w:t>附件1</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_Toc30821 </w:instrText>
          </w:r>
          <w:r>
            <w:rPr>
              <w:rFonts w:hint="eastAsia" w:ascii="宋体" w:hAnsi="宋体" w:eastAsia="宋体" w:cs="宋体"/>
              <w:sz w:val="24"/>
              <w:szCs w:val="24"/>
            </w:rPr>
            <w:fldChar w:fldCharType="separate"/>
          </w:r>
          <w:r>
            <w:rPr>
              <w:rFonts w:hint="eastAsia" w:ascii="宋体" w:hAnsi="宋体" w:eastAsia="宋体" w:cs="宋体"/>
              <w:sz w:val="24"/>
              <w:szCs w:val="24"/>
            </w:rPr>
            <w:t>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02159F57">
          <w:pPr>
            <w:pStyle w:val="11"/>
            <w:tabs>
              <w:tab w:val="right" w:leader="dot" w:pos="8844"/>
              <w:tab w:val="clear" w:pos="8296"/>
            </w:tabs>
            <w:rPr>
              <w:rFonts w:ascii="宋体" w:hAnsi="宋体" w:eastAsia="宋体" w:cs="宋体"/>
              <w:sz w:val="24"/>
              <w:szCs w:val="24"/>
            </w:rPr>
          </w:pPr>
          <w:r>
            <w:rPr>
              <w:rFonts w:hint="eastAsia" w:ascii="宋体" w:hAnsi="宋体" w:eastAsia="宋体" w:cs="宋体"/>
              <w:sz w:val="24"/>
              <w:szCs w:val="24"/>
            </w:rPr>
            <w:t xml:space="preserve"> </w:t>
          </w:r>
          <w:r>
            <w:fldChar w:fldCharType="begin"/>
          </w:r>
          <w:r>
            <w:instrText xml:space="preserve"> HYPERLINK \l "_Toc1160" </w:instrText>
          </w:r>
          <w:r>
            <w:fldChar w:fldCharType="separate"/>
          </w:r>
          <w:r>
            <w:rPr>
              <w:rFonts w:hint="eastAsia" w:ascii="宋体" w:hAnsi="宋体" w:eastAsia="宋体" w:cs="宋体"/>
              <w:sz w:val="24"/>
              <w:szCs w:val="24"/>
            </w:rPr>
            <w:t>第五部分 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_Toc1160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494CBA2">
          <w:pPr>
            <w:pStyle w:val="12"/>
            <w:tabs>
              <w:tab w:val="right" w:leader="dot" w:pos="8844"/>
              <w:tab w:val="clear" w:pos="8296"/>
            </w:tabs>
            <w:rPr>
              <w:rFonts w:ascii="宋体" w:hAnsi="宋体" w:cs="宋体"/>
              <w:sz w:val="24"/>
            </w:rPr>
          </w:pPr>
          <w:r>
            <w:fldChar w:fldCharType="begin"/>
          </w:r>
          <w:r>
            <w:instrText xml:space="preserve"> HYPERLINK \l "_Toc19152" </w:instrText>
          </w:r>
          <w:r>
            <w:fldChar w:fldCharType="separate"/>
          </w:r>
          <w:r>
            <w:rPr>
              <w:rFonts w:hint="eastAsia" w:ascii="宋体" w:hAnsi="宋体" w:cs="宋体"/>
              <w:sz w:val="24"/>
            </w:rPr>
            <w:t>一、收入支出决算总表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_Toc19152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73A5839C">
          <w:pPr>
            <w:pStyle w:val="12"/>
            <w:tabs>
              <w:tab w:val="right" w:leader="dot" w:pos="8844"/>
              <w:tab w:val="clear" w:pos="8296"/>
            </w:tabs>
            <w:rPr>
              <w:rFonts w:ascii="宋体" w:hAnsi="宋体" w:cs="宋体"/>
              <w:sz w:val="24"/>
            </w:rPr>
          </w:pPr>
          <w:r>
            <w:fldChar w:fldCharType="begin"/>
          </w:r>
          <w:r>
            <w:instrText xml:space="preserve"> HYPERLINK \l "_Toc17743" </w:instrText>
          </w:r>
          <w:r>
            <w:fldChar w:fldCharType="separate"/>
          </w:r>
          <w:r>
            <w:rPr>
              <w:rFonts w:hint="eastAsia" w:ascii="宋体" w:hAnsi="宋体" w:cs="宋体"/>
              <w:sz w:val="24"/>
            </w:rPr>
            <w:t>二、收入决算表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_Toc17743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01E996BE">
          <w:pPr>
            <w:pStyle w:val="12"/>
            <w:tabs>
              <w:tab w:val="right" w:leader="dot" w:pos="8844"/>
              <w:tab w:val="clear" w:pos="8296"/>
            </w:tabs>
            <w:rPr>
              <w:rFonts w:ascii="宋体" w:hAnsi="宋体" w:cs="宋体"/>
              <w:sz w:val="24"/>
            </w:rPr>
          </w:pPr>
          <w:r>
            <w:fldChar w:fldCharType="begin"/>
          </w:r>
          <w:r>
            <w:instrText xml:space="preserve"> HYPERLINK \l "_Toc22587" </w:instrText>
          </w:r>
          <w:r>
            <w:fldChar w:fldCharType="separate"/>
          </w:r>
          <w:r>
            <w:rPr>
              <w:rFonts w:hint="eastAsia" w:ascii="宋体" w:hAnsi="宋体" w:cs="宋体"/>
              <w:sz w:val="24"/>
            </w:rPr>
            <w:t>三、支出决算表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_Toc22587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6D286456">
          <w:pPr>
            <w:pStyle w:val="12"/>
            <w:tabs>
              <w:tab w:val="right" w:leader="dot" w:pos="8844"/>
              <w:tab w:val="clear" w:pos="8296"/>
            </w:tabs>
            <w:rPr>
              <w:rFonts w:ascii="宋体" w:hAnsi="宋体" w:cs="宋体"/>
              <w:sz w:val="24"/>
            </w:rPr>
          </w:pPr>
          <w:r>
            <w:fldChar w:fldCharType="begin"/>
          </w:r>
          <w:r>
            <w:instrText xml:space="preserve"> HYPERLINK \l "_Toc6382" </w:instrText>
          </w:r>
          <w:r>
            <w:fldChar w:fldCharType="separate"/>
          </w:r>
          <w:r>
            <w:rPr>
              <w:rFonts w:hint="eastAsia" w:ascii="宋体" w:hAnsi="宋体" w:cs="宋体"/>
              <w:sz w:val="24"/>
            </w:rPr>
            <w:t>四、财政拨款收入支出决算总表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_Toc6382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3118B397">
          <w:pPr>
            <w:pStyle w:val="12"/>
            <w:tabs>
              <w:tab w:val="right" w:leader="dot" w:pos="8844"/>
              <w:tab w:val="clear" w:pos="8296"/>
            </w:tabs>
            <w:rPr>
              <w:rFonts w:ascii="宋体" w:hAnsi="宋体" w:cs="宋体"/>
              <w:sz w:val="24"/>
            </w:rPr>
          </w:pPr>
          <w:r>
            <w:fldChar w:fldCharType="begin"/>
          </w:r>
          <w:r>
            <w:instrText xml:space="preserve"> HYPERLINK \l "_Toc10338" </w:instrText>
          </w:r>
          <w:r>
            <w:fldChar w:fldCharType="separate"/>
          </w:r>
          <w:r>
            <w:rPr>
              <w:rFonts w:hint="eastAsia" w:ascii="宋体" w:hAnsi="宋体" w:cs="宋体"/>
              <w:sz w:val="24"/>
            </w:rPr>
            <w:t>五、财政拨款支出决算明细表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_Toc10338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34688B9E">
          <w:pPr>
            <w:pStyle w:val="12"/>
            <w:tabs>
              <w:tab w:val="right" w:leader="dot" w:pos="8844"/>
              <w:tab w:val="clear" w:pos="8296"/>
            </w:tabs>
            <w:rPr>
              <w:rFonts w:ascii="宋体" w:hAnsi="宋体" w:cs="宋体"/>
              <w:sz w:val="24"/>
            </w:rPr>
          </w:pPr>
          <w:r>
            <w:fldChar w:fldCharType="begin"/>
          </w:r>
          <w:r>
            <w:instrText xml:space="preserve"> HYPERLINK \l "_Toc2961" </w:instrText>
          </w:r>
          <w:r>
            <w:fldChar w:fldCharType="separate"/>
          </w:r>
          <w:r>
            <w:rPr>
              <w:rFonts w:hint="eastAsia" w:ascii="宋体" w:hAnsi="宋体" w:cs="宋体"/>
              <w:sz w:val="24"/>
            </w:rPr>
            <w:t>六、一般公共预算财政拨款支出决算表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_Toc2961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1EBD1EE0">
          <w:pPr>
            <w:pStyle w:val="12"/>
            <w:tabs>
              <w:tab w:val="right" w:leader="dot" w:pos="8844"/>
              <w:tab w:val="clear" w:pos="8296"/>
            </w:tabs>
            <w:rPr>
              <w:rFonts w:ascii="宋体" w:hAnsi="宋体" w:cs="宋体"/>
              <w:sz w:val="24"/>
            </w:rPr>
          </w:pPr>
          <w:r>
            <w:fldChar w:fldCharType="begin"/>
          </w:r>
          <w:r>
            <w:instrText xml:space="preserve"> HYPERLINK \l "_Toc23245" </w:instrText>
          </w:r>
          <w:r>
            <w:fldChar w:fldCharType="separate"/>
          </w:r>
          <w:r>
            <w:rPr>
              <w:rFonts w:hint="eastAsia" w:ascii="宋体" w:hAnsi="宋体" w:cs="宋体"/>
              <w:sz w:val="24"/>
            </w:rPr>
            <w:t>七、一般公共预算财政拨款支出决算明细表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_Toc23245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062E0DBC">
          <w:pPr>
            <w:pStyle w:val="12"/>
            <w:tabs>
              <w:tab w:val="right" w:leader="dot" w:pos="8844"/>
              <w:tab w:val="clear" w:pos="8296"/>
            </w:tabs>
            <w:rPr>
              <w:rFonts w:ascii="宋体" w:hAnsi="宋体" w:cs="宋体"/>
              <w:sz w:val="24"/>
            </w:rPr>
          </w:pPr>
          <w:r>
            <w:fldChar w:fldCharType="begin"/>
          </w:r>
          <w:r>
            <w:instrText xml:space="preserve"> HYPERLINK \l "_Toc14955" </w:instrText>
          </w:r>
          <w:r>
            <w:fldChar w:fldCharType="separate"/>
          </w:r>
          <w:r>
            <w:rPr>
              <w:rFonts w:hint="eastAsia" w:ascii="宋体" w:hAnsi="宋体" w:cs="宋体"/>
              <w:sz w:val="24"/>
            </w:rPr>
            <w:t>八、一般公共预算财政拨款基本支出决算表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_Toc14955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55EA70A7">
          <w:pPr>
            <w:pStyle w:val="12"/>
            <w:tabs>
              <w:tab w:val="right" w:leader="dot" w:pos="8844"/>
              <w:tab w:val="clear" w:pos="8296"/>
            </w:tabs>
            <w:rPr>
              <w:rFonts w:ascii="宋体" w:hAnsi="宋体" w:cs="宋体"/>
              <w:sz w:val="24"/>
            </w:rPr>
          </w:pPr>
          <w:r>
            <w:fldChar w:fldCharType="begin"/>
          </w:r>
          <w:r>
            <w:instrText xml:space="preserve"> HYPERLINK \l "_Toc19597" </w:instrText>
          </w:r>
          <w:r>
            <w:fldChar w:fldCharType="separate"/>
          </w:r>
          <w:r>
            <w:rPr>
              <w:rFonts w:hint="eastAsia" w:ascii="宋体" w:hAnsi="宋体" w:cs="宋体"/>
              <w:sz w:val="24"/>
            </w:rPr>
            <w:t>九、一般公共预算财政拨款项目支出决算表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_Toc19597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1369BBB6">
          <w:pPr>
            <w:pStyle w:val="12"/>
            <w:tabs>
              <w:tab w:val="right" w:leader="dot" w:pos="8844"/>
              <w:tab w:val="clear" w:pos="8296"/>
            </w:tabs>
            <w:rPr>
              <w:rFonts w:ascii="宋体" w:hAnsi="宋体" w:cs="宋体"/>
              <w:sz w:val="24"/>
            </w:rPr>
          </w:pPr>
          <w:r>
            <w:fldChar w:fldCharType="begin"/>
          </w:r>
          <w:r>
            <w:instrText xml:space="preserve"> HYPERLINK \l "_Toc30822" </w:instrText>
          </w:r>
          <w:r>
            <w:fldChar w:fldCharType="separate"/>
          </w:r>
          <w:r>
            <w:rPr>
              <w:rFonts w:hint="eastAsia" w:ascii="宋体" w:hAnsi="宋体" w:cs="宋体"/>
              <w:sz w:val="24"/>
            </w:rPr>
            <w:t>十、一般公共预算财政拨款“三公”经费支出决算表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_Toc30822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6D1E95B1">
          <w:pPr>
            <w:pStyle w:val="12"/>
            <w:tabs>
              <w:tab w:val="right" w:leader="dot" w:pos="8844"/>
              <w:tab w:val="clear" w:pos="8296"/>
            </w:tabs>
            <w:rPr>
              <w:rFonts w:ascii="宋体" w:hAnsi="宋体" w:cs="宋体"/>
              <w:sz w:val="24"/>
            </w:rPr>
          </w:pPr>
          <w:r>
            <w:fldChar w:fldCharType="begin"/>
          </w:r>
          <w:r>
            <w:instrText xml:space="preserve"> HYPERLINK \l "_Toc11922" </w:instrText>
          </w:r>
          <w:r>
            <w:fldChar w:fldCharType="separate"/>
          </w:r>
          <w:r>
            <w:rPr>
              <w:rFonts w:hint="eastAsia" w:ascii="宋体" w:hAnsi="宋体" w:cs="宋体"/>
              <w:sz w:val="24"/>
            </w:rPr>
            <w:t>十一、政府性基金预算财政拨款收入支出决算表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_Toc11922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789C44F7">
          <w:pPr>
            <w:pStyle w:val="12"/>
            <w:tabs>
              <w:tab w:val="right" w:leader="dot" w:pos="8844"/>
              <w:tab w:val="clear" w:pos="8296"/>
            </w:tabs>
            <w:rPr>
              <w:rFonts w:ascii="宋体" w:hAnsi="宋体" w:cs="宋体"/>
              <w:sz w:val="24"/>
            </w:rPr>
          </w:pPr>
          <w:r>
            <w:fldChar w:fldCharType="begin"/>
          </w:r>
          <w:r>
            <w:instrText xml:space="preserve"> HYPERLINK \l "_Toc32150" </w:instrText>
          </w:r>
          <w:r>
            <w:fldChar w:fldCharType="separate"/>
          </w:r>
          <w:r>
            <w:rPr>
              <w:rFonts w:hint="eastAsia" w:ascii="宋体" w:hAnsi="宋体" w:cs="宋体"/>
              <w:sz w:val="24"/>
            </w:rPr>
            <w:t>十二、政府性基金预算财政拨款“三公”经费支出决算表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_Toc32150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131D655D">
          <w:pPr>
            <w:pStyle w:val="12"/>
            <w:tabs>
              <w:tab w:val="right" w:leader="dot" w:pos="8844"/>
              <w:tab w:val="clear" w:pos="8296"/>
            </w:tabs>
            <w:rPr>
              <w:rFonts w:ascii="宋体" w:hAnsi="宋体" w:cs="宋体"/>
              <w:sz w:val="24"/>
            </w:rPr>
          </w:pPr>
          <w:r>
            <w:fldChar w:fldCharType="begin"/>
          </w:r>
          <w:r>
            <w:instrText xml:space="preserve"> HYPERLINK \l "_Toc8160" </w:instrText>
          </w:r>
          <w:r>
            <w:fldChar w:fldCharType="separate"/>
          </w:r>
          <w:r>
            <w:rPr>
              <w:rFonts w:hint="eastAsia" w:ascii="宋体" w:hAnsi="宋体" w:cs="宋体"/>
              <w:sz w:val="24"/>
            </w:rPr>
            <w:t>十三、国有资本经营预算支出决算表</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_Toc8160 </w:instrText>
          </w:r>
          <w:r>
            <w:rPr>
              <w:rFonts w:hint="eastAsia" w:ascii="宋体" w:hAnsi="宋体" w:cs="宋体"/>
              <w:sz w:val="24"/>
            </w:rPr>
            <w:fldChar w:fldCharType="separate"/>
          </w:r>
          <w:r>
            <w:rPr>
              <w:rFonts w:hint="eastAsia" w:ascii="宋体" w:hAnsi="宋体" w:cs="宋体"/>
              <w:sz w:val="24"/>
            </w:rPr>
            <w:t>50</w:t>
          </w:r>
          <w:r>
            <w:rPr>
              <w:rFonts w:hint="eastAsia" w:ascii="宋体" w:hAnsi="宋体" w:cs="宋体"/>
              <w:sz w:val="24"/>
            </w:rPr>
            <w:fldChar w:fldCharType="end"/>
          </w:r>
          <w:r>
            <w:rPr>
              <w:rFonts w:hint="eastAsia" w:ascii="宋体" w:hAnsi="宋体" w:cs="宋体"/>
              <w:sz w:val="24"/>
            </w:rPr>
            <w:fldChar w:fldCharType="end"/>
          </w:r>
        </w:p>
        <w:p w14:paraId="229FB8E8">
          <w:pPr>
            <w:widowControl/>
            <w:spacing w:line="353" w:lineRule="auto"/>
          </w:pPr>
          <w:r>
            <w:rPr>
              <w:rFonts w:eastAsia="仿宋_GB2312"/>
            </w:rPr>
            <w:fldChar w:fldCharType="end"/>
          </w:r>
        </w:p>
      </w:sdtContent>
    </w:sdt>
    <w:p w14:paraId="35268B3A">
      <w:pPr>
        <w:widowControl/>
        <w:spacing w:line="353" w:lineRule="auto"/>
        <w:jc w:val="left"/>
        <w:rPr>
          <w:rFonts w:eastAsia="仿宋"/>
          <w:bCs/>
          <w:color w:val="000000" w:themeColor="text1"/>
          <w:kern w:val="44"/>
          <w:sz w:val="24"/>
          <w14:textFill>
            <w14:solidFill>
              <w14:schemeClr w14:val="tx1"/>
            </w14:solidFill>
          </w14:textFill>
        </w:rPr>
      </w:pPr>
      <w:r>
        <w:rPr>
          <w:rFonts w:eastAsia="仿宋"/>
          <w:b/>
          <w:color w:val="000000" w:themeColor="text1"/>
          <w:sz w:val="24"/>
          <w14:textFill>
            <w14:solidFill>
              <w14:schemeClr w14:val="tx1"/>
            </w14:solidFill>
          </w14:textFill>
        </w:rPr>
        <w:br w:type="page"/>
      </w:r>
    </w:p>
    <w:p w14:paraId="7A1DDBB7">
      <w:pPr>
        <w:pStyle w:val="2"/>
        <w:numPr>
          <w:ilvl w:val="0"/>
          <w:numId w:val="1"/>
        </w:numPr>
        <w:spacing w:before="0" w:after="0" w:line="353" w:lineRule="auto"/>
        <w:jc w:val="center"/>
      </w:pPr>
      <w:bookmarkStart w:id="20" w:name="_Toc26538"/>
      <w:r>
        <w:rPr>
          <w:rStyle w:val="25"/>
          <w:rFonts w:eastAsia="黑体"/>
          <w:b w:val="0"/>
          <w:bCs w:val="0"/>
          <w:color w:val="000000" w:themeColor="text1"/>
          <w14:textFill>
            <w14:solidFill>
              <w14:schemeClr w14:val="tx1"/>
            </w14:solidFill>
          </w14:textFill>
        </w:rPr>
        <w:t>部门概况</w:t>
      </w:r>
      <w:bookmarkEnd w:id="18"/>
      <w:bookmarkEnd w:id="19"/>
      <w:bookmarkEnd w:id="20"/>
    </w:p>
    <w:p w14:paraId="6BD38571">
      <w:pPr>
        <w:rPr>
          <w:sz w:val="32"/>
          <w:szCs w:val="32"/>
        </w:rPr>
      </w:pPr>
    </w:p>
    <w:p w14:paraId="25ACF91E">
      <w:pPr>
        <w:pStyle w:val="3"/>
        <w:spacing w:before="0" w:after="0" w:line="353" w:lineRule="auto"/>
        <w:ind w:firstLine="640" w:firstLineChars="200"/>
        <w:rPr>
          <w:rStyle w:val="26"/>
          <w:rFonts w:ascii="Times New Roman" w:hAnsi="Times New Roman" w:eastAsia="黑体" w:cs="Times New Roman"/>
          <w:b w:val="0"/>
          <w:bCs w:val="0"/>
          <w:color w:val="000000" w:themeColor="text1"/>
          <w14:textFill>
            <w14:solidFill>
              <w14:schemeClr w14:val="tx1"/>
            </w14:solidFill>
          </w14:textFill>
        </w:rPr>
      </w:pPr>
      <w:bookmarkStart w:id="21" w:name="_Toc2821"/>
      <w:bookmarkStart w:id="22" w:name="_Toc15396600"/>
      <w:bookmarkStart w:id="23" w:name="_Toc15377197"/>
      <w:r>
        <w:rPr>
          <w:rFonts w:ascii="Times New Roman" w:hAnsi="Times New Roman" w:eastAsia="黑体" w:cs="Times New Roman"/>
          <w:b w:val="0"/>
          <w:color w:val="000000" w:themeColor="text1"/>
          <w14:textFill>
            <w14:solidFill>
              <w14:schemeClr w14:val="tx1"/>
            </w14:solidFill>
          </w14:textFill>
        </w:rPr>
        <w:t>一、基</w:t>
      </w:r>
      <w:r>
        <w:rPr>
          <w:rStyle w:val="26"/>
          <w:rFonts w:ascii="Times New Roman" w:hAnsi="Times New Roman" w:eastAsia="黑体" w:cs="Times New Roman"/>
          <w:b w:val="0"/>
          <w:bCs w:val="0"/>
          <w:color w:val="000000" w:themeColor="text1"/>
          <w14:textFill>
            <w14:solidFill>
              <w14:schemeClr w14:val="tx1"/>
            </w14:solidFill>
          </w14:textFill>
        </w:rPr>
        <w:t>本职能及主要工作</w:t>
      </w:r>
      <w:bookmarkEnd w:id="21"/>
      <w:bookmarkEnd w:id="22"/>
      <w:bookmarkEnd w:id="23"/>
    </w:p>
    <w:p w14:paraId="32EB832A">
      <w:pPr>
        <w:pStyle w:val="5"/>
        <w:adjustRightInd w:val="0"/>
        <w:spacing w:beforeLines="0" w:line="353" w:lineRule="auto"/>
        <w:ind w:firstLine="640" w:firstLineChars="200"/>
        <w:outlineLvl w:val="2"/>
        <w:rPr>
          <w:rFonts w:ascii="Times New Roman" w:eastAsia="楷体_GB2312"/>
          <w:bCs/>
          <w:color w:val="000000" w:themeColor="text1"/>
          <w:sz w:val="32"/>
          <w:szCs w:val="32"/>
          <w14:textFill>
            <w14:solidFill>
              <w14:schemeClr w14:val="tx1"/>
            </w14:solidFill>
          </w14:textFill>
        </w:rPr>
      </w:pPr>
      <w:bookmarkStart w:id="24" w:name="_Toc15377198"/>
      <w:bookmarkStart w:id="25" w:name="_Toc13628"/>
      <w:bookmarkStart w:id="26" w:name="_Toc15378445"/>
      <w:r>
        <w:rPr>
          <w:rFonts w:ascii="Times New Roman" w:eastAsia="楷体_GB2312"/>
          <w:bCs/>
          <w:color w:val="000000" w:themeColor="text1"/>
          <w:sz w:val="32"/>
          <w:szCs w:val="32"/>
          <w14:textFill>
            <w14:solidFill>
              <w14:schemeClr w14:val="tx1"/>
            </w14:solidFill>
          </w14:textFill>
        </w:rPr>
        <w:t>（一）主要职能</w:t>
      </w:r>
      <w:bookmarkEnd w:id="24"/>
      <w:bookmarkEnd w:id="25"/>
      <w:bookmarkEnd w:id="26"/>
      <w:r>
        <w:rPr>
          <w:rFonts w:ascii="Times New Roman" w:eastAsia="楷体_GB2312"/>
          <w:bCs/>
          <w:color w:val="000000" w:themeColor="text1"/>
          <w:sz w:val="32"/>
          <w:szCs w:val="32"/>
          <w14:textFill>
            <w14:solidFill>
              <w14:schemeClr w14:val="tx1"/>
            </w14:solidFill>
          </w14:textFill>
        </w:rPr>
        <w:t>。</w:t>
      </w:r>
    </w:p>
    <w:p w14:paraId="1B3B2E13">
      <w:pPr>
        <w:widowControl/>
        <w:spacing w:line="353" w:lineRule="auto"/>
        <w:ind w:firstLine="660" w:firstLineChars="200"/>
        <w:rPr>
          <w:rFonts w:eastAsia="仿宋_GB2312"/>
          <w:color w:val="000000" w:themeColor="text1"/>
          <w14:textFill>
            <w14:solidFill>
              <w14:schemeClr w14:val="tx1"/>
            </w14:solidFill>
          </w14:textFill>
        </w:rPr>
      </w:pPr>
      <w:r>
        <w:rPr>
          <w:rFonts w:eastAsia="仿宋_GB2312"/>
          <w:color w:val="000000" w:themeColor="text1"/>
          <w:kern w:val="0"/>
          <w:sz w:val="33"/>
          <w:szCs w:val="33"/>
          <w14:textFill>
            <w14:solidFill>
              <w14:schemeClr w14:val="tx1"/>
            </w14:solidFill>
          </w14:textFill>
        </w:rPr>
        <w:t xml:space="preserve">攀枝花市西区人力资源和社会保障局（简称区人力资源社会保障局）是攀枝花市西区人民政府工作部门，为正科级。区人力资源社会保障局贯彻落实党中央关于人力资源和社会保障工作的方针政策和省委、市委、区委的决策部署，在履行职责过程中坚持和加强党对人力资源和社会保障工作的统一领导。主要职责是： </w:t>
      </w:r>
    </w:p>
    <w:p w14:paraId="02B477AA">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1.贯彻执行国家、省、市人力资源和社会保障工作的法律、法规、规章和政策，拟订全区人力资源和社会保障事业发展规划、政策并组织实施，统筹推进人力资源和社会保障事业发展。</w:t>
      </w:r>
    </w:p>
    <w:p w14:paraId="5F9BA536">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2.拟订并组织实施全区人力资源市场发展规划和人力资源服务业发展、人力资源流动政策，建立、健全全区统一规范的人力资源市场，促进人力资源合理流动，有效配置。 </w:t>
      </w:r>
    </w:p>
    <w:p w14:paraId="5EB16B1D">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3.负责促进就业工作，拟订统筹全区城乡的就业发展规划和政策，完善公共就业创业服务体系，组织落实创业、就业援助制度，提出就业资金安排计划并组织实施；建立健全失业预警制度，稳定就业形势。落实城乡劳动者的职业技能培训制度；组织实施社会力量举办的职业技能培训，指导企业在职职工技能培训和再就业培训、农村劳动力技能培训等工作；贯彻执行高校毕业生就业政策，组织实施高校毕业生就业创业服务工作。</w:t>
      </w:r>
    </w:p>
    <w:p w14:paraId="62709057">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4.统筹推进建立覆盖全区城乡的多层次社会保障体系。贯彻执行国家、省、市养老、失业、工伤等社会保险及其补充保险政策和标准，贯彻落实养老保险全国统筹办法和全国统一的养老、失业、工伤保险关系转续办法；负责对养老、失业、工伤保险基金管理实施行政监督；综合管理就业、社保经办机构；组织实施全区养老、失业、工伤服务体系建设；负责企业职工正常退休和特殊工种提前退休审批；协助办理工伤和特殊工种认定及劳动能力鉴定工作；会同有关部门实施全民参保计划并建立全区统一的养老、失业、工伤社会保险公共服务平台。</w:t>
      </w:r>
    </w:p>
    <w:p w14:paraId="04D4786B">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5.负责就业、失业及社会保障基金监测预警，拟订应对预案，实施预防、调节和控制，保持就业形势稳定和相关社会保险基金总体收支平衡。 </w:t>
      </w:r>
    </w:p>
    <w:p w14:paraId="23694D59">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6.贯彻执行劳动人事争议调解仲裁制度和劳动关系政策，完善劳动关系协调机制，贯彻执行劳动者权益保护政策，协调劳动者维权工作，组织实施劳动保障监察，依法查处侵犯劳动者合法权益的案件。 </w:t>
      </w:r>
    </w:p>
    <w:p w14:paraId="0D1C4484">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7.实施事业单位人员综合管理工作，会同有关部门指导事业单位人事制度改革，按照管理权限承办事业单位岗位设置、公开招聘、人员聘用等人事综合管理工作，拟订事业单位人员和机关工勤人员管理政策；负责专业技术人员管理和继续教育工作；组织实施深化职称制度改革；负责高层次专业技术人才选拔和培养工作，组织实施技能人才培养评价、使用和激励制度，健全职业技能多元化评价政策。指导、监督各级各类技工学校、民办职业培训机构按国家、省和我市有关规定履行安全管理责任。 </w:t>
      </w:r>
    </w:p>
    <w:p w14:paraId="19374101">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8.组织实施国家表彰制度，综合管理政府表彰奖励工作，承担评比达标表彰等工作。承办区委管理的部分领导人员的行政任免手续。 </w:t>
      </w:r>
    </w:p>
    <w:p w14:paraId="265761E3">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9.贯彻执行国家、省、市企业职工工资收入分配、支付、保障和调控政策，贯彻落实事业单位人员工资收入分配政策，建立事业单位人员工资决定、正常增长和支付保障机制，贯彻落实企事业单位人员工资福利和退休政策。 </w:t>
      </w:r>
    </w:p>
    <w:p w14:paraId="19298253">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10.会同有关部门拟订劳务开发及农民工工作综合性政策和规划并推动相关政策的落实，协调解决重点难点问题，维护农民工合法权益。 </w:t>
      </w:r>
    </w:p>
    <w:p w14:paraId="59C2E52A">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11.受理人力资源和社会保障方面的信访事项，会同有关部门协调处理重大信访事件或突发事件。</w:t>
      </w:r>
    </w:p>
    <w:p w14:paraId="2663DE72">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12.负责区人力资源社会保障领域的对外交流与合作工作。</w:t>
      </w:r>
    </w:p>
    <w:p w14:paraId="42EAD84C">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13.承担职责范围内的安全生产和职业健康、生态环境保护、审批服务便民化等工作。 </w:t>
      </w:r>
    </w:p>
    <w:p w14:paraId="10CE899D">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 xml:space="preserve">14.完成区委和区政府交办的其他任务。 </w:t>
      </w:r>
    </w:p>
    <w:p w14:paraId="7B000F8E">
      <w:pPr>
        <w:widowControl/>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15.职能转变。深入推进简政放权、放管结合、优化服务改革，进一步减少行政审批事项，规范和优化对外办理事项，减少职业资格许可和认定等事项，实行国家职业资格目录清单管理，加强事中事后监管，创新就业和社会保障等公共服务方式，加强信息共享，提高公共服务水平。</w:t>
      </w:r>
    </w:p>
    <w:p w14:paraId="5A8051D3">
      <w:pPr>
        <w:spacing w:line="353" w:lineRule="auto"/>
        <w:ind w:firstLine="630"/>
        <w:outlineLvl w:val="2"/>
        <w:rPr>
          <w:rFonts w:eastAsia="楷体_GB2312"/>
          <w:color w:val="000000" w:themeColor="text1"/>
          <w:sz w:val="32"/>
          <w14:textFill>
            <w14:solidFill>
              <w14:schemeClr w14:val="tx1"/>
            </w14:solidFill>
          </w14:textFill>
        </w:rPr>
      </w:pPr>
      <w:bookmarkStart w:id="27" w:name="_Toc11950"/>
      <w:bookmarkStart w:id="28" w:name="_Toc15377199"/>
      <w:bookmarkStart w:id="29" w:name="_Toc15378446"/>
      <w:r>
        <w:rPr>
          <w:rFonts w:eastAsia="楷体_GB2312"/>
          <w:color w:val="000000" w:themeColor="text1"/>
          <w:sz w:val="32"/>
          <w14:textFill>
            <w14:solidFill>
              <w14:schemeClr w14:val="tx1"/>
            </w14:solidFill>
          </w14:textFill>
        </w:rPr>
        <w:t>（二）2019年重点工作完成情况</w:t>
      </w:r>
      <w:bookmarkEnd w:id="27"/>
      <w:bookmarkEnd w:id="28"/>
      <w:bookmarkEnd w:id="29"/>
      <w:r>
        <w:rPr>
          <w:rFonts w:eastAsia="楷体_GB2312"/>
          <w:color w:val="000000" w:themeColor="text1"/>
          <w:sz w:val="32"/>
          <w14:textFill>
            <w14:solidFill>
              <w14:schemeClr w14:val="tx1"/>
            </w14:solidFill>
          </w14:textFill>
        </w:rPr>
        <w:t>。</w:t>
      </w:r>
    </w:p>
    <w:p w14:paraId="0783C510">
      <w:pPr>
        <w:spacing w:line="353" w:lineRule="auto"/>
        <w:ind w:firstLine="63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1.就业促进。城镇新增就业5206人，完成全年目标任务4000人的130.15%；城镇失业人员再就业1854人，完成全年目标任务1600人的115.88%，其中就业困难人员再就业423人，完成目标任务350人的120.86%；城镇登记失业率3.26%，低于4.2%的目标控制线。</w:t>
      </w:r>
    </w:p>
    <w:p w14:paraId="0771EC91">
      <w:pPr>
        <w:spacing w:line="353" w:lineRule="auto"/>
        <w:ind w:firstLine="630"/>
        <w:rPr>
          <w:rFonts w:eastAsia="仿宋_GB2312"/>
          <w:color w:val="000000" w:themeColor="text1"/>
          <w:sz w:val="32"/>
          <w:highlight w:val="yellow"/>
          <w14:textFill>
            <w14:solidFill>
              <w14:schemeClr w14:val="tx1"/>
            </w14:solidFill>
          </w14:textFill>
        </w:rPr>
      </w:pPr>
      <w:r>
        <w:rPr>
          <w:rFonts w:eastAsia="仿宋_GB2312"/>
          <w:color w:val="000000" w:themeColor="text1"/>
          <w:sz w:val="32"/>
          <w14:textFill>
            <w14:solidFill>
              <w14:schemeClr w14:val="tx1"/>
            </w14:solidFill>
          </w14:textFill>
        </w:rPr>
        <w:t>2.社会保障。城镇职工基本养老参保人数7221人，完成全年目标任务6500人的111.09%，其中企业职工4863人，完成全年目标任务4200人的115.79%，机关事业单位人员2358人，完成全年目标任务2300人的102.52%：工伤保险参保6246人, 完成全年目标任务5900人的105.86%；失业保险参保6794人, 完成全年目标任务5900人的115.15%。城乡居民养老保险参保6519人，缴费人数1653人。</w:t>
      </w:r>
    </w:p>
    <w:p w14:paraId="0325AEB9">
      <w:pPr>
        <w:spacing w:line="353" w:lineRule="auto"/>
        <w:ind w:firstLine="63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3.和谐劳动关系。我区上报立案受理拖欠劳动者工资投诉案件数9件，涉及82人工资68.76万元，完成查处工资类违法案件降幅、追发劳动者工资等待遇涉及金额降幅和追发劳动者工资等待遇涉及人数降幅分别为20%、30%和40%的目标任务。在元旦春节期间，通过协调处理、快审快裁清欠227名劳动者工资297.69万元；主动监察用人单位176户次，涉及劳动者7840人，劳动合同签订率达98%以上，完成95%的目标任务。立案受理劳动争议101件，结案101件，结案率100%，完成结案率95%的目标任务；案外调解290件，调解成功率83.4%，完成不低于70%的目标任务。</w:t>
      </w:r>
    </w:p>
    <w:p w14:paraId="64C830B5">
      <w:pPr>
        <w:spacing w:line="353" w:lineRule="auto"/>
        <w:ind w:firstLine="630"/>
        <w:rPr>
          <w:rFonts w:eastAsia="仿宋"/>
          <w:bCs/>
          <w:color w:val="000000" w:themeColor="text1"/>
          <w:sz w:val="32"/>
          <w:szCs w:val="32"/>
          <w14:textFill>
            <w14:solidFill>
              <w14:schemeClr w14:val="tx1"/>
            </w14:solidFill>
          </w14:textFill>
        </w:rPr>
      </w:pPr>
      <w:r>
        <w:rPr>
          <w:rFonts w:eastAsia="仿宋_GB2312"/>
          <w:color w:val="000000" w:themeColor="text1"/>
          <w:spacing w:val="-4"/>
          <w:sz w:val="32"/>
          <w:szCs w:val="32"/>
          <w14:textFill>
            <w14:solidFill>
              <w14:schemeClr w14:val="tx1"/>
            </w14:solidFill>
          </w14:textFill>
        </w:rPr>
        <w:t>4.城镇居民可支配收入增速。2019年</w:t>
      </w:r>
      <w:r>
        <w:rPr>
          <w:rFonts w:eastAsia="仿宋_GB2312"/>
          <w:color w:val="000000" w:themeColor="text1"/>
          <w:sz w:val="32"/>
          <w:szCs w:val="32"/>
          <w14:textFill>
            <w14:solidFill>
              <w14:schemeClr w14:val="tx1"/>
            </w14:solidFill>
          </w14:textFill>
        </w:rPr>
        <w:t>，我区城镇居民可支配收入39578元，同比增长8.5%，</w:t>
      </w:r>
      <w:r>
        <w:rPr>
          <w:rFonts w:eastAsia="仿宋_GB2312"/>
          <w:color w:val="000000" w:themeColor="text1"/>
          <w:spacing w:val="-4"/>
          <w:sz w:val="32"/>
          <w:szCs w:val="32"/>
          <w14:textFill>
            <w14:solidFill>
              <w14:schemeClr w14:val="tx1"/>
            </w14:solidFill>
          </w14:textFill>
        </w:rPr>
        <w:t>完成8.1%的目标任务。</w:t>
      </w:r>
    </w:p>
    <w:p w14:paraId="6C7450BB">
      <w:pPr>
        <w:pStyle w:val="3"/>
        <w:spacing w:before="0" w:after="0" w:line="353" w:lineRule="auto"/>
        <w:ind w:firstLine="640" w:firstLineChars="200"/>
        <w:rPr>
          <w:rStyle w:val="26"/>
          <w:rFonts w:ascii="Times New Roman" w:hAnsi="Times New Roman" w:cs="Times New Roman"/>
          <w:b w:val="0"/>
          <w:bCs w:val="0"/>
          <w:color w:val="000000" w:themeColor="text1"/>
          <w14:textFill>
            <w14:solidFill>
              <w14:schemeClr w14:val="tx1"/>
            </w14:solidFill>
          </w14:textFill>
        </w:rPr>
      </w:pPr>
      <w:bookmarkStart w:id="30" w:name="_Toc15377200"/>
      <w:bookmarkStart w:id="31" w:name="_Toc31558"/>
      <w:bookmarkStart w:id="32" w:name="_Toc15396601"/>
      <w:r>
        <w:rPr>
          <w:rFonts w:ascii="Times New Roman" w:hAnsi="Times New Roman" w:eastAsia="黑体" w:cs="Times New Roman"/>
          <w:b w:val="0"/>
          <w:color w:val="000000" w:themeColor="text1"/>
          <w14:textFill>
            <w14:solidFill>
              <w14:schemeClr w14:val="tx1"/>
            </w14:solidFill>
          </w14:textFill>
        </w:rPr>
        <w:t>二、机</w:t>
      </w:r>
      <w:r>
        <w:rPr>
          <w:rStyle w:val="26"/>
          <w:rFonts w:ascii="Times New Roman" w:hAnsi="Times New Roman" w:eastAsia="黑体" w:cs="Times New Roman"/>
          <w:b w:val="0"/>
          <w:bCs w:val="0"/>
          <w:color w:val="000000" w:themeColor="text1"/>
          <w14:textFill>
            <w14:solidFill>
              <w14:schemeClr w14:val="tx1"/>
            </w14:solidFill>
          </w14:textFill>
        </w:rPr>
        <w:t>构设置</w:t>
      </w:r>
      <w:bookmarkEnd w:id="30"/>
      <w:bookmarkEnd w:id="31"/>
      <w:bookmarkEnd w:id="32"/>
    </w:p>
    <w:p w14:paraId="1F12C2F1">
      <w:pPr>
        <w:spacing w:line="353" w:lineRule="auto"/>
        <w:ind w:firstLine="800" w:firstLineChars="25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攀枝花市西区人力资源和社会保障局内设机构5个，其中行政单位0个，参照公务员法管理的事业单位</w:t>
      </w:r>
      <w:r>
        <w:rPr>
          <w:rFonts w:eastAsia="仿宋_GB2312"/>
          <w:bCs/>
          <w:color w:val="000000" w:themeColor="text1"/>
          <w:sz w:val="32"/>
          <w:szCs w:val="32"/>
          <w14:textFill>
            <w14:solidFill>
              <w14:schemeClr w14:val="tx1"/>
            </w14:solidFill>
          </w14:textFill>
        </w:rPr>
        <w:t>3</w:t>
      </w:r>
      <w:r>
        <w:rPr>
          <w:rFonts w:eastAsia="仿宋_GB2312"/>
          <w:color w:val="000000" w:themeColor="text1"/>
          <w:sz w:val="32"/>
          <w:szCs w:val="32"/>
          <w14:textFill>
            <w14:solidFill>
              <w14:schemeClr w14:val="tx1"/>
            </w14:solidFill>
          </w14:textFill>
        </w:rPr>
        <w:t>个，其他事业单位2个。</w:t>
      </w:r>
    </w:p>
    <w:p w14:paraId="0786C59C">
      <w:pPr>
        <w:pStyle w:val="5"/>
        <w:adjustRightInd w:val="0"/>
        <w:spacing w:before="93" w:line="353" w:lineRule="auto"/>
        <w:ind w:firstLine="672" w:firstLineChars="210"/>
        <w:rPr>
          <w:rFonts w:ascii="Times New Roman"/>
          <w:color w:val="000000" w:themeColor="text1"/>
          <w:sz w:val="32"/>
          <w:szCs w:val="32"/>
          <w14:textFill>
            <w14:solidFill>
              <w14:schemeClr w14:val="tx1"/>
            </w14:solidFill>
          </w14:textFill>
        </w:rPr>
      </w:pPr>
      <w:r>
        <w:rPr>
          <w:rFonts w:ascii="Times New Roman"/>
          <w:color w:val="000000" w:themeColor="text1"/>
          <w:sz w:val="32"/>
          <w:szCs w:val="32"/>
          <w14:textFill>
            <w14:solidFill>
              <w14:schemeClr w14:val="tx1"/>
            </w14:solidFill>
          </w14:textFill>
        </w:rPr>
        <w:t>纳入本单位2019年度部门决算编制范围的二级预算单位包括：</w:t>
      </w:r>
    </w:p>
    <w:p w14:paraId="2251058F">
      <w:pPr>
        <w:pStyle w:val="5"/>
        <w:adjustRightInd w:val="0"/>
        <w:spacing w:before="93" w:line="353" w:lineRule="auto"/>
        <w:ind w:left="672"/>
        <w:outlineLvl w:val="2"/>
        <w:rPr>
          <w:rFonts w:ascii="Times New Roman"/>
          <w:color w:val="000000" w:themeColor="text1"/>
          <w:sz w:val="32"/>
          <w:szCs w:val="32"/>
          <w14:textFill>
            <w14:solidFill>
              <w14:schemeClr w14:val="tx1"/>
            </w14:solidFill>
          </w14:textFill>
        </w:rPr>
      </w:pPr>
      <w:bookmarkStart w:id="33" w:name="_Toc18215"/>
      <w:r>
        <w:rPr>
          <w:rFonts w:ascii="Times New Roman"/>
          <w:color w:val="000000" w:themeColor="text1"/>
          <w:sz w:val="32"/>
          <w:szCs w:val="32"/>
          <w14:textFill>
            <w14:solidFill>
              <w14:schemeClr w14:val="tx1"/>
            </w14:solidFill>
          </w14:textFill>
        </w:rPr>
        <w:t>1.攀枝花市西区人才交流服务中心</w:t>
      </w:r>
      <w:bookmarkEnd w:id="33"/>
    </w:p>
    <w:p w14:paraId="7F6FFF51">
      <w:pPr>
        <w:pStyle w:val="5"/>
        <w:adjustRightInd w:val="0"/>
        <w:spacing w:before="93" w:line="353" w:lineRule="auto"/>
        <w:ind w:left="672"/>
        <w:outlineLvl w:val="2"/>
        <w:rPr>
          <w:rFonts w:ascii="Times New Roman"/>
          <w:color w:val="000000" w:themeColor="text1"/>
          <w:sz w:val="32"/>
          <w:szCs w:val="32"/>
          <w14:textFill>
            <w14:solidFill>
              <w14:schemeClr w14:val="tx1"/>
            </w14:solidFill>
          </w14:textFill>
        </w:rPr>
      </w:pPr>
      <w:bookmarkStart w:id="34" w:name="_Toc31028"/>
      <w:r>
        <w:rPr>
          <w:rFonts w:ascii="Times New Roman"/>
          <w:color w:val="000000" w:themeColor="text1"/>
          <w:sz w:val="32"/>
          <w:szCs w:val="32"/>
          <w14:textFill>
            <w14:solidFill>
              <w14:schemeClr w14:val="tx1"/>
            </w14:solidFill>
          </w14:textFill>
        </w:rPr>
        <w:t>2.攀枝花市西区劳动人事争议仲裁院</w:t>
      </w:r>
      <w:bookmarkEnd w:id="34"/>
    </w:p>
    <w:p w14:paraId="6C07BDD6">
      <w:pPr>
        <w:pStyle w:val="5"/>
        <w:adjustRightInd w:val="0"/>
        <w:spacing w:before="93" w:line="353" w:lineRule="auto"/>
        <w:ind w:left="672"/>
        <w:outlineLvl w:val="2"/>
        <w:rPr>
          <w:rFonts w:ascii="Times New Roman"/>
          <w:color w:val="000000" w:themeColor="text1"/>
          <w:sz w:val="32"/>
          <w:szCs w:val="32"/>
          <w14:textFill>
            <w14:solidFill>
              <w14:schemeClr w14:val="tx1"/>
            </w14:solidFill>
          </w14:textFill>
        </w:rPr>
      </w:pPr>
      <w:bookmarkStart w:id="35" w:name="_Toc25072"/>
      <w:r>
        <w:rPr>
          <w:rFonts w:hint="eastAsia" w:ascii="Times New Roman"/>
          <w:color w:val="000000" w:themeColor="text1"/>
          <w:sz w:val="32"/>
          <w:szCs w:val="32"/>
          <w14:textFill>
            <w14:solidFill>
              <w14:schemeClr w14:val="tx1"/>
            </w14:solidFill>
          </w14:textFill>
        </w:rPr>
        <w:t>3</w:t>
      </w:r>
      <w:r>
        <w:rPr>
          <w:rFonts w:ascii="Times New Roman"/>
          <w:color w:val="000000" w:themeColor="text1"/>
          <w:sz w:val="32"/>
          <w:szCs w:val="32"/>
          <w14:textFill>
            <w14:solidFill>
              <w14:schemeClr w14:val="tx1"/>
            </w14:solidFill>
          </w14:textFill>
        </w:rPr>
        <w:t>.攀枝花市西区劳动保障监察大队</w:t>
      </w:r>
      <w:bookmarkEnd w:id="35"/>
    </w:p>
    <w:p w14:paraId="24A5DECF">
      <w:pPr>
        <w:pStyle w:val="5"/>
        <w:adjustRightInd w:val="0"/>
        <w:spacing w:before="93" w:line="353" w:lineRule="auto"/>
        <w:ind w:left="672"/>
        <w:outlineLvl w:val="2"/>
        <w:rPr>
          <w:rFonts w:ascii="Times New Roman"/>
          <w:color w:val="000000" w:themeColor="text1"/>
          <w:sz w:val="32"/>
          <w:szCs w:val="32"/>
          <w14:textFill>
            <w14:solidFill>
              <w14:schemeClr w14:val="tx1"/>
            </w14:solidFill>
          </w14:textFill>
        </w:rPr>
      </w:pPr>
    </w:p>
    <w:p w14:paraId="31BC693F">
      <w:pPr>
        <w:pStyle w:val="5"/>
        <w:numPr>
          <w:ilvl w:val="0"/>
          <w:numId w:val="2"/>
        </w:numPr>
        <w:adjustRightInd w:val="0"/>
        <w:spacing w:before="93" w:line="353" w:lineRule="auto"/>
        <w:ind w:firstLine="440" w:firstLineChars="100"/>
        <w:jc w:val="center"/>
        <w:outlineLvl w:val="0"/>
        <w:rPr>
          <w:rFonts w:ascii="Times New Roman" w:eastAsia="黑体"/>
          <w:color w:val="000000" w:themeColor="text1"/>
          <w:kern w:val="2"/>
          <w:sz w:val="44"/>
          <w:szCs w:val="44"/>
          <w14:textFill>
            <w14:solidFill>
              <w14:schemeClr w14:val="tx1"/>
            </w14:solidFill>
          </w14:textFill>
        </w:rPr>
      </w:pPr>
      <w:bookmarkStart w:id="36" w:name="_Toc15396602"/>
      <w:bookmarkStart w:id="37" w:name="_Toc11078"/>
      <w:bookmarkStart w:id="38" w:name="_Toc15377204"/>
      <w:r>
        <w:rPr>
          <w:rFonts w:ascii="Times New Roman" w:eastAsia="黑体"/>
          <w:color w:val="000000" w:themeColor="text1"/>
          <w:kern w:val="2"/>
          <w:sz w:val="44"/>
          <w:szCs w:val="44"/>
          <w14:textFill>
            <w14:solidFill>
              <w14:schemeClr w14:val="tx1"/>
            </w14:solidFill>
          </w14:textFill>
        </w:rPr>
        <w:t>2019年度部门决算情况说明</w:t>
      </w:r>
      <w:bookmarkEnd w:id="36"/>
      <w:bookmarkEnd w:id="37"/>
      <w:bookmarkEnd w:id="38"/>
    </w:p>
    <w:p w14:paraId="4470968C">
      <w:pPr>
        <w:pStyle w:val="5"/>
        <w:adjustRightInd w:val="0"/>
        <w:spacing w:before="93" w:line="353" w:lineRule="auto"/>
        <w:rPr>
          <w:rFonts w:ascii="Times New Roman" w:eastAsia="黑体"/>
          <w:color w:val="000000" w:themeColor="text1"/>
          <w:kern w:val="2"/>
          <w:sz w:val="32"/>
          <w:szCs w:val="32"/>
          <w14:textFill>
            <w14:solidFill>
              <w14:schemeClr w14:val="tx1"/>
            </w14:solidFill>
          </w14:textFill>
        </w:rPr>
      </w:pPr>
    </w:p>
    <w:p w14:paraId="05F0E1ED">
      <w:pPr>
        <w:pStyle w:val="24"/>
        <w:numPr>
          <w:ilvl w:val="0"/>
          <w:numId w:val="3"/>
        </w:numPr>
        <w:spacing w:line="353" w:lineRule="auto"/>
        <w:ind w:firstLineChars="0"/>
        <w:outlineLvl w:val="1"/>
        <w:rPr>
          <w:rStyle w:val="26"/>
          <w:rFonts w:ascii="Times New Roman" w:hAnsi="Times New Roman" w:eastAsia="黑体" w:cs="Times New Roman"/>
          <w:b w:val="0"/>
          <w:color w:val="000000" w:themeColor="text1"/>
          <w14:textFill>
            <w14:solidFill>
              <w14:schemeClr w14:val="tx1"/>
            </w14:solidFill>
          </w14:textFill>
        </w:rPr>
      </w:pPr>
      <w:bookmarkStart w:id="39" w:name="_Toc1048"/>
      <w:bookmarkStart w:id="40" w:name="_Toc15396603"/>
      <w:bookmarkStart w:id="41" w:name="_Toc15377205"/>
      <w:r>
        <w:rPr>
          <w:rFonts w:eastAsia="黑体"/>
          <w:color w:val="000000" w:themeColor="text1"/>
          <w:sz w:val="32"/>
          <w:szCs w:val="32"/>
          <w14:textFill>
            <w14:solidFill>
              <w14:schemeClr w14:val="tx1"/>
            </w14:solidFill>
          </w14:textFill>
        </w:rPr>
        <w:t>收</w:t>
      </w:r>
      <w:r>
        <w:rPr>
          <w:rStyle w:val="26"/>
          <w:rFonts w:ascii="Times New Roman" w:hAnsi="Times New Roman" w:eastAsia="黑体" w:cs="Times New Roman"/>
          <w:b w:val="0"/>
          <w:color w:val="000000" w:themeColor="text1"/>
          <w14:textFill>
            <w14:solidFill>
              <w14:schemeClr w14:val="tx1"/>
            </w14:solidFill>
          </w14:textFill>
        </w:rPr>
        <w:t>入支出决算总体情况说明</w:t>
      </w:r>
      <w:bookmarkEnd w:id="39"/>
      <w:bookmarkEnd w:id="40"/>
      <w:bookmarkEnd w:id="41"/>
    </w:p>
    <w:p w14:paraId="6E151DFE">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2019年度收、支总计1,064.39万元。与2018年相比，收、支总计各减少262.63万元、189.61万元下降31.97%、15.78%。主要变动原因金</w:t>
      </w:r>
      <w:r>
        <w:rPr>
          <w:rFonts w:hint="eastAsia" w:eastAsia="仿宋_GB2312"/>
          <w:color w:val="000000" w:themeColor="text1"/>
          <w:sz w:val="32"/>
          <w:szCs w:val="32"/>
          <w:lang w:eastAsia="zh-CN"/>
          <w14:textFill>
            <w14:solidFill>
              <w14:schemeClr w14:val="tx1"/>
            </w14:solidFill>
          </w14:textFill>
        </w:rPr>
        <w:t>保</w:t>
      </w:r>
      <w:r>
        <w:rPr>
          <w:rFonts w:eastAsia="仿宋_GB2312"/>
          <w:color w:val="000000" w:themeColor="text1"/>
          <w:sz w:val="32"/>
          <w:szCs w:val="32"/>
          <w14:textFill>
            <w14:solidFill>
              <w14:schemeClr w14:val="tx1"/>
            </w14:solidFill>
          </w14:textFill>
        </w:rPr>
        <w:t>网络维护费下调；军转干部只能划转</w:t>
      </w:r>
      <w:bookmarkStart w:id="141" w:name="_GoBack"/>
      <w:r>
        <w:rPr>
          <w:rFonts w:hint="eastAsia" w:eastAsia="仿宋_GB2312"/>
          <w:color w:val="000000" w:themeColor="text1"/>
          <w:sz w:val="32"/>
          <w:szCs w:val="32"/>
          <w:lang w:eastAsia="zh-CN"/>
          <w14:textFill>
            <w14:solidFill>
              <w14:schemeClr w14:val="tx1"/>
            </w14:solidFill>
          </w14:textFill>
        </w:rPr>
        <w:t>退役军人事务</w:t>
      </w:r>
      <w:bookmarkEnd w:id="141"/>
      <w:r>
        <w:rPr>
          <w:rFonts w:hint="eastAsia" w:eastAsia="仿宋_GB2312"/>
          <w:color w:val="000000" w:themeColor="text1"/>
          <w:sz w:val="32"/>
          <w:szCs w:val="32"/>
          <w:lang w:eastAsia="zh-CN"/>
          <w14:textFill>
            <w14:solidFill>
              <w14:schemeClr w14:val="tx1"/>
            </w14:solidFill>
          </w14:textFill>
        </w:rPr>
        <w:t>局</w:t>
      </w:r>
      <w:r>
        <w:rPr>
          <w:rFonts w:eastAsia="仿宋_GB2312"/>
          <w:color w:val="000000" w:themeColor="text1"/>
          <w:sz w:val="32"/>
          <w:szCs w:val="32"/>
          <w14:textFill>
            <w14:solidFill>
              <w14:schemeClr w14:val="tx1"/>
            </w14:solidFill>
          </w14:textFill>
        </w:rPr>
        <w:t>，区级就业和社会保障服务中心项目即将完工；西区公务员网络培训工作结束。</w:t>
      </w:r>
    </w:p>
    <w:p w14:paraId="2A7589F7">
      <w:pPr>
        <w:spacing w:line="353" w:lineRule="auto"/>
        <w:ind w:firstLine="420" w:firstLineChars="200"/>
        <w:jc w:val="left"/>
        <w:rPr>
          <w:rFonts w:eastAsia="仿宋_GB2312"/>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59264" behindDoc="0" locked="0" layoutInCell="1" allowOverlap="1">
            <wp:simplePos x="0" y="0"/>
            <wp:positionH relativeFrom="column">
              <wp:posOffset>479425</wp:posOffset>
            </wp:positionH>
            <wp:positionV relativeFrom="paragraph">
              <wp:posOffset>84455</wp:posOffset>
            </wp:positionV>
            <wp:extent cx="4596130" cy="2414270"/>
            <wp:effectExtent l="0" t="0" r="1270" b="1143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4596130" cy="2414270"/>
                    </a:xfrm>
                    <a:prstGeom prst="rect">
                      <a:avLst/>
                    </a:prstGeom>
                    <a:noFill/>
                    <a:ln>
                      <a:noFill/>
                    </a:ln>
                  </pic:spPr>
                </pic:pic>
              </a:graphicData>
            </a:graphic>
          </wp:anchor>
        </w:drawing>
      </w:r>
    </w:p>
    <w:p w14:paraId="133CB198">
      <w:pPr>
        <w:spacing w:line="353" w:lineRule="auto"/>
        <w:ind w:firstLine="640" w:firstLineChars="200"/>
        <w:jc w:val="left"/>
        <w:rPr>
          <w:rFonts w:eastAsia="仿宋_GB2312"/>
          <w:color w:val="000000" w:themeColor="text1"/>
          <w:sz w:val="32"/>
          <w:szCs w:val="32"/>
          <w14:textFill>
            <w14:solidFill>
              <w14:schemeClr w14:val="tx1"/>
            </w14:solidFill>
          </w14:textFill>
        </w:rPr>
      </w:pPr>
    </w:p>
    <w:p w14:paraId="6319EE15">
      <w:pPr>
        <w:spacing w:line="353" w:lineRule="auto"/>
        <w:ind w:firstLine="640" w:firstLineChars="200"/>
        <w:jc w:val="left"/>
        <w:rPr>
          <w:rFonts w:eastAsia="仿宋_GB2312"/>
          <w:color w:val="000000" w:themeColor="text1"/>
          <w:sz w:val="32"/>
          <w:szCs w:val="32"/>
          <w14:textFill>
            <w14:solidFill>
              <w14:schemeClr w14:val="tx1"/>
            </w14:solidFill>
          </w14:textFill>
        </w:rPr>
      </w:pPr>
    </w:p>
    <w:p w14:paraId="1A02FEAF">
      <w:pPr>
        <w:spacing w:line="353" w:lineRule="auto"/>
        <w:ind w:firstLine="640" w:firstLineChars="200"/>
        <w:jc w:val="left"/>
        <w:rPr>
          <w:rFonts w:eastAsia="仿宋_GB2312"/>
          <w:color w:val="000000" w:themeColor="text1"/>
          <w:sz w:val="32"/>
          <w:szCs w:val="32"/>
          <w14:textFill>
            <w14:solidFill>
              <w14:schemeClr w14:val="tx1"/>
            </w14:solidFill>
          </w14:textFill>
        </w:rPr>
      </w:pPr>
    </w:p>
    <w:p w14:paraId="411CF697">
      <w:pPr>
        <w:spacing w:line="353" w:lineRule="auto"/>
        <w:ind w:firstLine="640" w:firstLineChars="200"/>
        <w:jc w:val="left"/>
        <w:rPr>
          <w:rFonts w:eastAsia="仿宋_GB2312"/>
          <w:color w:val="000000" w:themeColor="text1"/>
          <w:sz w:val="32"/>
          <w:szCs w:val="32"/>
          <w14:textFill>
            <w14:solidFill>
              <w14:schemeClr w14:val="tx1"/>
            </w14:solidFill>
          </w14:textFill>
        </w:rPr>
      </w:pPr>
    </w:p>
    <w:p w14:paraId="68CDA032">
      <w:pPr>
        <w:spacing w:line="353" w:lineRule="auto"/>
        <w:ind w:firstLine="640" w:firstLineChars="200"/>
        <w:jc w:val="left"/>
        <w:rPr>
          <w:rFonts w:eastAsia="仿宋_GB2312"/>
          <w:color w:val="000000" w:themeColor="text1"/>
          <w:sz w:val="32"/>
          <w:szCs w:val="32"/>
          <w14:textFill>
            <w14:solidFill>
              <w14:schemeClr w14:val="tx1"/>
            </w14:solidFill>
          </w14:textFill>
        </w:rPr>
      </w:pPr>
    </w:p>
    <w:p w14:paraId="6736455D">
      <w:pPr>
        <w:spacing w:before="312" w:beforeLines="100" w:line="353" w:lineRule="auto"/>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（图1：收、支决算总计变动情况图）（柱状图）</w:t>
      </w:r>
    </w:p>
    <w:p w14:paraId="6CDA419F">
      <w:pPr>
        <w:pStyle w:val="24"/>
        <w:numPr>
          <w:ilvl w:val="0"/>
          <w:numId w:val="3"/>
        </w:numPr>
        <w:spacing w:line="353" w:lineRule="auto"/>
        <w:ind w:firstLineChars="0"/>
        <w:outlineLvl w:val="1"/>
        <w:rPr>
          <w:rStyle w:val="26"/>
          <w:rFonts w:ascii="Times New Roman" w:hAnsi="Times New Roman" w:eastAsia="黑体" w:cs="Times New Roman"/>
          <w:b w:val="0"/>
          <w:color w:val="000000" w:themeColor="text1"/>
          <w14:textFill>
            <w14:solidFill>
              <w14:schemeClr w14:val="tx1"/>
            </w14:solidFill>
          </w14:textFill>
        </w:rPr>
      </w:pPr>
      <w:bookmarkStart w:id="42" w:name="_Toc15377206"/>
      <w:bookmarkStart w:id="43" w:name="_Toc15396604"/>
      <w:bookmarkStart w:id="44" w:name="_Toc23762"/>
      <w:r>
        <w:rPr>
          <w:rFonts w:eastAsia="黑体"/>
          <w:color w:val="000000" w:themeColor="text1"/>
          <w:sz w:val="32"/>
          <w:szCs w:val="32"/>
          <w14:textFill>
            <w14:solidFill>
              <w14:schemeClr w14:val="tx1"/>
            </w14:solidFill>
          </w14:textFill>
        </w:rPr>
        <w:t>收</w:t>
      </w:r>
      <w:r>
        <w:rPr>
          <w:rStyle w:val="26"/>
          <w:rFonts w:ascii="Times New Roman" w:hAnsi="Times New Roman" w:eastAsia="黑体" w:cs="Times New Roman"/>
          <w:b w:val="0"/>
          <w:color w:val="000000" w:themeColor="text1"/>
          <w14:textFill>
            <w14:solidFill>
              <w14:schemeClr w14:val="tx1"/>
            </w14:solidFill>
          </w14:textFill>
        </w:rPr>
        <w:t>入决算情况说明</w:t>
      </w:r>
      <w:bookmarkEnd w:id="42"/>
      <w:bookmarkEnd w:id="43"/>
      <w:bookmarkEnd w:id="44"/>
    </w:p>
    <w:p w14:paraId="0D9CD5A5">
      <w:pPr>
        <w:spacing w:line="353" w:lineRule="auto"/>
        <w:ind w:firstLine="640" w:firstLineChars="200"/>
        <w:outlineLvl w:val="1"/>
        <w:rPr>
          <w:rFonts w:eastAsia="仿宋_GB2312"/>
          <w:color w:val="000000" w:themeColor="text1"/>
          <w:sz w:val="32"/>
          <w:szCs w:val="32"/>
          <w14:textFill>
            <w14:solidFill>
              <w14:schemeClr w14:val="tx1"/>
            </w14:solidFill>
          </w14:textFill>
        </w:rPr>
      </w:pPr>
      <w:bookmarkStart w:id="45" w:name="_Toc25599"/>
      <w:bookmarkStart w:id="46" w:name="_Toc17958"/>
      <w:r>
        <w:rPr>
          <w:rFonts w:eastAsia="仿宋_GB2312"/>
          <w:color w:val="000000" w:themeColor="text1"/>
          <w:sz w:val="32"/>
          <w:szCs w:val="32"/>
          <w14:textFill>
            <w14:solidFill>
              <w14:schemeClr w14:val="tx1"/>
            </w14:solidFill>
          </w14:textFill>
        </w:rPr>
        <w:t>2019年本年收入合计558.82万元，其中：一般公共预算财政拨款收入558.24万元，占99.89%；政府性基金预算财政拨款收入0.50万元，占0.08%；上级补助收入0万元，占0%；事业收入0万元，占0%；经营收入0万元，占0%；附属单位上缴收入0万元，占0%；其他收入0.09万元，占0.03%。</w:t>
      </w:r>
      <w:bookmarkEnd w:id="45"/>
      <w:bookmarkEnd w:id="46"/>
    </w:p>
    <w:p w14:paraId="1AF9E5B5">
      <w:pPr>
        <w:spacing w:line="353" w:lineRule="auto"/>
        <w:ind w:firstLine="420" w:firstLineChars="200"/>
        <w:rPr>
          <w:rFonts w:eastAsia="仿宋"/>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5408" behindDoc="0" locked="0" layoutInCell="1" allowOverlap="1">
            <wp:simplePos x="0" y="0"/>
            <wp:positionH relativeFrom="column">
              <wp:posOffset>313055</wp:posOffset>
            </wp:positionH>
            <wp:positionV relativeFrom="paragraph">
              <wp:posOffset>66040</wp:posOffset>
            </wp:positionV>
            <wp:extent cx="4836160" cy="2912110"/>
            <wp:effectExtent l="0" t="0" r="10160" b="1397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4836160" cy="2912110"/>
                    </a:xfrm>
                    <a:prstGeom prst="rect">
                      <a:avLst/>
                    </a:prstGeom>
                    <a:noFill/>
                    <a:ln>
                      <a:noFill/>
                    </a:ln>
                  </pic:spPr>
                </pic:pic>
              </a:graphicData>
            </a:graphic>
          </wp:anchor>
        </w:drawing>
      </w:r>
    </w:p>
    <w:p w14:paraId="34407D1F">
      <w:pPr>
        <w:spacing w:line="353" w:lineRule="auto"/>
        <w:ind w:firstLine="640" w:firstLineChars="200"/>
        <w:rPr>
          <w:rFonts w:eastAsia="仿宋_GB2312"/>
          <w:color w:val="000000" w:themeColor="text1"/>
          <w:sz w:val="32"/>
          <w:szCs w:val="32"/>
          <w14:textFill>
            <w14:solidFill>
              <w14:schemeClr w14:val="tx1"/>
            </w14:solidFill>
          </w14:textFill>
        </w:rPr>
      </w:pPr>
    </w:p>
    <w:p w14:paraId="7254B279">
      <w:pPr>
        <w:spacing w:line="353" w:lineRule="auto"/>
        <w:ind w:firstLine="640" w:firstLineChars="200"/>
        <w:rPr>
          <w:rFonts w:eastAsia="仿宋_GB2312"/>
          <w:color w:val="000000" w:themeColor="text1"/>
          <w:sz w:val="32"/>
          <w:szCs w:val="32"/>
          <w14:textFill>
            <w14:solidFill>
              <w14:schemeClr w14:val="tx1"/>
            </w14:solidFill>
          </w14:textFill>
        </w:rPr>
      </w:pPr>
    </w:p>
    <w:p w14:paraId="2FED1098">
      <w:pPr>
        <w:spacing w:line="353" w:lineRule="auto"/>
        <w:ind w:firstLine="640" w:firstLineChars="200"/>
        <w:rPr>
          <w:rFonts w:eastAsia="仿宋_GB2312"/>
          <w:color w:val="000000" w:themeColor="text1"/>
          <w:sz w:val="32"/>
          <w:szCs w:val="32"/>
          <w14:textFill>
            <w14:solidFill>
              <w14:schemeClr w14:val="tx1"/>
            </w14:solidFill>
          </w14:textFill>
        </w:rPr>
      </w:pPr>
    </w:p>
    <w:p w14:paraId="0DC1A7A3">
      <w:pPr>
        <w:spacing w:line="353" w:lineRule="auto"/>
        <w:ind w:firstLine="640" w:firstLineChars="200"/>
        <w:rPr>
          <w:rFonts w:eastAsia="仿宋_GB2312"/>
          <w:color w:val="000000" w:themeColor="text1"/>
          <w:sz w:val="32"/>
          <w:szCs w:val="32"/>
          <w14:textFill>
            <w14:solidFill>
              <w14:schemeClr w14:val="tx1"/>
            </w14:solidFill>
          </w14:textFill>
        </w:rPr>
      </w:pPr>
    </w:p>
    <w:p w14:paraId="1EFA62B0">
      <w:pPr>
        <w:spacing w:line="353" w:lineRule="auto"/>
        <w:ind w:firstLine="640" w:firstLineChars="200"/>
        <w:rPr>
          <w:rFonts w:eastAsia="仿宋_GB2312"/>
          <w:color w:val="000000" w:themeColor="text1"/>
          <w:sz w:val="32"/>
          <w:szCs w:val="32"/>
          <w14:textFill>
            <w14:solidFill>
              <w14:schemeClr w14:val="tx1"/>
            </w14:solidFill>
          </w14:textFill>
        </w:rPr>
      </w:pPr>
    </w:p>
    <w:p w14:paraId="22A3BAFD">
      <w:pPr>
        <w:spacing w:line="353" w:lineRule="auto"/>
        <w:ind w:firstLine="640" w:firstLineChars="200"/>
        <w:rPr>
          <w:rFonts w:eastAsia="仿宋_GB2312"/>
          <w:color w:val="000000" w:themeColor="text1"/>
          <w:sz w:val="32"/>
          <w:szCs w:val="32"/>
          <w14:textFill>
            <w14:solidFill>
              <w14:schemeClr w14:val="tx1"/>
            </w14:solidFill>
          </w14:textFill>
        </w:rPr>
      </w:pPr>
    </w:p>
    <w:p w14:paraId="723AB935">
      <w:pPr>
        <w:spacing w:before="312" w:beforeLines="100" w:line="353" w:lineRule="auto"/>
        <w:jc w:val="center"/>
        <w:rPr>
          <w:rStyle w:val="26"/>
          <w:rFonts w:ascii="Times New Roman" w:hAnsi="Times New Roman" w:eastAsia="仿宋_GB2312" w:cs="Times New Roman"/>
          <w:b w:val="0"/>
          <w:color w:val="000000" w:themeColor="text1"/>
          <w14:textFill>
            <w14:solidFill>
              <w14:schemeClr w14:val="tx1"/>
            </w14:solidFill>
          </w14:textFill>
        </w:rPr>
      </w:pPr>
      <w:bookmarkStart w:id="47" w:name="_Toc15396605"/>
      <w:bookmarkStart w:id="48" w:name="_Toc15377207"/>
      <w:r>
        <w:rPr>
          <w:rFonts w:eastAsia="仿宋_GB2312"/>
          <w:color w:val="000000" w:themeColor="text1"/>
          <w:sz w:val="32"/>
          <w:szCs w:val="32"/>
          <w14:textFill>
            <w14:solidFill>
              <w14:schemeClr w14:val="tx1"/>
            </w14:solidFill>
          </w14:textFill>
        </w:rPr>
        <w:t>（图2：收入决算结构图）（饼状图）</w:t>
      </w:r>
    </w:p>
    <w:p w14:paraId="42E27256">
      <w:pPr>
        <w:pStyle w:val="24"/>
        <w:numPr>
          <w:ilvl w:val="0"/>
          <w:numId w:val="3"/>
        </w:numPr>
        <w:spacing w:line="353" w:lineRule="auto"/>
        <w:ind w:firstLineChars="0"/>
        <w:outlineLvl w:val="1"/>
        <w:rPr>
          <w:rStyle w:val="26"/>
          <w:rFonts w:ascii="Times New Roman" w:hAnsi="Times New Roman" w:eastAsia="黑体" w:cs="Times New Roman"/>
          <w:b w:val="0"/>
          <w:color w:val="000000" w:themeColor="text1"/>
          <w14:textFill>
            <w14:solidFill>
              <w14:schemeClr w14:val="tx1"/>
            </w14:solidFill>
          </w14:textFill>
        </w:rPr>
      </w:pPr>
      <w:bookmarkStart w:id="49" w:name="_Toc10649"/>
      <w:r>
        <w:rPr>
          <w:rFonts w:eastAsia="黑体"/>
          <w:color w:val="000000" w:themeColor="text1"/>
          <w:sz w:val="32"/>
          <w:szCs w:val="32"/>
          <w14:textFill>
            <w14:solidFill>
              <w14:schemeClr w14:val="tx1"/>
            </w14:solidFill>
          </w14:textFill>
        </w:rPr>
        <w:t>支</w:t>
      </w:r>
      <w:r>
        <w:rPr>
          <w:rStyle w:val="26"/>
          <w:rFonts w:ascii="Times New Roman" w:hAnsi="Times New Roman" w:eastAsia="黑体" w:cs="Times New Roman"/>
          <w:b w:val="0"/>
          <w:color w:val="000000" w:themeColor="text1"/>
          <w14:textFill>
            <w14:solidFill>
              <w14:schemeClr w14:val="tx1"/>
            </w14:solidFill>
          </w14:textFill>
        </w:rPr>
        <w:t>出决算情况说明</w:t>
      </w:r>
      <w:bookmarkEnd w:id="47"/>
      <w:bookmarkEnd w:id="48"/>
      <w:bookmarkEnd w:id="49"/>
    </w:p>
    <w:p w14:paraId="24A12BE7">
      <w:pPr>
        <w:spacing w:line="353" w:lineRule="auto"/>
        <w:ind w:firstLine="640" w:firstLineChars="200"/>
        <w:outlineLvl w:val="1"/>
        <w:rPr>
          <w:rFonts w:eastAsia="仿宋_GB2312"/>
          <w:color w:val="000000" w:themeColor="text1"/>
          <w:sz w:val="32"/>
          <w:szCs w:val="32"/>
          <w14:textFill>
            <w14:solidFill>
              <w14:schemeClr w14:val="tx1"/>
            </w14:solidFill>
          </w14:textFill>
        </w:rPr>
      </w:pPr>
      <w:bookmarkStart w:id="50" w:name="_Toc22998"/>
      <w:bookmarkStart w:id="51" w:name="_Toc1375"/>
      <w:r>
        <w:rPr>
          <w:rFonts w:eastAsia="仿宋_GB2312"/>
          <w:color w:val="000000" w:themeColor="text1"/>
          <w:sz w:val="32"/>
          <w:szCs w:val="32"/>
          <w14:textFill>
            <w14:solidFill>
              <w14:schemeClr w14:val="tx1"/>
            </w14:solidFill>
          </w14:textFill>
        </w:rPr>
        <w:t>2019年本年支出合计1,011.87万元，其中：基本支出655.21万元，占64.75%；项目支出356.65万元，占35.25%；上缴上级支出0万元，占0%；经营支出0万元，占0%；对附属单位补助支出0万元，占0%。</w:t>
      </w:r>
      <w:bookmarkEnd w:id="50"/>
      <w:bookmarkEnd w:id="51"/>
    </w:p>
    <w:p w14:paraId="1C2B78CE">
      <w:pPr>
        <w:spacing w:line="353" w:lineRule="auto"/>
        <w:ind w:firstLine="640" w:firstLineChars="200"/>
        <w:rPr>
          <w:rFonts w:eastAsia="仿宋_GB2312"/>
          <w:color w:val="000000" w:themeColor="text1"/>
          <w:sz w:val="32"/>
          <w:szCs w:val="32"/>
          <w14:textFill>
            <w14:solidFill>
              <w14:schemeClr w14:val="tx1"/>
            </w14:solidFill>
          </w14:textFill>
        </w:rPr>
      </w:pPr>
    </w:p>
    <w:p w14:paraId="56EBFC5B">
      <w:pPr>
        <w:spacing w:line="353" w:lineRule="auto"/>
        <w:ind w:firstLine="420" w:firstLineChars="200"/>
        <w:rPr>
          <w:rFonts w:eastAsia="仿宋"/>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0288" behindDoc="0" locked="0" layoutInCell="1" allowOverlap="1">
            <wp:simplePos x="0" y="0"/>
            <wp:positionH relativeFrom="column">
              <wp:posOffset>796290</wp:posOffset>
            </wp:positionH>
            <wp:positionV relativeFrom="paragraph">
              <wp:posOffset>-10160</wp:posOffset>
            </wp:positionV>
            <wp:extent cx="3955415" cy="2381885"/>
            <wp:effectExtent l="0" t="0" r="6985" b="1079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3955415" cy="2381885"/>
                    </a:xfrm>
                    <a:prstGeom prst="rect">
                      <a:avLst/>
                    </a:prstGeom>
                    <a:noFill/>
                    <a:ln>
                      <a:noFill/>
                    </a:ln>
                  </pic:spPr>
                </pic:pic>
              </a:graphicData>
            </a:graphic>
          </wp:anchor>
        </w:drawing>
      </w:r>
    </w:p>
    <w:p w14:paraId="551A343F">
      <w:pPr>
        <w:spacing w:line="353" w:lineRule="auto"/>
        <w:ind w:firstLine="640" w:firstLineChars="200"/>
        <w:rPr>
          <w:rFonts w:eastAsia="仿宋"/>
          <w:color w:val="000000" w:themeColor="text1"/>
          <w:sz w:val="32"/>
          <w:szCs w:val="32"/>
          <w14:textFill>
            <w14:solidFill>
              <w14:schemeClr w14:val="tx1"/>
            </w14:solidFill>
          </w14:textFill>
        </w:rPr>
      </w:pPr>
    </w:p>
    <w:p w14:paraId="79DA68EC">
      <w:pPr>
        <w:spacing w:line="353" w:lineRule="auto"/>
        <w:ind w:firstLine="640" w:firstLineChars="200"/>
        <w:rPr>
          <w:rFonts w:eastAsia="仿宋"/>
          <w:color w:val="000000" w:themeColor="text1"/>
          <w:sz w:val="32"/>
          <w:szCs w:val="32"/>
          <w14:textFill>
            <w14:solidFill>
              <w14:schemeClr w14:val="tx1"/>
            </w14:solidFill>
          </w14:textFill>
        </w:rPr>
      </w:pPr>
    </w:p>
    <w:p w14:paraId="035D3844">
      <w:pPr>
        <w:spacing w:line="353" w:lineRule="auto"/>
        <w:ind w:firstLine="640" w:firstLineChars="200"/>
        <w:rPr>
          <w:rFonts w:eastAsia="仿宋"/>
          <w:color w:val="000000" w:themeColor="text1"/>
          <w:sz w:val="32"/>
          <w:szCs w:val="32"/>
          <w14:textFill>
            <w14:solidFill>
              <w14:schemeClr w14:val="tx1"/>
            </w14:solidFill>
          </w14:textFill>
        </w:rPr>
      </w:pPr>
    </w:p>
    <w:p w14:paraId="7D58FD15">
      <w:pPr>
        <w:spacing w:line="353" w:lineRule="auto"/>
        <w:ind w:firstLine="640" w:firstLineChars="200"/>
        <w:rPr>
          <w:rFonts w:eastAsia="仿宋"/>
          <w:color w:val="000000" w:themeColor="text1"/>
          <w:sz w:val="32"/>
          <w:szCs w:val="32"/>
          <w14:textFill>
            <w14:solidFill>
              <w14:schemeClr w14:val="tx1"/>
            </w14:solidFill>
          </w14:textFill>
        </w:rPr>
      </w:pPr>
    </w:p>
    <w:p w14:paraId="6C1D547D">
      <w:pPr>
        <w:spacing w:line="353" w:lineRule="auto"/>
        <w:rPr>
          <w:rFonts w:eastAsia="黑体"/>
          <w:color w:val="000000" w:themeColor="text1"/>
          <w:sz w:val="32"/>
          <w:szCs w:val="32"/>
          <w14:textFill>
            <w14:solidFill>
              <w14:schemeClr w14:val="tx1"/>
            </w14:solidFill>
          </w14:textFill>
        </w:rPr>
      </w:pPr>
      <w:bookmarkStart w:id="52" w:name="_Toc15377208"/>
      <w:bookmarkStart w:id="53" w:name="_Toc15396606"/>
    </w:p>
    <w:p w14:paraId="50B99DF9">
      <w:pPr>
        <w:spacing w:line="353" w:lineRule="auto"/>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（图3：支出决算结构图）（饼状图）</w:t>
      </w:r>
    </w:p>
    <w:p w14:paraId="4CCE195E">
      <w:pPr>
        <w:spacing w:line="353" w:lineRule="auto"/>
        <w:ind w:firstLine="640" w:firstLineChars="200"/>
        <w:outlineLvl w:val="1"/>
        <w:rPr>
          <w:rStyle w:val="26"/>
          <w:rFonts w:ascii="Times New Roman" w:hAnsi="Times New Roman" w:eastAsia="黑体" w:cs="Times New Roman"/>
          <w:b w:val="0"/>
          <w:color w:val="000000" w:themeColor="text1"/>
          <w14:textFill>
            <w14:solidFill>
              <w14:schemeClr w14:val="tx1"/>
            </w14:solidFill>
          </w14:textFill>
        </w:rPr>
      </w:pPr>
      <w:bookmarkStart w:id="54" w:name="_Toc20145"/>
      <w:r>
        <w:rPr>
          <w:rFonts w:eastAsia="黑体"/>
          <w:color w:val="000000" w:themeColor="text1"/>
          <w:sz w:val="32"/>
          <w:szCs w:val="32"/>
          <w14:textFill>
            <w14:solidFill>
              <w14:schemeClr w14:val="tx1"/>
            </w14:solidFill>
          </w14:textFill>
        </w:rPr>
        <w:t>四、财</w:t>
      </w:r>
      <w:r>
        <w:rPr>
          <w:rStyle w:val="26"/>
          <w:rFonts w:ascii="Times New Roman" w:hAnsi="Times New Roman" w:eastAsia="黑体" w:cs="Times New Roman"/>
          <w:b w:val="0"/>
          <w:color w:val="000000" w:themeColor="text1"/>
          <w14:textFill>
            <w14:solidFill>
              <w14:schemeClr w14:val="tx1"/>
            </w14:solidFill>
          </w14:textFill>
        </w:rPr>
        <w:t>政拨款收入支出决算总体情况说明</w:t>
      </w:r>
      <w:bookmarkEnd w:id="52"/>
      <w:bookmarkEnd w:id="53"/>
      <w:bookmarkEnd w:id="54"/>
    </w:p>
    <w:p w14:paraId="1E3DBCB8">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2019年财政拨款收、支总计1,038.24万元。与2018年相比，财政拨款收、支总计各减少261.13万元、189.61万元，下降31.82%、15.78%。主要变动原因</w:t>
      </w:r>
      <w:r>
        <w:rPr>
          <w:rFonts w:hint="eastAsia" w:eastAsia="仿宋_GB2312"/>
          <w:color w:val="000000" w:themeColor="text1"/>
          <w:sz w:val="32"/>
          <w:szCs w:val="32"/>
          <w:lang w:eastAsia="zh-CN"/>
          <w14:textFill>
            <w14:solidFill>
              <w14:schemeClr w14:val="tx1"/>
            </w14:solidFill>
          </w14:textFill>
        </w:rPr>
        <w:t>金保网</w:t>
      </w:r>
      <w:r>
        <w:rPr>
          <w:rFonts w:eastAsia="仿宋_GB2312"/>
          <w:color w:val="000000" w:themeColor="text1"/>
          <w:sz w:val="32"/>
          <w:szCs w:val="32"/>
          <w14:textFill>
            <w14:solidFill>
              <w14:schemeClr w14:val="tx1"/>
            </w14:solidFill>
          </w14:textFill>
        </w:rPr>
        <w:t>络维护费下调；军转干部只能划转</w:t>
      </w:r>
      <w:r>
        <w:rPr>
          <w:rFonts w:hint="eastAsia" w:eastAsia="仿宋_GB2312"/>
          <w:color w:val="000000" w:themeColor="text1"/>
          <w:sz w:val="32"/>
          <w:szCs w:val="32"/>
          <w:lang w:eastAsia="zh-CN"/>
          <w14:textFill>
            <w14:solidFill>
              <w14:schemeClr w14:val="tx1"/>
            </w14:solidFill>
          </w14:textFill>
        </w:rPr>
        <w:t>退役军人事务局</w:t>
      </w:r>
      <w:r>
        <w:rPr>
          <w:rFonts w:eastAsia="仿宋_GB2312"/>
          <w:color w:val="000000" w:themeColor="text1"/>
          <w:sz w:val="32"/>
          <w:szCs w:val="32"/>
          <w14:textFill>
            <w14:solidFill>
              <w14:schemeClr w14:val="tx1"/>
            </w14:solidFill>
          </w14:textFill>
        </w:rPr>
        <w:t>，区级就业和社会保障服务中心项目即将完工；西区公务员网络培训工作结束。</w:t>
      </w:r>
    </w:p>
    <w:p w14:paraId="09A462B7">
      <w:pPr>
        <w:spacing w:line="353" w:lineRule="auto"/>
        <w:ind w:firstLine="420" w:firstLineChars="200"/>
        <w:rPr>
          <w:rFonts w:eastAsia="仿宋"/>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1312" behindDoc="0" locked="0" layoutInCell="1" allowOverlap="1">
            <wp:simplePos x="0" y="0"/>
            <wp:positionH relativeFrom="column">
              <wp:posOffset>633730</wp:posOffset>
            </wp:positionH>
            <wp:positionV relativeFrom="paragraph">
              <wp:posOffset>34290</wp:posOffset>
            </wp:positionV>
            <wp:extent cx="4226560" cy="2545080"/>
            <wp:effectExtent l="0" t="0" r="10160" b="0"/>
            <wp:wrapNone/>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9"/>
                    <a:stretch>
                      <a:fillRect/>
                    </a:stretch>
                  </pic:blipFill>
                  <pic:spPr>
                    <a:xfrm>
                      <a:off x="0" y="0"/>
                      <a:ext cx="4226560" cy="2545080"/>
                    </a:xfrm>
                    <a:prstGeom prst="rect">
                      <a:avLst/>
                    </a:prstGeom>
                    <a:noFill/>
                    <a:ln>
                      <a:noFill/>
                    </a:ln>
                  </pic:spPr>
                </pic:pic>
              </a:graphicData>
            </a:graphic>
          </wp:anchor>
        </w:drawing>
      </w:r>
    </w:p>
    <w:p w14:paraId="23D8A005">
      <w:pPr>
        <w:spacing w:line="353" w:lineRule="auto"/>
        <w:ind w:firstLine="640" w:firstLineChars="200"/>
        <w:rPr>
          <w:rFonts w:eastAsia="仿宋"/>
          <w:color w:val="000000" w:themeColor="text1"/>
          <w:sz w:val="32"/>
          <w:szCs w:val="32"/>
          <w14:textFill>
            <w14:solidFill>
              <w14:schemeClr w14:val="tx1"/>
            </w14:solidFill>
          </w14:textFill>
        </w:rPr>
      </w:pPr>
    </w:p>
    <w:p w14:paraId="465BC113">
      <w:pPr>
        <w:spacing w:line="353" w:lineRule="auto"/>
        <w:ind w:firstLine="640" w:firstLineChars="200"/>
        <w:rPr>
          <w:rFonts w:eastAsia="仿宋"/>
          <w:color w:val="000000" w:themeColor="text1"/>
          <w:sz w:val="32"/>
          <w:szCs w:val="32"/>
          <w14:textFill>
            <w14:solidFill>
              <w14:schemeClr w14:val="tx1"/>
            </w14:solidFill>
          </w14:textFill>
        </w:rPr>
      </w:pPr>
    </w:p>
    <w:p w14:paraId="3C7B9279">
      <w:pPr>
        <w:spacing w:line="353" w:lineRule="auto"/>
        <w:ind w:firstLine="640" w:firstLineChars="200"/>
        <w:rPr>
          <w:rFonts w:eastAsia="仿宋"/>
          <w:color w:val="000000" w:themeColor="text1"/>
          <w:sz w:val="32"/>
          <w:szCs w:val="32"/>
          <w14:textFill>
            <w14:solidFill>
              <w14:schemeClr w14:val="tx1"/>
            </w14:solidFill>
          </w14:textFill>
        </w:rPr>
      </w:pPr>
    </w:p>
    <w:p w14:paraId="0E1C8C6D">
      <w:pPr>
        <w:spacing w:line="353" w:lineRule="auto"/>
        <w:ind w:firstLine="640" w:firstLineChars="200"/>
        <w:rPr>
          <w:rFonts w:eastAsia="仿宋"/>
          <w:color w:val="000000" w:themeColor="text1"/>
          <w:sz w:val="32"/>
          <w:szCs w:val="32"/>
          <w14:textFill>
            <w14:solidFill>
              <w14:schemeClr w14:val="tx1"/>
            </w14:solidFill>
          </w14:textFill>
        </w:rPr>
      </w:pPr>
    </w:p>
    <w:p w14:paraId="3E6581EB">
      <w:pPr>
        <w:spacing w:line="353" w:lineRule="auto"/>
        <w:ind w:firstLine="640" w:firstLineChars="200"/>
        <w:rPr>
          <w:rFonts w:eastAsia="仿宋"/>
          <w:color w:val="000000" w:themeColor="text1"/>
          <w:sz w:val="32"/>
          <w:szCs w:val="32"/>
          <w14:textFill>
            <w14:solidFill>
              <w14:schemeClr w14:val="tx1"/>
            </w14:solidFill>
          </w14:textFill>
        </w:rPr>
      </w:pPr>
    </w:p>
    <w:p w14:paraId="77930766">
      <w:pPr>
        <w:spacing w:before="312" w:beforeLines="100" w:line="353" w:lineRule="auto"/>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（图4：财政拨款收、支决算总计变动情况）（柱状图）</w:t>
      </w:r>
    </w:p>
    <w:p w14:paraId="326EDD88">
      <w:pPr>
        <w:spacing w:line="353" w:lineRule="auto"/>
        <w:ind w:firstLine="640" w:firstLineChars="200"/>
        <w:outlineLvl w:val="1"/>
        <w:rPr>
          <w:rStyle w:val="26"/>
          <w:rFonts w:ascii="Times New Roman" w:hAnsi="Times New Roman" w:eastAsia="黑体" w:cs="Times New Roman"/>
          <w:b w:val="0"/>
          <w:color w:val="000000" w:themeColor="text1"/>
          <w14:textFill>
            <w14:solidFill>
              <w14:schemeClr w14:val="tx1"/>
            </w14:solidFill>
          </w14:textFill>
        </w:rPr>
      </w:pPr>
      <w:bookmarkStart w:id="55" w:name="_Toc1372"/>
      <w:bookmarkStart w:id="56" w:name="_Toc15396607"/>
      <w:bookmarkStart w:id="57" w:name="_Toc15377209"/>
      <w:r>
        <w:rPr>
          <w:rFonts w:eastAsia="黑体"/>
          <w:color w:val="000000" w:themeColor="text1"/>
          <w:sz w:val="32"/>
          <w:szCs w:val="32"/>
          <w14:textFill>
            <w14:solidFill>
              <w14:schemeClr w14:val="tx1"/>
            </w14:solidFill>
          </w14:textFill>
        </w:rPr>
        <w:t>五、</w:t>
      </w:r>
      <w:r>
        <w:rPr>
          <w:rFonts w:eastAsia="黑体"/>
          <w:b/>
          <w:color w:val="000000" w:themeColor="text1"/>
          <w:sz w:val="32"/>
          <w:szCs w:val="32"/>
          <w14:textFill>
            <w14:solidFill>
              <w14:schemeClr w14:val="tx1"/>
            </w14:solidFill>
          </w14:textFill>
        </w:rPr>
        <w:t>一</w:t>
      </w:r>
      <w:r>
        <w:rPr>
          <w:rStyle w:val="26"/>
          <w:rFonts w:ascii="Times New Roman" w:hAnsi="Times New Roman" w:eastAsia="黑体" w:cs="Times New Roman"/>
          <w:b w:val="0"/>
          <w:color w:val="000000" w:themeColor="text1"/>
          <w14:textFill>
            <w14:solidFill>
              <w14:schemeClr w14:val="tx1"/>
            </w14:solidFill>
          </w14:textFill>
        </w:rPr>
        <w:t>般公共预算财政拨款支出决算情况说明</w:t>
      </w:r>
      <w:bookmarkEnd w:id="55"/>
      <w:bookmarkEnd w:id="56"/>
      <w:bookmarkEnd w:id="57"/>
    </w:p>
    <w:p w14:paraId="6231AC88">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58" w:name="_Toc28627"/>
      <w:bookmarkStart w:id="59" w:name="_Toc15377210"/>
      <w:r>
        <w:rPr>
          <w:rFonts w:eastAsia="楷体_GB2312"/>
          <w:bCs/>
          <w:color w:val="000000" w:themeColor="text1"/>
          <w:sz w:val="32"/>
          <w:szCs w:val="32"/>
          <w14:textFill>
            <w14:solidFill>
              <w14:schemeClr w14:val="tx1"/>
            </w14:solidFill>
          </w14:textFill>
        </w:rPr>
        <w:t>（一）一般公共预算财政拨款支出决算总体情况</w:t>
      </w:r>
      <w:bookmarkEnd w:id="58"/>
      <w:bookmarkEnd w:id="59"/>
      <w:r>
        <w:rPr>
          <w:rFonts w:eastAsia="楷体_GB2312"/>
          <w:bCs/>
          <w:color w:val="000000" w:themeColor="text1"/>
          <w:sz w:val="32"/>
          <w:szCs w:val="32"/>
          <w14:textFill>
            <w14:solidFill>
              <w14:schemeClr w14:val="tx1"/>
            </w14:solidFill>
          </w14:textFill>
        </w:rPr>
        <w:t>。</w:t>
      </w:r>
    </w:p>
    <w:p w14:paraId="29552641">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
          <w:color w:val="000000" w:themeColor="text1"/>
          <w:sz w:val="32"/>
          <w:szCs w:val="32"/>
          <w14:textFill>
            <w14:solidFill>
              <w14:schemeClr w14:val="tx1"/>
            </w14:solidFill>
          </w14:textFill>
        </w:rPr>
        <w:t>2</w:t>
      </w:r>
      <w:r>
        <w:rPr>
          <w:rFonts w:eastAsia="仿宋_GB2312"/>
          <w:color w:val="000000" w:themeColor="text1"/>
          <w:sz w:val="32"/>
          <w:szCs w:val="32"/>
          <w14:textFill>
            <w14:solidFill>
              <w14:schemeClr w14:val="tx1"/>
            </w14:solidFill>
          </w14:textFill>
        </w:rPr>
        <w:t>019年一般公共预算财政拨款支出1,011.37万元，占本年支出合计1011.87万元的99.95%。与2018年相比1,172.96万元，一般公共预算财政拨款减少161.59万元，下降13.78%。主要变动原因</w:t>
      </w:r>
      <w:r>
        <w:rPr>
          <w:rFonts w:hint="eastAsia" w:eastAsia="仿宋_GB2312"/>
          <w:color w:val="000000" w:themeColor="text1"/>
          <w:sz w:val="32"/>
          <w:szCs w:val="32"/>
          <w:lang w:eastAsia="zh-CN"/>
          <w14:textFill>
            <w14:solidFill>
              <w14:schemeClr w14:val="tx1"/>
            </w14:solidFill>
          </w14:textFill>
        </w:rPr>
        <w:t>金保网</w:t>
      </w:r>
      <w:r>
        <w:rPr>
          <w:rFonts w:eastAsia="仿宋_GB2312"/>
          <w:color w:val="000000" w:themeColor="text1"/>
          <w:sz w:val="32"/>
          <w:szCs w:val="32"/>
          <w14:textFill>
            <w14:solidFill>
              <w14:schemeClr w14:val="tx1"/>
            </w14:solidFill>
          </w14:textFill>
        </w:rPr>
        <w:t>络维护费下调；军转干部只能划转</w:t>
      </w:r>
      <w:r>
        <w:rPr>
          <w:rFonts w:hint="eastAsia" w:eastAsia="仿宋_GB2312"/>
          <w:color w:val="000000" w:themeColor="text1"/>
          <w:sz w:val="32"/>
          <w:szCs w:val="32"/>
          <w:lang w:eastAsia="zh-CN"/>
          <w14:textFill>
            <w14:solidFill>
              <w14:schemeClr w14:val="tx1"/>
            </w14:solidFill>
          </w14:textFill>
        </w:rPr>
        <w:t>退役军人事务局</w:t>
      </w:r>
      <w:r>
        <w:rPr>
          <w:rFonts w:eastAsia="仿宋_GB2312"/>
          <w:color w:val="000000" w:themeColor="text1"/>
          <w:sz w:val="32"/>
          <w:szCs w:val="32"/>
          <w14:textFill>
            <w14:solidFill>
              <w14:schemeClr w14:val="tx1"/>
            </w14:solidFill>
          </w14:textFill>
        </w:rPr>
        <w:t>，区级就业和社会保障服务中心项目即将完工；西区公务员网络培训工作结束。</w:t>
      </w:r>
    </w:p>
    <w:p w14:paraId="14595EA8">
      <w:pPr>
        <w:spacing w:line="353" w:lineRule="auto"/>
        <w:ind w:firstLine="420" w:firstLineChars="200"/>
        <w:rPr>
          <w:rFonts w:eastAsia="仿宋"/>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2336" behindDoc="0" locked="0" layoutInCell="1" allowOverlap="1">
            <wp:simplePos x="0" y="0"/>
            <wp:positionH relativeFrom="column">
              <wp:posOffset>298450</wp:posOffset>
            </wp:positionH>
            <wp:positionV relativeFrom="paragraph">
              <wp:posOffset>158750</wp:posOffset>
            </wp:positionV>
            <wp:extent cx="4869180" cy="2931795"/>
            <wp:effectExtent l="0" t="0" r="7620" b="1905"/>
            <wp:wrapNone/>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0"/>
                    <a:stretch>
                      <a:fillRect/>
                    </a:stretch>
                  </pic:blipFill>
                  <pic:spPr>
                    <a:xfrm>
                      <a:off x="0" y="0"/>
                      <a:ext cx="4869180" cy="2931795"/>
                    </a:xfrm>
                    <a:prstGeom prst="rect">
                      <a:avLst/>
                    </a:prstGeom>
                    <a:noFill/>
                    <a:ln>
                      <a:noFill/>
                    </a:ln>
                  </pic:spPr>
                </pic:pic>
              </a:graphicData>
            </a:graphic>
          </wp:anchor>
        </w:drawing>
      </w:r>
    </w:p>
    <w:p w14:paraId="0C24ED47">
      <w:pPr>
        <w:spacing w:line="353" w:lineRule="auto"/>
        <w:ind w:firstLine="640" w:firstLineChars="200"/>
        <w:rPr>
          <w:rFonts w:eastAsia="仿宋"/>
          <w:color w:val="000000" w:themeColor="text1"/>
          <w:sz w:val="32"/>
          <w:szCs w:val="32"/>
          <w14:textFill>
            <w14:solidFill>
              <w14:schemeClr w14:val="tx1"/>
            </w14:solidFill>
          </w14:textFill>
        </w:rPr>
      </w:pPr>
    </w:p>
    <w:p w14:paraId="5C3BAF25">
      <w:pPr>
        <w:spacing w:line="353" w:lineRule="auto"/>
        <w:ind w:firstLine="640" w:firstLineChars="200"/>
        <w:rPr>
          <w:rFonts w:eastAsia="仿宋"/>
          <w:color w:val="000000" w:themeColor="text1"/>
          <w:sz w:val="32"/>
          <w:szCs w:val="32"/>
          <w14:textFill>
            <w14:solidFill>
              <w14:schemeClr w14:val="tx1"/>
            </w14:solidFill>
          </w14:textFill>
        </w:rPr>
      </w:pPr>
    </w:p>
    <w:p w14:paraId="713B3175">
      <w:pPr>
        <w:spacing w:line="353" w:lineRule="auto"/>
        <w:ind w:firstLine="640" w:firstLineChars="200"/>
        <w:rPr>
          <w:rFonts w:eastAsia="仿宋"/>
          <w:color w:val="000000" w:themeColor="text1"/>
          <w:sz w:val="32"/>
          <w:szCs w:val="32"/>
          <w14:textFill>
            <w14:solidFill>
              <w14:schemeClr w14:val="tx1"/>
            </w14:solidFill>
          </w14:textFill>
        </w:rPr>
      </w:pPr>
    </w:p>
    <w:p w14:paraId="18F5FF03">
      <w:pPr>
        <w:spacing w:line="353" w:lineRule="auto"/>
        <w:ind w:firstLine="640" w:firstLineChars="200"/>
        <w:rPr>
          <w:rFonts w:eastAsia="仿宋"/>
          <w:color w:val="000000" w:themeColor="text1"/>
          <w:sz w:val="32"/>
          <w:szCs w:val="32"/>
          <w14:textFill>
            <w14:solidFill>
              <w14:schemeClr w14:val="tx1"/>
            </w14:solidFill>
          </w14:textFill>
        </w:rPr>
      </w:pPr>
    </w:p>
    <w:p w14:paraId="67412B92">
      <w:pPr>
        <w:spacing w:line="353" w:lineRule="auto"/>
        <w:ind w:firstLine="640" w:firstLineChars="200"/>
        <w:rPr>
          <w:rFonts w:eastAsia="仿宋"/>
          <w:color w:val="000000" w:themeColor="text1"/>
          <w:sz w:val="32"/>
          <w:szCs w:val="32"/>
          <w14:textFill>
            <w14:solidFill>
              <w14:schemeClr w14:val="tx1"/>
            </w14:solidFill>
          </w14:textFill>
        </w:rPr>
      </w:pPr>
    </w:p>
    <w:p w14:paraId="419B3E78">
      <w:pPr>
        <w:spacing w:line="353" w:lineRule="auto"/>
        <w:ind w:firstLine="643" w:firstLineChars="200"/>
        <w:rPr>
          <w:rFonts w:eastAsia="仿宋"/>
          <w:b/>
          <w:color w:val="000000" w:themeColor="text1"/>
          <w:sz w:val="32"/>
          <w:szCs w:val="32"/>
          <w14:textFill>
            <w14:solidFill>
              <w14:schemeClr w14:val="tx1"/>
            </w14:solidFill>
          </w14:textFill>
        </w:rPr>
      </w:pPr>
      <w:bookmarkStart w:id="60" w:name="_Toc15377211"/>
    </w:p>
    <w:p w14:paraId="5B3B7163">
      <w:pPr>
        <w:spacing w:line="353" w:lineRule="auto"/>
        <w:ind w:firstLine="643" w:firstLineChars="200"/>
        <w:rPr>
          <w:rFonts w:eastAsia="仿宋"/>
          <w:b/>
          <w:color w:val="000000" w:themeColor="text1"/>
          <w:sz w:val="32"/>
          <w:szCs w:val="32"/>
          <w14:textFill>
            <w14:solidFill>
              <w14:schemeClr w14:val="tx1"/>
            </w14:solidFill>
          </w14:textFill>
        </w:rPr>
      </w:pPr>
    </w:p>
    <w:p w14:paraId="70F3CBB9">
      <w:pPr>
        <w:spacing w:line="353" w:lineRule="auto"/>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（图5：一般公共预算财政拨款支出决算变动情况）（柱状图）</w:t>
      </w:r>
    </w:p>
    <w:p w14:paraId="668CB79D">
      <w:pPr>
        <w:spacing w:line="353" w:lineRule="auto"/>
        <w:rPr>
          <w:rFonts w:eastAsia="仿宋"/>
          <w:b/>
          <w:color w:val="000000" w:themeColor="text1"/>
          <w:sz w:val="32"/>
          <w:szCs w:val="32"/>
          <w14:textFill>
            <w14:solidFill>
              <w14:schemeClr w14:val="tx1"/>
            </w14:solidFill>
          </w14:textFill>
        </w:rPr>
      </w:pPr>
    </w:p>
    <w:p w14:paraId="3A86B086">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61" w:name="_Toc23162"/>
      <w:r>
        <w:rPr>
          <w:rFonts w:eastAsia="楷体_GB2312"/>
          <w:bCs/>
          <w:color w:val="000000" w:themeColor="text1"/>
          <w:sz w:val="32"/>
          <w:szCs w:val="32"/>
          <w14:textFill>
            <w14:solidFill>
              <w14:schemeClr w14:val="tx1"/>
            </w14:solidFill>
          </w14:textFill>
        </w:rPr>
        <w:t>（二）一般公共预算财政拨款支出决算结构情况</w:t>
      </w:r>
      <w:bookmarkEnd w:id="60"/>
      <w:bookmarkEnd w:id="61"/>
      <w:r>
        <w:rPr>
          <w:rFonts w:eastAsia="楷体_GB2312"/>
          <w:bCs/>
          <w:color w:val="000000" w:themeColor="text1"/>
          <w:sz w:val="32"/>
          <w:szCs w:val="32"/>
          <w14:textFill>
            <w14:solidFill>
              <w14:schemeClr w14:val="tx1"/>
            </w14:solidFill>
          </w14:textFill>
        </w:rPr>
        <w:t>。</w:t>
      </w:r>
    </w:p>
    <w:p w14:paraId="5A6C99A0">
      <w:pPr>
        <w:spacing w:line="353" w:lineRule="auto"/>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2019年一般公共预算财政拨款支出1011.37万元，主要用于以下方面：</w:t>
      </w:r>
      <w:r>
        <w:rPr>
          <w:rFonts w:eastAsia="仿宋_GB2312"/>
          <w:b/>
          <w:color w:val="000000" w:themeColor="text1"/>
          <w:sz w:val="32"/>
          <w:szCs w:val="32"/>
          <w14:textFill>
            <w14:solidFill>
              <w14:schemeClr w14:val="tx1"/>
            </w14:solidFill>
          </w14:textFill>
        </w:rPr>
        <w:t>一般公共服务（类）支出</w:t>
      </w:r>
      <w:r>
        <w:rPr>
          <w:rFonts w:eastAsia="仿宋_GB2312"/>
          <w:bCs/>
          <w:color w:val="000000" w:themeColor="text1"/>
          <w:sz w:val="32"/>
          <w:szCs w:val="32"/>
          <w14:textFill>
            <w14:solidFill>
              <w14:schemeClr w14:val="tx1"/>
            </w14:solidFill>
          </w14:textFill>
        </w:rPr>
        <w:t>5</w:t>
      </w:r>
      <w:r>
        <w:rPr>
          <w:rFonts w:eastAsia="仿宋_GB2312"/>
          <w:color w:val="000000" w:themeColor="text1"/>
          <w:sz w:val="32"/>
          <w:szCs w:val="32"/>
          <w14:textFill>
            <w14:solidFill>
              <w14:schemeClr w14:val="tx1"/>
            </w14:solidFill>
          </w14:textFill>
        </w:rPr>
        <w:t>62.95万元，占55.66%；</w:t>
      </w:r>
      <w:r>
        <w:rPr>
          <w:rFonts w:eastAsia="仿宋_GB2312"/>
          <w:b/>
          <w:color w:val="000000" w:themeColor="text1"/>
          <w:sz w:val="32"/>
          <w:szCs w:val="32"/>
          <w14:textFill>
            <w14:solidFill>
              <w14:schemeClr w14:val="tx1"/>
            </w14:solidFill>
          </w14:textFill>
        </w:rPr>
        <w:t>社会保障和就业（类）支出</w:t>
      </w:r>
      <w:r>
        <w:rPr>
          <w:rFonts w:eastAsia="仿宋_GB2312"/>
          <w:color w:val="000000" w:themeColor="text1"/>
          <w:sz w:val="32"/>
          <w:szCs w:val="32"/>
          <w14:textFill>
            <w14:solidFill>
              <w14:schemeClr w14:val="tx1"/>
            </w14:solidFill>
          </w14:textFill>
        </w:rPr>
        <w:t>354.79万元，占35.08%；</w:t>
      </w:r>
      <w:r>
        <w:rPr>
          <w:rFonts w:eastAsia="仿宋_GB2312"/>
          <w:b/>
          <w:bCs/>
          <w:color w:val="000000" w:themeColor="text1"/>
          <w:sz w:val="32"/>
          <w:szCs w:val="32"/>
          <w14:textFill>
            <w14:solidFill>
              <w14:schemeClr w14:val="tx1"/>
            </w14:solidFill>
          </w14:textFill>
        </w:rPr>
        <w:t>卫生健康支出</w:t>
      </w:r>
      <w:r>
        <w:rPr>
          <w:rFonts w:eastAsia="仿宋_GB2312"/>
          <w:color w:val="000000" w:themeColor="text1"/>
          <w:sz w:val="32"/>
          <w:szCs w:val="32"/>
          <w14:textFill>
            <w14:solidFill>
              <w14:schemeClr w14:val="tx1"/>
            </w14:solidFill>
          </w14:textFill>
        </w:rPr>
        <w:t>37.08万元，占3.67%；</w:t>
      </w:r>
      <w:r>
        <w:rPr>
          <w:rFonts w:eastAsia="仿宋_GB2312"/>
          <w:b/>
          <w:bCs/>
          <w:color w:val="000000" w:themeColor="text1"/>
          <w:sz w:val="32"/>
          <w:szCs w:val="32"/>
          <w14:textFill>
            <w14:solidFill>
              <w14:schemeClr w14:val="tx1"/>
            </w14:solidFill>
          </w14:textFill>
        </w:rPr>
        <w:t>住房保障支出</w:t>
      </w:r>
      <w:r>
        <w:rPr>
          <w:rFonts w:eastAsia="仿宋_GB2312"/>
          <w:color w:val="000000" w:themeColor="text1"/>
          <w:sz w:val="32"/>
          <w:szCs w:val="32"/>
          <w14:textFill>
            <w14:solidFill>
              <w14:schemeClr w14:val="tx1"/>
            </w14:solidFill>
          </w14:textFill>
        </w:rPr>
        <w:t>56.55万元，占5.59%。</w:t>
      </w:r>
      <w:r>
        <w:rPr>
          <w:rFonts w:eastAsia="仿宋_GB2312"/>
          <w:b/>
          <w:color w:val="000000" w:themeColor="text1"/>
          <w:sz w:val="32"/>
          <w:szCs w:val="32"/>
          <w14:textFill>
            <w14:solidFill>
              <w14:schemeClr w14:val="tx1"/>
            </w14:solidFill>
          </w14:textFill>
        </w:rPr>
        <w:t>（罗列全部功能分类科目，至类级。）</w:t>
      </w:r>
    </w:p>
    <w:p w14:paraId="6C7D2AF1">
      <w:pPr>
        <w:spacing w:line="353" w:lineRule="auto"/>
        <w:rPr>
          <w:rFonts w:eastAsia="仿宋"/>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3360" behindDoc="0" locked="0" layoutInCell="1" allowOverlap="1">
            <wp:simplePos x="0" y="0"/>
            <wp:positionH relativeFrom="column">
              <wp:posOffset>570230</wp:posOffset>
            </wp:positionH>
            <wp:positionV relativeFrom="paragraph">
              <wp:posOffset>55245</wp:posOffset>
            </wp:positionV>
            <wp:extent cx="4596130" cy="2767330"/>
            <wp:effectExtent l="0" t="0" r="1270" b="1270"/>
            <wp:wrapNone/>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1"/>
                    <a:stretch>
                      <a:fillRect/>
                    </a:stretch>
                  </pic:blipFill>
                  <pic:spPr>
                    <a:xfrm>
                      <a:off x="0" y="0"/>
                      <a:ext cx="4596130" cy="2767330"/>
                    </a:xfrm>
                    <a:prstGeom prst="rect">
                      <a:avLst/>
                    </a:prstGeom>
                    <a:noFill/>
                    <a:ln>
                      <a:noFill/>
                    </a:ln>
                  </pic:spPr>
                </pic:pic>
              </a:graphicData>
            </a:graphic>
          </wp:anchor>
        </w:drawing>
      </w:r>
    </w:p>
    <w:p w14:paraId="03141A9A">
      <w:pPr>
        <w:spacing w:line="353" w:lineRule="auto"/>
        <w:rPr>
          <w:rFonts w:eastAsia="仿宋"/>
          <w:color w:val="000000" w:themeColor="text1"/>
          <w:sz w:val="32"/>
          <w:szCs w:val="32"/>
          <w14:textFill>
            <w14:solidFill>
              <w14:schemeClr w14:val="tx1"/>
            </w14:solidFill>
          </w14:textFill>
        </w:rPr>
      </w:pPr>
    </w:p>
    <w:p w14:paraId="4B214B91">
      <w:pPr>
        <w:spacing w:line="353" w:lineRule="auto"/>
        <w:rPr>
          <w:rFonts w:eastAsia="仿宋"/>
          <w:color w:val="000000" w:themeColor="text1"/>
          <w:sz w:val="32"/>
          <w:szCs w:val="32"/>
          <w14:textFill>
            <w14:solidFill>
              <w14:schemeClr w14:val="tx1"/>
            </w14:solidFill>
          </w14:textFill>
        </w:rPr>
      </w:pPr>
    </w:p>
    <w:p w14:paraId="1691601F">
      <w:pPr>
        <w:spacing w:line="353" w:lineRule="auto"/>
        <w:rPr>
          <w:rFonts w:eastAsia="仿宋"/>
          <w:color w:val="000000" w:themeColor="text1"/>
          <w:sz w:val="32"/>
          <w:szCs w:val="32"/>
          <w14:textFill>
            <w14:solidFill>
              <w14:schemeClr w14:val="tx1"/>
            </w14:solidFill>
          </w14:textFill>
        </w:rPr>
      </w:pPr>
    </w:p>
    <w:p w14:paraId="43DFFC12">
      <w:pPr>
        <w:spacing w:line="353" w:lineRule="auto"/>
        <w:ind w:firstLine="640" w:firstLineChars="200"/>
        <w:rPr>
          <w:rFonts w:eastAsia="仿宋"/>
          <w:color w:val="000000" w:themeColor="text1"/>
          <w:sz w:val="32"/>
          <w:szCs w:val="32"/>
          <w14:textFill>
            <w14:solidFill>
              <w14:schemeClr w14:val="tx1"/>
            </w14:solidFill>
          </w14:textFill>
        </w:rPr>
      </w:pPr>
    </w:p>
    <w:p w14:paraId="55173576">
      <w:pPr>
        <w:spacing w:line="353" w:lineRule="auto"/>
        <w:ind w:firstLine="640" w:firstLineChars="200"/>
        <w:rPr>
          <w:rFonts w:eastAsia="仿宋"/>
          <w:color w:val="000000" w:themeColor="text1"/>
          <w:sz w:val="32"/>
          <w:szCs w:val="32"/>
          <w14:textFill>
            <w14:solidFill>
              <w14:schemeClr w14:val="tx1"/>
            </w14:solidFill>
          </w14:textFill>
        </w:rPr>
      </w:pPr>
    </w:p>
    <w:p w14:paraId="27744D0E">
      <w:pPr>
        <w:spacing w:line="353" w:lineRule="auto"/>
        <w:ind w:firstLine="640" w:firstLineChars="200"/>
        <w:rPr>
          <w:rFonts w:eastAsia="仿宋"/>
          <w:color w:val="000000" w:themeColor="text1"/>
          <w:sz w:val="32"/>
          <w:szCs w:val="32"/>
          <w14:textFill>
            <w14:solidFill>
              <w14:schemeClr w14:val="tx1"/>
            </w14:solidFill>
          </w14:textFill>
        </w:rPr>
      </w:pPr>
    </w:p>
    <w:p w14:paraId="6137E758">
      <w:pPr>
        <w:spacing w:before="156" w:beforeLines="50" w:line="353" w:lineRule="auto"/>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（图6：一般公共预算财政拨款支出决算结构）（饼状图）</w:t>
      </w:r>
    </w:p>
    <w:p w14:paraId="3E66B68F">
      <w:pPr>
        <w:spacing w:line="353" w:lineRule="auto"/>
        <w:ind w:firstLine="640" w:firstLineChars="200"/>
        <w:rPr>
          <w:rFonts w:eastAsia="仿宋"/>
          <w:color w:val="000000" w:themeColor="text1"/>
          <w:sz w:val="32"/>
          <w:szCs w:val="32"/>
          <w14:textFill>
            <w14:solidFill>
              <w14:schemeClr w14:val="tx1"/>
            </w14:solidFill>
          </w14:textFill>
        </w:rPr>
      </w:pPr>
    </w:p>
    <w:p w14:paraId="6D5EA93D">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62" w:name="_Toc15377212"/>
      <w:bookmarkStart w:id="63" w:name="_Toc23567"/>
      <w:r>
        <w:rPr>
          <w:rFonts w:eastAsia="楷体_GB2312"/>
          <w:bCs/>
          <w:color w:val="000000" w:themeColor="text1"/>
          <w:sz w:val="32"/>
          <w:szCs w:val="32"/>
          <w14:textFill>
            <w14:solidFill>
              <w14:schemeClr w14:val="tx1"/>
            </w14:solidFill>
          </w14:textFill>
        </w:rPr>
        <w:t>（三）一般公共预算财政拨款支出决算具体情况</w:t>
      </w:r>
      <w:bookmarkEnd w:id="62"/>
      <w:bookmarkEnd w:id="63"/>
      <w:r>
        <w:rPr>
          <w:rFonts w:eastAsia="楷体_GB2312"/>
          <w:bCs/>
          <w:color w:val="000000" w:themeColor="text1"/>
          <w:sz w:val="32"/>
          <w:szCs w:val="32"/>
          <w14:textFill>
            <w14:solidFill>
              <w14:schemeClr w14:val="tx1"/>
            </w14:solidFill>
          </w14:textFill>
        </w:rPr>
        <w:t>。</w:t>
      </w:r>
    </w:p>
    <w:p w14:paraId="61914DA9">
      <w:pPr>
        <w:spacing w:line="353" w:lineRule="auto"/>
        <w:ind w:firstLine="643" w:firstLineChars="200"/>
        <w:outlineLvl w:val="2"/>
        <w:rPr>
          <w:rFonts w:eastAsia="仿宋_GB2312"/>
          <w:color w:val="000000" w:themeColor="text1"/>
          <w:sz w:val="32"/>
          <w:szCs w:val="32"/>
          <w14:textFill>
            <w14:solidFill>
              <w14:schemeClr w14:val="tx1"/>
            </w14:solidFill>
          </w14:textFill>
        </w:rPr>
      </w:pPr>
      <w:bookmarkStart w:id="64" w:name="_Toc15377444"/>
      <w:bookmarkStart w:id="65" w:name="_Toc15378460"/>
      <w:bookmarkStart w:id="66" w:name="_Toc29763"/>
      <w:bookmarkStart w:id="67" w:name="_Toc15377213"/>
      <w:bookmarkStart w:id="68" w:name="_Toc5022"/>
      <w:r>
        <w:rPr>
          <w:rFonts w:eastAsia="仿宋_GB2312"/>
          <w:b/>
          <w:color w:val="000000" w:themeColor="text1"/>
          <w:sz w:val="32"/>
          <w:szCs w:val="32"/>
          <w14:textFill>
            <w14:solidFill>
              <w14:schemeClr w14:val="tx1"/>
            </w14:solidFill>
          </w14:textFill>
        </w:rPr>
        <w:t>2019年般公共预算支出决算数为</w:t>
      </w:r>
      <w:r>
        <w:rPr>
          <w:rFonts w:eastAsia="仿宋_GB2312"/>
          <w:b/>
          <w:bCs/>
          <w:color w:val="000000" w:themeColor="text1"/>
          <w:sz w:val="32"/>
          <w:szCs w:val="32"/>
          <w14:textFill>
            <w14:solidFill>
              <w14:schemeClr w14:val="tx1"/>
            </w14:solidFill>
          </w14:textFill>
        </w:rPr>
        <w:t>1011.37万元</w:t>
      </w:r>
      <w:r>
        <w:rPr>
          <w:rFonts w:eastAsia="仿宋_GB2312"/>
          <w:color w:val="000000" w:themeColor="text1"/>
          <w:sz w:val="32"/>
          <w:szCs w:val="32"/>
          <w14:textFill>
            <w14:solidFill>
              <w14:schemeClr w14:val="tx1"/>
            </w14:solidFill>
          </w14:textFill>
        </w:rPr>
        <w:t>，</w:t>
      </w:r>
      <w:r>
        <w:rPr>
          <w:rStyle w:val="15"/>
          <w:rFonts w:eastAsia="仿宋_GB2312"/>
          <w:bCs/>
          <w:color w:val="000000" w:themeColor="text1"/>
          <w:sz w:val="32"/>
          <w:szCs w:val="32"/>
          <w14:textFill>
            <w14:solidFill>
              <w14:schemeClr w14:val="tx1"/>
            </w14:solidFill>
          </w14:textFill>
        </w:rPr>
        <w:t>完成预算100%。其中</w:t>
      </w:r>
      <w:bookmarkEnd w:id="64"/>
      <w:bookmarkEnd w:id="65"/>
      <w:bookmarkEnd w:id="66"/>
      <w:bookmarkEnd w:id="67"/>
      <w:r>
        <w:rPr>
          <w:rStyle w:val="15"/>
          <w:rFonts w:eastAsia="仿宋_GB2312"/>
          <w:bCs/>
          <w:color w:val="000000" w:themeColor="text1"/>
          <w:sz w:val="32"/>
          <w:szCs w:val="32"/>
          <w14:textFill>
            <w14:solidFill>
              <w14:schemeClr w14:val="tx1"/>
            </w14:solidFill>
          </w14:textFill>
        </w:rPr>
        <w:t>：</w:t>
      </w:r>
      <w:bookmarkEnd w:id="68"/>
    </w:p>
    <w:p w14:paraId="3C79DD99">
      <w:pPr>
        <w:spacing w:line="353" w:lineRule="auto"/>
        <w:ind w:firstLine="643" w:firstLineChars="200"/>
        <w:rPr>
          <w:rFonts w:eastAsia="仿宋_GB2312"/>
          <w:b/>
          <w:color w:val="000000" w:themeColor="text1"/>
          <w:sz w:val="32"/>
          <w:szCs w:val="32"/>
          <w14:textFill>
            <w14:solidFill>
              <w14:schemeClr w14:val="tx1"/>
            </w14:solidFill>
          </w14:textFill>
        </w:rPr>
      </w:pPr>
      <w:r>
        <w:rPr>
          <w:rStyle w:val="15"/>
          <w:rFonts w:eastAsia="仿宋_GB2312"/>
          <w:bCs/>
          <w:color w:val="000000" w:themeColor="text1"/>
          <w:sz w:val="32"/>
          <w:szCs w:val="32"/>
          <w14:textFill>
            <w14:solidFill>
              <w14:schemeClr w14:val="tx1"/>
            </w14:solidFill>
          </w14:textFill>
        </w:rPr>
        <w:t>1.一般公共服务：</w:t>
      </w:r>
      <w:r>
        <w:rPr>
          <w:rStyle w:val="15"/>
          <w:rFonts w:eastAsia="仿宋_GB2312"/>
          <w:b w:val="0"/>
          <w:bCs/>
          <w:color w:val="000000" w:themeColor="text1"/>
          <w:sz w:val="32"/>
          <w:szCs w:val="32"/>
          <w14:textFill>
            <w14:solidFill>
              <w14:schemeClr w14:val="tx1"/>
            </w14:solidFill>
          </w14:textFill>
        </w:rPr>
        <w:t>2010607信息化建设 9.00万元；2011001行政运行308.52万元；2011008 引进人才费用20.01万元；201105事业运行185.23万元；201109其他人力资源事务支出40.18万元；支出决算为562.95万元，完成预算100%，决算数与预算数持平。</w:t>
      </w:r>
    </w:p>
    <w:p w14:paraId="6940AEC1">
      <w:pPr>
        <w:spacing w:line="353" w:lineRule="auto"/>
        <w:ind w:firstLine="643" w:firstLineChars="200"/>
        <w:rPr>
          <w:rFonts w:eastAsia="仿宋_GB2312"/>
          <w:b/>
          <w:color w:val="000000" w:themeColor="text1"/>
          <w:sz w:val="32"/>
          <w:szCs w:val="32"/>
          <w14:textFill>
            <w14:solidFill>
              <w14:schemeClr w14:val="tx1"/>
            </w14:solidFill>
          </w14:textFill>
        </w:rPr>
      </w:pPr>
      <w:r>
        <w:rPr>
          <w:rStyle w:val="15"/>
          <w:rFonts w:eastAsia="仿宋_GB2312"/>
          <w:bCs/>
          <w:color w:val="000000" w:themeColor="text1"/>
          <w:sz w:val="32"/>
          <w:szCs w:val="32"/>
          <w14:textFill>
            <w14:solidFill>
              <w14:schemeClr w14:val="tx1"/>
            </w14:solidFill>
          </w14:textFill>
        </w:rPr>
        <w:t>2.住房保障支出：</w:t>
      </w:r>
      <w:r>
        <w:rPr>
          <w:rStyle w:val="15"/>
          <w:rFonts w:eastAsia="仿宋_GB2312"/>
          <w:b w:val="0"/>
          <w:bCs/>
          <w:color w:val="000000" w:themeColor="text1"/>
          <w:sz w:val="32"/>
          <w:szCs w:val="32"/>
          <w14:textFill>
            <w14:solidFill>
              <w14:schemeClr w14:val="tx1"/>
            </w14:solidFill>
          </w14:textFill>
        </w:rPr>
        <w:t>2210201住房公积金56.55万元，支出决算为56.55万元，完成预算100%，决算数与预算数持平。</w:t>
      </w:r>
    </w:p>
    <w:p w14:paraId="58A819D2">
      <w:pPr>
        <w:spacing w:line="353" w:lineRule="auto"/>
        <w:ind w:firstLine="643" w:firstLineChars="200"/>
        <w:rPr>
          <w:rFonts w:eastAsia="仿宋_GB2312"/>
          <w:b/>
          <w:color w:val="000000" w:themeColor="text1"/>
          <w:sz w:val="32"/>
          <w:szCs w:val="32"/>
          <w14:textFill>
            <w14:solidFill>
              <w14:schemeClr w14:val="tx1"/>
            </w14:solidFill>
          </w14:textFill>
        </w:rPr>
      </w:pPr>
      <w:r>
        <w:rPr>
          <w:rStyle w:val="15"/>
          <w:rFonts w:eastAsia="仿宋_GB2312"/>
          <w:bCs/>
          <w:color w:val="000000" w:themeColor="text1"/>
          <w:sz w:val="32"/>
          <w:szCs w:val="32"/>
          <w14:textFill>
            <w14:solidFill>
              <w14:schemeClr w14:val="tx1"/>
            </w14:solidFill>
          </w14:textFill>
        </w:rPr>
        <w:t>3.社会保障和就业：</w:t>
      </w:r>
      <w:r>
        <w:rPr>
          <w:rStyle w:val="15"/>
          <w:rFonts w:eastAsia="仿宋_GB2312"/>
          <w:b w:val="0"/>
          <w:bCs/>
          <w:color w:val="000000" w:themeColor="text1"/>
          <w:sz w:val="32"/>
          <w:szCs w:val="32"/>
          <w14:textFill>
            <w14:solidFill>
              <w14:schemeClr w14:val="tx1"/>
            </w14:solidFill>
          </w14:textFill>
        </w:rPr>
        <w:t>2080105劳动保障监察6.00；2080199其他人力资源和社会保障管理事务支出278.17万元；2080504</w:t>
      </w:r>
      <w:r>
        <w:rPr>
          <w:rStyle w:val="15"/>
          <w:rFonts w:eastAsia="仿宋_GB2312"/>
          <w:b w:val="0"/>
          <w:bCs/>
          <w:color w:val="000000" w:themeColor="text1"/>
          <w:sz w:val="32"/>
          <w:szCs w:val="32"/>
          <w14:textFill>
            <w14:solidFill>
              <w14:schemeClr w14:val="tx1"/>
            </w14:solidFill>
          </w14:textFill>
        </w:rPr>
        <w:tab/>
      </w:r>
      <w:r>
        <w:rPr>
          <w:rStyle w:val="15"/>
          <w:rFonts w:eastAsia="仿宋_GB2312"/>
          <w:b w:val="0"/>
          <w:bCs/>
          <w:color w:val="000000" w:themeColor="text1"/>
          <w:sz w:val="32"/>
          <w:szCs w:val="32"/>
          <w14:textFill>
            <w14:solidFill>
              <w14:schemeClr w14:val="tx1"/>
            </w14:solidFill>
          </w14:textFill>
        </w:rPr>
        <w:t>未归口管理的行政单位离退休16.73万元；2080505</w:t>
      </w:r>
      <w:r>
        <w:rPr>
          <w:rStyle w:val="15"/>
          <w:rFonts w:eastAsia="仿宋_GB2312"/>
          <w:b w:val="0"/>
          <w:bCs/>
          <w:color w:val="000000" w:themeColor="text1"/>
          <w:sz w:val="32"/>
          <w:szCs w:val="32"/>
          <w14:textFill>
            <w14:solidFill>
              <w14:schemeClr w14:val="tx1"/>
            </w14:solidFill>
          </w14:textFill>
        </w:rPr>
        <w:tab/>
      </w:r>
      <w:r>
        <w:rPr>
          <w:rStyle w:val="15"/>
          <w:rFonts w:eastAsia="仿宋_GB2312"/>
          <w:b w:val="0"/>
          <w:bCs/>
          <w:color w:val="000000" w:themeColor="text1"/>
          <w:sz w:val="32"/>
          <w:szCs w:val="32"/>
          <w14:textFill>
            <w14:solidFill>
              <w14:schemeClr w14:val="tx1"/>
            </w14:solidFill>
          </w14:textFill>
        </w:rPr>
        <w:t>机关事业单位基本养老保险缴费支出47.99万元 ；2080506机关事业单位职业年金缴费支出3.11万元；2080905军队转业干部安置2.79万元，支出决算为354.79万元，完成预算100%，决算数与预算数持平。</w:t>
      </w:r>
    </w:p>
    <w:p w14:paraId="65FB9434">
      <w:pPr>
        <w:spacing w:line="353" w:lineRule="auto"/>
        <w:ind w:firstLine="643" w:firstLineChars="200"/>
        <w:rPr>
          <w:rFonts w:eastAsia="仿宋_GB2312"/>
          <w:b/>
          <w:color w:val="000000" w:themeColor="text1"/>
          <w:sz w:val="32"/>
          <w:szCs w:val="32"/>
          <w14:textFill>
            <w14:solidFill>
              <w14:schemeClr w14:val="tx1"/>
            </w14:solidFill>
          </w14:textFill>
        </w:rPr>
      </w:pPr>
      <w:r>
        <w:rPr>
          <w:rStyle w:val="15"/>
          <w:rFonts w:eastAsia="仿宋_GB2312"/>
          <w:bCs/>
          <w:color w:val="000000" w:themeColor="text1"/>
          <w:sz w:val="32"/>
          <w:szCs w:val="32"/>
          <w14:textFill>
            <w14:solidFill>
              <w14:schemeClr w14:val="tx1"/>
            </w14:solidFill>
          </w14:textFill>
        </w:rPr>
        <w:t>4.</w:t>
      </w:r>
      <w:r>
        <w:rPr>
          <w:rFonts w:eastAsia="仿宋_GB2312"/>
          <w:b/>
          <w:bCs/>
          <w:color w:val="000000" w:themeColor="text1"/>
          <w:sz w:val="32"/>
          <w:szCs w:val="32"/>
          <w14:textFill>
            <w14:solidFill>
              <w14:schemeClr w14:val="tx1"/>
            </w14:solidFill>
          </w14:textFill>
        </w:rPr>
        <w:t>卫生健康</w:t>
      </w:r>
      <w:r>
        <w:rPr>
          <w:rStyle w:val="15"/>
          <w:rFonts w:eastAsia="仿宋_GB2312"/>
          <w:bCs/>
          <w:color w:val="000000" w:themeColor="text1"/>
          <w:sz w:val="32"/>
          <w:szCs w:val="32"/>
          <w14:textFill>
            <w14:solidFill>
              <w14:schemeClr w14:val="tx1"/>
            </w14:solidFill>
          </w14:textFill>
        </w:rPr>
        <w:t>：</w:t>
      </w:r>
      <w:r>
        <w:rPr>
          <w:rStyle w:val="15"/>
          <w:rFonts w:eastAsia="仿宋_GB2312"/>
          <w:b w:val="0"/>
          <w:bCs/>
          <w:color w:val="000000" w:themeColor="text1"/>
          <w:sz w:val="32"/>
          <w:szCs w:val="32"/>
          <w14:textFill>
            <w14:solidFill>
              <w14:schemeClr w14:val="tx1"/>
            </w14:solidFill>
          </w14:textFill>
        </w:rPr>
        <w:t>2101101行政单位医疗21.20万元；2101102事业单位医疗12.27万元；2101103 公务员医疗补助3.61万元，支出决算为37.08万元，完成预100%，决算数与预算数持平。</w:t>
      </w:r>
    </w:p>
    <w:p w14:paraId="20F92A44">
      <w:pPr>
        <w:tabs>
          <w:tab w:val="right" w:pos="8306"/>
        </w:tabs>
        <w:spacing w:line="353" w:lineRule="auto"/>
        <w:ind w:firstLine="640"/>
        <w:outlineLvl w:val="1"/>
        <w:rPr>
          <w:rStyle w:val="26"/>
          <w:rFonts w:ascii="Times New Roman" w:hAnsi="Times New Roman" w:cs="Times New Roman"/>
          <w:color w:val="000000" w:themeColor="text1"/>
          <w14:textFill>
            <w14:solidFill>
              <w14:schemeClr w14:val="tx1"/>
            </w14:solidFill>
          </w14:textFill>
        </w:rPr>
      </w:pPr>
      <w:bookmarkStart w:id="69" w:name="_Toc30008"/>
      <w:bookmarkStart w:id="70" w:name="_Toc15396608"/>
      <w:bookmarkStart w:id="71" w:name="_Toc15377214"/>
      <w:r>
        <w:rPr>
          <w:rFonts w:eastAsia="黑体"/>
          <w:color w:val="000000" w:themeColor="text1"/>
          <w:sz w:val="32"/>
          <w:szCs w:val="32"/>
          <w14:textFill>
            <w14:solidFill>
              <w14:schemeClr w14:val="tx1"/>
            </w14:solidFill>
          </w14:textFill>
        </w:rPr>
        <w:t>六</w:t>
      </w:r>
      <w:r>
        <w:rPr>
          <w:rFonts w:eastAsia="黑体"/>
          <w:b/>
          <w:color w:val="000000" w:themeColor="text1"/>
          <w:sz w:val="32"/>
          <w:szCs w:val="32"/>
          <w14:textFill>
            <w14:solidFill>
              <w14:schemeClr w14:val="tx1"/>
            </w14:solidFill>
          </w14:textFill>
        </w:rPr>
        <w:t>、一</w:t>
      </w:r>
      <w:r>
        <w:rPr>
          <w:rStyle w:val="26"/>
          <w:rFonts w:ascii="Times New Roman" w:hAnsi="Times New Roman" w:eastAsia="黑体" w:cs="Times New Roman"/>
          <w:b w:val="0"/>
          <w:color w:val="000000" w:themeColor="text1"/>
          <w14:textFill>
            <w14:solidFill>
              <w14:schemeClr w14:val="tx1"/>
            </w14:solidFill>
          </w14:textFill>
        </w:rPr>
        <w:t>般公共预算财政拨款基本支出决算情况说明</w:t>
      </w:r>
      <w:bookmarkEnd w:id="69"/>
      <w:bookmarkEnd w:id="70"/>
      <w:bookmarkEnd w:id="71"/>
      <w:r>
        <w:rPr>
          <w:rStyle w:val="26"/>
          <w:rFonts w:ascii="Times New Roman" w:hAnsi="Times New Roman" w:eastAsia="黑体" w:cs="Times New Roman"/>
          <w:b w:val="0"/>
          <w:color w:val="000000" w:themeColor="text1"/>
          <w14:textFill>
            <w14:solidFill>
              <w14:schemeClr w14:val="tx1"/>
            </w14:solidFill>
          </w14:textFill>
        </w:rPr>
        <w:tab/>
      </w:r>
    </w:p>
    <w:p w14:paraId="6CC40C29">
      <w:pPr>
        <w:spacing w:line="353" w:lineRule="auto"/>
        <w:ind w:firstLine="645"/>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2019年一般公共预算财政拨款基本支出655.21万元，其中：</w:t>
      </w:r>
    </w:p>
    <w:p w14:paraId="3E8F00A7">
      <w:pPr>
        <w:spacing w:line="353" w:lineRule="auto"/>
        <w:ind w:firstLine="645"/>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人员经费596.07万元，主要包括：基本工资119.00万元、津贴补贴249.49万元、奖金5.83万元、绩效工资53.59万元、机关事业单位基本养老保险缴费47.99万元、职业年金缴费3.11万元、职工基本医疗保险缴费33.47万元、公务员医疗补助缴费3.61万元、其他社会保障缴费3.18万元、其他工资福利支出3.53万元、离休费12.65万元、退休费4.09万元、住房公积金56.55万元。</w:t>
      </w:r>
      <w:r>
        <w:rPr>
          <w:rFonts w:eastAsia="仿宋_GB2312"/>
          <w:color w:val="000000" w:themeColor="text1"/>
          <w:sz w:val="32"/>
          <w:szCs w:val="32"/>
          <w14:textFill>
            <w14:solidFill>
              <w14:schemeClr w14:val="tx1"/>
            </w14:solidFill>
          </w14:textFill>
        </w:rPr>
        <w:br w:type="textWrapping"/>
      </w:r>
      <w:r>
        <w:rPr>
          <w:rFonts w:eastAsia="仿宋_GB2312"/>
          <w:color w:val="000000" w:themeColor="text1"/>
          <w:sz w:val="32"/>
          <w:szCs w:val="32"/>
          <w14:textFill>
            <w14:solidFill>
              <w14:schemeClr w14:val="tx1"/>
            </w14:solidFill>
          </w14:textFill>
        </w:rPr>
        <w:t>　　日常公用经费59.14万元，主要包括：办公费6.77万元、印刷费5.76万元、邮电费2.20万元、差旅费3.83万元、维修（护）费0.05万元、培训费0.23万元、公务接待费0.94万元、劳务费5.24万元、工会经费3.28万元、福利费2.02万元、其他交通费20.53万元、其他商品和服务支出4.01万元、办公设备购置4.28万元。</w:t>
      </w:r>
    </w:p>
    <w:p w14:paraId="50536D6C">
      <w:pPr>
        <w:spacing w:line="353" w:lineRule="auto"/>
        <w:ind w:firstLine="640"/>
        <w:outlineLvl w:val="1"/>
        <w:rPr>
          <w:rStyle w:val="26"/>
          <w:rFonts w:ascii="Times New Roman" w:hAnsi="Times New Roman" w:eastAsia="黑体" w:cs="Times New Roman"/>
          <w:b w:val="0"/>
          <w:color w:val="000000" w:themeColor="text1"/>
          <w14:textFill>
            <w14:solidFill>
              <w14:schemeClr w14:val="tx1"/>
            </w14:solidFill>
          </w14:textFill>
        </w:rPr>
      </w:pPr>
      <w:bookmarkStart w:id="72" w:name="_Toc15377215"/>
      <w:bookmarkStart w:id="73" w:name="_Toc15396609"/>
      <w:bookmarkStart w:id="74" w:name="_Toc16390"/>
      <w:r>
        <w:rPr>
          <w:rFonts w:eastAsia="黑体"/>
          <w:color w:val="000000" w:themeColor="text1"/>
          <w:sz w:val="32"/>
          <w:szCs w:val="32"/>
          <w14:textFill>
            <w14:solidFill>
              <w14:schemeClr w14:val="tx1"/>
            </w14:solidFill>
          </w14:textFill>
        </w:rPr>
        <w:t>七、</w:t>
      </w:r>
      <w:r>
        <w:rPr>
          <w:rStyle w:val="26"/>
          <w:rFonts w:ascii="Times New Roman" w:hAnsi="Times New Roman" w:eastAsia="黑体" w:cs="Times New Roman"/>
          <w:color w:val="000000" w:themeColor="text1"/>
          <w14:textFill>
            <w14:solidFill>
              <w14:schemeClr w14:val="tx1"/>
            </w14:solidFill>
          </w14:textFill>
        </w:rPr>
        <w:t>“</w:t>
      </w:r>
      <w:r>
        <w:rPr>
          <w:rStyle w:val="26"/>
          <w:rFonts w:ascii="Times New Roman" w:hAnsi="Times New Roman" w:eastAsia="黑体" w:cs="Times New Roman"/>
          <w:b w:val="0"/>
          <w:color w:val="000000" w:themeColor="text1"/>
          <w14:textFill>
            <w14:solidFill>
              <w14:schemeClr w14:val="tx1"/>
            </w14:solidFill>
          </w14:textFill>
        </w:rPr>
        <w:t>三公”经费财政拨款支出决算情况说明</w:t>
      </w:r>
      <w:bookmarkEnd w:id="72"/>
      <w:bookmarkEnd w:id="73"/>
      <w:bookmarkEnd w:id="74"/>
    </w:p>
    <w:p w14:paraId="68AB164E">
      <w:pPr>
        <w:spacing w:line="353" w:lineRule="auto"/>
        <w:ind w:firstLine="640"/>
        <w:outlineLvl w:val="2"/>
        <w:rPr>
          <w:rFonts w:eastAsia="楷体_GB2312"/>
          <w:bCs/>
          <w:color w:val="000000" w:themeColor="text1"/>
          <w:sz w:val="32"/>
          <w:szCs w:val="32"/>
          <w14:textFill>
            <w14:solidFill>
              <w14:schemeClr w14:val="tx1"/>
            </w14:solidFill>
          </w14:textFill>
        </w:rPr>
      </w:pPr>
      <w:bookmarkStart w:id="75" w:name="_Toc14207"/>
      <w:bookmarkStart w:id="76" w:name="_Toc15377216"/>
      <w:r>
        <w:rPr>
          <w:rFonts w:eastAsia="楷体_GB2312"/>
          <w:bCs/>
          <w:color w:val="000000" w:themeColor="text1"/>
          <w:sz w:val="32"/>
          <w:szCs w:val="32"/>
          <w14:textFill>
            <w14:solidFill>
              <w14:schemeClr w14:val="tx1"/>
            </w14:solidFill>
          </w14:textFill>
        </w:rPr>
        <w:t>（一）“三公”经费财政拨款支出决算总体情况说明</w:t>
      </w:r>
      <w:bookmarkEnd w:id="75"/>
      <w:bookmarkEnd w:id="76"/>
      <w:r>
        <w:rPr>
          <w:rFonts w:eastAsia="楷体_GB2312"/>
          <w:bCs/>
          <w:color w:val="000000" w:themeColor="text1"/>
          <w:sz w:val="32"/>
          <w:szCs w:val="32"/>
          <w14:textFill>
            <w14:solidFill>
              <w14:schemeClr w14:val="tx1"/>
            </w14:solidFill>
          </w14:textFill>
        </w:rPr>
        <w:t>。</w:t>
      </w:r>
    </w:p>
    <w:p w14:paraId="55CDD100">
      <w:pPr>
        <w:spacing w:line="353" w:lineRule="auto"/>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2019年“三公”经费财政拨款支出决算为0.94万元，完成预算100%，决算数与预算数持平。</w:t>
      </w:r>
    </w:p>
    <w:p w14:paraId="1F3954BF">
      <w:pPr>
        <w:spacing w:line="353" w:lineRule="auto"/>
        <w:ind w:firstLine="640"/>
        <w:outlineLvl w:val="2"/>
        <w:rPr>
          <w:rFonts w:eastAsia="楷体_GB2312"/>
          <w:bCs/>
          <w:color w:val="000000" w:themeColor="text1"/>
          <w:sz w:val="32"/>
          <w:szCs w:val="32"/>
          <w14:textFill>
            <w14:solidFill>
              <w14:schemeClr w14:val="tx1"/>
            </w14:solidFill>
          </w14:textFill>
        </w:rPr>
      </w:pPr>
      <w:bookmarkStart w:id="77" w:name="_Toc5469"/>
      <w:bookmarkStart w:id="78" w:name="_Toc15377217"/>
      <w:r>
        <w:rPr>
          <w:rFonts w:eastAsia="楷体_GB2312"/>
          <w:bCs/>
          <w:color w:val="000000" w:themeColor="text1"/>
          <w:sz w:val="32"/>
          <w:szCs w:val="32"/>
          <w14:textFill>
            <w14:solidFill>
              <w14:schemeClr w14:val="tx1"/>
            </w14:solidFill>
          </w14:textFill>
        </w:rPr>
        <w:t>（二）“三公”经费财政拨款支出决算具体情况说明</w:t>
      </w:r>
      <w:bookmarkEnd w:id="77"/>
      <w:bookmarkEnd w:id="78"/>
      <w:r>
        <w:rPr>
          <w:rFonts w:eastAsia="楷体_GB2312"/>
          <w:bCs/>
          <w:color w:val="000000" w:themeColor="text1"/>
          <w:sz w:val="32"/>
          <w:szCs w:val="32"/>
          <w14:textFill>
            <w14:solidFill>
              <w14:schemeClr w14:val="tx1"/>
            </w14:solidFill>
          </w14:textFill>
        </w:rPr>
        <w:t>。</w:t>
      </w:r>
    </w:p>
    <w:p w14:paraId="2126008B">
      <w:pPr>
        <w:spacing w:line="353" w:lineRule="auto"/>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2019年“三公”经费财政拨款支出决算中，因公出国（境）费支出决算0万元，占0%；公务用车购置及运行维护费支出决算0万元，占0%；公务接待费支出决算0.94万元，占100%。具体情况如下：</w:t>
      </w:r>
    </w:p>
    <w:p w14:paraId="29D30FFB">
      <w:pPr>
        <w:spacing w:line="353" w:lineRule="auto"/>
        <w:ind w:firstLine="640"/>
        <w:rPr>
          <w:rFonts w:eastAsia="仿宋"/>
          <w:color w:val="000000" w:themeColor="text1"/>
          <w:sz w:val="32"/>
          <w:szCs w:val="32"/>
          <w14:textFill>
            <w14:solidFill>
              <w14:schemeClr w14:val="tx1"/>
            </w14:solidFill>
          </w14:textFill>
        </w:rPr>
      </w:pPr>
    </w:p>
    <w:p w14:paraId="015C4D44">
      <w:pPr>
        <w:spacing w:line="353" w:lineRule="auto"/>
        <w:ind w:firstLine="640"/>
        <w:rPr>
          <w:rFonts w:eastAsia="仿宋"/>
          <w:color w:val="000000" w:themeColor="text1"/>
          <w:sz w:val="32"/>
          <w:szCs w:val="32"/>
          <w14:textFill>
            <w14:solidFill>
              <w14:schemeClr w14:val="tx1"/>
            </w14:solidFill>
          </w14:textFill>
        </w:rPr>
      </w:pPr>
    </w:p>
    <w:p w14:paraId="21487E27">
      <w:pPr>
        <w:spacing w:line="353" w:lineRule="auto"/>
        <w:ind w:firstLine="640"/>
        <w:rPr>
          <w:rFonts w:eastAsia="仿宋"/>
          <w:color w:val="000000" w:themeColor="text1"/>
          <w:sz w:val="32"/>
          <w:szCs w:val="32"/>
          <w14:textFill>
            <w14:solidFill>
              <w14:schemeClr w14:val="tx1"/>
            </w14:solidFill>
          </w14:textFill>
        </w:rPr>
      </w:pPr>
    </w:p>
    <w:p w14:paraId="73DD9492">
      <w:pPr>
        <w:spacing w:line="353" w:lineRule="auto"/>
        <w:ind w:firstLine="640"/>
        <w:rPr>
          <w:rFonts w:eastAsia="仿宋"/>
          <w:color w:val="000000" w:themeColor="text1"/>
          <w:sz w:val="32"/>
          <w:szCs w:val="32"/>
          <w14:textFill>
            <w14:solidFill>
              <w14:schemeClr w14:val="tx1"/>
            </w14:solidFill>
          </w14:textFill>
        </w:rPr>
      </w:pPr>
      <w:r>
        <w:rPr>
          <w:color w:val="000000" w:themeColor="text1"/>
          <w14:textFill>
            <w14:solidFill>
              <w14:schemeClr w14:val="tx1"/>
            </w14:solidFill>
          </w14:textFill>
        </w:rPr>
        <w:drawing>
          <wp:anchor distT="0" distB="0" distL="114300" distR="114300" simplePos="0" relativeHeight="251664384" behindDoc="0" locked="0" layoutInCell="1" allowOverlap="1">
            <wp:simplePos x="0" y="0"/>
            <wp:positionH relativeFrom="column">
              <wp:posOffset>549275</wp:posOffset>
            </wp:positionH>
            <wp:positionV relativeFrom="paragraph">
              <wp:posOffset>244475</wp:posOffset>
            </wp:positionV>
            <wp:extent cx="4596130" cy="2846705"/>
            <wp:effectExtent l="0" t="0" r="1270" b="1079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2"/>
                    <a:stretch>
                      <a:fillRect/>
                    </a:stretch>
                  </pic:blipFill>
                  <pic:spPr>
                    <a:xfrm>
                      <a:off x="0" y="0"/>
                      <a:ext cx="4596130" cy="2846705"/>
                    </a:xfrm>
                    <a:prstGeom prst="rect">
                      <a:avLst/>
                    </a:prstGeom>
                    <a:noFill/>
                    <a:ln>
                      <a:noFill/>
                    </a:ln>
                  </pic:spPr>
                </pic:pic>
              </a:graphicData>
            </a:graphic>
          </wp:anchor>
        </w:drawing>
      </w:r>
    </w:p>
    <w:p w14:paraId="12A200FC">
      <w:pPr>
        <w:spacing w:line="353" w:lineRule="auto"/>
        <w:ind w:firstLine="640"/>
        <w:rPr>
          <w:rFonts w:eastAsia="仿宋"/>
          <w:color w:val="000000" w:themeColor="text1"/>
          <w:sz w:val="32"/>
          <w:szCs w:val="32"/>
          <w14:textFill>
            <w14:solidFill>
              <w14:schemeClr w14:val="tx1"/>
            </w14:solidFill>
          </w14:textFill>
        </w:rPr>
      </w:pPr>
    </w:p>
    <w:p w14:paraId="1850F09D">
      <w:pPr>
        <w:spacing w:line="353" w:lineRule="auto"/>
        <w:ind w:firstLine="640"/>
        <w:rPr>
          <w:rFonts w:eastAsia="仿宋"/>
          <w:color w:val="000000" w:themeColor="text1"/>
          <w:sz w:val="32"/>
          <w:szCs w:val="32"/>
          <w14:textFill>
            <w14:solidFill>
              <w14:schemeClr w14:val="tx1"/>
            </w14:solidFill>
          </w14:textFill>
        </w:rPr>
      </w:pPr>
    </w:p>
    <w:p w14:paraId="4EF563AD">
      <w:pPr>
        <w:spacing w:line="353" w:lineRule="auto"/>
        <w:ind w:firstLine="640"/>
        <w:rPr>
          <w:rFonts w:eastAsia="仿宋"/>
          <w:color w:val="000000" w:themeColor="text1"/>
          <w:sz w:val="32"/>
          <w:szCs w:val="32"/>
          <w14:textFill>
            <w14:solidFill>
              <w14:schemeClr w14:val="tx1"/>
            </w14:solidFill>
          </w14:textFill>
        </w:rPr>
      </w:pPr>
    </w:p>
    <w:p w14:paraId="33A107D8">
      <w:pPr>
        <w:spacing w:line="353" w:lineRule="auto"/>
        <w:ind w:firstLine="640"/>
        <w:rPr>
          <w:rFonts w:eastAsia="仿宋_GB2312"/>
          <w:b/>
          <w:color w:val="000000" w:themeColor="text1"/>
          <w:sz w:val="32"/>
          <w:szCs w:val="32"/>
          <w14:textFill>
            <w14:solidFill>
              <w14:schemeClr w14:val="tx1"/>
            </w14:solidFill>
          </w14:textFill>
        </w:rPr>
      </w:pPr>
    </w:p>
    <w:p w14:paraId="50044F18">
      <w:pPr>
        <w:spacing w:line="353" w:lineRule="auto"/>
        <w:ind w:firstLine="640"/>
        <w:rPr>
          <w:rFonts w:eastAsia="仿宋_GB2312"/>
          <w:b/>
          <w:color w:val="000000" w:themeColor="text1"/>
          <w:sz w:val="32"/>
          <w:szCs w:val="32"/>
          <w14:textFill>
            <w14:solidFill>
              <w14:schemeClr w14:val="tx1"/>
            </w14:solidFill>
          </w14:textFill>
        </w:rPr>
      </w:pPr>
    </w:p>
    <w:p w14:paraId="0AA1F089">
      <w:pPr>
        <w:spacing w:line="353" w:lineRule="auto"/>
        <w:jc w:val="center"/>
        <w:rPr>
          <w:rFonts w:eastAsia="仿宋_GB2312"/>
          <w:color w:val="000000" w:themeColor="text1"/>
          <w:sz w:val="32"/>
          <w:szCs w:val="32"/>
          <w14:textFill>
            <w14:solidFill>
              <w14:schemeClr w14:val="tx1"/>
            </w14:solidFill>
          </w14:textFill>
        </w:rPr>
      </w:pPr>
    </w:p>
    <w:p w14:paraId="480F7A1C">
      <w:pPr>
        <w:spacing w:line="353" w:lineRule="auto"/>
        <w:jc w:val="center"/>
        <w:rPr>
          <w:rFonts w:eastAsia="仿宋_GB2312"/>
          <w:color w:val="000000" w:themeColor="text1"/>
          <w:sz w:val="32"/>
          <w:szCs w:val="32"/>
          <w14:textFill>
            <w14:solidFill>
              <w14:schemeClr w14:val="tx1"/>
            </w14:solidFill>
          </w14:textFill>
        </w:rPr>
      </w:pPr>
    </w:p>
    <w:p w14:paraId="0C7B0B5C">
      <w:pPr>
        <w:spacing w:line="353" w:lineRule="auto"/>
        <w:jc w:val="center"/>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（图7：“三公”经费财政拨款支出结构）（饼状图）</w:t>
      </w:r>
    </w:p>
    <w:p w14:paraId="423CE0A0">
      <w:pPr>
        <w:spacing w:line="353" w:lineRule="auto"/>
        <w:ind w:firstLine="640"/>
        <w:rPr>
          <w:rFonts w:eastAsia="仿宋_GB2312"/>
          <w:b/>
          <w:color w:val="000000" w:themeColor="text1"/>
          <w:sz w:val="32"/>
          <w:szCs w:val="32"/>
          <w14:textFill>
            <w14:solidFill>
              <w14:schemeClr w14:val="tx1"/>
            </w14:solidFill>
          </w14:textFill>
        </w:rPr>
      </w:pPr>
    </w:p>
    <w:p w14:paraId="11441A32">
      <w:pPr>
        <w:spacing w:line="353" w:lineRule="auto"/>
        <w:ind w:firstLine="640"/>
        <w:rPr>
          <w:rFonts w:eastAsia="仿宋_GB2312"/>
          <w:b/>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1.因公出国（境）经费支出</w:t>
      </w:r>
      <w:r>
        <w:rPr>
          <w:rFonts w:eastAsia="仿宋_GB2312"/>
          <w:color w:val="000000" w:themeColor="text1"/>
          <w:sz w:val="32"/>
          <w:szCs w:val="32"/>
          <w14:textFill>
            <w14:solidFill>
              <w14:schemeClr w14:val="tx1"/>
            </w14:solidFill>
          </w14:textFill>
        </w:rPr>
        <w:t>0万元，</w:t>
      </w:r>
      <w:r>
        <w:rPr>
          <w:rStyle w:val="15"/>
          <w:rFonts w:eastAsia="仿宋_GB2312"/>
          <w:b w:val="0"/>
          <w:bCs/>
          <w:color w:val="000000" w:themeColor="text1"/>
          <w:sz w:val="32"/>
          <w:szCs w:val="32"/>
          <w14:textFill>
            <w14:solidFill>
              <w14:schemeClr w14:val="tx1"/>
            </w14:solidFill>
          </w14:textFill>
        </w:rPr>
        <w:t>完成预算100%。</w:t>
      </w:r>
      <w:r>
        <w:rPr>
          <w:rFonts w:eastAsia="仿宋_GB2312"/>
          <w:color w:val="000000" w:themeColor="text1"/>
          <w:sz w:val="32"/>
          <w:szCs w:val="32"/>
          <w14:textFill>
            <w14:solidFill>
              <w14:schemeClr w14:val="tx1"/>
            </w14:solidFill>
          </w14:textFill>
        </w:rPr>
        <w:t>全年安排因公出国（境）团组0次，出国（境）0人。因公出国（境）支出决算与2018年增加持平。</w:t>
      </w:r>
    </w:p>
    <w:p w14:paraId="12EBF870">
      <w:pPr>
        <w:spacing w:line="353" w:lineRule="auto"/>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开支内容包括：无</w:t>
      </w:r>
    </w:p>
    <w:p w14:paraId="15EA4FCE">
      <w:pPr>
        <w:spacing w:line="353" w:lineRule="auto"/>
        <w:ind w:firstLine="640"/>
        <w:rPr>
          <w:rFonts w:eastAsia="仿宋_GB2312"/>
          <w:b/>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2.公务用车购置及运行维护费支出</w:t>
      </w:r>
      <w:r>
        <w:rPr>
          <w:rFonts w:eastAsia="仿宋_GB2312"/>
          <w:color w:val="000000" w:themeColor="text1"/>
          <w:sz w:val="32"/>
          <w:szCs w:val="32"/>
          <w14:textFill>
            <w14:solidFill>
              <w14:schemeClr w14:val="tx1"/>
            </w14:solidFill>
          </w14:textFill>
        </w:rPr>
        <w:t>0万元，</w:t>
      </w:r>
      <w:r>
        <w:rPr>
          <w:rStyle w:val="15"/>
          <w:rFonts w:eastAsia="仿宋_GB2312"/>
          <w:b w:val="0"/>
          <w:bCs/>
          <w:color w:val="000000" w:themeColor="text1"/>
          <w:sz w:val="32"/>
          <w:szCs w:val="32"/>
          <w14:textFill>
            <w14:solidFill>
              <w14:schemeClr w14:val="tx1"/>
            </w14:solidFill>
          </w14:textFill>
        </w:rPr>
        <w:t>完成预算100%。</w:t>
      </w:r>
      <w:r>
        <w:rPr>
          <w:rFonts w:eastAsia="仿宋_GB2312"/>
          <w:color w:val="000000" w:themeColor="text1"/>
          <w:sz w:val="32"/>
          <w:szCs w:val="32"/>
          <w14:textFill>
            <w14:solidFill>
              <w14:schemeClr w14:val="tx1"/>
            </w14:solidFill>
          </w14:textFill>
        </w:rPr>
        <w:t>公务用车购置及运行维护费支出决算与2018年持平。</w:t>
      </w:r>
    </w:p>
    <w:p w14:paraId="36C95EA4">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其中：</w:t>
      </w:r>
      <w:r>
        <w:rPr>
          <w:rFonts w:eastAsia="仿宋_GB2312"/>
          <w:b/>
          <w:color w:val="000000" w:themeColor="text1"/>
          <w:sz w:val="32"/>
          <w:szCs w:val="32"/>
          <w14:textFill>
            <w14:solidFill>
              <w14:schemeClr w14:val="tx1"/>
            </w14:solidFill>
          </w14:textFill>
        </w:rPr>
        <w:t>公务用车购置支出</w:t>
      </w:r>
      <w:r>
        <w:rPr>
          <w:rFonts w:eastAsia="仿宋_GB2312"/>
          <w:color w:val="000000" w:themeColor="text1"/>
          <w:sz w:val="32"/>
          <w:szCs w:val="32"/>
          <w14:textFill>
            <w14:solidFill>
              <w14:schemeClr w14:val="tx1"/>
            </w14:solidFill>
          </w14:textFill>
        </w:rPr>
        <w:t>0万元。全年按规定更新购置公务用车0辆，金额0元。截至2019年12月底，单位共有公务用车0辆，其中：主要领导干部用车0辆、机要通信用车0辆、应急保障用车0辆、 执法执勤用车0辆。</w:t>
      </w:r>
    </w:p>
    <w:p w14:paraId="68402956">
      <w:pPr>
        <w:spacing w:line="353" w:lineRule="auto"/>
        <w:ind w:firstLine="64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3.公务用车运行维护费支出</w:t>
      </w:r>
      <w:r>
        <w:rPr>
          <w:rFonts w:eastAsia="仿宋_GB2312"/>
          <w:color w:val="000000" w:themeColor="text1"/>
          <w:sz w:val="32"/>
          <w:szCs w:val="32"/>
          <w14:textFill>
            <w14:solidFill>
              <w14:schemeClr w14:val="tx1"/>
            </w14:solidFill>
          </w14:textFill>
        </w:rPr>
        <w:t>0万元。</w:t>
      </w:r>
    </w:p>
    <w:p w14:paraId="0F0BB379">
      <w:pPr>
        <w:spacing w:line="353" w:lineRule="auto"/>
        <w:ind w:firstLine="640"/>
        <w:rPr>
          <w:rFonts w:eastAsia="仿宋_GB2312"/>
          <w:b/>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4.公务接待费支出</w:t>
      </w:r>
      <w:r>
        <w:rPr>
          <w:rFonts w:eastAsia="仿宋_GB2312"/>
          <w:color w:val="000000" w:themeColor="text1"/>
          <w:sz w:val="32"/>
          <w:szCs w:val="32"/>
          <w14:textFill>
            <w14:solidFill>
              <w14:schemeClr w14:val="tx1"/>
            </w14:solidFill>
          </w14:textFill>
        </w:rPr>
        <w:t>0.94万元，完成预算100%。公务接待费支出决算与2018年0.94万元持平。</w:t>
      </w:r>
    </w:p>
    <w:p w14:paraId="10733BB8">
      <w:pPr>
        <w:spacing w:line="353" w:lineRule="auto"/>
        <w:ind w:firstLine="640"/>
        <w:rPr>
          <w:rFonts w:eastAsia="仿宋_GB2312"/>
          <w:color w:val="000000" w:themeColor="text1"/>
          <w:sz w:val="32"/>
          <w:szCs w:val="32"/>
          <w:highlight w:val="yellow"/>
          <w14:textFill>
            <w14:solidFill>
              <w14:schemeClr w14:val="tx1"/>
            </w14:solidFill>
          </w14:textFill>
        </w:rPr>
      </w:pPr>
      <w:r>
        <w:rPr>
          <w:rFonts w:eastAsia="仿宋_GB2312"/>
          <w:b/>
          <w:color w:val="000000" w:themeColor="text1"/>
          <w:sz w:val="32"/>
          <w:szCs w:val="32"/>
          <w14:textFill>
            <w14:solidFill>
              <w14:schemeClr w14:val="tx1"/>
            </w14:solidFill>
          </w14:textFill>
        </w:rPr>
        <w:t>国内公务接待支出</w:t>
      </w:r>
      <w:r>
        <w:rPr>
          <w:rFonts w:eastAsia="仿宋_GB2312"/>
          <w:color w:val="000000" w:themeColor="text1"/>
          <w:sz w:val="32"/>
          <w:szCs w:val="32"/>
          <w14:textFill>
            <w14:solidFill>
              <w14:schemeClr w14:val="tx1"/>
            </w14:solidFill>
          </w14:textFill>
        </w:rPr>
        <w:t>0.94万元，主要用于开展业务活动接待用餐支出。国内公务接待8批次，87人次（不包括陪同人员），共计支出0.94万元</w:t>
      </w:r>
      <w:r>
        <w:rPr>
          <w:rFonts w:hint="eastAsia" w:eastAsia="仿宋_GB2312"/>
          <w:color w:val="000000" w:themeColor="text1"/>
          <w:sz w:val="32"/>
          <w:szCs w:val="32"/>
          <w14:textFill>
            <w14:solidFill>
              <w14:schemeClr w14:val="tx1"/>
            </w14:solidFill>
          </w14:textFill>
        </w:rPr>
        <w:t>。</w:t>
      </w:r>
    </w:p>
    <w:p w14:paraId="429789D6">
      <w:pPr>
        <w:spacing w:line="353" w:lineRule="auto"/>
        <w:ind w:firstLine="640"/>
        <w:outlineLvl w:val="1"/>
        <w:rPr>
          <w:rFonts w:eastAsia="仿宋_GB2312"/>
          <w:color w:val="000000" w:themeColor="text1"/>
          <w:sz w:val="32"/>
          <w:szCs w:val="32"/>
          <w14:textFill>
            <w14:solidFill>
              <w14:schemeClr w14:val="tx1"/>
            </w14:solidFill>
          </w14:textFill>
        </w:rPr>
      </w:pPr>
      <w:bookmarkStart w:id="79" w:name="_Toc20127"/>
      <w:bookmarkStart w:id="80" w:name="_Toc2838"/>
      <w:r>
        <w:rPr>
          <w:rFonts w:eastAsia="仿宋_GB2312"/>
          <w:b/>
          <w:color w:val="000000" w:themeColor="text1"/>
          <w:sz w:val="32"/>
          <w:szCs w:val="32"/>
          <w14:textFill>
            <w14:solidFill>
              <w14:schemeClr w14:val="tx1"/>
            </w14:solidFill>
          </w14:textFill>
        </w:rPr>
        <w:t>外事接待支出</w:t>
      </w:r>
      <w:r>
        <w:rPr>
          <w:rFonts w:eastAsia="仿宋_GB2312"/>
          <w:color w:val="000000" w:themeColor="text1"/>
          <w:sz w:val="32"/>
          <w:szCs w:val="32"/>
          <w14:textFill>
            <w14:solidFill>
              <w14:schemeClr w14:val="tx1"/>
            </w14:solidFill>
          </w14:textFill>
        </w:rPr>
        <w:t>0万元，外事接待0批次，0人，共计支出0万元</w:t>
      </w:r>
      <w:bookmarkStart w:id="81" w:name="_Toc15377218"/>
      <w:bookmarkStart w:id="82" w:name="_Toc15396610"/>
      <w:r>
        <w:rPr>
          <w:rFonts w:eastAsia="仿宋_GB2312"/>
          <w:color w:val="000000" w:themeColor="text1"/>
          <w:sz w:val="32"/>
          <w:szCs w:val="32"/>
          <w14:textFill>
            <w14:solidFill>
              <w14:schemeClr w14:val="tx1"/>
            </w14:solidFill>
          </w14:textFill>
        </w:rPr>
        <w:t>。</w:t>
      </w:r>
      <w:bookmarkEnd w:id="79"/>
      <w:bookmarkEnd w:id="80"/>
    </w:p>
    <w:p w14:paraId="1E96543B">
      <w:pPr>
        <w:spacing w:line="353" w:lineRule="auto"/>
        <w:ind w:firstLine="640"/>
        <w:outlineLvl w:val="1"/>
        <w:rPr>
          <w:rStyle w:val="26"/>
          <w:rFonts w:ascii="Times New Roman" w:hAnsi="Times New Roman" w:eastAsia="黑体" w:cs="Times New Roman"/>
          <w:color w:val="000000" w:themeColor="text1"/>
          <w14:textFill>
            <w14:solidFill>
              <w14:schemeClr w14:val="tx1"/>
            </w14:solidFill>
          </w14:textFill>
        </w:rPr>
      </w:pPr>
      <w:bookmarkStart w:id="83" w:name="_Toc10077"/>
      <w:r>
        <w:rPr>
          <w:rFonts w:eastAsia="黑体"/>
          <w:color w:val="000000" w:themeColor="text1"/>
          <w:sz w:val="32"/>
          <w:szCs w:val="32"/>
          <w14:textFill>
            <w14:solidFill>
              <w14:schemeClr w14:val="tx1"/>
            </w14:solidFill>
          </w14:textFill>
        </w:rPr>
        <w:t>八、</w:t>
      </w:r>
      <w:r>
        <w:rPr>
          <w:rStyle w:val="26"/>
          <w:rFonts w:ascii="Times New Roman" w:hAnsi="Times New Roman" w:eastAsia="黑体" w:cs="Times New Roman"/>
          <w:b w:val="0"/>
          <w:color w:val="000000" w:themeColor="text1"/>
          <w14:textFill>
            <w14:solidFill>
              <w14:schemeClr w14:val="tx1"/>
            </w14:solidFill>
          </w14:textFill>
        </w:rPr>
        <w:t>政府性基金预算支出决算情况说明</w:t>
      </w:r>
      <w:bookmarkEnd w:id="81"/>
      <w:bookmarkEnd w:id="82"/>
      <w:bookmarkEnd w:id="83"/>
    </w:p>
    <w:p w14:paraId="687D5C79">
      <w:pPr>
        <w:spacing w:line="353" w:lineRule="auto"/>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2019年政府性基金预算拨款支出0.5万元。</w:t>
      </w:r>
    </w:p>
    <w:p w14:paraId="44B24F90">
      <w:pPr>
        <w:numPr>
          <w:ilvl w:val="0"/>
          <w:numId w:val="4"/>
        </w:numPr>
        <w:spacing w:line="353" w:lineRule="auto"/>
        <w:ind w:firstLine="640"/>
        <w:outlineLvl w:val="1"/>
        <w:rPr>
          <w:rStyle w:val="26"/>
          <w:rFonts w:ascii="Times New Roman" w:hAnsi="Times New Roman" w:eastAsia="黑体" w:cs="Times New Roman"/>
          <w:b w:val="0"/>
          <w:color w:val="000000" w:themeColor="text1"/>
          <w14:textFill>
            <w14:solidFill>
              <w14:schemeClr w14:val="tx1"/>
            </w14:solidFill>
          </w14:textFill>
        </w:rPr>
      </w:pPr>
      <w:bookmarkStart w:id="84" w:name="_Toc15396611"/>
      <w:bookmarkStart w:id="85" w:name="_Toc6109"/>
      <w:bookmarkStart w:id="86" w:name="_Toc15377219"/>
      <w:r>
        <w:rPr>
          <w:rStyle w:val="26"/>
          <w:rFonts w:ascii="Times New Roman" w:hAnsi="Times New Roman" w:eastAsia="黑体" w:cs="Times New Roman"/>
          <w:b w:val="0"/>
          <w:color w:val="000000" w:themeColor="text1"/>
          <w14:textFill>
            <w14:solidFill>
              <w14:schemeClr w14:val="tx1"/>
            </w14:solidFill>
          </w14:textFill>
        </w:rPr>
        <w:t>国有资本经营预算支出决算情况说明</w:t>
      </w:r>
      <w:bookmarkEnd w:id="84"/>
      <w:bookmarkEnd w:id="85"/>
      <w:bookmarkEnd w:id="86"/>
    </w:p>
    <w:p w14:paraId="0D663638">
      <w:pPr>
        <w:spacing w:line="353" w:lineRule="auto"/>
        <w:ind w:firstLine="640"/>
        <w:rPr>
          <w:rFonts w:eastAsia="仿宋_GB2312"/>
          <w:color w:val="000000" w:themeColor="text1"/>
          <w:sz w:val="44"/>
          <w:szCs w:val="44"/>
          <w14:textFill>
            <w14:solidFill>
              <w14:schemeClr w14:val="tx1"/>
            </w14:solidFill>
          </w14:textFill>
        </w:rPr>
      </w:pPr>
      <w:r>
        <w:rPr>
          <w:rFonts w:eastAsia="仿宋_GB2312"/>
          <w:color w:val="000000" w:themeColor="text1"/>
          <w:sz w:val="32"/>
          <w:szCs w:val="32"/>
          <w14:textFill>
            <w14:solidFill>
              <w14:schemeClr w14:val="tx1"/>
            </w14:solidFill>
          </w14:textFill>
        </w:rPr>
        <w:t>2019年国有资本经营预算拨款支出0万元。</w:t>
      </w:r>
    </w:p>
    <w:p w14:paraId="72E24A39">
      <w:pPr>
        <w:numPr>
          <w:ilvl w:val="0"/>
          <w:numId w:val="4"/>
        </w:numPr>
        <w:spacing w:line="353" w:lineRule="auto"/>
        <w:ind w:firstLine="640"/>
        <w:outlineLvl w:val="1"/>
        <w:rPr>
          <w:rStyle w:val="26"/>
          <w:rFonts w:ascii="Times New Roman" w:hAnsi="Times New Roman" w:eastAsia="黑体" w:cs="Times New Roman"/>
          <w:b w:val="0"/>
          <w:color w:val="000000" w:themeColor="text1"/>
          <w14:textFill>
            <w14:solidFill>
              <w14:schemeClr w14:val="tx1"/>
            </w14:solidFill>
          </w14:textFill>
        </w:rPr>
      </w:pPr>
      <w:bookmarkStart w:id="87" w:name="_Toc15377221"/>
      <w:bookmarkStart w:id="88" w:name="_Toc32078"/>
      <w:bookmarkStart w:id="89" w:name="_Toc15396612"/>
      <w:r>
        <w:rPr>
          <w:rStyle w:val="26"/>
          <w:rFonts w:ascii="Times New Roman" w:hAnsi="Times New Roman" w:eastAsia="黑体" w:cs="Times New Roman"/>
          <w:b w:val="0"/>
          <w:color w:val="000000" w:themeColor="text1"/>
          <w14:textFill>
            <w14:solidFill>
              <w14:schemeClr w14:val="tx1"/>
            </w14:solidFill>
          </w14:textFill>
        </w:rPr>
        <w:t>其他重要事项的情况说明</w:t>
      </w:r>
      <w:bookmarkEnd w:id="87"/>
      <w:bookmarkEnd w:id="88"/>
      <w:bookmarkEnd w:id="89"/>
    </w:p>
    <w:p w14:paraId="182CF6CC">
      <w:pPr>
        <w:spacing w:line="353" w:lineRule="auto"/>
        <w:ind w:firstLine="64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无</w:t>
      </w:r>
    </w:p>
    <w:p w14:paraId="53BA5F08">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90" w:name="_Toc21337"/>
      <w:bookmarkStart w:id="91" w:name="_Toc15377222"/>
      <w:r>
        <w:rPr>
          <w:rFonts w:eastAsia="楷体_GB2312"/>
          <w:bCs/>
          <w:color w:val="000000" w:themeColor="text1"/>
          <w:sz w:val="32"/>
          <w:szCs w:val="32"/>
          <w14:textFill>
            <w14:solidFill>
              <w14:schemeClr w14:val="tx1"/>
            </w14:solidFill>
          </w14:textFill>
        </w:rPr>
        <w:t>（一）机关运行经费支出情况</w:t>
      </w:r>
      <w:bookmarkEnd w:id="90"/>
      <w:bookmarkEnd w:id="91"/>
      <w:r>
        <w:rPr>
          <w:rFonts w:eastAsia="楷体_GB2312"/>
          <w:bCs/>
          <w:color w:val="000000" w:themeColor="text1"/>
          <w:sz w:val="32"/>
          <w:szCs w:val="32"/>
          <w14:textFill>
            <w14:solidFill>
              <w14:schemeClr w14:val="tx1"/>
            </w14:solidFill>
          </w14:textFill>
        </w:rPr>
        <w:t>。</w:t>
      </w:r>
    </w:p>
    <w:p w14:paraId="2344A0DA">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2019年，攀枝花市西区人力资源和社会保障局机关运行经费支出59.14万元，比2018年增加5.88万元，增长11.04%。主要原因是单位办公设备老化维修费增加及标准化仲裁庭建设购置办公设备。</w:t>
      </w:r>
    </w:p>
    <w:p w14:paraId="0F518B6F">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92" w:name="_Toc31891"/>
      <w:bookmarkStart w:id="93" w:name="_Toc15377223"/>
      <w:r>
        <w:rPr>
          <w:rFonts w:eastAsia="楷体_GB2312"/>
          <w:bCs/>
          <w:color w:val="000000" w:themeColor="text1"/>
          <w:sz w:val="32"/>
          <w:szCs w:val="32"/>
          <w14:textFill>
            <w14:solidFill>
              <w14:schemeClr w14:val="tx1"/>
            </w14:solidFill>
          </w14:textFill>
        </w:rPr>
        <w:t>（二）政府采购支出情况</w:t>
      </w:r>
      <w:bookmarkEnd w:id="92"/>
      <w:bookmarkEnd w:id="93"/>
      <w:r>
        <w:rPr>
          <w:rFonts w:eastAsia="楷体_GB2312"/>
          <w:bCs/>
          <w:color w:val="000000" w:themeColor="text1"/>
          <w:sz w:val="32"/>
          <w:szCs w:val="32"/>
          <w14:textFill>
            <w14:solidFill>
              <w14:schemeClr w14:val="tx1"/>
            </w14:solidFill>
          </w14:textFill>
        </w:rPr>
        <w:t>。</w:t>
      </w:r>
    </w:p>
    <w:p w14:paraId="50ADDE88">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2019年，攀枝花市西区人力资源和社会保障局政府采购支出总额1.48万元，其中：政府采购货物支出1.48万元、政府采购工程支出0万元、政府采购服务支出0万元。主要用于办公。授予中小企业合同金额0万元，占政府采购支出总额的0%，其中：授予小微企业合同金额0万元，占政府采购支出总额的0%。</w:t>
      </w:r>
    </w:p>
    <w:p w14:paraId="660D6F32">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94" w:name="_Toc903"/>
      <w:bookmarkStart w:id="95" w:name="_Toc15377224"/>
      <w:r>
        <w:rPr>
          <w:rFonts w:eastAsia="楷体_GB2312"/>
          <w:bCs/>
          <w:color w:val="000000" w:themeColor="text1"/>
          <w:sz w:val="32"/>
          <w:szCs w:val="32"/>
          <w14:textFill>
            <w14:solidFill>
              <w14:schemeClr w14:val="tx1"/>
            </w14:solidFill>
          </w14:textFill>
        </w:rPr>
        <w:t>（三）国有资产占有使用情况</w:t>
      </w:r>
      <w:bookmarkEnd w:id="94"/>
      <w:bookmarkEnd w:id="95"/>
      <w:r>
        <w:rPr>
          <w:rFonts w:eastAsia="楷体_GB2312"/>
          <w:bCs/>
          <w:color w:val="000000" w:themeColor="text1"/>
          <w:sz w:val="32"/>
          <w:szCs w:val="32"/>
          <w14:textFill>
            <w14:solidFill>
              <w14:schemeClr w14:val="tx1"/>
            </w14:solidFill>
          </w14:textFill>
        </w:rPr>
        <w:t>。</w:t>
      </w:r>
    </w:p>
    <w:p w14:paraId="612FC437">
      <w:pPr>
        <w:autoSpaceDE w:val="0"/>
        <w:autoSpaceDN w:val="0"/>
        <w:adjustRightInd w:val="0"/>
        <w:spacing w:line="353" w:lineRule="auto"/>
        <w:ind w:firstLine="640" w:firstLineChars="200"/>
        <w:jc w:val="left"/>
        <w:rPr>
          <w:rFonts w:eastAsia="仿宋_GB2312"/>
          <w:b/>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截至2019年12月31日，攀枝花市西区人力资源和社会保障局共有车辆0辆，其中：主要领导干部用车0辆、机要通信用车0辆、应急保障用车0辆、其他用车0辆，单价50万元以上通用设备0台（套），单价100万元以上专用设备0台（套）。</w:t>
      </w:r>
    </w:p>
    <w:p w14:paraId="6601D9E2">
      <w:pPr>
        <w:spacing w:line="353" w:lineRule="auto"/>
        <w:ind w:firstLine="640" w:firstLineChars="200"/>
        <w:outlineLvl w:val="2"/>
        <w:rPr>
          <w:rFonts w:eastAsia="楷体_GB2312"/>
          <w:bCs/>
          <w:color w:val="000000" w:themeColor="text1"/>
          <w:sz w:val="32"/>
          <w:szCs w:val="32"/>
          <w14:textFill>
            <w14:solidFill>
              <w14:schemeClr w14:val="tx1"/>
            </w14:solidFill>
          </w14:textFill>
        </w:rPr>
      </w:pPr>
      <w:bookmarkStart w:id="96" w:name="_Toc6319"/>
      <w:r>
        <w:rPr>
          <w:rFonts w:eastAsia="楷体_GB2312"/>
          <w:bCs/>
          <w:color w:val="000000" w:themeColor="text1"/>
          <w:sz w:val="32"/>
          <w:szCs w:val="32"/>
          <w14:textFill>
            <w14:solidFill>
              <w14:schemeClr w14:val="tx1"/>
            </w14:solidFill>
          </w14:textFill>
        </w:rPr>
        <w:t>（四）预算绩效管理情况</w:t>
      </w:r>
      <w:bookmarkEnd w:id="96"/>
      <w:r>
        <w:rPr>
          <w:rFonts w:eastAsia="楷体_GB2312"/>
          <w:bCs/>
          <w:color w:val="000000" w:themeColor="text1"/>
          <w:sz w:val="32"/>
          <w:szCs w:val="32"/>
          <w14:textFill>
            <w14:solidFill>
              <w14:schemeClr w14:val="tx1"/>
            </w14:solidFill>
          </w14:textFill>
        </w:rPr>
        <w:t>。</w:t>
      </w:r>
    </w:p>
    <w:p w14:paraId="642011FD">
      <w:pPr>
        <w:spacing w:line="353" w:lineRule="auto"/>
        <w:ind w:firstLine="640" w:firstLineChars="200"/>
        <w:rPr>
          <w:rFonts w:eastAsia="仿宋_GB2312"/>
          <w:sz w:val="32"/>
          <w:szCs w:val="32"/>
        </w:rPr>
      </w:pPr>
      <w:r>
        <w:rPr>
          <w:rFonts w:eastAsia="仿宋_GB2312"/>
          <w:sz w:val="32"/>
          <w:szCs w:val="32"/>
        </w:rPr>
        <w:t>根据预算绩效管理要求，本单位在年初预算编制阶段，组织对“劳动保障协理员人员经费”“军转干部社保”“金保网络专项经费”“维护农民</w:t>
      </w:r>
      <w:r>
        <w:rPr>
          <w:rFonts w:hint="eastAsia" w:eastAsia="仿宋_GB2312"/>
          <w:sz w:val="32"/>
          <w:szCs w:val="32"/>
        </w:rPr>
        <w:t>工</w:t>
      </w:r>
      <w:r>
        <w:rPr>
          <w:rFonts w:eastAsia="仿宋_GB2312"/>
          <w:sz w:val="32"/>
          <w:szCs w:val="32"/>
        </w:rPr>
        <w:t>权益业务费”“劳动和谐关系协调业务费”“三支一扶计划中央省级补助资金”“企业高层次人才待遇”“区级就业和社会保障服务中心项目资金”“人才引进经费”等9个项目开展了预算事前绩效评估，对9个项目编制了绩效目标，预算执行过程中，选取5个项目开展绩效监控，年终执行完毕后，对5个项目开展了绩效目标完成情况自评。</w:t>
      </w:r>
    </w:p>
    <w:p w14:paraId="36B6BCB2">
      <w:pPr>
        <w:spacing w:line="353" w:lineRule="auto"/>
        <w:ind w:firstLine="640" w:firstLineChars="200"/>
        <w:rPr>
          <w:rFonts w:eastAsia="仿宋_GB2312"/>
          <w:sz w:val="32"/>
          <w:szCs w:val="32"/>
        </w:rPr>
      </w:pPr>
      <w:r>
        <w:rPr>
          <w:rFonts w:eastAsia="仿宋_GB2312"/>
          <w:sz w:val="32"/>
          <w:szCs w:val="32"/>
        </w:rPr>
        <w:t>本单位按要求对2019年部门整体支出开展绩效自评，</w:t>
      </w:r>
      <w:r>
        <w:rPr>
          <w:rFonts w:eastAsia="仿宋_GB2312"/>
          <w:sz w:val="32"/>
          <w:szCs w:val="22"/>
        </w:rPr>
        <w:t>从评价情况来看，我单位部门预算绩效目标完成较好，预算执行率高，极大地</w:t>
      </w:r>
      <w:r>
        <w:rPr>
          <w:rFonts w:eastAsia="仿宋_GB2312"/>
          <w:sz w:val="32"/>
          <w:szCs w:val="32"/>
        </w:rPr>
        <w:t>维护了社会稳定和谐，促进了民生事业发展。</w:t>
      </w:r>
    </w:p>
    <w:p w14:paraId="1BE16F89">
      <w:pPr>
        <w:spacing w:line="353" w:lineRule="auto"/>
        <w:ind w:firstLine="643" w:firstLineChars="200"/>
        <w:rPr>
          <w:rFonts w:eastAsia="仿宋_GB2312"/>
          <w:sz w:val="32"/>
          <w:szCs w:val="32"/>
        </w:rPr>
      </w:pPr>
      <w:r>
        <w:rPr>
          <w:rFonts w:eastAsia="仿宋_GB2312"/>
          <w:b/>
          <w:bCs/>
          <w:sz w:val="32"/>
          <w:szCs w:val="32"/>
        </w:rPr>
        <w:t>1.项目绩效目标完成情况</w:t>
      </w:r>
      <w:r>
        <w:rPr>
          <w:rFonts w:eastAsia="仿宋_GB2312"/>
          <w:b/>
          <w:bCs/>
          <w:sz w:val="32"/>
          <w:szCs w:val="32"/>
        </w:rPr>
        <w:br w:type="textWrapping"/>
      </w:r>
      <w:r>
        <w:rPr>
          <w:rFonts w:eastAsia="仿宋_GB2312"/>
          <w:sz w:val="32"/>
          <w:szCs w:val="32"/>
        </w:rPr>
        <w:t xml:space="preserve">   本单位在2019年度部门决算中反映“劳动保障协理员人员经费”“军转干部社保”“金保网络专项经费”“维护农民</w:t>
      </w:r>
      <w:r>
        <w:rPr>
          <w:rFonts w:hint="eastAsia" w:eastAsia="仿宋_GB2312"/>
          <w:sz w:val="32"/>
          <w:szCs w:val="32"/>
        </w:rPr>
        <w:t>工</w:t>
      </w:r>
      <w:r>
        <w:rPr>
          <w:rFonts w:eastAsia="仿宋_GB2312"/>
          <w:sz w:val="32"/>
          <w:szCs w:val="32"/>
        </w:rPr>
        <w:t>权益业务费”“劳动和谐关系协调业务费”等5个项目绩效目标实际完成情况。</w:t>
      </w:r>
    </w:p>
    <w:p w14:paraId="2608B560">
      <w:pPr>
        <w:spacing w:line="353" w:lineRule="auto"/>
        <w:ind w:firstLine="640" w:firstLineChars="200"/>
        <w:rPr>
          <w:rFonts w:eastAsia="仿宋_GB2312"/>
          <w:sz w:val="32"/>
          <w:szCs w:val="32"/>
        </w:rPr>
      </w:pPr>
      <w:r>
        <w:rPr>
          <w:rFonts w:eastAsia="仿宋_GB2312"/>
          <w:sz w:val="32"/>
          <w:szCs w:val="32"/>
        </w:rPr>
        <w:t>（1）“劳动保障协理员人员经费”项目绩效目标完成情况综述。项目全年预算数</w:t>
      </w:r>
      <w:r>
        <w:rPr>
          <w:rFonts w:eastAsia="仿宋_GB2312"/>
          <w:spacing w:val="-4"/>
          <w:sz w:val="32"/>
          <w:szCs w:val="32"/>
        </w:rPr>
        <w:t>115.73</w:t>
      </w:r>
      <w:r>
        <w:rPr>
          <w:rFonts w:eastAsia="仿宋_GB2312"/>
          <w:sz w:val="32"/>
          <w:szCs w:val="32"/>
        </w:rPr>
        <w:t>万元，执行数为</w:t>
      </w:r>
      <w:r>
        <w:rPr>
          <w:rFonts w:eastAsia="仿宋_GB2312"/>
          <w:spacing w:val="-4"/>
          <w:sz w:val="32"/>
          <w:szCs w:val="32"/>
        </w:rPr>
        <w:t>115.73</w:t>
      </w:r>
      <w:r>
        <w:rPr>
          <w:rFonts w:eastAsia="仿宋_GB2312"/>
          <w:sz w:val="32"/>
          <w:szCs w:val="32"/>
        </w:rPr>
        <w:t>万元，完成预算的100%。通过项目实施，健全全市统筹、标准统一、智慧融合、方便快捷的群众满意的人社公共服务体系为人民群总提供高效、便捷的劳动就业和社会保障经办业务服务。</w:t>
      </w:r>
    </w:p>
    <w:p w14:paraId="2CD317D0">
      <w:pPr>
        <w:spacing w:line="353" w:lineRule="auto"/>
        <w:ind w:firstLine="640" w:firstLineChars="200"/>
        <w:rPr>
          <w:rFonts w:eastAsia="仿宋_GB2312"/>
          <w:sz w:val="32"/>
          <w:szCs w:val="32"/>
        </w:rPr>
      </w:pPr>
      <w:r>
        <w:rPr>
          <w:rFonts w:eastAsia="仿宋_GB2312"/>
          <w:sz w:val="32"/>
          <w:szCs w:val="32"/>
        </w:rPr>
        <w:t>（2）“维护农民</w:t>
      </w:r>
      <w:r>
        <w:rPr>
          <w:rFonts w:hint="eastAsia" w:eastAsia="仿宋_GB2312"/>
          <w:sz w:val="32"/>
          <w:szCs w:val="32"/>
        </w:rPr>
        <w:t>工</w:t>
      </w:r>
      <w:r>
        <w:rPr>
          <w:rFonts w:eastAsia="仿宋_GB2312"/>
          <w:sz w:val="32"/>
          <w:szCs w:val="32"/>
        </w:rPr>
        <w:t>权益业务费”项目绩效目标完成情况综述。项目全年预算数2万元，执行数为2万元，完成预算的100%。通过项目实施，提高了辖区农民工群体维权意识，一定程度上规范了企业用工行为，维护了农民工群体的基本利益，完成农民工工资拖欠专项检查任务。2019年，</w:t>
      </w:r>
      <w:r>
        <w:rPr>
          <w:rFonts w:eastAsia="仿宋_GB2312"/>
          <w:sz w:val="32"/>
        </w:rPr>
        <w:t>通过协调处理、快审快裁清欠227名劳动者工资297.69万元，</w:t>
      </w:r>
      <w:r>
        <w:rPr>
          <w:rFonts w:eastAsia="仿宋_GB2312"/>
          <w:sz w:val="32"/>
          <w:szCs w:val="32"/>
        </w:rPr>
        <w:t>为营造和谐的劳动用工关系奠定了基础。</w:t>
      </w:r>
    </w:p>
    <w:p w14:paraId="5D619A16">
      <w:pPr>
        <w:spacing w:line="353" w:lineRule="auto"/>
        <w:ind w:firstLine="640" w:firstLineChars="200"/>
        <w:rPr>
          <w:rFonts w:eastAsia="仿宋_GB2312"/>
          <w:sz w:val="32"/>
          <w:szCs w:val="32"/>
        </w:rPr>
      </w:pPr>
      <w:r>
        <w:rPr>
          <w:rFonts w:eastAsia="仿宋_GB2312"/>
          <w:sz w:val="32"/>
          <w:szCs w:val="32"/>
        </w:rPr>
        <w:t>（3）“军转干部社保”项目绩效目标完成情况综述。项目全年预算数2.78万元，执行数为2.78万元，完成预算的100%。通过项目实施，保障了辖区军转干部日常社会保险缴纳，维护了辖区稳定。</w:t>
      </w:r>
    </w:p>
    <w:p w14:paraId="33132E67">
      <w:pPr>
        <w:spacing w:line="353" w:lineRule="auto"/>
        <w:ind w:firstLine="640" w:firstLineChars="200"/>
        <w:rPr>
          <w:rFonts w:eastAsia="仿宋_GB2312"/>
          <w:sz w:val="32"/>
          <w:szCs w:val="32"/>
        </w:rPr>
      </w:pPr>
      <w:r>
        <w:rPr>
          <w:rFonts w:eastAsia="仿宋_GB2312"/>
          <w:sz w:val="32"/>
          <w:szCs w:val="32"/>
        </w:rPr>
        <w:t>（4）“金保网络专项经费”项目绩效目标完成情况综述。项目全年预算数9万元，执行数为9万元，完成预算的100%。通过项目实施，保障了全区人力资源和社会保障局服务平台基本运行，保障了区、镇（街道）、村（社区）三级联网，为就业（失业）登记、社保（医保）参保和待遇办理、社会保障信息查询、劳动保障监察等民生工作提供技术支持，打通服务联系群众的“最后一公里”。</w:t>
      </w:r>
    </w:p>
    <w:p w14:paraId="41DC397D">
      <w:pPr>
        <w:spacing w:line="353" w:lineRule="auto"/>
        <w:ind w:firstLine="640" w:firstLineChars="200"/>
        <w:rPr>
          <w:rFonts w:eastAsia="仿宋_GB2312"/>
          <w:sz w:val="32"/>
          <w:szCs w:val="32"/>
        </w:rPr>
      </w:pPr>
      <w:r>
        <w:rPr>
          <w:rFonts w:eastAsia="仿宋_GB2312"/>
          <w:sz w:val="32"/>
          <w:szCs w:val="32"/>
        </w:rPr>
        <w:t>（5）“劳动和谐关系协调业务费”项目绩效目标完成情况综述。项目全年预算数4万元，执行数为4万元，完成预算的100%。通过项目实施，保障了日常监察工作的开展</w:t>
      </w:r>
      <w:r>
        <w:rPr>
          <w:rFonts w:eastAsia="仿宋_GB2312"/>
          <w:spacing w:val="-4"/>
          <w:sz w:val="32"/>
          <w:szCs w:val="32"/>
        </w:rPr>
        <w:t>。全年主动监察用人单位176户次，涉及劳动者7840人，劳动合同签订率达98%以上；立案受理劳动争议101件，结案101件，结案率100%，完成结案率95%的目标任务；案外调解290件，调解成功率83.4%，完成不低于70%的目标任务。</w:t>
      </w:r>
    </w:p>
    <w:p w14:paraId="64DFB70D">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5EE8B0B1">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7B79F0D5">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6C76DC48">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265DE8A9">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0355039A">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38FF4FD3">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6DF8424C">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44BC0C34">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2E3AC8D9">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11C5D85F">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7EA91560">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03BE2079">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2E0B6128">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0259A157">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2D665B6A">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1324F387">
      <w:pPr>
        <w:widowControl/>
        <w:spacing w:line="353" w:lineRule="auto"/>
        <w:jc w:val="center"/>
        <w:textAlignment w:val="center"/>
        <w:outlineLvl w:val="1"/>
        <w:rPr>
          <w:b/>
          <w:bCs/>
          <w:color w:val="1F497D" w:themeColor="text2"/>
          <w:kern w:val="0"/>
          <w:sz w:val="36"/>
          <w:szCs w:val="36"/>
          <w14:textFill>
            <w14:solidFill>
              <w14:schemeClr w14:val="tx2"/>
            </w14:solidFill>
          </w14:textFill>
        </w:rPr>
      </w:pPr>
    </w:p>
    <w:p w14:paraId="58FEF173">
      <w:pPr>
        <w:widowControl/>
        <w:spacing w:line="353" w:lineRule="auto"/>
        <w:jc w:val="center"/>
        <w:textAlignment w:val="center"/>
        <w:outlineLvl w:val="1"/>
        <w:rPr>
          <w:b/>
          <w:bCs/>
          <w:kern w:val="0"/>
          <w:sz w:val="36"/>
          <w:szCs w:val="36"/>
        </w:rPr>
      </w:pPr>
      <w:bookmarkStart w:id="97" w:name="_Toc1369"/>
      <w:r>
        <w:rPr>
          <w:b/>
          <w:bCs/>
          <w:kern w:val="0"/>
          <w:sz w:val="36"/>
          <w:szCs w:val="36"/>
        </w:rPr>
        <w:t>2019年“维护农民</w:t>
      </w:r>
      <w:r>
        <w:rPr>
          <w:rFonts w:hint="eastAsia"/>
          <w:b/>
          <w:bCs/>
          <w:kern w:val="0"/>
          <w:sz w:val="36"/>
          <w:szCs w:val="36"/>
        </w:rPr>
        <w:t>工</w:t>
      </w:r>
      <w:r>
        <w:rPr>
          <w:b/>
          <w:bCs/>
          <w:kern w:val="0"/>
          <w:sz w:val="36"/>
          <w:szCs w:val="36"/>
        </w:rPr>
        <w:t>权益业务费”项目绩效目标完成表</w:t>
      </w:r>
      <w:bookmarkEnd w:id="97"/>
    </w:p>
    <w:tbl>
      <w:tblPr>
        <w:tblStyle w:val="13"/>
        <w:tblpPr w:leftFromText="180" w:rightFromText="180" w:vertAnchor="text" w:horzAnchor="page" w:tblpX="1304" w:tblpY="488"/>
        <w:tblOverlap w:val="never"/>
        <w:tblW w:w="9755" w:type="dxa"/>
        <w:tblInd w:w="0" w:type="dxa"/>
        <w:tblLayout w:type="autofit"/>
        <w:tblCellMar>
          <w:top w:w="0" w:type="dxa"/>
          <w:left w:w="0" w:type="dxa"/>
          <w:bottom w:w="0" w:type="dxa"/>
          <w:right w:w="0" w:type="dxa"/>
        </w:tblCellMar>
      </w:tblPr>
      <w:tblGrid>
        <w:gridCol w:w="641"/>
        <w:gridCol w:w="549"/>
        <w:gridCol w:w="814"/>
        <w:gridCol w:w="258"/>
        <w:gridCol w:w="3208"/>
        <w:gridCol w:w="258"/>
        <w:gridCol w:w="2296"/>
        <w:gridCol w:w="259"/>
        <w:gridCol w:w="1472"/>
      </w:tblGrid>
      <w:tr w14:paraId="3EF0D7EB">
        <w:tblPrEx>
          <w:tblCellMar>
            <w:top w:w="0" w:type="dxa"/>
            <w:left w:w="0" w:type="dxa"/>
            <w:bottom w:w="0" w:type="dxa"/>
            <w:right w:w="0" w:type="dxa"/>
          </w:tblCellMar>
        </w:tblPrEx>
        <w:trPr>
          <w:trHeight w:val="439" w:hRule="atLeast"/>
        </w:trPr>
        <w:tc>
          <w:tcPr>
            <w:tcW w:w="2004"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BC17BC">
            <w:pPr>
              <w:widowControl/>
              <w:spacing w:line="353" w:lineRule="auto"/>
              <w:jc w:val="center"/>
              <w:textAlignment w:val="center"/>
              <w:rPr>
                <w:sz w:val="24"/>
              </w:rPr>
            </w:pPr>
            <w:r>
              <w:rPr>
                <w:rStyle w:val="31"/>
                <w:rFonts w:hint="default" w:ascii="Times New Roman" w:hAnsi="Times New Roman" w:cs="Times New Roman"/>
                <w:color w:val="auto"/>
                <w:lang w:bidi="ar"/>
              </w:rPr>
              <w:t>专项（项目）名称</w:t>
            </w:r>
          </w:p>
        </w:tc>
        <w:tc>
          <w:tcPr>
            <w:tcW w:w="7751"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9B1A30">
            <w:pPr>
              <w:widowControl/>
              <w:spacing w:line="353" w:lineRule="auto"/>
              <w:jc w:val="center"/>
              <w:textAlignment w:val="center"/>
              <w:rPr>
                <w:sz w:val="24"/>
              </w:rPr>
            </w:pPr>
            <w:r>
              <w:rPr>
                <w:kern w:val="0"/>
                <w:sz w:val="24"/>
                <w:lang w:bidi="ar"/>
              </w:rPr>
              <w:t>维护农民</w:t>
            </w:r>
            <w:r>
              <w:rPr>
                <w:rFonts w:hint="eastAsia"/>
                <w:kern w:val="0"/>
                <w:sz w:val="24"/>
                <w:lang w:bidi="ar"/>
              </w:rPr>
              <w:t>工</w:t>
            </w:r>
            <w:r>
              <w:rPr>
                <w:kern w:val="0"/>
                <w:sz w:val="24"/>
                <w:lang w:bidi="ar"/>
              </w:rPr>
              <w:t>权益业务费</w:t>
            </w:r>
          </w:p>
        </w:tc>
      </w:tr>
      <w:tr w14:paraId="5612DBB8">
        <w:tblPrEx>
          <w:tblCellMar>
            <w:top w:w="0" w:type="dxa"/>
            <w:left w:w="0" w:type="dxa"/>
            <w:bottom w:w="0" w:type="dxa"/>
            <w:right w:w="0" w:type="dxa"/>
          </w:tblCellMar>
        </w:tblPrEx>
        <w:trPr>
          <w:trHeight w:val="439" w:hRule="atLeast"/>
        </w:trPr>
        <w:tc>
          <w:tcPr>
            <w:tcW w:w="2004"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8B600B">
            <w:pPr>
              <w:widowControl/>
              <w:spacing w:line="353" w:lineRule="auto"/>
              <w:jc w:val="center"/>
              <w:textAlignment w:val="center"/>
              <w:rPr>
                <w:sz w:val="24"/>
              </w:rPr>
            </w:pPr>
            <w:r>
              <w:rPr>
                <w:rStyle w:val="31"/>
                <w:rFonts w:hint="default" w:ascii="Times New Roman" w:hAnsi="Times New Roman" w:cs="Times New Roman"/>
                <w:color w:val="auto"/>
                <w:lang w:bidi="ar"/>
              </w:rPr>
              <w:t>项目主管单位</w:t>
            </w:r>
          </w:p>
        </w:tc>
        <w:tc>
          <w:tcPr>
            <w:tcW w:w="7751"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6C461A">
            <w:pPr>
              <w:widowControl/>
              <w:spacing w:line="353" w:lineRule="auto"/>
              <w:jc w:val="center"/>
              <w:textAlignment w:val="center"/>
              <w:rPr>
                <w:sz w:val="24"/>
              </w:rPr>
            </w:pPr>
            <w:r>
              <w:rPr>
                <w:kern w:val="0"/>
                <w:sz w:val="24"/>
                <w:lang w:bidi="ar"/>
              </w:rPr>
              <w:t>攀枝花市西区人力资源和社会保障局</w:t>
            </w:r>
          </w:p>
        </w:tc>
      </w:tr>
      <w:tr w14:paraId="27EC160D">
        <w:tblPrEx>
          <w:tblCellMar>
            <w:top w:w="0" w:type="dxa"/>
            <w:left w:w="0" w:type="dxa"/>
            <w:bottom w:w="0" w:type="dxa"/>
            <w:right w:w="0" w:type="dxa"/>
          </w:tblCellMar>
        </w:tblPrEx>
        <w:trPr>
          <w:trHeight w:val="439" w:hRule="atLeast"/>
        </w:trPr>
        <w:tc>
          <w:tcPr>
            <w:tcW w:w="2004"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3E8916">
            <w:pPr>
              <w:widowControl/>
              <w:spacing w:line="353" w:lineRule="auto"/>
              <w:jc w:val="center"/>
              <w:textAlignment w:val="center"/>
              <w:rPr>
                <w:sz w:val="24"/>
              </w:rPr>
            </w:pPr>
            <w:r>
              <w:rPr>
                <w:rStyle w:val="31"/>
                <w:rFonts w:hint="default" w:ascii="Times New Roman" w:hAnsi="Times New Roman" w:cs="Times New Roman"/>
                <w:color w:val="auto"/>
                <w:lang w:bidi="ar"/>
              </w:rPr>
              <w:t>项目实施单位</w:t>
            </w:r>
          </w:p>
        </w:tc>
        <w:tc>
          <w:tcPr>
            <w:tcW w:w="7751"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B3AA6F">
            <w:pPr>
              <w:widowControl/>
              <w:spacing w:line="353" w:lineRule="auto"/>
              <w:jc w:val="center"/>
              <w:textAlignment w:val="center"/>
              <w:rPr>
                <w:sz w:val="24"/>
              </w:rPr>
            </w:pPr>
            <w:r>
              <w:rPr>
                <w:rStyle w:val="31"/>
                <w:rFonts w:hint="default" w:ascii="Times New Roman" w:hAnsi="Times New Roman" w:cs="Times New Roman"/>
                <w:color w:val="auto"/>
                <w:lang w:bidi="ar"/>
              </w:rPr>
              <w:t>攀枝花市西区人力资源和社会保障局</w:t>
            </w:r>
          </w:p>
        </w:tc>
      </w:tr>
      <w:tr w14:paraId="67CEFB48">
        <w:tblPrEx>
          <w:tblCellMar>
            <w:top w:w="0" w:type="dxa"/>
            <w:left w:w="0" w:type="dxa"/>
            <w:bottom w:w="0" w:type="dxa"/>
            <w:right w:w="0" w:type="dxa"/>
          </w:tblCellMar>
        </w:tblPrEx>
        <w:trPr>
          <w:trHeight w:val="439" w:hRule="atLeast"/>
        </w:trPr>
        <w:tc>
          <w:tcPr>
            <w:tcW w:w="200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169799">
            <w:pPr>
              <w:widowControl/>
              <w:spacing w:line="353" w:lineRule="auto"/>
              <w:jc w:val="center"/>
              <w:textAlignment w:val="center"/>
              <w:rPr>
                <w:sz w:val="24"/>
              </w:rPr>
            </w:pPr>
            <w:r>
              <w:rPr>
                <w:rStyle w:val="31"/>
                <w:rFonts w:hint="default" w:ascii="Times New Roman" w:hAnsi="Times New Roman" w:cs="Times New Roman"/>
                <w:color w:val="auto"/>
                <w:lang w:bidi="ar"/>
              </w:rPr>
              <w:t>项目资金</w:t>
            </w:r>
            <w:r>
              <w:rPr>
                <w:rStyle w:val="32"/>
                <w:color w:val="auto"/>
                <w:lang w:bidi="ar"/>
              </w:rPr>
              <w:br w:type="textWrapping"/>
            </w:r>
            <w:r>
              <w:rPr>
                <w:rStyle w:val="31"/>
                <w:rFonts w:hint="default" w:ascii="Times New Roman" w:hAnsi="Times New Roman" w:cs="Times New Roman"/>
                <w:color w:val="auto"/>
                <w:lang w:bidi="ar"/>
              </w:rPr>
              <w:t>（万元）</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B79135">
            <w:pPr>
              <w:spacing w:line="353" w:lineRule="auto"/>
              <w:jc w:val="center"/>
              <w:rPr>
                <w:sz w:val="24"/>
              </w:rPr>
            </w:pP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72BA1A">
            <w:pPr>
              <w:widowControl/>
              <w:spacing w:line="353" w:lineRule="auto"/>
              <w:jc w:val="center"/>
              <w:textAlignment w:val="center"/>
              <w:rPr>
                <w:sz w:val="24"/>
              </w:rPr>
            </w:pPr>
            <w:r>
              <w:rPr>
                <w:rStyle w:val="31"/>
                <w:rFonts w:hint="default" w:ascii="Times New Roman" w:hAnsi="Times New Roman" w:cs="Times New Roman"/>
                <w:color w:val="auto"/>
                <w:lang w:bidi="ar"/>
              </w:rPr>
              <w:t>全年预算数</w:t>
            </w:r>
          </w:p>
        </w:tc>
        <w:tc>
          <w:tcPr>
            <w:tcW w:w="17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87143E">
            <w:pPr>
              <w:widowControl/>
              <w:spacing w:line="353" w:lineRule="auto"/>
              <w:jc w:val="center"/>
              <w:textAlignment w:val="center"/>
              <w:rPr>
                <w:sz w:val="24"/>
              </w:rPr>
            </w:pPr>
            <w:r>
              <w:rPr>
                <w:rStyle w:val="31"/>
                <w:rFonts w:hint="default" w:ascii="Times New Roman" w:hAnsi="Times New Roman" w:cs="Times New Roman"/>
                <w:color w:val="auto"/>
                <w:lang w:bidi="ar"/>
              </w:rPr>
              <w:t>实际完成数</w:t>
            </w:r>
          </w:p>
        </w:tc>
      </w:tr>
      <w:tr w14:paraId="6DB208DC">
        <w:tblPrEx>
          <w:tblCellMar>
            <w:top w:w="0" w:type="dxa"/>
            <w:left w:w="0" w:type="dxa"/>
            <w:bottom w:w="0" w:type="dxa"/>
            <w:right w:w="0" w:type="dxa"/>
          </w:tblCellMar>
        </w:tblPrEx>
        <w:trPr>
          <w:trHeight w:val="439" w:hRule="atLeast"/>
        </w:trPr>
        <w:tc>
          <w:tcPr>
            <w:tcW w:w="20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F08D8E">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4A1B">
            <w:pPr>
              <w:widowControl/>
              <w:spacing w:line="353" w:lineRule="auto"/>
              <w:jc w:val="left"/>
              <w:textAlignment w:val="center"/>
              <w:rPr>
                <w:sz w:val="24"/>
              </w:rPr>
            </w:pPr>
            <w:r>
              <w:rPr>
                <w:kern w:val="0"/>
                <w:sz w:val="24"/>
                <w:lang w:bidi="ar"/>
              </w:rPr>
              <w:t xml:space="preserve"> </w:t>
            </w:r>
            <w:r>
              <w:rPr>
                <w:rStyle w:val="31"/>
                <w:rFonts w:hint="default" w:ascii="Times New Roman" w:hAnsi="Times New Roman" w:cs="Times New Roman"/>
                <w:color w:val="auto"/>
                <w:lang w:bidi="ar"/>
              </w:rPr>
              <w:t>年度资金总额：</w:t>
            </w: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416040">
            <w:pPr>
              <w:widowControl/>
              <w:spacing w:line="353" w:lineRule="auto"/>
              <w:jc w:val="left"/>
              <w:textAlignment w:val="center"/>
              <w:rPr>
                <w:sz w:val="24"/>
              </w:rPr>
            </w:pPr>
            <w:r>
              <w:rPr>
                <w:kern w:val="0"/>
                <w:sz w:val="24"/>
                <w:lang w:bidi="ar"/>
              </w:rPr>
              <w:t>2.00</w:t>
            </w:r>
          </w:p>
        </w:tc>
        <w:tc>
          <w:tcPr>
            <w:tcW w:w="17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022CE2">
            <w:pPr>
              <w:widowControl/>
              <w:spacing w:line="353" w:lineRule="auto"/>
              <w:jc w:val="left"/>
              <w:textAlignment w:val="center"/>
              <w:rPr>
                <w:sz w:val="24"/>
              </w:rPr>
            </w:pPr>
            <w:r>
              <w:rPr>
                <w:kern w:val="0"/>
                <w:sz w:val="24"/>
                <w:lang w:bidi="ar"/>
              </w:rPr>
              <w:t>2.00</w:t>
            </w:r>
          </w:p>
        </w:tc>
      </w:tr>
      <w:tr w14:paraId="39F52302">
        <w:tblPrEx>
          <w:tblCellMar>
            <w:top w:w="0" w:type="dxa"/>
            <w:left w:w="0" w:type="dxa"/>
            <w:bottom w:w="0" w:type="dxa"/>
            <w:right w:w="0" w:type="dxa"/>
          </w:tblCellMar>
        </w:tblPrEx>
        <w:trPr>
          <w:trHeight w:val="439" w:hRule="atLeast"/>
        </w:trPr>
        <w:tc>
          <w:tcPr>
            <w:tcW w:w="20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965BB8">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84A618">
            <w:pPr>
              <w:widowControl/>
              <w:spacing w:line="353" w:lineRule="auto"/>
              <w:jc w:val="left"/>
              <w:textAlignment w:val="center"/>
              <w:rPr>
                <w:sz w:val="24"/>
              </w:rPr>
            </w:pPr>
            <w:r>
              <w:rPr>
                <w:kern w:val="0"/>
                <w:sz w:val="24"/>
                <w:lang w:bidi="ar"/>
              </w:rPr>
              <w:t xml:space="preserve">       </w:t>
            </w:r>
            <w:r>
              <w:rPr>
                <w:rStyle w:val="31"/>
                <w:rFonts w:hint="default" w:ascii="Times New Roman" w:hAnsi="Times New Roman" w:cs="Times New Roman"/>
                <w:color w:val="auto"/>
                <w:lang w:bidi="ar"/>
              </w:rPr>
              <w:t>其中：上级财政资金</w:t>
            </w: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8A7849">
            <w:pPr>
              <w:widowControl/>
              <w:spacing w:line="353" w:lineRule="auto"/>
              <w:jc w:val="left"/>
              <w:textAlignment w:val="center"/>
              <w:rPr>
                <w:sz w:val="24"/>
              </w:rPr>
            </w:pPr>
            <w:r>
              <w:rPr>
                <w:kern w:val="0"/>
                <w:sz w:val="24"/>
                <w:lang w:bidi="ar"/>
              </w:rPr>
              <w:t>0.00</w:t>
            </w:r>
          </w:p>
        </w:tc>
        <w:tc>
          <w:tcPr>
            <w:tcW w:w="17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19152F">
            <w:pPr>
              <w:widowControl/>
              <w:spacing w:line="353" w:lineRule="auto"/>
              <w:jc w:val="left"/>
              <w:textAlignment w:val="center"/>
              <w:rPr>
                <w:sz w:val="24"/>
              </w:rPr>
            </w:pPr>
            <w:r>
              <w:rPr>
                <w:kern w:val="0"/>
                <w:sz w:val="24"/>
                <w:lang w:bidi="ar"/>
              </w:rPr>
              <w:t>0.00</w:t>
            </w:r>
          </w:p>
        </w:tc>
      </w:tr>
      <w:tr w14:paraId="629B24D5">
        <w:tblPrEx>
          <w:tblCellMar>
            <w:top w:w="0" w:type="dxa"/>
            <w:left w:w="0" w:type="dxa"/>
            <w:bottom w:w="0" w:type="dxa"/>
            <w:right w:w="0" w:type="dxa"/>
          </w:tblCellMar>
        </w:tblPrEx>
        <w:trPr>
          <w:trHeight w:val="439" w:hRule="atLeast"/>
        </w:trPr>
        <w:tc>
          <w:tcPr>
            <w:tcW w:w="20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0C6966">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8380CC">
            <w:pPr>
              <w:widowControl/>
              <w:spacing w:line="353" w:lineRule="auto"/>
              <w:jc w:val="left"/>
              <w:textAlignment w:val="center"/>
              <w:rPr>
                <w:sz w:val="24"/>
              </w:rPr>
            </w:pPr>
            <w:r>
              <w:rPr>
                <w:kern w:val="0"/>
                <w:sz w:val="24"/>
                <w:lang w:bidi="ar"/>
              </w:rPr>
              <w:t xml:space="preserve">             </w:t>
            </w:r>
            <w:r>
              <w:rPr>
                <w:rStyle w:val="31"/>
                <w:rFonts w:hint="default" w:ascii="Times New Roman" w:hAnsi="Times New Roman" w:cs="Times New Roman"/>
                <w:color w:val="auto"/>
                <w:lang w:bidi="ar"/>
              </w:rPr>
              <w:t>本级财政资金</w:t>
            </w: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DEFCFB">
            <w:pPr>
              <w:widowControl/>
              <w:spacing w:line="353" w:lineRule="auto"/>
              <w:jc w:val="left"/>
              <w:textAlignment w:val="center"/>
              <w:rPr>
                <w:sz w:val="24"/>
              </w:rPr>
            </w:pPr>
            <w:r>
              <w:rPr>
                <w:kern w:val="0"/>
                <w:sz w:val="24"/>
                <w:lang w:bidi="ar"/>
              </w:rPr>
              <w:t>2.00</w:t>
            </w:r>
          </w:p>
        </w:tc>
        <w:tc>
          <w:tcPr>
            <w:tcW w:w="17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713022">
            <w:pPr>
              <w:widowControl/>
              <w:spacing w:line="353" w:lineRule="auto"/>
              <w:jc w:val="left"/>
              <w:textAlignment w:val="center"/>
              <w:rPr>
                <w:sz w:val="24"/>
              </w:rPr>
            </w:pPr>
            <w:r>
              <w:rPr>
                <w:kern w:val="0"/>
                <w:sz w:val="24"/>
                <w:lang w:bidi="ar"/>
              </w:rPr>
              <w:t>2.00</w:t>
            </w:r>
          </w:p>
        </w:tc>
      </w:tr>
      <w:tr w14:paraId="5A9DB4D9">
        <w:tblPrEx>
          <w:tblCellMar>
            <w:top w:w="0" w:type="dxa"/>
            <w:left w:w="0" w:type="dxa"/>
            <w:bottom w:w="0" w:type="dxa"/>
            <w:right w:w="0" w:type="dxa"/>
          </w:tblCellMar>
        </w:tblPrEx>
        <w:trPr>
          <w:trHeight w:val="439" w:hRule="atLeast"/>
        </w:trPr>
        <w:tc>
          <w:tcPr>
            <w:tcW w:w="200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916B2A">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AEBA30">
            <w:pPr>
              <w:widowControl/>
              <w:spacing w:line="353" w:lineRule="auto"/>
              <w:jc w:val="center"/>
              <w:textAlignment w:val="center"/>
              <w:rPr>
                <w:sz w:val="24"/>
              </w:rPr>
            </w:pPr>
            <w:r>
              <w:rPr>
                <w:rStyle w:val="31"/>
                <w:rFonts w:hint="default" w:ascii="Times New Roman" w:hAnsi="Times New Roman" w:cs="Times New Roman"/>
                <w:color w:val="auto"/>
                <w:lang w:bidi="ar"/>
              </w:rPr>
              <w:t>其他资金</w:t>
            </w:r>
          </w:p>
        </w:tc>
        <w:tc>
          <w:tcPr>
            <w:tcW w:w="255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240C0A">
            <w:pPr>
              <w:widowControl/>
              <w:spacing w:line="353" w:lineRule="auto"/>
              <w:jc w:val="left"/>
              <w:textAlignment w:val="center"/>
              <w:rPr>
                <w:sz w:val="24"/>
              </w:rPr>
            </w:pPr>
            <w:r>
              <w:rPr>
                <w:kern w:val="0"/>
                <w:sz w:val="24"/>
                <w:lang w:bidi="ar"/>
              </w:rPr>
              <w:t>0.00</w:t>
            </w:r>
          </w:p>
        </w:tc>
        <w:tc>
          <w:tcPr>
            <w:tcW w:w="17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C10D5E">
            <w:pPr>
              <w:widowControl/>
              <w:spacing w:line="353" w:lineRule="auto"/>
              <w:jc w:val="left"/>
              <w:textAlignment w:val="center"/>
              <w:rPr>
                <w:sz w:val="24"/>
              </w:rPr>
            </w:pPr>
            <w:r>
              <w:rPr>
                <w:kern w:val="0"/>
                <w:sz w:val="24"/>
                <w:lang w:bidi="ar"/>
              </w:rPr>
              <w:t>0.00</w:t>
            </w:r>
          </w:p>
        </w:tc>
      </w:tr>
      <w:tr w14:paraId="07D23F4E">
        <w:tblPrEx>
          <w:tblCellMar>
            <w:top w:w="0" w:type="dxa"/>
            <w:left w:w="0" w:type="dxa"/>
            <w:bottom w:w="0" w:type="dxa"/>
            <w:right w:w="0" w:type="dxa"/>
          </w:tblCellMar>
        </w:tblPrEx>
        <w:trPr>
          <w:trHeight w:val="439" w:hRule="atLeast"/>
        </w:trPr>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22D037">
            <w:pPr>
              <w:widowControl/>
              <w:spacing w:line="353" w:lineRule="auto"/>
              <w:jc w:val="center"/>
              <w:textAlignment w:val="center"/>
              <w:rPr>
                <w:sz w:val="24"/>
              </w:rPr>
            </w:pPr>
            <w:r>
              <w:rPr>
                <w:rStyle w:val="31"/>
                <w:rFonts w:hint="default" w:ascii="Times New Roman" w:hAnsi="Times New Roman" w:cs="Times New Roman"/>
                <w:color w:val="auto"/>
                <w:lang w:bidi="ar"/>
              </w:rPr>
              <w:t>总</w:t>
            </w:r>
            <w:r>
              <w:rPr>
                <w:rStyle w:val="32"/>
                <w:color w:val="auto"/>
                <w:lang w:bidi="ar"/>
              </w:rPr>
              <w:br w:type="textWrapping"/>
            </w:r>
            <w:r>
              <w:rPr>
                <w:rStyle w:val="31"/>
                <w:rFonts w:hint="default" w:ascii="Times New Roman" w:hAnsi="Times New Roman" w:cs="Times New Roman"/>
                <w:color w:val="auto"/>
                <w:lang w:bidi="ar"/>
              </w:rPr>
              <w:t>体</w:t>
            </w:r>
            <w:r>
              <w:rPr>
                <w:rStyle w:val="32"/>
                <w:color w:val="auto"/>
                <w:lang w:bidi="ar"/>
              </w:rPr>
              <w:br w:type="textWrapping"/>
            </w:r>
            <w:r>
              <w:rPr>
                <w:rStyle w:val="31"/>
                <w:rFonts w:hint="default" w:ascii="Times New Roman" w:hAnsi="Times New Roman" w:cs="Times New Roman"/>
                <w:color w:val="auto"/>
                <w:lang w:bidi="ar"/>
              </w:rPr>
              <w:t>目</w:t>
            </w:r>
            <w:r>
              <w:rPr>
                <w:rStyle w:val="32"/>
                <w:color w:val="auto"/>
                <w:lang w:bidi="ar"/>
              </w:rPr>
              <w:br w:type="textWrapping"/>
            </w:r>
            <w:r>
              <w:rPr>
                <w:rStyle w:val="31"/>
                <w:rFonts w:hint="default" w:ascii="Times New Roman" w:hAnsi="Times New Roman" w:cs="Times New Roman"/>
                <w:color w:val="auto"/>
                <w:lang w:bidi="ar"/>
              </w:rPr>
              <w:t>标</w:t>
            </w:r>
          </w:p>
        </w:tc>
        <w:tc>
          <w:tcPr>
            <w:tcW w:w="5087"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D51178">
            <w:pPr>
              <w:widowControl/>
              <w:spacing w:line="353" w:lineRule="auto"/>
              <w:jc w:val="center"/>
              <w:textAlignment w:val="center"/>
              <w:rPr>
                <w:sz w:val="24"/>
              </w:rPr>
            </w:pPr>
            <w:r>
              <w:rPr>
                <w:rStyle w:val="31"/>
                <w:rFonts w:hint="default" w:ascii="Times New Roman" w:hAnsi="Times New Roman" w:cs="Times New Roman"/>
                <w:color w:val="auto"/>
                <w:lang w:bidi="ar"/>
              </w:rPr>
              <w:t>年度设定目标</w:t>
            </w:r>
          </w:p>
        </w:tc>
        <w:tc>
          <w:tcPr>
            <w:tcW w:w="4027"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AC743D">
            <w:pPr>
              <w:widowControl/>
              <w:spacing w:line="353" w:lineRule="auto"/>
              <w:jc w:val="center"/>
              <w:textAlignment w:val="center"/>
              <w:rPr>
                <w:sz w:val="24"/>
              </w:rPr>
            </w:pPr>
            <w:r>
              <w:rPr>
                <w:rStyle w:val="31"/>
                <w:rFonts w:hint="default" w:ascii="Times New Roman" w:hAnsi="Times New Roman" w:cs="Times New Roman"/>
                <w:color w:val="auto"/>
                <w:lang w:bidi="ar"/>
              </w:rPr>
              <w:t>实际完成情况</w:t>
            </w:r>
          </w:p>
        </w:tc>
      </w:tr>
      <w:tr w14:paraId="1E98212B">
        <w:tblPrEx>
          <w:tblCellMar>
            <w:top w:w="0" w:type="dxa"/>
            <w:left w:w="0" w:type="dxa"/>
            <w:bottom w:w="0" w:type="dxa"/>
            <w:right w:w="0" w:type="dxa"/>
          </w:tblCellMar>
        </w:tblPrEx>
        <w:trPr>
          <w:trHeight w:val="120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B274FA0">
            <w:pPr>
              <w:spacing w:line="353" w:lineRule="auto"/>
              <w:jc w:val="center"/>
              <w:rPr>
                <w:sz w:val="24"/>
              </w:rPr>
            </w:pPr>
          </w:p>
        </w:tc>
        <w:tc>
          <w:tcPr>
            <w:tcW w:w="5087"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0B2F2F">
            <w:pPr>
              <w:widowControl/>
              <w:spacing w:line="353" w:lineRule="auto"/>
              <w:jc w:val="center"/>
              <w:textAlignment w:val="center"/>
              <w:rPr>
                <w:sz w:val="24"/>
              </w:rPr>
            </w:pPr>
            <w:r>
              <w:rPr>
                <w:kern w:val="0"/>
                <w:sz w:val="24"/>
                <w:lang w:bidi="ar"/>
              </w:rPr>
              <w:t>解决企业工资拖欠工作专项经费</w:t>
            </w:r>
          </w:p>
        </w:tc>
        <w:tc>
          <w:tcPr>
            <w:tcW w:w="4027"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F037B9">
            <w:pPr>
              <w:widowControl/>
              <w:spacing w:line="353" w:lineRule="auto"/>
              <w:jc w:val="center"/>
              <w:textAlignment w:val="center"/>
              <w:rPr>
                <w:sz w:val="24"/>
              </w:rPr>
            </w:pPr>
            <w:r>
              <w:rPr>
                <w:kern w:val="0"/>
                <w:sz w:val="24"/>
                <w:lang w:bidi="ar"/>
              </w:rPr>
              <w:t>解决企业工资拖欠工作专项经费</w:t>
            </w:r>
          </w:p>
        </w:tc>
      </w:tr>
      <w:tr w14:paraId="4C1AA184">
        <w:tblPrEx>
          <w:tblCellMar>
            <w:top w:w="0" w:type="dxa"/>
            <w:left w:w="0" w:type="dxa"/>
            <w:bottom w:w="0" w:type="dxa"/>
            <w:right w:w="0" w:type="dxa"/>
          </w:tblCellMar>
        </w:tblPrEx>
        <w:trPr>
          <w:trHeight w:val="610" w:hRule="atLeast"/>
        </w:trPr>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871014">
            <w:pPr>
              <w:widowControl/>
              <w:spacing w:line="353" w:lineRule="auto"/>
              <w:jc w:val="center"/>
              <w:textAlignment w:val="center"/>
              <w:rPr>
                <w:sz w:val="24"/>
              </w:rPr>
            </w:pPr>
            <w:r>
              <w:rPr>
                <w:rStyle w:val="31"/>
                <w:rFonts w:hint="default" w:ascii="Times New Roman" w:hAnsi="Times New Roman" w:cs="Times New Roman"/>
                <w:color w:val="auto"/>
                <w:lang w:bidi="ar"/>
              </w:rPr>
              <w:t>绩</w:t>
            </w:r>
            <w:r>
              <w:rPr>
                <w:rStyle w:val="32"/>
                <w:color w:val="auto"/>
                <w:lang w:bidi="ar"/>
              </w:rPr>
              <w:br w:type="textWrapping"/>
            </w:r>
            <w:r>
              <w:rPr>
                <w:rStyle w:val="31"/>
                <w:rFonts w:hint="default" w:ascii="Times New Roman" w:hAnsi="Times New Roman" w:cs="Times New Roman"/>
                <w:color w:val="auto"/>
                <w:lang w:bidi="ar"/>
              </w:rPr>
              <w:t>效</w:t>
            </w:r>
            <w:r>
              <w:rPr>
                <w:rStyle w:val="32"/>
                <w:color w:val="auto"/>
                <w:lang w:bidi="ar"/>
              </w:rPr>
              <w:br w:type="textWrapping"/>
            </w:r>
            <w:r>
              <w:rPr>
                <w:rStyle w:val="31"/>
                <w:rFonts w:hint="default" w:ascii="Times New Roman" w:hAnsi="Times New Roman" w:cs="Times New Roman"/>
                <w:color w:val="auto"/>
                <w:lang w:bidi="ar"/>
              </w:rPr>
              <w:t>指</w:t>
            </w:r>
            <w:r>
              <w:rPr>
                <w:rStyle w:val="32"/>
                <w:color w:val="auto"/>
                <w:lang w:bidi="ar"/>
              </w:rPr>
              <w:br w:type="textWrapping"/>
            </w:r>
            <w:r>
              <w:rPr>
                <w:rStyle w:val="31"/>
                <w:rFonts w:hint="default" w:ascii="Times New Roman" w:hAnsi="Times New Roman" w:cs="Times New Roman"/>
                <w:color w:val="auto"/>
                <w:lang w:bidi="ar"/>
              </w:rPr>
              <w:t>标</w:t>
            </w:r>
          </w:p>
        </w:tc>
        <w:tc>
          <w:tcPr>
            <w:tcW w:w="54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DF8447">
            <w:pPr>
              <w:widowControl/>
              <w:spacing w:line="353" w:lineRule="auto"/>
              <w:jc w:val="center"/>
              <w:textAlignment w:val="center"/>
              <w:rPr>
                <w:sz w:val="24"/>
              </w:rPr>
            </w:pPr>
            <w:r>
              <w:rPr>
                <w:rStyle w:val="31"/>
                <w:rFonts w:hint="default" w:ascii="Times New Roman" w:hAnsi="Times New Roman" w:cs="Times New Roman"/>
                <w:color w:val="auto"/>
                <w:lang w:bidi="ar"/>
              </w:rPr>
              <w:t>一级</w:t>
            </w:r>
            <w:r>
              <w:rPr>
                <w:rStyle w:val="32"/>
                <w:color w:val="auto"/>
                <w:lang w:bidi="ar"/>
              </w:rPr>
              <w:br w:type="textWrapping"/>
            </w:r>
            <w:r>
              <w:rPr>
                <w:rStyle w:val="31"/>
                <w:rFonts w:hint="default" w:ascii="Times New Roman" w:hAnsi="Times New Roman" w:cs="Times New Roman"/>
                <w:color w:val="auto"/>
                <w:lang w:bidi="ar"/>
              </w:rPr>
              <w:t>指标</w:t>
            </w:r>
          </w:p>
        </w:tc>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6927C3">
            <w:pPr>
              <w:widowControl/>
              <w:spacing w:line="353" w:lineRule="auto"/>
              <w:jc w:val="center"/>
              <w:textAlignment w:val="center"/>
              <w:rPr>
                <w:sz w:val="24"/>
              </w:rPr>
            </w:pPr>
            <w:r>
              <w:rPr>
                <w:rStyle w:val="31"/>
                <w:rFonts w:hint="default" w:ascii="Times New Roman" w:hAnsi="Times New Roman" w:cs="Times New Roman"/>
                <w:color w:val="auto"/>
                <w:lang w:bidi="ar"/>
              </w:rPr>
              <w:t>二级指标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95658C">
            <w:pPr>
              <w:widowControl/>
              <w:spacing w:line="353" w:lineRule="auto"/>
              <w:jc w:val="center"/>
              <w:textAlignment w:val="center"/>
              <w:rPr>
                <w:sz w:val="24"/>
              </w:rPr>
            </w:pPr>
            <w:r>
              <w:rPr>
                <w:rStyle w:val="31"/>
                <w:rFonts w:hint="default" w:ascii="Times New Roman" w:hAnsi="Times New Roman" w:cs="Times New Roman"/>
                <w:color w:val="auto"/>
                <w:lang w:bidi="ar"/>
              </w:rPr>
              <w:t>三级指标</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50B118">
            <w:pPr>
              <w:widowControl/>
              <w:spacing w:line="353" w:lineRule="auto"/>
              <w:jc w:val="center"/>
              <w:textAlignment w:val="center"/>
              <w:rPr>
                <w:sz w:val="24"/>
              </w:rPr>
            </w:pPr>
            <w:r>
              <w:rPr>
                <w:rStyle w:val="31"/>
                <w:rFonts w:hint="default" w:ascii="Times New Roman" w:hAnsi="Times New Roman" w:cs="Times New Roman"/>
                <w:color w:val="auto"/>
                <w:lang w:bidi="ar"/>
              </w:rPr>
              <w:t>年度指标值</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FBA668">
            <w:pPr>
              <w:widowControl/>
              <w:spacing w:line="353" w:lineRule="auto"/>
              <w:jc w:val="center"/>
              <w:textAlignment w:val="center"/>
              <w:rPr>
                <w:sz w:val="24"/>
              </w:rPr>
            </w:pPr>
            <w:r>
              <w:rPr>
                <w:rStyle w:val="31"/>
                <w:rFonts w:hint="default" w:ascii="Times New Roman" w:hAnsi="Times New Roman" w:cs="Times New Roman"/>
                <w:color w:val="auto"/>
                <w:lang w:bidi="ar"/>
              </w:rPr>
              <w:t>实际完成数</w:t>
            </w:r>
          </w:p>
        </w:tc>
      </w:tr>
      <w:tr w14:paraId="2F695E66">
        <w:tblPrEx>
          <w:tblCellMar>
            <w:top w:w="0" w:type="dxa"/>
            <w:left w:w="0" w:type="dxa"/>
            <w:bottom w:w="0" w:type="dxa"/>
            <w:right w:w="0" w:type="dxa"/>
          </w:tblCellMar>
        </w:tblPrEx>
        <w:trPr>
          <w:trHeight w:val="31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42A761">
            <w:pPr>
              <w:spacing w:line="353" w:lineRule="auto"/>
              <w:jc w:val="center"/>
              <w:rPr>
                <w:sz w:val="24"/>
              </w:rPr>
            </w:pPr>
          </w:p>
        </w:tc>
        <w:tc>
          <w:tcPr>
            <w:tcW w:w="54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8BBB6F">
            <w:pPr>
              <w:widowControl/>
              <w:spacing w:line="353" w:lineRule="auto"/>
              <w:jc w:val="center"/>
              <w:textAlignment w:val="center"/>
              <w:rPr>
                <w:sz w:val="24"/>
              </w:rPr>
            </w:pPr>
            <w:r>
              <w:rPr>
                <w:rStyle w:val="31"/>
                <w:rFonts w:hint="default" w:ascii="Times New Roman" w:hAnsi="Times New Roman" w:cs="Times New Roman"/>
                <w:color w:val="auto"/>
                <w:lang w:bidi="ar"/>
              </w:rPr>
              <w:t>项目完成</w:t>
            </w:r>
          </w:p>
        </w:tc>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D93DD6">
            <w:pPr>
              <w:widowControl/>
              <w:spacing w:line="353" w:lineRule="auto"/>
              <w:jc w:val="center"/>
              <w:textAlignment w:val="center"/>
              <w:rPr>
                <w:sz w:val="24"/>
              </w:rPr>
            </w:pPr>
            <w:r>
              <w:rPr>
                <w:kern w:val="0"/>
                <w:sz w:val="24"/>
                <w:lang w:bidi="ar"/>
              </w:rPr>
              <w:t>数量指标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543A5D">
            <w:pPr>
              <w:widowControl/>
              <w:spacing w:line="353" w:lineRule="auto"/>
              <w:jc w:val="left"/>
              <w:textAlignment w:val="center"/>
              <w:rPr>
                <w:sz w:val="24"/>
              </w:rPr>
            </w:pPr>
            <w:r>
              <w:rPr>
                <w:kern w:val="0"/>
                <w:sz w:val="24"/>
                <w:lang w:bidi="ar"/>
              </w:rPr>
              <w:t>农民工工资支付专项检查</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E25E85">
            <w:pPr>
              <w:widowControl/>
              <w:spacing w:line="353" w:lineRule="auto"/>
              <w:jc w:val="left"/>
              <w:textAlignment w:val="center"/>
              <w:rPr>
                <w:sz w:val="24"/>
              </w:rPr>
            </w:pPr>
            <w:r>
              <w:rPr>
                <w:kern w:val="0"/>
                <w:sz w:val="24"/>
                <w:lang w:bidi="ar"/>
              </w:rPr>
              <w:t>80</w:t>
            </w:r>
            <w:r>
              <w:rPr>
                <w:rStyle w:val="31"/>
                <w:rFonts w:hint="default" w:ascii="Times New Roman" w:hAnsi="Times New Roman" w:cs="Times New Roman"/>
                <w:color w:val="auto"/>
                <w:lang w:bidi="ar"/>
              </w:rPr>
              <w:t>户</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FAB6B1">
            <w:pPr>
              <w:widowControl/>
              <w:spacing w:line="353" w:lineRule="auto"/>
              <w:jc w:val="left"/>
              <w:textAlignment w:val="center"/>
              <w:rPr>
                <w:sz w:val="24"/>
              </w:rPr>
            </w:pPr>
            <w:r>
              <w:rPr>
                <w:kern w:val="0"/>
                <w:sz w:val="24"/>
                <w:lang w:bidi="ar"/>
              </w:rPr>
              <w:t>80</w:t>
            </w:r>
            <w:r>
              <w:rPr>
                <w:rStyle w:val="31"/>
                <w:rFonts w:hint="default" w:ascii="Times New Roman" w:hAnsi="Times New Roman" w:cs="Times New Roman"/>
                <w:color w:val="auto"/>
                <w:lang w:bidi="ar"/>
              </w:rPr>
              <w:t>户</w:t>
            </w:r>
          </w:p>
        </w:tc>
      </w:tr>
      <w:tr w14:paraId="70397667">
        <w:tblPrEx>
          <w:tblCellMar>
            <w:top w:w="0" w:type="dxa"/>
            <w:left w:w="0" w:type="dxa"/>
            <w:bottom w:w="0" w:type="dxa"/>
            <w:right w:w="0" w:type="dxa"/>
          </w:tblCellMar>
        </w:tblPrEx>
        <w:trPr>
          <w:trHeight w:val="31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92EF03">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9A0AFF">
            <w:pPr>
              <w:spacing w:line="353" w:lineRule="auto"/>
              <w:jc w:val="center"/>
              <w:rPr>
                <w:sz w:val="24"/>
              </w:rPr>
            </w:pPr>
          </w:p>
        </w:tc>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0DBE32">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67B526">
            <w:pPr>
              <w:widowControl/>
              <w:spacing w:line="353" w:lineRule="auto"/>
              <w:jc w:val="left"/>
              <w:textAlignment w:val="center"/>
              <w:rPr>
                <w:sz w:val="24"/>
              </w:rPr>
            </w:pPr>
            <w:r>
              <w:rPr>
                <w:rStyle w:val="31"/>
                <w:rFonts w:hint="default" w:ascii="Times New Roman" w:hAnsi="Times New Roman" w:cs="Times New Roman"/>
                <w:color w:val="auto"/>
                <w:lang w:bidi="ar"/>
              </w:rPr>
              <w:t>印发宣传资料</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EDCB82">
            <w:pPr>
              <w:widowControl/>
              <w:spacing w:line="353" w:lineRule="auto"/>
              <w:jc w:val="left"/>
              <w:textAlignment w:val="center"/>
              <w:rPr>
                <w:sz w:val="24"/>
              </w:rPr>
            </w:pPr>
            <w:r>
              <w:rPr>
                <w:rStyle w:val="31"/>
                <w:rFonts w:hint="default" w:ascii="Times New Roman" w:hAnsi="Times New Roman" w:cs="Times New Roman"/>
                <w:color w:val="auto"/>
                <w:lang w:bidi="ar"/>
              </w:rPr>
              <w:t>发放资料</w:t>
            </w:r>
            <w:r>
              <w:rPr>
                <w:rStyle w:val="32"/>
                <w:color w:val="auto"/>
                <w:lang w:bidi="ar"/>
              </w:rPr>
              <w:t>5000</w:t>
            </w:r>
            <w:r>
              <w:rPr>
                <w:rStyle w:val="31"/>
                <w:rFonts w:hint="default" w:ascii="Times New Roman" w:hAnsi="Times New Roman" w:cs="Times New Roman"/>
                <w:color w:val="auto"/>
                <w:lang w:bidi="ar"/>
              </w:rPr>
              <w:t>份</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D78731">
            <w:pPr>
              <w:widowControl/>
              <w:spacing w:line="353" w:lineRule="auto"/>
              <w:jc w:val="left"/>
              <w:textAlignment w:val="center"/>
              <w:rPr>
                <w:sz w:val="24"/>
              </w:rPr>
            </w:pPr>
            <w:r>
              <w:rPr>
                <w:rStyle w:val="31"/>
                <w:rFonts w:hint="default" w:ascii="Times New Roman" w:hAnsi="Times New Roman" w:cs="Times New Roman"/>
                <w:color w:val="auto"/>
                <w:lang w:bidi="ar"/>
              </w:rPr>
              <w:t>发放资料</w:t>
            </w:r>
            <w:r>
              <w:rPr>
                <w:rStyle w:val="32"/>
                <w:color w:val="auto"/>
                <w:lang w:bidi="ar"/>
              </w:rPr>
              <w:t>5000</w:t>
            </w:r>
            <w:r>
              <w:rPr>
                <w:rStyle w:val="31"/>
                <w:rFonts w:hint="default" w:ascii="Times New Roman" w:hAnsi="Times New Roman" w:cs="Times New Roman"/>
                <w:color w:val="auto"/>
                <w:lang w:bidi="ar"/>
              </w:rPr>
              <w:t>份</w:t>
            </w:r>
          </w:p>
        </w:tc>
      </w:tr>
      <w:tr w14:paraId="5A9EAC19">
        <w:tblPrEx>
          <w:tblCellMar>
            <w:top w:w="0" w:type="dxa"/>
            <w:left w:w="0" w:type="dxa"/>
            <w:bottom w:w="0" w:type="dxa"/>
            <w:right w:w="0" w:type="dxa"/>
          </w:tblCellMar>
        </w:tblPrEx>
        <w:trPr>
          <w:trHeight w:val="60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64C1D1">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0C2F50">
            <w:pPr>
              <w:spacing w:line="353" w:lineRule="auto"/>
              <w:jc w:val="center"/>
              <w:rPr>
                <w:sz w:val="24"/>
              </w:rPr>
            </w:pPr>
          </w:p>
        </w:tc>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282BBA">
            <w:pPr>
              <w:widowControl/>
              <w:spacing w:line="353" w:lineRule="auto"/>
              <w:jc w:val="center"/>
              <w:textAlignment w:val="center"/>
              <w:rPr>
                <w:sz w:val="24"/>
              </w:rPr>
            </w:pPr>
            <w:r>
              <w:rPr>
                <w:kern w:val="0"/>
                <w:sz w:val="24"/>
                <w:lang w:bidi="ar"/>
              </w:rPr>
              <w:t>质量指标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4D49DF">
            <w:pPr>
              <w:widowControl/>
              <w:spacing w:line="353" w:lineRule="auto"/>
              <w:jc w:val="left"/>
              <w:textAlignment w:val="center"/>
              <w:rPr>
                <w:sz w:val="24"/>
              </w:rPr>
            </w:pPr>
            <w:r>
              <w:rPr>
                <w:kern w:val="0"/>
                <w:sz w:val="24"/>
                <w:lang w:bidi="ar"/>
              </w:rPr>
              <w:t>完成农民工工资拖欠专项检查任务</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2F379F">
            <w:pPr>
              <w:widowControl/>
              <w:spacing w:line="353" w:lineRule="auto"/>
              <w:jc w:val="left"/>
              <w:textAlignment w:val="center"/>
              <w:rPr>
                <w:sz w:val="24"/>
              </w:rPr>
            </w:pPr>
            <w:r>
              <w:rPr>
                <w:kern w:val="0"/>
                <w:sz w:val="24"/>
                <w:lang w:bidi="ar"/>
              </w:rPr>
              <w:t>80</w:t>
            </w:r>
            <w:r>
              <w:rPr>
                <w:rStyle w:val="31"/>
                <w:rFonts w:hint="default" w:ascii="Times New Roman" w:hAnsi="Times New Roman" w:cs="Times New Roman"/>
                <w:color w:val="auto"/>
                <w:lang w:bidi="ar"/>
              </w:rPr>
              <w:t>户</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3A7A38">
            <w:pPr>
              <w:widowControl/>
              <w:spacing w:line="353" w:lineRule="auto"/>
              <w:jc w:val="left"/>
              <w:textAlignment w:val="center"/>
              <w:rPr>
                <w:sz w:val="24"/>
              </w:rPr>
            </w:pPr>
            <w:r>
              <w:rPr>
                <w:kern w:val="0"/>
                <w:sz w:val="24"/>
                <w:lang w:bidi="ar"/>
              </w:rPr>
              <w:t>80</w:t>
            </w:r>
            <w:r>
              <w:rPr>
                <w:rStyle w:val="31"/>
                <w:rFonts w:hint="default" w:ascii="Times New Roman" w:hAnsi="Times New Roman" w:cs="Times New Roman"/>
                <w:color w:val="auto"/>
                <w:lang w:bidi="ar"/>
              </w:rPr>
              <w:t>户</w:t>
            </w:r>
          </w:p>
        </w:tc>
      </w:tr>
      <w:tr w14:paraId="4E1ECF7F">
        <w:tblPrEx>
          <w:tblCellMar>
            <w:top w:w="0" w:type="dxa"/>
            <w:left w:w="0" w:type="dxa"/>
            <w:bottom w:w="0" w:type="dxa"/>
            <w:right w:w="0" w:type="dxa"/>
          </w:tblCellMar>
        </w:tblPrEx>
        <w:trPr>
          <w:trHeight w:val="60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22FA12">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FA0DBF">
            <w:pPr>
              <w:spacing w:line="353" w:lineRule="auto"/>
              <w:jc w:val="center"/>
              <w:rPr>
                <w:sz w:val="24"/>
              </w:rPr>
            </w:pPr>
          </w:p>
        </w:tc>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5626D8">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354D22">
            <w:pPr>
              <w:widowControl/>
              <w:spacing w:line="353" w:lineRule="auto"/>
              <w:jc w:val="left"/>
              <w:textAlignment w:val="center"/>
              <w:rPr>
                <w:sz w:val="24"/>
              </w:rPr>
            </w:pPr>
            <w:r>
              <w:rPr>
                <w:kern w:val="0"/>
                <w:sz w:val="24"/>
                <w:lang w:bidi="ar"/>
              </w:rPr>
              <w:t>将宣传资料发放至用人单位、建筑工地农民工手中</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9B6420">
            <w:pPr>
              <w:widowControl/>
              <w:spacing w:line="353" w:lineRule="auto"/>
              <w:jc w:val="left"/>
              <w:textAlignment w:val="center"/>
              <w:rPr>
                <w:sz w:val="24"/>
              </w:rPr>
            </w:pPr>
            <w:r>
              <w:rPr>
                <w:kern w:val="0"/>
                <w:sz w:val="24"/>
                <w:lang w:bidi="ar"/>
              </w:rPr>
              <w:t>5000</w:t>
            </w:r>
            <w:r>
              <w:rPr>
                <w:rStyle w:val="31"/>
                <w:rFonts w:hint="default" w:ascii="Times New Roman" w:hAnsi="Times New Roman" w:cs="Times New Roman"/>
                <w:color w:val="auto"/>
                <w:lang w:bidi="ar"/>
              </w:rPr>
              <w:t>份</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447824">
            <w:pPr>
              <w:widowControl/>
              <w:spacing w:line="353" w:lineRule="auto"/>
              <w:jc w:val="left"/>
              <w:textAlignment w:val="center"/>
              <w:rPr>
                <w:sz w:val="24"/>
              </w:rPr>
            </w:pPr>
            <w:r>
              <w:rPr>
                <w:kern w:val="0"/>
                <w:sz w:val="24"/>
                <w:lang w:bidi="ar"/>
              </w:rPr>
              <w:t>5000</w:t>
            </w:r>
            <w:r>
              <w:rPr>
                <w:rStyle w:val="31"/>
                <w:rFonts w:hint="default" w:ascii="Times New Roman" w:hAnsi="Times New Roman" w:cs="Times New Roman"/>
                <w:color w:val="auto"/>
                <w:lang w:bidi="ar"/>
              </w:rPr>
              <w:t>份</w:t>
            </w:r>
          </w:p>
        </w:tc>
      </w:tr>
      <w:tr w14:paraId="68475E13">
        <w:tblPrEx>
          <w:tblCellMar>
            <w:top w:w="0" w:type="dxa"/>
            <w:left w:w="0" w:type="dxa"/>
            <w:bottom w:w="0" w:type="dxa"/>
            <w:right w:w="0" w:type="dxa"/>
          </w:tblCellMar>
        </w:tblPrEx>
        <w:trPr>
          <w:trHeight w:val="435"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440D88">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4004BD">
            <w:pPr>
              <w:spacing w:line="353" w:lineRule="auto"/>
              <w:jc w:val="center"/>
              <w:rPr>
                <w:sz w:val="24"/>
              </w:rPr>
            </w:pPr>
          </w:p>
        </w:tc>
        <w:tc>
          <w:tcPr>
            <w:tcW w:w="107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7AE02E">
            <w:pPr>
              <w:widowControl/>
              <w:spacing w:line="353" w:lineRule="auto"/>
              <w:jc w:val="center"/>
              <w:textAlignment w:val="center"/>
              <w:rPr>
                <w:sz w:val="24"/>
              </w:rPr>
            </w:pPr>
            <w:r>
              <w:rPr>
                <w:kern w:val="0"/>
                <w:sz w:val="24"/>
                <w:lang w:bidi="ar"/>
              </w:rPr>
              <w:t>时效指标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7BCA7F">
            <w:pPr>
              <w:widowControl/>
              <w:spacing w:line="353" w:lineRule="auto"/>
              <w:jc w:val="left"/>
              <w:textAlignment w:val="center"/>
              <w:rPr>
                <w:sz w:val="24"/>
              </w:rPr>
            </w:pPr>
            <w:r>
              <w:rPr>
                <w:kern w:val="0"/>
                <w:sz w:val="24"/>
                <w:lang w:bidi="ar"/>
              </w:rPr>
              <w:t>2019</w:t>
            </w:r>
            <w:r>
              <w:rPr>
                <w:rStyle w:val="31"/>
                <w:rFonts w:hint="default" w:ascii="Times New Roman" w:hAnsi="Times New Roman" w:cs="Times New Roman"/>
                <w:color w:val="auto"/>
                <w:lang w:bidi="ar"/>
              </w:rPr>
              <w:t>年全年</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36498D">
            <w:pPr>
              <w:widowControl/>
              <w:spacing w:line="353" w:lineRule="auto"/>
              <w:jc w:val="left"/>
              <w:textAlignment w:val="center"/>
              <w:rPr>
                <w:sz w:val="24"/>
              </w:rPr>
            </w:pPr>
            <w:r>
              <w:rPr>
                <w:kern w:val="0"/>
                <w:sz w:val="24"/>
                <w:lang w:bidi="ar"/>
              </w:rPr>
              <w:t>2019</w:t>
            </w:r>
            <w:r>
              <w:rPr>
                <w:rStyle w:val="31"/>
                <w:rFonts w:hint="default" w:ascii="Times New Roman" w:hAnsi="Times New Roman" w:cs="Times New Roman"/>
                <w:color w:val="auto"/>
                <w:lang w:bidi="ar"/>
              </w:rPr>
              <w:t>年全年</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0DF1FA">
            <w:pPr>
              <w:widowControl/>
              <w:spacing w:line="353" w:lineRule="auto"/>
              <w:jc w:val="left"/>
              <w:textAlignment w:val="center"/>
              <w:rPr>
                <w:sz w:val="24"/>
              </w:rPr>
            </w:pPr>
            <w:r>
              <w:rPr>
                <w:kern w:val="0"/>
                <w:sz w:val="24"/>
                <w:lang w:bidi="ar"/>
              </w:rPr>
              <w:t>2019</w:t>
            </w:r>
            <w:r>
              <w:rPr>
                <w:rStyle w:val="31"/>
                <w:rFonts w:hint="default" w:ascii="Times New Roman" w:hAnsi="Times New Roman" w:cs="Times New Roman"/>
                <w:color w:val="auto"/>
                <w:lang w:bidi="ar"/>
              </w:rPr>
              <w:t>年全年</w:t>
            </w:r>
          </w:p>
        </w:tc>
      </w:tr>
      <w:tr w14:paraId="49297DC1">
        <w:tblPrEx>
          <w:tblCellMar>
            <w:top w:w="0" w:type="dxa"/>
            <w:left w:w="0" w:type="dxa"/>
            <w:bottom w:w="0" w:type="dxa"/>
            <w:right w:w="0" w:type="dxa"/>
          </w:tblCellMar>
        </w:tblPrEx>
        <w:trPr>
          <w:trHeight w:val="72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EC875B">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8EBBF7">
            <w:pPr>
              <w:spacing w:line="353" w:lineRule="auto"/>
              <w:jc w:val="center"/>
              <w:rPr>
                <w:sz w:val="24"/>
              </w:rPr>
            </w:pPr>
          </w:p>
        </w:tc>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919EDD">
            <w:pPr>
              <w:widowControl/>
              <w:spacing w:line="353" w:lineRule="auto"/>
              <w:jc w:val="center"/>
              <w:textAlignment w:val="center"/>
              <w:rPr>
                <w:sz w:val="24"/>
              </w:rPr>
            </w:pPr>
            <w:r>
              <w:rPr>
                <w:kern w:val="0"/>
                <w:sz w:val="24"/>
                <w:lang w:bidi="ar"/>
              </w:rPr>
              <w:t>成本指标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AC2AAB1">
            <w:pPr>
              <w:widowControl/>
              <w:spacing w:line="353" w:lineRule="auto"/>
              <w:jc w:val="left"/>
              <w:textAlignment w:val="center"/>
              <w:rPr>
                <w:sz w:val="24"/>
              </w:rPr>
            </w:pPr>
            <w:r>
              <w:rPr>
                <w:rStyle w:val="31"/>
                <w:rFonts w:hint="default" w:ascii="Times New Roman" w:hAnsi="Times New Roman" w:cs="Times New Roman"/>
                <w:color w:val="auto"/>
                <w:lang w:bidi="ar"/>
              </w:rPr>
              <w:t>开展农民工工资专项行动检查每户</w:t>
            </w:r>
            <w:r>
              <w:rPr>
                <w:rStyle w:val="32"/>
                <w:color w:val="auto"/>
                <w:lang w:bidi="ar"/>
              </w:rPr>
              <w:t>125</w:t>
            </w:r>
            <w:r>
              <w:rPr>
                <w:rStyle w:val="31"/>
                <w:rFonts w:hint="default" w:ascii="Times New Roman" w:hAnsi="Times New Roman" w:cs="Times New Roman"/>
                <w:color w:val="auto"/>
                <w:lang w:bidi="ar"/>
              </w:rPr>
              <w:t>元，共计</w:t>
            </w:r>
            <w:r>
              <w:rPr>
                <w:rStyle w:val="32"/>
                <w:color w:val="auto"/>
                <w:lang w:bidi="ar"/>
              </w:rPr>
              <w:t>80</w:t>
            </w:r>
            <w:r>
              <w:rPr>
                <w:rStyle w:val="31"/>
                <w:rFonts w:hint="default" w:ascii="Times New Roman" w:hAnsi="Times New Roman" w:cs="Times New Roman"/>
                <w:color w:val="auto"/>
                <w:lang w:bidi="ar"/>
              </w:rPr>
              <w:t>户</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313C25">
            <w:pPr>
              <w:widowControl/>
              <w:spacing w:line="353" w:lineRule="auto"/>
              <w:jc w:val="left"/>
              <w:textAlignment w:val="center"/>
              <w:rPr>
                <w:sz w:val="24"/>
              </w:rPr>
            </w:pPr>
            <w:r>
              <w:rPr>
                <w:kern w:val="0"/>
                <w:sz w:val="24"/>
                <w:lang w:bidi="ar"/>
              </w:rPr>
              <w:t>10000</w:t>
            </w:r>
            <w:r>
              <w:rPr>
                <w:rStyle w:val="31"/>
                <w:rFonts w:hint="default" w:ascii="Times New Roman" w:hAnsi="Times New Roman" w:cs="Times New Roman"/>
                <w:color w:val="auto"/>
                <w:lang w:bidi="ar"/>
              </w:rPr>
              <w:t>元</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2D918E">
            <w:pPr>
              <w:widowControl/>
              <w:spacing w:line="353" w:lineRule="auto"/>
              <w:jc w:val="left"/>
              <w:textAlignment w:val="center"/>
              <w:rPr>
                <w:sz w:val="24"/>
              </w:rPr>
            </w:pPr>
            <w:r>
              <w:rPr>
                <w:kern w:val="0"/>
                <w:sz w:val="24"/>
                <w:lang w:bidi="ar"/>
              </w:rPr>
              <w:t>10000</w:t>
            </w:r>
            <w:r>
              <w:rPr>
                <w:rStyle w:val="31"/>
                <w:rFonts w:hint="default" w:ascii="Times New Roman" w:hAnsi="Times New Roman" w:cs="Times New Roman"/>
                <w:color w:val="auto"/>
                <w:lang w:bidi="ar"/>
              </w:rPr>
              <w:t>元</w:t>
            </w:r>
          </w:p>
        </w:tc>
      </w:tr>
      <w:tr w14:paraId="11F2887D">
        <w:tblPrEx>
          <w:tblCellMar>
            <w:top w:w="0" w:type="dxa"/>
            <w:left w:w="0" w:type="dxa"/>
            <w:bottom w:w="0" w:type="dxa"/>
            <w:right w:w="0" w:type="dxa"/>
          </w:tblCellMar>
        </w:tblPrEx>
        <w:trPr>
          <w:trHeight w:val="52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B6C925">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971BF0">
            <w:pPr>
              <w:spacing w:line="353" w:lineRule="auto"/>
              <w:jc w:val="center"/>
              <w:rPr>
                <w:sz w:val="24"/>
              </w:rPr>
            </w:pPr>
          </w:p>
        </w:tc>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838778">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5C5483E">
            <w:pPr>
              <w:widowControl/>
              <w:spacing w:line="353" w:lineRule="auto"/>
              <w:jc w:val="left"/>
              <w:textAlignment w:val="center"/>
              <w:rPr>
                <w:sz w:val="24"/>
              </w:rPr>
            </w:pPr>
            <w:r>
              <w:rPr>
                <w:rStyle w:val="31"/>
                <w:rFonts w:hint="default" w:ascii="Times New Roman" w:hAnsi="Times New Roman" w:cs="Times New Roman"/>
                <w:color w:val="auto"/>
                <w:lang w:bidi="ar"/>
              </w:rPr>
              <w:t>印刷各类资料</w:t>
            </w:r>
            <w:r>
              <w:rPr>
                <w:rStyle w:val="32"/>
                <w:color w:val="auto"/>
                <w:lang w:bidi="ar"/>
              </w:rPr>
              <w:t>5000</w:t>
            </w:r>
            <w:r>
              <w:rPr>
                <w:rStyle w:val="31"/>
                <w:rFonts w:hint="default" w:ascii="Times New Roman" w:hAnsi="Times New Roman" w:cs="Times New Roman"/>
                <w:color w:val="auto"/>
                <w:lang w:bidi="ar"/>
              </w:rPr>
              <w:t>份，每份</w:t>
            </w:r>
            <w:r>
              <w:rPr>
                <w:rStyle w:val="32"/>
                <w:color w:val="auto"/>
                <w:lang w:bidi="ar"/>
              </w:rPr>
              <w:t>2</w:t>
            </w:r>
            <w:r>
              <w:rPr>
                <w:rStyle w:val="31"/>
                <w:rFonts w:hint="default" w:ascii="Times New Roman" w:hAnsi="Times New Roman" w:cs="Times New Roman"/>
                <w:color w:val="auto"/>
                <w:lang w:bidi="ar"/>
              </w:rPr>
              <w:t>元</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E45C16">
            <w:pPr>
              <w:widowControl/>
              <w:spacing w:line="353" w:lineRule="auto"/>
              <w:jc w:val="left"/>
              <w:textAlignment w:val="center"/>
              <w:rPr>
                <w:sz w:val="24"/>
              </w:rPr>
            </w:pPr>
            <w:r>
              <w:rPr>
                <w:kern w:val="0"/>
                <w:sz w:val="24"/>
                <w:lang w:bidi="ar"/>
              </w:rPr>
              <w:t>10000</w:t>
            </w:r>
            <w:r>
              <w:rPr>
                <w:rStyle w:val="31"/>
                <w:rFonts w:hint="default" w:ascii="Times New Roman" w:hAnsi="Times New Roman" w:cs="Times New Roman"/>
                <w:color w:val="auto"/>
                <w:lang w:bidi="ar"/>
              </w:rPr>
              <w:t>元</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B885D2">
            <w:pPr>
              <w:widowControl/>
              <w:spacing w:line="353" w:lineRule="auto"/>
              <w:jc w:val="left"/>
              <w:textAlignment w:val="center"/>
              <w:rPr>
                <w:sz w:val="24"/>
              </w:rPr>
            </w:pPr>
            <w:r>
              <w:rPr>
                <w:kern w:val="0"/>
                <w:sz w:val="24"/>
                <w:lang w:bidi="ar"/>
              </w:rPr>
              <w:t>10000</w:t>
            </w:r>
            <w:r>
              <w:rPr>
                <w:rStyle w:val="31"/>
                <w:rFonts w:hint="default" w:ascii="Times New Roman" w:hAnsi="Times New Roman" w:cs="Times New Roman"/>
                <w:color w:val="auto"/>
                <w:lang w:bidi="ar"/>
              </w:rPr>
              <w:t>元</w:t>
            </w:r>
          </w:p>
        </w:tc>
      </w:tr>
      <w:tr w14:paraId="331BB3CF">
        <w:tblPrEx>
          <w:tblCellMar>
            <w:top w:w="0" w:type="dxa"/>
            <w:left w:w="0" w:type="dxa"/>
            <w:bottom w:w="0" w:type="dxa"/>
            <w:right w:w="0" w:type="dxa"/>
          </w:tblCellMar>
        </w:tblPrEx>
        <w:trPr>
          <w:trHeight w:val="52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BBE3A6">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6FB039">
            <w:pPr>
              <w:spacing w:line="353" w:lineRule="auto"/>
              <w:jc w:val="center"/>
              <w:rPr>
                <w:sz w:val="24"/>
              </w:rPr>
            </w:pPr>
          </w:p>
        </w:tc>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07F73F">
            <w:pPr>
              <w:widowControl/>
              <w:spacing w:line="353" w:lineRule="auto"/>
              <w:jc w:val="center"/>
              <w:textAlignment w:val="center"/>
              <w:rPr>
                <w:sz w:val="24"/>
              </w:rPr>
            </w:pPr>
            <w:r>
              <w:rPr>
                <w:kern w:val="0"/>
                <w:sz w:val="24"/>
                <w:lang w:bidi="ar"/>
              </w:rPr>
              <w:t>社会效益</w:t>
            </w:r>
            <w:r>
              <w:rPr>
                <w:rStyle w:val="32"/>
                <w:color w:val="auto"/>
                <w:lang w:bidi="ar"/>
              </w:rPr>
              <w:br w:type="textWrapping"/>
            </w:r>
            <w:r>
              <w:rPr>
                <w:rStyle w:val="33"/>
                <w:rFonts w:hint="default" w:ascii="Times New Roman" w:hAnsi="Times New Roman" w:cs="Times New Roman"/>
                <w:color w:val="auto"/>
                <w:lang w:bidi="ar"/>
              </w:rPr>
              <w:t>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46D867">
            <w:pPr>
              <w:widowControl/>
              <w:spacing w:line="353" w:lineRule="auto"/>
              <w:jc w:val="left"/>
              <w:textAlignment w:val="center"/>
              <w:rPr>
                <w:sz w:val="24"/>
              </w:rPr>
            </w:pPr>
            <w:r>
              <w:rPr>
                <w:rStyle w:val="31"/>
                <w:rFonts w:hint="default" w:ascii="Times New Roman" w:hAnsi="Times New Roman" w:cs="Times New Roman"/>
                <w:color w:val="auto"/>
                <w:lang w:bidi="ar"/>
              </w:rPr>
              <w:t>维护了农民工的合法权益</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C054A4">
            <w:pPr>
              <w:widowControl/>
              <w:spacing w:line="353" w:lineRule="auto"/>
              <w:jc w:val="left"/>
              <w:textAlignment w:val="center"/>
              <w:rPr>
                <w:sz w:val="24"/>
              </w:rPr>
            </w:pPr>
            <w:r>
              <w:rPr>
                <w:kern w:val="0"/>
                <w:sz w:val="24"/>
                <w:lang w:bidi="ar"/>
              </w:rPr>
              <w:t>100%</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C9D62A">
            <w:pPr>
              <w:widowControl/>
              <w:spacing w:line="353" w:lineRule="auto"/>
              <w:jc w:val="left"/>
              <w:textAlignment w:val="center"/>
              <w:rPr>
                <w:sz w:val="24"/>
              </w:rPr>
            </w:pPr>
            <w:r>
              <w:rPr>
                <w:kern w:val="0"/>
                <w:sz w:val="24"/>
                <w:lang w:bidi="ar"/>
              </w:rPr>
              <w:t>100%</w:t>
            </w:r>
          </w:p>
        </w:tc>
      </w:tr>
      <w:tr w14:paraId="579223DC">
        <w:tblPrEx>
          <w:tblCellMar>
            <w:top w:w="0" w:type="dxa"/>
            <w:left w:w="0" w:type="dxa"/>
            <w:bottom w:w="0" w:type="dxa"/>
            <w:right w:w="0" w:type="dxa"/>
          </w:tblCellMar>
        </w:tblPrEx>
        <w:trPr>
          <w:trHeight w:val="52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C106F22">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DA943B">
            <w:pPr>
              <w:spacing w:line="353" w:lineRule="auto"/>
              <w:jc w:val="center"/>
              <w:rPr>
                <w:sz w:val="24"/>
              </w:rPr>
            </w:pPr>
          </w:p>
        </w:tc>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90B31A">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EF1BB1">
            <w:pPr>
              <w:widowControl/>
              <w:spacing w:line="353" w:lineRule="auto"/>
              <w:jc w:val="left"/>
              <w:textAlignment w:val="center"/>
              <w:rPr>
                <w:sz w:val="24"/>
              </w:rPr>
            </w:pPr>
            <w:r>
              <w:rPr>
                <w:rStyle w:val="31"/>
                <w:rFonts w:hint="default" w:ascii="Times New Roman" w:hAnsi="Times New Roman" w:cs="Times New Roman"/>
                <w:color w:val="auto"/>
                <w:lang w:bidi="ar"/>
              </w:rPr>
              <w:t>提高了农民工的维权意识</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7A1292">
            <w:pPr>
              <w:widowControl/>
              <w:spacing w:line="353" w:lineRule="auto"/>
              <w:jc w:val="left"/>
              <w:textAlignment w:val="center"/>
              <w:rPr>
                <w:sz w:val="24"/>
              </w:rPr>
            </w:pPr>
            <w:r>
              <w:rPr>
                <w:kern w:val="0"/>
                <w:sz w:val="24"/>
                <w:lang w:bidi="ar"/>
              </w:rPr>
              <w:t>100%</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56588B">
            <w:pPr>
              <w:widowControl/>
              <w:spacing w:line="353" w:lineRule="auto"/>
              <w:jc w:val="left"/>
              <w:textAlignment w:val="center"/>
              <w:rPr>
                <w:sz w:val="24"/>
              </w:rPr>
            </w:pPr>
            <w:r>
              <w:rPr>
                <w:kern w:val="0"/>
                <w:sz w:val="24"/>
                <w:lang w:bidi="ar"/>
              </w:rPr>
              <w:t>100%</w:t>
            </w:r>
          </w:p>
        </w:tc>
      </w:tr>
      <w:tr w14:paraId="2400EF7F">
        <w:tblPrEx>
          <w:tblCellMar>
            <w:top w:w="0" w:type="dxa"/>
            <w:left w:w="0" w:type="dxa"/>
            <w:bottom w:w="0" w:type="dxa"/>
            <w:right w:w="0" w:type="dxa"/>
          </w:tblCellMar>
        </w:tblPrEx>
        <w:trPr>
          <w:trHeight w:val="52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9BE5FA">
            <w:pPr>
              <w:spacing w:line="353" w:lineRule="auto"/>
              <w:jc w:val="center"/>
              <w:rPr>
                <w:sz w:val="24"/>
              </w:rPr>
            </w:pPr>
          </w:p>
        </w:tc>
        <w:tc>
          <w:tcPr>
            <w:tcW w:w="549"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D1AE1D">
            <w:pPr>
              <w:widowControl/>
              <w:spacing w:line="353" w:lineRule="auto"/>
              <w:jc w:val="center"/>
              <w:textAlignment w:val="center"/>
              <w:rPr>
                <w:sz w:val="24"/>
              </w:rPr>
            </w:pPr>
            <w:r>
              <w:rPr>
                <w:rStyle w:val="31"/>
                <w:rFonts w:hint="default" w:ascii="Times New Roman" w:hAnsi="Times New Roman" w:cs="Times New Roman"/>
                <w:color w:val="auto"/>
                <w:lang w:bidi="ar"/>
              </w:rPr>
              <w:t>满意度指标</w:t>
            </w:r>
          </w:p>
        </w:tc>
        <w:tc>
          <w:tcPr>
            <w:tcW w:w="107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5BB661">
            <w:pPr>
              <w:widowControl/>
              <w:spacing w:line="353" w:lineRule="auto"/>
              <w:jc w:val="center"/>
              <w:textAlignment w:val="center"/>
              <w:rPr>
                <w:sz w:val="24"/>
              </w:rPr>
            </w:pPr>
            <w:r>
              <w:rPr>
                <w:kern w:val="0"/>
                <w:sz w:val="24"/>
                <w:lang w:bidi="ar"/>
              </w:rPr>
              <w:t>满意度指标</w:t>
            </w: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2F3102">
            <w:pPr>
              <w:widowControl/>
              <w:spacing w:line="353" w:lineRule="auto"/>
              <w:jc w:val="left"/>
              <w:textAlignment w:val="center"/>
              <w:rPr>
                <w:sz w:val="24"/>
              </w:rPr>
            </w:pPr>
            <w:r>
              <w:rPr>
                <w:rStyle w:val="31"/>
                <w:rFonts w:hint="default" w:ascii="Times New Roman" w:hAnsi="Times New Roman" w:cs="Times New Roman"/>
                <w:color w:val="auto"/>
                <w:lang w:bidi="ar"/>
              </w:rPr>
              <w:t>提高了农民工的维权意识</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56A181">
            <w:pPr>
              <w:widowControl/>
              <w:spacing w:line="353" w:lineRule="auto"/>
              <w:jc w:val="left"/>
              <w:textAlignment w:val="center"/>
              <w:rPr>
                <w:sz w:val="24"/>
              </w:rPr>
            </w:pPr>
            <w:r>
              <w:rPr>
                <w:kern w:val="0"/>
                <w:sz w:val="24"/>
                <w:lang w:bidi="ar"/>
              </w:rPr>
              <w:t>100%</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32BE34">
            <w:pPr>
              <w:widowControl/>
              <w:spacing w:line="353" w:lineRule="auto"/>
              <w:jc w:val="left"/>
              <w:textAlignment w:val="center"/>
              <w:rPr>
                <w:sz w:val="24"/>
              </w:rPr>
            </w:pPr>
            <w:r>
              <w:rPr>
                <w:kern w:val="0"/>
                <w:sz w:val="24"/>
                <w:lang w:bidi="ar"/>
              </w:rPr>
              <w:t>100%</w:t>
            </w:r>
          </w:p>
        </w:tc>
      </w:tr>
      <w:tr w14:paraId="741AB866">
        <w:tblPrEx>
          <w:tblCellMar>
            <w:top w:w="0" w:type="dxa"/>
            <w:left w:w="0" w:type="dxa"/>
            <w:bottom w:w="0" w:type="dxa"/>
            <w:right w:w="0" w:type="dxa"/>
          </w:tblCellMar>
        </w:tblPrEx>
        <w:trPr>
          <w:trHeight w:val="520"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CBCDB9">
            <w:pPr>
              <w:spacing w:line="353" w:lineRule="auto"/>
              <w:jc w:val="center"/>
              <w:rPr>
                <w:sz w:val="24"/>
              </w:rPr>
            </w:pPr>
          </w:p>
        </w:tc>
        <w:tc>
          <w:tcPr>
            <w:tcW w:w="5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C9A269">
            <w:pPr>
              <w:spacing w:line="353" w:lineRule="auto"/>
              <w:jc w:val="center"/>
              <w:rPr>
                <w:sz w:val="24"/>
              </w:rPr>
            </w:pPr>
          </w:p>
        </w:tc>
        <w:tc>
          <w:tcPr>
            <w:tcW w:w="107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8E1D7F">
            <w:pPr>
              <w:spacing w:line="353" w:lineRule="auto"/>
              <w:jc w:val="center"/>
              <w:rPr>
                <w:sz w:val="24"/>
              </w:rPr>
            </w:pPr>
          </w:p>
        </w:tc>
        <w:tc>
          <w:tcPr>
            <w:tcW w:w="3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9B634B">
            <w:pPr>
              <w:widowControl/>
              <w:spacing w:line="353" w:lineRule="auto"/>
              <w:jc w:val="left"/>
              <w:textAlignment w:val="center"/>
              <w:rPr>
                <w:sz w:val="24"/>
              </w:rPr>
            </w:pPr>
            <w:r>
              <w:rPr>
                <w:rStyle w:val="31"/>
                <w:rFonts w:hint="default" w:ascii="Times New Roman" w:hAnsi="Times New Roman" w:cs="Times New Roman"/>
                <w:color w:val="auto"/>
                <w:lang w:bidi="ar"/>
              </w:rPr>
              <w:t>维护了农民工的合法权益</w:t>
            </w:r>
          </w:p>
        </w:tc>
        <w:tc>
          <w:tcPr>
            <w:tcW w:w="255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5FAA25">
            <w:pPr>
              <w:widowControl/>
              <w:spacing w:line="353" w:lineRule="auto"/>
              <w:jc w:val="left"/>
              <w:textAlignment w:val="center"/>
              <w:rPr>
                <w:sz w:val="24"/>
              </w:rPr>
            </w:pPr>
            <w:r>
              <w:rPr>
                <w:kern w:val="0"/>
                <w:sz w:val="24"/>
                <w:lang w:bidi="ar"/>
              </w:rPr>
              <w:t>100%</w:t>
            </w:r>
          </w:p>
        </w:tc>
        <w:tc>
          <w:tcPr>
            <w:tcW w:w="147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96E6E3">
            <w:pPr>
              <w:widowControl/>
              <w:spacing w:line="353" w:lineRule="auto"/>
              <w:jc w:val="left"/>
              <w:textAlignment w:val="center"/>
              <w:rPr>
                <w:sz w:val="24"/>
              </w:rPr>
            </w:pPr>
            <w:r>
              <w:rPr>
                <w:kern w:val="0"/>
                <w:sz w:val="24"/>
                <w:lang w:bidi="ar"/>
              </w:rPr>
              <w:t>100%</w:t>
            </w:r>
          </w:p>
        </w:tc>
      </w:tr>
    </w:tbl>
    <w:p w14:paraId="1777B25D">
      <w:pPr>
        <w:spacing w:line="353" w:lineRule="auto"/>
        <w:ind w:firstLine="640" w:firstLineChars="200"/>
        <w:rPr>
          <w:rFonts w:eastAsia="仿宋_GB2312"/>
          <w:sz w:val="32"/>
          <w:szCs w:val="32"/>
        </w:rPr>
      </w:pPr>
    </w:p>
    <w:p w14:paraId="3A79B0FE">
      <w:pPr>
        <w:widowControl/>
        <w:spacing w:line="353" w:lineRule="auto"/>
        <w:jc w:val="center"/>
        <w:textAlignment w:val="center"/>
        <w:outlineLvl w:val="1"/>
        <w:rPr>
          <w:b/>
          <w:bCs/>
          <w:kern w:val="0"/>
          <w:sz w:val="36"/>
          <w:szCs w:val="36"/>
        </w:rPr>
      </w:pPr>
      <w:bookmarkStart w:id="98" w:name="_Toc31847"/>
      <w:r>
        <w:rPr>
          <w:b/>
          <w:bCs/>
          <w:kern w:val="0"/>
          <w:sz w:val="36"/>
          <w:szCs w:val="36"/>
        </w:rPr>
        <w:t>2019年“军转干部社保”项目绩效目标完成表</w:t>
      </w:r>
      <w:bookmarkEnd w:id="98"/>
    </w:p>
    <w:tbl>
      <w:tblPr>
        <w:tblStyle w:val="13"/>
        <w:tblpPr w:leftFromText="180" w:rightFromText="180" w:vertAnchor="text" w:horzAnchor="page" w:tblpX="1374" w:tblpY="565"/>
        <w:tblOverlap w:val="never"/>
        <w:tblW w:w="9610" w:type="dxa"/>
        <w:tblInd w:w="0" w:type="dxa"/>
        <w:tblLayout w:type="autofit"/>
        <w:tblCellMar>
          <w:top w:w="0" w:type="dxa"/>
          <w:left w:w="0" w:type="dxa"/>
          <w:bottom w:w="0" w:type="dxa"/>
          <w:right w:w="0" w:type="dxa"/>
        </w:tblCellMar>
      </w:tblPr>
      <w:tblGrid>
        <w:gridCol w:w="657"/>
        <w:gridCol w:w="566"/>
        <w:gridCol w:w="900"/>
        <w:gridCol w:w="140"/>
        <w:gridCol w:w="3329"/>
        <w:gridCol w:w="2552"/>
        <w:gridCol w:w="140"/>
        <w:gridCol w:w="1326"/>
      </w:tblGrid>
      <w:tr w14:paraId="7B7CD303">
        <w:tblPrEx>
          <w:tblCellMar>
            <w:top w:w="0" w:type="dxa"/>
            <w:left w:w="0" w:type="dxa"/>
            <w:bottom w:w="0" w:type="dxa"/>
            <w:right w:w="0" w:type="dxa"/>
          </w:tblCellMar>
        </w:tblPrEx>
        <w:trPr>
          <w:trHeight w:val="439" w:hRule="atLeast"/>
        </w:trPr>
        <w:tc>
          <w:tcPr>
            <w:tcW w:w="212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C2E9DD2">
            <w:pPr>
              <w:widowControl/>
              <w:spacing w:line="353" w:lineRule="auto"/>
              <w:jc w:val="center"/>
              <w:textAlignment w:val="center"/>
              <w:rPr>
                <w:sz w:val="24"/>
              </w:rPr>
            </w:pPr>
            <w:r>
              <w:rPr>
                <w:kern w:val="0"/>
                <w:sz w:val="24"/>
                <w:lang w:bidi="ar"/>
              </w:rPr>
              <w:t>部门预算项目名称</w:t>
            </w:r>
          </w:p>
        </w:tc>
        <w:tc>
          <w:tcPr>
            <w:tcW w:w="7487"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AEC805">
            <w:pPr>
              <w:widowControl/>
              <w:spacing w:line="353" w:lineRule="auto"/>
              <w:jc w:val="center"/>
              <w:textAlignment w:val="center"/>
              <w:rPr>
                <w:sz w:val="24"/>
              </w:rPr>
            </w:pPr>
            <w:r>
              <w:rPr>
                <w:kern w:val="0"/>
                <w:sz w:val="24"/>
                <w:lang w:bidi="ar"/>
              </w:rPr>
              <w:t>军转干部社保</w:t>
            </w:r>
          </w:p>
        </w:tc>
      </w:tr>
      <w:tr w14:paraId="752ECDC8">
        <w:tblPrEx>
          <w:tblCellMar>
            <w:top w:w="0" w:type="dxa"/>
            <w:left w:w="0" w:type="dxa"/>
            <w:bottom w:w="0" w:type="dxa"/>
            <w:right w:w="0" w:type="dxa"/>
          </w:tblCellMar>
        </w:tblPrEx>
        <w:trPr>
          <w:trHeight w:val="439" w:hRule="atLeast"/>
        </w:trPr>
        <w:tc>
          <w:tcPr>
            <w:tcW w:w="212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E533BE">
            <w:pPr>
              <w:widowControl/>
              <w:spacing w:line="353" w:lineRule="auto"/>
              <w:jc w:val="center"/>
              <w:textAlignment w:val="center"/>
              <w:rPr>
                <w:sz w:val="24"/>
              </w:rPr>
            </w:pPr>
            <w:r>
              <w:rPr>
                <w:kern w:val="0"/>
                <w:sz w:val="24"/>
                <w:lang w:bidi="ar"/>
              </w:rPr>
              <w:t>预算单位</w:t>
            </w:r>
          </w:p>
        </w:tc>
        <w:tc>
          <w:tcPr>
            <w:tcW w:w="7487"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8AA4DB">
            <w:pPr>
              <w:widowControl/>
              <w:spacing w:line="353" w:lineRule="auto"/>
              <w:jc w:val="center"/>
              <w:textAlignment w:val="center"/>
              <w:rPr>
                <w:sz w:val="24"/>
              </w:rPr>
            </w:pPr>
            <w:r>
              <w:rPr>
                <w:kern w:val="0"/>
                <w:sz w:val="24"/>
                <w:lang w:bidi="ar"/>
              </w:rPr>
              <w:t>攀枝花市西区人力资源和社会保障局</w:t>
            </w:r>
          </w:p>
        </w:tc>
      </w:tr>
      <w:tr w14:paraId="135BC580">
        <w:tblPrEx>
          <w:tblCellMar>
            <w:top w:w="0" w:type="dxa"/>
            <w:left w:w="0" w:type="dxa"/>
            <w:bottom w:w="0" w:type="dxa"/>
            <w:right w:w="0" w:type="dxa"/>
          </w:tblCellMar>
        </w:tblPrEx>
        <w:trPr>
          <w:trHeight w:val="439" w:hRule="atLeast"/>
        </w:trPr>
        <w:tc>
          <w:tcPr>
            <w:tcW w:w="212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CF69CE">
            <w:pPr>
              <w:widowControl/>
              <w:spacing w:line="353" w:lineRule="auto"/>
              <w:jc w:val="center"/>
              <w:textAlignment w:val="center"/>
              <w:rPr>
                <w:sz w:val="24"/>
              </w:rPr>
            </w:pPr>
            <w:r>
              <w:rPr>
                <w:kern w:val="0"/>
                <w:sz w:val="24"/>
                <w:lang w:bidi="ar"/>
              </w:rPr>
              <w:t>项目资金</w:t>
            </w:r>
            <w:r>
              <w:rPr>
                <w:kern w:val="0"/>
                <w:sz w:val="24"/>
                <w:lang w:bidi="ar"/>
              </w:rPr>
              <w:br w:type="textWrapping"/>
            </w:r>
            <w:r>
              <w:rPr>
                <w:kern w:val="0"/>
                <w:sz w:val="24"/>
                <w:lang w:bidi="ar"/>
              </w:rPr>
              <w:t>（万元）</w:t>
            </w: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36C47F">
            <w:pPr>
              <w:spacing w:line="353" w:lineRule="auto"/>
              <w:jc w:val="center"/>
              <w:rPr>
                <w:sz w:val="24"/>
              </w:rPr>
            </w:pPr>
          </w:p>
        </w:tc>
        <w:tc>
          <w:tcPr>
            <w:tcW w:w="255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DBF9FC">
            <w:pPr>
              <w:widowControl/>
              <w:spacing w:line="353" w:lineRule="auto"/>
              <w:jc w:val="center"/>
              <w:textAlignment w:val="center"/>
              <w:rPr>
                <w:sz w:val="24"/>
              </w:rPr>
            </w:pPr>
            <w:r>
              <w:rPr>
                <w:kern w:val="0"/>
                <w:sz w:val="24"/>
                <w:lang w:bidi="ar"/>
              </w:rPr>
              <w:t>全年预算数</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B54EC6">
            <w:pPr>
              <w:widowControl/>
              <w:spacing w:line="353" w:lineRule="auto"/>
              <w:jc w:val="center"/>
              <w:textAlignment w:val="center"/>
              <w:rPr>
                <w:sz w:val="24"/>
              </w:rPr>
            </w:pPr>
            <w:r>
              <w:rPr>
                <w:kern w:val="0"/>
                <w:sz w:val="24"/>
                <w:lang w:bidi="ar"/>
              </w:rPr>
              <w:t>实际完成数</w:t>
            </w:r>
          </w:p>
        </w:tc>
      </w:tr>
      <w:tr w14:paraId="1B9F460B">
        <w:tblPrEx>
          <w:tblCellMar>
            <w:top w:w="0" w:type="dxa"/>
            <w:left w:w="0" w:type="dxa"/>
            <w:bottom w:w="0" w:type="dxa"/>
            <w:right w:w="0" w:type="dxa"/>
          </w:tblCellMar>
        </w:tblPrEx>
        <w:trPr>
          <w:trHeight w:val="439" w:hRule="atLeast"/>
        </w:trPr>
        <w:tc>
          <w:tcPr>
            <w:tcW w:w="21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8F8EAA">
            <w:pPr>
              <w:spacing w:line="353" w:lineRule="auto"/>
              <w:jc w:val="center"/>
              <w:rPr>
                <w:sz w:val="24"/>
              </w:rPr>
            </w:pP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5BEE7F">
            <w:pPr>
              <w:widowControl/>
              <w:spacing w:line="353" w:lineRule="auto"/>
              <w:jc w:val="left"/>
              <w:textAlignment w:val="center"/>
              <w:rPr>
                <w:sz w:val="24"/>
              </w:rPr>
            </w:pPr>
            <w:r>
              <w:rPr>
                <w:kern w:val="0"/>
                <w:sz w:val="24"/>
                <w:lang w:bidi="ar"/>
              </w:rPr>
              <w:t xml:space="preserve"> 年度资金总额：</w:t>
            </w:r>
          </w:p>
        </w:tc>
        <w:tc>
          <w:tcPr>
            <w:tcW w:w="255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EF4507">
            <w:pPr>
              <w:widowControl/>
              <w:spacing w:line="353" w:lineRule="auto"/>
              <w:jc w:val="left"/>
              <w:textAlignment w:val="center"/>
              <w:rPr>
                <w:sz w:val="24"/>
              </w:rPr>
            </w:pPr>
            <w:r>
              <w:rPr>
                <w:kern w:val="0"/>
                <w:sz w:val="24"/>
                <w:lang w:bidi="ar"/>
              </w:rPr>
              <w:t>2.78</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6FF4DD">
            <w:pPr>
              <w:widowControl/>
              <w:spacing w:line="353" w:lineRule="auto"/>
              <w:jc w:val="left"/>
              <w:textAlignment w:val="center"/>
              <w:rPr>
                <w:sz w:val="24"/>
              </w:rPr>
            </w:pPr>
            <w:r>
              <w:rPr>
                <w:kern w:val="0"/>
                <w:sz w:val="24"/>
                <w:lang w:bidi="ar"/>
              </w:rPr>
              <w:t>2.78</w:t>
            </w:r>
          </w:p>
        </w:tc>
      </w:tr>
      <w:tr w14:paraId="743578EA">
        <w:tblPrEx>
          <w:tblCellMar>
            <w:top w:w="0" w:type="dxa"/>
            <w:left w:w="0" w:type="dxa"/>
            <w:bottom w:w="0" w:type="dxa"/>
            <w:right w:w="0" w:type="dxa"/>
          </w:tblCellMar>
        </w:tblPrEx>
        <w:trPr>
          <w:trHeight w:val="439" w:hRule="atLeast"/>
        </w:trPr>
        <w:tc>
          <w:tcPr>
            <w:tcW w:w="21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66E1EE">
            <w:pPr>
              <w:spacing w:line="353" w:lineRule="auto"/>
              <w:jc w:val="center"/>
              <w:rPr>
                <w:sz w:val="24"/>
              </w:rPr>
            </w:pP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8D2C18">
            <w:pPr>
              <w:widowControl/>
              <w:spacing w:line="353" w:lineRule="auto"/>
              <w:jc w:val="left"/>
              <w:textAlignment w:val="center"/>
              <w:rPr>
                <w:sz w:val="24"/>
              </w:rPr>
            </w:pPr>
            <w:r>
              <w:rPr>
                <w:kern w:val="0"/>
                <w:sz w:val="24"/>
                <w:lang w:bidi="ar"/>
              </w:rPr>
              <w:t xml:space="preserve">       其中：上级财政资金</w:t>
            </w:r>
          </w:p>
        </w:tc>
        <w:tc>
          <w:tcPr>
            <w:tcW w:w="255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6D096D">
            <w:pPr>
              <w:widowControl/>
              <w:spacing w:line="353" w:lineRule="auto"/>
              <w:jc w:val="left"/>
              <w:textAlignment w:val="center"/>
              <w:rPr>
                <w:sz w:val="24"/>
              </w:rPr>
            </w:pPr>
            <w:r>
              <w:rPr>
                <w:kern w:val="0"/>
                <w:sz w:val="24"/>
                <w:lang w:bidi="ar"/>
              </w:rPr>
              <w:t>0.00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CEEEFB">
            <w:pPr>
              <w:widowControl/>
              <w:spacing w:line="353" w:lineRule="auto"/>
              <w:jc w:val="left"/>
              <w:textAlignment w:val="center"/>
              <w:rPr>
                <w:sz w:val="24"/>
              </w:rPr>
            </w:pPr>
            <w:r>
              <w:rPr>
                <w:kern w:val="0"/>
                <w:sz w:val="24"/>
                <w:lang w:bidi="ar"/>
              </w:rPr>
              <w:t>0.00</w:t>
            </w:r>
          </w:p>
        </w:tc>
      </w:tr>
      <w:tr w14:paraId="47A74AB4">
        <w:tblPrEx>
          <w:tblCellMar>
            <w:top w:w="0" w:type="dxa"/>
            <w:left w:w="0" w:type="dxa"/>
            <w:bottom w:w="0" w:type="dxa"/>
            <w:right w:w="0" w:type="dxa"/>
          </w:tblCellMar>
        </w:tblPrEx>
        <w:trPr>
          <w:trHeight w:val="439" w:hRule="atLeast"/>
        </w:trPr>
        <w:tc>
          <w:tcPr>
            <w:tcW w:w="21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E57BBD">
            <w:pPr>
              <w:spacing w:line="353" w:lineRule="auto"/>
              <w:jc w:val="center"/>
              <w:rPr>
                <w:sz w:val="24"/>
              </w:rPr>
            </w:pP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BAF019">
            <w:pPr>
              <w:widowControl/>
              <w:spacing w:line="353" w:lineRule="auto"/>
              <w:jc w:val="left"/>
              <w:textAlignment w:val="center"/>
              <w:rPr>
                <w:sz w:val="24"/>
              </w:rPr>
            </w:pPr>
            <w:r>
              <w:rPr>
                <w:kern w:val="0"/>
                <w:sz w:val="24"/>
                <w:lang w:bidi="ar"/>
              </w:rPr>
              <w:t xml:space="preserve">             本级财政资金</w:t>
            </w:r>
          </w:p>
        </w:tc>
        <w:tc>
          <w:tcPr>
            <w:tcW w:w="255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79490F">
            <w:pPr>
              <w:widowControl/>
              <w:spacing w:line="353" w:lineRule="auto"/>
              <w:jc w:val="left"/>
              <w:textAlignment w:val="center"/>
              <w:rPr>
                <w:sz w:val="24"/>
              </w:rPr>
            </w:pPr>
            <w:r>
              <w:rPr>
                <w:kern w:val="0"/>
                <w:sz w:val="24"/>
                <w:lang w:bidi="ar"/>
              </w:rPr>
              <w:t>2.78</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00BDCE">
            <w:pPr>
              <w:widowControl/>
              <w:spacing w:line="353" w:lineRule="auto"/>
              <w:jc w:val="left"/>
              <w:textAlignment w:val="center"/>
              <w:rPr>
                <w:sz w:val="24"/>
              </w:rPr>
            </w:pPr>
            <w:r>
              <w:rPr>
                <w:kern w:val="0"/>
                <w:sz w:val="24"/>
                <w:lang w:bidi="ar"/>
              </w:rPr>
              <w:t>2.78</w:t>
            </w:r>
          </w:p>
        </w:tc>
      </w:tr>
      <w:tr w14:paraId="6632993D">
        <w:tblPrEx>
          <w:tblCellMar>
            <w:top w:w="0" w:type="dxa"/>
            <w:left w:w="0" w:type="dxa"/>
            <w:bottom w:w="0" w:type="dxa"/>
            <w:right w:w="0" w:type="dxa"/>
          </w:tblCellMar>
        </w:tblPrEx>
        <w:trPr>
          <w:trHeight w:val="439" w:hRule="atLeast"/>
        </w:trPr>
        <w:tc>
          <w:tcPr>
            <w:tcW w:w="21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8509A0">
            <w:pPr>
              <w:spacing w:line="353" w:lineRule="auto"/>
              <w:jc w:val="center"/>
              <w:rPr>
                <w:sz w:val="24"/>
              </w:rPr>
            </w:pPr>
          </w:p>
        </w:tc>
        <w:tc>
          <w:tcPr>
            <w:tcW w:w="346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ADEECF">
            <w:pPr>
              <w:widowControl/>
              <w:spacing w:line="353" w:lineRule="auto"/>
              <w:jc w:val="center"/>
              <w:textAlignment w:val="center"/>
              <w:rPr>
                <w:sz w:val="24"/>
              </w:rPr>
            </w:pPr>
            <w:r>
              <w:rPr>
                <w:kern w:val="0"/>
                <w:sz w:val="24"/>
                <w:lang w:bidi="ar"/>
              </w:rPr>
              <w:t>其他资金</w:t>
            </w:r>
          </w:p>
        </w:tc>
        <w:tc>
          <w:tcPr>
            <w:tcW w:w="255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E4FED9">
            <w:pPr>
              <w:widowControl/>
              <w:spacing w:line="353" w:lineRule="auto"/>
              <w:jc w:val="left"/>
              <w:textAlignment w:val="center"/>
              <w:rPr>
                <w:sz w:val="24"/>
              </w:rPr>
            </w:pPr>
            <w:r>
              <w:rPr>
                <w:kern w:val="0"/>
                <w:sz w:val="24"/>
                <w:lang w:bidi="ar"/>
              </w:rPr>
              <w:t>0.00</w:t>
            </w:r>
          </w:p>
        </w:tc>
        <w:tc>
          <w:tcPr>
            <w:tcW w:w="146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926AD8">
            <w:pPr>
              <w:widowControl/>
              <w:spacing w:line="353" w:lineRule="auto"/>
              <w:jc w:val="left"/>
              <w:textAlignment w:val="center"/>
              <w:rPr>
                <w:sz w:val="24"/>
              </w:rPr>
            </w:pPr>
            <w:r>
              <w:rPr>
                <w:kern w:val="0"/>
                <w:sz w:val="24"/>
                <w:lang w:bidi="ar"/>
              </w:rPr>
              <w:t>0.00</w:t>
            </w:r>
          </w:p>
        </w:tc>
      </w:tr>
      <w:tr w14:paraId="6439320D">
        <w:tblPrEx>
          <w:tblCellMar>
            <w:top w:w="0" w:type="dxa"/>
            <w:left w:w="0" w:type="dxa"/>
            <w:bottom w:w="0" w:type="dxa"/>
            <w:right w:w="0" w:type="dxa"/>
          </w:tblCellMar>
        </w:tblPrEx>
        <w:trPr>
          <w:trHeight w:val="439" w:hRule="atLeast"/>
        </w:trPr>
        <w:tc>
          <w:tcPr>
            <w:tcW w:w="657"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9BD6C6">
            <w:pPr>
              <w:widowControl/>
              <w:spacing w:line="353" w:lineRule="auto"/>
              <w:jc w:val="center"/>
              <w:textAlignment w:val="center"/>
              <w:rPr>
                <w:sz w:val="24"/>
              </w:rPr>
            </w:pPr>
            <w:r>
              <w:rPr>
                <w:kern w:val="0"/>
                <w:sz w:val="24"/>
                <w:lang w:bidi="ar"/>
              </w:rPr>
              <w:t>总</w:t>
            </w:r>
            <w:r>
              <w:rPr>
                <w:kern w:val="0"/>
                <w:sz w:val="24"/>
                <w:lang w:bidi="ar"/>
              </w:rPr>
              <w:br w:type="textWrapping"/>
            </w:r>
            <w:r>
              <w:rPr>
                <w:kern w:val="0"/>
                <w:sz w:val="24"/>
                <w:lang w:bidi="ar"/>
              </w:rPr>
              <w:t>体</w:t>
            </w:r>
            <w:r>
              <w:rPr>
                <w:kern w:val="0"/>
                <w:sz w:val="24"/>
                <w:lang w:bidi="ar"/>
              </w:rPr>
              <w:br w:type="textWrapping"/>
            </w:r>
            <w:r>
              <w:rPr>
                <w:kern w:val="0"/>
                <w:sz w:val="24"/>
                <w:lang w:bidi="ar"/>
              </w:rPr>
              <w:t>目</w:t>
            </w:r>
            <w:r>
              <w:rPr>
                <w:kern w:val="0"/>
                <w:sz w:val="24"/>
                <w:lang w:bidi="ar"/>
              </w:rPr>
              <w:br w:type="textWrapping"/>
            </w:r>
            <w:r>
              <w:rPr>
                <w:kern w:val="0"/>
                <w:sz w:val="24"/>
                <w:lang w:bidi="ar"/>
              </w:rPr>
              <w:t>标</w:t>
            </w:r>
          </w:p>
        </w:tc>
        <w:tc>
          <w:tcPr>
            <w:tcW w:w="4935"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963FB4">
            <w:pPr>
              <w:widowControl/>
              <w:spacing w:line="353" w:lineRule="auto"/>
              <w:jc w:val="center"/>
              <w:textAlignment w:val="center"/>
              <w:rPr>
                <w:sz w:val="24"/>
              </w:rPr>
            </w:pPr>
            <w:r>
              <w:rPr>
                <w:kern w:val="0"/>
                <w:sz w:val="24"/>
                <w:lang w:bidi="ar"/>
              </w:rPr>
              <w:t>年度设定目标</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7F5003">
            <w:pPr>
              <w:widowControl/>
              <w:spacing w:line="353" w:lineRule="auto"/>
              <w:jc w:val="center"/>
              <w:textAlignment w:val="center"/>
              <w:rPr>
                <w:sz w:val="24"/>
              </w:rPr>
            </w:pPr>
            <w:r>
              <w:rPr>
                <w:kern w:val="0"/>
                <w:sz w:val="24"/>
                <w:lang w:bidi="ar"/>
              </w:rPr>
              <w:t>实际完成情况</w:t>
            </w:r>
          </w:p>
        </w:tc>
      </w:tr>
      <w:tr w14:paraId="1CBA62F2">
        <w:tblPrEx>
          <w:tblCellMar>
            <w:top w:w="0" w:type="dxa"/>
            <w:left w:w="0" w:type="dxa"/>
            <w:bottom w:w="0" w:type="dxa"/>
            <w:right w:w="0" w:type="dxa"/>
          </w:tblCellMar>
        </w:tblPrEx>
        <w:trPr>
          <w:trHeight w:val="1219"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307AC8C">
            <w:pPr>
              <w:spacing w:line="353" w:lineRule="auto"/>
              <w:jc w:val="center"/>
              <w:rPr>
                <w:sz w:val="24"/>
              </w:rPr>
            </w:pPr>
          </w:p>
        </w:tc>
        <w:tc>
          <w:tcPr>
            <w:tcW w:w="4935" w:type="dxa"/>
            <w:gridSpan w:val="4"/>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97BFFF">
            <w:pPr>
              <w:widowControl/>
              <w:spacing w:line="353" w:lineRule="auto"/>
              <w:jc w:val="center"/>
              <w:textAlignment w:val="center"/>
              <w:rPr>
                <w:sz w:val="24"/>
              </w:rPr>
            </w:pPr>
            <w:r>
              <w:rPr>
                <w:kern w:val="0"/>
                <w:sz w:val="24"/>
                <w:lang w:bidi="ar"/>
              </w:rPr>
              <w:t>维护稳定</w:t>
            </w:r>
          </w:p>
        </w:tc>
        <w:tc>
          <w:tcPr>
            <w:tcW w:w="4018"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8DDCFEF">
            <w:pPr>
              <w:widowControl/>
              <w:spacing w:line="353" w:lineRule="auto"/>
              <w:jc w:val="center"/>
              <w:textAlignment w:val="center"/>
              <w:rPr>
                <w:sz w:val="24"/>
              </w:rPr>
            </w:pPr>
            <w:r>
              <w:rPr>
                <w:kern w:val="0"/>
                <w:sz w:val="24"/>
                <w:lang w:bidi="ar"/>
              </w:rPr>
              <w:t>维护稳定</w:t>
            </w:r>
          </w:p>
        </w:tc>
      </w:tr>
      <w:tr w14:paraId="5C0DBC94">
        <w:tblPrEx>
          <w:tblCellMar>
            <w:top w:w="0" w:type="dxa"/>
            <w:left w:w="0" w:type="dxa"/>
            <w:bottom w:w="0" w:type="dxa"/>
            <w:right w:w="0" w:type="dxa"/>
          </w:tblCellMar>
        </w:tblPrEx>
        <w:trPr>
          <w:trHeight w:val="600" w:hRule="atLeast"/>
        </w:trPr>
        <w:tc>
          <w:tcPr>
            <w:tcW w:w="657"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77490B">
            <w:pPr>
              <w:widowControl/>
              <w:spacing w:line="353" w:lineRule="auto"/>
              <w:jc w:val="center"/>
              <w:textAlignment w:val="center"/>
              <w:rPr>
                <w:sz w:val="24"/>
              </w:rPr>
            </w:pPr>
            <w:r>
              <w:rPr>
                <w:kern w:val="0"/>
                <w:sz w:val="24"/>
                <w:lang w:bidi="ar"/>
              </w:rPr>
              <w:t>绩</w:t>
            </w:r>
            <w:r>
              <w:rPr>
                <w:kern w:val="0"/>
                <w:sz w:val="24"/>
                <w:lang w:bidi="ar"/>
              </w:rPr>
              <w:br w:type="textWrapping"/>
            </w:r>
            <w:r>
              <w:rPr>
                <w:kern w:val="0"/>
                <w:sz w:val="24"/>
                <w:lang w:bidi="ar"/>
              </w:rPr>
              <w:t>效</w:t>
            </w:r>
            <w:r>
              <w:rPr>
                <w:kern w:val="0"/>
                <w:sz w:val="24"/>
                <w:lang w:bidi="ar"/>
              </w:rPr>
              <w:br w:type="textWrapping"/>
            </w:r>
            <w:r>
              <w:rPr>
                <w:kern w:val="0"/>
                <w:sz w:val="24"/>
                <w:lang w:bidi="ar"/>
              </w:rPr>
              <w:t>指</w:t>
            </w:r>
            <w:r>
              <w:rPr>
                <w:kern w:val="0"/>
                <w:sz w:val="24"/>
                <w:lang w:bidi="ar"/>
              </w:rPr>
              <w:br w:type="textWrapping"/>
            </w:r>
            <w:r>
              <w:rPr>
                <w:kern w:val="0"/>
                <w:sz w:val="24"/>
                <w:lang w:bidi="ar"/>
              </w:rPr>
              <w:t>标</w:t>
            </w: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43DD5B">
            <w:pPr>
              <w:widowControl/>
              <w:spacing w:line="353" w:lineRule="auto"/>
              <w:jc w:val="center"/>
              <w:textAlignment w:val="center"/>
              <w:rPr>
                <w:sz w:val="24"/>
              </w:rPr>
            </w:pPr>
            <w:r>
              <w:rPr>
                <w:kern w:val="0"/>
                <w:sz w:val="24"/>
                <w:lang w:bidi="ar"/>
              </w:rPr>
              <w:t>一级</w:t>
            </w:r>
            <w:r>
              <w:rPr>
                <w:kern w:val="0"/>
                <w:sz w:val="24"/>
                <w:lang w:bidi="ar"/>
              </w:rPr>
              <w:br w:type="textWrapping"/>
            </w:r>
            <w:r>
              <w:rPr>
                <w:kern w:val="0"/>
                <w:sz w:val="24"/>
                <w:lang w:bidi="ar"/>
              </w:rPr>
              <w:t>指标</w:t>
            </w: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F9E4A7">
            <w:pPr>
              <w:widowControl/>
              <w:spacing w:line="353" w:lineRule="auto"/>
              <w:jc w:val="center"/>
              <w:textAlignment w:val="center"/>
              <w:rPr>
                <w:sz w:val="24"/>
              </w:rPr>
            </w:pPr>
            <w:r>
              <w:rPr>
                <w:kern w:val="0"/>
                <w:sz w:val="24"/>
                <w:lang w:bidi="ar"/>
              </w:rPr>
              <w:t>二级指标</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4E098E">
            <w:pPr>
              <w:widowControl/>
              <w:spacing w:line="353" w:lineRule="auto"/>
              <w:jc w:val="center"/>
              <w:textAlignment w:val="center"/>
              <w:rPr>
                <w:sz w:val="24"/>
              </w:rPr>
            </w:pPr>
            <w:r>
              <w:rPr>
                <w:kern w:val="0"/>
                <w:sz w:val="24"/>
                <w:lang w:bidi="ar"/>
              </w:rPr>
              <w:t>三级指标</w:t>
            </w:r>
          </w:p>
        </w:tc>
        <w:tc>
          <w:tcPr>
            <w:tcW w:w="269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F2FDC0">
            <w:pPr>
              <w:widowControl/>
              <w:spacing w:line="353" w:lineRule="auto"/>
              <w:jc w:val="center"/>
              <w:textAlignment w:val="center"/>
              <w:rPr>
                <w:sz w:val="24"/>
              </w:rPr>
            </w:pPr>
            <w:r>
              <w:rPr>
                <w:kern w:val="0"/>
                <w:sz w:val="24"/>
                <w:lang w:bidi="ar"/>
              </w:rPr>
              <w:t>年度指标值</w:t>
            </w:r>
          </w:p>
        </w:tc>
        <w:tc>
          <w:tcPr>
            <w:tcW w:w="132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2F698A">
            <w:pPr>
              <w:widowControl/>
              <w:spacing w:line="353" w:lineRule="auto"/>
              <w:jc w:val="center"/>
              <w:textAlignment w:val="center"/>
              <w:rPr>
                <w:sz w:val="24"/>
              </w:rPr>
            </w:pPr>
            <w:r>
              <w:rPr>
                <w:kern w:val="0"/>
                <w:sz w:val="24"/>
                <w:lang w:bidi="ar"/>
              </w:rPr>
              <w:t>实际完成数</w:t>
            </w:r>
          </w:p>
        </w:tc>
      </w:tr>
      <w:tr w14:paraId="533B5B46">
        <w:tblPrEx>
          <w:tblCellMar>
            <w:top w:w="0" w:type="dxa"/>
            <w:left w:w="0" w:type="dxa"/>
            <w:bottom w:w="0" w:type="dxa"/>
            <w:right w:w="0" w:type="dxa"/>
          </w:tblCellMar>
        </w:tblPrEx>
        <w:trPr>
          <w:trHeight w:val="300"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0FB3A8">
            <w:pPr>
              <w:spacing w:line="353" w:lineRule="auto"/>
              <w:jc w:val="center"/>
              <w:rPr>
                <w:sz w:val="24"/>
              </w:rPr>
            </w:pP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8356F0">
            <w:pPr>
              <w:widowControl/>
              <w:spacing w:line="353" w:lineRule="auto"/>
              <w:jc w:val="center"/>
              <w:textAlignment w:val="center"/>
              <w:rPr>
                <w:sz w:val="24"/>
              </w:rPr>
            </w:pPr>
            <w:r>
              <w:rPr>
                <w:kern w:val="0"/>
                <w:sz w:val="24"/>
                <w:lang w:bidi="ar"/>
              </w:rPr>
              <w:t>项目完成</w:t>
            </w: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3274ED">
            <w:pPr>
              <w:widowControl/>
              <w:spacing w:line="353" w:lineRule="auto"/>
              <w:jc w:val="center"/>
              <w:textAlignment w:val="center"/>
              <w:rPr>
                <w:sz w:val="24"/>
              </w:rPr>
            </w:pPr>
            <w:r>
              <w:rPr>
                <w:kern w:val="0"/>
                <w:sz w:val="24"/>
                <w:lang w:bidi="ar"/>
              </w:rPr>
              <w:t>数量指标</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D796E4">
            <w:pPr>
              <w:widowControl/>
              <w:spacing w:line="353" w:lineRule="auto"/>
              <w:jc w:val="left"/>
              <w:textAlignment w:val="center"/>
              <w:rPr>
                <w:sz w:val="24"/>
              </w:rPr>
            </w:pPr>
            <w:r>
              <w:rPr>
                <w:spacing w:val="-6"/>
                <w:kern w:val="0"/>
                <w:sz w:val="24"/>
                <w:lang w:bidi="ar"/>
              </w:rPr>
              <w:t>用于军转干部社会保险费用支出</w:t>
            </w:r>
          </w:p>
        </w:tc>
        <w:tc>
          <w:tcPr>
            <w:tcW w:w="269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DD1B02">
            <w:pPr>
              <w:widowControl/>
              <w:spacing w:line="353" w:lineRule="auto"/>
              <w:jc w:val="left"/>
              <w:textAlignment w:val="center"/>
              <w:rPr>
                <w:sz w:val="24"/>
              </w:rPr>
            </w:pPr>
            <w:r>
              <w:rPr>
                <w:kern w:val="0"/>
                <w:sz w:val="24"/>
                <w:lang w:bidi="ar"/>
              </w:rPr>
              <w:t>7人</w:t>
            </w:r>
          </w:p>
        </w:tc>
        <w:tc>
          <w:tcPr>
            <w:tcW w:w="1326"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63416B16">
            <w:pPr>
              <w:widowControl/>
              <w:spacing w:line="353" w:lineRule="auto"/>
              <w:jc w:val="left"/>
              <w:textAlignment w:val="center"/>
              <w:rPr>
                <w:sz w:val="24"/>
              </w:rPr>
            </w:pPr>
            <w:r>
              <w:rPr>
                <w:kern w:val="0"/>
                <w:sz w:val="24"/>
                <w:lang w:bidi="ar"/>
              </w:rPr>
              <w:t>7人</w:t>
            </w:r>
          </w:p>
        </w:tc>
      </w:tr>
      <w:tr w14:paraId="2DB451C6">
        <w:tblPrEx>
          <w:tblCellMar>
            <w:top w:w="0" w:type="dxa"/>
            <w:left w:w="0" w:type="dxa"/>
            <w:bottom w:w="0" w:type="dxa"/>
            <w:right w:w="0" w:type="dxa"/>
          </w:tblCellMar>
        </w:tblPrEx>
        <w:trPr>
          <w:trHeight w:val="600"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41F7DFF">
            <w:pPr>
              <w:spacing w:line="353" w:lineRule="auto"/>
              <w:jc w:val="center"/>
              <w:rPr>
                <w:sz w:val="24"/>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F50887">
            <w:pPr>
              <w:spacing w:line="353" w:lineRule="auto"/>
              <w:jc w:val="center"/>
              <w:rPr>
                <w:sz w:val="24"/>
              </w:rPr>
            </w:pP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CEB4C9">
            <w:pPr>
              <w:widowControl/>
              <w:spacing w:line="353" w:lineRule="auto"/>
              <w:jc w:val="center"/>
              <w:textAlignment w:val="center"/>
              <w:rPr>
                <w:sz w:val="24"/>
              </w:rPr>
            </w:pPr>
            <w:r>
              <w:rPr>
                <w:kern w:val="0"/>
                <w:sz w:val="24"/>
                <w:lang w:bidi="ar"/>
              </w:rPr>
              <w:t>质量指标</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74E5049">
            <w:pPr>
              <w:widowControl/>
              <w:spacing w:line="353" w:lineRule="auto"/>
              <w:jc w:val="left"/>
              <w:textAlignment w:val="center"/>
              <w:rPr>
                <w:sz w:val="24"/>
              </w:rPr>
            </w:pPr>
            <w:r>
              <w:rPr>
                <w:spacing w:val="-6"/>
                <w:kern w:val="0"/>
                <w:sz w:val="24"/>
                <w:lang w:bidi="ar"/>
              </w:rPr>
              <w:t>保障军转干部待遇，维护辖区稳定</w:t>
            </w:r>
          </w:p>
        </w:tc>
        <w:tc>
          <w:tcPr>
            <w:tcW w:w="269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EFBAC9">
            <w:pPr>
              <w:widowControl/>
              <w:spacing w:line="353" w:lineRule="auto"/>
              <w:jc w:val="left"/>
              <w:textAlignment w:val="center"/>
              <w:rPr>
                <w:sz w:val="24"/>
              </w:rPr>
            </w:pPr>
            <w:r>
              <w:rPr>
                <w:kern w:val="0"/>
                <w:sz w:val="24"/>
                <w:lang w:bidi="ar"/>
              </w:rPr>
              <w:t>7人</w:t>
            </w:r>
          </w:p>
        </w:tc>
        <w:tc>
          <w:tcPr>
            <w:tcW w:w="132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608CB4AC">
            <w:pPr>
              <w:widowControl/>
              <w:spacing w:line="353" w:lineRule="auto"/>
              <w:jc w:val="left"/>
              <w:textAlignment w:val="center"/>
              <w:rPr>
                <w:sz w:val="24"/>
              </w:rPr>
            </w:pPr>
            <w:r>
              <w:rPr>
                <w:kern w:val="0"/>
                <w:sz w:val="24"/>
                <w:lang w:bidi="ar"/>
              </w:rPr>
              <w:t>7人</w:t>
            </w:r>
          </w:p>
        </w:tc>
      </w:tr>
      <w:tr w14:paraId="3CBFCA2C">
        <w:tblPrEx>
          <w:tblCellMar>
            <w:top w:w="0" w:type="dxa"/>
            <w:left w:w="0" w:type="dxa"/>
            <w:bottom w:w="0" w:type="dxa"/>
            <w:right w:w="0" w:type="dxa"/>
          </w:tblCellMar>
        </w:tblPrEx>
        <w:trPr>
          <w:trHeight w:val="435"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252BBC">
            <w:pPr>
              <w:spacing w:line="353" w:lineRule="auto"/>
              <w:jc w:val="center"/>
              <w:rPr>
                <w:sz w:val="24"/>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0DED15">
            <w:pPr>
              <w:spacing w:line="353" w:lineRule="auto"/>
              <w:jc w:val="center"/>
              <w:rPr>
                <w:sz w:val="24"/>
              </w:rPr>
            </w:pP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E27193">
            <w:pPr>
              <w:widowControl/>
              <w:spacing w:line="353" w:lineRule="auto"/>
              <w:jc w:val="center"/>
              <w:textAlignment w:val="center"/>
              <w:rPr>
                <w:sz w:val="24"/>
              </w:rPr>
            </w:pPr>
            <w:r>
              <w:rPr>
                <w:kern w:val="0"/>
                <w:sz w:val="24"/>
                <w:lang w:bidi="ar"/>
              </w:rPr>
              <w:t>时效指标</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73971A">
            <w:pPr>
              <w:widowControl/>
              <w:spacing w:line="353" w:lineRule="auto"/>
              <w:jc w:val="left"/>
              <w:textAlignment w:val="center"/>
              <w:rPr>
                <w:sz w:val="24"/>
              </w:rPr>
            </w:pPr>
            <w:r>
              <w:rPr>
                <w:kern w:val="0"/>
                <w:sz w:val="24"/>
                <w:lang w:bidi="ar"/>
              </w:rPr>
              <w:t>2019年全年</w:t>
            </w:r>
          </w:p>
        </w:tc>
        <w:tc>
          <w:tcPr>
            <w:tcW w:w="269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0D469D">
            <w:pPr>
              <w:widowControl/>
              <w:spacing w:line="353" w:lineRule="auto"/>
              <w:jc w:val="left"/>
              <w:textAlignment w:val="center"/>
              <w:rPr>
                <w:sz w:val="24"/>
              </w:rPr>
            </w:pPr>
            <w:r>
              <w:rPr>
                <w:kern w:val="0"/>
                <w:sz w:val="24"/>
                <w:lang w:bidi="ar"/>
              </w:rPr>
              <w:t>2019年全年</w:t>
            </w:r>
          </w:p>
        </w:tc>
        <w:tc>
          <w:tcPr>
            <w:tcW w:w="1326"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81B771">
            <w:pPr>
              <w:widowControl/>
              <w:spacing w:line="353" w:lineRule="auto"/>
              <w:jc w:val="left"/>
              <w:textAlignment w:val="center"/>
              <w:rPr>
                <w:sz w:val="24"/>
              </w:rPr>
            </w:pPr>
            <w:r>
              <w:rPr>
                <w:spacing w:val="-6"/>
                <w:kern w:val="0"/>
                <w:sz w:val="24"/>
                <w:lang w:bidi="ar"/>
              </w:rPr>
              <w:t>2019年1-5月</w:t>
            </w:r>
          </w:p>
        </w:tc>
      </w:tr>
      <w:tr w14:paraId="642AFD6B">
        <w:tblPrEx>
          <w:tblCellMar>
            <w:top w:w="0" w:type="dxa"/>
            <w:left w:w="0" w:type="dxa"/>
            <w:bottom w:w="0" w:type="dxa"/>
            <w:right w:w="0" w:type="dxa"/>
          </w:tblCellMar>
        </w:tblPrEx>
        <w:trPr>
          <w:trHeight w:val="900"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5DD3F9">
            <w:pPr>
              <w:spacing w:line="353" w:lineRule="auto"/>
              <w:jc w:val="center"/>
              <w:rPr>
                <w:sz w:val="24"/>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1F5E0F">
            <w:pPr>
              <w:spacing w:line="353" w:lineRule="auto"/>
              <w:jc w:val="center"/>
              <w:rPr>
                <w:sz w:val="24"/>
              </w:rPr>
            </w:pP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18203A">
            <w:pPr>
              <w:widowControl/>
              <w:spacing w:line="353" w:lineRule="auto"/>
              <w:jc w:val="center"/>
              <w:textAlignment w:val="center"/>
              <w:rPr>
                <w:sz w:val="24"/>
              </w:rPr>
            </w:pPr>
            <w:r>
              <w:rPr>
                <w:kern w:val="0"/>
                <w:sz w:val="24"/>
                <w:lang w:bidi="ar"/>
              </w:rPr>
              <w:t>成本指标</w:t>
            </w:r>
          </w:p>
        </w:tc>
        <w:tc>
          <w:tcPr>
            <w:tcW w:w="3329"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9F499B">
            <w:pPr>
              <w:widowControl/>
              <w:spacing w:line="353" w:lineRule="auto"/>
              <w:jc w:val="left"/>
              <w:textAlignment w:val="center"/>
              <w:rPr>
                <w:sz w:val="24"/>
              </w:rPr>
            </w:pPr>
            <w:r>
              <w:rPr>
                <w:kern w:val="0"/>
                <w:sz w:val="24"/>
                <w:lang w:bidi="ar"/>
              </w:rPr>
              <w:t>11500元每人，共计7人</w:t>
            </w:r>
          </w:p>
        </w:tc>
        <w:tc>
          <w:tcPr>
            <w:tcW w:w="269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AACE86">
            <w:pPr>
              <w:widowControl/>
              <w:spacing w:line="353" w:lineRule="auto"/>
              <w:jc w:val="left"/>
              <w:textAlignment w:val="center"/>
              <w:rPr>
                <w:sz w:val="24"/>
              </w:rPr>
            </w:pPr>
            <w:r>
              <w:rPr>
                <w:kern w:val="0"/>
                <w:sz w:val="24"/>
                <w:lang w:bidi="ar"/>
              </w:rPr>
              <w:t>2.78万元</w:t>
            </w:r>
          </w:p>
        </w:tc>
        <w:tc>
          <w:tcPr>
            <w:tcW w:w="132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B51680">
            <w:pPr>
              <w:widowControl/>
              <w:spacing w:line="353" w:lineRule="auto"/>
              <w:jc w:val="left"/>
              <w:textAlignment w:val="center"/>
              <w:rPr>
                <w:sz w:val="24"/>
              </w:rPr>
            </w:pPr>
            <w:r>
              <w:rPr>
                <w:kern w:val="0"/>
                <w:sz w:val="24"/>
                <w:lang w:bidi="ar"/>
              </w:rPr>
              <w:t>27874.36元（机构改革，将剩余资金划转至退役军人事务局）</w:t>
            </w:r>
          </w:p>
        </w:tc>
      </w:tr>
      <w:tr w14:paraId="48C0AECA">
        <w:tblPrEx>
          <w:tblCellMar>
            <w:top w:w="0" w:type="dxa"/>
            <w:left w:w="0" w:type="dxa"/>
            <w:bottom w:w="0" w:type="dxa"/>
            <w:right w:w="0" w:type="dxa"/>
          </w:tblCellMar>
        </w:tblPrEx>
        <w:trPr>
          <w:trHeight w:val="600"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4C3F5D">
            <w:pPr>
              <w:spacing w:line="353" w:lineRule="auto"/>
              <w:jc w:val="center"/>
              <w:rPr>
                <w:sz w:val="24"/>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CF3758">
            <w:pPr>
              <w:spacing w:line="353" w:lineRule="auto"/>
              <w:jc w:val="center"/>
              <w:rPr>
                <w:sz w:val="24"/>
              </w:rPr>
            </w:pP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AAED8A">
            <w:pPr>
              <w:widowControl/>
              <w:spacing w:line="353" w:lineRule="auto"/>
              <w:jc w:val="center"/>
              <w:textAlignment w:val="center"/>
              <w:rPr>
                <w:sz w:val="24"/>
              </w:rPr>
            </w:pPr>
            <w:r>
              <w:rPr>
                <w:kern w:val="0"/>
                <w:sz w:val="24"/>
                <w:lang w:bidi="ar"/>
              </w:rPr>
              <w:t>社会效益</w:t>
            </w:r>
            <w:r>
              <w:rPr>
                <w:kern w:val="0"/>
                <w:sz w:val="24"/>
                <w:lang w:bidi="ar"/>
              </w:rPr>
              <w:br w:type="textWrapping"/>
            </w:r>
            <w:r>
              <w:rPr>
                <w:kern w:val="0"/>
                <w:sz w:val="24"/>
                <w:lang w:bidi="ar"/>
              </w:rPr>
              <w:t>指标</w:t>
            </w:r>
          </w:p>
        </w:tc>
        <w:tc>
          <w:tcPr>
            <w:tcW w:w="3329" w:type="dxa"/>
            <w:tcBorders>
              <w:top w:val="single" w:color="000000" w:sz="4" w:space="0"/>
              <w:left w:val="nil"/>
              <w:bottom w:val="nil"/>
              <w:right w:val="nil"/>
            </w:tcBorders>
            <w:shd w:val="clear" w:color="auto" w:fill="auto"/>
            <w:tcMar>
              <w:top w:w="10" w:type="dxa"/>
              <w:left w:w="10" w:type="dxa"/>
              <w:right w:w="10" w:type="dxa"/>
            </w:tcMar>
            <w:vAlign w:val="center"/>
          </w:tcPr>
          <w:p w14:paraId="147A4ECC">
            <w:pPr>
              <w:widowControl/>
              <w:spacing w:line="353" w:lineRule="auto"/>
              <w:jc w:val="left"/>
              <w:textAlignment w:val="center"/>
              <w:rPr>
                <w:spacing w:val="-6"/>
                <w:sz w:val="24"/>
              </w:rPr>
            </w:pPr>
            <w:r>
              <w:rPr>
                <w:spacing w:val="-6"/>
                <w:kern w:val="0"/>
                <w:sz w:val="24"/>
                <w:lang w:bidi="ar"/>
              </w:rPr>
              <w:t>保障军转干部待遇，维护辖区稳定</w:t>
            </w:r>
          </w:p>
        </w:tc>
        <w:tc>
          <w:tcPr>
            <w:tcW w:w="2692" w:type="dxa"/>
            <w:gridSpan w:val="2"/>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74F6CFF7">
            <w:pPr>
              <w:widowControl/>
              <w:spacing w:line="353" w:lineRule="auto"/>
              <w:jc w:val="left"/>
              <w:textAlignment w:val="center"/>
              <w:rPr>
                <w:sz w:val="24"/>
              </w:rPr>
            </w:pPr>
            <w:r>
              <w:rPr>
                <w:kern w:val="0"/>
                <w:sz w:val="24"/>
                <w:lang w:bidi="ar"/>
              </w:rPr>
              <w:t>保障军转干部待遇，维护辖区稳定</w:t>
            </w:r>
          </w:p>
        </w:tc>
        <w:tc>
          <w:tcPr>
            <w:tcW w:w="1326"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346F71E9">
            <w:pPr>
              <w:widowControl/>
              <w:spacing w:line="353" w:lineRule="auto"/>
              <w:jc w:val="left"/>
              <w:textAlignment w:val="center"/>
              <w:rPr>
                <w:sz w:val="24"/>
              </w:rPr>
            </w:pPr>
            <w:r>
              <w:rPr>
                <w:kern w:val="0"/>
                <w:sz w:val="24"/>
                <w:lang w:bidi="ar"/>
              </w:rPr>
              <w:t>保障军转干部待遇，维护辖区稳定</w:t>
            </w:r>
          </w:p>
        </w:tc>
      </w:tr>
      <w:tr w14:paraId="014E0E7F">
        <w:tblPrEx>
          <w:tblCellMar>
            <w:top w:w="0" w:type="dxa"/>
            <w:left w:w="0" w:type="dxa"/>
            <w:bottom w:w="0" w:type="dxa"/>
            <w:right w:w="0" w:type="dxa"/>
          </w:tblCellMar>
        </w:tblPrEx>
        <w:trPr>
          <w:trHeight w:val="900" w:hRule="atLeast"/>
        </w:trPr>
        <w:tc>
          <w:tcPr>
            <w:tcW w:w="6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754ABB">
            <w:pPr>
              <w:spacing w:line="353" w:lineRule="auto"/>
              <w:jc w:val="center"/>
              <w:rPr>
                <w:sz w:val="24"/>
              </w:rPr>
            </w:pPr>
          </w:p>
        </w:tc>
        <w:tc>
          <w:tcPr>
            <w:tcW w:w="56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98A2A0">
            <w:pPr>
              <w:widowControl/>
              <w:spacing w:line="353" w:lineRule="auto"/>
              <w:jc w:val="center"/>
              <w:textAlignment w:val="center"/>
              <w:rPr>
                <w:sz w:val="24"/>
              </w:rPr>
            </w:pPr>
            <w:r>
              <w:rPr>
                <w:kern w:val="0"/>
                <w:sz w:val="24"/>
                <w:lang w:bidi="ar"/>
              </w:rPr>
              <w:t>满意度指标</w:t>
            </w: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49CB8B">
            <w:pPr>
              <w:widowControl/>
              <w:spacing w:line="353" w:lineRule="auto"/>
              <w:jc w:val="center"/>
              <w:textAlignment w:val="center"/>
              <w:rPr>
                <w:sz w:val="24"/>
              </w:rPr>
            </w:pPr>
            <w:r>
              <w:rPr>
                <w:kern w:val="0"/>
                <w:sz w:val="24"/>
                <w:lang w:bidi="ar"/>
              </w:rPr>
              <w:t>满意度指标</w:t>
            </w:r>
          </w:p>
        </w:tc>
        <w:tc>
          <w:tcPr>
            <w:tcW w:w="3329" w:type="dxa"/>
            <w:tcBorders>
              <w:top w:val="single" w:color="000000" w:sz="4" w:space="0"/>
              <w:left w:val="nil"/>
              <w:bottom w:val="single" w:color="000000" w:sz="4" w:space="0"/>
              <w:right w:val="nil"/>
            </w:tcBorders>
            <w:shd w:val="clear" w:color="auto" w:fill="auto"/>
            <w:tcMar>
              <w:top w:w="10" w:type="dxa"/>
              <w:left w:w="10" w:type="dxa"/>
              <w:right w:w="10" w:type="dxa"/>
            </w:tcMar>
            <w:vAlign w:val="center"/>
          </w:tcPr>
          <w:p w14:paraId="5A7A098B">
            <w:pPr>
              <w:widowControl/>
              <w:spacing w:line="353" w:lineRule="auto"/>
              <w:jc w:val="left"/>
              <w:textAlignment w:val="center"/>
              <w:rPr>
                <w:spacing w:val="-6"/>
                <w:sz w:val="24"/>
              </w:rPr>
            </w:pPr>
            <w:r>
              <w:rPr>
                <w:spacing w:val="-6"/>
                <w:kern w:val="0"/>
                <w:sz w:val="24"/>
                <w:lang w:bidi="ar"/>
              </w:rPr>
              <w:t>保障军转干部待遇，维护辖区稳定</w:t>
            </w:r>
          </w:p>
        </w:tc>
        <w:tc>
          <w:tcPr>
            <w:tcW w:w="269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197ADB">
            <w:pPr>
              <w:widowControl/>
              <w:spacing w:line="353" w:lineRule="auto"/>
              <w:jc w:val="left"/>
              <w:textAlignment w:val="center"/>
              <w:rPr>
                <w:sz w:val="24"/>
              </w:rPr>
            </w:pPr>
            <w:r>
              <w:rPr>
                <w:kern w:val="0"/>
                <w:sz w:val="24"/>
                <w:lang w:bidi="ar"/>
              </w:rPr>
              <w:t>95%</w:t>
            </w:r>
          </w:p>
        </w:tc>
        <w:tc>
          <w:tcPr>
            <w:tcW w:w="132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9542F3">
            <w:pPr>
              <w:widowControl/>
              <w:spacing w:line="353" w:lineRule="auto"/>
              <w:jc w:val="left"/>
              <w:textAlignment w:val="center"/>
              <w:rPr>
                <w:sz w:val="24"/>
              </w:rPr>
            </w:pPr>
            <w:r>
              <w:rPr>
                <w:kern w:val="0"/>
                <w:sz w:val="24"/>
                <w:lang w:bidi="ar"/>
              </w:rPr>
              <w:t>95%</w:t>
            </w:r>
          </w:p>
        </w:tc>
      </w:tr>
    </w:tbl>
    <w:p w14:paraId="5FFCE425">
      <w:pPr>
        <w:widowControl/>
        <w:spacing w:line="353" w:lineRule="auto"/>
        <w:textAlignment w:val="center"/>
        <w:outlineLvl w:val="1"/>
        <w:rPr>
          <w:b/>
          <w:bCs/>
          <w:kern w:val="0"/>
          <w:sz w:val="36"/>
          <w:szCs w:val="36"/>
        </w:rPr>
      </w:pPr>
    </w:p>
    <w:p w14:paraId="594021C5">
      <w:pPr>
        <w:widowControl/>
        <w:spacing w:after="468" w:afterLines="150" w:line="353" w:lineRule="auto"/>
        <w:jc w:val="center"/>
        <w:textAlignment w:val="center"/>
        <w:outlineLvl w:val="1"/>
        <w:rPr>
          <w:b/>
          <w:bCs/>
          <w:kern w:val="0"/>
          <w:sz w:val="36"/>
          <w:szCs w:val="36"/>
        </w:rPr>
      </w:pPr>
      <w:bookmarkStart w:id="99" w:name="_Toc23498"/>
      <w:r>
        <w:rPr>
          <w:b/>
          <w:bCs/>
          <w:kern w:val="0"/>
          <w:sz w:val="36"/>
          <w:szCs w:val="36"/>
        </w:rPr>
        <w:t>2019年“金保网络专项经费”项目绩效目标完成表</w:t>
      </w:r>
      <w:bookmarkEnd w:id="99"/>
    </w:p>
    <w:tbl>
      <w:tblPr>
        <w:tblStyle w:val="13"/>
        <w:tblpPr w:leftFromText="180" w:rightFromText="180" w:vertAnchor="text" w:horzAnchor="page" w:tblpX="1416" w:tblpY="41"/>
        <w:tblOverlap w:val="never"/>
        <w:tblW w:w="9410" w:type="dxa"/>
        <w:tblInd w:w="0" w:type="dxa"/>
        <w:tblLayout w:type="autofit"/>
        <w:tblCellMar>
          <w:top w:w="0" w:type="dxa"/>
          <w:left w:w="0" w:type="dxa"/>
          <w:bottom w:w="0" w:type="dxa"/>
          <w:right w:w="0" w:type="dxa"/>
        </w:tblCellMar>
      </w:tblPr>
      <w:tblGrid>
        <w:gridCol w:w="632"/>
        <w:gridCol w:w="585"/>
        <w:gridCol w:w="32"/>
        <w:gridCol w:w="981"/>
        <w:gridCol w:w="2389"/>
        <w:gridCol w:w="1013"/>
        <w:gridCol w:w="1496"/>
        <w:gridCol w:w="1016"/>
        <w:gridCol w:w="1266"/>
      </w:tblGrid>
      <w:tr w14:paraId="3E0B4FA6">
        <w:tblPrEx>
          <w:tblCellMar>
            <w:top w:w="0" w:type="dxa"/>
            <w:left w:w="0" w:type="dxa"/>
            <w:bottom w:w="0" w:type="dxa"/>
            <w:right w:w="0" w:type="dxa"/>
          </w:tblCellMar>
        </w:tblPrEx>
        <w:trPr>
          <w:trHeight w:val="610" w:hRule="atLeast"/>
        </w:trPr>
        <w:tc>
          <w:tcPr>
            <w:tcW w:w="121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235061">
            <w:pPr>
              <w:tabs>
                <w:tab w:val="left" w:pos="3346"/>
              </w:tabs>
              <w:jc w:val="center"/>
              <w:rPr>
                <w:sz w:val="24"/>
              </w:rPr>
            </w:pPr>
            <w:r>
              <w:rPr>
                <w:kern w:val="0"/>
                <w:sz w:val="24"/>
                <w:lang w:bidi="ar"/>
              </w:rPr>
              <w:t>部门预算项目名称</w:t>
            </w:r>
          </w:p>
        </w:tc>
        <w:tc>
          <w:tcPr>
            <w:tcW w:w="8193" w:type="dxa"/>
            <w:gridSpan w:val="7"/>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D5B6DB">
            <w:pPr>
              <w:widowControl/>
              <w:spacing w:line="353" w:lineRule="auto"/>
              <w:jc w:val="center"/>
              <w:textAlignment w:val="center"/>
              <w:rPr>
                <w:sz w:val="24"/>
              </w:rPr>
            </w:pPr>
            <w:r>
              <w:rPr>
                <w:kern w:val="0"/>
                <w:sz w:val="24"/>
                <w:lang w:bidi="ar"/>
              </w:rPr>
              <w:t>金保网络专项经费</w:t>
            </w:r>
          </w:p>
        </w:tc>
      </w:tr>
      <w:tr w14:paraId="5A31C66A">
        <w:tblPrEx>
          <w:tblCellMar>
            <w:top w:w="0" w:type="dxa"/>
            <w:left w:w="0" w:type="dxa"/>
            <w:bottom w:w="0" w:type="dxa"/>
            <w:right w:w="0" w:type="dxa"/>
          </w:tblCellMar>
        </w:tblPrEx>
        <w:trPr>
          <w:trHeight w:val="439" w:hRule="atLeast"/>
        </w:trPr>
        <w:tc>
          <w:tcPr>
            <w:tcW w:w="121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92019F">
            <w:pPr>
              <w:widowControl/>
              <w:spacing w:line="353" w:lineRule="auto"/>
              <w:jc w:val="center"/>
              <w:textAlignment w:val="center"/>
              <w:rPr>
                <w:sz w:val="24"/>
              </w:rPr>
            </w:pPr>
            <w:r>
              <w:rPr>
                <w:kern w:val="0"/>
                <w:sz w:val="24"/>
                <w:lang w:bidi="ar"/>
              </w:rPr>
              <w:t>预算单位</w:t>
            </w:r>
          </w:p>
        </w:tc>
        <w:tc>
          <w:tcPr>
            <w:tcW w:w="8193" w:type="dxa"/>
            <w:gridSpan w:val="7"/>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BC7448">
            <w:pPr>
              <w:widowControl/>
              <w:spacing w:line="353" w:lineRule="auto"/>
              <w:jc w:val="center"/>
              <w:textAlignment w:val="center"/>
              <w:rPr>
                <w:sz w:val="24"/>
              </w:rPr>
            </w:pPr>
            <w:r>
              <w:rPr>
                <w:kern w:val="0"/>
                <w:sz w:val="24"/>
                <w:lang w:bidi="ar"/>
              </w:rPr>
              <w:t>攀枝花市西区人力资源和社会保障局</w:t>
            </w:r>
          </w:p>
        </w:tc>
      </w:tr>
      <w:tr w14:paraId="356AA7F0">
        <w:tblPrEx>
          <w:tblCellMar>
            <w:top w:w="0" w:type="dxa"/>
            <w:left w:w="0" w:type="dxa"/>
            <w:bottom w:w="0" w:type="dxa"/>
            <w:right w:w="0" w:type="dxa"/>
          </w:tblCellMar>
        </w:tblPrEx>
        <w:trPr>
          <w:trHeight w:val="439" w:hRule="atLeast"/>
        </w:trPr>
        <w:tc>
          <w:tcPr>
            <w:tcW w:w="121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C20ED5">
            <w:pPr>
              <w:widowControl/>
              <w:spacing w:line="353" w:lineRule="auto"/>
              <w:jc w:val="center"/>
              <w:textAlignment w:val="center"/>
              <w:rPr>
                <w:sz w:val="24"/>
              </w:rPr>
            </w:pPr>
            <w:r>
              <w:rPr>
                <w:kern w:val="0"/>
                <w:sz w:val="24"/>
                <w:lang w:bidi="ar"/>
              </w:rPr>
              <w:t>项目资金</w:t>
            </w:r>
            <w:r>
              <w:rPr>
                <w:kern w:val="0"/>
                <w:sz w:val="24"/>
                <w:lang w:bidi="ar"/>
              </w:rPr>
              <w:br w:type="textWrapping"/>
            </w:r>
            <w:r>
              <w:rPr>
                <w:kern w:val="0"/>
                <w:sz w:val="24"/>
                <w:lang w:bidi="ar"/>
              </w:rPr>
              <w:t>（万元）</w:t>
            </w:r>
          </w:p>
        </w:tc>
        <w:tc>
          <w:tcPr>
            <w:tcW w:w="340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D66D7A">
            <w:pPr>
              <w:spacing w:line="353" w:lineRule="auto"/>
              <w:jc w:val="center"/>
              <w:rPr>
                <w:sz w:val="24"/>
              </w:rPr>
            </w:pPr>
          </w:p>
        </w:tc>
        <w:tc>
          <w:tcPr>
            <w:tcW w:w="250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9D4660">
            <w:pPr>
              <w:widowControl/>
              <w:spacing w:line="353" w:lineRule="auto"/>
              <w:jc w:val="center"/>
              <w:textAlignment w:val="center"/>
              <w:rPr>
                <w:sz w:val="24"/>
              </w:rPr>
            </w:pPr>
            <w:r>
              <w:rPr>
                <w:kern w:val="0"/>
                <w:sz w:val="24"/>
                <w:lang w:bidi="ar"/>
              </w:rPr>
              <w:t>全年预算数</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D5DAEA">
            <w:pPr>
              <w:widowControl/>
              <w:spacing w:line="353" w:lineRule="auto"/>
              <w:jc w:val="center"/>
              <w:textAlignment w:val="center"/>
              <w:rPr>
                <w:sz w:val="24"/>
              </w:rPr>
            </w:pPr>
            <w:r>
              <w:rPr>
                <w:kern w:val="0"/>
                <w:sz w:val="24"/>
                <w:lang w:bidi="ar"/>
              </w:rPr>
              <w:t>实际完成数</w:t>
            </w:r>
          </w:p>
        </w:tc>
      </w:tr>
      <w:tr w14:paraId="54E7AAA4">
        <w:tblPrEx>
          <w:tblCellMar>
            <w:top w:w="0" w:type="dxa"/>
            <w:left w:w="0" w:type="dxa"/>
            <w:bottom w:w="0" w:type="dxa"/>
            <w:right w:w="0" w:type="dxa"/>
          </w:tblCellMar>
        </w:tblPrEx>
        <w:trPr>
          <w:trHeight w:val="439" w:hRule="atLeast"/>
        </w:trPr>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B80327">
            <w:pPr>
              <w:spacing w:line="353" w:lineRule="auto"/>
              <w:jc w:val="center"/>
              <w:rPr>
                <w:sz w:val="24"/>
              </w:rPr>
            </w:pPr>
          </w:p>
        </w:tc>
        <w:tc>
          <w:tcPr>
            <w:tcW w:w="340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3844C6">
            <w:pPr>
              <w:widowControl/>
              <w:spacing w:line="353" w:lineRule="auto"/>
              <w:jc w:val="left"/>
              <w:textAlignment w:val="center"/>
              <w:rPr>
                <w:sz w:val="24"/>
              </w:rPr>
            </w:pPr>
            <w:r>
              <w:rPr>
                <w:kern w:val="0"/>
                <w:sz w:val="24"/>
                <w:lang w:bidi="ar"/>
              </w:rPr>
              <w:t xml:space="preserve"> 年度资金总额：</w:t>
            </w:r>
          </w:p>
        </w:tc>
        <w:tc>
          <w:tcPr>
            <w:tcW w:w="250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E71A0D">
            <w:pPr>
              <w:widowControl/>
              <w:spacing w:line="353" w:lineRule="auto"/>
              <w:jc w:val="left"/>
              <w:textAlignment w:val="center"/>
              <w:rPr>
                <w:sz w:val="24"/>
              </w:rPr>
            </w:pPr>
            <w:r>
              <w:rPr>
                <w:kern w:val="0"/>
                <w:sz w:val="24"/>
                <w:lang w:bidi="ar"/>
              </w:rPr>
              <w:t>9.00</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7797FDD">
            <w:pPr>
              <w:widowControl/>
              <w:spacing w:line="353" w:lineRule="auto"/>
              <w:jc w:val="left"/>
              <w:textAlignment w:val="center"/>
              <w:rPr>
                <w:sz w:val="24"/>
              </w:rPr>
            </w:pPr>
            <w:r>
              <w:rPr>
                <w:kern w:val="0"/>
                <w:sz w:val="24"/>
                <w:lang w:bidi="ar"/>
              </w:rPr>
              <w:t>9.00</w:t>
            </w:r>
          </w:p>
        </w:tc>
      </w:tr>
      <w:tr w14:paraId="0BD7ED2E">
        <w:tblPrEx>
          <w:tblCellMar>
            <w:top w:w="0" w:type="dxa"/>
            <w:left w:w="0" w:type="dxa"/>
            <w:bottom w:w="0" w:type="dxa"/>
            <w:right w:w="0" w:type="dxa"/>
          </w:tblCellMar>
        </w:tblPrEx>
        <w:trPr>
          <w:trHeight w:val="439" w:hRule="atLeast"/>
        </w:trPr>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F4207D">
            <w:pPr>
              <w:spacing w:line="353" w:lineRule="auto"/>
              <w:jc w:val="center"/>
              <w:rPr>
                <w:sz w:val="24"/>
              </w:rPr>
            </w:pPr>
          </w:p>
        </w:tc>
        <w:tc>
          <w:tcPr>
            <w:tcW w:w="340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14E1BE">
            <w:pPr>
              <w:widowControl/>
              <w:spacing w:line="353" w:lineRule="auto"/>
              <w:jc w:val="left"/>
              <w:textAlignment w:val="center"/>
              <w:rPr>
                <w:sz w:val="24"/>
              </w:rPr>
            </w:pPr>
            <w:r>
              <w:rPr>
                <w:kern w:val="0"/>
                <w:sz w:val="24"/>
                <w:lang w:bidi="ar"/>
              </w:rPr>
              <w:t xml:space="preserve">       其中：上级财政资金</w:t>
            </w:r>
          </w:p>
        </w:tc>
        <w:tc>
          <w:tcPr>
            <w:tcW w:w="250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E36709">
            <w:pPr>
              <w:widowControl/>
              <w:spacing w:line="353" w:lineRule="auto"/>
              <w:jc w:val="left"/>
              <w:textAlignment w:val="center"/>
              <w:rPr>
                <w:sz w:val="24"/>
              </w:rPr>
            </w:pPr>
            <w:r>
              <w:rPr>
                <w:kern w:val="0"/>
                <w:sz w:val="24"/>
                <w:lang w:bidi="ar"/>
              </w:rPr>
              <w:t>0.00</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6D77D4">
            <w:pPr>
              <w:widowControl/>
              <w:spacing w:line="353" w:lineRule="auto"/>
              <w:jc w:val="left"/>
              <w:textAlignment w:val="center"/>
              <w:rPr>
                <w:sz w:val="24"/>
              </w:rPr>
            </w:pPr>
            <w:r>
              <w:rPr>
                <w:kern w:val="0"/>
                <w:sz w:val="24"/>
                <w:lang w:bidi="ar"/>
              </w:rPr>
              <w:t>0.00</w:t>
            </w:r>
          </w:p>
        </w:tc>
      </w:tr>
      <w:tr w14:paraId="6590AE1B">
        <w:tblPrEx>
          <w:tblCellMar>
            <w:top w:w="0" w:type="dxa"/>
            <w:left w:w="0" w:type="dxa"/>
            <w:bottom w:w="0" w:type="dxa"/>
            <w:right w:w="0" w:type="dxa"/>
          </w:tblCellMar>
        </w:tblPrEx>
        <w:trPr>
          <w:trHeight w:val="439" w:hRule="atLeast"/>
        </w:trPr>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DA6525">
            <w:pPr>
              <w:spacing w:line="353" w:lineRule="auto"/>
              <w:jc w:val="center"/>
              <w:rPr>
                <w:sz w:val="24"/>
              </w:rPr>
            </w:pPr>
          </w:p>
        </w:tc>
        <w:tc>
          <w:tcPr>
            <w:tcW w:w="340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9EFB34">
            <w:pPr>
              <w:widowControl/>
              <w:spacing w:line="353" w:lineRule="auto"/>
              <w:jc w:val="left"/>
              <w:textAlignment w:val="center"/>
              <w:rPr>
                <w:sz w:val="24"/>
              </w:rPr>
            </w:pPr>
            <w:r>
              <w:rPr>
                <w:kern w:val="0"/>
                <w:sz w:val="24"/>
                <w:lang w:bidi="ar"/>
              </w:rPr>
              <w:t xml:space="preserve">             本级财政资金</w:t>
            </w:r>
          </w:p>
        </w:tc>
        <w:tc>
          <w:tcPr>
            <w:tcW w:w="250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14C1B8C">
            <w:pPr>
              <w:widowControl/>
              <w:spacing w:line="353" w:lineRule="auto"/>
              <w:jc w:val="left"/>
              <w:textAlignment w:val="center"/>
              <w:rPr>
                <w:sz w:val="24"/>
              </w:rPr>
            </w:pPr>
            <w:r>
              <w:rPr>
                <w:kern w:val="0"/>
                <w:sz w:val="24"/>
                <w:lang w:bidi="ar"/>
              </w:rPr>
              <w:t>9.00</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C1CBF3">
            <w:pPr>
              <w:widowControl/>
              <w:spacing w:line="353" w:lineRule="auto"/>
              <w:jc w:val="left"/>
              <w:textAlignment w:val="center"/>
              <w:rPr>
                <w:sz w:val="24"/>
              </w:rPr>
            </w:pPr>
            <w:r>
              <w:rPr>
                <w:kern w:val="0"/>
                <w:sz w:val="24"/>
                <w:lang w:bidi="ar"/>
              </w:rPr>
              <w:t>9.00</w:t>
            </w:r>
          </w:p>
        </w:tc>
      </w:tr>
      <w:tr w14:paraId="398CFD7D">
        <w:tblPrEx>
          <w:tblCellMar>
            <w:top w:w="0" w:type="dxa"/>
            <w:left w:w="0" w:type="dxa"/>
            <w:bottom w:w="0" w:type="dxa"/>
            <w:right w:w="0" w:type="dxa"/>
          </w:tblCellMar>
        </w:tblPrEx>
        <w:trPr>
          <w:trHeight w:val="439" w:hRule="atLeast"/>
        </w:trPr>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99E555">
            <w:pPr>
              <w:spacing w:line="353" w:lineRule="auto"/>
              <w:jc w:val="center"/>
              <w:rPr>
                <w:sz w:val="24"/>
              </w:rPr>
            </w:pPr>
          </w:p>
        </w:tc>
        <w:tc>
          <w:tcPr>
            <w:tcW w:w="340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F513AB">
            <w:pPr>
              <w:widowControl/>
              <w:spacing w:line="353" w:lineRule="auto"/>
              <w:jc w:val="center"/>
              <w:textAlignment w:val="center"/>
              <w:rPr>
                <w:sz w:val="24"/>
              </w:rPr>
            </w:pPr>
            <w:r>
              <w:rPr>
                <w:kern w:val="0"/>
                <w:sz w:val="24"/>
                <w:lang w:bidi="ar"/>
              </w:rPr>
              <w:t>其他资金</w:t>
            </w:r>
          </w:p>
        </w:tc>
        <w:tc>
          <w:tcPr>
            <w:tcW w:w="250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909B0B">
            <w:pPr>
              <w:widowControl/>
              <w:spacing w:line="353" w:lineRule="auto"/>
              <w:jc w:val="left"/>
              <w:textAlignment w:val="center"/>
              <w:rPr>
                <w:sz w:val="24"/>
              </w:rPr>
            </w:pPr>
            <w:r>
              <w:rPr>
                <w:kern w:val="0"/>
                <w:sz w:val="24"/>
                <w:lang w:bidi="ar"/>
              </w:rPr>
              <w:t>0.00</w:t>
            </w:r>
          </w:p>
        </w:tc>
        <w:tc>
          <w:tcPr>
            <w:tcW w:w="228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3AA4B38">
            <w:pPr>
              <w:widowControl/>
              <w:spacing w:line="353" w:lineRule="auto"/>
              <w:jc w:val="left"/>
              <w:textAlignment w:val="center"/>
              <w:rPr>
                <w:sz w:val="24"/>
              </w:rPr>
            </w:pPr>
            <w:r>
              <w:rPr>
                <w:kern w:val="0"/>
                <w:sz w:val="24"/>
                <w:lang w:bidi="ar"/>
              </w:rPr>
              <w:t>0.00</w:t>
            </w:r>
          </w:p>
        </w:tc>
      </w:tr>
      <w:tr w14:paraId="17E6900F">
        <w:tblPrEx>
          <w:tblCellMar>
            <w:top w:w="0" w:type="dxa"/>
            <w:left w:w="0" w:type="dxa"/>
            <w:bottom w:w="0" w:type="dxa"/>
            <w:right w:w="0" w:type="dxa"/>
          </w:tblCellMar>
        </w:tblPrEx>
        <w:trPr>
          <w:trHeight w:val="439"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AE28CB">
            <w:pPr>
              <w:widowControl/>
              <w:jc w:val="center"/>
              <w:textAlignment w:val="center"/>
              <w:rPr>
                <w:sz w:val="24"/>
              </w:rPr>
            </w:pPr>
            <w:r>
              <w:rPr>
                <w:kern w:val="0"/>
                <w:sz w:val="24"/>
                <w:lang w:bidi="ar"/>
              </w:rPr>
              <w:t>总</w:t>
            </w:r>
            <w:r>
              <w:rPr>
                <w:kern w:val="0"/>
                <w:sz w:val="24"/>
                <w:lang w:bidi="ar"/>
              </w:rPr>
              <w:br w:type="textWrapping"/>
            </w:r>
            <w:r>
              <w:rPr>
                <w:kern w:val="0"/>
                <w:sz w:val="24"/>
                <w:lang w:bidi="ar"/>
              </w:rPr>
              <w:t>体</w:t>
            </w:r>
            <w:r>
              <w:rPr>
                <w:kern w:val="0"/>
                <w:sz w:val="24"/>
                <w:lang w:bidi="ar"/>
              </w:rPr>
              <w:br w:type="textWrapping"/>
            </w:r>
            <w:r>
              <w:rPr>
                <w:kern w:val="0"/>
                <w:sz w:val="24"/>
                <w:lang w:bidi="ar"/>
              </w:rPr>
              <w:t>目</w:t>
            </w:r>
            <w:r>
              <w:rPr>
                <w:kern w:val="0"/>
                <w:sz w:val="24"/>
                <w:lang w:bidi="ar"/>
              </w:rPr>
              <w:br w:type="textWrapping"/>
            </w:r>
            <w:r>
              <w:rPr>
                <w:kern w:val="0"/>
                <w:sz w:val="24"/>
                <w:lang w:bidi="ar"/>
              </w:rPr>
              <w:t>标</w:t>
            </w:r>
          </w:p>
        </w:tc>
        <w:tc>
          <w:tcPr>
            <w:tcW w:w="5000"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0E1059">
            <w:pPr>
              <w:widowControl/>
              <w:spacing w:line="353" w:lineRule="auto"/>
              <w:jc w:val="center"/>
              <w:textAlignment w:val="center"/>
              <w:rPr>
                <w:sz w:val="24"/>
              </w:rPr>
            </w:pPr>
            <w:r>
              <w:rPr>
                <w:kern w:val="0"/>
                <w:sz w:val="24"/>
                <w:lang w:bidi="ar"/>
              </w:rPr>
              <w:t>年度设定目标</w:t>
            </w:r>
          </w:p>
        </w:tc>
        <w:tc>
          <w:tcPr>
            <w:tcW w:w="3778"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58E6B52">
            <w:pPr>
              <w:widowControl/>
              <w:spacing w:line="353" w:lineRule="auto"/>
              <w:jc w:val="center"/>
              <w:textAlignment w:val="center"/>
              <w:rPr>
                <w:sz w:val="24"/>
              </w:rPr>
            </w:pPr>
            <w:r>
              <w:rPr>
                <w:kern w:val="0"/>
                <w:sz w:val="24"/>
                <w:lang w:bidi="ar"/>
              </w:rPr>
              <w:t>实际完成情况</w:t>
            </w:r>
          </w:p>
        </w:tc>
      </w:tr>
      <w:tr w14:paraId="313D6DF4">
        <w:tblPrEx>
          <w:tblCellMar>
            <w:top w:w="0" w:type="dxa"/>
            <w:left w:w="0" w:type="dxa"/>
            <w:bottom w:w="0" w:type="dxa"/>
            <w:right w:w="0" w:type="dxa"/>
          </w:tblCellMar>
        </w:tblPrEx>
        <w:trPr>
          <w:trHeight w:val="1200"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71CF3F">
            <w:pPr>
              <w:spacing w:line="353" w:lineRule="auto"/>
              <w:jc w:val="center"/>
              <w:rPr>
                <w:sz w:val="24"/>
              </w:rPr>
            </w:pPr>
          </w:p>
        </w:tc>
        <w:tc>
          <w:tcPr>
            <w:tcW w:w="5000"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6E5B8F">
            <w:pPr>
              <w:widowControl/>
              <w:spacing w:line="353" w:lineRule="auto"/>
              <w:jc w:val="center"/>
              <w:textAlignment w:val="top"/>
              <w:rPr>
                <w:sz w:val="24"/>
              </w:rPr>
            </w:pPr>
            <w:r>
              <w:rPr>
                <w:kern w:val="0"/>
                <w:sz w:val="24"/>
                <w:lang w:bidi="ar"/>
              </w:rPr>
              <w:t>保障全区各基层劳动保障服务站所、政务中心、局机关所有金保网点，顺利使用</w:t>
            </w:r>
          </w:p>
        </w:tc>
        <w:tc>
          <w:tcPr>
            <w:tcW w:w="3778"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06E4E94">
            <w:pPr>
              <w:widowControl/>
              <w:spacing w:line="353" w:lineRule="auto"/>
              <w:jc w:val="center"/>
              <w:textAlignment w:val="center"/>
              <w:rPr>
                <w:sz w:val="24"/>
              </w:rPr>
            </w:pPr>
            <w:r>
              <w:rPr>
                <w:spacing w:val="-17"/>
                <w:kern w:val="0"/>
                <w:sz w:val="24"/>
                <w:lang w:bidi="ar"/>
              </w:rPr>
              <w:t>保障全区各基层劳动保障服务站所、政务中心、局机关所有金保网点，顺利使用</w:t>
            </w:r>
          </w:p>
        </w:tc>
      </w:tr>
      <w:tr w14:paraId="370EB6D7">
        <w:tblPrEx>
          <w:tblCellMar>
            <w:top w:w="0" w:type="dxa"/>
            <w:left w:w="0" w:type="dxa"/>
            <w:bottom w:w="0" w:type="dxa"/>
            <w:right w:w="0" w:type="dxa"/>
          </w:tblCellMar>
        </w:tblPrEx>
        <w:trPr>
          <w:trHeight w:val="600"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606916">
            <w:pPr>
              <w:widowControl/>
              <w:spacing w:line="353" w:lineRule="auto"/>
              <w:jc w:val="center"/>
              <w:textAlignment w:val="center"/>
              <w:rPr>
                <w:sz w:val="24"/>
              </w:rPr>
            </w:pPr>
            <w:r>
              <w:rPr>
                <w:kern w:val="0"/>
                <w:sz w:val="24"/>
                <w:lang w:bidi="ar"/>
              </w:rPr>
              <w:t>绩</w:t>
            </w:r>
            <w:r>
              <w:rPr>
                <w:kern w:val="0"/>
                <w:sz w:val="24"/>
                <w:lang w:bidi="ar"/>
              </w:rPr>
              <w:br w:type="textWrapping"/>
            </w:r>
            <w:r>
              <w:rPr>
                <w:kern w:val="0"/>
                <w:sz w:val="24"/>
                <w:lang w:bidi="ar"/>
              </w:rPr>
              <w:t>效</w:t>
            </w:r>
            <w:r>
              <w:rPr>
                <w:kern w:val="0"/>
                <w:sz w:val="24"/>
                <w:lang w:bidi="ar"/>
              </w:rPr>
              <w:br w:type="textWrapping"/>
            </w:r>
            <w:r>
              <w:rPr>
                <w:kern w:val="0"/>
                <w:sz w:val="24"/>
                <w:lang w:bidi="ar"/>
              </w:rPr>
              <w:t>指</w:t>
            </w:r>
            <w:r>
              <w:rPr>
                <w:kern w:val="0"/>
                <w:sz w:val="24"/>
                <w:lang w:bidi="ar"/>
              </w:rPr>
              <w:br w:type="textWrapping"/>
            </w:r>
            <w:r>
              <w:rPr>
                <w:kern w:val="0"/>
                <w:sz w:val="24"/>
                <w:lang w:bidi="ar"/>
              </w:rPr>
              <w:t>标</w:t>
            </w:r>
          </w:p>
        </w:tc>
        <w:tc>
          <w:tcPr>
            <w:tcW w:w="61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E6948C">
            <w:pPr>
              <w:widowControl/>
              <w:spacing w:line="353" w:lineRule="auto"/>
              <w:jc w:val="center"/>
              <w:textAlignment w:val="center"/>
              <w:rPr>
                <w:sz w:val="24"/>
              </w:rPr>
            </w:pPr>
            <w:r>
              <w:rPr>
                <w:kern w:val="0"/>
                <w:sz w:val="24"/>
                <w:lang w:bidi="ar"/>
              </w:rPr>
              <w:t>一级</w:t>
            </w:r>
            <w:r>
              <w:rPr>
                <w:kern w:val="0"/>
                <w:sz w:val="24"/>
                <w:lang w:bidi="ar"/>
              </w:rPr>
              <w:br w:type="textWrapping"/>
            </w:r>
            <w:r>
              <w:rPr>
                <w:kern w:val="0"/>
                <w:sz w:val="24"/>
                <w:lang w:bidi="ar"/>
              </w:rPr>
              <w:t>指标</w:t>
            </w:r>
          </w:p>
        </w:tc>
        <w:tc>
          <w:tcPr>
            <w:tcW w:w="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CD85A5">
            <w:pPr>
              <w:widowControl/>
              <w:spacing w:line="353" w:lineRule="auto"/>
              <w:jc w:val="center"/>
              <w:textAlignment w:val="center"/>
              <w:rPr>
                <w:sz w:val="24"/>
              </w:rPr>
            </w:pPr>
            <w:r>
              <w:rPr>
                <w:kern w:val="0"/>
                <w:sz w:val="24"/>
                <w:lang w:bidi="ar"/>
              </w:rPr>
              <w:t>二级指标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CA0DD5">
            <w:pPr>
              <w:widowControl/>
              <w:spacing w:line="353" w:lineRule="auto"/>
              <w:jc w:val="center"/>
              <w:textAlignment w:val="center"/>
              <w:rPr>
                <w:sz w:val="24"/>
              </w:rPr>
            </w:pPr>
            <w:r>
              <w:rPr>
                <w:kern w:val="0"/>
                <w:sz w:val="24"/>
                <w:lang w:bidi="ar"/>
              </w:rPr>
              <w:t>三级指标</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479F94">
            <w:pPr>
              <w:widowControl/>
              <w:spacing w:line="353" w:lineRule="auto"/>
              <w:jc w:val="center"/>
              <w:textAlignment w:val="center"/>
              <w:rPr>
                <w:sz w:val="24"/>
              </w:rPr>
            </w:pPr>
            <w:r>
              <w:rPr>
                <w:kern w:val="0"/>
                <w:sz w:val="24"/>
                <w:lang w:bidi="ar"/>
              </w:rPr>
              <w:t>年度指标值</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078AF9">
            <w:pPr>
              <w:widowControl/>
              <w:spacing w:line="353" w:lineRule="auto"/>
              <w:jc w:val="center"/>
              <w:textAlignment w:val="center"/>
              <w:rPr>
                <w:sz w:val="24"/>
              </w:rPr>
            </w:pPr>
            <w:r>
              <w:rPr>
                <w:kern w:val="0"/>
                <w:sz w:val="24"/>
                <w:lang w:bidi="ar"/>
              </w:rPr>
              <w:t>实际完成数</w:t>
            </w:r>
          </w:p>
        </w:tc>
      </w:tr>
      <w:tr w14:paraId="53A49238">
        <w:tblPrEx>
          <w:tblCellMar>
            <w:top w:w="0" w:type="dxa"/>
            <w:left w:w="0" w:type="dxa"/>
            <w:bottom w:w="0" w:type="dxa"/>
            <w:right w:w="0" w:type="dxa"/>
          </w:tblCellMar>
        </w:tblPrEx>
        <w:trPr>
          <w:trHeight w:val="900"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E2E89D">
            <w:pPr>
              <w:spacing w:line="353" w:lineRule="auto"/>
              <w:jc w:val="center"/>
              <w:rPr>
                <w:sz w:val="24"/>
              </w:rPr>
            </w:pPr>
          </w:p>
        </w:tc>
        <w:tc>
          <w:tcPr>
            <w:tcW w:w="61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1E24E2">
            <w:pPr>
              <w:widowControl/>
              <w:spacing w:line="353" w:lineRule="auto"/>
              <w:jc w:val="center"/>
              <w:textAlignment w:val="center"/>
              <w:rPr>
                <w:sz w:val="24"/>
              </w:rPr>
            </w:pPr>
            <w:r>
              <w:rPr>
                <w:kern w:val="0"/>
                <w:sz w:val="24"/>
                <w:lang w:bidi="ar"/>
              </w:rPr>
              <w:t>项目完成</w:t>
            </w:r>
          </w:p>
        </w:tc>
        <w:tc>
          <w:tcPr>
            <w:tcW w:w="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7C0C135">
            <w:pPr>
              <w:widowControl/>
              <w:spacing w:line="353" w:lineRule="auto"/>
              <w:jc w:val="center"/>
              <w:textAlignment w:val="center"/>
              <w:rPr>
                <w:sz w:val="24"/>
              </w:rPr>
            </w:pPr>
            <w:r>
              <w:rPr>
                <w:kern w:val="0"/>
                <w:sz w:val="24"/>
                <w:lang w:bidi="ar"/>
              </w:rPr>
              <w:t>数量指标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0B14D7">
            <w:pPr>
              <w:widowControl/>
              <w:spacing w:line="353" w:lineRule="auto"/>
              <w:jc w:val="left"/>
              <w:textAlignment w:val="center"/>
              <w:rPr>
                <w:sz w:val="24"/>
              </w:rPr>
            </w:pPr>
            <w:r>
              <w:rPr>
                <w:kern w:val="0"/>
                <w:sz w:val="24"/>
                <w:lang w:bidi="ar"/>
              </w:rPr>
              <w:t>保障全区各基层劳动保障服务站所、政务中心、局机关所有金保网点，顺利使用</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60721B">
            <w:pPr>
              <w:widowControl/>
              <w:spacing w:line="353" w:lineRule="auto"/>
              <w:jc w:val="left"/>
              <w:textAlignment w:val="center"/>
              <w:rPr>
                <w:sz w:val="24"/>
              </w:rPr>
            </w:pPr>
            <w:r>
              <w:rPr>
                <w:kern w:val="0"/>
                <w:sz w:val="24"/>
                <w:lang w:bidi="ar"/>
              </w:rPr>
              <w:t>59个网点</w:t>
            </w:r>
          </w:p>
        </w:tc>
        <w:tc>
          <w:tcPr>
            <w:tcW w:w="1266"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6B37486D">
            <w:pPr>
              <w:widowControl/>
              <w:spacing w:line="353" w:lineRule="auto"/>
              <w:jc w:val="left"/>
              <w:textAlignment w:val="center"/>
              <w:rPr>
                <w:sz w:val="24"/>
              </w:rPr>
            </w:pPr>
            <w:r>
              <w:rPr>
                <w:kern w:val="0"/>
                <w:sz w:val="24"/>
                <w:lang w:bidi="ar"/>
              </w:rPr>
              <w:t>59个网点</w:t>
            </w:r>
          </w:p>
        </w:tc>
      </w:tr>
      <w:tr w14:paraId="5E605568">
        <w:tblPrEx>
          <w:tblCellMar>
            <w:top w:w="0" w:type="dxa"/>
            <w:left w:w="0" w:type="dxa"/>
            <w:bottom w:w="0" w:type="dxa"/>
            <w:right w:w="0" w:type="dxa"/>
          </w:tblCellMar>
        </w:tblPrEx>
        <w:trPr>
          <w:trHeight w:val="900"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FE1400">
            <w:pPr>
              <w:spacing w:line="353" w:lineRule="auto"/>
              <w:jc w:val="center"/>
              <w:rPr>
                <w:sz w:val="24"/>
              </w:rPr>
            </w:pPr>
          </w:p>
        </w:tc>
        <w:tc>
          <w:tcPr>
            <w:tcW w:w="6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234435">
            <w:pPr>
              <w:spacing w:line="353" w:lineRule="auto"/>
              <w:jc w:val="center"/>
              <w:rPr>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FDD242">
            <w:pPr>
              <w:widowControl/>
              <w:spacing w:line="353" w:lineRule="auto"/>
              <w:jc w:val="center"/>
              <w:textAlignment w:val="center"/>
              <w:rPr>
                <w:sz w:val="24"/>
              </w:rPr>
            </w:pPr>
            <w:r>
              <w:rPr>
                <w:kern w:val="0"/>
                <w:sz w:val="24"/>
                <w:lang w:bidi="ar"/>
              </w:rPr>
              <w:t>质量指标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783CAD">
            <w:pPr>
              <w:widowControl/>
              <w:spacing w:line="353" w:lineRule="auto"/>
              <w:jc w:val="left"/>
              <w:textAlignment w:val="center"/>
              <w:rPr>
                <w:sz w:val="24"/>
              </w:rPr>
            </w:pPr>
            <w:r>
              <w:rPr>
                <w:kern w:val="0"/>
                <w:sz w:val="24"/>
                <w:lang w:bidi="ar"/>
              </w:rPr>
              <w:t>保障全区各基层劳动保障服务站所、政务中心、局机关所有金保网点，顺利使用</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881A664">
            <w:pPr>
              <w:widowControl/>
              <w:spacing w:line="353" w:lineRule="auto"/>
              <w:jc w:val="left"/>
              <w:textAlignment w:val="center"/>
              <w:rPr>
                <w:sz w:val="24"/>
              </w:rPr>
            </w:pPr>
            <w:r>
              <w:rPr>
                <w:kern w:val="0"/>
                <w:sz w:val="24"/>
                <w:lang w:bidi="ar"/>
              </w:rPr>
              <w:t>59个</w:t>
            </w:r>
          </w:p>
        </w:tc>
        <w:tc>
          <w:tcPr>
            <w:tcW w:w="1266"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37F26211">
            <w:pPr>
              <w:widowControl/>
              <w:spacing w:line="353" w:lineRule="auto"/>
              <w:jc w:val="left"/>
              <w:textAlignment w:val="center"/>
              <w:rPr>
                <w:sz w:val="24"/>
              </w:rPr>
            </w:pPr>
            <w:r>
              <w:rPr>
                <w:kern w:val="0"/>
                <w:sz w:val="24"/>
                <w:lang w:bidi="ar"/>
              </w:rPr>
              <w:t>59个</w:t>
            </w:r>
          </w:p>
        </w:tc>
      </w:tr>
      <w:tr w14:paraId="268622D0">
        <w:tblPrEx>
          <w:tblCellMar>
            <w:top w:w="0" w:type="dxa"/>
            <w:left w:w="0" w:type="dxa"/>
            <w:bottom w:w="0" w:type="dxa"/>
            <w:right w:w="0" w:type="dxa"/>
          </w:tblCellMar>
        </w:tblPrEx>
        <w:trPr>
          <w:trHeight w:val="435"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08CD7A5">
            <w:pPr>
              <w:spacing w:line="353" w:lineRule="auto"/>
              <w:jc w:val="center"/>
              <w:rPr>
                <w:sz w:val="24"/>
              </w:rPr>
            </w:pPr>
          </w:p>
        </w:tc>
        <w:tc>
          <w:tcPr>
            <w:tcW w:w="6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6B32E6">
            <w:pPr>
              <w:spacing w:line="353" w:lineRule="auto"/>
              <w:jc w:val="center"/>
              <w:rPr>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B9DF68">
            <w:pPr>
              <w:widowControl/>
              <w:spacing w:line="353" w:lineRule="auto"/>
              <w:jc w:val="center"/>
              <w:textAlignment w:val="center"/>
              <w:rPr>
                <w:sz w:val="24"/>
              </w:rPr>
            </w:pPr>
            <w:r>
              <w:rPr>
                <w:kern w:val="0"/>
                <w:sz w:val="24"/>
                <w:lang w:bidi="ar"/>
              </w:rPr>
              <w:t>时效指标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A63DE5">
            <w:pPr>
              <w:widowControl/>
              <w:spacing w:line="353" w:lineRule="auto"/>
              <w:jc w:val="left"/>
              <w:textAlignment w:val="center"/>
              <w:rPr>
                <w:sz w:val="24"/>
              </w:rPr>
            </w:pPr>
            <w:r>
              <w:rPr>
                <w:kern w:val="0"/>
                <w:sz w:val="24"/>
                <w:lang w:bidi="ar"/>
              </w:rPr>
              <w:t>2019年全年</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231F246">
            <w:pPr>
              <w:widowControl/>
              <w:spacing w:line="353" w:lineRule="auto"/>
              <w:jc w:val="left"/>
              <w:textAlignment w:val="center"/>
              <w:rPr>
                <w:sz w:val="24"/>
              </w:rPr>
            </w:pPr>
            <w:r>
              <w:rPr>
                <w:kern w:val="0"/>
                <w:sz w:val="24"/>
                <w:lang w:bidi="ar"/>
              </w:rPr>
              <w:t>2019年全年</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8A59A1">
            <w:pPr>
              <w:widowControl/>
              <w:spacing w:line="353" w:lineRule="auto"/>
              <w:jc w:val="left"/>
              <w:textAlignment w:val="center"/>
              <w:rPr>
                <w:sz w:val="24"/>
              </w:rPr>
            </w:pPr>
            <w:r>
              <w:rPr>
                <w:kern w:val="0"/>
                <w:sz w:val="24"/>
                <w:lang w:bidi="ar"/>
              </w:rPr>
              <w:t>2019年全年</w:t>
            </w:r>
          </w:p>
        </w:tc>
      </w:tr>
      <w:tr w14:paraId="27BF6943">
        <w:tblPrEx>
          <w:tblCellMar>
            <w:top w:w="0" w:type="dxa"/>
            <w:left w:w="0" w:type="dxa"/>
            <w:bottom w:w="0" w:type="dxa"/>
            <w:right w:w="0" w:type="dxa"/>
          </w:tblCellMar>
        </w:tblPrEx>
        <w:trPr>
          <w:trHeight w:val="600"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22744D">
            <w:pPr>
              <w:spacing w:line="353" w:lineRule="auto"/>
              <w:jc w:val="center"/>
              <w:rPr>
                <w:sz w:val="24"/>
              </w:rPr>
            </w:pPr>
          </w:p>
        </w:tc>
        <w:tc>
          <w:tcPr>
            <w:tcW w:w="6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36BC9C">
            <w:pPr>
              <w:spacing w:line="353" w:lineRule="auto"/>
              <w:jc w:val="center"/>
              <w:rPr>
                <w:sz w:val="24"/>
              </w:rPr>
            </w:pPr>
          </w:p>
        </w:tc>
        <w:tc>
          <w:tcPr>
            <w:tcW w:w="981"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247B32">
            <w:pPr>
              <w:widowControl/>
              <w:spacing w:line="353" w:lineRule="auto"/>
              <w:jc w:val="center"/>
              <w:textAlignment w:val="center"/>
              <w:rPr>
                <w:sz w:val="24"/>
              </w:rPr>
            </w:pPr>
            <w:r>
              <w:rPr>
                <w:kern w:val="0"/>
                <w:sz w:val="24"/>
                <w:lang w:bidi="ar"/>
              </w:rPr>
              <w:t>成本指标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1F5A17">
            <w:pPr>
              <w:widowControl/>
              <w:spacing w:line="353" w:lineRule="auto"/>
              <w:jc w:val="left"/>
              <w:textAlignment w:val="center"/>
              <w:rPr>
                <w:sz w:val="24"/>
              </w:rPr>
            </w:pPr>
            <w:r>
              <w:rPr>
                <w:kern w:val="0"/>
                <w:sz w:val="24"/>
                <w:lang w:bidi="ar"/>
              </w:rPr>
              <w:t>每个网点100元/月租赁费，共计59个点</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296800">
            <w:pPr>
              <w:widowControl/>
              <w:spacing w:line="353" w:lineRule="auto"/>
              <w:jc w:val="left"/>
              <w:textAlignment w:val="center"/>
              <w:rPr>
                <w:sz w:val="24"/>
              </w:rPr>
            </w:pPr>
            <w:r>
              <w:rPr>
                <w:kern w:val="0"/>
                <w:sz w:val="24"/>
                <w:lang w:bidi="ar"/>
              </w:rPr>
              <w:t>70800元</w:t>
            </w:r>
          </w:p>
        </w:tc>
        <w:tc>
          <w:tcPr>
            <w:tcW w:w="126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0419BFD0">
            <w:pPr>
              <w:widowControl/>
              <w:spacing w:line="353" w:lineRule="auto"/>
              <w:jc w:val="left"/>
              <w:textAlignment w:val="center"/>
              <w:rPr>
                <w:sz w:val="24"/>
              </w:rPr>
            </w:pPr>
            <w:r>
              <w:rPr>
                <w:kern w:val="0"/>
                <w:sz w:val="24"/>
                <w:lang w:bidi="ar"/>
              </w:rPr>
              <w:t>70800元</w:t>
            </w:r>
          </w:p>
        </w:tc>
      </w:tr>
      <w:tr w14:paraId="2BF03287">
        <w:tblPrEx>
          <w:tblCellMar>
            <w:top w:w="0" w:type="dxa"/>
            <w:left w:w="0" w:type="dxa"/>
            <w:bottom w:w="0" w:type="dxa"/>
            <w:right w:w="0" w:type="dxa"/>
          </w:tblCellMar>
        </w:tblPrEx>
        <w:trPr>
          <w:trHeight w:val="435"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5E51E8">
            <w:pPr>
              <w:spacing w:line="353" w:lineRule="auto"/>
              <w:jc w:val="center"/>
              <w:rPr>
                <w:sz w:val="24"/>
              </w:rPr>
            </w:pPr>
          </w:p>
        </w:tc>
        <w:tc>
          <w:tcPr>
            <w:tcW w:w="6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15749">
            <w:pPr>
              <w:spacing w:line="353" w:lineRule="auto"/>
              <w:jc w:val="center"/>
              <w:rPr>
                <w:sz w:val="24"/>
              </w:rPr>
            </w:pPr>
          </w:p>
        </w:tc>
        <w:tc>
          <w:tcPr>
            <w:tcW w:w="981"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F2BE1A">
            <w:pPr>
              <w:spacing w:line="353" w:lineRule="auto"/>
              <w:jc w:val="center"/>
              <w:rPr>
                <w:sz w:val="24"/>
              </w:rPr>
            </w:pP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29E238">
            <w:pPr>
              <w:widowControl/>
              <w:spacing w:line="353" w:lineRule="auto"/>
              <w:jc w:val="left"/>
              <w:textAlignment w:val="center"/>
              <w:rPr>
                <w:sz w:val="24"/>
              </w:rPr>
            </w:pPr>
            <w:r>
              <w:rPr>
                <w:kern w:val="0"/>
                <w:sz w:val="24"/>
                <w:lang w:bidi="ar"/>
              </w:rPr>
              <w:t>点位维护费400元/个/年</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3D5C60">
            <w:pPr>
              <w:widowControl/>
              <w:spacing w:line="353" w:lineRule="auto"/>
              <w:jc w:val="left"/>
              <w:textAlignment w:val="center"/>
              <w:rPr>
                <w:sz w:val="24"/>
              </w:rPr>
            </w:pPr>
            <w:r>
              <w:rPr>
                <w:kern w:val="0"/>
                <w:sz w:val="24"/>
                <w:lang w:bidi="ar"/>
              </w:rPr>
              <w:t>23600元</w:t>
            </w:r>
          </w:p>
        </w:tc>
        <w:tc>
          <w:tcPr>
            <w:tcW w:w="1266" w:type="dxa"/>
            <w:tcBorders>
              <w:top w:val="single" w:color="auto"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6267ACA0">
            <w:pPr>
              <w:widowControl/>
              <w:spacing w:line="353" w:lineRule="auto"/>
              <w:jc w:val="left"/>
              <w:textAlignment w:val="center"/>
              <w:rPr>
                <w:sz w:val="24"/>
              </w:rPr>
            </w:pPr>
            <w:r>
              <w:rPr>
                <w:kern w:val="0"/>
                <w:sz w:val="24"/>
                <w:lang w:bidi="ar"/>
              </w:rPr>
              <w:t>23600元</w:t>
            </w:r>
          </w:p>
        </w:tc>
      </w:tr>
      <w:tr w14:paraId="664A774F">
        <w:tblPrEx>
          <w:tblCellMar>
            <w:top w:w="0" w:type="dxa"/>
            <w:left w:w="0" w:type="dxa"/>
            <w:bottom w:w="0" w:type="dxa"/>
            <w:right w:w="0" w:type="dxa"/>
          </w:tblCellMar>
        </w:tblPrEx>
        <w:trPr>
          <w:trHeight w:val="1200"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D1E520">
            <w:pPr>
              <w:spacing w:line="353" w:lineRule="auto"/>
              <w:jc w:val="center"/>
              <w:rPr>
                <w:sz w:val="24"/>
              </w:rPr>
            </w:pPr>
          </w:p>
        </w:tc>
        <w:tc>
          <w:tcPr>
            <w:tcW w:w="61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6DC857">
            <w:pPr>
              <w:spacing w:line="353" w:lineRule="auto"/>
              <w:jc w:val="center"/>
              <w:rPr>
                <w:sz w:val="24"/>
              </w:rPr>
            </w:pPr>
          </w:p>
        </w:tc>
        <w:tc>
          <w:tcPr>
            <w:tcW w:w="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4425184">
            <w:pPr>
              <w:widowControl/>
              <w:spacing w:line="353" w:lineRule="auto"/>
              <w:jc w:val="center"/>
              <w:textAlignment w:val="center"/>
              <w:rPr>
                <w:sz w:val="24"/>
              </w:rPr>
            </w:pPr>
            <w:r>
              <w:rPr>
                <w:kern w:val="0"/>
                <w:sz w:val="24"/>
                <w:lang w:bidi="ar"/>
              </w:rPr>
              <w:t>社会效益</w:t>
            </w:r>
            <w:r>
              <w:rPr>
                <w:kern w:val="0"/>
                <w:sz w:val="24"/>
                <w:lang w:bidi="ar"/>
              </w:rPr>
              <w:br w:type="textWrapping"/>
            </w:r>
            <w:r>
              <w:rPr>
                <w:kern w:val="0"/>
                <w:sz w:val="24"/>
                <w:lang w:bidi="ar"/>
              </w:rPr>
              <w:t>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99FE88">
            <w:pPr>
              <w:widowControl/>
              <w:spacing w:line="353" w:lineRule="auto"/>
              <w:jc w:val="left"/>
              <w:textAlignment w:val="center"/>
              <w:rPr>
                <w:sz w:val="24"/>
              </w:rPr>
            </w:pPr>
            <w:r>
              <w:rPr>
                <w:kern w:val="0"/>
                <w:sz w:val="24"/>
                <w:lang w:bidi="ar"/>
              </w:rPr>
              <w:t>保障全区各基层劳动保障服务站所、政务中心、局机关所有金保网点，顺利使用</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1A5E51">
            <w:pPr>
              <w:widowControl/>
              <w:spacing w:line="353" w:lineRule="auto"/>
              <w:jc w:val="left"/>
              <w:textAlignment w:val="center"/>
              <w:rPr>
                <w:sz w:val="24"/>
              </w:rPr>
            </w:pPr>
            <w:r>
              <w:rPr>
                <w:kern w:val="0"/>
                <w:sz w:val="24"/>
                <w:lang w:bidi="ar"/>
              </w:rPr>
              <w:t>保障全区各基层劳动保障服务站所、政务中心、局机关所有金保网点，顺利使用</w:t>
            </w:r>
          </w:p>
        </w:tc>
        <w:tc>
          <w:tcPr>
            <w:tcW w:w="1266" w:type="dxa"/>
            <w:tcBorders>
              <w:top w:val="single" w:color="auto" w:sz="4" w:space="0"/>
              <w:left w:val="single" w:color="000000" w:sz="4" w:space="0"/>
              <w:bottom w:val="nil"/>
              <w:right w:val="single" w:color="000000" w:sz="4" w:space="0"/>
            </w:tcBorders>
            <w:shd w:val="clear" w:color="auto" w:fill="auto"/>
            <w:tcMar>
              <w:top w:w="10" w:type="dxa"/>
              <w:left w:w="10" w:type="dxa"/>
              <w:right w:w="10" w:type="dxa"/>
            </w:tcMar>
            <w:vAlign w:val="center"/>
          </w:tcPr>
          <w:p w14:paraId="54AF2FE4">
            <w:pPr>
              <w:widowControl/>
              <w:spacing w:line="353" w:lineRule="auto"/>
              <w:jc w:val="left"/>
              <w:textAlignment w:val="center"/>
              <w:rPr>
                <w:sz w:val="24"/>
              </w:rPr>
            </w:pPr>
            <w:r>
              <w:rPr>
                <w:kern w:val="0"/>
                <w:sz w:val="24"/>
                <w:lang w:bidi="ar"/>
              </w:rPr>
              <w:t>保障全区各基层劳动保障服务站所、政务中心、局机关所有金保网点，顺利使用</w:t>
            </w:r>
          </w:p>
        </w:tc>
      </w:tr>
      <w:tr w14:paraId="6C5E66EE">
        <w:tblPrEx>
          <w:tblCellMar>
            <w:top w:w="0" w:type="dxa"/>
            <w:left w:w="0" w:type="dxa"/>
            <w:bottom w:w="0" w:type="dxa"/>
            <w:right w:w="0" w:type="dxa"/>
          </w:tblCellMar>
        </w:tblPrEx>
        <w:trPr>
          <w:trHeight w:val="900"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6A33B8">
            <w:pPr>
              <w:spacing w:line="353" w:lineRule="auto"/>
              <w:jc w:val="center"/>
              <w:rPr>
                <w:sz w:val="24"/>
              </w:rPr>
            </w:pPr>
          </w:p>
        </w:tc>
        <w:tc>
          <w:tcPr>
            <w:tcW w:w="61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CBB656D">
            <w:pPr>
              <w:widowControl/>
              <w:spacing w:line="353" w:lineRule="auto"/>
              <w:jc w:val="center"/>
              <w:textAlignment w:val="center"/>
              <w:rPr>
                <w:sz w:val="24"/>
              </w:rPr>
            </w:pPr>
            <w:r>
              <w:rPr>
                <w:kern w:val="0"/>
                <w:sz w:val="24"/>
                <w:lang w:bidi="ar"/>
              </w:rPr>
              <w:t>满意度指标</w:t>
            </w:r>
          </w:p>
        </w:tc>
        <w:tc>
          <w:tcPr>
            <w:tcW w:w="981"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3C44938">
            <w:pPr>
              <w:widowControl/>
              <w:spacing w:line="353" w:lineRule="auto"/>
              <w:jc w:val="center"/>
              <w:textAlignment w:val="center"/>
              <w:rPr>
                <w:sz w:val="24"/>
              </w:rPr>
            </w:pPr>
            <w:r>
              <w:rPr>
                <w:kern w:val="0"/>
                <w:sz w:val="24"/>
                <w:lang w:bidi="ar"/>
              </w:rPr>
              <w:t>满意度指标</w:t>
            </w:r>
          </w:p>
        </w:tc>
        <w:tc>
          <w:tcPr>
            <w:tcW w:w="340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ABC783">
            <w:pPr>
              <w:widowControl/>
              <w:spacing w:line="353" w:lineRule="auto"/>
              <w:jc w:val="left"/>
              <w:textAlignment w:val="center"/>
              <w:rPr>
                <w:sz w:val="24"/>
              </w:rPr>
            </w:pPr>
            <w:r>
              <w:rPr>
                <w:kern w:val="0"/>
                <w:sz w:val="24"/>
                <w:lang w:bidi="ar"/>
              </w:rPr>
              <w:t>保障全区各基层劳动保障服务站所、政务中心、局机关所有金保网点，顺利使用</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6952D3A">
            <w:pPr>
              <w:widowControl/>
              <w:spacing w:line="353" w:lineRule="auto"/>
              <w:jc w:val="left"/>
              <w:textAlignment w:val="center"/>
              <w:rPr>
                <w:sz w:val="24"/>
              </w:rPr>
            </w:pPr>
            <w:r>
              <w:rPr>
                <w:kern w:val="0"/>
                <w:sz w:val="24"/>
                <w:lang w:bidi="ar"/>
              </w:rPr>
              <w:t>90%</w:t>
            </w:r>
          </w:p>
        </w:tc>
        <w:tc>
          <w:tcPr>
            <w:tcW w:w="126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80F0C1">
            <w:pPr>
              <w:widowControl/>
              <w:spacing w:line="353" w:lineRule="auto"/>
              <w:jc w:val="left"/>
              <w:textAlignment w:val="center"/>
              <w:rPr>
                <w:sz w:val="24"/>
              </w:rPr>
            </w:pPr>
            <w:r>
              <w:rPr>
                <w:kern w:val="0"/>
                <w:sz w:val="24"/>
                <w:lang w:bidi="ar"/>
              </w:rPr>
              <w:t>90%</w:t>
            </w:r>
          </w:p>
        </w:tc>
      </w:tr>
    </w:tbl>
    <w:p w14:paraId="7B0CCABC"/>
    <w:p w14:paraId="6FFF5784">
      <w:pPr>
        <w:widowControl/>
        <w:spacing w:line="353" w:lineRule="auto"/>
        <w:jc w:val="center"/>
        <w:textAlignment w:val="center"/>
        <w:outlineLvl w:val="1"/>
        <w:rPr>
          <w:b/>
          <w:bCs/>
          <w:spacing w:val="-6"/>
          <w:kern w:val="0"/>
          <w:sz w:val="36"/>
          <w:szCs w:val="36"/>
        </w:rPr>
      </w:pPr>
    </w:p>
    <w:p w14:paraId="0C62921C">
      <w:pPr>
        <w:widowControl/>
        <w:spacing w:line="353" w:lineRule="auto"/>
        <w:jc w:val="center"/>
        <w:textAlignment w:val="center"/>
        <w:outlineLvl w:val="1"/>
        <w:rPr>
          <w:b/>
          <w:bCs/>
          <w:spacing w:val="-6"/>
          <w:kern w:val="0"/>
          <w:sz w:val="36"/>
          <w:szCs w:val="36"/>
        </w:rPr>
      </w:pPr>
    </w:p>
    <w:p w14:paraId="4E240540">
      <w:pPr>
        <w:widowControl/>
        <w:spacing w:line="353" w:lineRule="auto"/>
        <w:jc w:val="center"/>
        <w:textAlignment w:val="center"/>
        <w:outlineLvl w:val="1"/>
        <w:rPr>
          <w:b/>
          <w:bCs/>
          <w:spacing w:val="-6"/>
          <w:kern w:val="0"/>
          <w:sz w:val="36"/>
          <w:szCs w:val="36"/>
        </w:rPr>
      </w:pPr>
    </w:p>
    <w:p w14:paraId="38FE6259">
      <w:pPr>
        <w:widowControl/>
        <w:spacing w:line="353" w:lineRule="auto"/>
        <w:jc w:val="center"/>
        <w:textAlignment w:val="center"/>
        <w:outlineLvl w:val="1"/>
        <w:rPr>
          <w:b/>
          <w:bCs/>
          <w:spacing w:val="-6"/>
          <w:kern w:val="0"/>
          <w:sz w:val="36"/>
          <w:szCs w:val="36"/>
        </w:rPr>
      </w:pPr>
      <w:bookmarkStart w:id="100" w:name="_Toc15590"/>
      <w:r>
        <w:rPr>
          <w:b/>
          <w:bCs/>
          <w:spacing w:val="-6"/>
          <w:kern w:val="0"/>
          <w:sz w:val="36"/>
          <w:szCs w:val="36"/>
        </w:rPr>
        <w:t>2019年“劳动和谐关系协调业务费”项目绩效目标完成表</w:t>
      </w:r>
      <w:bookmarkEnd w:id="100"/>
    </w:p>
    <w:tbl>
      <w:tblPr>
        <w:tblStyle w:val="13"/>
        <w:tblpPr w:leftFromText="180" w:rightFromText="180" w:vertAnchor="text" w:horzAnchor="page" w:tblpX="1042" w:tblpY="385"/>
        <w:tblOverlap w:val="never"/>
        <w:tblW w:w="9682" w:type="dxa"/>
        <w:tblInd w:w="0" w:type="dxa"/>
        <w:tblLayout w:type="autofit"/>
        <w:tblCellMar>
          <w:top w:w="0" w:type="dxa"/>
          <w:left w:w="0" w:type="dxa"/>
          <w:bottom w:w="0" w:type="dxa"/>
          <w:right w:w="0" w:type="dxa"/>
        </w:tblCellMar>
      </w:tblPr>
      <w:tblGrid>
        <w:gridCol w:w="388"/>
        <w:gridCol w:w="597"/>
        <w:gridCol w:w="43"/>
        <w:gridCol w:w="1276"/>
        <w:gridCol w:w="1524"/>
        <w:gridCol w:w="1762"/>
        <w:gridCol w:w="669"/>
        <w:gridCol w:w="1767"/>
        <w:gridCol w:w="1656"/>
      </w:tblGrid>
      <w:tr w14:paraId="64964C65">
        <w:tblPrEx>
          <w:tblCellMar>
            <w:top w:w="0" w:type="dxa"/>
            <w:left w:w="0" w:type="dxa"/>
            <w:bottom w:w="0" w:type="dxa"/>
            <w:right w:w="0" w:type="dxa"/>
          </w:tblCellMar>
        </w:tblPrEx>
        <w:trPr>
          <w:trHeight w:val="439" w:hRule="atLeast"/>
        </w:trPr>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88A640">
            <w:pPr>
              <w:widowControl/>
              <w:spacing w:line="353" w:lineRule="auto"/>
              <w:jc w:val="center"/>
              <w:textAlignment w:val="center"/>
              <w:rPr>
                <w:sz w:val="24"/>
              </w:rPr>
            </w:pPr>
            <w:r>
              <w:rPr>
                <w:kern w:val="0"/>
                <w:sz w:val="24"/>
                <w:lang w:bidi="ar"/>
              </w:rPr>
              <w:t>部门预算项目名称</w:t>
            </w:r>
          </w:p>
        </w:tc>
        <w:tc>
          <w:tcPr>
            <w:tcW w:w="8697" w:type="dxa"/>
            <w:gridSpan w:val="7"/>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40A8D50">
            <w:pPr>
              <w:widowControl/>
              <w:spacing w:line="353" w:lineRule="auto"/>
              <w:jc w:val="center"/>
              <w:textAlignment w:val="center"/>
              <w:rPr>
                <w:sz w:val="24"/>
              </w:rPr>
            </w:pPr>
            <w:r>
              <w:rPr>
                <w:kern w:val="0"/>
                <w:sz w:val="24"/>
                <w:lang w:bidi="ar"/>
              </w:rPr>
              <w:t>劳动和谐关系协调业务费</w:t>
            </w:r>
          </w:p>
        </w:tc>
      </w:tr>
      <w:tr w14:paraId="0654FA4E">
        <w:tblPrEx>
          <w:tblCellMar>
            <w:top w:w="0" w:type="dxa"/>
            <w:left w:w="0" w:type="dxa"/>
            <w:bottom w:w="0" w:type="dxa"/>
            <w:right w:w="0" w:type="dxa"/>
          </w:tblCellMar>
        </w:tblPrEx>
        <w:trPr>
          <w:trHeight w:val="439" w:hRule="atLeast"/>
        </w:trPr>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14E3E74">
            <w:pPr>
              <w:widowControl/>
              <w:spacing w:line="353" w:lineRule="auto"/>
              <w:jc w:val="center"/>
              <w:textAlignment w:val="center"/>
              <w:rPr>
                <w:sz w:val="24"/>
              </w:rPr>
            </w:pPr>
            <w:r>
              <w:rPr>
                <w:kern w:val="0"/>
                <w:sz w:val="24"/>
                <w:lang w:bidi="ar"/>
              </w:rPr>
              <w:t>预算单位</w:t>
            </w:r>
          </w:p>
        </w:tc>
        <w:tc>
          <w:tcPr>
            <w:tcW w:w="8697" w:type="dxa"/>
            <w:gridSpan w:val="7"/>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03C5D16">
            <w:pPr>
              <w:widowControl/>
              <w:spacing w:line="353" w:lineRule="auto"/>
              <w:jc w:val="center"/>
              <w:textAlignment w:val="center"/>
              <w:rPr>
                <w:sz w:val="24"/>
              </w:rPr>
            </w:pPr>
            <w:r>
              <w:rPr>
                <w:kern w:val="0"/>
                <w:sz w:val="24"/>
                <w:lang w:bidi="ar"/>
              </w:rPr>
              <w:t>攀枝花市西区人力资源和社会保障局</w:t>
            </w:r>
          </w:p>
        </w:tc>
      </w:tr>
      <w:tr w14:paraId="0DBE4B3B">
        <w:tblPrEx>
          <w:tblCellMar>
            <w:top w:w="0" w:type="dxa"/>
            <w:left w:w="0" w:type="dxa"/>
            <w:bottom w:w="0" w:type="dxa"/>
            <w:right w:w="0" w:type="dxa"/>
          </w:tblCellMar>
        </w:tblPrEx>
        <w:trPr>
          <w:trHeight w:val="439" w:hRule="atLeast"/>
        </w:trPr>
        <w:tc>
          <w:tcPr>
            <w:tcW w:w="9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288249">
            <w:pPr>
              <w:widowControl/>
              <w:spacing w:line="353" w:lineRule="auto"/>
              <w:jc w:val="center"/>
              <w:textAlignment w:val="center"/>
              <w:rPr>
                <w:sz w:val="24"/>
              </w:rPr>
            </w:pPr>
            <w:r>
              <w:rPr>
                <w:kern w:val="0"/>
                <w:sz w:val="24"/>
                <w:lang w:bidi="ar"/>
              </w:rPr>
              <w:t>项目资金</w:t>
            </w:r>
            <w:r>
              <w:rPr>
                <w:kern w:val="0"/>
                <w:sz w:val="24"/>
                <w:lang w:bidi="ar"/>
              </w:rPr>
              <w:br w:type="textWrapping"/>
            </w:r>
            <w:r>
              <w:rPr>
                <w:kern w:val="0"/>
                <w:sz w:val="24"/>
                <w:lang w:bidi="ar"/>
              </w:rPr>
              <w:t>（万元）</w:t>
            </w: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F8DA15">
            <w:pPr>
              <w:spacing w:line="353" w:lineRule="auto"/>
              <w:jc w:val="center"/>
              <w:rPr>
                <w:sz w:val="24"/>
              </w:rPr>
            </w:pPr>
          </w:p>
        </w:tc>
        <w:tc>
          <w:tcPr>
            <w:tcW w:w="24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E9043D1">
            <w:pPr>
              <w:widowControl/>
              <w:spacing w:line="353" w:lineRule="auto"/>
              <w:jc w:val="center"/>
              <w:textAlignment w:val="center"/>
              <w:rPr>
                <w:sz w:val="24"/>
              </w:rPr>
            </w:pPr>
            <w:r>
              <w:rPr>
                <w:kern w:val="0"/>
                <w:sz w:val="24"/>
                <w:lang w:bidi="ar"/>
              </w:rPr>
              <w:t>全年预算数</w:t>
            </w:r>
          </w:p>
        </w:tc>
        <w:tc>
          <w:tcPr>
            <w:tcW w:w="342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7610B1">
            <w:pPr>
              <w:widowControl/>
              <w:spacing w:line="353" w:lineRule="auto"/>
              <w:jc w:val="center"/>
              <w:textAlignment w:val="center"/>
              <w:rPr>
                <w:sz w:val="24"/>
              </w:rPr>
            </w:pPr>
            <w:r>
              <w:rPr>
                <w:kern w:val="0"/>
                <w:sz w:val="24"/>
                <w:lang w:bidi="ar"/>
              </w:rPr>
              <w:t>实际完成数</w:t>
            </w:r>
          </w:p>
        </w:tc>
      </w:tr>
      <w:tr w14:paraId="5F831809">
        <w:tblPrEx>
          <w:tblCellMar>
            <w:top w:w="0" w:type="dxa"/>
            <w:left w:w="0" w:type="dxa"/>
            <w:bottom w:w="0" w:type="dxa"/>
            <w:right w:w="0" w:type="dxa"/>
          </w:tblCellMar>
        </w:tblPrEx>
        <w:trPr>
          <w:trHeight w:val="439" w:hRule="atLeast"/>
        </w:trPr>
        <w:tc>
          <w:tcPr>
            <w:tcW w:w="9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F5C771">
            <w:pPr>
              <w:spacing w:line="353" w:lineRule="auto"/>
              <w:jc w:val="center"/>
              <w:rPr>
                <w:sz w:val="24"/>
              </w:rPr>
            </w:pP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493C09D">
            <w:pPr>
              <w:widowControl/>
              <w:spacing w:line="353" w:lineRule="auto"/>
              <w:jc w:val="left"/>
              <w:textAlignment w:val="center"/>
              <w:rPr>
                <w:sz w:val="24"/>
              </w:rPr>
            </w:pPr>
            <w:r>
              <w:rPr>
                <w:kern w:val="0"/>
                <w:sz w:val="24"/>
                <w:lang w:bidi="ar"/>
              </w:rPr>
              <w:t xml:space="preserve"> 年度资金总额：</w:t>
            </w:r>
          </w:p>
        </w:tc>
        <w:tc>
          <w:tcPr>
            <w:tcW w:w="24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A61EBB">
            <w:pPr>
              <w:widowControl/>
              <w:spacing w:line="353" w:lineRule="auto"/>
              <w:jc w:val="left"/>
              <w:textAlignment w:val="center"/>
              <w:rPr>
                <w:sz w:val="24"/>
              </w:rPr>
            </w:pPr>
            <w:r>
              <w:rPr>
                <w:kern w:val="0"/>
                <w:sz w:val="24"/>
                <w:lang w:bidi="ar"/>
              </w:rPr>
              <w:t>4.00</w:t>
            </w:r>
          </w:p>
        </w:tc>
        <w:tc>
          <w:tcPr>
            <w:tcW w:w="342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BF8BC6">
            <w:pPr>
              <w:widowControl/>
              <w:spacing w:line="353" w:lineRule="auto"/>
              <w:jc w:val="left"/>
              <w:textAlignment w:val="center"/>
              <w:rPr>
                <w:sz w:val="24"/>
              </w:rPr>
            </w:pPr>
            <w:r>
              <w:rPr>
                <w:kern w:val="0"/>
                <w:sz w:val="24"/>
                <w:lang w:bidi="ar"/>
              </w:rPr>
              <w:t>4.00</w:t>
            </w:r>
          </w:p>
        </w:tc>
      </w:tr>
      <w:tr w14:paraId="51C1FFEA">
        <w:tblPrEx>
          <w:tblCellMar>
            <w:top w:w="0" w:type="dxa"/>
            <w:left w:w="0" w:type="dxa"/>
            <w:bottom w:w="0" w:type="dxa"/>
            <w:right w:w="0" w:type="dxa"/>
          </w:tblCellMar>
        </w:tblPrEx>
        <w:trPr>
          <w:trHeight w:val="439" w:hRule="atLeast"/>
        </w:trPr>
        <w:tc>
          <w:tcPr>
            <w:tcW w:w="9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658095">
            <w:pPr>
              <w:spacing w:line="353" w:lineRule="auto"/>
              <w:jc w:val="center"/>
              <w:rPr>
                <w:sz w:val="24"/>
              </w:rPr>
            </w:pP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C7096C5">
            <w:pPr>
              <w:widowControl/>
              <w:spacing w:line="353" w:lineRule="auto"/>
              <w:jc w:val="center"/>
              <w:textAlignment w:val="center"/>
              <w:rPr>
                <w:sz w:val="24"/>
              </w:rPr>
            </w:pPr>
            <w:r>
              <w:rPr>
                <w:kern w:val="0"/>
                <w:sz w:val="24"/>
                <w:lang w:bidi="ar"/>
              </w:rPr>
              <w:t>其中：上级财政资金</w:t>
            </w:r>
          </w:p>
        </w:tc>
        <w:tc>
          <w:tcPr>
            <w:tcW w:w="24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604E16">
            <w:pPr>
              <w:widowControl/>
              <w:spacing w:line="353" w:lineRule="auto"/>
              <w:jc w:val="left"/>
              <w:textAlignment w:val="center"/>
              <w:rPr>
                <w:sz w:val="24"/>
              </w:rPr>
            </w:pPr>
            <w:r>
              <w:rPr>
                <w:kern w:val="0"/>
                <w:sz w:val="24"/>
                <w:lang w:bidi="ar"/>
              </w:rPr>
              <w:t>0.00</w:t>
            </w:r>
          </w:p>
        </w:tc>
        <w:tc>
          <w:tcPr>
            <w:tcW w:w="342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9F78E7">
            <w:pPr>
              <w:widowControl/>
              <w:spacing w:line="353" w:lineRule="auto"/>
              <w:jc w:val="left"/>
              <w:textAlignment w:val="center"/>
              <w:rPr>
                <w:sz w:val="24"/>
              </w:rPr>
            </w:pPr>
            <w:r>
              <w:rPr>
                <w:kern w:val="0"/>
                <w:sz w:val="24"/>
                <w:lang w:bidi="ar"/>
              </w:rPr>
              <w:t>0.00</w:t>
            </w:r>
          </w:p>
        </w:tc>
      </w:tr>
      <w:tr w14:paraId="2AD2C6C2">
        <w:tblPrEx>
          <w:tblCellMar>
            <w:top w:w="0" w:type="dxa"/>
            <w:left w:w="0" w:type="dxa"/>
            <w:bottom w:w="0" w:type="dxa"/>
            <w:right w:w="0" w:type="dxa"/>
          </w:tblCellMar>
        </w:tblPrEx>
        <w:trPr>
          <w:trHeight w:val="439" w:hRule="atLeast"/>
        </w:trPr>
        <w:tc>
          <w:tcPr>
            <w:tcW w:w="9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70572E">
            <w:pPr>
              <w:spacing w:line="353" w:lineRule="auto"/>
              <w:jc w:val="center"/>
              <w:rPr>
                <w:sz w:val="24"/>
              </w:rPr>
            </w:pP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E216E3">
            <w:pPr>
              <w:widowControl/>
              <w:spacing w:line="353" w:lineRule="auto"/>
              <w:jc w:val="center"/>
              <w:textAlignment w:val="center"/>
              <w:rPr>
                <w:sz w:val="24"/>
              </w:rPr>
            </w:pPr>
            <w:r>
              <w:rPr>
                <w:kern w:val="0"/>
                <w:sz w:val="24"/>
                <w:lang w:bidi="ar"/>
              </w:rPr>
              <w:t xml:space="preserve">      本级财政资金</w:t>
            </w:r>
          </w:p>
        </w:tc>
        <w:tc>
          <w:tcPr>
            <w:tcW w:w="24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E1D11CC">
            <w:pPr>
              <w:widowControl/>
              <w:spacing w:line="353" w:lineRule="auto"/>
              <w:jc w:val="left"/>
              <w:textAlignment w:val="center"/>
              <w:rPr>
                <w:sz w:val="24"/>
              </w:rPr>
            </w:pPr>
            <w:r>
              <w:rPr>
                <w:kern w:val="0"/>
                <w:sz w:val="24"/>
                <w:lang w:bidi="ar"/>
              </w:rPr>
              <w:t>4.00</w:t>
            </w:r>
          </w:p>
        </w:tc>
        <w:tc>
          <w:tcPr>
            <w:tcW w:w="342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6FC6CB">
            <w:pPr>
              <w:widowControl/>
              <w:spacing w:line="353" w:lineRule="auto"/>
              <w:jc w:val="left"/>
              <w:textAlignment w:val="center"/>
              <w:rPr>
                <w:sz w:val="24"/>
              </w:rPr>
            </w:pPr>
            <w:r>
              <w:rPr>
                <w:kern w:val="0"/>
                <w:sz w:val="24"/>
                <w:lang w:bidi="ar"/>
              </w:rPr>
              <w:t>4.00</w:t>
            </w:r>
          </w:p>
        </w:tc>
      </w:tr>
      <w:tr w14:paraId="4FF980FE">
        <w:tblPrEx>
          <w:tblCellMar>
            <w:top w:w="0" w:type="dxa"/>
            <w:left w:w="0" w:type="dxa"/>
            <w:bottom w:w="0" w:type="dxa"/>
            <w:right w:w="0" w:type="dxa"/>
          </w:tblCellMar>
        </w:tblPrEx>
        <w:trPr>
          <w:trHeight w:val="439" w:hRule="atLeast"/>
        </w:trPr>
        <w:tc>
          <w:tcPr>
            <w:tcW w:w="9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24F3430">
            <w:pPr>
              <w:spacing w:line="353" w:lineRule="auto"/>
              <w:jc w:val="center"/>
              <w:rPr>
                <w:sz w:val="24"/>
              </w:rPr>
            </w:pPr>
          </w:p>
        </w:tc>
        <w:tc>
          <w:tcPr>
            <w:tcW w:w="2843"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6653652">
            <w:pPr>
              <w:widowControl/>
              <w:spacing w:line="353" w:lineRule="auto"/>
              <w:jc w:val="center"/>
              <w:textAlignment w:val="center"/>
              <w:rPr>
                <w:sz w:val="24"/>
              </w:rPr>
            </w:pPr>
            <w:r>
              <w:rPr>
                <w:kern w:val="0"/>
                <w:sz w:val="24"/>
                <w:lang w:bidi="ar"/>
              </w:rPr>
              <w:t>其他资金</w:t>
            </w:r>
          </w:p>
        </w:tc>
        <w:tc>
          <w:tcPr>
            <w:tcW w:w="2431"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3B06DD">
            <w:pPr>
              <w:widowControl/>
              <w:spacing w:line="353" w:lineRule="auto"/>
              <w:jc w:val="left"/>
              <w:textAlignment w:val="center"/>
              <w:rPr>
                <w:sz w:val="24"/>
              </w:rPr>
            </w:pPr>
            <w:r>
              <w:rPr>
                <w:kern w:val="0"/>
                <w:sz w:val="24"/>
                <w:lang w:bidi="ar"/>
              </w:rPr>
              <w:t>0.00</w:t>
            </w:r>
          </w:p>
        </w:tc>
        <w:tc>
          <w:tcPr>
            <w:tcW w:w="3423"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9AD1B7">
            <w:pPr>
              <w:widowControl/>
              <w:spacing w:line="353" w:lineRule="auto"/>
              <w:jc w:val="left"/>
              <w:textAlignment w:val="center"/>
              <w:rPr>
                <w:sz w:val="24"/>
              </w:rPr>
            </w:pPr>
            <w:r>
              <w:rPr>
                <w:kern w:val="0"/>
                <w:sz w:val="24"/>
                <w:lang w:bidi="ar"/>
              </w:rPr>
              <w:t>0.00</w:t>
            </w:r>
          </w:p>
        </w:tc>
      </w:tr>
      <w:tr w14:paraId="53EEE4D4">
        <w:tblPrEx>
          <w:tblCellMar>
            <w:top w:w="0" w:type="dxa"/>
            <w:left w:w="0" w:type="dxa"/>
            <w:bottom w:w="0" w:type="dxa"/>
            <w:right w:w="0" w:type="dxa"/>
          </w:tblCellMar>
        </w:tblPrEx>
        <w:trPr>
          <w:trHeight w:val="439" w:hRule="atLeast"/>
        </w:trPr>
        <w:tc>
          <w:tcPr>
            <w:tcW w:w="388"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68247F7">
            <w:pPr>
              <w:widowControl/>
              <w:spacing w:line="353" w:lineRule="auto"/>
              <w:jc w:val="center"/>
              <w:textAlignment w:val="center"/>
              <w:rPr>
                <w:sz w:val="24"/>
              </w:rPr>
            </w:pPr>
            <w:r>
              <w:rPr>
                <w:kern w:val="0"/>
                <w:sz w:val="24"/>
                <w:lang w:bidi="ar"/>
              </w:rPr>
              <w:t>总</w:t>
            </w:r>
            <w:r>
              <w:rPr>
                <w:kern w:val="0"/>
                <w:sz w:val="24"/>
                <w:lang w:bidi="ar"/>
              </w:rPr>
              <w:br w:type="textWrapping"/>
            </w:r>
            <w:r>
              <w:rPr>
                <w:kern w:val="0"/>
                <w:sz w:val="24"/>
                <w:lang w:bidi="ar"/>
              </w:rPr>
              <w:t>体</w:t>
            </w:r>
            <w:r>
              <w:rPr>
                <w:kern w:val="0"/>
                <w:sz w:val="24"/>
                <w:lang w:bidi="ar"/>
              </w:rPr>
              <w:br w:type="textWrapping"/>
            </w:r>
            <w:r>
              <w:rPr>
                <w:kern w:val="0"/>
                <w:sz w:val="24"/>
                <w:lang w:bidi="ar"/>
              </w:rPr>
              <w:t>目</w:t>
            </w:r>
            <w:r>
              <w:rPr>
                <w:kern w:val="0"/>
                <w:sz w:val="24"/>
                <w:lang w:bidi="ar"/>
              </w:rPr>
              <w:br w:type="textWrapping"/>
            </w:r>
            <w:r>
              <w:rPr>
                <w:kern w:val="0"/>
                <w:sz w:val="24"/>
                <w:lang w:bidi="ar"/>
              </w:rPr>
              <w:t>标</w:t>
            </w:r>
          </w:p>
        </w:tc>
        <w:tc>
          <w:tcPr>
            <w:tcW w:w="5202"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F4F051">
            <w:pPr>
              <w:widowControl/>
              <w:spacing w:line="353" w:lineRule="auto"/>
              <w:jc w:val="center"/>
              <w:textAlignment w:val="center"/>
              <w:rPr>
                <w:sz w:val="24"/>
              </w:rPr>
            </w:pPr>
            <w:r>
              <w:rPr>
                <w:kern w:val="0"/>
                <w:sz w:val="24"/>
                <w:lang w:bidi="ar"/>
              </w:rPr>
              <w:t>年度设定目标</w:t>
            </w:r>
          </w:p>
        </w:tc>
        <w:tc>
          <w:tcPr>
            <w:tcW w:w="409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E009F1">
            <w:pPr>
              <w:widowControl/>
              <w:spacing w:line="353" w:lineRule="auto"/>
              <w:jc w:val="center"/>
              <w:textAlignment w:val="center"/>
              <w:rPr>
                <w:sz w:val="24"/>
              </w:rPr>
            </w:pPr>
            <w:r>
              <w:rPr>
                <w:kern w:val="0"/>
                <w:sz w:val="24"/>
                <w:lang w:bidi="ar"/>
              </w:rPr>
              <w:t>实际完成情况</w:t>
            </w:r>
          </w:p>
        </w:tc>
      </w:tr>
      <w:tr w14:paraId="2F06A4DA">
        <w:tblPrEx>
          <w:tblCellMar>
            <w:top w:w="0" w:type="dxa"/>
            <w:left w:w="0" w:type="dxa"/>
            <w:bottom w:w="0" w:type="dxa"/>
            <w:right w:w="0" w:type="dxa"/>
          </w:tblCellMar>
        </w:tblPrEx>
        <w:trPr>
          <w:trHeight w:val="12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FE00E4">
            <w:pPr>
              <w:spacing w:line="353" w:lineRule="auto"/>
              <w:jc w:val="center"/>
              <w:rPr>
                <w:sz w:val="24"/>
              </w:rPr>
            </w:pPr>
          </w:p>
        </w:tc>
        <w:tc>
          <w:tcPr>
            <w:tcW w:w="5202"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B22750">
            <w:pPr>
              <w:widowControl/>
              <w:spacing w:line="353" w:lineRule="auto"/>
              <w:jc w:val="center"/>
              <w:textAlignment w:val="center"/>
              <w:rPr>
                <w:sz w:val="24"/>
              </w:rPr>
            </w:pPr>
            <w:r>
              <w:rPr>
                <w:kern w:val="0"/>
                <w:sz w:val="24"/>
                <w:lang w:bidi="ar"/>
              </w:rPr>
              <w:t>完成主动监察用人单位，办理好劳务派遣特殊工时许可证工作，完成投诉案件处理</w:t>
            </w:r>
          </w:p>
        </w:tc>
        <w:tc>
          <w:tcPr>
            <w:tcW w:w="409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7DFF61">
            <w:pPr>
              <w:widowControl/>
              <w:spacing w:line="353" w:lineRule="auto"/>
              <w:jc w:val="center"/>
              <w:textAlignment w:val="center"/>
              <w:rPr>
                <w:sz w:val="24"/>
              </w:rPr>
            </w:pPr>
            <w:r>
              <w:rPr>
                <w:kern w:val="0"/>
                <w:sz w:val="24"/>
                <w:lang w:bidi="ar"/>
              </w:rPr>
              <w:t>完成主动监察用人单位，办理好劳务派遣特殊工时许可证工作，完成投诉案件处理</w:t>
            </w:r>
          </w:p>
        </w:tc>
      </w:tr>
      <w:tr w14:paraId="743D56CE">
        <w:tblPrEx>
          <w:tblCellMar>
            <w:top w:w="0" w:type="dxa"/>
            <w:left w:w="0" w:type="dxa"/>
            <w:bottom w:w="0" w:type="dxa"/>
            <w:right w:w="0" w:type="dxa"/>
          </w:tblCellMar>
        </w:tblPrEx>
        <w:trPr>
          <w:trHeight w:val="610" w:hRule="atLeast"/>
        </w:trPr>
        <w:tc>
          <w:tcPr>
            <w:tcW w:w="388"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5A5F27">
            <w:pPr>
              <w:widowControl/>
              <w:spacing w:line="353" w:lineRule="auto"/>
              <w:jc w:val="center"/>
              <w:textAlignment w:val="center"/>
              <w:rPr>
                <w:sz w:val="24"/>
              </w:rPr>
            </w:pPr>
            <w:r>
              <w:rPr>
                <w:kern w:val="0"/>
                <w:sz w:val="24"/>
                <w:lang w:bidi="ar"/>
              </w:rPr>
              <w:t>绩</w:t>
            </w:r>
            <w:r>
              <w:rPr>
                <w:kern w:val="0"/>
                <w:sz w:val="24"/>
                <w:lang w:bidi="ar"/>
              </w:rPr>
              <w:br w:type="textWrapping"/>
            </w:r>
            <w:r>
              <w:rPr>
                <w:kern w:val="0"/>
                <w:sz w:val="24"/>
                <w:lang w:bidi="ar"/>
              </w:rPr>
              <w:t>效</w:t>
            </w:r>
            <w:r>
              <w:rPr>
                <w:kern w:val="0"/>
                <w:sz w:val="24"/>
                <w:lang w:bidi="ar"/>
              </w:rPr>
              <w:br w:type="textWrapping"/>
            </w:r>
            <w:r>
              <w:rPr>
                <w:kern w:val="0"/>
                <w:sz w:val="24"/>
                <w:lang w:bidi="ar"/>
              </w:rPr>
              <w:t>指</w:t>
            </w:r>
            <w:r>
              <w:rPr>
                <w:kern w:val="0"/>
                <w:sz w:val="24"/>
                <w:lang w:bidi="ar"/>
              </w:rPr>
              <w:br w:type="textWrapping"/>
            </w:r>
            <w:r>
              <w:rPr>
                <w:kern w:val="0"/>
                <w:sz w:val="24"/>
                <w:lang w:bidi="ar"/>
              </w:rPr>
              <w:t>标</w:t>
            </w:r>
          </w:p>
        </w:tc>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665689">
            <w:pPr>
              <w:widowControl/>
              <w:spacing w:line="353" w:lineRule="auto"/>
              <w:jc w:val="center"/>
              <w:textAlignment w:val="center"/>
              <w:rPr>
                <w:sz w:val="24"/>
              </w:rPr>
            </w:pPr>
            <w:r>
              <w:rPr>
                <w:kern w:val="0"/>
                <w:sz w:val="24"/>
                <w:lang w:bidi="ar"/>
              </w:rPr>
              <w:t>一级</w:t>
            </w:r>
            <w:r>
              <w:rPr>
                <w:kern w:val="0"/>
                <w:sz w:val="24"/>
                <w:lang w:bidi="ar"/>
              </w:rPr>
              <w:br w:type="textWrapping"/>
            </w:r>
            <w:r>
              <w:rPr>
                <w:kern w:val="0"/>
                <w:sz w:val="24"/>
                <w:lang w:bidi="ar"/>
              </w:rPr>
              <w:t>指标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2940D8D">
            <w:pPr>
              <w:widowControl/>
              <w:spacing w:line="353" w:lineRule="auto"/>
              <w:jc w:val="center"/>
              <w:textAlignment w:val="center"/>
              <w:rPr>
                <w:sz w:val="24"/>
              </w:rPr>
            </w:pPr>
            <w:r>
              <w:rPr>
                <w:kern w:val="0"/>
                <w:sz w:val="24"/>
                <w:lang w:bidi="ar"/>
              </w:rPr>
              <w:t>二级指标</w:t>
            </w: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3B47B5">
            <w:pPr>
              <w:widowControl/>
              <w:spacing w:line="353" w:lineRule="auto"/>
              <w:jc w:val="center"/>
              <w:textAlignment w:val="center"/>
              <w:rPr>
                <w:sz w:val="24"/>
              </w:rPr>
            </w:pPr>
            <w:r>
              <w:rPr>
                <w:kern w:val="0"/>
                <w:sz w:val="24"/>
                <w:lang w:bidi="ar"/>
              </w:rPr>
              <w:t>三级指标</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D07BF5">
            <w:pPr>
              <w:widowControl/>
              <w:spacing w:line="353" w:lineRule="auto"/>
              <w:jc w:val="center"/>
              <w:textAlignment w:val="center"/>
              <w:rPr>
                <w:sz w:val="24"/>
              </w:rPr>
            </w:pPr>
            <w:r>
              <w:rPr>
                <w:kern w:val="0"/>
                <w:sz w:val="24"/>
                <w:lang w:bidi="ar"/>
              </w:rPr>
              <w:t>年度指标值</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04BFE8">
            <w:pPr>
              <w:widowControl/>
              <w:spacing w:line="353" w:lineRule="auto"/>
              <w:jc w:val="center"/>
              <w:textAlignment w:val="center"/>
              <w:rPr>
                <w:sz w:val="24"/>
              </w:rPr>
            </w:pPr>
            <w:r>
              <w:rPr>
                <w:kern w:val="0"/>
                <w:sz w:val="24"/>
                <w:lang w:bidi="ar"/>
              </w:rPr>
              <w:t>实际完成数</w:t>
            </w:r>
          </w:p>
        </w:tc>
      </w:tr>
      <w:tr w14:paraId="23F91573">
        <w:tblPrEx>
          <w:tblCellMar>
            <w:top w:w="0" w:type="dxa"/>
            <w:left w:w="0" w:type="dxa"/>
            <w:bottom w:w="0" w:type="dxa"/>
            <w:right w:w="0" w:type="dxa"/>
          </w:tblCellMar>
        </w:tblPrEx>
        <w:trPr>
          <w:trHeight w:val="31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6D011B">
            <w:pPr>
              <w:spacing w:line="353" w:lineRule="auto"/>
              <w:jc w:val="center"/>
              <w:rPr>
                <w:sz w:val="24"/>
              </w:rPr>
            </w:pPr>
          </w:p>
        </w:tc>
        <w:tc>
          <w:tcPr>
            <w:tcW w:w="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4E12A0">
            <w:pPr>
              <w:widowControl/>
              <w:spacing w:line="353" w:lineRule="auto"/>
              <w:jc w:val="center"/>
              <w:textAlignment w:val="center"/>
              <w:rPr>
                <w:sz w:val="24"/>
              </w:rPr>
            </w:pPr>
            <w:r>
              <w:rPr>
                <w:kern w:val="0"/>
                <w:sz w:val="24"/>
                <w:lang w:bidi="ar"/>
              </w:rPr>
              <w:t>项目完成</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601F2F">
            <w:pPr>
              <w:widowControl/>
              <w:spacing w:line="353" w:lineRule="auto"/>
              <w:jc w:val="center"/>
              <w:textAlignment w:val="center"/>
              <w:rPr>
                <w:sz w:val="24"/>
              </w:rPr>
            </w:pPr>
            <w:r>
              <w:rPr>
                <w:kern w:val="0"/>
                <w:sz w:val="24"/>
                <w:lang w:bidi="ar"/>
              </w:rPr>
              <w:t>数量指标</w:t>
            </w: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4395AE">
            <w:pPr>
              <w:widowControl/>
              <w:spacing w:line="353" w:lineRule="auto"/>
              <w:jc w:val="left"/>
              <w:textAlignment w:val="center"/>
              <w:rPr>
                <w:sz w:val="24"/>
              </w:rPr>
            </w:pPr>
            <w:r>
              <w:rPr>
                <w:kern w:val="0"/>
                <w:sz w:val="24"/>
                <w:lang w:bidi="ar"/>
              </w:rPr>
              <w:t>主动监察用人单位</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99C415">
            <w:pPr>
              <w:widowControl/>
              <w:spacing w:line="353" w:lineRule="auto"/>
              <w:jc w:val="left"/>
              <w:textAlignment w:val="center"/>
              <w:rPr>
                <w:sz w:val="24"/>
              </w:rPr>
            </w:pPr>
            <w:r>
              <w:rPr>
                <w:kern w:val="0"/>
                <w:sz w:val="24"/>
                <w:lang w:bidi="ar"/>
              </w:rPr>
              <w:t>400户</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5742FB">
            <w:pPr>
              <w:widowControl/>
              <w:spacing w:line="353" w:lineRule="auto"/>
              <w:jc w:val="left"/>
              <w:textAlignment w:val="center"/>
              <w:rPr>
                <w:sz w:val="24"/>
              </w:rPr>
            </w:pPr>
            <w:r>
              <w:rPr>
                <w:kern w:val="0"/>
                <w:sz w:val="24"/>
                <w:lang w:bidi="ar"/>
              </w:rPr>
              <w:t>400户</w:t>
            </w:r>
          </w:p>
        </w:tc>
      </w:tr>
      <w:tr w14:paraId="5716C27E">
        <w:tblPrEx>
          <w:tblCellMar>
            <w:top w:w="0" w:type="dxa"/>
            <w:left w:w="0" w:type="dxa"/>
            <w:bottom w:w="0" w:type="dxa"/>
            <w:right w:w="0" w:type="dxa"/>
          </w:tblCellMar>
        </w:tblPrEx>
        <w:trPr>
          <w:trHeight w:val="6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AB20347">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EB92B53">
            <w:pPr>
              <w:spacing w:line="353" w:lineRule="auto"/>
              <w:jc w:val="center"/>
              <w:rPr>
                <w:sz w:val="24"/>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605ADB">
            <w:pPr>
              <w:spacing w:line="353" w:lineRule="auto"/>
              <w:jc w:val="center"/>
              <w:rPr>
                <w:sz w:val="24"/>
              </w:rPr>
            </w:pP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6A4B99">
            <w:pPr>
              <w:widowControl/>
              <w:spacing w:line="353" w:lineRule="auto"/>
              <w:jc w:val="left"/>
              <w:textAlignment w:val="center"/>
              <w:rPr>
                <w:sz w:val="24"/>
              </w:rPr>
            </w:pPr>
            <w:r>
              <w:rPr>
                <w:kern w:val="0"/>
                <w:sz w:val="24"/>
                <w:lang w:bidi="ar"/>
              </w:rPr>
              <w:t>处理投诉案件，劳动监察案件按期结案率达到100%</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EB03E0">
            <w:pPr>
              <w:widowControl/>
              <w:spacing w:line="353" w:lineRule="auto"/>
              <w:jc w:val="left"/>
              <w:textAlignment w:val="center"/>
              <w:rPr>
                <w:sz w:val="24"/>
              </w:rPr>
            </w:pPr>
            <w:r>
              <w:rPr>
                <w:kern w:val="0"/>
                <w:sz w:val="24"/>
                <w:lang w:bidi="ar"/>
              </w:rPr>
              <w:t>50件</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FC93E0">
            <w:pPr>
              <w:widowControl/>
              <w:spacing w:line="353" w:lineRule="auto"/>
              <w:jc w:val="left"/>
              <w:textAlignment w:val="center"/>
              <w:rPr>
                <w:sz w:val="24"/>
              </w:rPr>
            </w:pPr>
            <w:r>
              <w:rPr>
                <w:kern w:val="0"/>
                <w:sz w:val="24"/>
                <w:lang w:bidi="ar"/>
              </w:rPr>
              <w:t>50件</w:t>
            </w:r>
          </w:p>
        </w:tc>
      </w:tr>
      <w:tr w14:paraId="22B3298B">
        <w:tblPrEx>
          <w:tblCellMar>
            <w:top w:w="0" w:type="dxa"/>
            <w:left w:w="0" w:type="dxa"/>
            <w:bottom w:w="0" w:type="dxa"/>
            <w:right w:w="0" w:type="dxa"/>
          </w:tblCellMar>
        </w:tblPrEx>
        <w:trPr>
          <w:trHeight w:val="3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10CB28">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C1C8D7">
            <w:pPr>
              <w:spacing w:line="353" w:lineRule="auto"/>
              <w:jc w:val="center"/>
              <w:rPr>
                <w:sz w:val="24"/>
              </w:rPr>
            </w:pP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9498EF">
            <w:pPr>
              <w:widowControl/>
              <w:spacing w:line="353" w:lineRule="auto"/>
              <w:jc w:val="center"/>
              <w:textAlignment w:val="center"/>
              <w:rPr>
                <w:sz w:val="24"/>
              </w:rPr>
            </w:pPr>
            <w:r>
              <w:rPr>
                <w:kern w:val="0"/>
                <w:sz w:val="24"/>
                <w:lang w:bidi="ar"/>
              </w:rPr>
              <w:t>质量指标</w:t>
            </w:r>
          </w:p>
        </w:tc>
        <w:tc>
          <w:tcPr>
            <w:tcW w:w="3286" w:type="dxa"/>
            <w:gridSpan w:val="2"/>
            <w:tcBorders>
              <w:top w:val="single" w:color="000000" w:sz="4" w:space="0"/>
              <w:left w:val="nil"/>
              <w:bottom w:val="nil"/>
              <w:right w:val="nil"/>
            </w:tcBorders>
            <w:shd w:val="clear" w:color="auto" w:fill="auto"/>
            <w:tcMar>
              <w:top w:w="10" w:type="dxa"/>
              <w:left w:w="10" w:type="dxa"/>
              <w:right w:w="10" w:type="dxa"/>
            </w:tcMar>
            <w:vAlign w:val="center"/>
          </w:tcPr>
          <w:p w14:paraId="38D405F1">
            <w:pPr>
              <w:widowControl/>
              <w:spacing w:line="353" w:lineRule="auto"/>
              <w:jc w:val="left"/>
              <w:textAlignment w:val="center"/>
              <w:rPr>
                <w:sz w:val="24"/>
              </w:rPr>
            </w:pPr>
            <w:r>
              <w:rPr>
                <w:kern w:val="0"/>
                <w:sz w:val="24"/>
                <w:lang w:bidi="ar"/>
              </w:rPr>
              <w:t>完成主动监察任务</w:t>
            </w:r>
          </w:p>
        </w:tc>
        <w:tc>
          <w:tcPr>
            <w:tcW w:w="2436" w:type="dxa"/>
            <w:gridSpan w:val="2"/>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14D54CAB">
            <w:pPr>
              <w:widowControl/>
              <w:spacing w:line="353" w:lineRule="auto"/>
              <w:jc w:val="left"/>
              <w:textAlignment w:val="center"/>
              <w:rPr>
                <w:sz w:val="24"/>
              </w:rPr>
            </w:pPr>
            <w:r>
              <w:rPr>
                <w:kern w:val="0"/>
                <w:sz w:val="24"/>
                <w:lang w:bidi="ar"/>
              </w:rPr>
              <w:t>400户</w:t>
            </w:r>
          </w:p>
        </w:tc>
        <w:tc>
          <w:tcPr>
            <w:tcW w:w="1656"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554E41D6">
            <w:pPr>
              <w:widowControl/>
              <w:spacing w:line="353" w:lineRule="auto"/>
              <w:jc w:val="left"/>
              <w:textAlignment w:val="center"/>
              <w:rPr>
                <w:sz w:val="24"/>
              </w:rPr>
            </w:pPr>
            <w:r>
              <w:rPr>
                <w:kern w:val="0"/>
                <w:sz w:val="24"/>
                <w:lang w:bidi="ar"/>
              </w:rPr>
              <w:t>400户</w:t>
            </w:r>
          </w:p>
        </w:tc>
      </w:tr>
      <w:tr w14:paraId="0A182ADA">
        <w:tblPrEx>
          <w:tblCellMar>
            <w:top w:w="0" w:type="dxa"/>
            <w:left w:w="0" w:type="dxa"/>
            <w:bottom w:w="0" w:type="dxa"/>
            <w:right w:w="0" w:type="dxa"/>
          </w:tblCellMar>
        </w:tblPrEx>
        <w:trPr>
          <w:trHeight w:val="3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FA8F525">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48DD41">
            <w:pPr>
              <w:spacing w:line="353" w:lineRule="auto"/>
              <w:jc w:val="center"/>
              <w:rPr>
                <w:sz w:val="24"/>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98E1D0">
            <w:pPr>
              <w:spacing w:line="353" w:lineRule="auto"/>
              <w:jc w:val="center"/>
              <w:rPr>
                <w:sz w:val="24"/>
              </w:rPr>
            </w:pPr>
          </w:p>
        </w:tc>
        <w:tc>
          <w:tcPr>
            <w:tcW w:w="3286" w:type="dxa"/>
            <w:gridSpan w:val="2"/>
            <w:tcBorders>
              <w:top w:val="single" w:color="000000" w:sz="4" w:space="0"/>
              <w:left w:val="nil"/>
              <w:bottom w:val="nil"/>
              <w:right w:val="nil"/>
            </w:tcBorders>
            <w:shd w:val="clear" w:color="auto" w:fill="auto"/>
            <w:tcMar>
              <w:top w:w="10" w:type="dxa"/>
              <w:left w:w="10" w:type="dxa"/>
              <w:right w:w="10" w:type="dxa"/>
            </w:tcMar>
            <w:vAlign w:val="center"/>
          </w:tcPr>
          <w:p w14:paraId="329F498F">
            <w:pPr>
              <w:widowControl/>
              <w:spacing w:line="353" w:lineRule="auto"/>
              <w:jc w:val="left"/>
              <w:textAlignment w:val="center"/>
              <w:rPr>
                <w:sz w:val="24"/>
              </w:rPr>
            </w:pPr>
            <w:r>
              <w:rPr>
                <w:kern w:val="0"/>
                <w:sz w:val="24"/>
                <w:lang w:bidi="ar"/>
              </w:rPr>
              <w:t>按期结案率到达100%</w:t>
            </w:r>
          </w:p>
        </w:tc>
        <w:tc>
          <w:tcPr>
            <w:tcW w:w="2436" w:type="dxa"/>
            <w:gridSpan w:val="2"/>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701B8A6A">
            <w:pPr>
              <w:widowControl/>
              <w:spacing w:line="353" w:lineRule="auto"/>
              <w:jc w:val="left"/>
              <w:textAlignment w:val="center"/>
              <w:rPr>
                <w:sz w:val="24"/>
              </w:rPr>
            </w:pPr>
            <w:r>
              <w:rPr>
                <w:kern w:val="0"/>
                <w:sz w:val="24"/>
                <w:lang w:bidi="ar"/>
              </w:rPr>
              <w:t>50件</w:t>
            </w:r>
          </w:p>
        </w:tc>
        <w:tc>
          <w:tcPr>
            <w:tcW w:w="1656"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410749E3">
            <w:pPr>
              <w:widowControl/>
              <w:spacing w:line="353" w:lineRule="auto"/>
              <w:jc w:val="left"/>
              <w:textAlignment w:val="center"/>
              <w:rPr>
                <w:sz w:val="24"/>
              </w:rPr>
            </w:pPr>
            <w:r>
              <w:rPr>
                <w:kern w:val="0"/>
                <w:sz w:val="24"/>
                <w:lang w:bidi="ar"/>
              </w:rPr>
              <w:t>50件</w:t>
            </w:r>
          </w:p>
        </w:tc>
      </w:tr>
      <w:tr w14:paraId="164820FF">
        <w:tblPrEx>
          <w:tblCellMar>
            <w:top w:w="0" w:type="dxa"/>
            <w:left w:w="0" w:type="dxa"/>
            <w:bottom w:w="0" w:type="dxa"/>
            <w:right w:w="0" w:type="dxa"/>
          </w:tblCellMar>
        </w:tblPrEx>
        <w:trPr>
          <w:trHeight w:val="435"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1E88B7">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C72BB2B">
            <w:pPr>
              <w:spacing w:line="353" w:lineRule="auto"/>
              <w:jc w:val="center"/>
              <w:rPr>
                <w:sz w:val="24"/>
              </w:rPr>
            </w:pP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9F0AF6">
            <w:pPr>
              <w:widowControl/>
              <w:spacing w:line="353" w:lineRule="auto"/>
              <w:jc w:val="center"/>
              <w:textAlignment w:val="center"/>
              <w:rPr>
                <w:sz w:val="24"/>
              </w:rPr>
            </w:pPr>
            <w:r>
              <w:rPr>
                <w:kern w:val="0"/>
                <w:sz w:val="24"/>
                <w:lang w:bidi="ar"/>
              </w:rPr>
              <w:t>时效指标</w:t>
            </w: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4603C7">
            <w:pPr>
              <w:widowControl/>
              <w:spacing w:line="353" w:lineRule="auto"/>
              <w:jc w:val="left"/>
              <w:textAlignment w:val="center"/>
              <w:rPr>
                <w:sz w:val="24"/>
              </w:rPr>
            </w:pPr>
            <w:r>
              <w:rPr>
                <w:kern w:val="0"/>
                <w:sz w:val="24"/>
                <w:lang w:bidi="ar"/>
              </w:rPr>
              <w:t>2019年全年</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48947F">
            <w:pPr>
              <w:widowControl/>
              <w:spacing w:line="353" w:lineRule="auto"/>
              <w:jc w:val="left"/>
              <w:textAlignment w:val="center"/>
              <w:rPr>
                <w:sz w:val="24"/>
              </w:rPr>
            </w:pPr>
            <w:r>
              <w:rPr>
                <w:kern w:val="0"/>
                <w:sz w:val="24"/>
                <w:lang w:bidi="ar"/>
              </w:rPr>
              <w:t>2019年全年</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86C8A1A">
            <w:pPr>
              <w:widowControl/>
              <w:spacing w:line="353" w:lineRule="auto"/>
              <w:jc w:val="left"/>
              <w:textAlignment w:val="center"/>
              <w:rPr>
                <w:sz w:val="24"/>
              </w:rPr>
            </w:pPr>
            <w:r>
              <w:rPr>
                <w:kern w:val="0"/>
                <w:sz w:val="24"/>
                <w:lang w:bidi="ar"/>
              </w:rPr>
              <w:t>2019年全年</w:t>
            </w:r>
          </w:p>
        </w:tc>
      </w:tr>
      <w:tr w14:paraId="3EAC4466">
        <w:tblPrEx>
          <w:tblCellMar>
            <w:top w:w="0" w:type="dxa"/>
            <w:left w:w="0" w:type="dxa"/>
            <w:bottom w:w="0" w:type="dxa"/>
            <w:right w:w="0" w:type="dxa"/>
          </w:tblCellMar>
        </w:tblPrEx>
        <w:trPr>
          <w:trHeight w:val="435"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FDE2D6">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30D3A6">
            <w:pPr>
              <w:spacing w:line="353" w:lineRule="auto"/>
              <w:jc w:val="center"/>
              <w:rPr>
                <w:sz w:val="24"/>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2F480CA">
            <w:pPr>
              <w:spacing w:line="353" w:lineRule="auto"/>
              <w:jc w:val="center"/>
              <w:rPr>
                <w:sz w:val="24"/>
              </w:rPr>
            </w:pP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9FBF039">
            <w:pPr>
              <w:widowControl/>
              <w:spacing w:line="353" w:lineRule="auto"/>
              <w:jc w:val="left"/>
              <w:textAlignment w:val="center"/>
              <w:rPr>
                <w:sz w:val="24"/>
              </w:rPr>
            </w:pPr>
            <w:r>
              <w:rPr>
                <w:kern w:val="0"/>
                <w:sz w:val="24"/>
                <w:lang w:bidi="ar"/>
              </w:rPr>
              <w:t>2019年全年</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ECEAA2">
            <w:pPr>
              <w:widowControl/>
              <w:spacing w:line="353" w:lineRule="auto"/>
              <w:jc w:val="left"/>
              <w:textAlignment w:val="center"/>
              <w:rPr>
                <w:sz w:val="24"/>
              </w:rPr>
            </w:pPr>
            <w:r>
              <w:rPr>
                <w:kern w:val="0"/>
                <w:sz w:val="24"/>
                <w:lang w:bidi="ar"/>
              </w:rPr>
              <w:t>2019年全年</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C5ACAC">
            <w:pPr>
              <w:widowControl/>
              <w:spacing w:line="353" w:lineRule="auto"/>
              <w:jc w:val="left"/>
              <w:textAlignment w:val="center"/>
              <w:rPr>
                <w:sz w:val="24"/>
              </w:rPr>
            </w:pPr>
            <w:r>
              <w:rPr>
                <w:kern w:val="0"/>
                <w:sz w:val="24"/>
                <w:lang w:bidi="ar"/>
              </w:rPr>
              <w:t>2019年全年</w:t>
            </w:r>
          </w:p>
        </w:tc>
      </w:tr>
      <w:tr w14:paraId="682A3520">
        <w:tblPrEx>
          <w:tblCellMar>
            <w:top w:w="0" w:type="dxa"/>
            <w:left w:w="0" w:type="dxa"/>
            <w:bottom w:w="0" w:type="dxa"/>
            <w:right w:w="0" w:type="dxa"/>
          </w:tblCellMar>
        </w:tblPrEx>
        <w:trPr>
          <w:trHeight w:val="31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2FB2835">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3E5A9A">
            <w:pPr>
              <w:spacing w:line="353" w:lineRule="auto"/>
              <w:jc w:val="center"/>
              <w:rPr>
                <w:sz w:val="24"/>
              </w:rPr>
            </w:pP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1811E1">
            <w:pPr>
              <w:widowControl/>
              <w:spacing w:line="353" w:lineRule="auto"/>
              <w:jc w:val="center"/>
              <w:textAlignment w:val="center"/>
              <w:rPr>
                <w:sz w:val="24"/>
              </w:rPr>
            </w:pPr>
            <w:r>
              <w:rPr>
                <w:kern w:val="0"/>
                <w:sz w:val="24"/>
                <w:lang w:bidi="ar"/>
              </w:rPr>
              <w:t>成本指标</w:t>
            </w: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5A0175">
            <w:pPr>
              <w:widowControl/>
              <w:spacing w:line="353" w:lineRule="auto"/>
              <w:jc w:val="left"/>
              <w:textAlignment w:val="center"/>
              <w:rPr>
                <w:sz w:val="24"/>
              </w:rPr>
            </w:pPr>
            <w:r>
              <w:rPr>
                <w:kern w:val="0"/>
                <w:sz w:val="24"/>
                <w:lang w:bidi="ar"/>
              </w:rPr>
              <w:t>50元每户，共计400户</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22C558">
            <w:pPr>
              <w:widowControl/>
              <w:spacing w:line="353" w:lineRule="auto"/>
              <w:jc w:val="left"/>
              <w:textAlignment w:val="center"/>
              <w:rPr>
                <w:sz w:val="24"/>
              </w:rPr>
            </w:pPr>
            <w:r>
              <w:rPr>
                <w:kern w:val="0"/>
                <w:sz w:val="24"/>
                <w:lang w:bidi="ar"/>
              </w:rPr>
              <w:t>20000</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514211">
            <w:pPr>
              <w:widowControl/>
              <w:spacing w:line="353" w:lineRule="auto"/>
              <w:jc w:val="left"/>
              <w:textAlignment w:val="center"/>
              <w:rPr>
                <w:sz w:val="24"/>
              </w:rPr>
            </w:pPr>
            <w:r>
              <w:rPr>
                <w:kern w:val="0"/>
                <w:sz w:val="24"/>
                <w:lang w:bidi="ar"/>
              </w:rPr>
              <w:t>20000</w:t>
            </w:r>
          </w:p>
        </w:tc>
      </w:tr>
      <w:tr w14:paraId="28F88553">
        <w:tblPrEx>
          <w:tblCellMar>
            <w:top w:w="0" w:type="dxa"/>
            <w:left w:w="0" w:type="dxa"/>
            <w:bottom w:w="0" w:type="dxa"/>
            <w:right w:w="0" w:type="dxa"/>
          </w:tblCellMar>
        </w:tblPrEx>
        <w:trPr>
          <w:trHeight w:val="31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18A30E">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41A840">
            <w:pPr>
              <w:spacing w:line="353" w:lineRule="auto"/>
              <w:jc w:val="center"/>
              <w:rPr>
                <w:sz w:val="24"/>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34C081B">
            <w:pPr>
              <w:spacing w:line="353" w:lineRule="auto"/>
              <w:jc w:val="center"/>
              <w:rPr>
                <w:sz w:val="24"/>
              </w:rPr>
            </w:pPr>
          </w:p>
        </w:tc>
        <w:tc>
          <w:tcPr>
            <w:tcW w:w="3286" w:type="dxa"/>
            <w:gridSpan w:val="2"/>
            <w:tcBorders>
              <w:top w:val="single" w:color="000000" w:sz="4" w:space="0"/>
              <w:left w:val="nil"/>
              <w:bottom w:val="nil"/>
              <w:right w:val="nil"/>
            </w:tcBorders>
            <w:shd w:val="clear" w:color="auto" w:fill="auto"/>
            <w:tcMar>
              <w:top w:w="10" w:type="dxa"/>
              <w:left w:w="10" w:type="dxa"/>
              <w:right w:w="10" w:type="dxa"/>
            </w:tcMar>
            <w:vAlign w:val="center"/>
          </w:tcPr>
          <w:p w14:paraId="16949D23">
            <w:pPr>
              <w:widowControl/>
              <w:spacing w:line="353" w:lineRule="auto"/>
              <w:jc w:val="left"/>
              <w:textAlignment w:val="center"/>
              <w:rPr>
                <w:sz w:val="24"/>
              </w:rPr>
            </w:pPr>
            <w:r>
              <w:rPr>
                <w:kern w:val="0"/>
                <w:sz w:val="24"/>
                <w:lang w:bidi="ar"/>
              </w:rPr>
              <w:t>400元每件，共计50件</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4659C4">
            <w:pPr>
              <w:widowControl/>
              <w:spacing w:line="353" w:lineRule="auto"/>
              <w:jc w:val="left"/>
              <w:textAlignment w:val="center"/>
              <w:rPr>
                <w:sz w:val="24"/>
              </w:rPr>
            </w:pPr>
            <w:r>
              <w:rPr>
                <w:kern w:val="0"/>
                <w:sz w:val="24"/>
                <w:lang w:bidi="ar"/>
              </w:rPr>
              <w:t>20000</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56F9D9">
            <w:pPr>
              <w:widowControl/>
              <w:spacing w:line="353" w:lineRule="auto"/>
              <w:jc w:val="left"/>
              <w:textAlignment w:val="center"/>
              <w:rPr>
                <w:sz w:val="24"/>
              </w:rPr>
            </w:pPr>
            <w:r>
              <w:rPr>
                <w:kern w:val="0"/>
                <w:sz w:val="24"/>
                <w:lang w:bidi="ar"/>
              </w:rPr>
              <w:t>20000</w:t>
            </w:r>
          </w:p>
        </w:tc>
      </w:tr>
      <w:tr w14:paraId="339A9157">
        <w:tblPrEx>
          <w:tblCellMar>
            <w:top w:w="0" w:type="dxa"/>
            <w:left w:w="0" w:type="dxa"/>
            <w:bottom w:w="0" w:type="dxa"/>
            <w:right w:w="0" w:type="dxa"/>
          </w:tblCellMar>
        </w:tblPrEx>
        <w:trPr>
          <w:trHeight w:val="3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D77D2EE">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A63514">
            <w:pPr>
              <w:spacing w:line="353" w:lineRule="auto"/>
              <w:jc w:val="center"/>
              <w:rPr>
                <w:sz w:val="24"/>
              </w:rPr>
            </w:pP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4EC51E7">
            <w:pPr>
              <w:widowControl/>
              <w:spacing w:line="353" w:lineRule="auto"/>
              <w:jc w:val="center"/>
              <w:textAlignment w:val="center"/>
              <w:rPr>
                <w:sz w:val="24"/>
              </w:rPr>
            </w:pPr>
            <w:r>
              <w:rPr>
                <w:kern w:val="0"/>
                <w:sz w:val="24"/>
                <w:lang w:bidi="ar"/>
              </w:rPr>
              <w:t>社会效益</w:t>
            </w:r>
            <w:r>
              <w:rPr>
                <w:kern w:val="0"/>
                <w:sz w:val="24"/>
                <w:lang w:bidi="ar"/>
              </w:rPr>
              <w:br w:type="textWrapping"/>
            </w:r>
            <w:r>
              <w:rPr>
                <w:kern w:val="0"/>
                <w:sz w:val="24"/>
                <w:lang w:bidi="ar"/>
              </w:rPr>
              <w:t>指标</w:t>
            </w:r>
          </w:p>
        </w:tc>
        <w:tc>
          <w:tcPr>
            <w:tcW w:w="3286" w:type="dxa"/>
            <w:gridSpan w:val="2"/>
            <w:tcBorders>
              <w:top w:val="single" w:color="000000" w:sz="4" w:space="0"/>
              <w:left w:val="nil"/>
              <w:bottom w:val="single" w:color="auto" w:sz="4" w:space="0"/>
              <w:right w:val="nil"/>
            </w:tcBorders>
            <w:shd w:val="clear" w:color="auto" w:fill="auto"/>
            <w:tcMar>
              <w:top w:w="10" w:type="dxa"/>
              <w:left w:w="10" w:type="dxa"/>
              <w:right w:w="10" w:type="dxa"/>
            </w:tcMar>
            <w:vAlign w:val="center"/>
          </w:tcPr>
          <w:p w14:paraId="16F98ED5">
            <w:pPr>
              <w:widowControl/>
              <w:spacing w:line="353" w:lineRule="auto"/>
              <w:jc w:val="left"/>
              <w:textAlignment w:val="center"/>
              <w:rPr>
                <w:sz w:val="24"/>
              </w:rPr>
            </w:pPr>
            <w:r>
              <w:rPr>
                <w:kern w:val="0"/>
                <w:sz w:val="24"/>
                <w:lang w:bidi="ar"/>
              </w:rPr>
              <w:t>主动监察督促了企业合法用工</w:t>
            </w:r>
          </w:p>
        </w:tc>
        <w:tc>
          <w:tcPr>
            <w:tcW w:w="2436" w:type="dxa"/>
            <w:gridSpan w:val="2"/>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1513E4EE">
            <w:pPr>
              <w:widowControl/>
              <w:spacing w:line="353" w:lineRule="auto"/>
              <w:jc w:val="left"/>
              <w:textAlignment w:val="center"/>
              <w:rPr>
                <w:sz w:val="24"/>
              </w:rPr>
            </w:pPr>
            <w:r>
              <w:rPr>
                <w:kern w:val="0"/>
                <w:sz w:val="24"/>
                <w:lang w:bidi="ar"/>
              </w:rPr>
              <w:t>400户</w:t>
            </w:r>
          </w:p>
        </w:tc>
        <w:tc>
          <w:tcPr>
            <w:tcW w:w="1656" w:type="dxa"/>
            <w:tcBorders>
              <w:top w:val="single" w:color="000000" w:sz="4" w:space="0"/>
              <w:left w:val="single" w:color="000000" w:sz="4" w:space="0"/>
              <w:bottom w:val="single" w:color="auto" w:sz="4" w:space="0"/>
              <w:right w:val="single" w:color="000000" w:sz="4" w:space="0"/>
            </w:tcBorders>
            <w:shd w:val="clear" w:color="auto" w:fill="auto"/>
            <w:tcMar>
              <w:top w:w="10" w:type="dxa"/>
              <w:left w:w="10" w:type="dxa"/>
              <w:right w:w="10" w:type="dxa"/>
            </w:tcMar>
            <w:vAlign w:val="center"/>
          </w:tcPr>
          <w:p w14:paraId="7B7DAE71">
            <w:pPr>
              <w:widowControl/>
              <w:spacing w:line="353" w:lineRule="auto"/>
              <w:jc w:val="left"/>
              <w:textAlignment w:val="center"/>
              <w:rPr>
                <w:sz w:val="24"/>
              </w:rPr>
            </w:pPr>
            <w:r>
              <w:rPr>
                <w:kern w:val="0"/>
                <w:sz w:val="24"/>
                <w:lang w:bidi="ar"/>
              </w:rPr>
              <w:t>400户</w:t>
            </w:r>
          </w:p>
        </w:tc>
      </w:tr>
      <w:tr w14:paraId="1ACCF782">
        <w:tblPrEx>
          <w:tblCellMar>
            <w:top w:w="0" w:type="dxa"/>
            <w:left w:w="0" w:type="dxa"/>
            <w:bottom w:w="0" w:type="dxa"/>
            <w:right w:w="0" w:type="dxa"/>
          </w:tblCellMar>
        </w:tblPrEx>
        <w:trPr>
          <w:trHeight w:val="6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9A5205">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320B70">
            <w:pPr>
              <w:spacing w:line="353" w:lineRule="auto"/>
              <w:jc w:val="center"/>
              <w:rPr>
                <w:sz w:val="24"/>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181367">
            <w:pPr>
              <w:spacing w:line="353" w:lineRule="auto"/>
              <w:jc w:val="center"/>
              <w:rPr>
                <w:sz w:val="24"/>
              </w:rPr>
            </w:pPr>
          </w:p>
        </w:tc>
        <w:tc>
          <w:tcPr>
            <w:tcW w:w="3286" w:type="dxa"/>
            <w:gridSpan w:val="2"/>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324063">
            <w:pPr>
              <w:widowControl/>
              <w:spacing w:line="353" w:lineRule="auto"/>
              <w:jc w:val="left"/>
              <w:textAlignment w:val="center"/>
              <w:rPr>
                <w:sz w:val="24"/>
              </w:rPr>
            </w:pPr>
            <w:r>
              <w:rPr>
                <w:kern w:val="0"/>
                <w:sz w:val="24"/>
                <w:lang w:bidi="ar"/>
              </w:rPr>
              <w:t>办理投诉案件维护了劳动者合法权益</w:t>
            </w:r>
          </w:p>
        </w:tc>
        <w:tc>
          <w:tcPr>
            <w:tcW w:w="2436" w:type="dxa"/>
            <w:gridSpan w:val="2"/>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48C4F7">
            <w:pPr>
              <w:widowControl/>
              <w:spacing w:line="353" w:lineRule="auto"/>
              <w:jc w:val="left"/>
              <w:textAlignment w:val="center"/>
              <w:rPr>
                <w:sz w:val="24"/>
              </w:rPr>
            </w:pPr>
            <w:r>
              <w:rPr>
                <w:kern w:val="0"/>
                <w:sz w:val="24"/>
                <w:lang w:bidi="ar"/>
              </w:rPr>
              <w:t>50件</w:t>
            </w:r>
          </w:p>
        </w:tc>
        <w:tc>
          <w:tcPr>
            <w:tcW w:w="1656"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D752DBA">
            <w:pPr>
              <w:widowControl/>
              <w:spacing w:line="353" w:lineRule="auto"/>
              <w:jc w:val="left"/>
              <w:textAlignment w:val="center"/>
              <w:rPr>
                <w:sz w:val="24"/>
              </w:rPr>
            </w:pPr>
            <w:r>
              <w:rPr>
                <w:kern w:val="0"/>
                <w:sz w:val="24"/>
                <w:lang w:bidi="ar"/>
              </w:rPr>
              <w:t>50件</w:t>
            </w:r>
          </w:p>
        </w:tc>
      </w:tr>
      <w:tr w14:paraId="6E4D643E">
        <w:tblPrEx>
          <w:tblCellMar>
            <w:top w:w="0" w:type="dxa"/>
            <w:left w:w="0" w:type="dxa"/>
            <w:bottom w:w="0" w:type="dxa"/>
            <w:right w:w="0" w:type="dxa"/>
          </w:tblCellMar>
        </w:tblPrEx>
        <w:trPr>
          <w:trHeight w:val="6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EEDD458">
            <w:pPr>
              <w:spacing w:line="353" w:lineRule="auto"/>
              <w:jc w:val="center"/>
              <w:rPr>
                <w:sz w:val="24"/>
              </w:rPr>
            </w:pPr>
          </w:p>
        </w:tc>
        <w:tc>
          <w:tcPr>
            <w:tcW w:w="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48BC86">
            <w:pPr>
              <w:widowControl/>
              <w:spacing w:line="353" w:lineRule="auto"/>
              <w:jc w:val="center"/>
              <w:textAlignment w:val="center"/>
              <w:rPr>
                <w:sz w:val="24"/>
              </w:rPr>
            </w:pPr>
            <w:r>
              <w:rPr>
                <w:kern w:val="0"/>
                <w:sz w:val="24"/>
                <w:lang w:bidi="ar"/>
              </w:rPr>
              <w:t>满意度指标</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5085450">
            <w:pPr>
              <w:widowControl/>
              <w:spacing w:line="353" w:lineRule="auto"/>
              <w:jc w:val="center"/>
              <w:textAlignment w:val="center"/>
              <w:rPr>
                <w:sz w:val="24"/>
              </w:rPr>
            </w:pPr>
            <w:r>
              <w:rPr>
                <w:kern w:val="0"/>
                <w:sz w:val="24"/>
                <w:lang w:bidi="ar"/>
              </w:rPr>
              <w:t>满意度指标</w:t>
            </w: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842F6E">
            <w:pPr>
              <w:widowControl/>
              <w:spacing w:line="353" w:lineRule="auto"/>
              <w:jc w:val="left"/>
              <w:textAlignment w:val="center"/>
              <w:rPr>
                <w:sz w:val="24"/>
              </w:rPr>
            </w:pPr>
            <w:r>
              <w:rPr>
                <w:kern w:val="0"/>
                <w:sz w:val="24"/>
                <w:lang w:bidi="ar"/>
              </w:rPr>
              <w:t>主动到用人单位开展劳动保障相关法规宣传，规范企业合法用工</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F25B8B">
            <w:pPr>
              <w:widowControl/>
              <w:spacing w:line="353" w:lineRule="auto"/>
              <w:jc w:val="left"/>
              <w:textAlignment w:val="center"/>
              <w:rPr>
                <w:sz w:val="24"/>
              </w:rPr>
            </w:pPr>
            <w:r>
              <w:rPr>
                <w:kern w:val="0"/>
                <w:sz w:val="24"/>
                <w:lang w:bidi="ar"/>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F23148">
            <w:pPr>
              <w:widowControl/>
              <w:spacing w:line="353" w:lineRule="auto"/>
              <w:jc w:val="left"/>
              <w:textAlignment w:val="center"/>
              <w:rPr>
                <w:sz w:val="24"/>
              </w:rPr>
            </w:pPr>
            <w:r>
              <w:rPr>
                <w:kern w:val="0"/>
                <w:sz w:val="24"/>
                <w:lang w:bidi="ar"/>
              </w:rPr>
              <w:t>95%</w:t>
            </w:r>
          </w:p>
        </w:tc>
      </w:tr>
      <w:tr w14:paraId="08969270">
        <w:tblPrEx>
          <w:tblCellMar>
            <w:top w:w="0" w:type="dxa"/>
            <w:left w:w="0" w:type="dxa"/>
            <w:bottom w:w="0" w:type="dxa"/>
            <w:right w:w="0" w:type="dxa"/>
          </w:tblCellMar>
        </w:tblPrEx>
        <w:trPr>
          <w:trHeight w:val="600" w:hRule="atLeast"/>
        </w:trPr>
        <w:tc>
          <w:tcPr>
            <w:tcW w:w="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3EFD34">
            <w:pPr>
              <w:spacing w:line="353" w:lineRule="auto"/>
              <w:jc w:val="center"/>
              <w:rPr>
                <w:sz w:val="24"/>
              </w:rPr>
            </w:pPr>
          </w:p>
        </w:tc>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265891">
            <w:pPr>
              <w:spacing w:line="353" w:lineRule="auto"/>
              <w:jc w:val="center"/>
              <w:rPr>
                <w:sz w:val="24"/>
              </w:rPr>
            </w:pP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927E37">
            <w:pPr>
              <w:spacing w:line="353" w:lineRule="auto"/>
              <w:jc w:val="center"/>
              <w:rPr>
                <w:sz w:val="24"/>
              </w:rPr>
            </w:pPr>
          </w:p>
        </w:tc>
        <w:tc>
          <w:tcPr>
            <w:tcW w:w="328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6401C2F">
            <w:pPr>
              <w:widowControl/>
              <w:spacing w:line="353" w:lineRule="auto"/>
              <w:jc w:val="left"/>
              <w:textAlignment w:val="center"/>
              <w:rPr>
                <w:sz w:val="24"/>
              </w:rPr>
            </w:pPr>
            <w:r>
              <w:rPr>
                <w:kern w:val="0"/>
                <w:sz w:val="24"/>
                <w:lang w:bidi="ar"/>
              </w:rPr>
              <w:t>按照劳动保障相关法律法规办理欠薪案件，依法为劳动者维权</w:t>
            </w:r>
          </w:p>
        </w:tc>
        <w:tc>
          <w:tcPr>
            <w:tcW w:w="2436"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2E33E2">
            <w:pPr>
              <w:widowControl/>
              <w:spacing w:line="353" w:lineRule="auto"/>
              <w:jc w:val="left"/>
              <w:textAlignment w:val="center"/>
              <w:rPr>
                <w:sz w:val="24"/>
              </w:rPr>
            </w:pPr>
            <w:r>
              <w:rPr>
                <w:kern w:val="0"/>
                <w:sz w:val="24"/>
                <w:lang w:bidi="ar"/>
              </w:rPr>
              <w:t>95%</w:t>
            </w:r>
          </w:p>
        </w:tc>
        <w:tc>
          <w:tcPr>
            <w:tcW w:w="1656"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C99542">
            <w:pPr>
              <w:widowControl/>
              <w:spacing w:line="353" w:lineRule="auto"/>
              <w:jc w:val="left"/>
              <w:textAlignment w:val="center"/>
              <w:rPr>
                <w:sz w:val="24"/>
              </w:rPr>
            </w:pPr>
            <w:r>
              <w:rPr>
                <w:kern w:val="0"/>
                <w:sz w:val="24"/>
                <w:lang w:bidi="ar"/>
              </w:rPr>
              <w:t>95%</w:t>
            </w:r>
          </w:p>
        </w:tc>
      </w:tr>
    </w:tbl>
    <w:p w14:paraId="706A00C3"/>
    <w:p w14:paraId="747A4F7C">
      <w:pPr>
        <w:widowControl/>
        <w:spacing w:line="353" w:lineRule="auto"/>
        <w:jc w:val="center"/>
        <w:textAlignment w:val="center"/>
        <w:rPr>
          <w:b/>
          <w:bCs/>
          <w:kern w:val="0"/>
          <w:sz w:val="36"/>
          <w:szCs w:val="36"/>
        </w:rPr>
      </w:pPr>
    </w:p>
    <w:p w14:paraId="76D19695">
      <w:pPr>
        <w:widowControl/>
        <w:spacing w:line="353" w:lineRule="auto"/>
        <w:jc w:val="center"/>
        <w:textAlignment w:val="center"/>
        <w:outlineLvl w:val="1"/>
        <w:rPr>
          <w:b/>
          <w:bCs/>
          <w:spacing w:val="-6"/>
          <w:kern w:val="0"/>
          <w:sz w:val="36"/>
          <w:szCs w:val="36"/>
        </w:rPr>
      </w:pPr>
      <w:bookmarkStart w:id="101" w:name="_Toc29942"/>
      <w:r>
        <w:rPr>
          <w:b/>
          <w:bCs/>
          <w:spacing w:val="-6"/>
          <w:kern w:val="0"/>
          <w:sz w:val="36"/>
          <w:szCs w:val="36"/>
        </w:rPr>
        <w:t>2019年“劳动保障协理员人员经费”项目绩效目标完成表</w:t>
      </w:r>
      <w:bookmarkEnd w:id="101"/>
    </w:p>
    <w:tbl>
      <w:tblPr>
        <w:tblStyle w:val="13"/>
        <w:tblpPr w:leftFromText="180" w:rightFromText="180" w:vertAnchor="text" w:horzAnchor="page" w:tblpX="904" w:tblpY="353"/>
        <w:tblOverlap w:val="never"/>
        <w:tblW w:w="9772" w:type="dxa"/>
        <w:tblInd w:w="0" w:type="dxa"/>
        <w:tblLayout w:type="autofit"/>
        <w:tblCellMar>
          <w:top w:w="0" w:type="dxa"/>
          <w:left w:w="0" w:type="dxa"/>
          <w:bottom w:w="0" w:type="dxa"/>
          <w:right w:w="0" w:type="dxa"/>
        </w:tblCellMar>
      </w:tblPr>
      <w:tblGrid>
        <w:gridCol w:w="510"/>
        <w:gridCol w:w="668"/>
        <w:gridCol w:w="974"/>
        <w:gridCol w:w="100"/>
        <w:gridCol w:w="3357"/>
        <w:gridCol w:w="101"/>
        <w:gridCol w:w="2458"/>
        <w:gridCol w:w="102"/>
        <w:gridCol w:w="1502"/>
      </w:tblGrid>
      <w:tr w14:paraId="46CB3136">
        <w:tblPrEx>
          <w:tblCellMar>
            <w:top w:w="0" w:type="dxa"/>
            <w:left w:w="0" w:type="dxa"/>
            <w:bottom w:w="0" w:type="dxa"/>
            <w:right w:w="0" w:type="dxa"/>
          </w:tblCellMar>
        </w:tblPrEx>
        <w:trPr>
          <w:trHeight w:val="439" w:hRule="atLeast"/>
        </w:trPr>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525DC8F">
            <w:pPr>
              <w:widowControl/>
              <w:spacing w:line="353" w:lineRule="auto"/>
              <w:jc w:val="center"/>
              <w:textAlignment w:val="center"/>
              <w:rPr>
                <w:sz w:val="24"/>
              </w:rPr>
            </w:pPr>
            <w:r>
              <w:rPr>
                <w:kern w:val="0"/>
                <w:sz w:val="24"/>
                <w:lang w:bidi="ar"/>
              </w:rPr>
              <w:t>部门预算项目名称</w:t>
            </w: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370D0F">
            <w:pPr>
              <w:widowControl/>
              <w:spacing w:line="353" w:lineRule="auto"/>
              <w:jc w:val="center"/>
              <w:textAlignment w:val="center"/>
              <w:rPr>
                <w:sz w:val="24"/>
              </w:rPr>
            </w:pPr>
            <w:r>
              <w:rPr>
                <w:kern w:val="0"/>
                <w:sz w:val="24"/>
                <w:lang w:bidi="ar"/>
              </w:rPr>
              <w:t>劳动保障协理员人员经费</w:t>
            </w:r>
          </w:p>
        </w:tc>
      </w:tr>
      <w:tr w14:paraId="09C85FE6">
        <w:tblPrEx>
          <w:tblCellMar>
            <w:top w:w="0" w:type="dxa"/>
            <w:left w:w="0" w:type="dxa"/>
            <w:bottom w:w="0" w:type="dxa"/>
            <w:right w:w="0" w:type="dxa"/>
          </w:tblCellMar>
        </w:tblPrEx>
        <w:trPr>
          <w:trHeight w:val="439" w:hRule="atLeast"/>
        </w:trPr>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F120EB">
            <w:pPr>
              <w:widowControl/>
              <w:spacing w:line="353" w:lineRule="auto"/>
              <w:jc w:val="center"/>
              <w:textAlignment w:val="center"/>
              <w:rPr>
                <w:sz w:val="24"/>
              </w:rPr>
            </w:pPr>
            <w:r>
              <w:rPr>
                <w:kern w:val="0"/>
                <w:sz w:val="24"/>
                <w:lang w:bidi="ar"/>
              </w:rPr>
              <w:t>预算单位</w:t>
            </w:r>
          </w:p>
        </w:tc>
        <w:tc>
          <w:tcPr>
            <w:tcW w:w="7620" w:type="dxa"/>
            <w:gridSpan w:val="6"/>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085C1ED">
            <w:pPr>
              <w:widowControl/>
              <w:spacing w:line="353" w:lineRule="auto"/>
              <w:jc w:val="center"/>
              <w:textAlignment w:val="center"/>
              <w:rPr>
                <w:sz w:val="24"/>
              </w:rPr>
            </w:pPr>
            <w:r>
              <w:rPr>
                <w:kern w:val="0"/>
                <w:sz w:val="24"/>
                <w:lang w:bidi="ar"/>
              </w:rPr>
              <w:t>攀枝花市西区人力资源和社会保障局</w:t>
            </w:r>
          </w:p>
        </w:tc>
      </w:tr>
      <w:tr w14:paraId="21F0FEE4">
        <w:tblPrEx>
          <w:tblCellMar>
            <w:top w:w="0" w:type="dxa"/>
            <w:left w:w="0" w:type="dxa"/>
            <w:bottom w:w="0" w:type="dxa"/>
            <w:right w:w="0" w:type="dxa"/>
          </w:tblCellMar>
        </w:tblPrEx>
        <w:trPr>
          <w:trHeight w:val="439" w:hRule="atLeast"/>
        </w:trPr>
        <w:tc>
          <w:tcPr>
            <w:tcW w:w="21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6BF372F">
            <w:pPr>
              <w:widowControl/>
              <w:spacing w:line="353" w:lineRule="auto"/>
              <w:jc w:val="center"/>
              <w:textAlignment w:val="center"/>
              <w:rPr>
                <w:sz w:val="24"/>
              </w:rPr>
            </w:pPr>
            <w:r>
              <w:rPr>
                <w:kern w:val="0"/>
                <w:sz w:val="24"/>
                <w:lang w:bidi="ar"/>
              </w:rPr>
              <w:t>项目资金</w:t>
            </w:r>
            <w:r>
              <w:rPr>
                <w:kern w:val="0"/>
                <w:sz w:val="24"/>
                <w:lang w:bidi="ar"/>
              </w:rPr>
              <w:br w:type="textWrapping"/>
            </w:r>
            <w:r>
              <w:rPr>
                <w:kern w:val="0"/>
                <w:sz w:val="24"/>
                <w:lang w:bidi="ar"/>
              </w:rPr>
              <w:t>（万元）</w:t>
            </w:r>
          </w:p>
        </w:tc>
        <w:tc>
          <w:tcPr>
            <w:tcW w:w="345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F537379">
            <w:pPr>
              <w:spacing w:line="353" w:lineRule="auto"/>
              <w:jc w:val="center"/>
              <w:rPr>
                <w:sz w:val="24"/>
              </w:rPr>
            </w:pPr>
          </w:p>
        </w:tc>
        <w:tc>
          <w:tcPr>
            <w:tcW w:w="255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5932C45">
            <w:pPr>
              <w:widowControl/>
              <w:spacing w:line="353" w:lineRule="auto"/>
              <w:jc w:val="center"/>
              <w:textAlignment w:val="center"/>
              <w:rPr>
                <w:sz w:val="24"/>
              </w:rPr>
            </w:pPr>
            <w:r>
              <w:rPr>
                <w:kern w:val="0"/>
                <w:sz w:val="24"/>
                <w:lang w:bidi="ar"/>
              </w:rPr>
              <w:t>全年预算数</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88DF5A4">
            <w:pPr>
              <w:widowControl/>
              <w:spacing w:line="353" w:lineRule="auto"/>
              <w:jc w:val="center"/>
              <w:textAlignment w:val="center"/>
              <w:rPr>
                <w:sz w:val="24"/>
              </w:rPr>
            </w:pPr>
            <w:r>
              <w:rPr>
                <w:kern w:val="0"/>
                <w:sz w:val="24"/>
                <w:lang w:bidi="ar"/>
              </w:rPr>
              <w:t>实际完成数</w:t>
            </w:r>
          </w:p>
        </w:tc>
      </w:tr>
      <w:tr w14:paraId="52E9A4C3">
        <w:tblPrEx>
          <w:tblCellMar>
            <w:top w:w="0" w:type="dxa"/>
            <w:left w:w="0" w:type="dxa"/>
            <w:bottom w:w="0" w:type="dxa"/>
            <w:right w:w="0" w:type="dxa"/>
          </w:tblCellMar>
        </w:tblPrEx>
        <w:trPr>
          <w:trHeight w:val="439" w:hRule="atLeast"/>
        </w:trPr>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2874012">
            <w:pPr>
              <w:spacing w:line="353" w:lineRule="auto"/>
              <w:jc w:val="center"/>
              <w:rPr>
                <w:sz w:val="24"/>
              </w:rPr>
            </w:pPr>
          </w:p>
        </w:tc>
        <w:tc>
          <w:tcPr>
            <w:tcW w:w="345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6C4824">
            <w:pPr>
              <w:widowControl/>
              <w:spacing w:line="353" w:lineRule="auto"/>
              <w:textAlignment w:val="center"/>
              <w:rPr>
                <w:sz w:val="24"/>
              </w:rPr>
            </w:pPr>
            <w:r>
              <w:rPr>
                <w:kern w:val="0"/>
                <w:sz w:val="24"/>
                <w:lang w:bidi="ar"/>
              </w:rPr>
              <w:t>年度资金总额：</w:t>
            </w:r>
          </w:p>
        </w:tc>
        <w:tc>
          <w:tcPr>
            <w:tcW w:w="255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8D7A76">
            <w:pPr>
              <w:widowControl/>
              <w:spacing w:line="353" w:lineRule="auto"/>
              <w:jc w:val="left"/>
              <w:textAlignment w:val="center"/>
              <w:rPr>
                <w:sz w:val="24"/>
              </w:rPr>
            </w:pPr>
            <w:r>
              <w:rPr>
                <w:kern w:val="0"/>
                <w:sz w:val="24"/>
                <w:lang w:bidi="ar"/>
              </w:rPr>
              <w:t>115.73</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F4DC31">
            <w:pPr>
              <w:widowControl/>
              <w:spacing w:line="353" w:lineRule="auto"/>
              <w:jc w:val="left"/>
              <w:textAlignment w:val="center"/>
              <w:rPr>
                <w:sz w:val="24"/>
              </w:rPr>
            </w:pPr>
            <w:r>
              <w:rPr>
                <w:kern w:val="0"/>
                <w:sz w:val="24"/>
                <w:lang w:bidi="ar"/>
              </w:rPr>
              <w:t>115.73</w:t>
            </w:r>
          </w:p>
        </w:tc>
      </w:tr>
      <w:tr w14:paraId="11F6213D">
        <w:tblPrEx>
          <w:tblCellMar>
            <w:top w:w="0" w:type="dxa"/>
            <w:left w:w="0" w:type="dxa"/>
            <w:bottom w:w="0" w:type="dxa"/>
            <w:right w:w="0" w:type="dxa"/>
          </w:tblCellMar>
        </w:tblPrEx>
        <w:trPr>
          <w:trHeight w:val="439" w:hRule="atLeast"/>
        </w:trPr>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740369">
            <w:pPr>
              <w:spacing w:line="353" w:lineRule="auto"/>
              <w:jc w:val="center"/>
              <w:rPr>
                <w:sz w:val="24"/>
              </w:rPr>
            </w:pPr>
          </w:p>
        </w:tc>
        <w:tc>
          <w:tcPr>
            <w:tcW w:w="345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13BC9C">
            <w:pPr>
              <w:widowControl/>
              <w:spacing w:line="353" w:lineRule="auto"/>
              <w:jc w:val="center"/>
              <w:textAlignment w:val="center"/>
              <w:rPr>
                <w:sz w:val="24"/>
              </w:rPr>
            </w:pPr>
            <w:r>
              <w:rPr>
                <w:kern w:val="0"/>
                <w:sz w:val="24"/>
                <w:lang w:bidi="ar"/>
              </w:rPr>
              <w:t>其中：上级财政资金</w:t>
            </w:r>
          </w:p>
        </w:tc>
        <w:tc>
          <w:tcPr>
            <w:tcW w:w="255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5E3788">
            <w:pPr>
              <w:widowControl/>
              <w:spacing w:line="353" w:lineRule="auto"/>
              <w:jc w:val="left"/>
              <w:textAlignment w:val="center"/>
              <w:rPr>
                <w:sz w:val="24"/>
              </w:rPr>
            </w:pPr>
            <w:r>
              <w:rPr>
                <w:kern w:val="0"/>
                <w:sz w:val="24"/>
                <w:lang w:bidi="ar"/>
              </w:rPr>
              <w:t>0.00</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A26BC48">
            <w:pPr>
              <w:widowControl/>
              <w:spacing w:line="353" w:lineRule="auto"/>
              <w:jc w:val="left"/>
              <w:textAlignment w:val="center"/>
              <w:rPr>
                <w:sz w:val="24"/>
              </w:rPr>
            </w:pPr>
            <w:r>
              <w:rPr>
                <w:kern w:val="0"/>
                <w:sz w:val="24"/>
                <w:lang w:bidi="ar"/>
              </w:rPr>
              <w:t>0.00</w:t>
            </w:r>
          </w:p>
        </w:tc>
      </w:tr>
      <w:tr w14:paraId="06993D20">
        <w:tblPrEx>
          <w:tblCellMar>
            <w:top w:w="0" w:type="dxa"/>
            <w:left w:w="0" w:type="dxa"/>
            <w:bottom w:w="0" w:type="dxa"/>
            <w:right w:w="0" w:type="dxa"/>
          </w:tblCellMar>
        </w:tblPrEx>
        <w:trPr>
          <w:trHeight w:val="439" w:hRule="atLeast"/>
        </w:trPr>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4DD656">
            <w:pPr>
              <w:spacing w:line="353" w:lineRule="auto"/>
              <w:jc w:val="center"/>
              <w:rPr>
                <w:sz w:val="24"/>
              </w:rPr>
            </w:pPr>
          </w:p>
        </w:tc>
        <w:tc>
          <w:tcPr>
            <w:tcW w:w="345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B61528">
            <w:pPr>
              <w:widowControl/>
              <w:spacing w:line="353" w:lineRule="auto"/>
              <w:jc w:val="center"/>
              <w:textAlignment w:val="center"/>
              <w:rPr>
                <w:sz w:val="24"/>
              </w:rPr>
            </w:pPr>
            <w:r>
              <w:rPr>
                <w:kern w:val="0"/>
                <w:sz w:val="24"/>
                <w:lang w:bidi="ar"/>
              </w:rPr>
              <w:t xml:space="preserve">      本级财政资金</w:t>
            </w:r>
          </w:p>
        </w:tc>
        <w:tc>
          <w:tcPr>
            <w:tcW w:w="255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32FC67">
            <w:pPr>
              <w:widowControl/>
              <w:spacing w:line="353" w:lineRule="auto"/>
              <w:jc w:val="left"/>
              <w:textAlignment w:val="center"/>
              <w:rPr>
                <w:sz w:val="24"/>
              </w:rPr>
            </w:pPr>
            <w:r>
              <w:rPr>
                <w:kern w:val="0"/>
                <w:sz w:val="24"/>
                <w:lang w:bidi="ar"/>
              </w:rPr>
              <w:t>115.73</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1E2F06">
            <w:pPr>
              <w:widowControl/>
              <w:spacing w:line="353" w:lineRule="auto"/>
              <w:jc w:val="left"/>
              <w:textAlignment w:val="center"/>
              <w:rPr>
                <w:sz w:val="24"/>
              </w:rPr>
            </w:pPr>
            <w:r>
              <w:rPr>
                <w:kern w:val="0"/>
                <w:sz w:val="24"/>
                <w:lang w:bidi="ar"/>
              </w:rPr>
              <w:t>115.73</w:t>
            </w:r>
          </w:p>
        </w:tc>
      </w:tr>
      <w:tr w14:paraId="3A5A3A72">
        <w:tblPrEx>
          <w:tblCellMar>
            <w:top w:w="0" w:type="dxa"/>
            <w:left w:w="0" w:type="dxa"/>
            <w:bottom w:w="0" w:type="dxa"/>
            <w:right w:w="0" w:type="dxa"/>
          </w:tblCellMar>
        </w:tblPrEx>
        <w:trPr>
          <w:trHeight w:val="439" w:hRule="atLeast"/>
        </w:trPr>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BCC15">
            <w:pPr>
              <w:spacing w:line="353" w:lineRule="auto"/>
              <w:jc w:val="center"/>
              <w:rPr>
                <w:sz w:val="24"/>
              </w:rPr>
            </w:pPr>
          </w:p>
        </w:tc>
        <w:tc>
          <w:tcPr>
            <w:tcW w:w="3457"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37120B6">
            <w:pPr>
              <w:widowControl/>
              <w:spacing w:line="353" w:lineRule="auto"/>
              <w:jc w:val="center"/>
              <w:textAlignment w:val="center"/>
              <w:rPr>
                <w:sz w:val="24"/>
              </w:rPr>
            </w:pPr>
            <w:r>
              <w:rPr>
                <w:kern w:val="0"/>
                <w:sz w:val="24"/>
                <w:lang w:bidi="ar"/>
              </w:rPr>
              <w:t>其他资金</w:t>
            </w:r>
          </w:p>
        </w:tc>
        <w:tc>
          <w:tcPr>
            <w:tcW w:w="2559"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B3B184">
            <w:pPr>
              <w:widowControl/>
              <w:spacing w:line="353" w:lineRule="auto"/>
              <w:jc w:val="left"/>
              <w:textAlignment w:val="center"/>
              <w:rPr>
                <w:sz w:val="24"/>
              </w:rPr>
            </w:pPr>
            <w:r>
              <w:rPr>
                <w:kern w:val="0"/>
                <w:sz w:val="24"/>
                <w:lang w:bidi="ar"/>
              </w:rPr>
              <w:t>0.00</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9A21A7">
            <w:pPr>
              <w:widowControl/>
              <w:spacing w:line="353" w:lineRule="auto"/>
              <w:jc w:val="left"/>
              <w:textAlignment w:val="center"/>
              <w:rPr>
                <w:sz w:val="24"/>
              </w:rPr>
            </w:pPr>
            <w:r>
              <w:rPr>
                <w:kern w:val="0"/>
                <w:sz w:val="24"/>
                <w:lang w:bidi="ar"/>
              </w:rPr>
              <w:t>0.00</w:t>
            </w:r>
          </w:p>
        </w:tc>
      </w:tr>
      <w:tr w14:paraId="4B13AABC">
        <w:tblPrEx>
          <w:tblCellMar>
            <w:top w:w="0" w:type="dxa"/>
            <w:left w:w="0" w:type="dxa"/>
            <w:bottom w:w="0" w:type="dxa"/>
            <w:right w:w="0" w:type="dxa"/>
          </w:tblCellMar>
        </w:tblPrEx>
        <w:trPr>
          <w:trHeight w:val="439" w:hRule="atLeast"/>
        </w:trPr>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C2CB91">
            <w:pPr>
              <w:widowControl/>
              <w:spacing w:line="353" w:lineRule="auto"/>
              <w:jc w:val="center"/>
              <w:textAlignment w:val="center"/>
              <w:rPr>
                <w:sz w:val="24"/>
              </w:rPr>
            </w:pPr>
            <w:r>
              <w:rPr>
                <w:kern w:val="0"/>
                <w:sz w:val="24"/>
                <w:lang w:bidi="ar"/>
              </w:rPr>
              <w:t>总</w:t>
            </w:r>
            <w:r>
              <w:rPr>
                <w:kern w:val="0"/>
                <w:sz w:val="24"/>
                <w:lang w:bidi="ar"/>
              </w:rPr>
              <w:br w:type="textWrapping"/>
            </w:r>
            <w:r>
              <w:rPr>
                <w:kern w:val="0"/>
                <w:sz w:val="24"/>
                <w:lang w:bidi="ar"/>
              </w:rPr>
              <w:t>体</w:t>
            </w:r>
            <w:r>
              <w:rPr>
                <w:kern w:val="0"/>
                <w:sz w:val="24"/>
                <w:lang w:bidi="ar"/>
              </w:rPr>
              <w:br w:type="textWrapping"/>
            </w:r>
            <w:r>
              <w:rPr>
                <w:kern w:val="0"/>
                <w:sz w:val="24"/>
                <w:lang w:bidi="ar"/>
              </w:rPr>
              <w:t>目</w:t>
            </w:r>
            <w:r>
              <w:rPr>
                <w:kern w:val="0"/>
                <w:sz w:val="24"/>
                <w:lang w:bidi="ar"/>
              </w:rPr>
              <w:br w:type="textWrapping"/>
            </w:r>
            <w:r>
              <w:rPr>
                <w:kern w:val="0"/>
                <w:sz w:val="24"/>
                <w:lang w:bidi="ar"/>
              </w:rPr>
              <w:t>标</w:t>
            </w:r>
          </w:p>
        </w:tc>
        <w:tc>
          <w:tcPr>
            <w:tcW w:w="5200"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68344E9">
            <w:pPr>
              <w:widowControl/>
              <w:spacing w:line="353" w:lineRule="auto"/>
              <w:jc w:val="center"/>
              <w:textAlignment w:val="center"/>
              <w:rPr>
                <w:sz w:val="24"/>
              </w:rPr>
            </w:pPr>
            <w:r>
              <w:rPr>
                <w:kern w:val="0"/>
                <w:sz w:val="24"/>
                <w:lang w:bidi="ar"/>
              </w:rPr>
              <w:t>年度设定目标</w:t>
            </w:r>
          </w:p>
        </w:tc>
        <w:tc>
          <w:tcPr>
            <w:tcW w:w="406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799747">
            <w:pPr>
              <w:widowControl/>
              <w:spacing w:line="353" w:lineRule="auto"/>
              <w:jc w:val="center"/>
              <w:textAlignment w:val="center"/>
              <w:rPr>
                <w:sz w:val="24"/>
              </w:rPr>
            </w:pPr>
            <w:r>
              <w:rPr>
                <w:kern w:val="0"/>
                <w:sz w:val="24"/>
                <w:lang w:bidi="ar"/>
              </w:rPr>
              <w:t>实际完成情况</w:t>
            </w:r>
          </w:p>
        </w:tc>
      </w:tr>
      <w:tr w14:paraId="79916B3F">
        <w:tblPrEx>
          <w:tblCellMar>
            <w:top w:w="0" w:type="dxa"/>
            <w:left w:w="0" w:type="dxa"/>
            <w:bottom w:w="0" w:type="dxa"/>
            <w:right w:w="0" w:type="dxa"/>
          </w:tblCellMar>
        </w:tblPrEx>
        <w:trPr>
          <w:trHeight w:val="120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5E3833">
            <w:pPr>
              <w:spacing w:line="353" w:lineRule="auto"/>
              <w:jc w:val="center"/>
              <w:rPr>
                <w:sz w:val="24"/>
              </w:rPr>
            </w:pPr>
          </w:p>
        </w:tc>
        <w:tc>
          <w:tcPr>
            <w:tcW w:w="5200" w:type="dxa"/>
            <w:gridSpan w:val="5"/>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3A840B">
            <w:pPr>
              <w:widowControl/>
              <w:spacing w:line="353" w:lineRule="auto"/>
              <w:jc w:val="center"/>
              <w:textAlignment w:val="center"/>
              <w:rPr>
                <w:sz w:val="24"/>
              </w:rPr>
            </w:pPr>
            <w:r>
              <w:rPr>
                <w:kern w:val="0"/>
                <w:sz w:val="24"/>
                <w:lang w:bidi="ar"/>
              </w:rPr>
              <w:t>为民众提供高效快捷方便的劳动就业和社会保障经办业务</w:t>
            </w:r>
          </w:p>
        </w:tc>
        <w:tc>
          <w:tcPr>
            <w:tcW w:w="4062" w:type="dxa"/>
            <w:gridSpan w:val="3"/>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B81010">
            <w:pPr>
              <w:widowControl/>
              <w:spacing w:line="353" w:lineRule="auto"/>
              <w:jc w:val="center"/>
              <w:textAlignment w:val="center"/>
              <w:rPr>
                <w:sz w:val="24"/>
              </w:rPr>
            </w:pPr>
            <w:r>
              <w:rPr>
                <w:kern w:val="0"/>
                <w:sz w:val="24"/>
                <w:lang w:bidi="ar"/>
              </w:rPr>
              <w:t>为民众提供高效快捷方便的劳动就业和社会保障经办业务</w:t>
            </w:r>
          </w:p>
        </w:tc>
      </w:tr>
      <w:tr w14:paraId="447B9C03">
        <w:tblPrEx>
          <w:tblCellMar>
            <w:top w:w="0" w:type="dxa"/>
            <w:left w:w="0" w:type="dxa"/>
            <w:bottom w:w="0" w:type="dxa"/>
            <w:right w:w="0" w:type="dxa"/>
          </w:tblCellMar>
        </w:tblPrEx>
        <w:trPr>
          <w:trHeight w:val="610" w:hRule="atLeast"/>
        </w:trPr>
        <w:tc>
          <w:tcPr>
            <w:tcW w:w="51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600658">
            <w:pPr>
              <w:widowControl/>
              <w:spacing w:line="353" w:lineRule="auto"/>
              <w:jc w:val="center"/>
              <w:textAlignment w:val="center"/>
              <w:rPr>
                <w:sz w:val="24"/>
              </w:rPr>
            </w:pPr>
            <w:r>
              <w:rPr>
                <w:kern w:val="0"/>
                <w:sz w:val="24"/>
                <w:lang w:bidi="ar"/>
              </w:rPr>
              <w:t>绩</w:t>
            </w:r>
            <w:r>
              <w:rPr>
                <w:kern w:val="0"/>
                <w:sz w:val="24"/>
                <w:lang w:bidi="ar"/>
              </w:rPr>
              <w:br w:type="textWrapping"/>
            </w:r>
            <w:r>
              <w:rPr>
                <w:kern w:val="0"/>
                <w:sz w:val="24"/>
                <w:lang w:bidi="ar"/>
              </w:rPr>
              <w:t>效</w:t>
            </w:r>
            <w:r>
              <w:rPr>
                <w:kern w:val="0"/>
                <w:sz w:val="24"/>
                <w:lang w:bidi="ar"/>
              </w:rPr>
              <w:br w:type="textWrapping"/>
            </w:r>
            <w:r>
              <w:rPr>
                <w:kern w:val="0"/>
                <w:sz w:val="24"/>
                <w:lang w:bidi="ar"/>
              </w:rPr>
              <w:t>指</w:t>
            </w:r>
            <w:r>
              <w:rPr>
                <w:kern w:val="0"/>
                <w:sz w:val="24"/>
                <w:lang w:bidi="ar"/>
              </w:rPr>
              <w:br w:type="textWrapping"/>
            </w:r>
            <w:r>
              <w:rPr>
                <w:kern w:val="0"/>
                <w:sz w:val="24"/>
                <w:lang w:bidi="ar"/>
              </w:rPr>
              <w:t>标</w:t>
            </w: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60FC3A">
            <w:pPr>
              <w:widowControl/>
              <w:spacing w:line="353" w:lineRule="auto"/>
              <w:jc w:val="center"/>
              <w:textAlignment w:val="center"/>
              <w:rPr>
                <w:sz w:val="24"/>
              </w:rPr>
            </w:pPr>
            <w:r>
              <w:rPr>
                <w:kern w:val="0"/>
                <w:sz w:val="24"/>
                <w:lang w:bidi="ar"/>
              </w:rPr>
              <w:t>一级</w:t>
            </w:r>
            <w:r>
              <w:rPr>
                <w:kern w:val="0"/>
                <w:sz w:val="24"/>
                <w:lang w:bidi="ar"/>
              </w:rPr>
              <w:br w:type="textWrapping"/>
            </w:r>
            <w:r>
              <w:rPr>
                <w:kern w:val="0"/>
                <w:sz w:val="24"/>
                <w:lang w:bidi="ar"/>
              </w:rPr>
              <w:t>指标</w:t>
            </w:r>
          </w:p>
        </w:tc>
        <w:tc>
          <w:tcPr>
            <w:tcW w:w="107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B11A4AF">
            <w:pPr>
              <w:widowControl/>
              <w:spacing w:line="353" w:lineRule="auto"/>
              <w:jc w:val="center"/>
              <w:textAlignment w:val="center"/>
              <w:rPr>
                <w:sz w:val="24"/>
              </w:rPr>
            </w:pPr>
            <w:r>
              <w:rPr>
                <w:kern w:val="0"/>
                <w:sz w:val="24"/>
                <w:lang w:bidi="ar"/>
              </w:rPr>
              <w:t>二级指标</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E0D45B1">
            <w:pPr>
              <w:widowControl/>
              <w:spacing w:line="353" w:lineRule="auto"/>
              <w:jc w:val="center"/>
              <w:textAlignment w:val="center"/>
              <w:rPr>
                <w:sz w:val="24"/>
              </w:rPr>
            </w:pPr>
            <w:r>
              <w:rPr>
                <w:kern w:val="0"/>
                <w:sz w:val="24"/>
                <w:lang w:bidi="ar"/>
              </w:rPr>
              <w:t>三级指标</w:t>
            </w:r>
          </w:p>
        </w:tc>
        <w:tc>
          <w:tcPr>
            <w:tcW w:w="256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B942EFB">
            <w:pPr>
              <w:widowControl/>
              <w:spacing w:line="353" w:lineRule="auto"/>
              <w:jc w:val="center"/>
              <w:textAlignment w:val="center"/>
              <w:rPr>
                <w:sz w:val="24"/>
              </w:rPr>
            </w:pPr>
            <w:r>
              <w:rPr>
                <w:kern w:val="0"/>
                <w:sz w:val="24"/>
                <w:lang w:bidi="ar"/>
              </w:rPr>
              <w:t>年度指标值</w:t>
            </w:r>
          </w:p>
        </w:tc>
        <w:tc>
          <w:tcPr>
            <w:tcW w:w="15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7766A5C">
            <w:pPr>
              <w:widowControl/>
              <w:spacing w:line="353" w:lineRule="auto"/>
              <w:jc w:val="center"/>
              <w:textAlignment w:val="center"/>
              <w:rPr>
                <w:sz w:val="24"/>
              </w:rPr>
            </w:pPr>
            <w:r>
              <w:rPr>
                <w:kern w:val="0"/>
                <w:sz w:val="24"/>
                <w:lang w:bidi="ar"/>
              </w:rPr>
              <w:t>实际完成数</w:t>
            </w:r>
          </w:p>
        </w:tc>
      </w:tr>
      <w:tr w14:paraId="3721945E">
        <w:tblPrEx>
          <w:tblCellMar>
            <w:top w:w="0" w:type="dxa"/>
            <w:left w:w="0" w:type="dxa"/>
            <w:bottom w:w="0" w:type="dxa"/>
            <w:right w:w="0" w:type="dxa"/>
          </w:tblCellMar>
        </w:tblPrEx>
        <w:trPr>
          <w:trHeight w:val="60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BCAA0E2">
            <w:pPr>
              <w:spacing w:line="353" w:lineRule="auto"/>
              <w:jc w:val="center"/>
              <w:rPr>
                <w:sz w:val="24"/>
              </w:rPr>
            </w:pPr>
          </w:p>
        </w:tc>
        <w:tc>
          <w:tcPr>
            <w:tcW w:w="668"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1258CC3">
            <w:pPr>
              <w:widowControl/>
              <w:spacing w:line="353" w:lineRule="auto"/>
              <w:jc w:val="center"/>
              <w:textAlignment w:val="center"/>
              <w:rPr>
                <w:sz w:val="24"/>
              </w:rPr>
            </w:pPr>
            <w:r>
              <w:rPr>
                <w:kern w:val="0"/>
                <w:sz w:val="24"/>
                <w:lang w:bidi="ar"/>
              </w:rPr>
              <w:t>项目完成</w:t>
            </w:r>
          </w:p>
        </w:tc>
        <w:tc>
          <w:tcPr>
            <w:tcW w:w="107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BE4F5D">
            <w:pPr>
              <w:widowControl/>
              <w:spacing w:line="353" w:lineRule="auto"/>
              <w:jc w:val="center"/>
              <w:textAlignment w:val="center"/>
              <w:rPr>
                <w:sz w:val="24"/>
              </w:rPr>
            </w:pPr>
            <w:r>
              <w:rPr>
                <w:kern w:val="0"/>
                <w:sz w:val="24"/>
                <w:lang w:bidi="ar"/>
              </w:rPr>
              <w:t>数量指标</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01F3A5B">
            <w:pPr>
              <w:widowControl/>
              <w:spacing w:line="353" w:lineRule="auto"/>
              <w:jc w:val="left"/>
              <w:textAlignment w:val="center"/>
              <w:rPr>
                <w:sz w:val="24"/>
              </w:rPr>
            </w:pPr>
            <w:r>
              <w:rPr>
                <w:spacing w:val="-6"/>
                <w:kern w:val="0"/>
                <w:sz w:val="24"/>
                <w:lang w:bidi="ar"/>
              </w:rPr>
              <w:t>支付劳动保障协理员各项人头经费</w:t>
            </w:r>
          </w:p>
        </w:tc>
        <w:tc>
          <w:tcPr>
            <w:tcW w:w="256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DC6E8D">
            <w:pPr>
              <w:widowControl/>
              <w:spacing w:line="353" w:lineRule="auto"/>
              <w:jc w:val="left"/>
              <w:textAlignment w:val="center"/>
              <w:rPr>
                <w:sz w:val="24"/>
              </w:rPr>
            </w:pPr>
            <w:r>
              <w:rPr>
                <w:kern w:val="0"/>
                <w:sz w:val="24"/>
                <w:lang w:bidi="ar"/>
              </w:rPr>
              <w:t>33人</w:t>
            </w:r>
          </w:p>
        </w:tc>
        <w:tc>
          <w:tcPr>
            <w:tcW w:w="15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8424A2">
            <w:pPr>
              <w:widowControl/>
              <w:spacing w:line="353" w:lineRule="auto"/>
              <w:jc w:val="left"/>
              <w:textAlignment w:val="center"/>
              <w:rPr>
                <w:sz w:val="24"/>
              </w:rPr>
            </w:pPr>
            <w:r>
              <w:rPr>
                <w:kern w:val="0"/>
                <w:sz w:val="24"/>
                <w:lang w:bidi="ar"/>
              </w:rPr>
              <w:t>33人</w:t>
            </w:r>
          </w:p>
        </w:tc>
      </w:tr>
      <w:tr w14:paraId="3C1642EE">
        <w:tblPrEx>
          <w:tblCellMar>
            <w:top w:w="0" w:type="dxa"/>
            <w:left w:w="0" w:type="dxa"/>
            <w:bottom w:w="0" w:type="dxa"/>
            <w:right w:w="0" w:type="dxa"/>
          </w:tblCellMar>
        </w:tblPrEx>
        <w:trPr>
          <w:trHeight w:val="121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E5156B">
            <w:pPr>
              <w:spacing w:line="353" w:lineRule="auto"/>
              <w:jc w:val="center"/>
              <w:rPr>
                <w:sz w:val="24"/>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A0518A6">
            <w:pPr>
              <w:spacing w:line="353" w:lineRule="auto"/>
              <w:jc w:val="center"/>
              <w:rPr>
                <w:sz w:val="24"/>
              </w:rPr>
            </w:pPr>
          </w:p>
        </w:tc>
        <w:tc>
          <w:tcPr>
            <w:tcW w:w="107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4322F67">
            <w:pPr>
              <w:widowControl/>
              <w:spacing w:line="353" w:lineRule="auto"/>
              <w:jc w:val="center"/>
              <w:textAlignment w:val="center"/>
              <w:rPr>
                <w:sz w:val="24"/>
              </w:rPr>
            </w:pPr>
            <w:r>
              <w:rPr>
                <w:kern w:val="0"/>
                <w:sz w:val="24"/>
                <w:lang w:bidi="ar"/>
              </w:rPr>
              <w:t>质量指标</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76B311">
            <w:pPr>
              <w:widowControl/>
              <w:spacing w:line="353" w:lineRule="auto"/>
              <w:jc w:val="left"/>
              <w:textAlignment w:val="center"/>
              <w:rPr>
                <w:sz w:val="24"/>
              </w:rPr>
            </w:pPr>
            <w:r>
              <w:rPr>
                <w:kern w:val="0"/>
                <w:sz w:val="24"/>
                <w:lang w:bidi="ar"/>
              </w:rPr>
              <w:t>因基层平台建设需要，保障各平台人力资源和社会保障工作顺利开展，为辖区14万人提供人力资源和社会保障服务</w:t>
            </w:r>
          </w:p>
        </w:tc>
        <w:tc>
          <w:tcPr>
            <w:tcW w:w="256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40FFB8">
            <w:pPr>
              <w:widowControl/>
              <w:spacing w:line="353" w:lineRule="auto"/>
              <w:jc w:val="left"/>
              <w:textAlignment w:val="center"/>
              <w:rPr>
                <w:sz w:val="24"/>
              </w:rPr>
            </w:pPr>
            <w:r>
              <w:rPr>
                <w:kern w:val="0"/>
                <w:sz w:val="24"/>
                <w:lang w:bidi="ar"/>
              </w:rPr>
              <w:t>14万人</w:t>
            </w:r>
          </w:p>
        </w:tc>
        <w:tc>
          <w:tcPr>
            <w:tcW w:w="1502"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1A30DA27">
            <w:pPr>
              <w:widowControl/>
              <w:spacing w:line="353" w:lineRule="auto"/>
              <w:jc w:val="left"/>
              <w:textAlignment w:val="center"/>
              <w:rPr>
                <w:sz w:val="24"/>
              </w:rPr>
            </w:pPr>
            <w:r>
              <w:rPr>
                <w:kern w:val="0"/>
                <w:sz w:val="24"/>
                <w:lang w:bidi="ar"/>
              </w:rPr>
              <w:t>14万人</w:t>
            </w:r>
          </w:p>
        </w:tc>
      </w:tr>
      <w:tr w14:paraId="2F0A052B">
        <w:tblPrEx>
          <w:tblCellMar>
            <w:top w:w="0" w:type="dxa"/>
            <w:left w:w="0" w:type="dxa"/>
            <w:bottom w:w="0" w:type="dxa"/>
            <w:right w:w="0" w:type="dxa"/>
          </w:tblCellMar>
        </w:tblPrEx>
        <w:trPr>
          <w:trHeight w:val="435"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BCC2AF">
            <w:pPr>
              <w:spacing w:line="353" w:lineRule="auto"/>
              <w:jc w:val="center"/>
              <w:rPr>
                <w:sz w:val="24"/>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9F55FCC">
            <w:pPr>
              <w:spacing w:line="353" w:lineRule="auto"/>
              <w:jc w:val="center"/>
              <w:rPr>
                <w:sz w:val="24"/>
              </w:rPr>
            </w:pPr>
          </w:p>
        </w:tc>
        <w:tc>
          <w:tcPr>
            <w:tcW w:w="107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413BD6">
            <w:pPr>
              <w:widowControl/>
              <w:spacing w:line="353" w:lineRule="auto"/>
              <w:jc w:val="center"/>
              <w:textAlignment w:val="center"/>
              <w:rPr>
                <w:sz w:val="24"/>
              </w:rPr>
            </w:pPr>
            <w:r>
              <w:rPr>
                <w:kern w:val="0"/>
                <w:sz w:val="24"/>
                <w:lang w:bidi="ar"/>
              </w:rPr>
              <w:t>时效指标</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B854F3">
            <w:pPr>
              <w:widowControl/>
              <w:spacing w:line="353" w:lineRule="auto"/>
              <w:jc w:val="left"/>
              <w:textAlignment w:val="center"/>
              <w:rPr>
                <w:sz w:val="24"/>
              </w:rPr>
            </w:pPr>
            <w:r>
              <w:rPr>
                <w:kern w:val="0"/>
                <w:sz w:val="24"/>
                <w:lang w:bidi="ar"/>
              </w:rPr>
              <w:t>2019年全年</w:t>
            </w:r>
          </w:p>
        </w:tc>
        <w:tc>
          <w:tcPr>
            <w:tcW w:w="256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F947751">
            <w:pPr>
              <w:widowControl/>
              <w:spacing w:line="353" w:lineRule="auto"/>
              <w:jc w:val="left"/>
              <w:textAlignment w:val="center"/>
              <w:rPr>
                <w:sz w:val="24"/>
              </w:rPr>
            </w:pPr>
            <w:r>
              <w:rPr>
                <w:kern w:val="0"/>
                <w:sz w:val="24"/>
                <w:lang w:bidi="ar"/>
              </w:rPr>
              <w:t>2019年全年</w:t>
            </w:r>
          </w:p>
        </w:tc>
        <w:tc>
          <w:tcPr>
            <w:tcW w:w="15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CE90DC">
            <w:pPr>
              <w:widowControl/>
              <w:spacing w:line="353" w:lineRule="auto"/>
              <w:jc w:val="left"/>
              <w:textAlignment w:val="center"/>
              <w:rPr>
                <w:sz w:val="24"/>
              </w:rPr>
            </w:pPr>
            <w:r>
              <w:rPr>
                <w:kern w:val="0"/>
                <w:sz w:val="24"/>
                <w:lang w:bidi="ar"/>
              </w:rPr>
              <w:t>2019年全年</w:t>
            </w:r>
          </w:p>
        </w:tc>
      </w:tr>
      <w:tr w14:paraId="6CC28283">
        <w:tblPrEx>
          <w:tblCellMar>
            <w:top w:w="0" w:type="dxa"/>
            <w:left w:w="0" w:type="dxa"/>
            <w:bottom w:w="0" w:type="dxa"/>
            <w:right w:w="0" w:type="dxa"/>
          </w:tblCellMar>
        </w:tblPrEx>
        <w:trPr>
          <w:trHeight w:val="154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587EF29">
            <w:pPr>
              <w:spacing w:line="353" w:lineRule="auto"/>
              <w:jc w:val="center"/>
              <w:rPr>
                <w:sz w:val="24"/>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356F944">
            <w:pPr>
              <w:spacing w:line="353" w:lineRule="auto"/>
              <w:jc w:val="center"/>
              <w:rPr>
                <w:sz w:val="24"/>
              </w:rPr>
            </w:pPr>
          </w:p>
        </w:tc>
        <w:tc>
          <w:tcPr>
            <w:tcW w:w="1074" w:type="dxa"/>
            <w:gridSpan w:val="2"/>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77788EFF">
            <w:pPr>
              <w:widowControl/>
              <w:spacing w:line="353" w:lineRule="auto"/>
              <w:jc w:val="center"/>
              <w:textAlignment w:val="center"/>
              <w:rPr>
                <w:sz w:val="24"/>
              </w:rPr>
            </w:pPr>
            <w:r>
              <w:rPr>
                <w:kern w:val="0"/>
                <w:sz w:val="24"/>
                <w:lang w:bidi="ar"/>
              </w:rPr>
              <w:t>成本指标</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D2290A">
            <w:pPr>
              <w:widowControl/>
              <w:spacing w:line="353" w:lineRule="auto"/>
              <w:jc w:val="left"/>
              <w:textAlignment w:val="center"/>
              <w:rPr>
                <w:sz w:val="24"/>
              </w:rPr>
            </w:pPr>
            <w:r>
              <w:rPr>
                <w:kern w:val="0"/>
                <w:sz w:val="24"/>
                <w:lang w:bidi="ar"/>
              </w:rPr>
              <w:t>每位协理员每月工资2700元、每位协理员每月单位缴纳社会保险1503.25元、每位协理员每月公积金147.75元、每位协理员年终绩效考核3601元</w:t>
            </w:r>
          </w:p>
        </w:tc>
        <w:tc>
          <w:tcPr>
            <w:tcW w:w="256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F17D14A">
            <w:pPr>
              <w:widowControl/>
              <w:spacing w:line="353" w:lineRule="auto"/>
              <w:jc w:val="left"/>
              <w:textAlignment w:val="center"/>
              <w:rPr>
                <w:sz w:val="24"/>
              </w:rPr>
            </w:pPr>
            <w:r>
              <w:rPr>
                <w:kern w:val="0"/>
                <w:sz w:val="24"/>
                <w:lang w:bidi="ar"/>
              </w:rPr>
              <w:t>1157351.19元</w:t>
            </w:r>
          </w:p>
        </w:tc>
        <w:tc>
          <w:tcPr>
            <w:tcW w:w="15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4407BA2">
            <w:pPr>
              <w:widowControl/>
              <w:spacing w:line="353" w:lineRule="auto"/>
              <w:jc w:val="left"/>
              <w:textAlignment w:val="center"/>
              <w:rPr>
                <w:sz w:val="24"/>
              </w:rPr>
            </w:pPr>
            <w:r>
              <w:rPr>
                <w:kern w:val="0"/>
                <w:sz w:val="24"/>
                <w:lang w:bidi="ar"/>
              </w:rPr>
              <w:t>1157351.19元</w:t>
            </w:r>
          </w:p>
        </w:tc>
      </w:tr>
      <w:tr w14:paraId="46C41CA2">
        <w:tblPrEx>
          <w:tblCellMar>
            <w:top w:w="0" w:type="dxa"/>
            <w:left w:w="0" w:type="dxa"/>
            <w:bottom w:w="0" w:type="dxa"/>
            <w:right w:w="0" w:type="dxa"/>
          </w:tblCellMar>
        </w:tblPrEx>
        <w:trPr>
          <w:trHeight w:val="61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F3FE394">
            <w:pPr>
              <w:spacing w:line="353" w:lineRule="auto"/>
              <w:jc w:val="center"/>
              <w:rPr>
                <w:sz w:val="24"/>
              </w:rPr>
            </w:pPr>
          </w:p>
        </w:tc>
        <w:tc>
          <w:tcPr>
            <w:tcW w:w="6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DC83813">
            <w:pPr>
              <w:spacing w:line="353" w:lineRule="auto"/>
              <w:jc w:val="center"/>
              <w:rPr>
                <w:sz w:val="24"/>
              </w:rPr>
            </w:pPr>
          </w:p>
        </w:tc>
        <w:tc>
          <w:tcPr>
            <w:tcW w:w="107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F897FFB">
            <w:pPr>
              <w:widowControl/>
              <w:spacing w:line="353" w:lineRule="auto"/>
              <w:jc w:val="center"/>
              <w:textAlignment w:val="center"/>
              <w:rPr>
                <w:sz w:val="24"/>
              </w:rPr>
            </w:pPr>
            <w:r>
              <w:rPr>
                <w:kern w:val="0"/>
                <w:sz w:val="24"/>
                <w:lang w:bidi="ar"/>
              </w:rPr>
              <w:t>社会效益</w:t>
            </w:r>
            <w:r>
              <w:rPr>
                <w:kern w:val="0"/>
                <w:sz w:val="24"/>
                <w:lang w:bidi="ar"/>
              </w:rPr>
              <w:br w:type="textWrapping"/>
            </w:r>
            <w:r>
              <w:rPr>
                <w:kern w:val="0"/>
                <w:sz w:val="24"/>
                <w:lang w:bidi="ar"/>
              </w:rPr>
              <w:t>指标</w:t>
            </w:r>
          </w:p>
        </w:tc>
        <w:tc>
          <w:tcPr>
            <w:tcW w:w="3458" w:type="dxa"/>
            <w:gridSpan w:val="2"/>
            <w:tcBorders>
              <w:top w:val="single" w:color="000000" w:sz="4" w:space="0"/>
              <w:left w:val="nil"/>
              <w:bottom w:val="nil"/>
              <w:right w:val="nil"/>
            </w:tcBorders>
            <w:shd w:val="clear" w:color="auto" w:fill="auto"/>
            <w:tcMar>
              <w:top w:w="10" w:type="dxa"/>
              <w:left w:w="10" w:type="dxa"/>
              <w:right w:w="10" w:type="dxa"/>
            </w:tcMar>
            <w:vAlign w:val="center"/>
          </w:tcPr>
          <w:p w14:paraId="282984AF">
            <w:pPr>
              <w:widowControl/>
              <w:spacing w:line="353" w:lineRule="auto"/>
              <w:jc w:val="left"/>
              <w:textAlignment w:val="center"/>
              <w:rPr>
                <w:sz w:val="24"/>
              </w:rPr>
            </w:pPr>
            <w:r>
              <w:rPr>
                <w:kern w:val="0"/>
                <w:sz w:val="24"/>
                <w:lang w:bidi="ar"/>
              </w:rPr>
              <w:t>为民众提高高效快捷方便的劳动就业和社会保障经办业务</w:t>
            </w:r>
          </w:p>
        </w:tc>
        <w:tc>
          <w:tcPr>
            <w:tcW w:w="2560" w:type="dxa"/>
            <w:gridSpan w:val="2"/>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606229AC">
            <w:pPr>
              <w:widowControl/>
              <w:spacing w:line="353" w:lineRule="auto"/>
              <w:jc w:val="left"/>
              <w:textAlignment w:val="center"/>
              <w:rPr>
                <w:sz w:val="24"/>
              </w:rPr>
            </w:pPr>
            <w:r>
              <w:rPr>
                <w:kern w:val="0"/>
                <w:sz w:val="24"/>
                <w:lang w:bidi="ar"/>
              </w:rPr>
              <w:t>100%</w:t>
            </w:r>
          </w:p>
        </w:tc>
        <w:tc>
          <w:tcPr>
            <w:tcW w:w="1502" w:type="dxa"/>
            <w:tcBorders>
              <w:top w:val="single" w:color="000000" w:sz="4" w:space="0"/>
              <w:left w:val="single" w:color="000000" w:sz="4" w:space="0"/>
              <w:bottom w:val="nil"/>
              <w:right w:val="single" w:color="000000" w:sz="4" w:space="0"/>
            </w:tcBorders>
            <w:shd w:val="clear" w:color="auto" w:fill="auto"/>
            <w:tcMar>
              <w:top w:w="10" w:type="dxa"/>
              <w:left w:w="10" w:type="dxa"/>
              <w:right w:w="10" w:type="dxa"/>
            </w:tcMar>
            <w:vAlign w:val="center"/>
          </w:tcPr>
          <w:p w14:paraId="0B672C82">
            <w:pPr>
              <w:widowControl/>
              <w:spacing w:line="353" w:lineRule="auto"/>
              <w:jc w:val="left"/>
              <w:textAlignment w:val="center"/>
              <w:rPr>
                <w:sz w:val="24"/>
              </w:rPr>
            </w:pPr>
            <w:r>
              <w:rPr>
                <w:kern w:val="0"/>
                <w:sz w:val="24"/>
                <w:lang w:bidi="ar"/>
              </w:rPr>
              <w:t>100%</w:t>
            </w:r>
          </w:p>
        </w:tc>
      </w:tr>
      <w:tr w14:paraId="75241715">
        <w:tblPrEx>
          <w:tblCellMar>
            <w:top w:w="0" w:type="dxa"/>
            <w:left w:w="0" w:type="dxa"/>
            <w:bottom w:w="0" w:type="dxa"/>
            <w:right w:w="0" w:type="dxa"/>
          </w:tblCellMar>
        </w:tblPrEx>
        <w:trPr>
          <w:trHeight w:val="900" w:hRule="atLeast"/>
        </w:trPr>
        <w:tc>
          <w:tcPr>
            <w:tcW w:w="5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D47491B">
            <w:pPr>
              <w:spacing w:line="353" w:lineRule="auto"/>
              <w:jc w:val="center"/>
              <w:rPr>
                <w:sz w:val="24"/>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4ACD44">
            <w:pPr>
              <w:widowControl/>
              <w:spacing w:line="353" w:lineRule="auto"/>
              <w:jc w:val="center"/>
              <w:textAlignment w:val="center"/>
              <w:rPr>
                <w:sz w:val="24"/>
              </w:rPr>
            </w:pPr>
            <w:r>
              <w:rPr>
                <w:kern w:val="0"/>
                <w:sz w:val="24"/>
                <w:lang w:bidi="ar"/>
              </w:rPr>
              <w:t>满意度指标</w:t>
            </w:r>
          </w:p>
        </w:tc>
        <w:tc>
          <w:tcPr>
            <w:tcW w:w="1074"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DC4DE77">
            <w:pPr>
              <w:widowControl/>
              <w:spacing w:line="353" w:lineRule="auto"/>
              <w:jc w:val="center"/>
              <w:textAlignment w:val="center"/>
              <w:rPr>
                <w:sz w:val="24"/>
              </w:rPr>
            </w:pPr>
            <w:r>
              <w:rPr>
                <w:kern w:val="0"/>
                <w:sz w:val="24"/>
                <w:lang w:bidi="ar"/>
              </w:rPr>
              <w:t>满意度指标</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DF583F">
            <w:pPr>
              <w:widowControl/>
              <w:spacing w:line="353" w:lineRule="auto"/>
              <w:jc w:val="left"/>
              <w:textAlignment w:val="center"/>
              <w:rPr>
                <w:sz w:val="24"/>
              </w:rPr>
            </w:pPr>
            <w:r>
              <w:rPr>
                <w:kern w:val="0"/>
                <w:sz w:val="24"/>
                <w:lang w:bidi="ar"/>
              </w:rPr>
              <w:t>为民众提高高效快捷方便的劳动就业和社会保障经办业务</w:t>
            </w:r>
          </w:p>
        </w:tc>
        <w:tc>
          <w:tcPr>
            <w:tcW w:w="2560" w:type="dxa"/>
            <w:gridSpan w:val="2"/>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EF341EE">
            <w:pPr>
              <w:widowControl/>
              <w:spacing w:line="353" w:lineRule="auto"/>
              <w:jc w:val="left"/>
              <w:textAlignment w:val="center"/>
              <w:rPr>
                <w:sz w:val="24"/>
              </w:rPr>
            </w:pPr>
            <w:r>
              <w:rPr>
                <w:kern w:val="0"/>
                <w:sz w:val="24"/>
                <w:lang w:bidi="ar"/>
              </w:rPr>
              <w:t>90%</w:t>
            </w:r>
          </w:p>
        </w:tc>
        <w:tc>
          <w:tcPr>
            <w:tcW w:w="1502"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21DBA41">
            <w:pPr>
              <w:widowControl/>
              <w:spacing w:line="353" w:lineRule="auto"/>
              <w:jc w:val="left"/>
              <w:textAlignment w:val="center"/>
              <w:rPr>
                <w:sz w:val="24"/>
              </w:rPr>
            </w:pPr>
            <w:r>
              <w:rPr>
                <w:kern w:val="0"/>
                <w:sz w:val="24"/>
                <w:lang w:bidi="ar"/>
              </w:rPr>
              <w:t>90%</w:t>
            </w:r>
          </w:p>
        </w:tc>
      </w:tr>
    </w:tbl>
    <w:p w14:paraId="060E1EE8">
      <w:pPr>
        <w:spacing w:line="353" w:lineRule="auto"/>
        <w:rPr>
          <w:rFonts w:eastAsia="仿宋_GB2312"/>
          <w:sz w:val="32"/>
          <w:szCs w:val="32"/>
        </w:rPr>
      </w:pPr>
    </w:p>
    <w:p w14:paraId="34716B59">
      <w:pPr>
        <w:spacing w:line="353" w:lineRule="auto"/>
        <w:ind w:left="630"/>
        <w:rPr>
          <w:rFonts w:eastAsia="仿宋_GB2312"/>
          <w:sz w:val="32"/>
          <w:szCs w:val="32"/>
        </w:rPr>
      </w:pPr>
      <w:r>
        <w:rPr>
          <w:rFonts w:eastAsia="楷体_GB2312"/>
          <w:sz w:val="32"/>
          <w:szCs w:val="32"/>
        </w:rPr>
        <w:t>2.部门绩效评价结果</w:t>
      </w:r>
    </w:p>
    <w:p w14:paraId="3F3E83E8">
      <w:pPr>
        <w:spacing w:line="353" w:lineRule="auto"/>
        <w:ind w:firstLine="640" w:firstLineChars="200"/>
        <w:rPr>
          <w:rFonts w:eastAsia="仿宋_GB2312"/>
          <w:sz w:val="32"/>
          <w:szCs w:val="32"/>
        </w:rPr>
      </w:pPr>
      <w:r>
        <w:rPr>
          <w:rFonts w:eastAsia="仿宋_GB2312"/>
          <w:sz w:val="32"/>
          <w:szCs w:val="32"/>
        </w:rPr>
        <w:t>本单位按要求对2019年部门整体支出绩效评价情况开展自评，《攀枝花市西区人力资源和社会保障局2019年部门整体支出绩效评价报告》见附件（附件1）。</w:t>
      </w:r>
    </w:p>
    <w:p w14:paraId="100D5C6B">
      <w:pPr>
        <w:spacing w:line="353" w:lineRule="auto"/>
        <w:ind w:firstLine="640" w:firstLineChars="200"/>
        <w:rPr>
          <w:rFonts w:eastAsia="仿宋_GB2312"/>
          <w:b/>
          <w:sz w:val="32"/>
          <w:szCs w:val="32"/>
        </w:rPr>
      </w:pPr>
      <w:r>
        <w:rPr>
          <w:rFonts w:eastAsia="仿宋_GB2312"/>
          <w:sz w:val="32"/>
          <w:szCs w:val="32"/>
        </w:rPr>
        <w:t>本单位自行组织对“劳动保障协理员人员经费”“军转干部社保”“金保网络专项经费”“维护农民</w:t>
      </w:r>
      <w:r>
        <w:rPr>
          <w:rFonts w:hint="eastAsia" w:eastAsia="仿宋_GB2312"/>
          <w:sz w:val="32"/>
          <w:szCs w:val="32"/>
        </w:rPr>
        <w:t>工</w:t>
      </w:r>
      <w:r>
        <w:rPr>
          <w:rFonts w:eastAsia="仿宋_GB2312"/>
          <w:sz w:val="32"/>
          <w:szCs w:val="32"/>
        </w:rPr>
        <w:t>权益业务费”“劳动和谐关系协调业务费”项目开展了绩效评价，《攀枝花市西区人力资源和社会保障局项目2019年绩效评价报告》见附件（附件2）。</w:t>
      </w:r>
    </w:p>
    <w:p w14:paraId="1288BDD9">
      <w:pPr>
        <w:widowControl/>
        <w:spacing w:line="353" w:lineRule="auto"/>
        <w:jc w:val="left"/>
        <w:rPr>
          <w:rFonts w:eastAsia="仿宋_GB2312"/>
          <w:b/>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br w:type="page"/>
      </w:r>
    </w:p>
    <w:p w14:paraId="22859515">
      <w:pPr>
        <w:numPr>
          <w:ilvl w:val="0"/>
          <w:numId w:val="5"/>
        </w:numPr>
        <w:spacing w:line="353" w:lineRule="auto"/>
        <w:jc w:val="center"/>
        <w:outlineLvl w:val="0"/>
        <w:rPr>
          <w:rStyle w:val="25"/>
          <w:rFonts w:eastAsia="黑体"/>
          <w:b w:val="0"/>
          <w:color w:val="000000" w:themeColor="text1"/>
          <w14:textFill>
            <w14:solidFill>
              <w14:schemeClr w14:val="tx1"/>
            </w14:solidFill>
          </w14:textFill>
        </w:rPr>
      </w:pPr>
      <w:bookmarkStart w:id="102" w:name="_Toc28430"/>
      <w:bookmarkStart w:id="103" w:name="_Toc15377225"/>
      <w:bookmarkStart w:id="104" w:name="_Toc15396613"/>
      <w:r>
        <w:rPr>
          <w:rFonts w:eastAsia="黑体"/>
          <w:color w:val="000000" w:themeColor="text1"/>
          <w:sz w:val="44"/>
          <w:szCs w:val="44"/>
          <w14:textFill>
            <w14:solidFill>
              <w14:schemeClr w14:val="tx1"/>
            </w14:solidFill>
          </w14:textFill>
        </w:rPr>
        <w:t>名</w:t>
      </w:r>
      <w:r>
        <w:rPr>
          <w:rStyle w:val="25"/>
          <w:rFonts w:eastAsia="黑体"/>
          <w:b w:val="0"/>
          <w:color w:val="000000" w:themeColor="text1"/>
          <w14:textFill>
            <w14:solidFill>
              <w14:schemeClr w14:val="tx1"/>
            </w14:solidFill>
          </w14:textFill>
        </w:rPr>
        <w:t>词解释</w:t>
      </w:r>
      <w:bookmarkEnd w:id="102"/>
      <w:bookmarkEnd w:id="103"/>
      <w:bookmarkEnd w:id="104"/>
    </w:p>
    <w:p w14:paraId="09C50286">
      <w:pPr>
        <w:spacing w:line="353" w:lineRule="auto"/>
        <w:jc w:val="left"/>
        <w:rPr>
          <w:b/>
          <w:color w:val="000000" w:themeColor="text1"/>
          <w:sz w:val="44"/>
          <w:szCs w:val="44"/>
          <w14:textFill>
            <w14:solidFill>
              <w14:schemeClr w14:val="tx1"/>
            </w14:solidFill>
          </w14:textFill>
        </w:rPr>
      </w:pPr>
    </w:p>
    <w:p w14:paraId="7E561518">
      <w:pPr>
        <w:pStyle w:val="23"/>
        <w:spacing w:line="353"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1.财政拨款收入：指单位从同级财政部门取得的财政预算资金。</w:t>
      </w:r>
    </w:p>
    <w:p w14:paraId="72FC62F4">
      <w:pPr>
        <w:pStyle w:val="23"/>
        <w:spacing w:line="353"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2.事业收入：指事业单位开展专业业务活动及辅助活动取得的收入。</w:t>
      </w:r>
    </w:p>
    <w:p w14:paraId="422BA1B4">
      <w:pPr>
        <w:pStyle w:val="23"/>
        <w:spacing w:line="353" w:lineRule="auto"/>
        <w:ind w:left="672"/>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3.其他收入：指单位取得的除上述收入以外的各项收入。</w:t>
      </w:r>
    </w:p>
    <w:p w14:paraId="4C151CF8">
      <w:pPr>
        <w:pStyle w:val="23"/>
        <w:spacing w:line="353"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4.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22A33B5D">
      <w:pPr>
        <w:pStyle w:val="23"/>
        <w:spacing w:line="353"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5.年初结转和结余：指以前年度尚未完成、结转到本年按有关规定继续使用的资金。</w:t>
      </w:r>
    </w:p>
    <w:p w14:paraId="03FE8924">
      <w:pPr>
        <w:pStyle w:val="23"/>
        <w:spacing w:line="353"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6.结余分配：指事业单位按照事业单位会计制度的规定从非财政补助结余中分配的事业基金和职工福利基金等。</w:t>
      </w:r>
    </w:p>
    <w:p w14:paraId="6CBD0EE5">
      <w:pPr>
        <w:pStyle w:val="23"/>
        <w:spacing w:line="353"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7.年末结转和结余：指单位按有关规定结转到下年或以后年度继续使用的资金。</w:t>
      </w:r>
    </w:p>
    <w:p w14:paraId="62C2F4D0">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8.一般公共服务：指反映政府提供一般公共服务的支出。</w:t>
      </w:r>
    </w:p>
    <w:p w14:paraId="41A5C278">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9.社会保障和就业：指反应政府在社会保障与就业方面的支出。</w:t>
      </w:r>
    </w:p>
    <w:p w14:paraId="6F46EA27">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10.医疗卫生与计划生育：指反映医疗卫生与计划生育、中医等管理事务方面的支出。</w:t>
      </w:r>
    </w:p>
    <w:p w14:paraId="4E48B941">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11.住房保障：指集中反映政府用于住房方面的支出。</w:t>
      </w:r>
    </w:p>
    <w:p w14:paraId="6C887BCD">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12.城乡社区支出：指反映政府城乡社区事务支出。</w:t>
      </w:r>
    </w:p>
    <w:p w14:paraId="7B5848FC">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13.基本支出：指为保障机构正常运转、完成日常工作任务而发生的人员支出和公用支出。</w:t>
      </w:r>
    </w:p>
    <w:p w14:paraId="15661D2F">
      <w:pPr>
        <w:spacing w:line="353" w:lineRule="auto"/>
        <w:ind w:firstLine="640" w:firstLineChars="200"/>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14.项目支出：指在基本支出之外为完成特定行政任务和事业发展目标所发生的支出。</w:t>
      </w:r>
    </w:p>
    <w:p w14:paraId="12DB60D5">
      <w:pPr>
        <w:pStyle w:val="23"/>
        <w:spacing w:line="353" w:lineRule="auto"/>
        <w:ind w:firstLine="640" w:firstLineChars="200"/>
        <w:rPr>
          <w:rFonts w:ascii="Times New Roman" w:hAnsi="Times New Roman" w:eastAsia="仿宋_GB2312" w:cs="Times New Roman"/>
          <w:color w:val="000000" w:themeColor="text1"/>
          <w:sz w:val="32"/>
          <w14:textFill>
            <w14:solidFill>
              <w14:schemeClr w14:val="tx1"/>
            </w14:solidFill>
          </w14:textFill>
        </w:rPr>
      </w:pPr>
      <w:r>
        <w:rPr>
          <w:rFonts w:ascii="Times New Roman" w:hAnsi="Times New Roman" w:eastAsia="仿宋_GB2312" w:cs="Times New Roman"/>
          <w:color w:val="000000" w:themeColor="text1"/>
          <w:sz w:val="32"/>
          <w14:textFill>
            <w14:solidFill>
              <w14:schemeClr w14:val="tx1"/>
            </w14:solidFill>
          </w14:textFill>
        </w:rPr>
        <w:t>15.“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B41A6C0">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14:textFill>
            <w14:solidFill>
              <w14:schemeClr w14:val="tx1"/>
            </w14:solidFill>
          </w14:textFill>
        </w:rPr>
        <w:t>16.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w:t>
      </w:r>
      <w:r>
        <w:rPr>
          <w:rFonts w:eastAsia="仿宋_GB2312"/>
          <w:color w:val="000000" w:themeColor="text1"/>
          <w:sz w:val="32"/>
          <w:szCs w:val="32"/>
          <w14:textFill>
            <w14:solidFill>
              <w14:schemeClr w14:val="tx1"/>
            </w14:solidFill>
          </w14:textFill>
        </w:rPr>
        <w:t>以及其他费用。</w:t>
      </w:r>
    </w:p>
    <w:p w14:paraId="63C0A1DE">
      <w:pPr>
        <w:spacing w:line="353" w:lineRule="auto"/>
        <w:jc w:val="center"/>
        <w:outlineLvl w:val="0"/>
        <w:rPr>
          <w:rStyle w:val="25"/>
          <w:rFonts w:eastAsia="黑体"/>
          <w:b w:val="0"/>
          <w:color w:val="000000" w:themeColor="text1"/>
          <w14:textFill>
            <w14:solidFill>
              <w14:schemeClr w14:val="tx1"/>
            </w14:solidFill>
          </w14:textFill>
        </w:rPr>
      </w:pPr>
      <w:bookmarkStart w:id="105" w:name="_Toc15377226"/>
      <w:r>
        <w:rPr>
          <w:b/>
          <w:color w:val="000000" w:themeColor="text1"/>
          <w:sz w:val="44"/>
          <w:szCs w:val="44"/>
          <w14:textFill>
            <w14:solidFill>
              <w14:schemeClr w14:val="tx1"/>
            </w14:solidFill>
          </w14:textFill>
        </w:rPr>
        <w:br w:type="page"/>
      </w:r>
      <w:bookmarkStart w:id="106" w:name="_Toc15515"/>
      <w:bookmarkStart w:id="107" w:name="_Toc15396614"/>
      <w:r>
        <w:rPr>
          <w:rFonts w:eastAsia="黑体"/>
          <w:color w:val="000000" w:themeColor="text1"/>
          <w:sz w:val="44"/>
          <w:szCs w:val="44"/>
          <w14:textFill>
            <w14:solidFill>
              <w14:schemeClr w14:val="tx1"/>
            </w14:solidFill>
          </w14:textFill>
        </w:rPr>
        <w:t>第</w:t>
      </w:r>
      <w:r>
        <w:rPr>
          <w:rStyle w:val="25"/>
          <w:rFonts w:eastAsia="黑体"/>
          <w:b w:val="0"/>
          <w:color w:val="000000" w:themeColor="text1"/>
          <w14:textFill>
            <w14:solidFill>
              <w14:schemeClr w14:val="tx1"/>
            </w14:solidFill>
          </w14:textFill>
        </w:rPr>
        <w:t>四部分 附件</w:t>
      </w:r>
      <w:bookmarkEnd w:id="106"/>
      <w:bookmarkEnd w:id="107"/>
    </w:p>
    <w:p w14:paraId="2AE3E5A4">
      <w:pPr>
        <w:spacing w:line="353" w:lineRule="auto"/>
        <w:jc w:val="left"/>
        <w:outlineLvl w:val="0"/>
        <w:rPr>
          <w:rFonts w:eastAsia="方正小标宋简体"/>
          <w:color w:val="000000" w:themeColor="text1"/>
          <w:sz w:val="32"/>
          <w:szCs w:val="32"/>
          <w14:textFill>
            <w14:solidFill>
              <w14:schemeClr w14:val="tx1"/>
            </w14:solidFill>
          </w14:textFill>
        </w:rPr>
      </w:pPr>
      <w:bookmarkStart w:id="108" w:name="_Toc30821"/>
      <w:r>
        <w:rPr>
          <w:rFonts w:eastAsia="黑体"/>
          <w:color w:val="000000" w:themeColor="text1"/>
          <w:sz w:val="32"/>
          <w:szCs w:val="32"/>
          <w14:textFill>
            <w14:solidFill>
              <w14:schemeClr w14:val="tx1"/>
            </w14:solidFill>
          </w14:textFill>
        </w:rPr>
        <w:t>附件1</w:t>
      </w:r>
      <w:bookmarkEnd w:id="108"/>
    </w:p>
    <w:p w14:paraId="4708783F">
      <w:pPr>
        <w:spacing w:line="353" w:lineRule="auto"/>
        <w:jc w:val="center"/>
        <w:rPr>
          <w:rFonts w:eastAsia="方正小标宋简体"/>
          <w:color w:val="000000" w:themeColor="text1"/>
          <w:sz w:val="44"/>
          <w:szCs w:val="44"/>
          <w14:textFill>
            <w14:solidFill>
              <w14:schemeClr w14:val="tx1"/>
            </w14:solidFill>
          </w14:textFill>
        </w:rPr>
      </w:pPr>
    </w:p>
    <w:p w14:paraId="4356B655">
      <w:pPr>
        <w:spacing w:line="353" w:lineRule="auto"/>
        <w:jc w:val="center"/>
        <w:rPr>
          <w:rFonts w:eastAsia="方正小标宋_GBK"/>
          <w:color w:val="000000" w:themeColor="text1"/>
          <w:kern w:val="0"/>
          <w:sz w:val="40"/>
          <w:szCs w:val="44"/>
          <w14:textFill>
            <w14:solidFill>
              <w14:schemeClr w14:val="tx1"/>
            </w14:solidFill>
          </w14:textFill>
        </w:rPr>
      </w:pPr>
      <w:r>
        <w:rPr>
          <w:rFonts w:eastAsia="方正小标宋_GBK"/>
          <w:color w:val="000000" w:themeColor="text1"/>
          <w:kern w:val="0"/>
          <w:sz w:val="40"/>
          <w:szCs w:val="44"/>
          <w14:textFill>
            <w14:solidFill>
              <w14:schemeClr w14:val="tx1"/>
            </w14:solidFill>
          </w14:textFill>
        </w:rPr>
        <w:t>攀枝花市西区人力资源和社会保障局</w:t>
      </w:r>
    </w:p>
    <w:p w14:paraId="78A1FEB3">
      <w:pPr>
        <w:spacing w:line="353" w:lineRule="auto"/>
        <w:jc w:val="center"/>
        <w:rPr>
          <w:rFonts w:eastAsia="方正小标宋_GBK"/>
          <w:color w:val="000000" w:themeColor="text1"/>
          <w:kern w:val="0"/>
          <w:sz w:val="40"/>
          <w:szCs w:val="44"/>
          <w:lang w:val="zh-CN"/>
          <w14:textFill>
            <w14:solidFill>
              <w14:schemeClr w14:val="tx1"/>
            </w14:solidFill>
          </w14:textFill>
        </w:rPr>
      </w:pPr>
      <w:r>
        <w:rPr>
          <w:rFonts w:eastAsia="方正小标宋_GBK"/>
          <w:color w:val="000000" w:themeColor="text1"/>
          <w:kern w:val="0"/>
          <w:sz w:val="40"/>
          <w:szCs w:val="44"/>
          <w14:textFill>
            <w14:solidFill>
              <w14:schemeClr w14:val="tx1"/>
            </w14:solidFill>
          </w14:textFill>
        </w:rPr>
        <w:t>2019年部门</w:t>
      </w:r>
      <w:r>
        <w:rPr>
          <w:rFonts w:eastAsia="方正小标宋_GBK"/>
          <w:color w:val="000000" w:themeColor="text1"/>
          <w:kern w:val="0"/>
          <w:sz w:val="40"/>
          <w:szCs w:val="44"/>
          <w:lang w:val="zh-CN"/>
          <w14:textFill>
            <w14:solidFill>
              <w14:schemeClr w14:val="tx1"/>
            </w14:solidFill>
          </w14:textFill>
        </w:rPr>
        <w:t>整体支出绩效评价报告</w:t>
      </w:r>
    </w:p>
    <w:p w14:paraId="7C2D083D">
      <w:pPr>
        <w:widowControl/>
        <w:adjustRightInd w:val="0"/>
        <w:spacing w:line="353" w:lineRule="auto"/>
        <w:ind w:firstLine="480" w:firstLineChars="200"/>
        <w:contextualSpacing/>
        <w:jc w:val="left"/>
        <w:rPr>
          <w:rFonts w:eastAsia="黑体"/>
          <w:color w:val="000000" w:themeColor="text1"/>
          <w:kern w:val="0"/>
          <w:sz w:val="24"/>
          <w:szCs w:val="32"/>
          <w:shd w:val="clear" w:color="auto" w:fill="FFFFFF"/>
          <w14:textFill>
            <w14:solidFill>
              <w14:schemeClr w14:val="tx1"/>
            </w14:solidFill>
          </w14:textFill>
        </w:rPr>
      </w:pPr>
    </w:p>
    <w:p w14:paraId="48DF9FB2">
      <w:pPr>
        <w:widowControl/>
        <w:adjustRightInd w:val="0"/>
        <w:spacing w:line="353" w:lineRule="auto"/>
        <w:ind w:firstLine="640" w:firstLineChars="200"/>
        <w:contextualSpacing/>
        <w:jc w:val="left"/>
        <w:rPr>
          <w:rFonts w:eastAsia="黑体"/>
          <w:color w:val="000000" w:themeColor="text1"/>
          <w:kern w:val="0"/>
          <w:sz w:val="32"/>
          <w:szCs w:val="32"/>
          <w:shd w:val="clear" w:color="auto" w:fill="FFFFFF"/>
          <w:lang w:val="zh-CN"/>
          <w14:textFill>
            <w14:solidFill>
              <w14:schemeClr w14:val="tx1"/>
            </w14:solidFill>
          </w14:textFill>
        </w:rPr>
      </w:pPr>
      <w:r>
        <w:rPr>
          <w:rFonts w:eastAsia="黑体"/>
          <w:color w:val="000000" w:themeColor="text1"/>
          <w:kern w:val="0"/>
          <w:sz w:val="32"/>
          <w:szCs w:val="32"/>
          <w:shd w:val="clear" w:color="auto" w:fill="FFFFFF"/>
          <w14:textFill>
            <w14:solidFill>
              <w14:schemeClr w14:val="tx1"/>
            </w14:solidFill>
          </w14:textFill>
        </w:rPr>
        <w:t>一、</w:t>
      </w:r>
      <w:r>
        <w:rPr>
          <w:rFonts w:eastAsia="黑体"/>
          <w:color w:val="000000" w:themeColor="text1"/>
          <w:kern w:val="0"/>
          <w:sz w:val="32"/>
          <w:szCs w:val="32"/>
          <w:shd w:val="clear" w:color="auto" w:fill="FFFFFF"/>
          <w:lang w:val="zh-CN"/>
          <w14:textFill>
            <w14:solidFill>
              <w14:schemeClr w14:val="tx1"/>
            </w14:solidFill>
          </w14:textFill>
        </w:rPr>
        <w:t>部门（单位）概况</w:t>
      </w:r>
    </w:p>
    <w:p w14:paraId="7623F5D3">
      <w:pPr>
        <w:spacing w:line="353" w:lineRule="auto"/>
        <w:ind w:firstLine="640" w:firstLineChars="200"/>
        <w:rPr>
          <w:rFonts w:eastAsia="楷体_GB2312"/>
          <w:color w:val="000000"/>
          <w:sz w:val="32"/>
          <w:szCs w:val="32"/>
        </w:rPr>
      </w:pPr>
      <w:r>
        <w:rPr>
          <w:rFonts w:eastAsia="楷体_GB2312"/>
          <w:color w:val="000000"/>
          <w:sz w:val="32"/>
          <w:szCs w:val="32"/>
        </w:rPr>
        <w:t>（一）主要职责。</w:t>
      </w:r>
    </w:p>
    <w:p w14:paraId="4308C695">
      <w:pPr>
        <w:spacing w:line="353" w:lineRule="auto"/>
        <w:ind w:firstLine="624" w:firstLineChars="200"/>
        <w:rPr>
          <w:rFonts w:eastAsia="仿宋_GB2312"/>
          <w:color w:val="000000"/>
          <w:spacing w:val="-4"/>
          <w:sz w:val="32"/>
          <w:szCs w:val="32"/>
        </w:rPr>
      </w:pPr>
      <w:r>
        <w:rPr>
          <w:rFonts w:eastAsia="仿宋_GB2312"/>
          <w:color w:val="000000"/>
          <w:spacing w:val="-4"/>
          <w:sz w:val="32"/>
          <w:szCs w:val="32"/>
        </w:rPr>
        <w:t>1.贯彻执行国家、省、市人力资源和社会保障工作的法律、法规、规章和政策，拟订全区人力资源和社会保障事业发展规划、政策并组织实施，统筹推进人力资源和社会保障事业发展。</w:t>
      </w:r>
    </w:p>
    <w:p w14:paraId="5C699AD4">
      <w:pPr>
        <w:spacing w:line="353" w:lineRule="auto"/>
        <w:ind w:firstLine="624" w:firstLineChars="200"/>
        <w:rPr>
          <w:rFonts w:eastAsia="仿宋_GB2312"/>
          <w:color w:val="000000"/>
          <w:spacing w:val="-4"/>
          <w:sz w:val="32"/>
          <w:szCs w:val="32"/>
        </w:rPr>
      </w:pPr>
      <w:r>
        <w:rPr>
          <w:rFonts w:eastAsia="仿宋_GB2312"/>
          <w:color w:val="000000"/>
          <w:spacing w:val="-4"/>
          <w:sz w:val="32"/>
          <w:szCs w:val="32"/>
        </w:rPr>
        <w:t>2.拟订并组织实施全区人力资源市场发展规划和人力资源服务业发展、人力资源流动政策，建立、健全全区统一规范的人力资源市场，促进人力资源合理流动，有效配置。</w:t>
      </w:r>
    </w:p>
    <w:p w14:paraId="2051C01E">
      <w:pPr>
        <w:spacing w:line="353" w:lineRule="auto"/>
        <w:ind w:firstLine="624" w:firstLineChars="200"/>
        <w:rPr>
          <w:rFonts w:eastAsia="仿宋_GB2312"/>
          <w:color w:val="000000"/>
          <w:spacing w:val="-4"/>
          <w:sz w:val="32"/>
          <w:szCs w:val="32"/>
        </w:rPr>
      </w:pPr>
      <w:r>
        <w:rPr>
          <w:rFonts w:eastAsia="仿宋_GB2312"/>
          <w:color w:val="000000"/>
          <w:spacing w:val="-4"/>
          <w:sz w:val="32"/>
          <w:szCs w:val="32"/>
        </w:rPr>
        <w:t>3.负责促进就业工作，拟订统筹全区城乡的就业发展规划和政策，完善公共就业创业服务体系，组织落实创业、就业援助制度，提出就业资金安排计划并组织实施；建立健全失业预警制度，稳定就业形势。落实城乡劳动者的职业技能培训制度；组织实施社会力量举办的职业技能培训，指导企业在职职工技能培训和再就业培训、农村劳动力技能培训等工作；贯彻执行高校毕业生就业政策，组织实施高校毕业生就业创业服务工作。</w:t>
      </w:r>
    </w:p>
    <w:p w14:paraId="224544C5">
      <w:pPr>
        <w:spacing w:line="353" w:lineRule="auto"/>
        <w:ind w:firstLine="624" w:firstLineChars="200"/>
        <w:rPr>
          <w:rFonts w:eastAsia="仿宋_GB2312"/>
          <w:color w:val="000000"/>
          <w:spacing w:val="-4"/>
          <w:sz w:val="32"/>
          <w:szCs w:val="32"/>
        </w:rPr>
      </w:pPr>
      <w:r>
        <w:rPr>
          <w:rFonts w:eastAsia="仿宋_GB2312"/>
          <w:color w:val="000000"/>
          <w:spacing w:val="-4"/>
          <w:sz w:val="32"/>
          <w:szCs w:val="32"/>
        </w:rPr>
        <w:t>4.统筹推进建立覆盖全区城乡的多层次社会保障体系。贯彻执行国家、省、市养老、失业、工伤等社会保险及其补充保险政策和标准，贯彻落实养老保险全国统筹办法和全国统一的养老、失业、工伤保险关系转续办法；负责对养老、失业、工伤保险基金管理实施行政监督；综合管理就业、社保经办机构；组织实施全区养老、失业、工伤服务体系建设；负责企业职工正常退休和特殊工种提前退休审批；协助办理工伤和特殊工种认定及劳动能力鉴定工作；会同有关部门实施全民参保计划并建立全区统一的养老、失业，工伤社会保险公共服务平台。</w:t>
      </w:r>
    </w:p>
    <w:p w14:paraId="2E53BF2C">
      <w:pPr>
        <w:spacing w:line="353" w:lineRule="auto"/>
        <w:ind w:firstLine="624" w:firstLineChars="200"/>
        <w:rPr>
          <w:rFonts w:eastAsia="仿宋_GB2312"/>
          <w:color w:val="000000"/>
          <w:spacing w:val="-4"/>
          <w:sz w:val="32"/>
          <w:szCs w:val="32"/>
        </w:rPr>
      </w:pPr>
      <w:r>
        <w:rPr>
          <w:rFonts w:eastAsia="仿宋_GB2312"/>
          <w:color w:val="000000"/>
          <w:spacing w:val="-4"/>
          <w:sz w:val="32"/>
          <w:szCs w:val="32"/>
        </w:rPr>
        <w:t>5.负责就业、失业及社会保障基金监测预警，拟订应对预案，实施预防、调节和控制，保持就业形势稳定和相关社会保险基金总体收支平衡。</w:t>
      </w:r>
    </w:p>
    <w:p w14:paraId="3B89ED64">
      <w:pPr>
        <w:spacing w:line="353" w:lineRule="auto"/>
        <w:ind w:firstLine="624" w:firstLineChars="200"/>
        <w:rPr>
          <w:rFonts w:eastAsia="仿宋_GB2312"/>
          <w:color w:val="000000"/>
          <w:spacing w:val="-4"/>
          <w:sz w:val="32"/>
          <w:szCs w:val="32"/>
        </w:rPr>
      </w:pPr>
      <w:r>
        <w:rPr>
          <w:rFonts w:eastAsia="仿宋_GB2312"/>
          <w:color w:val="000000"/>
          <w:spacing w:val="-4"/>
          <w:sz w:val="32"/>
          <w:szCs w:val="32"/>
        </w:rPr>
        <w:t>6.贯彻执行劳动人事争议调解仲裁制度和劳动关系政策，完善劳动关系协调机制，贯彻执行劳动者权益保护政策，协调劳动者维权工作，组织实施劳动保障监察，依法查处侵犯劳动者合法权益的案件。</w:t>
      </w:r>
    </w:p>
    <w:p w14:paraId="4D2FFE02">
      <w:pPr>
        <w:widowControl/>
        <w:spacing w:line="353" w:lineRule="auto"/>
        <w:ind w:firstLine="624" w:firstLineChars="200"/>
        <w:jc w:val="left"/>
        <w:rPr>
          <w:rFonts w:eastAsia="仿宋_GB2312"/>
          <w:color w:val="000000"/>
          <w:spacing w:val="-4"/>
          <w:sz w:val="32"/>
          <w:szCs w:val="32"/>
        </w:rPr>
      </w:pPr>
      <w:r>
        <w:rPr>
          <w:rFonts w:eastAsia="仿宋_GB2312"/>
          <w:color w:val="000000"/>
          <w:spacing w:val="-4"/>
          <w:sz w:val="32"/>
          <w:szCs w:val="32"/>
        </w:rPr>
        <w:t>7.实施事业单位人员综合管理工作，会同有关部门指导事业单位人事制度改革，按照管理权限承办事业单位岗位设置、公开招聘、人员聘用等人事综合管理工作，拟订事业单位人员和机关工勤人员管理政策；负责专业技术人员管理和继续教育工作；组织实施深化职称制度改革；负责高层次专业技术人才选拔和培养工作，组织实施技能人才培养评价、使用和激励制度，健全职业技能多元化评价政策。指导、监督各级各类技工学校、民办职业培训机构按国家、省和我市有关规定履行安全管理责任。</w:t>
      </w:r>
    </w:p>
    <w:p w14:paraId="48D5DF49">
      <w:pPr>
        <w:widowControl/>
        <w:spacing w:line="353" w:lineRule="auto"/>
        <w:ind w:firstLine="624" w:firstLineChars="200"/>
        <w:jc w:val="left"/>
        <w:rPr>
          <w:rFonts w:eastAsia="仿宋_GB2312"/>
          <w:color w:val="000000"/>
          <w:spacing w:val="-4"/>
          <w:sz w:val="32"/>
          <w:szCs w:val="32"/>
        </w:rPr>
      </w:pPr>
      <w:r>
        <w:rPr>
          <w:rFonts w:eastAsia="仿宋_GB2312"/>
          <w:color w:val="000000"/>
          <w:spacing w:val="-4"/>
          <w:sz w:val="32"/>
          <w:szCs w:val="32"/>
        </w:rPr>
        <w:t>8.组织实施国家表彰制度，综合管理政府表彰奖励工作，承担评比达标表彰等工作。承办区委管理的部分领导人员的行政任免手续。</w:t>
      </w:r>
    </w:p>
    <w:p w14:paraId="30374FA3">
      <w:pPr>
        <w:widowControl/>
        <w:spacing w:line="353" w:lineRule="auto"/>
        <w:ind w:firstLine="624" w:firstLineChars="200"/>
        <w:jc w:val="left"/>
        <w:rPr>
          <w:rFonts w:eastAsia="仿宋_GB2312"/>
          <w:color w:val="000000"/>
          <w:spacing w:val="-4"/>
          <w:sz w:val="32"/>
          <w:szCs w:val="32"/>
        </w:rPr>
      </w:pPr>
      <w:r>
        <w:rPr>
          <w:rFonts w:eastAsia="仿宋_GB2312"/>
          <w:color w:val="000000"/>
          <w:spacing w:val="-4"/>
          <w:sz w:val="32"/>
          <w:szCs w:val="32"/>
        </w:rPr>
        <w:t>9.贯彻执行国家、省、市企业职工工资收入分配、支付、保障和调控政策，贯彻落实事业单位人员工资收入分配政策，建立事业单位人员工资决定、正常增长和支付保障机制，贯彻落实企事业单位人员工资福利和退休政策。</w:t>
      </w:r>
    </w:p>
    <w:p w14:paraId="39CCAEC2">
      <w:pPr>
        <w:widowControl/>
        <w:spacing w:line="353" w:lineRule="auto"/>
        <w:ind w:firstLine="624" w:firstLineChars="200"/>
        <w:jc w:val="left"/>
        <w:rPr>
          <w:rFonts w:eastAsia="仿宋_GB2312"/>
          <w:color w:val="000000"/>
          <w:spacing w:val="-4"/>
          <w:sz w:val="32"/>
          <w:szCs w:val="32"/>
        </w:rPr>
      </w:pPr>
      <w:r>
        <w:rPr>
          <w:rFonts w:eastAsia="仿宋_GB2312"/>
          <w:color w:val="000000"/>
          <w:spacing w:val="-4"/>
          <w:sz w:val="32"/>
          <w:szCs w:val="32"/>
        </w:rPr>
        <w:t>10.会同有关部门拟订劳务开发及农民工工作综合性政策和规划并推动相关政策的落实，协调解决重点难点问题，维护农民工合法权益。</w:t>
      </w:r>
    </w:p>
    <w:p w14:paraId="624CCCFF">
      <w:pPr>
        <w:widowControl/>
        <w:spacing w:line="353" w:lineRule="auto"/>
        <w:ind w:firstLine="624" w:firstLineChars="200"/>
        <w:jc w:val="left"/>
        <w:rPr>
          <w:rFonts w:eastAsia="仿宋_GB2312"/>
          <w:color w:val="000000"/>
          <w:spacing w:val="-4"/>
          <w:sz w:val="32"/>
          <w:szCs w:val="32"/>
        </w:rPr>
      </w:pPr>
      <w:r>
        <w:rPr>
          <w:rFonts w:eastAsia="仿宋_GB2312"/>
          <w:color w:val="000000"/>
          <w:spacing w:val="-4"/>
          <w:sz w:val="32"/>
          <w:szCs w:val="32"/>
        </w:rPr>
        <w:t>11.受理人力资源和社会保障方面的信访事项，会同有关部门协调处理重大信访事件或突发事件。</w:t>
      </w:r>
      <w:r>
        <w:rPr>
          <w:rFonts w:eastAsia="仿宋_GB2312"/>
          <w:color w:val="000000"/>
          <w:spacing w:val="-4"/>
          <w:sz w:val="32"/>
          <w:szCs w:val="32"/>
        </w:rPr>
        <w:br w:type="textWrapping"/>
      </w:r>
      <w:r>
        <w:rPr>
          <w:rFonts w:eastAsia="仿宋_GB2312"/>
          <w:color w:val="000000"/>
          <w:spacing w:val="-4"/>
          <w:sz w:val="32"/>
          <w:szCs w:val="32"/>
        </w:rPr>
        <w:t xml:space="preserve">    12.负责区人力资源社会保障领域的对外交流与合作工作，</w:t>
      </w:r>
      <w:r>
        <w:rPr>
          <w:rFonts w:eastAsia="仿宋_GB2312"/>
          <w:color w:val="000000"/>
          <w:spacing w:val="-4"/>
          <w:sz w:val="32"/>
          <w:szCs w:val="32"/>
        </w:rPr>
        <w:br w:type="textWrapping"/>
      </w:r>
      <w:r>
        <w:rPr>
          <w:rFonts w:eastAsia="仿宋_GB2312"/>
          <w:color w:val="000000"/>
          <w:spacing w:val="-4"/>
          <w:sz w:val="32"/>
          <w:szCs w:val="32"/>
        </w:rPr>
        <w:t xml:space="preserve">    13.承担职责范围内的安全生产和职业健康、生态环境保护、审批服务便民化等工作。</w:t>
      </w:r>
      <w:r>
        <w:rPr>
          <w:rFonts w:eastAsia="仿宋_GB2312"/>
          <w:color w:val="000000"/>
          <w:spacing w:val="-4"/>
          <w:sz w:val="32"/>
          <w:szCs w:val="32"/>
        </w:rPr>
        <w:br w:type="textWrapping"/>
      </w:r>
      <w:r>
        <w:rPr>
          <w:rFonts w:eastAsia="仿宋_GB2312"/>
          <w:color w:val="000000"/>
          <w:spacing w:val="-4"/>
          <w:sz w:val="32"/>
          <w:szCs w:val="32"/>
        </w:rPr>
        <w:t xml:space="preserve">    14.完成区委和区政府交办的其他任务。</w:t>
      </w:r>
      <w:r>
        <w:rPr>
          <w:rFonts w:eastAsia="仿宋_GB2312"/>
          <w:color w:val="000000"/>
          <w:spacing w:val="-4"/>
          <w:sz w:val="32"/>
          <w:szCs w:val="32"/>
        </w:rPr>
        <w:br w:type="textWrapping"/>
      </w:r>
      <w:r>
        <w:rPr>
          <w:rFonts w:eastAsia="仿宋_GB2312"/>
          <w:color w:val="000000"/>
          <w:spacing w:val="-4"/>
          <w:sz w:val="32"/>
          <w:szCs w:val="32"/>
        </w:rPr>
        <w:t xml:space="preserve">    15.职能转变。深入推进简政放权、放管结合、优化服务改革，进一步减少行政审批事项，规范和优化对外办理事项，减少职业资格许可和认定等事项，实行国家职业资格目录清单管理，加强事中事后监管，创新就业和社会保障等公共服务方式，加强信息共享，提高公共服务水平。</w:t>
      </w:r>
    </w:p>
    <w:p w14:paraId="7FC506F4">
      <w:pPr>
        <w:spacing w:line="353" w:lineRule="auto"/>
        <w:ind w:firstLine="640" w:firstLineChars="200"/>
        <w:rPr>
          <w:rFonts w:eastAsia="楷体_GB2312"/>
          <w:color w:val="000000"/>
          <w:sz w:val="32"/>
          <w:szCs w:val="32"/>
        </w:rPr>
      </w:pPr>
      <w:r>
        <w:rPr>
          <w:rFonts w:eastAsia="楷体_GB2312"/>
          <w:color w:val="000000"/>
          <w:sz w:val="32"/>
          <w:szCs w:val="32"/>
        </w:rPr>
        <w:t>（二）机构设置。</w:t>
      </w:r>
    </w:p>
    <w:p w14:paraId="46B6765F">
      <w:pPr>
        <w:widowControl/>
        <w:adjustRightInd w:val="0"/>
        <w:spacing w:line="353" w:lineRule="auto"/>
        <w:ind w:firstLine="640" w:firstLineChars="200"/>
        <w:contextualSpacing/>
        <w:jc w:val="left"/>
        <w:rPr>
          <w:rFonts w:eastAsia="仿宋_GB2312"/>
          <w:color w:val="000000" w:themeColor="text1"/>
          <w:kern w:val="0"/>
          <w:sz w:val="32"/>
          <w:szCs w:val="32"/>
          <w:shd w:val="clear" w:color="auto" w:fill="FFFFFF"/>
          <w:lang w:val="zh-CN"/>
          <w14:textFill>
            <w14:solidFill>
              <w14:schemeClr w14:val="tx1"/>
            </w14:solidFill>
          </w14:textFill>
        </w:rPr>
      </w:pPr>
      <w:r>
        <w:rPr>
          <w:rFonts w:eastAsia="仿宋_GB2312"/>
          <w:color w:val="000000"/>
          <w:sz w:val="32"/>
          <w:szCs w:val="32"/>
        </w:rPr>
        <w:t>截至2019年末，西区人力资源和社会保障局下设7个二级机构，分别是区劳动保障监察大队、区机关事业单位社会保险管理处、区劳动人事争议仲裁院、区社会保险事业管理局、区就业服务管理局、区人才交流中心、区考试中心。内设股室5个，分别为：办公室、就业促进和人力资源开发股、养老工伤保险股（社会保险基金监督股）、事业单位人事管理股（西区职称改革领导小组办公室）、劳动监察仲裁和政策法规股（农民工工作股）。实有人数35人（不含独立预算单位区社会保险事业管理局、区就业服务管理局），离休人员1人、退休人员6人。其中：行政编制6人，实有6人，参公编制22人，实有15人，未超编；事业编制127人（含人才交流中心储备编制），实有14人，未超编；编内聘用编制1人，实有1人；车辆编制0辆，实有0辆。</w:t>
      </w:r>
      <w:r>
        <w:rPr>
          <w:rFonts w:eastAsia="仿宋_GB2312"/>
          <w:color w:val="000000" w:themeColor="text1"/>
          <w:kern w:val="0"/>
          <w:sz w:val="32"/>
          <w:szCs w:val="32"/>
          <w:shd w:val="clear" w:color="auto" w:fill="FFFFFF"/>
          <w:lang w:val="zh-CN"/>
          <w14:textFill>
            <w14:solidFill>
              <w14:schemeClr w14:val="tx1"/>
            </w14:solidFill>
          </w14:textFill>
        </w:rPr>
        <w:t>人员概况。</w:t>
      </w:r>
    </w:p>
    <w:p w14:paraId="22EBDCAD">
      <w:pPr>
        <w:widowControl/>
        <w:adjustRightInd w:val="0"/>
        <w:spacing w:line="353" w:lineRule="auto"/>
        <w:ind w:firstLine="640" w:firstLineChars="200"/>
        <w:contextualSpacing/>
        <w:jc w:val="left"/>
        <w:rPr>
          <w:rFonts w:eastAsia="黑体"/>
          <w:color w:val="000000" w:themeColor="text1"/>
          <w:kern w:val="0"/>
          <w:sz w:val="32"/>
          <w:szCs w:val="32"/>
          <w:shd w:val="clear" w:color="auto" w:fill="FFFFFF"/>
          <w14:textFill>
            <w14:solidFill>
              <w14:schemeClr w14:val="tx1"/>
            </w14:solidFill>
          </w14:textFill>
        </w:rPr>
      </w:pPr>
      <w:r>
        <w:rPr>
          <w:rFonts w:eastAsia="黑体"/>
          <w:color w:val="000000" w:themeColor="text1"/>
          <w:kern w:val="0"/>
          <w:sz w:val="32"/>
          <w:szCs w:val="32"/>
          <w:shd w:val="clear" w:color="auto" w:fill="FFFFFF"/>
          <w14:textFill>
            <w14:solidFill>
              <w14:schemeClr w14:val="tx1"/>
            </w14:solidFill>
          </w14:textFill>
        </w:rPr>
        <w:t>二、部门财政资金收支情况</w:t>
      </w:r>
    </w:p>
    <w:p w14:paraId="26B31BA7">
      <w:pPr>
        <w:widowControl/>
        <w:adjustRightInd w:val="0"/>
        <w:spacing w:line="353" w:lineRule="auto"/>
        <w:ind w:firstLine="640" w:firstLineChars="200"/>
        <w:contextualSpacing/>
        <w:jc w:val="left"/>
        <w:rPr>
          <w:rFonts w:eastAsia="仿宋_GB2312"/>
          <w:color w:val="000000" w:themeColor="text1"/>
          <w:kern w:val="0"/>
          <w:sz w:val="32"/>
          <w:szCs w:val="32"/>
          <w:shd w:val="clear" w:color="auto" w:fill="FFFFFF"/>
          <w:lang w:val="zh-CN"/>
          <w14:textFill>
            <w14:solidFill>
              <w14:schemeClr w14:val="tx1"/>
            </w14:solidFill>
          </w14:textFill>
        </w:rPr>
      </w:pPr>
      <w:r>
        <w:rPr>
          <w:rFonts w:eastAsia="仿宋_GB2312"/>
          <w:color w:val="000000" w:themeColor="text1"/>
          <w:kern w:val="0"/>
          <w:sz w:val="32"/>
          <w:szCs w:val="32"/>
          <w:shd w:val="clear" w:color="auto" w:fill="FFFFFF"/>
          <w:lang w:val="zh-CN"/>
          <w14:textFill>
            <w14:solidFill>
              <w14:schemeClr w14:val="tx1"/>
            </w14:solidFill>
          </w14:textFill>
        </w:rPr>
        <w:t>（一）部门财政资金收入情况。</w:t>
      </w:r>
    </w:p>
    <w:p w14:paraId="2CFDF5C2">
      <w:pPr>
        <w:spacing w:line="353" w:lineRule="auto"/>
        <w:ind w:firstLine="640" w:firstLineChars="200"/>
        <w:outlineLvl w:val="1"/>
        <w:rPr>
          <w:rFonts w:eastAsia="仿宋_GB2312"/>
          <w:color w:val="000000" w:themeColor="text1"/>
          <w:kern w:val="0"/>
          <w:sz w:val="32"/>
          <w:szCs w:val="32"/>
          <w:shd w:val="clear" w:color="auto" w:fill="FFFFFF"/>
          <w:lang w:val="zh-CN"/>
          <w14:textFill>
            <w14:solidFill>
              <w14:schemeClr w14:val="tx1"/>
            </w14:solidFill>
          </w14:textFill>
        </w:rPr>
      </w:pPr>
      <w:bookmarkStart w:id="109" w:name="_Toc25367"/>
      <w:bookmarkStart w:id="110" w:name="_Toc4071"/>
      <w:r>
        <w:rPr>
          <w:rFonts w:eastAsia="仿宋"/>
          <w:color w:val="000000" w:themeColor="text1"/>
          <w:sz w:val="32"/>
          <w:szCs w:val="32"/>
          <w14:textFill>
            <w14:solidFill>
              <w14:schemeClr w14:val="tx1"/>
            </w14:solidFill>
          </w14:textFill>
        </w:rPr>
        <w:t>2019年本年收入合计558.82万元，其中：一般公共预算财政拨款收入558.24万元，占99.89%；政府性基金预算财政拨款收入0.50万元，占0.08%;其他收入0.09万元，占0.03%。</w:t>
      </w:r>
      <w:bookmarkEnd w:id="109"/>
      <w:bookmarkEnd w:id="110"/>
    </w:p>
    <w:p w14:paraId="193F2BA5">
      <w:pPr>
        <w:widowControl/>
        <w:numPr>
          <w:ilvl w:val="0"/>
          <w:numId w:val="6"/>
        </w:numPr>
        <w:adjustRightInd w:val="0"/>
        <w:spacing w:line="353" w:lineRule="auto"/>
        <w:ind w:firstLine="640" w:firstLineChars="200"/>
        <w:contextualSpacing/>
        <w:jc w:val="left"/>
        <w:rPr>
          <w:rFonts w:eastAsia="仿宋_GB2312"/>
          <w:color w:val="000000" w:themeColor="text1"/>
          <w:kern w:val="0"/>
          <w:sz w:val="32"/>
          <w:szCs w:val="32"/>
          <w:shd w:val="clear" w:color="auto" w:fill="FFFFFF"/>
          <w:lang w:val="zh-CN"/>
          <w14:textFill>
            <w14:solidFill>
              <w14:schemeClr w14:val="tx1"/>
            </w14:solidFill>
          </w14:textFill>
        </w:rPr>
      </w:pPr>
      <w:r>
        <w:rPr>
          <w:rFonts w:eastAsia="仿宋_GB2312"/>
          <w:color w:val="000000" w:themeColor="text1"/>
          <w:kern w:val="0"/>
          <w:sz w:val="32"/>
          <w:szCs w:val="32"/>
          <w:shd w:val="clear" w:color="auto" w:fill="FFFFFF"/>
          <w:lang w:val="zh-CN"/>
          <w14:textFill>
            <w14:solidFill>
              <w14:schemeClr w14:val="tx1"/>
            </w14:solidFill>
          </w14:textFill>
        </w:rPr>
        <w:t>部门财政资金支出情况。</w:t>
      </w:r>
    </w:p>
    <w:p w14:paraId="7985119B">
      <w:pPr>
        <w:spacing w:line="353" w:lineRule="auto"/>
        <w:ind w:firstLine="640" w:firstLineChars="200"/>
        <w:outlineLvl w:val="1"/>
        <w:rPr>
          <w:rFonts w:eastAsia="仿宋"/>
          <w:color w:val="000000" w:themeColor="text1"/>
          <w:sz w:val="32"/>
          <w:szCs w:val="32"/>
          <w:lang w:val="zh-CN"/>
          <w14:textFill>
            <w14:solidFill>
              <w14:schemeClr w14:val="tx1"/>
            </w14:solidFill>
          </w14:textFill>
        </w:rPr>
      </w:pPr>
      <w:bookmarkStart w:id="111" w:name="_Toc51"/>
      <w:bookmarkStart w:id="112" w:name="_Toc19619"/>
      <w:r>
        <w:rPr>
          <w:rFonts w:eastAsia="仿宋"/>
          <w:color w:val="000000" w:themeColor="text1"/>
          <w:sz w:val="32"/>
          <w:szCs w:val="32"/>
          <w14:textFill>
            <w14:solidFill>
              <w14:schemeClr w14:val="tx1"/>
            </w14:solidFill>
          </w14:textFill>
        </w:rPr>
        <w:t>2019年本年支出合计1,011.87万元，其中：基本支出655.21万元，占64.75%；项目支出356.65万元，占35.25%。</w:t>
      </w:r>
      <w:bookmarkEnd w:id="111"/>
      <w:bookmarkEnd w:id="112"/>
    </w:p>
    <w:p w14:paraId="4C15B3F6">
      <w:pPr>
        <w:widowControl/>
        <w:adjustRightInd w:val="0"/>
        <w:spacing w:line="353" w:lineRule="auto"/>
        <w:ind w:firstLine="640" w:firstLineChars="200"/>
        <w:contextualSpacing/>
        <w:jc w:val="left"/>
        <w:rPr>
          <w:rFonts w:eastAsia="黑体"/>
          <w:color w:val="000000" w:themeColor="text1"/>
          <w:kern w:val="0"/>
          <w:sz w:val="32"/>
          <w:szCs w:val="32"/>
          <w:shd w:val="clear" w:color="auto" w:fill="FFFFFF"/>
          <w14:textFill>
            <w14:solidFill>
              <w14:schemeClr w14:val="tx1"/>
            </w14:solidFill>
          </w14:textFill>
        </w:rPr>
      </w:pPr>
      <w:r>
        <w:rPr>
          <w:rFonts w:eastAsia="黑体"/>
          <w:color w:val="000000" w:themeColor="text1"/>
          <w:kern w:val="0"/>
          <w:sz w:val="32"/>
          <w:szCs w:val="32"/>
          <w:shd w:val="clear" w:color="auto" w:fill="FFFFFF"/>
          <w14:textFill>
            <w14:solidFill>
              <w14:schemeClr w14:val="tx1"/>
            </w14:solidFill>
          </w14:textFill>
        </w:rPr>
        <w:t>三、部门整体预算绩效管理情况</w:t>
      </w:r>
    </w:p>
    <w:p w14:paraId="28A97624">
      <w:pPr>
        <w:spacing w:line="353" w:lineRule="auto"/>
        <w:ind w:left="640"/>
        <w:rPr>
          <w:rFonts w:eastAsia="楷体_GB2312"/>
          <w:color w:val="000000" w:themeColor="text1"/>
          <w:kern w:val="0"/>
          <w:sz w:val="32"/>
          <w:szCs w:val="32"/>
          <w14:textFill>
            <w14:solidFill>
              <w14:schemeClr w14:val="tx1"/>
            </w14:solidFill>
          </w14:textFill>
        </w:rPr>
      </w:pPr>
      <w:r>
        <w:rPr>
          <w:rFonts w:eastAsia="楷体_GB2312"/>
          <w:color w:val="000000" w:themeColor="text1"/>
          <w:kern w:val="0"/>
          <w:sz w:val="32"/>
          <w:szCs w:val="32"/>
          <w14:textFill>
            <w14:solidFill>
              <w14:schemeClr w14:val="tx1"/>
            </w14:solidFill>
          </w14:textFill>
        </w:rPr>
        <w:t>（一）部门预算管理。</w:t>
      </w:r>
    </w:p>
    <w:p w14:paraId="57A504BB">
      <w:pPr>
        <w:pStyle w:val="23"/>
        <w:spacing w:line="353" w:lineRule="auto"/>
        <w:ind w:firstLine="640" w:firstLineChars="200"/>
        <w:rPr>
          <w:rFonts w:ascii="Times New Roman" w:hAnsi="Times New Roman" w:cs="Times New Roman"/>
          <w:color w:val="000000" w:themeColor="text1"/>
          <w:sz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2019年支出</w:t>
      </w:r>
      <w:r>
        <w:rPr>
          <w:rFonts w:ascii="Times New Roman" w:hAnsi="Times New Roman" w:cs="Times New Roman"/>
          <w:color w:val="000000" w:themeColor="text1"/>
          <w:sz w:val="32"/>
          <w14:textFill>
            <w14:solidFill>
              <w14:schemeClr w14:val="tx1"/>
            </w14:solidFill>
          </w14:textFill>
        </w:rPr>
        <w:t>1,064.39</w:t>
      </w:r>
      <w:r>
        <w:rPr>
          <w:rFonts w:ascii="Times New Roman" w:hAnsi="Times New Roman" w:eastAsia="仿宋_GB2312" w:cs="Times New Roman"/>
          <w:color w:val="000000" w:themeColor="text1"/>
          <w:sz w:val="32"/>
          <w:szCs w:val="32"/>
          <w14:textFill>
            <w14:solidFill>
              <w14:schemeClr w14:val="tx1"/>
            </w14:solidFill>
          </w14:textFill>
        </w:rPr>
        <w:t>万元，各项</w:t>
      </w:r>
      <w:r>
        <w:rPr>
          <w:rFonts w:ascii="Times New Roman" w:hAnsi="Times New Roman" w:cs="Times New Roman"/>
          <w:color w:val="000000" w:themeColor="text1"/>
          <w:sz w:val="32"/>
          <w:szCs w:val="32"/>
          <w14:textFill>
            <w14:solidFill>
              <w14:schemeClr w14:val="tx1"/>
            </w14:solidFill>
          </w14:textFill>
        </w:rPr>
        <w:t>目标完成较、预算编制情况准确、执行进度达100%，无违规记录等情况。</w:t>
      </w:r>
      <w:r>
        <w:rPr>
          <w:rFonts w:ascii="Times New Roman" w:hAnsi="Times New Roman" w:eastAsia="仿宋_GB2312" w:cs="Times New Roman"/>
          <w:color w:val="000000" w:themeColor="text1"/>
          <w:sz w:val="32"/>
          <w:szCs w:val="32"/>
          <w14:textFill>
            <w14:solidFill>
              <w14:schemeClr w14:val="tx1"/>
            </w14:solidFill>
          </w14:textFill>
        </w:rPr>
        <w:t>预算绩效管是一项新的工作，我们一直把制度建设作为预算绩效管理重点工作来抓。出台了《攀枝花市西区人力资源和社会保障局预算管理内部控制制度》《攀枝花市西区人力资源和社会保障局收支管理内部控制制度》，为开展项目评价工作、提高绩效管理水平提供制度保障。</w:t>
      </w:r>
    </w:p>
    <w:p w14:paraId="7AC185A9">
      <w:pPr>
        <w:spacing w:line="353" w:lineRule="auto"/>
        <w:ind w:left="640"/>
        <w:rPr>
          <w:rFonts w:eastAsia="楷体_GB2312"/>
          <w:color w:val="000000" w:themeColor="text1"/>
          <w:kern w:val="0"/>
          <w:sz w:val="32"/>
          <w:szCs w:val="32"/>
          <w14:textFill>
            <w14:solidFill>
              <w14:schemeClr w14:val="tx1"/>
            </w14:solidFill>
          </w14:textFill>
        </w:rPr>
      </w:pPr>
      <w:r>
        <w:rPr>
          <w:rFonts w:eastAsia="楷体_GB2312"/>
          <w:color w:val="000000" w:themeColor="text1"/>
          <w:kern w:val="0"/>
          <w:sz w:val="32"/>
          <w:szCs w:val="32"/>
          <w14:textFill>
            <w14:solidFill>
              <w14:schemeClr w14:val="tx1"/>
            </w14:solidFill>
          </w14:textFill>
        </w:rPr>
        <w:t>（二）专项预算管理。</w:t>
      </w:r>
    </w:p>
    <w:p w14:paraId="61D20A68">
      <w:pPr>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严格执行各项目资金预算管理制度，在资金管理、资金支付、专款专用、用款计划、费用标准及支付管理等各方面进行了规范。专项预算执行情况良好，完成专项预算绩效目标，无违规情况。</w:t>
      </w:r>
    </w:p>
    <w:p w14:paraId="4994CF15">
      <w:pPr>
        <w:spacing w:line="353" w:lineRule="auto"/>
        <w:ind w:left="640"/>
        <w:rPr>
          <w:rFonts w:eastAsia="楷体_GB2312"/>
          <w:color w:val="000000" w:themeColor="text1"/>
          <w:kern w:val="0"/>
          <w:sz w:val="32"/>
          <w:szCs w:val="32"/>
          <w14:textFill>
            <w14:solidFill>
              <w14:schemeClr w14:val="tx1"/>
            </w14:solidFill>
          </w14:textFill>
        </w:rPr>
      </w:pPr>
      <w:r>
        <w:rPr>
          <w:rFonts w:eastAsia="楷体_GB2312"/>
          <w:color w:val="000000" w:themeColor="text1"/>
          <w:kern w:val="0"/>
          <w:sz w:val="32"/>
          <w:szCs w:val="32"/>
          <w14:textFill>
            <w14:solidFill>
              <w14:schemeClr w14:val="tx1"/>
            </w14:solidFill>
          </w14:textFill>
        </w:rPr>
        <w:t>（三）结果应用情况。</w:t>
      </w:r>
    </w:p>
    <w:p w14:paraId="0BC280A0">
      <w:pPr>
        <w:spacing w:line="353" w:lineRule="auto"/>
        <w:ind w:firstLine="640" w:firstLineChars="200"/>
        <w:rPr>
          <w:rFonts w:eastAsia="仿宋_GB2312"/>
          <w:color w:val="000000" w:themeColor="text1"/>
          <w:kern w:val="0"/>
          <w:sz w:val="32"/>
          <w:szCs w:val="32"/>
          <w14:textFill>
            <w14:solidFill>
              <w14:schemeClr w14:val="tx1"/>
            </w14:solidFill>
          </w14:textFill>
        </w:rPr>
      </w:pPr>
      <w:r>
        <w:rPr>
          <w:rFonts w:eastAsia="仿宋_GB2312"/>
          <w:color w:val="000000" w:themeColor="text1"/>
          <w:kern w:val="0"/>
          <w:sz w:val="32"/>
          <w:szCs w:val="32"/>
          <w14:textFill>
            <w14:solidFill>
              <w14:schemeClr w14:val="tx1"/>
            </w14:solidFill>
          </w14:textFill>
        </w:rPr>
        <w:t>通过严格资金使用、管理和监控，及时在门户网站公开年度实施的项目和部门整体支出绩效自评报告，不断补充和完善绩效评价指标，建立激励与约束机制，保障预算项目的全面落实，切实提高群众的满意度、幸福感、获得感。</w:t>
      </w:r>
    </w:p>
    <w:p w14:paraId="172B84EC">
      <w:pPr>
        <w:widowControl/>
        <w:adjustRightInd w:val="0"/>
        <w:spacing w:line="353" w:lineRule="auto"/>
        <w:ind w:firstLine="640" w:firstLineChars="200"/>
        <w:contextualSpacing/>
        <w:jc w:val="left"/>
        <w:rPr>
          <w:rFonts w:eastAsia="黑体"/>
          <w:color w:val="000000" w:themeColor="text1"/>
          <w:kern w:val="0"/>
          <w:sz w:val="32"/>
          <w:szCs w:val="32"/>
          <w:shd w:val="clear" w:color="auto" w:fill="FFFFFF"/>
          <w14:textFill>
            <w14:solidFill>
              <w14:schemeClr w14:val="tx1"/>
            </w14:solidFill>
          </w14:textFill>
        </w:rPr>
      </w:pPr>
      <w:r>
        <w:rPr>
          <w:rFonts w:eastAsia="黑体"/>
          <w:color w:val="000000" w:themeColor="text1"/>
          <w:kern w:val="0"/>
          <w:sz w:val="32"/>
          <w:szCs w:val="32"/>
          <w:shd w:val="clear" w:color="auto" w:fill="FFFFFF"/>
          <w14:textFill>
            <w14:solidFill>
              <w14:schemeClr w14:val="tx1"/>
            </w14:solidFill>
          </w14:textFill>
        </w:rPr>
        <w:t>四、评价结论及建议</w:t>
      </w:r>
    </w:p>
    <w:p w14:paraId="5D536722">
      <w:pPr>
        <w:widowControl/>
        <w:spacing w:line="353" w:lineRule="auto"/>
        <w:ind w:firstLine="640" w:firstLineChars="200"/>
        <w:jc w:val="left"/>
        <w:rPr>
          <w:rFonts w:eastAsia="楷体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（一）评价结论。</w:t>
      </w:r>
    </w:p>
    <w:p w14:paraId="5ADE0E5C">
      <w:pPr>
        <w:widowControl/>
        <w:spacing w:line="353" w:lineRule="auto"/>
        <w:ind w:firstLine="640" w:firstLineChars="200"/>
        <w:jc w:val="left"/>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我局2019年绩效目标完成，职责履行良好，履职效益明显，预算配置科学，预算执行有效，预算管理规范，综合绩效指标自评良好。</w:t>
      </w:r>
    </w:p>
    <w:p w14:paraId="4F424BF0">
      <w:pPr>
        <w:widowControl/>
        <w:spacing w:line="353" w:lineRule="auto"/>
        <w:ind w:firstLine="640" w:firstLineChars="200"/>
        <w:jc w:val="left"/>
        <w:rPr>
          <w:rFonts w:eastAsia="楷体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（二）存在问题。</w:t>
      </w:r>
    </w:p>
    <w:p w14:paraId="5E775297">
      <w:pPr>
        <w:widowControl/>
        <w:spacing w:line="353" w:lineRule="auto"/>
        <w:ind w:firstLine="640" w:firstLineChars="200"/>
        <w:jc w:val="left"/>
        <w:rPr>
          <w:rFonts w:eastAsia="仿宋_GB2312"/>
          <w:color w:val="000000" w:themeColor="text1"/>
          <w:sz w:val="32"/>
          <w14:textFill>
            <w14:solidFill>
              <w14:schemeClr w14:val="tx1"/>
            </w14:solidFill>
          </w14:textFill>
        </w:rPr>
      </w:pPr>
      <w:r>
        <w:rPr>
          <w:rFonts w:eastAsia="仿宋_GB2312"/>
          <w:color w:val="000000" w:themeColor="text1"/>
          <w:sz w:val="32"/>
          <w14:textFill>
            <w14:solidFill>
              <w14:schemeClr w14:val="tx1"/>
            </w14:solidFill>
          </w14:textFill>
        </w:rPr>
        <w:t>无</w:t>
      </w:r>
    </w:p>
    <w:p w14:paraId="3A794E33">
      <w:pPr>
        <w:widowControl/>
        <w:spacing w:line="353" w:lineRule="auto"/>
        <w:ind w:firstLine="640" w:firstLineChars="200"/>
        <w:jc w:val="left"/>
        <w:rPr>
          <w:rFonts w:eastAsia="楷体_GB2312"/>
          <w:color w:val="000000" w:themeColor="text1"/>
          <w:sz w:val="32"/>
          <w14:textFill>
            <w14:solidFill>
              <w14:schemeClr w14:val="tx1"/>
            </w14:solidFill>
          </w14:textFill>
        </w:rPr>
      </w:pPr>
      <w:r>
        <w:rPr>
          <w:rFonts w:eastAsia="楷体_GB2312"/>
          <w:color w:val="000000" w:themeColor="text1"/>
          <w:sz w:val="32"/>
          <w14:textFill>
            <w14:solidFill>
              <w14:schemeClr w14:val="tx1"/>
            </w14:solidFill>
          </w14:textFill>
        </w:rPr>
        <w:t>（三）改进建议。</w:t>
      </w:r>
    </w:p>
    <w:p w14:paraId="7D2CA5E7">
      <w:pPr>
        <w:spacing w:line="353" w:lineRule="auto"/>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14:textFill>
            <w14:solidFill>
              <w14:schemeClr w14:val="tx1"/>
            </w14:solidFill>
          </w14:textFill>
        </w:rPr>
        <w:t>无</w:t>
      </w:r>
      <w:r>
        <w:rPr>
          <w:rFonts w:eastAsia="仿宋_GB2312"/>
          <w:color w:val="000000" w:themeColor="text1"/>
          <w:sz w:val="32"/>
          <w14:textFill>
            <w14:solidFill>
              <w14:schemeClr w14:val="tx1"/>
            </w14:solidFill>
          </w14:textFill>
        </w:rPr>
        <w:br w:type="page"/>
      </w:r>
    </w:p>
    <w:p w14:paraId="77512F01">
      <w:pPr>
        <w:spacing w:line="353" w:lineRule="auto"/>
        <w:rPr>
          <w:rFonts w:eastAsia="仿宋_GB2312"/>
          <w:sz w:val="32"/>
          <w:szCs w:val="32"/>
        </w:rPr>
      </w:pPr>
      <w:r>
        <w:rPr>
          <w:rFonts w:eastAsia="黑体"/>
          <w:sz w:val="32"/>
          <w:szCs w:val="32"/>
        </w:rPr>
        <w:t>附件2</w:t>
      </w:r>
    </w:p>
    <w:p w14:paraId="35A6D45A">
      <w:pPr>
        <w:spacing w:line="353" w:lineRule="auto"/>
        <w:ind w:firstLine="640" w:firstLineChars="200"/>
        <w:rPr>
          <w:rFonts w:eastAsia="仿宋_GB2312"/>
          <w:sz w:val="32"/>
          <w:szCs w:val="32"/>
        </w:rPr>
      </w:pPr>
    </w:p>
    <w:p w14:paraId="6028C718">
      <w:pPr>
        <w:spacing w:line="0" w:lineRule="atLeast"/>
        <w:jc w:val="center"/>
        <w:rPr>
          <w:rFonts w:eastAsia="方正小标宋简体"/>
          <w:kern w:val="0"/>
          <w:sz w:val="44"/>
          <w:szCs w:val="44"/>
          <w:lang w:val="zh-CN"/>
        </w:rPr>
      </w:pPr>
      <w:r>
        <w:rPr>
          <w:rFonts w:hint="eastAsia" w:eastAsia="方正小标宋简体"/>
          <w:kern w:val="0"/>
          <w:sz w:val="44"/>
          <w:szCs w:val="44"/>
          <w:lang w:val="zh-CN"/>
        </w:rPr>
        <w:t>“</w:t>
      </w:r>
      <w:r>
        <w:rPr>
          <w:rFonts w:eastAsia="方正小标宋简体"/>
          <w:kern w:val="0"/>
          <w:sz w:val="44"/>
          <w:szCs w:val="44"/>
          <w:lang w:val="zh-CN"/>
        </w:rPr>
        <w:t>劳动保障协理员人员经费</w:t>
      </w:r>
      <w:r>
        <w:rPr>
          <w:rFonts w:hint="eastAsia" w:eastAsia="方正小标宋简体"/>
          <w:kern w:val="0"/>
          <w:sz w:val="44"/>
          <w:szCs w:val="44"/>
          <w:lang w:val="zh-CN"/>
        </w:rPr>
        <w:t>”</w:t>
      </w:r>
      <w:r>
        <w:rPr>
          <w:rFonts w:eastAsia="方正小标宋简体"/>
          <w:kern w:val="0"/>
          <w:sz w:val="44"/>
          <w:szCs w:val="44"/>
          <w:lang w:val="zh-CN"/>
        </w:rPr>
        <w:t>项目</w:t>
      </w:r>
      <w:r>
        <w:rPr>
          <w:rFonts w:eastAsia="方正小标宋简体"/>
          <w:kern w:val="0"/>
          <w:sz w:val="44"/>
          <w:szCs w:val="44"/>
        </w:rPr>
        <w:t>2019年</w:t>
      </w:r>
      <w:r>
        <w:rPr>
          <w:rFonts w:eastAsia="方正小标宋简体"/>
          <w:kern w:val="0"/>
          <w:sz w:val="44"/>
          <w:szCs w:val="44"/>
          <w:lang w:val="zh-CN"/>
        </w:rPr>
        <w:t>绩效评价报告</w:t>
      </w:r>
    </w:p>
    <w:p w14:paraId="4BDAF137">
      <w:pPr>
        <w:spacing w:line="353" w:lineRule="auto"/>
        <w:rPr>
          <w:color w:val="FF0000"/>
          <w:sz w:val="32"/>
          <w:szCs w:val="32"/>
          <w:lang w:val="zh-CN"/>
        </w:rPr>
      </w:pPr>
    </w:p>
    <w:p w14:paraId="45CE6A7C">
      <w:pPr>
        <w:adjustRightInd w:val="0"/>
        <w:snapToGrid w:val="0"/>
        <w:spacing w:line="353" w:lineRule="auto"/>
        <w:ind w:firstLine="640" w:firstLineChars="200"/>
        <w:rPr>
          <w:rFonts w:eastAsia="黑体"/>
          <w:bCs/>
          <w:sz w:val="32"/>
          <w:szCs w:val="32"/>
        </w:rPr>
      </w:pPr>
      <w:r>
        <w:rPr>
          <w:rFonts w:eastAsia="黑体"/>
          <w:bCs/>
          <w:sz w:val="32"/>
          <w:szCs w:val="32"/>
        </w:rPr>
        <w:t>一、项目概况</w:t>
      </w:r>
    </w:p>
    <w:p w14:paraId="2403411D">
      <w:pPr>
        <w:adjustRightInd w:val="0"/>
        <w:snapToGrid w:val="0"/>
        <w:spacing w:line="353" w:lineRule="auto"/>
        <w:ind w:firstLine="643" w:firstLineChars="200"/>
        <w:rPr>
          <w:rFonts w:eastAsia="楷体_GB2312"/>
          <w:b/>
          <w:bCs/>
          <w:sz w:val="32"/>
          <w:szCs w:val="32"/>
        </w:rPr>
      </w:pPr>
      <w:r>
        <w:rPr>
          <w:rFonts w:eastAsia="楷体_GB2312"/>
          <w:b/>
          <w:bCs/>
          <w:sz w:val="32"/>
          <w:szCs w:val="32"/>
        </w:rPr>
        <w:t>（一）项目基本情况。</w:t>
      </w:r>
    </w:p>
    <w:p w14:paraId="36645D9C">
      <w:pPr>
        <w:adjustRightInd w:val="0"/>
        <w:snapToGrid w:val="0"/>
        <w:spacing w:line="353" w:lineRule="auto"/>
        <w:ind w:firstLine="627" w:firstLineChars="196"/>
        <w:rPr>
          <w:rStyle w:val="37"/>
          <w:rFonts w:hint="default" w:ascii="Times New Roman"/>
        </w:rPr>
      </w:pPr>
      <w:r>
        <w:rPr>
          <w:rFonts w:eastAsia="仿宋_GB2312"/>
          <w:kern w:val="0"/>
          <w:sz w:val="32"/>
          <w:szCs w:val="32"/>
        </w:rPr>
        <w:t>根据攀枝花市人力资源和社会保障局、攀枝花市财政局《关于进一步加强劳动保障协理员队伍建设的通知》（攀人社〔2014〕334号）和攀枝花市人力资资源和社会保障局《关于同意〈西区人力资源和社会保障局关于公开招聘劳动保障协理员的请示〉的批复》文件精神。2014年10月，经请示区政府分管领导区委常委、常务副区邱小平，区委副书记区长龙勇，区委书记罗军同意，为我区配备劳动保障协理员39名。根据攀枝花市人力资源和社会保障局、攀枝花市财政局《关于进一步加强劳动保障协理员队伍建设的通知》（攀人社〔2014〕334号）和攀枝花西区人力资源和社会保障局 攀枝花市西区财政局《关于调整特定公益性岗位劳动保障协理员工资待遇的通知》（</w:t>
      </w:r>
      <w:r>
        <w:rPr>
          <w:rStyle w:val="37"/>
          <w:rFonts w:hint="default" w:ascii="Times New Roman"/>
        </w:rPr>
        <w:t>攀西人社〔2017〕41 号</w:t>
      </w:r>
      <w:r>
        <w:rPr>
          <w:rFonts w:eastAsia="仿宋_GB2312"/>
          <w:kern w:val="0"/>
          <w:sz w:val="32"/>
          <w:szCs w:val="32"/>
        </w:rPr>
        <w:t>）文件精神，</w:t>
      </w:r>
      <w:r>
        <w:rPr>
          <w:rStyle w:val="37"/>
          <w:rFonts w:hint="default" w:ascii="Times New Roman"/>
        </w:rPr>
        <w:t>特定公益性岗位劳动保障协理员工资待遇和住房公积金随西区社区干部待遇标准进行调整。</w:t>
      </w:r>
    </w:p>
    <w:p w14:paraId="3AE0B7A0">
      <w:pPr>
        <w:adjustRightInd w:val="0"/>
        <w:snapToGrid w:val="0"/>
        <w:spacing w:line="353" w:lineRule="auto"/>
        <w:ind w:firstLine="643" w:firstLineChars="200"/>
        <w:rPr>
          <w:rFonts w:eastAsia="楷体_GB2312"/>
          <w:b/>
          <w:bCs/>
          <w:sz w:val="32"/>
          <w:szCs w:val="32"/>
        </w:rPr>
      </w:pPr>
      <w:r>
        <w:rPr>
          <w:rFonts w:eastAsia="楷体_GB2312"/>
          <w:b/>
          <w:bCs/>
          <w:sz w:val="32"/>
          <w:szCs w:val="32"/>
        </w:rPr>
        <w:t>（二）项目绩效目标。</w:t>
      </w:r>
    </w:p>
    <w:p w14:paraId="1F28ABF3">
      <w:pPr>
        <w:adjustRightInd w:val="0"/>
        <w:snapToGrid w:val="0"/>
        <w:spacing w:line="353" w:lineRule="auto"/>
        <w:ind w:firstLine="627" w:firstLineChars="196"/>
        <w:rPr>
          <w:rFonts w:eastAsia="黑体"/>
          <w:bCs/>
          <w:sz w:val="32"/>
          <w:szCs w:val="32"/>
        </w:rPr>
      </w:pPr>
      <w:r>
        <w:rPr>
          <w:rFonts w:eastAsia="仿宋_GB2312"/>
          <w:kern w:val="0"/>
          <w:sz w:val="32"/>
          <w:szCs w:val="32"/>
        </w:rPr>
        <w:t>为辖区各人力资源和社会保障服务平台配备的劳动保障协理员主要负责向城乡居民和用人单位提供各项劳动就业社会保障公共服务，做好辖区内劳动就业社会保障法律法规及政策的宣传、咨询工作，开展劳动就业社会保障基础工作调查、统计上报、动态管理等工作，开展辖区内就业服务、社会保险、劳动监察、劳动争议调解等各项业务经办和服务工作，协助做好基层平台建设工作。</w:t>
      </w:r>
    </w:p>
    <w:p w14:paraId="69FF281F">
      <w:pPr>
        <w:adjustRightInd w:val="0"/>
        <w:snapToGrid w:val="0"/>
        <w:spacing w:line="353" w:lineRule="auto"/>
        <w:ind w:firstLine="640" w:firstLineChars="200"/>
        <w:rPr>
          <w:rFonts w:eastAsia="黑体"/>
          <w:bCs/>
          <w:sz w:val="32"/>
          <w:szCs w:val="32"/>
        </w:rPr>
      </w:pPr>
      <w:r>
        <w:rPr>
          <w:rFonts w:eastAsia="黑体"/>
          <w:bCs/>
          <w:sz w:val="32"/>
          <w:szCs w:val="32"/>
        </w:rPr>
        <w:t>二、项目资金申报及使用情况</w:t>
      </w:r>
    </w:p>
    <w:p w14:paraId="6BB23DAA">
      <w:pPr>
        <w:adjustRightInd w:val="0"/>
        <w:snapToGrid w:val="0"/>
        <w:spacing w:line="353" w:lineRule="auto"/>
        <w:ind w:firstLine="627" w:firstLineChars="196"/>
        <w:rPr>
          <w:rFonts w:eastAsia="仿宋_GB2312"/>
          <w:bCs/>
          <w:sz w:val="32"/>
          <w:szCs w:val="32"/>
        </w:rPr>
      </w:pPr>
      <w:r>
        <w:rPr>
          <w:rFonts w:eastAsia="仿宋_GB2312"/>
          <w:bCs/>
          <w:sz w:val="32"/>
          <w:szCs w:val="32"/>
        </w:rPr>
        <w:t>2019年全年申报预算115.73万元，全部到位。</w:t>
      </w:r>
    </w:p>
    <w:p w14:paraId="6DD4ACD6">
      <w:pPr>
        <w:adjustRightInd w:val="0"/>
        <w:snapToGrid w:val="0"/>
        <w:spacing w:line="353" w:lineRule="auto"/>
        <w:ind w:firstLine="640" w:firstLineChars="200"/>
        <w:rPr>
          <w:rFonts w:eastAsia="黑体"/>
          <w:bCs/>
          <w:sz w:val="32"/>
          <w:szCs w:val="32"/>
        </w:rPr>
      </w:pPr>
      <w:r>
        <w:rPr>
          <w:rFonts w:eastAsia="黑体"/>
          <w:bCs/>
          <w:sz w:val="32"/>
          <w:szCs w:val="32"/>
        </w:rPr>
        <w:t>三、项目实施及管理情况</w:t>
      </w:r>
    </w:p>
    <w:p w14:paraId="226C88C9">
      <w:pPr>
        <w:adjustRightInd w:val="0"/>
        <w:snapToGrid w:val="0"/>
        <w:spacing w:line="353" w:lineRule="auto"/>
        <w:ind w:firstLine="627" w:firstLineChars="196"/>
        <w:rPr>
          <w:rFonts w:eastAsia="仿宋_GB2312"/>
          <w:bCs/>
          <w:sz w:val="32"/>
          <w:szCs w:val="32"/>
        </w:rPr>
      </w:pPr>
      <w:r>
        <w:rPr>
          <w:rFonts w:eastAsia="仿宋_GB2312"/>
          <w:bCs/>
          <w:sz w:val="32"/>
          <w:szCs w:val="32"/>
        </w:rPr>
        <w:t>通过严格资金使用、管理和监控</w:t>
      </w:r>
      <w:r>
        <w:rPr>
          <w:rFonts w:hint="eastAsia" w:eastAsia="仿宋_GB2312"/>
          <w:bCs/>
          <w:sz w:val="32"/>
          <w:szCs w:val="32"/>
        </w:rPr>
        <w:t>等程序</w:t>
      </w:r>
      <w:r>
        <w:rPr>
          <w:rFonts w:eastAsia="仿宋_GB2312"/>
          <w:bCs/>
          <w:sz w:val="32"/>
          <w:szCs w:val="32"/>
        </w:rPr>
        <w:t>，保障各平台人力资源和社会保障工作顺利开展，为辖区14万人提供人力资源和社会保障服务。</w:t>
      </w:r>
    </w:p>
    <w:p w14:paraId="4CB64D09">
      <w:pPr>
        <w:adjustRightInd w:val="0"/>
        <w:snapToGrid w:val="0"/>
        <w:spacing w:line="353" w:lineRule="auto"/>
        <w:ind w:firstLine="640" w:firstLineChars="200"/>
        <w:rPr>
          <w:rFonts w:eastAsia="黑体"/>
          <w:bCs/>
          <w:sz w:val="32"/>
          <w:szCs w:val="32"/>
        </w:rPr>
      </w:pPr>
      <w:r>
        <w:rPr>
          <w:rFonts w:eastAsia="黑体"/>
          <w:bCs/>
          <w:sz w:val="32"/>
          <w:szCs w:val="32"/>
        </w:rPr>
        <w:t>四、项目绩效情况</w:t>
      </w:r>
    </w:p>
    <w:p w14:paraId="736CCCBE">
      <w:pPr>
        <w:spacing w:line="353" w:lineRule="auto"/>
        <w:ind w:firstLine="660" w:firstLineChars="200"/>
        <w:rPr>
          <w:rFonts w:eastAsia="方正仿宋_GBK"/>
          <w:color w:val="000000"/>
          <w:sz w:val="33"/>
          <w:szCs w:val="33"/>
        </w:rPr>
      </w:pPr>
      <w:r>
        <w:rPr>
          <w:rStyle w:val="37"/>
          <w:rFonts w:hint="default" w:ascii="Times New Roman" w:eastAsia="方正仿宋_GBK"/>
          <w:sz w:val="33"/>
          <w:szCs w:val="33"/>
        </w:rPr>
        <w:t>为辖区居民提供优质高效的人社公共服务，切实提升群众满意度、获得感。</w:t>
      </w:r>
    </w:p>
    <w:p w14:paraId="1866B52C">
      <w:pPr>
        <w:adjustRightInd w:val="0"/>
        <w:snapToGrid w:val="0"/>
        <w:spacing w:line="353" w:lineRule="auto"/>
        <w:ind w:firstLine="640" w:firstLineChars="200"/>
        <w:rPr>
          <w:rFonts w:eastAsia="黑体"/>
          <w:bCs/>
          <w:sz w:val="32"/>
          <w:szCs w:val="32"/>
        </w:rPr>
      </w:pPr>
      <w:r>
        <w:rPr>
          <w:rFonts w:eastAsia="黑体"/>
          <w:bCs/>
          <w:sz w:val="32"/>
          <w:szCs w:val="32"/>
        </w:rPr>
        <w:t>五、评价结论及建议</w:t>
      </w:r>
    </w:p>
    <w:p w14:paraId="2875E0C6">
      <w:pPr>
        <w:spacing w:line="353" w:lineRule="auto"/>
        <w:ind w:firstLine="624" w:firstLineChars="200"/>
        <w:rPr>
          <w:rFonts w:eastAsia="仿宋_GB2312"/>
          <w:spacing w:val="-4"/>
          <w:sz w:val="32"/>
          <w:szCs w:val="32"/>
        </w:rPr>
      </w:pPr>
      <w:r>
        <w:rPr>
          <w:rFonts w:eastAsia="仿宋_GB2312"/>
          <w:spacing w:val="-4"/>
          <w:sz w:val="32"/>
          <w:szCs w:val="32"/>
        </w:rPr>
        <w:t>近年来，劳动保障协理员在我区基层劳动就业和社会保障工作中发挥了不可或缺的积极作用，为构建和谐社区、维护社会稳定做出了贡献。我局将进一步加强劳动保障协理员队伍建设，建立健全相关制度，稳定劳动保障协理员队伍，保障其合法权益，更好的发挥劳动保障协理员队伍作用。积极主动与上级主管部门或区财政部门沟通，以满足劳动就业社会保障工作需要、保证公益性服务为原则，确保基层平台开展劳动就业社会保障工作的人员和工作经费。</w:t>
      </w:r>
    </w:p>
    <w:p w14:paraId="5D9CCF71">
      <w:pPr>
        <w:spacing w:line="353" w:lineRule="auto"/>
        <w:ind w:firstLine="624" w:firstLineChars="200"/>
        <w:rPr>
          <w:rFonts w:eastAsia="仿宋_GB2312"/>
          <w:spacing w:val="-4"/>
          <w:sz w:val="32"/>
          <w:szCs w:val="32"/>
        </w:rPr>
      </w:pPr>
    </w:p>
    <w:p w14:paraId="24D88D01">
      <w:pPr>
        <w:spacing w:line="0" w:lineRule="atLeast"/>
        <w:jc w:val="center"/>
        <w:rPr>
          <w:rFonts w:eastAsia="方正小标宋简体"/>
          <w:spacing w:val="-11"/>
          <w:kern w:val="0"/>
          <w:sz w:val="44"/>
          <w:szCs w:val="44"/>
          <w:lang w:val="zh-CN"/>
        </w:rPr>
      </w:pPr>
      <w:r>
        <w:rPr>
          <w:rFonts w:hint="eastAsia" w:eastAsia="方正小标宋简体"/>
          <w:spacing w:val="-11"/>
          <w:kern w:val="0"/>
          <w:sz w:val="44"/>
          <w:szCs w:val="44"/>
          <w:lang w:val="zh-CN"/>
        </w:rPr>
        <w:t>“军转干部社保”</w:t>
      </w:r>
      <w:r>
        <w:rPr>
          <w:rFonts w:eastAsia="方正小标宋简体"/>
          <w:spacing w:val="-11"/>
          <w:kern w:val="0"/>
          <w:sz w:val="44"/>
          <w:szCs w:val="44"/>
          <w:lang w:val="zh-CN"/>
        </w:rPr>
        <w:t>项目</w:t>
      </w:r>
      <w:r>
        <w:rPr>
          <w:rFonts w:eastAsia="方正小标宋简体"/>
          <w:spacing w:val="-11"/>
          <w:kern w:val="0"/>
          <w:sz w:val="44"/>
          <w:szCs w:val="44"/>
        </w:rPr>
        <w:t>2019年</w:t>
      </w:r>
      <w:r>
        <w:rPr>
          <w:rFonts w:eastAsia="方正小标宋简体"/>
          <w:spacing w:val="-11"/>
          <w:kern w:val="0"/>
          <w:sz w:val="44"/>
          <w:szCs w:val="44"/>
          <w:lang w:val="zh-CN"/>
        </w:rPr>
        <w:t>绩效评价报告</w:t>
      </w:r>
    </w:p>
    <w:p w14:paraId="79050085">
      <w:pPr>
        <w:spacing w:line="0" w:lineRule="atLeast"/>
        <w:jc w:val="center"/>
        <w:rPr>
          <w:rFonts w:eastAsia="方正小标宋简体"/>
          <w:spacing w:val="-11"/>
          <w:kern w:val="0"/>
          <w:sz w:val="44"/>
          <w:szCs w:val="44"/>
          <w:lang w:val="zh-CN"/>
        </w:rPr>
      </w:pPr>
    </w:p>
    <w:p w14:paraId="38C73E17">
      <w:pPr>
        <w:adjustRightInd w:val="0"/>
        <w:snapToGrid w:val="0"/>
        <w:spacing w:line="600" w:lineRule="exact"/>
        <w:ind w:firstLine="640" w:firstLineChars="200"/>
        <w:rPr>
          <w:rFonts w:eastAsia="黑体"/>
          <w:bCs/>
          <w:sz w:val="32"/>
          <w:szCs w:val="32"/>
        </w:rPr>
      </w:pPr>
      <w:r>
        <w:rPr>
          <w:rFonts w:eastAsia="黑体"/>
          <w:bCs/>
          <w:sz w:val="32"/>
          <w:szCs w:val="32"/>
        </w:rPr>
        <w:t>一、项目概况</w:t>
      </w:r>
    </w:p>
    <w:p w14:paraId="4FBA4C00">
      <w:pPr>
        <w:adjustRightInd w:val="0"/>
        <w:snapToGrid w:val="0"/>
        <w:spacing w:line="600" w:lineRule="exact"/>
        <w:ind w:firstLine="643" w:firstLineChars="200"/>
        <w:rPr>
          <w:rFonts w:eastAsia="楷体_GB2312"/>
          <w:b/>
          <w:bCs/>
          <w:sz w:val="32"/>
          <w:szCs w:val="32"/>
        </w:rPr>
      </w:pPr>
      <w:r>
        <w:rPr>
          <w:rFonts w:eastAsia="楷体_GB2312"/>
          <w:b/>
          <w:bCs/>
          <w:sz w:val="32"/>
          <w:szCs w:val="32"/>
        </w:rPr>
        <w:t>（一）项目基本情况。</w:t>
      </w:r>
    </w:p>
    <w:p w14:paraId="3146EBFB">
      <w:pPr>
        <w:adjustRightInd w:val="0"/>
        <w:snapToGrid w:val="0"/>
        <w:spacing w:line="600" w:lineRule="exact"/>
        <w:ind w:firstLine="640" w:firstLineChars="200"/>
        <w:rPr>
          <w:rFonts w:eastAsia="仿宋_GB2312"/>
          <w:bCs/>
          <w:sz w:val="32"/>
          <w:szCs w:val="32"/>
        </w:rPr>
      </w:pPr>
      <w:r>
        <w:rPr>
          <w:rFonts w:eastAsia="仿宋_GB2312"/>
          <w:bCs/>
          <w:sz w:val="32"/>
          <w:szCs w:val="32"/>
        </w:rPr>
        <w:t>根据中共中央、国务院、中央军委颁布的《军队转业干部安置暂行办法》（中发</w:t>
      </w:r>
      <w:r>
        <w:rPr>
          <w:rFonts w:eastAsia="仿宋_GB2312"/>
          <w:kern w:val="0"/>
          <w:sz w:val="32"/>
          <w:szCs w:val="32"/>
        </w:rPr>
        <w:t>〔20</w:t>
      </w:r>
      <w:r>
        <w:rPr>
          <w:rFonts w:hint="eastAsia" w:eastAsia="仿宋_GB2312"/>
          <w:kern w:val="0"/>
          <w:sz w:val="32"/>
          <w:szCs w:val="32"/>
        </w:rPr>
        <w:t>01</w:t>
      </w:r>
      <w:r>
        <w:rPr>
          <w:rFonts w:eastAsia="仿宋_GB2312"/>
          <w:kern w:val="0"/>
          <w:sz w:val="32"/>
          <w:szCs w:val="32"/>
        </w:rPr>
        <w:t>〕</w:t>
      </w:r>
      <w:r>
        <w:rPr>
          <w:rFonts w:eastAsia="仿宋_GB2312"/>
          <w:bCs/>
          <w:sz w:val="32"/>
          <w:szCs w:val="32"/>
        </w:rPr>
        <w:t>3号）、国务院军转安置工作小组、中组部、人事部等部门《关于自主择业的军队转业干部安置管理若干问题的意见》（</w:t>
      </w:r>
      <w:r>
        <w:rPr>
          <w:rFonts w:eastAsia="仿宋_GB2312"/>
          <w:kern w:val="0"/>
          <w:sz w:val="32"/>
          <w:szCs w:val="32"/>
        </w:rPr>
        <w:t>〔20</w:t>
      </w:r>
      <w:r>
        <w:rPr>
          <w:rFonts w:hint="eastAsia" w:eastAsia="仿宋_GB2312"/>
          <w:kern w:val="0"/>
          <w:sz w:val="32"/>
          <w:szCs w:val="32"/>
        </w:rPr>
        <w:t>01</w:t>
      </w:r>
      <w:r>
        <w:rPr>
          <w:rFonts w:eastAsia="仿宋_GB2312"/>
          <w:kern w:val="0"/>
          <w:sz w:val="32"/>
          <w:szCs w:val="32"/>
        </w:rPr>
        <w:t>〕</w:t>
      </w:r>
      <w:r>
        <w:rPr>
          <w:rFonts w:eastAsia="仿宋_GB2312"/>
          <w:bCs/>
          <w:sz w:val="32"/>
          <w:szCs w:val="32"/>
        </w:rPr>
        <w:t>国转联字8号）和四川省军转安置工作小组、四川省委组织部、四川省人事厅等部门《印发&lt;四川省关于自主择业军队转业干部安置管理的试行意见&gt;的通知》（川转发</w:t>
      </w:r>
      <w:r>
        <w:rPr>
          <w:rFonts w:eastAsia="仿宋_GB2312"/>
          <w:kern w:val="0"/>
          <w:sz w:val="32"/>
          <w:szCs w:val="32"/>
        </w:rPr>
        <w:t>〔20</w:t>
      </w:r>
      <w:r>
        <w:rPr>
          <w:rFonts w:hint="eastAsia" w:eastAsia="仿宋_GB2312"/>
          <w:kern w:val="0"/>
          <w:sz w:val="32"/>
          <w:szCs w:val="32"/>
        </w:rPr>
        <w:t>02</w:t>
      </w:r>
      <w:r>
        <w:rPr>
          <w:rFonts w:eastAsia="仿宋_GB2312"/>
          <w:kern w:val="0"/>
          <w:sz w:val="32"/>
          <w:szCs w:val="32"/>
        </w:rPr>
        <w:t>〕</w:t>
      </w:r>
      <w:r>
        <w:rPr>
          <w:rFonts w:eastAsia="仿宋_GB2312"/>
          <w:bCs/>
          <w:sz w:val="32"/>
          <w:szCs w:val="32"/>
        </w:rPr>
        <w:t>9号）规定</w:t>
      </w:r>
      <w:r>
        <w:rPr>
          <w:rFonts w:hint="eastAsia" w:eastAsia="仿宋_GB2312"/>
          <w:bCs/>
          <w:sz w:val="32"/>
          <w:szCs w:val="32"/>
        </w:rPr>
        <w:t>等文件要求，按时缴纳自主择业军队转业干部社会保险、医疗保障等待遇。</w:t>
      </w:r>
    </w:p>
    <w:p w14:paraId="26B369A2">
      <w:pPr>
        <w:adjustRightInd w:val="0"/>
        <w:snapToGrid w:val="0"/>
        <w:spacing w:line="600" w:lineRule="exact"/>
        <w:ind w:firstLine="643" w:firstLineChars="200"/>
        <w:rPr>
          <w:rFonts w:eastAsia="楷体_GB2312"/>
          <w:b/>
          <w:bCs/>
          <w:sz w:val="32"/>
          <w:szCs w:val="32"/>
        </w:rPr>
      </w:pPr>
      <w:r>
        <w:rPr>
          <w:rFonts w:eastAsia="楷体_GB2312"/>
          <w:b/>
          <w:bCs/>
          <w:sz w:val="32"/>
          <w:szCs w:val="32"/>
        </w:rPr>
        <w:t>（二）项目绩效目标。</w:t>
      </w:r>
    </w:p>
    <w:p w14:paraId="769B5144">
      <w:pPr>
        <w:adjustRightInd w:val="0"/>
        <w:snapToGrid w:val="0"/>
        <w:spacing w:line="600" w:lineRule="exact"/>
        <w:ind w:firstLine="640" w:firstLineChars="200"/>
        <w:rPr>
          <w:rFonts w:eastAsia="仿宋_GB2312"/>
          <w:bCs/>
          <w:sz w:val="32"/>
          <w:szCs w:val="32"/>
        </w:rPr>
      </w:pPr>
      <w:r>
        <w:rPr>
          <w:rFonts w:hint="eastAsia" w:eastAsia="仿宋_GB2312"/>
          <w:bCs/>
          <w:sz w:val="32"/>
          <w:szCs w:val="32"/>
        </w:rPr>
        <w:t>按时缴纳自主择业军转干部各项社会保险，维护社会稳定。</w:t>
      </w:r>
    </w:p>
    <w:p w14:paraId="528DDA29">
      <w:pPr>
        <w:adjustRightInd w:val="0"/>
        <w:snapToGrid w:val="0"/>
        <w:spacing w:line="600" w:lineRule="exact"/>
        <w:ind w:firstLine="640" w:firstLineChars="200"/>
        <w:rPr>
          <w:rFonts w:eastAsia="黑体"/>
          <w:bCs/>
          <w:sz w:val="32"/>
          <w:szCs w:val="32"/>
        </w:rPr>
      </w:pPr>
      <w:r>
        <w:rPr>
          <w:rFonts w:eastAsia="黑体"/>
          <w:bCs/>
          <w:sz w:val="32"/>
          <w:szCs w:val="32"/>
        </w:rPr>
        <w:t>二、项目资金申报及使用情况</w:t>
      </w:r>
    </w:p>
    <w:p w14:paraId="47927F4F">
      <w:pPr>
        <w:adjustRightInd w:val="0"/>
        <w:snapToGrid w:val="0"/>
        <w:spacing w:line="600" w:lineRule="exact"/>
        <w:ind w:firstLine="627" w:firstLineChars="196"/>
        <w:rPr>
          <w:rFonts w:eastAsia="仿宋_GB2312"/>
          <w:bCs/>
          <w:sz w:val="32"/>
          <w:szCs w:val="32"/>
        </w:rPr>
      </w:pPr>
      <w:r>
        <w:rPr>
          <w:rFonts w:eastAsia="仿宋_GB2312"/>
          <w:bCs/>
          <w:sz w:val="32"/>
          <w:szCs w:val="32"/>
        </w:rPr>
        <w:t>2019年全年申报预算</w:t>
      </w:r>
      <w:r>
        <w:rPr>
          <w:rFonts w:hint="eastAsia" w:eastAsia="仿宋_GB2312"/>
          <w:bCs/>
          <w:sz w:val="32"/>
          <w:szCs w:val="32"/>
        </w:rPr>
        <w:t>2.78</w:t>
      </w:r>
      <w:r>
        <w:rPr>
          <w:rFonts w:eastAsia="仿宋_GB2312"/>
          <w:bCs/>
          <w:sz w:val="32"/>
          <w:szCs w:val="32"/>
        </w:rPr>
        <w:t>万元，全部到位。</w:t>
      </w:r>
    </w:p>
    <w:p w14:paraId="50B8EBE4">
      <w:pPr>
        <w:adjustRightInd w:val="0"/>
        <w:snapToGrid w:val="0"/>
        <w:spacing w:line="600" w:lineRule="exact"/>
        <w:ind w:firstLine="640" w:firstLineChars="200"/>
        <w:rPr>
          <w:rFonts w:eastAsia="黑体"/>
          <w:bCs/>
          <w:sz w:val="32"/>
          <w:szCs w:val="32"/>
        </w:rPr>
      </w:pPr>
      <w:r>
        <w:rPr>
          <w:rFonts w:eastAsia="黑体"/>
          <w:bCs/>
          <w:sz w:val="32"/>
          <w:szCs w:val="32"/>
        </w:rPr>
        <w:t>三、项目实施及管理情况</w:t>
      </w:r>
    </w:p>
    <w:p w14:paraId="02873035">
      <w:pPr>
        <w:adjustRightInd w:val="0"/>
        <w:snapToGrid w:val="0"/>
        <w:spacing w:line="600" w:lineRule="exact"/>
        <w:ind w:firstLine="640" w:firstLineChars="200"/>
        <w:rPr>
          <w:rFonts w:eastAsia="仿宋_GB2312"/>
          <w:bCs/>
          <w:sz w:val="32"/>
          <w:szCs w:val="32"/>
        </w:rPr>
      </w:pPr>
      <w:r>
        <w:rPr>
          <w:rFonts w:eastAsia="仿宋_GB2312"/>
          <w:bCs/>
          <w:sz w:val="32"/>
          <w:szCs w:val="32"/>
        </w:rPr>
        <w:t>通过严格资金使用、管理和监控</w:t>
      </w:r>
      <w:r>
        <w:rPr>
          <w:rFonts w:hint="eastAsia" w:eastAsia="仿宋_GB2312"/>
          <w:bCs/>
          <w:sz w:val="32"/>
          <w:szCs w:val="32"/>
        </w:rPr>
        <w:t>等程序</w:t>
      </w:r>
      <w:r>
        <w:rPr>
          <w:rFonts w:eastAsia="仿宋_GB2312"/>
          <w:bCs/>
          <w:sz w:val="32"/>
          <w:szCs w:val="32"/>
        </w:rPr>
        <w:t>，</w:t>
      </w:r>
      <w:r>
        <w:rPr>
          <w:rFonts w:hint="eastAsia" w:eastAsia="仿宋_GB2312"/>
          <w:bCs/>
          <w:sz w:val="32"/>
          <w:szCs w:val="32"/>
        </w:rPr>
        <w:t>2019年1-5月，完成7名军转干部社会保险缴纳工作，</w:t>
      </w:r>
      <w:r>
        <w:rPr>
          <w:rFonts w:eastAsia="仿宋_GB2312"/>
          <w:bCs/>
          <w:sz w:val="32"/>
          <w:szCs w:val="32"/>
        </w:rPr>
        <w:t>保障军转干部待遇</w:t>
      </w:r>
      <w:r>
        <w:rPr>
          <w:rFonts w:hint="eastAsia" w:eastAsia="仿宋_GB2312"/>
          <w:bCs/>
          <w:sz w:val="32"/>
          <w:szCs w:val="32"/>
        </w:rPr>
        <w:t>。</w:t>
      </w:r>
    </w:p>
    <w:p w14:paraId="5B015017">
      <w:pPr>
        <w:adjustRightInd w:val="0"/>
        <w:snapToGrid w:val="0"/>
        <w:spacing w:line="600" w:lineRule="exact"/>
        <w:ind w:firstLine="640" w:firstLineChars="200"/>
        <w:rPr>
          <w:rFonts w:eastAsia="黑体"/>
          <w:bCs/>
          <w:sz w:val="32"/>
          <w:szCs w:val="32"/>
        </w:rPr>
      </w:pPr>
      <w:r>
        <w:rPr>
          <w:rFonts w:eastAsia="黑体"/>
          <w:bCs/>
          <w:sz w:val="32"/>
          <w:szCs w:val="32"/>
        </w:rPr>
        <w:t>四、项目绩效情况</w:t>
      </w:r>
    </w:p>
    <w:p w14:paraId="01A37C8B">
      <w:pPr>
        <w:adjustRightInd w:val="0"/>
        <w:snapToGrid w:val="0"/>
        <w:spacing w:line="600" w:lineRule="exact"/>
        <w:ind w:firstLine="640" w:firstLineChars="200"/>
        <w:rPr>
          <w:rFonts w:eastAsia="仿宋_GB2312"/>
          <w:bCs/>
          <w:sz w:val="32"/>
          <w:szCs w:val="32"/>
        </w:rPr>
      </w:pPr>
      <w:r>
        <w:rPr>
          <w:rFonts w:eastAsia="仿宋_GB2312"/>
          <w:bCs/>
          <w:sz w:val="32"/>
          <w:szCs w:val="32"/>
        </w:rPr>
        <w:t>通过严格资金使用、管理和监控</w:t>
      </w:r>
      <w:r>
        <w:rPr>
          <w:rFonts w:hint="eastAsia" w:eastAsia="仿宋_GB2312"/>
          <w:bCs/>
          <w:sz w:val="32"/>
          <w:szCs w:val="32"/>
        </w:rPr>
        <w:t>等程序</w:t>
      </w:r>
      <w:r>
        <w:rPr>
          <w:rFonts w:eastAsia="仿宋_GB2312"/>
          <w:bCs/>
          <w:sz w:val="32"/>
          <w:szCs w:val="32"/>
        </w:rPr>
        <w:t>，保障军转干部待遇</w:t>
      </w:r>
      <w:r>
        <w:rPr>
          <w:rFonts w:hint="eastAsia" w:eastAsia="仿宋_GB2312"/>
          <w:bCs/>
          <w:sz w:val="32"/>
          <w:szCs w:val="32"/>
        </w:rPr>
        <w:t>，维护辖区稳定。</w:t>
      </w:r>
    </w:p>
    <w:p w14:paraId="4928A184">
      <w:pPr>
        <w:adjustRightInd w:val="0"/>
        <w:snapToGrid w:val="0"/>
        <w:spacing w:line="600" w:lineRule="exact"/>
        <w:ind w:firstLine="640" w:firstLineChars="200"/>
        <w:rPr>
          <w:rFonts w:eastAsia="黑体"/>
          <w:bCs/>
          <w:sz w:val="32"/>
          <w:szCs w:val="32"/>
        </w:rPr>
      </w:pPr>
      <w:r>
        <w:rPr>
          <w:rFonts w:eastAsia="黑体"/>
          <w:bCs/>
          <w:sz w:val="32"/>
          <w:szCs w:val="32"/>
        </w:rPr>
        <w:t>五、评价结论及建议</w:t>
      </w:r>
    </w:p>
    <w:p w14:paraId="56947066">
      <w:pPr>
        <w:spacing w:line="353" w:lineRule="auto"/>
        <w:ind w:firstLine="640"/>
        <w:rPr>
          <w:rStyle w:val="37"/>
          <w:rFonts w:hint="default" w:ascii="Times New Roman"/>
        </w:rPr>
      </w:pPr>
      <w:r>
        <w:rPr>
          <w:rStyle w:val="37"/>
        </w:rPr>
        <w:t>按时足额缴纳自主择业军转干部社会保险，维护了辖区和谐稳定，为推进军队转业干部安置办法的改革作出了应有的贡献。</w:t>
      </w:r>
    </w:p>
    <w:p w14:paraId="18CCBDE7">
      <w:pPr>
        <w:spacing w:line="0" w:lineRule="atLeast"/>
        <w:jc w:val="center"/>
        <w:rPr>
          <w:rFonts w:eastAsia="方正小标宋简体"/>
          <w:spacing w:val="-11"/>
          <w:kern w:val="0"/>
          <w:sz w:val="44"/>
          <w:szCs w:val="44"/>
          <w:lang w:val="zh-CN"/>
        </w:rPr>
      </w:pPr>
    </w:p>
    <w:p w14:paraId="655ADB7A">
      <w:pPr>
        <w:spacing w:line="0" w:lineRule="atLeast"/>
        <w:jc w:val="center"/>
        <w:rPr>
          <w:rFonts w:eastAsia="方正小标宋简体"/>
          <w:spacing w:val="-11"/>
          <w:kern w:val="0"/>
          <w:sz w:val="44"/>
          <w:szCs w:val="44"/>
          <w:lang w:val="zh-CN"/>
        </w:rPr>
      </w:pPr>
      <w:r>
        <w:rPr>
          <w:rFonts w:hint="eastAsia" w:eastAsia="方正小标宋简体"/>
          <w:spacing w:val="-11"/>
          <w:kern w:val="0"/>
          <w:sz w:val="44"/>
          <w:szCs w:val="44"/>
          <w:lang w:val="zh-CN"/>
        </w:rPr>
        <w:t>“</w:t>
      </w:r>
      <w:r>
        <w:rPr>
          <w:rFonts w:eastAsia="方正小标宋简体"/>
          <w:spacing w:val="-11"/>
          <w:kern w:val="0"/>
          <w:sz w:val="44"/>
          <w:szCs w:val="44"/>
          <w:lang w:val="zh-CN"/>
        </w:rPr>
        <w:t>金保网络专项经费</w:t>
      </w:r>
      <w:r>
        <w:rPr>
          <w:rFonts w:hint="eastAsia" w:eastAsia="方正小标宋简体"/>
          <w:spacing w:val="-11"/>
          <w:kern w:val="0"/>
          <w:sz w:val="44"/>
          <w:szCs w:val="44"/>
          <w:lang w:val="zh-CN"/>
        </w:rPr>
        <w:t>”</w:t>
      </w:r>
      <w:r>
        <w:rPr>
          <w:rFonts w:eastAsia="方正小标宋简体"/>
          <w:spacing w:val="-11"/>
          <w:kern w:val="0"/>
          <w:sz w:val="44"/>
          <w:szCs w:val="44"/>
          <w:lang w:val="zh-CN"/>
        </w:rPr>
        <w:t>项目</w:t>
      </w:r>
      <w:r>
        <w:rPr>
          <w:rFonts w:eastAsia="方正小标宋简体"/>
          <w:spacing w:val="-11"/>
          <w:kern w:val="0"/>
          <w:sz w:val="44"/>
          <w:szCs w:val="44"/>
        </w:rPr>
        <w:t>2019年</w:t>
      </w:r>
      <w:r>
        <w:rPr>
          <w:rFonts w:eastAsia="方正小标宋简体"/>
          <w:spacing w:val="-11"/>
          <w:kern w:val="0"/>
          <w:sz w:val="44"/>
          <w:szCs w:val="44"/>
          <w:lang w:val="zh-CN"/>
        </w:rPr>
        <w:t>绩效评价报告</w:t>
      </w:r>
    </w:p>
    <w:p w14:paraId="1C3E02EC"/>
    <w:p w14:paraId="64A3800D">
      <w:pPr>
        <w:adjustRightInd w:val="0"/>
        <w:snapToGrid w:val="0"/>
        <w:spacing w:line="600" w:lineRule="exact"/>
        <w:ind w:firstLine="640" w:firstLineChars="200"/>
        <w:rPr>
          <w:rFonts w:eastAsia="黑体"/>
          <w:bCs/>
          <w:sz w:val="32"/>
          <w:szCs w:val="32"/>
        </w:rPr>
      </w:pPr>
      <w:r>
        <w:rPr>
          <w:rFonts w:eastAsia="黑体"/>
          <w:bCs/>
          <w:sz w:val="32"/>
          <w:szCs w:val="32"/>
        </w:rPr>
        <w:t>一、项目概况</w:t>
      </w:r>
    </w:p>
    <w:p w14:paraId="29B5D32E">
      <w:pPr>
        <w:adjustRightInd w:val="0"/>
        <w:snapToGrid w:val="0"/>
        <w:spacing w:line="600" w:lineRule="exact"/>
        <w:ind w:firstLine="643" w:firstLineChars="200"/>
        <w:rPr>
          <w:rFonts w:eastAsia="楷体_GB2312"/>
          <w:b/>
          <w:bCs/>
          <w:sz w:val="32"/>
          <w:szCs w:val="32"/>
        </w:rPr>
      </w:pPr>
      <w:r>
        <w:rPr>
          <w:rFonts w:eastAsia="楷体_GB2312"/>
          <w:b/>
          <w:bCs/>
          <w:sz w:val="32"/>
          <w:szCs w:val="32"/>
        </w:rPr>
        <w:t>（一）项目基本情况。</w:t>
      </w:r>
    </w:p>
    <w:p w14:paraId="6DDA950F">
      <w:pPr>
        <w:tabs>
          <w:tab w:val="left" w:pos="1344"/>
        </w:tabs>
        <w:spacing w:line="560" w:lineRule="exact"/>
        <w:ind w:firstLine="640" w:firstLineChars="200"/>
        <w:rPr>
          <w:rFonts w:eastAsia="仿宋_GB2312"/>
          <w:color w:val="000000"/>
          <w:spacing w:val="-4"/>
          <w:sz w:val="32"/>
          <w:szCs w:val="32"/>
        </w:rPr>
      </w:pPr>
      <w:r>
        <w:rPr>
          <w:rFonts w:eastAsia="仿宋_GB2312"/>
          <w:kern w:val="0"/>
          <w:sz w:val="32"/>
          <w:szCs w:val="32"/>
        </w:rPr>
        <w:t>根据《四川省人力资源和社会保障厅关于印发〈四川省基层人力资源和社会保障公共服务平台标准化建设规划（2018-2020年）〉的通知》和《四川省人力资源和社会保障厅关于印发〈四川省基层人力资源和社会保障公共服务平台标准化建设标准（试行）〉的通知》文件精神，</w:t>
      </w:r>
      <w:r>
        <w:rPr>
          <w:rFonts w:eastAsia="仿宋_GB2312"/>
          <w:color w:val="000000"/>
          <w:spacing w:val="-4"/>
          <w:sz w:val="32"/>
          <w:szCs w:val="32"/>
        </w:rPr>
        <w:t>紧扣“一号工程”，大力实施基层平台“标准化、信息化、一体化、专业化”建设，保障全区各基层劳动保障服务站所、政务中心、局机关所有金保网点，顺利使用，为辖区人民群众提供高效、便捷的人社公共服务，切实提升群众满意度获得感。</w:t>
      </w:r>
    </w:p>
    <w:p w14:paraId="7ED69F4B">
      <w:pPr>
        <w:adjustRightInd w:val="0"/>
        <w:snapToGrid w:val="0"/>
        <w:spacing w:line="600" w:lineRule="exact"/>
        <w:ind w:firstLine="643" w:firstLineChars="200"/>
        <w:rPr>
          <w:rFonts w:eastAsia="楷体_GB2312"/>
          <w:b/>
          <w:bCs/>
          <w:sz w:val="32"/>
          <w:szCs w:val="32"/>
        </w:rPr>
      </w:pPr>
      <w:r>
        <w:rPr>
          <w:rFonts w:eastAsia="楷体_GB2312"/>
          <w:b/>
          <w:bCs/>
          <w:sz w:val="32"/>
          <w:szCs w:val="32"/>
        </w:rPr>
        <w:t>（二）项目绩效目标。</w:t>
      </w:r>
    </w:p>
    <w:p w14:paraId="2727C9FD">
      <w:pPr>
        <w:adjustRightInd w:val="0"/>
        <w:snapToGrid w:val="0"/>
        <w:spacing w:line="600" w:lineRule="exact"/>
        <w:ind w:firstLine="627" w:firstLineChars="196"/>
        <w:rPr>
          <w:rFonts w:eastAsia="仿宋_GB2312"/>
          <w:bCs/>
          <w:sz w:val="32"/>
          <w:szCs w:val="32"/>
        </w:rPr>
      </w:pPr>
      <w:r>
        <w:rPr>
          <w:rFonts w:eastAsia="仿宋_GB2312"/>
          <w:bCs/>
          <w:sz w:val="32"/>
          <w:szCs w:val="32"/>
        </w:rPr>
        <w:t>保障全区各基层劳动保障服务站所、政务中心、局机关所有金保网点，顺利使用。</w:t>
      </w:r>
    </w:p>
    <w:p w14:paraId="3546111E">
      <w:pPr>
        <w:adjustRightInd w:val="0"/>
        <w:snapToGrid w:val="0"/>
        <w:spacing w:line="600" w:lineRule="exact"/>
        <w:ind w:firstLine="640" w:firstLineChars="200"/>
        <w:rPr>
          <w:rFonts w:eastAsia="黑体"/>
          <w:bCs/>
          <w:sz w:val="32"/>
          <w:szCs w:val="32"/>
        </w:rPr>
      </w:pPr>
      <w:r>
        <w:rPr>
          <w:rFonts w:eastAsia="黑体"/>
          <w:bCs/>
          <w:sz w:val="32"/>
          <w:szCs w:val="32"/>
        </w:rPr>
        <w:t>二、项目资金申报及使用情况</w:t>
      </w:r>
    </w:p>
    <w:p w14:paraId="50E833BA">
      <w:pPr>
        <w:adjustRightInd w:val="0"/>
        <w:snapToGrid w:val="0"/>
        <w:spacing w:line="600" w:lineRule="exact"/>
        <w:ind w:firstLine="627" w:firstLineChars="196"/>
        <w:rPr>
          <w:rFonts w:eastAsia="仿宋_GB2312"/>
          <w:bCs/>
          <w:sz w:val="32"/>
          <w:szCs w:val="32"/>
        </w:rPr>
      </w:pPr>
      <w:r>
        <w:rPr>
          <w:rFonts w:eastAsia="仿宋_GB2312"/>
          <w:bCs/>
          <w:sz w:val="32"/>
          <w:szCs w:val="32"/>
        </w:rPr>
        <w:t>2019年全年申报预算9万元，全部到位。</w:t>
      </w:r>
    </w:p>
    <w:p w14:paraId="548E6B2B">
      <w:pPr>
        <w:adjustRightInd w:val="0"/>
        <w:snapToGrid w:val="0"/>
        <w:spacing w:line="600" w:lineRule="exact"/>
        <w:ind w:firstLine="640" w:firstLineChars="200"/>
        <w:rPr>
          <w:rFonts w:eastAsia="黑体"/>
          <w:bCs/>
          <w:sz w:val="32"/>
          <w:szCs w:val="32"/>
        </w:rPr>
      </w:pPr>
      <w:r>
        <w:rPr>
          <w:rFonts w:eastAsia="黑体"/>
          <w:bCs/>
          <w:sz w:val="32"/>
          <w:szCs w:val="32"/>
        </w:rPr>
        <w:t>三、项目实施及管理情况</w:t>
      </w:r>
    </w:p>
    <w:p w14:paraId="15314248">
      <w:pPr>
        <w:adjustRightInd w:val="0"/>
        <w:snapToGrid w:val="0"/>
        <w:spacing w:line="600" w:lineRule="exact"/>
        <w:ind w:firstLine="627" w:firstLineChars="196"/>
        <w:rPr>
          <w:rFonts w:eastAsia="仿宋_GB2312"/>
          <w:bCs/>
          <w:sz w:val="32"/>
          <w:szCs w:val="32"/>
        </w:rPr>
      </w:pPr>
      <w:r>
        <w:rPr>
          <w:rFonts w:eastAsia="仿宋_GB2312"/>
          <w:bCs/>
          <w:sz w:val="32"/>
          <w:szCs w:val="32"/>
        </w:rPr>
        <w:t>2019年为区级政务中心、各镇（街道）劳动保障服务所、各村（社区）服务站配备金保专线59个，每个网点100元/月租赁费，点位维护费400元/个/年</w:t>
      </w:r>
      <w:r>
        <w:rPr>
          <w:rFonts w:hint="eastAsia" w:eastAsia="仿宋_GB2312"/>
          <w:bCs/>
          <w:sz w:val="32"/>
          <w:szCs w:val="32"/>
        </w:rPr>
        <w:t>。</w:t>
      </w:r>
      <w:r>
        <w:rPr>
          <w:rFonts w:eastAsia="仿宋_GB2312"/>
          <w:bCs/>
          <w:sz w:val="32"/>
          <w:szCs w:val="32"/>
        </w:rPr>
        <w:t>通过严格资金使用、管理和监控</w:t>
      </w:r>
      <w:r>
        <w:rPr>
          <w:rFonts w:hint="eastAsia" w:eastAsia="仿宋_GB2312"/>
          <w:bCs/>
          <w:sz w:val="32"/>
          <w:szCs w:val="32"/>
        </w:rPr>
        <w:t>等程序</w:t>
      </w:r>
      <w:r>
        <w:rPr>
          <w:rFonts w:eastAsia="仿宋_GB2312"/>
          <w:bCs/>
          <w:sz w:val="32"/>
          <w:szCs w:val="32"/>
        </w:rPr>
        <w:t>，保障各平台人力资源和社会保障工作顺利开展，为辖区14万人提供人力资源和社会保障服务。</w:t>
      </w:r>
    </w:p>
    <w:p w14:paraId="2EB17592">
      <w:pPr>
        <w:adjustRightInd w:val="0"/>
        <w:snapToGrid w:val="0"/>
        <w:spacing w:line="600" w:lineRule="exact"/>
        <w:ind w:firstLine="640" w:firstLineChars="200"/>
        <w:rPr>
          <w:rFonts w:eastAsia="黑体"/>
          <w:bCs/>
          <w:sz w:val="32"/>
          <w:szCs w:val="32"/>
        </w:rPr>
      </w:pPr>
      <w:r>
        <w:rPr>
          <w:rFonts w:eastAsia="黑体"/>
          <w:bCs/>
          <w:sz w:val="32"/>
          <w:szCs w:val="32"/>
        </w:rPr>
        <w:t>四、项目绩效情况</w:t>
      </w:r>
    </w:p>
    <w:p w14:paraId="34F55327">
      <w:pPr>
        <w:adjustRightInd w:val="0"/>
        <w:snapToGrid w:val="0"/>
        <w:spacing w:line="600" w:lineRule="exact"/>
        <w:ind w:firstLine="627" w:firstLineChars="196"/>
        <w:rPr>
          <w:rFonts w:eastAsia="仿宋_GB2312"/>
          <w:bCs/>
          <w:sz w:val="32"/>
          <w:szCs w:val="32"/>
        </w:rPr>
      </w:pPr>
      <w:r>
        <w:rPr>
          <w:rFonts w:eastAsia="仿宋_GB2312"/>
          <w:bCs/>
          <w:sz w:val="32"/>
          <w:szCs w:val="32"/>
        </w:rPr>
        <w:t>保障全区各基层劳动保障服务站所、政务中心、局机关所有金保网点，顺利使用。</w:t>
      </w:r>
    </w:p>
    <w:p w14:paraId="2A6FFC9B">
      <w:pPr>
        <w:adjustRightInd w:val="0"/>
        <w:snapToGrid w:val="0"/>
        <w:spacing w:line="600" w:lineRule="exact"/>
        <w:ind w:firstLine="640" w:firstLineChars="200"/>
        <w:rPr>
          <w:rFonts w:eastAsia="黑体"/>
          <w:bCs/>
          <w:sz w:val="32"/>
          <w:szCs w:val="32"/>
        </w:rPr>
      </w:pPr>
      <w:r>
        <w:rPr>
          <w:rFonts w:eastAsia="黑体"/>
          <w:bCs/>
          <w:sz w:val="32"/>
          <w:szCs w:val="32"/>
        </w:rPr>
        <w:t>五、评价结论及建议</w:t>
      </w:r>
    </w:p>
    <w:p w14:paraId="2F9D26BF">
      <w:pPr>
        <w:spacing w:line="353" w:lineRule="auto"/>
        <w:ind w:firstLine="640"/>
        <w:rPr>
          <w:rStyle w:val="37"/>
          <w:rFonts w:hint="default" w:ascii="Times New Roman"/>
        </w:rPr>
      </w:pPr>
      <w:r>
        <w:rPr>
          <w:rStyle w:val="37"/>
          <w:rFonts w:hint="default" w:ascii="Times New Roman"/>
        </w:rPr>
        <w:t>坚持以习近平新时代中国特色社会主义思想为指导，深入贯彻党的十九大精神，坚持以人民为中心的发展思想，以人民群众满意为价值取向和最高目标，治痛点、疏堵点、解难点。深入推进人社公共服务体系标准化、信息化、协同化、专业化、品牌化建设，切实提升人民群众的幸福感！</w:t>
      </w:r>
    </w:p>
    <w:p w14:paraId="09525660">
      <w:pPr>
        <w:spacing w:line="353" w:lineRule="auto"/>
        <w:ind w:firstLine="640"/>
        <w:rPr>
          <w:rStyle w:val="37"/>
          <w:rFonts w:hint="default" w:ascii="Times New Roman"/>
        </w:rPr>
      </w:pPr>
    </w:p>
    <w:p w14:paraId="777D17EC">
      <w:pPr>
        <w:spacing w:line="353" w:lineRule="auto"/>
        <w:ind w:firstLine="640"/>
        <w:rPr>
          <w:rStyle w:val="37"/>
          <w:rFonts w:hint="default" w:ascii="Times New Roman"/>
        </w:rPr>
      </w:pPr>
    </w:p>
    <w:p w14:paraId="113A5FC3">
      <w:pPr>
        <w:spacing w:line="0" w:lineRule="atLeast"/>
        <w:jc w:val="center"/>
        <w:rPr>
          <w:rFonts w:eastAsia="方正小标宋简体"/>
          <w:kern w:val="0"/>
          <w:sz w:val="44"/>
          <w:szCs w:val="44"/>
          <w:lang w:val="zh-CN"/>
        </w:rPr>
      </w:pPr>
      <w:r>
        <w:rPr>
          <w:rFonts w:hint="eastAsia" w:ascii="方正小标宋简体" w:hAnsi="宋体" w:eastAsia="方正小标宋简体"/>
          <w:kern w:val="0"/>
          <w:sz w:val="44"/>
          <w:szCs w:val="44"/>
        </w:rPr>
        <w:t>“维护农民工权益业务费”</w:t>
      </w:r>
      <w:r>
        <w:rPr>
          <w:rFonts w:eastAsia="方正小标宋简体"/>
          <w:kern w:val="0"/>
          <w:sz w:val="44"/>
          <w:szCs w:val="44"/>
          <w:lang w:val="zh-CN"/>
        </w:rPr>
        <w:t>项目</w:t>
      </w:r>
      <w:r>
        <w:rPr>
          <w:rFonts w:eastAsia="方正小标宋简体"/>
          <w:kern w:val="0"/>
          <w:sz w:val="44"/>
          <w:szCs w:val="44"/>
        </w:rPr>
        <w:t>2019年</w:t>
      </w:r>
      <w:r>
        <w:rPr>
          <w:rFonts w:eastAsia="方正小标宋简体"/>
          <w:kern w:val="0"/>
          <w:sz w:val="44"/>
          <w:szCs w:val="44"/>
          <w:lang w:val="zh-CN"/>
        </w:rPr>
        <w:t>绩效</w:t>
      </w:r>
    </w:p>
    <w:p w14:paraId="3786B4FD">
      <w:pPr>
        <w:spacing w:line="0" w:lineRule="atLeast"/>
        <w:jc w:val="center"/>
        <w:rPr>
          <w:rFonts w:eastAsia="方正小标宋简体"/>
          <w:kern w:val="0"/>
          <w:sz w:val="44"/>
          <w:szCs w:val="44"/>
          <w:lang w:val="zh-CN"/>
        </w:rPr>
      </w:pPr>
      <w:r>
        <w:rPr>
          <w:rFonts w:eastAsia="方正小标宋简体"/>
          <w:kern w:val="0"/>
          <w:sz w:val="44"/>
          <w:szCs w:val="44"/>
          <w:lang w:val="zh-CN"/>
        </w:rPr>
        <w:t>评价报告</w:t>
      </w:r>
    </w:p>
    <w:p w14:paraId="1A2CB008">
      <w:pPr>
        <w:spacing w:line="353" w:lineRule="auto"/>
        <w:ind w:firstLine="640"/>
        <w:rPr>
          <w:rStyle w:val="37"/>
          <w:rFonts w:hint="default" w:ascii="Times New Roman"/>
        </w:rPr>
      </w:pPr>
    </w:p>
    <w:p w14:paraId="7AB144E9">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一、项目概况</w:t>
      </w:r>
    </w:p>
    <w:p w14:paraId="5827AE6F">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（一）项目基本情况。</w:t>
      </w:r>
    </w:p>
    <w:p w14:paraId="681D4D25">
      <w:pPr>
        <w:adjustRightInd w:val="0"/>
        <w:snapToGrid w:val="0"/>
        <w:spacing w:line="600" w:lineRule="exact"/>
        <w:ind w:firstLine="720"/>
        <w:rPr>
          <w:rFonts w:eastAsia="仿宋_GB2312"/>
          <w:sz w:val="32"/>
          <w:szCs w:val="32"/>
        </w:rPr>
      </w:pPr>
      <w:r>
        <w:rPr>
          <w:rFonts w:eastAsia="仿宋_GB2312"/>
          <w:sz w:val="32"/>
          <w:szCs w:val="32"/>
        </w:rPr>
        <w:t>1.区人力资源和社会保障局主要有如下职能：一是宣传劳动保障法律、</w:t>
      </w:r>
      <w:r>
        <w:fldChar w:fldCharType="begin"/>
      </w:r>
      <w:r>
        <w:instrText xml:space="preserve"> HYPERLINK "http://www.64365.com/fagui/" \t "http://www.64365.com/special/xldbzjcddzz/_blank" \o "法规" </w:instrText>
      </w:r>
      <w:r>
        <w:fldChar w:fldCharType="separate"/>
      </w:r>
      <w:r>
        <w:rPr>
          <w:rFonts w:eastAsia="仿宋_GB2312"/>
          <w:sz w:val="32"/>
          <w:szCs w:val="32"/>
        </w:rPr>
        <w:t>法规</w:t>
      </w:r>
      <w:r>
        <w:rPr>
          <w:rFonts w:eastAsia="仿宋_GB2312"/>
          <w:sz w:val="32"/>
          <w:szCs w:val="32"/>
        </w:rPr>
        <w:fldChar w:fldCharType="end"/>
      </w:r>
      <w:r>
        <w:rPr>
          <w:rFonts w:eastAsia="仿宋_GB2312"/>
          <w:sz w:val="32"/>
          <w:szCs w:val="32"/>
        </w:rPr>
        <w:t>和规章，督促用人单位贯彻执行;二是</w:t>
      </w:r>
      <w:r>
        <w:rPr>
          <w:rFonts w:eastAsia="仿宋_GB2312"/>
          <w:sz w:val="32"/>
          <w:szCs w:val="32"/>
        </w:rPr>
        <w:br w:type="textWrapping"/>
      </w:r>
      <w:r>
        <w:rPr>
          <w:rFonts w:eastAsia="仿宋_GB2312"/>
          <w:sz w:val="32"/>
          <w:szCs w:val="32"/>
        </w:rPr>
        <w:t>检查本行政区域内用人单位遵守劳动保障法律、法规和规章的情况;三是受理对违反劳动保障法律、法规或者规章的行为的举报、投诉</w:t>
      </w:r>
      <w:r>
        <w:rPr>
          <w:rFonts w:hint="eastAsia" w:eastAsia="仿宋_GB2312"/>
          <w:sz w:val="32"/>
          <w:szCs w:val="32"/>
        </w:rPr>
        <w:t>；</w:t>
      </w:r>
      <w:r>
        <w:rPr>
          <w:rFonts w:eastAsia="仿宋_GB2312"/>
          <w:sz w:val="32"/>
          <w:szCs w:val="32"/>
        </w:rPr>
        <w:t>依法纠正和查处违反劳动保障法律、法规或者规章的行为。</w:t>
      </w:r>
    </w:p>
    <w:p w14:paraId="215CD624">
      <w:pPr>
        <w:adjustRightInd w:val="0"/>
        <w:snapToGrid w:val="0"/>
        <w:spacing w:line="600" w:lineRule="exact"/>
        <w:ind w:firstLine="720"/>
        <w:rPr>
          <w:rFonts w:eastAsia="仿宋_GB2312"/>
          <w:sz w:val="32"/>
          <w:szCs w:val="32"/>
        </w:rPr>
      </w:pPr>
      <w:r>
        <w:rPr>
          <w:rFonts w:eastAsia="仿宋_GB2312"/>
          <w:sz w:val="32"/>
          <w:szCs w:val="32"/>
        </w:rPr>
        <w:t>2.项目立项、资金申报的依据：《劳动法》《劳动合同法》《劳动保障监察条例》、攀枝花市人民政府办公室《关于印发攀枝花市保障农民工工资支付工作考核办法的通知》（攀办发〔2018〕93号）。</w:t>
      </w:r>
    </w:p>
    <w:p w14:paraId="074BD87E">
      <w:pPr>
        <w:adjustRightInd w:val="0"/>
        <w:snapToGrid w:val="0"/>
        <w:spacing w:line="600" w:lineRule="exact"/>
        <w:ind w:firstLine="72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资金管理办法制定情况，资金支持具体项目的条件、范围与支持方式概况：主要用于农民工工资专项行动检查和印刷保障农民工工资支付的宣传资料，依托专项行动开展。</w:t>
      </w:r>
    </w:p>
    <w:p w14:paraId="05FE8602">
      <w:pPr>
        <w:adjustRightInd w:val="0"/>
        <w:snapToGrid w:val="0"/>
        <w:spacing w:line="600" w:lineRule="exact"/>
        <w:ind w:firstLine="720"/>
        <w:rPr>
          <w:rFonts w:eastAsia="仿宋_GB2312"/>
          <w:sz w:val="32"/>
          <w:szCs w:val="32"/>
        </w:rPr>
      </w:pPr>
      <w:r>
        <w:rPr>
          <w:rFonts w:eastAsia="仿宋_GB2312"/>
          <w:sz w:val="32"/>
          <w:szCs w:val="32"/>
        </w:rPr>
        <w:t>4</w:t>
      </w:r>
      <w:r>
        <w:rPr>
          <w:rFonts w:hint="eastAsia" w:eastAsia="仿宋_GB2312"/>
          <w:sz w:val="32"/>
          <w:szCs w:val="32"/>
        </w:rPr>
        <w:t>.</w:t>
      </w:r>
      <w:r>
        <w:rPr>
          <w:rFonts w:eastAsia="仿宋_GB2312"/>
          <w:sz w:val="32"/>
          <w:szCs w:val="32"/>
        </w:rPr>
        <w:t>资金分配的原则及考虑因素：按照具体工作开展情况和轻重缓急进行资金分配。</w:t>
      </w:r>
    </w:p>
    <w:p w14:paraId="561F78BB">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（二）项目绩效目标。</w:t>
      </w:r>
    </w:p>
    <w:p w14:paraId="3607749F">
      <w:pPr>
        <w:adjustRightInd w:val="0"/>
        <w:snapToGrid w:val="0"/>
        <w:spacing w:line="600" w:lineRule="exact"/>
        <w:ind w:firstLine="720"/>
        <w:rPr>
          <w:rFonts w:eastAsia="仿宋_GB2312"/>
          <w:sz w:val="32"/>
          <w:szCs w:val="32"/>
        </w:rPr>
      </w:pPr>
      <w:r>
        <w:rPr>
          <w:rFonts w:eastAsia="仿宋_GB2312"/>
          <w:sz w:val="32"/>
          <w:szCs w:val="32"/>
        </w:rPr>
        <w:t>1.项目主要内容为维护农民工权益业务费，一是主动监察使用农民工较多的建筑业、制造加工等行业，开展专项行动检查，二是印刷相关宣传资料，通过走访宣传和集中宣传的方式开展，提升农民工的维权意识，维护辖区和谐劳动关系。</w:t>
      </w:r>
    </w:p>
    <w:p w14:paraId="3401BF20">
      <w:pPr>
        <w:adjustRightInd w:val="0"/>
        <w:snapToGrid w:val="0"/>
        <w:spacing w:line="600" w:lineRule="exact"/>
        <w:ind w:firstLine="720"/>
        <w:rPr>
          <w:rFonts w:eastAsia="仿宋_GB2312"/>
          <w:sz w:val="32"/>
          <w:szCs w:val="32"/>
        </w:rPr>
      </w:pPr>
      <w:r>
        <w:rPr>
          <w:rFonts w:eastAsia="仿宋_GB2312"/>
          <w:sz w:val="32"/>
          <w:szCs w:val="32"/>
        </w:rPr>
        <w:t>2.本项目主要包含农民工工资支付专项检查和印发宣传资料，在2020年全年开展，完成专项检查用人单位80户的目标，印刷5000份宣传资料，进行宣传。</w:t>
      </w:r>
    </w:p>
    <w:p w14:paraId="270C0096">
      <w:pPr>
        <w:adjustRightInd w:val="0"/>
        <w:snapToGrid w:val="0"/>
        <w:spacing w:line="600" w:lineRule="exact"/>
        <w:ind w:firstLine="720"/>
        <w:rPr>
          <w:rFonts w:eastAsia="仿宋_GB2312"/>
          <w:sz w:val="32"/>
          <w:szCs w:val="32"/>
        </w:rPr>
      </w:pPr>
      <w:r>
        <w:rPr>
          <w:rFonts w:eastAsia="仿宋_GB2312"/>
          <w:sz w:val="32"/>
          <w:szCs w:val="32"/>
        </w:rPr>
        <w:t>3.申报的内容与实际相符且合理。</w:t>
      </w:r>
    </w:p>
    <w:p w14:paraId="4BCF8D0E">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（三）项目自评步骤及方法。</w:t>
      </w:r>
    </w:p>
    <w:p w14:paraId="21FE0405">
      <w:pPr>
        <w:adjustRightInd w:val="0"/>
        <w:snapToGrid w:val="0"/>
        <w:spacing w:line="600" w:lineRule="exact"/>
        <w:ind w:firstLine="720"/>
        <w:rPr>
          <w:rFonts w:eastAsia="仿宋_GB2312"/>
          <w:sz w:val="32"/>
          <w:szCs w:val="32"/>
        </w:rPr>
      </w:pPr>
      <w:r>
        <w:rPr>
          <w:rFonts w:eastAsia="仿宋_GB2312"/>
          <w:sz w:val="32"/>
          <w:szCs w:val="32"/>
        </w:rPr>
        <w:t>一是摸底排查辖区在建工程项目数，预估本地区农民工人数</w:t>
      </w:r>
      <w:r>
        <w:rPr>
          <w:rFonts w:hint="eastAsia" w:eastAsia="仿宋_GB2312"/>
          <w:sz w:val="32"/>
          <w:szCs w:val="32"/>
        </w:rPr>
        <w:t>；</w:t>
      </w:r>
      <w:r>
        <w:rPr>
          <w:rFonts w:eastAsia="仿宋_GB2312"/>
          <w:sz w:val="32"/>
          <w:szCs w:val="32"/>
        </w:rPr>
        <w:t>二是根据前一年开展农民工工资专项检查的用人单位户数来制定本年度目标。</w:t>
      </w:r>
    </w:p>
    <w:p w14:paraId="7880D230">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二、项目资金申报及使用情况</w:t>
      </w:r>
    </w:p>
    <w:p w14:paraId="3FA87F52">
      <w:pPr>
        <w:adjustRightInd w:val="0"/>
        <w:snapToGrid w:val="0"/>
        <w:spacing w:line="600" w:lineRule="exact"/>
        <w:ind w:firstLine="720"/>
        <w:rPr>
          <w:rFonts w:eastAsia="仿宋_GB2312"/>
          <w:bCs/>
          <w:sz w:val="32"/>
          <w:szCs w:val="32"/>
        </w:rPr>
      </w:pPr>
      <w:r>
        <w:rPr>
          <w:rFonts w:hint="eastAsia" w:ascii="楷体_GB2312" w:hAnsi="宋体" w:eastAsia="楷体_GB2312"/>
          <w:b/>
          <w:bCs/>
          <w:sz w:val="32"/>
          <w:szCs w:val="32"/>
        </w:rPr>
        <w:t>（一）项目资金申报及批复情况。</w:t>
      </w:r>
    </w:p>
    <w:p w14:paraId="70EF95CD">
      <w:pPr>
        <w:adjustRightInd w:val="0"/>
        <w:snapToGrid w:val="0"/>
        <w:spacing w:line="600" w:lineRule="exact"/>
        <w:ind w:firstLine="627" w:firstLineChars="196"/>
        <w:rPr>
          <w:rFonts w:eastAsia="仿宋_GB2312"/>
          <w:bCs/>
          <w:sz w:val="32"/>
          <w:szCs w:val="32"/>
        </w:rPr>
      </w:pPr>
      <w:r>
        <w:rPr>
          <w:rFonts w:eastAsia="仿宋_GB2312"/>
          <w:bCs/>
          <w:sz w:val="32"/>
          <w:szCs w:val="32"/>
        </w:rPr>
        <w:t>2019年全年申报预算</w:t>
      </w:r>
      <w:r>
        <w:rPr>
          <w:rFonts w:hint="eastAsia" w:eastAsia="仿宋_GB2312"/>
          <w:bCs/>
          <w:sz w:val="32"/>
          <w:szCs w:val="32"/>
        </w:rPr>
        <w:t>2</w:t>
      </w:r>
      <w:r>
        <w:rPr>
          <w:rFonts w:eastAsia="仿宋_GB2312"/>
          <w:bCs/>
          <w:sz w:val="32"/>
          <w:szCs w:val="32"/>
        </w:rPr>
        <w:t>万元，全部到位。</w:t>
      </w:r>
    </w:p>
    <w:p w14:paraId="430C777A">
      <w:pPr>
        <w:adjustRightInd w:val="0"/>
        <w:snapToGrid w:val="0"/>
        <w:spacing w:line="600" w:lineRule="exact"/>
        <w:ind w:firstLine="720"/>
        <w:rPr>
          <w:rFonts w:ascii="仿宋_GB2312" w:hAnsi="宋体" w:eastAsia="仿宋_GB2312"/>
          <w:sz w:val="32"/>
          <w:szCs w:val="32"/>
        </w:rPr>
      </w:pPr>
      <w:r>
        <w:rPr>
          <w:rFonts w:hint="eastAsia" w:ascii="楷体_GB2312" w:hAnsi="宋体" w:eastAsia="楷体_GB2312"/>
          <w:b/>
          <w:bCs/>
          <w:sz w:val="32"/>
          <w:szCs w:val="32"/>
        </w:rPr>
        <w:t>（二）资金计划、到位及使用情况（可用表格形式反映）。</w:t>
      </w:r>
    </w:p>
    <w:p w14:paraId="57F87501">
      <w:pPr>
        <w:adjustRightInd w:val="0"/>
        <w:snapToGrid w:val="0"/>
        <w:spacing w:line="600" w:lineRule="exact"/>
        <w:ind w:firstLine="720"/>
        <w:rPr>
          <w:rFonts w:eastAsia="仿宋_GB2312"/>
          <w:sz w:val="32"/>
          <w:szCs w:val="32"/>
        </w:rPr>
      </w:pPr>
      <w:r>
        <w:rPr>
          <w:rFonts w:hint="eastAsia" w:eastAsia="仿宋_GB2312"/>
          <w:sz w:val="32"/>
          <w:szCs w:val="32"/>
        </w:rPr>
        <w:t>1.项目资金计划为2万元，实际到位2万元，为区级财政资金拨付，根据轻重缓急的原则，按照计划全部支出，用于农民工工资支付专项检查80户和印刷宣传资料5000份。</w:t>
      </w:r>
    </w:p>
    <w:p w14:paraId="58F72585">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（三）项目财务管理情况。</w:t>
      </w:r>
    </w:p>
    <w:p w14:paraId="13E02A20">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rPr>
        <w:t>总体评价各项目实施单位财务管理制度健全，严格执行财务管理制度，账务处理及时，会计核算规范。</w:t>
      </w:r>
    </w:p>
    <w:p w14:paraId="77815BD7">
      <w:pPr>
        <w:adjustRightInd w:val="0"/>
        <w:snapToGrid w:val="0"/>
        <w:spacing w:line="600" w:lineRule="exact"/>
        <w:ind w:firstLine="720"/>
        <w:rPr>
          <w:rFonts w:ascii="黑体" w:hAnsi="黑体" w:eastAsia="黑体"/>
          <w:sz w:val="32"/>
          <w:szCs w:val="32"/>
        </w:rPr>
      </w:pPr>
      <w:r>
        <w:rPr>
          <w:rFonts w:hint="eastAsia" w:ascii="黑体" w:hAnsi="黑体" w:eastAsia="黑体"/>
          <w:sz w:val="32"/>
          <w:szCs w:val="32"/>
        </w:rPr>
        <w:t>三、项目实施及管理情况</w:t>
      </w:r>
    </w:p>
    <w:p w14:paraId="2FCD42FC">
      <w:pPr>
        <w:adjustRightInd w:val="0"/>
        <w:snapToGrid w:val="0"/>
        <w:spacing w:line="600" w:lineRule="exact"/>
        <w:ind w:firstLine="720"/>
        <w:rPr>
          <w:rFonts w:eastAsia="仿宋_GB2312"/>
          <w:sz w:val="32"/>
          <w:szCs w:val="32"/>
        </w:rPr>
      </w:pPr>
      <w:r>
        <w:rPr>
          <w:rFonts w:eastAsia="仿宋_GB2312"/>
          <w:bCs/>
          <w:sz w:val="32"/>
          <w:szCs w:val="32"/>
        </w:rPr>
        <w:t>通过严格资金使用、管理和监控</w:t>
      </w:r>
      <w:r>
        <w:rPr>
          <w:rFonts w:hint="eastAsia" w:eastAsia="仿宋_GB2312"/>
          <w:bCs/>
          <w:sz w:val="32"/>
          <w:szCs w:val="32"/>
        </w:rPr>
        <w:t>等程序</w:t>
      </w:r>
      <w:r>
        <w:rPr>
          <w:rFonts w:eastAsia="仿宋_GB2312"/>
          <w:bCs/>
          <w:sz w:val="32"/>
          <w:szCs w:val="32"/>
        </w:rPr>
        <w:t>，</w:t>
      </w:r>
      <w:r>
        <w:rPr>
          <w:rFonts w:hint="eastAsia" w:eastAsia="仿宋_GB2312"/>
          <w:sz w:val="32"/>
          <w:szCs w:val="32"/>
        </w:rPr>
        <w:t>按照申报指标完成了2019年“维护农民工权益业务费”</w:t>
      </w:r>
      <w:r>
        <w:rPr>
          <w:rFonts w:eastAsia="仿宋_GB2312"/>
          <w:sz w:val="32"/>
          <w:szCs w:val="32"/>
          <w:lang w:val="zh-CN"/>
        </w:rPr>
        <w:t>项目</w:t>
      </w:r>
      <w:r>
        <w:rPr>
          <w:rFonts w:hint="eastAsia" w:eastAsia="仿宋_GB2312"/>
          <w:sz w:val="32"/>
          <w:szCs w:val="32"/>
          <w:lang w:val="zh-CN"/>
        </w:rPr>
        <w:t>经费绩效目标。</w:t>
      </w:r>
    </w:p>
    <w:p w14:paraId="747921A7">
      <w:pPr>
        <w:adjustRightInd w:val="0"/>
        <w:snapToGrid w:val="0"/>
        <w:spacing w:line="600" w:lineRule="exact"/>
        <w:ind w:firstLine="720"/>
        <w:rPr>
          <w:rFonts w:ascii="仿宋_GB2312" w:hAnsi="宋体" w:eastAsia="仿宋_GB2312"/>
          <w:sz w:val="32"/>
          <w:szCs w:val="32"/>
        </w:rPr>
      </w:pPr>
      <w:r>
        <w:rPr>
          <w:rFonts w:hint="eastAsia" w:ascii="黑体" w:hAnsi="黑体" w:eastAsia="黑体"/>
          <w:sz w:val="32"/>
          <w:szCs w:val="32"/>
        </w:rPr>
        <w:t>四、项目绩效情况</w:t>
      </w:r>
      <w:r>
        <w:rPr>
          <w:rFonts w:hint="eastAsia" w:ascii="仿宋_GB2312" w:hAnsi="宋体" w:eastAsia="仿宋_GB2312"/>
          <w:sz w:val="32"/>
          <w:szCs w:val="32"/>
        </w:rPr>
        <w:tab/>
      </w:r>
    </w:p>
    <w:p w14:paraId="6EC2C2CD">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（一）项目完成情况。</w:t>
      </w:r>
    </w:p>
    <w:p w14:paraId="419F3BE7">
      <w:pPr>
        <w:adjustRightInd w:val="0"/>
        <w:snapToGrid w:val="0"/>
        <w:spacing w:line="600" w:lineRule="exact"/>
        <w:ind w:firstLine="720"/>
        <w:rPr>
          <w:rFonts w:eastAsia="仿宋_GB2312"/>
          <w:sz w:val="32"/>
          <w:szCs w:val="32"/>
        </w:rPr>
      </w:pPr>
      <w:r>
        <w:rPr>
          <w:rFonts w:eastAsia="仿宋_GB2312"/>
          <w:sz w:val="32"/>
          <w:szCs w:val="32"/>
        </w:rPr>
        <w:t>2019年全年，农民工工资支付专项检查目标是检查80户，印发宣传资料5000份，均按计划完成。</w:t>
      </w:r>
    </w:p>
    <w:p w14:paraId="67A2AE67">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（二）项目效益情况。</w:t>
      </w:r>
    </w:p>
    <w:p w14:paraId="2FB45309">
      <w:pPr>
        <w:adjustRightInd w:val="0"/>
        <w:snapToGrid w:val="0"/>
        <w:spacing w:line="600" w:lineRule="exact"/>
        <w:ind w:firstLine="720"/>
        <w:rPr>
          <w:rFonts w:eastAsia="仿宋_GB2312"/>
          <w:sz w:val="32"/>
          <w:szCs w:val="32"/>
        </w:rPr>
      </w:pPr>
      <w:r>
        <w:rPr>
          <w:rFonts w:eastAsia="仿宋_GB2312"/>
          <w:sz w:val="32"/>
          <w:szCs w:val="32"/>
        </w:rPr>
        <w:t>开展农民工工资支付专项检查和印发宣传资料，维护了农民工的合法权益，提高了农民工的维权意识。农民工欠薪案件大幅减少，恶意欠薪事件也得到了有效遏制，农民工的满意度达到95%以上。</w:t>
      </w:r>
    </w:p>
    <w:p w14:paraId="624322CA">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五、评价结论及建议</w:t>
      </w:r>
    </w:p>
    <w:p w14:paraId="52A88C35">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（一）评价结论。</w:t>
      </w:r>
    </w:p>
    <w:p w14:paraId="21EC0DC4">
      <w:pPr>
        <w:spacing w:line="353" w:lineRule="auto"/>
        <w:ind w:firstLine="640"/>
        <w:rPr>
          <w:rFonts w:ascii="仿宋_GB2312" w:eastAsia="仿宋_GB2312"/>
          <w:spacing w:val="-4"/>
          <w:sz w:val="32"/>
          <w:szCs w:val="32"/>
        </w:rPr>
      </w:pPr>
      <w:r>
        <w:rPr>
          <w:rFonts w:hint="eastAsia" w:ascii="仿宋_GB2312" w:eastAsia="仿宋_GB2312"/>
          <w:spacing w:val="-4"/>
          <w:sz w:val="32"/>
          <w:szCs w:val="32"/>
        </w:rPr>
        <w:t>农民工工资支付保障工作关系到人民群众的切身利益，关系到经济健康持续发展、社会和谐稳定及公平正义。近年来，党中央、国务院、各级党委政府高度重视。开展农民工工资支付专项检查，有利于规范用人单位尤其是在建工程项目对农民工的使用，从源头上保障农民工工资实现按月足额支付，切实维护好农民工的合法权益；印刷宣传资料，开展有针对性的宣传，可以有效的提高农民工的维权意识，也有利于让用人单位按规行事，保证农民工的工资及时足额支付到位。</w:t>
      </w:r>
    </w:p>
    <w:p w14:paraId="36F2AFFA">
      <w:pPr>
        <w:spacing w:line="353" w:lineRule="auto"/>
        <w:ind w:firstLine="640"/>
        <w:rPr>
          <w:rFonts w:ascii="仿宋_GB2312" w:eastAsia="仿宋_GB2312"/>
          <w:spacing w:val="-4"/>
          <w:sz w:val="32"/>
          <w:szCs w:val="32"/>
        </w:rPr>
      </w:pPr>
    </w:p>
    <w:p w14:paraId="56DDCF8F">
      <w:pPr>
        <w:spacing w:line="0" w:lineRule="atLeast"/>
        <w:jc w:val="center"/>
        <w:rPr>
          <w:rFonts w:eastAsia="方正小标宋简体"/>
          <w:kern w:val="0"/>
          <w:sz w:val="44"/>
          <w:szCs w:val="44"/>
          <w:lang w:val="zh-CN"/>
        </w:rPr>
      </w:pPr>
      <w:r>
        <w:rPr>
          <w:rFonts w:hint="eastAsia" w:ascii="方正小标宋简体" w:hAnsi="宋体" w:eastAsia="方正小标宋简体"/>
          <w:kern w:val="0"/>
          <w:sz w:val="44"/>
          <w:szCs w:val="44"/>
        </w:rPr>
        <w:t>“劳动和谐关系协调业务费”</w:t>
      </w:r>
      <w:r>
        <w:rPr>
          <w:rFonts w:eastAsia="方正小标宋简体"/>
          <w:kern w:val="0"/>
          <w:sz w:val="44"/>
          <w:szCs w:val="44"/>
          <w:lang w:val="zh-CN"/>
        </w:rPr>
        <w:t>项目</w:t>
      </w:r>
      <w:r>
        <w:rPr>
          <w:rFonts w:eastAsia="方正小标宋简体"/>
          <w:kern w:val="0"/>
          <w:sz w:val="44"/>
          <w:szCs w:val="44"/>
        </w:rPr>
        <w:t>2019年</w:t>
      </w:r>
      <w:r>
        <w:rPr>
          <w:rFonts w:eastAsia="方正小标宋简体"/>
          <w:kern w:val="0"/>
          <w:sz w:val="44"/>
          <w:szCs w:val="44"/>
          <w:lang w:val="zh-CN"/>
        </w:rPr>
        <w:t>绩效</w:t>
      </w:r>
    </w:p>
    <w:p w14:paraId="2F008F87">
      <w:pPr>
        <w:spacing w:line="0" w:lineRule="atLeast"/>
        <w:jc w:val="center"/>
        <w:rPr>
          <w:rFonts w:eastAsia="方正小标宋简体"/>
          <w:kern w:val="0"/>
          <w:sz w:val="44"/>
          <w:szCs w:val="44"/>
          <w:lang w:val="zh-CN"/>
        </w:rPr>
      </w:pPr>
      <w:r>
        <w:rPr>
          <w:rFonts w:eastAsia="方正小标宋简体"/>
          <w:kern w:val="0"/>
          <w:sz w:val="44"/>
          <w:szCs w:val="44"/>
          <w:lang w:val="zh-CN"/>
        </w:rPr>
        <w:t>评价报告</w:t>
      </w:r>
    </w:p>
    <w:p w14:paraId="38D3E26D">
      <w:pPr>
        <w:adjustRightInd w:val="0"/>
        <w:snapToGrid w:val="0"/>
        <w:spacing w:line="600" w:lineRule="exact"/>
        <w:ind w:firstLine="720"/>
        <w:rPr>
          <w:rFonts w:ascii="黑体" w:hAnsi="黑体" w:eastAsia="黑体"/>
          <w:sz w:val="32"/>
          <w:szCs w:val="32"/>
        </w:rPr>
      </w:pPr>
    </w:p>
    <w:p w14:paraId="126DFE97">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一、项目概况</w:t>
      </w:r>
    </w:p>
    <w:p w14:paraId="546030A8">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（一）项目基本情况。</w:t>
      </w:r>
    </w:p>
    <w:p w14:paraId="73CB9FAF">
      <w:pPr>
        <w:adjustRightInd w:val="0"/>
        <w:snapToGrid w:val="0"/>
        <w:spacing w:line="600" w:lineRule="exact"/>
        <w:ind w:firstLine="720"/>
        <w:rPr>
          <w:rFonts w:eastAsia="仿宋_GB2312"/>
          <w:sz w:val="32"/>
          <w:szCs w:val="32"/>
        </w:rPr>
      </w:pPr>
      <w:r>
        <w:rPr>
          <w:rFonts w:eastAsia="仿宋_GB2312"/>
          <w:sz w:val="32"/>
          <w:szCs w:val="32"/>
        </w:rPr>
        <w:t>1.区人力资源和社会保障局主要有如下职能：一是宣传劳动保障法律、</w:t>
      </w:r>
      <w:r>
        <w:fldChar w:fldCharType="begin"/>
      </w:r>
      <w:r>
        <w:instrText xml:space="preserve"> HYPERLINK "http://www.64365.com/fagui/" \t "http://www.64365.com/special/xldbzjcddzz/_blank" \o "法规" </w:instrText>
      </w:r>
      <w:r>
        <w:fldChar w:fldCharType="separate"/>
      </w:r>
      <w:r>
        <w:rPr>
          <w:rFonts w:eastAsia="仿宋_GB2312"/>
          <w:sz w:val="32"/>
          <w:szCs w:val="32"/>
        </w:rPr>
        <w:t>法规</w:t>
      </w:r>
      <w:r>
        <w:rPr>
          <w:rFonts w:eastAsia="仿宋_GB2312"/>
          <w:sz w:val="32"/>
          <w:szCs w:val="32"/>
        </w:rPr>
        <w:fldChar w:fldCharType="end"/>
      </w:r>
      <w:r>
        <w:rPr>
          <w:rFonts w:eastAsia="仿宋_GB2312"/>
          <w:sz w:val="32"/>
          <w:szCs w:val="32"/>
        </w:rPr>
        <w:t>和规章，督促用人单位贯彻执行;二是检查本行政区域内用人单位遵守劳动保障法律、法规和规章的情况;三是受理对违反劳动保障法律、法规或者规章的行为的举报、投诉;依法纠正和查处违反劳动保障法律、法规或者规章的行为。</w:t>
      </w:r>
    </w:p>
    <w:p w14:paraId="24E943BB">
      <w:pPr>
        <w:adjustRightInd w:val="0"/>
        <w:snapToGrid w:val="0"/>
        <w:spacing w:line="600" w:lineRule="exact"/>
        <w:ind w:firstLine="72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项目立项、资金申报的依据：《劳动法》《劳动合同法》《劳动保障监察条例》。</w:t>
      </w:r>
    </w:p>
    <w:p w14:paraId="5306548A">
      <w:pPr>
        <w:adjustRightInd w:val="0"/>
        <w:snapToGrid w:val="0"/>
        <w:spacing w:line="600" w:lineRule="exact"/>
        <w:ind w:firstLine="72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资金管理办法制定情况，资金支持具体项目的条件、范围与支持方式概况：主要用于主动监察用人单位和处理投诉案件。</w:t>
      </w:r>
    </w:p>
    <w:p w14:paraId="46783B2A">
      <w:pPr>
        <w:adjustRightInd w:val="0"/>
        <w:snapToGrid w:val="0"/>
        <w:spacing w:line="600" w:lineRule="exact"/>
        <w:ind w:firstLine="720"/>
        <w:rPr>
          <w:rFonts w:eastAsia="仿宋_GB2312"/>
          <w:color w:val="FF0000"/>
          <w:sz w:val="32"/>
          <w:szCs w:val="32"/>
        </w:rPr>
      </w:pPr>
      <w:r>
        <w:rPr>
          <w:rFonts w:eastAsia="仿宋_GB2312"/>
          <w:sz w:val="32"/>
          <w:szCs w:val="32"/>
        </w:rPr>
        <w:t>4</w:t>
      </w:r>
      <w:r>
        <w:rPr>
          <w:rFonts w:hint="eastAsia" w:eastAsia="仿宋_GB2312"/>
          <w:sz w:val="32"/>
          <w:szCs w:val="32"/>
        </w:rPr>
        <w:t>.</w:t>
      </w:r>
      <w:r>
        <w:rPr>
          <w:rFonts w:eastAsia="仿宋_GB2312"/>
          <w:sz w:val="32"/>
          <w:szCs w:val="32"/>
        </w:rPr>
        <w:t>资金分配的原则及考虑因素：专款专用，按照具体工作开展情况和轻重缓急进行资金分配。</w:t>
      </w:r>
    </w:p>
    <w:p w14:paraId="4A7BA72C">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（二）项目绩效目标。</w:t>
      </w:r>
    </w:p>
    <w:p w14:paraId="272116C4">
      <w:pPr>
        <w:adjustRightInd w:val="0"/>
        <w:snapToGrid w:val="0"/>
        <w:spacing w:line="600" w:lineRule="exact"/>
        <w:ind w:firstLine="720"/>
        <w:rPr>
          <w:rFonts w:eastAsia="仿宋_GB2312"/>
          <w:sz w:val="32"/>
          <w:szCs w:val="32"/>
        </w:rPr>
      </w:pPr>
      <w:r>
        <w:rPr>
          <w:rFonts w:eastAsia="仿宋_GB2312"/>
          <w:sz w:val="32"/>
          <w:szCs w:val="32"/>
        </w:rPr>
        <w:t>1</w:t>
      </w:r>
      <w:r>
        <w:rPr>
          <w:rFonts w:hint="eastAsia" w:eastAsia="仿宋_GB2312"/>
          <w:sz w:val="32"/>
          <w:szCs w:val="32"/>
        </w:rPr>
        <w:t>.</w:t>
      </w:r>
      <w:r>
        <w:rPr>
          <w:rFonts w:eastAsia="仿宋_GB2312"/>
          <w:sz w:val="32"/>
          <w:szCs w:val="32"/>
        </w:rPr>
        <w:t>项目主要内容为劳动和谐关系协调业务费，一是主动监察用人单位，二是处理投诉案件。</w:t>
      </w:r>
    </w:p>
    <w:p w14:paraId="536867B1">
      <w:pPr>
        <w:adjustRightInd w:val="0"/>
        <w:snapToGrid w:val="0"/>
        <w:spacing w:line="600" w:lineRule="exact"/>
        <w:ind w:firstLine="720"/>
        <w:rPr>
          <w:rFonts w:eastAsia="仿宋_GB2312"/>
          <w:sz w:val="32"/>
          <w:szCs w:val="32"/>
        </w:rPr>
      </w:pPr>
      <w:r>
        <w:rPr>
          <w:rFonts w:eastAsia="仿宋_GB2312"/>
          <w:sz w:val="32"/>
          <w:szCs w:val="32"/>
        </w:rPr>
        <w:t>2</w:t>
      </w:r>
      <w:r>
        <w:rPr>
          <w:rFonts w:hint="eastAsia" w:eastAsia="仿宋_GB2312"/>
          <w:sz w:val="32"/>
          <w:szCs w:val="32"/>
        </w:rPr>
        <w:t>.</w:t>
      </w:r>
      <w:r>
        <w:rPr>
          <w:rFonts w:eastAsia="仿宋_GB2312"/>
          <w:sz w:val="32"/>
          <w:szCs w:val="32"/>
        </w:rPr>
        <w:t>本项目主要包含主动监察用人单位和处理投诉案件，在2019年全年开展，完成主动监察用人单位400户的目标，处理投诉案件50件，按期结案率达到100%。</w:t>
      </w:r>
    </w:p>
    <w:p w14:paraId="43E3CCFD">
      <w:pPr>
        <w:adjustRightInd w:val="0"/>
        <w:snapToGrid w:val="0"/>
        <w:spacing w:line="600" w:lineRule="exact"/>
        <w:ind w:firstLine="720"/>
        <w:rPr>
          <w:rFonts w:eastAsia="仿宋_GB2312"/>
          <w:sz w:val="32"/>
          <w:szCs w:val="32"/>
        </w:rPr>
      </w:pPr>
      <w:r>
        <w:rPr>
          <w:rFonts w:eastAsia="仿宋_GB2312"/>
          <w:sz w:val="32"/>
          <w:szCs w:val="32"/>
        </w:rPr>
        <w:t>3</w:t>
      </w:r>
      <w:r>
        <w:rPr>
          <w:rFonts w:hint="eastAsia" w:eastAsia="仿宋_GB2312"/>
          <w:sz w:val="32"/>
          <w:szCs w:val="32"/>
        </w:rPr>
        <w:t>.</w:t>
      </w:r>
      <w:r>
        <w:rPr>
          <w:rFonts w:eastAsia="仿宋_GB2312"/>
          <w:sz w:val="32"/>
          <w:szCs w:val="32"/>
        </w:rPr>
        <w:t>申报的内容与实际相符且合理。</w:t>
      </w:r>
    </w:p>
    <w:p w14:paraId="6D225A18">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（三）项目自评步骤及方法。</w:t>
      </w:r>
    </w:p>
    <w:p w14:paraId="523E1623">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rPr>
        <w:t>一是根据上一年的主动监察情况制定本年度主动监察用人单位户数；二是根据上一年案件办理情况预估本年度投诉案件数量。</w:t>
      </w:r>
    </w:p>
    <w:p w14:paraId="05F635D6">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二、项目资金申报及使用情况</w:t>
      </w:r>
    </w:p>
    <w:p w14:paraId="52C7C084">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（一）项目资金申报及批复情况。</w:t>
      </w:r>
    </w:p>
    <w:p w14:paraId="24B9441B">
      <w:pPr>
        <w:adjustRightInd w:val="0"/>
        <w:snapToGrid w:val="0"/>
        <w:spacing w:line="600" w:lineRule="exact"/>
        <w:ind w:firstLine="627" w:firstLineChars="196"/>
        <w:rPr>
          <w:rFonts w:eastAsia="仿宋_GB2312"/>
          <w:bCs/>
          <w:sz w:val="32"/>
          <w:szCs w:val="32"/>
        </w:rPr>
      </w:pPr>
      <w:r>
        <w:rPr>
          <w:rFonts w:eastAsia="仿宋_GB2312"/>
          <w:bCs/>
          <w:sz w:val="32"/>
          <w:szCs w:val="32"/>
        </w:rPr>
        <w:t>2019年全年申报预算</w:t>
      </w:r>
      <w:r>
        <w:rPr>
          <w:rFonts w:hint="eastAsia" w:eastAsia="仿宋_GB2312"/>
          <w:bCs/>
          <w:sz w:val="32"/>
          <w:szCs w:val="32"/>
        </w:rPr>
        <w:t>4</w:t>
      </w:r>
      <w:r>
        <w:rPr>
          <w:rFonts w:eastAsia="仿宋_GB2312"/>
          <w:bCs/>
          <w:sz w:val="32"/>
          <w:szCs w:val="32"/>
        </w:rPr>
        <w:t>万元，全部到位。</w:t>
      </w:r>
    </w:p>
    <w:p w14:paraId="19304ECC">
      <w:pPr>
        <w:adjustRightInd w:val="0"/>
        <w:snapToGrid w:val="0"/>
        <w:spacing w:line="600" w:lineRule="exact"/>
        <w:ind w:firstLine="720"/>
        <w:rPr>
          <w:rFonts w:ascii="仿宋_GB2312" w:hAnsi="宋体" w:eastAsia="仿宋_GB2312"/>
          <w:sz w:val="32"/>
          <w:szCs w:val="32"/>
        </w:rPr>
      </w:pPr>
      <w:r>
        <w:rPr>
          <w:rFonts w:hint="eastAsia" w:ascii="楷体_GB2312" w:hAnsi="宋体" w:eastAsia="楷体_GB2312"/>
          <w:b/>
          <w:bCs/>
          <w:sz w:val="32"/>
          <w:szCs w:val="32"/>
        </w:rPr>
        <w:t>（二）资金计划、到位及使用情况（可用表格形式反映）。</w:t>
      </w:r>
    </w:p>
    <w:p w14:paraId="1FC7823D">
      <w:pPr>
        <w:adjustRightInd w:val="0"/>
        <w:snapToGrid w:val="0"/>
        <w:spacing w:line="600" w:lineRule="exact"/>
        <w:ind w:firstLine="720"/>
        <w:rPr>
          <w:rFonts w:eastAsia="仿宋_GB2312"/>
          <w:sz w:val="32"/>
          <w:szCs w:val="32"/>
        </w:rPr>
      </w:pPr>
      <w:r>
        <w:rPr>
          <w:rFonts w:eastAsia="仿宋_GB2312"/>
          <w:sz w:val="32"/>
          <w:szCs w:val="32"/>
        </w:rPr>
        <w:t xml:space="preserve">项目资金计划为4万元，实际到位4万元，为区级财政资金拨付，根据轻重缓急、专款专用的原则，按照计划全部支出，用于主动监察用人单位400户和处理投诉案件50件。  </w:t>
      </w:r>
    </w:p>
    <w:p w14:paraId="3A4173CE">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（三）项目财务管理情况。</w:t>
      </w:r>
    </w:p>
    <w:p w14:paraId="5156159B">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rPr>
        <w:t>总体评价各项目实施单位财务管理制度健全，严格执行财务管理制度，账务处理及时，会计核算规范。</w:t>
      </w:r>
    </w:p>
    <w:p w14:paraId="760DEA03">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三、项目实施及管理情况</w:t>
      </w:r>
    </w:p>
    <w:p w14:paraId="5A692A91">
      <w:pPr>
        <w:adjustRightInd w:val="0"/>
        <w:snapToGrid w:val="0"/>
        <w:spacing w:line="600" w:lineRule="exact"/>
        <w:ind w:firstLine="720"/>
        <w:rPr>
          <w:rFonts w:ascii="黑体" w:hAnsi="黑体" w:eastAsia="黑体"/>
          <w:sz w:val="32"/>
          <w:szCs w:val="32"/>
        </w:rPr>
      </w:pPr>
      <w:r>
        <w:rPr>
          <w:rFonts w:eastAsia="仿宋_GB2312"/>
          <w:bCs/>
          <w:sz w:val="32"/>
          <w:szCs w:val="32"/>
        </w:rPr>
        <w:t>通过严格资金使用、管理和监控</w:t>
      </w:r>
      <w:r>
        <w:rPr>
          <w:rFonts w:hint="eastAsia" w:eastAsia="仿宋_GB2312"/>
          <w:bCs/>
          <w:sz w:val="32"/>
          <w:szCs w:val="32"/>
        </w:rPr>
        <w:t>等程序</w:t>
      </w:r>
      <w:r>
        <w:rPr>
          <w:rFonts w:eastAsia="仿宋_GB2312"/>
          <w:bCs/>
          <w:sz w:val="32"/>
          <w:szCs w:val="32"/>
        </w:rPr>
        <w:t>，</w:t>
      </w:r>
      <w:r>
        <w:rPr>
          <w:rFonts w:hint="eastAsia" w:ascii="仿宋_GB2312" w:hAnsi="宋体" w:eastAsia="仿宋_GB2312"/>
          <w:sz w:val="32"/>
          <w:szCs w:val="32"/>
        </w:rPr>
        <w:t>维护劳动者的合法权益，确保辖区劳动关系和谐稳定。</w:t>
      </w:r>
    </w:p>
    <w:p w14:paraId="757BBCA3">
      <w:pPr>
        <w:adjustRightInd w:val="0"/>
        <w:snapToGrid w:val="0"/>
        <w:spacing w:line="600" w:lineRule="exact"/>
        <w:ind w:firstLine="720"/>
        <w:rPr>
          <w:rFonts w:ascii="仿宋_GB2312" w:hAnsi="宋体" w:eastAsia="仿宋_GB2312"/>
          <w:sz w:val="32"/>
          <w:szCs w:val="32"/>
        </w:rPr>
      </w:pPr>
      <w:r>
        <w:rPr>
          <w:rFonts w:hint="eastAsia" w:ascii="黑体" w:hAnsi="黑体" w:eastAsia="黑体"/>
          <w:sz w:val="32"/>
          <w:szCs w:val="32"/>
        </w:rPr>
        <w:t>四、项目绩效情况</w:t>
      </w:r>
      <w:r>
        <w:rPr>
          <w:rFonts w:hint="eastAsia" w:ascii="仿宋_GB2312" w:hAnsi="宋体" w:eastAsia="仿宋_GB2312"/>
          <w:sz w:val="32"/>
          <w:szCs w:val="32"/>
        </w:rPr>
        <w:tab/>
      </w:r>
    </w:p>
    <w:p w14:paraId="1E2A6394">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（一）项目完成情况。</w:t>
      </w:r>
    </w:p>
    <w:p w14:paraId="18A30CEF">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rPr>
        <w:t>2019年全年，主动监察用人单位目标是检查400户，处理投诉案件50件，均按计划完成。</w:t>
      </w:r>
    </w:p>
    <w:p w14:paraId="6BB4BF71">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（二）项目效益情况。</w:t>
      </w:r>
    </w:p>
    <w:p w14:paraId="3F864BA4">
      <w:pPr>
        <w:adjustRightInd w:val="0"/>
        <w:snapToGrid w:val="0"/>
        <w:spacing w:line="600" w:lineRule="exact"/>
        <w:ind w:firstLine="720"/>
        <w:rPr>
          <w:rFonts w:ascii="仿宋_GB2312" w:hAnsi="宋体" w:eastAsia="仿宋_GB2312"/>
          <w:sz w:val="32"/>
          <w:szCs w:val="32"/>
        </w:rPr>
      </w:pPr>
      <w:r>
        <w:rPr>
          <w:rFonts w:hint="eastAsia" w:ascii="仿宋_GB2312" w:hAnsi="宋体" w:eastAsia="仿宋_GB2312"/>
          <w:sz w:val="32"/>
          <w:szCs w:val="32"/>
        </w:rPr>
        <w:t>主动监察用人单位，督促和规范了企业合法用工行为，从劳资方面服务企业，让辖区企业更好的参与到社会建设中，处理投诉案件，按照劳动保障相关法律法规办理欠薪案件，依法为劳动者维权，维护劳动者的合法权益，确保辖区劳动关系基本和谐。</w:t>
      </w:r>
    </w:p>
    <w:p w14:paraId="59E543E3">
      <w:pPr>
        <w:adjustRightInd w:val="0"/>
        <w:snapToGrid w:val="0"/>
        <w:spacing w:line="600" w:lineRule="exact"/>
        <w:ind w:firstLine="720"/>
        <w:rPr>
          <w:rFonts w:ascii="黑体" w:hAnsi="宋体" w:eastAsia="黑体"/>
          <w:sz w:val="32"/>
          <w:szCs w:val="32"/>
        </w:rPr>
      </w:pPr>
      <w:r>
        <w:rPr>
          <w:rFonts w:hint="eastAsia" w:ascii="黑体" w:hAnsi="黑体" w:eastAsia="黑体"/>
          <w:sz w:val="32"/>
          <w:szCs w:val="32"/>
        </w:rPr>
        <w:t>五、评价结论及建议</w:t>
      </w:r>
    </w:p>
    <w:p w14:paraId="795AEAB9">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（一）评价结论。</w:t>
      </w:r>
    </w:p>
    <w:p w14:paraId="3102ADA4">
      <w:pPr>
        <w:adjustRightInd w:val="0"/>
        <w:snapToGrid w:val="0"/>
        <w:spacing w:line="600" w:lineRule="exact"/>
        <w:ind w:firstLine="624" w:firstLineChars="200"/>
        <w:rPr>
          <w:rFonts w:ascii="仿宋_GB2312" w:hAnsi="宋体" w:eastAsia="仿宋_GB2312"/>
          <w:sz w:val="32"/>
          <w:szCs w:val="32"/>
        </w:rPr>
      </w:pPr>
      <w:r>
        <w:rPr>
          <w:rFonts w:hint="eastAsia" w:ascii="仿宋_GB2312" w:eastAsia="仿宋_GB2312"/>
          <w:spacing w:val="-4"/>
          <w:sz w:val="32"/>
          <w:szCs w:val="32"/>
        </w:rPr>
        <w:t>治理好拖欠工资工作是一项重要民生工程，通过加强主动监察和对欠薪案件的处理，可以切实有效的维护好辖区工人的切身利益，提升辖区老百姓的幸福感和获得感，构建和谐劳动关系。</w:t>
      </w:r>
    </w:p>
    <w:p w14:paraId="71C69A47">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（二）存在的问题。</w:t>
      </w:r>
    </w:p>
    <w:p w14:paraId="4398C2E7">
      <w:pPr>
        <w:adjustRightInd w:val="0"/>
        <w:snapToGrid w:val="0"/>
        <w:spacing w:line="600" w:lineRule="exact"/>
        <w:ind w:firstLine="624" w:firstLineChars="200"/>
        <w:rPr>
          <w:rFonts w:ascii="仿宋_GB2312" w:hAnsi="宋体" w:eastAsia="仿宋_GB2312"/>
          <w:sz w:val="32"/>
          <w:szCs w:val="32"/>
        </w:rPr>
      </w:pPr>
      <w:r>
        <w:rPr>
          <w:rFonts w:hint="eastAsia" w:eastAsia="仿宋_GB2312"/>
          <w:color w:val="000000"/>
          <w:spacing w:val="-4"/>
          <w:sz w:val="32"/>
        </w:rPr>
        <w:t>一是受经济下行和国家宏观产业政策调整影响，辖区部分企业处于停产或半停产状态，企业资金不足，诱发欠薪情况时有发生，处理化解难度大，劳动者权益不能得到有效维护。二是用人单位用人制度不够规范导致劳资纠纷。</w:t>
      </w:r>
    </w:p>
    <w:p w14:paraId="38BD850D">
      <w:pPr>
        <w:adjustRightInd w:val="0"/>
        <w:snapToGrid w:val="0"/>
        <w:spacing w:line="600" w:lineRule="exact"/>
        <w:ind w:firstLine="720"/>
        <w:rPr>
          <w:rFonts w:ascii="楷体_GB2312" w:hAnsi="宋体" w:eastAsia="楷体_GB2312"/>
          <w:b/>
          <w:bCs/>
          <w:sz w:val="32"/>
          <w:szCs w:val="32"/>
        </w:rPr>
      </w:pPr>
      <w:r>
        <w:rPr>
          <w:rFonts w:hint="eastAsia" w:ascii="楷体_GB2312" w:hAnsi="宋体" w:eastAsia="楷体_GB2312"/>
          <w:b/>
          <w:bCs/>
          <w:sz w:val="32"/>
          <w:szCs w:val="32"/>
        </w:rPr>
        <w:t>（三）相关建议。</w:t>
      </w:r>
    </w:p>
    <w:p w14:paraId="157FC885">
      <w:pPr>
        <w:ind w:firstLine="640" w:firstLineChars="200"/>
      </w:pPr>
      <w:r>
        <w:rPr>
          <w:rFonts w:hint="eastAsia" w:ascii="仿宋_GB2312" w:hAnsi="宋体" w:eastAsia="仿宋_GB2312"/>
          <w:sz w:val="32"/>
          <w:szCs w:val="32"/>
        </w:rPr>
        <w:t>一是加强主动监察，及时处理欠薪案件；二是主动服务企业，规范用人单位用工行为。</w:t>
      </w:r>
    </w:p>
    <w:p w14:paraId="5CC4E46C">
      <w:pPr>
        <w:spacing w:line="353" w:lineRule="auto"/>
        <w:ind w:firstLine="640"/>
        <w:rPr>
          <w:rFonts w:eastAsia="仿宋_GB2312"/>
          <w:color w:val="000000" w:themeColor="text1"/>
          <w:sz w:val="32"/>
          <w:szCs w:val="32"/>
          <w14:textFill>
            <w14:solidFill>
              <w14:schemeClr w14:val="tx1"/>
            </w14:solidFill>
          </w14:textFill>
        </w:rPr>
      </w:pPr>
    </w:p>
    <w:p w14:paraId="579053B7">
      <w:pPr>
        <w:widowControl/>
        <w:spacing w:line="353" w:lineRule="auto"/>
        <w:jc w:val="left"/>
        <w:rPr>
          <w:rStyle w:val="25"/>
          <w:rFonts w:eastAsia="黑体"/>
          <w:b w:val="0"/>
          <w:color w:val="000000" w:themeColor="text1"/>
          <w14:textFill>
            <w14:solidFill>
              <w14:schemeClr w14:val="tx1"/>
            </w14:solidFill>
          </w14:textFill>
        </w:rPr>
      </w:pPr>
    </w:p>
    <w:p w14:paraId="1E59FF82">
      <w:pPr>
        <w:widowControl/>
        <w:spacing w:line="353" w:lineRule="auto"/>
        <w:jc w:val="left"/>
        <w:rPr>
          <w:rStyle w:val="25"/>
          <w:rFonts w:eastAsia="黑体"/>
          <w:b w:val="0"/>
          <w:color w:val="000000" w:themeColor="text1"/>
          <w14:textFill>
            <w14:solidFill>
              <w14:schemeClr w14:val="tx1"/>
            </w14:solidFill>
          </w14:textFill>
        </w:rPr>
      </w:pPr>
      <w:r>
        <w:rPr>
          <w:rStyle w:val="25"/>
          <w:rFonts w:eastAsia="黑体"/>
          <w:b w:val="0"/>
          <w:color w:val="000000" w:themeColor="text1"/>
          <w14:textFill>
            <w14:solidFill>
              <w14:schemeClr w14:val="tx1"/>
            </w14:solidFill>
          </w14:textFill>
        </w:rPr>
        <w:br w:type="page"/>
      </w:r>
    </w:p>
    <w:p w14:paraId="52BED467">
      <w:pPr>
        <w:spacing w:line="353" w:lineRule="auto"/>
        <w:jc w:val="center"/>
        <w:outlineLvl w:val="0"/>
        <w:rPr>
          <w:rStyle w:val="25"/>
          <w:rFonts w:eastAsia="黑体"/>
          <w:b w:val="0"/>
          <w:color w:val="000000" w:themeColor="text1"/>
          <w14:textFill>
            <w14:solidFill>
              <w14:schemeClr w14:val="tx1"/>
            </w14:solidFill>
          </w14:textFill>
        </w:rPr>
      </w:pPr>
      <w:bookmarkStart w:id="113" w:name="_Toc15396618"/>
      <w:bookmarkStart w:id="114" w:name="_Toc1160"/>
      <w:r>
        <w:rPr>
          <w:rFonts w:eastAsia="黑体"/>
          <w:color w:val="000000" w:themeColor="text1"/>
          <w:sz w:val="44"/>
          <w:szCs w:val="44"/>
          <w14:textFill>
            <w14:solidFill>
              <w14:schemeClr w14:val="tx1"/>
            </w14:solidFill>
          </w14:textFill>
        </w:rPr>
        <w:t>第</w:t>
      </w:r>
      <w:r>
        <w:rPr>
          <w:rStyle w:val="25"/>
          <w:rFonts w:eastAsia="黑体"/>
          <w:b w:val="0"/>
          <w:color w:val="000000" w:themeColor="text1"/>
          <w14:textFill>
            <w14:solidFill>
              <w14:schemeClr w14:val="tx1"/>
            </w14:solidFill>
          </w14:textFill>
        </w:rPr>
        <w:t>五部分 附表</w:t>
      </w:r>
      <w:bookmarkEnd w:id="105"/>
      <w:bookmarkEnd w:id="113"/>
      <w:bookmarkEnd w:id="114"/>
    </w:p>
    <w:p w14:paraId="16CBD1FD">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15" w:name="_Toc15396619"/>
      <w:bookmarkStart w:id="116" w:name="_Toc19152"/>
      <w:r>
        <w:rPr>
          <w:rFonts w:ascii="Times New Roman" w:hAnsi="Times New Roman" w:eastAsia="仿宋_GB2312" w:cs="Times New Roman"/>
          <w:b w:val="0"/>
          <w:color w:val="000000" w:themeColor="text1"/>
          <w14:textFill>
            <w14:solidFill>
              <w14:schemeClr w14:val="tx1"/>
            </w14:solidFill>
          </w14:textFill>
        </w:rPr>
        <w:t>一、收</w:t>
      </w:r>
      <w:r>
        <w:rPr>
          <w:rStyle w:val="26"/>
          <w:rFonts w:ascii="Times New Roman" w:hAnsi="Times New Roman" w:eastAsia="仿宋_GB2312" w:cs="Times New Roman"/>
          <w:b w:val="0"/>
          <w:bCs w:val="0"/>
          <w:color w:val="000000" w:themeColor="text1"/>
          <w14:textFill>
            <w14:solidFill>
              <w14:schemeClr w14:val="tx1"/>
            </w14:solidFill>
          </w14:textFill>
        </w:rPr>
        <w:t>入支出决算总表</w:t>
      </w:r>
      <w:bookmarkEnd w:id="115"/>
      <w:bookmarkEnd w:id="116"/>
    </w:p>
    <w:p w14:paraId="63F8E58B">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17" w:name="_Toc15396620"/>
      <w:bookmarkStart w:id="118" w:name="_Toc17743"/>
      <w:r>
        <w:rPr>
          <w:rFonts w:ascii="Times New Roman" w:hAnsi="Times New Roman" w:eastAsia="仿宋_GB2312" w:cs="Times New Roman"/>
          <w:b w:val="0"/>
          <w:color w:val="000000" w:themeColor="text1"/>
          <w14:textFill>
            <w14:solidFill>
              <w14:schemeClr w14:val="tx1"/>
            </w14:solidFill>
          </w14:textFill>
        </w:rPr>
        <w:t>二、收</w:t>
      </w:r>
      <w:r>
        <w:rPr>
          <w:rStyle w:val="26"/>
          <w:rFonts w:ascii="Times New Roman" w:hAnsi="Times New Roman" w:eastAsia="仿宋_GB2312" w:cs="Times New Roman"/>
          <w:b w:val="0"/>
          <w:bCs w:val="0"/>
          <w:color w:val="000000" w:themeColor="text1"/>
          <w14:textFill>
            <w14:solidFill>
              <w14:schemeClr w14:val="tx1"/>
            </w14:solidFill>
          </w14:textFill>
        </w:rPr>
        <w:t>入决算表</w:t>
      </w:r>
      <w:bookmarkEnd w:id="117"/>
      <w:bookmarkEnd w:id="118"/>
    </w:p>
    <w:p w14:paraId="24E6552A">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19" w:name="_Toc22587"/>
      <w:bookmarkStart w:id="120" w:name="_Toc15396621"/>
      <w:r>
        <w:rPr>
          <w:rStyle w:val="26"/>
          <w:rFonts w:ascii="Times New Roman" w:hAnsi="Times New Roman" w:eastAsia="仿宋_GB2312" w:cs="Times New Roman"/>
          <w:b w:val="0"/>
          <w:bCs w:val="0"/>
          <w:color w:val="000000" w:themeColor="text1"/>
          <w14:textFill>
            <w14:solidFill>
              <w14:schemeClr w14:val="tx1"/>
            </w14:solidFill>
          </w14:textFill>
        </w:rPr>
        <w:t>三、</w:t>
      </w:r>
      <w:r>
        <w:rPr>
          <w:rFonts w:ascii="Times New Roman" w:hAnsi="Times New Roman" w:eastAsia="仿宋_GB2312" w:cs="Times New Roman"/>
          <w:b w:val="0"/>
          <w:color w:val="000000" w:themeColor="text1"/>
          <w14:textFill>
            <w14:solidFill>
              <w14:schemeClr w14:val="tx1"/>
            </w14:solidFill>
          </w14:textFill>
        </w:rPr>
        <w:t>支</w:t>
      </w:r>
      <w:r>
        <w:rPr>
          <w:rStyle w:val="26"/>
          <w:rFonts w:ascii="Times New Roman" w:hAnsi="Times New Roman" w:eastAsia="仿宋_GB2312" w:cs="Times New Roman"/>
          <w:b w:val="0"/>
          <w:bCs w:val="0"/>
          <w:color w:val="000000" w:themeColor="text1"/>
          <w14:textFill>
            <w14:solidFill>
              <w14:schemeClr w14:val="tx1"/>
            </w14:solidFill>
          </w14:textFill>
        </w:rPr>
        <w:t>出决算表</w:t>
      </w:r>
      <w:bookmarkEnd w:id="119"/>
      <w:bookmarkEnd w:id="120"/>
    </w:p>
    <w:p w14:paraId="0032C37C">
      <w:pPr>
        <w:pStyle w:val="3"/>
        <w:spacing w:before="0" w:after="0" w:line="353" w:lineRule="auto"/>
        <w:rPr>
          <w:rFonts w:ascii="Times New Roman" w:hAnsi="Times New Roman" w:eastAsia="仿宋_GB2312" w:cs="Times New Roman"/>
          <w:b w:val="0"/>
          <w:color w:val="000000" w:themeColor="text1"/>
          <w14:textFill>
            <w14:solidFill>
              <w14:schemeClr w14:val="tx1"/>
            </w14:solidFill>
          </w14:textFill>
        </w:rPr>
      </w:pPr>
      <w:bookmarkStart w:id="121" w:name="_Toc15396622"/>
      <w:bookmarkStart w:id="122" w:name="_Toc6382"/>
      <w:r>
        <w:rPr>
          <w:rStyle w:val="26"/>
          <w:rFonts w:ascii="Times New Roman" w:hAnsi="Times New Roman" w:eastAsia="仿宋_GB2312" w:cs="Times New Roman"/>
          <w:b w:val="0"/>
          <w:bCs w:val="0"/>
          <w:color w:val="000000" w:themeColor="text1"/>
          <w14:textFill>
            <w14:solidFill>
              <w14:schemeClr w14:val="tx1"/>
            </w14:solidFill>
          </w14:textFill>
        </w:rPr>
        <w:t>四、</w:t>
      </w:r>
      <w:r>
        <w:rPr>
          <w:rFonts w:ascii="Times New Roman" w:hAnsi="Times New Roman" w:eastAsia="仿宋_GB2312" w:cs="Times New Roman"/>
          <w:b w:val="0"/>
          <w:color w:val="000000" w:themeColor="text1"/>
          <w14:textFill>
            <w14:solidFill>
              <w14:schemeClr w14:val="tx1"/>
            </w14:solidFill>
          </w14:textFill>
        </w:rPr>
        <w:t>财</w:t>
      </w:r>
      <w:r>
        <w:rPr>
          <w:rStyle w:val="26"/>
          <w:rFonts w:ascii="Times New Roman" w:hAnsi="Times New Roman" w:eastAsia="仿宋_GB2312" w:cs="Times New Roman"/>
          <w:b w:val="0"/>
          <w:bCs w:val="0"/>
          <w:color w:val="000000" w:themeColor="text1"/>
          <w14:textFill>
            <w14:solidFill>
              <w14:schemeClr w14:val="tx1"/>
            </w14:solidFill>
          </w14:textFill>
        </w:rPr>
        <w:t>政拨款收入支出决算总表</w:t>
      </w:r>
      <w:bookmarkEnd w:id="121"/>
      <w:bookmarkEnd w:id="122"/>
    </w:p>
    <w:p w14:paraId="6F734488">
      <w:pPr>
        <w:pStyle w:val="3"/>
        <w:spacing w:before="0" w:after="0" w:line="353" w:lineRule="auto"/>
        <w:rPr>
          <w:rStyle w:val="26"/>
          <w:rFonts w:ascii="Times New Roman" w:hAnsi="Times New Roman" w:eastAsia="仿宋_GB2312" w:cs="Times New Roman"/>
          <w:b w:val="0"/>
          <w:bCs w:val="0"/>
          <w:color w:val="000000" w:themeColor="text1"/>
          <w14:textFill>
            <w14:solidFill>
              <w14:schemeClr w14:val="tx1"/>
            </w14:solidFill>
          </w14:textFill>
        </w:rPr>
      </w:pPr>
      <w:bookmarkStart w:id="123" w:name="_Toc15396623"/>
      <w:bookmarkStart w:id="124" w:name="_Toc10338"/>
      <w:r>
        <w:rPr>
          <w:rStyle w:val="26"/>
          <w:rFonts w:ascii="Times New Roman" w:hAnsi="Times New Roman" w:eastAsia="仿宋_GB2312" w:cs="Times New Roman"/>
          <w:b w:val="0"/>
          <w:bCs w:val="0"/>
          <w:color w:val="000000" w:themeColor="text1"/>
          <w14:textFill>
            <w14:solidFill>
              <w14:schemeClr w14:val="tx1"/>
            </w14:solidFill>
          </w14:textFill>
        </w:rPr>
        <w:t>五、</w:t>
      </w:r>
      <w:r>
        <w:rPr>
          <w:rFonts w:ascii="Times New Roman" w:hAnsi="Times New Roman" w:eastAsia="仿宋_GB2312" w:cs="Times New Roman"/>
          <w:b w:val="0"/>
          <w:color w:val="000000" w:themeColor="text1"/>
          <w14:textFill>
            <w14:solidFill>
              <w14:schemeClr w14:val="tx1"/>
            </w14:solidFill>
          </w14:textFill>
        </w:rPr>
        <w:t>财</w:t>
      </w:r>
      <w:r>
        <w:rPr>
          <w:rStyle w:val="26"/>
          <w:rFonts w:ascii="Times New Roman" w:hAnsi="Times New Roman" w:eastAsia="仿宋_GB2312" w:cs="Times New Roman"/>
          <w:b w:val="0"/>
          <w:bCs w:val="0"/>
          <w:color w:val="000000" w:themeColor="text1"/>
          <w14:textFill>
            <w14:solidFill>
              <w14:schemeClr w14:val="tx1"/>
            </w14:solidFill>
          </w14:textFill>
        </w:rPr>
        <w:t>政拨款支出决算明细表</w:t>
      </w:r>
      <w:bookmarkEnd w:id="123"/>
      <w:bookmarkEnd w:id="124"/>
      <w:bookmarkStart w:id="125" w:name="_Toc15396624"/>
    </w:p>
    <w:p w14:paraId="6E251CFB">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26" w:name="_Toc2961"/>
      <w:r>
        <w:rPr>
          <w:rStyle w:val="26"/>
          <w:rFonts w:ascii="Times New Roman" w:hAnsi="Times New Roman" w:eastAsia="仿宋_GB2312" w:cs="Times New Roman"/>
          <w:b w:val="0"/>
          <w:bCs w:val="0"/>
          <w:color w:val="000000" w:themeColor="text1"/>
          <w14:textFill>
            <w14:solidFill>
              <w14:schemeClr w14:val="tx1"/>
            </w14:solidFill>
          </w14:textFill>
        </w:rPr>
        <w:t>六、</w:t>
      </w:r>
      <w:r>
        <w:rPr>
          <w:rFonts w:ascii="Times New Roman" w:hAnsi="Times New Roman" w:eastAsia="仿宋_GB2312" w:cs="Times New Roman"/>
          <w:b w:val="0"/>
          <w:color w:val="000000" w:themeColor="text1"/>
          <w14:textFill>
            <w14:solidFill>
              <w14:schemeClr w14:val="tx1"/>
            </w14:solidFill>
          </w14:textFill>
        </w:rPr>
        <w:t>一</w:t>
      </w:r>
      <w:r>
        <w:rPr>
          <w:rStyle w:val="26"/>
          <w:rFonts w:ascii="Times New Roman" w:hAnsi="Times New Roman" w:eastAsia="仿宋_GB2312" w:cs="Times New Roman"/>
          <w:b w:val="0"/>
          <w:bCs w:val="0"/>
          <w:color w:val="000000" w:themeColor="text1"/>
          <w14:textFill>
            <w14:solidFill>
              <w14:schemeClr w14:val="tx1"/>
            </w14:solidFill>
          </w14:textFill>
        </w:rPr>
        <w:t>般公共预算财政拨款支出决算表</w:t>
      </w:r>
      <w:bookmarkEnd w:id="125"/>
      <w:bookmarkEnd w:id="126"/>
    </w:p>
    <w:p w14:paraId="1B4F0957">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27" w:name="_Toc15396625"/>
      <w:bookmarkStart w:id="128" w:name="_Toc23245"/>
      <w:r>
        <w:rPr>
          <w:rStyle w:val="26"/>
          <w:rFonts w:ascii="Times New Roman" w:hAnsi="Times New Roman" w:eastAsia="仿宋_GB2312" w:cs="Times New Roman"/>
          <w:b w:val="0"/>
          <w:bCs w:val="0"/>
          <w:color w:val="000000" w:themeColor="text1"/>
          <w14:textFill>
            <w14:solidFill>
              <w14:schemeClr w14:val="tx1"/>
            </w14:solidFill>
          </w14:textFill>
        </w:rPr>
        <w:t>七、</w:t>
      </w:r>
      <w:r>
        <w:rPr>
          <w:rFonts w:ascii="Times New Roman" w:hAnsi="Times New Roman" w:eastAsia="仿宋_GB2312" w:cs="Times New Roman"/>
          <w:b w:val="0"/>
          <w:color w:val="000000" w:themeColor="text1"/>
          <w14:textFill>
            <w14:solidFill>
              <w14:schemeClr w14:val="tx1"/>
            </w14:solidFill>
          </w14:textFill>
        </w:rPr>
        <w:t>一</w:t>
      </w:r>
      <w:r>
        <w:rPr>
          <w:rStyle w:val="26"/>
          <w:rFonts w:ascii="Times New Roman" w:hAnsi="Times New Roman" w:eastAsia="仿宋_GB2312" w:cs="Times New Roman"/>
          <w:b w:val="0"/>
          <w:bCs w:val="0"/>
          <w:color w:val="000000" w:themeColor="text1"/>
          <w14:textFill>
            <w14:solidFill>
              <w14:schemeClr w14:val="tx1"/>
            </w14:solidFill>
          </w14:textFill>
        </w:rPr>
        <w:t>般公共预算财政拨款支出决算明细表</w:t>
      </w:r>
      <w:bookmarkEnd w:id="127"/>
      <w:bookmarkEnd w:id="128"/>
    </w:p>
    <w:p w14:paraId="5627FEB2">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29" w:name="_Toc14955"/>
      <w:bookmarkStart w:id="130" w:name="_Toc15396626"/>
      <w:r>
        <w:rPr>
          <w:rStyle w:val="26"/>
          <w:rFonts w:ascii="Times New Roman" w:hAnsi="Times New Roman" w:eastAsia="仿宋_GB2312" w:cs="Times New Roman"/>
          <w:b w:val="0"/>
          <w:bCs w:val="0"/>
          <w:color w:val="000000" w:themeColor="text1"/>
          <w14:textFill>
            <w14:solidFill>
              <w14:schemeClr w14:val="tx1"/>
            </w14:solidFill>
          </w14:textFill>
        </w:rPr>
        <w:t>八、</w:t>
      </w:r>
      <w:r>
        <w:rPr>
          <w:rFonts w:ascii="Times New Roman" w:hAnsi="Times New Roman" w:eastAsia="仿宋_GB2312" w:cs="Times New Roman"/>
          <w:b w:val="0"/>
          <w:color w:val="000000" w:themeColor="text1"/>
          <w14:textFill>
            <w14:solidFill>
              <w14:schemeClr w14:val="tx1"/>
            </w14:solidFill>
          </w14:textFill>
        </w:rPr>
        <w:t>一</w:t>
      </w:r>
      <w:r>
        <w:rPr>
          <w:rStyle w:val="26"/>
          <w:rFonts w:ascii="Times New Roman" w:hAnsi="Times New Roman" w:eastAsia="仿宋_GB2312" w:cs="Times New Roman"/>
          <w:b w:val="0"/>
          <w:bCs w:val="0"/>
          <w:color w:val="000000" w:themeColor="text1"/>
          <w14:textFill>
            <w14:solidFill>
              <w14:schemeClr w14:val="tx1"/>
            </w14:solidFill>
          </w14:textFill>
        </w:rPr>
        <w:t>般公共预算财政拨款基本支出决算表</w:t>
      </w:r>
      <w:bookmarkEnd w:id="129"/>
      <w:bookmarkEnd w:id="130"/>
    </w:p>
    <w:p w14:paraId="0F297A04">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31" w:name="_Toc19597"/>
      <w:bookmarkStart w:id="132" w:name="_Toc15396627"/>
      <w:r>
        <w:rPr>
          <w:rStyle w:val="26"/>
          <w:rFonts w:ascii="Times New Roman" w:hAnsi="Times New Roman" w:eastAsia="仿宋_GB2312" w:cs="Times New Roman"/>
          <w:b w:val="0"/>
          <w:bCs w:val="0"/>
          <w:color w:val="000000" w:themeColor="text1"/>
          <w14:textFill>
            <w14:solidFill>
              <w14:schemeClr w14:val="tx1"/>
            </w14:solidFill>
          </w14:textFill>
        </w:rPr>
        <w:t>九、</w:t>
      </w:r>
      <w:r>
        <w:rPr>
          <w:rFonts w:ascii="Times New Roman" w:hAnsi="Times New Roman" w:eastAsia="仿宋_GB2312" w:cs="Times New Roman"/>
          <w:b w:val="0"/>
          <w:color w:val="000000" w:themeColor="text1"/>
          <w14:textFill>
            <w14:solidFill>
              <w14:schemeClr w14:val="tx1"/>
            </w14:solidFill>
          </w14:textFill>
        </w:rPr>
        <w:t>一</w:t>
      </w:r>
      <w:r>
        <w:rPr>
          <w:rStyle w:val="26"/>
          <w:rFonts w:ascii="Times New Roman" w:hAnsi="Times New Roman" w:eastAsia="仿宋_GB2312" w:cs="Times New Roman"/>
          <w:b w:val="0"/>
          <w:bCs w:val="0"/>
          <w:color w:val="000000" w:themeColor="text1"/>
          <w14:textFill>
            <w14:solidFill>
              <w14:schemeClr w14:val="tx1"/>
            </w14:solidFill>
          </w14:textFill>
        </w:rPr>
        <w:t>般公共预算财政拨款项目支出决算表</w:t>
      </w:r>
      <w:bookmarkEnd w:id="131"/>
      <w:bookmarkEnd w:id="132"/>
    </w:p>
    <w:p w14:paraId="11A4F94F">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33" w:name="_Toc30822"/>
      <w:bookmarkStart w:id="134" w:name="_Toc15396628"/>
      <w:r>
        <w:rPr>
          <w:rStyle w:val="26"/>
          <w:rFonts w:ascii="Times New Roman" w:hAnsi="Times New Roman" w:eastAsia="仿宋_GB2312" w:cs="Times New Roman"/>
          <w:b w:val="0"/>
          <w:bCs w:val="0"/>
          <w:color w:val="000000" w:themeColor="text1"/>
          <w14:textFill>
            <w14:solidFill>
              <w14:schemeClr w14:val="tx1"/>
            </w14:solidFill>
          </w14:textFill>
        </w:rPr>
        <w:t>十、</w:t>
      </w:r>
      <w:r>
        <w:rPr>
          <w:rFonts w:ascii="Times New Roman" w:hAnsi="Times New Roman" w:eastAsia="仿宋_GB2312" w:cs="Times New Roman"/>
          <w:b w:val="0"/>
          <w:color w:val="000000" w:themeColor="text1"/>
          <w14:textFill>
            <w14:solidFill>
              <w14:schemeClr w14:val="tx1"/>
            </w14:solidFill>
          </w14:textFill>
        </w:rPr>
        <w:t>一</w:t>
      </w:r>
      <w:r>
        <w:rPr>
          <w:rStyle w:val="26"/>
          <w:rFonts w:ascii="Times New Roman" w:hAnsi="Times New Roman" w:eastAsia="仿宋_GB2312" w:cs="Times New Roman"/>
          <w:b w:val="0"/>
          <w:bCs w:val="0"/>
          <w:color w:val="000000" w:themeColor="text1"/>
          <w14:textFill>
            <w14:solidFill>
              <w14:schemeClr w14:val="tx1"/>
            </w14:solidFill>
          </w14:textFill>
        </w:rPr>
        <w:t>般公共预算财政拨款“三公”经费支出决算表</w:t>
      </w:r>
      <w:bookmarkEnd w:id="133"/>
      <w:bookmarkEnd w:id="134"/>
    </w:p>
    <w:p w14:paraId="5F90E8C8">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35" w:name="_Toc15396629"/>
      <w:bookmarkStart w:id="136" w:name="_Toc11922"/>
      <w:r>
        <w:rPr>
          <w:rStyle w:val="26"/>
          <w:rFonts w:ascii="Times New Roman" w:hAnsi="Times New Roman" w:eastAsia="仿宋_GB2312" w:cs="Times New Roman"/>
          <w:b w:val="0"/>
          <w:bCs w:val="0"/>
          <w:color w:val="000000" w:themeColor="text1"/>
          <w14:textFill>
            <w14:solidFill>
              <w14:schemeClr w14:val="tx1"/>
            </w14:solidFill>
          </w14:textFill>
        </w:rPr>
        <w:t>十一、</w:t>
      </w:r>
      <w:r>
        <w:rPr>
          <w:rFonts w:ascii="Times New Roman" w:hAnsi="Times New Roman" w:eastAsia="仿宋_GB2312" w:cs="Times New Roman"/>
          <w:b w:val="0"/>
          <w:color w:val="000000" w:themeColor="text1"/>
          <w14:textFill>
            <w14:solidFill>
              <w14:schemeClr w14:val="tx1"/>
            </w14:solidFill>
          </w14:textFill>
        </w:rPr>
        <w:t>政</w:t>
      </w:r>
      <w:r>
        <w:rPr>
          <w:rStyle w:val="26"/>
          <w:rFonts w:ascii="Times New Roman" w:hAnsi="Times New Roman" w:eastAsia="仿宋_GB2312" w:cs="Times New Roman"/>
          <w:b w:val="0"/>
          <w:bCs w:val="0"/>
          <w:color w:val="000000" w:themeColor="text1"/>
          <w14:textFill>
            <w14:solidFill>
              <w14:schemeClr w14:val="tx1"/>
            </w14:solidFill>
          </w14:textFill>
        </w:rPr>
        <w:t>府性基金预算财政拨款收入支出决算表</w:t>
      </w:r>
      <w:bookmarkEnd w:id="135"/>
      <w:bookmarkEnd w:id="136"/>
    </w:p>
    <w:p w14:paraId="0E7CE1AC">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37" w:name="_Toc15396630"/>
      <w:bookmarkStart w:id="138" w:name="_Toc32150"/>
      <w:r>
        <w:rPr>
          <w:rStyle w:val="26"/>
          <w:rFonts w:ascii="Times New Roman" w:hAnsi="Times New Roman" w:eastAsia="仿宋_GB2312" w:cs="Times New Roman"/>
          <w:b w:val="0"/>
          <w:bCs w:val="0"/>
          <w:color w:val="000000" w:themeColor="text1"/>
          <w14:textFill>
            <w14:solidFill>
              <w14:schemeClr w14:val="tx1"/>
            </w14:solidFill>
          </w14:textFill>
        </w:rPr>
        <w:t>十二、</w:t>
      </w:r>
      <w:r>
        <w:rPr>
          <w:rFonts w:ascii="Times New Roman" w:hAnsi="Times New Roman" w:eastAsia="仿宋_GB2312" w:cs="Times New Roman"/>
          <w:b w:val="0"/>
          <w:color w:val="000000" w:themeColor="text1"/>
          <w14:textFill>
            <w14:solidFill>
              <w14:schemeClr w14:val="tx1"/>
            </w14:solidFill>
          </w14:textFill>
        </w:rPr>
        <w:t>政</w:t>
      </w:r>
      <w:r>
        <w:rPr>
          <w:rStyle w:val="26"/>
          <w:rFonts w:ascii="Times New Roman" w:hAnsi="Times New Roman" w:eastAsia="仿宋_GB2312" w:cs="Times New Roman"/>
          <w:b w:val="0"/>
          <w:bCs w:val="0"/>
          <w:color w:val="000000" w:themeColor="text1"/>
          <w14:textFill>
            <w14:solidFill>
              <w14:schemeClr w14:val="tx1"/>
            </w14:solidFill>
          </w14:textFill>
        </w:rPr>
        <w:t>府性基金预算财政拨款“三公”经费支出决算表</w:t>
      </w:r>
      <w:bookmarkEnd w:id="137"/>
      <w:bookmarkEnd w:id="138"/>
    </w:p>
    <w:p w14:paraId="1953F3BD">
      <w:pPr>
        <w:pStyle w:val="3"/>
        <w:spacing w:before="0" w:after="0" w:line="353" w:lineRule="auto"/>
        <w:rPr>
          <w:rFonts w:ascii="Times New Roman" w:hAnsi="Times New Roman" w:eastAsia="仿宋_GB2312" w:cs="Times New Roman"/>
          <w:color w:val="000000" w:themeColor="text1"/>
          <w14:textFill>
            <w14:solidFill>
              <w14:schemeClr w14:val="tx1"/>
            </w14:solidFill>
          </w14:textFill>
        </w:rPr>
      </w:pPr>
      <w:bookmarkStart w:id="139" w:name="_Toc15396631"/>
      <w:bookmarkStart w:id="140" w:name="_Toc8160"/>
      <w:r>
        <w:rPr>
          <w:rStyle w:val="26"/>
          <w:rFonts w:ascii="Times New Roman" w:hAnsi="Times New Roman" w:eastAsia="仿宋_GB2312" w:cs="Times New Roman"/>
          <w:b w:val="0"/>
          <w:bCs w:val="0"/>
          <w:color w:val="000000" w:themeColor="text1"/>
          <w14:textFill>
            <w14:solidFill>
              <w14:schemeClr w14:val="tx1"/>
            </w14:solidFill>
          </w14:textFill>
        </w:rPr>
        <w:t>十三、</w:t>
      </w:r>
      <w:r>
        <w:rPr>
          <w:rFonts w:ascii="Times New Roman" w:hAnsi="Times New Roman" w:eastAsia="仿宋_GB2312" w:cs="Times New Roman"/>
          <w:b w:val="0"/>
          <w:color w:val="000000" w:themeColor="text1"/>
          <w14:textFill>
            <w14:solidFill>
              <w14:schemeClr w14:val="tx1"/>
            </w14:solidFill>
          </w14:textFill>
        </w:rPr>
        <w:t>国</w:t>
      </w:r>
      <w:r>
        <w:rPr>
          <w:rStyle w:val="26"/>
          <w:rFonts w:ascii="Times New Roman" w:hAnsi="Times New Roman" w:eastAsia="仿宋_GB2312" w:cs="Times New Roman"/>
          <w:b w:val="0"/>
          <w:bCs w:val="0"/>
          <w:color w:val="000000" w:themeColor="text1"/>
          <w14:textFill>
            <w14:solidFill>
              <w14:schemeClr w14:val="tx1"/>
            </w14:solidFill>
          </w14:textFill>
        </w:rPr>
        <w:t>有资本经营预算支出决算表</w:t>
      </w:r>
      <w:bookmarkEnd w:id="139"/>
      <w:bookmarkEnd w:id="140"/>
    </w:p>
    <w:sectPr>
      <w:headerReference r:id="rId3" w:type="default"/>
      <w:footerReference r:id="rId4" w:type="default"/>
      <w:pgSz w:w="11906" w:h="16838"/>
      <w:pgMar w:top="2098" w:right="1474" w:bottom="1984" w:left="1588"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0802C">
    <w:pPr>
      <w:pStyle w:val="9"/>
      <w:jc w:val="cente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15240</wp:posOffset>
              </wp:positionV>
              <wp:extent cx="548005" cy="242570"/>
              <wp:effectExtent l="0" t="0" r="0" b="0"/>
              <wp:wrapNone/>
              <wp:docPr id="8" name="文本框 8"/>
              <wp:cNvGraphicFramePr/>
              <a:graphic xmlns:a="http://schemas.openxmlformats.org/drawingml/2006/main">
                <a:graphicData uri="http://schemas.microsoft.com/office/word/2010/wordprocessingShape">
                  <wps:wsp>
                    <wps:cNvSpPr txBox="1"/>
                    <wps:spPr>
                      <a:xfrm>
                        <a:off x="0" y="0"/>
                        <a:ext cx="548005" cy="2425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14:paraId="65B67E4F">
                              <w:pPr>
                                <w:pStyle w:val="9"/>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lang w:val="zh-CN"/>
                                </w:rPr>
                                <w:t>-</w:t>
                              </w:r>
                              <w:r>
                                <w:rPr>
                                  <w:rFonts w:asciiTheme="minorEastAsia" w:hAnsiTheme="minorEastAsia" w:eastAsiaTheme="minorEastAsia" w:cstheme="minorEastAsia"/>
                                  <w:sz w:val="28"/>
                                  <w:szCs w:val="28"/>
                                </w:rPr>
                                <w:t xml:space="preserve"> 14 -</w:t>
                              </w:r>
                              <w:r>
                                <w:rPr>
                                  <w:rFonts w:hint="eastAsia" w:asciiTheme="minorEastAsia" w:hAnsiTheme="minorEastAsia" w:eastAsiaTheme="minorEastAsia" w:cstheme="minorEastAsia"/>
                                  <w:sz w:val="28"/>
                                  <w:szCs w:val="28"/>
                                </w:rPr>
                                <w:fldChar w:fldCharType="end"/>
                              </w:r>
                            </w:p>
                          </w:sdtContent>
                        </w:sdt>
                        <w:p w14:paraId="5AF71F3A"/>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2pt;height:19.1pt;width:43.15pt;mso-position-horizontal:inside;mso-position-horizontal-relative:margin;z-index:251659264;mso-width-relative:page;mso-height-relative:page;" filled="f" stroked="f" coordsize="21600,21600" o:gfxdata="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L7Xg41AAAAAQBAAAPAAAAAAAAAAEAIAAAACIAAABkcnMvZG93bnJldi54bWxQSwEC&#10;FAAUAAAACACHTuJAOPQq5jECAABVBAAADgAAAAAAAAABACAAAAAjAQAAZHJzL2Uyb0RvYy54bWxQ&#10;SwUGAAAAAAYABgBZAQAAxgUAAAAA&#10;">
              <v:fill on="f" focussize="0,0"/>
              <v:stroke on="f" weight="0.5pt"/>
              <v:imagedata o:title=""/>
              <o:lock v:ext="edit" aspectratio="f"/>
              <v:textbox inset="0mm,0mm,0mm,0mm">
                <w:txbxContent>
                  <w:sdt>
                    <w:sdtPr>
                      <w:id w:val="-1994781956"/>
                    </w:sdtPr>
                    <w:sdtContent>
                      <w:p w14:paraId="65B67E4F">
                        <w:pPr>
                          <w:pStyle w:val="9"/>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lang w:val="zh-CN"/>
                          </w:rPr>
                          <w:t>-</w:t>
                        </w:r>
                        <w:r>
                          <w:rPr>
                            <w:rFonts w:asciiTheme="minorEastAsia" w:hAnsiTheme="minorEastAsia" w:eastAsiaTheme="minorEastAsia" w:cstheme="minorEastAsia"/>
                            <w:sz w:val="28"/>
                            <w:szCs w:val="28"/>
                          </w:rPr>
                          <w:t xml:space="preserve"> 14 -</w:t>
                        </w:r>
                        <w:r>
                          <w:rPr>
                            <w:rFonts w:hint="eastAsia" w:asciiTheme="minorEastAsia" w:hAnsiTheme="minorEastAsia" w:eastAsiaTheme="minorEastAsia" w:cstheme="minorEastAsia"/>
                            <w:sz w:val="28"/>
                            <w:szCs w:val="28"/>
                          </w:rPr>
                          <w:fldChar w:fldCharType="end"/>
                        </w:r>
                      </w:p>
                    </w:sdtContent>
                  </w:sdt>
                  <w:p w14:paraId="5AF71F3A"/>
                </w:txbxContent>
              </v:textbox>
            </v:shape>
          </w:pict>
        </mc:Fallback>
      </mc:AlternateContent>
    </w:r>
  </w:p>
  <w:p w14:paraId="3EBE0F9C">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9CA9A">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011C1F1C"/>
    <w:multiLevelType w:val="singleLevel"/>
    <w:tmpl w:val="011C1F1C"/>
    <w:lvl w:ilvl="0" w:tentative="0">
      <w:start w:val="2"/>
      <w:numFmt w:val="chineseCounting"/>
      <w:suff w:val="space"/>
      <w:lvlText w:val="第%1部分"/>
      <w:lvlJc w:val="left"/>
      <w:rPr>
        <w:rFonts w:hint="eastAsia"/>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F9E4251"/>
    <w:multiLevelType w:val="singleLevel"/>
    <w:tmpl w:val="3F9E4251"/>
    <w:lvl w:ilvl="0" w:tentative="0">
      <w:start w:val="1"/>
      <w:numFmt w:val="chineseCounting"/>
      <w:suff w:val="space"/>
      <w:lvlText w:val="第%1部分"/>
      <w:lvlJc w:val="left"/>
      <w:rPr>
        <w:rFonts w:hint="eastAsia"/>
      </w:rPr>
    </w:lvl>
  </w:abstractNum>
  <w:abstractNum w:abstractNumId="5">
    <w:nsid w:val="7AD995D6"/>
    <w:multiLevelType w:val="singleLevel"/>
    <w:tmpl w:val="7AD995D6"/>
    <w:lvl w:ilvl="0" w:tentative="0">
      <w:start w:val="2"/>
      <w:numFmt w:val="chineseCounting"/>
      <w:suff w:val="nothing"/>
      <w:lvlText w:val="（%1）"/>
      <w:lvlJc w:val="left"/>
      <w:rPr>
        <w:rFonts w:hint="eastAsia"/>
      </w:rPr>
    </w:lvl>
  </w:abstractNum>
  <w:num w:numId="1">
    <w:abstractNumId w:val="4"/>
  </w:num>
  <w:num w:numId="2">
    <w:abstractNumId w:val="2"/>
  </w:num>
  <w:num w:numId="3">
    <w:abstractNumId w:val="3"/>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9553E"/>
    <w:rsid w:val="002A31DE"/>
    <w:rsid w:val="002B2613"/>
    <w:rsid w:val="002D19B0"/>
    <w:rsid w:val="002D6D05"/>
    <w:rsid w:val="002F1818"/>
    <w:rsid w:val="002F567B"/>
    <w:rsid w:val="003216A9"/>
    <w:rsid w:val="00332788"/>
    <w:rsid w:val="00335A74"/>
    <w:rsid w:val="0036561B"/>
    <w:rsid w:val="0037013F"/>
    <w:rsid w:val="00380C92"/>
    <w:rsid w:val="003A3C1D"/>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C21F5"/>
    <w:rsid w:val="004E0A2D"/>
    <w:rsid w:val="004E206B"/>
    <w:rsid w:val="004E6DF7"/>
    <w:rsid w:val="004F0FBD"/>
    <w:rsid w:val="004F403E"/>
    <w:rsid w:val="00505A47"/>
    <w:rsid w:val="00512FDA"/>
    <w:rsid w:val="00520DA0"/>
    <w:rsid w:val="00531904"/>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4403"/>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49C3"/>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D7A96"/>
    <w:rsid w:val="00FF1E02"/>
    <w:rsid w:val="00FF30B4"/>
    <w:rsid w:val="015E7AA4"/>
    <w:rsid w:val="07321288"/>
    <w:rsid w:val="0A1654D8"/>
    <w:rsid w:val="0B3A401E"/>
    <w:rsid w:val="0BA80410"/>
    <w:rsid w:val="0C344102"/>
    <w:rsid w:val="0DFC42FA"/>
    <w:rsid w:val="10C055FF"/>
    <w:rsid w:val="120A2497"/>
    <w:rsid w:val="134955E8"/>
    <w:rsid w:val="16BB723D"/>
    <w:rsid w:val="1A811521"/>
    <w:rsid w:val="1CC1628E"/>
    <w:rsid w:val="1EBC6758"/>
    <w:rsid w:val="213A62E1"/>
    <w:rsid w:val="21CA4C0E"/>
    <w:rsid w:val="22D56A90"/>
    <w:rsid w:val="240371BF"/>
    <w:rsid w:val="24EE3A10"/>
    <w:rsid w:val="280007B8"/>
    <w:rsid w:val="29B97CAC"/>
    <w:rsid w:val="29FD04D3"/>
    <w:rsid w:val="319F7F4E"/>
    <w:rsid w:val="334D0CB7"/>
    <w:rsid w:val="36104618"/>
    <w:rsid w:val="3C25217D"/>
    <w:rsid w:val="3D6249D0"/>
    <w:rsid w:val="41F87898"/>
    <w:rsid w:val="430B6DD1"/>
    <w:rsid w:val="431D09D4"/>
    <w:rsid w:val="43894DCF"/>
    <w:rsid w:val="46840C0A"/>
    <w:rsid w:val="4ECE2238"/>
    <w:rsid w:val="4F687C0A"/>
    <w:rsid w:val="53590231"/>
    <w:rsid w:val="544116F4"/>
    <w:rsid w:val="584C0D5F"/>
    <w:rsid w:val="59641608"/>
    <w:rsid w:val="598E03DA"/>
    <w:rsid w:val="59EC42CD"/>
    <w:rsid w:val="5A275D60"/>
    <w:rsid w:val="5B59286D"/>
    <w:rsid w:val="5C1C7ECA"/>
    <w:rsid w:val="6660245D"/>
    <w:rsid w:val="67BB16B5"/>
    <w:rsid w:val="67FB37CB"/>
    <w:rsid w:val="69AE72E6"/>
    <w:rsid w:val="6A4C7016"/>
    <w:rsid w:val="6C3B083D"/>
    <w:rsid w:val="6D113D09"/>
    <w:rsid w:val="6D8B1C5A"/>
    <w:rsid w:val="6DE10F71"/>
    <w:rsid w:val="6EAF59EE"/>
    <w:rsid w:val="70C16617"/>
    <w:rsid w:val="7128098F"/>
    <w:rsid w:val="714743F6"/>
    <w:rsid w:val="72734D90"/>
    <w:rsid w:val="740E64BA"/>
    <w:rsid w:val="745E626F"/>
    <w:rsid w:val="74A51F5C"/>
    <w:rsid w:val="76BB0CFA"/>
    <w:rsid w:val="792D37AD"/>
    <w:rsid w:val="79FD25DD"/>
    <w:rsid w:val="7F9133B3"/>
    <w:rsid w:val="7FCF00A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2"/>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Plain Text"/>
    <w:basedOn w:val="1"/>
    <w:qFormat/>
    <w:uiPriority w:val="0"/>
    <w:rPr>
      <w:rFonts w:ascii="宋体" w:hAnsi="Courier New"/>
    </w:rPr>
  </w:style>
  <w:style w:type="paragraph" w:styleId="8">
    <w:name w:val="Balloon Text"/>
    <w:basedOn w:val="1"/>
    <w:link w:val="28"/>
    <w:semiHidden/>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字符"/>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字符"/>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字符"/>
    <w:link w:val="5"/>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字符"/>
    <w:basedOn w:val="14"/>
    <w:link w:val="2"/>
    <w:qFormat/>
    <w:uiPriority w:val="9"/>
    <w:rPr>
      <w:rFonts w:ascii="Times New Roman" w:hAnsi="Times New Roman"/>
      <w:b/>
      <w:bCs/>
      <w:kern w:val="44"/>
      <w:sz w:val="44"/>
      <w:szCs w:val="44"/>
    </w:rPr>
  </w:style>
  <w:style w:type="character" w:customStyle="1" w:styleId="26">
    <w:name w:val="标题 2 字符"/>
    <w:basedOn w:val="14"/>
    <w:link w:val="3"/>
    <w:qFormat/>
    <w:uiPriority w:val="9"/>
    <w:rPr>
      <w:rFonts w:asciiTheme="majorHAnsi" w:hAnsiTheme="majorHAnsi" w:eastAsiaTheme="majorEastAsia" w:cstheme="majorBidi"/>
      <w:b/>
      <w:bCs/>
      <w:kern w:val="2"/>
      <w:sz w:val="32"/>
      <w:szCs w:val="32"/>
    </w:rPr>
  </w:style>
  <w:style w:type="paragraph" w:customStyle="1" w:styleId="2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字符"/>
    <w:basedOn w:val="14"/>
    <w:link w:val="8"/>
    <w:semiHidden/>
    <w:qFormat/>
    <w:uiPriority w:val="99"/>
    <w:rPr>
      <w:rFonts w:ascii="Times New Roman" w:hAnsi="Times New Roman"/>
      <w:kern w:val="2"/>
      <w:sz w:val="18"/>
      <w:szCs w:val="18"/>
    </w:rPr>
  </w:style>
  <w:style w:type="character" w:customStyle="1" w:styleId="29">
    <w:name w:val="标题 3 字符"/>
    <w:basedOn w:val="14"/>
    <w:link w:val="4"/>
    <w:qFormat/>
    <w:uiPriority w:val="9"/>
    <w:rPr>
      <w:rFonts w:ascii="Times New Roman" w:hAnsi="Times New Roman"/>
      <w:b/>
      <w:bCs/>
      <w:kern w:val="2"/>
      <w:sz w:val="32"/>
      <w:szCs w:val="32"/>
    </w:rPr>
  </w:style>
  <w:style w:type="paragraph" w:customStyle="1" w:styleId="30">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font11"/>
    <w:basedOn w:val="14"/>
    <w:qFormat/>
    <w:uiPriority w:val="0"/>
    <w:rPr>
      <w:rFonts w:hint="eastAsia" w:ascii="宋体" w:hAnsi="宋体" w:eastAsia="宋体" w:cs="宋体"/>
      <w:color w:val="000000"/>
      <w:sz w:val="24"/>
      <w:szCs w:val="24"/>
      <w:u w:val="none"/>
    </w:rPr>
  </w:style>
  <w:style w:type="character" w:customStyle="1" w:styleId="32">
    <w:name w:val="font21"/>
    <w:basedOn w:val="14"/>
    <w:qFormat/>
    <w:uiPriority w:val="0"/>
    <w:rPr>
      <w:rFonts w:hint="default" w:ascii="Times New Roman" w:hAnsi="Times New Roman" w:cs="Times New Roman"/>
      <w:color w:val="000000"/>
      <w:sz w:val="24"/>
      <w:szCs w:val="24"/>
      <w:u w:val="none"/>
    </w:rPr>
  </w:style>
  <w:style w:type="character" w:customStyle="1" w:styleId="33">
    <w:name w:val="font31"/>
    <w:basedOn w:val="14"/>
    <w:qFormat/>
    <w:uiPriority w:val="0"/>
    <w:rPr>
      <w:rFonts w:hint="eastAsia" w:ascii="宋体" w:hAnsi="宋体" w:eastAsia="宋体" w:cs="宋体"/>
      <w:color w:val="000000"/>
      <w:sz w:val="24"/>
      <w:szCs w:val="24"/>
      <w:u w:val="none"/>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37">
    <w:name w:val="fontstyle01"/>
    <w:basedOn w:val="14"/>
    <w:qFormat/>
    <w:uiPriority w:val="0"/>
    <w:rPr>
      <w:rFonts w:hint="eastAsia" w:ascii="仿宋_GB2312" w:eastAsia="仿宋_GB2312"/>
      <w:color w:val="000000"/>
      <w:sz w:val="32"/>
      <w:szCs w:val="32"/>
    </w:rPr>
  </w:style>
  <w:style w:type="paragraph" w:customStyle="1" w:styleId="38">
    <w:name w:val="a"/>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CE42B3-DC8F-461E-9EA0-D3062A641371}">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50</Pages>
  <Words>7280</Words>
  <Characters>8358</Characters>
  <Lines>161</Lines>
  <Paragraphs>45</Paragraphs>
  <TotalTime>6</TotalTime>
  <ScaleCrop>false</ScaleCrop>
  <LinksUpToDate>false</LinksUpToDate>
  <CharactersWithSpaces>8477</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2023-06-13T01:58:00Z</dcterms:created>
  <dc:creator>曹颖</dc:creator>
  <cp:lastModifiedBy>许星</cp:lastModifiedBy>
  <cp:lastPrinted>2020-07-23T02:58:00Z</cp:lastPrinted>
  <dcterms:modified xsi:type="dcterms:W3CDTF">2026-10-21T02:19:26Z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DB991C9D8E69452BABDA0CF0E24BDFE0_13</vt:lpwstr>
  </property>
</Properties>
</file>