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C6C00">
      <w:pPr>
        <w:spacing w:line="600" w:lineRule="exact"/>
        <w:jc w:val="center"/>
        <w:outlineLvl w:val="0"/>
        <w:rPr>
          <w:rFonts w:ascii="方正小标宋简体" w:hAnsi="宋体" w:eastAsia="方正小标宋简体"/>
          <w:sz w:val="72"/>
          <w:szCs w:val="72"/>
        </w:rPr>
      </w:pPr>
      <w:bookmarkStart w:id="0" w:name="_Toc15377425"/>
      <w:bookmarkStart w:id="1" w:name="_Toc15378441"/>
      <w:bookmarkStart w:id="2" w:name="_Toc15377193"/>
      <w:bookmarkStart w:id="3" w:name="_Toc15396475"/>
      <w:bookmarkStart w:id="4" w:name="_Toc15396597"/>
      <w:bookmarkStart w:id="5" w:name="_Toc15306267"/>
    </w:p>
    <w:p w14:paraId="3D1F2CB9">
      <w:pPr>
        <w:spacing w:line="600" w:lineRule="exact"/>
        <w:jc w:val="center"/>
        <w:outlineLvl w:val="0"/>
        <w:rPr>
          <w:rFonts w:ascii="方正小标宋简体" w:hAnsi="宋体" w:eastAsia="方正小标宋简体"/>
          <w:sz w:val="72"/>
          <w:szCs w:val="72"/>
        </w:rPr>
      </w:pPr>
    </w:p>
    <w:p w14:paraId="784E7606">
      <w:pPr>
        <w:spacing w:line="600" w:lineRule="exact"/>
        <w:jc w:val="center"/>
        <w:outlineLvl w:val="0"/>
        <w:rPr>
          <w:rFonts w:ascii="方正小标宋简体" w:hAnsi="宋体" w:eastAsia="方正小标宋简体"/>
          <w:color w:val="auto"/>
          <w:sz w:val="72"/>
          <w:szCs w:val="72"/>
        </w:rPr>
      </w:pPr>
    </w:p>
    <w:p w14:paraId="300CEF6E">
      <w:pPr>
        <w:adjustRightInd w:val="0"/>
        <w:snapToGrid w:val="0"/>
        <w:spacing w:line="360" w:lineRule="auto"/>
        <w:jc w:val="center"/>
        <w:outlineLvl w:val="0"/>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2022年度</w:t>
      </w:r>
      <w:bookmarkEnd w:id="0"/>
      <w:bookmarkEnd w:id="1"/>
      <w:bookmarkEnd w:id="2"/>
      <w:bookmarkEnd w:id="3"/>
      <w:bookmarkEnd w:id="4"/>
    </w:p>
    <w:p w14:paraId="2D1B014C">
      <w:pPr>
        <w:adjustRightInd w:val="0"/>
        <w:snapToGrid w:val="0"/>
        <w:spacing w:line="360" w:lineRule="auto"/>
        <w:jc w:val="center"/>
        <w:outlineLvl w:val="0"/>
        <w:rPr>
          <w:rFonts w:hint="default" w:ascii="Times New Roman" w:hAnsi="Times New Roman" w:eastAsia="黑体" w:cs="Times New Roman"/>
          <w:color w:val="auto"/>
          <w:sz w:val="48"/>
          <w:szCs w:val="48"/>
        </w:rPr>
      </w:pPr>
      <w:bookmarkStart w:id="6" w:name="_Toc15377426"/>
      <w:bookmarkStart w:id="7" w:name="_Toc15377194"/>
      <w:bookmarkStart w:id="8" w:name="_Toc15396598"/>
      <w:bookmarkStart w:id="9" w:name="_Toc15396476"/>
      <w:bookmarkStart w:id="10" w:name="_Toc15378442"/>
      <w:r>
        <w:rPr>
          <w:rFonts w:hint="default" w:ascii="Times New Roman" w:hAnsi="Times New Roman" w:eastAsia="方正小标宋简体" w:cs="Times New Roman"/>
          <w:sz w:val="72"/>
          <w:szCs w:val="72"/>
          <w:lang w:val="en-US" w:eastAsia="zh-CN"/>
        </w:rPr>
        <w:t>攀枝花市西区</w:t>
      </w:r>
      <w:bookmarkEnd w:id="5"/>
      <w:bookmarkStart w:id="11" w:name="_Toc15306268"/>
      <w:r>
        <w:rPr>
          <w:rFonts w:hint="default" w:ascii="Times New Roman" w:hAnsi="Times New Roman" w:eastAsia="方正小标宋简体" w:cs="Times New Roman"/>
          <w:sz w:val="72"/>
          <w:szCs w:val="72"/>
          <w:lang w:val="en-US" w:eastAsia="zh-CN"/>
        </w:rPr>
        <w:t>玉泉街道办事处</w:t>
      </w:r>
      <w:r>
        <w:rPr>
          <w:rFonts w:hint="default" w:ascii="Times New Roman" w:hAnsi="Times New Roman" w:eastAsia="方正小标宋简体" w:cs="Times New Roman"/>
          <w:sz w:val="72"/>
          <w:szCs w:val="72"/>
        </w:rPr>
        <w:t>部门决算</w:t>
      </w:r>
      <w:bookmarkEnd w:id="6"/>
      <w:bookmarkEnd w:id="7"/>
      <w:bookmarkEnd w:id="8"/>
      <w:bookmarkEnd w:id="9"/>
      <w:bookmarkEnd w:id="10"/>
      <w:bookmarkEnd w:id="11"/>
      <w:r>
        <w:rPr>
          <w:rFonts w:hint="default" w:ascii="Times New Roman" w:hAnsi="Times New Roman" w:eastAsia="方正小标宋简体" w:cs="Times New Roman"/>
          <w:color w:val="auto"/>
          <w:sz w:val="36"/>
          <w:szCs w:val="36"/>
        </w:rPr>
        <w:br w:type="page"/>
      </w:r>
      <w:r>
        <w:rPr>
          <w:rFonts w:hint="default" w:ascii="Times New Roman" w:hAnsi="Times New Roman" w:eastAsia="黑体" w:cs="Times New Roman"/>
          <w:color w:val="auto"/>
          <w:sz w:val="48"/>
          <w:szCs w:val="48"/>
        </w:rPr>
        <w:t>目录</w:t>
      </w:r>
    </w:p>
    <w:p w14:paraId="7544546A">
      <w:pPr>
        <w:widowControl/>
        <w:jc w:val="center"/>
        <w:rPr>
          <w:rFonts w:hint="default" w:ascii="Times New Roman" w:hAnsi="Times New Roman" w:eastAsia="黑体" w:cs="Times New Roman"/>
          <w:color w:val="auto"/>
          <w:sz w:val="28"/>
          <w:szCs w:val="28"/>
        </w:rPr>
      </w:pPr>
    </w:p>
    <w:p w14:paraId="21F02826">
      <w:pPr>
        <w:pStyle w:val="13"/>
        <w:rPr>
          <w:rFonts w:hint="default" w:ascii="Times New Roman" w:hAnsi="Times New Roman" w:cs="Times New Roman"/>
          <w:color w:val="auto"/>
        </w:rPr>
      </w:pPr>
      <w:r>
        <w:rPr>
          <w:rFonts w:hint="default" w:ascii="Times New Roman" w:hAnsi="Times New Roman" w:cs="Times New Roman"/>
          <w:color w:val="auto"/>
        </w:rPr>
        <w:t>公开时间：2023年</w:t>
      </w:r>
      <w:r>
        <w:rPr>
          <w:rFonts w:hint="default" w:ascii="Times New Roman" w:hAnsi="Times New Roman" w:cs="Times New Roman"/>
          <w:color w:val="auto"/>
          <w:lang w:val="en-US" w:eastAsia="zh-CN"/>
        </w:rPr>
        <w:t>10</w:t>
      </w:r>
      <w:r>
        <w:rPr>
          <w:rFonts w:hint="default" w:ascii="Times New Roman" w:hAnsi="Times New Roman" w:cs="Times New Roman"/>
          <w:color w:val="auto"/>
        </w:rPr>
        <w:t>月</w:t>
      </w:r>
      <w:r>
        <w:rPr>
          <w:rFonts w:hint="eastAsia" w:ascii="Times New Roman" w:hAnsi="Times New Roman" w:cs="Times New Roman"/>
          <w:color w:val="auto"/>
          <w:lang w:val="en-US" w:eastAsia="zh-CN"/>
        </w:rPr>
        <w:t>27</w:t>
      </w:r>
      <w:r>
        <w:rPr>
          <w:rFonts w:hint="default" w:ascii="Times New Roman" w:hAnsi="Times New Roman" w:cs="Times New Roman"/>
          <w:color w:val="auto"/>
        </w:rPr>
        <w:t>日</w:t>
      </w:r>
    </w:p>
    <w:p w14:paraId="37698ACA">
      <w:pPr>
        <w:rPr>
          <w:rFonts w:hint="default" w:ascii="Times New Roman" w:hAnsi="Times New Roman" w:cs="Times New Roman"/>
          <w:color w:val="auto"/>
        </w:rPr>
      </w:pPr>
    </w:p>
    <w:sdt>
      <w:sdtPr>
        <w:rPr>
          <w:rFonts w:hint="default" w:ascii="Times New Roman" w:hAnsi="Times New Roman" w:eastAsia="宋体" w:cs="Times New Roman"/>
          <w:kern w:val="2"/>
          <w:sz w:val="21"/>
          <w:szCs w:val="24"/>
          <w:lang w:val="en-US" w:eastAsia="zh-CN" w:bidi="ar-SA"/>
        </w:rPr>
        <w:id w:val="147477200"/>
        <w:docPartObj>
          <w:docPartGallery w:val="Table of Contents"/>
          <w:docPartUnique/>
        </w:docPartObj>
      </w:sdtPr>
      <w:sdtEndPr>
        <w:rPr>
          <w:rFonts w:hint="default" w:ascii="Times New Roman" w:hAnsi="Times New Roman" w:eastAsia="宋体" w:cs="Times New Roman"/>
          <w:color w:val="auto"/>
          <w:kern w:val="2"/>
          <w:sz w:val="24"/>
          <w:szCs w:val="24"/>
          <w:lang w:val="en-US" w:eastAsia="zh-CN" w:bidi="ar-SA"/>
        </w:rPr>
      </w:sdtEndPr>
      <w:sdtContent>
        <w:p w14:paraId="1FF49EC8">
          <w:pPr>
            <w:spacing w:before="0" w:beforeLines="0" w:after="0" w:afterLines="0" w:line="240" w:lineRule="auto"/>
            <w:ind w:left="0" w:leftChars="0" w:right="0" w:rightChars="0" w:firstLine="0" w:firstLineChars="0"/>
            <w:jc w:val="center"/>
            <w:rPr>
              <w:rFonts w:hint="default" w:ascii="Times New Roman" w:hAnsi="Times New Roman" w:cs="Times New Roman"/>
            </w:rPr>
          </w:pPr>
          <w:bookmarkStart w:id="12" w:name="_Toc3869_WPSOffice_Type2"/>
        </w:p>
        <w:p w14:paraId="6BAA05DE">
          <w:pPr>
            <w:pStyle w:val="13"/>
            <w:adjustRightInd w:val="0"/>
            <w:snapToGrid w:val="0"/>
            <w:spacing w:before="0" w:line="440" w:lineRule="exact"/>
            <w:jc w:val="left"/>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_Toc1512_WPSOffice_Level1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52288"/>
              <w:placeholder>
                <w:docPart w:val="{c27b2192-bb5d-473c-b8e6-c4e903d1586d}"/>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第一部分 部门概况</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4</w:t>
          </w:r>
          <w:r>
            <w:rPr>
              <w:rFonts w:hint="default" w:ascii="Times New Roman" w:hAnsi="Times New Roman" w:cs="Times New Roman"/>
              <w:color w:val="auto"/>
              <w:sz w:val="24"/>
            </w:rPr>
            <w:fldChar w:fldCharType="end"/>
          </w:r>
        </w:p>
        <w:p w14:paraId="2A77909A">
          <w:pPr>
            <w:pStyle w:val="14"/>
            <w:adjustRightInd w:val="0"/>
            <w:snapToGrid w:val="0"/>
            <w:spacing w:line="440" w:lineRule="exact"/>
            <w:jc w:val="left"/>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_Toc3869_WPSOffice_Level2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52586"/>
              <w:placeholder>
                <w:docPart w:val="{d12ccf72-7fe1-4ac5-9f32-333cfe753ecc}"/>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一、部门职责</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4</w:t>
          </w:r>
          <w:r>
            <w:rPr>
              <w:rFonts w:hint="default" w:ascii="Times New Roman" w:hAnsi="Times New Roman" w:cs="Times New Roman"/>
              <w:color w:val="auto"/>
              <w:sz w:val="24"/>
            </w:rPr>
            <w:fldChar w:fldCharType="end"/>
          </w:r>
        </w:p>
        <w:p w14:paraId="2B873C8D">
          <w:pPr>
            <w:pStyle w:val="14"/>
            <w:adjustRightInd w:val="0"/>
            <w:snapToGrid w:val="0"/>
            <w:spacing w:line="440" w:lineRule="exact"/>
            <w:jc w:val="left"/>
            <w:rPr>
              <w:rFonts w:hint="default" w:ascii="Times New Roman" w:hAnsi="Times New Roman" w:cs="Times New Roma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_Toc17935_WPSOffice_Level2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7754"/>
              <w:placeholder>
                <w:docPart w:val="{e5f669ff-e908-4cb3-8df8-2b3f71169710}"/>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二、机构设置</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5</w:t>
          </w:r>
          <w:r>
            <w:rPr>
              <w:rFonts w:hint="default" w:ascii="Times New Roman" w:hAnsi="Times New Roman" w:cs="Times New Roman"/>
              <w:color w:val="auto"/>
              <w:sz w:val="24"/>
            </w:rPr>
            <w:fldChar w:fldCharType="end"/>
          </w:r>
        </w:p>
        <w:p w14:paraId="503BC188">
          <w:pPr>
            <w:pStyle w:val="13"/>
            <w:adjustRightInd w:val="0"/>
            <w:snapToGrid w:val="0"/>
            <w:spacing w:before="0" w:line="440" w:lineRule="exact"/>
            <w:jc w:val="left"/>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_Toc3869_WPSOffice_Level1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65619"/>
              <w:placeholder>
                <w:docPart w:val="{400f78db-c55b-4b17-a220-bd341223e6f4}"/>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第二部分 2022年度部门决算情况说明</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5</w:t>
          </w:r>
          <w:r>
            <w:rPr>
              <w:rFonts w:hint="default" w:ascii="Times New Roman" w:hAnsi="Times New Roman" w:cs="Times New Roman"/>
              <w:color w:val="auto"/>
              <w:sz w:val="24"/>
            </w:rPr>
            <w:fldChar w:fldCharType="end"/>
          </w:r>
        </w:p>
        <w:p w14:paraId="1C978A62">
          <w:pPr>
            <w:pStyle w:val="14"/>
            <w:adjustRightInd w:val="0"/>
            <w:snapToGrid w:val="0"/>
            <w:spacing w:line="440" w:lineRule="exact"/>
            <w:jc w:val="left"/>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_Toc11336_WPSOffice_Level2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0589"/>
              <w:placeholder>
                <w:docPart w:val="{4b8edd0f-ef39-4b34-adc7-722e74881978}"/>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一、收入支出决算总体情况说明</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5</w:t>
          </w:r>
          <w:r>
            <w:rPr>
              <w:rFonts w:hint="default" w:ascii="Times New Roman" w:hAnsi="Times New Roman" w:cs="Times New Roman"/>
              <w:color w:val="auto"/>
              <w:sz w:val="24"/>
            </w:rPr>
            <w:fldChar w:fldCharType="end"/>
          </w:r>
        </w:p>
        <w:p w14:paraId="14CB5FF0">
          <w:pPr>
            <w:pStyle w:val="14"/>
            <w:adjustRightInd w:val="0"/>
            <w:snapToGrid w:val="0"/>
            <w:spacing w:line="440" w:lineRule="exact"/>
            <w:jc w:val="left"/>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_Toc23588_WPSOffice_Level2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83566"/>
              <w:placeholder>
                <w:docPart w:val="{b586fed7-8e83-401e-ae95-25fae50901e2}"/>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二、收入决算情况说明</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p>
        <w:p w14:paraId="2F4C3759">
          <w:pPr>
            <w:pStyle w:val="14"/>
            <w:adjustRightInd w:val="0"/>
            <w:snapToGrid w:val="0"/>
            <w:spacing w:line="440" w:lineRule="exact"/>
            <w:jc w:val="left"/>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_Toc23016_WPSOffice_Level2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8303"/>
              <w:placeholder>
                <w:docPart w:val="{3df84155-56d9-4522-b43e-25514b1e2727}"/>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三、支出决算情况说明</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7</w:t>
          </w:r>
          <w:r>
            <w:rPr>
              <w:rFonts w:hint="default" w:ascii="Times New Roman" w:hAnsi="Times New Roman" w:cs="Times New Roman"/>
              <w:color w:val="auto"/>
              <w:sz w:val="24"/>
            </w:rPr>
            <w:fldChar w:fldCharType="end"/>
          </w:r>
        </w:p>
        <w:p w14:paraId="60099D73">
          <w:pPr>
            <w:pStyle w:val="14"/>
            <w:adjustRightInd w:val="0"/>
            <w:snapToGrid w:val="0"/>
            <w:spacing w:line="440" w:lineRule="exact"/>
            <w:jc w:val="left"/>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_Toc22983_WPSOffice_Level2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83470"/>
              <w:placeholder>
                <w:docPart w:val="{8645195f-3673-4600-97b1-8faed4efddbd}"/>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四、财政拨款收入支出决算总体情况说明</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8</w:t>
          </w:r>
          <w:r>
            <w:rPr>
              <w:rFonts w:hint="default" w:ascii="Times New Roman" w:hAnsi="Times New Roman" w:cs="Times New Roman"/>
              <w:color w:val="auto"/>
              <w:sz w:val="24"/>
            </w:rPr>
            <w:fldChar w:fldCharType="end"/>
          </w:r>
        </w:p>
        <w:p w14:paraId="41B53BC9">
          <w:pPr>
            <w:pStyle w:val="14"/>
            <w:adjustRightInd w:val="0"/>
            <w:snapToGrid w:val="0"/>
            <w:spacing w:line="440" w:lineRule="exact"/>
            <w:jc w:val="left"/>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_Toc19220_WPSOffice_Level2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4446"/>
              <w:placeholder>
                <w:docPart w:val="{ff118fc5-034c-4512-9a55-d776ba6df56a}"/>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五、一般公共预算财政拨款支出决算情况说明</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9</w:t>
          </w:r>
          <w:r>
            <w:rPr>
              <w:rFonts w:hint="default" w:ascii="Times New Roman" w:hAnsi="Times New Roman" w:cs="Times New Roman"/>
              <w:color w:val="auto"/>
              <w:sz w:val="24"/>
            </w:rPr>
            <w:fldChar w:fldCharType="end"/>
          </w:r>
        </w:p>
        <w:p w14:paraId="32A3E4A9">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_Toc20254_WPSOffice_Level2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6343"/>
              <w:placeholder>
                <w:docPart w:val="{6a0c6649-82b6-4297-abf5-656fe322f4c7}"/>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六、一般公共预算财政拨款基本支出决算情况说明</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1</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4</w:t>
          </w:r>
        </w:p>
        <w:p w14:paraId="6FFE092A">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_Toc31522_WPSOffice_Level2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81491"/>
              <w:placeholder>
                <w:docPart w:val="{389a9e32-8b99-4b20-93ac-63714f2bb15b}"/>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七、财政拨款“三公”经费支出决算情况说明</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1</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5</w:t>
          </w:r>
        </w:p>
        <w:p w14:paraId="4C9A9141">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_Toc20191_WPSOffice_Level2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80138"/>
              <w:placeholder>
                <w:docPart w:val="{86342076-1307-4d34-af44-6f4c72b4b134}"/>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八、政府性基金预算支出决算情况说明</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1</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7</w:t>
          </w:r>
        </w:p>
        <w:p w14:paraId="202EEC92">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_Toc3003_WPSOffice_Level2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82318"/>
              <w:placeholder>
                <w:docPart w:val="{5b4920bd-098e-4d36-b5ff-93ceed01eadf}"/>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九、国有资本经营预算支出决算情况说明</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1</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7</w:t>
          </w:r>
        </w:p>
        <w:p w14:paraId="66C1C6F6">
          <w:pPr>
            <w:pStyle w:val="13"/>
            <w:adjustRightInd w:val="0"/>
            <w:snapToGrid w:val="0"/>
            <w:spacing w:before="0" w:line="440" w:lineRule="exact"/>
            <w:jc w:val="left"/>
            <w:rPr>
              <w:rFonts w:hint="default" w:ascii="Times New Roman" w:hAnsi="Times New Roman" w:eastAsia="仿宋"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_Toc17935_WPSOffice_Level1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4904"/>
              <w:placeholder>
                <w:docPart w:val="{5dd11e48-c4ea-425f-818c-3dce496ee79d}"/>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第三部分 名词解释</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1</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9</w:t>
          </w:r>
        </w:p>
        <w:p w14:paraId="29F2EB9E">
          <w:pPr>
            <w:pStyle w:val="13"/>
            <w:adjustRightInd w:val="0"/>
            <w:snapToGrid w:val="0"/>
            <w:spacing w:before="0" w:line="440" w:lineRule="exact"/>
            <w:jc w:val="left"/>
            <w:rPr>
              <w:rFonts w:hint="default" w:ascii="Times New Roman" w:hAnsi="Times New Roman" w:eastAsia="仿宋"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_Toc11336_WPSOffice_Level1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0151"/>
              <w:placeholder>
                <w:docPart w:val="{3f9c28ed-615a-4a05-8cb9-04516ab8dc09}"/>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第四部分 附件</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4</w:t>
          </w:r>
        </w:p>
        <w:p w14:paraId="296514A7">
          <w:pPr>
            <w:pStyle w:val="13"/>
            <w:adjustRightInd w:val="0"/>
            <w:snapToGrid w:val="0"/>
            <w:spacing w:before="0" w:line="440" w:lineRule="exact"/>
            <w:jc w:val="left"/>
            <w:rPr>
              <w:rFonts w:hint="default" w:ascii="Times New Roman" w:hAnsi="Times New Roman" w:eastAsia="仿宋"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_Toc23588_WPSOffice_Level1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4024"/>
              <w:placeholder>
                <w:docPart w:val="{ef16634b-7290-47e1-9d1f-d042fb6ee117}"/>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第五部分 附表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6674485F">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_Toc17181_WPSOffice_Level2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56397"/>
              <w:placeholder>
                <w:docPart w:val="{fe0addcf-e9b4-492d-aadc-8e86d5351412}"/>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一、收入支出决算总表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21035471">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_Toc28663_WPSOffice_Level2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58581"/>
              <w:placeholder>
                <w:docPart w:val="{fe1dedfe-25ca-4d94-84d2-b8f0f6139ff8}"/>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二、收入决算表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0FB7DDF2">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_Toc7222_WPSOffice_Level2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66211"/>
              <w:placeholder>
                <w:docPart w:val="{365df557-3689-4c17-bf96-1c8fd44523b3}"/>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三、支出决算表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59985CD5">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_Toc1351_WPSOffice_Level2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0425"/>
              <w:placeholder>
                <w:docPart w:val="{a7a08169-fe70-49ad-b15f-60527dd03bbb}"/>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四、财政拨款收入支出决算总表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30C72926">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_Toc11805_WPSOffice_Level2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8818"/>
              <w:placeholder>
                <w:docPart w:val="{412f10e4-f73b-422f-b1f6-51f4f4e8ed04}"/>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五、财政拨款支出决算明细表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1F617D8E">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_Toc16172_WPSOffice_Level2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60312"/>
              <w:placeholder>
                <w:docPart w:val="{914fac4d-7870-4b94-8140-6ab7f3af23f7}"/>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六、一般公共预算财政拨款支出决算表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350EFC82">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_Toc572_WPSOffice_Level2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66712"/>
              <w:placeholder>
                <w:docPart w:val="{c6db944a-fbcb-4555-97c7-7d01058ee970}"/>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七、一般公共预算财政拨款支出决算明细表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68</w:t>
          </w:r>
          <w:r>
            <w:rPr>
              <w:rFonts w:hint="default" w:ascii="Times New Roman" w:hAnsi="Times New Roman" w:cs="Times New Roman"/>
              <w:color w:val="auto"/>
              <w:sz w:val="24"/>
            </w:rPr>
            <w:fldChar w:fldCharType="end"/>
          </w:r>
        </w:p>
        <w:p w14:paraId="595B41FE">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_Toc19336_WPSOffice_Level2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69186"/>
              <w:placeholder>
                <w:docPart w:val="{f71a75f3-25e7-4250-a2a1-3910db15c32c}"/>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八、一般公共预算财政拨款基本支出决算表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3B0CAE62">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_Toc6300_WPSOffice_Level2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62487"/>
              <w:placeholder>
                <w:docPart w:val="{21685eee-9bc6-4b4e-87db-fb7171eda432}"/>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九、一般公共预算财政拨款项目支出决算表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30CB686B">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_Toc21801_WPSOffice_Level2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63409"/>
              <w:placeholder>
                <w:docPart w:val="{7964b60c-2152-4305-bfee-ff1c4e82a77b}"/>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十、政府性基金预算财政拨款收入支出决算表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5C1D00AC">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_Toc6167_WPSOffice_Level2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54502"/>
              <w:placeholder>
                <w:docPart w:val="{d6744726-682f-4766-bf65-1fd36f4d5ebb}"/>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十一、国有资本经营预算财政拨款收入支出决算表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0D71BC63">
          <w:pPr>
            <w:pStyle w:val="14"/>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_Toc31159_WPSOffice_Level2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77645"/>
              <w:placeholder>
                <w:docPart w:val="{51b6998f-e352-48d1-8ff1-5792c48aa0bb}"/>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十二、国有资本经营预算财政拨款支出决算表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r>
            <w:rPr>
              <w:rFonts w:hint="default" w:ascii="Times New Roman" w:hAnsi="Times New Roman" w:cs="Times New Roman"/>
              <w:color w:val="auto"/>
              <w:sz w:val="24"/>
              <w:lang w:val="en-US" w:eastAsia="zh-CN"/>
            </w:rPr>
            <w:t>8</w:t>
          </w:r>
        </w:p>
        <w:p w14:paraId="7B81001D">
          <w:pPr>
            <w:pStyle w:val="14"/>
            <w:adjustRightInd w:val="0"/>
            <w:snapToGrid w:val="0"/>
            <w:spacing w:line="440" w:lineRule="exact"/>
            <w:jc w:val="left"/>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\l _Toc22793_WPSOffice_Level2 </w:instrText>
          </w:r>
          <w:r>
            <w:rPr>
              <w:rFonts w:hint="default" w:ascii="Times New Roman" w:hAnsi="Times New Roman" w:cs="Times New Roman"/>
              <w:color w:val="auto"/>
              <w:sz w:val="24"/>
            </w:rPr>
            <w:fldChar w:fldCharType="separate"/>
          </w:r>
          <w:sdt>
            <w:sdtPr>
              <w:rPr>
                <w:rFonts w:hint="default" w:ascii="Times New Roman" w:hAnsi="Times New Roman" w:cs="Times New Roman"/>
                <w:color w:val="auto"/>
                <w:sz w:val="24"/>
                <w:lang w:val="en-US" w:eastAsia="zh-CN"/>
              </w:rPr>
              <w:id w:val="147468567"/>
              <w:placeholder>
                <w:docPart w:val="{c6892e34-3310-42cb-b64a-6d67f329f7a2}"/>
              </w:placeholder>
            </w:sdtPr>
            <w:sdtEndPr>
              <w:rPr>
                <w:rFonts w:hint="default" w:ascii="Times New Roman" w:hAnsi="Times New Roman" w:cs="Times New Roman"/>
                <w:color w:val="auto"/>
                <w:sz w:val="24"/>
                <w:lang w:val="en-US" w:eastAsia="zh-CN"/>
              </w:rPr>
            </w:sdtEndPr>
            <w:sdtContent>
              <w:r>
                <w:rPr>
                  <w:rFonts w:hint="default" w:ascii="Times New Roman" w:hAnsi="Times New Roman" w:cs="Times New Roman"/>
                  <w:color w:val="auto"/>
                  <w:sz w:val="24"/>
                </w:rPr>
                <w:t>十三、财政拨款“三公”经费支出决算表</w:t>
              </w:r>
            </w:sdtContent>
          </w:sdt>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6</w:t>
          </w:r>
          <w:r>
            <w:rPr>
              <w:rFonts w:hint="default" w:ascii="Times New Roman" w:hAnsi="Times New Roman" w:cs="Times New Roman"/>
              <w:color w:val="auto"/>
              <w:sz w:val="24"/>
            </w:rPr>
            <w:fldChar w:fldCharType="end"/>
          </w:r>
          <w:bookmarkEnd w:id="12"/>
          <w:r>
            <w:rPr>
              <w:rFonts w:hint="default" w:ascii="Times New Roman" w:hAnsi="Times New Roman" w:cs="Times New Roman"/>
              <w:color w:val="auto"/>
              <w:sz w:val="24"/>
              <w:lang w:val="en-US" w:eastAsia="zh-CN"/>
            </w:rPr>
            <w:t>8</w:t>
          </w:r>
        </w:p>
      </w:sdtContent>
    </w:sdt>
    <w:p w14:paraId="2F0D6C53">
      <w:pPr>
        <w:pStyle w:val="2"/>
        <w:rPr>
          <w:rFonts w:hint="default" w:ascii="Times New Roman" w:hAnsi="Times New Roman" w:cs="Times New Roman"/>
        </w:rPr>
      </w:pPr>
    </w:p>
    <w:p w14:paraId="0870073C">
      <w:pPr>
        <w:pStyle w:val="3"/>
        <w:jc w:val="center"/>
        <w:rPr>
          <w:rFonts w:hint="default" w:ascii="Times New Roman" w:hAnsi="Times New Roman" w:eastAsia="黑体" w:cs="Times New Roman"/>
          <w:b w:val="0"/>
          <w:color w:val="auto"/>
        </w:rPr>
      </w:pPr>
      <w:r>
        <w:rPr>
          <w:rFonts w:hint="default" w:ascii="Times New Roman" w:hAnsi="Times New Roman" w:eastAsia="黑体" w:cs="Times New Roman"/>
          <w:b w:val="0"/>
          <w:color w:val="auto"/>
        </w:rPr>
        <w:br w:type="page"/>
      </w:r>
    </w:p>
    <w:p w14:paraId="74C1064B">
      <w:pPr>
        <w:pStyle w:val="3"/>
        <w:jc w:val="center"/>
        <w:rPr>
          <w:rStyle w:val="31"/>
          <w:rFonts w:hint="default" w:ascii="Times New Roman" w:hAnsi="Times New Roman" w:eastAsia="黑体" w:cs="Times New Roman"/>
          <w:b/>
          <w:bCs w:val="0"/>
          <w:color w:val="auto"/>
        </w:rPr>
      </w:pPr>
      <w:bookmarkStart w:id="13" w:name="_Toc1512_WPSOffice_Level1"/>
      <w:r>
        <w:rPr>
          <w:rFonts w:hint="default" w:ascii="Times New Roman" w:hAnsi="Times New Roman" w:eastAsia="黑体" w:cs="Times New Roman"/>
          <w:b w:val="0"/>
          <w:color w:val="auto"/>
        </w:rPr>
        <w:t xml:space="preserve">第一部分 </w:t>
      </w:r>
      <w:r>
        <w:rPr>
          <w:rStyle w:val="31"/>
          <w:rFonts w:hint="default" w:ascii="Times New Roman" w:hAnsi="Times New Roman" w:eastAsia="黑体" w:cs="Times New Roman"/>
          <w:b w:val="0"/>
          <w:bCs w:val="0"/>
          <w:color w:val="auto"/>
        </w:rPr>
        <w:t>部门概况</w:t>
      </w:r>
      <w:bookmarkEnd w:id="13"/>
    </w:p>
    <w:p w14:paraId="4910DFA4">
      <w:pPr>
        <w:widowControl/>
        <w:jc w:val="left"/>
        <w:rPr>
          <w:rFonts w:hint="default" w:ascii="Times New Roman" w:hAnsi="Times New Roman" w:eastAsia="黑体" w:cs="Times New Roman"/>
          <w:color w:val="auto"/>
          <w:sz w:val="32"/>
          <w:szCs w:val="32"/>
        </w:rPr>
      </w:pPr>
    </w:p>
    <w:p w14:paraId="2552200D">
      <w:pPr>
        <w:pStyle w:val="4"/>
        <w:rPr>
          <w:rStyle w:val="32"/>
          <w:rFonts w:hint="default" w:ascii="Times New Roman" w:hAnsi="Times New Roman" w:eastAsia="黑体" w:cs="Times New Roman"/>
          <w:b w:val="0"/>
          <w:bCs w:val="0"/>
          <w:color w:val="auto"/>
        </w:rPr>
      </w:pPr>
      <w:bookmarkStart w:id="14" w:name="_Toc3869_WPSOffice_Level2"/>
      <w:r>
        <w:rPr>
          <w:rStyle w:val="32"/>
          <w:rFonts w:hint="default" w:ascii="Times New Roman" w:hAnsi="Times New Roman" w:eastAsia="黑体" w:cs="Times New Roman"/>
          <w:b w:val="0"/>
          <w:bCs w:val="0"/>
          <w:color w:val="auto"/>
          <w:lang w:eastAsia="zh-CN"/>
        </w:rPr>
        <w:t>一、</w:t>
      </w:r>
      <w:r>
        <w:rPr>
          <w:rStyle w:val="32"/>
          <w:rFonts w:hint="default" w:ascii="Times New Roman" w:hAnsi="Times New Roman" w:eastAsia="黑体" w:cs="Times New Roman"/>
          <w:b w:val="0"/>
          <w:bCs w:val="0"/>
          <w:color w:val="auto"/>
        </w:rPr>
        <w:t>部门职责</w:t>
      </w:r>
      <w:bookmarkEnd w:id="14"/>
    </w:p>
    <w:p w14:paraId="0ECBBF84">
      <w:pPr>
        <w:snapToGrid w:val="0"/>
        <w:spacing w:line="56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1.贯彻执行党和国家的各项法律、法规、规章以及上级政府的决议、决定，依法管理基层公共事务。</w:t>
      </w:r>
    </w:p>
    <w:p w14:paraId="61A8324D">
      <w:pPr>
        <w:snapToGrid w:val="0"/>
        <w:spacing w:line="56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负责辖区经济、文化、教育体育、科技、卫生健康、民政、社会保障、民族宗教、住房保障、司法、退役军人、统计等公共管理和公共服务工作，积极构建公共服务均等化体系，促进社会事业发展。推进“最多跑一次”改革，建立健全群众办事一次办结机制，优化便民服务质量。</w:t>
      </w:r>
    </w:p>
    <w:p w14:paraId="61920DF4">
      <w:pPr>
        <w:snapToGrid w:val="0"/>
        <w:spacing w:line="56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3.负责辖区环境保护、秩序治理、物业管理、城乡环境综合治理等城市管理工作，开展爱国卫生、环境卫生监督检查，营造良好发展环境。整合基层一线执法力量，充分发挥属地管理优势，强化对辖区范围内执法力量的统一指挥和统筹协调。</w:t>
      </w:r>
    </w:p>
    <w:p w14:paraId="2D0940F6">
      <w:pPr>
        <w:snapToGrid w:val="0"/>
        <w:spacing w:line="56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4.负责辖区平安建设、社会治安综合治理工作，处理群众来信来访，反映社情民意，建立社会矛盾纠纷排查调处机制，维护社会和谐稳定。</w:t>
      </w:r>
    </w:p>
    <w:p w14:paraId="12468808">
      <w:pPr>
        <w:snapToGrid w:val="0"/>
        <w:spacing w:line="560" w:lineRule="exact"/>
        <w:ind w:firstLine="320" w:firstLineChars="100"/>
        <w:rPr>
          <w:rFonts w:hint="default" w:ascii="Times New Roman" w:hAnsi="Times New Roman" w:eastAsia="仿宋_GB2312" w:cs="Times New Roman"/>
          <w:color w:val="auto"/>
        </w:rPr>
      </w:pPr>
      <w:r>
        <w:rPr>
          <w:rFonts w:hint="default" w:ascii="Times New Roman" w:hAnsi="Times New Roman" w:eastAsia="仿宋" w:cs="Times New Roman"/>
          <w:color w:val="auto"/>
          <w:sz w:val="32"/>
          <w:szCs w:val="32"/>
        </w:rPr>
        <w:t xml:space="preserve">  5.负责辖区公共安全，协助做好安全生产、防汛、防火、防灾减灾等应急管理工作，构建公共安全防控体系，建立应对突发紧急事件的处理预案。</w:t>
      </w:r>
    </w:p>
    <w:p w14:paraId="2DF574D5">
      <w:pPr>
        <w:snapToGrid w:val="0"/>
        <w:spacing w:line="56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6.领导社区居委会建设，指导社区居委会工作，培育、发展社区社会组织，组织社区居民参与社区建设和管理，健全完善自治、法治、德治相结合的城市基层治理体系。</w:t>
      </w:r>
    </w:p>
    <w:p w14:paraId="770C3C44">
      <w:pPr>
        <w:snapToGrid w:val="0"/>
        <w:spacing w:line="56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7.牵头协调职能部门及其派出机构，共同处理地区性、综合性社会管理事务。动员辖区各类单位、社会组织和社区居民等社会力量参与基层社会治理，引导辖区单位履行社会责任,统筹辖区资源，实现共建共治共享。</w:t>
      </w:r>
    </w:p>
    <w:p w14:paraId="1A1D7310">
      <w:pPr>
        <w:snapToGrid w:val="0"/>
        <w:spacing w:line="560" w:lineRule="exact"/>
        <w:ind w:firstLine="640" w:firstLineChars="200"/>
        <w:rPr>
          <w:rFonts w:hint="default" w:ascii="Times New Roman" w:hAnsi="Times New Roman" w:cs="Times New Roman"/>
          <w:color w:val="auto"/>
        </w:rPr>
      </w:pPr>
      <w:r>
        <w:rPr>
          <w:rFonts w:hint="default" w:ascii="Times New Roman" w:hAnsi="Times New Roman" w:eastAsia="仿宋" w:cs="Times New Roman"/>
          <w:color w:val="auto"/>
          <w:sz w:val="32"/>
          <w:szCs w:val="32"/>
        </w:rPr>
        <w:t>8.完成区委、区政府交办的其他工作。</w:t>
      </w:r>
    </w:p>
    <w:p w14:paraId="6C90DDFF">
      <w:pPr>
        <w:rPr>
          <w:rFonts w:hint="default" w:ascii="Times New Roman" w:hAnsi="Times New Roman" w:cs="Times New Roman"/>
          <w:color w:val="auto"/>
        </w:rPr>
      </w:pPr>
    </w:p>
    <w:p w14:paraId="7910FCF3">
      <w:pPr>
        <w:pStyle w:val="4"/>
        <w:rPr>
          <w:rStyle w:val="32"/>
          <w:rFonts w:hint="default" w:ascii="Times New Roman" w:hAnsi="Times New Roman" w:cs="Times New Roman"/>
          <w:b w:val="0"/>
          <w:bCs w:val="0"/>
          <w:color w:val="auto"/>
        </w:rPr>
      </w:pPr>
      <w:bookmarkStart w:id="15" w:name="_Toc17935_WPSOffice_Level2"/>
      <w:bookmarkStart w:id="16" w:name="_Toc15396601"/>
      <w:bookmarkStart w:id="17" w:name="_Toc15377200"/>
      <w:r>
        <w:rPr>
          <w:rFonts w:hint="default" w:ascii="Times New Roman" w:hAnsi="Times New Roman" w:eastAsia="黑体" w:cs="Times New Roman"/>
          <w:b w:val="0"/>
          <w:color w:val="auto"/>
        </w:rPr>
        <w:t>二、机</w:t>
      </w:r>
      <w:r>
        <w:rPr>
          <w:rStyle w:val="32"/>
          <w:rFonts w:hint="default" w:ascii="Times New Roman" w:hAnsi="Times New Roman" w:eastAsia="黑体" w:cs="Times New Roman"/>
          <w:b w:val="0"/>
          <w:bCs w:val="0"/>
          <w:color w:val="auto"/>
        </w:rPr>
        <w:t>构设置</w:t>
      </w:r>
      <w:bookmarkEnd w:id="15"/>
      <w:bookmarkEnd w:id="16"/>
      <w:bookmarkEnd w:id="17"/>
    </w:p>
    <w:p w14:paraId="668D9B30">
      <w:pPr>
        <w:pStyle w:val="2"/>
        <w:adjustRightInd w:val="0"/>
        <w:snapToGrid w:val="0"/>
        <w:spacing w:before="93" w:line="600" w:lineRule="exact"/>
        <w:ind w:firstLine="672" w:firstLineChars="21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西区玉泉街道办事处内设股室5个，参照公务员法管理的事业单位0个，下属其他事业单位3个，其中包括：攀枝花市西区玉泉街道办事处便民服务中心、攀枝花市西区玉泉街道办事处社会治理事务中心、攀枝花市西区玉泉街道办事处党群服务中心</w:t>
      </w:r>
      <w:r>
        <w:rPr>
          <w:rFonts w:hint="default" w:ascii="Times New Roman" w:hAnsi="Times New Roman" w:eastAsia="仿宋_GB2312" w:cs="Times New Roman"/>
          <w:color w:val="auto"/>
          <w:sz w:val="32"/>
          <w:szCs w:val="32"/>
          <w:lang w:eastAsia="zh-CN"/>
        </w:rPr>
        <w:t>，均为未独立核算事业单位。</w:t>
      </w:r>
    </w:p>
    <w:p w14:paraId="177E7F1B">
      <w:pPr>
        <w:pStyle w:val="2"/>
        <w:adjustRightInd w:val="0"/>
        <w:snapToGrid w:val="0"/>
        <w:spacing w:before="93" w:line="600" w:lineRule="exact"/>
        <w:ind w:firstLine="672" w:firstLineChars="21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纳入攀枝花市西区玉泉街道办事处2022年度部门决算编制范围的二级预算单位包括：</w:t>
      </w:r>
      <w:r>
        <w:rPr>
          <w:rFonts w:hint="default" w:ascii="Times New Roman" w:hAnsi="Times New Roman" w:eastAsia="仿宋_GB2312" w:cs="Times New Roman"/>
          <w:color w:val="auto"/>
          <w:sz w:val="32"/>
          <w:szCs w:val="32"/>
          <w:lang w:val="en-US" w:eastAsia="zh-CN"/>
        </w:rPr>
        <w:t>无。</w:t>
      </w:r>
    </w:p>
    <w:p w14:paraId="44131563">
      <w:pPr>
        <w:pStyle w:val="3"/>
        <w:ind w:right="440"/>
        <w:jc w:val="center"/>
        <w:rPr>
          <w:rStyle w:val="31"/>
          <w:rFonts w:hint="default" w:ascii="Times New Roman" w:hAnsi="Times New Roman" w:eastAsia="黑体" w:cs="Times New Roman"/>
          <w:b w:val="0"/>
          <w:bCs/>
          <w:color w:val="auto"/>
        </w:rPr>
      </w:pPr>
      <w:bookmarkStart w:id="18" w:name="_Toc3869_WPSOffice_Level1"/>
      <w:bookmarkStart w:id="19" w:name="_Toc15377204"/>
      <w:bookmarkStart w:id="20" w:name="_Toc15396602"/>
      <w:r>
        <w:rPr>
          <w:rFonts w:hint="default" w:ascii="Times New Roman" w:hAnsi="Times New Roman" w:eastAsia="黑体" w:cs="Times New Roman"/>
          <w:b w:val="0"/>
          <w:color w:val="auto"/>
        </w:rPr>
        <w:t>第二部分 2022年度</w:t>
      </w:r>
      <w:r>
        <w:rPr>
          <w:rStyle w:val="31"/>
          <w:rFonts w:hint="default" w:ascii="Times New Roman" w:hAnsi="Times New Roman" w:eastAsia="黑体" w:cs="Times New Roman"/>
          <w:b w:val="0"/>
          <w:bCs/>
          <w:color w:val="auto"/>
        </w:rPr>
        <w:t>部门决算情况说明</w:t>
      </w:r>
      <w:bookmarkEnd w:id="18"/>
      <w:bookmarkEnd w:id="19"/>
      <w:bookmarkEnd w:id="20"/>
    </w:p>
    <w:p w14:paraId="082F3E16">
      <w:pPr>
        <w:rPr>
          <w:rFonts w:hint="default" w:ascii="Times New Roman" w:hAnsi="Times New Roman" w:cs="Times New Roman"/>
          <w:color w:val="auto"/>
        </w:rPr>
      </w:pPr>
    </w:p>
    <w:p w14:paraId="0276E673">
      <w:pPr>
        <w:pStyle w:val="30"/>
        <w:numPr>
          <w:ilvl w:val="0"/>
          <w:numId w:val="0"/>
        </w:numPr>
        <w:tabs>
          <w:tab w:val="left" w:pos="1187"/>
        </w:tabs>
        <w:spacing w:line="600" w:lineRule="exact"/>
        <w:ind w:firstLine="640" w:firstLineChars="200"/>
        <w:outlineLvl w:val="1"/>
        <w:rPr>
          <w:rStyle w:val="32"/>
          <w:rFonts w:hint="default" w:ascii="Times New Roman" w:hAnsi="Times New Roman" w:eastAsia="黑体" w:cs="Times New Roman"/>
          <w:b w:val="0"/>
          <w:color w:val="auto"/>
        </w:rPr>
      </w:pPr>
      <w:bookmarkStart w:id="21" w:name="_Toc11336_WPSOffice_Level2"/>
      <w:bookmarkStart w:id="22" w:name="_Toc15396603"/>
      <w:bookmarkStart w:id="23" w:name="_Toc15377205"/>
      <w:r>
        <w:rPr>
          <w:rFonts w:hint="default" w:ascii="Times New Roman" w:hAnsi="Times New Roman" w:eastAsia="黑体" w:cs="Times New Roman"/>
          <w:color w:val="auto"/>
          <w:sz w:val="32"/>
          <w:szCs w:val="32"/>
          <w:lang w:eastAsia="zh-CN"/>
        </w:rPr>
        <w:t>一、</w:t>
      </w:r>
      <w:r>
        <w:rPr>
          <w:rFonts w:hint="default" w:ascii="Times New Roman" w:hAnsi="Times New Roman" w:eastAsia="黑体" w:cs="Times New Roman"/>
          <w:color w:val="auto"/>
          <w:sz w:val="32"/>
          <w:szCs w:val="32"/>
        </w:rPr>
        <w:t>收</w:t>
      </w:r>
      <w:r>
        <w:rPr>
          <w:rStyle w:val="32"/>
          <w:rFonts w:hint="default" w:ascii="Times New Roman" w:hAnsi="Times New Roman" w:eastAsia="黑体" w:cs="Times New Roman"/>
          <w:b w:val="0"/>
          <w:color w:val="auto"/>
        </w:rPr>
        <w:t>入支出决算总体情况说明</w:t>
      </w:r>
      <w:bookmarkEnd w:id="21"/>
      <w:bookmarkEnd w:id="22"/>
      <w:bookmarkEnd w:id="23"/>
    </w:p>
    <w:p w14:paraId="44715E5D">
      <w:pPr>
        <w:pStyle w:val="2"/>
        <w:adjustRightInd w:val="0"/>
        <w:snapToGrid w:val="0"/>
        <w:spacing w:before="93" w:line="600" w:lineRule="exact"/>
        <w:ind w:firstLine="672" w:firstLineChars="21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2022年度收入总计1089.86万元、支出总计1089.86万元。与2021年相比，收入总计增加</w:t>
      </w:r>
      <w:r>
        <w:rPr>
          <w:rFonts w:hint="default" w:ascii="Times New Roman" w:hAnsi="Times New Roman" w:eastAsia="仿宋_GB2312" w:cs="Times New Roman"/>
          <w:color w:val="auto"/>
          <w:sz w:val="32"/>
          <w:szCs w:val="32"/>
          <w:lang w:val="en-US" w:eastAsia="zh-CN"/>
        </w:rPr>
        <w:t>236.86万元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增长</w:t>
      </w:r>
      <w:r>
        <w:rPr>
          <w:rFonts w:hint="default" w:ascii="Times New Roman" w:hAnsi="Times New Roman" w:eastAsia="仿宋_GB2312" w:cs="Times New Roman"/>
          <w:color w:val="auto"/>
          <w:sz w:val="32"/>
          <w:szCs w:val="32"/>
          <w:lang w:val="en-US" w:eastAsia="zh-CN"/>
        </w:rPr>
        <w:t>27.77%；</w:t>
      </w:r>
      <w:r>
        <w:rPr>
          <w:rFonts w:hint="default" w:ascii="Times New Roman" w:hAnsi="Times New Roman" w:eastAsia="仿宋_GB2312" w:cs="Times New Roman"/>
          <w:color w:val="auto"/>
          <w:sz w:val="32"/>
          <w:szCs w:val="32"/>
        </w:rPr>
        <w:t>支</w:t>
      </w:r>
      <w:r>
        <w:rPr>
          <w:rFonts w:hint="default" w:ascii="Times New Roman" w:hAnsi="Times New Roman" w:eastAsia="仿宋_GB2312" w:cs="Times New Roman"/>
          <w:color w:val="auto"/>
          <w:sz w:val="32"/>
          <w:szCs w:val="32"/>
          <w:lang w:eastAsia="zh-CN"/>
        </w:rPr>
        <w:t>出</w:t>
      </w:r>
      <w:r>
        <w:rPr>
          <w:rFonts w:hint="default" w:ascii="Times New Roman" w:hAnsi="Times New Roman" w:eastAsia="仿宋_GB2312" w:cs="Times New Roman"/>
          <w:color w:val="auto"/>
          <w:sz w:val="32"/>
          <w:szCs w:val="32"/>
        </w:rPr>
        <w:t>总计增加</w:t>
      </w:r>
      <w:r>
        <w:rPr>
          <w:rFonts w:hint="default" w:ascii="Times New Roman" w:hAnsi="Times New Roman" w:eastAsia="仿宋_GB2312" w:cs="Times New Roman"/>
          <w:color w:val="auto"/>
          <w:sz w:val="32"/>
          <w:szCs w:val="32"/>
          <w:lang w:val="en-US" w:eastAsia="zh-CN"/>
        </w:rPr>
        <w:t>236.86</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增长</w:t>
      </w:r>
      <w:r>
        <w:rPr>
          <w:rFonts w:hint="default" w:ascii="Times New Roman" w:hAnsi="Times New Roman" w:eastAsia="仿宋_GB2312" w:cs="Times New Roman"/>
          <w:color w:val="auto"/>
          <w:sz w:val="32"/>
          <w:szCs w:val="32"/>
          <w:lang w:val="en-US" w:eastAsia="zh-CN"/>
        </w:rPr>
        <w:t>27.77%</w:t>
      </w:r>
      <w:r>
        <w:rPr>
          <w:rFonts w:hint="default" w:ascii="Times New Roman" w:hAnsi="Times New Roman" w:eastAsia="仿宋_GB2312" w:cs="Times New Roman"/>
          <w:color w:val="auto"/>
          <w:sz w:val="32"/>
          <w:szCs w:val="32"/>
        </w:rPr>
        <w:t>。主要变动原因是</w:t>
      </w:r>
      <w:r>
        <w:rPr>
          <w:rFonts w:hint="default" w:ascii="Times New Roman" w:hAnsi="Times New Roman" w:eastAsia="仿宋_GB2312" w:cs="Times New Roman"/>
          <w:color w:val="auto"/>
          <w:sz w:val="32"/>
          <w:szCs w:val="32"/>
          <w:lang w:eastAsia="zh-CN"/>
        </w:rPr>
        <w:t>在编人数的变化、项目经费的增加</w:t>
      </w:r>
      <w:r>
        <w:rPr>
          <w:rFonts w:hint="default" w:ascii="Times New Roman" w:hAnsi="Times New Roman" w:eastAsia="仿宋_GB2312" w:cs="Times New Roman"/>
          <w:color w:val="auto"/>
          <w:sz w:val="32"/>
          <w:szCs w:val="32"/>
        </w:rPr>
        <w:t>。</w:t>
      </w:r>
    </w:p>
    <w:p w14:paraId="502C4D34">
      <w:pPr>
        <w:pStyle w:val="6"/>
        <w:ind w:left="0" w:leftChars="0" w:firstLine="0" w:firstLineChars="0"/>
        <w:jc w:val="center"/>
        <w:rPr>
          <w:rFonts w:hint="default" w:ascii="Times New Roman" w:hAnsi="Times New Roman" w:eastAsia="仿宋" w:cs="Times New Roman"/>
          <w:color w:val="auto"/>
          <w:sz w:val="32"/>
          <w:szCs w:val="32"/>
        </w:rPr>
      </w:pPr>
      <w:r>
        <w:rPr>
          <w:rFonts w:hint="default" w:ascii="Times New Roman" w:hAnsi="Times New Roman" w:cs="Times New Roman"/>
          <w:color w:val="auto"/>
          <w:sz w:val="32"/>
        </w:rPr>
        <mc:AlternateContent>
          <mc:Choice Requires="wps">
            <w:drawing>
              <wp:anchor distT="0" distB="0" distL="114300" distR="114300" simplePos="0" relativeHeight="251661312" behindDoc="0" locked="0" layoutInCell="1" allowOverlap="1">
                <wp:simplePos x="0" y="0"/>
                <wp:positionH relativeFrom="column">
                  <wp:posOffset>4128770</wp:posOffset>
                </wp:positionH>
                <wp:positionV relativeFrom="paragraph">
                  <wp:posOffset>284480</wp:posOffset>
                </wp:positionV>
                <wp:extent cx="895350" cy="257175"/>
                <wp:effectExtent l="0" t="0" r="0" b="9525"/>
                <wp:wrapNone/>
                <wp:docPr id="6" name="文本框 6"/>
                <wp:cNvGraphicFramePr/>
                <a:graphic xmlns:a="http://schemas.openxmlformats.org/drawingml/2006/main">
                  <a:graphicData uri="http://schemas.microsoft.com/office/word/2010/wordprocessingShape">
                    <wps:wsp>
                      <wps:cNvSpPr txBox="1"/>
                      <wps:spPr>
                        <a:xfrm>
                          <a:off x="0" y="0"/>
                          <a:ext cx="895350" cy="2571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53CF7F5">
                            <w:pPr>
                              <w:rPr>
                                <w:rFonts w:hint="eastAsia" w:ascii="仿宋" w:hAnsi="仿宋" w:eastAsia="仿宋" w:cs="仿宋"/>
                                <w:b w:val="0"/>
                                <w:bCs w:val="0"/>
                                <w:color w:val="auto"/>
                                <w:lang w:eastAsia="zh-CN"/>
                              </w:rPr>
                            </w:pPr>
                            <w:r>
                              <w:rPr>
                                <w:rFonts w:hint="eastAsia" w:ascii="仿宋" w:hAnsi="仿宋" w:eastAsia="仿宋" w:cs="仿宋"/>
                                <w:b w:val="0"/>
                                <w:bCs w:val="0"/>
                                <w:color w:val="auto"/>
                                <w:lang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5.1pt;margin-top:22.4pt;height:20.25pt;width:70.5pt;z-index:251661312;mso-width-relative:page;mso-height-relative:page;" fillcolor="#FFFFFF [3201]" filled="t" stroked="f" coordsize="21600,21600" o:gfxdata="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0YlL8tUAAAAJAQAADwAAAAAAAAAB&#10;ACAAAAAiAAAAZHJzL2Rvd25yZXYueG1sUEsBAhQAFAAAAAgAh07iQPJm3YVMAgAAjgQAAA4AAAAA&#10;AAAAAQAgAAAAJAEAAGRycy9lMm9Eb2MueG1sUEsFBgAAAAAGAAYAWQEAAOIFAAAAAA==&#10;">
                <v:fill on="t" focussize="0,0"/>
                <v:stroke on="f" weight="0.5pt"/>
                <v:imagedata o:title=""/>
                <o:lock v:ext="edit" aspectratio="f"/>
                <v:textbox>
                  <w:txbxContent>
                    <w:p w14:paraId="453CF7F5">
                      <w:pPr>
                        <w:rPr>
                          <w:rFonts w:hint="eastAsia" w:ascii="仿宋" w:hAnsi="仿宋" w:eastAsia="仿宋" w:cs="仿宋"/>
                          <w:b w:val="0"/>
                          <w:bCs w:val="0"/>
                          <w:color w:val="auto"/>
                          <w:lang w:eastAsia="zh-CN"/>
                        </w:rPr>
                      </w:pPr>
                      <w:r>
                        <w:rPr>
                          <w:rFonts w:hint="eastAsia" w:ascii="仿宋" w:hAnsi="仿宋" w:eastAsia="仿宋" w:cs="仿宋"/>
                          <w:b w:val="0"/>
                          <w:bCs w:val="0"/>
                          <w:color w:val="auto"/>
                          <w:lang w:eastAsia="zh-CN"/>
                        </w:rPr>
                        <w:t>单位：万元</w:t>
                      </w:r>
                    </w:p>
                  </w:txbxContent>
                </v:textbox>
              </v:shape>
            </w:pict>
          </mc:Fallback>
        </mc:AlternateContent>
      </w:r>
      <w:r>
        <w:rPr>
          <w:rFonts w:hint="default" w:ascii="Times New Roman" w:hAnsi="Times New Roman" w:eastAsia="仿宋" w:cs="Times New Roman"/>
          <w:color w:val="auto"/>
          <w:sz w:val="32"/>
          <w:szCs w:val="32"/>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E5E4909">
      <w:pPr>
        <w:spacing w:line="600" w:lineRule="exact"/>
        <w:ind w:firstLine="640" w:firstLineChars="200"/>
        <w:jc w:val="center"/>
        <w:rPr>
          <w:rFonts w:hint="default" w:ascii="Times New Roman" w:hAnsi="Times New Roman" w:eastAsia="仿宋_GB2312" w:cs="Times New Roman"/>
          <w:color w:val="auto"/>
          <w:sz w:val="32"/>
          <w:szCs w:val="32"/>
        </w:rPr>
      </w:pPr>
      <w:r>
        <w:rPr>
          <w:rFonts w:hint="default" w:ascii="Times New Roman" w:hAnsi="Times New Roman" w:eastAsia="仿宋" w:cs="Times New Roman"/>
          <w:color w:val="auto"/>
          <w:sz w:val="32"/>
          <w:szCs w:val="32"/>
        </w:rPr>
        <w:t>（图1：收、支决算总计变动情况图）</w:t>
      </w:r>
    </w:p>
    <w:p w14:paraId="0D34848E">
      <w:pPr>
        <w:spacing w:line="600" w:lineRule="exact"/>
        <w:ind w:firstLine="640" w:firstLineChars="200"/>
        <w:outlineLvl w:val="1"/>
        <w:rPr>
          <w:rStyle w:val="32"/>
          <w:rFonts w:hint="default" w:ascii="Times New Roman" w:hAnsi="Times New Roman" w:eastAsia="黑体" w:cs="Times New Roman"/>
          <w:b w:val="0"/>
          <w:color w:val="auto"/>
        </w:rPr>
      </w:pPr>
      <w:bookmarkStart w:id="24" w:name="_Toc15396604"/>
      <w:bookmarkStart w:id="25" w:name="_Toc23588_WPSOffice_Level2"/>
      <w:bookmarkStart w:id="26" w:name="_Toc15377206"/>
      <w:r>
        <w:rPr>
          <w:rStyle w:val="32"/>
          <w:rFonts w:hint="default" w:ascii="Times New Roman" w:hAnsi="Times New Roman" w:eastAsia="黑体" w:cs="Times New Roman"/>
          <w:b w:val="0"/>
          <w:color w:val="auto"/>
          <w:lang w:eastAsia="zh-CN"/>
        </w:rPr>
        <w:t>二、</w:t>
      </w:r>
      <w:r>
        <w:rPr>
          <w:rStyle w:val="32"/>
          <w:rFonts w:hint="default" w:ascii="Times New Roman" w:hAnsi="Times New Roman" w:eastAsia="黑体" w:cs="Times New Roman"/>
          <w:b w:val="0"/>
          <w:color w:val="auto"/>
        </w:rPr>
        <w:t>收入决算情况说明</w:t>
      </w:r>
      <w:bookmarkEnd w:id="24"/>
      <w:bookmarkEnd w:id="25"/>
      <w:bookmarkEnd w:id="26"/>
    </w:p>
    <w:p w14:paraId="1802809D">
      <w:pPr>
        <w:pStyle w:val="2"/>
        <w:adjustRightInd w:val="0"/>
        <w:snapToGrid w:val="0"/>
        <w:spacing w:before="93" w:line="600" w:lineRule="exact"/>
        <w:ind w:firstLine="672" w:firstLineChars="21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2022年本年收入合计1070.67万元，其中：一般公共预算财政拨款收入971.76万元，占</w:t>
      </w:r>
      <w:r>
        <w:rPr>
          <w:rFonts w:hint="default" w:ascii="Times New Roman" w:hAnsi="Times New Roman" w:eastAsia="仿宋_GB2312" w:cs="Times New Roman"/>
          <w:color w:val="auto"/>
          <w:sz w:val="32"/>
          <w:szCs w:val="32"/>
          <w:lang w:val="en-US" w:eastAsia="zh-CN"/>
        </w:rPr>
        <w:t>90.76</w:t>
      </w:r>
      <w:r>
        <w:rPr>
          <w:rFonts w:hint="default" w:ascii="Times New Roman" w:hAnsi="Times New Roman" w:eastAsia="仿宋_GB2312" w:cs="Times New Roman"/>
          <w:color w:val="auto"/>
          <w:sz w:val="32"/>
          <w:szCs w:val="32"/>
        </w:rPr>
        <w:t>%；政府性基金预算财政拨款收入83.91万元，占</w:t>
      </w:r>
      <w:r>
        <w:rPr>
          <w:rFonts w:hint="default" w:ascii="Times New Roman" w:hAnsi="Times New Roman" w:eastAsia="仿宋_GB2312" w:cs="Times New Roman"/>
          <w:color w:val="auto"/>
          <w:sz w:val="32"/>
          <w:szCs w:val="32"/>
          <w:lang w:val="en-US" w:eastAsia="zh-CN"/>
        </w:rPr>
        <w:t>7.84</w:t>
      </w:r>
      <w:r>
        <w:rPr>
          <w:rFonts w:hint="default" w:ascii="Times New Roman" w:hAnsi="Times New Roman" w:eastAsia="仿宋_GB2312" w:cs="Times New Roman"/>
          <w:color w:val="auto"/>
          <w:sz w:val="32"/>
          <w:szCs w:val="32"/>
        </w:rPr>
        <w:t>%；国有资本经营预算财政拨款收入15万元，占</w:t>
      </w:r>
      <w:r>
        <w:rPr>
          <w:rFonts w:hint="default" w:ascii="Times New Roman" w:hAnsi="Times New Roman" w:eastAsia="仿宋_GB2312" w:cs="Times New Roman"/>
          <w:color w:val="auto"/>
          <w:sz w:val="32"/>
          <w:szCs w:val="32"/>
          <w:lang w:val="en-US" w:eastAsia="zh-CN"/>
        </w:rPr>
        <w:t>1.40</w:t>
      </w:r>
      <w:r>
        <w:rPr>
          <w:rFonts w:hint="default" w:ascii="Times New Roman" w:hAnsi="Times New Roman" w:eastAsia="仿宋_GB2312" w:cs="Times New Roman"/>
          <w:color w:val="auto"/>
          <w:sz w:val="32"/>
          <w:szCs w:val="32"/>
        </w:rPr>
        <w:t>%；上级补助收入</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万元，占</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%；事业收入</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万元，占</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%；经营收入</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万元，占</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%；附属单位上缴收入</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万元，占</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%；其他收入</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万元，占</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w:t>
      </w:r>
    </w:p>
    <w:p w14:paraId="16F2C41F">
      <w:pPr>
        <w:pStyle w:val="6"/>
        <w:ind w:left="0" w:leftChars="0" w:firstLine="0" w:firstLineChars="0"/>
        <w:jc w:val="center"/>
        <w:rPr>
          <w:rFonts w:hint="default" w:ascii="Times New Roman" w:hAnsi="Times New Roman" w:eastAsia="仿宋" w:cs="Times New Roman"/>
          <w:color w:val="auto"/>
          <w:sz w:val="32"/>
          <w:szCs w:val="32"/>
          <w:lang w:eastAsia="zh-CN"/>
        </w:rPr>
      </w:pPr>
      <w:r>
        <w:rPr>
          <w:rFonts w:hint="default" w:ascii="Times New Roman" w:hAnsi="Times New Roman" w:eastAsia="仿宋" w:cs="Times New Roman"/>
          <w:color w:val="auto"/>
          <w:sz w:val="32"/>
          <w:szCs w:val="32"/>
          <w:lang w:eastAsia="zh-CN"/>
        </w:rPr>
        <w:drawing>
          <wp:inline distT="0" distB="0" distL="114300" distR="114300">
            <wp:extent cx="5080000" cy="4180840"/>
            <wp:effectExtent l="4445" t="4445" r="20955" b="571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28B364C">
      <w:pPr>
        <w:spacing w:line="600" w:lineRule="exact"/>
        <w:ind w:firstLine="640" w:firstLineChars="200"/>
        <w:jc w:val="center"/>
        <w:rPr>
          <w:rFonts w:hint="default" w:ascii="Times New Roman" w:hAnsi="Times New Roman" w:cs="Times New Roman"/>
          <w:color w:val="auto"/>
        </w:rPr>
      </w:pPr>
      <w:r>
        <w:rPr>
          <w:rFonts w:hint="default" w:ascii="Times New Roman" w:hAnsi="Times New Roman" w:eastAsia="仿宋" w:cs="Times New Roman"/>
          <w:color w:val="auto"/>
          <w:sz w:val="32"/>
          <w:szCs w:val="32"/>
        </w:rPr>
        <w:t>（图2：收入决算结构图）</w:t>
      </w:r>
    </w:p>
    <w:p w14:paraId="574876A2">
      <w:pPr>
        <w:spacing w:line="600" w:lineRule="exact"/>
        <w:ind w:firstLine="640" w:firstLineChars="200"/>
        <w:outlineLvl w:val="1"/>
        <w:rPr>
          <w:rStyle w:val="32"/>
          <w:rFonts w:hint="default" w:ascii="Times New Roman" w:hAnsi="Times New Roman" w:eastAsia="黑体" w:cs="Times New Roman"/>
          <w:b w:val="0"/>
          <w:color w:val="auto"/>
        </w:rPr>
      </w:pPr>
      <w:bookmarkStart w:id="27" w:name="_Toc23016_WPSOffice_Level2"/>
      <w:bookmarkStart w:id="28" w:name="_Toc15377207"/>
      <w:bookmarkStart w:id="29" w:name="_Toc15396605"/>
      <w:r>
        <w:rPr>
          <w:rStyle w:val="32"/>
          <w:rFonts w:hint="default" w:ascii="Times New Roman" w:hAnsi="Times New Roman" w:eastAsia="黑体" w:cs="Times New Roman"/>
          <w:b w:val="0"/>
          <w:color w:val="auto"/>
          <w:lang w:eastAsia="zh-CN"/>
        </w:rPr>
        <w:t>三、</w:t>
      </w:r>
      <w:r>
        <w:rPr>
          <w:rStyle w:val="32"/>
          <w:rFonts w:hint="default" w:ascii="Times New Roman" w:hAnsi="Times New Roman" w:eastAsia="黑体" w:cs="Times New Roman"/>
          <w:b w:val="0"/>
          <w:color w:val="auto"/>
        </w:rPr>
        <w:t>支出决算情况说明</w:t>
      </w:r>
      <w:bookmarkEnd w:id="27"/>
      <w:bookmarkEnd w:id="28"/>
      <w:bookmarkEnd w:id="29"/>
    </w:p>
    <w:p w14:paraId="2998156F">
      <w:pPr>
        <w:pStyle w:val="2"/>
        <w:adjustRightInd w:val="0"/>
        <w:snapToGrid w:val="0"/>
        <w:spacing w:before="93" w:line="600" w:lineRule="exact"/>
        <w:ind w:firstLine="672" w:firstLineChars="21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2022年本年支出合计1089.86万元，其中：基本支出650.52万元，占</w:t>
      </w:r>
      <w:r>
        <w:rPr>
          <w:rFonts w:hint="default" w:ascii="Times New Roman" w:hAnsi="Times New Roman" w:eastAsia="仿宋_GB2312" w:cs="Times New Roman"/>
          <w:color w:val="auto"/>
          <w:sz w:val="32"/>
          <w:szCs w:val="32"/>
          <w:lang w:val="en-US" w:eastAsia="zh-CN"/>
        </w:rPr>
        <w:t>59.69</w:t>
      </w:r>
      <w:r>
        <w:rPr>
          <w:rFonts w:hint="default" w:ascii="Times New Roman" w:hAnsi="Times New Roman" w:eastAsia="仿宋_GB2312" w:cs="Times New Roman"/>
          <w:color w:val="auto"/>
          <w:sz w:val="32"/>
          <w:szCs w:val="32"/>
          <w:lang w:eastAsia="zh-CN"/>
        </w:rPr>
        <w:t>%；项目支出439.33万元，占</w:t>
      </w:r>
      <w:r>
        <w:rPr>
          <w:rFonts w:hint="default" w:ascii="Times New Roman" w:hAnsi="Times New Roman" w:eastAsia="仿宋_GB2312" w:cs="Times New Roman"/>
          <w:color w:val="auto"/>
          <w:sz w:val="32"/>
          <w:szCs w:val="32"/>
          <w:lang w:val="en-US" w:eastAsia="zh-CN"/>
        </w:rPr>
        <w:t>40.31</w:t>
      </w:r>
      <w:r>
        <w:rPr>
          <w:rFonts w:hint="default" w:ascii="Times New Roman" w:hAnsi="Times New Roman" w:eastAsia="仿宋_GB2312" w:cs="Times New Roman"/>
          <w:color w:val="auto"/>
          <w:sz w:val="32"/>
          <w:szCs w:val="32"/>
          <w:lang w:eastAsia="zh-CN"/>
        </w:rPr>
        <w:t>%；上缴上级支出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lang w:eastAsia="zh-CN"/>
        </w:rPr>
        <w:t>万元，占</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lang w:eastAsia="zh-CN"/>
        </w:rPr>
        <w:t>%；经营支出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lang w:eastAsia="zh-CN"/>
        </w:rPr>
        <w:t>万元，占</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lang w:eastAsia="zh-CN"/>
        </w:rPr>
        <w:t>%；对附属单位补助支出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lang w:eastAsia="zh-CN"/>
        </w:rPr>
        <w:t>万元，占</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lang w:eastAsia="zh-CN"/>
        </w:rPr>
        <w:t>%。</w:t>
      </w:r>
    </w:p>
    <w:p w14:paraId="2158B12D">
      <w:pPr>
        <w:pStyle w:val="6"/>
        <w:ind w:left="0" w:leftChars="0" w:firstLine="0" w:firstLineChars="0"/>
        <w:jc w:val="center"/>
        <w:rPr>
          <w:rFonts w:hint="default" w:ascii="Times New Roman" w:hAnsi="Times New Roman" w:eastAsia="仿宋" w:cs="Times New Roman"/>
          <w:color w:val="auto"/>
          <w:sz w:val="32"/>
          <w:szCs w:val="32"/>
          <w:shd w:val="pct10" w:color="auto" w:fill="FFFFFF"/>
        </w:rPr>
      </w:pPr>
      <w:r>
        <w:rPr>
          <w:rFonts w:hint="default" w:ascii="Times New Roman" w:hAnsi="Times New Roman" w:eastAsia="仿宋" w:cs="Times New Roman"/>
          <w:color w:val="auto"/>
          <w:sz w:val="32"/>
          <w:szCs w:val="32"/>
          <w:lang w:eastAsia="zh-CN"/>
        </w:rPr>
        <w:drawing>
          <wp:inline distT="0" distB="0" distL="114300" distR="114300">
            <wp:extent cx="5080000" cy="4180840"/>
            <wp:effectExtent l="4445" t="4445" r="20955" b="571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012169E">
      <w:pPr>
        <w:spacing w:line="600" w:lineRule="exact"/>
        <w:ind w:firstLine="640" w:firstLineChars="200"/>
        <w:jc w:val="center"/>
        <w:rPr>
          <w:rFonts w:hint="default" w:ascii="Times New Roman" w:hAnsi="Times New Roman" w:eastAsia="仿宋_GB2312" w:cs="Times New Roman"/>
          <w:color w:val="auto"/>
          <w:sz w:val="32"/>
          <w:szCs w:val="32"/>
        </w:rPr>
      </w:pPr>
      <w:r>
        <w:rPr>
          <w:rFonts w:hint="default" w:ascii="Times New Roman" w:hAnsi="Times New Roman" w:eastAsia="仿宋" w:cs="Times New Roman"/>
          <w:color w:val="auto"/>
          <w:sz w:val="32"/>
          <w:szCs w:val="32"/>
        </w:rPr>
        <w:t>（图3：支出决算结构图）</w:t>
      </w:r>
    </w:p>
    <w:p w14:paraId="22432FF5">
      <w:pPr>
        <w:spacing w:line="600" w:lineRule="exact"/>
        <w:ind w:firstLine="640" w:firstLineChars="200"/>
        <w:outlineLvl w:val="1"/>
        <w:rPr>
          <w:rStyle w:val="32"/>
          <w:rFonts w:hint="default" w:ascii="Times New Roman" w:hAnsi="Times New Roman" w:eastAsia="黑体" w:cs="Times New Roman"/>
          <w:b w:val="0"/>
          <w:color w:val="auto"/>
        </w:rPr>
      </w:pPr>
      <w:bookmarkStart w:id="30" w:name="_Toc22983_WPSOffice_Level2"/>
      <w:bookmarkStart w:id="31" w:name="_Toc15396606"/>
      <w:bookmarkStart w:id="32" w:name="_Toc15377208"/>
      <w:r>
        <w:rPr>
          <w:rFonts w:hint="default" w:ascii="Times New Roman" w:hAnsi="Times New Roman" w:eastAsia="黑体" w:cs="Times New Roman"/>
          <w:color w:val="auto"/>
          <w:sz w:val="32"/>
          <w:szCs w:val="32"/>
        </w:rPr>
        <w:t>四、财</w:t>
      </w:r>
      <w:r>
        <w:rPr>
          <w:rStyle w:val="32"/>
          <w:rFonts w:hint="default" w:ascii="Times New Roman" w:hAnsi="Times New Roman" w:eastAsia="黑体" w:cs="Times New Roman"/>
          <w:b w:val="0"/>
          <w:color w:val="auto"/>
        </w:rPr>
        <w:t>政拨款收入支出决算总体情况说明</w:t>
      </w:r>
      <w:bookmarkEnd w:id="30"/>
      <w:bookmarkEnd w:id="31"/>
      <w:bookmarkEnd w:id="32"/>
    </w:p>
    <w:p w14:paraId="02C66741">
      <w:pPr>
        <w:pStyle w:val="2"/>
        <w:adjustRightInd w:val="0"/>
        <w:snapToGrid w:val="0"/>
        <w:spacing w:before="93" w:line="600" w:lineRule="exact"/>
        <w:ind w:firstLine="672" w:firstLineChars="21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2022年财政拨款收入总计1089.86万元、支出总计1089.86万元。与2021年相比，财政拨款收入总计增加</w:t>
      </w:r>
      <w:r>
        <w:rPr>
          <w:rFonts w:hint="default" w:ascii="Times New Roman" w:hAnsi="Times New Roman" w:eastAsia="仿宋_GB2312" w:cs="Times New Roman"/>
          <w:color w:val="auto"/>
          <w:sz w:val="32"/>
          <w:szCs w:val="32"/>
          <w:lang w:val="en-US" w:eastAsia="zh-CN"/>
        </w:rPr>
        <w:t>236.86万、</w:t>
      </w:r>
      <w:r>
        <w:rPr>
          <w:rFonts w:hint="default" w:ascii="Times New Roman" w:hAnsi="Times New Roman" w:eastAsia="仿宋_GB2312" w:cs="Times New Roman"/>
          <w:color w:val="auto"/>
          <w:sz w:val="32"/>
          <w:szCs w:val="32"/>
          <w:lang w:eastAsia="zh-CN"/>
        </w:rPr>
        <w:t>增长</w:t>
      </w:r>
      <w:r>
        <w:rPr>
          <w:rFonts w:hint="default" w:ascii="Times New Roman" w:hAnsi="Times New Roman" w:eastAsia="仿宋_GB2312" w:cs="Times New Roman"/>
          <w:color w:val="auto"/>
          <w:sz w:val="32"/>
          <w:szCs w:val="32"/>
          <w:lang w:val="en-US" w:eastAsia="zh-CN"/>
        </w:rPr>
        <w:t>27.77%；</w:t>
      </w:r>
      <w:r>
        <w:rPr>
          <w:rFonts w:hint="default" w:ascii="Times New Roman" w:hAnsi="Times New Roman" w:eastAsia="仿宋_GB2312" w:cs="Times New Roman"/>
          <w:color w:val="auto"/>
          <w:sz w:val="32"/>
          <w:szCs w:val="32"/>
          <w:lang w:eastAsia="zh-CN"/>
        </w:rPr>
        <w:t>支出总计增加</w:t>
      </w:r>
      <w:r>
        <w:rPr>
          <w:rFonts w:hint="default" w:ascii="Times New Roman" w:hAnsi="Times New Roman" w:eastAsia="仿宋_GB2312" w:cs="Times New Roman"/>
          <w:color w:val="auto"/>
          <w:sz w:val="32"/>
          <w:szCs w:val="32"/>
          <w:lang w:val="en-US" w:eastAsia="zh-CN"/>
        </w:rPr>
        <w:t>236.86</w:t>
      </w:r>
      <w:r>
        <w:rPr>
          <w:rFonts w:hint="default" w:ascii="Times New Roman" w:hAnsi="Times New Roman" w:eastAsia="仿宋_GB2312" w:cs="Times New Roman"/>
          <w:color w:val="auto"/>
          <w:sz w:val="32"/>
          <w:szCs w:val="32"/>
          <w:lang w:eastAsia="zh-CN"/>
        </w:rPr>
        <w:t>万元、增长</w:t>
      </w:r>
      <w:r>
        <w:rPr>
          <w:rFonts w:hint="default" w:ascii="Times New Roman" w:hAnsi="Times New Roman" w:eastAsia="仿宋_GB2312" w:cs="Times New Roman"/>
          <w:color w:val="auto"/>
          <w:sz w:val="32"/>
          <w:szCs w:val="32"/>
          <w:lang w:val="en-US" w:eastAsia="zh-CN"/>
        </w:rPr>
        <w:t>27.77%</w:t>
      </w:r>
      <w:r>
        <w:rPr>
          <w:rFonts w:hint="default" w:ascii="Times New Roman" w:hAnsi="Times New Roman" w:eastAsia="仿宋_GB2312" w:cs="Times New Roman"/>
          <w:color w:val="auto"/>
          <w:sz w:val="32"/>
          <w:szCs w:val="32"/>
          <w:lang w:eastAsia="zh-CN"/>
        </w:rPr>
        <w:t>。主要变动原因是2022年初补发街办财政全额保障事业单位在编在职人员2020年度绩效奖，预兑现离退休人员2021年度生活补助，补发2021年10月至2022年2月基本工资调标部分，另年度优秀、补充医疗保险增量以及根据工作安排增加</w:t>
      </w:r>
      <w:r>
        <w:rPr>
          <w:rFonts w:hint="default" w:ascii="Times New Roman" w:hAnsi="Times New Roman" w:eastAsia="仿宋_GB2312" w:cs="Times New Roman"/>
          <w:color w:val="auto"/>
          <w:sz w:val="32"/>
          <w:szCs w:val="32"/>
          <w:lang w:val="en-US" w:eastAsia="zh-CN"/>
        </w:rPr>
        <w:t>2022年项目经费，如创文、养老综合体建设。</w:t>
      </w:r>
    </w:p>
    <w:p w14:paraId="7ADDD7A5">
      <w:pPr>
        <w:pStyle w:val="6"/>
        <w:ind w:left="0" w:leftChars="0" w:firstLine="0" w:firstLineChars="0"/>
        <w:jc w:val="center"/>
        <w:rPr>
          <w:rFonts w:hint="default" w:ascii="Times New Roman" w:hAnsi="Times New Roman" w:eastAsia="仿宋" w:cs="Times New Roman"/>
          <w:color w:val="auto"/>
          <w:sz w:val="32"/>
          <w:szCs w:val="32"/>
        </w:rPr>
      </w:pPr>
      <w:r>
        <w:rPr>
          <w:rFonts w:hint="default" w:ascii="Times New Roman" w:hAnsi="Times New Roman" w:cs="Times New Roman"/>
          <w:color w:val="auto"/>
          <w:sz w:val="32"/>
        </w:rPr>
        <mc:AlternateContent>
          <mc:Choice Requires="wps">
            <w:drawing>
              <wp:anchor distT="0" distB="0" distL="114300" distR="114300" simplePos="0" relativeHeight="251662336" behindDoc="0" locked="0" layoutInCell="1" allowOverlap="1">
                <wp:simplePos x="0" y="0"/>
                <wp:positionH relativeFrom="column">
                  <wp:posOffset>4198620</wp:posOffset>
                </wp:positionH>
                <wp:positionV relativeFrom="paragraph">
                  <wp:posOffset>182880</wp:posOffset>
                </wp:positionV>
                <wp:extent cx="946150" cy="295910"/>
                <wp:effectExtent l="0" t="0" r="6350" b="8890"/>
                <wp:wrapNone/>
                <wp:docPr id="10" name="文本框 10"/>
                <wp:cNvGraphicFramePr/>
                <a:graphic xmlns:a="http://schemas.openxmlformats.org/drawingml/2006/main">
                  <a:graphicData uri="http://schemas.microsoft.com/office/word/2010/wordprocessingShape">
                    <wps:wsp>
                      <wps:cNvSpPr txBox="1"/>
                      <wps:spPr>
                        <a:xfrm>
                          <a:off x="0" y="0"/>
                          <a:ext cx="946150" cy="2959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02954D8">
                            <w:pPr>
                              <w:rPr>
                                <w:rFonts w:hint="eastAsia" w:ascii="仿宋" w:hAnsi="仿宋" w:eastAsia="仿宋" w:cs="仿宋"/>
                                <w:b w:val="0"/>
                                <w:bCs w:val="0"/>
                                <w:color w:val="auto"/>
                                <w:lang w:eastAsia="zh-CN"/>
                              </w:rPr>
                            </w:pPr>
                            <w:r>
                              <w:rPr>
                                <w:rFonts w:hint="eastAsia" w:ascii="仿宋" w:hAnsi="仿宋" w:eastAsia="仿宋" w:cs="仿宋"/>
                                <w:b w:val="0"/>
                                <w:bCs w:val="0"/>
                                <w:color w:val="auto"/>
                                <w:lang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6pt;margin-top:14.4pt;height:23.3pt;width:74.5pt;z-index:251662336;mso-width-relative:page;mso-height-relative:page;" fillcolor="#FFFFFF [3201]" filled="t" stroked="f" coordsize="21600,21600" o:gfxdata="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H203NQAAAAJAQAADwAAAAAAAAAB&#10;ACAAAAAiAAAAZHJzL2Rvd25yZXYueG1sUEsBAhQAFAAAAAgAh07iQJSJXa9NAgAAkAQAAA4AAAAA&#10;AAAAAQAgAAAAIwEAAGRycy9lMm9Eb2MueG1sUEsFBgAAAAAGAAYAWQEAAOIFAAAAAA==&#10;">
                <v:fill on="t" focussize="0,0"/>
                <v:stroke on="f" weight="0.5pt"/>
                <v:imagedata o:title=""/>
                <o:lock v:ext="edit" aspectratio="f"/>
                <v:textbox>
                  <w:txbxContent>
                    <w:p w14:paraId="402954D8">
                      <w:pPr>
                        <w:rPr>
                          <w:rFonts w:hint="eastAsia" w:ascii="仿宋" w:hAnsi="仿宋" w:eastAsia="仿宋" w:cs="仿宋"/>
                          <w:b w:val="0"/>
                          <w:bCs w:val="0"/>
                          <w:color w:val="auto"/>
                          <w:lang w:eastAsia="zh-CN"/>
                        </w:rPr>
                      </w:pPr>
                      <w:r>
                        <w:rPr>
                          <w:rFonts w:hint="eastAsia" w:ascii="仿宋" w:hAnsi="仿宋" w:eastAsia="仿宋" w:cs="仿宋"/>
                          <w:b w:val="0"/>
                          <w:bCs w:val="0"/>
                          <w:color w:val="auto"/>
                          <w:lang w:eastAsia="zh-CN"/>
                        </w:rPr>
                        <w:t>单位：万元</w:t>
                      </w:r>
                    </w:p>
                  </w:txbxContent>
                </v:textbox>
              </v:shape>
            </w:pict>
          </mc:Fallback>
        </mc:AlternateContent>
      </w:r>
      <w:r>
        <w:rPr>
          <w:rFonts w:hint="default" w:ascii="Times New Roman" w:hAnsi="Times New Roman" w:eastAsia="仿宋" w:cs="Times New Roman"/>
          <w:color w:val="auto"/>
          <w:sz w:val="32"/>
          <w:szCs w:val="32"/>
        </w:rPr>
        <w:drawing>
          <wp:inline distT="0" distB="0" distL="114300" distR="114300">
            <wp:extent cx="5080000" cy="3519170"/>
            <wp:effectExtent l="4445" t="4445" r="20955" b="1968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DD578DE">
      <w:pPr>
        <w:spacing w:line="600" w:lineRule="exact"/>
        <w:ind w:firstLine="640" w:firstLineChars="200"/>
        <w:jc w:val="center"/>
        <w:rPr>
          <w:rFonts w:hint="default" w:ascii="Times New Roman" w:hAnsi="Times New Roman" w:eastAsia="仿宋" w:cs="Times New Roman"/>
          <w:b/>
          <w:color w:val="auto"/>
          <w:sz w:val="32"/>
          <w:szCs w:val="32"/>
        </w:rPr>
      </w:pPr>
      <w:r>
        <w:rPr>
          <w:rFonts w:hint="default" w:ascii="Times New Roman" w:hAnsi="Times New Roman" w:eastAsia="仿宋" w:cs="Times New Roman"/>
          <w:color w:val="auto"/>
          <w:sz w:val="32"/>
          <w:szCs w:val="32"/>
        </w:rPr>
        <w:t>（图4：财政拨款收、支决算总计变动情况）</w:t>
      </w:r>
    </w:p>
    <w:p w14:paraId="34F0315D">
      <w:pPr>
        <w:spacing w:line="600" w:lineRule="exact"/>
        <w:ind w:firstLine="640" w:firstLineChars="200"/>
        <w:outlineLvl w:val="1"/>
        <w:rPr>
          <w:rStyle w:val="32"/>
          <w:rFonts w:hint="default" w:ascii="Times New Roman" w:hAnsi="Times New Roman" w:eastAsia="黑体" w:cs="Times New Roman"/>
          <w:b w:val="0"/>
          <w:color w:val="auto"/>
        </w:rPr>
      </w:pPr>
      <w:bookmarkStart w:id="33" w:name="_Toc15377209"/>
      <w:bookmarkStart w:id="34" w:name="_Toc19220_WPSOffice_Level2"/>
      <w:bookmarkStart w:id="35" w:name="_Toc15396607"/>
      <w:r>
        <w:rPr>
          <w:rStyle w:val="32"/>
          <w:rFonts w:hint="default" w:ascii="Times New Roman" w:hAnsi="Times New Roman" w:eastAsia="黑体" w:cs="Times New Roman"/>
          <w:b w:val="0"/>
          <w:color w:val="auto"/>
        </w:rPr>
        <w:t>五、一般公共预算财政拨款支出决算情况说明</w:t>
      </w:r>
      <w:bookmarkEnd w:id="33"/>
      <w:bookmarkEnd w:id="34"/>
      <w:bookmarkEnd w:id="35"/>
    </w:p>
    <w:p w14:paraId="547983B8">
      <w:pPr>
        <w:spacing w:line="600" w:lineRule="exact"/>
        <w:ind w:firstLine="643" w:firstLineChars="200"/>
        <w:outlineLvl w:val="2"/>
        <w:rPr>
          <w:rFonts w:hint="default" w:ascii="Times New Roman" w:hAnsi="Times New Roman" w:eastAsia="仿宋" w:cs="Times New Roman"/>
          <w:b/>
          <w:color w:val="auto"/>
          <w:sz w:val="32"/>
          <w:szCs w:val="32"/>
        </w:rPr>
      </w:pPr>
      <w:bookmarkStart w:id="36" w:name="_Toc15377210"/>
      <w:r>
        <w:rPr>
          <w:rFonts w:hint="default" w:ascii="Times New Roman" w:hAnsi="Times New Roman" w:eastAsia="仿宋" w:cs="Times New Roman"/>
          <w:b/>
          <w:color w:val="auto"/>
          <w:sz w:val="32"/>
          <w:szCs w:val="32"/>
        </w:rPr>
        <w:t>（一）一般公共预算财政拨款支出决算总体情况</w:t>
      </w:r>
      <w:bookmarkEnd w:id="36"/>
    </w:p>
    <w:p w14:paraId="421975A8">
      <w:pPr>
        <w:pStyle w:val="2"/>
        <w:adjustRightInd w:val="0"/>
        <w:snapToGrid w:val="0"/>
        <w:spacing w:before="93" w:line="600" w:lineRule="exact"/>
        <w:ind w:firstLine="672" w:firstLineChars="21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2022年一般公共预算财政拨款支出990.94万元，占本年支出合计的</w:t>
      </w:r>
      <w:r>
        <w:rPr>
          <w:rFonts w:hint="default" w:ascii="Times New Roman" w:hAnsi="Times New Roman" w:eastAsia="仿宋_GB2312" w:cs="Times New Roman"/>
          <w:color w:val="auto"/>
          <w:sz w:val="32"/>
          <w:szCs w:val="32"/>
          <w:lang w:val="en-US" w:eastAsia="zh-CN"/>
        </w:rPr>
        <w:t>90.92</w:t>
      </w:r>
      <w:r>
        <w:rPr>
          <w:rFonts w:hint="default" w:ascii="Times New Roman" w:hAnsi="Times New Roman" w:eastAsia="仿宋_GB2312" w:cs="Times New Roman"/>
          <w:color w:val="auto"/>
          <w:sz w:val="32"/>
          <w:szCs w:val="32"/>
          <w:lang w:eastAsia="zh-CN"/>
        </w:rPr>
        <w:t>%。与2021年相比，一般公共预算财政拨款支出增加</w:t>
      </w:r>
      <w:r>
        <w:rPr>
          <w:rFonts w:hint="default" w:ascii="Times New Roman" w:hAnsi="Times New Roman" w:eastAsia="仿宋_GB2312" w:cs="Times New Roman"/>
          <w:color w:val="auto"/>
          <w:sz w:val="32"/>
          <w:szCs w:val="32"/>
          <w:lang w:val="en-US" w:eastAsia="zh-CN"/>
        </w:rPr>
        <w:t>147.66</w:t>
      </w:r>
      <w:r>
        <w:rPr>
          <w:rFonts w:hint="default" w:ascii="Times New Roman" w:hAnsi="Times New Roman" w:eastAsia="仿宋_GB2312" w:cs="Times New Roman"/>
          <w:color w:val="auto"/>
          <w:sz w:val="32"/>
          <w:szCs w:val="32"/>
          <w:lang w:eastAsia="zh-CN"/>
        </w:rPr>
        <w:t>万元，增长</w:t>
      </w:r>
      <w:r>
        <w:rPr>
          <w:rFonts w:hint="default" w:ascii="Times New Roman" w:hAnsi="Times New Roman" w:eastAsia="仿宋_GB2312" w:cs="Times New Roman"/>
          <w:color w:val="auto"/>
          <w:sz w:val="32"/>
          <w:szCs w:val="32"/>
          <w:lang w:val="en-US" w:eastAsia="zh-CN"/>
        </w:rPr>
        <w:t>17.51</w:t>
      </w:r>
      <w:r>
        <w:rPr>
          <w:rFonts w:hint="default" w:ascii="Times New Roman" w:hAnsi="Times New Roman" w:eastAsia="仿宋_GB2312" w:cs="Times New Roman"/>
          <w:color w:val="auto"/>
          <w:sz w:val="32"/>
          <w:szCs w:val="32"/>
          <w:lang w:eastAsia="zh-CN"/>
        </w:rPr>
        <w:t>%。主要变动原因是2022年初补发街办财政全额保障事业单位在编在职人员2020年度绩效奖，预兑现离退休人员2021年度生活补助，补发2021年10月至2022年2月基本工资调标部分，另年度优秀、三等功人员奖励金、补充医疗保险增量，以及项目新增工程类项目—河石坝养老综合体项目。</w:t>
      </w:r>
    </w:p>
    <w:p w14:paraId="5F822C23">
      <w:pPr>
        <w:spacing w:line="600" w:lineRule="exact"/>
        <w:jc w:val="both"/>
        <w:rPr>
          <w:rFonts w:hint="default" w:ascii="Times New Roman" w:hAnsi="Times New Roman" w:eastAsia="仿宋" w:cs="Times New Roman"/>
          <w:color w:val="000000" w:themeColor="text1"/>
          <w:sz w:val="32"/>
          <w:szCs w:val="32"/>
          <w:lang w:eastAsia="zh-CN"/>
          <w14:textFill>
            <w14:solidFill>
              <w14:schemeClr w14:val="tx1"/>
            </w14:solidFill>
          </w14:textFill>
        </w:rPr>
      </w:pPr>
    </w:p>
    <w:p w14:paraId="0628B012">
      <w:pPr>
        <w:pStyle w:val="2"/>
        <w:rPr>
          <w:rFonts w:hint="default" w:ascii="Times New Roman" w:hAnsi="Times New Roman" w:cs="Times New Roman"/>
          <w:color w:val="000000" w:themeColor="text1"/>
          <w:lang w:eastAsia="zh-CN"/>
          <w14:textFill>
            <w14:solidFill>
              <w14:schemeClr w14:val="tx1"/>
            </w14:solidFill>
          </w14:textFill>
        </w:rPr>
      </w:pPr>
    </w:p>
    <w:p w14:paraId="6B5D6BCC">
      <w:pPr>
        <w:spacing w:line="600" w:lineRule="exact"/>
        <w:jc w:val="center"/>
        <w:rPr>
          <w:rFonts w:hint="default" w:ascii="Times New Roman" w:hAnsi="Times New Roman" w:eastAsia="仿宋" w:cs="Times New Roman"/>
          <w:color w:val="000000" w:themeColor="text1"/>
          <w:sz w:val="32"/>
          <w:szCs w:val="32"/>
          <w:lang w:eastAsia="zh-CN"/>
          <w14:textFill>
            <w14:solidFill>
              <w14:schemeClr w14:val="tx1"/>
            </w14:solidFill>
          </w14:textFill>
        </w:rPr>
      </w:pPr>
    </w:p>
    <w:p w14:paraId="53FDAEFD">
      <w:pPr>
        <w:spacing w:line="600" w:lineRule="exact"/>
        <w:jc w:val="center"/>
        <w:rPr>
          <w:rFonts w:hint="default" w:ascii="Times New Roman" w:hAnsi="Times New Roman" w:eastAsia="仿宋" w:cs="Times New Roman"/>
          <w:color w:val="000000" w:themeColor="text1"/>
          <w:sz w:val="32"/>
          <w:szCs w:val="32"/>
          <w:lang w:eastAsia="zh-CN"/>
          <w14:textFill>
            <w14:solidFill>
              <w14:schemeClr w14:val="tx1"/>
            </w14:solidFill>
          </w14:textFill>
        </w:rPr>
      </w:pPr>
      <w:r>
        <w:rPr>
          <w:rFonts w:hint="default" w:ascii="Times New Roman" w:hAnsi="Times New Roman" w:cs="Times New Roman"/>
          <w:color w:val="000000" w:themeColor="text1"/>
          <w:sz w:val="32"/>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4061460</wp:posOffset>
                </wp:positionH>
                <wp:positionV relativeFrom="paragraph">
                  <wp:posOffset>71755</wp:posOffset>
                </wp:positionV>
                <wp:extent cx="959485" cy="322580"/>
                <wp:effectExtent l="0" t="0" r="12065" b="1270"/>
                <wp:wrapNone/>
                <wp:docPr id="11" name="文本框 11"/>
                <wp:cNvGraphicFramePr/>
                <a:graphic xmlns:a="http://schemas.openxmlformats.org/drawingml/2006/main">
                  <a:graphicData uri="http://schemas.microsoft.com/office/word/2010/wordprocessingShape">
                    <wps:wsp>
                      <wps:cNvSpPr txBox="1"/>
                      <wps:spPr>
                        <a:xfrm>
                          <a:off x="0" y="0"/>
                          <a:ext cx="959485" cy="3225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D7A7CD9">
                            <w:pPr>
                              <w:rPr>
                                <w:rFonts w:hint="eastAsia" w:ascii="仿宋" w:hAnsi="仿宋" w:eastAsia="仿宋" w:cs="仿宋"/>
                                <w:b w:val="0"/>
                                <w:bCs w:val="0"/>
                                <w:color w:val="auto"/>
                                <w:lang w:eastAsia="zh-CN"/>
                              </w:rPr>
                            </w:pPr>
                            <w:r>
                              <w:rPr>
                                <w:rFonts w:hint="eastAsia" w:ascii="仿宋" w:hAnsi="仿宋" w:eastAsia="仿宋" w:cs="仿宋"/>
                                <w:b w:val="0"/>
                                <w:bCs w:val="0"/>
                                <w:color w:val="auto"/>
                                <w:lang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9.8pt;margin-top:5.65pt;height:25.4pt;width:75.55pt;z-index:251663360;mso-width-relative:page;mso-height-relative:page;" fillcolor="#FFFFFF [3201]" filled="t" stroked="f" coordsize="21600,21600" o:gfxdata="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Ivkw1rUAAAACQEAAA8AAAAA&#10;AAAAAQAgAAAAIgAAAGRycy9kb3ducmV2LnhtbFBLAQIUABQAAAAIAIdO4kA7AI8XUQIAAJAEAAAO&#10;AAAAAAAAAAEAIAAAACMBAABkcnMvZTJvRG9jLnhtbFBLBQYAAAAABgAGAFkBAADmBQAAAAA=&#10;">
                <v:fill on="t" focussize="0,0"/>
                <v:stroke on="f" weight="0.5pt"/>
                <v:imagedata o:title=""/>
                <o:lock v:ext="edit" aspectratio="f"/>
                <v:textbox>
                  <w:txbxContent>
                    <w:p w14:paraId="5D7A7CD9">
                      <w:pPr>
                        <w:rPr>
                          <w:rFonts w:hint="eastAsia" w:ascii="仿宋" w:hAnsi="仿宋" w:eastAsia="仿宋" w:cs="仿宋"/>
                          <w:b w:val="0"/>
                          <w:bCs w:val="0"/>
                          <w:color w:val="auto"/>
                          <w:lang w:eastAsia="zh-CN"/>
                        </w:rPr>
                      </w:pPr>
                      <w:r>
                        <w:rPr>
                          <w:rFonts w:hint="eastAsia" w:ascii="仿宋" w:hAnsi="仿宋" w:eastAsia="仿宋" w:cs="仿宋"/>
                          <w:b w:val="0"/>
                          <w:bCs w:val="0"/>
                          <w:color w:val="auto"/>
                          <w:lang w:eastAsia="zh-CN"/>
                        </w:rPr>
                        <w:t>单位：万元</w:t>
                      </w:r>
                    </w:p>
                  </w:txbxContent>
                </v:textbox>
              </v:shape>
            </w:pict>
          </mc:Fallback>
        </mc:AlternateContent>
      </w:r>
    </w:p>
    <w:p w14:paraId="7E018511">
      <w:pPr>
        <w:spacing w:line="600" w:lineRule="exact"/>
        <w:jc w:val="center"/>
        <w:rPr>
          <w:rFonts w:hint="default" w:ascii="Times New Roman" w:hAnsi="Times New Roman" w:eastAsia="仿宋" w:cs="Times New Roman"/>
          <w:color w:val="000000" w:themeColor="text1"/>
          <w:sz w:val="32"/>
          <w:szCs w:val="32"/>
          <w:lang w:eastAsia="zh-CN"/>
          <w14:textFill>
            <w14:solidFill>
              <w14:schemeClr w14:val="tx1"/>
            </w14:solidFill>
          </w14:textFill>
        </w:rPr>
      </w:pPr>
    </w:p>
    <w:p w14:paraId="046C1A39">
      <w:pPr>
        <w:pStyle w:val="6"/>
        <w:rPr>
          <w:rFonts w:hint="default" w:ascii="Times New Roman" w:hAnsi="Times New Roman" w:eastAsia="仿宋" w:cs="Times New Roman"/>
          <w:color w:val="000000" w:themeColor="text1"/>
          <w:sz w:val="32"/>
          <w:szCs w:val="32"/>
          <w:lang w:eastAsia="zh-CN"/>
          <w14:textFill>
            <w14:solidFill>
              <w14:schemeClr w14:val="tx1"/>
            </w14:solidFill>
          </w14:textFill>
        </w:rPr>
      </w:pPr>
    </w:p>
    <w:p w14:paraId="42A4338E">
      <w:pPr>
        <w:pStyle w:val="6"/>
        <w:ind w:left="0" w:leftChars="0" w:firstLine="0" w:firstLineChars="0"/>
        <w:rPr>
          <w:rFonts w:hint="default" w:ascii="Times New Roman" w:hAnsi="Times New Roman" w:eastAsia="仿宋" w:cs="Times New Roman"/>
          <w:color w:val="000000" w:themeColor="text1"/>
          <w:sz w:val="32"/>
          <w:szCs w:val="32"/>
          <w:lang w:eastAsia="zh-CN"/>
          <w14:textFill>
            <w14:solidFill>
              <w14:schemeClr w14:val="tx1"/>
            </w14:solidFill>
          </w14:textFill>
        </w:rPr>
      </w:pPr>
    </w:p>
    <w:p w14:paraId="2BEB9E03">
      <w:pPr>
        <w:spacing w:line="600" w:lineRule="exact"/>
        <w:jc w:val="center"/>
        <w:rPr>
          <w:rFonts w:hint="default" w:ascii="Times New Roman" w:hAnsi="Times New Roman" w:eastAsia="仿宋" w:cs="Times New Roman"/>
          <w:color w:val="000000" w:themeColor="text1"/>
          <w:sz w:val="32"/>
          <w:szCs w:val="32"/>
          <w:lang w:eastAsia="zh-CN"/>
          <w14:textFill>
            <w14:solidFill>
              <w14:schemeClr w14:val="tx1"/>
            </w14:solidFill>
          </w14:textFill>
        </w:rPr>
      </w:pPr>
    </w:p>
    <w:p w14:paraId="1CCCA38A">
      <w:pPr>
        <w:pStyle w:val="6"/>
        <w:rPr>
          <w:rFonts w:hint="default" w:ascii="Times New Roman" w:hAnsi="Times New Roman" w:eastAsia="仿宋" w:cs="Times New Roman"/>
          <w:color w:val="000000" w:themeColor="text1"/>
          <w:sz w:val="32"/>
          <w:szCs w:val="32"/>
          <w:lang w:eastAsia="zh-CN"/>
          <w14:textFill>
            <w14:solidFill>
              <w14:schemeClr w14:val="tx1"/>
            </w14:solidFill>
          </w14:textFill>
        </w:rPr>
      </w:pPr>
    </w:p>
    <w:p w14:paraId="3509844A">
      <w:pPr>
        <w:pStyle w:val="6"/>
        <w:rPr>
          <w:rFonts w:hint="default" w:ascii="Times New Roman" w:hAnsi="Times New Roman" w:eastAsia="仿宋" w:cs="Times New Roman"/>
          <w:color w:val="000000" w:themeColor="text1"/>
          <w:sz w:val="32"/>
          <w:szCs w:val="32"/>
          <w:lang w:eastAsia="zh-CN"/>
          <w14:textFill>
            <w14:solidFill>
              <w14:schemeClr w14:val="tx1"/>
            </w14:solidFill>
          </w14:textFill>
        </w:rPr>
      </w:pPr>
    </w:p>
    <w:p w14:paraId="62EA8E9B">
      <w:pPr>
        <w:spacing w:line="600" w:lineRule="exact"/>
        <w:jc w:val="center"/>
        <w:rPr>
          <w:rFonts w:hint="default" w:ascii="Times New Roman" w:hAnsi="Times New Roman" w:eastAsia="仿宋" w:cs="Times New Roman"/>
          <w:color w:val="000000" w:themeColor="text1"/>
          <w:sz w:val="32"/>
          <w:szCs w:val="32"/>
          <w:lang w:eastAsia="zh-CN"/>
          <w14:textFill>
            <w14:solidFill>
              <w14:schemeClr w14:val="tx1"/>
            </w14:solidFill>
          </w14:textFill>
        </w:rPr>
      </w:pPr>
    </w:p>
    <w:p w14:paraId="1D0D82C8">
      <w:pPr>
        <w:spacing w:line="600" w:lineRule="exact"/>
        <w:jc w:val="center"/>
        <w:rPr>
          <w:rFonts w:hint="default" w:ascii="Times New Roman" w:hAnsi="Times New Roman" w:eastAsia="仿宋" w:cs="Times New Roman"/>
          <w:color w:val="000000" w:themeColor="text1"/>
          <w:sz w:val="32"/>
          <w:szCs w:val="32"/>
          <w:lang w:eastAsia="zh-CN"/>
          <w14:textFill>
            <w14:solidFill>
              <w14:schemeClr w14:val="tx1"/>
            </w14:solidFill>
          </w14:textFill>
        </w:rPr>
      </w:pPr>
      <w:r>
        <w:rPr>
          <w:rFonts w:hint="default" w:ascii="Times New Roman" w:hAnsi="Times New Roman" w:eastAsia="仿宋" w:cs="Times New Roman"/>
          <w:color w:val="000000" w:themeColor="text1"/>
          <w:sz w:val="32"/>
          <w:szCs w:val="32"/>
          <w:lang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108585</wp:posOffset>
            </wp:positionH>
            <wp:positionV relativeFrom="page">
              <wp:posOffset>979805</wp:posOffset>
            </wp:positionV>
            <wp:extent cx="5051425" cy="3722370"/>
            <wp:effectExtent l="5080" t="4445" r="10795" b="698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1710CA2">
      <w:pPr>
        <w:spacing w:line="60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（图5：一般公共预算财政拨款支出决算变动情况）</w:t>
      </w:r>
    </w:p>
    <w:p w14:paraId="16926ED0">
      <w:pPr>
        <w:spacing w:line="600" w:lineRule="exact"/>
        <w:ind w:firstLine="643" w:firstLineChars="200"/>
        <w:outlineLvl w:val="2"/>
        <w:rPr>
          <w:rFonts w:hint="default" w:ascii="Times New Roman" w:hAnsi="Times New Roman" w:eastAsia="仿宋" w:cs="Times New Roman"/>
          <w:b/>
          <w:color w:val="000000" w:themeColor="text1"/>
          <w:sz w:val="32"/>
          <w:szCs w:val="32"/>
          <w14:textFill>
            <w14:solidFill>
              <w14:schemeClr w14:val="tx1"/>
            </w14:solidFill>
          </w14:textFill>
        </w:rPr>
      </w:pPr>
      <w:bookmarkStart w:id="37" w:name="_Toc15377211"/>
      <w:r>
        <w:rPr>
          <w:rFonts w:hint="default" w:ascii="Times New Roman" w:hAnsi="Times New Roman" w:eastAsia="仿宋" w:cs="Times New Roman"/>
          <w:b/>
          <w:color w:val="000000" w:themeColor="text1"/>
          <w:sz w:val="32"/>
          <w:szCs w:val="32"/>
          <w14:textFill>
            <w14:solidFill>
              <w14:schemeClr w14:val="tx1"/>
            </w14:solidFill>
          </w14:textFill>
        </w:rPr>
        <w:t>（二）一般公共预算财政拨款支出决算结构情况</w:t>
      </w:r>
      <w:bookmarkEnd w:id="37"/>
    </w:p>
    <w:p w14:paraId="6340515D">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2022年一般公共预算财政拨款支出990.94万元，主要用于以下方面:</w:t>
      </w:r>
      <w:r>
        <w:rPr>
          <w:rFonts w:hint="default" w:ascii="Times New Roman" w:hAnsi="Times New Roman" w:eastAsia="仿宋" w:cs="Times New Roman"/>
          <w:b/>
          <w:color w:val="000000" w:themeColor="text1"/>
          <w:sz w:val="32"/>
          <w:szCs w:val="32"/>
          <w14:textFill>
            <w14:solidFill>
              <w14:schemeClr w14:val="tx1"/>
            </w14:solidFill>
          </w14:textFill>
        </w:rPr>
        <w:t>一般公共服务</w:t>
      </w:r>
      <w:r>
        <w:rPr>
          <w:rFonts w:hint="default" w:ascii="Times New Roman" w:hAnsi="Times New Roman" w:eastAsia="仿宋" w:cs="Times New Roman"/>
          <w:b/>
          <w:bCs/>
          <w:color w:val="000000" w:themeColor="text1"/>
          <w:sz w:val="32"/>
          <w:szCs w:val="32"/>
          <w14:textFill>
            <w14:solidFill>
              <w14:schemeClr w14:val="tx1"/>
            </w14:solidFill>
          </w14:textFill>
        </w:rPr>
        <w:t>支出</w:t>
      </w:r>
      <w:r>
        <w:rPr>
          <w:rFonts w:hint="default" w:ascii="Times New Roman" w:hAnsi="Times New Roman" w:eastAsia="仿宋_GB2312" w:cs="Times New Roman"/>
          <w:color w:val="auto"/>
          <w:kern w:val="0"/>
          <w:sz w:val="32"/>
          <w:szCs w:val="32"/>
          <w:lang w:val="en-US" w:eastAsia="zh-CN" w:bidi="ar-SA"/>
        </w:rPr>
        <w:t>697.00万元，占70.34%；</w:t>
      </w:r>
      <w:r>
        <w:rPr>
          <w:rFonts w:hint="default" w:ascii="Times New Roman" w:hAnsi="Times New Roman" w:eastAsia="仿宋" w:cs="Times New Roman"/>
          <w:b/>
          <w:color w:val="000000" w:themeColor="text1"/>
          <w:sz w:val="32"/>
          <w:szCs w:val="32"/>
          <w:lang w:val="en-US" w:eastAsia="zh-CN"/>
          <w14:textFill>
            <w14:solidFill>
              <w14:schemeClr w14:val="tx1"/>
            </w14:solidFill>
          </w14:textFill>
        </w:rPr>
        <w:t>教育支出</w:t>
      </w:r>
      <w:r>
        <w:rPr>
          <w:rFonts w:hint="default" w:ascii="Times New Roman" w:hAnsi="Times New Roman" w:eastAsia="仿宋_GB2312" w:cs="Times New Roman"/>
          <w:color w:val="auto"/>
          <w:kern w:val="0"/>
          <w:sz w:val="32"/>
          <w:szCs w:val="32"/>
          <w:lang w:val="en-US" w:eastAsia="zh-CN" w:bidi="ar-SA"/>
        </w:rPr>
        <w:t>0万元，占0%；</w:t>
      </w:r>
      <w:r>
        <w:rPr>
          <w:rFonts w:hint="default" w:ascii="Times New Roman" w:hAnsi="Times New Roman" w:eastAsia="仿宋" w:cs="Times New Roman"/>
          <w:b/>
          <w:color w:val="000000" w:themeColor="text1"/>
          <w:sz w:val="32"/>
          <w:szCs w:val="32"/>
          <w:lang w:val="en-US" w:eastAsia="zh-CN"/>
          <w14:textFill>
            <w14:solidFill>
              <w14:schemeClr w14:val="tx1"/>
            </w14:solidFill>
          </w14:textFill>
        </w:rPr>
        <w:t>科学技术支出</w:t>
      </w:r>
      <w:r>
        <w:rPr>
          <w:rFonts w:hint="default" w:ascii="Times New Roman" w:hAnsi="Times New Roman" w:eastAsia="仿宋_GB2312" w:cs="Times New Roman"/>
          <w:color w:val="auto"/>
          <w:kern w:val="0"/>
          <w:sz w:val="32"/>
          <w:szCs w:val="32"/>
          <w:lang w:val="en-US" w:eastAsia="zh-CN" w:bidi="ar-SA"/>
        </w:rPr>
        <w:t>0万元，占0%；</w:t>
      </w:r>
      <w:r>
        <w:rPr>
          <w:rFonts w:hint="default" w:ascii="Times New Roman" w:hAnsi="Times New Roman" w:eastAsia="仿宋" w:cs="Times New Roman"/>
          <w:b/>
          <w:color w:val="000000" w:themeColor="text1"/>
          <w:sz w:val="32"/>
          <w:szCs w:val="32"/>
          <w:lang w:val="en-US" w:eastAsia="zh-CN"/>
          <w14:textFill>
            <w14:solidFill>
              <w14:schemeClr w14:val="tx1"/>
            </w14:solidFill>
          </w14:textFill>
        </w:rPr>
        <w:t>文化旅游体育与传媒支出</w:t>
      </w:r>
      <w:r>
        <w:rPr>
          <w:rFonts w:hint="default" w:ascii="Times New Roman" w:hAnsi="Times New Roman" w:eastAsia="仿宋_GB2312" w:cs="Times New Roman"/>
          <w:color w:val="auto"/>
          <w:kern w:val="0"/>
          <w:sz w:val="32"/>
          <w:szCs w:val="32"/>
          <w:lang w:val="en-US" w:eastAsia="zh-CN" w:bidi="ar-SA"/>
        </w:rPr>
        <w:t>6.06万元，占0.61%；</w:t>
      </w:r>
      <w:r>
        <w:rPr>
          <w:rFonts w:hint="default" w:ascii="Times New Roman" w:hAnsi="Times New Roman" w:eastAsia="仿宋" w:cs="Times New Roman"/>
          <w:b/>
          <w:color w:val="000000" w:themeColor="text1"/>
          <w:sz w:val="32"/>
          <w:szCs w:val="32"/>
          <w:lang w:val="en-US" w:eastAsia="zh-CN"/>
          <w14:textFill>
            <w14:solidFill>
              <w14:schemeClr w14:val="tx1"/>
            </w14:solidFill>
          </w14:textFill>
        </w:rPr>
        <w:t>社会保障和就业支出</w:t>
      </w:r>
      <w:r>
        <w:rPr>
          <w:rFonts w:hint="default" w:ascii="Times New Roman" w:hAnsi="Times New Roman" w:eastAsia="仿宋_GB2312" w:cs="Times New Roman"/>
          <w:color w:val="auto"/>
          <w:kern w:val="0"/>
          <w:sz w:val="32"/>
          <w:szCs w:val="32"/>
          <w:lang w:val="en-US" w:eastAsia="zh-CN" w:bidi="ar-SA"/>
        </w:rPr>
        <w:t>240.24万元，占24.24%；</w:t>
      </w:r>
      <w:r>
        <w:rPr>
          <w:rFonts w:hint="default" w:ascii="Times New Roman" w:hAnsi="Times New Roman" w:eastAsia="仿宋" w:cs="Times New Roman"/>
          <w:b/>
          <w:color w:val="000000" w:themeColor="text1"/>
          <w:sz w:val="32"/>
          <w:szCs w:val="32"/>
          <w:lang w:val="en-US" w:eastAsia="zh-CN"/>
          <w14:textFill>
            <w14:solidFill>
              <w14:schemeClr w14:val="tx1"/>
            </w14:solidFill>
          </w14:textFill>
        </w:rPr>
        <w:t>农林水支出</w:t>
      </w:r>
      <w:r>
        <w:rPr>
          <w:rFonts w:hint="default" w:ascii="Times New Roman" w:hAnsi="Times New Roman" w:eastAsia="仿宋_GB2312" w:cs="Times New Roman"/>
          <w:color w:val="auto"/>
          <w:kern w:val="0"/>
          <w:sz w:val="32"/>
          <w:szCs w:val="32"/>
          <w:lang w:val="en-US" w:eastAsia="zh-CN" w:bidi="ar-SA"/>
        </w:rPr>
        <w:t>8.12万元，占0.82%；</w:t>
      </w:r>
      <w:r>
        <w:rPr>
          <w:rFonts w:hint="default" w:ascii="Times New Roman" w:hAnsi="Times New Roman" w:eastAsia="仿宋" w:cs="Times New Roman"/>
          <w:b/>
          <w:color w:val="000000" w:themeColor="text1"/>
          <w:sz w:val="32"/>
          <w:szCs w:val="32"/>
          <w:lang w:val="en-US" w:eastAsia="zh-CN"/>
          <w14:textFill>
            <w14:solidFill>
              <w14:schemeClr w14:val="tx1"/>
            </w14:solidFill>
          </w14:textFill>
        </w:rPr>
        <w:t>卫生健康支出</w:t>
      </w:r>
      <w:r>
        <w:rPr>
          <w:rFonts w:hint="default" w:ascii="Times New Roman" w:hAnsi="Times New Roman" w:eastAsia="仿宋_GB2312" w:cs="Times New Roman"/>
          <w:color w:val="auto"/>
          <w:kern w:val="0"/>
          <w:sz w:val="32"/>
          <w:szCs w:val="32"/>
          <w:lang w:val="en-US" w:eastAsia="zh-CN" w:bidi="ar-SA"/>
        </w:rPr>
        <w:t>17.33万元，占1.75%；</w:t>
      </w:r>
      <w:r>
        <w:rPr>
          <w:rFonts w:hint="default" w:ascii="Times New Roman" w:hAnsi="Times New Roman" w:eastAsia="仿宋" w:cs="Times New Roman"/>
          <w:b/>
          <w:color w:val="000000" w:themeColor="text1"/>
          <w:sz w:val="32"/>
          <w:szCs w:val="32"/>
          <w:lang w:val="en-US" w:eastAsia="zh-CN"/>
          <w14:textFill>
            <w14:solidFill>
              <w14:schemeClr w14:val="tx1"/>
            </w14:solidFill>
          </w14:textFill>
        </w:rPr>
        <w:t>住房保障支出</w:t>
      </w:r>
      <w:r>
        <w:rPr>
          <w:rFonts w:hint="default" w:ascii="Times New Roman" w:hAnsi="Times New Roman" w:eastAsia="仿宋_GB2312" w:cs="Times New Roman"/>
          <w:color w:val="auto"/>
          <w:kern w:val="0"/>
          <w:sz w:val="32"/>
          <w:szCs w:val="32"/>
          <w:lang w:val="en-US" w:eastAsia="zh-CN" w:bidi="ar-SA"/>
        </w:rPr>
        <w:t>22.2万元，占2.24%。</w:t>
      </w:r>
    </w:p>
    <w:p w14:paraId="2B464A0E">
      <w:pPr>
        <w:pStyle w:val="6"/>
        <w:ind w:left="0" w:leftChars="0" w:firstLine="0" w:firstLineChars="0"/>
        <w:rPr>
          <w:rFonts w:hint="default" w:ascii="Times New Roman" w:hAnsi="Times New Roman" w:eastAsia="仿宋" w:cs="Times New Roman"/>
          <w:b/>
          <w:color w:val="000000" w:themeColor="text1"/>
          <w:sz w:val="32"/>
          <w:szCs w:val="32"/>
          <w14:textFill>
            <w14:solidFill>
              <w14:schemeClr w14:val="tx1"/>
            </w14:solidFill>
          </w14:textFill>
        </w:rPr>
      </w:pPr>
    </w:p>
    <w:p w14:paraId="5820A786">
      <w:pPr>
        <w:pStyle w:val="6"/>
        <w:ind w:left="0" w:leftChars="0" w:firstLine="0" w:firstLineChars="0"/>
        <w:rPr>
          <w:rFonts w:hint="default" w:ascii="Times New Roman" w:hAnsi="Times New Roman" w:eastAsia="仿宋" w:cs="Times New Roman"/>
          <w:b/>
          <w:color w:val="000000" w:themeColor="text1"/>
          <w:sz w:val="32"/>
          <w:szCs w:val="32"/>
          <w14:textFill>
            <w14:solidFill>
              <w14:schemeClr w14:val="tx1"/>
            </w14:solidFill>
          </w14:textFill>
        </w:rPr>
      </w:pPr>
    </w:p>
    <w:p w14:paraId="1AC7505C">
      <w:pPr>
        <w:pStyle w:val="6"/>
        <w:rPr>
          <w:rFonts w:hint="default" w:ascii="Times New Roman" w:hAnsi="Times New Roman" w:eastAsia="仿宋" w:cs="Times New Roman"/>
          <w:b/>
          <w:color w:val="000000" w:themeColor="text1"/>
          <w:sz w:val="32"/>
          <w:szCs w:val="32"/>
          <w14:textFill>
            <w14:solidFill>
              <w14:schemeClr w14:val="tx1"/>
            </w14:solidFill>
          </w14:textFill>
        </w:rPr>
      </w:pPr>
    </w:p>
    <w:p w14:paraId="4783F885">
      <w:pPr>
        <w:pStyle w:val="6"/>
        <w:rPr>
          <w:rFonts w:hint="default" w:ascii="Times New Roman" w:hAnsi="Times New Roman" w:eastAsia="仿宋" w:cs="Times New Roman"/>
          <w:b/>
          <w:color w:val="000000" w:themeColor="text1"/>
          <w:sz w:val="32"/>
          <w:szCs w:val="32"/>
          <w14:textFill>
            <w14:solidFill>
              <w14:schemeClr w14:val="tx1"/>
            </w14:solidFill>
          </w14:textFill>
        </w:rPr>
      </w:pPr>
    </w:p>
    <w:p w14:paraId="693D1EBD">
      <w:pPr>
        <w:pStyle w:val="6"/>
        <w:rPr>
          <w:rFonts w:hint="default" w:ascii="Times New Roman" w:hAnsi="Times New Roman" w:eastAsia="仿宋" w:cs="Times New Roman"/>
          <w:b/>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lang w:eastAsia="zh-CN"/>
          <w14:textFill>
            <w14:solidFill>
              <w14:schemeClr w14:val="tx1"/>
            </w14:solidFill>
          </w14:textFill>
        </w:rPr>
        <w:drawing>
          <wp:anchor distT="0" distB="0" distL="114300" distR="114300" simplePos="0" relativeHeight="251660288" behindDoc="0" locked="0" layoutInCell="1" allowOverlap="1">
            <wp:simplePos x="0" y="0"/>
            <wp:positionH relativeFrom="column">
              <wp:posOffset>106045</wp:posOffset>
            </wp:positionH>
            <wp:positionV relativeFrom="page">
              <wp:posOffset>958215</wp:posOffset>
            </wp:positionV>
            <wp:extent cx="5080000" cy="3810000"/>
            <wp:effectExtent l="4445" t="4445" r="20955" b="1460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D67B23B">
      <w:pPr>
        <w:pStyle w:val="6"/>
        <w:rPr>
          <w:rFonts w:hint="default" w:ascii="Times New Roman" w:hAnsi="Times New Roman" w:eastAsia="仿宋" w:cs="Times New Roman"/>
          <w:b/>
          <w:color w:val="000000" w:themeColor="text1"/>
          <w:sz w:val="32"/>
          <w:szCs w:val="32"/>
          <w14:textFill>
            <w14:solidFill>
              <w14:schemeClr w14:val="tx1"/>
            </w14:solidFill>
          </w14:textFill>
        </w:rPr>
      </w:pPr>
    </w:p>
    <w:p w14:paraId="3F38C5F1">
      <w:pPr>
        <w:pStyle w:val="6"/>
        <w:rPr>
          <w:rFonts w:hint="default" w:ascii="Times New Roman" w:hAnsi="Times New Roman" w:eastAsia="仿宋" w:cs="Times New Roman"/>
          <w:b/>
          <w:color w:val="000000" w:themeColor="text1"/>
          <w:sz w:val="32"/>
          <w:szCs w:val="32"/>
          <w14:textFill>
            <w14:solidFill>
              <w14:schemeClr w14:val="tx1"/>
            </w14:solidFill>
          </w14:textFill>
        </w:rPr>
      </w:pPr>
    </w:p>
    <w:p w14:paraId="6BB81CEB">
      <w:pPr>
        <w:pStyle w:val="6"/>
        <w:rPr>
          <w:rFonts w:hint="default" w:ascii="Times New Roman" w:hAnsi="Times New Roman" w:eastAsia="仿宋" w:cs="Times New Roman"/>
          <w:b/>
          <w:color w:val="000000" w:themeColor="text1"/>
          <w:sz w:val="32"/>
          <w:szCs w:val="32"/>
          <w14:textFill>
            <w14:solidFill>
              <w14:schemeClr w14:val="tx1"/>
            </w14:solidFill>
          </w14:textFill>
        </w:rPr>
      </w:pPr>
    </w:p>
    <w:p w14:paraId="3E5378BB">
      <w:pPr>
        <w:pStyle w:val="6"/>
        <w:rPr>
          <w:rFonts w:hint="default" w:ascii="Times New Roman" w:hAnsi="Times New Roman" w:eastAsia="仿宋" w:cs="Times New Roman"/>
          <w:b/>
          <w:color w:val="000000" w:themeColor="text1"/>
          <w:sz w:val="32"/>
          <w:szCs w:val="32"/>
          <w14:textFill>
            <w14:solidFill>
              <w14:schemeClr w14:val="tx1"/>
            </w14:solidFill>
          </w14:textFill>
        </w:rPr>
      </w:pPr>
    </w:p>
    <w:p w14:paraId="431E138D">
      <w:pPr>
        <w:pStyle w:val="6"/>
        <w:rPr>
          <w:rFonts w:hint="default" w:ascii="Times New Roman" w:hAnsi="Times New Roman" w:eastAsia="仿宋" w:cs="Times New Roman"/>
          <w:b/>
          <w:color w:val="000000" w:themeColor="text1"/>
          <w:sz w:val="32"/>
          <w:szCs w:val="32"/>
          <w14:textFill>
            <w14:solidFill>
              <w14:schemeClr w14:val="tx1"/>
            </w14:solidFill>
          </w14:textFill>
        </w:rPr>
      </w:pPr>
    </w:p>
    <w:p w14:paraId="07D1AFCA">
      <w:pPr>
        <w:pStyle w:val="6"/>
        <w:ind w:left="0" w:leftChars="0" w:firstLine="0" w:firstLineChars="0"/>
        <w:rPr>
          <w:rFonts w:hint="default" w:ascii="Times New Roman" w:hAnsi="Times New Roman" w:eastAsia="仿宋" w:cs="Times New Roman"/>
          <w:b/>
          <w:color w:val="000000" w:themeColor="text1"/>
          <w:sz w:val="32"/>
          <w:szCs w:val="32"/>
          <w14:textFill>
            <w14:solidFill>
              <w14:schemeClr w14:val="tx1"/>
            </w14:solidFill>
          </w14:textFill>
        </w:rPr>
      </w:pPr>
    </w:p>
    <w:p w14:paraId="768E20A1">
      <w:pPr>
        <w:pStyle w:val="6"/>
        <w:rPr>
          <w:rFonts w:hint="default" w:ascii="Times New Roman" w:hAnsi="Times New Roman" w:eastAsia="仿宋" w:cs="Times New Roman"/>
          <w:b/>
          <w:color w:val="000000" w:themeColor="text1"/>
          <w:sz w:val="32"/>
          <w:szCs w:val="32"/>
          <w14:textFill>
            <w14:solidFill>
              <w14:schemeClr w14:val="tx1"/>
            </w14:solidFill>
          </w14:textFill>
        </w:rPr>
      </w:pPr>
    </w:p>
    <w:p w14:paraId="1504CA6E">
      <w:pPr>
        <w:spacing w:line="600" w:lineRule="exact"/>
        <w:rPr>
          <w:rFonts w:hint="default" w:ascii="Times New Roman" w:hAnsi="Times New Roman" w:eastAsia="仿宋" w:cs="Times New Roman"/>
          <w:color w:val="000000" w:themeColor="text1"/>
          <w:sz w:val="32"/>
          <w:szCs w:val="32"/>
          <w:lang w:eastAsia="zh-CN"/>
          <w14:textFill>
            <w14:solidFill>
              <w14:schemeClr w14:val="tx1"/>
            </w14:solidFill>
          </w14:textFill>
        </w:rPr>
      </w:pPr>
    </w:p>
    <w:p w14:paraId="7D3B12A7">
      <w:pPr>
        <w:spacing w:line="600" w:lineRule="exact"/>
        <w:rPr>
          <w:rFonts w:hint="default" w:ascii="Times New Roman" w:hAnsi="Times New Roman" w:eastAsia="仿宋" w:cs="Times New Roman"/>
          <w:color w:val="000000" w:themeColor="text1"/>
          <w:sz w:val="32"/>
          <w:szCs w:val="32"/>
          <w:lang w:eastAsia="zh-CN"/>
          <w14:textFill>
            <w14:solidFill>
              <w14:schemeClr w14:val="tx1"/>
            </w14:solidFill>
          </w14:textFill>
        </w:rPr>
      </w:pPr>
      <w:r>
        <w:rPr>
          <w:rFonts w:hint="default" w:ascii="Times New Roman" w:hAnsi="Times New Roman" w:eastAsia="仿宋" w:cs="Times New Roman"/>
          <w:color w:val="000000" w:themeColor="text1"/>
          <w:sz w:val="32"/>
          <w:szCs w:val="32"/>
          <w:lang w:val="en-US" w:eastAsia="zh-CN"/>
          <w14:textFill>
            <w14:solidFill>
              <w14:schemeClr w14:val="tx1"/>
            </w14:solidFill>
          </w14:textFill>
        </w:rPr>
        <w:t xml:space="preserve"> </w:t>
      </w:r>
    </w:p>
    <w:p w14:paraId="4A7024F7">
      <w:pPr>
        <w:spacing w:line="60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（图6：一般公共预算财政拨款支出决算结构）</w:t>
      </w:r>
    </w:p>
    <w:p w14:paraId="3AA2B735">
      <w:pPr>
        <w:spacing w:line="600" w:lineRule="exact"/>
        <w:ind w:firstLine="643" w:firstLineChars="200"/>
        <w:outlineLvl w:val="2"/>
        <w:rPr>
          <w:rFonts w:hint="default" w:ascii="Times New Roman" w:hAnsi="Times New Roman" w:eastAsia="仿宋" w:cs="Times New Roman"/>
          <w:b/>
          <w:color w:val="000000" w:themeColor="text1"/>
          <w:sz w:val="32"/>
          <w:szCs w:val="32"/>
          <w14:textFill>
            <w14:solidFill>
              <w14:schemeClr w14:val="tx1"/>
            </w14:solidFill>
          </w14:textFill>
        </w:rPr>
      </w:pPr>
      <w:bookmarkStart w:id="38" w:name="_Toc15377212"/>
      <w:r>
        <w:rPr>
          <w:rFonts w:hint="default" w:ascii="Times New Roman" w:hAnsi="Times New Roman" w:eastAsia="仿宋" w:cs="Times New Roman"/>
          <w:b/>
          <w:color w:val="000000" w:themeColor="text1"/>
          <w:sz w:val="32"/>
          <w:szCs w:val="32"/>
          <w14:textFill>
            <w14:solidFill>
              <w14:schemeClr w14:val="tx1"/>
            </w14:solidFill>
          </w14:textFill>
        </w:rPr>
        <w:t>（三）一般公共预算财政拨款支出决算具体情况</w:t>
      </w:r>
      <w:bookmarkEnd w:id="38"/>
    </w:p>
    <w:p w14:paraId="34082A55">
      <w:pPr>
        <w:spacing w:line="600" w:lineRule="exact"/>
        <w:ind w:firstLine="643" w:firstLineChars="200"/>
        <w:outlineLvl w:val="2"/>
        <w:rPr>
          <w:rFonts w:hint="default" w:ascii="Times New Roman" w:hAnsi="Times New Roman" w:eastAsia="仿宋" w:cs="Times New Roman"/>
          <w:color w:val="000000" w:themeColor="text1"/>
          <w:sz w:val="32"/>
          <w:szCs w:val="32"/>
          <w14:textFill>
            <w14:solidFill>
              <w14:schemeClr w14:val="tx1"/>
            </w14:solidFill>
          </w14:textFill>
        </w:rPr>
      </w:pPr>
      <w:bookmarkStart w:id="39" w:name="_Toc15377444"/>
      <w:bookmarkStart w:id="40" w:name="_Toc15378460"/>
      <w:bookmarkStart w:id="41" w:name="_Toc15377213"/>
      <w:r>
        <w:rPr>
          <w:rFonts w:hint="default" w:ascii="Times New Roman" w:hAnsi="Times New Roman" w:eastAsia="仿宋" w:cs="Times New Roman"/>
          <w:b/>
          <w:color w:val="000000" w:themeColor="text1"/>
          <w:sz w:val="32"/>
          <w:szCs w:val="32"/>
          <w14:textFill>
            <w14:solidFill>
              <w14:schemeClr w14:val="tx1"/>
            </w14:solidFill>
          </w14:textFill>
        </w:rPr>
        <w:t>2022年一般公共预算支出决算数为990.94</w:t>
      </w:r>
      <w:r>
        <w:rPr>
          <w:rFonts w:hint="default" w:ascii="Times New Roman" w:hAnsi="Times New Roman" w:eastAsia="仿宋" w:cs="Times New Roman"/>
          <w:b/>
          <w:color w:val="000000" w:themeColor="text1"/>
          <w:sz w:val="32"/>
          <w:szCs w:val="32"/>
          <w:lang w:val="en-US" w:eastAsia="zh-CN"/>
          <w14:textFill>
            <w14:solidFill>
              <w14:schemeClr w14:val="tx1"/>
            </w14:solidFill>
          </w14:textFill>
        </w:rPr>
        <w:t>万元</w:t>
      </w:r>
      <w:r>
        <w:rPr>
          <w:rFonts w:hint="default" w:ascii="Times New Roman" w:hAnsi="Times New Roman" w:eastAsia="仿宋" w:cs="Times New Roman"/>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14:textFill>
            <w14:solidFill>
              <w14:schemeClr w14:val="tx1"/>
            </w14:solidFill>
          </w14:textFill>
        </w:rPr>
        <w:t>完成预算</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Cs/>
          <w:color w:val="000000" w:themeColor="text1"/>
          <w:sz w:val="32"/>
          <w:szCs w:val="32"/>
          <w14:textFill>
            <w14:solidFill>
              <w14:schemeClr w14:val="tx1"/>
            </w14:solidFill>
          </w14:textFill>
        </w:rPr>
        <w:t>%。其中：</w:t>
      </w:r>
      <w:bookmarkEnd w:id="39"/>
      <w:bookmarkEnd w:id="40"/>
      <w:bookmarkEnd w:id="41"/>
    </w:p>
    <w:p w14:paraId="605F7D20">
      <w:pPr>
        <w:numPr>
          <w:ilvl w:val="0"/>
          <w:numId w:val="0"/>
        </w:num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一般公共服务（类）政府办公厅（室）及相关机构事务（款）行政运行（项）: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支出决算为115.5万元，完成预算100%。</w:t>
      </w:r>
    </w:p>
    <w:p w14:paraId="4C1F8783">
      <w:pPr>
        <w:numPr>
          <w:ilvl w:val="0"/>
          <w:numId w:val="0"/>
        </w:numPr>
        <w:spacing w:line="600" w:lineRule="exact"/>
        <w:ind w:firstLine="643" w:firstLineChars="200"/>
        <w:rPr>
          <w:rFonts w:hint="default" w:ascii="Times New Roman" w:hAnsi="Times New Roman" w:eastAsia="仿宋" w:cs="Times New Roman"/>
          <w:b/>
          <w:color w:val="000000" w:themeColor="text1"/>
          <w:sz w:val="32"/>
          <w:szCs w:val="32"/>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一般公共服务（类）政府办公厅（室）及相关机构事务（款）一般行政管理事务（项）: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支出决算为72.34万元，完成预算100%。</w:t>
      </w:r>
    </w:p>
    <w:p w14:paraId="13F4E0A9">
      <w:pPr>
        <w:numPr>
          <w:ilvl w:val="0"/>
          <w:numId w:val="0"/>
        </w:num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3.</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一般公共服务（类）政府办公厅（室）及相关机构事务（款）信访事务（项）: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支出决算为0.5万元，完成预算100%。</w:t>
      </w:r>
    </w:p>
    <w:p w14:paraId="6946BC0C">
      <w:pPr>
        <w:numPr>
          <w:ilvl w:val="0"/>
          <w:numId w:val="0"/>
        </w:num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4.</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一般公共服务（类）政府办公厅（室）及相关机构事务（款）事业运行（项）: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支出决算为115.77万元，完成预算100%。</w:t>
      </w:r>
    </w:p>
    <w:p w14:paraId="199C4651">
      <w:pPr>
        <w:numPr>
          <w:ilvl w:val="0"/>
          <w:numId w:val="0"/>
        </w:numPr>
        <w:spacing w:line="600" w:lineRule="exact"/>
        <w:ind w:firstLine="643" w:firstLineChars="200"/>
        <w:rPr>
          <w:rStyle w:val="19"/>
          <w:rFonts w:hint="default" w:ascii="Times New Roman" w:hAnsi="Times New Roman" w:eastAsia="仿宋" w:cs="Times New Roman"/>
          <w:b w:val="0"/>
          <w:bCs/>
          <w:color w:val="000000" w:themeColor="text1"/>
          <w:sz w:val="32"/>
          <w:szCs w:val="32"/>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5.</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一般公共服务（类）政府办公厅（室）及相关机构事务（款）其他政府办公厅（室）及相关机构事务支出（项）: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支出决算为334.17万元，完成预算100%。</w:t>
      </w:r>
    </w:p>
    <w:p w14:paraId="5F62FEAE">
      <w:pPr>
        <w:numPr>
          <w:ilvl w:val="0"/>
          <w:numId w:val="0"/>
        </w:numPr>
        <w:spacing w:line="600" w:lineRule="exact"/>
        <w:ind w:firstLine="643" w:firstLineChars="200"/>
        <w:rPr>
          <w:rStyle w:val="19"/>
          <w:rFonts w:hint="default" w:ascii="Times New Roman" w:hAnsi="Times New Roman" w:eastAsia="仿宋" w:cs="Times New Roman"/>
          <w:b w:val="0"/>
          <w:bCs/>
          <w:color w:val="000000" w:themeColor="text1"/>
          <w:sz w:val="32"/>
          <w:szCs w:val="32"/>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6.</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一般公共服务（类）统计信息事务（款）专项统计业务（项）: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支出决算为5.86万元，完成预算100%。</w:t>
      </w:r>
    </w:p>
    <w:p w14:paraId="4279A94E">
      <w:pPr>
        <w:numPr>
          <w:ilvl w:val="0"/>
          <w:numId w:val="0"/>
        </w:num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7.</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一般公共服务（类）纪检监察事务（款）其他纪检监察事务支出（项）: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支出决算为0.36万元，完成预算100%。</w:t>
      </w:r>
    </w:p>
    <w:p w14:paraId="23D154A7">
      <w:pPr>
        <w:numPr>
          <w:ilvl w:val="0"/>
          <w:numId w:val="0"/>
        </w:numPr>
        <w:spacing w:line="600" w:lineRule="exact"/>
        <w:ind w:firstLine="643" w:firstLineChars="200"/>
        <w:rPr>
          <w:rStyle w:val="19"/>
          <w:rFonts w:hint="default" w:ascii="Times New Roman" w:hAnsi="Times New Roman" w:eastAsia="仿宋" w:cs="Times New Roman"/>
          <w:b w:val="0"/>
          <w:bCs/>
          <w:color w:val="000000" w:themeColor="text1"/>
          <w:sz w:val="32"/>
          <w:szCs w:val="32"/>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8.</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一般公共服务（类）群众团体事务（款）一般行政管理事务（项）: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支出决算为0.4万元，完成预算100%。</w:t>
      </w:r>
    </w:p>
    <w:p w14:paraId="45CD9889">
      <w:pPr>
        <w:numPr>
          <w:ilvl w:val="0"/>
          <w:numId w:val="0"/>
        </w:num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9.</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一般公共服务（类）宣传事务（款）其他宣传事务支出（项）: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支出决算为44.12万元，完成预算100%。</w:t>
      </w:r>
    </w:p>
    <w:p w14:paraId="2E2D1ECA">
      <w:pPr>
        <w:numPr>
          <w:ilvl w:val="0"/>
          <w:numId w:val="0"/>
        </w:num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10.</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一般公共服务（类）其他共产党事务支出（款）一般行政管理事务（项）: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支出决算为4.97万元，完成预算100%。</w:t>
      </w:r>
    </w:p>
    <w:p w14:paraId="5D8B9764">
      <w:pPr>
        <w:numPr>
          <w:ilvl w:val="0"/>
          <w:numId w:val="0"/>
        </w:num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一般公共服务（类）其他一般公共服务支出（款）其他一般公共服务支出（项）: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支出决算为3.00万元，完成预算100%。</w:t>
      </w:r>
    </w:p>
    <w:p w14:paraId="601F9DD1">
      <w:p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12</w:t>
      </w:r>
      <w:r>
        <w:rPr>
          <w:rStyle w:val="19"/>
          <w:rFonts w:hint="default" w:ascii="Times New Roman" w:hAnsi="Times New Roman" w:eastAsia="仿宋" w:cs="Times New Roman"/>
          <w:bCs/>
          <w:color w:val="000000" w:themeColor="text1"/>
          <w:sz w:val="32"/>
          <w:szCs w:val="32"/>
          <w14:textFill>
            <w14:solidFill>
              <w14:schemeClr w14:val="tx1"/>
            </w14:solidFill>
          </w14:textFill>
        </w:rPr>
        <w:t>.文化旅游体育与传媒（类）文化和旅游（款）群众文化（项）:</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auto"/>
          <w:kern w:val="0"/>
          <w:sz w:val="32"/>
          <w:szCs w:val="32"/>
          <w:lang w:val="en-US" w:eastAsia="zh-CN" w:bidi="ar-SA"/>
        </w:rPr>
        <w:t>支出决算为0.3万元，完成预算100%。</w:t>
      </w:r>
    </w:p>
    <w:p w14:paraId="592374F7">
      <w:pPr>
        <w:pStyle w:val="6"/>
        <w:rPr>
          <w:rFonts w:hint="default" w:ascii="Times New Roman" w:hAnsi="Times New Roman" w:cs="Times New Roman"/>
          <w:color w:val="000000" w:themeColor="text1"/>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13</w:t>
      </w:r>
      <w:r>
        <w:rPr>
          <w:rStyle w:val="19"/>
          <w:rFonts w:hint="default" w:ascii="Times New Roman" w:hAnsi="Times New Roman" w:eastAsia="仿宋" w:cs="Times New Roman"/>
          <w:bCs/>
          <w:color w:val="000000" w:themeColor="text1"/>
          <w:sz w:val="32"/>
          <w:szCs w:val="32"/>
          <w14:textFill>
            <w14:solidFill>
              <w14:schemeClr w14:val="tx1"/>
            </w14:solidFill>
          </w14:textFill>
        </w:rPr>
        <w:t>.文化旅游体育与传媒（类）其他文化旅游体育与传媒支出（款）其他文化旅游体育与传媒支出（项）:</w:t>
      </w:r>
      <w:r>
        <w:rPr>
          <w:rFonts w:hint="default" w:ascii="Times New Roman" w:hAnsi="Times New Roman" w:eastAsia="仿宋_GB2312" w:cs="Times New Roman"/>
          <w:color w:val="auto"/>
          <w:kern w:val="0"/>
          <w:sz w:val="32"/>
          <w:szCs w:val="32"/>
          <w:lang w:val="en-US" w:eastAsia="zh-CN" w:bidi="ar-SA"/>
        </w:rPr>
        <w:t xml:space="preserve"> 支出决算为5.76万元，完成预算100%。</w:t>
      </w:r>
    </w:p>
    <w:p w14:paraId="7F7BDF28">
      <w:pPr>
        <w:spacing w:line="600" w:lineRule="exact"/>
        <w:ind w:firstLine="643" w:firstLineChars="200"/>
        <w:rPr>
          <w:rStyle w:val="19"/>
          <w:rFonts w:hint="default" w:ascii="Times New Roman" w:hAnsi="Times New Roman" w:eastAsia="仿宋" w:cs="Times New Roman"/>
          <w:bCs/>
          <w:color w:val="000000" w:themeColor="text1"/>
          <w:sz w:val="32"/>
          <w:szCs w:val="32"/>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14</w:t>
      </w:r>
      <w:r>
        <w:rPr>
          <w:rStyle w:val="19"/>
          <w:rFonts w:hint="default" w:ascii="Times New Roman" w:hAnsi="Times New Roman" w:eastAsia="仿宋" w:cs="Times New Roman"/>
          <w:bCs/>
          <w:color w:val="000000" w:themeColor="text1"/>
          <w:sz w:val="32"/>
          <w:szCs w:val="32"/>
          <w14:textFill>
            <w14:solidFill>
              <w14:schemeClr w14:val="tx1"/>
            </w14:solidFill>
          </w14:textFill>
        </w:rPr>
        <w:t xml:space="preserve">.社会保障和就业（类）民政管理事务（款）其他民政管理事务支出（项）: </w:t>
      </w:r>
      <w:r>
        <w:rPr>
          <w:rFonts w:hint="default" w:ascii="Times New Roman" w:hAnsi="Times New Roman" w:eastAsia="仿宋_GB2312" w:cs="Times New Roman"/>
          <w:color w:val="auto"/>
          <w:kern w:val="0"/>
          <w:sz w:val="32"/>
          <w:szCs w:val="32"/>
          <w:lang w:val="en-US" w:eastAsia="zh-CN" w:bidi="ar-SA"/>
        </w:rPr>
        <w:t>支出决算为20.00万元，完成预算100%。</w:t>
      </w:r>
    </w:p>
    <w:p w14:paraId="6907B9AD">
      <w:p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15</w:t>
      </w:r>
      <w:r>
        <w:rPr>
          <w:rStyle w:val="19"/>
          <w:rFonts w:hint="default" w:ascii="Times New Roman" w:hAnsi="Times New Roman" w:eastAsia="仿宋" w:cs="Times New Roman"/>
          <w:bCs/>
          <w:color w:val="000000" w:themeColor="text1"/>
          <w:sz w:val="32"/>
          <w:szCs w:val="32"/>
          <w14:textFill>
            <w14:solidFill>
              <w14:schemeClr w14:val="tx1"/>
            </w14:solidFill>
          </w14:textFill>
        </w:rPr>
        <w:t xml:space="preserve">.社会保障和就业（类）行政事业单位养老支出（款）行政单位离退休（项）: </w:t>
      </w:r>
      <w:r>
        <w:rPr>
          <w:rFonts w:hint="default" w:ascii="Times New Roman" w:hAnsi="Times New Roman" w:eastAsia="仿宋_GB2312" w:cs="Times New Roman"/>
          <w:color w:val="auto"/>
          <w:kern w:val="0"/>
          <w:sz w:val="32"/>
          <w:szCs w:val="32"/>
          <w:lang w:val="en-US" w:eastAsia="zh-CN" w:bidi="ar-SA"/>
        </w:rPr>
        <w:t>支出决算为6.51万元，完成预算100%。</w:t>
      </w:r>
    </w:p>
    <w:p w14:paraId="701BFADD">
      <w:p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16</w:t>
      </w:r>
      <w:r>
        <w:rPr>
          <w:rStyle w:val="19"/>
          <w:rFonts w:hint="default" w:ascii="Times New Roman" w:hAnsi="Times New Roman" w:eastAsia="仿宋" w:cs="Times New Roman"/>
          <w:bCs/>
          <w:color w:val="000000" w:themeColor="text1"/>
          <w:sz w:val="32"/>
          <w:szCs w:val="32"/>
          <w14:textFill>
            <w14:solidFill>
              <w14:schemeClr w14:val="tx1"/>
            </w14:solidFill>
          </w14:textFill>
        </w:rPr>
        <w:t xml:space="preserve">.社会保障和就业（类）行政事业单位养老支出（款）机关事业单位基本养老保险缴费支出（项）: </w:t>
      </w:r>
      <w:r>
        <w:rPr>
          <w:rFonts w:hint="default" w:ascii="Times New Roman" w:hAnsi="Times New Roman" w:eastAsia="仿宋_GB2312" w:cs="Times New Roman"/>
          <w:color w:val="auto"/>
          <w:kern w:val="0"/>
          <w:sz w:val="32"/>
          <w:szCs w:val="32"/>
          <w:lang w:val="en-US" w:eastAsia="zh-CN" w:bidi="ar-SA"/>
        </w:rPr>
        <w:t>支出决算为18.00万元，完成预算100%。</w:t>
      </w:r>
    </w:p>
    <w:p w14:paraId="10E7607F">
      <w:p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17</w:t>
      </w:r>
      <w:r>
        <w:rPr>
          <w:rStyle w:val="19"/>
          <w:rFonts w:hint="default" w:ascii="Times New Roman" w:hAnsi="Times New Roman" w:eastAsia="仿宋" w:cs="Times New Roman"/>
          <w:bCs/>
          <w:color w:val="000000" w:themeColor="text1"/>
          <w:sz w:val="32"/>
          <w:szCs w:val="32"/>
          <w14:textFill>
            <w14:solidFill>
              <w14:schemeClr w14:val="tx1"/>
            </w14:solidFill>
          </w14:textFill>
        </w:rPr>
        <w:t xml:space="preserve">.社会保障和就业（类）抚恤（款）死亡抚恤（项）: </w:t>
      </w:r>
      <w:r>
        <w:rPr>
          <w:rFonts w:hint="default" w:ascii="Times New Roman" w:hAnsi="Times New Roman" w:eastAsia="仿宋_GB2312" w:cs="Times New Roman"/>
          <w:color w:val="auto"/>
          <w:kern w:val="0"/>
          <w:sz w:val="32"/>
          <w:szCs w:val="32"/>
          <w:lang w:val="en-US" w:eastAsia="zh-CN" w:bidi="ar-SA"/>
        </w:rPr>
        <w:t>支出决算为21.04万元，完成预算100%。</w:t>
      </w:r>
    </w:p>
    <w:p w14:paraId="057D4A6D">
      <w:p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18</w:t>
      </w:r>
      <w:r>
        <w:rPr>
          <w:rStyle w:val="19"/>
          <w:rFonts w:hint="default" w:ascii="Times New Roman" w:hAnsi="Times New Roman" w:eastAsia="仿宋" w:cs="Times New Roman"/>
          <w:bCs/>
          <w:color w:val="000000" w:themeColor="text1"/>
          <w:sz w:val="32"/>
          <w:szCs w:val="32"/>
          <w14:textFill>
            <w14:solidFill>
              <w14:schemeClr w14:val="tx1"/>
            </w14:solidFill>
          </w14:textFill>
        </w:rPr>
        <w:t xml:space="preserve">.社会保障和就业（类）社会福利（款）养老服务（项）: </w:t>
      </w:r>
      <w:r>
        <w:rPr>
          <w:rFonts w:hint="default" w:ascii="Times New Roman" w:hAnsi="Times New Roman" w:eastAsia="仿宋_GB2312" w:cs="Times New Roman"/>
          <w:color w:val="auto"/>
          <w:kern w:val="0"/>
          <w:sz w:val="32"/>
          <w:szCs w:val="32"/>
          <w:lang w:val="en-US" w:eastAsia="zh-CN" w:bidi="ar-SA"/>
        </w:rPr>
        <w:t>支出决算为174.69万元，完成预算100%。</w:t>
      </w:r>
    </w:p>
    <w:p w14:paraId="06F7F204">
      <w:pPr>
        <w:spacing w:line="600" w:lineRule="exact"/>
        <w:ind w:firstLine="643" w:firstLineChars="200"/>
        <w:rPr>
          <w:rFonts w:hint="default" w:ascii="Times New Roman" w:hAnsi="Times New Roman" w:eastAsia="仿宋" w:cs="Times New Roman"/>
          <w:b/>
          <w:color w:val="000000" w:themeColor="text1"/>
          <w:sz w:val="32"/>
          <w:szCs w:val="32"/>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19</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Fonts w:hint="default" w:ascii="Times New Roman" w:hAnsi="Times New Roman" w:eastAsia="仿宋" w:cs="Times New Roman"/>
          <w:b/>
          <w:bCs/>
          <w:color w:val="000000" w:themeColor="text1"/>
          <w:sz w:val="32"/>
          <w:szCs w:val="32"/>
          <w14:textFill>
            <w14:solidFill>
              <w14:schemeClr w14:val="tx1"/>
            </w14:solidFill>
          </w14:textFill>
        </w:rPr>
        <w:t>卫生健康</w:t>
      </w:r>
      <w:r>
        <w:rPr>
          <w:rStyle w:val="19"/>
          <w:rFonts w:hint="default" w:ascii="Times New Roman" w:hAnsi="Times New Roman" w:eastAsia="仿宋" w:cs="Times New Roman"/>
          <w:bCs/>
          <w:color w:val="000000" w:themeColor="text1"/>
          <w:sz w:val="32"/>
          <w:szCs w:val="32"/>
          <w14:textFill>
            <w14:solidFill>
              <w14:schemeClr w14:val="tx1"/>
            </w14:solidFill>
          </w14:textFill>
        </w:rPr>
        <w:t>（类）行政事业单位医疗（款）行政单位医疗（项）:</w:t>
      </w:r>
      <w:r>
        <w:rPr>
          <w:rFonts w:hint="default" w:ascii="Times New Roman" w:hAnsi="Times New Roman" w:eastAsia="仿宋_GB2312" w:cs="Times New Roman"/>
          <w:color w:val="auto"/>
          <w:kern w:val="0"/>
          <w:sz w:val="32"/>
          <w:szCs w:val="32"/>
          <w:lang w:val="en-US" w:eastAsia="zh-CN" w:bidi="ar-SA"/>
        </w:rPr>
        <w:t>支出决算为7.5万元，完成预算100%。</w:t>
      </w:r>
    </w:p>
    <w:p w14:paraId="59892B96">
      <w:p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Fonts w:hint="default" w:ascii="Times New Roman" w:hAnsi="Times New Roman" w:eastAsia="仿宋" w:cs="Times New Roman"/>
          <w:b/>
          <w:bCs/>
          <w:color w:val="000000" w:themeColor="text1"/>
          <w:sz w:val="32"/>
          <w:szCs w:val="32"/>
          <w14:textFill>
            <w14:solidFill>
              <w14:schemeClr w14:val="tx1"/>
            </w14:solidFill>
          </w14:textFill>
        </w:rPr>
        <w:t>卫生健康</w:t>
      </w:r>
      <w:r>
        <w:rPr>
          <w:rStyle w:val="19"/>
          <w:rFonts w:hint="default" w:ascii="Times New Roman" w:hAnsi="Times New Roman" w:eastAsia="仿宋" w:cs="Times New Roman"/>
          <w:bCs/>
          <w:color w:val="000000" w:themeColor="text1"/>
          <w:sz w:val="32"/>
          <w:szCs w:val="32"/>
          <w14:textFill>
            <w14:solidFill>
              <w14:schemeClr w14:val="tx1"/>
            </w14:solidFill>
          </w14:textFill>
        </w:rPr>
        <w:t>（类）行政事业单位医疗（款）事业单位医疗（项）:</w:t>
      </w:r>
      <w:r>
        <w:rPr>
          <w:rFonts w:hint="default" w:ascii="Times New Roman" w:hAnsi="Times New Roman" w:eastAsia="仿宋_GB2312" w:cs="Times New Roman"/>
          <w:color w:val="auto"/>
          <w:kern w:val="0"/>
          <w:sz w:val="32"/>
          <w:szCs w:val="32"/>
          <w:lang w:val="en-US" w:eastAsia="zh-CN" w:bidi="ar-SA"/>
        </w:rPr>
        <w:t>支出决算为7.95万元，完成预算100%。</w:t>
      </w:r>
    </w:p>
    <w:p w14:paraId="3FD429F6">
      <w:p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Fonts w:hint="default" w:ascii="Times New Roman" w:hAnsi="Times New Roman" w:eastAsia="仿宋" w:cs="Times New Roman"/>
          <w:b/>
          <w:bCs/>
          <w:color w:val="000000" w:themeColor="text1"/>
          <w:sz w:val="32"/>
          <w:szCs w:val="32"/>
          <w14:textFill>
            <w14:solidFill>
              <w14:schemeClr w14:val="tx1"/>
            </w14:solidFill>
          </w14:textFill>
        </w:rPr>
        <w:t>卫生健康</w:t>
      </w:r>
      <w:r>
        <w:rPr>
          <w:rStyle w:val="19"/>
          <w:rFonts w:hint="default" w:ascii="Times New Roman" w:hAnsi="Times New Roman" w:eastAsia="仿宋" w:cs="Times New Roman"/>
          <w:bCs/>
          <w:color w:val="000000" w:themeColor="text1"/>
          <w:sz w:val="32"/>
          <w:szCs w:val="32"/>
          <w14:textFill>
            <w14:solidFill>
              <w14:schemeClr w14:val="tx1"/>
            </w14:solidFill>
          </w14:textFill>
        </w:rPr>
        <w:t>（类）行政事业单位医疗（款）公务员医疗补助（项）:</w:t>
      </w:r>
      <w:r>
        <w:rPr>
          <w:rFonts w:hint="default" w:ascii="Times New Roman" w:hAnsi="Times New Roman" w:eastAsia="仿宋_GB2312" w:cs="Times New Roman"/>
          <w:color w:val="auto"/>
          <w:kern w:val="0"/>
          <w:sz w:val="32"/>
          <w:szCs w:val="32"/>
          <w:lang w:val="en-US" w:eastAsia="zh-CN" w:bidi="ar-SA"/>
        </w:rPr>
        <w:t>支出决算为1.09万元，完成预算100%。</w:t>
      </w:r>
    </w:p>
    <w:p w14:paraId="0B24CBE2">
      <w:p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22</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Fonts w:hint="default" w:ascii="Times New Roman" w:hAnsi="Times New Roman" w:eastAsia="仿宋" w:cs="Times New Roman"/>
          <w:b/>
          <w:bCs/>
          <w:color w:val="000000" w:themeColor="text1"/>
          <w:sz w:val="32"/>
          <w:szCs w:val="32"/>
          <w14:textFill>
            <w14:solidFill>
              <w14:schemeClr w14:val="tx1"/>
            </w14:solidFill>
          </w14:textFill>
        </w:rPr>
        <w:t>卫生健康</w:t>
      </w:r>
      <w:r>
        <w:rPr>
          <w:rStyle w:val="19"/>
          <w:rFonts w:hint="default" w:ascii="Times New Roman" w:hAnsi="Times New Roman" w:eastAsia="仿宋" w:cs="Times New Roman"/>
          <w:bCs/>
          <w:color w:val="000000" w:themeColor="text1"/>
          <w:sz w:val="32"/>
          <w:szCs w:val="32"/>
          <w14:textFill>
            <w14:solidFill>
              <w14:schemeClr w14:val="tx1"/>
            </w14:solidFill>
          </w14:textFill>
        </w:rPr>
        <w:t>（类）行政事业单位医疗（款）其他行政事业单位医疗支出（项）:</w:t>
      </w:r>
      <w:r>
        <w:rPr>
          <w:rFonts w:hint="default" w:ascii="Times New Roman" w:hAnsi="Times New Roman" w:eastAsia="仿宋_GB2312" w:cs="Times New Roman"/>
          <w:color w:val="auto"/>
          <w:kern w:val="0"/>
          <w:sz w:val="32"/>
          <w:szCs w:val="32"/>
          <w:lang w:val="en-US" w:eastAsia="zh-CN" w:bidi="ar-SA"/>
        </w:rPr>
        <w:t>支出决算为0.79万元，完成预算100%。</w:t>
      </w:r>
    </w:p>
    <w:p w14:paraId="651A412E">
      <w:pPr>
        <w:spacing w:line="600" w:lineRule="exact"/>
        <w:ind w:firstLine="643" w:firstLineChars="200"/>
        <w:rPr>
          <w:rFonts w:hint="default" w:ascii="Times New Roman" w:hAnsi="Times New Roman" w:eastAsia="仿宋" w:cs="Times New Roman"/>
          <w:b/>
          <w:color w:val="000000" w:themeColor="text1"/>
          <w:sz w:val="32"/>
          <w:szCs w:val="32"/>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23</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Fonts w:hint="default" w:ascii="Times New Roman" w:hAnsi="Times New Roman" w:eastAsia="仿宋" w:cs="Times New Roman"/>
          <w:b/>
          <w:bCs/>
          <w:color w:val="000000" w:themeColor="text1"/>
          <w:sz w:val="32"/>
          <w:szCs w:val="32"/>
          <w14:textFill>
            <w14:solidFill>
              <w14:schemeClr w14:val="tx1"/>
            </w14:solidFill>
          </w14:textFill>
        </w:rPr>
        <w:t>农林水支出</w:t>
      </w:r>
      <w:r>
        <w:rPr>
          <w:rStyle w:val="19"/>
          <w:rFonts w:hint="default" w:ascii="Times New Roman" w:hAnsi="Times New Roman" w:eastAsia="仿宋" w:cs="Times New Roman"/>
          <w:bCs/>
          <w:color w:val="000000" w:themeColor="text1"/>
          <w:sz w:val="32"/>
          <w:szCs w:val="32"/>
          <w14:textFill>
            <w14:solidFill>
              <w14:schemeClr w14:val="tx1"/>
            </w14:solidFill>
          </w14:textFill>
        </w:rPr>
        <w:t>（类）林业和草原（款）其他林业和草原支出（项）:</w:t>
      </w:r>
      <w:r>
        <w:rPr>
          <w:rFonts w:hint="default" w:ascii="Times New Roman" w:hAnsi="Times New Roman" w:eastAsia="仿宋_GB2312" w:cs="Times New Roman"/>
          <w:color w:val="auto"/>
          <w:kern w:val="0"/>
          <w:sz w:val="32"/>
          <w:szCs w:val="32"/>
          <w:lang w:val="en-US" w:eastAsia="zh-CN" w:bidi="ar-SA"/>
        </w:rPr>
        <w:t>支出决算为3.12万元，完成预算100%。</w:t>
      </w:r>
    </w:p>
    <w:p w14:paraId="65D16AA8">
      <w:pPr>
        <w:spacing w:line="600" w:lineRule="exact"/>
        <w:ind w:firstLine="643" w:firstLineChars="200"/>
        <w:rPr>
          <w:rFonts w:hint="default" w:ascii="Times New Roman" w:hAnsi="Times New Roman" w:eastAsia="仿宋" w:cs="Times New Roman"/>
          <w:b/>
          <w:color w:val="000000" w:themeColor="text1"/>
          <w:sz w:val="32"/>
          <w:szCs w:val="32"/>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24</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Fonts w:hint="default" w:ascii="Times New Roman" w:hAnsi="Times New Roman" w:eastAsia="仿宋" w:cs="Times New Roman"/>
          <w:b/>
          <w:bCs/>
          <w:color w:val="000000" w:themeColor="text1"/>
          <w:sz w:val="32"/>
          <w:szCs w:val="32"/>
          <w14:textFill>
            <w14:solidFill>
              <w14:schemeClr w14:val="tx1"/>
            </w14:solidFill>
          </w14:textFill>
        </w:rPr>
        <w:t>农林水支出</w:t>
      </w:r>
      <w:r>
        <w:rPr>
          <w:rStyle w:val="19"/>
          <w:rFonts w:hint="default" w:ascii="Times New Roman" w:hAnsi="Times New Roman" w:eastAsia="仿宋" w:cs="Times New Roman"/>
          <w:bCs/>
          <w:color w:val="000000" w:themeColor="text1"/>
          <w:sz w:val="32"/>
          <w:szCs w:val="32"/>
          <w14:textFill>
            <w14:solidFill>
              <w14:schemeClr w14:val="tx1"/>
            </w14:solidFill>
          </w14:textFill>
        </w:rPr>
        <w:t>（类）农村综合改革（款）对村民委员会和村党支部的补助（项）:</w:t>
      </w:r>
      <w:r>
        <w:rPr>
          <w:rFonts w:hint="default" w:ascii="Times New Roman" w:hAnsi="Times New Roman" w:eastAsia="仿宋_GB2312" w:cs="Times New Roman"/>
          <w:color w:val="auto"/>
          <w:kern w:val="0"/>
          <w:sz w:val="32"/>
          <w:szCs w:val="32"/>
          <w:lang w:val="en-US" w:eastAsia="zh-CN" w:bidi="ar-SA"/>
        </w:rPr>
        <w:t>支出决算为5.00万元，完成预算100%。</w:t>
      </w:r>
    </w:p>
    <w:p w14:paraId="374C5526">
      <w:pPr>
        <w:spacing w:line="600" w:lineRule="exact"/>
        <w:ind w:firstLine="643" w:firstLineChars="200"/>
        <w:rPr>
          <w:rFonts w:hint="default" w:ascii="Times New Roman" w:hAnsi="Times New Roman" w:eastAsia="仿宋" w:cs="Times New Roman"/>
          <w:b/>
          <w:color w:val="000000" w:themeColor="text1"/>
          <w:sz w:val="32"/>
          <w:szCs w:val="32"/>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25</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Fonts w:hint="default" w:ascii="Times New Roman" w:hAnsi="Times New Roman" w:eastAsia="仿宋" w:cs="Times New Roman"/>
          <w:b/>
          <w:bCs/>
          <w:color w:val="000000" w:themeColor="text1"/>
          <w:sz w:val="32"/>
          <w:szCs w:val="32"/>
          <w14:textFill>
            <w14:solidFill>
              <w14:schemeClr w14:val="tx1"/>
            </w14:solidFill>
          </w14:textFill>
        </w:rPr>
        <w:t>住房保障支出</w:t>
      </w:r>
      <w:r>
        <w:rPr>
          <w:rStyle w:val="19"/>
          <w:rFonts w:hint="default" w:ascii="Times New Roman" w:hAnsi="Times New Roman" w:eastAsia="仿宋" w:cs="Times New Roman"/>
          <w:bCs/>
          <w:color w:val="000000" w:themeColor="text1"/>
          <w:sz w:val="32"/>
          <w:szCs w:val="32"/>
          <w14:textFill>
            <w14:solidFill>
              <w14:schemeClr w14:val="tx1"/>
            </w14:solidFill>
          </w14:textFill>
        </w:rPr>
        <w:t>（类）住房改革支出（款）住房公积金（项）:</w:t>
      </w:r>
      <w:r>
        <w:rPr>
          <w:rFonts w:hint="default" w:ascii="Times New Roman" w:hAnsi="Times New Roman" w:eastAsia="仿宋_GB2312" w:cs="Times New Roman"/>
          <w:color w:val="auto"/>
          <w:kern w:val="0"/>
          <w:sz w:val="32"/>
          <w:szCs w:val="32"/>
          <w:lang w:val="en-US" w:eastAsia="zh-CN" w:bidi="ar-SA"/>
        </w:rPr>
        <w:t>支出决算为22.2万元，完成预算100%。</w:t>
      </w:r>
    </w:p>
    <w:p w14:paraId="05CEA2FF">
      <w:pPr>
        <w:tabs>
          <w:tab w:val="right" w:pos="8306"/>
        </w:tabs>
        <w:spacing w:line="600" w:lineRule="exact"/>
        <w:ind w:firstLine="640"/>
        <w:outlineLvl w:val="1"/>
        <w:rPr>
          <w:rStyle w:val="32"/>
          <w:rFonts w:hint="default" w:ascii="Times New Roman" w:hAnsi="Times New Roman" w:cs="Times New Roman"/>
          <w:color w:val="000000" w:themeColor="text1"/>
          <w14:textFill>
            <w14:solidFill>
              <w14:schemeClr w14:val="tx1"/>
            </w14:solidFill>
          </w14:textFill>
        </w:rPr>
      </w:pPr>
      <w:bookmarkStart w:id="42" w:name="_Toc15377214"/>
      <w:bookmarkStart w:id="43" w:name="_Toc15396608"/>
      <w:bookmarkStart w:id="44" w:name="_Toc20254_WPSOffice_Level2"/>
      <w:r>
        <w:rPr>
          <w:rFonts w:hint="default" w:ascii="Times New Roman" w:hAnsi="Times New Roman" w:eastAsia="黑体" w:cs="Times New Roman"/>
          <w:color w:val="000000" w:themeColor="text1"/>
          <w:sz w:val="32"/>
          <w:szCs w:val="32"/>
          <w14:textFill>
            <w14:solidFill>
              <w14:schemeClr w14:val="tx1"/>
            </w14:solidFill>
          </w14:textFill>
        </w:rPr>
        <w:t>六</w:t>
      </w:r>
      <w:r>
        <w:rPr>
          <w:rFonts w:hint="default" w:ascii="Times New Roman" w:hAnsi="Times New Roman" w:eastAsia="黑体" w:cs="Times New Roman"/>
          <w:b/>
          <w:color w:val="000000" w:themeColor="text1"/>
          <w:sz w:val="32"/>
          <w:szCs w:val="32"/>
          <w14:textFill>
            <w14:solidFill>
              <w14:schemeClr w14:val="tx1"/>
            </w14:solidFill>
          </w14:textFill>
        </w:rPr>
        <w:t>、一</w:t>
      </w:r>
      <w:r>
        <w:rPr>
          <w:rStyle w:val="32"/>
          <w:rFonts w:hint="default" w:ascii="Times New Roman" w:hAnsi="Times New Roman" w:eastAsia="黑体" w:cs="Times New Roman"/>
          <w:b w:val="0"/>
          <w:color w:val="000000" w:themeColor="text1"/>
          <w14:textFill>
            <w14:solidFill>
              <w14:schemeClr w14:val="tx1"/>
            </w14:solidFill>
          </w14:textFill>
        </w:rPr>
        <w:t>般公共预算财政拨款基本支出决算情况说明</w:t>
      </w:r>
      <w:bookmarkEnd w:id="42"/>
      <w:bookmarkEnd w:id="43"/>
      <w:bookmarkEnd w:id="44"/>
      <w:r>
        <w:rPr>
          <w:rStyle w:val="32"/>
          <w:rFonts w:hint="default" w:ascii="Times New Roman" w:hAnsi="Times New Roman" w:eastAsia="黑体" w:cs="Times New Roman"/>
          <w:b w:val="0"/>
          <w:color w:val="000000" w:themeColor="text1"/>
          <w14:textFill>
            <w14:solidFill>
              <w14:schemeClr w14:val="tx1"/>
            </w14:solidFill>
          </w14:textFill>
        </w:rPr>
        <w:tab/>
      </w:r>
    </w:p>
    <w:p w14:paraId="024280BA">
      <w:pPr>
        <w:spacing w:line="600"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2022年一般公共预算财政拨款基本支出650.53万元，其中：</w:t>
      </w:r>
    </w:p>
    <w:p w14:paraId="6BD50EC4">
      <w:pPr>
        <w:spacing w:line="600"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人员经费627.68万元，主要包括：基本工资63.66万元、津贴补贴62.54万元、奖金1.74万元、伙食补助费0万元、绩效工资60.39万元、机关事业单位基本养老保险缴费18.00万元、职业年金缴费0万元、职工基本医疗保险缴费15.45万元、公务员医疗补助缴费1.88万元，其他社会保障缴费1.12万元、其他工资福利支出18.98万元、离休费0万元、退休费0万元、抚恤金21.04万元、生活补助340.68万元、医疗费补助0万元、奖励金0万元、住房公积金22.2万元、其他对个人和家庭的补助支出0万元。</w:t>
      </w:r>
      <w:r>
        <w:rPr>
          <w:rFonts w:hint="default" w:ascii="Times New Roman" w:hAnsi="Times New Roman" w:eastAsia="仿宋_GB2312" w:cs="Times New Roman"/>
          <w:color w:val="auto"/>
          <w:kern w:val="0"/>
          <w:sz w:val="32"/>
          <w:szCs w:val="32"/>
          <w:lang w:val="en-US" w:eastAsia="zh-CN" w:bidi="ar-SA"/>
        </w:rPr>
        <w:br w:type="textWrapping"/>
      </w:r>
      <w:r>
        <w:rPr>
          <w:rFonts w:hint="default" w:ascii="Times New Roman" w:hAnsi="Times New Roman" w:eastAsia="仿宋_GB2312" w:cs="Times New Roman"/>
          <w:color w:val="auto"/>
          <w:kern w:val="0"/>
          <w:sz w:val="32"/>
          <w:szCs w:val="32"/>
          <w:lang w:val="en-US" w:eastAsia="zh-CN" w:bidi="ar-SA"/>
        </w:rPr>
        <w:t>　　公用经费22.84万元，主要包括：办公费10.19万元、印刷费0万元、咨询费0万元、手续费0万元、水费0.63万元、电费1.28万元、邮电费0万元、取暖费0万元、物业管理费0万元、差旅费0.8万元、因公出国（境）费用0万元、维修（护）费0万元、租赁费0万元、会议费0万元、培训费0万元、公务接待费0万元、劳务费0万元、委托业务费0万元、工会经费2.22万元、福利费0.77万元、公务用车运行维护费1.5万元、其他交通费5.37万元、税金及附加费用0万元、其他商品和服务支出0.08万元、办公设备购置0万元、专用设备购置0万元、信息网络及软件购置更新0万元、其他资本性支出0万元。</w:t>
      </w:r>
    </w:p>
    <w:p w14:paraId="44DEA6D0">
      <w:pPr>
        <w:spacing w:line="600" w:lineRule="exact"/>
        <w:ind w:firstLine="640"/>
        <w:outlineLvl w:val="1"/>
        <w:rPr>
          <w:rStyle w:val="32"/>
          <w:rFonts w:hint="default" w:ascii="Times New Roman" w:hAnsi="Times New Roman" w:eastAsia="黑体" w:cs="Times New Roman"/>
          <w:b w:val="0"/>
          <w:color w:val="000000" w:themeColor="text1"/>
          <w14:textFill>
            <w14:solidFill>
              <w14:schemeClr w14:val="tx1"/>
            </w14:solidFill>
          </w14:textFill>
        </w:rPr>
      </w:pPr>
      <w:bookmarkStart w:id="45" w:name="_Toc15377215"/>
      <w:bookmarkStart w:id="46" w:name="_Toc15396609"/>
      <w:bookmarkStart w:id="47" w:name="_Toc31522_WPSOffice_Level2"/>
      <w:r>
        <w:rPr>
          <w:rFonts w:hint="default" w:ascii="Times New Roman" w:hAnsi="Times New Roman" w:eastAsia="黑体" w:cs="Times New Roman"/>
          <w:color w:val="000000" w:themeColor="text1"/>
          <w:sz w:val="32"/>
          <w:szCs w:val="32"/>
          <w14:textFill>
            <w14:solidFill>
              <w14:schemeClr w14:val="tx1"/>
            </w14:solidFill>
          </w14:textFill>
        </w:rPr>
        <w:t>七、</w:t>
      </w:r>
      <w:r>
        <w:rPr>
          <w:rStyle w:val="32"/>
          <w:rFonts w:hint="default" w:ascii="Times New Roman" w:hAnsi="Times New Roman" w:eastAsia="黑体" w:cs="Times New Roman"/>
          <w:b w:val="0"/>
          <w:color w:val="000000" w:themeColor="text1"/>
          <w14:textFill>
            <w14:solidFill>
              <w14:schemeClr w14:val="tx1"/>
            </w14:solidFill>
          </w14:textFill>
        </w:rPr>
        <w:t>财政拨款</w:t>
      </w:r>
      <w:r>
        <w:rPr>
          <w:rStyle w:val="32"/>
          <w:rFonts w:hint="default" w:ascii="Times New Roman" w:hAnsi="Times New Roman" w:eastAsia="黑体" w:cs="Times New Roman"/>
          <w:color w:val="000000" w:themeColor="text1"/>
          <w14:textFill>
            <w14:solidFill>
              <w14:schemeClr w14:val="tx1"/>
            </w14:solidFill>
          </w14:textFill>
        </w:rPr>
        <w:t>“</w:t>
      </w:r>
      <w:r>
        <w:rPr>
          <w:rStyle w:val="32"/>
          <w:rFonts w:hint="default" w:ascii="Times New Roman" w:hAnsi="Times New Roman" w:eastAsia="黑体" w:cs="Times New Roman"/>
          <w:b w:val="0"/>
          <w:color w:val="000000" w:themeColor="text1"/>
          <w14:textFill>
            <w14:solidFill>
              <w14:schemeClr w14:val="tx1"/>
            </w14:solidFill>
          </w14:textFill>
        </w:rPr>
        <w:t>三公”经费支出决算情况说明</w:t>
      </w:r>
      <w:bookmarkEnd w:id="45"/>
      <w:bookmarkEnd w:id="46"/>
      <w:bookmarkEnd w:id="47"/>
    </w:p>
    <w:p w14:paraId="47D7435D">
      <w:pPr>
        <w:spacing w:line="600" w:lineRule="exact"/>
        <w:ind w:firstLine="640"/>
        <w:outlineLvl w:val="2"/>
        <w:rPr>
          <w:rFonts w:hint="default" w:ascii="Times New Roman" w:hAnsi="Times New Roman" w:eastAsia="仿宋" w:cs="Times New Roman"/>
          <w:b/>
          <w:color w:val="000000" w:themeColor="text1"/>
          <w:sz w:val="32"/>
          <w:szCs w:val="32"/>
          <w14:textFill>
            <w14:solidFill>
              <w14:schemeClr w14:val="tx1"/>
            </w14:solidFill>
          </w14:textFill>
        </w:rPr>
      </w:pPr>
      <w:bookmarkStart w:id="48" w:name="_Toc15377216"/>
      <w:r>
        <w:rPr>
          <w:rFonts w:hint="default" w:ascii="Times New Roman" w:hAnsi="Times New Roman" w:eastAsia="仿宋" w:cs="Times New Roman"/>
          <w:b/>
          <w:color w:val="000000" w:themeColor="text1"/>
          <w:sz w:val="32"/>
          <w:szCs w:val="32"/>
          <w14:textFill>
            <w14:solidFill>
              <w14:schemeClr w14:val="tx1"/>
            </w14:solidFill>
          </w14:textFill>
        </w:rPr>
        <w:t>（一）“三公”经费财政拨款支出决算总体情况说明</w:t>
      </w:r>
      <w:bookmarkEnd w:id="48"/>
    </w:p>
    <w:p w14:paraId="19BB67DF">
      <w:pPr>
        <w:spacing w:line="600"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2022年“三公”经费财政拨款支出决算为1.5万元，完成预算30%，较上年减少3.5万元，下降70%。决算数小于预算数的主要原因是2022年由于疫情的关系，公务车运行维护较2021年有大幅度的下降。</w:t>
      </w:r>
    </w:p>
    <w:p w14:paraId="44B50445">
      <w:pPr>
        <w:spacing w:line="600" w:lineRule="exact"/>
        <w:ind w:firstLine="640"/>
        <w:outlineLvl w:val="2"/>
        <w:rPr>
          <w:rFonts w:hint="default" w:ascii="Times New Roman" w:hAnsi="Times New Roman" w:eastAsia="仿宋" w:cs="Times New Roman"/>
          <w:b/>
          <w:color w:val="000000" w:themeColor="text1"/>
          <w:sz w:val="32"/>
          <w:szCs w:val="32"/>
          <w14:textFill>
            <w14:solidFill>
              <w14:schemeClr w14:val="tx1"/>
            </w14:solidFill>
          </w14:textFill>
        </w:rPr>
      </w:pPr>
      <w:bookmarkStart w:id="49" w:name="_Toc15377217"/>
      <w:r>
        <w:rPr>
          <w:rFonts w:hint="default" w:ascii="Times New Roman" w:hAnsi="Times New Roman" w:eastAsia="仿宋" w:cs="Times New Roman"/>
          <w:b/>
          <w:color w:val="000000" w:themeColor="text1"/>
          <w:sz w:val="32"/>
          <w:szCs w:val="32"/>
          <w14:textFill>
            <w14:solidFill>
              <w14:schemeClr w14:val="tx1"/>
            </w14:solidFill>
          </w14:textFill>
        </w:rPr>
        <w:t>（二）“三公”经费财政拨款支出决算具体情况说明</w:t>
      </w:r>
      <w:bookmarkEnd w:id="49"/>
    </w:p>
    <w:p w14:paraId="46423E84">
      <w:pPr>
        <w:spacing w:line="600"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2022年“三公”经费财政拨款支出决算中，因公出国（境）费支出决算0万元，占0%；公务用车购置及运行维护费支出决算1.5万元，占100%；公务接待费支出决算0万元，占0%。具体情况如下：</w:t>
      </w:r>
    </w:p>
    <w:p w14:paraId="79734071">
      <w:pPr>
        <w:pStyle w:val="2"/>
        <w:rPr>
          <w:rFonts w:hint="default" w:ascii="Times New Roman" w:hAnsi="Times New Roman" w:eastAsia="仿宋" w:cs="Times New Roman"/>
          <w:color w:val="000000" w:themeColor="text1"/>
          <w:sz w:val="32"/>
          <w:szCs w:val="32"/>
          <w14:textFill>
            <w14:solidFill>
              <w14:schemeClr w14:val="tx1"/>
            </w14:solidFill>
          </w14:textFill>
        </w:rPr>
      </w:pPr>
    </w:p>
    <w:p w14:paraId="25E30D78">
      <w:pPr>
        <w:pStyle w:val="2"/>
        <w:rPr>
          <w:rFonts w:hint="default" w:ascii="Times New Roman" w:hAnsi="Times New Roman" w:eastAsia="仿宋" w:cs="Times New Roman"/>
          <w:color w:val="000000" w:themeColor="text1"/>
          <w:sz w:val="32"/>
          <w:szCs w:val="32"/>
          <w14:textFill>
            <w14:solidFill>
              <w14:schemeClr w14:val="tx1"/>
            </w14:solidFill>
          </w14:textFill>
        </w:rPr>
      </w:pPr>
    </w:p>
    <w:p w14:paraId="42AA8C46">
      <w:pPr>
        <w:spacing w:line="600" w:lineRule="exact"/>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drawing>
          <wp:anchor distT="0" distB="0" distL="114300" distR="114300" simplePos="0" relativeHeight="251659264" behindDoc="0" locked="0" layoutInCell="1" allowOverlap="1">
            <wp:simplePos x="0" y="0"/>
            <wp:positionH relativeFrom="column">
              <wp:posOffset>59690</wp:posOffset>
            </wp:positionH>
            <wp:positionV relativeFrom="paragraph">
              <wp:posOffset>-13335</wp:posOffset>
            </wp:positionV>
            <wp:extent cx="4970780" cy="3410585"/>
            <wp:effectExtent l="4445" t="4445" r="15875" b="13970"/>
            <wp:wrapNone/>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1C92571F">
      <w:pPr>
        <w:spacing w:line="600" w:lineRule="exact"/>
        <w:ind w:firstLine="640"/>
        <w:rPr>
          <w:rFonts w:hint="default" w:ascii="Times New Roman" w:hAnsi="Times New Roman" w:eastAsia="仿宋" w:cs="Times New Roman"/>
          <w:color w:val="000000" w:themeColor="text1"/>
          <w:sz w:val="32"/>
          <w:szCs w:val="32"/>
          <w14:textFill>
            <w14:solidFill>
              <w14:schemeClr w14:val="tx1"/>
            </w14:solidFill>
          </w14:textFill>
        </w:rPr>
      </w:pPr>
    </w:p>
    <w:p w14:paraId="198D0148">
      <w:pPr>
        <w:spacing w:line="600" w:lineRule="exact"/>
        <w:ind w:firstLine="640"/>
        <w:rPr>
          <w:rFonts w:hint="default" w:ascii="Times New Roman" w:hAnsi="Times New Roman" w:eastAsia="仿宋" w:cs="Times New Roman"/>
          <w:color w:val="000000" w:themeColor="text1"/>
          <w:sz w:val="32"/>
          <w:szCs w:val="32"/>
          <w14:textFill>
            <w14:solidFill>
              <w14:schemeClr w14:val="tx1"/>
            </w14:solidFill>
          </w14:textFill>
        </w:rPr>
      </w:pPr>
    </w:p>
    <w:p w14:paraId="59239058">
      <w:pPr>
        <w:spacing w:line="600" w:lineRule="exact"/>
        <w:ind w:firstLine="640"/>
        <w:rPr>
          <w:rFonts w:hint="default" w:ascii="Times New Roman" w:hAnsi="Times New Roman" w:eastAsia="仿宋" w:cs="Times New Roman"/>
          <w:color w:val="000000" w:themeColor="text1"/>
          <w:sz w:val="32"/>
          <w:szCs w:val="32"/>
          <w14:textFill>
            <w14:solidFill>
              <w14:schemeClr w14:val="tx1"/>
            </w14:solidFill>
          </w14:textFill>
        </w:rPr>
      </w:pPr>
    </w:p>
    <w:p w14:paraId="36EBBD52">
      <w:pPr>
        <w:spacing w:line="600" w:lineRule="exact"/>
        <w:ind w:firstLine="640"/>
        <w:rPr>
          <w:rFonts w:hint="default" w:ascii="Times New Roman" w:hAnsi="Times New Roman" w:eastAsia="仿宋" w:cs="Times New Roman"/>
          <w:color w:val="000000" w:themeColor="text1"/>
          <w:sz w:val="32"/>
          <w:szCs w:val="32"/>
          <w14:textFill>
            <w14:solidFill>
              <w14:schemeClr w14:val="tx1"/>
            </w14:solidFill>
          </w14:textFill>
        </w:rPr>
      </w:pPr>
    </w:p>
    <w:p w14:paraId="6D6D43C3">
      <w:pPr>
        <w:spacing w:line="600" w:lineRule="exact"/>
        <w:ind w:firstLine="640"/>
        <w:rPr>
          <w:rFonts w:hint="default" w:ascii="Times New Roman" w:hAnsi="Times New Roman" w:eastAsia="仿宋" w:cs="Times New Roman"/>
          <w:color w:val="000000" w:themeColor="text1"/>
          <w:sz w:val="32"/>
          <w:szCs w:val="32"/>
          <w14:textFill>
            <w14:solidFill>
              <w14:schemeClr w14:val="tx1"/>
            </w14:solidFill>
          </w14:textFill>
        </w:rPr>
      </w:pPr>
    </w:p>
    <w:p w14:paraId="37AB91CD">
      <w:pPr>
        <w:spacing w:line="600" w:lineRule="exact"/>
        <w:ind w:firstLine="640"/>
        <w:rPr>
          <w:rFonts w:hint="default" w:ascii="Times New Roman" w:hAnsi="Times New Roman" w:eastAsia="仿宋" w:cs="Times New Roman"/>
          <w:color w:val="000000" w:themeColor="text1"/>
          <w:sz w:val="32"/>
          <w:szCs w:val="32"/>
          <w14:textFill>
            <w14:solidFill>
              <w14:schemeClr w14:val="tx1"/>
            </w14:solidFill>
          </w14:textFill>
        </w:rPr>
      </w:pPr>
    </w:p>
    <w:p w14:paraId="3F06BD50">
      <w:pPr>
        <w:spacing w:line="600" w:lineRule="exact"/>
        <w:rPr>
          <w:rFonts w:hint="default" w:ascii="Times New Roman" w:hAnsi="Times New Roman" w:eastAsia="仿宋" w:cs="Times New Roman"/>
          <w:color w:val="000000" w:themeColor="text1"/>
          <w:sz w:val="32"/>
          <w:szCs w:val="32"/>
          <w14:textFill>
            <w14:solidFill>
              <w14:schemeClr w14:val="tx1"/>
            </w14:solidFill>
          </w14:textFill>
        </w:rPr>
      </w:pPr>
    </w:p>
    <w:p w14:paraId="7FC9CA45">
      <w:pPr>
        <w:spacing w:line="600" w:lineRule="exact"/>
        <w:rPr>
          <w:rFonts w:hint="default" w:ascii="Times New Roman" w:hAnsi="Times New Roman" w:eastAsia="仿宋" w:cs="Times New Roman"/>
          <w:color w:val="000000" w:themeColor="text1"/>
          <w:sz w:val="32"/>
          <w:szCs w:val="32"/>
          <w14:textFill>
            <w14:solidFill>
              <w14:schemeClr w14:val="tx1"/>
            </w14:solidFill>
          </w14:textFill>
        </w:rPr>
      </w:pPr>
    </w:p>
    <w:p w14:paraId="62F1B448">
      <w:pPr>
        <w:spacing w:line="600" w:lineRule="exact"/>
        <w:ind w:firstLine="640"/>
        <w:jc w:val="center"/>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（图7：“三公”经费财政拨款支出结构）</w:t>
      </w:r>
    </w:p>
    <w:p w14:paraId="54BBA428">
      <w:pPr>
        <w:spacing w:line="600" w:lineRule="exact"/>
        <w:ind w:firstLine="64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1.因公出国（境）经费支出</w:t>
      </w:r>
      <w:r>
        <w:rPr>
          <w:rFonts w:hint="default" w:ascii="Times New Roman" w:hAnsi="Times New Roman" w:eastAsia="仿宋_GB2312" w:cs="Times New Roman"/>
          <w:color w:val="auto"/>
          <w:kern w:val="0"/>
          <w:sz w:val="32"/>
          <w:szCs w:val="32"/>
          <w:lang w:val="en-US" w:eastAsia="zh-CN" w:bidi="ar-SA"/>
        </w:rPr>
        <w:t>0万元，完成预算0%。全年安排因公出国（境）团组0次，出国（境）0人。因公出国（境）支出决算与2021年持平。</w:t>
      </w:r>
    </w:p>
    <w:p w14:paraId="1EDC75EB">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无开支内容。</w:t>
      </w:r>
    </w:p>
    <w:p w14:paraId="7335DEDF">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color w:val="000000" w:themeColor="text1"/>
          <w:sz w:val="32"/>
          <w:szCs w:val="32"/>
          <w14:textFill>
            <w14:solidFill>
              <w14:schemeClr w14:val="tx1"/>
            </w14:solidFill>
          </w14:textFill>
        </w:rPr>
        <w:t>2.公务用车购置及运行维护费支出</w:t>
      </w:r>
      <w:r>
        <w:rPr>
          <w:rFonts w:hint="default" w:ascii="Times New Roman" w:hAnsi="Times New Roman" w:eastAsia="仿宋_GB2312" w:cs="Times New Roman"/>
          <w:color w:val="auto"/>
          <w:kern w:val="0"/>
          <w:sz w:val="32"/>
          <w:szCs w:val="32"/>
          <w:lang w:val="en-US" w:eastAsia="zh-CN" w:bidi="ar-SA"/>
        </w:rPr>
        <w:t>1.5万元,完成预算30%。公务用车购置及运行维护费支出决算比2021年减少3.5万元，下降70%。主要原因是</w:t>
      </w:r>
      <w:bookmarkStart w:id="200" w:name="_GoBack"/>
      <w:bookmarkEnd w:id="200"/>
      <w:r>
        <w:rPr>
          <w:rFonts w:hint="default" w:ascii="Times New Roman" w:hAnsi="Times New Roman" w:eastAsia="仿宋_GB2312" w:cs="Times New Roman"/>
          <w:color w:val="auto"/>
          <w:kern w:val="0"/>
          <w:sz w:val="32"/>
          <w:szCs w:val="32"/>
          <w:lang w:val="en-US" w:eastAsia="zh-CN" w:bidi="ar-SA"/>
        </w:rPr>
        <w:t>疫情的关系，公务车运行较少，维护较2021年有大幅度的下降。</w:t>
      </w:r>
    </w:p>
    <w:p w14:paraId="0E0A71D3">
      <w:pPr>
        <w:spacing w:line="600"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000000" w:themeColor="text1"/>
          <w:sz w:val="32"/>
          <w:szCs w:val="32"/>
          <w14:textFill>
            <w14:solidFill>
              <w14:schemeClr w14:val="tx1"/>
            </w14:solidFill>
          </w14:textFill>
        </w:rPr>
        <w:t>其中：</w:t>
      </w:r>
      <w:r>
        <w:rPr>
          <w:rFonts w:hint="default" w:ascii="Times New Roman" w:hAnsi="Times New Roman" w:eastAsia="仿宋_GB2312" w:cs="Times New Roman"/>
          <w:b/>
          <w:color w:val="000000" w:themeColor="text1"/>
          <w:sz w:val="32"/>
          <w:szCs w:val="32"/>
          <w14:textFill>
            <w14:solidFill>
              <w14:schemeClr w14:val="tx1"/>
            </w14:solidFill>
          </w14:textFill>
        </w:rPr>
        <w:t>公务用车购置支出</w:t>
      </w:r>
      <w:r>
        <w:rPr>
          <w:rFonts w:hint="default" w:ascii="Times New Roman" w:hAnsi="Times New Roman" w:eastAsia="仿宋_GB2312" w:cs="Times New Roman"/>
          <w:color w:val="auto"/>
          <w:kern w:val="0"/>
          <w:sz w:val="32"/>
          <w:szCs w:val="32"/>
          <w:lang w:val="en-US" w:eastAsia="zh-CN" w:bidi="ar-SA"/>
        </w:rPr>
        <w:t>0万元。全年按规定更新购置公务用车0辆，其中：轿车0辆、金额0万元，越野车0辆、金额0万元，载客汽车0辆、金额0万元。截至2022年12月底，单位共有公务用车2辆，其中：轿车0辆、越野车0辆、载客汽车0辆，其他车辆2辆。</w:t>
      </w:r>
    </w:p>
    <w:p w14:paraId="676C772B">
      <w:p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color w:val="000000" w:themeColor="text1"/>
          <w:sz w:val="32"/>
          <w:szCs w:val="32"/>
          <w14:textFill>
            <w14:solidFill>
              <w14:schemeClr w14:val="tx1"/>
            </w14:solidFill>
          </w14:textFill>
        </w:rPr>
        <w:t>公务用车运行维护费支出</w:t>
      </w:r>
      <w:r>
        <w:rPr>
          <w:rFonts w:hint="default" w:ascii="Times New Roman" w:hAnsi="Times New Roman" w:eastAsia="仿宋_GB2312" w:cs="Times New Roman"/>
          <w:color w:val="auto"/>
          <w:kern w:val="0"/>
          <w:sz w:val="32"/>
          <w:szCs w:val="32"/>
          <w:lang w:val="en-US" w:eastAsia="zh-CN" w:bidi="ar-SA"/>
        </w:rPr>
        <w:t>1.5万党建、宣传、应急、安全、森林草原防灭火、维稳、计生、居民救助等工作应急所需的公务用车燃料费、维修费、过路过桥费、保险费等支出。</w:t>
      </w:r>
    </w:p>
    <w:p w14:paraId="192DE6B8">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color w:val="000000" w:themeColor="text1"/>
          <w:sz w:val="32"/>
          <w:szCs w:val="32"/>
          <w14:textFill>
            <w14:solidFill>
              <w14:schemeClr w14:val="tx1"/>
            </w14:solidFill>
          </w14:textFill>
        </w:rPr>
        <w:t>3.公务接待费支出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auto"/>
          <w:kern w:val="0"/>
          <w:sz w:val="32"/>
          <w:szCs w:val="32"/>
          <w:lang w:val="en-US" w:eastAsia="zh-CN" w:bidi="ar-SA"/>
        </w:rPr>
        <w:t>万元，完成预算0%。公务接待费支出决与2021年持平。</w:t>
      </w:r>
    </w:p>
    <w:p w14:paraId="0EAFCC04">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 w:cs="Times New Roman"/>
          <w:b/>
          <w:color w:val="000000" w:themeColor="text1"/>
          <w:sz w:val="32"/>
          <w:szCs w:val="32"/>
          <w14:textFill>
            <w14:solidFill>
              <w14:schemeClr w14:val="tx1"/>
            </w14:solidFill>
          </w14:textFill>
        </w:rPr>
        <w:t>国内公务接待支出</w:t>
      </w:r>
      <w:r>
        <w:rPr>
          <w:rFonts w:hint="default" w:ascii="Times New Roman" w:hAnsi="Times New Roman" w:eastAsia="仿宋_GB2312" w:cs="Times New Roman"/>
          <w:color w:val="auto"/>
          <w:kern w:val="0"/>
          <w:sz w:val="32"/>
          <w:szCs w:val="32"/>
          <w:lang w:val="en-US" w:eastAsia="zh-CN" w:bidi="ar-SA"/>
        </w:rPr>
        <w:t>0万元。国内公务接待0批次，0人次（不包括陪同人员），共计支出0万元。</w:t>
      </w:r>
    </w:p>
    <w:p w14:paraId="198EC6FE">
      <w:pPr>
        <w:spacing w:line="600" w:lineRule="exact"/>
        <w:ind w:firstLine="643" w:firstLineChars="200"/>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仿宋" w:cs="Times New Roman"/>
          <w:b/>
          <w:color w:val="000000" w:themeColor="text1"/>
          <w:sz w:val="32"/>
          <w:szCs w:val="32"/>
          <w14:textFill>
            <w14:solidFill>
              <w14:schemeClr w14:val="tx1"/>
            </w14:solidFill>
          </w14:textFill>
        </w:rPr>
        <w:t>外事接待支出</w:t>
      </w:r>
      <w:r>
        <w:rPr>
          <w:rFonts w:hint="default" w:ascii="Times New Roman" w:hAnsi="Times New Roman" w:eastAsia="仿宋_GB2312" w:cs="Times New Roman"/>
          <w:color w:val="auto"/>
          <w:kern w:val="0"/>
          <w:sz w:val="32"/>
          <w:szCs w:val="32"/>
          <w:lang w:val="en-US" w:eastAsia="zh-CN" w:bidi="ar-SA"/>
        </w:rPr>
        <w:t>0万元。外事接待0批次，0人次（不包括陪同人员），共计支出0万元。</w:t>
      </w:r>
      <w:bookmarkStart w:id="50" w:name="_Toc15396610"/>
      <w:bookmarkStart w:id="51" w:name="_Toc15377218"/>
    </w:p>
    <w:p w14:paraId="0422837C">
      <w:pPr>
        <w:spacing w:line="600" w:lineRule="exact"/>
        <w:ind w:firstLine="640"/>
        <w:outlineLvl w:val="1"/>
        <w:rPr>
          <w:rStyle w:val="32"/>
          <w:rFonts w:hint="default" w:ascii="Times New Roman" w:hAnsi="Times New Roman" w:eastAsia="黑体" w:cs="Times New Roman"/>
          <w:b w:val="0"/>
          <w:color w:val="000000" w:themeColor="text1"/>
          <w14:textFill>
            <w14:solidFill>
              <w14:schemeClr w14:val="tx1"/>
            </w14:solidFill>
          </w14:textFill>
        </w:rPr>
      </w:pPr>
      <w:bookmarkStart w:id="52" w:name="_Toc20191_WPSOffice_Level2"/>
      <w:r>
        <w:rPr>
          <w:rStyle w:val="32"/>
          <w:rFonts w:hint="default" w:ascii="Times New Roman" w:hAnsi="Times New Roman" w:eastAsia="黑体" w:cs="Times New Roman"/>
          <w:b w:val="0"/>
          <w:color w:val="000000" w:themeColor="text1"/>
          <w14:textFill>
            <w14:solidFill>
              <w14:schemeClr w14:val="tx1"/>
            </w14:solidFill>
          </w14:textFill>
        </w:rPr>
        <w:t>八、政府性基金预算支出决算情况说明</w:t>
      </w:r>
      <w:bookmarkEnd w:id="50"/>
      <w:bookmarkEnd w:id="51"/>
      <w:bookmarkEnd w:id="52"/>
    </w:p>
    <w:p w14:paraId="0DE486EE">
      <w:pPr>
        <w:spacing w:line="600"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auto"/>
          <w:kern w:val="0"/>
          <w:sz w:val="32"/>
          <w:szCs w:val="32"/>
          <w:lang w:val="en-US" w:eastAsia="zh-CN" w:bidi="ar-SA"/>
        </w:rPr>
        <w:t>2022年政府性基金预算财政拨款支出83.91万元。</w:t>
      </w:r>
    </w:p>
    <w:p w14:paraId="554C2CA3">
      <w:pPr>
        <w:spacing w:line="600" w:lineRule="exact"/>
        <w:ind w:firstLine="640"/>
        <w:outlineLvl w:val="1"/>
        <w:rPr>
          <w:rStyle w:val="32"/>
          <w:rFonts w:hint="default" w:ascii="Times New Roman" w:hAnsi="Times New Roman" w:eastAsia="黑体" w:cs="Times New Roman"/>
          <w:b w:val="0"/>
          <w:color w:val="000000" w:themeColor="text1"/>
          <w14:textFill>
            <w14:solidFill>
              <w14:schemeClr w14:val="tx1"/>
            </w14:solidFill>
          </w14:textFill>
        </w:rPr>
      </w:pPr>
      <w:bookmarkStart w:id="53" w:name="_Toc15396611"/>
      <w:bookmarkStart w:id="54" w:name="_Toc15377219"/>
      <w:bookmarkStart w:id="55" w:name="_Toc3003_WPSOffice_Level2"/>
      <w:r>
        <w:rPr>
          <w:rStyle w:val="32"/>
          <w:rFonts w:hint="default" w:ascii="Times New Roman" w:hAnsi="Times New Roman" w:eastAsia="黑体" w:cs="Times New Roman"/>
          <w:b w:val="0"/>
          <w:color w:val="000000" w:themeColor="text1"/>
          <w:lang w:eastAsia="zh-CN"/>
          <w14:textFill>
            <w14:solidFill>
              <w14:schemeClr w14:val="tx1"/>
            </w14:solidFill>
          </w14:textFill>
        </w:rPr>
        <w:t>九、</w:t>
      </w:r>
      <w:r>
        <w:rPr>
          <w:rStyle w:val="32"/>
          <w:rFonts w:hint="default" w:ascii="Times New Roman" w:hAnsi="Times New Roman" w:eastAsia="黑体" w:cs="Times New Roman"/>
          <w:b w:val="0"/>
          <w:color w:val="000000" w:themeColor="text1"/>
          <w14:textFill>
            <w14:solidFill>
              <w14:schemeClr w14:val="tx1"/>
            </w14:solidFill>
          </w14:textFill>
        </w:rPr>
        <w:t>国有资本经营预算支出决算情况说明</w:t>
      </w:r>
      <w:bookmarkEnd w:id="53"/>
      <w:bookmarkEnd w:id="54"/>
      <w:bookmarkEnd w:id="55"/>
    </w:p>
    <w:p w14:paraId="35415785">
      <w:pPr>
        <w:spacing w:line="600" w:lineRule="exact"/>
        <w:ind w:firstLine="640"/>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2022年国有资本经营预算财政拨款支出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15.00</w:t>
      </w:r>
      <w:r>
        <w:rPr>
          <w:rFonts w:hint="default" w:ascii="Times New Roman" w:hAnsi="Times New Roman" w:eastAsia="仿宋_GB2312" w:cs="Times New Roman"/>
          <w:color w:val="000000" w:themeColor="text1"/>
          <w:sz w:val="32"/>
          <w:szCs w:val="32"/>
          <w14:textFill>
            <w14:solidFill>
              <w14:schemeClr w14:val="tx1"/>
            </w14:solidFill>
          </w14:textFill>
        </w:rPr>
        <w:t>万元。</w:t>
      </w:r>
    </w:p>
    <w:p w14:paraId="3A9F960F">
      <w:pPr>
        <w:spacing w:line="600" w:lineRule="exact"/>
        <w:ind w:firstLine="640"/>
        <w:outlineLvl w:val="1"/>
        <w:rPr>
          <w:rStyle w:val="32"/>
          <w:rFonts w:hint="default" w:ascii="Times New Roman" w:hAnsi="Times New Roman" w:eastAsia="黑体" w:cs="Times New Roman"/>
          <w:b w:val="0"/>
          <w:color w:val="000000" w:themeColor="text1"/>
          <w:lang w:eastAsia="zh-CN"/>
          <w14:textFill>
            <w14:solidFill>
              <w14:schemeClr w14:val="tx1"/>
            </w14:solidFill>
          </w14:textFill>
        </w:rPr>
      </w:pPr>
      <w:bookmarkStart w:id="56" w:name="_Toc15396612"/>
      <w:bookmarkStart w:id="57" w:name="_Toc15377221"/>
      <w:r>
        <w:rPr>
          <w:rStyle w:val="32"/>
          <w:rFonts w:hint="default" w:ascii="Times New Roman" w:hAnsi="Times New Roman" w:eastAsia="黑体" w:cs="Times New Roman"/>
          <w:b w:val="0"/>
          <w:color w:val="000000" w:themeColor="text1"/>
          <w:lang w:eastAsia="zh-CN"/>
          <w14:textFill>
            <w14:solidFill>
              <w14:schemeClr w14:val="tx1"/>
            </w14:solidFill>
          </w14:textFill>
        </w:rPr>
        <w:t>其他重要事项的情况说明</w:t>
      </w:r>
      <w:bookmarkEnd w:id="56"/>
      <w:bookmarkEnd w:id="57"/>
    </w:p>
    <w:p w14:paraId="7B3D90B4">
      <w:pPr>
        <w:spacing w:line="600" w:lineRule="exact"/>
        <w:ind w:firstLine="643" w:firstLineChars="200"/>
        <w:outlineLvl w:val="2"/>
        <w:rPr>
          <w:rFonts w:hint="default" w:ascii="Times New Roman" w:hAnsi="Times New Roman" w:eastAsia="仿宋" w:cs="Times New Roman"/>
          <w:color w:val="000000" w:themeColor="text1"/>
          <w:sz w:val="32"/>
          <w:szCs w:val="32"/>
          <w14:textFill>
            <w14:solidFill>
              <w14:schemeClr w14:val="tx1"/>
            </w14:solidFill>
          </w14:textFill>
        </w:rPr>
      </w:pPr>
      <w:bookmarkStart w:id="58" w:name="_Toc15377222"/>
      <w:r>
        <w:rPr>
          <w:rFonts w:hint="default" w:ascii="Times New Roman" w:hAnsi="Times New Roman" w:eastAsia="仿宋" w:cs="Times New Roman"/>
          <w:b/>
          <w:color w:val="000000" w:themeColor="text1"/>
          <w:sz w:val="32"/>
          <w:szCs w:val="32"/>
          <w14:textFill>
            <w14:solidFill>
              <w14:schemeClr w14:val="tx1"/>
            </w14:solidFill>
          </w14:textFill>
        </w:rPr>
        <w:t>（一）机关运行经费支出情况</w:t>
      </w:r>
      <w:bookmarkEnd w:id="58"/>
    </w:p>
    <w:p w14:paraId="46C0AA5E">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2022年，攀枝花市西区玉泉街道办事处机关运行经费支出22.84万元，比2021年减少7.5万元，下降24.72%。主要原因是2022年贯彻落实过紧日子要求，各项工作开支缩减，单位内部各项能耗减少。</w:t>
      </w:r>
    </w:p>
    <w:p w14:paraId="06EF7051">
      <w:pPr>
        <w:autoSpaceDE w:val="0"/>
        <w:autoSpaceDN w:val="0"/>
        <w:adjustRightInd w:val="0"/>
        <w:spacing w:line="600" w:lineRule="exact"/>
        <w:ind w:firstLine="643" w:firstLineChars="200"/>
        <w:jc w:val="left"/>
        <w:outlineLvl w:val="2"/>
        <w:rPr>
          <w:rFonts w:hint="default" w:ascii="Times New Roman" w:hAnsi="Times New Roman" w:eastAsia="仿宋" w:cs="Times New Roman"/>
          <w:b/>
          <w:color w:val="000000" w:themeColor="text1"/>
          <w:sz w:val="32"/>
          <w:szCs w:val="32"/>
          <w14:textFill>
            <w14:solidFill>
              <w14:schemeClr w14:val="tx1"/>
            </w14:solidFill>
          </w14:textFill>
        </w:rPr>
      </w:pPr>
      <w:bookmarkStart w:id="59" w:name="_Toc15377223"/>
      <w:r>
        <w:rPr>
          <w:rFonts w:hint="default" w:ascii="Times New Roman" w:hAnsi="Times New Roman" w:eastAsia="仿宋" w:cs="Times New Roman"/>
          <w:b/>
          <w:color w:val="000000" w:themeColor="text1"/>
          <w:sz w:val="32"/>
          <w:szCs w:val="32"/>
          <w14:textFill>
            <w14:solidFill>
              <w14:schemeClr w14:val="tx1"/>
            </w14:solidFill>
          </w14:textFill>
        </w:rPr>
        <w:t>（二）政府采购支出情况</w:t>
      </w:r>
      <w:bookmarkEnd w:id="59"/>
    </w:p>
    <w:p w14:paraId="67E1E740">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2022年，攀枝花市西区玉泉街道办事处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48396975">
      <w:pPr>
        <w:autoSpaceDE w:val="0"/>
        <w:autoSpaceDN w:val="0"/>
        <w:adjustRightInd w:val="0"/>
        <w:spacing w:line="600" w:lineRule="exact"/>
        <w:ind w:firstLine="643" w:firstLineChars="200"/>
        <w:jc w:val="left"/>
        <w:outlineLvl w:val="2"/>
        <w:rPr>
          <w:rFonts w:hint="default" w:ascii="Times New Roman" w:hAnsi="Times New Roman" w:eastAsia="仿宋" w:cs="Times New Roman"/>
          <w:b/>
          <w:color w:val="000000" w:themeColor="text1"/>
          <w:sz w:val="32"/>
          <w:szCs w:val="32"/>
          <w14:textFill>
            <w14:solidFill>
              <w14:schemeClr w14:val="tx1"/>
            </w14:solidFill>
          </w14:textFill>
        </w:rPr>
      </w:pPr>
      <w:bookmarkStart w:id="60" w:name="_Toc15377224"/>
      <w:r>
        <w:rPr>
          <w:rFonts w:hint="default" w:ascii="Times New Roman" w:hAnsi="Times New Roman" w:eastAsia="仿宋" w:cs="Times New Roman"/>
          <w:b/>
          <w:color w:val="000000" w:themeColor="text1"/>
          <w:sz w:val="32"/>
          <w:szCs w:val="32"/>
          <w14:textFill>
            <w14:solidFill>
              <w14:schemeClr w14:val="tx1"/>
            </w14:solidFill>
          </w14:textFill>
        </w:rPr>
        <w:t>（三）国有资产占有使用情况</w:t>
      </w:r>
      <w:bookmarkEnd w:id="60"/>
    </w:p>
    <w:p w14:paraId="2D0CE22F">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截至2022年12月31日，攀枝花市西区玉泉街道办事处共有车辆2辆，其中：主要领导干部用车0辆、机要通信用车0辆、应急保障用车2辆、其他用车0辆。单价100万元以上专用设备0台（套）。</w:t>
      </w:r>
    </w:p>
    <w:p w14:paraId="20A8248A">
      <w:pPr>
        <w:autoSpaceDE w:val="0"/>
        <w:autoSpaceDN w:val="0"/>
        <w:adjustRightInd w:val="0"/>
        <w:spacing w:line="600" w:lineRule="exact"/>
        <w:ind w:firstLine="643" w:firstLineChars="200"/>
        <w:jc w:val="left"/>
        <w:outlineLvl w:val="2"/>
        <w:rPr>
          <w:rFonts w:hint="default" w:ascii="Times New Roman" w:hAnsi="Times New Roman" w:eastAsia="仿宋" w:cs="Times New Roman"/>
          <w:b/>
          <w:color w:val="000000" w:themeColor="text1"/>
          <w:sz w:val="32"/>
          <w:szCs w:val="32"/>
          <w14:textFill>
            <w14:solidFill>
              <w14:schemeClr w14:val="tx1"/>
            </w14:solidFill>
          </w14:textFill>
        </w:rPr>
      </w:pPr>
      <w:r>
        <w:rPr>
          <w:rFonts w:hint="default" w:ascii="Times New Roman" w:hAnsi="Times New Roman" w:eastAsia="仿宋" w:cs="Times New Roman"/>
          <w:b/>
          <w:color w:val="000000" w:themeColor="text1"/>
          <w:sz w:val="32"/>
          <w:szCs w:val="32"/>
          <w14:textFill>
            <w14:solidFill>
              <w14:schemeClr w14:val="tx1"/>
            </w14:solidFill>
          </w14:textFill>
        </w:rPr>
        <w:t>（四）预算绩效管理情况</w:t>
      </w:r>
    </w:p>
    <w:p w14:paraId="00B51925">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根据预算绩效管理要求，本部门在2022年度预算编制阶段，组织对基层组织活动和公共服务运行经费、社会管理专项经费（包含人民防空、安全生产等）、平安建设专项经费项目（项目名称）等5个项目开展了预算事前绩效评估，对5个项目编制了绩效目标，预算执行过程中，选取5个项目开展绩效监控。</w:t>
      </w:r>
    </w:p>
    <w:p w14:paraId="16CB3BE1">
      <w:pPr>
        <w:spacing w:line="600" w:lineRule="exact"/>
        <w:ind w:firstLine="640"/>
        <w:rPr>
          <w:rFonts w:hint="default" w:ascii="Times New Roman" w:hAnsi="Times New Roman" w:eastAsia="仿宋_GB2312" w:cs="Times New Roman"/>
          <w:b/>
          <w:color w:val="000000" w:themeColor="text1"/>
          <w:sz w:val="32"/>
          <w:szCs w:val="32"/>
          <w14:textFill>
            <w14:solidFill>
              <w14:schemeClr w14:val="tx1"/>
            </w14:solidFill>
          </w14:textFill>
        </w:rPr>
      </w:pPr>
      <w:r>
        <w:rPr>
          <w:rFonts w:hint="default" w:ascii="Times New Roman" w:hAnsi="Times New Roman" w:eastAsia="仿宋_GB2312" w:cs="Times New Roman"/>
          <w:color w:val="auto"/>
          <w:kern w:val="0"/>
          <w:sz w:val="32"/>
          <w:szCs w:val="32"/>
          <w:lang w:val="en-US" w:eastAsia="zh-CN" w:bidi="ar-SA"/>
        </w:rPr>
        <w:t>组织对2022年度一般公共预算、政府性基金预算、国有资本经营预算、社会保险基金预算以及资本资产、债券资金等全面开展绩效自评，形成攀枝花西区玉泉街道办事处整体绩效自评报告，其中，攀枝花市西区玉泉街道办事处整体（含部门预算项目）绩效自评得分为94分，《2022年攀枝花市西区玉泉街道办事处部门整体绩效评价报告》详见附件。</w:t>
      </w:r>
      <w:r>
        <w:rPr>
          <w:rFonts w:hint="default" w:ascii="Times New Roman" w:hAnsi="Times New Roman" w:eastAsia="仿宋_GB2312" w:cs="Times New Roman"/>
          <w:color w:val="auto"/>
          <w:kern w:val="0"/>
          <w:sz w:val="32"/>
          <w:szCs w:val="32"/>
          <w:lang w:val="en-US" w:eastAsia="zh-CN" w:bidi="ar-SA"/>
        </w:rPr>
        <w:br w:type="page"/>
      </w:r>
    </w:p>
    <w:p w14:paraId="145B704D">
      <w:pPr>
        <w:numPr>
          <w:ilvl w:val="0"/>
          <w:numId w:val="1"/>
        </w:numPr>
        <w:spacing w:line="600" w:lineRule="exact"/>
        <w:ind w:firstLine="660" w:firstLineChars="150"/>
        <w:jc w:val="center"/>
        <w:outlineLvl w:val="0"/>
        <w:rPr>
          <w:rStyle w:val="31"/>
          <w:rFonts w:hint="default" w:ascii="Times New Roman" w:hAnsi="Times New Roman" w:eastAsia="黑体" w:cs="Times New Roman"/>
          <w:b w:val="0"/>
          <w:color w:val="auto"/>
        </w:rPr>
      </w:pPr>
      <w:bookmarkStart w:id="61" w:name="_Toc17935_WPSOffice_Level1"/>
      <w:bookmarkStart w:id="62" w:name="_Toc15377225"/>
      <w:bookmarkStart w:id="63" w:name="_Toc15396613"/>
      <w:r>
        <w:rPr>
          <w:rFonts w:hint="default" w:ascii="Times New Roman" w:hAnsi="Times New Roman" w:eastAsia="黑体" w:cs="Times New Roman"/>
          <w:color w:val="auto"/>
          <w:sz w:val="44"/>
          <w:szCs w:val="44"/>
        </w:rPr>
        <w:t>名</w:t>
      </w:r>
      <w:r>
        <w:rPr>
          <w:rStyle w:val="31"/>
          <w:rFonts w:hint="default" w:ascii="Times New Roman" w:hAnsi="Times New Roman" w:eastAsia="黑体" w:cs="Times New Roman"/>
          <w:b w:val="0"/>
          <w:color w:val="auto"/>
        </w:rPr>
        <w:t>词解释</w:t>
      </w:r>
      <w:bookmarkEnd w:id="61"/>
      <w:bookmarkEnd w:id="62"/>
      <w:bookmarkEnd w:id="63"/>
    </w:p>
    <w:p w14:paraId="1E643E2F">
      <w:pPr>
        <w:spacing w:line="600" w:lineRule="exact"/>
        <w:jc w:val="left"/>
        <w:rPr>
          <w:rFonts w:hint="default" w:ascii="Times New Roman" w:hAnsi="Times New Roman" w:cs="Times New Roman"/>
          <w:b/>
          <w:color w:val="auto"/>
          <w:sz w:val="44"/>
          <w:szCs w:val="44"/>
        </w:rPr>
      </w:pPr>
    </w:p>
    <w:p w14:paraId="0EF8046F">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 xml:space="preserve">1.财政拨款收入：指单位从同级财政部门取得的财政预算资金。  </w:t>
      </w:r>
    </w:p>
    <w:p w14:paraId="54986E08">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 xml:space="preserve">2.年初结转和结余：指以前年度尚未完成、结转到本年按有关规定继续使用的资金。 </w:t>
      </w:r>
    </w:p>
    <w:p w14:paraId="4AEE4915">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3.年末结转和结余：指单位按有关规定结转到下年或以后年度继续使用的资金。</w:t>
      </w:r>
    </w:p>
    <w:p w14:paraId="7E516E49">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4.一般公共服务（类）政府办公厅（室）及相关机构事务（款）行政运行（项）：指行政单位的基本支出。</w:t>
      </w:r>
    </w:p>
    <w:p w14:paraId="57CBD65D">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5.一般公共服务（类）政府办公厅（室）及相关机构事务（款）一般行政管理事务（项）：指行政单位未单独设置项级科目的其他项目支出。</w:t>
      </w:r>
    </w:p>
    <w:p w14:paraId="6CE86030">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6.一般公共服务（类）政府办公厅（室）及相关机构事务（款）信访事物（项）：指各级政府用于接待群众来信来访方面的支出。</w:t>
      </w:r>
    </w:p>
    <w:p w14:paraId="0A1E1541">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7.一般公共服务（类）政府办公厅（室）及相关机构事务（款）事业运行（项）：指事业单位的基本支出。</w:t>
      </w:r>
    </w:p>
    <w:p w14:paraId="0295C816">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8.一般公共服务（类）政府办公厅（室）及相关机构事务（款）其他政府办公厅（室）及相关机构事务支出（项）：指除上述项目以外的其他政府办公厅及相关机构事务支出。</w:t>
      </w:r>
    </w:p>
    <w:p w14:paraId="1D1F4709">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9.一般公共服务（类）统计信息事务（款）专项统计业务（项）：指反映各级统计机关在日常业务之外开展专项统计工作的支出。</w:t>
      </w:r>
    </w:p>
    <w:p w14:paraId="4891EEB4">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10.一般公共服务（类）财政事务（款）其他财政事务支出（项）：指除上述项目以外的其他财政事务方面的支出。</w:t>
      </w:r>
    </w:p>
    <w:p w14:paraId="17D72A9D">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11.一般公共服务（类）纪检监察事务（款）其他纪检监察事务支出（项）：指主要用于纪检监察机关的其他事务支出。</w:t>
      </w:r>
    </w:p>
    <w:p w14:paraId="479BE5C8">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12.一般公共服务（类）其他一般公共服务支出（款）其他一般公共服务支出（项）：指指除上述项目以外的其他一般公共服务支出。</w:t>
      </w:r>
    </w:p>
    <w:p w14:paraId="5C99F7CD">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13.文化旅游体育与传媒支出（类）文化和旅游（款）其他文化和旅游支出（项）：指反映除上述项目以外其他用于文化和旅游方面的支出。</w:t>
      </w:r>
    </w:p>
    <w:p w14:paraId="67368AAA">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14.文化旅游体育与传媒支出（类）其他文化旅游体育与传媒支出（款）其他文化旅游体育与传媒支出（项）：指反映除上述项目以外其他用于文化旅游体育与传媒方面的支出。</w:t>
      </w:r>
    </w:p>
    <w:p w14:paraId="0696FEFE">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15.社会保障和就业（类）民政管理事务（款）其他民政管理事务支出（项）：指反映除上述项目以外其他用于民政管理事务的支出。</w:t>
      </w:r>
    </w:p>
    <w:p w14:paraId="00090513">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16.社会保障和就业（类）行政事业单位养老支出（款）行政单位离退休（项）：指行政单位开支的离退休缴费。</w:t>
      </w:r>
    </w:p>
    <w:p w14:paraId="6F1EB33C">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17.社会保障和就业（类）行政事业单位养老支出（款）机关事业单位基本养老保险缴费支出（项）：指反映机关事业单位实施养老保险制度由单位缴纳的基本养老保险支出。</w:t>
      </w:r>
    </w:p>
    <w:p w14:paraId="381C426A">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18.社会保障和就业（类）抚恤（款）死亡抚恤（项）：指按规定用于烈士和牺牲、病故人员家属的一次性定期抚恤金以及丧葬补助费。</w:t>
      </w:r>
    </w:p>
    <w:p w14:paraId="5D439F04">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19.卫生健康支出（类）行政事业单位医疗（款）行政单位医疗（项）：指财政部门集中安排的行政单位基本医疗保险缴费经费。</w:t>
      </w:r>
    </w:p>
    <w:p w14:paraId="06488F24">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20.卫生健康支出（类）行政事业单位医疗（款）事业单位医疗（项）：指财政部门集中安排的事业单位基本医疗保险缴费经费。</w:t>
      </w:r>
    </w:p>
    <w:p w14:paraId="00CFBBD9">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21.卫生健康支出（类）行政事业单位医疗（款）公务员医疗补助（项）：指财政部门集中安排的公务员医疗补助经费。</w:t>
      </w:r>
    </w:p>
    <w:p w14:paraId="5213EE34">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22.卫生健康支出（类）行政事业单位医疗（款）其他行政事业单位医疗支出（项）：指反映除上述项目以外其他用于行政事业单位医疗方面的支出。</w:t>
      </w:r>
    </w:p>
    <w:p w14:paraId="20B81409">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23.城乡社区支出（类）国有土地使用权出让收入安排的支出（款）土地开发支出（项）：指地方政府用于前期土地开发性支出以及与前期土地开放相关的费用等支出。</w:t>
      </w:r>
    </w:p>
    <w:p w14:paraId="00F5A0DA">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24.农林水（类）林业和草原（款）其他林业和草原支出（项）：指反映其他用于林业和草原方面的支出。</w:t>
      </w:r>
    </w:p>
    <w:p w14:paraId="584E06E3">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25.国有资本经营预算支出（类）解决历史遗留问题及改革成本支出（款）国有企业退休人员社会化管理补助支出（项）：指反映用国有资本经营预算收入安排的支持国有企业退休人员移交社区实现社会化管理的支出。</w:t>
      </w:r>
    </w:p>
    <w:p w14:paraId="058B14DC">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26.住房保障支出（类）住房改革支出（款）住房公积金（项）：指反映行政事业单位按人事、财政部门规定的基本工资和津贴补贴以及规定比例为职工缴纳的住房公积金。</w:t>
      </w:r>
    </w:p>
    <w:p w14:paraId="7E1C3C88">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27.基本支出：指为保障机构正常运转、完成日常工作任务而发生的人员支出和公用支出。</w:t>
      </w:r>
    </w:p>
    <w:p w14:paraId="025F085E">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 xml:space="preserve">28.项目支出：指在基本支出之外为完成特定行政任务和事业发展目标所发生的支出。 </w:t>
      </w:r>
    </w:p>
    <w:p w14:paraId="5AD228B6">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29.经营支出：指事业单位在专业业务活动及其辅助活动之外开展非独立核算经营活动发生的支出。</w:t>
      </w:r>
    </w:p>
    <w:p w14:paraId="1DA3A987">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2C0E572">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1198570">
      <w:pPr>
        <w:ind w:firstLine="643" w:firstLineChars="200"/>
        <w:rPr>
          <w:rFonts w:hint="default" w:ascii="Times New Roman" w:hAnsi="Times New Roman" w:eastAsia="仿宋" w:cs="Times New Roman"/>
          <w:b/>
          <w:color w:val="FF0000"/>
          <w:sz w:val="32"/>
          <w:szCs w:val="32"/>
        </w:rPr>
      </w:pPr>
    </w:p>
    <w:p w14:paraId="7426444C">
      <w:pPr>
        <w:spacing w:line="600" w:lineRule="exact"/>
        <w:jc w:val="center"/>
        <w:outlineLvl w:val="0"/>
        <w:rPr>
          <w:rStyle w:val="31"/>
          <w:rFonts w:hint="default" w:ascii="Times New Roman" w:hAnsi="Times New Roman" w:eastAsia="黑体" w:cs="Times New Roman"/>
          <w:b w:val="0"/>
          <w:color w:val="auto"/>
        </w:rPr>
      </w:pPr>
      <w:bookmarkStart w:id="64" w:name="_Toc15377226"/>
      <w:r>
        <w:rPr>
          <w:rFonts w:hint="default" w:ascii="Times New Roman" w:hAnsi="Times New Roman" w:cs="Times New Roman"/>
          <w:b/>
          <w:color w:val="FF0000"/>
          <w:sz w:val="44"/>
          <w:szCs w:val="44"/>
        </w:rPr>
        <w:br w:type="page"/>
      </w:r>
      <w:bookmarkStart w:id="65" w:name="_Toc15396614"/>
      <w:bookmarkStart w:id="66" w:name="_Toc11336_WPSOffice_Level1"/>
      <w:r>
        <w:rPr>
          <w:rFonts w:hint="default" w:ascii="Times New Roman" w:hAnsi="Times New Roman" w:eastAsia="黑体" w:cs="Times New Roman"/>
          <w:color w:val="auto"/>
          <w:sz w:val="44"/>
          <w:szCs w:val="44"/>
        </w:rPr>
        <w:t>第</w:t>
      </w:r>
      <w:r>
        <w:rPr>
          <w:rStyle w:val="31"/>
          <w:rFonts w:hint="default" w:ascii="Times New Roman" w:hAnsi="Times New Roman" w:eastAsia="黑体" w:cs="Times New Roman"/>
          <w:b w:val="0"/>
          <w:color w:val="auto"/>
        </w:rPr>
        <w:t>四部分 附件</w:t>
      </w:r>
      <w:bookmarkEnd w:id="65"/>
      <w:bookmarkEnd w:id="66"/>
    </w:p>
    <w:p w14:paraId="46B092B9">
      <w:pPr>
        <w:spacing w:line="572" w:lineRule="exact"/>
        <w:jc w:val="left"/>
        <w:outlineLvl w:val="0"/>
        <w:rPr>
          <w:rFonts w:hint="default" w:ascii="Times New Roman" w:hAnsi="Times New Roman" w:eastAsia="方正小标宋简体" w:cs="Times New Roman"/>
          <w:color w:val="auto"/>
          <w:sz w:val="44"/>
          <w:szCs w:val="44"/>
        </w:rPr>
      </w:pPr>
      <w:r>
        <w:rPr>
          <w:rFonts w:hint="default" w:ascii="Times New Roman" w:hAnsi="Times New Roman" w:eastAsia="黑体" w:cs="Times New Roman"/>
          <w:color w:val="auto"/>
          <w:sz w:val="32"/>
          <w:szCs w:val="32"/>
        </w:rPr>
        <w:t>附件</w:t>
      </w:r>
    </w:p>
    <w:p w14:paraId="0204C595">
      <w:pPr>
        <w:widowControl/>
        <w:spacing w:line="560" w:lineRule="exact"/>
        <w:contextualSpacing/>
        <w:jc w:val="center"/>
        <w:rPr>
          <w:rFonts w:hint="default" w:ascii="Times New Roman" w:hAnsi="Times New Roman" w:cs="Times New Roman"/>
          <w:b/>
          <w:color w:val="auto"/>
          <w:sz w:val="32"/>
          <w:szCs w:val="32"/>
          <w:shd w:val="clear" w:color="auto" w:fill="FFFFFF"/>
        </w:rPr>
      </w:pPr>
      <w:bookmarkStart w:id="67" w:name="_Toc11931_WPSOffice_Level2"/>
      <w:bookmarkStart w:id="68" w:name="_Toc26022_WPSOffice_Level2"/>
      <w:bookmarkStart w:id="69" w:name="_Toc13938_WPSOffice_Level2"/>
      <w:r>
        <w:rPr>
          <w:rFonts w:hint="default" w:ascii="Times New Roman" w:hAnsi="Times New Roman" w:cs="Times New Roman"/>
          <w:b/>
          <w:color w:val="auto"/>
          <w:sz w:val="32"/>
          <w:szCs w:val="32"/>
          <w:shd w:val="clear" w:color="auto" w:fill="FFFFFF"/>
        </w:rPr>
        <w:t>202</w:t>
      </w:r>
      <w:r>
        <w:rPr>
          <w:rFonts w:hint="eastAsia" w:cs="Times New Roman"/>
          <w:b/>
          <w:color w:val="auto"/>
          <w:sz w:val="32"/>
          <w:szCs w:val="32"/>
          <w:shd w:val="clear" w:color="auto" w:fill="FFFFFF"/>
          <w:lang w:val="en-US" w:eastAsia="zh-CN"/>
        </w:rPr>
        <w:t>2</w:t>
      </w:r>
      <w:r>
        <w:rPr>
          <w:rFonts w:hint="default" w:ascii="Times New Roman" w:hAnsi="Times New Roman" w:cs="Times New Roman"/>
          <w:b/>
          <w:color w:val="auto"/>
          <w:sz w:val="32"/>
          <w:szCs w:val="32"/>
          <w:shd w:val="clear" w:color="auto" w:fill="FFFFFF"/>
        </w:rPr>
        <w:t>年</w:t>
      </w:r>
      <w:r>
        <w:rPr>
          <w:rFonts w:hint="default" w:ascii="Times New Roman" w:hAnsi="Times New Roman" w:cs="Times New Roman"/>
          <w:b/>
          <w:color w:val="auto"/>
          <w:sz w:val="32"/>
          <w:szCs w:val="32"/>
          <w:shd w:val="clear" w:color="auto" w:fill="FFFFFF"/>
          <w:lang w:eastAsia="zh-CN"/>
        </w:rPr>
        <w:t>攀枝花市西区玉泉街道办事处部</w:t>
      </w:r>
      <w:r>
        <w:rPr>
          <w:rFonts w:hint="default" w:ascii="Times New Roman" w:hAnsi="Times New Roman" w:cs="Times New Roman"/>
          <w:b/>
          <w:color w:val="auto"/>
          <w:sz w:val="32"/>
          <w:szCs w:val="32"/>
          <w:shd w:val="clear" w:color="auto" w:fill="FFFFFF"/>
        </w:rPr>
        <w:t>门整体绩效评价报告</w:t>
      </w:r>
      <w:bookmarkEnd w:id="67"/>
      <w:bookmarkEnd w:id="68"/>
      <w:bookmarkEnd w:id="69"/>
    </w:p>
    <w:p w14:paraId="5B250FB6">
      <w:pPr>
        <w:widowControl/>
        <w:adjustRightInd w:val="0"/>
        <w:snapToGrid w:val="0"/>
        <w:spacing w:line="560" w:lineRule="exact"/>
        <w:ind w:firstLine="640" w:firstLineChars="200"/>
        <w:contextualSpacing/>
        <w:jc w:val="left"/>
        <w:rPr>
          <w:rFonts w:hint="default" w:ascii="Times New Roman" w:hAnsi="Times New Roman" w:eastAsia="黑体" w:cs="Times New Roman"/>
          <w:color w:val="auto"/>
          <w:kern w:val="0"/>
          <w:sz w:val="32"/>
          <w:szCs w:val="32"/>
          <w:shd w:val="clear" w:color="auto" w:fill="FFFFFF"/>
        </w:rPr>
      </w:pPr>
    </w:p>
    <w:p w14:paraId="57898659">
      <w:pPr>
        <w:pStyle w:val="2"/>
        <w:rPr>
          <w:rFonts w:hint="default" w:ascii="Times New Roman" w:hAnsi="Times New Roman" w:cs="Times New Roman"/>
          <w:color w:val="auto"/>
        </w:rPr>
      </w:pPr>
    </w:p>
    <w:p w14:paraId="4EAE71BE">
      <w:pPr>
        <w:widowControl/>
        <w:numPr>
          <w:ilvl w:val="0"/>
          <w:numId w:val="2"/>
        </w:numPr>
        <w:adjustRightInd w:val="0"/>
        <w:snapToGrid w:val="0"/>
        <w:spacing w:line="560" w:lineRule="exact"/>
        <w:ind w:firstLine="640" w:firstLineChars="200"/>
        <w:contextualSpacing/>
        <w:jc w:val="left"/>
        <w:rPr>
          <w:rFonts w:hint="default" w:ascii="Times New Roman" w:hAnsi="Times New Roman" w:eastAsia="黑体" w:cs="Times New Roman"/>
          <w:color w:val="auto"/>
          <w:kern w:val="0"/>
          <w:sz w:val="32"/>
          <w:szCs w:val="32"/>
          <w:shd w:val="clear" w:color="auto" w:fill="FFFFFF"/>
          <w:lang w:val="zh-CN"/>
        </w:rPr>
      </w:pPr>
      <w:bookmarkStart w:id="70" w:name="_Toc6795_WPSOffice_Level2"/>
      <w:bookmarkStart w:id="71" w:name="_Toc29845_WPSOffice_Level2"/>
      <w:bookmarkStart w:id="72" w:name="_Toc4699_WPSOffice_Level2"/>
      <w:r>
        <w:rPr>
          <w:rFonts w:hint="default" w:ascii="Times New Roman" w:hAnsi="Times New Roman" w:eastAsia="黑体" w:cs="Times New Roman"/>
          <w:color w:val="auto"/>
          <w:kern w:val="0"/>
          <w:sz w:val="32"/>
          <w:szCs w:val="32"/>
          <w:shd w:val="clear" w:color="auto" w:fill="FFFFFF"/>
          <w:lang w:val="zh-CN"/>
        </w:rPr>
        <w:t>部门（单位）基本情况</w:t>
      </w:r>
      <w:bookmarkEnd w:id="70"/>
      <w:bookmarkEnd w:id="71"/>
      <w:bookmarkEnd w:id="72"/>
    </w:p>
    <w:p w14:paraId="2F7C31B3">
      <w:pPr>
        <w:widowControl/>
        <w:numPr>
          <w:ilvl w:val="0"/>
          <w:numId w:val="3"/>
        </w:numPr>
        <w:adjustRightInd w:val="0"/>
        <w:snapToGrid w:val="0"/>
        <w:spacing w:line="560" w:lineRule="exact"/>
        <w:ind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机构组成。</w:t>
      </w:r>
    </w:p>
    <w:p w14:paraId="60D1E531">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攀枝花市西区玉泉街道办事处下属二级单位3个，其中行政单位0个，参照公务员法管理的事业单位0个，其他事业单位3个。</w:t>
      </w:r>
    </w:p>
    <w:p w14:paraId="6EFCE54D">
      <w:pPr>
        <w:spacing w:line="600" w:lineRule="exact"/>
        <w:ind w:firstLine="64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en-US" w:eastAsia="zh-CN" w:bidi="ar-SA"/>
        </w:rPr>
        <w:t>纳入攀枝花市西区玉泉街道办事处2021年度部门决算编制范围的二级预算单位包括：无。</w:t>
      </w:r>
    </w:p>
    <w:p w14:paraId="423EABB1">
      <w:pPr>
        <w:widowControl/>
        <w:numPr>
          <w:ilvl w:val="0"/>
          <w:numId w:val="3"/>
        </w:numPr>
        <w:adjustRightInd w:val="0"/>
        <w:snapToGrid w:val="0"/>
        <w:spacing w:line="560" w:lineRule="exact"/>
        <w:ind w:left="0" w:leftChars="0"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机构职能和人员概况。</w:t>
      </w:r>
    </w:p>
    <w:p w14:paraId="060B5CB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default" w:ascii="Times New Roman" w:hAnsi="Times New Roman" w:eastAsia="仿宋" w:cs="Times New Roman"/>
          <w:color w:val="auto"/>
          <w:sz w:val="32"/>
          <w:szCs w:val="32"/>
          <w:lang w:val="zh-CN"/>
        </w:rPr>
      </w:pPr>
      <w:r>
        <w:rPr>
          <w:rFonts w:hint="default" w:ascii="Times New Roman" w:hAnsi="Times New Roman" w:eastAsia="仿宋" w:cs="Times New Roman"/>
          <w:color w:val="auto"/>
          <w:sz w:val="32"/>
          <w:szCs w:val="32"/>
          <w:lang w:val="zh-CN"/>
        </w:rPr>
        <w:t>（</w:t>
      </w:r>
      <w:r>
        <w:rPr>
          <w:rFonts w:hint="default" w:ascii="Times New Roman" w:hAnsi="Times New Roman" w:eastAsia="仿宋" w:cs="Times New Roman"/>
          <w:color w:val="auto"/>
          <w:sz w:val="32"/>
          <w:szCs w:val="32"/>
          <w:lang w:val="en-US" w:eastAsia="zh-CN"/>
        </w:rPr>
        <w:t>1</w:t>
      </w:r>
      <w:r>
        <w:rPr>
          <w:rFonts w:hint="default" w:ascii="Times New Roman" w:hAnsi="Times New Roman" w:eastAsia="仿宋" w:cs="Times New Roman"/>
          <w:color w:val="auto"/>
          <w:sz w:val="32"/>
          <w:szCs w:val="32"/>
          <w:lang w:val="zh-CN"/>
        </w:rPr>
        <w:t>）机构职能。</w:t>
      </w:r>
    </w:p>
    <w:p w14:paraId="35E08FE5">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1.贯彻执行党和国家的各项法律、法规、规章以及上级政府的决议、决定，依法管理基层公共事务。</w:t>
      </w:r>
    </w:p>
    <w:p w14:paraId="7AE6EC74">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负责辖区经济、文化、教育体育、科技、卫生健康、民政、社会保障、民族宗教、住房保障、司法、退役军人、统计等公共管理和公共服务工作，积极构建公共服务均等化体系，促进社会事业发展。推进“最多跑一次”改革，建立健全群众办事一次办结机制，优化便民服务质量。</w:t>
      </w:r>
    </w:p>
    <w:p w14:paraId="5DA88DBB">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3.负责辖区环境保护、秩序治理、物业管理、城乡环境综合治理等城市管理工作，开展爱国卫生、环境卫生监督检查，营造良好发展环境。整合基层一线执法力量，充分发挥属地管理优势，强化对辖区范围内执法力量的统一指挥和统筹协调。</w:t>
      </w:r>
    </w:p>
    <w:p w14:paraId="57334FA8">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4.负责辖区平安建设、社会治安综合治理工作，处理群众来信来访，反映社情民意，建立社会矛盾纠纷排查调处机制，维护社会和谐稳定。</w:t>
      </w:r>
    </w:p>
    <w:p w14:paraId="1EC86B3C">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 xml:space="preserve">  5.负责辖区公共安全，协助做好安全生产、防汛、防火、防灾减灾等应急管理工作，构建公共安全防控体系，建立应对突发紧急事件的处理预案。</w:t>
      </w:r>
    </w:p>
    <w:p w14:paraId="2C05BFA3">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6.领导社区居委会建设，指导社区居委会工作，培育、发展社区社会组织，组织社区居民参与社区建设和管理，健全完善自治、法治、德治相结合的城市基层治理体系。</w:t>
      </w:r>
    </w:p>
    <w:p w14:paraId="41A0E403">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7.牵头协调职能部门及其派出机构，共同处理地区性、综合性社会管理事务。动员辖区各类单位、社会组织和社区居民等社会力量参与基层社会治理，引导辖区单位履行社会责任,统筹辖区资源，实现共建共治共享。</w:t>
      </w:r>
    </w:p>
    <w:p w14:paraId="0B87FCCC">
      <w:pPr>
        <w:spacing w:line="600"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8.完成区委、区政府交办的其他工作。</w:t>
      </w:r>
    </w:p>
    <w:p w14:paraId="79F9B81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default" w:ascii="Times New Roman" w:hAnsi="Times New Roman" w:eastAsia="仿宋" w:cs="Times New Roman"/>
          <w:color w:val="auto"/>
          <w:sz w:val="32"/>
          <w:szCs w:val="32"/>
          <w:lang w:val="zh-CN" w:eastAsia="zh-CN"/>
        </w:rPr>
      </w:pPr>
      <w:r>
        <w:rPr>
          <w:rFonts w:hint="default" w:ascii="Times New Roman" w:hAnsi="Times New Roman" w:eastAsia="仿宋" w:cs="Times New Roman"/>
          <w:color w:val="auto"/>
          <w:sz w:val="32"/>
          <w:szCs w:val="32"/>
          <w:lang w:val="zh-CN" w:eastAsia="zh-CN"/>
        </w:rPr>
        <w:t>（</w:t>
      </w:r>
      <w:r>
        <w:rPr>
          <w:rFonts w:hint="default"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lang w:val="zh-CN" w:eastAsia="zh-CN"/>
        </w:rPr>
        <w:t>）人员概况</w:t>
      </w:r>
    </w:p>
    <w:p w14:paraId="7B251812">
      <w:pPr>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2022年我部门基本情况如下：行政人员编制8人，实有7人（不含行政工勤人员）；参公管理人员编制0人，实有0人；事业人员编制12人，实有10人（含事业工勤人员1人）。</w:t>
      </w:r>
    </w:p>
    <w:p w14:paraId="06A36CD0">
      <w:pPr>
        <w:spacing w:line="600" w:lineRule="exact"/>
        <w:ind w:firstLine="640" w:firstLineChars="200"/>
        <w:rPr>
          <w:rFonts w:hint="default" w:ascii="Times New Roman" w:hAnsi="Times New Roman" w:eastAsia="仿宋" w:cs="Times New Roman"/>
          <w:color w:val="auto"/>
          <w:sz w:val="32"/>
          <w:szCs w:val="32"/>
          <w:lang w:val="zh-CN" w:eastAsia="zh-CN"/>
        </w:rPr>
      </w:pPr>
      <w:r>
        <w:rPr>
          <w:rFonts w:hint="default" w:ascii="Times New Roman" w:hAnsi="Times New Roman" w:eastAsia="仿宋_GB2312" w:cs="Times New Roman"/>
          <w:color w:val="auto"/>
          <w:sz w:val="32"/>
          <w:szCs w:val="32"/>
          <w:lang w:val="en-US" w:eastAsia="zh-CN"/>
        </w:rPr>
        <w:t>离退休人员8人，其中：离休0人，退休8人。</w:t>
      </w:r>
    </w:p>
    <w:p w14:paraId="73252B8F">
      <w:pPr>
        <w:widowControl/>
        <w:numPr>
          <w:ilvl w:val="0"/>
          <w:numId w:val="3"/>
        </w:numPr>
        <w:adjustRightInd w:val="0"/>
        <w:snapToGrid w:val="0"/>
        <w:spacing w:line="560" w:lineRule="exact"/>
        <w:ind w:left="0" w:leftChars="0"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年度主要工作任务。</w:t>
      </w:r>
    </w:p>
    <w:p w14:paraId="288A9E72">
      <w:pPr>
        <w:pStyle w:val="6"/>
        <w:numPr>
          <w:ilvl w:val="0"/>
          <w:numId w:val="0"/>
        </w:numPr>
        <w:rPr>
          <w:rFonts w:hint="default" w:ascii="Times New Roman" w:hAnsi="Times New Roman" w:cs="Times New Roman"/>
          <w:color w:val="auto"/>
          <w:lang w:val="zh-CN"/>
        </w:rPr>
      </w:pPr>
    </w:p>
    <w:p w14:paraId="0A30BCA6">
      <w:pPr>
        <w:spacing w:line="600" w:lineRule="exact"/>
        <w:ind w:firstLine="643"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sz w:val="32"/>
          <w:szCs w:val="32"/>
          <w:lang w:val="en-US" w:eastAsia="zh-CN"/>
        </w:rPr>
        <w:t>（1）抓实经济工作，促进辖区经济发展</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kern w:val="0"/>
          <w:sz w:val="32"/>
          <w:szCs w:val="32"/>
          <w:lang w:val="en-US" w:eastAsia="zh-CN" w:bidi="ar-SA"/>
        </w:rPr>
        <w:t>坚持把重点项目作为经济工作的主抓手，把项目建设作为街道转方式、调结构、促发展的重要载体，认真研究辖区实际情况，不断解放思想，准确定位，转变发展思路，延伸发展空间，紧紧围绕经济工作目标，落实责任，不遗余力地推进全年任务和重点工作。2022年工业总产值目标任务按照区相关部门每月下达的指标任务而定，1-10月完成77007万元，完成了指标任务。2022年社会消费品零售总额和批发营业总额目标任务按照区相关部门每月下达的指标任务而定，其中社会消费品零售总额1-10月完成33766万元，完成指标任务；批发营业总额1-10月完成26238万元，完成指标任务。2022年固定资产投资目标任务5亿元，1-10月份完成固投资产投资6.28亿元，完成全年目标任务125.6%；2022年固定资产项目入库目标任务5亿元，1-10月份完成4.52亿元，完成全年目标任务90.4%。2022年工业投资目标任务3.17亿，1-10月份完成3.82亿元，完成年目标任务的120.5%；工业技改目标任务2.7亿，1-10月份完成3.63亿，完成年目标任务的134.4%。2022年招商引资的目标任务4.7亿，1-10月份招商引资完成4.88亿元，完成年目标任务的103.8%；其中国内省外资金全年目标任务是1.1亿，1-10月份完成4.08亿元，完成年目标任务的370.9%。同时积极配合区相关部门对辖区企业进行摸排走访，争取今年有1家工业企业和1家商贸服务企业升规入库。</w:t>
      </w:r>
    </w:p>
    <w:p w14:paraId="08C1140F">
      <w:pPr>
        <w:keepNext w:val="0"/>
        <w:keepLines w:val="0"/>
        <w:pageBreakBefore w:val="0"/>
        <w:kinsoku/>
        <w:wordWrap/>
        <w:overflowPunct/>
        <w:topLinePunct w:val="0"/>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（2）做实民生保障，促进社会和谐稳定。一是社会救助体系逐步完善。</w:t>
      </w:r>
      <w:r>
        <w:rPr>
          <w:rFonts w:hint="default" w:ascii="Times New Roman" w:hAnsi="Times New Roman" w:eastAsia="仿宋_GB2312" w:cs="Times New Roman"/>
          <w:color w:val="auto"/>
          <w:sz w:val="32"/>
          <w:szCs w:val="32"/>
          <w:lang w:val="en-US" w:eastAsia="zh-CN"/>
        </w:rPr>
        <w:t>在规定时间内实现街道低保认定条件、申请审定程序、管理制度、保障标准等方面全面统筹并轨，实现应保尽保，应退尽退。2022年1-10月，共累计上报246户新申请和复查低保户、新申请低收入家庭、申请临时救助的家庭进行经济核查；处理投诉、来信来访等疑难问题家庭20户，针对其情况都进行相应的调查处理。今年以来，玉泉街办城市低保累计新增13户，变动58户，取消33户，累计保障3099人次，保障金额207.2267万元，人均补差668.69元。目前低保在保214户，266人，保障金额176794元。另外2022年1-9月共有25户家庭通过低收入家庭认定。</w:t>
      </w:r>
      <w:r>
        <w:rPr>
          <w:rFonts w:hint="default" w:ascii="Times New Roman" w:hAnsi="Times New Roman" w:eastAsia="仿宋_GB2312" w:cs="Times New Roman"/>
          <w:b/>
          <w:bCs/>
          <w:color w:val="auto"/>
          <w:sz w:val="32"/>
          <w:szCs w:val="32"/>
          <w:lang w:val="en-US" w:eastAsia="zh-CN"/>
        </w:rPr>
        <w:t>二是临时救助力度进一步加大。</w:t>
      </w:r>
      <w:r>
        <w:rPr>
          <w:rFonts w:hint="default" w:ascii="Times New Roman" w:hAnsi="Times New Roman" w:eastAsia="仿宋_GB2312" w:cs="Times New Roman"/>
          <w:color w:val="auto"/>
          <w:sz w:val="32"/>
          <w:szCs w:val="32"/>
          <w:lang w:val="en-US" w:eastAsia="zh-CN"/>
        </w:rPr>
        <w:t>明确申请救助家庭经济状况核对要求，将家庭成员因病、遭遇突发事件等原因造成其家庭基本生活困难的家庭，纳入救助范围，申请临时救助的家庭共有17人，合计救助金额60260元。今年以来，玉泉街道共有91人享受困难残疾人生活补贴，享受金额共计9100元。</w:t>
      </w:r>
      <w:r>
        <w:rPr>
          <w:rFonts w:hint="default" w:ascii="Times New Roman" w:hAnsi="Times New Roman" w:eastAsia="仿宋_GB2312" w:cs="Times New Roman"/>
          <w:b/>
          <w:bCs/>
          <w:color w:val="auto"/>
          <w:sz w:val="32"/>
          <w:szCs w:val="32"/>
          <w:lang w:val="en-US" w:eastAsia="zh-CN"/>
        </w:rPr>
        <w:t>三是社会福利事业长足发展。</w:t>
      </w:r>
      <w:r>
        <w:rPr>
          <w:rFonts w:hint="default" w:ascii="Times New Roman" w:hAnsi="Times New Roman" w:eastAsia="仿宋_GB2312" w:cs="Times New Roman"/>
          <w:color w:val="auto"/>
          <w:sz w:val="32"/>
          <w:szCs w:val="32"/>
          <w:lang w:val="en-US" w:eastAsia="zh-CN"/>
        </w:rPr>
        <w:t>抓好重点弱势群体工作，千方百计做好孤、老、病、残服务。截至目前，重度残疾人护理补贴242人，其中一级残疾92人，二级残疾人150人。高龄长寿津贴发放941人；特困人员津贴发放3人；截至2022年11月完成为贫困精神病人申请服药44人，精神病住院9人；为辖区44名肢体残疾人申请适配辅助器具，完成残疾人家庭无障碍改造12人，帮助残疾人实现生活方便的愿望；为3名贫困听力残疾人申请助听器，5名残疾人申请机动轮椅车燃油补贴；为15名残疾人申请居家托养服务，为2名九年义务教育在读残疾儿童申请生活补助；开展“温暖万家行”活动，走访慰问贫困残疾人家庭80户；为1名盲人开展盲人定向行走训练，为3名残疾人提供农村贫困残疾人发展生产残疾人居家灵活就业帮扶，与区卫计局实行家庭医生签约300人。</w:t>
      </w:r>
      <w:r>
        <w:rPr>
          <w:rFonts w:hint="default" w:ascii="Times New Roman" w:hAnsi="Times New Roman" w:eastAsia="仿宋_GB2312" w:cs="Times New Roman"/>
          <w:b/>
          <w:bCs/>
          <w:color w:val="auto"/>
          <w:sz w:val="32"/>
          <w:szCs w:val="32"/>
          <w:lang w:val="en-US" w:eastAsia="zh-CN"/>
        </w:rPr>
        <w:t>四是全面落实就业援助政策。</w:t>
      </w:r>
      <w:r>
        <w:rPr>
          <w:rFonts w:hint="default" w:ascii="Times New Roman" w:hAnsi="Times New Roman" w:eastAsia="仿宋_GB2312" w:cs="Times New Roman"/>
          <w:color w:val="auto"/>
          <w:sz w:val="32"/>
          <w:szCs w:val="32"/>
          <w:lang w:val="en-US" w:eastAsia="zh-CN"/>
        </w:rPr>
        <w:t>2022年，玉泉街道发布招聘信息156次，提供就业岗位500余个，办理失业登记114人，办理失业金申领42人，完成就业困难援助对象认定48人，灵活就业登记23人，举办职业培训2场共58人次。协助养老认证4694人，完成城镇居民养老保险验证371人，办理城乡居民养老保险参保30人，办理死亡人员家属丧葬抚恤金申领手续13人。公益性岗位人员34人，申请岗位补贴62.51万元，社保补贴39.77万元。</w:t>
      </w:r>
      <w:r>
        <w:rPr>
          <w:rFonts w:hint="default" w:ascii="Times New Roman" w:hAnsi="Times New Roman" w:eastAsia="仿宋_GB2312" w:cs="Times New Roman"/>
          <w:b/>
          <w:bCs/>
          <w:color w:val="auto"/>
          <w:sz w:val="32"/>
          <w:szCs w:val="32"/>
          <w:lang w:val="en-US" w:eastAsia="zh-CN"/>
        </w:rPr>
        <w:t>五是推动“便民服务中心”建设。</w:t>
      </w:r>
      <w:r>
        <w:rPr>
          <w:rFonts w:hint="default" w:ascii="Times New Roman" w:hAnsi="Times New Roman" w:eastAsia="仿宋_GB2312" w:cs="Times New Roman"/>
          <w:color w:val="auto"/>
          <w:sz w:val="32"/>
          <w:szCs w:val="32"/>
          <w:lang w:val="en-US" w:eastAsia="zh-CN"/>
        </w:rPr>
        <w:t>依据“示范便民服务中心”评估验收标准要求推动相关工作开展，便民服务中心建立“三化”建设专项领导小组。截至2022年10月，实现科学划分功能区域、设置综合窗口，推动“综合受理、分类办理”服务模式，增设无障碍通道等适老化改造，结合便民服务中心实际公布“一件事一次办”清单及办事指南等。进一步加强政务信息公开，制作服务事项办事指南、利用政务公开栏公示涉及辖区社会保险、劳动就业等事宜。制定窗口工作人员管理制度，加大工作人员培训力度。规范设置窗口制度、启用“政务服务审批专用章”。实现便民服务线上线下相结合，利用一体化平台实现一网通办为群众拓展办事渠道。</w:t>
      </w:r>
      <w:r>
        <w:rPr>
          <w:rFonts w:hint="default" w:ascii="Times New Roman" w:hAnsi="Times New Roman" w:eastAsia="仿宋_GB2312" w:cs="Times New Roman"/>
          <w:b/>
          <w:bCs/>
          <w:color w:val="auto"/>
          <w:sz w:val="32"/>
          <w:szCs w:val="32"/>
          <w:lang w:val="en-US" w:eastAsia="zh-CN"/>
        </w:rPr>
        <w:t>六是健全完善退役军人党员的信息采集动态更新机制。</w:t>
      </w:r>
      <w:r>
        <w:rPr>
          <w:rFonts w:hint="default" w:ascii="Times New Roman" w:hAnsi="Times New Roman" w:eastAsia="仿宋_GB2312" w:cs="Times New Roman"/>
          <w:color w:val="auto"/>
          <w:sz w:val="32"/>
          <w:szCs w:val="32"/>
          <w:lang w:val="en-US" w:eastAsia="zh-CN"/>
        </w:rPr>
        <w:t>精准掌握每名退役军人党员个人、家庭情况和利益诉求，建立好属于退役军人各自的档案。2022年春节期间向辖区内302名退役军人发放节日慰问金。“八一”期间向辖区内的287名退役军人及优待对象发放节日慰问金3万余元，帮助1名退役军人就业，主动邀请退役军人参与春节游园活动5场。街道及各社区通过社区微信群、QQ群、退役军人微信群等方式转发招聘信息25条。目前，玉泉街道辖区内退役军人和其他优抚对象累计332人完成优待证申领。</w:t>
      </w:r>
    </w:p>
    <w:p w14:paraId="640F67FB">
      <w:pPr>
        <w:keepNext w:val="0"/>
        <w:keepLines w:val="0"/>
        <w:pageBreakBefore w:val="0"/>
        <w:kinsoku/>
        <w:wordWrap/>
        <w:overflowPunct/>
        <w:topLinePunct w:val="0"/>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（3）抓细疫情防控，落实民生保障。一是加强组织领导。</w:t>
      </w:r>
      <w:r>
        <w:rPr>
          <w:rFonts w:hint="default" w:ascii="Times New Roman" w:hAnsi="Times New Roman" w:eastAsia="仿宋_GB2312" w:cs="Times New Roman"/>
          <w:color w:val="auto"/>
          <w:sz w:val="32"/>
          <w:szCs w:val="32"/>
          <w:lang w:val="en-US" w:eastAsia="zh-CN"/>
        </w:rPr>
        <w:t>制定《关于调整玉泉街道应对新型冠状病毒肺炎疫情防控应急指挥部组成人员的通知》《攀枝花市西区玉泉街道办事处核酸检测工作预案》《攀枝花市西区玉泉街道办事处金沙来大酒店集中隔离医学观察点领导小组》等文件；以社区为主，严格执行党工委要求，压实责任，全面落实上级部门疫情防控工作要求，完善疫情防控工作方案；组织召开疫情防控工作部署会、调度会13次。</w:t>
      </w:r>
      <w:r>
        <w:rPr>
          <w:rFonts w:hint="default" w:ascii="Times New Roman" w:hAnsi="Times New Roman" w:eastAsia="仿宋_GB2312" w:cs="Times New Roman"/>
          <w:b/>
          <w:bCs/>
          <w:color w:val="auto"/>
          <w:sz w:val="32"/>
          <w:szCs w:val="32"/>
          <w:lang w:val="en-US" w:eastAsia="zh-CN"/>
        </w:rPr>
        <w:t>二是实行包联制。</w:t>
      </w:r>
      <w:r>
        <w:rPr>
          <w:rFonts w:hint="default" w:ascii="Times New Roman" w:hAnsi="Times New Roman" w:eastAsia="仿宋_GB2312" w:cs="Times New Roman"/>
          <w:color w:val="auto"/>
          <w:sz w:val="32"/>
          <w:szCs w:val="32"/>
          <w:lang w:val="en-US" w:eastAsia="zh-CN"/>
        </w:rPr>
        <w:t>领导班子成员包社区、社区干部包小区、网格员包片区的网格化管理，层层传导，形成从领导到工作人员众志成城、齐心协力防控疫情的工作格局。</w:t>
      </w:r>
      <w:r>
        <w:rPr>
          <w:rFonts w:hint="default" w:ascii="Times New Roman" w:hAnsi="Times New Roman" w:eastAsia="仿宋_GB2312" w:cs="Times New Roman"/>
          <w:b/>
          <w:bCs/>
          <w:color w:val="auto"/>
          <w:sz w:val="32"/>
          <w:szCs w:val="32"/>
          <w:lang w:val="en-US" w:eastAsia="zh-CN"/>
        </w:rPr>
        <w:t>三是做好疫情防控值班值守。</w:t>
      </w:r>
      <w:r>
        <w:rPr>
          <w:rFonts w:hint="default" w:ascii="Times New Roman" w:hAnsi="Times New Roman" w:eastAsia="仿宋_GB2312" w:cs="Times New Roman"/>
          <w:color w:val="auto"/>
          <w:sz w:val="32"/>
          <w:szCs w:val="32"/>
          <w:lang w:val="en-US" w:eastAsia="zh-CN"/>
        </w:rPr>
        <w:t>对来访人员实行“扫码测温戴口罩查看行程卡”，对有疫情风险地区返攀的人员要求及时双报备，并按照文件要求配合管控，家属也需及时报备；各社区实行“敲门行动”，对摸排到风险地区返攀人员及时做好管控，对重点人员严格实行居家隔离（健康监测）和随访制度；动态掌握来自境外、重点地区人员的数量，做到底数清，情况明。对重点地区返攀人员严格实行居家隔离和一日双巡制度，坚持“日报告、零报告”。截至2022年11月7日，外地来攀累计4237人，累计境外返攀解除隔离人员共10人，累计动态中高风险地区来攀解除隔离（居家健康监测）人员602人。对隔离人员的管控措施落实到位，严禁外出。</w:t>
      </w:r>
      <w:r>
        <w:rPr>
          <w:rFonts w:hint="default" w:ascii="Times New Roman" w:hAnsi="Times New Roman" w:eastAsia="仿宋_GB2312" w:cs="Times New Roman"/>
          <w:b/>
          <w:bCs/>
          <w:color w:val="auto"/>
          <w:sz w:val="32"/>
          <w:szCs w:val="32"/>
          <w:lang w:val="en-US" w:eastAsia="zh-CN"/>
        </w:rPr>
        <w:t>四是落实重点点位防疫工作。</w:t>
      </w:r>
      <w:r>
        <w:rPr>
          <w:rFonts w:hint="default" w:ascii="Times New Roman" w:hAnsi="Times New Roman" w:eastAsia="仿宋_GB2312" w:cs="Times New Roman"/>
          <w:color w:val="auto"/>
          <w:sz w:val="32"/>
          <w:szCs w:val="32"/>
          <w:lang w:val="en-US" w:eastAsia="zh-CN"/>
        </w:rPr>
        <w:t>金沙来酒店今年下半年被征用为西区疫情防控隔离点，玉泉街道作为此隔离点的牵头负责单位，保障隔离点设施设备齐全，细化日常防疫措施，提供隔离人员和隔离点工作人员所需物资，做好防疫日常工作。协助配合区防疫指挥部做好新庄高速卡点核酸采样信息录入工作，街道和社区所有干部职工经过业务培训后，排班轮流上岗。</w:t>
      </w:r>
      <w:r>
        <w:rPr>
          <w:rFonts w:hint="default" w:ascii="Times New Roman" w:hAnsi="Times New Roman" w:eastAsia="仿宋_GB2312" w:cs="Times New Roman"/>
          <w:b/>
          <w:bCs/>
          <w:color w:val="auto"/>
          <w:sz w:val="32"/>
          <w:szCs w:val="32"/>
          <w:lang w:val="en-US" w:eastAsia="zh-CN"/>
        </w:rPr>
        <w:t>五是强化宣传。</w:t>
      </w:r>
      <w:r>
        <w:rPr>
          <w:rFonts w:hint="default" w:ascii="Times New Roman" w:hAnsi="Times New Roman" w:eastAsia="仿宋_GB2312" w:cs="Times New Roman"/>
          <w:color w:val="auto"/>
          <w:sz w:val="32"/>
          <w:szCs w:val="32"/>
          <w:lang w:val="en-US" w:eastAsia="zh-CN"/>
        </w:rPr>
        <w:t>科学引导疫情防控。我办采取“户外宣传+网络宣传”的组合宣传策略，实现疫情防控宣传全覆盖。户外无死角宣传，利用悬挂条幅、张贴宣传海报、LED显示屏滚动宣传方式，营造防控疫情的浓厚氛围；各社区张贴发放倡议书、告知书、宣传资料1万余份；在小区内设立流动扩音喇叭，累计宣传时长3000多个小时；利用网络自媒体科普疫情相关知识15000余条；通过推广使用花城E+，要求居民在社区通上进行来返攀登记报备。</w:t>
      </w:r>
      <w:r>
        <w:rPr>
          <w:rFonts w:hint="default" w:ascii="Times New Roman" w:hAnsi="Times New Roman" w:eastAsia="仿宋_GB2312" w:cs="Times New Roman"/>
          <w:b/>
          <w:bCs/>
          <w:color w:val="auto"/>
          <w:sz w:val="32"/>
          <w:szCs w:val="32"/>
          <w:lang w:val="en-US" w:eastAsia="zh-CN"/>
        </w:rPr>
        <w:t>六是大力开展爱国卫生环境整治活动。</w:t>
      </w:r>
      <w:r>
        <w:rPr>
          <w:rFonts w:hint="default" w:ascii="Times New Roman" w:hAnsi="Times New Roman" w:eastAsia="仿宋_GB2312" w:cs="Times New Roman"/>
          <w:color w:val="auto"/>
          <w:sz w:val="32"/>
          <w:szCs w:val="32"/>
          <w:lang w:val="en-US" w:eastAsia="zh-CN"/>
        </w:rPr>
        <w:t>每周开展不少于1次的全面整治卫生和防疫消杀工作，真正做到切断传播途径，切实从源头预防疾病传播。今年以来，出动300余人次对辖区内环境卫生进行彻底清扫，同时号召辖区群众做好居家环境卫生清洁；出动清理车辆20台次，清理垃圾60余吨；利用病媒消杀药物、消毒液、酒精等对“四害”孽生地、公共场所等重点区域消杀1.2万余平米，建立消杀台账，从严、从实、从细做好消杀工作。在社区公共场所、小区放置废弃口罩回收垃圾桶，对使用过的口罩进行集中回收。</w:t>
      </w:r>
      <w:r>
        <w:rPr>
          <w:rFonts w:hint="default" w:ascii="Times New Roman" w:hAnsi="Times New Roman" w:eastAsia="仿宋_GB2312" w:cs="Times New Roman"/>
          <w:b/>
          <w:bCs/>
          <w:color w:val="auto"/>
          <w:sz w:val="32"/>
          <w:szCs w:val="32"/>
          <w:lang w:val="en-US" w:eastAsia="zh-CN"/>
        </w:rPr>
        <w:t>七是做好疫苗接种。</w:t>
      </w:r>
      <w:r>
        <w:rPr>
          <w:rFonts w:hint="default" w:ascii="Times New Roman" w:hAnsi="Times New Roman" w:eastAsia="仿宋_GB2312" w:cs="Times New Roman"/>
          <w:color w:val="auto"/>
          <w:sz w:val="32"/>
          <w:szCs w:val="32"/>
          <w:lang w:val="en-US" w:eastAsia="zh-CN"/>
        </w:rPr>
        <w:t>目前街道机关在职职工共计 128人，已完成3针接种124人，其中4人因身体原因未能接种加强针剂。街道退休人员8人，已完成3针接种7人。目前辖区60岁以上老年人已完成3针接种4058人，已完成2针接种4195人，已完成1针接种4196人，已开禁忌证明326人。</w:t>
      </w:r>
      <w:r>
        <w:rPr>
          <w:rFonts w:hint="default" w:ascii="Times New Roman" w:hAnsi="Times New Roman" w:eastAsia="仿宋_GB2312" w:cs="Times New Roman"/>
          <w:b/>
          <w:bCs/>
          <w:color w:val="auto"/>
          <w:sz w:val="32"/>
          <w:szCs w:val="32"/>
          <w:lang w:val="en-US" w:eastAsia="zh-CN"/>
        </w:rPr>
        <w:t>八是立行立改。</w:t>
      </w:r>
      <w:r>
        <w:rPr>
          <w:rFonts w:hint="default" w:ascii="Times New Roman" w:hAnsi="Times New Roman" w:eastAsia="仿宋_GB2312" w:cs="Times New Roman"/>
          <w:color w:val="auto"/>
          <w:sz w:val="32"/>
          <w:szCs w:val="32"/>
          <w:lang w:val="en-US" w:eastAsia="zh-CN"/>
        </w:rPr>
        <w:t>对市、区疫情防控督导组反馈问题及时整改，确保各项防控措施落实到位。</w:t>
      </w:r>
    </w:p>
    <w:p w14:paraId="0E34FEB7">
      <w:pPr>
        <w:keepNext w:val="0"/>
        <w:keepLines w:val="0"/>
        <w:pageBreakBefore w:val="0"/>
        <w:kinsoku/>
        <w:wordWrap/>
        <w:overflowPunct/>
        <w:topLinePunct w:val="0"/>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（4）守好安全红线，保障生命安全。一是按照安全生产大检查方案对辖区企事业单位进行摸排。</w:t>
      </w:r>
      <w:r>
        <w:rPr>
          <w:rFonts w:hint="default" w:ascii="Times New Roman" w:hAnsi="Times New Roman" w:eastAsia="仿宋_GB2312" w:cs="Times New Roman"/>
          <w:color w:val="auto"/>
          <w:sz w:val="32"/>
          <w:szCs w:val="32"/>
          <w:lang w:val="en-US" w:eastAsia="zh-CN"/>
        </w:rPr>
        <w:t>制定行业检查清单4张，各分管领导带队对辖区行业开展3次全面巡查检查，累计检查商家20家，企业7家次，经营性场所2个；合理利用“两书一函”以及联合执法等方式实现闭环管理，联合区级部门执法检查3次，下达整改通知书5家</w:t>
      </w:r>
      <w:r>
        <w:rPr>
          <w:rFonts w:hint="default" w:ascii="Times New Roman" w:hAnsi="Times New Roman" w:eastAsia="仿宋_GB2312" w:cs="Times New Roman"/>
          <w:b/>
          <w:bCs/>
          <w:color w:val="auto"/>
          <w:sz w:val="32"/>
          <w:szCs w:val="32"/>
          <w:lang w:val="en-US" w:eastAsia="zh-CN"/>
        </w:rPr>
        <w:t>。二是修订应急预案</w:t>
      </w:r>
      <w:r>
        <w:rPr>
          <w:rFonts w:hint="default" w:ascii="Times New Roman" w:hAnsi="Times New Roman" w:eastAsia="仿宋_GB2312" w:cs="Times New Roman"/>
          <w:color w:val="auto"/>
          <w:sz w:val="32"/>
          <w:szCs w:val="32"/>
          <w:lang w:val="en-US" w:eastAsia="zh-CN"/>
        </w:rPr>
        <w:t>。完善防汛“三单一书”。组织人员开展全域隐患排查2次及重点区域排查8次，对排查出的12个隐患点进行现场查勘、讨论，制定整治措施、责任人、监测人员，并对隐患点周围居民发放防灾“两卡”，完成隐患点“一点一案一册”，并开展应急演练；严格落实24 小时值班、“三巡、三查、三个紧急撤离”制度；对街道、社区20项应急物资进行盘点，同时调整应急队伍人员13人，开展培训3次。</w:t>
      </w:r>
      <w:r>
        <w:rPr>
          <w:rFonts w:hint="default" w:ascii="Times New Roman" w:hAnsi="Times New Roman" w:eastAsia="仿宋_GB2312" w:cs="Times New Roman"/>
          <w:b/>
          <w:bCs/>
          <w:color w:val="auto"/>
          <w:sz w:val="32"/>
          <w:szCs w:val="32"/>
          <w:lang w:val="en-US" w:eastAsia="zh-CN"/>
        </w:rPr>
        <w:t>三是持续完善“群防群治”“七级包保”工作体系。</w:t>
      </w:r>
      <w:r>
        <w:rPr>
          <w:rFonts w:hint="default" w:ascii="Times New Roman" w:hAnsi="Times New Roman" w:eastAsia="仿宋_GB2312" w:cs="Times New Roman"/>
          <w:color w:val="auto"/>
          <w:sz w:val="32"/>
          <w:szCs w:val="32"/>
          <w:lang w:val="en-US" w:eastAsia="zh-CN"/>
        </w:rPr>
        <w:t>修改28个工作小组责任人员，签订承诺书33份，并组织开展桌面推演及演练。</w:t>
      </w:r>
      <w:r>
        <w:rPr>
          <w:rFonts w:hint="default" w:ascii="Times New Roman" w:hAnsi="Times New Roman" w:eastAsia="仿宋_GB2312" w:cs="Times New Roman"/>
          <w:b/>
          <w:bCs/>
          <w:color w:val="auto"/>
          <w:sz w:val="32"/>
          <w:szCs w:val="32"/>
          <w:lang w:val="en-US" w:eastAsia="zh-CN"/>
        </w:rPr>
        <w:t>四是广泛宣传。</w:t>
      </w:r>
      <w:r>
        <w:rPr>
          <w:rFonts w:hint="default" w:ascii="Times New Roman" w:hAnsi="Times New Roman" w:eastAsia="仿宋_GB2312" w:cs="Times New Roman"/>
          <w:color w:val="auto"/>
          <w:sz w:val="32"/>
          <w:szCs w:val="32"/>
          <w:lang w:val="en-US" w:eastAsia="zh-CN"/>
        </w:rPr>
        <w:t>结合“5.12”防灾减灾宣传日活动、入户宣传、坝坝会等工作开展防灾减灾常识宣传10场次，培训职工84人次，发放宣传单、册25000余份，张贴宣传海报6000份，利用喇叭、移动音箱流动宣传播放音频8000余小时，入户宣传9500户次。</w:t>
      </w:r>
      <w:r>
        <w:rPr>
          <w:rFonts w:hint="default" w:ascii="Times New Roman" w:hAnsi="Times New Roman" w:eastAsia="仿宋_GB2312" w:cs="Times New Roman"/>
          <w:b/>
          <w:bCs/>
          <w:color w:val="auto"/>
          <w:sz w:val="32"/>
          <w:szCs w:val="32"/>
          <w:lang w:val="en-US" w:eastAsia="zh-CN"/>
        </w:rPr>
        <w:t>五是以“三大战役”专项活动为主线。</w:t>
      </w:r>
      <w:r>
        <w:rPr>
          <w:rFonts w:hint="default" w:ascii="Times New Roman" w:hAnsi="Times New Roman" w:eastAsia="仿宋_GB2312" w:cs="Times New Roman"/>
          <w:color w:val="auto"/>
          <w:sz w:val="32"/>
          <w:szCs w:val="32"/>
          <w:lang w:val="en-US" w:eastAsia="zh-CN"/>
        </w:rPr>
        <w:t>重点排查企业、修理厂、夜市、居民区等区域，并建立隐患台帐，对辖区内空气、水、土壤的污染行为开展全域排查累计10余次，督促整改完成闭环。对中央、省、市、区各级督查问题开展“回头看”，严格落实整改销号措施，严防问题反复。六是修订《地灾灾害防治应急预案》。并组织开展桌面推演应急演练；及时完善地质灾害“三单一书”，及防灾减灾明白卡，确定应急避难场所6个。七是加强隐患排查。对居民自建房安全、消防安全、充电桩安全、燃气安全排查，排查房屋327栋，发出整改通知书7份，已完成整改4份。组织召开燃气安全会议11次，对辖区燃气开展入户排查整治工作20次，其中全面排查5次，排查中签订“入户安全检查主要问题清单”1836份，发现燃气安全隐患76户，均已整改完毕。开展“燃气安全进万家”的活动4次，“坝坝会”集中宣传6次，入户宣传15次，安全用气知识宣讲6次，分发燃气安全宣传资料7000余份，在西贵金沙小区发放并收回燃气使用调查问卷280余份。</w:t>
      </w:r>
    </w:p>
    <w:p w14:paraId="74B9B09D">
      <w:pPr>
        <w:keepNext w:val="0"/>
        <w:keepLines w:val="0"/>
        <w:pageBreakBefore w:val="0"/>
        <w:kinsoku/>
        <w:wordWrap/>
        <w:overflowPunct/>
        <w:topLinePunct w:val="0"/>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color w:val="auto"/>
          <w:sz w:val="32"/>
          <w:szCs w:val="32"/>
          <w:rtl w:val="0"/>
          <w:lang w:val="zh-TW" w:eastAsia="zh-TW"/>
        </w:rPr>
      </w:pPr>
      <w:r>
        <w:rPr>
          <w:rFonts w:hint="default" w:ascii="Times New Roman" w:hAnsi="Times New Roman" w:eastAsia="仿宋_GB2312" w:cs="Times New Roman"/>
          <w:b/>
          <w:bCs/>
          <w:color w:val="auto"/>
          <w:sz w:val="32"/>
          <w:szCs w:val="32"/>
          <w:lang w:val="en-US" w:eastAsia="zh-CN"/>
        </w:rPr>
        <w:t>（5）抓好综合治理，促进社会和谐。</w:t>
      </w:r>
      <w:r>
        <w:rPr>
          <w:rFonts w:hint="default" w:ascii="Times New Roman" w:hAnsi="Times New Roman" w:eastAsia="仿宋_GB2312" w:cs="Times New Roman"/>
          <w:b/>
          <w:bCs/>
          <w:color w:val="auto"/>
          <w:sz w:val="32"/>
          <w:szCs w:val="32"/>
          <w:rtl w:val="0"/>
          <w:lang w:val="zh-TW" w:eastAsia="zh-CN"/>
        </w:rPr>
        <w:t>一是落实上级工作要求。</w:t>
      </w:r>
      <w:r>
        <w:rPr>
          <w:rFonts w:hint="default" w:ascii="Times New Roman" w:hAnsi="Times New Roman" w:eastAsia="仿宋_GB2312" w:cs="Times New Roman"/>
          <w:color w:val="auto"/>
          <w:sz w:val="32"/>
          <w:szCs w:val="32"/>
          <w:rtl w:val="0"/>
          <w:lang w:val="zh-TW" w:eastAsia="zh-TW"/>
        </w:rPr>
        <w:t>根据区委政法委《关于岁末年初开展影响社会稳定矛盾问题集中摸排调研和滚动排查化解工作的通知》，玉泉街道持续开展社会稳定矛盾纠纷滚动排查，摸排整理辖区各类重点人群</w:t>
      </w:r>
      <w:r>
        <w:rPr>
          <w:rFonts w:hint="default" w:ascii="Times New Roman" w:hAnsi="Times New Roman" w:eastAsia="仿宋_GB2312" w:cs="Times New Roman"/>
          <w:color w:val="auto"/>
          <w:sz w:val="32"/>
          <w:szCs w:val="32"/>
          <w:rtl w:val="0"/>
          <w:lang w:val="en-US" w:eastAsia="zh-CN"/>
        </w:rPr>
        <w:t>8</w:t>
      </w:r>
      <w:r>
        <w:rPr>
          <w:rFonts w:hint="default" w:ascii="Times New Roman" w:hAnsi="Times New Roman" w:eastAsia="仿宋_GB2312" w:cs="Times New Roman"/>
          <w:color w:val="auto"/>
          <w:sz w:val="32"/>
          <w:szCs w:val="32"/>
          <w:rtl w:val="0"/>
          <w:lang w:val="zh-TW" w:eastAsia="zh-TW"/>
        </w:rPr>
        <w:t>类</w:t>
      </w:r>
      <w:r>
        <w:rPr>
          <w:rFonts w:hint="default" w:ascii="Times New Roman" w:hAnsi="Times New Roman" w:eastAsia="仿宋_GB2312" w:cs="Times New Roman"/>
          <w:color w:val="auto"/>
          <w:sz w:val="32"/>
          <w:szCs w:val="32"/>
          <w:rtl w:val="0"/>
          <w:lang w:val="zh-CN" w:eastAsia="zh-CN"/>
        </w:rPr>
        <w:t>19</w:t>
      </w:r>
      <w:r>
        <w:rPr>
          <w:rFonts w:hint="default" w:ascii="Times New Roman" w:hAnsi="Times New Roman" w:eastAsia="仿宋_GB2312" w:cs="Times New Roman"/>
          <w:color w:val="auto"/>
          <w:sz w:val="32"/>
          <w:szCs w:val="32"/>
          <w:rtl w:val="0"/>
          <w:lang w:val="zh-TW" w:eastAsia="zh-TW"/>
        </w:rPr>
        <w:t>项，解决</w:t>
      </w:r>
      <w:r>
        <w:rPr>
          <w:rFonts w:hint="default" w:ascii="Times New Roman" w:hAnsi="Times New Roman" w:eastAsia="仿宋_GB2312" w:cs="Times New Roman"/>
          <w:color w:val="auto"/>
          <w:sz w:val="32"/>
          <w:szCs w:val="32"/>
          <w:rtl w:val="0"/>
          <w:lang w:val="en-US" w:eastAsia="zh-CN"/>
        </w:rPr>
        <w:t>2</w:t>
      </w:r>
      <w:r>
        <w:rPr>
          <w:rFonts w:hint="default" w:ascii="Times New Roman" w:hAnsi="Times New Roman" w:eastAsia="仿宋_GB2312" w:cs="Times New Roman"/>
          <w:color w:val="auto"/>
          <w:sz w:val="32"/>
          <w:szCs w:val="32"/>
          <w:rtl w:val="0"/>
          <w:lang w:val="zh-TW" w:eastAsia="zh-TW"/>
        </w:rPr>
        <w:t>件。</w:t>
      </w:r>
      <w:r>
        <w:rPr>
          <w:rFonts w:hint="default" w:ascii="Times New Roman" w:hAnsi="Times New Roman" w:eastAsia="仿宋_GB2312" w:cs="Times New Roman"/>
          <w:b/>
          <w:bCs/>
          <w:color w:val="auto"/>
          <w:sz w:val="32"/>
          <w:szCs w:val="32"/>
          <w:rtl w:val="0"/>
          <w:lang w:val="zh-TW" w:eastAsia="zh-TW"/>
        </w:rPr>
        <w:t>二是以</w:t>
      </w:r>
      <w:r>
        <w:rPr>
          <w:rFonts w:hint="default" w:ascii="Times New Roman" w:hAnsi="Times New Roman" w:eastAsia="仿宋_GB2312" w:cs="Times New Roman"/>
          <w:b/>
          <w:bCs/>
          <w:color w:val="auto"/>
          <w:sz w:val="32"/>
          <w:szCs w:val="32"/>
          <w:rtl w:val="0"/>
          <w:lang w:val="en-US" w:eastAsia="zh-CN"/>
        </w:rPr>
        <w:t>“</w:t>
      </w:r>
      <w:r>
        <w:rPr>
          <w:rFonts w:hint="default" w:ascii="Times New Roman" w:hAnsi="Times New Roman" w:eastAsia="仿宋_GB2312" w:cs="Times New Roman"/>
          <w:b/>
          <w:bCs/>
          <w:color w:val="auto"/>
          <w:sz w:val="32"/>
          <w:szCs w:val="32"/>
          <w:rtl w:val="0"/>
          <w:lang w:val="zh-TW" w:eastAsia="zh-TW"/>
        </w:rPr>
        <w:t>三说会堂</w:t>
      </w:r>
      <w:r>
        <w:rPr>
          <w:rFonts w:hint="default" w:ascii="Times New Roman" w:hAnsi="Times New Roman" w:eastAsia="仿宋_GB2312" w:cs="Times New Roman"/>
          <w:b/>
          <w:bCs/>
          <w:color w:val="auto"/>
          <w:sz w:val="32"/>
          <w:szCs w:val="32"/>
          <w:rtl w:val="0"/>
          <w:lang w:val="en-US" w:eastAsia="zh-CN"/>
        </w:rPr>
        <w:t>”</w:t>
      </w:r>
      <w:r>
        <w:rPr>
          <w:rFonts w:hint="default" w:ascii="Times New Roman" w:hAnsi="Times New Roman" w:eastAsia="仿宋_GB2312" w:cs="Times New Roman"/>
          <w:b/>
          <w:bCs/>
          <w:color w:val="auto"/>
          <w:sz w:val="32"/>
          <w:szCs w:val="32"/>
          <w:rtl w:val="0"/>
          <w:lang w:val="zh-TW" w:eastAsia="zh-TW"/>
        </w:rPr>
        <w:t>打造为契机</w:t>
      </w:r>
      <w:r>
        <w:rPr>
          <w:rFonts w:hint="default" w:ascii="Times New Roman" w:hAnsi="Times New Roman" w:eastAsia="仿宋_GB2312" w:cs="Times New Roman"/>
          <w:b/>
          <w:bCs/>
          <w:color w:val="auto"/>
          <w:sz w:val="32"/>
          <w:szCs w:val="32"/>
          <w:rtl w:val="0"/>
          <w:lang w:val="zh-TW" w:eastAsia="zh-CN"/>
        </w:rPr>
        <w:t>。</w:t>
      </w:r>
      <w:r>
        <w:rPr>
          <w:rFonts w:hint="default" w:ascii="Times New Roman" w:hAnsi="Times New Roman" w:eastAsia="仿宋_GB2312" w:cs="Times New Roman"/>
          <w:color w:val="auto"/>
          <w:sz w:val="32"/>
          <w:szCs w:val="32"/>
          <w:rtl w:val="0"/>
          <w:lang w:val="zh-TW" w:eastAsia="zh-TW"/>
        </w:rPr>
        <w:t>秉着</w:t>
      </w:r>
      <w:r>
        <w:rPr>
          <w:rFonts w:hint="default" w:ascii="Times New Roman" w:hAnsi="Times New Roman" w:eastAsia="仿宋_GB2312" w:cs="Times New Roman"/>
          <w:color w:val="auto"/>
          <w:sz w:val="32"/>
          <w:szCs w:val="32"/>
          <w:rtl w:val="0"/>
          <w:lang w:val="en-US" w:eastAsia="zh-CN"/>
        </w:rPr>
        <w:t>“</w:t>
      </w:r>
      <w:r>
        <w:rPr>
          <w:rFonts w:hint="default" w:ascii="Times New Roman" w:hAnsi="Times New Roman" w:eastAsia="仿宋_GB2312" w:cs="Times New Roman"/>
          <w:color w:val="auto"/>
          <w:sz w:val="32"/>
          <w:szCs w:val="32"/>
          <w:rtl w:val="0"/>
          <w:lang w:val="zh-TW" w:eastAsia="zh-TW"/>
        </w:rPr>
        <w:t>群众说事、干部说理、政法说法</w:t>
      </w:r>
      <w:r>
        <w:rPr>
          <w:rFonts w:hint="default" w:ascii="Times New Roman" w:hAnsi="Times New Roman" w:eastAsia="仿宋_GB2312" w:cs="Times New Roman"/>
          <w:color w:val="auto"/>
          <w:sz w:val="32"/>
          <w:szCs w:val="32"/>
          <w:rtl w:val="0"/>
          <w:lang w:val="en-US" w:eastAsia="zh-CN"/>
        </w:rPr>
        <w:t>”</w:t>
      </w:r>
      <w:r>
        <w:rPr>
          <w:rFonts w:hint="default" w:ascii="Times New Roman" w:hAnsi="Times New Roman" w:eastAsia="仿宋_GB2312" w:cs="Times New Roman"/>
          <w:color w:val="auto"/>
          <w:sz w:val="32"/>
          <w:szCs w:val="32"/>
          <w:rtl w:val="0"/>
          <w:lang w:val="zh-TW" w:eastAsia="zh-TW"/>
        </w:rPr>
        <w:t>的理念，</w:t>
      </w:r>
      <w:r>
        <w:rPr>
          <w:rFonts w:hint="default" w:ascii="Times New Roman" w:hAnsi="Times New Roman" w:eastAsia="仿宋_GB2312" w:cs="Times New Roman"/>
          <w:color w:val="auto"/>
          <w:sz w:val="32"/>
          <w:szCs w:val="32"/>
          <w:rtl w:val="0"/>
          <w:lang w:val="zh-CN" w:eastAsia="zh-CN"/>
        </w:rPr>
        <w:t>按照西区社会矛盾风险隐患“大排查、大化解”百日攻坚行动的工作要求，</w:t>
      </w:r>
      <w:r>
        <w:rPr>
          <w:rFonts w:hint="default" w:ascii="Times New Roman" w:hAnsi="Times New Roman" w:eastAsia="仿宋_GB2312" w:cs="Times New Roman"/>
          <w:color w:val="auto"/>
          <w:sz w:val="32"/>
          <w:szCs w:val="32"/>
          <w:rtl w:val="0"/>
          <w:lang w:val="en-US" w:eastAsia="zh-CN"/>
        </w:rPr>
        <w:t>2022</w:t>
      </w:r>
      <w:r>
        <w:rPr>
          <w:rFonts w:hint="default" w:ascii="Times New Roman" w:hAnsi="Times New Roman" w:eastAsia="仿宋_GB2312" w:cs="Times New Roman"/>
          <w:color w:val="auto"/>
          <w:sz w:val="32"/>
          <w:szCs w:val="32"/>
          <w:rtl w:val="0"/>
          <w:lang w:val="zh-TW" w:eastAsia="zh-TW"/>
        </w:rPr>
        <w:t>年排查矛盾纠纷</w:t>
      </w:r>
      <w:r>
        <w:rPr>
          <w:rFonts w:hint="default" w:ascii="Times New Roman" w:hAnsi="Times New Roman" w:eastAsia="仿宋_GB2312" w:cs="Times New Roman"/>
          <w:color w:val="auto"/>
          <w:sz w:val="32"/>
          <w:szCs w:val="32"/>
          <w:rtl w:val="0"/>
          <w:lang w:val="en-US" w:eastAsia="zh-CN"/>
        </w:rPr>
        <w:t>390</w:t>
      </w:r>
      <w:r>
        <w:rPr>
          <w:rFonts w:hint="default" w:ascii="Times New Roman" w:hAnsi="Times New Roman" w:eastAsia="仿宋_GB2312" w:cs="Times New Roman"/>
          <w:color w:val="auto"/>
          <w:sz w:val="32"/>
          <w:szCs w:val="32"/>
          <w:rtl w:val="0"/>
          <w:lang w:val="zh-TW" w:eastAsia="zh-TW"/>
        </w:rPr>
        <w:t>件，其中邻里纠纷</w:t>
      </w:r>
      <w:r>
        <w:rPr>
          <w:rFonts w:hint="default" w:ascii="Times New Roman" w:hAnsi="Times New Roman" w:eastAsia="仿宋_GB2312" w:cs="Times New Roman"/>
          <w:color w:val="auto"/>
          <w:sz w:val="32"/>
          <w:szCs w:val="32"/>
          <w:rtl w:val="0"/>
          <w:lang w:val="en-US" w:eastAsia="zh-CN"/>
        </w:rPr>
        <w:t>232</w:t>
      </w:r>
      <w:r>
        <w:rPr>
          <w:rFonts w:hint="default" w:ascii="Times New Roman" w:hAnsi="Times New Roman" w:eastAsia="仿宋_GB2312" w:cs="Times New Roman"/>
          <w:color w:val="auto"/>
          <w:sz w:val="32"/>
          <w:szCs w:val="32"/>
          <w:rtl w:val="0"/>
          <w:lang w:val="zh-TW" w:eastAsia="zh-TW"/>
        </w:rPr>
        <w:t>件，家庭矛盾</w:t>
      </w:r>
      <w:r>
        <w:rPr>
          <w:rFonts w:hint="default" w:ascii="Times New Roman" w:hAnsi="Times New Roman" w:eastAsia="仿宋_GB2312" w:cs="Times New Roman"/>
          <w:color w:val="auto"/>
          <w:sz w:val="32"/>
          <w:szCs w:val="32"/>
          <w:rtl w:val="0"/>
          <w:lang w:val="en-US" w:eastAsia="zh-CN"/>
        </w:rPr>
        <w:t>51</w:t>
      </w:r>
      <w:r>
        <w:rPr>
          <w:rFonts w:hint="default" w:ascii="Times New Roman" w:hAnsi="Times New Roman" w:eastAsia="仿宋_GB2312" w:cs="Times New Roman"/>
          <w:color w:val="auto"/>
          <w:sz w:val="32"/>
          <w:szCs w:val="32"/>
          <w:rtl w:val="0"/>
          <w:lang w:val="zh-TW" w:eastAsia="zh-TW"/>
        </w:rPr>
        <w:t>件，合同纠纷</w:t>
      </w:r>
      <w:r>
        <w:rPr>
          <w:rFonts w:hint="default" w:ascii="Times New Roman" w:hAnsi="Times New Roman" w:eastAsia="仿宋_GB2312" w:cs="Times New Roman"/>
          <w:color w:val="auto"/>
          <w:sz w:val="32"/>
          <w:szCs w:val="32"/>
          <w:rtl w:val="0"/>
          <w:lang w:val="en-US" w:eastAsia="zh-TW"/>
        </w:rPr>
        <w:t>2</w:t>
      </w:r>
      <w:r>
        <w:rPr>
          <w:rFonts w:hint="default" w:ascii="Times New Roman" w:hAnsi="Times New Roman" w:eastAsia="仿宋_GB2312" w:cs="Times New Roman"/>
          <w:color w:val="auto"/>
          <w:sz w:val="32"/>
          <w:szCs w:val="32"/>
          <w:rtl w:val="0"/>
          <w:lang w:val="zh-TW" w:eastAsia="zh-TW"/>
        </w:rPr>
        <w:t>件，物业纠纷</w:t>
      </w:r>
      <w:r>
        <w:rPr>
          <w:rFonts w:hint="default" w:ascii="Times New Roman" w:hAnsi="Times New Roman" w:eastAsia="仿宋_GB2312" w:cs="Times New Roman"/>
          <w:color w:val="auto"/>
          <w:sz w:val="32"/>
          <w:szCs w:val="32"/>
          <w:rtl w:val="0"/>
          <w:lang w:val="en-US" w:eastAsia="zh-CN"/>
        </w:rPr>
        <w:t>2</w:t>
      </w:r>
      <w:r>
        <w:rPr>
          <w:rFonts w:hint="default" w:ascii="Times New Roman" w:hAnsi="Times New Roman" w:eastAsia="仿宋_GB2312" w:cs="Times New Roman"/>
          <w:color w:val="auto"/>
          <w:sz w:val="32"/>
          <w:szCs w:val="32"/>
          <w:rtl w:val="0"/>
          <w:lang w:val="zh-TW" w:eastAsia="zh-TW"/>
        </w:rPr>
        <w:t>件，其他</w:t>
      </w:r>
      <w:r>
        <w:rPr>
          <w:rFonts w:hint="default" w:ascii="Times New Roman" w:hAnsi="Times New Roman" w:eastAsia="仿宋_GB2312" w:cs="Times New Roman"/>
          <w:color w:val="auto"/>
          <w:sz w:val="32"/>
          <w:szCs w:val="32"/>
          <w:rtl w:val="0"/>
          <w:lang w:val="en-US" w:eastAsia="zh-CN"/>
        </w:rPr>
        <w:t>103</w:t>
      </w:r>
      <w:r>
        <w:rPr>
          <w:rFonts w:hint="default" w:ascii="Times New Roman" w:hAnsi="Times New Roman" w:eastAsia="仿宋_GB2312" w:cs="Times New Roman"/>
          <w:color w:val="auto"/>
          <w:sz w:val="32"/>
          <w:szCs w:val="32"/>
          <w:rtl w:val="0"/>
          <w:lang w:val="zh-TW" w:eastAsia="zh-TW"/>
        </w:rPr>
        <w:t>件，全部由辖区各级调解组织受理、调解，调解率</w:t>
      </w:r>
      <w:r>
        <w:rPr>
          <w:rFonts w:hint="default" w:ascii="Times New Roman" w:hAnsi="Times New Roman" w:eastAsia="仿宋_GB2312" w:cs="Times New Roman"/>
          <w:color w:val="auto"/>
          <w:sz w:val="32"/>
          <w:szCs w:val="32"/>
          <w:rtl w:val="0"/>
          <w:lang w:val="en-US" w:eastAsia="zh-TW"/>
        </w:rPr>
        <w:t>100%</w:t>
      </w:r>
      <w:r>
        <w:rPr>
          <w:rFonts w:hint="default" w:ascii="Times New Roman" w:hAnsi="Times New Roman" w:eastAsia="仿宋_GB2312" w:cs="Times New Roman"/>
          <w:color w:val="auto"/>
          <w:sz w:val="32"/>
          <w:szCs w:val="32"/>
          <w:rtl w:val="0"/>
          <w:lang w:val="zh-TW" w:eastAsia="zh-TW"/>
        </w:rPr>
        <w:t>，已成功化解</w:t>
      </w:r>
      <w:r>
        <w:rPr>
          <w:rFonts w:hint="default" w:ascii="Times New Roman" w:hAnsi="Times New Roman" w:eastAsia="仿宋_GB2312" w:cs="Times New Roman"/>
          <w:color w:val="auto"/>
          <w:sz w:val="32"/>
          <w:szCs w:val="32"/>
          <w:rtl w:val="0"/>
          <w:lang w:val="en-US" w:eastAsia="zh-CN"/>
        </w:rPr>
        <w:t>390</w:t>
      </w:r>
      <w:r>
        <w:rPr>
          <w:rFonts w:hint="default" w:ascii="Times New Roman" w:hAnsi="Times New Roman" w:eastAsia="仿宋_GB2312" w:cs="Times New Roman"/>
          <w:color w:val="auto"/>
          <w:sz w:val="32"/>
          <w:szCs w:val="32"/>
          <w:rtl w:val="0"/>
          <w:lang w:val="zh-TW" w:eastAsia="zh-TW"/>
        </w:rPr>
        <w:t>件，成功率</w:t>
      </w:r>
      <w:r>
        <w:rPr>
          <w:rFonts w:hint="default" w:ascii="Times New Roman" w:hAnsi="Times New Roman" w:eastAsia="仿宋_GB2312" w:cs="Times New Roman"/>
          <w:color w:val="auto"/>
          <w:sz w:val="32"/>
          <w:szCs w:val="32"/>
          <w:rtl w:val="0"/>
          <w:lang w:val="en-US" w:eastAsia="zh-CN"/>
        </w:rPr>
        <w:t>100%</w:t>
      </w:r>
      <w:r>
        <w:rPr>
          <w:rFonts w:hint="default" w:ascii="Times New Roman" w:hAnsi="Times New Roman" w:eastAsia="仿宋_GB2312" w:cs="Times New Roman"/>
          <w:color w:val="auto"/>
          <w:sz w:val="32"/>
          <w:szCs w:val="32"/>
          <w:rtl w:val="0"/>
          <w:lang w:val="zh-TW" w:eastAsia="zh-TW"/>
        </w:rPr>
        <w:t>，</w:t>
      </w:r>
      <w:r>
        <w:rPr>
          <w:rFonts w:hint="default" w:ascii="Times New Roman" w:hAnsi="Times New Roman" w:eastAsia="仿宋_GB2312" w:cs="Times New Roman"/>
          <w:color w:val="auto"/>
          <w:sz w:val="32"/>
          <w:szCs w:val="32"/>
          <w:rtl w:val="0"/>
          <w:lang w:val="zh-CN" w:eastAsia="zh-CN"/>
        </w:rPr>
        <w:t>排查并联合辖区派出所调处疑难矛盾纠纷1件，</w:t>
      </w:r>
      <w:r>
        <w:rPr>
          <w:rFonts w:hint="default" w:ascii="Times New Roman" w:hAnsi="Times New Roman" w:eastAsia="仿宋_GB2312" w:cs="Times New Roman"/>
          <w:color w:val="auto"/>
          <w:sz w:val="32"/>
          <w:szCs w:val="32"/>
          <w:rtl w:val="0"/>
          <w:lang w:val="zh-TW" w:eastAsia="zh-TW"/>
        </w:rPr>
        <w:t>辖区未发现民转刑案事件</w:t>
      </w:r>
      <w:r>
        <w:rPr>
          <w:rFonts w:hint="default" w:ascii="Times New Roman" w:hAnsi="Times New Roman" w:eastAsia="仿宋_GB2312" w:cs="Times New Roman"/>
          <w:color w:val="auto"/>
          <w:sz w:val="32"/>
          <w:szCs w:val="32"/>
          <w:rtl w:val="0"/>
          <w:lang w:val="zh-TW" w:eastAsia="zh-CN"/>
        </w:rPr>
        <w:t>。</w:t>
      </w:r>
      <w:r>
        <w:rPr>
          <w:rFonts w:hint="default" w:ascii="Times New Roman" w:hAnsi="Times New Roman" w:eastAsia="仿宋_GB2312" w:cs="Times New Roman"/>
          <w:color w:val="auto"/>
          <w:sz w:val="32"/>
          <w:szCs w:val="32"/>
          <w:rtl w:val="0"/>
          <w:lang w:val="en-US" w:eastAsia="zh-CN"/>
        </w:rPr>
        <w:t>三</w:t>
      </w:r>
      <w:r>
        <w:rPr>
          <w:rFonts w:hint="default" w:ascii="Times New Roman" w:hAnsi="Times New Roman" w:eastAsia="仿宋_GB2312" w:cs="Times New Roman"/>
          <w:color w:val="auto"/>
          <w:sz w:val="32"/>
          <w:szCs w:val="32"/>
          <w:rtl w:val="0"/>
          <w:lang w:val="zh-TW" w:eastAsia="zh-TW"/>
        </w:rPr>
        <w:t>是专项开展养老反诈工作</w:t>
      </w:r>
      <w:r>
        <w:rPr>
          <w:rFonts w:hint="default" w:ascii="Times New Roman" w:hAnsi="Times New Roman" w:eastAsia="仿宋_GB2312" w:cs="Times New Roman"/>
          <w:color w:val="auto"/>
          <w:sz w:val="32"/>
          <w:szCs w:val="32"/>
          <w:rtl w:val="0"/>
          <w:lang w:val="zh-TW" w:eastAsia="zh-CN"/>
        </w:rPr>
        <w:t>。</w:t>
      </w:r>
      <w:r>
        <w:rPr>
          <w:rFonts w:hint="default" w:ascii="Times New Roman" w:hAnsi="Times New Roman" w:eastAsia="仿宋_GB2312" w:cs="Times New Roman"/>
          <w:color w:val="auto"/>
          <w:sz w:val="32"/>
          <w:szCs w:val="32"/>
          <w:rtl w:val="0"/>
          <w:lang w:val="zh-TW" w:eastAsia="zh-TW"/>
        </w:rPr>
        <w:t>街道召开养老反诈工作部署会</w:t>
      </w:r>
      <w:r>
        <w:rPr>
          <w:rFonts w:hint="default" w:ascii="Times New Roman" w:hAnsi="Times New Roman" w:eastAsia="仿宋_GB2312" w:cs="Times New Roman"/>
          <w:color w:val="auto"/>
          <w:sz w:val="32"/>
          <w:szCs w:val="32"/>
          <w:rtl w:val="0"/>
          <w:lang w:val="zh-CN" w:eastAsia="zh-CN"/>
        </w:rPr>
        <w:t>4</w:t>
      </w:r>
      <w:r>
        <w:rPr>
          <w:rFonts w:hint="default" w:ascii="Times New Roman" w:hAnsi="Times New Roman" w:eastAsia="仿宋_GB2312" w:cs="Times New Roman"/>
          <w:color w:val="auto"/>
          <w:sz w:val="32"/>
          <w:szCs w:val="32"/>
          <w:rtl w:val="0"/>
          <w:lang w:val="zh-TW" w:eastAsia="zh-TW"/>
        </w:rPr>
        <w:t>次，走访宣传辖区居民</w:t>
      </w:r>
      <w:r>
        <w:rPr>
          <w:rFonts w:hint="default" w:ascii="Times New Roman" w:hAnsi="Times New Roman" w:eastAsia="仿宋_GB2312" w:cs="Times New Roman"/>
          <w:color w:val="auto"/>
          <w:sz w:val="32"/>
          <w:szCs w:val="32"/>
          <w:rtl w:val="0"/>
          <w:lang w:val="en-US" w:eastAsia="zh-TW"/>
        </w:rPr>
        <w:t>2000</w:t>
      </w:r>
      <w:r>
        <w:rPr>
          <w:rFonts w:hint="default" w:ascii="Times New Roman" w:hAnsi="Times New Roman" w:eastAsia="仿宋_GB2312" w:cs="Times New Roman"/>
          <w:color w:val="auto"/>
          <w:sz w:val="32"/>
          <w:szCs w:val="32"/>
          <w:rtl w:val="0"/>
          <w:lang w:val="zh-TW" w:eastAsia="zh-TW"/>
        </w:rPr>
        <w:t>余人，张贴宣传画、发放宣传资料</w:t>
      </w:r>
      <w:r>
        <w:rPr>
          <w:rFonts w:hint="default" w:ascii="Times New Roman" w:hAnsi="Times New Roman" w:eastAsia="仿宋_GB2312" w:cs="Times New Roman"/>
          <w:color w:val="auto"/>
          <w:sz w:val="32"/>
          <w:szCs w:val="32"/>
          <w:rtl w:val="0"/>
          <w:lang w:val="en-US" w:eastAsia="zh-TW"/>
        </w:rPr>
        <w:t>150</w:t>
      </w:r>
      <w:r>
        <w:rPr>
          <w:rFonts w:hint="default" w:ascii="Times New Roman" w:hAnsi="Times New Roman" w:eastAsia="仿宋_GB2312" w:cs="Times New Roman"/>
          <w:color w:val="auto"/>
          <w:sz w:val="32"/>
          <w:szCs w:val="32"/>
          <w:rtl w:val="0"/>
          <w:lang w:val="zh-TW" w:eastAsia="zh-TW"/>
        </w:rPr>
        <w:t>余份，</w:t>
      </w:r>
      <w:r>
        <w:rPr>
          <w:rFonts w:hint="default" w:ascii="Times New Roman" w:hAnsi="Times New Roman" w:eastAsia="仿宋_GB2312" w:cs="Times New Roman"/>
          <w:color w:val="auto"/>
          <w:sz w:val="32"/>
          <w:szCs w:val="32"/>
          <w:rtl w:val="0"/>
          <w:lang w:val="en-US" w:eastAsia="zh-TW"/>
        </w:rPr>
        <w:t>LED</w:t>
      </w:r>
      <w:r>
        <w:rPr>
          <w:rFonts w:hint="default" w:ascii="Times New Roman" w:hAnsi="Times New Roman" w:eastAsia="仿宋_GB2312" w:cs="Times New Roman"/>
          <w:color w:val="auto"/>
          <w:sz w:val="32"/>
          <w:szCs w:val="32"/>
          <w:rtl w:val="0"/>
          <w:lang w:val="zh-TW" w:eastAsia="zh-TW"/>
        </w:rPr>
        <w:t>显示屏播放宣传标语</w:t>
      </w:r>
      <w:r>
        <w:rPr>
          <w:rFonts w:hint="default" w:ascii="Times New Roman" w:hAnsi="Times New Roman" w:eastAsia="仿宋_GB2312" w:cs="Times New Roman"/>
          <w:color w:val="auto"/>
          <w:sz w:val="32"/>
          <w:szCs w:val="32"/>
          <w:rtl w:val="0"/>
          <w:lang w:val="en-US" w:eastAsia="zh-TW"/>
        </w:rPr>
        <w:t>10</w:t>
      </w:r>
      <w:r>
        <w:rPr>
          <w:rFonts w:hint="default" w:ascii="Times New Roman" w:hAnsi="Times New Roman" w:eastAsia="仿宋_GB2312" w:cs="Times New Roman"/>
          <w:color w:val="auto"/>
          <w:sz w:val="32"/>
          <w:szCs w:val="32"/>
          <w:rtl w:val="0"/>
          <w:lang w:val="zh-TW" w:eastAsia="zh-TW"/>
        </w:rPr>
        <w:t>条</w:t>
      </w:r>
      <w:r>
        <w:rPr>
          <w:rFonts w:hint="default" w:ascii="Times New Roman" w:hAnsi="Times New Roman" w:eastAsia="仿宋_GB2312" w:cs="Times New Roman"/>
          <w:color w:val="auto"/>
          <w:sz w:val="32"/>
          <w:szCs w:val="32"/>
          <w:rtl w:val="0"/>
          <w:lang w:val="zh-CN" w:eastAsia="zh-CN"/>
        </w:rPr>
        <w:t>1500</w:t>
      </w:r>
      <w:r>
        <w:rPr>
          <w:rFonts w:hint="default" w:ascii="Times New Roman" w:hAnsi="Times New Roman" w:eastAsia="仿宋_GB2312" w:cs="Times New Roman"/>
          <w:color w:val="auto"/>
          <w:sz w:val="32"/>
          <w:szCs w:val="32"/>
          <w:rtl w:val="0"/>
          <w:lang w:val="zh-TW" w:eastAsia="zh-TW"/>
        </w:rPr>
        <w:t>余批次，在各社区居民微信群和</w:t>
      </w:r>
      <w:r>
        <w:rPr>
          <w:rFonts w:hint="default" w:ascii="Times New Roman" w:hAnsi="Times New Roman" w:eastAsia="仿宋_GB2312" w:cs="Times New Roman"/>
          <w:color w:val="auto"/>
          <w:sz w:val="32"/>
          <w:szCs w:val="32"/>
          <w:rtl w:val="0"/>
          <w:lang w:val="en-US" w:eastAsia="zh-TW"/>
        </w:rPr>
        <w:t>QQ</w:t>
      </w:r>
      <w:r>
        <w:rPr>
          <w:rFonts w:hint="default" w:ascii="Times New Roman" w:hAnsi="Times New Roman" w:eastAsia="仿宋_GB2312" w:cs="Times New Roman"/>
          <w:color w:val="auto"/>
          <w:sz w:val="32"/>
          <w:szCs w:val="32"/>
          <w:rtl w:val="0"/>
          <w:lang w:val="zh-TW" w:eastAsia="zh-TW"/>
        </w:rPr>
        <w:t>群发布养老反诈小知识和典型案例</w:t>
      </w:r>
      <w:r>
        <w:rPr>
          <w:rFonts w:hint="default" w:ascii="Times New Roman" w:hAnsi="Times New Roman" w:eastAsia="仿宋_GB2312" w:cs="Times New Roman"/>
          <w:color w:val="auto"/>
          <w:sz w:val="32"/>
          <w:szCs w:val="32"/>
          <w:rtl w:val="0"/>
          <w:lang w:val="en-US" w:eastAsia="zh-TW"/>
        </w:rPr>
        <w:t>7</w:t>
      </w:r>
      <w:r>
        <w:rPr>
          <w:rFonts w:hint="default" w:ascii="Times New Roman" w:hAnsi="Times New Roman" w:eastAsia="仿宋_GB2312" w:cs="Times New Roman"/>
          <w:color w:val="auto"/>
          <w:sz w:val="32"/>
          <w:szCs w:val="32"/>
          <w:rtl w:val="0"/>
          <w:lang w:val="zh-TW" w:eastAsia="zh-TW"/>
        </w:rPr>
        <w:t>项</w:t>
      </w:r>
      <w:r>
        <w:rPr>
          <w:rFonts w:hint="default" w:ascii="Times New Roman" w:hAnsi="Times New Roman" w:eastAsia="仿宋_GB2312" w:cs="Times New Roman"/>
          <w:color w:val="auto"/>
          <w:sz w:val="32"/>
          <w:szCs w:val="32"/>
          <w:rtl w:val="0"/>
          <w:lang w:val="en-US" w:eastAsia="zh-TW"/>
        </w:rPr>
        <w:t>200</w:t>
      </w:r>
      <w:r>
        <w:rPr>
          <w:rFonts w:hint="default" w:ascii="Times New Roman" w:hAnsi="Times New Roman" w:eastAsia="仿宋_GB2312" w:cs="Times New Roman"/>
          <w:color w:val="auto"/>
          <w:sz w:val="32"/>
          <w:szCs w:val="32"/>
          <w:rtl w:val="0"/>
          <w:lang w:val="zh-TW" w:eastAsia="zh-TW"/>
        </w:rPr>
        <w:t>余条，持续加强辖区居民的反诈意识</w:t>
      </w:r>
      <w:r>
        <w:rPr>
          <w:rFonts w:hint="default" w:ascii="Times New Roman" w:hAnsi="Times New Roman" w:eastAsia="仿宋_GB2312" w:cs="Times New Roman"/>
          <w:color w:val="auto"/>
          <w:sz w:val="32"/>
          <w:szCs w:val="32"/>
          <w:rtl w:val="0"/>
          <w:lang w:val="zh-TW" w:eastAsia="zh-CN"/>
        </w:rPr>
        <w:t>。</w:t>
      </w:r>
      <w:r>
        <w:rPr>
          <w:rFonts w:hint="default" w:ascii="Times New Roman" w:hAnsi="Times New Roman" w:eastAsia="仿宋_GB2312" w:cs="Times New Roman"/>
          <w:b/>
          <w:bCs/>
          <w:color w:val="auto"/>
          <w:sz w:val="32"/>
          <w:szCs w:val="32"/>
          <w:rtl w:val="0"/>
          <w:lang w:val="en-US" w:eastAsia="zh-CN"/>
        </w:rPr>
        <w:t>四是</w:t>
      </w:r>
      <w:r>
        <w:rPr>
          <w:rFonts w:hint="default" w:ascii="Times New Roman" w:hAnsi="Times New Roman" w:eastAsia="仿宋_GB2312" w:cs="Times New Roman"/>
          <w:b/>
          <w:bCs/>
          <w:color w:val="auto"/>
          <w:sz w:val="32"/>
          <w:szCs w:val="32"/>
          <w:rtl w:val="0"/>
          <w:lang w:val="zh-TW" w:eastAsia="zh-TW"/>
        </w:rPr>
        <w:t>专项开展防邪工作</w:t>
      </w:r>
      <w:r>
        <w:rPr>
          <w:rFonts w:hint="default" w:ascii="Times New Roman" w:hAnsi="Times New Roman" w:eastAsia="仿宋_GB2312" w:cs="Times New Roman"/>
          <w:b/>
          <w:bCs/>
          <w:color w:val="auto"/>
          <w:sz w:val="32"/>
          <w:szCs w:val="32"/>
          <w:rtl w:val="0"/>
          <w:lang w:val="zh-TW" w:eastAsia="zh-CN"/>
        </w:rPr>
        <w:t>。</w:t>
      </w:r>
      <w:r>
        <w:rPr>
          <w:rFonts w:hint="default" w:ascii="Times New Roman" w:hAnsi="Times New Roman" w:eastAsia="仿宋_GB2312" w:cs="Times New Roman"/>
          <w:color w:val="auto"/>
          <w:sz w:val="32"/>
          <w:szCs w:val="32"/>
          <w:rtl w:val="0"/>
          <w:lang w:val="zh-TW" w:eastAsia="zh-TW"/>
        </w:rPr>
        <w:t>街道持续落实属地管理责任和三级网络四级责任制要求，开展辖区宗教场所的督促指导工作，</w:t>
      </w:r>
      <w:r>
        <w:rPr>
          <w:rFonts w:hint="default" w:ascii="Times New Roman" w:hAnsi="Times New Roman" w:eastAsia="仿宋_GB2312" w:cs="Times New Roman"/>
          <w:color w:val="auto"/>
          <w:sz w:val="32"/>
          <w:szCs w:val="32"/>
          <w:rtl w:val="0"/>
          <w:lang w:val="en-US" w:eastAsia="zh-TW"/>
        </w:rPr>
        <w:t>2022</w:t>
      </w:r>
      <w:r>
        <w:rPr>
          <w:rFonts w:hint="default" w:ascii="Times New Roman" w:hAnsi="Times New Roman" w:eastAsia="仿宋_GB2312" w:cs="Times New Roman"/>
          <w:color w:val="auto"/>
          <w:sz w:val="32"/>
          <w:szCs w:val="32"/>
          <w:rtl w:val="0"/>
          <w:lang w:val="en-US" w:eastAsia="zh-CN"/>
        </w:rPr>
        <w:t>年</w:t>
      </w:r>
      <w:r>
        <w:rPr>
          <w:rFonts w:hint="default" w:ascii="Times New Roman" w:hAnsi="Times New Roman" w:eastAsia="仿宋_GB2312" w:cs="Times New Roman"/>
          <w:color w:val="auto"/>
          <w:sz w:val="32"/>
          <w:szCs w:val="32"/>
          <w:rtl w:val="0"/>
          <w:lang w:val="zh-TW" w:eastAsia="zh-TW"/>
        </w:rPr>
        <w:t>，开展宗教场所防疫、安全等各项指导</w:t>
      </w:r>
      <w:r>
        <w:rPr>
          <w:rFonts w:hint="default" w:ascii="Times New Roman" w:hAnsi="Times New Roman" w:eastAsia="仿宋_GB2312" w:cs="Times New Roman"/>
          <w:color w:val="auto"/>
          <w:sz w:val="32"/>
          <w:szCs w:val="32"/>
          <w:rtl w:val="0"/>
          <w:lang w:val="en-US" w:eastAsia="zh-TW"/>
        </w:rPr>
        <w:t>5</w:t>
      </w:r>
      <w:r>
        <w:rPr>
          <w:rFonts w:hint="default" w:ascii="Times New Roman" w:hAnsi="Times New Roman" w:eastAsia="仿宋_GB2312" w:cs="Times New Roman"/>
          <w:color w:val="auto"/>
          <w:sz w:val="32"/>
          <w:szCs w:val="32"/>
          <w:rtl w:val="0"/>
          <w:lang w:val="zh-TW" w:eastAsia="zh-TW"/>
        </w:rPr>
        <w:t>次，安排社区巡查教堂</w:t>
      </w:r>
      <w:r>
        <w:rPr>
          <w:rFonts w:hint="default" w:ascii="Times New Roman" w:hAnsi="Times New Roman" w:eastAsia="仿宋_GB2312" w:cs="Times New Roman"/>
          <w:color w:val="auto"/>
          <w:sz w:val="32"/>
          <w:szCs w:val="32"/>
          <w:rtl w:val="0"/>
          <w:lang w:val="en-US" w:eastAsia="zh-TW"/>
        </w:rPr>
        <w:t>30</w:t>
      </w:r>
      <w:r>
        <w:rPr>
          <w:rFonts w:hint="default" w:ascii="Times New Roman" w:hAnsi="Times New Roman" w:eastAsia="仿宋_GB2312" w:cs="Times New Roman"/>
          <w:color w:val="auto"/>
          <w:sz w:val="32"/>
          <w:szCs w:val="32"/>
          <w:rtl w:val="0"/>
          <w:lang w:val="zh-TW" w:eastAsia="zh-TW"/>
        </w:rPr>
        <w:t>余次，切实引导辖区宗教场所坚持中国化方向，开展私设聚会点巡查</w:t>
      </w:r>
      <w:r>
        <w:rPr>
          <w:rFonts w:hint="default" w:ascii="Times New Roman" w:hAnsi="Times New Roman" w:eastAsia="仿宋_GB2312" w:cs="Times New Roman"/>
          <w:color w:val="auto"/>
          <w:sz w:val="32"/>
          <w:szCs w:val="32"/>
          <w:rtl w:val="0"/>
          <w:lang w:val="zh-CN" w:eastAsia="zh-CN"/>
        </w:rPr>
        <w:t>40余</w:t>
      </w:r>
      <w:r>
        <w:rPr>
          <w:rFonts w:hint="default" w:ascii="Times New Roman" w:hAnsi="Times New Roman" w:eastAsia="仿宋_GB2312" w:cs="Times New Roman"/>
          <w:color w:val="auto"/>
          <w:sz w:val="32"/>
          <w:szCs w:val="32"/>
          <w:rtl w:val="0"/>
          <w:lang w:val="zh-TW" w:eastAsia="zh-TW"/>
        </w:rPr>
        <w:t>次，目前辖区暂未发现</w:t>
      </w:r>
      <w:r>
        <w:rPr>
          <w:rFonts w:hint="default" w:ascii="Times New Roman" w:hAnsi="Times New Roman" w:eastAsia="仿宋_GB2312" w:cs="Times New Roman"/>
          <w:color w:val="auto"/>
          <w:sz w:val="32"/>
          <w:szCs w:val="32"/>
          <w:rtl w:val="0"/>
          <w:lang w:val="zh-CN" w:eastAsia="zh-CN"/>
        </w:rPr>
        <w:t>新增</w:t>
      </w:r>
      <w:r>
        <w:rPr>
          <w:rFonts w:hint="default" w:ascii="Times New Roman" w:hAnsi="Times New Roman" w:eastAsia="仿宋_GB2312" w:cs="Times New Roman"/>
          <w:color w:val="auto"/>
          <w:sz w:val="32"/>
          <w:szCs w:val="32"/>
          <w:rtl w:val="0"/>
          <w:lang w:val="zh-TW" w:eastAsia="zh-TW"/>
        </w:rPr>
        <w:t>私设聚会点</w:t>
      </w:r>
      <w:r>
        <w:rPr>
          <w:rFonts w:hint="default" w:ascii="Times New Roman" w:hAnsi="Times New Roman" w:eastAsia="仿宋_GB2312" w:cs="Times New Roman"/>
          <w:color w:val="auto"/>
          <w:sz w:val="32"/>
          <w:szCs w:val="32"/>
          <w:rtl w:val="0"/>
          <w:lang w:val="zh-CN" w:eastAsia="zh-CN"/>
        </w:rPr>
        <w:t>，已取缔私设聚会点未发现人员活动</w:t>
      </w:r>
      <w:r>
        <w:rPr>
          <w:rFonts w:hint="default" w:ascii="Times New Roman" w:hAnsi="Times New Roman" w:eastAsia="仿宋_GB2312" w:cs="Times New Roman"/>
          <w:color w:val="auto"/>
          <w:sz w:val="32"/>
          <w:szCs w:val="32"/>
          <w:rtl w:val="0"/>
          <w:lang w:val="zh-TW" w:eastAsia="zh-TW"/>
        </w:rPr>
        <w:t>；反邪教工作卓有成效，街道及社区持续加大反邪教宣传力度，通过张贴宣传单，发放宣传资料</w:t>
      </w:r>
      <w:r>
        <w:rPr>
          <w:rFonts w:hint="default" w:ascii="Times New Roman" w:hAnsi="Times New Roman" w:eastAsia="仿宋_GB2312" w:cs="Times New Roman"/>
          <w:color w:val="auto"/>
          <w:sz w:val="32"/>
          <w:szCs w:val="32"/>
          <w:rtl w:val="0"/>
          <w:lang w:val="en-US" w:eastAsia="zh-TW"/>
        </w:rPr>
        <w:t>200</w:t>
      </w:r>
      <w:r>
        <w:rPr>
          <w:rFonts w:hint="default" w:ascii="Times New Roman" w:hAnsi="Times New Roman" w:eastAsia="仿宋_GB2312" w:cs="Times New Roman"/>
          <w:color w:val="auto"/>
          <w:sz w:val="32"/>
          <w:szCs w:val="32"/>
          <w:rtl w:val="0"/>
          <w:lang w:val="zh-TW" w:eastAsia="zh-TW"/>
        </w:rPr>
        <w:t>余份，向群众宣讲邪教的</w:t>
      </w:r>
      <w:r>
        <w:rPr>
          <w:rFonts w:hint="default" w:ascii="Times New Roman" w:hAnsi="Times New Roman" w:eastAsia="仿宋_GB2312" w:cs="Times New Roman"/>
          <w:color w:val="auto"/>
          <w:sz w:val="32"/>
          <w:szCs w:val="32"/>
          <w:rtl w:val="0"/>
          <w:lang w:val="zh-CN" w:eastAsia="zh-CN"/>
        </w:rPr>
        <w:t>现实表现和</w:t>
      </w:r>
      <w:r>
        <w:rPr>
          <w:rFonts w:hint="default" w:ascii="Times New Roman" w:hAnsi="Times New Roman" w:eastAsia="仿宋_GB2312" w:cs="Times New Roman"/>
          <w:color w:val="auto"/>
          <w:sz w:val="32"/>
          <w:szCs w:val="32"/>
          <w:rtl w:val="0"/>
          <w:lang w:val="zh-TW" w:eastAsia="zh-TW"/>
        </w:rPr>
        <w:t>危害，呼吁大家要积极抵制邪教文化的侵蚀，提高自我保护意识，</w:t>
      </w:r>
      <w:r>
        <w:rPr>
          <w:rFonts w:hint="default" w:ascii="Times New Roman" w:hAnsi="Times New Roman" w:eastAsia="仿宋_GB2312" w:cs="Times New Roman"/>
          <w:color w:val="auto"/>
          <w:sz w:val="32"/>
          <w:szCs w:val="32"/>
          <w:rtl w:val="0"/>
          <w:lang w:val="zh-CN" w:eastAsia="zh-CN"/>
        </w:rPr>
        <w:t>对于在册信邪教人员持续开展走访，</w:t>
      </w:r>
      <w:r>
        <w:rPr>
          <w:rFonts w:hint="default" w:ascii="Times New Roman" w:hAnsi="Times New Roman" w:eastAsia="仿宋_GB2312" w:cs="Times New Roman"/>
          <w:color w:val="auto"/>
          <w:sz w:val="32"/>
          <w:szCs w:val="32"/>
          <w:rtl w:val="0"/>
          <w:lang w:val="zh-TW" w:eastAsia="zh-TW"/>
        </w:rPr>
        <w:t>目前辖区</w:t>
      </w:r>
      <w:r>
        <w:rPr>
          <w:rFonts w:hint="default" w:ascii="Times New Roman" w:hAnsi="Times New Roman" w:eastAsia="仿宋_GB2312" w:cs="Times New Roman"/>
          <w:color w:val="auto"/>
          <w:sz w:val="32"/>
          <w:szCs w:val="32"/>
          <w:rtl w:val="0"/>
          <w:lang w:val="en-US" w:eastAsia="zh-TW"/>
        </w:rPr>
        <w:t>5</w:t>
      </w:r>
      <w:r>
        <w:rPr>
          <w:rFonts w:hint="default" w:ascii="Times New Roman" w:hAnsi="Times New Roman" w:eastAsia="仿宋_GB2312" w:cs="Times New Roman"/>
          <w:color w:val="auto"/>
          <w:sz w:val="32"/>
          <w:szCs w:val="32"/>
          <w:rtl w:val="0"/>
          <w:lang w:val="zh-TW" w:eastAsia="zh-TW"/>
        </w:rPr>
        <w:t>名邪教人员均已解脱。</w:t>
      </w:r>
      <w:r>
        <w:rPr>
          <w:rFonts w:hint="default" w:ascii="Times New Roman" w:hAnsi="Times New Roman" w:eastAsia="仿宋_GB2312" w:cs="Times New Roman"/>
          <w:b/>
          <w:bCs/>
          <w:color w:val="auto"/>
          <w:sz w:val="32"/>
          <w:szCs w:val="32"/>
          <w:rtl w:val="0"/>
          <w:lang w:val="zh-TW" w:eastAsia="zh-CN"/>
        </w:rPr>
        <w:t>五</w:t>
      </w:r>
      <w:r>
        <w:rPr>
          <w:rFonts w:hint="default" w:ascii="Times New Roman" w:hAnsi="Times New Roman" w:eastAsia="仿宋_GB2312" w:cs="Times New Roman"/>
          <w:b/>
          <w:bCs/>
          <w:color w:val="auto"/>
          <w:sz w:val="32"/>
          <w:szCs w:val="32"/>
          <w:rtl w:val="0"/>
          <w:lang w:val="zh-TW" w:eastAsia="zh-TW"/>
        </w:rPr>
        <w:t>是加强精神病人管理工作</w:t>
      </w:r>
      <w:r>
        <w:rPr>
          <w:rFonts w:hint="default" w:ascii="Times New Roman" w:hAnsi="Times New Roman" w:eastAsia="仿宋_GB2312" w:cs="Times New Roman"/>
          <w:b/>
          <w:bCs/>
          <w:color w:val="auto"/>
          <w:sz w:val="32"/>
          <w:szCs w:val="32"/>
          <w:rtl w:val="0"/>
          <w:lang w:val="zh-TW" w:eastAsia="zh-CN"/>
        </w:rPr>
        <w:t>。</w:t>
      </w:r>
      <w:r>
        <w:rPr>
          <w:rFonts w:hint="default" w:ascii="Times New Roman" w:hAnsi="Times New Roman" w:eastAsia="仿宋_GB2312" w:cs="Times New Roman"/>
          <w:color w:val="auto"/>
          <w:sz w:val="32"/>
          <w:szCs w:val="32"/>
          <w:rtl w:val="0"/>
          <w:lang w:val="zh-CN" w:eastAsia="zh-CN"/>
        </w:rPr>
        <w:t>以网格化管理为依托，</w:t>
      </w:r>
      <w:r>
        <w:rPr>
          <w:rFonts w:hint="default" w:ascii="Times New Roman" w:hAnsi="Times New Roman" w:eastAsia="仿宋_GB2312" w:cs="Times New Roman"/>
          <w:color w:val="auto"/>
          <w:sz w:val="32"/>
          <w:szCs w:val="32"/>
          <w:rtl w:val="0"/>
          <w:lang w:val="zh-TW" w:eastAsia="zh-TW"/>
        </w:rPr>
        <w:t>街道、玉泉派出所、社区卫生服务站</w:t>
      </w:r>
      <w:r>
        <w:rPr>
          <w:rFonts w:hint="default" w:ascii="Times New Roman" w:hAnsi="Times New Roman" w:eastAsia="仿宋_GB2312" w:cs="Times New Roman"/>
          <w:color w:val="auto"/>
          <w:sz w:val="32"/>
          <w:szCs w:val="32"/>
          <w:rtl w:val="0"/>
          <w:lang w:val="zh-CN" w:eastAsia="zh-CN"/>
        </w:rPr>
        <w:t>联合</w:t>
      </w:r>
      <w:r>
        <w:rPr>
          <w:rFonts w:hint="default" w:ascii="Times New Roman" w:hAnsi="Times New Roman" w:eastAsia="仿宋_GB2312" w:cs="Times New Roman"/>
          <w:color w:val="auto"/>
          <w:sz w:val="32"/>
          <w:szCs w:val="32"/>
          <w:rtl w:val="0"/>
          <w:lang w:val="zh-TW" w:eastAsia="zh-TW"/>
        </w:rPr>
        <w:t>对辖区的精神病人进行全面排查，在摸清底数的基础上层层落实管控，实行监护人责任制。</w:t>
      </w:r>
      <w:r>
        <w:rPr>
          <w:rFonts w:hint="default" w:ascii="Times New Roman" w:hAnsi="Times New Roman" w:eastAsia="仿宋_GB2312" w:cs="Times New Roman"/>
          <w:color w:val="auto"/>
          <w:sz w:val="32"/>
          <w:szCs w:val="32"/>
          <w:rtl w:val="0"/>
          <w:lang w:val="zh-CN" w:eastAsia="zh-CN"/>
        </w:rPr>
        <w:t>自9月以来实行每月4次全覆盖走访，</w:t>
      </w:r>
      <w:r>
        <w:rPr>
          <w:rFonts w:hint="default" w:ascii="Times New Roman" w:hAnsi="Times New Roman" w:eastAsia="仿宋_GB2312" w:cs="Times New Roman"/>
          <w:color w:val="auto"/>
          <w:sz w:val="32"/>
          <w:szCs w:val="32"/>
          <w:rtl w:val="0"/>
          <w:lang w:val="zh-TW" w:eastAsia="zh-TW"/>
        </w:rPr>
        <w:t>一旦发现其病情加重，及时上报，迅速处置，</w:t>
      </w:r>
      <w:r>
        <w:rPr>
          <w:rFonts w:hint="default" w:ascii="Times New Roman" w:hAnsi="Times New Roman" w:eastAsia="仿宋_GB2312" w:cs="Times New Roman"/>
          <w:color w:val="auto"/>
          <w:sz w:val="32"/>
          <w:szCs w:val="32"/>
          <w:rtl w:val="0"/>
          <w:lang w:val="en-US" w:eastAsia="zh-TW"/>
        </w:rPr>
        <w:t>2022</w:t>
      </w:r>
      <w:r>
        <w:rPr>
          <w:rFonts w:hint="default" w:ascii="Times New Roman" w:hAnsi="Times New Roman" w:eastAsia="仿宋_GB2312" w:cs="Times New Roman"/>
          <w:color w:val="auto"/>
          <w:sz w:val="32"/>
          <w:szCs w:val="32"/>
          <w:rtl w:val="0"/>
          <w:lang w:val="zh-TW" w:eastAsia="zh-TW"/>
        </w:rPr>
        <w:t>年以来，送医治疗重精患者</w:t>
      </w:r>
      <w:r>
        <w:rPr>
          <w:rFonts w:hint="default" w:ascii="Times New Roman" w:hAnsi="Times New Roman" w:eastAsia="仿宋_GB2312" w:cs="Times New Roman"/>
          <w:color w:val="auto"/>
          <w:sz w:val="32"/>
          <w:szCs w:val="32"/>
          <w:rtl w:val="0"/>
          <w:lang w:val="en-US" w:eastAsia="zh-TW"/>
        </w:rPr>
        <w:t>5</w:t>
      </w:r>
      <w:r>
        <w:rPr>
          <w:rFonts w:hint="default" w:ascii="Times New Roman" w:hAnsi="Times New Roman" w:eastAsia="仿宋_GB2312" w:cs="Times New Roman"/>
          <w:color w:val="auto"/>
          <w:sz w:val="32"/>
          <w:szCs w:val="32"/>
          <w:rtl w:val="0"/>
          <w:lang w:val="zh-TW" w:eastAsia="zh-TW"/>
        </w:rPr>
        <w:t>人，确保其得到有效监护和及时治疗，避免</w:t>
      </w:r>
      <w:r>
        <w:rPr>
          <w:rFonts w:hint="default" w:ascii="Times New Roman" w:hAnsi="Times New Roman" w:eastAsia="仿宋_GB2312" w:cs="Times New Roman"/>
          <w:color w:val="auto"/>
          <w:sz w:val="32"/>
          <w:szCs w:val="32"/>
          <w:rtl w:val="0"/>
          <w:lang w:val="zh-CN" w:eastAsia="zh-CN"/>
        </w:rPr>
        <w:t>特殊重点人群</w:t>
      </w:r>
      <w:r>
        <w:rPr>
          <w:rFonts w:hint="default" w:ascii="Times New Roman" w:hAnsi="Times New Roman" w:eastAsia="仿宋_GB2312" w:cs="Times New Roman"/>
          <w:color w:val="auto"/>
          <w:sz w:val="32"/>
          <w:szCs w:val="32"/>
          <w:rtl w:val="0"/>
          <w:lang w:val="zh-TW" w:eastAsia="zh-TW"/>
        </w:rPr>
        <w:t>危害社会行为的发生。</w:t>
      </w:r>
      <w:r>
        <w:rPr>
          <w:rFonts w:hint="default" w:ascii="Times New Roman" w:hAnsi="Times New Roman" w:eastAsia="仿宋_GB2312" w:cs="Times New Roman"/>
          <w:b/>
          <w:bCs/>
          <w:color w:val="auto"/>
          <w:sz w:val="32"/>
          <w:szCs w:val="32"/>
          <w:rtl w:val="0"/>
          <w:lang w:val="zh-TW" w:eastAsia="zh-CN"/>
        </w:rPr>
        <w:t>六是</w:t>
      </w:r>
      <w:r>
        <w:rPr>
          <w:rFonts w:hint="default" w:ascii="Times New Roman" w:hAnsi="Times New Roman" w:eastAsia="仿宋_GB2312" w:cs="Times New Roman"/>
          <w:b/>
          <w:bCs/>
          <w:color w:val="auto"/>
          <w:sz w:val="32"/>
          <w:szCs w:val="32"/>
          <w:rtl w:val="0"/>
          <w:lang w:val="en-US" w:eastAsia="zh-CN"/>
        </w:rPr>
        <w:t>继续深入开展禁毒工作。</w:t>
      </w:r>
      <w:r>
        <w:rPr>
          <w:rFonts w:hint="default" w:ascii="Times New Roman" w:hAnsi="Times New Roman" w:eastAsia="仿宋_GB2312" w:cs="Times New Roman"/>
          <w:color w:val="auto"/>
          <w:sz w:val="32"/>
          <w:szCs w:val="32"/>
          <w:rtl w:val="0"/>
          <w:lang w:val="en-US" w:eastAsia="zh-CN"/>
        </w:rPr>
        <w:t>以“6.26”禁毒宣传日为契机，广泛开展禁毒宣传活动，并通过社区宣传栏、网格微信群、LED显示屏等形式大力宣传种植罂粟的危害性以及街道关于禁毒的相关精神，张贴标语20余条，散发各类宣传资料200余份。</w:t>
      </w:r>
      <w:r>
        <w:rPr>
          <w:rFonts w:hint="default" w:ascii="Times New Roman" w:hAnsi="Times New Roman" w:eastAsia="仿宋_GB2312" w:cs="Times New Roman"/>
          <w:b/>
          <w:bCs/>
          <w:color w:val="auto"/>
          <w:sz w:val="32"/>
          <w:szCs w:val="32"/>
          <w:rtl w:val="0"/>
          <w:lang w:val="en-US" w:eastAsia="zh-CN"/>
        </w:rPr>
        <w:t>七是做好民族宗教工作。</w:t>
      </w:r>
      <w:r>
        <w:rPr>
          <w:rFonts w:hint="default" w:ascii="Times New Roman" w:hAnsi="Times New Roman" w:eastAsia="仿宋_GB2312" w:cs="Times New Roman"/>
          <w:color w:val="auto"/>
          <w:sz w:val="32"/>
          <w:szCs w:val="32"/>
          <w:rtl w:val="0"/>
          <w:lang w:val="en-US" w:eastAsia="zh-CN"/>
        </w:rPr>
        <w:t>通过“思想铸魂工程”“数字创新工程”“文化交融工程”和“民生暖心工程”四项民族团结工程，</w:t>
      </w:r>
      <w:r>
        <w:rPr>
          <w:rFonts w:hint="default" w:ascii="Times New Roman" w:hAnsi="Times New Roman" w:eastAsia="仿宋_GB2312" w:cs="Times New Roman"/>
          <w:color w:val="auto"/>
          <w:sz w:val="32"/>
          <w:szCs w:val="32"/>
          <w:rtl w:val="0"/>
          <w:lang w:val="zh-TW" w:eastAsia="zh-TW"/>
        </w:rPr>
        <w:t>持续凝聚民族团结合力，党外人士教育实践基地和</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动力站侨之家</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搭建起各族群众加强思想政治教育、参与基层社会治理、联系服务基层群众的多功能平台，共开展各类参观学习交流活动</w:t>
      </w:r>
      <w:r>
        <w:rPr>
          <w:rFonts w:hint="default" w:ascii="Times New Roman" w:hAnsi="Times New Roman" w:eastAsia="仿宋_GB2312" w:cs="Times New Roman"/>
          <w:color w:val="auto"/>
          <w:sz w:val="32"/>
          <w:szCs w:val="32"/>
          <w:rtl w:val="0"/>
          <w:lang w:val="en-US" w:eastAsia="zh-TW"/>
        </w:rPr>
        <w:t>10</w:t>
      </w:r>
      <w:r>
        <w:rPr>
          <w:rFonts w:hint="default" w:ascii="Times New Roman" w:hAnsi="Times New Roman" w:eastAsia="仿宋_GB2312" w:cs="Times New Roman"/>
          <w:color w:val="auto"/>
          <w:sz w:val="32"/>
          <w:szCs w:val="32"/>
          <w:rtl w:val="0"/>
          <w:lang w:val="zh-TW" w:eastAsia="zh-TW"/>
        </w:rPr>
        <w:t>余次，受教育</w:t>
      </w:r>
      <w:r>
        <w:rPr>
          <w:rFonts w:hint="default" w:ascii="Times New Roman" w:hAnsi="Times New Roman" w:eastAsia="仿宋_GB2312" w:cs="Times New Roman"/>
          <w:color w:val="auto"/>
          <w:sz w:val="32"/>
          <w:szCs w:val="32"/>
          <w:rtl w:val="0"/>
          <w:lang w:val="zh-CN" w:eastAsia="zh-CN"/>
        </w:rPr>
        <w:t>1200</w:t>
      </w:r>
      <w:r>
        <w:rPr>
          <w:rFonts w:hint="default" w:ascii="Times New Roman" w:hAnsi="Times New Roman" w:eastAsia="仿宋_GB2312" w:cs="Times New Roman"/>
          <w:color w:val="auto"/>
          <w:sz w:val="32"/>
          <w:szCs w:val="32"/>
          <w:rtl w:val="0"/>
          <w:lang w:val="zh-TW" w:eastAsia="zh-TW"/>
        </w:rPr>
        <w:t xml:space="preserve">余人次，不断引导各族群众从思想情怀上增强归属感；以 </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我为群众办实事</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活动为契机，结合政协</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有事来协商</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平台，街道、社区全体党员干部带头做好事、干实事，联合</w:t>
      </w:r>
      <w:r>
        <w:rPr>
          <w:rFonts w:hint="default" w:ascii="Times New Roman" w:hAnsi="Times New Roman" w:eastAsia="仿宋_GB2312" w:cs="Times New Roman"/>
          <w:color w:val="auto"/>
          <w:sz w:val="32"/>
          <w:szCs w:val="32"/>
          <w:rtl w:val="0"/>
          <w:lang w:val="en-US" w:eastAsia="zh-TW"/>
        </w:rPr>
        <w:t>10</w:t>
      </w:r>
      <w:r>
        <w:rPr>
          <w:rFonts w:hint="default" w:ascii="Times New Roman" w:hAnsi="Times New Roman" w:eastAsia="仿宋_GB2312" w:cs="Times New Roman"/>
          <w:color w:val="auto"/>
          <w:sz w:val="32"/>
          <w:szCs w:val="32"/>
          <w:rtl w:val="0"/>
          <w:lang w:val="zh-TW" w:eastAsia="zh-TW"/>
        </w:rPr>
        <w:t>余家共建单位通过整合资源，聚焦基础设施修复、环境整治、平安出行等方面的热点难点问题，结合春节、七一等走访慰问少数民族党员群众</w:t>
      </w:r>
      <w:r>
        <w:rPr>
          <w:rFonts w:hint="default" w:ascii="Times New Roman" w:hAnsi="Times New Roman" w:eastAsia="仿宋_GB2312" w:cs="Times New Roman"/>
          <w:color w:val="auto"/>
          <w:sz w:val="32"/>
          <w:szCs w:val="32"/>
          <w:rtl w:val="0"/>
          <w:lang w:val="en-US" w:eastAsia="zh-TW"/>
        </w:rPr>
        <w:t>10</w:t>
      </w:r>
      <w:r>
        <w:rPr>
          <w:rFonts w:hint="default" w:ascii="Times New Roman" w:hAnsi="Times New Roman" w:eastAsia="仿宋_GB2312" w:cs="Times New Roman"/>
          <w:color w:val="auto"/>
          <w:sz w:val="32"/>
          <w:szCs w:val="32"/>
          <w:rtl w:val="0"/>
          <w:lang w:val="zh-TW" w:eastAsia="zh-TW"/>
        </w:rPr>
        <w:t>余人，结合疫情防控、森林草原防灭火和迎环保督察等重点工作，组织</w:t>
      </w:r>
      <w:r>
        <w:rPr>
          <w:rFonts w:hint="default" w:ascii="Times New Roman" w:hAnsi="Times New Roman" w:eastAsia="仿宋_GB2312" w:cs="Times New Roman"/>
          <w:color w:val="auto"/>
          <w:sz w:val="32"/>
          <w:szCs w:val="32"/>
          <w:rtl w:val="0"/>
          <w:lang w:val="en-US" w:eastAsia="zh-TW"/>
        </w:rPr>
        <w:t>100</w:t>
      </w:r>
      <w:r>
        <w:rPr>
          <w:rFonts w:hint="default" w:ascii="Times New Roman" w:hAnsi="Times New Roman" w:eastAsia="仿宋_GB2312" w:cs="Times New Roman"/>
          <w:color w:val="auto"/>
          <w:sz w:val="32"/>
          <w:szCs w:val="32"/>
          <w:rtl w:val="0"/>
          <w:lang w:val="zh-TW" w:eastAsia="zh-TW"/>
        </w:rPr>
        <w:t>余名党员、少数民族群众和</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侨之家</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志愿者开展便民服务、环境整治等志愿服务活动</w:t>
      </w:r>
      <w:r>
        <w:rPr>
          <w:rFonts w:hint="default" w:ascii="Times New Roman" w:hAnsi="Times New Roman" w:eastAsia="仿宋_GB2312" w:cs="Times New Roman"/>
          <w:color w:val="auto"/>
          <w:sz w:val="32"/>
          <w:szCs w:val="32"/>
          <w:rtl w:val="0"/>
          <w:lang w:val="en-US" w:eastAsia="zh-TW"/>
        </w:rPr>
        <w:t>100</w:t>
      </w:r>
      <w:r>
        <w:rPr>
          <w:rFonts w:hint="default" w:ascii="Times New Roman" w:hAnsi="Times New Roman" w:eastAsia="仿宋_GB2312" w:cs="Times New Roman"/>
          <w:color w:val="auto"/>
          <w:sz w:val="32"/>
          <w:szCs w:val="32"/>
          <w:rtl w:val="0"/>
          <w:lang w:val="zh-TW" w:eastAsia="zh-TW"/>
        </w:rPr>
        <w:t>余次，为民办实事</w:t>
      </w:r>
      <w:r>
        <w:rPr>
          <w:rFonts w:hint="default" w:ascii="Times New Roman" w:hAnsi="Times New Roman" w:eastAsia="仿宋_GB2312" w:cs="Times New Roman"/>
          <w:color w:val="auto"/>
          <w:sz w:val="32"/>
          <w:szCs w:val="32"/>
          <w:rtl w:val="0"/>
          <w:lang w:val="en-US" w:eastAsia="zh-TW"/>
        </w:rPr>
        <w:t>170</w:t>
      </w:r>
      <w:r>
        <w:rPr>
          <w:rFonts w:hint="default" w:ascii="Times New Roman" w:hAnsi="Times New Roman" w:eastAsia="仿宋_GB2312" w:cs="Times New Roman"/>
          <w:color w:val="auto"/>
          <w:sz w:val="32"/>
          <w:szCs w:val="32"/>
          <w:rtl w:val="0"/>
          <w:lang w:val="zh-TW" w:eastAsia="zh-TW"/>
        </w:rPr>
        <w:t>余件，</w:t>
      </w:r>
      <w:r>
        <w:rPr>
          <w:rFonts w:hint="default" w:ascii="Times New Roman" w:hAnsi="Times New Roman" w:eastAsia="仿宋_GB2312" w:cs="Times New Roman"/>
          <w:color w:val="auto"/>
          <w:sz w:val="32"/>
          <w:szCs w:val="32"/>
          <w:rtl w:val="0"/>
          <w:lang w:val="zh-CN" w:eastAsia="zh-CN"/>
        </w:rPr>
        <w:t>利用综治GIS系统和少数民族流动人口管理系统持续加强辖区少数民族群众的管理和服务，</w:t>
      </w:r>
      <w:r>
        <w:rPr>
          <w:rFonts w:hint="default" w:ascii="Times New Roman" w:hAnsi="Times New Roman" w:eastAsia="仿宋_GB2312" w:cs="Times New Roman"/>
          <w:color w:val="auto"/>
          <w:sz w:val="32"/>
          <w:szCs w:val="32"/>
          <w:rtl w:val="0"/>
          <w:lang w:val="zh-TW" w:eastAsia="zh-TW"/>
        </w:rPr>
        <w:t>以</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共同团结奋斗，共同繁荣发展</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为主题，秉承</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各族居民一家亲，共建和谐玉泉</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的宗旨，以</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四大民族团结工程</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助力民族团结进步街道的创建，形成各族居民和谐共处，团结繁荣发展的良好局面。</w:t>
      </w:r>
      <w:r>
        <w:rPr>
          <w:rFonts w:hint="default" w:ascii="Times New Roman" w:hAnsi="Times New Roman" w:eastAsia="仿宋_GB2312" w:cs="Times New Roman"/>
          <w:b/>
          <w:bCs/>
          <w:color w:val="auto"/>
          <w:sz w:val="32"/>
          <w:szCs w:val="32"/>
          <w:rtl w:val="0"/>
          <w:lang w:val="zh-TW" w:eastAsia="zh-CN"/>
        </w:rPr>
        <w:t>八</w:t>
      </w:r>
      <w:r>
        <w:rPr>
          <w:rFonts w:hint="default" w:ascii="Times New Roman" w:hAnsi="Times New Roman" w:eastAsia="仿宋_GB2312" w:cs="Times New Roman"/>
          <w:b/>
          <w:bCs/>
          <w:color w:val="auto"/>
          <w:sz w:val="32"/>
          <w:szCs w:val="32"/>
          <w:rtl w:val="0"/>
          <w:lang w:val="en-US" w:eastAsia="zh-CN"/>
        </w:rPr>
        <w:t>是做好信访维稳工作。</w:t>
      </w:r>
      <w:r>
        <w:rPr>
          <w:rFonts w:hint="default" w:ascii="Times New Roman" w:hAnsi="Times New Roman" w:eastAsia="仿宋_GB2312" w:cs="Times New Roman"/>
          <w:color w:val="auto"/>
          <w:sz w:val="32"/>
          <w:szCs w:val="32"/>
          <w:rtl w:val="0"/>
          <w:lang w:val="en-US" w:eastAsia="zh-CN"/>
        </w:rPr>
        <w:t>2022年</w:t>
      </w:r>
      <w:r>
        <w:rPr>
          <w:rFonts w:hint="default" w:ascii="Times New Roman" w:hAnsi="Times New Roman" w:eastAsia="仿宋_GB2312" w:cs="Times New Roman"/>
          <w:color w:val="auto"/>
          <w:sz w:val="32"/>
          <w:szCs w:val="32"/>
          <w:rtl w:val="0"/>
          <w:lang w:val="zh-TW" w:eastAsia="zh-TW"/>
        </w:rPr>
        <w:t>，街道共收到信访件</w:t>
      </w:r>
      <w:r>
        <w:rPr>
          <w:rFonts w:hint="default" w:ascii="Times New Roman" w:hAnsi="Times New Roman" w:eastAsia="仿宋_GB2312" w:cs="Times New Roman"/>
          <w:color w:val="auto"/>
          <w:sz w:val="32"/>
          <w:szCs w:val="32"/>
          <w:rtl w:val="0"/>
          <w:lang w:val="en-US" w:eastAsia="zh-CN"/>
        </w:rPr>
        <w:t>10</w:t>
      </w:r>
      <w:r>
        <w:rPr>
          <w:rFonts w:hint="default" w:ascii="Times New Roman" w:hAnsi="Times New Roman" w:eastAsia="仿宋_GB2312" w:cs="Times New Roman"/>
          <w:color w:val="auto"/>
          <w:sz w:val="32"/>
          <w:szCs w:val="32"/>
          <w:rtl w:val="0"/>
          <w:lang w:val="zh-TW" w:eastAsia="zh-TW"/>
        </w:rPr>
        <w:t>件，其中，区长信访件</w:t>
      </w:r>
      <w:r>
        <w:rPr>
          <w:rFonts w:hint="default" w:ascii="Times New Roman" w:hAnsi="Times New Roman" w:eastAsia="仿宋_GB2312" w:cs="Times New Roman"/>
          <w:color w:val="auto"/>
          <w:sz w:val="32"/>
          <w:szCs w:val="32"/>
          <w:rtl w:val="0"/>
          <w:lang w:val="en-US" w:eastAsia="zh-TW"/>
        </w:rPr>
        <w:t>2</w:t>
      </w:r>
      <w:r>
        <w:rPr>
          <w:rFonts w:hint="default" w:ascii="Times New Roman" w:hAnsi="Times New Roman" w:eastAsia="仿宋_GB2312" w:cs="Times New Roman"/>
          <w:color w:val="auto"/>
          <w:sz w:val="32"/>
          <w:szCs w:val="32"/>
          <w:rtl w:val="0"/>
          <w:lang w:val="zh-TW" w:eastAsia="zh-TW"/>
        </w:rPr>
        <w:t>件，新联办交办件</w:t>
      </w:r>
      <w:r>
        <w:rPr>
          <w:rFonts w:hint="default" w:ascii="Times New Roman" w:hAnsi="Times New Roman" w:eastAsia="仿宋_GB2312" w:cs="Times New Roman"/>
          <w:color w:val="auto"/>
          <w:sz w:val="32"/>
          <w:szCs w:val="32"/>
          <w:rtl w:val="0"/>
          <w:lang w:val="en-US" w:eastAsia="zh-CN"/>
        </w:rPr>
        <w:t>2</w:t>
      </w:r>
      <w:r>
        <w:rPr>
          <w:rFonts w:hint="default" w:ascii="Times New Roman" w:hAnsi="Times New Roman" w:eastAsia="仿宋_GB2312" w:cs="Times New Roman"/>
          <w:color w:val="auto"/>
          <w:sz w:val="32"/>
          <w:szCs w:val="32"/>
          <w:rtl w:val="0"/>
          <w:lang w:val="zh-TW" w:eastAsia="zh-TW"/>
        </w:rPr>
        <w:t>件，四川省网上信访系统</w:t>
      </w:r>
      <w:r>
        <w:rPr>
          <w:rFonts w:hint="default" w:ascii="Times New Roman" w:hAnsi="Times New Roman" w:eastAsia="仿宋_GB2312" w:cs="Times New Roman"/>
          <w:color w:val="auto"/>
          <w:sz w:val="32"/>
          <w:szCs w:val="32"/>
          <w:rtl w:val="0"/>
          <w:lang w:val="en-US" w:eastAsia="zh-TW"/>
        </w:rPr>
        <w:t>6</w:t>
      </w:r>
      <w:r>
        <w:rPr>
          <w:rFonts w:hint="default" w:ascii="Times New Roman" w:hAnsi="Times New Roman" w:eastAsia="仿宋_GB2312" w:cs="Times New Roman"/>
          <w:color w:val="auto"/>
          <w:sz w:val="32"/>
          <w:szCs w:val="32"/>
          <w:rtl w:val="0"/>
          <w:lang w:val="zh-TW" w:eastAsia="zh-TW"/>
        </w:rPr>
        <w:t>件，需要打满意度件</w:t>
      </w:r>
      <w:r>
        <w:rPr>
          <w:rFonts w:hint="default" w:ascii="Times New Roman" w:hAnsi="Times New Roman" w:eastAsia="仿宋_GB2312" w:cs="Times New Roman"/>
          <w:color w:val="auto"/>
          <w:sz w:val="32"/>
          <w:szCs w:val="32"/>
          <w:rtl w:val="0"/>
          <w:lang w:val="en-US" w:eastAsia="zh-TW"/>
        </w:rPr>
        <w:t>1</w:t>
      </w:r>
      <w:r>
        <w:rPr>
          <w:rFonts w:hint="default" w:ascii="Times New Roman" w:hAnsi="Times New Roman" w:eastAsia="仿宋_GB2312" w:cs="Times New Roman"/>
          <w:color w:val="auto"/>
          <w:sz w:val="32"/>
          <w:szCs w:val="32"/>
          <w:rtl w:val="0"/>
          <w:lang w:val="zh-TW" w:eastAsia="zh-TW"/>
        </w:rPr>
        <w:t>件，满意度</w:t>
      </w:r>
      <w:r>
        <w:rPr>
          <w:rFonts w:hint="default" w:ascii="Times New Roman" w:hAnsi="Times New Roman" w:eastAsia="仿宋_GB2312" w:cs="Times New Roman"/>
          <w:color w:val="auto"/>
          <w:sz w:val="32"/>
          <w:szCs w:val="32"/>
          <w:rtl w:val="0"/>
          <w:lang w:val="en-US" w:eastAsia="zh-TW"/>
        </w:rPr>
        <w:t>100%</w:t>
      </w:r>
      <w:r>
        <w:rPr>
          <w:rFonts w:hint="default" w:ascii="Times New Roman" w:hAnsi="Times New Roman" w:eastAsia="仿宋_GB2312" w:cs="Times New Roman"/>
          <w:color w:val="auto"/>
          <w:sz w:val="32"/>
          <w:szCs w:val="32"/>
          <w:rtl w:val="0"/>
          <w:lang w:val="zh-TW" w:eastAsia="zh-TW"/>
        </w:rPr>
        <w:t>。同时，</w:t>
      </w:r>
      <w:r>
        <w:rPr>
          <w:rFonts w:hint="default" w:ascii="Times New Roman" w:hAnsi="Times New Roman" w:eastAsia="仿宋_GB2312" w:cs="Times New Roman"/>
          <w:color w:val="auto"/>
          <w:sz w:val="32"/>
          <w:szCs w:val="32"/>
          <w:rtl w:val="0"/>
          <w:lang w:val="en-US" w:eastAsia="zh-TW"/>
        </w:rPr>
        <w:t>2022</w:t>
      </w:r>
      <w:r>
        <w:rPr>
          <w:rFonts w:hint="default" w:ascii="Times New Roman" w:hAnsi="Times New Roman" w:eastAsia="仿宋_GB2312" w:cs="Times New Roman"/>
          <w:color w:val="auto"/>
          <w:sz w:val="32"/>
          <w:szCs w:val="32"/>
          <w:rtl w:val="0"/>
          <w:lang w:val="zh-TW" w:eastAsia="zh-TW"/>
        </w:rPr>
        <w:t>年</w:t>
      </w:r>
      <w:r>
        <w:rPr>
          <w:rFonts w:hint="default" w:ascii="Times New Roman" w:hAnsi="Times New Roman" w:eastAsia="仿宋_GB2312" w:cs="Times New Roman"/>
          <w:color w:val="auto"/>
          <w:sz w:val="32"/>
          <w:szCs w:val="32"/>
          <w:rtl w:val="0"/>
          <w:lang w:val="en-US" w:eastAsia="zh-TW"/>
        </w:rPr>
        <w:t>5</w:t>
      </w:r>
      <w:r>
        <w:rPr>
          <w:rFonts w:hint="default" w:ascii="Times New Roman" w:hAnsi="Times New Roman" w:eastAsia="仿宋_GB2312" w:cs="Times New Roman"/>
          <w:color w:val="auto"/>
          <w:sz w:val="32"/>
          <w:szCs w:val="32"/>
          <w:rtl w:val="0"/>
          <w:lang w:val="zh-TW" w:eastAsia="zh-TW"/>
        </w:rPr>
        <w:t>月，公共管理办公室出色迎接区巡视组</w:t>
      </w:r>
      <w:r>
        <w:rPr>
          <w:rFonts w:hint="default" w:ascii="Times New Roman" w:hAnsi="Times New Roman" w:eastAsia="仿宋_GB2312" w:cs="Times New Roman"/>
          <w:color w:val="auto"/>
          <w:sz w:val="32"/>
          <w:szCs w:val="32"/>
          <w:rtl w:val="0"/>
          <w:lang w:val="en-US" w:eastAsia="zh-TW"/>
        </w:rPr>
        <w:t>——</w:t>
      </w:r>
      <w:r>
        <w:rPr>
          <w:rFonts w:hint="default" w:ascii="Times New Roman" w:hAnsi="Times New Roman" w:eastAsia="仿宋_GB2312" w:cs="Times New Roman"/>
          <w:color w:val="auto"/>
          <w:sz w:val="32"/>
          <w:szCs w:val="32"/>
          <w:rtl w:val="0"/>
          <w:lang w:val="zh-TW" w:eastAsia="zh-TW"/>
        </w:rPr>
        <w:t>关于《国务院信访条例》贯彻落实情况执法检查，受到检查组的一致肯定。街道和社区工作人员</w:t>
      </w:r>
      <w:r>
        <w:rPr>
          <w:rFonts w:hint="default" w:ascii="Times New Roman" w:hAnsi="Times New Roman" w:eastAsia="仿宋_GB2312" w:cs="Times New Roman"/>
          <w:color w:val="auto"/>
          <w:sz w:val="32"/>
          <w:szCs w:val="32"/>
          <w:rtl w:val="0"/>
          <w:lang w:val="en-US" w:eastAsia="zh-TW"/>
        </w:rPr>
        <w:t>13</w:t>
      </w:r>
      <w:r>
        <w:rPr>
          <w:rFonts w:hint="default" w:ascii="Times New Roman" w:hAnsi="Times New Roman" w:eastAsia="仿宋_GB2312" w:cs="Times New Roman"/>
          <w:color w:val="auto"/>
          <w:sz w:val="32"/>
          <w:szCs w:val="32"/>
          <w:rtl w:val="0"/>
          <w:lang w:val="zh-TW" w:eastAsia="zh-TW"/>
        </w:rPr>
        <w:t>次赶赴区信访局，对来访群众进行政策宣讲和思想沟通，来访群众表示理解。</w:t>
      </w:r>
      <w:r>
        <w:rPr>
          <w:rFonts w:hint="default" w:ascii="Times New Roman" w:hAnsi="Times New Roman" w:eastAsia="仿宋_GB2312" w:cs="Times New Roman"/>
          <w:b/>
          <w:bCs/>
          <w:color w:val="auto"/>
          <w:sz w:val="32"/>
          <w:szCs w:val="32"/>
          <w:rtl w:val="0"/>
          <w:lang w:val="zh-TW" w:eastAsia="zh-CN"/>
        </w:rPr>
        <w:t>九</w:t>
      </w:r>
      <w:r>
        <w:rPr>
          <w:rFonts w:hint="default" w:ascii="Times New Roman" w:hAnsi="Times New Roman" w:eastAsia="仿宋_GB2312" w:cs="Times New Roman"/>
          <w:b/>
          <w:bCs/>
          <w:color w:val="auto"/>
          <w:sz w:val="32"/>
          <w:szCs w:val="32"/>
          <w:rtl w:val="0"/>
          <w:lang w:val="en-US" w:eastAsia="zh-CN"/>
        </w:rPr>
        <w:t>是致力于老旧小区改造。</w:t>
      </w:r>
      <w:r>
        <w:rPr>
          <w:rFonts w:hint="default" w:ascii="Times New Roman" w:hAnsi="Times New Roman" w:eastAsia="仿宋_GB2312" w:cs="Times New Roman"/>
          <w:color w:val="auto"/>
          <w:sz w:val="32"/>
          <w:szCs w:val="32"/>
          <w:rtl w:val="0"/>
          <w:lang w:val="en-US" w:eastAsia="zh-TW"/>
        </w:rPr>
        <w:t>2022</w:t>
      </w:r>
      <w:r>
        <w:rPr>
          <w:rFonts w:hint="default" w:ascii="Times New Roman" w:hAnsi="Times New Roman" w:eastAsia="仿宋_GB2312" w:cs="Times New Roman"/>
          <w:color w:val="auto"/>
          <w:sz w:val="32"/>
          <w:szCs w:val="32"/>
          <w:rtl w:val="0"/>
          <w:lang w:val="zh-TW" w:eastAsia="zh-TW"/>
        </w:rPr>
        <w:t>年，街道的河门口公园小区及动力站安装公司小区</w:t>
      </w:r>
      <w:r>
        <w:rPr>
          <w:rFonts w:hint="default" w:ascii="Times New Roman" w:hAnsi="Times New Roman" w:eastAsia="仿宋_GB2312" w:cs="Times New Roman"/>
          <w:color w:val="auto"/>
          <w:sz w:val="32"/>
          <w:szCs w:val="32"/>
          <w:rtl w:val="0"/>
          <w:lang w:val="zh-TW" w:eastAsia="zh-CN"/>
        </w:rPr>
        <w:t>、</w:t>
      </w:r>
      <w:r>
        <w:rPr>
          <w:rFonts w:hint="default" w:ascii="Times New Roman" w:hAnsi="Times New Roman" w:eastAsia="仿宋_GB2312" w:cs="Times New Roman"/>
          <w:color w:val="auto"/>
          <w:sz w:val="32"/>
          <w:szCs w:val="32"/>
          <w:rtl w:val="0"/>
          <w:lang w:val="en-US" w:eastAsia="zh-CN"/>
        </w:rPr>
        <w:t>席草坪家盛巷小区均为</w:t>
      </w:r>
      <w:r>
        <w:rPr>
          <w:rFonts w:hint="default" w:ascii="Times New Roman" w:hAnsi="Times New Roman" w:eastAsia="仿宋_GB2312" w:cs="Times New Roman"/>
          <w:color w:val="auto"/>
          <w:sz w:val="32"/>
          <w:szCs w:val="32"/>
          <w:rtl w:val="0"/>
          <w:lang w:val="zh-TW" w:eastAsia="zh-TW"/>
        </w:rPr>
        <w:t>攀枝花市老旧小区改造范围内，预算投入资金</w:t>
      </w:r>
      <w:r>
        <w:rPr>
          <w:rFonts w:hint="default" w:ascii="Times New Roman" w:hAnsi="Times New Roman" w:eastAsia="仿宋_GB2312" w:cs="Times New Roman"/>
          <w:color w:val="auto"/>
          <w:sz w:val="32"/>
          <w:szCs w:val="32"/>
          <w:rtl w:val="0"/>
          <w:lang w:val="en-US" w:eastAsia="zh-CN"/>
        </w:rPr>
        <w:t>约1千</w:t>
      </w:r>
      <w:r>
        <w:rPr>
          <w:rFonts w:hint="default" w:ascii="Times New Roman" w:hAnsi="Times New Roman" w:eastAsia="仿宋_GB2312" w:cs="Times New Roman"/>
          <w:color w:val="auto"/>
          <w:sz w:val="32"/>
          <w:szCs w:val="32"/>
          <w:rtl w:val="0"/>
          <w:lang w:val="zh-TW" w:eastAsia="zh-TW"/>
        </w:rPr>
        <w:t>万元，涉及改造对象</w:t>
      </w:r>
      <w:r>
        <w:rPr>
          <w:rFonts w:hint="default" w:ascii="Times New Roman" w:hAnsi="Times New Roman" w:eastAsia="仿宋_GB2312" w:cs="Times New Roman"/>
          <w:color w:val="auto"/>
          <w:sz w:val="32"/>
          <w:szCs w:val="32"/>
          <w:rtl w:val="0"/>
          <w:lang w:val="en-US" w:eastAsia="zh-CN"/>
        </w:rPr>
        <w:t>926</w:t>
      </w:r>
      <w:r>
        <w:rPr>
          <w:rFonts w:hint="default" w:ascii="Times New Roman" w:hAnsi="Times New Roman" w:eastAsia="仿宋_GB2312" w:cs="Times New Roman"/>
          <w:color w:val="auto"/>
          <w:sz w:val="32"/>
          <w:szCs w:val="32"/>
          <w:rtl w:val="0"/>
          <w:lang w:val="zh-TW" w:eastAsia="zh-TW"/>
        </w:rPr>
        <w:t>户，主要改造内容为小区屋面防水修复，外墙瓷砖修缮，单元楼道内墙面修缮及安全栏杆更换，改建露天停车场，景观绿化提升改造，新建社区综合服务中兴</w:t>
      </w:r>
      <w:r>
        <w:rPr>
          <w:rFonts w:hint="default" w:ascii="Times New Roman" w:hAnsi="Times New Roman" w:eastAsia="仿宋_GB2312" w:cs="Times New Roman"/>
          <w:color w:val="auto"/>
          <w:sz w:val="32"/>
          <w:szCs w:val="32"/>
          <w:rtl w:val="0"/>
          <w:lang w:val="en-US" w:eastAsia="zh-TW"/>
        </w:rPr>
        <w:t>1</w:t>
      </w:r>
      <w:r>
        <w:rPr>
          <w:rFonts w:hint="default" w:ascii="Times New Roman" w:hAnsi="Times New Roman" w:eastAsia="仿宋_GB2312" w:cs="Times New Roman"/>
          <w:color w:val="auto"/>
          <w:sz w:val="32"/>
          <w:szCs w:val="32"/>
          <w:rtl w:val="0"/>
          <w:lang w:val="zh-TW" w:eastAsia="zh-TW"/>
        </w:rPr>
        <w:t>栋等内容。</w:t>
      </w:r>
      <w:r>
        <w:rPr>
          <w:rFonts w:hint="default" w:ascii="Times New Roman" w:hAnsi="Times New Roman" w:eastAsia="仿宋_GB2312" w:cs="Times New Roman"/>
          <w:color w:val="auto"/>
          <w:sz w:val="32"/>
          <w:szCs w:val="32"/>
          <w:rtl w:val="0"/>
          <w:lang w:val="en-US" w:eastAsia="zh-TW"/>
        </w:rPr>
        <w:t>2022</w:t>
      </w:r>
      <w:r>
        <w:rPr>
          <w:rFonts w:hint="default" w:ascii="Times New Roman" w:hAnsi="Times New Roman" w:eastAsia="仿宋_GB2312" w:cs="Times New Roman"/>
          <w:color w:val="auto"/>
          <w:sz w:val="32"/>
          <w:szCs w:val="32"/>
          <w:rtl w:val="0"/>
          <w:lang w:val="zh-TW" w:eastAsia="zh-TW"/>
        </w:rPr>
        <w:t>年</w:t>
      </w:r>
      <w:r>
        <w:rPr>
          <w:rFonts w:hint="default" w:ascii="Times New Roman" w:hAnsi="Times New Roman" w:eastAsia="仿宋_GB2312" w:cs="Times New Roman"/>
          <w:color w:val="auto"/>
          <w:sz w:val="32"/>
          <w:szCs w:val="32"/>
          <w:rtl w:val="0"/>
          <w:lang w:val="en-US" w:eastAsia="zh-TW"/>
        </w:rPr>
        <w:t>4</w:t>
      </w:r>
      <w:r>
        <w:rPr>
          <w:rFonts w:hint="default" w:ascii="Times New Roman" w:hAnsi="Times New Roman" w:eastAsia="仿宋_GB2312" w:cs="Times New Roman"/>
          <w:color w:val="auto"/>
          <w:sz w:val="32"/>
          <w:szCs w:val="32"/>
          <w:rtl w:val="0"/>
          <w:lang w:val="zh-TW" w:eastAsia="zh-TW"/>
        </w:rPr>
        <w:t>月开始项目的科研编制、立项审批工作</w:t>
      </w:r>
      <w:r>
        <w:rPr>
          <w:rFonts w:hint="default" w:ascii="Times New Roman" w:hAnsi="Times New Roman" w:eastAsia="仿宋_GB2312" w:cs="Times New Roman"/>
          <w:color w:val="auto"/>
          <w:sz w:val="32"/>
          <w:szCs w:val="32"/>
          <w:rtl w:val="0"/>
          <w:lang w:val="zh-TW" w:eastAsia="zh-CN"/>
        </w:rPr>
        <w:t>，</w:t>
      </w:r>
      <w:r>
        <w:rPr>
          <w:rFonts w:hint="default" w:ascii="Times New Roman" w:hAnsi="Times New Roman" w:eastAsia="仿宋_GB2312" w:cs="Times New Roman"/>
          <w:color w:val="auto"/>
          <w:sz w:val="32"/>
          <w:szCs w:val="32"/>
          <w:rtl w:val="0"/>
          <w:lang w:val="en-US" w:eastAsia="zh-CN"/>
        </w:rPr>
        <w:t>家盛巷小区工程已初见成效预计明年1月完工，其余两个小区已完成招标准备工程器械入场工作</w:t>
      </w:r>
      <w:r>
        <w:rPr>
          <w:rFonts w:hint="default" w:ascii="Times New Roman" w:hAnsi="Times New Roman" w:eastAsia="仿宋_GB2312" w:cs="Times New Roman"/>
          <w:color w:val="auto"/>
          <w:sz w:val="32"/>
          <w:szCs w:val="32"/>
          <w:rtl w:val="0"/>
          <w:lang w:val="zh-TW" w:eastAsia="zh-TW"/>
        </w:rPr>
        <w:t>。</w:t>
      </w:r>
    </w:p>
    <w:p w14:paraId="687B8D54">
      <w:pPr>
        <w:keepNext w:val="0"/>
        <w:keepLines w:val="0"/>
        <w:pageBreakBefore w:val="0"/>
        <w:kinsoku/>
        <w:wordWrap/>
        <w:overflowPunct/>
        <w:topLinePunct w:val="0"/>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color w:val="auto"/>
          <w:sz w:val="32"/>
          <w:szCs w:val="32"/>
          <w:rtl w:val="0"/>
          <w:lang w:val="zh-CN" w:eastAsia="zh-TW"/>
        </w:rPr>
      </w:pPr>
      <w:r>
        <w:rPr>
          <w:rFonts w:hint="default" w:ascii="Times New Roman" w:hAnsi="Times New Roman" w:eastAsia="仿宋_GB2312" w:cs="Times New Roman"/>
          <w:b/>
          <w:bCs/>
          <w:color w:val="auto"/>
          <w:sz w:val="32"/>
          <w:szCs w:val="32"/>
          <w:rtl w:val="0"/>
          <w:lang w:val="en-US" w:eastAsia="zh-CN"/>
        </w:rPr>
        <w:t>（6）真抓实干，促进小区自治。</w:t>
      </w:r>
      <w:r>
        <w:rPr>
          <w:rFonts w:hint="default" w:ascii="Times New Roman" w:hAnsi="Times New Roman" w:eastAsia="仿宋_GB2312" w:cs="Times New Roman"/>
          <w:b/>
          <w:bCs/>
          <w:color w:val="auto"/>
          <w:sz w:val="32"/>
          <w:szCs w:val="32"/>
          <w:rtl w:val="0"/>
          <w:lang w:val="zh-TW" w:eastAsia="zh-TW"/>
        </w:rPr>
        <w:t>一是创新“你提我办”，建立志愿服务快速反应机制。</w:t>
      </w:r>
      <w:r>
        <w:rPr>
          <w:rFonts w:hint="default" w:ascii="Times New Roman" w:hAnsi="Times New Roman" w:eastAsia="仿宋_GB2312" w:cs="Times New Roman"/>
          <w:color w:val="auto"/>
          <w:sz w:val="32"/>
          <w:szCs w:val="32"/>
          <w:rtl w:val="0"/>
          <w:lang w:val="zh-TW" w:eastAsia="zh-TW"/>
        </w:rPr>
        <w:t>依托社区GIS数字化管理、西区“社区通”APP、网格信息系统等平台，组织“邻里帮帮团”等25支邻里志愿服务队开展各类“快反”志愿服务活动120余次，解决邻里“烦心事”。</w:t>
      </w:r>
      <w:r>
        <w:rPr>
          <w:rFonts w:hint="default" w:ascii="Times New Roman" w:hAnsi="Times New Roman" w:eastAsia="仿宋_GB2312" w:cs="Times New Roman"/>
          <w:b/>
          <w:bCs/>
          <w:color w:val="auto"/>
          <w:sz w:val="32"/>
          <w:szCs w:val="32"/>
          <w:rtl w:val="0"/>
          <w:lang w:val="zh-TW" w:eastAsia="zh-TW"/>
        </w:rPr>
        <w:t>二是强化联动机制，提升治理水平。</w:t>
      </w:r>
      <w:r>
        <w:rPr>
          <w:rFonts w:hint="default" w:ascii="Times New Roman" w:hAnsi="Times New Roman" w:eastAsia="仿宋_GB2312" w:cs="Times New Roman"/>
          <w:color w:val="auto"/>
          <w:sz w:val="32"/>
          <w:szCs w:val="32"/>
          <w:rtl w:val="0"/>
          <w:lang w:val="zh-TW" w:eastAsia="zh-TW"/>
        </w:rPr>
        <w:t>联动30余家共建单位参与社区治理服务，就业创业联扶、民生保障联帮、服务群众联做、资源阵地联用等活动，联合多方力量顺利关停宝鼎馨苑小区自发交易点，共劝导劝离群众300余人，接待信访群众246人、信访摊贩15人，化解矛盾纠纷10余次。</w:t>
      </w:r>
      <w:r>
        <w:rPr>
          <w:rFonts w:hint="default" w:ascii="Times New Roman" w:hAnsi="Times New Roman" w:eastAsia="仿宋_GB2312" w:cs="Times New Roman"/>
          <w:b/>
          <w:bCs/>
          <w:color w:val="auto"/>
          <w:sz w:val="32"/>
          <w:szCs w:val="32"/>
          <w:rtl w:val="0"/>
          <w:lang w:val="zh-TW" w:eastAsia="zh-TW"/>
        </w:rPr>
        <w:t>三是切实为民服务，激发治理活力。</w:t>
      </w:r>
      <w:r>
        <w:rPr>
          <w:rFonts w:hint="default" w:ascii="Times New Roman" w:hAnsi="Times New Roman" w:eastAsia="仿宋_GB2312" w:cs="Times New Roman"/>
          <w:color w:val="auto"/>
          <w:sz w:val="32"/>
          <w:szCs w:val="32"/>
          <w:rtl w:val="0"/>
          <w:lang w:val="zh-TW" w:eastAsia="zh-TW"/>
        </w:rPr>
        <w:t>为提升辖区居民自治水平，促进形成居民自我管理、自我教育、自我服务、自我监督的良好局面，街道指导辖区成建制小区成立业委会3个，自管委4个，未成建制小区成立居民议事会2个，正在筹备自管委2个，议事会1个。大力实施“温暖人社”行动，组织网络招聘会2场，推荐上岗就业3人；开展端午走访慰问，为280余户困难、高龄群体送去5600余个粽子；依托小区自治组织、小微协商、共建共治、院落坝坝会等方式，切实围绕环境美化、路灯亮化、路面硬化、政策解读等民生关切，为民办实事170余件。</w:t>
      </w:r>
    </w:p>
    <w:p w14:paraId="7022C176">
      <w:pPr>
        <w:widowControl/>
        <w:numPr>
          <w:ilvl w:val="0"/>
          <w:numId w:val="3"/>
        </w:numPr>
        <w:adjustRightInd w:val="0"/>
        <w:snapToGrid w:val="0"/>
        <w:spacing w:line="560" w:lineRule="exact"/>
        <w:ind w:left="0" w:leftChars="0"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部门整体支出绩效目标。</w:t>
      </w:r>
    </w:p>
    <w:p w14:paraId="10B2716B">
      <w:pPr>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2022年街办整体支出绩效自查自评结果量化，全年</w:t>
      </w:r>
      <w:r>
        <w:rPr>
          <w:rFonts w:hint="default" w:ascii="Times New Roman" w:hAnsi="Times New Roman" w:eastAsia="仿宋_GB2312" w:cs="Times New Roman"/>
          <w:color w:val="auto"/>
          <w:kern w:val="0"/>
          <w:sz w:val="32"/>
          <w:szCs w:val="32"/>
          <w:shd w:val="clear" w:color="auto" w:fill="FFFFFF"/>
          <w:lang w:val="zh-CN"/>
        </w:rPr>
        <w:t>贯彻落实过紧日子的要求，公用支出保证了部门的正常运转，项目支出保障了重点工作的开展</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shd w:val="clear" w:color="auto" w:fill="FFFFFF"/>
          <w:lang w:val="zh-CN"/>
        </w:rPr>
        <w:t>2022年在职人员控制率为95.45%，较2021年上升2个百分点，在编制控制范围内。“三公经费”控制率75%，公务接待经费结余，控制较好；受汽油价格上涨的影响，公务用车燃油费使用完毕，预算执行率为100%。部门整体预算执行率为99.99%，执行率较高，其中公用经费控制率超100%，机关落实过紧日子的要求，按期支付日常公用经费，鼓励使用公务卡结算，严控会务、培训、差旅等公务事项审批，加强内部控制管理，推行无纸化办公，开展能耗分析，节约水电费，各项公用经费得到了大幅压减。</w:t>
      </w:r>
    </w:p>
    <w:p w14:paraId="35A1F7A3">
      <w:pPr>
        <w:widowControl/>
        <w:adjustRightInd w:val="0"/>
        <w:snapToGrid w:val="0"/>
        <w:spacing w:line="560" w:lineRule="exact"/>
        <w:ind w:firstLine="640" w:firstLineChars="200"/>
        <w:contextualSpacing/>
        <w:jc w:val="left"/>
        <w:rPr>
          <w:rFonts w:hint="default" w:ascii="Times New Roman" w:hAnsi="Times New Roman" w:eastAsia="黑体" w:cs="Times New Roman"/>
          <w:color w:val="auto"/>
          <w:kern w:val="0"/>
          <w:sz w:val="32"/>
          <w:szCs w:val="32"/>
          <w:shd w:val="clear" w:color="auto" w:fill="FFFFFF"/>
        </w:rPr>
      </w:pPr>
      <w:bookmarkStart w:id="73" w:name="_Toc9736_WPSOffice_Level2"/>
      <w:bookmarkStart w:id="74" w:name="_Toc13915_WPSOffice_Level2"/>
      <w:bookmarkStart w:id="75" w:name="_Toc4177_WPSOffice_Level2"/>
      <w:r>
        <w:rPr>
          <w:rFonts w:hint="default" w:ascii="Times New Roman" w:hAnsi="Times New Roman" w:eastAsia="黑体" w:cs="Times New Roman"/>
          <w:color w:val="auto"/>
          <w:kern w:val="0"/>
          <w:sz w:val="32"/>
          <w:szCs w:val="32"/>
          <w:shd w:val="clear" w:color="auto" w:fill="FFFFFF"/>
        </w:rPr>
        <w:t>二、部门资金收支情况</w:t>
      </w:r>
      <w:bookmarkEnd w:id="73"/>
      <w:bookmarkEnd w:id="74"/>
      <w:bookmarkEnd w:id="75"/>
    </w:p>
    <w:p w14:paraId="49F95431">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（一）部门总体收支情况。</w:t>
      </w:r>
    </w:p>
    <w:p w14:paraId="4EB57418">
      <w:pPr>
        <w:widowControl/>
        <w:adjustRightInd w:val="0"/>
        <w:snapToGrid w:val="0"/>
        <w:spacing w:line="56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1.部门总体收入情况</w:t>
      </w:r>
    </w:p>
    <w:p w14:paraId="076C9A9B">
      <w:pPr>
        <w:spacing w:line="600" w:lineRule="exact"/>
        <w:ind w:firstLine="640" w:firstLineChars="20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2022年全年预算收入</w:t>
      </w:r>
      <w:r>
        <w:rPr>
          <w:rFonts w:hint="default" w:ascii="Times New Roman" w:hAnsi="Times New Roman" w:eastAsia="仿宋_GB2312" w:cs="Times New Roman"/>
          <w:color w:val="auto"/>
          <w:kern w:val="0"/>
          <w:sz w:val="32"/>
          <w:szCs w:val="32"/>
          <w:shd w:val="clear" w:color="auto" w:fill="FFFFFF"/>
          <w:lang w:val="zh-CN" w:eastAsia="zh-CN"/>
        </w:rPr>
        <w:t>1089.86</w:t>
      </w:r>
      <w:r>
        <w:rPr>
          <w:rFonts w:hint="default" w:ascii="Times New Roman" w:hAnsi="Times New Roman" w:eastAsia="仿宋_GB2312" w:cs="Times New Roman"/>
          <w:color w:val="auto"/>
          <w:kern w:val="0"/>
          <w:sz w:val="32"/>
          <w:szCs w:val="32"/>
          <w:shd w:val="clear" w:color="auto" w:fill="FFFFFF"/>
          <w:lang w:val="zh-CN"/>
        </w:rPr>
        <w:t>万元，较去年增加</w:t>
      </w:r>
      <w:r>
        <w:rPr>
          <w:rFonts w:hint="default" w:ascii="Times New Roman" w:hAnsi="Times New Roman" w:eastAsia="仿宋_GB2312" w:cs="Times New Roman"/>
          <w:color w:val="auto"/>
          <w:kern w:val="0"/>
          <w:sz w:val="32"/>
          <w:szCs w:val="32"/>
          <w:shd w:val="clear" w:color="auto" w:fill="FFFFFF"/>
          <w:lang w:val="en-US" w:eastAsia="zh-CN"/>
        </w:rPr>
        <w:t>236.86</w:t>
      </w:r>
      <w:r>
        <w:rPr>
          <w:rFonts w:hint="default" w:ascii="Times New Roman" w:hAnsi="Times New Roman" w:eastAsia="仿宋_GB2312" w:cs="Times New Roman"/>
          <w:color w:val="auto"/>
          <w:kern w:val="0"/>
          <w:sz w:val="32"/>
          <w:szCs w:val="32"/>
          <w:shd w:val="clear" w:color="auto" w:fill="FFFFFF"/>
          <w:lang w:val="zh-CN"/>
        </w:rPr>
        <w:t>万元，同比增加</w:t>
      </w:r>
      <w:r>
        <w:rPr>
          <w:rFonts w:hint="default" w:ascii="Times New Roman" w:hAnsi="Times New Roman" w:eastAsia="仿宋_GB2312" w:cs="Times New Roman"/>
          <w:color w:val="auto"/>
          <w:kern w:val="0"/>
          <w:sz w:val="32"/>
          <w:szCs w:val="32"/>
          <w:shd w:val="clear" w:color="auto" w:fill="FFFFFF"/>
          <w:lang w:val="en-US" w:eastAsia="zh-CN"/>
        </w:rPr>
        <w:t>27.77%</w:t>
      </w:r>
      <w:r>
        <w:rPr>
          <w:rFonts w:hint="default" w:ascii="Times New Roman" w:hAnsi="Times New Roman" w:eastAsia="仿宋_GB2312" w:cs="Times New Roman"/>
          <w:color w:val="auto"/>
          <w:kern w:val="0"/>
          <w:sz w:val="32"/>
          <w:szCs w:val="32"/>
          <w:shd w:val="clear" w:color="auto" w:fill="FFFFFF"/>
          <w:lang w:val="zh-CN"/>
        </w:rPr>
        <w:t>；2022年初财政预算收入下达285</w:t>
      </w:r>
      <w:r>
        <w:rPr>
          <w:rFonts w:hint="default" w:ascii="Times New Roman" w:hAnsi="Times New Roman" w:eastAsia="仿宋_GB2312" w:cs="Times New Roman"/>
          <w:color w:val="auto"/>
          <w:kern w:val="0"/>
          <w:sz w:val="32"/>
          <w:szCs w:val="32"/>
          <w:shd w:val="clear" w:color="auto" w:fill="FFFFFF"/>
          <w:lang w:val="en-US" w:eastAsia="zh-CN"/>
        </w:rPr>
        <w:t>.90</w:t>
      </w:r>
      <w:r>
        <w:rPr>
          <w:rFonts w:hint="default" w:ascii="Times New Roman" w:hAnsi="Times New Roman" w:eastAsia="仿宋_GB2312" w:cs="Times New Roman"/>
          <w:color w:val="auto"/>
          <w:kern w:val="0"/>
          <w:sz w:val="32"/>
          <w:szCs w:val="32"/>
          <w:shd w:val="clear" w:color="auto" w:fill="FFFFFF"/>
          <w:lang w:val="zh-CN"/>
        </w:rPr>
        <w:t>万元，年中经费追加下达</w:t>
      </w:r>
      <w:r>
        <w:rPr>
          <w:rFonts w:hint="default" w:ascii="Times New Roman" w:hAnsi="Times New Roman" w:eastAsia="仿宋_GB2312" w:cs="Times New Roman"/>
          <w:color w:val="auto"/>
          <w:kern w:val="0"/>
          <w:sz w:val="32"/>
          <w:szCs w:val="32"/>
          <w:shd w:val="clear" w:color="auto" w:fill="FFFFFF"/>
          <w:lang w:val="en-US" w:eastAsia="zh-CN"/>
        </w:rPr>
        <w:t>903.96</w:t>
      </w:r>
      <w:r>
        <w:rPr>
          <w:rFonts w:hint="default" w:ascii="Times New Roman" w:hAnsi="Times New Roman" w:eastAsia="仿宋_GB2312" w:cs="Times New Roman"/>
          <w:color w:val="auto"/>
          <w:kern w:val="0"/>
          <w:sz w:val="32"/>
          <w:szCs w:val="32"/>
          <w:shd w:val="clear" w:color="auto" w:fill="FFFFFF"/>
          <w:lang w:val="zh-CN"/>
        </w:rPr>
        <w:t>万元，</w:t>
      </w:r>
      <w:r>
        <w:rPr>
          <w:rFonts w:hint="default" w:ascii="Times New Roman" w:hAnsi="Times New Roman" w:eastAsia="仿宋_GB2312" w:cs="Times New Roman"/>
          <w:color w:val="auto"/>
          <w:kern w:val="0"/>
          <w:sz w:val="32"/>
          <w:szCs w:val="32"/>
          <w:shd w:val="clear" w:color="auto" w:fill="FFFFFF"/>
          <w:lang w:val="zh-CN" w:eastAsia="zh-CN"/>
        </w:rPr>
        <w:t>其中</w:t>
      </w:r>
      <w:r>
        <w:rPr>
          <w:rFonts w:hint="default" w:ascii="Times New Roman" w:hAnsi="Times New Roman" w:eastAsia="仿宋_GB2312" w:cs="Times New Roman"/>
          <w:color w:val="auto"/>
          <w:kern w:val="0"/>
          <w:sz w:val="32"/>
          <w:szCs w:val="32"/>
          <w:shd w:val="clear" w:color="auto" w:fill="FFFFFF"/>
          <w:lang w:val="zh-CN"/>
        </w:rPr>
        <w:t>人员经费追加下达</w:t>
      </w:r>
      <w:r>
        <w:rPr>
          <w:rFonts w:hint="default" w:ascii="Times New Roman" w:hAnsi="Times New Roman" w:eastAsia="仿宋_GB2312" w:cs="Times New Roman"/>
          <w:color w:val="auto"/>
          <w:kern w:val="0"/>
          <w:sz w:val="32"/>
          <w:szCs w:val="32"/>
          <w:shd w:val="clear" w:color="auto" w:fill="FFFFFF"/>
          <w:lang w:val="en-US" w:eastAsia="zh-CN"/>
        </w:rPr>
        <w:t>253.13</w:t>
      </w:r>
      <w:r>
        <w:rPr>
          <w:rFonts w:hint="default" w:ascii="Times New Roman" w:hAnsi="Times New Roman" w:eastAsia="仿宋_GB2312" w:cs="Times New Roman"/>
          <w:color w:val="auto"/>
          <w:kern w:val="0"/>
          <w:sz w:val="32"/>
          <w:szCs w:val="32"/>
          <w:shd w:val="clear" w:color="auto" w:fill="FFFFFF"/>
          <w:lang w:val="zh-CN"/>
        </w:rPr>
        <w:t>万元，公用经费追减</w:t>
      </w:r>
      <w:r>
        <w:rPr>
          <w:rFonts w:hint="default" w:ascii="Times New Roman" w:hAnsi="Times New Roman" w:eastAsia="仿宋_GB2312" w:cs="Times New Roman"/>
          <w:color w:val="auto"/>
          <w:kern w:val="0"/>
          <w:sz w:val="32"/>
          <w:szCs w:val="32"/>
          <w:shd w:val="clear" w:color="auto" w:fill="FFFFFF"/>
          <w:lang w:val="en-US" w:eastAsia="zh-CN"/>
        </w:rPr>
        <w:t>5.43</w:t>
      </w:r>
      <w:r>
        <w:rPr>
          <w:rFonts w:hint="default" w:ascii="Times New Roman" w:hAnsi="Times New Roman" w:eastAsia="仿宋_GB2312" w:cs="Times New Roman"/>
          <w:color w:val="auto"/>
          <w:kern w:val="0"/>
          <w:sz w:val="32"/>
          <w:szCs w:val="32"/>
          <w:shd w:val="clear" w:color="auto" w:fill="FFFFFF"/>
          <w:lang w:val="zh-CN"/>
        </w:rPr>
        <w:t>万元；项目经费追加下达</w:t>
      </w:r>
      <w:r>
        <w:rPr>
          <w:rFonts w:hint="default" w:ascii="Times New Roman" w:hAnsi="Times New Roman" w:eastAsia="仿宋_GB2312" w:cs="Times New Roman"/>
          <w:color w:val="auto"/>
          <w:kern w:val="0"/>
          <w:sz w:val="32"/>
          <w:szCs w:val="32"/>
          <w:shd w:val="clear" w:color="auto" w:fill="FFFFFF"/>
          <w:lang w:val="en-US" w:eastAsia="zh-CN"/>
        </w:rPr>
        <w:t>656.26</w:t>
      </w:r>
      <w:r>
        <w:rPr>
          <w:rFonts w:hint="default" w:ascii="Times New Roman" w:hAnsi="Times New Roman" w:eastAsia="仿宋_GB2312" w:cs="Times New Roman"/>
          <w:color w:val="auto"/>
          <w:kern w:val="0"/>
          <w:sz w:val="32"/>
          <w:szCs w:val="32"/>
          <w:shd w:val="clear" w:color="auto" w:fill="FFFFFF"/>
          <w:lang w:val="zh-CN"/>
        </w:rPr>
        <w:t>万元，调增结余资金19</w:t>
      </w:r>
      <w:r>
        <w:rPr>
          <w:rFonts w:hint="default" w:ascii="Times New Roman" w:hAnsi="Times New Roman" w:eastAsia="仿宋_GB2312" w:cs="Times New Roman"/>
          <w:color w:val="auto"/>
          <w:kern w:val="0"/>
          <w:sz w:val="32"/>
          <w:szCs w:val="32"/>
          <w:shd w:val="clear" w:color="auto" w:fill="FFFFFF"/>
          <w:lang w:val="en-US" w:eastAsia="zh-CN"/>
        </w:rPr>
        <w:t>.</w:t>
      </w:r>
      <w:r>
        <w:rPr>
          <w:rFonts w:hint="default" w:ascii="Times New Roman" w:hAnsi="Times New Roman" w:eastAsia="仿宋_GB2312" w:cs="Times New Roman"/>
          <w:color w:val="auto"/>
          <w:kern w:val="0"/>
          <w:sz w:val="32"/>
          <w:szCs w:val="32"/>
          <w:shd w:val="clear" w:color="auto" w:fill="FFFFFF"/>
          <w:lang w:val="zh-CN"/>
        </w:rPr>
        <w:t>1</w:t>
      </w:r>
      <w:r>
        <w:rPr>
          <w:rFonts w:hint="default" w:ascii="Times New Roman" w:hAnsi="Times New Roman" w:eastAsia="仿宋_GB2312" w:cs="Times New Roman"/>
          <w:color w:val="auto"/>
          <w:kern w:val="0"/>
          <w:sz w:val="32"/>
          <w:szCs w:val="32"/>
          <w:shd w:val="clear" w:color="auto" w:fill="FFFFFF"/>
          <w:lang w:val="en-US" w:eastAsia="zh-CN"/>
        </w:rPr>
        <w:t>9</w:t>
      </w:r>
      <w:r>
        <w:rPr>
          <w:rFonts w:hint="default" w:ascii="Times New Roman" w:hAnsi="Times New Roman" w:eastAsia="仿宋_GB2312" w:cs="Times New Roman"/>
          <w:color w:val="auto"/>
          <w:kern w:val="0"/>
          <w:sz w:val="32"/>
          <w:szCs w:val="32"/>
          <w:shd w:val="clear" w:color="auto" w:fill="FFFFFF"/>
          <w:lang w:val="zh-CN"/>
        </w:rPr>
        <w:t>万元。</w:t>
      </w:r>
    </w:p>
    <w:p w14:paraId="2973004E">
      <w:pPr>
        <w:widowControl/>
        <w:numPr>
          <w:ilvl w:val="0"/>
          <w:numId w:val="4"/>
        </w:numPr>
        <w:adjustRightInd w:val="0"/>
        <w:snapToGrid w:val="0"/>
        <w:spacing w:line="56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部门总体支出情况</w:t>
      </w:r>
    </w:p>
    <w:p w14:paraId="332AE3EA">
      <w:pPr>
        <w:spacing w:line="600" w:lineRule="exact"/>
        <w:ind w:firstLine="640" w:firstLineChars="200"/>
        <w:rPr>
          <w:rFonts w:hint="default" w:ascii="Times New Roman" w:hAnsi="Times New Roman" w:eastAsia="仿宋_GB2312" w:cs="Times New Roman"/>
          <w:color w:val="auto"/>
          <w:kern w:val="0"/>
          <w:sz w:val="32"/>
          <w:szCs w:val="32"/>
          <w:shd w:val="clear" w:color="auto" w:fill="FFFFFF"/>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2022年部门全年支出</w:t>
      </w:r>
      <w:r>
        <w:rPr>
          <w:rFonts w:hint="default" w:ascii="Times New Roman" w:hAnsi="Times New Roman" w:eastAsia="仿宋_GB2312" w:cs="Times New Roman"/>
          <w:color w:val="auto"/>
          <w:kern w:val="0"/>
          <w:sz w:val="32"/>
          <w:szCs w:val="32"/>
          <w:shd w:val="clear" w:color="auto" w:fill="FFFFFF"/>
          <w:lang w:val="zh-CN" w:eastAsia="zh-CN"/>
        </w:rPr>
        <w:t>1089.86万元，较去年增加支出</w:t>
      </w:r>
      <w:r>
        <w:rPr>
          <w:rFonts w:hint="default" w:ascii="Times New Roman" w:hAnsi="Times New Roman" w:eastAsia="仿宋_GB2312" w:cs="Times New Roman"/>
          <w:color w:val="auto"/>
          <w:kern w:val="0"/>
          <w:sz w:val="32"/>
          <w:szCs w:val="32"/>
          <w:shd w:val="clear" w:color="auto" w:fill="FFFFFF"/>
          <w:lang w:val="en-US" w:eastAsia="zh-CN"/>
        </w:rPr>
        <w:t>236.86</w:t>
      </w:r>
      <w:r>
        <w:rPr>
          <w:rFonts w:hint="default" w:ascii="Times New Roman" w:hAnsi="Times New Roman" w:eastAsia="仿宋_GB2312" w:cs="Times New Roman"/>
          <w:color w:val="auto"/>
          <w:kern w:val="0"/>
          <w:sz w:val="32"/>
          <w:szCs w:val="32"/>
          <w:shd w:val="clear" w:color="auto" w:fill="FFFFFF"/>
          <w:lang w:val="zh-CN" w:eastAsia="zh-CN"/>
        </w:rPr>
        <w:t>万元，同比增加</w:t>
      </w:r>
      <w:r>
        <w:rPr>
          <w:rFonts w:hint="default" w:ascii="Times New Roman" w:hAnsi="Times New Roman" w:eastAsia="仿宋_GB2312" w:cs="Times New Roman"/>
          <w:color w:val="auto"/>
          <w:kern w:val="0"/>
          <w:sz w:val="32"/>
          <w:szCs w:val="32"/>
          <w:shd w:val="clear" w:color="auto" w:fill="FFFFFF"/>
          <w:lang w:val="en-US" w:eastAsia="zh-CN"/>
        </w:rPr>
        <w:t>27.77%</w:t>
      </w:r>
      <w:r>
        <w:rPr>
          <w:rFonts w:hint="default" w:ascii="Times New Roman" w:hAnsi="Times New Roman" w:eastAsia="仿宋_GB2312" w:cs="Times New Roman"/>
          <w:color w:val="auto"/>
          <w:kern w:val="0"/>
          <w:sz w:val="32"/>
          <w:szCs w:val="32"/>
          <w:shd w:val="clear" w:color="auto" w:fill="FFFFFF"/>
          <w:lang w:val="zh-CN" w:eastAsia="zh-CN"/>
        </w:rPr>
        <w:t>，其中人员经费支出627</w:t>
      </w:r>
      <w:r>
        <w:rPr>
          <w:rFonts w:hint="default" w:ascii="Times New Roman" w:hAnsi="Times New Roman" w:eastAsia="仿宋_GB2312" w:cs="Times New Roman"/>
          <w:color w:val="auto"/>
          <w:kern w:val="0"/>
          <w:sz w:val="32"/>
          <w:szCs w:val="32"/>
          <w:shd w:val="clear" w:color="auto" w:fill="FFFFFF"/>
          <w:lang w:val="en-US" w:eastAsia="zh-CN"/>
        </w:rPr>
        <w:t>.</w:t>
      </w:r>
      <w:r>
        <w:rPr>
          <w:rFonts w:hint="default" w:ascii="Times New Roman" w:hAnsi="Times New Roman" w:eastAsia="仿宋_GB2312" w:cs="Times New Roman"/>
          <w:color w:val="auto"/>
          <w:kern w:val="0"/>
          <w:sz w:val="32"/>
          <w:szCs w:val="32"/>
          <w:shd w:val="clear" w:color="auto" w:fill="FFFFFF"/>
          <w:lang w:val="zh-CN" w:eastAsia="zh-CN"/>
        </w:rPr>
        <w:t>6</w:t>
      </w:r>
      <w:r>
        <w:rPr>
          <w:rFonts w:hint="default" w:ascii="Times New Roman" w:hAnsi="Times New Roman" w:eastAsia="仿宋_GB2312" w:cs="Times New Roman"/>
          <w:color w:val="auto"/>
          <w:kern w:val="0"/>
          <w:sz w:val="32"/>
          <w:szCs w:val="32"/>
          <w:shd w:val="clear" w:color="auto" w:fill="FFFFFF"/>
          <w:lang w:val="en-US" w:eastAsia="zh-CN"/>
        </w:rPr>
        <w:t>9</w:t>
      </w:r>
      <w:r>
        <w:rPr>
          <w:rFonts w:hint="default" w:ascii="Times New Roman" w:hAnsi="Times New Roman" w:eastAsia="仿宋_GB2312" w:cs="Times New Roman"/>
          <w:color w:val="auto"/>
          <w:kern w:val="0"/>
          <w:sz w:val="32"/>
          <w:szCs w:val="32"/>
          <w:shd w:val="clear" w:color="auto" w:fill="FFFFFF"/>
          <w:lang w:val="zh-CN" w:eastAsia="zh-CN"/>
        </w:rPr>
        <w:t>万元，较去年增加支出</w:t>
      </w:r>
      <w:r>
        <w:rPr>
          <w:rFonts w:hint="default" w:ascii="Times New Roman" w:hAnsi="Times New Roman" w:eastAsia="仿宋_GB2312" w:cs="Times New Roman"/>
          <w:color w:val="auto"/>
          <w:kern w:val="0"/>
          <w:sz w:val="32"/>
          <w:szCs w:val="32"/>
          <w:shd w:val="clear" w:color="auto" w:fill="FFFFFF"/>
          <w:lang w:val="en-US" w:eastAsia="zh-CN"/>
        </w:rPr>
        <w:t>34.78</w:t>
      </w:r>
      <w:r>
        <w:rPr>
          <w:rFonts w:hint="default" w:ascii="Times New Roman" w:hAnsi="Times New Roman" w:eastAsia="仿宋_GB2312" w:cs="Times New Roman"/>
          <w:color w:val="auto"/>
          <w:kern w:val="0"/>
          <w:sz w:val="32"/>
          <w:szCs w:val="32"/>
          <w:shd w:val="clear" w:color="auto" w:fill="FFFFFF"/>
          <w:lang w:val="zh-CN" w:eastAsia="zh-CN"/>
        </w:rPr>
        <w:t>万元，同比增长</w:t>
      </w:r>
      <w:r>
        <w:rPr>
          <w:rFonts w:hint="default" w:ascii="Times New Roman" w:hAnsi="Times New Roman" w:eastAsia="仿宋_GB2312" w:cs="Times New Roman"/>
          <w:color w:val="auto"/>
          <w:kern w:val="0"/>
          <w:sz w:val="32"/>
          <w:szCs w:val="32"/>
          <w:shd w:val="clear" w:color="auto" w:fill="FFFFFF"/>
          <w:lang w:val="en-US" w:eastAsia="zh-CN"/>
        </w:rPr>
        <w:t>5.87</w:t>
      </w:r>
      <w:r>
        <w:rPr>
          <w:rFonts w:hint="default" w:ascii="Times New Roman" w:hAnsi="Times New Roman" w:eastAsia="仿宋_GB2312" w:cs="Times New Roman"/>
          <w:color w:val="auto"/>
          <w:kern w:val="0"/>
          <w:sz w:val="32"/>
          <w:szCs w:val="32"/>
          <w:shd w:val="clear" w:color="auto" w:fill="FFFFFF"/>
          <w:lang w:val="zh-CN" w:eastAsia="zh-CN"/>
        </w:rPr>
        <w:t>%；2022年日常公用经费支出22</w:t>
      </w:r>
      <w:r>
        <w:rPr>
          <w:rFonts w:hint="default" w:ascii="Times New Roman" w:hAnsi="Times New Roman" w:eastAsia="仿宋_GB2312" w:cs="Times New Roman"/>
          <w:color w:val="auto"/>
          <w:kern w:val="0"/>
          <w:sz w:val="32"/>
          <w:szCs w:val="32"/>
          <w:shd w:val="clear" w:color="auto" w:fill="FFFFFF"/>
          <w:lang w:val="en-US" w:eastAsia="zh-CN"/>
        </w:rPr>
        <w:t>.</w:t>
      </w:r>
      <w:r>
        <w:rPr>
          <w:rFonts w:hint="default" w:ascii="Times New Roman" w:hAnsi="Times New Roman" w:eastAsia="仿宋_GB2312" w:cs="Times New Roman"/>
          <w:color w:val="auto"/>
          <w:kern w:val="0"/>
          <w:sz w:val="32"/>
          <w:szCs w:val="32"/>
          <w:shd w:val="clear" w:color="auto" w:fill="FFFFFF"/>
          <w:lang w:val="zh-CN" w:eastAsia="zh-CN"/>
        </w:rPr>
        <w:t>8</w:t>
      </w:r>
      <w:r>
        <w:rPr>
          <w:rFonts w:hint="default" w:ascii="Times New Roman" w:hAnsi="Times New Roman" w:eastAsia="仿宋_GB2312" w:cs="Times New Roman"/>
          <w:color w:val="auto"/>
          <w:kern w:val="0"/>
          <w:sz w:val="32"/>
          <w:szCs w:val="32"/>
          <w:shd w:val="clear" w:color="auto" w:fill="FFFFFF"/>
          <w:lang w:val="en-US" w:eastAsia="zh-CN"/>
        </w:rPr>
        <w:t>4</w:t>
      </w:r>
      <w:r>
        <w:rPr>
          <w:rFonts w:hint="default" w:ascii="Times New Roman" w:hAnsi="Times New Roman" w:eastAsia="仿宋_GB2312" w:cs="Times New Roman"/>
          <w:color w:val="auto"/>
          <w:kern w:val="0"/>
          <w:sz w:val="32"/>
          <w:szCs w:val="32"/>
          <w:shd w:val="clear" w:color="auto" w:fill="FFFFFF"/>
          <w:lang w:val="zh-CN" w:eastAsia="zh-CN"/>
        </w:rPr>
        <w:t>万元，较去年减少</w:t>
      </w:r>
      <w:r>
        <w:rPr>
          <w:rFonts w:hint="default" w:ascii="Times New Roman" w:hAnsi="Times New Roman" w:eastAsia="仿宋_GB2312" w:cs="Times New Roman"/>
          <w:color w:val="auto"/>
          <w:kern w:val="0"/>
          <w:sz w:val="32"/>
          <w:szCs w:val="32"/>
          <w:shd w:val="clear" w:color="auto" w:fill="FFFFFF"/>
          <w:lang w:val="en-US" w:eastAsia="zh-CN"/>
        </w:rPr>
        <w:t>7.50</w:t>
      </w:r>
      <w:r>
        <w:rPr>
          <w:rFonts w:hint="default" w:ascii="Times New Roman" w:hAnsi="Times New Roman" w:eastAsia="仿宋_GB2312" w:cs="Times New Roman"/>
          <w:color w:val="auto"/>
          <w:kern w:val="0"/>
          <w:sz w:val="32"/>
          <w:szCs w:val="32"/>
          <w:shd w:val="clear" w:color="auto" w:fill="FFFFFF"/>
          <w:lang w:val="zh-CN" w:eastAsia="zh-CN"/>
        </w:rPr>
        <w:t>万</w:t>
      </w:r>
      <w:r>
        <w:rPr>
          <w:rFonts w:hint="default" w:ascii="Times New Roman" w:hAnsi="Times New Roman" w:eastAsia="仿宋_GB2312" w:cs="Times New Roman"/>
          <w:color w:val="auto"/>
          <w:kern w:val="0"/>
          <w:sz w:val="32"/>
          <w:szCs w:val="32"/>
          <w:shd w:val="clear" w:color="auto" w:fill="FFFFFF"/>
          <w:lang w:val="en-US" w:eastAsia="zh-CN"/>
        </w:rPr>
        <w:t>元，同比减少24.72%；2022年项目经费支出439.33万元，较去年增加209.57万元，同比增长91.21%。</w:t>
      </w:r>
    </w:p>
    <w:p w14:paraId="444B4CBA">
      <w:pPr>
        <w:spacing w:line="600" w:lineRule="exact"/>
        <w:ind w:firstLine="640" w:firstLineChars="20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3.部门总体结转结余情况</w:t>
      </w:r>
    </w:p>
    <w:p w14:paraId="1CFA1C2A">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（二）部门财政拨款收支情况。</w:t>
      </w:r>
    </w:p>
    <w:p w14:paraId="724AE657">
      <w:pPr>
        <w:widowControl/>
        <w:adjustRightInd w:val="0"/>
        <w:snapToGrid w:val="0"/>
        <w:spacing w:line="56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1.部门财政拨款收入情况</w:t>
      </w:r>
    </w:p>
    <w:p w14:paraId="1DE6F5AE">
      <w:pPr>
        <w:snapToGrid w:val="0"/>
        <w:spacing w:line="600" w:lineRule="exact"/>
        <w:ind w:firstLine="640" w:firstLineChars="200"/>
        <w:rPr>
          <w:rFonts w:hint="default" w:ascii="Times New Roman" w:hAnsi="Times New Roman" w:cs="Times New Roman"/>
          <w:color w:val="auto"/>
        </w:rPr>
      </w:pPr>
      <w:r>
        <w:rPr>
          <w:rFonts w:hint="default" w:ascii="Times New Roman" w:hAnsi="Times New Roman" w:eastAsia="仿宋_GB2312" w:cs="Times New Roman"/>
          <w:color w:val="auto"/>
          <w:sz w:val="32"/>
          <w:szCs w:val="32"/>
        </w:rPr>
        <w:t>2022年财政拨款收入年初预算收入</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85</w:t>
      </w:r>
      <w:r>
        <w:rPr>
          <w:rFonts w:hint="default" w:ascii="Times New Roman" w:hAnsi="Times New Roman" w:eastAsia="仿宋_GB2312" w:cs="Times New Roman"/>
          <w:color w:val="auto"/>
          <w:sz w:val="32"/>
          <w:szCs w:val="32"/>
          <w:lang w:val="en-US" w:eastAsia="zh-CN"/>
        </w:rPr>
        <w:t>.90</w:t>
      </w:r>
      <w:r>
        <w:rPr>
          <w:rFonts w:hint="default" w:ascii="Times New Roman" w:hAnsi="Times New Roman" w:eastAsia="仿宋_GB2312" w:cs="Times New Roman"/>
          <w:color w:val="auto"/>
          <w:sz w:val="32"/>
          <w:szCs w:val="32"/>
        </w:rPr>
        <w:t>万元，其中一般公共服务支出预算下达284</w:t>
      </w:r>
      <w:r>
        <w:rPr>
          <w:rFonts w:hint="default" w:ascii="Times New Roman" w:hAnsi="Times New Roman" w:eastAsia="仿宋_GB2312" w:cs="Times New Roman"/>
          <w:color w:val="auto"/>
          <w:sz w:val="32"/>
          <w:szCs w:val="32"/>
          <w:lang w:val="en-US" w:eastAsia="zh-CN"/>
        </w:rPr>
        <w:t>.40</w:t>
      </w:r>
      <w:r>
        <w:rPr>
          <w:rFonts w:hint="default" w:ascii="Times New Roman" w:hAnsi="Times New Roman" w:eastAsia="仿宋_GB2312" w:cs="Times New Roman"/>
          <w:color w:val="auto"/>
          <w:sz w:val="32"/>
          <w:szCs w:val="32"/>
        </w:rPr>
        <w:t>万元，政府性基金预算财政拨款收入下达</w:t>
      </w:r>
      <w:r>
        <w:rPr>
          <w:rFonts w:hint="default" w:ascii="Times New Roman" w:hAnsi="Times New Roman" w:eastAsia="仿宋_GB2312" w:cs="Times New Roman"/>
          <w:color w:val="auto"/>
          <w:sz w:val="32"/>
          <w:szCs w:val="32"/>
          <w:lang w:val="en-US" w:eastAsia="zh-CN"/>
        </w:rPr>
        <w:t>1.50</w:t>
      </w:r>
      <w:r>
        <w:rPr>
          <w:rFonts w:hint="default" w:ascii="Times New Roman" w:hAnsi="Times New Roman" w:eastAsia="仿宋_GB2312" w:cs="Times New Roman"/>
          <w:color w:val="auto"/>
          <w:sz w:val="32"/>
          <w:szCs w:val="32"/>
        </w:rPr>
        <w:t>万元，年初财政拨款特点是突出财政资金保工资、保运转、保民生的基本特点，人员经费占比最大。</w:t>
      </w:r>
    </w:p>
    <w:p w14:paraId="7C534677">
      <w:pPr>
        <w:widowControl/>
        <w:numPr>
          <w:ilvl w:val="0"/>
          <w:numId w:val="0"/>
        </w:numPr>
        <w:adjustRightInd w:val="0"/>
        <w:snapToGrid w:val="0"/>
        <w:spacing w:line="56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lang w:val="en-US" w:eastAsia="zh-CN"/>
        </w:rPr>
        <w:t>2</w:t>
      </w:r>
      <w:r>
        <w:rPr>
          <w:rFonts w:hint="default" w:ascii="Times New Roman" w:hAnsi="Times New Roman" w:eastAsia="仿宋_GB2312" w:cs="Times New Roman"/>
          <w:color w:val="auto"/>
          <w:kern w:val="0"/>
          <w:sz w:val="32"/>
          <w:szCs w:val="32"/>
          <w:shd w:val="clear" w:color="auto" w:fill="FFFFFF"/>
        </w:rPr>
        <w:t>.部门财政拨款支出情况</w:t>
      </w:r>
    </w:p>
    <w:p w14:paraId="35291500">
      <w:pPr>
        <w:spacing w:line="600" w:lineRule="exact"/>
        <w:ind w:firstLine="640" w:firstLineChars="200"/>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zh-CN" w:eastAsia="zh-CN"/>
        </w:rPr>
        <w:t>2022年部门支出1089</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zh-CN" w:eastAsia="zh-CN"/>
        </w:rPr>
        <w:t>8</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zh-CN" w:eastAsia="zh-CN"/>
        </w:rPr>
        <w:t>万元，其中基本支出650</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zh-CN" w:eastAsia="zh-CN"/>
        </w:rPr>
        <w:t>52万元，占总支出的</w:t>
      </w:r>
      <w:r>
        <w:rPr>
          <w:rFonts w:hint="default" w:ascii="Times New Roman" w:hAnsi="Times New Roman" w:eastAsia="仿宋_GB2312" w:cs="Times New Roman"/>
          <w:color w:val="auto"/>
          <w:sz w:val="32"/>
          <w:szCs w:val="32"/>
          <w:lang w:val="en-US" w:eastAsia="zh-CN"/>
        </w:rPr>
        <w:t>59.69</w:t>
      </w:r>
      <w:r>
        <w:rPr>
          <w:rFonts w:hint="default" w:ascii="Times New Roman" w:hAnsi="Times New Roman" w:eastAsia="仿宋_GB2312" w:cs="Times New Roman"/>
          <w:color w:val="auto"/>
          <w:sz w:val="32"/>
          <w:szCs w:val="32"/>
          <w:lang w:val="zh-CN" w:eastAsia="zh-CN"/>
        </w:rPr>
        <w:t>%，其中人员经费支出627</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zh-CN" w:eastAsia="zh-CN"/>
        </w:rPr>
        <w:t>6</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zh-CN" w:eastAsia="zh-CN"/>
        </w:rPr>
        <w:t>万元、日常公用经费支出22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zh-CN" w:eastAsia="zh-CN"/>
        </w:rPr>
        <w:t>8</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zh-CN" w:eastAsia="zh-CN"/>
        </w:rPr>
        <w:t>万元，项目经费支出439</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zh-CN" w:eastAsia="zh-CN"/>
        </w:rPr>
        <w:t>33万元，占总支出的</w:t>
      </w:r>
      <w:r>
        <w:rPr>
          <w:rFonts w:hint="default" w:ascii="Times New Roman" w:hAnsi="Times New Roman" w:eastAsia="仿宋_GB2312" w:cs="Times New Roman"/>
          <w:color w:val="auto"/>
          <w:sz w:val="32"/>
          <w:szCs w:val="32"/>
          <w:lang w:val="en-US" w:eastAsia="zh-CN"/>
        </w:rPr>
        <w:t>40.31</w:t>
      </w:r>
      <w:r>
        <w:rPr>
          <w:rFonts w:hint="default" w:ascii="Times New Roman" w:hAnsi="Times New Roman" w:eastAsia="仿宋_GB2312" w:cs="Times New Roman"/>
          <w:color w:val="auto"/>
          <w:sz w:val="32"/>
          <w:szCs w:val="32"/>
          <w:lang w:val="zh-CN" w:eastAsia="zh-CN"/>
        </w:rPr>
        <w:t>%，项目支出主要在各类商品和服务列支。基层行政单位支出特点是项目经费支出高是主要用于购买各类商品服务，这是由单位综合管理职能所决定，组织各项活动，为辖区居民提供各项服务，修建服务综合体等，按照各项规章制度和工作安排，开展基层管理自理工作，占比</w:t>
      </w:r>
      <w:r>
        <w:rPr>
          <w:rFonts w:hint="default" w:ascii="Times New Roman" w:hAnsi="Times New Roman" w:eastAsia="仿宋_GB2312" w:cs="Times New Roman"/>
          <w:color w:val="auto"/>
          <w:sz w:val="32"/>
          <w:szCs w:val="32"/>
          <w:lang w:val="en-US" w:eastAsia="zh-CN"/>
        </w:rPr>
        <w:t>42.41</w:t>
      </w:r>
      <w:r>
        <w:rPr>
          <w:rFonts w:hint="default" w:ascii="Times New Roman" w:hAnsi="Times New Roman"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en-US" w:eastAsia="zh-CN"/>
        </w:rPr>
        <w:t xml:space="preserve"> .其次对个人和家庭的补助占比为33.19%，主要是用于社区干部和网格员的经费支出，该部分人员更好参与到基层单位管理工作中来。最后是</w:t>
      </w:r>
      <w:r>
        <w:rPr>
          <w:rFonts w:hint="default" w:ascii="Times New Roman" w:hAnsi="Times New Roman" w:eastAsia="仿宋_GB2312" w:cs="Times New Roman"/>
          <w:color w:val="auto"/>
          <w:sz w:val="32"/>
          <w:szCs w:val="32"/>
        </w:rPr>
        <w:t>人员经费占比高，工资福利支出占比</w:t>
      </w:r>
      <w:r>
        <w:rPr>
          <w:rFonts w:hint="default" w:ascii="Times New Roman" w:hAnsi="Times New Roman" w:eastAsia="仿宋_GB2312" w:cs="Times New Roman"/>
          <w:color w:val="auto"/>
          <w:sz w:val="32"/>
          <w:szCs w:val="32"/>
          <w:lang w:eastAsia="zh-CN"/>
        </w:rPr>
        <w:t>为</w:t>
      </w:r>
      <w:r>
        <w:rPr>
          <w:rFonts w:hint="default" w:ascii="Times New Roman" w:hAnsi="Times New Roman" w:eastAsia="仿宋_GB2312" w:cs="Times New Roman"/>
          <w:color w:val="auto"/>
          <w:sz w:val="32"/>
          <w:szCs w:val="32"/>
          <w:lang w:val="en-US" w:eastAsia="zh-CN"/>
        </w:rPr>
        <w:t>24.40</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有效地保障了</w:t>
      </w:r>
      <w:r>
        <w:rPr>
          <w:rFonts w:hint="default" w:ascii="Times New Roman" w:hAnsi="Times New Roman" w:eastAsia="仿宋_GB2312" w:cs="Times New Roman"/>
          <w:color w:val="auto"/>
          <w:sz w:val="32"/>
          <w:szCs w:val="32"/>
          <w:lang w:eastAsia="zh-CN"/>
        </w:rPr>
        <w:t>单位</w:t>
      </w:r>
      <w:r>
        <w:rPr>
          <w:rFonts w:hint="default" w:ascii="Times New Roman" w:hAnsi="Times New Roman" w:eastAsia="仿宋_GB2312" w:cs="Times New Roman"/>
          <w:color w:val="auto"/>
          <w:sz w:val="32"/>
          <w:szCs w:val="32"/>
        </w:rPr>
        <w:t>重点事业的开展。</w:t>
      </w:r>
    </w:p>
    <w:p w14:paraId="51917F7B">
      <w:pPr>
        <w:widowControl/>
        <w:adjustRightInd w:val="0"/>
        <w:snapToGrid w:val="0"/>
        <w:spacing w:line="56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lang w:val="en-US" w:eastAsia="zh-CN"/>
        </w:rPr>
        <w:t>3.</w:t>
      </w:r>
      <w:r>
        <w:rPr>
          <w:rFonts w:hint="default" w:ascii="Times New Roman" w:hAnsi="Times New Roman" w:eastAsia="仿宋_GB2312" w:cs="Times New Roman"/>
          <w:color w:val="auto"/>
          <w:kern w:val="0"/>
          <w:sz w:val="32"/>
          <w:szCs w:val="32"/>
          <w:shd w:val="clear" w:color="auto" w:fill="FFFFFF"/>
        </w:rPr>
        <w:t>部门财政拨款结转结余情况</w:t>
      </w:r>
    </w:p>
    <w:p w14:paraId="12E1AC7F">
      <w:pPr>
        <w:snapToGrid w:val="0"/>
        <w:spacing w:line="600" w:lineRule="exact"/>
        <w:ind w:firstLine="641"/>
        <w:rPr>
          <w:rFonts w:hint="default" w:ascii="Times New Roman" w:hAnsi="Times New Roman" w:cs="Times New Roman"/>
          <w:color w:val="auto"/>
        </w:rPr>
      </w:pPr>
      <w:r>
        <w:rPr>
          <w:rFonts w:hint="default" w:ascii="Times New Roman" w:hAnsi="Times New Roman" w:eastAsia="仿宋_GB2312" w:cs="Times New Roman"/>
          <w:color w:val="auto"/>
          <w:sz w:val="32"/>
          <w:szCs w:val="32"/>
        </w:rPr>
        <w:t>2022年年末结余资金0万元，</w:t>
      </w:r>
      <w:r>
        <w:rPr>
          <w:rFonts w:hint="default" w:ascii="Times New Roman" w:hAnsi="Times New Roman" w:eastAsia="仿宋_GB2312" w:cs="Times New Roman"/>
          <w:color w:val="auto"/>
          <w:sz w:val="32"/>
          <w:szCs w:val="32"/>
          <w:lang w:eastAsia="zh-CN"/>
        </w:rPr>
        <w:t>较好的执行了全年的财政预算管理工作</w:t>
      </w:r>
      <w:r>
        <w:rPr>
          <w:rFonts w:hint="default" w:ascii="Times New Roman" w:hAnsi="Times New Roman" w:eastAsia="仿宋_GB2312" w:cs="Times New Roman"/>
          <w:color w:val="auto"/>
          <w:sz w:val="32"/>
          <w:szCs w:val="32"/>
        </w:rPr>
        <w:t>。</w:t>
      </w:r>
    </w:p>
    <w:p w14:paraId="284CEF8A">
      <w:pPr>
        <w:widowControl/>
        <w:adjustRightInd w:val="0"/>
        <w:snapToGrid w:val="0"/>
        <w:spacing w:line="560" w:lineRule="exact"/>
        <w:ind w:firstLine="640" w:firstLineChars="200"/>
        <w:contextualSpacing/>
        <w:jc w:val="left"/>
        <w:rPr>
          <w:rFonts w:hint="default" w:ascii="Times New Roman" w:hAnsi="Times New Roman" w:eastAsia="黑体" w:cs="Times New Roman"/>
          <w:color w:val="auto"/>
          <w:kern w:val="0"/>
          <w:sz w:val="32"/>
          <w:szCs w:val="32"/>
          <w:shd w:val="clear" w:color="auto" w:fill="FFFFFF"/>
        </w:rPr>
      </w:pPr>
      <w:bookmarkStart w:id="76" w:name="_Toc2241_WPSOffice_Level2"/>
      <w:bookmarkStart w:id="77" w:name="_Toc6650_WPSOffice_Level2"/>
      <w:bookmarkStart w:id="78" w:name="_Toc5363_WPSOffice_Level2"/>
      <w:r>
        <w:rPr>
          <w:rFonts w:hint="default" w:ascii="Times New Roman" w:hAnsi="Times New Roman" w:eastAsia="黑体" w:cs="Times New Roman"/>
          <w:color w:val="auto"/>
          <w:kern w:val="0"/>
          <w:sz w:val="32"/>
          <w:szCs w:val="32"/>
          <w:shd w:val="clear" w:color="auto" w:fill="FFFFFF"/>
        </w:rPr>
        <w:t>三、部门整体绩效分析</w:t>
      </w:r>
      <w:bookmarkEnd w:id="76"/>
      <w:bookmarkEnd w:id="77"/>
      <w:bookmarkEnd w:id="78"/>
    </w:p>
    <w:p w14:paraId="33EF871E">
      <w:pPr>
        <w:widowControl/>
        <w:adjustRightInd w:val="0"/>
        <w:snapToGrid w:val="0"/>
        <w:spacing w:line="560" w:lineRule="exact"/>
        <w:ind w:firstLine="643"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（一）部门预算项目绩效分析。</w:t>
      </w:r>
    </w:p>
    <w:p w14:paraId="01C91DAB">
      <w:pPr>
        <w:widowControl/>
        <w:adjustRightInd w:val="0"/>
        <w:snapToGrid w:val="0"/>
        <w:spacing w:line="56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1.人员类项目绩效分析</w:t>
      </w:r>
    </w:p>
    <w:p w14:paraId="0858EE0F">
      <w:pPr>
        <w:widowControl/>
        <w:adjustRightInd w:val="0"/>
        <w:snapToGrid w:val="0"/>
        <w:spacing w:line="580" w:lineRule="exact"/>
        <w:ind w:firstLine="640" w:firstLineChars="200"/>
        <w:contextualSpacing/>
        <w:jc w:val="left"/>
        <w:rPr>
          <w:rFonts w:hint="default" w:ascii="Times New Roman" w:hAnsi="Times New Roman" w:cs="Times New Roman"/>
          <w:color w:val="auto"/>
          <w:szCs w:val="32"/>
        </w:rPr>
      </w:pPr>
      <w:r>
        <w:rPr>
          <w:rFonts w:hint="default" w:ascii="Times New Roman" w:hAnsi="Times New Roman" w:eastAsia="仿宋_GB2312" w:cs="Times New Roman"/>
          <w:color w:val="auto"/>
          <w:sz w:val="32"/>
          <w:szCs w:val="32"/>
        </w:rPr>
        <w:t>部门绩效目标依据机构职能制定，人员类项目主要包括全年在编在岗人员的基本工资、公务员和参照公务员管理的事业人员的国家规定的津贴补贴、基础绩效奖，事业人员绩效工资，退休人员部分补贴、生活补助、医疗费补助定额定期发放、在编在职人员五险一金定额定期扣缴。2022年在职人员控制率为</w:t>
      </w:r>
      <w:r>
        <w:rPr>
          <w:rFonts w:hint="default" w:ascii="Times New Roman" w:hAnsi="Times New Roman" w:eastAsia="仿宋_GB2312" w:cs="Times New Roman"/>
          <w:color w:val="auto"/>
          <w:sz w:val="32"/>
          <w:szCs w:val="32"/>
          <w:lang w:val="en-US" w:eastAsia="zh-CN"/>
        </w:rPr>
        <w:t>85</w:t>
      </w:r>
      <w:r>
        <w:rPr>
          <w:rFonts w:hint="default" w:ascii="Times New Roman" w:hAnsi="Times New Roman" w:eastAsia="仿宋_GB2312" w:cs="Times New Roman"/>
          <w:color w:val="auto"/>
          <w:sz w:val="32"/>
          <w:szCs w:val="32"/>
        </w:rPr>
        <w:t>%，较2021年上升</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个百分点，在编制控制范围内。2022年人员经费预算安排627</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6</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万元，年中各项人员经费追加下达</w:t>
      </w:r>
      <w:r>
        <w:rPr>
          <w:rFonts w:hint="default" w:ascii="Times New Roman" w:hAnsi="Times New Roman" w:eastAsia="仿宋_GB2312" w:cs="Times New Roman"/>
          <w:color w:val="auto"/>
          <w:sz w:val="32"/>
          <w:szCs w:val="32"/>
          <w:lang w:val="en-US" w:eastAsia="zh-CN"/>
        </w:rPr>
        <w:t>374.56</w:t>
      </w:r>
      <w:r>
        <w:rPr>
          <w:rFonts w:hint="default" w:ascii="Times New Roman" w:hAnsi="Times New Roman" w:eastAsia="仿宋_GB2312" w:cs="Times New Roman"/>
          <w:color w:val="auto"/>
          <w:sz w:val="32"/>
          <w:szCs w:val="32"/>
        </w:rPr>
        <w:t>万元，主要原因：</w:t>
      </w:r>
      <w:r>
        <w:rPr>
          <w:rFonts w:hint="default" w:ascii="Times New Roman" w:hAnsi="Times New Roman" w:eastAsia="仿宋_GB2312" w:cs="Times New Roman"/>
          <w:b/>
          <w:color w:val="auto"/>
          <w:sz w:val="32"/>
          <w:szCs w:val="32"/>
        </w:rPr>
        <w:t>一是</w:t>
      </w:r>
      <w:r>
        <w:rPr>
          <w:rFonts w:hint="default" w:ascii="Times New Roman" w:hAnsi="Times New Roman" w:eastAsia="仿宋_GB2312" w:cs="Times New Roman"/>
          <w:color w:val="auto"/>
          <w:sz w:val="32"/>
          <w:szCs w:val="32"/>
        </w:rPr>
        <w:t>在编职工人数增加，按要求进行增人增资；</w:t>
      </w:r>
      <w:r>
        <w:rPr>
          <w:rFonts w:hint="default" w:ascii="Times New Roman" w:hAnsi="Times New Roman" w:eastAsia="仿宋_GB2312" w:cs="Times New Roman"/>
          <w:b/>
          <w:color w:val="auto"/>
          <w:sz w:val="32"/>
          <w:szCs w:val="32"/>
        </w:rPr>
        <w:t>二是</w:t>
      </w:r>
      <w:r>
        <w:rPr>
          <w:rFonts w:hint="default" w:ascii="Times New Roman" w:hAnsi="Times New Roman" w:eastAsia="仿宋_GB2312" w:cs="Times New Roman"/>
          <w:color w:val="auto"/>
          <w:sz w:val="32"/>
          <w:szCs w:val="32"/>
        </w:rPr>
        <w:t>补发</w:t>
      </w:r>
      <w:r>
        <w:rPr>
          <w:rFonts w:hint="default" w:ascii="Times New Roman" w:hAnsi="Times New Roman" w:eastAsia="仿宋_GB2312" w:cs="Times New Roman"/>
          <w:color w:val="auto"/>
          <w:sz w:val="32"/>
          <w:szCs w:val="32"/>
          <w:lang w:eastAsia="zh-CN"/>
        </w:rPr>
        <w:t>玉泉街办</w:t>
      </w:r>
      <w:r>
        <w:rPr>
          <w:rFonts w:hint="default" w:ascii="Times New Roman" w:hAnsi="Times New Roman" w:eastAsia="仿宋_GB2312" w:cs="Times New Roman"/>
          <w:color w:val="auto"/>
          <w:sz w:val="32"/>
          <w:szCs w:val="32"/>
        </w:rPr>
        <w:t>全额保障事业单位在编在职人员2020年度绩效奖；</w:t>
      </w:r>
      <w:r>
        <w:rPr>
          <w:rFonts w:hint="default" w:ascii="Times New Roman" w:hAnsi="Times New Roman" w:eastAsia="仿宋_GB2312" w:cs="Times New Roman"/>
          <w:b/>
          <w:color w:val="auto"/>
          <w:sz w:val="32"/>
          <w:szCs w:val="32"/>
        </w:rPr>
        <w:t>三是</w:t>
      </w:r>
      <w:r>
        <w:rPr>
          <w:rFonts w:hint="default" w:ascii="Times New Roman" w:hAnsi="Times New Roman" w:eastAsia="仿宋_GB2312" w:cs="Times New Roman"/>
          <w:color w:val="auto"/>
          <w:sz w:val="32"/>
          <w:szCs w:val="32"/>
        </w:rPr>
        <w:t>补发2021年10月至2022年2月基本工资调标部分；</w:t>
      </w:r>
      <w:r>
        <w:rPr>
          <w:rFonts w:hint="default" w:ascii="Times New Roman" w:hAnsi="Times New Roman" w:eastAsia="仿宋_GB2312" w:cs="Times New Roman"/>
          <w:b/>
          <w:color w:val="auto"/>
          <w:sz w:val="32"/>
          <w:szCs w:val="32"/>
        </w:rPr>
        <w:t>四是</w:t>
      </w:r>
      <w:r>
        <w:rPr>
          <w:rFonts w:hint="default" w:ascii="Times New Roman" w:hAnsi="Times New Roman" w:eastAsia="仿宋_GB2312" w:cs="Times New Roman"/>
          <w:color w:val="auto"/>
          <w:sz w:val="32"/>
          <w:szCs w:val="32"/>
        </w:rPr>
        <w:t>预兑现离退休人员2021年度生活补助。以上支出依法依规按月或按年定期发放，全年支出控制、执行进度、预算完成100%，年末人员类资金无结余，无违规情况。</w:t>
      </w:r>
    </w:p>
    <w:p w14:paraId="209866F8">
      <w:pPr>
        <w:widowControl/>
        <w:adjustRightInd w:val="0"/>
        <w:snapToGrid w:val="0"/>
        <w:spacing w:line="56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2.运转类项目绩效分析</w:t>
      </w:r>
    </w:p>
    <w:p w14:paraId="4F0EB5A7">
      <w:pPr>
        <w:widowControl/>
        <w:adjustRightInd w:val="0"/>
        <w:snapToGrid w:val="0"/>
        <w:spacing w:line="600" w:lineRule="exact"/>
        <w:ind w:firstLine="640" w:firstLineChars="200"/>
        <w:contextualSpacing/>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运转类项目主要是维持单位基本运转的各类商品服务，包括水电费、三公经费、差旅费、办公费等。2022年日常公用经费支出年初预算28</w:t>
      </w:r>
      <w:r>
        <w:rPr>
          <w:rFonts w:hint="default" w:ascii="Times New Roman" w:hAnsi="Times New Roman" w:eastAsia="仿宋_GB2312" w:cs="Times New Roman"/>
          <w:color w:val="auto"/>
          <w:kern w:val="0"/>
          <w:sz w:val="32"/>
          <w:szCs w:val="32"/>
          <w:shd w:val="clear" w:color="auto" w:fill="FFFFFF"/>
          <w:lang w:val="en-US" w:eastAsia="zh-CN"/>
        </w:rPr>
        <w:t>.</w:t>
      </w:r>
      <w:r>
        <w:rPr>
          <w:rFonts w:hint="default" w:ascii="Times New Roman" w:hAnsi="Times New Roman" w:eastAsia="仿宋_GB2312" w:cs="Times New Roman"/>
          <w:color w:val="auto"/>
          <w:kern w:val="0"/>
          <w:sz w:val="32"/>
          <w:szCs w:val="32"/>
          <w:shd w:val="clear" w:color="auto" w:fill="FFFFFF"/>
          <w:lang w:val="zh-CN"/>
        </w:rPr>
        <w:t>27万元，年中支出追减</w:t>
      </w:r>
      <w:r>
        <w:rPr>
          <w:rFonts w:hint="default" w:ascii="Times New Roman" w:hAnsi="Times New Roman" w:eastAsia="仿宋_GB2312" w:cs="Times New Roman"/>
          <w:color w:val="auto"/>
          <w:kern w:val="0"/>
          <w:sz w:val="32"/>
          <w:szCs w:val="32"/>
          <w:shd w:val="clear" w:color="auto" w:fill="FFFFFF"/>
          <w:lang w:val="en-US" w:eastAsia="zh-CN"/>
        </w:rPr>
        <w:t>5.43</w:t>
      </w:r>
      <w:r>
        <w:rPr>
          <w:rFonts w:hint="default" w:ascii="Times New Roman" w:hAnsi="Times New Roman" w:eastAsia="仿宋_GB2312" w:cs="Times New Roman"/>
          <w:color w:val="auto"/>
          <w:kern w:val="0"/>
          <w:sz w:val="32"/>
          <w:szCs w:val="32"/>
          <w:shd w:val="clear" w:color="auto" w:fill="FFFFFF"/>
          <w:lang w:val="zh-CN"/>
        </w:rPr>
        <w:t>万元，支出数</w:t>
      </w:r>
      <w:r>
        <w:rPr>
          <w:rFonts w:hint="default" w:ascii="Times New Roman" w:hAnsi="Times New Roman" w:eastAsia="仿宋_GB2312" w:cs="Times New Roman"/>
          <w:color w:val="auto"/>
          <w:kern w:val="0"/>
          <w:sz w:val="32"/>
          <w:szCs w:val="32"/>
          <w:shd w:val="clear" w:color="auto" w:fill="FFFFFF"/>
          <w:lang w:val="en-US" w:eastAsia="zh-CN"/>
        </w:rPr>
        <w:t>22.84</w:t>
      </w:r>
      <w:r>
        <w:rPr>
          <w:rFonts w:hint="default" w:ascii="Times New Roman" w:hAnsi="Times New Roman" w:eastAsia="仿宋_GB2312" w:cs="Times New Roman"/>
          <w:color w:val="auto"/>
          <w:kern w:val="0"/>
          <w:sz w:val="32"/>
          <w:szCs w:val="32"/>
          <w:shd w:val="clear" w:color="auto" w:fill="FFFFFF"/>
          <w:lang w:val="zh-CN"/>
        </w:rPr>
        <w:t>万元，机关落实过紧日子的要求，按期支付日常公用经费，鼓励使用公务卡结算，严控会务、培训、差旅等公务事项审批，加强内部控制管理，推行无纸化办公，开展能耗分析，节约水电费，各项公用经费得到了大幅压减，“三公经费”控制率</w:t>
      </w:r>
      <w:r>
        <w:rPr>
          <w:rFonts w:hint="default" w:ascii="Times New Roman" w:hAnsi="Times New Roman" w:eastAsia="仿宋_GB2312" w:cs="Times New Roman"/>
          <w:color w:val="auto"/>
          <w:kern w:val="0"/>
          <w:sz w:val="32"/>
          <w:szCs w:val="32"/>
          <w:shd w:val="clear" w:color="auto" w:fill="FFFFFF"/>
          <w:lang w:val="en-US" w:eastAsia="zh-CN"/>
        </w:rPr>
        <w:t>30%</w:t>
      </w:r>
      <w:r>
        <w:rPr>
          <w:rFonts w:hint="default" w:ascii="Times New Roman" w:hAnsi="Times New Roman" w:eastAsia="仿宋_GB2312" w:cs="Times New Roman"/>
          <w:color w:val="auto"/>
          <w:kern w:val="0"/>
          <w:sz w:val="32"/>
          <w:szCs w:val="32"/>
          <w:shd w:val="clear" w:color="auto" w:fill="FFFFFF"/>
          <w:lang w:val="zh-CN"/>
        </w:rPr>
        <w:t>，公务接待经费结余年末统一收回，控制较好；受疫情的影响，公务用车的运行和维修维护减少，预算执行率为</w:t>
      </w:r>
      <w:r>
        <w:rPr>
          <w:rFonts w:hint="default" w:ascii="Times New Roman" w:hAnsi="Times New Roman" w:eastAsia="仿宋_GB2312" w:cs="Times New Roman"/>
          <w:color w:val="auto"/>
          <w:kern w:val="0"/>
          <w:sz w:val="32"/>
          <w:szCs w:val="32"/>
          <w:shd w:val="clear" w:color="auto" w:fill="FFFFFF"/>
          <w:lang w:val="en-US" w:eastAsia="zh-CN"/>
        </w:rPr>
        <w:t>30</w:t>
      </w:r>
      <w:r>
        <w:rPr>
          <w:rFonts w:hint="default" w:ascii="Times New Roman" w:hAnsi="Times New Roman" w:eastAsia="仿宋_GB2312" w:cs="Times New Roman"/>
          <w:color w:val="auto"/>
          <w:kern w:val="0"/>
          <w:sz w:val="32"/>
          <w:szCs w:val="32"/>
          <w:shd w:val="clear" w:color="auto" w:fill="FFFFFF"/>
          <w:lang w:val="zh-CN"/>
        </w:rPr>
        <w:t>%。年末运转类资金无结余，无违规情况。</w:t>
      </w:r>
    </w:p>
    <w:p w14:paraId="61F57098">
      <w:pPr>
        <w:widowControl/>
        <w:adjustRightInd w:val="0"/>
        <w:snapToGrid w:val="0"/>
        <w:spacing w:line="56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3.特定目标类项目绩效分析</w:t>
      </w:r>
    </w:p>
    <w:p w14:paraId="62132380">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lang w:val="zh-CN"/>
        </w:rPr>
        <w:t>特定目标类项目主要有新型冠状病毒肺炎疫情防疫物资采购、信访稳定工作、纪检监察谈话室建设、创建全国文明城市、社区儿童之家运行维护、疫情防控和森林草原防灭火工作、公共文化馆免费开放工作、社会管理（含人民防空、安全生产等）工作、基层政权（含人民武装业务费）工作、政协委员联络站工作、人大代表工作、基本单位名录库工作、基层组织活动和公共服务运行、建设养老服务综合体等。年初下达项目经费4</w:t>
      </w:r>
      <w:r>
        <w:rPr>
          <w:rFonts w:hint="default" w:ascii="Times New Roman" w:hAnsi="Times New Roman" w:eastAsia="仿宋_GB2312" w:cs="Times New Roman"/>
          <w:color w:val="auto"/>
          <w:kern w:val="0"/>
          <w:sz w:val="32"/>
          <w:szCs w:val="32"/>
          <w:shd w:val="clear" w:color="auto" w:fill="FFFFFF"/>
          <w:lang w:val="en-US" w:eastAsia="zh-CN"/>
        </w:rPr>
        <w:t>.</w:t>
      </w:r>
      <w:r>
        <w:rPr>
          <w:rFonts w:hint="default" w:ascii="Times New Roman" w:hAnsi="Times New Roman" w:eastAsia="仿宋_GB2312" w:cs="Times New Roman"/>
          <w:color w:val="auto"/>
          <w:kern w:val="0"/>
          <w:sz w:val="32"/>
          <w:szCs w:val="32"/>
          <w:shd w:val="clear" w:color="auto" w:fill="FFFFFF"/>
          <w:lang w:val="zh-CN"/>
        </w:rPr>
        <w:t>5万元，</w:t>
      </w:r>
      <w:r>
        <w:rPr>
          <w:rFonts w:hint="default" w:ascii="Times New Roman" w:hAnsi="Times New Roman" w:eastAsia="仿宋_GB2312" w:cs="Times New Roman"/>
          <w:color w:val="auto"/>
          <w:sz w:val="32"/>
          <w:szCs w:val="32"/>
        </w:rPr>
        <w:t>项目经费追加下达</w:t>
      </w:r>
      <w:r>
        <w:rPr>
          <w:rFonts w:hint="default" w:ascii="Times New Roman" w:hAnsi="Times New Roman" w:eastAsia="仿宋_GB2312" w:cs="Times New Roman"/>
          <w:color w:val="auto"/>
          <w:kern w:val="0"/>
          <w:sz w:val="32"/>
          <w:szCs w:val="32"/>
          <w:shd w:val="clear" w:color="auto" w:fill="FFFFFF"/>
          <w:lang w:val="en-US" w:eastAsia="zh-CN"/>
        </w:rPr>
        <w:t>439.33</w:t>
      </w:r>
      <w:r>
        <w:rPr>
          <w:rFonts w:hint="default" w:ascii="Times New Roman" w:hAnsi="Times New Roman" w:eastAsia="仿宋_GB2312" w:cs="Times New Roman"/>
          <w:color w:val="auto"/>
          <w:sz w:val="32"/>
          <w:szCs w:val="32"/>
        </w:rPr>
        <w:t>万元，调增结余资金</w:t>
      </w:r>
      <w:r>
        <w:rPr>
          <w:rFonts w:hint="default" w:ascii="Times New Roman" w:hAnsi="Times New Roman" w:eastAsia="仿宋_GB2312" w:cs="Times New Roman"/>
          <w:color w:val="auto"/>
          <w:sz w:val="32"/>
          <w:szCs w:val="32"/>
          <w:lang w:val="en-US" w:eastAsia="zh-CN"/>
        </w:rPr>
        <w:t>434.83</w:t>
      </w:r>
      <w:r>
        <w:rPr>
          <w:rFonts w:hint="default" w:ascii="Times New Roman" w:hAnsi="Times New Roman" w:eastAsia="仿宋_GB2312" w:cs="Times New Roman"/>
          <w:color w:val="auto"/>
          <w:sz w:val="32"/>
          <w:szCs w:val="32"/>
        </w:rPr>
        <w:t>万</w:t>
      </w:r>
      <w:r>
        <w:rPr>
          <w:rFonts w:hint="default" w:ascii="Times New Roman" w:hAnsi="Times New Roman" w:eastAsia="仿宋_GB2312" w:cs="Times New Roman"/>
          <w:color w:val="auto"/>
          <w:kern w:val="0"/>
          <w:sz w:val="32"/>
          <w:szCs w:val="32"/>
          <w:shd w:val="clear" w:color="auto" w:fill="FFFFFF"/>
          <w:lang w:val="zh-CN"/>
        </w:rPr>
        <w:t>元，年度预算执行项目经费支出</w:t>
      </w:r>
      <w:r>
        <w:rPr>
          <w:rFonts w:hint="default" w:ascii="Times New Roman" w:hAnsi="Times New Roman" w:eastAsia="仿宋_GB2312" w:cs="Times New Roman"/>
          <w:color w:val="auto"/>
          <w:kern w:val="0"/>
          <w:sz w:val="32"/>
          <w:szCs w:val="32"/>
          <w:shd w:val="clear" w:color="auto" w:fill="FFFFFF"/>
          <w:lang w:val="en-US" w:eastAsia="zh-CN"/>
        </w:rPr>
        <w:t>439.33</w:t>
      </w:r>
      <w:r>
        <w:rPr>
          <w:rFonts w:hint="default" w:ascii="Times New Roman" w:hAnsi="Times New Roman" w:eastAsia="仿宋_GB2312" w:cs="Times New Roman"/>
          <w:color w:val="auto"/>
          <w:kern w:val="0"/>
          <w:sz w:val="32"/>
          <w:szCs w:val="32"/>
          <w:shd w:val="clear" w:color="auto" w:fill="FFFFFF"/>
          <w:lang w:val="zh-CN"/>
        </w:rPr>
        <w:t>万元，项目经费无结余，项目经费控制率超100%。我单位均衡安排各个项目资金的执行进度，贯彻落实过紧日子的要求，压减（延缓）机关综合物业服务、预算管理一体化、项目建设、防疫物资采购等支出，年末项目资金全部统一收回，没有财政结余资金，预算控制较好。</w:t>
      </w:r>
    </w:p>
    <w:p w14:paraId="390E7FAC">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（二）部门整体履职绩效分析。</w:t>
      </w:r>
    </w:p>
    <w:p w14:paraId="32D914A5">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在过去的2022年中，单位顺利完了项目预算执行任务。通过各项指标的监测和分析，工作效率提到了提高，例如财务处理速度加快、资金使用率提高等，通过对过去一年的工作进行分析和评估，我们认为自己在部门整体履职绩效方面表现良好。但是，我们也意识到还有一些需要改进的地方。需要进一步加强预算执行的管理和监督，确保预算资金使用的合规性和效益性；进一步提高工作效率和质量，优化工作流程和服务流程；加强合作能力，更好地协调各部门之间工作关系和信息共享；我们将在今后的工作中更加注重效率和质量，努力提高履职绩效，不断提升综合素质和能力。</w:t>
      </w:r>
    </w:p>
    <w:p w14:paraId="3B72D547">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（三）结果应用情况。</w:t>
      </w:r>
    </w:p>
    <w:p w14:paraId="505EEED6">
      <w:pPr>
        <w:spacing w:line="600" w:lineRule="exact"/>
        <w:ind w:firstLine="640" w:firstLineChars="20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街办将支出股室预算项目绩效目标编制情况、全年预算执行情况和年中项目预算金额调整情况纳入街办绩效管理考评。同时，按照财政部门统一部署安排，于202</w:t>
      </w:r>
      <w:r>
        <w:rPr>
          <w:rFonts w:hint="eastAsia" w:eastAsia="仿宋_GB2312" w:cs="Times New Roman"/>
          <w:color w:val="auto"/>
          <w:kern w:val="0"/>
          <w:sz w:val="32"/>
          <w:szCs w:val="32"/>
          <w:shd w:val="clear" w:color="auto" w:fill="FFFFFF"/>
          <w:lang w:val="en-US" w:eastAsia="zh-CN"/>
        </w:rPr>
        <w:t>2</w:t>
      </w:r>
      <w:r>
        <w:rPr>
          <w:rFonts w:hint="default" w:ascii="Times New Roman" w:hAnsi="Times New Roman" w:eastAsia="仿宋_GB2312" w:cs="Times New Roman"/>
          <w:color w:val="auto"/>
          <w:kern w:val="0"/>
          <w:sz w:val="32"/>
          <w:szCs w:val="32"/>
          <w:shd w:val="clear" w:color="auto" w:fill="FFFFFF"/>
          <w:lang w:val="zh-CN"/>
        </w:rPr>
        <w:t>年1月随同202</w:t>
      </w:r>
      <w:r>
        <w:rPr>
          <w:rFonts w:hint="eastAsia" w:eastAsia="仿宋_GB2312" w:cs="Times New Roman"/>
          <w:color w:val="auto"/>
          <w:kern w:val="0"/>
          <w:sz w:val="32"/>
          <w:szCs w:val="32"/>
          <w:shd w:val="clear" w:color="auto" w:fill="FFFFFF"/>
          <w:lang w:val="en-US" w:eastAsia="zh-CN"/>
        </w:rPr>
        <w:t>2</w:t>
      </w:r>
      <w:r>
        <w:rPr>
          <w:rFonts w:hint="default" w:ascii="Times New Roman" w:hAnsi="Times New Roman" w:eastAsia="仿宋_GB2312" w:cs="Times New Roman"/>
          <w:color w:val="auto"/>
          <w:kern w:val="0"/>
          <w:sz w:val="32"/>
          <w:szCs w:val="32"/>
          <w:shd w:val="clear" w:color="auto" w:fill="FFFFFF"/>
          <w:lang w:val="zh-CN"/>
        </w:rPr>
        <w:t>年部门预算编制说明公开了部门项目绩效目标设置情况，于2022年9月随同2021年部门决算公开部门整体支出绩效自评报告和项目绩效目标管理情况，自觉接受公众监督，进一步提高财政资金管理透明度。</w:t>
      </w:r>
    </w:p>
    <w:p w14:paraId="67F1BED3">
      <w:pPr>
        <w:spacing w:line="600" w:lineRule="exact"/>
        <w:ind w:firstLine="640" w:firstLineChars="20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2022年</w:t>
      </w:r>
      <w:r>
        <w:rPr>
          <w:rFonts w:hint="default" w:ascii="Times New Roman" w:hAnsi="Times New Roman" w:eastAsia="仿宋_GB2312" w:cs="Times New Roman"/>
          <w:color w:val="auto"/>
          <w:kern w:val="0"/>
          <w:sz w:val="32"/>
          <w:szCs w:val="32"/>
          <w:shd w:val="clear" w:color="auto" w:fill="FFFFFF"/>
          <w:lang w:val="en-US" w:eastAsia="zh-CN"/>
        </w:rPr>
        <w:t>9</w:t>
      </w:r>
      <w:r>
        <w:rPr>
          <w:rFonts w:hint="default" w:ascii="Times New Roman" w:hAnsi="Times New Roman" w:eastAsia="仿宋_GB2312" w:cs="Times New Roman"/>
          <w:color w:val="auto"/>
          <w:kern w:val="0"/>
          <w:sz w:val="32"/>
          <w:szCs w:val="32"/>
          <w:shd w:val="clear" w:color="auto" w:fill="FFFFFF"/>
          <w:lang w:val="zh-CN"/>
        </w:rPr>
        <w:t>月，中共攀枝花市西区十一届区委第三轮巡察街办通过整改落实巡察反馈的问题和意见，进一步规范了预算执行，</w:t>
      </w:r>
      <w:r>
        <w:rPr>
          <w:rFonts w:hint="default" w:ascii="Times New Roman" w:hAnsi="Times New Roman" w:eastAsia="仿宋_GB2312" w:cs="Times New Roman"/>
          <w:b/>
          <w:color w:val="auto"/>
          <w:kern w:val="0"/>
          <w:sz w:val="32"/>
          <w:szCs w:val="32"/>
          <w:shd w:val="clear" w:color="auto" w:fill="FFFFFF"/>
          <w:lang w:val="zh-CN"/>
        </w:rPr>
        <w:t>一是</w:t>
      </w:r>
      <w:r>
        <w:rPr>
          <w:rFonts w:hint="default" w:ascii="Times New Roman" w:hAnsi="Times New Roman" w:eastAsia="仿宋_GB2312" w:cs="Times New Roman"/>
          <w:color w:val="auto"/>
          <w:kern w:val="0"/>
          <w:sz w:val="32"/>
          <w:szCs w:val="32"/>
          <w:shd w:val="clear" w:color="auto" w:fill="FFFFFF"/>
          <w:lang w:val="zh-CN"/>
        </w:rPr>
        <w:t>明确大额支付需上党组会研究，在筹建财务内控信息系统建设时强化支付前财务事前审批额度，贯彻落实党组“三重一大”的相关规定。</w:t>
      </w:r>
      <w:r>
        <w:rPr>
          <w:rFonts w:hint="default" w:ascii="Times New Roman" w:hAnsi="Times New Roman" w:eastAsia="仿宋_GB2312" w:cs="Times New Roman"/>
          <w:b/>
          <w:color w:val="auto"/>
          <w:kern w:val="0"/>
          <w:sz w:val="32"/>
          <w:szCs w:val="32"/>
          <w:shd w:val="clear" w:color="auto" w:fill="FFFFFF"/>
          <w:lang w:val="zh-CN"/>
        </w:rPr>
        <w:t>二是</w:t>
      </w:r>
      <w:r>
        <w:rPr>
          <w:rFonts w:hint="default" w:ascii="Times New Roman" w:hAnsi="Times New Roman" w:eastAsia="仿宋_GB2312" w:cs="Times New Roman"/>
          <w:color w:val="auto"/>
          <w:kern w:val="0"/>
          <w:sz w:val="32"/>
          <w:szCs w:val="32"/>
          <w:shd w:val="clear" w:color="auto" w:fill="FFFFFF"/>
          <w:lang w:val="zh-CN"/>
        </w:rPr>
        <w:t>健全资金支付流程，加强现金支付管控，财务支出使用预算执行一体化系统，全部费用全部通过转账支出，资金流转更加安全透明。</w:t>
      </w:r>
      <w:r>
        <w:rPr>
          <w:rFonts w:hint="default" w:ascii="Times New Roman" w:hAnsi="Times New Roman" w:eastAsia="仿宋_GB2312" w:cs="Times New Roman"/>
          <w:b/>
          <w:color w:val="auto"/>
          <w:kern w:val="0"/>
          <w:sz w:val="32"/>
          <w:szCs w:val="32"/>
          <w:shd w:val="clear" w:color="auto" w:fill="FFFFFF"/>
          <w:lang w:val="zh-CN"/>
        </w:rPr>
        <w:t>三是</w:t>
      </w:r>
      <w:r>
        <w:rPr>
          <w:rFonts w:hint="default" w:ascii="Times New Roman" w:hAnsi="Times New Roman" w:eastAsia="仿宋_GB2312" w:cs="Times New Roman"/>
          <w:color w:val="auto"/>
          <w:kern w:val="0"/>
          <w:sz w:val="32"/>
          <w:szCs w:val="32"/>
          <w:shd w:val="clear" w:color="auto" w:fill="FFFFFF"/>
          <w:lang w:val="zh-CN"/>
        </w:rPr>
        <w:t>预算执行更加均衡高效，涉及公用类的商品服务支出采取先用后付费，鼓励使用公务卡定期付费的办法，切实保障机关运转，提高预算执行和资金使用效率。</w:t>
      </w:r>
      <w:r>
        <w:rPr>
          <w:rFonts w:hint="default" w:ascii="Times New Roman" w:hAnsi="Times New Roman" w:eastAsia="仿宋_GB2312" w:cs="Times New Roman"/>
          <w:b/>
          <w:color w:val="auto"/>
          <w:kern w:val="0"/>
          <w:sz w:val="32"/>
          <w:szCs w:val="32"/>
          <w:shd w:val="clear" w:color="auto" w:fill="FFFFFF"/>
          <w:lang w:val="zh-CN"/>
        </w:rPr>
        <w:t>四是</w:t>
      </w:r>
      <w:r>
        <w:rPr>
          <w:rFonts w:hint="default" w:ascii="Times New Roman" w:hAnsi="Times New Roman" w:eastAsia="仿宋_GB2312" w:cs="Times New Roman"/>
          <w:color w:val="auto"/>
          <w:kern w:val="0"/>
          <w:sz w:val="32"/>
          <w:szCs w:val="32"/>
          <w:shd w:val="clear" w:color="auto" w:fill="FFFFFF"/>
          <w:lang w:val="zh-CN"/>
        </w:rPr>
        <w:t>明确各项常规支出的法定标准，并将各项标准嵌入机关财务报销内控信息化系统中，实现机器和人工双重审核，确保财务审核真实客观准确。</w:t>
      </w:r>
    </w:p>
    <w:p w14:paraId="36483F2D">
      <w:pPr>
        <w:widowControl/>
        <w:numPr>
          <w:ilvl w:val="0"/>
          <w:numId w:val="5"/>
        </w:numPr>
        <w:adjustRightInd w:val="0"/>
        <w:snapToGrid w:val="0"/>
        <w:spacing w:line="560" w:lineRule="exact"/>
        <w:ind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自评质量。</w:t>
      </w:r>
    </w:p>
    <w:p w14:paraId="64BC4FF8">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2022年街办部门整体支出绩效自查得分较为客观，</w:t>
      </w:r>
      <w:r>
        <w:rPr>
          <w:rFonts w:hint="default" w:ascii="Times New Roman" w:hAnsi="Times New Roman" w:eastAsia="仿宋_GB2312" w:cs="Times New Roman"/>
          <w:color w:val="auto"/>
          <w:sz w:val="32"/>
          <w:szCs w:val="32"/>
        </w:rPr>
        <w:t>全年无超预算、无预算支出，无违规违纪的问题。</w:t>
      </w:r>
      <w:r>
        <w:rPr>
          <w:rFonts w:hint="default" w:ascii="Times New Roman" w:hAnsi="Times New Roman" w:eastAsia="仿宋_GB2312" w:cs="Times New Roman"/>
          <w:color w:val="auto"/>
          <w:kern w:val="0"/>
          <w:sz w:val="32"/>
          <w:szCs w:val="32"/>
          <w:shd w:val="clear" w:color="auto" w:fill="FFFFFF"/>
          <w:lang w:eastAsia="zh-CN"/>
        </w:rPr>
        <w:t>街办</w:t>
      </w:r>
      <w:r>
        <w:rPr>
          <w:rFonts w:hint="default" w:ascii="Times New Roman" w:hAnsi="Times New Roman" w:eastAsia="仿宋_GB2312" w:cs="Times New Roman"/>
          <w:color w:val="auto"/>
          <w:kern w:val="0"/>
          <w:sz w:val="32"/>
          <w:szCs w:val="32"/>
          <w:shd w:val="clear" w:color="auto" w:fill="FFFFFF"/>
        </w:rPr>
        <w:t>2022年</w:t>
      </w:r>
      <w:r>
        <w:rPr>
          <w:rFonts w:hint="default" w:ascii="Times New Roman" w:hAnsi="Times New Roman" w:eastAsia="仿宋_GB2312" w:cs="Times New Roman"/>
          <w:color w:val="auto"/>
          <w:kern w:val="0"/>
          <w:sz w:val="32"/>
          <w:szCs w:val="32"/>
          <w:shd w:val="clear" w:color="auto" w:fill="FFFFFF"/>
          <w:lang w:eastAsia="zh-CN"/>
        </w:rPr>
        <w:t>共有</w:t>
      </w:r>
      <w:r>
        <w:rPr>
          <w:rFonts w:hint="default" w:ascii="Times New Roman" w:hAnsi="Times New Roman" w:eastAsia="仿宋_GB2312" w:cs="Times New Roman"/>
          <w:color w:val="auto"/>
          <w:kern w:val="0"/>
          <w:sz w:val="32"/>
          <w:szCs w:val="32"/>
          <w:shd w:val="clear" w:color="auto" w:fill="FFFFFF"/>
          <w:lang w:val="en-US" w:eastAsia="zh-CN"/>
        </w:rPr>
        <w:t>7个</w:t>
      </w:r>
      <w:r>
        <w:rPr>
          <w:rFonts w:hint="default" w:ascii="Times New Roman" w:hAnsi="Times New Roman" w:eastAsia="仿宋_GB2312" w:cs="Times New Roman"/>
          <w:color w:val="auto"/>
          <w:kern w:val="0"/>
          <w:sz w:val="32"/>
          <w:szCs w:val="32"/>
          <w:shd w:val="clear" w:color="auto" w:fill="FFFFFF"/>
        </w:rPr>
        <w:t>专项预算项目绩效评价工作，自行组织了其他涉及一般公共预算项目自评，共选取</w:t>
      </w:r>
      <w:r>
        <w:rPr>
          <w:rFonts w:hint="default" w:ascii="Times New Roman" w:hAnsi="Times New Roman" w:eastAsia="仿宋_GB2312" w:cs="Times New Roman"/>
          <w:color w:val="auto"/>
          <w:kern w:val="0"/>
          <w:sz w:val="32"/>
          <w:szCs w:val="32"/>
          <w:shd w:val="clear" w:color="auto" w:fill="FFFFFF"/>
          <w:lang w:val="en-US" w:eastAsia="zh-CN"/>
        </w:rPr>
        <w:t>5</w:t>
      </w:r>
      <w:r>
        <w:rPr>
          <w:rFonts w:hint="default" w:ascii="Times New Roman" w:hAnsi="Times New Roman" w:eastAsia="仿宋_GB2312" w:cs="Times New Roman"/>
          <w:color w:val="auto"/>
          <w:kern w:val="0"/>
          <w:sz w:val="32"/>
          <w:szCs w:val="32"/>
          <w:shd w:val="clear" w:color="auto" w:fill="FFFFFF"/>
        </w:rPr>
        <w:t>个项目形成自评报告并和整体支出绩效报告一并上报。</w:t>
      </w:r>
    </w:p>
    <w:p w14:paraId="17874BFF">
      <w:pPr>
        <w:widowControl/>
        <w:adjustRightInd w:val="0"/>
        <w:snapToGrid w:val="0"/>
        <w:spacing w:line="560" w:lineRule="exact"/>
        <w:ind w:firstLine="640" w:firstLineChars="200"/>
        <w:contextualSpacing/>
        <w:jc w:val="left"/>
        <w:rPr>
          <w:rFonts w:hint="default" w:ascii="Times New Roman" w:hAnsi="Times New Roman" w:eastAsia="黑体" w:cs="Times New Roman"/>
          <w:color w:val="auto"/>
          <w:kern w:val="0"/>
          <w:sz w:val="32"/>
          <w:szCs w:val="32"/>
          <w:shd w:val="clear" w:color="auto" w:fill="FFFFFF"/>
        </w:rPr>
      </w:pPr>
      <w:bookmarkStart w:id="79" w:name="_Toc11765_WPSOffice_Level2"/>
      <w:bookmarkStart w:id="80" w:name="_Toc32404_WPSOffice_Level2"/>
      <w:bookmarkStart w:id="81" w:name="_Toc4698_WPSOffice_Level2"/>
      <w:r>
        <w:rPr>
          <w:rFonts w:hint="default" w:ascii="Times New Roman" w:hAnsi="Times New Roman" w:eastAsia="黑体" w:cs="Times New Roman"/>
          <w:color w:val="auto"/>
          <w:kern w:val="0"/>
          <w:sz w:val="32"/>
          <w:szCs w:val="32"/>
          <w:shd w:val="clear" w:color="auto" w:fill="FFFFFF"/>
        </w:rPr>
        <w:t>四、评价结论及建议</w:t>
      </w:r>
      <w:bookmarkEnd w:id="79"/>
      <w:bookmarkEnd w:id="80"/>
      <w:bookmarkEnd w:id="81"/>
    </w:p>
    <w:p w14:paraId="7F4F718B">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（一）评价结论。</w:t>
      </w:r>
    </w:p>
    <w:p w14:paraId="1E05B3E3">
      <w:pPr>
        <w:widowControl/>
        <w:spacing w:line="580" w:lineRule="exact"/>
        <w:ind w:firstLine="640"/>
        <w:rPr>
          <w:rFonts w:hint="default" w:ascii="Times New Roman" w:hAnsi="Times New Roman" w:cs="Times New Roman"/>
          <w:color w:val="auto"/>
          <w:lang w:val="zh-CN"/>
        </w:rPr>
      </w:pPr>
      <w:r>
        <w:rPr>
          <w:rFonts w:hint="default" w:ascii="Times New Roman" w:hAnsi="Times New Roman" w:eastAsia="仿宋_GB2312" w:cs="Times New Roman"/>
          <w:color w:val="auto"/>
          <w:kern w:val="0"/>
          <w:sz w:val="32"/>
          <w:szCs w:val="32"/>
          <w:shd w:val="clear" w:color="auto" w:fill="FFFFFF"/>
          <w:lang w:val="zh-CN"/>
        </w:rPr>
        <w:t>2022年，街办部门整体支出绩效自查自评结果良好，全年基本支出保证了部门正常运转，项目支出保障了重点工作顺利开展</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shd w:val="clear" w:color="auto" w:fill="FFFFFF"/>
          <w:lang w:val="zh-CN"/>
        </w:rPr>
        <w:t>2022年在职人员在编制控制范围内，人员经费动态调整，控制较好。“三公经费”控制率75%，公务用车运行维护费经费结余0.93万元，公务接待费结余3.99万元，年末“三公经费”预算结余资金调剂保运转支出，控制较好。政府采购网上竞价采购率100%，</w:t>
      </w:r>
      <w:r>
        <w:rPr>
          <w:rFonts w:hint="default" w:ascii="Times New Roman" w:hAnsi="Times New Roman" w:eastAsia="仿宋_GB2312" w:cs="Times New Roman"/>
          <w:color w:val="auto"/>
          <w:sz w:val="32"/>
          <w:szCs w:val="32"/>
        </w:rPr>
        <w:t>涉密采购，零星需求履行内部采购程序，实现了应采尽采。</w:t>
      </w:r>
      <w:r>
        <w:rPr>
          <w:rFonts w:hint="default" w:ascii="Times New Roman" w:hAnsi="Times New Roman" w:eastAsia="仿宋_GB2312" w:cs="Times New Roman"/>
          <w:color w:val="auto"/>
          <w:sz w:val="32"/>
          <w:szCs w:val="32"/>
          <w:lang w:eastAsia="zh-CN"/>
        </w:rPr>
        <w:t>街办</w:t>
      </w:r>
      <w:r>
        <w:rPr>
          <w:rFonts w:hint="default" w:ascii="Times New Roman" w:hAnsi="Times New Roman" w:eastAsia="仿宋_GB2312" w:cs="Times New Roman"/>
          <w:color w:val="auto"/>
          <w:sz w:val="32"/>
          <w:szCs w:val="32"/>
        </w:rPr>
        <w:t>加强各个项目资金的执行进度管理，2022年项目预算支出全部按期完成，</w:t>
      </w:r>
      <w:r>
        <w:rPr>
          <w:rFonts w:hint="default" w:ascii="Times New Roman" w:hAnsi="Times New Roman" w:eastAsia="仿宋_GB2312" w:cs="Times New Roman"/>
          <w:color w:val="auto"/>
          <w:kern w:val="0"/>
          <w:sz w:val="32"/>
          <w:szCs w:val="32"/>
          <w:shd w:val="clear" w:color="auto" w:fill="FFFFFF"/>
          <w:lang w:val="zh-CN"/>
        </w:rPr>
        <w:t>新型冠状病毒肺炎疫情防疫物资采购、信访稳定工作、纪检监察谈话室建设、创建全国文明城市、社区儿童之家运行维护、疫情防控和森林草原防灭火工作、公共文化馆免费开放工作、社会管理（含人民防空、安全生产等）工作、基层政权（含人民武装业务费）工作、政协委员联络站工作、人大代表工作</w:t>
      </w:r>
      <w:r>
        <w:rPr>
          <w:rFonts w:hint="default" w:ascii="Times New Roman" w:hAnsi="Times New Roman" w:eastAsia="仿宋_GB2312" w:cs="Times New Roman"/>
          <w:color w:val="auto"/>
          <w:sz w:val="32"/>
          <w:szCs w:val="32"/>
        </w:rPr>
        <w:t>执行率100%，</w:t>
      </w:r>
      <w:r>
        <w:rPr>
          <w:rFonts w:hint="default" w:ascii="Times New Roman" w:hAnsi="Times New Roman" w:eastAsia="仿宋_GB2312" w:cs="Times New Roman"/>
          <w:color w:val="auto"/>
          <w:sz w:val="32"/>
          <w:szCs w:val="32"/>
          <w:lang w:eastAsia="zh-CN"/>
        </w:rPr>
        <w:t>养老服务综合体建设、森林防灭火工作、</w:t>
      </w:r>
      <w:r>
        <w:rPr>
          <w:rFonts w:hint="default" w:ascii="Times New Roman" w:hAnsi="Times New Roman" w:eastAsia="仿宋_GB2312" w:cs="Times New Roman"/>
          <w:color w:val="auto"/>
          <w:kern w:val="0"/>
          <w:sz w:val="32"/>
          <w:szCs w:val="32"/>
          <w:shd w:val="clear" w:color="auto" w:fill="FFFFFF"/>
          <w:lang w:val="zh-CN"/>
        </w:rPr>
        <w:t>基层组织活动和公共服务运行等部分项目资金延缓到次年支出，</w:t>
      </w:r>
      <w:r>
        <w:rPr>
          <w:rFonts w:hint="default" w:ascii="Times New Roman" w:hAnsi="Times New Roman" w:eastAsia="仿宋_GB2312" w:cs="Times New Roman"/>
          <w:color w:val="auto"/>
          <w:sz w:val="32"/>
          <w:szCs w:val="32"/>
        </w:rPr>
        <w:t>年末没有财政结余资金，预算控制较好。</w:t>
      </w:r>
    </w:p>
    <w:p w14:paraId="4346534C">
      <w:pPr>
        <w:widowControl/>
        <w:numPr>
          <w:ilvl w:val="0"/>
          <w:numId w:val="6"/>
        </w:numPr>
        <w:adjustRightInd w:val="0"/>
        <w:snapToGrid w:val="0"/>
        <w:spacing w:line="560" w:lineRule="exact"/>
        <w:ind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存在问题。</w:t>
      </w:r>
    </w:p>
    <w:p w14:paraId="12ED4AAD">
      <w:pPr>
        <w:pStyle w:val="2"/>
        <w:numPr>
          <w:ilvl w:val="0"/>
          <w:numId w:val="0"/>
        </w:numPr>
        <w:ind w:firstLine="600" w:firstLineChars="200"/>
        <w:rPr>
          <w:rFonts w:hint="default" w:ascii="Times New Roman" w:hAnsi="Times New Roman" w:cs="Times New Roman"/>
          <w:color w:val="auto"/>
          <w:lang w:val="zh-CN"/>
        </w:rPr>
      </w:pPr>
      <w:r>
        <w:rPr>
          <w:rFonts w:hint="default" w:ascii="Times New Roman" w:hAnsi="Times New Roman" w:cs="Times New Roman"/>
          <w:color w:val="auto"/>
        </w:rPr>
        <w:t>无</w:t>
      </w:r>
    </w:p>
    <w:p w14:paraId="68E69DA1">
      <w:pPr>
        <w:widowControl/>
        <w:numPr>
          <w:ilvl w:val="0"/>
          <w:numId w:val="6"/>
        </w:numPr>
        <w:adjustRightInd w:val="0"/>
        <w:snapToGrid w:val="0"/>
        <w:spacing w:line="560" w:lineRule="exact"/>
        <w:ind w:left="0" w:leftChars="0" w:firstLine="643" w:firstLineChars="200"/>
        <w:contextualSpacing/>
        <w:jc w:val="left"/>
        <w:rPr>
          <w:rFonts w:hint="default" w:ascii="Times New Roman" w:hAnsi="Times New Roman" w:eastAsia="楷体_GB2312" w:cs="Times New Roman"/>
          <w:b/>
          <w:bCs/>
          <w:color w:val="auto"/>
          <w:kern w:val="0"/>
          <w:sz w:val="32"/>
          <w:szCs w:val="32"/>
          <w:shd w:val="clear" w:color="auto" w:fill="FFFFFF"/>
          <w:lang w:val="zh-CN"/>
        </w:rPr>
      </w:pPr>
      <w:r>
        <w:rPr>
          <w:rFonts w:hint="default" w:ascii="Times New Roman" w:hAnsi="Times New Roman" w:eastAsia="楷体_GB2312" w:cs="Times New Roman"/>
          <w:b/>
          <w:bCs/>
          <w:color w:val="auto"/>
          <w:kern w:val="0"/>
          <w:sz w:val="32"/>
          <w:szCs w:val="32"/>
          <w:shd w:val="clear" w:color="auto" w:fill="FFFFFF"/>
          <w:lang w:val="zh-CN"/>
        </w:rPr>
        <w:t>改进建议。</w:t>
      </w:r>
    </w:p>
    <w:p w14:paraId="1F20E55E">
      <w:pPr>
        <w:pStyle w:val="2"/>
        <w:numPr>
          <w:ilvl w:val="0"/>
          <w:numId w:val="0"/>
        </w:numPr>
        <w:ind w:firstLine="600" w:firstLineChars="200"/>
        <w:rPr>
          <w:rFonts w:hint="default" w:ascii="Times New Roman" w:hAnsi="Times New Roman" w:cs="Times New Roman"/>
          <w:color w:val="auto"/>
          <w:lang w:val="zh-CN"/>
        </w:rPr>
      </w:pPr>
      <w:r>
        <w:rPr>
          <w:rFonts w:hint="default" w:ascii="Times New Roman" w:hAnsi="Times New Roman" w:cs="Times New Roman"/>
          <w:color w:val="auto"/>
          <w:lang w:val="zh-CN"/>
        </w:rPr>
        <w:t>无</w:t>
      </w:r>
    </w:p>
    <w:p w14:paraId="310E4451">
      <w:pPr>
        <w:pStyle w:val="16"/>
        <w:spacing w:line="560" w:lineRule="exact"/>
        <w:ind w:left="0" w:leftChars="0" w:firstLine="640"/>
        <w:rPr>
          <w:rFonts w:hint="default" w:ascii="Times New Roman" w:hAnsi="Times New Roman" w:cs="Times New Roman"/>
          <w:color w:val="auto"/>
          <w:sz w:val="32"/>
          <w:szCs w:val="32"/>
          <w:shd w:val="clear" w:color="auto" w:fill="FFFFFF"/>
          <w:lang w:val="zh-CN"/>
        </w:rPr>
      </w:pPr>
      <w:r>
        <w:rPr>
          <w:rFonts w:hint="default" w:ascii="Times New Roman" w:hAnsi="Times New Roman" w:eastAsia="仿宋_GB2312" w:cs="Times New Roman"/>
          <w:color w:val="auto"/>
          <w:sz w:val="32"/>
          <w:lang w:val="zh-CN"/>
        </w:rPr>
        <w:t>附表：</w:t>
      </w:r>
      <w:r>
        <w:rPr>
          <w:rFonts w:hint="default" w:ascii="Times New Roman" w:hAnsi="Times New Roman" w:eastAsia="仿宋_GB2312" w:cs="Times New Roman"/>
          <w:color w:val="auto"/>
          <w:sz w:val="32"/>
        </w:rPr>
        <w:t>部门预算项目支出绩效自评表（2022年度）见附件</w:t>
      </w:r>
      <w:r>
        <w:rPr>
          <w:rFonts w:hint="default" w:ascii="Times New Roman" w:hAnsi="Times New Roman" w:eastAsia="仿宋_GB2312" w:cs="Times New Roman"/>
          <w:color w:val="auto"/>
          <w:sz w:val="32"/>
          <w:lang w:val="en-US" w:eastAsia="zh-CN"/>
        </w:rPr>
        <w:t>3</w:t>
      </w:r>
    </w:p>
    <w:p w14:paraId="0A3994D1">
      <w:pPr>
        <w:pStyle w:val="2"/>
        <w:spacing w:before="93"/>
        <w:rPr>
          <w:rFonts w:hint="default" w:ascii="Times New Roman" w:hAnsi="Times New Roman" w:cs="Times New Roman"/>
          <w:color w:val="auto"/>
          <w:sz w:val="32"/>
          <w:szCs w:val="32"/>
          <w:shd w:val="clear" w:color="auto" w:fill="FFFFFF"/>
          <w:lang w:val="zh-CN"/>
        </w:rPr>
      </w:pPr>
      <w:r>
        <w:rPr>
          <w:rFonts w:hint="default" w:ascii="Times New Roman" w:hAnsi="Times New Roman" w:cs="Times New Roman"/>
          <w:color w:val="auto"/>
          <w:sz w:val="32"/>
          <w:szCs w:val="32"/>
          <w:shd w:val="clear" w:color="auto" w:fill="FFFFFF"/>
          <w:lang w:val="zh-CN"/>
        </w:rPr>
        <w:br w:type="page"/>
      </w:r>
    </w:p>
    <w:p w14:paraId="6FA5EDDA">
      <w:pPr>
        <w:pStyle w:val="2"/>
        <w:spacing w:before="93"/>
        <w:rPr>
          <w:rFonts w:hint="default" w:ascii="Times New Roman" w:hAnsi="Times New Roman" w:cs="Times New Roman"/>
          <w:color w:val="auto"/>
          <w:sz w:val="32"/>
          <w:szCs w:val="32"/>
        </w:rPr>
      </w:pPr>
      <w:r>
        <w:rPr>
          <w:rFonts w:hint="default" w:ascii="Times New Roman" w:hAnsi="Times New Roman" w:cs="Times New Roman"/>
          <w:color w:val="auto"/>
          <w:sz w:val="32"/>
          <w:szCs w:val="32"/>
          <w:shd w:val="clear" w:color="auto" w:fill="FFFFFF"/>
          <w:lang w:val="zh-CN"/>
        </w:rPr>
        <w:t>附件</w:t>
      </w:r>
      <w:r>
        <w:rPr>
          <w:rFonts w:hint="default" w:ascii="Times New Roman" w:hAnsi="Times New Roman" w:cs="Times New Roman"/>
          <w:color w:val="auto"/>
          <w:sz w:val="32"/>
          <w:szCs w:val="32"/>
          <w:shd w:val="clear" w:color="auto" w:fill="FFFFFF"/>
        </w:rPr>
        <w:t>2</w:t>
      </w:r>
    </w:p>
    <w:p w14:paraId="3DA02AE6">
      <w:pPr>
        <w:pStyle w:val="37"/>
        <w:spacing w:line="578" w:lineRule="exact"/>
        <w:jc w:val="center"/>
        <w:rPr>
          <w:rFonts w:hint="default" w:ascii="Times New Roman" w:hAnsi="Times New Roman" w:eastAsia="方正小标宋简体" w:cs="Times New Roman"/>
          <w:color w:val="auto"/>
          <w:kern w:val="2"/>
          <w:sz w:val="32"/>
          <w:szCs w:val="32"/>
          <w:lang w:val="en-US"/>
        </w:rPr>
      </w:pPr>
      <w:r>
        <w:rPr>
          <w:rFonts w:hint="default" w:ascii="Times New Roman" w:hAnsi="Times New Roman" w:eastAsia="方正小标宋简体" w:cs="Times New Roman"/>
          <w:color w:val="auto"/>
          <w:kern w:val="2"/>
          <w:sz w:val="32"/>
          <w:szCs w:val="32"/>
          <w:lang w:val="en-US"/>
        </w:rPr>
        <w:t>202</w:t>
      </w:r>
      <w:r>
        <w:rPr>
          <w:rFonts w:hint="eastAsia" w:ascii="Times New Roman" w:hAnsi="Times New Roman" w:eastAsia="方正小标宋简体" w:cs="Times New Roman"/>
          <w:color w:val="auto"/>
          <w:kern w:val="2"/>
          <w:sz w:val="32"/>
          <w:szCs w:val="32"/>
          <w:lang w:val="en-US" w:eastAsia="zh-CN"/>
        </w:rPr>
        <w:t>2</w:t>
      </w:r>
      <w:r>
        <w:rPr>
          <w:rFonts w:hint="default" w:ascii="Times New Roman" w:hAnsi="Times New Roman" w:eastAsia="方正小标宋简体" w:cs="Times New Roman"/>
          <w:color w:val="auto"/>
          <w:kern w:val="2"/>
          <w:sz w:val="32"/>
          <w:szCs w:val="32"/>
          <w:lang w:val="en-US"/>
        </w:rPr>
        <w:t>年专项资金预算项目绩效自评报告</w:t>
      </w:r>
    </w:p>
    <w:p w14:paraId="5670162F">
      <w:pPr>
        <w:pStyle w:val="37"/>
        <w:spacing w:line="578" w:lineRule="exact"/>
        <w:jc w:val="center"/>
        <w:rPr>
          <w:rFonts w:hint="default" w:ascii="Times New Roman" w:hAnsi="Times New Roman" w:eastAsia="方正小标宋简体" w:cs="Times New Roman"/>
          <w:color w:val="auto"/>
          <w:kern w:val="2"/>
          <w:sz w:val="44"/>
          <w:szCs w:val="44"/>
          <w:lang w:val="en-US"/>
        </w:rPr>
      </w:pPr>
      <w:bookmarkStart w:id="82" w:name="_Toc18562_WPSOffice_Level2"/>
      <w:bookmarkStart w:id="83" w:name="_Toc23620_WPSOffice_Level2"/>
      <w:bookmarkStart w:id="84" w:name="_Toc16869_WPSOffice_Level2"/>
      <w:r>
        <w:rPr>
          <w:rFonts w:hint="default" w:ascii="Times New Roman" w:hAnsi="Times New Roman" w:eastAsia="方正小标宋简体" w:cs="Times New Roman"/>
          <w:color w:val="auto"/>
          <w:kern w:val="2"/>
          <w:sz w:val="44"/>
          <w:szCs w:val="44"/>
          <w:lang w:val="en-US"/>
        </w:rPr>
        <w:t>人大代表工作经费</w:t>
      </w:r>
      <w:bookmarkEnd w:id="82"/>
      <w:bookmarkEnd w:id="83"/>
      <w:bookmarkEnd w:id="84"/>
    </w:p>
    <w:p w14:paraId="0134BCED">
      <w:pPr>
        <w:adjustRightInd w:val="0"/>
        <w:snapToGrid w:val="0"/>
        <w:spacing w:line="578" w:lineRule="exact"/>
        <w:ind w:firstLine="720"/>
        <w:rPr>
          <w:rFonts w:hint="default" w:ascii="Times New Roman" w:hAnsi="Times New Roman" w:eastAsia="黑体" w:cs="Times New Roman"/>
          <w:color w:val="auto"/>
          <w:sz w:val="32"/>
          <w:szCs w:val="32"/>
          <w:lang w:val="zh-CN"/>
        </w:rPr>
      </w:pPr>
      <w:bookmarkStart w:id="85" w:name="_Toc17298_WPSOffice_Level2"/>
      <w:bookmarkStart w:id="86" w:name="_Toc1541_WPSOffice_Level2"/>
      <w:bookmarkStart w:id="87" w:name="_Toc19480_WPSOffice_Level2"/>
      <w:r>
        <w:rPr>
          <w:rFonts w:hint="default" w:ascii="Times New Roman" w:hAnsi="Times New Roman" w:eastAsia="黑体" w:cs="Times New Roman"/>
          <w:color w:val="auto"/>
          <w:sz w:val="32"/>
          <w:szCs w:val="32"/>
        </w:rPr>
        <w:t>一、</w:t>
      </w:r>
      <w:r>
        <w:rPr>
          <w:rFonts w:hint="default" w:ascii="Times New Roman" w:hAnsi="Times New Roman" w:eastAsia="黑体" w:cs="Times New Roman"/>
          <w:color w:val="auto"/>
          <w:sz w:val="32"/>
          <w:szCs w:val="32"/>
          <w:lang w:val="zh-CN"/>
        </w:rPr>
        <w:t>项目概况</w:t>
      </w:r>
      <w:bookmarkEnd w:id="85"/>
      <w:bookmarkEnd w:id="86"/>
      <w:bookmarkEnd w:id="87"/>
    </w:p>
    <w:p w14:paraId="3FECFE04">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（一）项目基本情况。</w:t>
      </w:r>
    </w:p>
    <w:p w14:paraId="6FDC42F4">
      <w:pPr>
        <w:widowControl/>
        <w:adjustRightInd w:val="0"/>
        <w:snapToGrid w:val="0"/>
        <w:spacing w:line="600" w:lineRule="exact"/>
        <w:ind w:firstLine="640" w:firstLineChars="200"/>
        <w:contextualSpacing/>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人大代表之家”是人民代表大会闭会期间代表开展常态化活动的主要场所，是密切联系群众、依法规范履职、推进问题解决的重要平台。人大代表工作经费是阵地标准化建设、组织学习、联系群众等工作的经费来源及保障。</w:t>
      </w:r>
    </w:p>
    <w:p w14:paraId="32269737">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（二）项目绩效目标。</w:t>
      </w:r>
    </w:p>
    <w:p w14:paraId="3CA1765D">
      <w:pPr>
        <w:widowControl/>
        <w:adjustRightInd w:val="0"/>
        <w:snapToGrid w:val="0"/>
        <w:spacing w:line="578" w:lineRule="exact"/>
        <w:ind w:firstLine="960" w:firstLineChars="300"/>
        <w:contextualSpacing/>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rPr>
        <w:t>1.</w:t>
      </w:r>
      <w:r>
        <w:rPr>
          <w:rFonts w:hint="default" w:ascii="Times New Roman" w:hAnsi="Times New Roman" w:eastAsia="仿宋_GB2312" w:cs="Times New Roman"/>
          <w:color w:val="auto"/>
          <w:kern w:val="0"/>
          <w:sz w:val="32"/>
          <w:szCs w:val="32"/>
          <w:shd w:val="clear" w:color="auto" w:fill="FFFFFF"/>
          <w:lang w:val="zh-CN"/>
        </w:rPr>
        <w:t>项目主要内容。</w:t>
      </w:r>
    </w:p>
    <w:p w14:paraId="0352CDD1">
      <w:pPr>
        <w:widowControl/>
        <w:adjustRightInd w:val="0"/>
        <w:snapToGrid w:val="0"/>
        <w:spacing w:line="600" w:lineRule="exact"/>
        <w:ind w:firstLine="640" w:firstLineChars="200"/>
        <w:contextualSpacing/>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人大代表发挥作用，在人代会期间容易做到，但在闭会期间，则往往被忽视。代表履行职责，经常、最大量的应当是在闭会期间，但这又恰恰是代表工作比较薄弱的环节。从一定意义上说，发挥好代表主体作用是在人大工作中坚持群众路线的反映，也是强化人大工作的力量所在。代表在闭会期间开展活动的形式比在人大会期间要多，内容也要丰富得多，因此保障“人大代表之家”建设的经费尤为重要。</w:t>
      </w:r>
    </w:p>
    <w:p w14:paraId="4F15181D">
      <w:pPr>
        <w:widowControl/>
        <w:adjustRightInd w:val="0"/>
        <w:snapToGrid w:val="0"/>
        <w:spacing w:line="600" w:lineRule="exact"/>
        <w:ind w:firstLine="640" w:firstLineChars="200"/>
        <w:contextualSpacing/>
        <w:rPr>
          <w:rFonts w:hint="default" w:ascii="Times New Roman" w:hAnsi="Times New Roman" w:eastAsia="仿宋_GB2312" w:cs="Times New Roman"/>
          <w:color w:val="auto"/>
          <w:kern w:val="0"/>
          <w:sz w:val="32"/>
          <w:szCs w:val="32"/>
          <w:shd w:val="clear" w:color="auto" w:fill="FFFFFF"/>
          <w:lang w:val="zh-CN" w:eastAsia="zh-CN"/>
        </w:rPr>
      </w:pPr>
      <w:r>
        <w:rPr>
          <w:rFonts w:hint="default" w:ascii="Times New Roman" w:hAnsi="Times New Roman" w:eastAsia="仿宋_GB2312" w:cs="Times New Roman"/>
          <w:color w:val="auto"/>
          <w:kern w:val="0"/>
          <w:sz w:val="32"/>
          <w:szCs w:val="32"/>
          <w:shd w:val="clear" w:color="auto" w:fill="FFFFFF"/>
          <w:lang w:val="zh-CN"/>
        </w:rPr>
        <w:t>“人大代表之家”的建立，为丰富西区玉泉街道辖区范围内的代表在闭会期间的活动搭建了一个载体和平台，街道将严格按照建设标准和建设内容认真组织实施，严格遵循财务相关的制度规定</w:t>
      </w:r>
      <w:r>
        <w:rPr>
          <w:rFonts w:hint="default" w:ascii="Times New Roman" w:hAnsi="Times New Roman" w:eastAsia="仿宋_GB2312" w:cs="Times New Roman"/>
          <w:color w:val="auto"/>
          <w:kern w:val="0"/>
          <w:sz w:val="32"/>
          <w:szCs w:val="32"/>
          <w:shd w:val="clear" w:color="auto" w:fill="FFFFFF"/>
          <w:lang w:val="zh-CN" w:eastAsia="zh-CN"/>
        </w:rPr>
        <w:t>。</w:t>
      </w:r>
    </w:p>
    <w:p w14:paraId="735D536C">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rPr>
        <w:t>项目绩效目标。</w:t>
      </w:r>
    </w:p>
    <w:p w14:paraId="63928C73">
      <w:pPr>
        <w:pStyle w:val="2"/>
        <w:numPr>
          <w:ilvl w:val="0"/>
          <w:numId w:val="0"/>
        </w:numPr>
        <w:ind w:leftChars="200" w:firstLine="600" w:firstLineChars="200"/>
        <w:rPr>
          <w:rFonts w:hint="default" w:ascii="Times New Roman" w:hAnsi="Times New Roman" w:cs="Times New Roman"/>
          <w:color w:val="auto"/>
          <w:lang w:val="zh-CN"/>
        </w:rPr>
      </w:pPr>
      <w:r>
        <w:rPr>
          <w:rFonts w:hint="default" w:ascii="Times New Roman" w:hAnsi="Times New Roman" w:cs="Times New Roman"/>
          <w:color w:val="auto"/>
          <w:lang w:val="en-US" w:eastAsia="zh-CN"/>
        </w:rPr>
        <w:t>按照相关要求规定，优化代表履职服务保障功能室打造、开展代表活动</w:t>
      </w:r>
      <w:r>
        <w:rPr>
          <w:rFonts w:hint="default" w:ascii="Times New Roman" w:hAnsi="Times New Roman" w:cs="Times New Roman"/>
          <w:color w:val="auto"/>
          <w:lang w:val="zh-CN"/>
        </w:rPr>
        <w:t>，配合做好人大代表履职工作，密切联系群众，推进问题解决。</w:t>
      </w:r>
    </w:p>
    <w:p w14:paraId="434890E3">
      <w:pPr>
        <w:widowControl/>
        <w:numPr>
          <w:ilvl w:val="0"/>
          <w:numId w:val="0"/>
        </w:numPr>
        <w:adjustRightInd w:val="0"/>
        <w:snapToGrid w:val="0"/>
        <w:spacing w:line="578" w:lineRule="exact"/>
        <w:ind w:leftChars="200"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CN"/>
        </w:rPr>
        <w:t>项目资金申报相符性。</w:t>
      </w:r>
    </w:p>
    <w:p w14:paraId="0773A345">
      <w:pPr>
        <w:pStyle w:val="2"/>
        <w:numPr>
          <w:ilvl w:val="0"/>
          <w:numId w:val="0"/>
        </w:numPr>
        <w:ind w:leftChars="200" w:firstLine="600" w:firstLineChars="200"/>
        <w:rPr>
          <w:rFonts w:hint="default" w:ascii="Times New Roman" w:hAnsi="Times New Roman" w:cs="Times New Roman"/>
          <w:color w:val="auto"/>
          <w:lang w:val="zh-CN" w:eastAsia="zh-CN"/>
        </w:rPr>
      </w:pPr>
      <w:r>
        <w:rPr>
          <w:rFonts w:hint="default" w:ascii="Times New Roman" w:hAnsi="Times New Roman" w:cs="Times New Roman"/>
          <w:color w:val="auto"/>
          <w:lang w:val="zh-CN" w:eastAsia="zh-CN"/>
        </w:rPr>
        <w:t>该项目申报内容与具体实施内容相符、申报目标合理可行。</w:t>
      </w:r>
    </w:p>
    <w:p w14:paraId="3130B47B">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（三）项目自评步骤及方法。</w:t>
      </w:r>
    </w:p>
    <w:p w14:paraId="38553E08">
      <w:pPr>
        <w:pStyle w:val="2"/>
        <w:numPr>
          <w:ilvl w:val="0"/>
          <w:numId w:val="0"/>
        </w:numPr>
        <w:ind w:leftChars="200" w:firstLine="600" w:firstLineChars="20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根据项目的服务质量、效率、满意度等因素来制定评价标准;通过服务对象反馈情况等方式收集数据。对收集到的数据进行分析，以了解项目的实际表现是否符合预期。根据分析结果，编写评价报告。报告将详细描述项目的优点和不足，以及改进的建议。</w:t>
      </w:r>
    </w:p>
    <w:p w14:paraId="717E18E7">
      <w:pPr>
        <w:adjustRightInd w:val="0"/>
        <w:snapToGrid w:val="0"/>
        <w:spacing w:line="578" w:lineRule="exact"/>
        <w:ind w:firstLine="720"/>
        <w:rPr>
          <w:rFonts w:hint="default" w:ascii="Times New Roman" w:hAnsi="Times New Roman" w:eastAsia="黑体" w:cs="Times New Roman"/>
          <w:color w:val="auto"/>
          <w:sz w:val="32"/>
          <w:szCs w:val="32"/>
        </w:rPr>
      </w:pPr>
      <w:bookmarkStart w:id="88" w:name="_Toc18348_WPSOffice_Level2"/>
      <w:bookmarkStart w:id="89" w:name="_Toc20181_WPSOffice_Level2"/>
      <w:bookmarkStart w:id="90" w:name="_Toc9050_WPSOffice_Level2"/>
      <w:r>
        <w:rPr>
          <w:rFonts w:hint="default" w:ascii="Times New Roman" w:hAnsi="Times New Roman" w:eastAsia="黑体" w:cs="Times New Roman"/>
          <w:color w:val="auto"/>
          <w:sz w:val="32"/>
          <w:szCs w:val="32"/>
        </w:rPr>
        <w:t>二、项目资金申报及使用情况</w:t>
      </w:r>
      <w:bookmarkEnd w:id="88"/>
      <w:bookmarkEnd w:id="89"/>
      <w:bookmarkEnd w:id="90"/>
    </w:p>
    <w:p w14:paraId="37740D02">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（一）项目资金申报及批复情况。</w:t>
      </w:r>
    </w:p>
    <w:p w14:paraId="198C9B0F">
      <w:pPr>
        <w:adjustRightInd w:val="0"/>
        <w:snapToGrid w:val="0"/>
        <w:spacing w:line="600" w:lineRule="exact"/>
        <w:ind w:firstLine="720"/>
        <w:rPr>
          <w:rFonts w:hint="default" w:ascii="Times New Roman" w:hAnsi="Times New Roman" w:cs="Times New Roman"/>
          <w:color w:val="auto"/>
          <w:lang w:val="zh-CN"/>
        </w:rPr>
      </w:pPr>
      <w:r>
        <w:rPr>
          <w:rFonts w:hint="default" w:ascii="Times New Roman" w:hAnsi="Times New Roman" w:eastAsia="仿宋_GB2312" w:cs="Times New Roman"/>
          <w:color w:val="auto"/>
          <w:sz w:val="32"/>
          <w:szCs w:val="32"/>
          <w:lang w:val="zh-CN"/>
        </w:rPr>
        <w:t>玉泉街办在</w:t>
      </w:r>
      <w:r>
        <w:rPr>
          <w:rFonts w:hint="default" w:ascii="Times New Roman" w:hAnsi="Times New Roman" w:eastAsia="仿宋_GB2312" w:cs="Times New Roman"/>
          <w:color w:val="auto"/>
          <w:sz w:val="32"/>
          <w:szCs w:val="32"/>
          <w:lang w:val="en-US" w:eastAsia="zh-CN"/>
        </w:rPr>
        <w:t>2022年初</w:t>
      </w:r>
      <w:r>
        <w:rPr>
          <w:rFonts w:hint="default" w:ascii="Times New Roman" w:hAnsi="Times New Roman" w:eastAsia="仿宋_GB2312" w:cs="Times New Roman"/>
          <w:color w:val="auto"/>
          <w:sz w:val="32"/>
          <w:szCs w:val="32"/>
          <w:lang w:val="zh-CN"/>
        </w:rPr>
        <w:t>根据年初预算安排进行项目申报，区财政局按照（攀西财〔2022〕101号）下达预算资金</w:t>
      </w:r>
      <w:r>
        <w:rPr>
          <w:rFonts w:hint="default" w:ascii="Times New Roman" w:hAnsi="Times New Roman" w:eastAsia="仿宋_GB2312" w:cs="Times New Roman"/>
          <w:color w:val="auto"/>
          <w:sz w:val="32"/>
          <w:szCs w:val="32"/>
          <w:lang w:val="en-US" w:eastAsia="zh-CN"/>
        </w:rPr>
        <w:t>1.00万元</w:t>
      </w:r>
      <w:r>
        <w:rPr>
          <w:rFonts w:hint="default" w:ascii="Times New Roman" w:hAnsi="Times New Roman" w:eastAsia="仿宋_GB2312" w:cs="Times New Roman"/>
          <w:color w:val="auto"/>
          <w:sz w:val="32"/>
          <w:szCs w:val="32"/>
          <w:lang w:val="zh-CN"/>
        </w:rPr>
        <w:t>。</w:t>
      </w:r>
    </w:p>
    <w:p w14:paraId="14197C67">
      <w:pPr>
        <w:adjustRightInd w:val="0"/>
        <w:snapToGrid w:val="0"/>
        <w:spacing w:line="578" w:lineRule="exact"/>
        <w:ind w:firstLine="720"/>
        <w:rPr>
          <w:rFonts w:hint="default" w:ascii="Times New Roman" w:hAnsi="Times New Roman" w:cs="Times New Roman"/>
          <w:color w:val="auto"/>
          <w:sz w:val="32"/>
          <w:szCs w:val="32"/>
          <w:lang w:val="zh-CN"/>
        </w:rPr>
      </w:pPr>
      <w:r>
        <w:rPr>
          <w:rFonts w:hint="default" w:ascii="Times New Roman" w:hAnsi="Times New Roman" w:eastAsia="楷体_GB2312" w:cs="Times New Roman"/>
          <w:b/>
          <w:color w:val="auto"/>
          <w:sz w:val="32"/>
          <w:szCs w:val="32"/>
          <w:lang w:val="zh-CN"/>
        </w:rPr>
        <w:t>（二）资金计划、到位及使用情况。</w:t>
      </w:r>
    </w:p>
    <w:p w14:paraId="336618B6">
      <w:pPr>
        <w:adjustRightInd w:val="0"/>
        <w:snapToGrid w:val="0"/>
        <w:spacing w:line="600" w:lineRule="exact"/>
        <w:ind w:firstLine="72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1．资金计划。</w:t>
      </w:r>
      <w:r>
        <w:rPr>
          <w:rFonts w:hint="default" w:ascii="Times New Roman" w:hAnsi="Times New Roman" w:eastAsia="仿宋_GB2312" w:cs="Times New Roman"/>
          <w:color w:val="auto"/>
          <w:sz w:val="32"/>
          <w:szCs w:val="32"/>
          <w:lang w:val="zh-CN"/>
        </w:rPr>
        <w:t>2022年计划支付人大代表工作经费</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lang w:val="zh-CN"/>
        </w:rPr>
        <w:t>万元。</w:t>
      </w:r>
    </w:p>
    <w:p w14:paraId="373F8F20">
      <w:pPr>
        <w:adjustRightInd w:val="0"/>
        <w:snapToGrid w:val="0"/>
        <w:spacing w:line="600" w:lineRule="exact"/>
        <w:ind w:firstLine="720"/>
        <w:rPr>
          <w:rFonts w:hint="default" w:ascii="Times New Roman" w:hAnsi="Times New Roman" w:eastAsia="仿宋_GB2312" w:cs="Times New Roman"/>
          <w:b/>
          <w:color w:val="auto"/>
          <w:sz w:val="32"/>
          <w:szCs w:val="32"/>
          <w:lang w:val="zh-CN"/>
        </w:rPr>
      </w:pPr>
      <w:r>
        <w:rPr>
          <w:rFonts w:hint="default" w:ascii="Times New Roman" w:hAnsi="Times New Roman" w:eastAsia="仿宋_GB2312" w:cs="Times New Roman"/>
          <w:color w:val="auto"/>
          <w:kern w:val="0"/>
          <w:sz w:val="32"/>
          <w:szCs w:val="32"/>
          <w:shd w:val="clear" w:color="auto" w:fill="FFFFFF"/>
          <w:lang w:val="zh-CN"/>
        </w:rPr>
        <w:t>2．资金到位。</w:t>
      </w:r>
      <w:r>
        <w:rPr>
          <w:rFonts w:hint="default" w:ascii="Times New Roman" w:hAnsi="Times New Roman" w:eastAsia="仿宋_GB2312" w:cs="Times New Roman"/>
          <w:color w:val="auto"/>
          <w:sz w:val="32"/>
          <w:szCs w:val="32"/>
          <w:lang w:val="zh-CN"/>
        </w:rPr>
        <w:t>截至评价时点实际到位资金</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lang w:val="zh-CN"/>
        </w:rPr>
        <w:t>万元，全部为区级财政资金。资金到位及时，资金到位率100%。</w:t>
      </w:r>
    </w:p>
    <w:p w14:paraId="2B721318">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en-US" w:eastAsia="zh-CN"/>
        </w:rPr>
        <w:t>3.</w:t>
      </w:r>
      <w:r>
        <w:rPr>
          <w:rFonts w:hint="default" w:ascii="Times New Roman" w:hAnsi="Times New Roman" w:eastAsia="仿宋_GB2312" w:cs="Times New Roman"/>
          <w:color w:val="auto"/>
          <w:kern w:val="0"/>
          <w:sz w:val="32"/>
          <w:szCs w:val="32"/>
          <w:shd w:val="clear" w:color="auto" w:fill="FFFFFF"/>
          <w:lang w:val="zh-CN"/>
        </w:rPr>
        <w:t>资金使用。</w:t>
      </w:r>
      <w:r>
        <w:rPr>
          <w:rFonts w:hint="default" w:ascii="Times New Roman" w:hAnsi="Times New Roman" w:eastAsia="仿宋_GB2312" w:cs="Times New Roman"/>
          <w:color w:val="auto"/>
          <w:sz w:val="32"/>
          <w:szCs w:val="32"/>
          <w:lang w:val="zh-CN"/>
        </w:rPr>
        <w:t>截至评价时点，实际支出人大代表工作经费</w:t>
      </w:r>
      <w:r>
        <w:rPr>
          <w:rFonts w:hint="default" w:ascii="Times New Roman" w:hAnsi="Times New Roman" w:eastAsia="仿宋_GB2312" w:cs="Times New Roman"/>
          <w:color w:val="auto"/>
          <w:sz w:val="32"/>
          <w:szCs w:val="32"/>
          <w:lang w:val="en-US" w:eastAsia="zh-CN"/>
        </w:rPr>
        <w:t>1.00万元</w:t>
      </w:r>
      <w:r>
        <w:rPr>
          <w:rFonts w:hint="default" w:ascii="Times New Roman" w:hAnsi="Times New Roman" w:eastAsia="仿宋_GB2312" w:cs="Times New Roman"/>
          <w:color w:val="auto"/>
          <w:sz w:val="32"/>
          <w:szCs w:val="32"/>
          <w:lang w:val="zh-CN"/>
        </w:rPr>
        <w:t>，资金已全部支付完毕。该项资金全部用于支付人大之家公示墙广告费以及河石坝人大代表之家建设。支付依据合规合法，资金支付与预算相符，不存在无预算超预算支出的情况。</w:t>
      </w:r>
    </w:p>
    <w:p w14:paraId="44E372B1">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（三）项目财务管理情况。</w:t>
      </w:r>
    </w:p>
    <w:p w14:paraId="569A5B2A">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玉泉街办按照</w:t>
      </w:r>
      <w:r>
        <w:rPr>
          <w:rFonts w:hint="default" w:ascii="Times New Roman" w:hAnsi="Times New Roman" w:eastAsia="仿宋_GB2312" w:cs="Times New Roman"/>
          <w:color w:val="auto"/>
          <w:sz w:val="32"/>
          <w:szCs w:val="32"/>
          <w:lang w:val="en-US" w:eastAsia="zh-CN"/>
        </w:rPr>
        <w:t>2022年年初预算安排，</w:t>
      </w:r>
      <w:r>
        <w:rPr>
          <w:rFonts w:hint="default" w:ascii="Times New Roman" w:hAnsi="Times New Roman" w:eastAsia="仿宋_GB2312" w:cs="Times New Roman"/>
          <w:color w:val="auto"/>
          <w:sz w:val="32"/>
          <w:szCs w:val="32"/>
          <w:lang w:val="zh-CN"/>
        </w:rPr>
        <w:t>根据年度人大代表工作开展情况向区财政局申报预算，并严格按照街办财务管理制度审批和支付费用。玉泉街办财务机构设置合理，财务制度健全完善，项目支出会计核算及账务处理规范。</w:t>
      </w:r>
    </w:p>
    <w:p w14:paraId="60137241">
      <w:pPr>
        <w:adjustRightInd w:val="0"/>
        <w:snapToGrid w:val="0"/>
        <w:spacing w:line="578" w:lineRule="exact"/>
        <w:ind w:firstLine="720"/>
        <w:rPr>
          <w:rFonts w:hint="default" w:ascii="Times New Roman" w:hAnsi="Times New Roman" w:eastAsia="黑体" w:cs="Times New Roman"/>
          <w:color w:val="auto"/>
          <w:sz w:val="32"/>
          <w:szCs w:val="32"/>
        </w:rPr>
      </w:pPr>
      <w:bookmarkStart w:id="91" w:name="_Toc24352_WPSOffice_Level2"/>
      <w:bookmarkStart w:id="92" w:name="_Toc6953_WPSOffice_Level2"/>
      <w:bookmarkStart w:id="93" w:name="_Toc4720_WPSOffice_Level2"/>
      <w:r>
        <w:rPr>
          <w:rFonts w:hint="default" w:ascii="Times New Roman" w:hAnsi="Times New Roman" w:eastAsia="黑体" w:cs="Times New Roman"/>
          <w:color w:val="auto"/>
          <w:sz w:val="32"/>
          <w:szCs w:val="32"/>
        </w:rPr>
        <w:t>三、项目实施及管理情况</w:t>
      </w:r>
      <w:bookmarkEnd w:id="91"/>
      <w:bookmarkEnd w:id="92"/>
      <w:bookmarkEnd w:id="93"/>
    </w:p>
    <w:p w14:paraId="172ED829">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（一）项目组织架构及实施流程。</w:t>
      </w:r>
    </w:p>
    <w:p w14:paraId="675FC1CE">
      <w:pPr>
        <w:adjustRightInd w:val="0"/>
        <w:snapToGrid w:val="0"/>
        <w:spacing w:line="578"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玉泉街办党建办严格按照该项目事前规划实施，将所有经费全部用在人大代表之家的建设、运行和维护中。</w:t>
      </w:r>
    </w:p>
    <w:p w14:paraId="10AED2F8">
      <w:pPr>
        <w:numPr>
          <w:ilvl w:val="0"/>
          <w:numId w:val="7"/>
        </w:num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项目管理情况。</w:t>
      </w:r>
    </w:p>
    <w:p w14:paraId="51B9BAC5">
      <w:pPr>
        <w:numPr>
          <w:ilvl w:val="0"/>
          <w:numId w:val="0"/>
        </w:numPr>
        <w:adjustRightInd w:val="0"/>
        <w:snapToGrid w:val="0"/>
        <w:spacing w:line="578" w:lineRule="exact"/>
        <w:ind w:firstLine="640" w:firstLineChars="200"/>
        <w:rPr>
          <w:rFonts w:hint="default" w:ascii="Times New Roman" w:hAnsi="Times New Roman" w:eastAsia="楷体_GB2312" w:cs="Times New Roman"/>
          <w:b/>
          <w:color w:val="auto"/>
          <w:sz w:val="32"/>
          <w:szCs w:val="32"/>
          <w:lang w:val="zh-CN"/>
        </w:rPr>
      </w:pPr>
      <w:r>
        <w:rPr>
          <w:rFonts w:hint="default" w:ascii="Times New Roman" w:hAnsi="Times New Roman" w:eastAsia="仿宋_GB2312" w:cs="Times New Roman"/>
          <w:color w:val="auto"/>
          <w:sz w:val="32"/>
          <w:szCs w:val="32"/>
          <w:lang w:val="zh-CN"/>
        </w:rPr>
        <w:t>在项目实施后，业务经办人员对所采购的货物进行验收，严格按照财务制度、报销流程，一事一报，完成支付手续。</w:t>
      </w:r>
    </w:p>
    <w:p w14:paraId="11BF5232">
      <w:pPr>
        <w:numPr>
          <w:ilvl w:val="0"/>
          <w:numId w:val="7"/>
        </w:numPr>
        <w:adjustRightInd w:val="0"/>
        <w:snapToGrid w:val="0"/>
        <w:spacing w:line="600" w:lineRule="exact"/>
        <w:ind w:left="0" w:leftChars="0" w:firstLine="720" w:firstLineChars="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项目监管情况。</w:t>
      </w:r>
    </w:p>
    <w:p w14:paraId="74B4BB09">
      <w:pPr>
        <w:numPr>
          <w:ilvl w:val="0"/>
          <w:numId w:val="0"/>
        </w:numPr>
        <w:adjustRightInd w:val="0"/>
        <w:snapToGrid w:val="0"/>
        <w:spacing w:line="578" w:lineRule="exact"/>
        <w:ind w:firstLine="640" w:firstLineChars="20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为规范管理，强化廉政风险防控，确保该笔项目资金完全运用在人大代表之家的建设中，</w:t>
      </w:r>
      <w:r>
        <w:rPr>
          <w:rFonts w:hint="default" w:ascii="Times New Roman" w:hAnsi="Times New Roman" w:eastAsia="仿宋_GB2312" w:cs="Times New Roman"/>
          <w:color w:val="auto"/>
          <w:sz w:val="32"/>
          <w:szCs w:val="32"/>
        </w:rPr>
        <w:t xml:space="preserve">街道纪工委也将全程监督相关经费的使用情况，杜绝浪费等情形出现。   </w:t>
      </w:r>
    </w:p>
    <w:p w14:paraId="7735CA14">
      <w:pPr>
        <w:adjustRightInd w:val="0"/>
        <w:snapToGrid w:val="0"/>
        <w:spacing w:line="578" w:lineRule="exact"/>
        <w:ind w:firstLine="720"/>
        <w:rPr>
          <w:rFonts w:hint="default" w:ascii="Times New Roman" w:hAnsi="Times New Roman" w:cs="Times New Roman"/>
          <w:color w:val="auto"/>
          <w:sz w:val="32"/>
          <w:szCs w:val="32"/>
          <w:lang w:val="zh-CN"/>
        </w:rPr>
      </w:pPr>
      <w:bookmarkStart w:id="94" w:name="_Toc9051_WPSOffice_Level2"/>
      <w:bookmarkStart w:id="95" w:name="_Toc30507_WPSOffice_Level2"/>
      <w:bookmarkStart w:id="96" w:name="_Toc576_WPSOffice_Level2"/>
      <w:r>
        <w:rPr>
          <w:rFonts w:hint="default" w:ascii="Times New Roman" w:hAnsi="Times New Roman" w:eastAsia="黑体" w:cs="Times New Roman"/>
          <w:color w:val="auto"/>
          <w:sz w:val="32"/>
          <w:szCs w:val="32"/>
        </w:rPr>
        <w:t>四、项目绩效情况</w:t>
      </w:r>
      <w:bookmarkEnd w:id="94"/>
      <w:bookmarkEnd w:id="95"/>
      <w:bookmarkEnd w:id="96"/>
      <w:r>
        <w:rPr>
          <w:rFonts w:hint="default" w:ascii="Times New Roman" w:hAnsi="Times New Roman" w:cs="Times New Roman"/>
          <w:color w:val="auto"/>
          <w:sz w:val="32"/>
          <w:szCs w:val="32"/>
          <w:lang w:val="zh-CN"/>
        </w:rPr>
        <w:tab/>
      </w:r>
    </w:p>
    <w:p w14:paraId="27016E7D">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（一）项目完成情况。</w:t>
      </w:r>
    </w:p>
    <w:p w14:paraId="3547B952">
      <w:pPr>
        <w:adjustRightInd w:val="0"/>
        <w:snapToGrid w:val="0"/>
        <w:spacing w:line="600" w:lineRule="exact"/>
        <w:ind w:firstLine="720"/>
        <w:rPr>
          <w:rFonts w:hint="default" w:ascii="Times New Roman" w:hAnsi="Times New Roman" w:eastAsia="仿宋_GB2312" w:cs="Times New Roman"/>
          <w:b/>
          <w:color w:val="auto"/>
          <w:sz w:val="32"/>
          <w:szCs w:val="32"/>
          <w:lang w:val="zh-CN"/>
        </w:rPr>
      </w:pPr>
      <w:r>
        <w:rPr>
          <w:rFonts w:hint="default" w:ascii="Times New Roman" w:hAnsi="Times New Roman" w:eastAsia="仿宋_GB2312" w:cs="Times New Roman"/>
          <w:color w:val="auto"/>
          <w:sz w:val="32"/>
          <w:szCs w:val="32"/>
          <w:lang w:val="zh-CN"/>
        </w:rPr>
        <w:t>2022年支付人大代表工作经费</w:t>
      </w:r>
      <w:r>
        <w:rPr>
          <w:rFonts w:hint="default" w:ascii="Times New Roman" w:hAnsi="Times New Roman" w:eastAsia="仿宋_GB2312" w:cs="Times New Roman"/>
          <w:color w:val="auto"/>
          <w:sz w:val="32"/>
          <w:szCs w:val="32"/>
          <w:lang w:val="en-US" w:eastAsia="zh-CN"/>
        </w:rPr>
        <w:t>1.00万元，严格按照财务制度，根据合同、票据金额，计算报销。</w:t>
      </w:r>
      <w:r>
        <w:rPr>
          <w:rFonts w:hint="default" w:ascii="Times New Roman" w:hAnsi="Times New Roman" w:eastAsia="仿宋_GB2312" w:cs="Times New Roman"/>
          <w:color w:val="auto"/>
          <w:sz w:val="32"/>
          <w:szCs w:val="32"/>
          <w:lang w:val="zh-CN"/>
        </w:rPr>
        <w:t>成本控制较好，</w:t>
      </w:r>
      <w:r>
        <w:rPr>
          <w:rFonts w:hint="default" w:ascii="Times New Roman" w:hAnsi="Times New Roman" w:eastAsia="仿宋_GB2312" w:cs="Times New Roman"/>
          <w:color w:val="auto"/>
          <w:sz w:val="32"/>
          <w:szCs w:val="32"/>
        </w:rPr>
        <w:t>项目无资金结余</w:t>
      </w:r>
      <w:r>
        <w:rPr>
          <w:rFonts w:hint="default" w:ascii="Times New Roman" w:hAnsi="Times New Roman" w:eastAsia="仿宋_GB2312" w:cs="Times New Roman"/>
          <w:color w:val="auto"/>
          <w:sz w:val="32"/>
          <w:szCs w:val="32"/>
          <w:lang w:val="zh-CN"/>
        </w:rPr>
        <w:t>。</w:t>
      </w:r>
    </w:p>
    <w:p w14:paraId="08139347">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（二）项目效益情况。</w:t>
      </w:r>
    </w:p>
    <w:p w14:paraId="2F57357A">
      <w:pPr>
        <w:pStyle w:val="2"/>
        <w:spacing w:before="93"/>
        <w:ind w:firstLine="640" w:firstLineChars="200"/>
        <w:rPr>
          <w:rFonts w:hint="default" w:ascii="Times New Roman" w:hAnsi="Times New Roman" w:cs="Times New Roman"/>
          <w:color w:val="auto"/>
          <w:lang w:val="zh-CN"/>
        </w:rPr>
      </w:pPr>
      <w:r>
        <w:rPr>
          <w:rFonts w:hint="default" w:ascii="Times New Roman" w:hAnsi="Times New Roman" w:cs="Times New Roman"/>
          <w:color w:val="auto"/>
          <w:sz w:val="32"/>
          <w:szCs w:val="32"/>
          <w:lang w:val="zh-CN"/>
        </w:rPr>
        <w:t>项目的实施是有效落实国家对项目预算评审的管理要求，为财政预算管理提供技术支撑，严格控制项目投资，节约财政资金，有效提高资金使用效率。</w:t>
      </w:r>
    </w:p>
    <w:p w14:paraId="1C7B4134">
      <w:pPr>
        <w:adjustRightInd w:val="0"/>
        <w:snapToGrid w:val="0"/>
        <w:spacing w:line="578" w:lineRule="exact"/>
        <w:ind w:firstLine="720"/>
        <w:rPr>
          <w:rFonts w:hint="default" w:ascii="Times New Roman" w:hAnsi="Times New Roman" w:eastAsia="黑体" w:cs="Times New Roman"/>
          <w:color w:val="auto"/>
          <w:sz w:val="32"/>
          <w:szCs w:val="32"/>
        </w:rPr>
      </w:pPr>
      <w:bookmarkStart w:id="97" w:name="_Toc25988_WPSOffice_Level2"/>
      <w:bookmarkStart w:id="98" w:name="_Toc31683_WPSOffice_Level2"/>
      <w:bookmarkStart w:id="99" w:name="_Toc23803_WPSOffice_Level2"/>
      <w:r>
        <w:rPr>
          <w:rFonts w:hint="default" w:ascii="Times New Roman" w:hAnsi="Times New Roman" w:eastAsia="黑体" w:cs="Times New Roman"/>
          <w:color w:val="auto"/>
          <w:sz w:val="32"/>
          <w:szCs w:val="32"/>
        </w:rPr>
        <w:t>五、评价结论及建议</w:t>
      </w:r>
      <w:bookmarkEnd w:id="97"/>
      <w:bookmarkEnd w:id="98"/>
      <w:bookmarkEnd w:id="99"/>
    </w:p>
    <w:p w14:paraId="6AA78107">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（一）评价结论。</w:t>
      </w:r>
    </w:p>
    <w:p w14:paraId="401C310C">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eastAsia="zh-CN"/>
        </w:rPr>
        <w:t>人大代表之家的建设</w:t>
      </w:r>
      <w:r>
        <w:rPr>
          <w:rFonts w:hint="default" w:ascii="Times New Roman" w:hAnsi="Times New Roman" w:cs="Times New Roman"/>
          <w:color w:val="auto"/>
          <w:sz w:val="32"/>
          <w:szCs w:val="32"/>
          <w:lang w:val="zh-CN"/>
        </w:rPr>
        <w:t>得到了服务对象的高度评价，为人大代表履职提供了平台，大大提高了</w:t>
      </w:r>
      <w:r>
        <w:rPr>
          <w:rFonts w:hint="default" w:ascii="Times New Roman" w:hAnsi="Times New Roman" w:cs="Times New Roman"/>
          <w:color w:val="auto"/>
          <w:sz w:val="32"/>
          <w:szCs w:val="32"/>
        </w:rPr>
        <w:t>工</w:t>
      </w:r>
      <w:r>
        <w:rPr>
          <w:rFonts w:hint="default" w:ascii="Times New Roman" w:hAnsi="Times New Roman" w:cs="Times New Roman"/>
          <w:color w:val="auto"/>
          <w:sz w:val="32"/>
          <w:szCs w:val="32"/>
          <w:lang w:val="zh-CN"/>
        </w:rPr>
        <w:t>作效率。</w:t>
      </w:r>
    </w:p>
    <w:p w14:paraId="0C38D86B">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（二）存在的问题。</w:t>
      </w:r>
    </w:p>
    <w:p w14:paraId="5FB6FA2B">
      <w:pPr>
        <w:adjustRightInd w:val="0"/>
        <w:snapToGrid w:val="0"/>
        <w:spacing w:line="578" w:lineRule="exact"/>
        <w:ind w:firstLine="72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无</w:t>
      </w:r>
    </w:p>
    <w:p w14:paraId="31DF00F9">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（三）相关建议。</w:t>
      </w:r>
    </w:p>
    <w:p w14:paraId="7BAB030E">
      <w:pPr>
        <w:numPr>
          <w:ilvl w:val="0"/>
          <w:numId w:val="0"/>
        </w:numPr>
        <w:adjustRightInd w:val="0"/>
        <w:snapToGrid w:val="0"/>
        <w:spacing w:line="578" w:lineRule="exact"/>
        <w:ind w:left="720" w:leftChars="0"/>
        <w:rPr>
          <w:rStyle w:val="31"/>
          <w:rFonts w:hint="default" w:ascii="Times New Roman" w:hAnsi="Times New Roman" w:eastAsia="黑体" w:cs="Times New Roman"/>
          <w:b w:val="0"/>
          <w:color w:val="auto"/>
        </w:rPr>
      </w:pPr>
      <w:r>
        <w:rPr>
          <w:rFonts w:hint="default" w:ascii="Times New Roman" w:hAnsi="Times New Roman" w:eastAsia="仿宋_GB2312" w:cs="Times New Roman"/>
          <w:color w:val="auto"/>
          <w:kern w:val="0"/>
          <w:sz w:val="32"/>
          <w:szCs w:val="32"/>
          <w:shd w:val="clear" w:color="auto" w:fill="FFFFFF"/>
          <w:lang w:val="en-US" w:eastAsia="zh-CN"/>
        </w:rPr>
        <w:t>无</w:t>
      </w:r>
      <w:r>
        <w:rPr>
          <w:rStyle w:val="31"/>
          <w:rFonts w:hint="default" w:ascii="Times New Roman" w:hAnsi="Times New Roman" w:eastAsia="黑体" w:cs="Times New Roman"/>
          <w:b w:val="0"/>
          <w:color w:val="auto"/>
        </w:rPr>
        <w:br w:type="page"/>
      </w:r>
    </w:p>
    <w:p w14:paraId="319ABB3E">
      <w:pPr>
        <w:pStyle w:val="37"/>
        <w:spacing w:line="578" w:lineRule="exact"/>
        <w:jc w:val="center"/>
        <w:rPr>
          <w:rFonts w:hint="default" w:ascii="Times New Roman" w:hAnsi="Times New Roman" w:eastAsia="方正小标宋简体" w:cs="Times New Roman"/>
          <w:color w:val="auto"/>
          <w:kern w:val="2"/>
          <w:sz w:val="44"/>
          <w:szCs w:val="44"/>
          <w:lang w:val="en-US" w:eastAsia="zh-CN"/>
        </w:rPr>
      </w:pPr>
      <w:bookmarkStart w:id="100" w:name="_Toc8197_WPSOffice_Level2"/>
      <w:bookmarkStart w:id="101" w:name="_Toc18344_WPSOffice_Level2"/>
      <w:bookmarkStart w:id="102" w:name="_Toc31377_WPSOffice_Level2"/>
      <w:r>
        <w:rPr>
          <w:rFonts w:hint="default" w:ascii="Times New Roman" w:hAnsi="Times New Roman" w:eastAsia="方正小标宋简体" w:cs="Times New Roman"/>
          <w:color w:val="auto"/>
          <w:kern w:val="2"/>
          <w:sz w:val="44"/>
          <w:szCs w:val="44"/>
          <w:lang w:val="en-US" w:eastAsia="zh-CN"/>
        </w:rPr>
        <w:t>政协委员联络站工作经费</w:t>
      </w:r>
      <w:bookmarkEnd w:id="100"/>
      <w:bookmarkEnd w:id="101"/>
      <w:bookmarkEnd w:id="102"/>
    </w:p>
    <w:p w14:paraId="5EA4681F">
      <w:pPr>
        <w:adjustRightInd w:val="0"/>
        <w:snapToGrid w:val="0"/>
        <w:spacing w:line="578" w:lineRule="exact"/>
        <w:ind w:firstLine="720"/>
        <w:rPr>
          <w:rFonts w:hint="default" w:ascii="Times New Roman" w:hAnsi="Times New Roman" w:eastAsia="黑体" w:cs="Times New Roman"/>
          <w:color w:val="auto"/>
          <w:sz w:val="32"/>
          <w:szCs w:val="32"/>
          <w:lang w:val="zh-CN"/>
        </w:rPr>
      </w:pPr>
      <w:bookmarkStart w:id="103" w:name="_Toc373_WPSOffice_Level2"/>
      <w:bookmarkStart w:id="104" w:name="_Toc9612_WPSOffice_Level2"/>
      <w:bookmarkStart w:id="105" w:name="_Toc32253_WPSOffice_Level2"/>
      <w:r>
        <w:rPr>
          <w:rFonts w:hint="default" w:ascii="Times New Roman" w:hAnsi="Times New Roman" w:eastAsia="黑体" w:cs="Times New Roman"/>
          <w:color w:val="auto"/>
          <w:sz w:val="32"/>
          <w:szCs w:val="32"/>
        </w:rPr>
        <w:t>一、</w:t>
      </w:r>
      <w:r>
        <w:rPr>
          <w:rFonts w:hint="default" w:ascii="Times New Roman" w:hAnsi="Times New Roman" w:eastAsia="黑体" w:cs="Times New Roman"/>
          <w:color w:val="auto"/>
          <w:sz w:val="32"/>
          <w:szCs w:val="32"/>
          <w:lang w:val="zh-CN"/>
        </w:rPr>
        <w:t>项目概况</w:t>
      </w:r>
      <w:bookmarkEnd w:id="103"/>
      <w:bookmarkEnd w:id="104"/>
      <w:bookmarkEnd w:id="105"/>
    </w:p>
    <w:p w14:paraId="0FC9011F">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（一）项目基本情况。</w:t>
      </w:r>
    </w:p>
    <w:p w14:paraId="213E0AA6">
      <w:pPr>
        <w:widowControl/>
        <w:adjustRightInd w:val="0"/>
        <w:snapToGrid w:val="0"/>
        <w:spacing w:line="600" w:lineRule="exact"/>
        <w:ind w:firstLine="640" w:firstLineChars="200"/>
        <w:contextualSpacing/>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政协委员联络站是政协大会闭会期间代表开展常态化活动的主要场所，是密切联系群众、依法规范履职、推进问题解决的重要平台。政协委员联络站工作经费是阵地标准化建设、组织学习、联系群众等工作的经费来源及保障。</w:t>
      </w:r>
    </w:p>
    <w:p w14:paraId="380E651A">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（二）项目绩效目标。</w:t>
      </w:r>
    </w:p>
    <w:p w14:paraId="100C9E69">
      <w:pPr>
        <w:widowControl/>
        <w:adjustRightInd w:val="0"/>
        <w:snapToGrid w:val="0"/>
        <w:spacing w:line="578" w:lineRule="exact"/>
        <w:ind w:firstLine="960" w:firstLineChars="300"/>
        <w:contextualSpacing/>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rPr>
        <w:t>1.</w:t>
      </w:r>
      <w:r>
        <w:rPr>
          <w:rFonts w:hint="default" w:ascii="Times New Roman" w:hAnsi="Times New Roman" w:eastAsia="仿宋_GB2312" w:cs="Times New Roman"/>
          <w:color w:val="auto"/>
          <w:kern w:val="0"/>
          <w:sz w:val="32"/>
          <w:szCs w:val="32"/>
          <w:shd w:val="clear" w:color="auto" w:fill="FFFFFF"/>
          <w:lang w:val="zh-CN"/>
        </w:rPr>
        <w:t>项目主要内容。</w:t>
      </w:r>
    </w:p>
    <w:p w14:paraId="7C544019">
      <w:pPr>
        <w:widowControl/>
        <w:adjustRightInd w:val="0"/>
        <w:snapToGrid w:val="0"/>
        <w:spacing w:line="600" w:lineRule="exact"/>
        <w:ind w:firstLine="640" w:firstLineChars="200"/>
        <w:contextualSpacing/>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街道政协工作每年的开展均会设立年度工作任务目标，每年年底上级部门均会对街道的政协工作运行情况进行考核。在“六簿二册”内容的更新，在统一规范牌子、代表基本信息公示、活动制度、年度活动计划的落实，为代表出席代表大会、审议政府工作报告等报告作准备，确保代表提出代表议案、建议、批评和意见等方面进行监督检查。</w:t>
      </w:r>
    </w:p>
    <w:p w14:paraId="1A3B21FB">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rPr>
        <w:t>项目绩效目标。</w:t>
      </w:r>
    </w:p>
    <w:p w14:paraId="2F42FAD0">
      <w:pPr>
        <w:widowControl/>
        <w:adjustRightInd w:val="0"/>
        <w:snapToGrid w:val="0"/>
        <w:spacing w:line="600" w:lineRule="exact"/>
        <w:ind w:firstLine="640" w:firstLineChars="200"/>
        <w:contextualSpacing/>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en-US" w:eastAsia="zh-CN"/>
        </w:rPr>
        <w:t>按照相关要求规定，优化政协委员联络站履职服务保障功能室打造、开展代表活动</w:t>
      </w:r>
      <w:r>
        <w:rPr>
          <w:rFonts w:hint="default" w:ascii="Times New Roman" w:hAnsi="Times New Roman" w:eastAsia="仿宋_GB2312" w:cs="Times New Roman"/>
          <w:color w:val="auto"/>
          <w:kern w:val="0"/>
          <w:sz w:val="32"/>
          <w:szCs w:val="32"/>
          <w:shd w:val="clear" w:color="auto" w:fill="FFFFFF"/>
          <w:lang w:val="zh-CN"/>
        </w:rPr>
        <w:t>，配合做好政协委员履职工作，密切联系群众，推进问题解决。</w:t>
      </w:r>
    </w:p>
    <w:p w14:paraId="4A0BB124">
      <w:pPr>
        <w:widowControl/>
        <w:adjustRightInd w:val="0"/>
        <w:snapToGrid w:val="0"/>
        <w:spacing w:line="600" w:lineRule="exact"/>
        <w:ind w:firstLine="640" w:firstLineChars="200"/>
        <w:contextualSpacing/>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CN" w:eastAsia="zh-CN"/>
        </w:rPr>
        <w:t>项目资金申报相符性。</w:t>
      </w:r>
    </w:p>
    <w:p w14:paraId="5389EB92">
      <w:pPr>
        <w:widowControl/>
        <w:adjustRightInd w:val="0"/>
        <w:snapToGrid w:val="0"/>
        <w:spacing w:line="600" w:lineRule="exact"/>
        <w:ind w:firstLine="640" w:firstLineChars="200"/>
        <w:contextualSpacing/>
        <w:rPr>
          <w:rFonts w:hint="default" w:ascii="Times New Roman" w:hAnsi="Times New Roman" w:eastAsia="仿宋_GB2312" w:cs="Times New Roman"/>
          <w:color w:val="auto"/>
          <w:kern w:val="0"/>
          <w:sz w:val="32"/>
          <w:szCs w:val="32"/>
          <w:shd w:val="clear" w:color="auto" w:fill="FFFFFF"/>
          <w:lang w:val="zh-CN" w:eastAsia="zh-CN"/>
        </w:rPr>
      </w:pPr>
      <w:r>
        <w:rPr>
          <w:rFonts w:hint="default" w:ascii="Times New Roman" w:hAnsi="Times New Roman" w:eastAsia="仿宋_GB2312" w:cs="Times New Roman"/>
          <w:color w:val="auto"/>
          <w:kern w:val="0"/>
          <w:sz w:val="32"/>
          <w:szCs w:val="32"/>
          <w:shd w:val="clear" w:color="auto" w:fill="FFFFFF"/>
          <w:lang w:val="zh-CN" w:eastAsia="zh-CN"/>
        </w:rPr>
        <w:t>该项目申报内容与具体实施内容相符、申报目标合理可行。</w:t>
      </w:r>
    </w:p>
    <w:p w14:paraId="7512A3CC">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（三）项目自评步骤及方法。</w:t>
      </w:r>
    </w:p>
    <w:p w14:paraId="1A231AFF">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rPr>
        <w:t>1.</w:t>
      </w:r>
      <w:r>
        <w:rPr>
          <w:rFonts w:hint="default" w:ascii="Times New Roman" w:hAnsi="Times New Roman" w:cs="Times New Roman"/>
          <w:color w:val="auto"/>
          <w:sz w:val="32"/>
          <w:szCs w:val="32"/>
          <w:lang w:val="zh-CN"/>
        </w:rPr>
        <w:t>确定评价目标和范围：明确</w:t>
      </w:r>
      <w:r>
        <w:rPr>
          <w:rFonts w:hint="default" w:ascii="Times New Roman" w:hAnsi="Times New Roman" w:cs="Times New Roman"/>
          <w:color w:val="auto"/>
          <w:sz w:val="32"/>
          <w:szCs w:val="32"/>
          <w:lang w:eastAsia="zh-CN"/>
        </w:rPr>
        <w:t>运行、维护、更新政协委员联络站项目的</w:t>
      </w:r>
      <w:r>
        <w:rPr>
          <w:rFonts w:hint="default" w:ascii="Times New Roman" w:hAnsi="Times New Roman" w:cs="Times New Roman"/>
          <w:color w:val="auto"/>
          <w:sz w:val="32"/>
          <w:szCs w:val="32"/>
          <w:lang w:val="zh-CN"/>
        </w:rPr>
        <w:t>整体效果、管理过程、资源利用情况等。</w:t>
      </w:r>
    </w:p>
    <w:p w14:paraId="69D3230A">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rPr>
        <w:t>2.</w:t>
      </w:r>
      <w:r>
        <w:rPr>
          <w:rFonts w:hint="default" w:ascii="Times New Roman" w:hAnsi="Times New Roman" w:cs="Times New Roman"/>
          <w:color w:val="auto"/>
          <w:sz w:val="32"/>
          <w:szCs w:val="32"/>
          <w:lang w:val="zh-CN"/>
        </w:rPr>
        <w:t>收集相关数据和信息：收集</w:t>
      </w:r>
      <w:r>
        <w:rPr>
          <w:rFonts w:hint="default" w:ascii="Times New Roman" w:hAnsi="Times New Roman" w:cs="Times New Roman"/>
          <w:color w:val="auto"/>
          <w:sz w:val="32"/>
          <w:szCs w:val="32"/>
        </w:rPr>
        <w:t>与</w:t>
      </w:r>
      <w:r>
        <w:rPr>
          <w:rFonts w:hint="default" w:ascii="Times New Roman" w:hAnsi="Times New Roman" w:cs="Times New Roman"/>
          <w:color w:val="auto"/>
          <w:sz w:val="32"/>
          <w:szCs w:val="32"/>
          <w:lang w:eastAsia="zh-CN"/>
        </w:rPr>
        <w:t>更新政协委员联络站设施设备的</w:t>
      </w:r>
      <w:r>
        <w:rPr>
          <w:rFonts w:hint="default" w:ascii="Times New Roman" w:hAnsi="Times New Roman" w:cs="Times New Roman"/>
          <w:color w:val="auto"/>
          <w:sz w:val="32"/>
          <w:szCs w:val="32"/>
          <w:lang w:val="zh-CN"/>
        </w:rPr>
        <w:t>各种数据和信息，分析成本控制情况等。</w:t>
      </w:r>
    </w:p>
    <w:p w14:paraId="04DBFF33">
      <w:pPr>
        <w:adjustRightInd w:val="0"/>
        <w:snapToGrid w:val="0"/>
        <w:spacing w:line="578" w:lineRule="exact"/>
        <w:ind w:firstLine="720"/>
        <w:rPr>
          <w:rFonts w:hint="default" w:ascii="Times New Roman" w:hAnsi="Times New Roman" w:eastAsia="黑体" w:cs="Times New Roman"/>
          <w:color w:val="auto"/>
          <w:sz w:val="32"/>
          <w:szCs w:val="32"/>
        </w:rPr>
      </w:pPr>
      <w:bookmarkStart w:id="106" w:name="_Toc12838_WPSOffice_Level2"/>
      <w:bookmarkStart w:id="107" w:name="_Toc19018_WPSOffice_Level2"/>
      <w:bookmarkStart w:id="108" w:name="_Toc15355_WPSOffice_Level2"/>
      <w:r>
        <w:rPr>
          <w:rFonts w:hint="default" w:ascii="Times New Roman" w:hAnsi="Times New Roman" w:eastAsia="黑体" w:cs="Times New Roman"/>
          <w:color w:val="auto"/>
          <w:sz w:val="32"/>
          <w:szCs w:val="32"/>
        </w:rPr>
        <w:t>二、项目资金申报及使用情况</w:t>
      </w:r>
      <w:bookmarkEnd w:id="106"/>
      <w:bookmarkEnd w:id="107"/>
      <w:bookmarkEnd w:id="108"/>
    </w:p>
    <w:p w14:paraId="408BC106">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（一）项目资金申报及批复情况。</w:t>
      </w:r>
    </w:p>
    <w:p w14:paraId="2C3A6734">
      <w:pPr>
        <w:adjustRightInd w:val="0"/>
        <w:snapToGrid w:val="0"/>
        <w:spacing w:line="600" w:lineRule="exact"/>
        <w:ind w:firstLine="720"/>
        <w:rPr>
          <w:rFonts w:hint="default" w:ascii="Times New Roman" w:hAnsi="Times New Roman" w:cs="Times New Roman"/>
          <w:color w:val="auto"/>
          <w:lang w:val="zh-CN"/>
        </w:rPr>
      </w:pPr>
      <w:r>
        <w:rPr>
          <w:rFonts w:hint="default" w:ascii="Times New Roman" w:hAnsi="Times New Roman" w:eastAsia="仿宋_GB2312" w:cs="Times New Roman"/>
          <w:color w:val="auto"/>
          <w:sz w:val="32"/>
          <w:szCs w:val="32"/>
          <w:lang w:val="zh-CN"/>
        </w:rPr>
        <w:t>玉泉街办在</w:t>
      </w:r>
      <w:r>
        <w:rPr>
          <w:rFonts w:hint="default" w:ascii="Times New Roman" w:hAnsi="Times New Roman" w:eastAsia="仿宋_GB2312" w:cs="Times New Roman"/>
          <w:color w:val="auto"/>
          <w:sz w:val="32"/>
          <w:szCs w:val="32"/>
          <w:lang w:val="en-US" w:eastAsia="zh-CN"/>
        </w:rPr>
        <w:t>2022年初</w:t>
      </w:r>
      <w:r>
        <w:rPr>
          <w:rFonts w:hint="default" w:ascii="Times New Roman" w:hAnsi="Times New Roman" w:eastAsia="仿宋_GB2312" w:cs="Times New Roman"/>
          <w:color w:val="auto"/>
          <w:sz w:val="32"/>
          <w:szCs w:val="32"/>
          <w:lang w:val="zh-CN"/>
        </w:rPr>
        <w:t>根据年初预算安排进行项目申报，区财政局按照（攀西财〔2022〕101号）下达预算资金</w:t>
      </w:r>
      <w:r>
        <w:rPr>
          <w:rFonts w:hint="default" w:ascii="Times New Roman" w:hAnsi="Times New Roman" w:eastAsia="仿宋_GB2312" w:cs="Times New Roman"/>
          <w:color w:val="auto"/>
          <w:sz w:val="32"/>
          <w:szCs w:val="32"/>
          <w:lang w:val="en-US" w:eastAsia="zh-CN"/>
        </w:rPr>
        <w:t>1.00万元</w:t>
      </w:r>
      <w:r>
        <w:rPr>
          <w:rFonts w:hint="default" w:ascii="Times New Roman" w:hAnsi="Times New Roman" w:eastAsia="仿宋_GB2312" w:cs="Times New Roman"/>
          <w:color w:val="auto"/>
          <w:sz w:val="32"/>
          <w:szCs w:val="32"/>
          <w:lang w:val="zh-CN"/>
        </w:rPr>
        <w:t>。</w:t>
      </w:r>
    </w:p>
    <w:p w14:paraId="03524D75">
      <w:pPr>
        <w:adjustRightInd w:val="0"/>
        <w:snapToGrid w:val="0"/>
        <w:spacing w:line="578" w:lineRule="exact"/>
        <w:ind w:firstLine="720"/>
        <w:rPr>
          <w:rFonts w:hint="default" w:ascii="Times New Roman" w:hAnsi="Times New Roman" w:cs="Times New Roman"/>
          <w:color w:val="auto"/>
          <w:sz w:val="32"/>
          <w:szCs w:val="32"/>
          <w:lang w:val="zh-CN"/>
        </w:rPr>
      </w:pPr>
      <w:r>
        <w:rPr>
          <w:rFonts w:hint="default" w:ascii="Times New Roman" w:hAnsi="Times New Roman" w:eastAsia="楷体_GB2312" w:cs="Times New Roman"/>
          <w:b/>
          <w:color w:val="auto"/>
          <w:sz w:val="32"/>
          <w:szCs w:val="32"/>
          <w:lang w:val="zh-CN"/>
        </w:rPr>
        <w:t>（二）资金计划、到位及使用情况。</w:t>
      </w:r>
    </w:p>
    <w:p w14:paraId="5F90A04D">
      <w:pPr>
        <w:adjustRightInd w:val="0"/>
        <w:snapToGrid w:val="0"/>
        <w:spacing w:line="600" w:lineRule="exact"/>
        <w:ind w:firstLine="72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1．资金计划。</w:t>
      </w:r>
      <w:r>
        <w:rPr>
          <w:rFonts w:hint="default" w:ascii="Times New Roman" w:hAnsi="Times New Roman" w:eastAsia="仿宋_GB2312" w:cs="Times New Roman"/>
          <w:color w:val="auto"/>
          <w:sz w:val="32"/>
          <w:szCs w:val="32"/>
          <w:lang w:val="zh-CN"/>
        </w:rPr>
        <w:t>2022年计划支付</w:t>
      </w:r>
      <w:r>
        <w:rPr>
          <w:rFonts w:hint="default" w:ascii="Times New Roman" w:hAnsi="Times New Roman" w:eastAsia="仿宋_GB2312" w:cs="Times New Roman"/>
          <w:color w:val="auto"/>
          <w:sz w:val="32"/>
          <w:szCs w:val="32"/>
          <w:lang w:val="zh-CN" w:eastAsia="zh-CN"/>
        </w:rPr>
        <w:t>政协委员联络站工作经费</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lang w:val="zh-CN"/>
        </w:rPr>
        <w:t>万元。</w:t>
      </w:r>
    </w:p>
    <w:p w14:paraId="45BED225">
      <w:pPr>
        <w:adjustRightInd w:val="0"/>
        <w:snapToGrid w:val="0"/>
        <w:spacing w:line="600" w:lineRule="exact"/>
        <w:ind w:firstLine="720"/>
        <w:rPr>
          <w:rFonts w:hint="default" w:ascii="Times New Roman" w:hAnsi="Times New Roman" w:eastAsia="仿宋_GB2312" w:cs="Times New Roman"/>
          <w:b/>
          <w:color w:val="auto"/>
          <w:sz w:val="32"/>
          <w:szCs w:val="32"/>
          <w:lang w:val="zh-CN"/>
        </w:rPr>
      </w:pPr>
      <w:r>
        <w:rPr>
          <w:rFonts w:hint="default" w:ascii="Times New Roman" w:hAnsi="Times New Roman" w:eastAsia="仿宋_GB2312" w:cs="Times New Roman"/>
          <w:color w:val="auto"/>
          <w:kern w:val="0"/>
          <w:sz w:val="32"/>
          <w:szCs w:val="32"/>
          <w:shd w:val="clear" w:color="auto" w:fill="FFFFFF"/>
          <w:lang w:val="zh-CN"/>
        </w:rPr>
        <w:t>2．资金到位。</w:t>
      </w:r>
      <w:r>
        <w:rPr>
          <w:rFonts w:hint="default" w:ascii="Times New Roman" w:hAnsi="Times New Roman" w:eastAsia="仿宋_GB2312" w:cs="Times New Roman"/>
          <w:color w:val="auto"/>
          <w:sz w:val="32"/>
          <w:szCs w:val="32"/>
          <w:lang w:val="zh-CN"/>
        </w:rPr>
        <w:t>截至评价时点实际到位资金</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lang w:val="zh-CN"/>
        </w:rPr>
        <w:t>万元，全部为区级财政资金。资金到位及时，资金到位率100%。</w:t>
      </w:r>
    </w:p>
    <w:p w14:paraId="37A56185">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en-US" w:eastAsia="zh-CN"/>
        </w:rPr>
        <w:t>3.</w:t>
      </w:r>
      <w:r>
        <w:rPr>
          <w:rFonts w:hint="default" w:ascii="Times New Roman" w:hAnsi="Times New Roman" w:eastAsia="仿宋_GB2312" w:cs="Times New Roman"/>
          <w:color w:val="auto"/>
          <w:kern w:val="0"/>
          <w:sz w:val="32"/>
          <w:szCs w:val="32"/>
          <w:shd w:val="clear" w:color="auto" w:fill="FFFFFF"/>
          <w:lang w:val="zh-CN"/>
        </w:rPr>
        <w:t>资金使用。</w:t>
      </w:r>
      <w:r>
        <w:rPr>
          <w:rFonts w:hint="default" w:ascii="Times New Roman" w:hAnsi="Times New Roman" w:eastAsia="仿宋_GB2312" w:cs="Times New Roman"/>
          <w:color w:val="auto"/>
          <w:sz w:val="32"/>
          <w:szCs w:val="32"/>
          <w:lang w:val="zh-CN"/>
        </w:rPr>
        <w:t>截至评价时点，实际支出</w:t>
      </w:r>
      <w:r>
        <w:rPr>
          <w:rFonts w:hint="default" w:ascii="Times New Roman" w:hAnsi="Times New Roman" w:eastAsia="仿宋_GB2312" w:cs="Times New Roman"/>
          <w:color w:val="auto"/>
          <w:sz w:val="32"/>
          <w:szCs w:val="32"/>
          <w:lang w:val="zh-CN" w:eastAsia="zh-CN"/>
        </w:rPr>
        <w:t>政协委员联络站工作经费</w:t>
      </w:r>
      <w:r>
        <w:rPr>
          <w:rFonts w:hint="default" w:ascii="Times New Roman" w:hAnsi="Times New Roman" w:eastAsia="仿宋_GB2312" w:cs="Times New Roman"/>
          <w:color w:val="auto"/>
          <w:sz w:val="32"/>
          <w:szCs w:val="32"/>
          <w:lang w:val="en-US" w:eastAsia="zh-CN"/>
        </w:rPr>
        <w:t>1.00万元</w:t>
      </w:r>
      <w:r>
        <w:rPr>
          <w:rFonts w:hint="default" w:ascii="Times New Roman" w:hAnsi="Times New Roman" w:eastAsia="仿宋_GB2312" w:cs="Times New Roman"/>
          <w:color w:val="auto"/>
          <w:sz w:val="32"/>
          <w:szCs w:val="32"/>
          <w:lang w:val="zh-CN"/>
        </w:rPr>
        <w:t>，资金已全部支付完毕。该项资金全部用于支付街办辖区</w:t>
      </w:r>
      <w:r>
        <w:rPr>
          <w:rFonts w:hint="default" w:ascii="Times New Roman" w:hAnsi="Times New Roman" w:eastAsia="仿宋_GB2312" w:cs="Times New Roman"/>
          <w:color w:val="auto"/>
          <w:sz w:val="32"/>
          <w:szCs w:val="32"/>
          <w:lang w:val="en-US" w:eastAsia="zh-CN"/>
        </w:rPr>
        <w:t>4个社区</w:t>
      </w:r>
      <w:r>
        <w:rPr>
          <w:rFonts w:hint="default" w:ascii="Times New Roman" w:hAnsi="Times New Roman" w:eastAsia="仿宋_GB2312" w:cs="Times New Roman"/>
          <w:color w:val="auto"/>
          <w:sz w:val="32"/>
          <w:szCs w:val="32"/>
          <w:lang w:val="zh-CN" w:eastAsia="zh-CN"/>
        </w:rPr>
        <w:t>政协委员联络站的建设</w:t>
      </w:r>
      <w:r>
        <w:rPr>
          <w:rFonts w:hint="default" w:ascii="Times New Roman" w:hAnsi="Times New Roman" w:eastAsia="仿宋_GB2312" w:cs="Times New Roman"/>
          <w:color w:val="auto"/>
          <w:sz w:val="32"/>
          <w:szCs w:val="32"/>
          <w:lang w:val="zh-CN"/>
        </w:rPr>
        <w:t>。支付依据合规合法，资金支付与预算相符，不存在无预算超预算支出的情况。</w:t>
      </w:r>
    </w:p>
    <w:p w14:paraId="077DC9A0">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（三）项目财务管理情况。</w:t>
      </w:r>
    </w:p>
    <w:p w14:paraId="30382C0B">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玉泉街办按照</w:t>
      </w:r>
      <w:r>
        <w:rPr>
          <w:rFonts w:hint="default" w:ascii="Times New Roman" w:hAnsi="Times New Roman" w:eastAsia="仿宋_GB2312" w:cs="Times New Roman"/>
          <w:color w:val="auto"/>
          <w:sz w:val="32"/>
          <w:szCs w:val="32"/>
          <w:lang w:val="en-US" w:eastAsia="zh-CN"/>
        </w:rPr>
        <w:t>2022年年初预算安排，</w:t>
      </w:r>
      <w:r>
        <w:rPr>
          <w:rFonts w:hint="default" w:ascii="Times New Roman" w:hAnsi="Times New Roman" w:eastAsia="仿宋_GB2312" w:cs="Times New Roman"/>
          <w:color w:val="auto"/>
          <w:sz w:val="32"/>
          <w:szCs w:val="32"/>
          <w:lang w:val="zh-CN"/>
        </w:rPr>
        <w:t>根据年度人大代表工作开展情况向区财政局申报预算，并严格按照街办财务管理制度审批和支付费用。玉泉街办财务机构设置合理，财务制度健全完善，项目支出会计核算及账务处理规范。</w:t>
      </w:r>
    </w:p>
    <w:p w14:paraId="47DBF781">
      <w:pPr>
        <w:adjustRightInd w:val="0"/>
        <w:snapToGrid w:val="0"/>
        <w:spacing w:line="578" w:lineRule="exact"/>
        <w:ind w:firstLine="720"/>
        <w:rPr>
          <w:rFonts w:hint="default" w:ascii="Times New Roman" w:hAnsi="Times New Roman" w:eastAsia="黑体" w:cs="Times New Roman"/>
          <w:color w:val="auto"/>
          <w:sz w:val="32"/>
          <w:szCs w:val="32"/>
        </w:rPr>
      </w:pPr>
      <w:bookmarkStart w:id="109" w:name="_Toc5205_WPSOffice_Level2"/>
      <w:bookmarkStart w:id="110" w:name="_Toc8055_WPSOffice_Level2"/>
      <w:bookmarkStart w:id="111" w:name="_Toc16363_WPSOffice_Level2"/>
      <w:r>
        <w:rPr>
          <w:rFonts w:hint="default" w:ascii="Times New Roman" w:hAnsi="Times New Roman" w:eastAsia="黑体" w:cs="Times New Roman"/>
          <w:color w:val="auto"/>
          <w:sz w:val="32"/>
          <w:szCs w:val="32"/>
        </w:rPr>
        <w:t>三、项目实施及管理情况</w:t>
      </w:r>
      <w:bookmarkEnd w:id="109"/>
      <w:bookmarkEnd w:id="110"/>
      <w:bookmarkEnd w:id="111"/>
    </w:p>
    <w:p w14:paraId="343D2855">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（一）项目组织架构及实施流程。</w:t>
      </w:r>
    </w:p>
    <w:p w14:paraId="65E2568C">
      <w:pPr>
        <w:adjustRightInd w:val="0"/>
        <w:snapToGrid w:val="0"/>
        <w:spacing w:line="578"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玉泉街办党建办严格按照该项目事前规划实施，将所有经费全部用在街办辖区</w:t>
      </w:r>
      <w:r>
        <w:rPr>
          <w:rFonts w:hint="default" w:ascii="Times New Roman" w:hAnsi="Times New Roman" w:eastAsia="仿宋_GB2312" w:cs="Times New Roman"/>
          <w:color w:val="auto"/>
          <w:sz w:val="32"/>
          <w:szCs w:val="32"/>
          <w:lang w:val="en-US" w:eastAsia="zh-CN"/>
        </w:rPr>
        <w:t>4个社区</w:t>
      </w:r>
      <w:r>
        <w:rPr>
          <w:rFonts w:hint="default" w:ascii="Times New Roman" w:hAnsi="Times New Roman" w:eastAsia="仿宋_GB2312" w:cs="Times New Roman"/>
          <w:color w:val="auto"/>
          <w:sz w:val="32"/>
          <w:szCs w:val="32"/>
          <w:lang w:val="zh-CN" w:eastAsia="zh-CN"/>
        </w:rPr>
        <w:t>政协委员联络站的建设</w:t>
      </w:r>
      <w:r>
        <w:rPr>
          <w:rFonts w:hint="default" w:ascii="Times New Roman" w:hAnsi="Times New Roman" w:eastAsia="仿宋_GB2312" w:cs="Times New Roman"/>
          <w:color w:val="auto"/>
          <w:sz w:val="32"/>
          <w:szCs w:val="32"/>
          <w:lang w:val="zh-CN"/>
        </w:rPr>
        <w:t>、运行和维护中。</w:t>
      </w:r>
    </w:p>
    <w:p w14:paraId="3DA252BE">
      <w:pPr>
        <w:numPr>
          <w:ilvl w:val="0"/>
          <w:numId w:val="7"/>
        </w:num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项目管理情况。</w:t>
      </w:r>
    </w:p>
    <w:p w14:paraId="1F24A649">
      <w:pPr>
        <w:numPr>
          <w:ilvl w:val="0"/>
          <w:numId w:val="0"/>
        </w:numPr>
        <w:adjustRightInd w:val="0"/>
        <w:snapToGrid w:val="0"/>
        <w:spacing w:line="578" w:lineRule="exact"/>
        <w:ind w:firstLine="640" w:firstLineChars="200"/>
        <w:rPr>
          <w:rFonts w:hint="default" w:ascii="Times New Roman" w:hAnsi="Times New Roman" w:eastAsia="楷体_GB2312" w:cs="Times New Roman"/>
          <w:b/>
          <w:color w:val="auto"/>
          <w:sz w:val="32"/>
          <w:szCs w:val="32"/>
          <w:lang w:val="zh-CN"/>
        </w:rPr>
      </w:pPr>
      <w:r>
        <w:rPr>
          <w:rFonts w:hint="default" w:ascii="Times New Roman" w:hAnsi="Times New Roman" w:eastAsia="仿宋_GB2312" w:cs="Times New Roman"/>
          <w:color w:val="auto"/>
          <w:sz w:val="32"/>
          <w:szCs w:val="32"/>
          <w:lang w:val="zh-CN"/>
        </w:rPr>
        <w:t>在项目实施后，业务经办人员对所采购的货物进行验收，严格按照财务制度、报销流程，一事一报，完成支付手续。</w:t>
      </w:r>
    </w:p>
    <w:p w14:paraId="08C06DD2">
      <w:pPr>
        <w:numPr>
          <w:ilvl w:val="0"/>
          <w:numId w:val="7"/>
        </w:numPr>
        <w:adjustRightInd w:val="0"/>
        <w:snapToGrid w:val="0"/>
        <w:spacing w:line="600" w:lineRule="exact"/>
        <w:ind w:left="0" w:leftChars="0" w:firstLine="720" w:firstLineChars="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项目监管情况。</w:t>
      </w:r>
    </w:p>
    <w:p w14:paraId="0B385D6C">
      <w:pPr>
        <w:numPr>
          <w:ilvl w:val="0"/>
          <w:numId w:val="0"/>
        </w:numPr>
        <w:adjustRightInd w:val="0"/>
        <w:snapToGrid w:val="0"/>
        <w:spacing w:line="578" w:lineRule="exact"/>
        <w:ind w:firstLine="640" w:firstLineChars="20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为规范管理，强化廉政风险防控，确保该笔项目资金完全运用政协委员联络站的建设中，</w:t>
      </w:r>
      <w:r>
        <w:rPr>
          <w:rFonts w:hint="default" w:ascii="Times New Roman" w:hAnsi="Times New Roman" w:eastAsia="仿宋_GB2312" w:cs="Times New Roman"/>
          <w:color w:val="auto"/>
          <w:sz w:val="32"/>
          <w:szCs w:val="32"/>
        </w:rPr>
        <w:t xml:space="preserve">街道纪工委也将全程监督相关经费的使用情况，杜绝浪费等情形出现。   </w:t>
      </w:r>
    </w:p>
    <w:p w14:paraId="2D7580AE">
      <w:pPr>
        <w:adjustRightInd w:val="0"/>
        <w:snapToGrid w:val="0"/>
        <w:spacing w:line="578" w:lineRule="exact"/>
        <w:ind w:firstLine="720"/>
        <w:rPr>
          <w:rFonts w:hint="default" w:ascii="Times New Roman" w:hAnsi="Times New Roman" w:cs="Times New Roman"/>
          <w:color w:val="auto"/>
          <w:sz w:val="32"/>
          <w:szCs w:val="32"/>
          <w:lang w:val="zh-CN"/>
        </w:rPr>
      </w:pPr>
      <w:bookmarkStart w:id="112" w:name="_Toc27552_WPSOffice_Level2"/>
      <w:bookmarkStart w:id="113" w:name="_Toc10063_WPSOffice_Level2"/>
      <w:bookmarkStart w:id="114" w:name="_Toc29812_WPSOffice_Level2"/>
      <w:r>
        <w:rPr>
          <w:rFonts w:hint="default" w:ascii="Times New Roman" w:hAnsi="Times New Roman" w:eastAsia="黑体" w:cs="Times New Roman"/>
          <w:color w:val="auto"/>
          <w:sz w:val="32"/>
          <w:szCs w:val="32"/>
        </w:rPr>
        <w:t>四、项目绩效情况</w:t>
      </w:r>
      <w:bookmarkEnd w:id="112"/>
      <w:bookmarkEnd w:id="113"/>
      <w:bookmarkEnd w:id="114"/>
      <w:r>
        <w:rPr>
          <w:rFonts w:hint="default" w:ascii="Times New Roman" w:hAnsi="Times New Roman" w:cs="Times New Roman"/>
          <w:color w:val="auto"/>
          <w:sz w:val="32"/>
          <w:szCs w:val="32"/>
          <w:lang w:val="zh-CN"/>
        </w:rPr>
        <w:tab/>
      </w:r>
    </w:p>
    <w:p w14:paraId="41ED4A17">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（一）项目完成情况。</w:t>
      </w:r>
    </w:p>
    <w:p w14:paraId="45998320">
      <w:pPr>
        <w:adjustRightInd w:val="0"/>
        <w:snapToGrid w:val="0"/>
        <w:spacing w:line="600" w:lineRule="exact"/>
        <w:ind w:firstLine="720"/>
        <w:rPr>
          <w:rFonts w:hint="default" w:ascii="Times New Roman" w:hAnsi="Times New Roman" w:eastAsia="仿宋_GB2312" w:cs="Times New Roman"/>
          <w:b/>
          <w:color w:val="auto"/>
          <w:sz w:val="32"/>
          <w:szCs w:val="32"/>
          <w:lang w:val="zh-CN"/>
        </w:rPr>
      </w:pPr>
      <w:r>
        <w:rPr>
          <w:rFonts w:hint="default" w:ascii="Times New Roman" w:hAnsi="Times New Roman" w:eastAsia="仿宋_GB2312" w:cs="Times New Roman"/>
          <w:color w:val="auto"/>
          <w:sz w:val="32"/>
          <w:szCs w:val="32"/>
          <w:lang w:val="zh-CN"/>
        </w:rPr>
        <w:t>2022年支付</w:t>
      </w:r>
      <w:r>
        <w:rPr>
          <w:rFonts w:hint="default" w:ascii="Times New Roman" w:hAnsi="Times New Roman" w:eastAsia="仿宋_GB2312" w:cs="Times New Roman"/>
          <w:color w:val="auto"/>
          <w:sz w:val="32"/>
          <w:szCs w:val="32"/>
          <w:lang w:val="zh-CN" w:eastAsia="zh-CN"/>
        </w:rPr>
        <w:t>政协委员联络站工作经费</w:t>
      </w:r>
      <w:r>
        <w:rPr>
          <w:rFonts w:hint="default" w:ascii="Times New Roman" w:hAnsi="Times New Roman" w:eastAsia="仿宋_GB2312" w:cs="Times New Roman"/>
          <w:color w:val="auto"/>
          <w:sz w:val="32"/>
          <w:szCs w:val="32"/>
          <w:lang w:val="en-US" w:eastAsia="zh-CN"/>
        </w:rPr>
        <w:t>1.00万元，严格按照财务制度，根据合同、票据金额，计算报销。</w:t>
      </w:r>
      <w:r>
        <w:rPr>
          <w:rFonts w:hint="default" w:ascii="Times New Roman" w:hAnsi="Times New Roman" w:eastAsia="仿宋_GB2312" w:cs="Times New Roman"/>
          <w:color w:val="auto"/>
          <w:sz w:val="32"/>
          <w:szCs w:val="32"/>
          <w:lang w:val="zh-CN"/>
        </w:rPr>
        <w:t>成本控制较好，</w:t>
      </w:r>
      <w:r>
        <w:rPr>
          <w:rFonts w:hint="default" w:ascii="Times New Roman" w:hAnsi="Times New Roman" w:eastAsia="仿宋_GB2312" w:cs="Times New Roman"/>
          <w:color w:val="auto"/>
          <w:sz w:val="32"/>
          <w:szCs w:val="32"/>
        </w:rPr>
        <w:t>项目无资金结余</w:t>
      </w:r>
      <w:r>
        <w:rPr>
          <w:rFonts w:hint="default" w:ascii="Times New Roman" w:hAnsi="Times New Roman" w:eastAsia="仿宋_GB2312" w:cs="Times New Roman"/>
          <w:color w:val="auto"/>
          <w:sz w:val="32"/>
          <w:szCs w:val="32"/>
          <w:lang w:val="zh-CN"/>
        </w:rPr>
        <w:t>。</w:t>
      </w:r>
    </w:p>
    <w:p w14:paraId="0B0F3C30">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（二）项目效益情况。</w:t>
      </w:r>
    </w:p>
    <w:p w14:paraId="09343562">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项目的实施是有效落实国家对项目预算评审的管理要求，为财政预算管理提供技术支撑，严格控制项目投资，节约财政资金，有效提高资金使用效率。</w:t>
      </w:r>
    </w:p>
    <w:p w14:paraId="0E1E3981">
      <w:pPr>
        <w:adjustRightInd w:val="0"/>
        <w:snapToGrid w:val="0"/>
        <w:spacing w:line="578" w:lineRule="exact"/>
        <w:ind w:firstLine="720"/>
        <w:rPr>
          <w:rFonts w:hint="default" w:ascii="Times New Roman" w:hAnsi="Times New Roman" w:eastAsia="黑体" w:cs="Times New Roman"/>
          <w:color w:val="auto"/>
          <w:sz w:val="32"/>
          <w:szCs w:val="32"/>
        </w:rPr>
      </w:pPr>
      <w:bookmarkStart w:id="115" w:name="_Toc30281_WPSOffice_Level2"/>
      <w:bookmarkStart w:id="116" w:name="_Toc31929_WPSOffice_Level2"/>
      <w:bookmarkStart w:id="117" w:name="_Toc21952_WPSOffice_Level2"/>
      <w:r>
        <w:rPr>
          <w:rFonts w:hint="default" w:ascii="Times New Roman" w:hAnsi="Times New Roman" w:eastAsia="黑体" w:cs="Times New Roman"/>
          <w:color w:val="auto"/>
          <w:sz w:val="32"/>
          <w:szCs w:val="32"/>
        </w:rPr>
        <w:t>五、评价结论及建议</w:t>
      </w:r>
      <w:bookmarkEnd w:id="115"/>
      <w:bookmarkEnd w:id="116"/>
      <w:bookmarkEnd w:id="117"/>
    </w:p>
    <w:p w14:paraId="0B38833C">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（一）评价结论。</w:t>
      </w:r>
    </w:p>
    <w:p w14:paraId="13274EF4">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eastAsia="zh-CN"/>
        </w:rPr>
        <w:t>政协委员联络站的建设</w:t>
      </w:r>
      <w:r>
        <w:rPr>
          <w:rFonts w:hint="default" w:ascii="Times New Roman" w:hAnsi="Times New Roman" w:cs="Times New Roman"/>
          <w:color w:val="auto"/>
          <w:sz w:val="32"/>
          <w:szCs w:val="32"/>
          <w:lang w:val="zh-CN"/>
        </w:rPr>
        <w:t>得到了服务对象的高度评价，为政协委员履职提供了平台，大大提高了工作效率。</w:t>
      </w:r>
    </w:p>
    <w:p w14:paraId="7ADEE01D">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（二）存在的问题。</w:t>
      </w:r>
    </w:p>
    <w:p w14:paraId="234263CE">
      <w:pPr>
        <w:adjustRightInd w:val="0"/>
        <w:snapToGrid w:val="0"/>
        <w:spacing w:line="578" w:lineRule="exact"/>
        <w:ind w:firstLine="72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无</w:t>
      </w:r>
    </w:p>
    <w:p w14:paraId="4BAA7677">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（三）相关建议。</w:t>
      </w:r>
    </w:p>
    <w:p w14:paraId="488DA880">
      <w:pPr>
        <w:pStyle w:val="2"/>
        <w:rPr>
          <w:rStyle w:val="31"/>
          <w:rFonts w:hint="default" w:ascii="Times New Roman" w:hAnsi="Times New Roman" w:eastAsia="黑体" w:cs="Times New Roman"/>
          <w:b w:val="0"/>
          <w:color w:val="auto"/>
        </w:rPr>
      </w:pPr>
      <w:r>
        <w:rPr>
          <w:rFonts w:hint="default" w:ascii="Times New Roman" w:hAnsi="Times New Roman" w:eastAsia="仿宋_GB2312" w:cs="Times New Roman"/>
          <w:color w:val="auto"/>
          <w:kern w:val="0"/>
          <w:sz w:val="32"/>
          <w:szCs w:val="32"/>
          <w:shd w:val="clear" w:color="auto" w:fill="FFFFFF"/>
          <w:lang w:val="en-US" w:eastAsia="zh-CN"/>
        </w:rPr>
        <w:t>无</w:t>
      </w:r>
      <w:r>
        <w:rPr>
          <w:rStyle w:val="31"/>
          <w:rFonts w:hint="default" w:ascii="Times New Roman" w:hAnsi="Times New Roman" w:eastAsia="黑体" w:cs="Times New Roman"/>
          <w:b w:val="0"/>
          <w:color w:val="auto"/>
        </w:rPr>
        <w:br w:type="page"/>
      </w:r>
    </w:p>
    <w:p w14:paraId="2AA6EF7D">
      <w:pPr>
        <w:pStyle w:val="37"/>
        <w:spacing w:line="578" w:lineRule="exact"/>
        <w:jc w:val="center"/>
        <w:rPr>
          <w:rFonts w:hint="default" w:ascii="Times New Roman" w:hAnsi="Times New Roman" w:eastAsia="方正小标宋简体" w:cs="Times New Roman"/>
          <w:color w:val="auto"/>
          <w:kern w:val="2"/>
          <w:sz w:val="44"/>
          <w:szCs w:val="44"/>
          <w:lang w:val="en-US"/>
        </w:rPr>
      </w:pPr>
      <w:bookmarkStart w:id="118" w:name="_Toc21075_WPSOffice_Level2"/>
      <w:bookmarkStart w:id="119" w:name="_Toc13652_WPSOffice_Level2"/>
      <w:bookmarkStart w:id="120" w:name="_Toc24747_WPSOffice_Level2"/>
      <w:r>
        <w:rPr>
          <w:rFonts w:hint="default" w:ascii="Times New Roman" w:hAnsi="Times New Roman" w:eastAsia="方正小标宋简体" w:cs="Times New Roman"/>
          <w:color w:val="auto"/>
          <w:kern w:val="2"/>
          <w:sz w:val="44"/>
          <w:szCs w:val="44"/>
          <w:lang w:val="en-US"/>
        </w:rPr>
        <w:t>基层政权专项经费（含人民武装业务费）</w:t>
      </w:r>
      <w:bookmarkEnd w:id="118"/>
      <w:bookmarkEnd w:id="119"/>
      <w:bookmarkEnd w:id="120"/>
    </w:p>
    <w:p w14:paraId="57CF7340">
      <w:pPr>
        <w:adjustRightInd w:val="0"/>
        <w:snapToGrid w:val="0"/>
        <w:spacing w:line="578" w:lineRule="exact"/>
        <w:ind w:firstLine="720"/>
        <w:rPr>
          <w:rFonts w:hint="default" w:ascii="Times New Roman" w:hAnsi="Times New Roman" w:eastAsia="黑体" w:cs="Times New Roman"/>
          <w:color w:val="auto"/>
          <w:sz w:val="32"/>
          <w:szCs w:val="32"/>
          <w:lang w:val="zh-CN"/>
        </w:rPr>
      </w:pPr>
      <w:bookmarkStart w:id="121" w:name="_Toc11733_WPSOffice_Level2"/>
      <w:bookmarkStart w:id="122" w:name="_Toc13170_WPSOffice_Level2"/>
      <w:bookmarkStart w:id="123" w:name="_Toc13020_WPSOffice_Level2"/>
      <w:r>
        <w:rPr>
          <w:rFonts w:hint="default" w:ascii="Times New Roman" w:hAnsi="Times New Roman" w:eastAsia="黑体" w:cs="Times New Roman"/>
          <w:color w:val="auto"/>
          <w:sz w:val="32"/>
          <w:szCs w:val="32"/>
        </w:rPr>
        <w:t>一、</w:t>
      </w:r>
      <w:r>
        <w:rPr>
          <w:rFonts w:hint="default" w:ascii="Times New Roman" w:hAnsi="Times New Roman" w:eastAsia="黑体" w:cs="Times New Roman"/>
          <w:color w:val="auto"/>
          <w:sz w:val="32"/>
          <w:szCs w:val="32"/>
          <w:lang w:val="zh-CN"/>
        </w:rPr>
        <w:t>项目概况</w:t>
      </w:r>
      <w:bookmarkEnd w:id="121"/>
      <w:bookmarkEnd w:id="122"/>
      <w:bookmarkEnd w:id="123"/>
    </w:p>
    <w:p w14:paraId="48A8D740">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（一）项目基本情况。</w:t>
      </w:r>
    </w:p>
    <w:p w14:paraId="55796FB1">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攀枝花市西区玉泉街道办事处在区委、区政府的坚强领导下，紧紧围绕区委、区政府的决策部署和工作大局，全面贯彻落实党的十九大和十九届二中全会精神，以党的群众路线教育实践活动为重要抓手，以服务群众为重点，创新思路，完善举措，大力发展街道经济，夯实党建基础，维护社会稳定，推进民生工程，加强和创新社会管理，重点开展全国文明城市创建，全面推进全国和谐社区示范城市建设，促进街办经济社会事务的协调发展，较好地完成全年的各项工作任务。</w:t>
      </w:r>
    </w:p>
    <w:p w14:paraId="101ACB22">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围绕党建提升，着力抓好组织建设。牢固树立抓好党建是最大政绩的理念，以强基础、抓活动、显作用为主线，创新推动党建工作社会化，促使党建工作再上新台阶。</w:t>
      </w:r>
    </w:p>
    <w:p w14:paraId="65856305">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围绕经济目标，着力抓好项目促进发展。加快制定街道经济发展规划，加强企业指导服务和综合管理工作，不遗余力地推进固定资产投资、招商引资等各项经济指标任务的全面完成。</w:t>
      </w:r>
    </w:p>
    <w:p w14:paraId="25E632AB">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围绕宜居宜业，着力抓好环境综合治理。形成环境治理常态化，提升城市综合管理水平，切实为群众创造干净、整洁、优美的生活环境，增强居民的获得感和幸福感。</w:t>
      </w:r>
    </w:p>
    <w:p w14:paraId="42791DCF">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围绕成果共享，着力抓好社会民生事业。以攀煤矿区群众为重点，补短板、增福祉，做好民生保障。主动担当抓落实，加快推进“互联网+政务服务”智慧社区建设，让更多居民坐在家中即可享受智慧信息化方便快捷服务。继续创新开展“机构—社区—居家”新型养老服务，进一步提高日间照料中心及文化活动中心的运转效率，提高为民服务水平。严格贯彻落实棚改、三供一业、困难帮扶等惠民政策，让群众能切切实实感受到党和政府的关怀，共享改革发展成果。</w:t>
      </w:r>
    </w:p>
    <w:p w14:paraId="75093A8F">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围绕和谐稳定，着力抓好矛盾纠纷排查。依托街道、社区两级综治中心，持续推进“立体化防控”和精细化网格管理工作，结合治安防控网格，配合区公安部门部署监控探头等技防物资，提高辖区内治安技防水平。继续做好矛盾纠纷排查，针对辖区内棚户区改造、“三供一业”等项目易激化矛盾的特点，保持高度的敏锐性和警惕性，确保辖区社会和谐稳定。强化底线和红线意识，加强安全、环保工作，健全规章制度，完善监管体系，坚决防止重大事故发生。</w:t>
      </w:r>
    </w:p>
    <w:p w14:paraId="3AD6458D">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（二）项目绩效目标。</w:t>
      </w:r>
    </w:p>
    <w:p w14:paraId="36B743D1">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rPr>
        <w:t>1.</w:t>
      </w:r>
      <w:r>
        <w:rPr>
          <w:rFonts w:hint="default" w:ascii="Times New Roman" w:hAnsi="Times New Roman" w:eastAsia="仿宋_GB2312" w:cs="Times New Roman"/>
          <w:color w:val="auto"/>
          <w:kern w:val="0"/>
          <w:sz w:val="32"/>
          <w:szCs w:val="32"/>
          <w:shd w:val="clear" w:color="auto" w:fill="FFFFFF"/>
          <w:lang w:val="zh-CN"/>
        </w:rPr>
        <w:t>项目主要内容。</w:t>
      </w:r>
    </w:p>
    <w:p w14:paraId="2179B63E">
      <w:pPr>
        <w:widowControl/>
        <w:adjustRightInd w:val="0"/>
        <w:snapToGrid w:val="0"/>
        <w:spacing w:line="600" w:lineRule="exact"/>
        <w:ind w:firstLine="640" w:firstLineChars="200"/>
        <w:contextualSpacing/>
        <w:rPr>
          <w:rFonts w:hint="default" w:ascii="Times New Roman" w:hAnsi="Times New Roman" w:eastAsia="仿宋_GB2312" w:cs="Times New Roman"/>
          <w:color w:val="auto"/>
          <w:kern w:val="0"/>
          <w:sz w:val="32"/>
          <w:szCs w:val="32"/>
          <w:shd w:val="clear" w:color="auto" w:fill="FFFFFF"/>
          <w:lang w:val="zh-CN" w:eastAsia="zh-CN"/>
        </w:rPr>
      </w:pPr>
      <w:r>
        <w:rPr>
          <w:rFonts w:hint="default" w:ascii="Times New Roman" w:hAnsi="Times New Roman" w:eastAsia="仿宋_GB2312" w:cs="Times New Roman"/>
          <w:color w:val="auto"/>
          <w:kern w:val="0"/>
          <w:sz w:val="32"/>
          <w:szCs w:val="32"/>
          <w:shd w:val="clear" w:color="auto" w:fill="FFFFFF"/>
          <w:lang w:val="zh-CN"/>
        </w:rPr>
        <w:t>对街道办公楼及周边区域进行维修维护，购买电脑、空调、桌椅等办公设施设备，对办公软件、系统进行维护，支付软件使用费，保障办公场所安全，为办公和服务群众做好保障工作。</w:t>
      </w:r>
    </w:p>
    <w:p w14:paraId="37943EAC">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rPr>
        <w:t>项目绩效目标。</w:t>
      </w:r>
    </w:p>
    <w:p w14:paraId="1B397785">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en-US" w:eastAsia="zh-CN" w:bidi="ar-SA"/>
        </w:rPr>
      </w:pPr>
      <w:r>
        <w:rPr>
          <w:rFonts w:hint="default" w:ascii="Times New Roman" w:hAnsi="Times New Roman" w:eastAsia="仿宋_GB2312" w:cs="Times New Roman"/>
          <w:color w:val="auto"/>
          <w:kern w:val="0"/>
          <w:sz w:val="32"/>
          <w:szCs w:val="32"/>
          <w:shd w:val="clear" w:color="auto" w:fill="FFFFFF"/>
          <w:lang w:val="en-US" w:eastAsia="zh-CN" w:bidi="ar-SA"/>
        </w:rPr>
        <w:t>纪工委、外宣、教育、基层党建、妇联工会、财税及经济统计等工作的开展提供经费保障。</w:t>
      </w:r>
    </w:p>
    <w:p w14:paraId="2EB1D424">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CN"/>
        </w:rPr>
        <w:t>项目资金申报相符性。</w:t>
      </w:r>
    </w:p>
    <w:p w14:paraId="77E5453A">
      <w:pPr>
        <w:pStyle w:val="2"/>
        <w:numPr>
          <w:ilvl w:val="0"/>
          <w:numId w:val="0"/>
        </w:numPr>
        <w:ind w:firstLine="640" w:firstLineChars="200"/>
        <w:rPr>
          <w:rFonts w:hint="default" w:ascii="Times New Roman" w:hAnsi="Times New Roman" w:cs="Times New Roman"/>
          <w:color w:val="auto"/>
          <w:lang w:val="zh-CN" w:eastAsia="zh-CN"/>
        </w:rPr>
      </w:pPr>
      <w:r>
        <w:rPr>
          <w:rFonts w:hint="default" w:ascii="Times New Roman" w:hAnsi="Times New Roman" w:eastAsia="仿宋_GB2312" w:cs="Times New Roman"/>
          <w:color w:val="auto"/>
          <w:kern w:val="0"/>
          <w:sz w:val="32"/>
          <w:szCs w:val="32"/>
          <w:shd w:val="clear" w:color="auto" w:fill="FFFFFF"/>
          <w:lang w:val="zh-CN" w:eastAsia="zh-CN" w:bidi="ar-SA"/>
        </w:rPr>
        <w:t>该项目申报内容与具体实施内容相符、申报目标合理可行</w:t>
      </w:r>
      <w:r>
        <w:rPr>
          <w:rFonts w:hint="default" w:ascii="Times New Roman" w:hAnsi="Times New Roman" w:cs="Times New Roman"/>
          <w:color w:val="auto"/>
          <w:lang w:val="zh-CN" w:eastAsia="zh-CN"/>
        </w:rPr>
        <w:t>。</w:t>
      </w:r>
    </w:p>
    <w:p w14:paraId="02F075E2">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（三）项目自评步骤及方法。</w:t>
      </w:r>
    </w:p>
    <w:p w14:paraId="59A985F9">
      <w:pPr>
        <w:pStyle w:val="2"/>
        <w:spacing w:before="93"/>
        <w:ind w:firstLine="640" w:firstLineChars="200"/>
        <w:rPr>
          <w:rFonts w:hint="default" w:ascii="Times New Roman" w:hAnsi="Times New Roman" w:cs="Times New Roman"/>
          <w:color w:val="auto"/>
          <w:sz w:val="32"/>
          <w:szCs w:val="32"/>
          <w:lang w:val="en-US" w:eastAsia="zh-CN"/>
        </w:rPr>
      </w:pPr>
      <w:r>
        <w:rPr>
          <w:rFonts w:hint="default" w:ascii="Times New Roman" w:hAnsi="Times New Roman" w:cs="Times New Roman"/>
          <w:color w:val="auto"/>
          <w:sz w:val="32"/>
          <w:szCs w:val="32"/>
          <w:lang w:val="en-US" w:eastAsia="zh-CN"/>
        </w:rPr>
        <w:t>根据项目的服务质量、效率、满意度等因素来制定评价标准;通过服务对象反馈情况等方式收集数据。对收集到的数据进行分析，以了解项目的实际表现是否符合预期。根据分析结果，编写评价报告。报告将详细描述项目的优点和不足，以及改进的建议。</w:t>
      </w:r>
    </w:p>
    <w:p w14:paraId="0B18F6F7">
      <w:pPr>
        <w:adjustRightInd w:val="0"/>
        <w:snapToGrid w:val="0"/>
        <w:spacing w:line="578" w:lineRule="exact"/>
        <w:ind w:firstLine="720"/>
        <w:rPr>
          <w:rFonts w:hint="default" w:ascii="Times New Roman" w:hAnsi="Times New Roman" w:eastAsia="黑体" w:cs="Times New Roman"/>
          <w:color w:val="auto"/>
          <w:sz w:val="32"/>
          <w:szCs w:val="32"/>
        </w:rPr>
      </w:pPr>
      <w:bookmarkStart w:id="124" w:name="_Toc12653_WPSOffice_Level2"/>
      <w:bookmarkStart w:id="125" w:name="_Toc32182_WPSOffice_Level2"/>
      <w:bookmarkStart w:id="126" w:name="_Toc24925_WPSOffice_Level2"/>
      <w:r>
        <w:rPr>
          <w:rFonts w:hint="default" w:ascii="Times New Roman" w:hAnsi="Times New Roman" w:eastAsia="黑体" w:cs="Times New Roman"/>
          <w:color w:val="auto"/>
          <w:sz w:val="32"/>
          <w:szCs w:val="32"/>
        </w:rPr>
        <w:t>二、项目资金申报及使用情况</w:t>
      </w:r>
      <w:bookmarkEnd w:id="124"/>
      <w:bookmarkEnd w:id="125"/>
      <w:bookmarkEnd w:id="126"/>
    </w:p>
    <w:p w14:paraId="05CEAEC1">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（一）项目资金申报及批复情况。</w:t>
      </w:r>
    </w:p>
    <w:p w14:paraId="18639EC1">
      <w:pPr>
        <w:pStyle w:val="2"/>
        <w:spacing w:before="93"/>
        <w:ind w:firstLine="640" w:firstLineChars="200"/>
        <w:rPr>
          <w:rFonts w:hint="default" w:ascii="Times New Roman" w:hAnsi="Times New Roman" w:cs="Times New Roman"/>
          <w:color w:val="auto"/>
          <w:sz w:val="32"/>
          <w:szCs w:val="32"/>
          <w:lang w:val="zh-CN" w:eastAsia="zh-CN"/>
        </w:rPr>
      </w:pPr>
      <w:r>
        <w:rPr>
          <w:rFonts w:hint="default" w:ascii="Times New Roman" w:hAnsi="Times New Roman" w:cs="Times New Roman"/>
          <w:color w:val="auto"/>
          <w:sz w:val="32"/>
          <w:szCs w:val="32"/>
          <w:lang w:val="zh-CN" w:eastAsia="zh-CN"/>
        </w:rPr>
        <w:t>玉泉街办在</w:t>
      </w:r>
      <w:r>
        <w:rPr>
          <w:rFonts w:hint="default" w:ascii="Times New Roman" w:hAnsi="Times New Roman" w:cs="Times New Roman"/>
          <w:color w:val="auto"/>
          <w:sz w:val="32"/>
          <w:szCs w:val="32"/>
          <w:lang w:val="en-US" w:eastAsia="zh-CN"/>
        </w:rPr>
        <w:t>2022年初</w:t>
      </w:r>
      <w:r>
        <w:rPr>
          <w:rFonts w:hint="default" w:ascii="Times New Roman" w:hAnsi="Times New Roman" w:cs="Times New Roman"/>
          <w:color w:val="auto"/>
          <w:sz w:val="32"/>
          <w:szCs w:val="32"/>
          <w:lang w:val="zh-CN" w:eastAsia="zh-CN"/>
        </w:rPr>
        <w:t>根据年初预算安排进行项目申报，区财政局按照（攀西财〔2022〕101号）下达预算资金</w:t>
      </w:r>
      <w:r>
        <w:rPr>
          <w:rFonts w:hint="default" w:ascii="Times New Roman" w:hAnsi="Times New Roman" w:cs="Times New Roman"/>
          <w:color w:val="auto"/>
          <w:sz w:val="32"/>
          <w:szCs w:val="32"/>
          <w:lang w:val="en-US" w:eastAsia="zh-CN"/>
        </w:rPr>
        <w:t>4.00万元</w:t>
      </w:r>
      <w:r>
        <w:rPr>
          <w:rFonts w:hint="default" w:ascii="Times New Roman" w:hAnsi="Times New Roman" w:cs="Times New Roman"/>
          <w:color w:val="auto"/>
          <w:sz w:val="32"/>
          <w:szCs w:val="32"/>
          <w:lang w:val="zh-CN" w:eastAsia="zh-CN"/>
        </w:rPr>
        <w:t>。</w:t>
      </w:r>
    </w:p>
    <w:p w14:paraId="3450517C">
      <w:pPr>
        <w:adjustRightInd w:val="0"/>
        <w:snapToGrid w:val="0"/>
        <w:spacing w:line="578" w:lineRule="exact"/>
        <w:ind w:firstLine="720"/>
        <w:rPr>
          <w:rFonts w:hint="default" w:ascii="Times New Roman" w:hAnsi="Times New Roman" w:cs="Times New Roman"/>
          <w:color w:val="auto"/>
          <w:sz w:val="32"/>
          <w:szCs w:val="32"/>
          <w:lang w:val="zh-CN"/>
        </w:rPr>
      </w:pPr>
      <w:r>
        <w:rPr>
          <w:rFonts w:hint="default" w:ascii="Times New Roman" w:hAnsi="Times New Roman" w:eastAsia="楷体_GB2312" w:cs="Times New Roman"/>
          <w:b/>
          <w:color w:val="auto"/>
          <w:sz w:val="32"/>
          <w:szCs w:val="32"/>
          <w:lang w:val="zh-CN"/>
        </w:rPr>
        <w:t>（二）资金计划、到位及使用情况。</w:t>
      </w:r>
    </w:p>
    <w:p w14:paraId="391C0179">
      <w:pPr>
        <w:adjustRightInd w:val="0"/>
        <w:snapToGrid w:val="0"/>
        <w:spacing w:line="600" w:lineRule="exact"/>
        <w:ind w:firstLine="72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1．资金计划。</w:t>
      </w:r>
      <w:r>
        <w:rPr>
          <w:rFonts w:hint="default" w:ascii="Times New Roman" w:hAnsi="Times New Roman" w:eastAsia="仿宋_GB2312" w:cs="Times New Roman"/>
          <w:color w:val="auto"/>
          <w:sz w:val="32"/>
          <w:szCs w:val="32"/>
          <w:lang w:val="zh-CN"/>
        </w:rPr>
        <w:t>2022年计划支付基层政权专项经费</w:t>
      </w:r>
      <w:r>
        <w:rPr>
          <w:rFonts w:hint="default" w:ascii="Times New Roman" w:hAnsi="Times New Roman" w:eastAsia="仿宋_GB2312" w:cs="Times New Roman"/>
          <w:color w:val="auto"/>
          <w:sz w:val="32"/>
          <w:szCs w:val="32"/>
          <w:lang w:val="en-US" w:eastAsia="zh-CN"/>
        </w:rPr>
        <w:t>4.00</w:t>
      </w:r>
      <w:r>
        <w:rPr>
          <w:rFonts w:hint="default" w:ascii="Times New Roman" w:hAnsi="Times New Roman" w:eastAsia="仿宋_GB2312" w:cs="Times New Roman"/>
          <w:color w:val="auto"/>
          <w:sz w:val="32"/>
          <w:szCs w:val="32"/>
          <w:lang w:val="zh-CN"/>
        </w:rPr>
        <w:t>万元。</w:t>
      </w:r>
    </w:p>
    <w:p w14:paraId="59F1545C">
      <w:pPr>
        <w:adjustRightInd w:val="0"/>
        <w:snapToGrid w:val="0"/>
        <w:spacing w:line="600" w:lineRule="exact"/>
        <w:ind w:firstLine="720"/>
        <w:rPr>
          <w:rFonts w:hint="default" w:ascii="Times New Roman" w:hAnsi="Times New Roman" w:eastAsia="仿宋_GB2312" w:cs="Times New Roman"/>
          <w:b/>
          <w:color w:val="auto"/>
          <w:sz w:val="32"/>
          <w:szCs w:val="32"/>
          <w:lang w:val="zh-CN"/>
        </w:rPr>
      </w:pPr>
      <w:r>
        <w:rPr>
          <w:rFonts w:hint="default" w:ascii="Times New Roman" w:hAnsi="Times New Roman" w:eastAsia="仿宋_GB2312" w:cs="Times New Roman"/>
          <w:color w:val="auto"/>
          <w:kern w:val="0"/>
          <w:sz w:val="32"/>
          <w:szCs w:val="32"/>
          <w:shd w:val="clear" w:color="auto" w:fill="FFFFFF"/>
          <w:lang w:val="zh-CN"/>
        </w:rPr>
        <w:t>2．资金到位。</w:t>
      </w:r>
      <w:r>
        <w:rPr>
          <w:rFonts w:hint="default" w:ascii="Times New Roman" w:hAnsi="Times New Roman" w:eastAsia="仿宋_GB2312" w:cs="Times New Roman"/>
          <w:color w:val="auto"/>
          <w:sz w:val="32"/>
          <w:szCs w:val="32"/>
          <w:lang w:val="zh-CN"/>
        </w:rPr>
        <w:t>截至评价时点实际到位资金</w:t>
      </w:r>
      <w:r>
        <w:rPr>
          <w:rFonts w:hint="default" w:ascii="Times New Roman" w:hAnsi="Times New Roman" w:eastAsia="仿宋_GB2312" w:cs="Times New Roman"/>
          <w:color w:val="auto"/>
          <w:sz w:val="32"/>
          <w:szCs w:val="32"/>
          <w:lang w:val="en-US" w:eastAsia="zh-CN"/>
        </w:rPr>
        <w:t>4.00</w:t>
      </w:r>
      <w:r>
        <w:rPr>
          <w:rFonts w:hint="default" w:ascii="Times New Roman" w:hAnsi="Times New Roman" w:eastAsia="仿宋_GB2312" w:cs="Times New Roman"/>
          <w:color w:val="auto"/>
          <w:sz w:val="32"/>
          <w:szCs w:val="32"/>
          <w:lang w:val="zh-CN"/>
        </w:rPr>
        <w:t>万元，全部为区级财政资金。资金到位及时，资金到位率100%。</w:t>
      </w:r>
    </w:p>
    <w:p w14:paraId="0707AF68">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en-US" w:eastAsia="zh-CN"/>
        </w:rPr>
        <w:t>3.</w:t>
      </w:r>
      <w:r>
        <w:rPr>
          <w:rFonts w:hint="default" w:ascii="Times New Roman" w:hAnsi="Times New Roman" w:eastAsia="仿宋_GB2312" w:cs="Times New Roman"/>
          <w:color w:val="auto"/>
          <w:kern w:val="0"/>
          <w:sz w:val="32"/>
          <w:szCs w:val="32"/>
          <w:shd w:val="clear" w:color="auto" w:fill="FFFFFF"/>
          <w:lang w:val="zh-CN"/>
        </w:rPr>
        <w:t>资金使用。</w:t>
      </w:r>
      <w:r>
        <w:rPr>
          <w:rFonts w:hint="default" w:ascii="Times New Roman" w:hAnsi="Times New Roman" w:eastAsia="仿宋_GB2312" w:cs="Times New Roman"/>
          <w:color w:val="auto"/>
          <w:sz w:val="32"/>
          <w:szCs w:val="32"/>
          <w:lang w:val="zh-CN"/>
        </w:rPr>
        <w:t>截至评价时点，实际支出基层政权专项经费</w:t>
      </w:r>
      <w:r>
        <w:rPr>
          <w:rFonts w:hint="default" w:ascii="Times New Roman" w:hAnsi="Times New Roman" w:eastAsia="仿宋_GB2312" w:cs="Times New Roman"/>
          <w:color w:val="auto"/>
          <w:sz w:val="32"/>
          <w:szCs w:val="32"/>
          <w:lang w:val="en-US" w:eastAsia="zh-CN"/>
        </w:rPr>
        <w:t>4.00万元</w:t>
      </w:r>
      <w:r>
        <w:rPr>
          <w:rFonts w:hint="default" w:ascii="Times New Roman" w:hAnsi="Times New Roman" w:eastAsia="仿宋_GB2312" w:cs="Times New Roman"/>
          <w:color w:val="auto"/>
          <w:sz w:val="32"/>
          <w:szCs w:val="32"/>
          <w:lang w:val="zh-CN"/>
        </w:rPr>
        <w:t>，资金已全部支付完毕。该项资金全部用于支付纪工委、外宣、教育、基层党建、妇联工会、财税及经济统计等工作的开展费用。支付依据合规合法，资金支付与预算相符，不存在无预算超预算支出的情况。</w:t>
      </w:r>
    </w:p>
    <w:p w14:paraId="6E64DAE8">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（三）项目财务管理情况。</w:t>
      </w:r>
    </w:p>
    <w:p w14:paraId="63D77E52">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玉泉街办按照</w:t>
      </w:r>
      <w:r>
        <w:rPr>
          <w:rFonts w:hint="default" w:ascii="Times New Roman" w:hAnsi="Times New Roman" w:eastAsia="仿宋_GB2312" w:cs="Times New Roman"/>
          <w:color w:val="auto"/>
          <w:sz w:val="32"/>
          <w:szCs w:val="32"/>
          <w:lang w:val="en-US" w:eastAsia="zh-CN"/>
        </w:rPr>
        <w:t>2022年年初预算安排，</w:t>
      </w:r>
      <w:r>
        <w:rPr>
          <w:rFonts w:hint="default" w:ascii="Times New Roman" w:hAnsi="Times New Roman" w:eastAsia="仿宋_GB2312" w:cs="Times New Roman"/>
          <w:color w:val="auto"/>
          <w:sz w:val="32"/>
          <w:szCs w:val="32"/>
          <w:lang w:val="zh-CN"/>
        </w:rPr>
        <w:t>根据年度工作安排向区财政局申报预算，并严格按照街办财务管理制度审批和支付费用。玉泉街办财务机构设置合理，财务制度健全完善，项目支出会计核算及账务处理规范。</w:t>
      </w:r>
    </w:p>
    <w:p w14:paraId="43F4D560">
      <w:pPr>
        <w:adjustRightInd w:val="0"/>
        <w:snapToGrid w:val="0"/>
        <w:spacing w:line="578" w:lineRule="exact"/>
        <w:ind w:firstLine="720"/>
        <w:rPr>
          <w:rFonts w:hint="default" w:ascii="Times New Roman" w:hAnsi="Times New Roman" w:eastAsia="黑体" w:cs="Times New Roman"/>
          <w:color w:val="auto"/>
          <w:sz w:val="32"/>
          <w:szCs w:val="32"/>
        </w:rPr>
      </w:pPr>
      <w:bookmarkStart w:id="127" w:name="_Toc11375_WPSOffice_Level2"/>
      <w:bookmarkStart w:id="128" w:name="_Toc23502_WPSOffice_Level2"/>
      <w:bookmarkStart w:id="129" w:name="_Toc30154_WPSOffice_Level2"/>
      <w:r>
        <w:rPr>
          <w:rFonts w:hint="default" w:ascii="Times New Roman" w:hAnsi="Times New Roman" w:eastAsia="黑体" w:cs="Times New Roman"/>
          <w:color w:val="auto"/>
          <w:sz w:val="32"/>
          <w:szCs w:val="32"/>
        </w:rPr>
        <w:t>三、项目实施及管理情况</w:t>
      </w:r>
      <w:bookmarkEnd w:id="127"/>
      <w:bookmarkEnd w:id="128"/>
      <w:bookmarkEnd w:id="129"/>
    </w:p>
    <w:p w14:paraId="5DCB716A">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（一）项目组织架构及实施流程。</w:t>
      </w:r>
    </w:p>
    <w:p w14:paraId="210D7BB1">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玉泉街办严格按照该项目事前规划实施，将所有经费全部用在纪工委、外宣、教育、基层党建、妇联工会、财税及经济统计等工作的开展提供经费保。</w:t>
      </w:r>
    </w:p>
    <w:p w14:paraId="0935DEA4">
      <w:pPr>
        <w:numPr>
          <w:ilvl w:val="0"/>
          <w:numId w:val="0"/>
        </w:numPr>
        <w:adjustRightInd w:val="0"/>
        <w:snapToGrid w:val="0"/>
        <w:spacing w:line="578" w:lineRule="exact"/>
        <w:ind w:firstLine="643" w:firstLineChars="20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（二）项目管理情况。</w:t>
      </w:r>
    </w:p>
    <w:p w14:paraId="684E765C">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在项目实施后，业务经办人员对所采购的货物或者服务进行验收，严格按照财务制度、报销流程，一事一报，完成支付手续。</w:t>
      </w:r>
    </w:p>
    <w:p w14:paraId="651ED91D">
      <w:pPr>
        <w:numPr>
          <w:ilvl w:val="0"/>
          <w:numId w:val="0"/>
        </w:numPr>
        <w:adjustRightInd w:val="0"/>
        <w:snapToGrid w:val="0"/>
        <w:spacing w:line="600" w:lineRule="exact"/>
        <w:ind w:left="720" w:leftChars="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（三）项目监管情况。</w:t>
      </w:r>
    </w:p>
    <w:p w14:paraId="32B462A9">
      <w:pPr>
        <w:numPr>
          <w:ilvl w:val="0"/>
          <w:numId w:val="0"/>
        </w:numPr>
        <w:adjustRightInd w:val="0"/>
        <w:snapToGrid w:val="0"/>
        <w:spacing w:line="578" w:lineRule="exact"/>
        <w:ind w:firstLine="640" w:firstLineChars="20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为规范管理，强化廉政风险防控，确保该笔项目资金不浪费、不超支，接受各项巡查审计，同时根据决算的，杜绝浪费等情形出现。</w:t>
      </w:r>
      <w:r>
        <w:rPr>
          <w:rFonts w:hint="default" w:ascii="Times New Roman" w:hAnsi="Times New Roman" w:eastAsia="仿宋_GB2312" w:cs="Times New Roman"/>
          <w:color w:val="auto"/>
          <w:sz w:val="32"/>
          <w:szCs w:val="32"/>
        </w:rPr>
        <w:t xml:space="preserve">   </w:t>
      </w:r>
    </w:p>
    <w:p w14:paraId="64C0104B">
      <w:pPr>
        <w:adjustRightInd w:val="0"/>
        <w:snapToGrid w:val="0"/>
        <w:spacing w:line="578" w:lineRule="exact"/>
        <w:ind w:firstLine="720"/>
        <w:rPr>
          <w:rFonts w:hint="default" w:ascii="Times New Roman" w:hAnsi="Times New Roman" w:cs="Times New Roman"/>
          <w:color w:val="auto"/>
          <w:sz w:val="32"/>
          <w:szCs w:val="32"/>
          <w:lang w:val="zh-CN"/>
        </w:rPr>
      </w:pPr>
      <w:bookmarkStart w:id="130" w:name="_Toc15564_WPSOffice_Level2"/>
      <w:bookmarkStart w:id="131" w:name="_Toc26598_WPSOffice_Level2"/>
      <w:bookmarkStart w:id="132" w:name="_Toc699_WPSOffice_Level2"/>
      <w:r>
        <w:rPr>
          <w:rFonts w:hint="default" w:ascii="Times New Roman" w:hAnsi="Times New Roman" w:eastAsia="黑体" w:cs="Times New Roman"/>
          <w:color w:val="auto"/>
          <w:sz w:val="32"/>
          <w:szCs w:val="32"/>
        </w:rPr>
        <w:t>四、项目绩效情况</w:t>
      </w:r>
      <w:bookmarkEnd w:id="130"/>
      <w:bookmarkEnd w:id="131"/>
      <w:bookmarkEnd w:id="132"/>
      <w:r>
        <w:rPr>
          <w:rFonts w:hint="default" w:ascii="Times New Roman" w:hAnsi="Times New Roman" w:cs="Times New Roman"/>
          <w:color w:val="auto"/>
          <w:sz w:val="32"/>
          <w:szCs w:val="32"/>
          <w:lang w:val="zh-CN"/>
        </w:rPr>
        <w:tab/>
      </w:r>
    </w:p>
    <w:p w14:paraId="2F16929D">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（一）项目完成情况。</w:t>
      </w:r>
    </w:p>
    <w:p w14:paraId="51C4BA40">
      <w:pPr>
        <w:adjustRightInd w:val="0"/>
        <w:snapToGrid w:val="0"/>
        <w:spacing w:line="600" w:lineRule="exact"/>
        <w:ind w:firstLine="720"/>
        <w:rPr>
          <w:rFonts w:hint="default" w:ascii="Times New Roman" w:hAnsi="Times New Roman" w:eastAsia="仿宋_GB2312" w:cs="Times New Roman"/>
          <w:b/>
          <w:color w:val="auto"/>
          <w:sz w:val="32"/>
          <w:szCs w:val="32"/>
          <w:lang w:val="zh-CN"/>
        </w:rPr>
      </w:pPr>
      <w:r>
        <w:rPr>
          <w:rFonts w:hint="default" w:ascii="Times New Roman" w:hAnsi="Times New Roman" w:eastAsia="仿宋_GB2312" w:cs="Times New Roman"/>
          <w:color w:val="auto"/>
          <w:sz w:val="32"/>
          <w:szCs w:val="32"/>
          <w:lang w:val="zh-CN"/>
        </w:rPr>
        <w:t>2022年支付基层政权专项经费</w:t>
      </w:r>
      <w:r>
        <w:rPr>
          <w:rFonts w:hint="default" w:ascii="Times New Roman" w:hAnsi="Times New Roman" w:eastAsia="仿宋_GB2312" w:cs="Times New Roman"/>
          <w:color w:val="auto"/>
          <w:sz w:val="32"/>
          <w:szCs w:val="32"/>
          <w:lang w:val="en-US" w:eastAsia="zh-CN"/>
        </w:rPr>
        <w:t>4.00万元，严格按照财务制度，根据合同、票据金额，计算报销。</w:t>
      </w:r>
      <w:r>
        <w:rPr>
          <w:rFonts w:hint="default" w:ascii="Times New Roman" w:hAnsi="Times New Roman" w:eastAsia="仿宋_GB2312" w:cs="Times New Roman"/>
          <w:color w:val="auto"/>
          <w:sz w:val="32"/>
          <w:szCs w:val="32"/>
          <w:lang w:val="zh-CN"/>
        </w:rPr>
        <w:t>成本控制较好，</w:t>
      </w:r>
      <w:r>
        <w:rPr>
          <w:rFonts w:hint="default" w:ascii="Times New Roman" w:hAnsi="Times New Roman" w:eastAsia="仿宋_GB2312" w:cs="Times New Roman"/>
          <w:color w:val="auto"/>
          <w:sz w:val="32"/>
          <w:szCs w:val="32"/>
        </w:rPr>
        <w:t>项目无资金结余</w:t>
      </w:r>
      <w:r>
        <w:rPr>
          <w:rFonts w:hint="default" w:ascii="Times New Roman" w:hAnsi="Times New Roman" w:eastAsia="仿宋_GB2312" w:cs="Times New Roman"/>
          <w:color w:val="auto"/>
          <w:sz w:val="32"/>
          <w:szCs w:val="32"/>
          <w:lang w:val="zh-CN"/>
        </w:rPr>
        <w:t>。</w:t>
      </w:r>
    </w:p>
    <w:p w14:paraId="5C169164">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（二）项目效益情况。</w:t>
      </w:r>
    </w:p>
    <w:p w14:paraId="03BBE5DC">
      <w:pPr>
        <w:pStyle w:val="2"/>
        <w:spacing w:before="93"/>
        <w:ind w:firstLine="640" w:firstLineChars="200"/>
        <w:rPr>
          <w:rFonts w:hint="default" w:ascii="Times New Roman" w:hAnsi="Times New Roman" w:cs="Times New Roman"/>
          <w:color w:val="auto"/>
          <w:lang w:val="zh-CN"/>
        </w:rPr>
      </w:pPr>
      <w:r>
        <w:rPr>
          <w:rFonts w:hint="default" w:ascii="Times New Roman" w:hAnsi="Times New Roman" w:cs="Times New Roman"/>
          <w:color w:val="auto"/>
          <w:sz w:val="32"/>
          <w:szCs w:val="32"/>
          <w:lang w:val="zh-CN"/>
        </w:rPr>
        <w:t>项目的实施是有效落实国家对项目预算评审的管理要求，为财政预算管理提供技术支撑，严格控制项目投资，节约财政资金，有效提高资金使用效率。</w:t>
      </w:r>
    </w:p>
    <w:p w14:paraId="5E77ADB7">
      <w:pPr>
        <w:adjustRightInd w:val="0"/>
        <w:snapToGrid w:val="0"/>
        <w:spacing w:line="578" w:lineRule="exact"/>
        <w:ind w:firstLine="720"/>
        <w:rPr>
          <w:rFonts w:hint="default" w:ascii="Times New Roman" w:hAnsi="Times New Roman" w:eastAsia="黑体" w:cs="Times New Roman"/>
          <w:color w:val="auto"/>
          <w:sz w:val="32"/>
          <w:szCs w:val="32"/>
        </w:rPr>
      </w:pPr>
      <w:bookmarkStart w:id="133" w:name="_Toc21043_WPSOffice_Level2"/>
      <w:bookmarkStart w:id="134" w:name="_Toc3608_WPSOffice_Level2"/>
      <w:bookmarkStart w:id="135" w:name="_Toc26508_WPSOffice_Level2"/>
      <w:r>
        <w:rPr>
          <w:rFonts w:hint="default" w:ascii="Times New Roman" w:hAnsi="Times New Roman" w:eastAsia="黑体" w:cs="Times New Roman"/>
          <w:color w:val="auto"/>
          <w:sz w:val="32"/>
          <w:szCs w:val="32"/>
        </w:rPr>
        <w:t>五、评价结论及建议</w:t>
      </w:r>
      <w:bookmarkEnd w:id="133"/>
      <w:bookmarkEnd w:id="134"/>
      <w:bookmarkEnd w:id="135"/>
    </w:p>
    <w:p w14:paraId="27947ACF">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（一）评价结论。</w:t>
      </w:r>
    </w:p>
    <w:p w14:paraId="110707DF">
      <w:pPr>
        <w:spacing w:line="353" w:lineRule="auto"/>
        <w:ind w:firstLine="640" w:firstLineChars="20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街道基层政权各项事业建设是在基层工作实践中探索和创造的一种有效开展各项工作的形式和做法，街道相关各项工作建设每年均会制定相关的计划，设置有专人负责相关工作建设与运行保障，职责分工明确，有序按相关规定时间安排推进相关工作，并有相应的工作要求与程序，得到了服务对象的高度评价，大大提高了工作效率。</w:t>
      </w:r>
    </w:p>
    <w:p w14:paraId="3AF90F8E">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（二）存在的问题。</w:t>
      </w:r>
    </w:p>
    <w:p w14:paraId="4058F078">
      <w:pPr>
        <w:adjustRightInd w:val="0"/>
        <w:snapToGrid w:val="0"/>
        <w:spacing w:line="578" w:lineRule="exact"/>
        <w:ind w:firstLine="72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无</w:t>
      </w:r>
    </w:p>
    <w:p w14:paraId="5E858F6A">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（三）相关建议。</w:t>
      </w:r>
    </w:p>
    <w:p w14:paraId="412675A4">
      <w:pPr>
        <w:numPr>
          <w:ilvl w:val="0"/>
          <w:numId w:val="0"/>
        </w:numPr>
        <w:adjustRightInd w:val="0"/>
        <w:snapToGrid w:val="0"/>
        <w:spacing w:line="578" w:lineRule="exact"/>
        <w:ind w:left="720" w:leftChars="0"/>
        <w:rPr>
          <w:rFonts w:hint="default" w:ascii="Times New Roman" w:hAnsi="Times New Roman" w:eastAsia="仿宋_GB2312" w:cs="Times New Roman"/>
          <w:color w:val="auto"/>
          <w:kern w:val="0"/>
          <w:sz w:val="32"/>
          <w:szCs w:val="32"/>
          <w:shd w:val="clear" w:color="auto" w:fill="FFFFFF"/>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无</w:t>
      </w:r>
    </w:p>
    <w:p w14:paraId="678DA638">
      <w:pPr>
        <w:pStyle w:val="37"/>
        <w:spacing w:line="578" w:lineRule="exact"/>
        <w:jc w:val="center"/>
        <w:rPr>
          <w:rFonts w:hint="default" w:ascii="Times New Roman" w:hAnsi="Times New Roman" w:eastAsia="方正小标宋简体" w:cs="Times New Roman"/>
          <w:color w:val="auto"/>
          <w:kern w:val="2"/>
          <w:sz w:val="44"/>
          <w:szCs w:val="44"/>
          <w:lang w:val="en-US"/>
        </w:rPr>
      </w:pPr>
      <w:r>
        <w:rPr>
          <w:rFonts w:hint="default" w:ascii="Times New Roman" w:hAnsi="Times New Roman" w:eastAsia="方正小标宋简体" w:cs="Times New Roman"/>
          <w:color w:val="auto"/>
          <w:kern w:val="2"/>
          <w:sz w:val="44"/>
          <w:szCs w:val="44"/>
          <w:lang w:val="en-US"/>
        </w:rPr>
        <w:br w:type="page"/>
      </w:r>
    </w:p>
    <w:p w14:paraId="2A24BEA8">
      <w:pPr>
        <w:pStyle w:val="37"/>
        <w:spacing w:line="578" w:lineRule="exact"/>
        <w:jc w:val="center"/>
        <w:rPr>
          <w:rFonts w:hint="default" w:ascii="Times New Roman" w:hAnsi="Times New Roman" w:eastAsia="方正小标宋简体" w:cs="Times New Roman"/>
          <w:color w:val="auto"/>
          <w:kern w:val="2"/>
          <w:sz w:val="44"/>
          <w:szCs w:val="44"/>
          <w:lang w:val="en-US"/>
        </w:rPr>
      </w:pPr>
      <w:bookmarkStart w:id="136" w:name="_Toc17886_WPSOffice_Level2"/>
      <w:bookmarkStart w:id="137" w:name="_Toc10824_WPSOffice_Level2"/>
      <w:bookmarkStart w:id="138" w:name="_Toc2283_WPSOffice_Level2"/>
      <w:r>
        <w:rPr>
          <w:rFonts w:hint="default" w:ascii="Times New Roman" w:hAnsi="Times New Roman" w:eastAsia="方正小标宋简体" w:cs="Times New Roman"/>
          <w:color w:val="auto"/>
          <w:kern w:val="2"/>
          <w:sz w:val="44"/>
          <w:szCs w:val="44"/>
          <w:lang w:val="en-US"/>
        </w:rPr>
        <w:t>社会管理专项经费（含人民防空、安全生产等）</w:t>
      </w:r>
      <w:bookmarkEnd w:id="136"/>
      <w:bookmarkEnd w:id="137"/>
      <w:bookmarkEnd w:id="138"/>
    </w:p>
    <w:p w14:paraId="4CB74C5D">
      <w:pPr>
        <w:adjustRightInd w:val="0"/>
        <w:snapToGrid w:val="0"/>
        <w:spacing w:line="578" w:lineRule="exact"/>
        <w:ind w:firstLine="720"/>
        <w:rPr>
          <w:rFonts w:hint="default" w:ascii="Times New Roman" w:hAnsi="Times New Roman" w:eastAsia="黑体" w:cs="Times New Roman"/>
          <w:color w:val="auto"/>
          <w:sz w:val="32"/>
          <w:szCs w:val="32"/>
          <w:lang w:val="zh-CN"/>
        </w:rPr>
      </w:pPr>
      <w:bookmarkStart w:id="139" w:name="_Toc24715_WPSOffice_Level2"/>
      <w:bookmarkStart w:id="140" w:name="_Toc21720_WPSOffice_Level2"/>
      <w:bookmarkStart w:id="141" w:name="_Toc32684_WPSOffice_Level2"/>
      <w:r>
        <w:rPr>
          <w:rFonts w:hint="default" w:ascii="Times New Roman" w:hAnsi="Times New Roman" w:eastAsia="黑体" w:cs="Times New Roman"/>
          <w:color w:val="auto"/>
          <w:sz w:val="32"/>
          <w:szCs w:val="32"/>
        </w:rPr>
        <w:t>一、</w:t>
      </w:r>
      <w:r>
        <w:rPr>
          <w:rFonts w:hint="default" w:ascii="Times New Roman" w:hAnsi="Times New Roman" w:eastAsia="黑体" w:cs="Times New Roman"/>
          <w:color w:val="auto"/>
          <w:sz w:val="32"/>
          <w:szCs w:val="32"/>
          <w:lang w:val="zh-CN"/>
        </w:rPr>
        <w:t>项目概况</w:t>
      </w:r>
      <w:bookmarkEnd w:id="139"/>
      <w:bookmarkEnd w:id="140"/>
      <w:bookmarkEnd w:id="141"/>
    </w:p>
    <w:p w14:paraId="7D8E4BC1">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（一）项目基本情况。</w:t>
      </w:r>
    </w:p>
    <w:p w14:paraId="46929DC9">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攀枝花市西区玉泉街道办事处在区委、区政府的坚强领导下，紧紧围绕区委、区政府的决策部署和工作大局，全面贯彻落实党的十九大和十九届二中全会精神，以党的群众路线教育实践活动为重要抓手，以服务群众为重点，创新思路，完善举措，大力发展街道经济，夯实党建基础，维护社会稳定，推进民生工程，加强和创新社会管理，重点开展全国文明城市创建，全面推进全国和谐社区示范城市建设，促进街办经济社会事务的协调发展，较好地完成全年的各项工作任务。</w:t>
      </w:r>
    </w:p>
    <w:p w14:paraId="1D570FE9">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围绕党建提升，着力抓好组织建设。牢固树立抓好党建是最大政绩的理念，以强基础、抓活动、显作用为主线，创新推动党建工作社会化，促使党建工作再上新台阶。</w:t>
      </w:r>
    </w:p>
    <w:p w14:paraId="42408E07">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围绕经济目标，着力抓好项目促进发展。加快制定街道经济发展规划，加强企业指导服务和综合管理工作，不遗余力地推进固定资产投资、招商引资等各项经济指标任务的全面完成。</w:t>
      </w:r>
    </w:p>
    <w:p w14:paraId="13CD90F2">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围绕宜居宜业，着力抓好环境综合治理。形成环境治理常态化，提升城市综合管理水平，切实为群众创造干净、整洁、优美的生活环境，增强居民的获得感和幸福感。</w:t>
      </w:r>
    </w:p>
    <w:p w14:paraId="271C0EA2">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围绕成果共享，着力抓好社会民生事业。以攀煤矿区群众为重点，补短板、增福祉，做好民生保障。主动担当抓落实，加快推进“互联网+政务服务”智慧社区建设，让更多居民坐在家中即可享受智慧信息化方便快捷服务。继续创新开展“机构—社区—居家”新型养老服务，进一步提高日间照料中心及文化活动中心的运转效率，提高为民服务水平。严格贯彻落实棚改、三供一业、困难帮扶等惠民政策，让群众能切切实实感受到党和政府的关怀，共享改革发展成果。</w:t>
      </w:r>
    </w:p>
    <w:p w14:paraId="6DEF9054">
      <w:pPr>
        <w:pStyle w:val="2"/>
        <w:spacing w:before="93"/>
        <w:ind w:firstLine="640" w:firstLineChars="200"/>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围绕和谐稳定，着力抓好矛盾纠纷排查。依托街道、社区两级综治中心，持续推进“立体化防控”和精细化网格管理工作，结合治安防控网格，配合区公安部门部署监控探头等技防物资，提高辖区内治安技防水平。继续做好矛盾纠纷排查，针对辖区内棚户区改造、“三供一业”等项目易激化矛盾的特点，保持高度的敏锐性和警惕性，确保辖区社会和谐稳定。强化底线和红线意识，加强安全、环保工作，健全规章制度，完善监管体系，坚决防止重大事故发生。</w:t>
      </w:r>
    </w:p>
    <w:p w14:paraId="07DEC37D">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（二）项目绩效目标。</w:t>
      </w:r>
    </w:p>
    <w:p w14:paraId="0F93BDFE">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rPr>
        <w:t>1.</w:t>
      </w:r>
      <w:r>
        <w:rPr>
          <w:rFonts w:hint="default" w:ascii="Times New Roman" w:hAnsi="Times New Roman" w:eastAsia="仿宋_GB2312" w:cs="Times New Roman"/>
          <w:color w:val="auto"/>
          <w:kern w:val="0"/>
          <w:sz w:val="32"/>
          <w:szCs w:val="32"/>
          <w:shd w:val="clear" w:color="auto" w:fill="FFFFFF"/>
          <w:lang w:val="zh-CN"/>
        </w:rPr>
        <w:t>项目主要内容。</w:t>
      </w:r>
    </w:p>
    <w:p w14:paraId="76844F63">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对街道办公楼及周边区域进行维修维护，购买电脑、空调、桌椅等办公设施设备，对办公软件、系统进行维护，支付软件使用费，保障办公场所安全，为办公和服务群众做好保障工作。</w:t>
      </w:r>
    </w:p>
    <w:p w14:paraId="2EB4B0D4">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rPr>
        <w:t>项目绩效目标。</w:t>
      </w:r>
    </w:p>
    <w:p w14:paraId="3A41639A">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en-US" w:eastAsia="zh-CN" w:bidi="ar-SA"/>
        </w:rPr>
      </w:pPr>
      <w:r>
        <w:rPr>
          <w:rFonts w:hint="default" w:ascii="Times New Roman" w:hAnsi="Times New Roman" w:eastAsia="仿宋_GB2312" w:cs="Times New Roman"/>
          <w:color w:val="auto"/>
          <w:kern w:val="0"/>
          <w:sz w:val="32"/>
          <w:szCs w:val="32"/>
          <w:shd w:val="clear" w:color="auto" w:fill="FFFFFF"/>
          <w:lang w:val="en-US" w:eastAsia="zh-CN" w:bidi="ar-SA"/>
        </w:rPr>
        <w:t>对街道办公楼及周边区域进行维修维护，购买电脑、空调、桌椅等办公设施设备，对办公软件、系统进行维护，支付软件使用费，保障办公场所安全，为办公和服务群众做好保障工作。</w:t>
      </w:r>
    </w:p>
    <w:p w14:paraId="33D270A5">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CN"/>
        </w:rPr>
        <w:t>项目资金申报相符性。</w:t>
      </w:r>
    </w:p>
    <w:p w14:paraId="4004B13D">
      <w:pPr>
        <w:pStyle w:val="2"/>
        <w:numPr>
          <w:ilvl w:val="0"/>
          <w:numId w:val="0"/>
        </w:numPr>
        <w:ind w:firstLine="640" w:firstLineChars="200"/>
        <w:rPr>
          <w:rFonts w:hint="default" w:ascii="Times New Roman" w:hAnsi="Times New Roman" w:cs="Times New Roman"/>
          <w:color w:val="auto"/>
          <w:lang w:val="zh-CN" w:eastAsia="zh-CN"/>
        </w:rPr>
      </w:pPr>
      <w:r>
        <w:rPr>
          <w:rFonts w:hint="default" w:ascii="Times New Roman" w:hAnsi="Times New Roman" w:eastAsia="仿宋_GB2312" w:cs="Times New Roman"/>
          <w:color w:val="auto"/>
          <w:kern w:val="0"/>
          <w:sz w:val="32"/>
          <w:szCs w:val="32"/>
          <w:shd w:val="clear" w:color="auto" w:fill="FFFFFF"/>
          <w:lang w:val="zh-CN" w:eastAsia="zh-CN" w:bidi="ar-SA"/>
        </w:rPr>
        <w:t>该项目申报内容与具体实施内容相符、申报目标合理可行</w:t>
      </w:r>
      <w:r>
        <w:rPr>
          <w:rFonts w:hint="default" w:ascii="Times New Roman" w:hAnsi="Times New Roman" w:cs="Times New Roman"/>
          <w:color w:val="auto"/>
          <w:lang w:val="zh-CN" w:eastAsia="zh-CN"/>
        </w:rPr>
        <w:t>。</w:t>
      </w:r>
    </w:p>
    <w:p w14:paraId="75BD110D">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（三）项目自评步骤及方法。</w:t>
      </w:r>
    </w:p>
    <w:p w14:paraId="5B51DACA">
      <w:pPr>
        <w:pStyle w:val="2"/>
        <w:spacing w:before="93"/>
        <w:ind w:firstLine="640" w:firstLineChars="200"/>
        <w:rPr>
          <w:rFonts w:hint="default" w:ascii="Times New Roman" w:hAnsi="Times New Roman" w:cs="Times New Roman"/>
          <w:color w:val="auto"/>
          <w:sz w:val="32"/>
          <w:szCs w:val="32"/>
          <w:lang w:val="en-US" w:eastAsia="zh-CN"/>
        </w:rPr>
      </w:pPr>
      <w:r>
        <w:rPr>
          <w:rFonts w:hint="default" w:ascii="Times New Roman" w:hAnsi="Times New Roman" w:cs="Times New Roman"/>
          <w:color w:val="auto"/>
          <w:sz w:val="32"/>
          <w:szCs w:val="32"/>
          <w:lang w:val="en-US" w:eastAsia="zh-CN"/>
        </w:rPr>
        <w:t>根据项目的服务质量、效率、满意度等因素来制定评价标准;通过服务对象反馈情况等方式收集数据。对收集到的数据进行分析，以了解项目的实际表现是否符合预期。根据分析结果，编写评价报告。报告将详细描述项目的优点和不足，以及改进的建议。</w:t>
      </w:r>
    </w:p>
    <w:p w14:paraId="6301194A">
      <w:pPr>
        <w:adjustRightInd w:val="0"/>
        <w:snapToGrid w:val="0"/>
        <w:spacing w:line="578" w:lineRule="exact"/>
        <w:ind w:firstLine="720"/>
        <w:rPr>
          <w:rFonts w:hint="default" w:ascii="Times New Roman" w:hAnsi="Times New Roman" w:eastAsia="黑体" w:cs="Times New Roman"/>
          <w:color w:val="auto"/>
          <w:sz w:val="32"/>
          <w:szCs w:val="32"/>
        </w:rPr>
      </w:pPr>
      <w:bookmarkStart w:id="142" w:name="_Toc25827_WPSOffice_Level2"/>
      <w:bookmarkStart w:id="143" w:name="_Toc20046_WPSOffice_Level2"/>
      <w:bookmarkStart w:id="144" w:name="_Toc2478_WPSOffice_Level2"/>
      <w:r>
        <w:rPr>
          <w:rFonts w:hint="default" w:ascii="Times New Roman" w:hAnsi="Times New Roman" w:eastAsia="黑体" w:cs="Times New Roman"/>
          <w:color w:val="auto"/>
          <w:sz w:val="32"/>
          <w:szCs w:val="32"/>
        </w:rPr>
        <w:t>二、项目资金申报及使用情况</w:t>
      </w:r>
      <w:bookmarkEnd w:id="142"/>
      <w:bookmarkEnd w:id="143"/>
      <w:bookmarkEnd w:id="144"/>
    </w:p>
    <w:p w14:paraId="03AFC267">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（一）项目资金申报及批复情况。</w:t>
      </w:r>
    </w:p>
    <w:p w14:paraId="637E4F64">
      <w:pPr>
        <w:pStyle w:val="2"/>
        <w:spacing w:before="93"/>
        <w:ind w:firstLine="640" w:firstLineChars="200"/>
        <w:rPr>
          <w:rFonts w:hint="default" w:ascii="Times New Roman" w:hAnsi="Times New Roman" w:cs="Times New Roman"/>
          <w:color w:val="auto"/>
          <w:sz w:val="32"/>
          <w:szCs w:val="32"/>
          <w:lang w:val="zh-CN" w:eastAsia="zh-CN"/>
        </w:rPr>
      </w:pPr>
      <w:r>
        <w:rPr>
          <w:rFonts w:hint="default" w:ascii="Times New Roman" w:hAnsi="Times New Roman" w:cs="Times New Roman"/>
          <w:color w:val="auto"/>
          <w:sz w:val="32"/>
          <w:szCs w:val="32"/>
          <w:lang w:val="zh-CN" w:eastAsia="zh-CN"/>
        </w:rPr>
        <w:t>玉泉街办在</w:t>
      </w:r>
      <w:r>
        <w:rPr>
          <w:rFonts w:hint="default" w:ascii="Times New Roman" w:hAnsi="Times New Roman" w:cs="Times New Roman"/>
          <w:color w:val="auto"/>
          <w:sz w:val="32"/>
          <w:szCs w:val="32"/>
          <w:lang w:val="en-US" w:eastAsia="zh-CN"/>
        </w:rPr>
        <w:t>2022年初</w:t>
      </w:r>
      <w:r>
        <w:rPr>
          <w:rFonts w:hint="default" w:ascii="Times New Roman" w:hAnsi="Times New Roman" w:cs="Times New Roman"/>
          <w:color w:val="auto"/>
          <w:sz w:val="32"/>
          <w:szCs w:val="32"/>
          <w:lang w:val="zh-CN" w:eastAsia="zh-CN"/>
        </w:rPr>
        <w:t>根据年初预算安排进行项目申报，区财政局按照（攀西财〔2022〕101号）下达预算资金</w:t>
      </w:r>
      <w:r>
        <w:rPr>
          <w:rFonts w:hint="default" w:ascii="Times New Roman" w:hAnsi="Times New Roman" w:cs="Times New Roman"/>
          <w:color w:val="auto"/>
          <w:sz w:val="32"/>
          <w:szCs w:val="32"/>
          <w:lang w:val="en-US" w:eastAsia="zh-CN"/>
        </w:rPr>
        <w:t>9.00万元</w:t>
      </w:r>
      <w:r>
        <w:rPr>
          <w:rFonts w:hint="default" w:ascii="Times New Roman" w:hAnsi="Times New Roman" w:cs="Times New Roman"/>
          <w:color w:val="auto"/>
          <w:sz w:val="32"/>
          <w:szCs w:val="32"/>
          <w:lang w:val="zh-CN" w:eastAsia="zh-CN"/>
        </w:rPr>
        <w:t>。</w:t>
      </w:r>
    </w:p>
    <w:p w14:paraId="158D2900">
      <w:pPr>
        <w:adjustRightInd w:val="0"/>
        <w:snapToGrid w:val="0"/>
        <w:spacing w:line="578" w:lineRule="exact"/>
        <w:ind w:firstLine="720"/>
        <w:rPr>
          <w:rFonts w:hint="default" w:ascii="Times New Roman" w:hAnsi="Times New Roman" w:cs="Times New Roman"/>
          <w:color w:val="auto"/>
          <w:sz w:val="32"/>
          <w:szCs w:val="32"/>
          <w:lang w:val="zh-CN"/>
        </w:rPr>
      </w:pPr>
      <w:r>
        <w:rPr>
          <w:rFonts w:hint="default" w:ascii="Times New Roman" w:hAnsi="Times New Roman" w:eastAsia="楷体_GB2312" w:cs="Times New Roman"/>
          <w:b/>
          <w:color w:val="auto"/>
          <w:sz w:val="32"/>
          <w:szCs w:val="32"/>
          <w:lang w:val="zh-CN"/>
        </w:rPr>
        <w:t>（二）资金计划、到位及使用情况。</w:t>
      </w:r>
    </w:p>
    <w:p w14:paraId="2904665F">
      <w:pPr>
        <w:adjustRightInd w:val="0"/>
        <w:snapToGrid w:val="0"/>
        <w:spacing w:line="600" w:lineRule="exact"/>
        <w:ind w:firstLine="72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1．资金计划。</w:t>
      </w:r>
      <w:r>
        <w:rPr>
          <w:rFonts w:hint="default" w:ascii="Times New Roman" w:hAnsi="Times New Roman" w:eastAsia="仿宋_GB2312" w:cs="Times New Roman"/>
          <w:color w:val="auto"/>
          <w:sz w:val="32"/>
          <w:szCs w:val="32"/>
          <w:lang w:val="zh-CN"/>
        </w:rPr>
        <w:t>2022年计划支付社会管理专项经费（含人民防空、安全生产等）</w:t>
      </w:r>
      <w:r>
        <w:rPr>
          <w:rFonts w:hint="default" w:ascii="Times New Roman" w:hAnsi="Times New Roman" w:eastAsia="仿宋_GB2312" w:cs="Times New Roman"/>
          <w:color w:val="auto"/>
          <w:sz w:val="32"/>
          <w:szCs w:val="32"/>
          <w:lang w:val="en-US" w:eastAsia="zh-CN"/>
        </w:rPr>
        <w:t>9.00</w:t>
      </w:r>
      <w:r>
        <w:rPr>
          <w:rFonts w:hint="default" w:ascii="Times New Roman" w:hAnsi="Times New Roman" w:eastAsia="仿宋_GB2312" w:cs="Times New Roman"/>
          <w:color w:val="auto"/>
          <w:sz w:val="32"/>
          <w:szCs w:val="32"/>
          <w:lang w:val="zh-CN"/>
        </w:rPr>
        <w:t>万元。</w:t>
      </w:r>
    </w:p>
    <w:p w14:paraId="71D0237A">
      <w:pPr>
        <w:adjustRightInd w:val="0"/>
        <w:snapToGrid w:val="0"/>
        <w:spacing w:line="600" w:lineRule="exact"/>
        <w:ind w:firstLine="720"/>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color w:val="auto"/>
          <w:kern w:val="0"/>
          <w:sz w:val="32"/>
          <w:szCs w:val="32"/>
          <w:shd w:val="clear" w:color="auto" w:fill="FFFFFF"/>
          <w:lang w:val="zh-CN"/>
        </w:rPr>
        <w:t>2．资金到位。</w:t>
      </w:r>
      <w:r>
        <w:rPr>
          <w:rFonts w:hint="default" w:ascii="Times New Roman" w:hAnsi="Times New Roman" w:eastAsia="仿宋_GB2312" w:cs="Times New Roman"/>
          <w:color w:val="auto"/>
          <w:sz w:val="32"/>
          <w:szCs w:val="32"/>
          <w:lang w:val="zh-CN"/>
        </w:rPr>
        <w:t>截至评价时点实际到位资金</w:t>
      </w:r>
      <w:r>
        <w:rPr>
          <w:rFonts w:hint="default" w:ascii="Times New Roman" w:hAnsi="Times New Roman" w:eastAsia="仿宋_GB2312" w:cs="Times New Roman"/>
          <w:color w:val="auto"/>
          <w:sz w:val="32"/>
          <w:szCs w:val="32"/>
          <w:lang w:val="en-US" w:eastAsia="zh-CN"/>
        </w:rPr>
        <w:t>9.00万元</w:t>
      </w:r>
      <w:r>
        <w:rPr>
          <w:rFonts w:hint="default" w:ascii="Times New Roman" w:hAnsi="Times New Roman" w:eastAsia="仿宋_GB2312" w:cs="Times New Roman"/>
          <w:color w:val="auto"/>
          <w:sz w:val="32"/>
          <w:szCs w:val="32"/>
          <w:lang w:val="zh-CN"/>
        </w:rPr>
        <w:t>，全部为区级财政资金。资金到位及时，资金到位率100%。实际支付</w:t>
      </w:r>
      <w:r>
        <w:rPr>
          <w:rFonts w:hint="default" w:ascii="Times New Roman" w:hAnsi="Times New Roman" w:eastAsia="仿宋_GB2312" w:cs="Times New Roman"/>
          <w:color w:val="auto"/>
          <w:sz w:val="32"/>
          <w:szCs w:val="32"/>
          <w:lang w:val="en-US" w:eastAsia="zh-CN"/>
        </w:rPr>
        <w:t>8.3987</w:t>
      </w:r>
      <w:r>
        <w:rPr>
          <w:rFonts w:hint="default" w:ascii="Times New Roman" w:hAnsi="Times New Roman" w:eastAsia="仿宋_GB2312" w:cs="Times New Roman"/>
          <w:color w:val="auto"/>
          <w:sz w:val="32"/>
          <w:szCs w:val="32"/>
          <w:lang w:val="zh-CN"/>
        </w:rPr>
        <w:t>万元，偏差原因：收款方提供的银行卡为二类卡，到</w:t>
      </w:r>
      <w:r>
        <w:rPr>
          <w:rFonts w:hint="default" w:ascii="Times New Roman" w:hAnsi="Times New Roman" w:eastAsia="仿宋_GB2312" w:cs="Times New Roman"/>
          <w:color w:val="auto"/>
          <w:sz w:val="32"/>
          <w:szCs w:val="32"/>
          <w:lang w:val="en-US" w:eastAsia="zh-CN"/>
        </w:rPr>
        <w:t>12月31日结算前，未能支付成功。</w:t>
      </w:r>
    </w:p>
    <w:p w14:paraId="7BE22E50">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en-US" w:eastAsia="zh-CN"/>
        </w:rPr>
        <w:t>3.</w:t>
      </w:r>
      <w:r>
        <w:rPr>
          <w:rFonts w:hint="default" w:ascii="Times New Roman" w:hAnsi="Times New Roman" w:eastAsia="仿宋_GB2312" w:cs="Times New Roman"/>
          <w:color w:val="auto"/>
          <w:kern w:val="0"/>
          <w:sz w:val="32"/>
          <w:szCs w:val="32"/>
          <w:shd w:val="clear" w:color="auto" w:fill="FFFFFF"/>
          <w:lang w:val="zh-CN"/>
        </w:rPr>
        <w:t>资金使用。</w:t>
      </w:r>
      <w:r>
        <w:rPr>
          <w:rFonts w:hint="default" w:ascii="Times New Roman" w:hAnsi="Times New Roman" w:eastAsia="仿宋_GB2312" w:cs="Times New Roman"/>
          <w:color w:val="auto"/>
          <w:sz w:val="32"/>
          <w:szCs w:val="32"/>
          <w:lang w:val="zh-CN"/>
        </w:rPr>
        <w:t>截至评价时点，实际支出社会管理专项经费（含人民防空、安全生产等）</w:t>
      </w:r>
      <w:r>
        <w:rPr>
          <w:rFonts w:hint="default" w:ascii="Times New Roman" w:hAnsi="Times New Roman" w:eastAsia="仿宋_GB2312" w:cs="Times New Roman"/>
          <w:color w:val="auto"/>
          <w:sz w:val="32"/>
          <w:szCs w:val="32"/>
          <w:lang w:val="en-US" w:eastAsia="zh-CN"/>
        </w:rPr>
        <w:t>8.3987</w:t>
      </w:r>
      <w:r>
        <w:rPr>
          <w:rFonts w:hint="default" w:ascii="Times New Roman" w:hAnsi="Times New Roman" w:eastAsia="仿宋_GB2312" w:cs="Times New Roman"/>
          <w:color w:val="auto"/>
          <w:sz w:val="32"/>
          <w:szCs w:val="32"/>
          <w:lang w:val="zh-CN"/>
        </w:rPr>
        <w:t>万元，资金未能全部支付完毕。该项资金全部用于支付</w:t>
      </w:r>
      <w:r>
        <w:rPr>
          <w:rFonts w:hint="default" w:ascii="Times New Roman" w:hAnsi="Times New Roman" w:eastAsia="仿宋_GB2312" w:cs="Times New Roman"/>
          <w:color w:val="auto"/>
          <w:kern w:val="0"/>
          <w:sz w:val="32"/>
          <w:szCs w:val="32"/>
          <w:shd w:val="clear" w:color="auto" w:fill="FFFFFF"/>
          <w:lang w:val="en-US" w:eastAsia="zh-CN" w:bidi="ar-SA"/>
        </w:rPr>
        <w:t>对街道办公楼及周边区域进行维修维护，购买电脑、空调、桌椅等办公设施设备，对办公软件、系统进行维护，支付软件使用费。</w:t>
      </w:r>
      <w:r>
        <w:rPr>
          <w:rFonts w:hint="default" w:ascii="Times New Roman" w:hAnsi="Times New Roman" w:eastAsia="仿宋_GB2312" w:cs="Times New Roman"/>
          <w:color w:val="auto"/>
          <w:sz w:val="32"/>
          <w:szCs w:val="32"/>
          <w:lang w:val="zh-CN"/>
        </w:rPr>
        <w:t>。支付依据合规合法，资金支付与预算相符，不存在无预算超预算支出的情况。</w:t>
      </w:r>
    </w:p>
    <w:p w14:paraId="001ADE4D">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（三）项目财务管理情况。</w:t>
      </w:r>
    </w:p>
    <w:p w14:paraId="40E22D01">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玉泉街办按照</w:t>
      </w:r>
      <w:r>
        <w:rPr>
          <w:rFonts w:hint="default" w:ascii="Times New Roman" w:hAnsi="Times New Roman" w:eastAsia="仿宋_GB2312" w:cs="Times New Roman"/>
          <w:color w:val="auto"/>
          <w:sz w:val="32"/>
          <w:szCs w:val="32"/>
          <w:lang w:val="en-US" w:eastAsia="zh-CN"/>
        </w:rPr>
        <w:t>2022年年初预算安排，</w:t>
      </w:r>
      <w:r>
        <w:rPr>
          <w:rFonts w:hint="default" w:ascii="Times New Roman" w:hAnsi="Times New Roman" w:eastAsia="仿宋_GB2312" w:cs="Times New Roman"/>
          <w:color w:val="auto"/>
          <w:sz w:val="32"/>
          <w:szCs w:val="32"/>
          <w:lang w:val="zh-CN"/>
        </w:rPr>
        <w:t>根据年度工作安排向区财政局申报预算，并严格按照街办财务管理制度审批和支付费用。玉泉街办财务机构设置合理，财务制度健全完善，项目支出会计核算及账务处理规范。</w:t>
      </w:r>
    </w:p>
    <w:p w14:paraId="5E040E3A">
      <w:pPr>
        <w:adjustRightInd w:val="0"/>
        <w:snapToGrid w:val="0"/>
        <w:spacing w:line="578" w:lineRule="exact"/>
        <w:ind w:firstLine="720"/>
        <w:rPr>
          <w:rFonts w:hint="default" w:ascii="Times New Roman" w:hAnsi="Times New Roman" w:eastAsia="黑体" w:cs="Times New Roman"/>
          <w:color w:val="auto"/>
          <w:sz w:val="32"/>
          <w:szCs w:val="32"/>
        </w:rPr>
      </w:pPr>
      <w:bookmarkStart w:id="145" w:name="_Toc15073_WPSOffice_Level2"/>
      <w:bookmarkStart w:id="146" w:name="_Toc9933_WPSOffice_Level2"/>
      <w:bookmarkStart w:id="147" w:name="_Toc20467_WPSOffice_Level2"/>
      <w:r>
        <w:rPr>
          <w:rFonts w:hint="default" w:ascii="Times New Roman" w:hAnsi="Times New Roman" w:eastAsia="黑体" w:cs="Times New Roman"/>
          <w:color w:val="auto"/>
          <w:sz w:val="32"/>
          <w:szCs w:val="32"/>
        </w:rPr>
        <w:t>三、项目实施及管理情况</w:t>
      </w:r>
      <w:bookmarkEnd w:id="145"/>
      <w:bookmarkEnd w:id="146"/>
      <w:bookmarkEnd w:id="147"/>
    </w:p>
    <w:p w14:paraId="110F4223">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（一）项目组织架构及实施流程。</w:t>
      </w:r>
    </w:p>
    <w:p w14:paraId="3CBD4686">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玉泉街办严格按照该项目事前规划实施，将所有经费全部用在</w:t>
      </w:r>
      <w:r>
        <w:rPr>
          <w:rFonts w:hint="default" w:ascii="Times New Roman" w:hAnsi="Times New Roman" w:eastAsia="仿宋_GB2312" w:cs="Times New Roman"/>
          <w:color w:val="auto"/>
          <w:kern w:val="0"/>
          <w:sz w:val="32"/>
          <w:szCs w:val="32"/>
          <w:shd w:val="clear" w:color="auto" w:fill="FFFFFF"/>
          <w:lang w:val="en-US" w:eastAsia="zh-CN" w:bidi="ar-SA"/>
        </w:rPr>
        <w:t>对街道办公楼及周边区域进行维修维护，购买电脑、空调、桌椅等办公设施设备，对办公软件、系统进行维护，支付软件使用费。</w:t>
      </w:r>
    </w:p>
    <w:p w14:paraId="054BF236">
      <w:pPr>
        <w:numPr>
          <w:ilvl w:val="0"/>
          <w:numId w:val="0"/>
        </w:numPr>
        <w:adjustRightInd w:val="0"/>
        <w:snapToGrid w:val="0"/>
        <w:spacing w:line="578" w:lineRule="exact"/>
        <w:ind w:firstLine="643" w:firstLineChars="20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（二）项目管理情况。</w:t>
      </w:r>
    </w:p>
    <w:p w14:paraId="60B047C8">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在项目实施后，业务经办人员对所采购的货物或者服务进行验收，严格按照财务制度、报销流程，一事一报，完成支付手续。</w:t>
      </w:r>
    </w:p>
    <w:p w14:paraId="34E6ED69">
      <w:pPr>
        <w:numPr>
          <w:ilvl w:val="0"/>
          <w:numId w:val="0"/>
        </w:numPr>
        <w:adjustRightInd w:val="0"/>
        <w:snapToGrid w:val="0"/>
        <w:spacing w:line="600" w:lineRule="exact"/>
        <w:ind w:left="720" w:leftChars="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（三）项目监管情况。</w:t>
      </w:r>
    </w:p>
    <w:p w14:paraId="48852C05">
      <w:pPr>
        <w:numPr>
          <w:ilvl w:val="0"/>
          <w:numId w:val="0"/>
        </w:numPr>
        <w:adjustRightInd w:val="0"/>
        <w:snapToGrid w:val="0"/>
        <w:spacing w:line="578" w:lineRule="exact"/>
        <w:ind w:firstLine="640" w:firstLineChars="20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为规范管理，强化廉政风险防控，确保该笔项目资金不浪费、不超支，接受各项巡查审计，同时根据决算的，杜绝浪费等情形出现。</w:t>
      </w:r>
      <w:r>
        <w:rPr>
          <w:rFonts w:hint="default" w:ascii="Times New Roman" w:hAnsi="Times New Roman" w:eastAsia="仿宋_GB2312" w:cs="Times New Roman"/>
          <w:color w:val="auto"/>
          <w:sz w:val="32"/>
          <w:szCs w:val="32"/>
        </w:rPr>
        <w:t xml:space="preserve">   </w:t>
      </w:r>
    </w:p>
    <w:p w14:paraId="78291579">
      <w:pPr>
        <w:adjustRightInd w:val="0"/>
        <w:snapToGrid w:val="0"/>
        <w:spacing w:line="578" w:lineRule="exact"/>
        <w:ind w:firstLine="720"/>
        <w:rPr>
          <w:rFonts w:hint="default" w:ascii="Times New Roman" w:hAnsi="Times New Roman" w:cs="Times New Roman"/>
          <w:color w:val="auto"/>
          <w:sz w:val="32"/>
          <w:szCs w:val="32"/>
          <w:lang w:val="zh-CN"/>
        </w:rPr>
      </w:pPr>
      <w:bookmarkStart w:id="148" w:name="_Toc20729_WPSOffice_Level2"/>
      <w:bookmarkStart w:id="149" w:name="_Toc7509_WPSOffice_Level2"/>
      <w:bookmarkStart w:id="150" w:name="_Toc16842_WPSOffice_Level2"/>
      <w:r>
        <w:rPr>
          <w:rFonts w:hint="default" w:ascii="Times New Roman" w:hAnsi="Times New Roman" w:eastAsia="黑体" w:cs="Times New Roman"/>
          <w:color w:val="auto"/>
          <w:sz w:val="32"/>
          <w:szCs w:val="32"/>
        </w:rPr>
        <w:t>四、项目绩效情况</w:t>
      </w:r>
      <w:bookmarkEnd w:id="148"/>
      <w:bookmarkEnd w:id="149"/>
      <w:bookmarkEnd w:id="150"/>
      <w:r>
        <w:rPr>
          <w:rFonts w:hint="default" w:ascii="Times New Roman" w:hAnsi="Times New Roman" w:cs="Times New Roman"/>
          <w:color w:val="auto"/>
          <w:sz w:val="32"/>
          <w:szCs w:val="32"/>
          <w:lang w:val="zh-CN"/>
        </w:rPr>
        <w:tab/>
      </w:r>
    </w:p>
    <w:p w14:paraId="3A13D046">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（一）项目完成情况。</w:t>
      </w:r>
    </w:p>
    <w:p w14:paraId="66E0C41B">
      <w:pPr>
        <w:adjustRightInd w:val="0"/>
        <w:snapToGrid w:val="0"/>
        <w:spacing w:line="600" w:lineRule="exact"/>
        <w:ind w:firstLine="720"/>
        <w:rPr>
          <w:rFonts w:hint="default" w:ascii="Times New Roman" w:hAnsi="Times New Roman" w:eastAsia="仿宋_GB2312" w:cs="Times New Roman"/>
          <w:b/>
          <w:color w:val="auto"/>
          <w:sz w:val="32"/>
          <w:szCs w:val="32"/>
          <w:lang w:val="zh-CN"/>
        </w:rPr>
      </w:pPr>
      <w:r>
        <w:rPr>
          <w:rFonts w:hint="default" w:ascii="Times New Roman" w:hAnsi="Times New Roman" w:eastAsia="仿宋_GB2312" w:cs="Times New Roman"/>
          <w:color w:val="auto"/>
          <w:sz w:val="32"/>
          <w:szCs w:val="32"/>
          <w:lang w:val="zh-CN"/>
        </w:rPr>
        <w:t>2022年支付社会管理专项经费（含人民防空、安全生产等）</w:t>
      </w:r>
      <w:r>
        <w:rPr>
          <w:rFonts w:hint="default" w:ascii="Times New Roman" w:hAnsi="Times New Roman" w:eastAsia="仿宋_GB2312" w:cs="Times New Roman"/>
          <w:color w:val="auto"/>
          <w:sz w:val="32"/>
          <w:szCs w:val="32"/>
          <w:lang w:val="en-US" w:eastAsia="zh-CN"/>
        </w:rPr>
        <w:t>8.3987</w:t>
      </w:r>
      <w:r>
        <w:rPr>
          <w:rFonts w:hint="default" w:ascii="Times New Roman" w:hAnsi="Times New Roman" w:eastAsia="仿宋_GB2312" w:cs="Times New Roman"/>
          <w:color w:val="auto"/>
          <w:sz w:val="32"/>
          <w:szCs w:val="32"/>
          <w:lang w:val="zh-CN"/>
        </w:rPr>
        <w:t>万元</w:t>
      </w:r>
      <w:r>
        <w:rPr>
          <w:rFonts w:hint="default" w:ascii="Times New Roman" w:hAnsi="Times New Roman" w:eastAsia="仿宋_GB2312" w:cs="Times New Roman"/>
          <w:color w:val="auto"/>
          <w:sz w:val="32"/>
          <w:szCs w:val="32"/>
          <w:lang w:val="en-US" w:eastAsia="zh-CN"/>
        </w:rPr>
        <w:t>，严格按照财务制度，根据合同、票据金额，计算报销。</w:t>
      </w:r>
      <w:r>
        <w:rPr>
          <w:rFonts w:hint="default" w:ascii="Times New Roman" w:hAnsi="Times New Roman" w:eastAsia="仿宋_GB2312" w:cs="Times New Roman"/>
          <w:color w:val="auto"/>
          <w:sz w:val="32"/>
          <w:szCs w:val="32"/>
          <w:lang w:val="zh-CN"/>
        </w:rPr>
        <w:t>成本控制较好，</w:t>
      </w:r>
      <w:r>
        <w:rPr>
          <w:rFonts w:hint="default" w:ascii="Times New Roman" w:hAnsi="Times New Roman" w:eastAsia="仿宋_GB2312" w:cs="Times New Roman"/>
          <w:color w:val="auto"/>
          <w:sz w:val="32"/>
          <w:szCs w:val="32"/>
        </w:rPr>
        <w:t>项目无资金结余</w:t>
      </w:r>
      <w:r>
        <w:rPr>
          <w:rFonts w:hint="default" w:ascii="Times New Roman" w:hAnsi="Times New Roman" w:eastAsia="仿宋_GB2312" w:cs="Times New Roman"/>
          <w:color w:val="auto"/>
          <w:sz w:val="32"/>
          <w:szCs w:val="32"/>
          <w:lang w:val="zh-CN"/>
        </w:rPr>
        <w:t>。</w:t>
      </w:r>
    </w:p>
    <w:p w14:paraId="319F8EC0">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（二）项目效益情况。</w:t>
      </w:r>
    </w:p>
    <w:p w14:paraId="7456F6D8">
      <w:pPr>
        <w:pStyle w:val="2"/>
        <w:spacing w:before="93"/>
        <w:ind w:firstLine="640" w:firstLineChars="200"/>
        <w:rPr>
          <w:rFonts w:hint="default" w:ascii="Times New Roman" w:hAnsi="Times New Roman" w:cs="Times New Roman"/>
          <w:color w:val="auto"/>
          <w:lang w:val="zh-CN"/>
        </w:rPr>
      </w:pPr>
      <w:r>
        <w:rPr>
          <w:rFonts w:hint="default" w:ascii="Times New Roman" w:hAnsi="Times New Roman" w:cs="Times New Roman"/>
          <w:color w:val="auto"/>
          <w:sz w:val="32"/>
          <w:szCs w:val="32"/>
          <w:lang w:val="zh-CN"/>
        </w:rPr>
        <w:t>项目的实施是有效落实国家对项目预算评审的管理要求，为财政预算管理提供技术支撑，严格控制项目投资，节约财政资金，有效提高资金使用效率。</w:t>
      </w:r>
    </w:p>
    <w:p w14:paraId="63C47221">
      <w:pPr>
        <w:adjustRightInd w:val="0"/>
        <w:snapToGrid w:val="0"/>
        <w:spacing w:line="578" w:lineRule="exact"/>
        <w:ind w:firstLine="720"/>
        <w:rPr>
          <w:rFonts w:hint="default" w:ascii="Times New Roman" w:hAnsi="Times New Roman" w:eastAsia="黑体" w:cs="Times New Roman"/>
          <w:color w:val="auto"/>
          <w:sz w:val="32"/>
          <w:szCs w:val="32"/>
        </w:rPr>
      </w:pPr>
      <w:bookmarkStart w:id="151" w:name="_Toc15504_WPSOffice_Level2"/>
      <w:bookmarkStart w:id="152" w:name="_Toc28811_WPSOffice_Level2"/>
      <w:bookmarkStart w:id="153" w:name="_Toc11626_WPSOffice_Level2"/>
      <w:r>
        <w:rPr>
          <w:rFonts w:hint="default" w:ascii="Times New Roman" w:hAnsi="Times New Roman" w:eastAsia="黑体" w:cs="Times New Roman"/>
          <w:color w:val="auto"/>
          <w:sz w:val="32"/>
          <w:szCs w:val="32"/>
        </w:rPr>
        <w:t>五、评价结论及建议</w:t>
      </w:r>
      <w:bookmarkEnd w:id="151"/>
      <w:bookmarkEnd w:id="152"/>
      <w:bookmarkEnd w:id="153"/>
    </w:p>
    <w:p w14:paraId="0B97F516">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（一）评价结论。</w:t>
      </w:r>
    </w:p>
    <w:p w14:paraId="36D4E564">
      <w:pPr>
        <w:spacing w:line="353" w:lineRule="auto"/>
        <w:ind w:firstLine="640" w:firstLineChars="20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街道基层政权各项事业建设是在基层工作实践中探索和创造的一种有效开展各项工作的形式和做法，街道相关各项工作建设每年均会制定相关的计划，设置有专人负责相关工作建设与运行保障，职责分工明确，有序按相关规定时间安排推进相关工作，并有相应的工作要求与程序，得到了服务对象的高度评价，大大提高了工作效率。</w:t>
      </w:r>
    </w:p>
    <w:p w14:paraId="092E6883">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（二）存在的问题。</w:t>
      </w:r>
    </w:p>
    <w:p w14:paraId="551B69B2">
      <w:pPr>
        <w:spacing w:line="353" w:lineRule="auto"/>
        <w:ind w:firstLine="640" w:firstLineChars="20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由于商家在年末时未能提供正确的银行卡号，导致实际支付小于计划支付。</w:t>
      </w:r>
    </w:p>
    <w:p w14:paraId="301FAB83">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（三）相关建议。</w:t>
      </w:r>
    </w:p>
    <w:p w14:paraId="42274797">
      <w:pPr>
        <w:spacing w:line="353" w:lineRule="auto"/>
        <w:ind w:firstLine="640" w:firstLineChars="20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财务需加强与业务经办人员、收款方的联系，尽量避该类情况再次出现，浪费计划资金。</w:t>
      </w:r>
    </w:p>
    <w:p w14:paraId="71975177">
      <w:pPr>
        <w:numPr>
          <w:ilvl w:val="0"/>
          <w:numId w:val="0"/>
        </w:numPr>
        <w:adjustRightInd w:val="0"/>
        <w:snapToGrid w:val="0"/>
        <w:spacing w:line="578" w:lineRule="exact"/>
        <w:ind w:left="720" w:leftChars="0"/>
        <w:rPr>
          <w:rFonts w:hint="default" w:ascii="Times New Roman" w:hAnsi="Times New Roman" w:eastAsia="仿宋_GB2312" w:cs="Times New Roman"/>
          <w:color w:val="auto"/>
          <w:kern w:val="0"/>
          <w:sz w:val="32"/>
          <w:szCs w:val="32"/>
          <w:lang w:val="zh-CN" w:eastAsia="zh-CN" w:bidi="ar-SA"/>
        </w:rPr>
      </w:pPr>
    </w:p>
    <w:p w14:paraId="27764A85">
      <w:pPr>
        <w:pStyle w:val="37"/>
        <w:spacing w:line="578" w:lineRule="exact"/>
        <w:jc w:val="center"/>
        <w:rPr>
          <w:rFonts w:hint="default" w:ascii="Times New Roman" w:hAnsi="Times New Roman" w:eastAsia="方正小标宋简体" w:cs="Times New Roman"/>
          <w:color w:val="auto"/>
          <w:kern w:val="2"/>
          <w:sz w:val="44"/>
          <w:szCs w:val="44"/>
          <w:lang w:val="en-US"/>
        </w:rPr>
      </w:pPr>
      <w:r>
        <w:rPr>
          <w:rFonts w:hint="default" w:ascii="Times New Roman" w:hAnsi="Times New Roman" w:eastAsia="方正小标宋简体" w:cs="Times New Roman"/>
          <w:color w:val="auto"/>
          <w:kern w:val="2"/>
          <w:sz w:val="44"/>
          <w:szCs w:val="44"/>
          <w:lang w:val="en-US"/>
        </w:rPr>
        <w:br w:type="page"/>
      </w:r>
    </w:p>
    <w:p w14:paraId="229A56ED">
      <w:pPr>
        <w:pStyle w:val="37"/>
        <w:spacing w:line="578" w:lineRule="exact"/>
        <w:jc w:val="center"/>
        <w:rPr>
          <w:rFonts w:hint="default" w:ascii="Times New Roman" w:hAnsi="Times New Roman" w:eastAsia="方正小标宋简体" w:cs="Times New Roman"/>
          <w:color w:val="auto"/>
          <w:kern w:val="2"/>
          <w:sz w:val="44"/>
          <w:szCs w:val="44"/>
          <w:lang w:val="en-US"/>
        </w:rPr>
      </w:pPr>
      <w:bookmarkStart w:id="154" w:name="_Toc3973_WPSOffice_Level2"/>
      <w:bookmarkStart w:id="155" w:name="_Toc1774_WPSOffice_Level2"/>
      <w:bookmarkStart w:id="156" w:name="_Toc24362_WPSOffice_Level2"/>
      <w:r>
        <w:rPr>
          <w:rFonts w:hint="default" w:ascii="Times New Roman" w:hAnsi="Times New Roman" w:eastAsia="方正小标宋简体" w:cs="Times New Roman"/>
          <w:color w:val="auto"/>
          <w:kern w:val="2"/>
          <w:sz w:val="44"/>
          <w:szCs w:val="44"/>
          <w:lang w:val="en-US"/>
        </w:rPr>
        <w:t>维稳工作经费</w:t>
      </w:r>
      <w:bookmarkEnd w:id="154"/>
      <w:bookmarkEnd w:id="155"/>
      <w:bookmarkEnd w:id="156"/>
    </w:p>
    <w:p w14:paraId="6E1DE806">
      <w:pPr>
        <w:adjustRightInd w:val="0"/>
        <w:snapToGrid w:val="0"/>
        <w:spacing w:line="578" w:lineRule="exact"/>
        <w:ind w:firstLine="720"/>
        <w:rPr>
          <w:rFonts w:hint="default" w:ascii="Times New Roman" w:hAnsi="Times New Roman" w:eastAsia="黑体" w:cs="Times New Roman"/>
          <w:color w:val="auto"/>
          <w:sz w:val="32"/>
          <w:szCs w:val="32"/>
          <w:lang w:val="zh-CN"/>
        </w:rPr>
      </w:pPr>
      <w:bookmarkStart w:id="157" w:name="_Toc14921_WPSOffice_Level2"/>
      <w:bookmarkStart w:id="158" w:name="_Toc29111_WPSOffice_Level2"/>
      <w:bookmarkStart w:id="159" w:name="_Toc17867_WPSOffice_Level2"/>
      <w:r>
        <w:rPr>
          <w:rFonts w:hint="default" w:ascii="Times New Roman" w:hAnsi="Times New Roman" w:eastAsia="黑体" w:cs="Times New Roman"/>
          <w:color w:val="auto"/>
          <w:sz w:val="32"/>
          <w:szCs w:val="32"/>
        </w:rPr>
        <w:t>一、</w:t>
      </w:r>
      <w:r>
        <w:rPr>
          <w:rFonts w:hint="default" w:ascii="Times New Roman" w:hAnsi="Times New Roman" w:eastAsia="黑体" w:cs="Times New Roman"/>
          <w:color w:val="auto"/>
          <w:sz w:val="32"/>
          <w:szCs w:val="32"/>
          <w:lang w:val="zh-CN"/>
        </w:rPr>
        <w:t>项目概况</w:t>
      </w:r>
      <w:bookmarkEnd w:id="157"/>
      <w:bookmarkEnd w:id="158"/>
      <w:bookmarkEnd w:id="159"/>
    </w:p>
    <w:p w14:paraId="4AFA3347">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（一）项目基本情况。</w:t>
      </w:r>
    </w:p>
    <w:p w14:paraId="07CB6E5E">
      <w:pPr>
        <w:adjustRightInd w:val="0"/>
        <w:snapToGrid w:val="0"/>
        <w:spacing w:line="560" w:lineRule="exact"/>
        <w:ind w:firstLine="640" w:firstLineChars="200"/>
        <w:rPr>
          <w:rFonts w:hint="default" w:ascii="Times New Roman" w:hAnsi="Times New Roman" w:cs="Times New Roman"/>
          <w:color w:val="auto"/>
          <w:sz w:val="32"/>
          <w:szCs w:val="32"/>
          <w:lang w:val="zh-CN"/>
        </w:rPr>
      </w:pPr>
      <w:r>
        <w:rPr>
          <w:rFonts w:hint="default" w:ascii="Times New Roman" w:hAnsi="Times New Roman" w:eastAsia="仿宋_GB2312" w:cs="Times New Roman"/>
          <w:color w:val="auto"/>
          <w:sz w:val="32"/>
          <w:szCs w:val="32"/>
        </w:rPr>
        <w:t>该项目涉及街道、司法所、各社区，主要是开展反邪教、反恐怖斗争，严厉防范打击各种渗透颠覆、暴力恐怖、民族分裂和宗教极端等活动，推进扫黑除恶常态化，严厉打击黄赌毒、盗抢骗等违法犯罪；强化重大项目建设和民族地区的突出矛盾纠纷排查化解工作，坚决防止发生规模性聚集或群体性事件；健全婚姻家庭等民间纠纷的排查调处机制，有效遏制和预防减少“民转刑”命案发生；加强对网格员的培训和管理，推动网格化服务管理中心与综治中心、村级综合服务管理平台等一体化运行；营造办事依法、遇事找法、解决问题用法、化解矛盾靠法的良好法治环境；加强对危房、燃气、地质灾害、道路交通、涉水涉电、火灾等行业领域公共安全几社会治安隐患排查，并及时上报。</w:t>
      </w:r>
    </w:p>
    <w:p w14:paraId="2C08E2DF">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（二）项目绩效目标。</w:t>
      </w:r>
    </w:p>
    <w:p w14:paraId="14747D67">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rPr>
        <w:t>1.</w:t>
      </w:r>
      <w:r>
        <w:rPr>
          <w:rFonts w:hint="default" w:ascii="Times New Roman" w:hAnsi="Times New Roman" w:eastAsia="仿宋_GB2312" w:cs="Times New Roman"/>
          <w:color w:val="auto"/>
          <w:kern w:val="0"/>
          <w:sz w:val="32"/>
          <w:szCs w:val="32"/>
          <w:shd w:val="clear" w:color="auto" w:fill="FFFFFF"/>
          <w:lang w:val="zh-CN"/>
        </w:rPr>
        <w:t>项目主要内容。</w:t>
      </w:r>
    </w:p>
    <w:p w14:paraId="067DBD71">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根据维护社会稳定工作目标任务责任分工及考评计分规则和社会治安综合治理工作目标任务责任分工及考评计分规则开展综治维稳日常工作，定期开展综治、维稳线索排查，及时处置突发事件，做好重点人员和特殊人群管控、矛盾纠纷化解工作，确保辖区治安环境整体稳定有序。</w:t>
      </w:r>
    </w:p>
    <w:p w14:paraId="375C540E">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rPr>
        <w:t>项目绩效目标。</w:t>
      </w:r>
    </w:p>
    <w:p w14:paraId="6F74E0CD">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en-US" w:eastAsia="zh-CN" w:bidi="ar-SA"/>
        </w:rPr>
      </w:pPr>
      <w:r>
        <w:rPr>
          <w:rFonts w:hint="default" w:ascii="Times New Roman" w:hAnsi="Times New Roman" w:eastAsia="仿宋_GB2312" w:cs="Times New Roman"/>
          <w:color w:val="auto"/>
          <w:kern w:val="0"/>
          <w:sz w:val="32"/>
          <w:szCs w:val="32"/>
          <w:shd w:val="clear" w:color="auto" w:fill="FFFFFF"/>
          <w:lang w:val="en-US" w:eastAsia="zh-CN" w:bidi="ar-SA"/>
        </w:rPr>
        <w:t>对街道辖区内的信访、综治维稳等工作的开展提供经费保障。</w:t>
      </w:r>
    </w:p>
    <w:p w14:paraId="7450CD9E">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CN"/>
        </w:rPr>
        <w:t>项目资金申报相符性。</w:t>
      </w:r>
    </w:p>
    <w:p w14:paraId="3271F386">
      <w:pPr>
        <w:pStyle w:val="2"/>
        <w:numPr>
          <w:ilvl w:val="0"/>
          <w:numId w:val="0"/>
        </w:numPr>
        <w:ind w:firstLine="640" w:firstLineChars="200"/>
        <w:rPr>
          <w:rFonts w:hint="default" w:ascii="Times New Roman" w:hAnsi="Times New Roman" w:cs="Times New Roman"/>
          <w:color w:val="auto"/>
          <w:lang w:val="zh-CN" w:eastAsia="zh-CN"/>
        </w:rPr>
      </w:pPr>
      <w:r>
        <w:rPr>
          <w:rFonts w:hint="default" w:ascii="Times New Roman" w:hAnsi="Times New Roman" w:eastAsia="仿宋_GB2312" w:cs="Times New Roman"/>
          <w:color w:val="auto"/>
          <w:kern w:val="0"/>
          <w:sz w:val="32"/>
          <w:szCs w:val="32"/>
          <w:shd w:val="clear" w:color="auto" w:fill="FFFFFF"/>
          <w:lang w:val="zh-CN" w:eastAsia="zh-CN" w:bidi="ar-SA"/>
        </w:rPr>
        <w:t>该项目申报内容与具体实施内容相符、申报目标合理可行</w:t>
      </w:r>
      <w:r>
        <w:rPr>
          <w:rFonts w:hint="default" w:ascii="Times New Roman" w:hAnsi="Times New Roman" w:cs="Times New Roman"/>
          <w:color w:val="auto"/>
          <w:lang w:val="zh-CN" w:eastAsia="zh-CN"/>
        </w:rPr>
        <w:t>。</w:t>
      </w:r>
    </w:p>
    <w:p w14:paraId="3BC6BA1D">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（三）项目自评步骤及方法。</w:t>
      </w:r>
    </w:p>
    <w:p w14:paraId="0A3824A0">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en-US" w:eastAsia="zh-CN" w:bidi="ar-SA"/>
        </w:rPr>
      </w:pPr>
      <w:r>
        <w:rPr>
          <w:rFonts w:hint="default" w:ascii="Times New Roman" w:hAnsi="Times New Roman" w:eastAsia="仿宋_GB2312" w:cs="Times New Roman"/>
          <w:color w:val="auto"/>
          <w:kern w:val="0"/>
          <w:sz w:val="32"/>
          <w:szCs w:val="32"/>
          <w:shd w:val="clear" w:color="auto" w:fill="FFFFFF"/>
          <w:lang w:val="en-US" w:eastAsia="zh-CN" w:bidi="ar-SA"/>
        </w:rPr>
        <w:t>根据项目的服务质量、效率、满意度等因素来制定评价标准;通过服务对象反馈情况等方式收集数据。对收集到的数据进行分析，以了解项目的实际表现是否符合预期。根据分析结果，编写评价报告。报告将详细描述项目的优点和不足，以及改进的建议。</w:t>
      </w:r>
    </w:p>
    <w:p w14:paraId="2F59CA23">
      <w:pPr>
        <w:adjustRightInd w:val="0"/>
        <w:snapToGrid w:val="0"/>
        <w:spacing w:line="578" w:lineRule="exact"/>
        <w:ind w:firstLine="720"/>
        <w:rPr>
          <w:rFonts w:hint="default" w:ascii="Times New Roman" w:hAnsi="Times New Roman" w:eastAsia="黑体" w:cs="Times New Roman"/>
          <w:color w:val="auto"/>
          <w:sz w:val="32"/>
          <w:szCs w:val="32"/>
        </w:rPr>
      </w:pPr>
      <w:bookmarkStart w:id="160" w:name="_Toc11537_WPSOffice_Level2"/>
      <w:bookmarkStart w:id="161" w:name="_Toc11498_WPSOffice_Level2"/>
      <w:bookmarkStart w:id="162" w:name="_Toc9523_WPSOffice_Level2"/>
      <w:r>
        <w:rPr>
          <w:rFonts w:hint="default" w:ascii="Times New Roman" w:hAnsi="Times New Roman" w:eastAsia="黑体" w:cs="Times New Roman"/>
          <w:color w:val="auto"/>
          <w:sz w:val="32"/>
          <w:szCs w:val="32"/>
        </w:rPr>
        <w:t>二、项目资金申报及使用情况</w:t>
      </w:r>
      <w:bookmarkEnd w:id="160"/>
      <w:bookmarkEnd w:id="161"/>
      <w:bookmarkEnd w:id="162"/>
    </w:p>
    <w:p w14:paraId="52B99554">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（一）项目资金申报及批复情况。</w:t>
      </w:r>
    </w:p>
    <w:p w14:paraId="0DEF2FD7">
      <w:pPr>
        <w:pStyle w:val="2"/>
        <w:spacing w:before="93"/>
        <w:ind w:firstLine="640" w:firstLineChars="200"/>
        <w:rPr>
          <w:rFonts w:hint="default" w:ascii="Times New Roman" w:hAnsi="Times New Roman" w:cs="Times New Roman"/>
          <w:color w:val="auto"/>
          <w:sz w:val="32"/>
          <w:szCs w:val="32"/>
          <w:lang w:val="zh-CN" w:eastAsia="zh-CN"/>
        </w:rPr>
      </w:pPr>
      <w:r>
        <w:rPr>
          <w:rFonts w:hint="default" w:ascii="Times New Roman" w:hAnsi="Times New Roman" w:cs="Times New Roman"/>
          <w:color w:val="auto"/>
          <w:sz w:val="32"/>
          <w:szCs w:val="32"/>
          <w:lang w:val="zh-CN" w:eastAsia="zh-CN"/>
        </w:rPr>
        <w:t>玉泉街办在</w:t>
      </w:r>
      <w:r>
        <w:rPr>
          <w:rFonts w:hint="default" w:ascii="Times New Roman" w:hAnsi="Times New Roman" w:cs="Times New Roman"/>
          <w:color w:val="auto"/>
          <w:sz w:val="32"/>
          <w:szCs w:val="32"/>
          <w:lang w:val="en-US" w:eastAsia="zh-CN"/>
        </w:rPr>
        <w:t>2022年初</w:t>
      </w:r>
      <w:r>
        <w:rPr>
          <w:rFonts w:hint="default" w:ascii="Times New Roman" w:hAnsi="Times New Roman" w:cs="Times New Roman"/>
          <w:color w:val="auto"/>
          <w:sz w:val="32"/>
          <w:szCs w:val="32"/>
          <w:lang w:val="zh-CN" w:eastAsia="zh-CN"/>
        </w:rPr>
        <w:t>根据年初预算安排进行项目申报，区财政局按照（攀西财〔2022〕101号）下达预算资金</w:t>
      </w:r>
      <w:r>
        <w:rPr>
          <w:rFonts w:hint="default" w:ascii="Times New Roman" w:hAnsi="Times New Roman" w:cs="Times New Roman"/>
          <w:color w:val="auto"/>
          <w:sz w:val="32"/>
          <w:szCs w:val="32"/>
          <w:lang w:val="en-US" w:eastAsia="zh-CN"/>
        </w:rPr>
        <w:t>3.00万元</w:t>
      </w:r>
      <w:r>
        <w:rPr>
          <w:rFonts w:hint="default" w:ascii="Times New Roman" w:hAnsi="Times New Roman" w:cs="Times New Roman"/>
          <w:color w:val="auto"/>
          <w:sz w:val="32"/>
          <w:szCs w:val="32"/>
          <w:lang w:val="zh-CN" w:eastAsia="zh-CN"/>
        </w:rPr>
        <w:t>。</w:t>
      </w:r>
    </w:p>
    <w:p w14:paraId="6E9E646A">
      <w:pPr>
        <w:adjustRightInd w:val="0"/>
        <w:snapToGrid w:val="0"/>
        <w:spacing w:line="578" w:lineRule="exact"/>
        <w:ind w:firstLine="720"/>
        <w:rPr>
          <w:rFonts w:hint="default" w:ascii="Times New Roman" w:hAnsi="Times New Roman" w:cs="Times New Roman"/>
          <w:color w:val="auto"/>
          <w:sz w:val="32"/>
          <w:szCs w:val="32"/>
          <w:lang w:val="zh-CN"/>
        </w:rPr>
      </w:pPr>
      <w:r>
        <w:rPr>
          <w:rFonts w:hint="default" w:ascii="Times New Roman" w:hAnsi="Times New Roman" w:eastAsia="楷体_GB2312" w:cs="Times New Roman"/>
          <w:b/>
          <w:color w:val="auto"/>
          <w:sz w:val="32"/>
          <w:szCs w:val="32"/>
          <w:lang w:val="zh-CN"/>
        </w:rPr>
        <w:t>（二）资金计划、到位及使用情况。</w:t>
      </w:r>
    </w:p>
    <w:p w14:paraId="6D73A89C">
      <w:pPr>
        <w:adjustRightInd w:val="0"/>
        <w:snapToGrid w:val="0"/>
        <w:spacing w:line="600" w:lineRule="exact"/>
        <w:ind w:firstLine="720"/>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1．资金计划。</w:t>
      </w:r>
      <w:r>
        <w:rPr>
          <w:rFonts w:hint="default" w:ascii="Times New Roman" w:hAnsi="Times New Roman" w:eastAsia="仿宋_GB2312" w:cs="Times New Roman"/>
          <w:color w:val="auto"/>
          <w:sz w:val="32"/>
          <w:szCs w:val="32"/>
          <w:lang w:val="zh-CN"/>
        </w:rPr>
        <w:t>2022年计划支付维稳工作经费</w:t>
      </w:r>
      <w:r>
        <w:rPr>
          <w:rFonts w:hint="default" w:ascii="Times New Roman" w:hAnsi="Times New Roman" w:eastAsia="仿宋_GB2312" w:cs="Times New Roman"/>
          <w:color w:val="auto"/>
          <w:sz w:val="32"/>
          <w:szCs w:val="32"/>
          <w:lang w:val="en-US" w:eastAsia="zh-CN"/>
        </w:rPr>
        <w:t>3.00</w:t>
      </w:r>
      <w:r>
        <w:rPr>
          <w:rFonts w:hint="default" w:ascii="Times New Roman" w:hAnsi="Times New Roman" w:eastAsia="仿宋_GB2312" w:cs="Times New Roman"/>
          <w:color w:val="auto"/>
          <w:sz w:val="32"/>
          <w:szCs w:val="32"/>
          <w:lang w:val="zh-CN"/>
        </w:rPr>
        <w:t>万元。</w:t>
      </w:r>
    </w:p>
    <w:p w14:paraId="24AE4074">
      <w:pPr>
        <w:adjustRightInd w:val="0"/>
        <w:snapToGrid w:val="0"/>
        <w:spacing w:line="600" w:lineRule="exact"/>
        <w:ind w:firstLine="720"/>
        <w:rPr>
          <w:rFonts w:hint="default" w:ascii="Times New Roman" w:hAnsi="Times New Roman" w:eastAsia="仿宋_GB2312" w:cs="Times New Roman"/>
          <w:b/>
          <w:color w:val="auto"/>
          <w:sz w:val="32"/>
          <w:szCs w:val="32"/>
          <w:lang w:val="en-US" w:eastAsia="zh-CN"/>
        </w:rPr>
      </w:pPr>
      <w:r>
        <w:rPr>
          <w:rFonts w:hint="default" w:ascii="Times New Roman" w:hAnsi="Times New Roman" w:eastAsia="仿宋_GB2312" w:cs="Times New Roman"/>
          <w:color w:val="auto"/>
          <w:kern w:val="0"/>
          <w:sz w:val="32"/>
          <w:szCs w:val="32"/>
          <w:shd w:val="clear" w:color="auto" w:fill="FFFFFF"/>
          <w:lang w:val="zh-CN"/>
        </w:rPr>
        <w:t>2．资金到位。</w:t>
      </w:r>
      <w:r>
        <w:rPr>
          <w:rFonts w:hint="default" w:ascii="Times New Roman" w:hAnsi="Times New Roman" w:eastAsia="仿宋_GB2312" w:cs="Times New Roman"/>
          <w:color w:val="auto"/>
          <w:sz w:val="32"/>
          <w:szCs w:val="32"/>
          <w:lang w:val="zh-CN"/>
        </w:rPr>
        <w:t>截至评价时点实际到位资金</w:t>
      </w:r>
      <w:r>
        <w:rPr>
          <w:rFonts w:hint="default" w:ascii="Times New Roman" w:hAnsi="Times New Roman" w:eastAsia="仿宋_GB2312" w:cs="Times New Roman"/>
          <w:color w:val="auto"/>
          <w:sz w:val="32"/>
          <w:szCs w:val="32"/>
          <w:lang w:val="en-US" w:eastAsia="zh-CN"/>
        </w:rPr>
        <w:t>1.9422万元</w:t>
      </w:r>
      <w:r>
        <w:rPr>
          <w:rFonts w:hint="default" w:ascii="Times New Roman" w:hAnsi="Times New Roman" w:eastAsia="仿宋_GB2312" w:cs="Times New Roman"/>
          <w:color w:val="auto"/>
          <w:sz w:val="32"/>
          <w:szCs w:val="32"/>
          <w:lang w:val="zh-CN"/>
        </w:rPr>
        <w:t>，全部为区级财政资金。资金到位及时，资金到位率</w:t>
      </w:r>
      <w:r>
        <w:rPr>
          <w:rFonts w:hint="default" w:ascii="Times New Roman" w:hAnsi="Times New Roman" w:eastAsia="仿宋_GB2312" w:cs="Times New Roman"/>
          <w:color w:val="auto"/>
          <w:sz w:val="32"/>
          <w:szCs w:val="32"/>
          <w:lang w:val="en-US" w:eastAsia="zh-CN"/>
        </w:rPr>
        <w:t>64.74</w:t>
      </w:r>
      <w:r>
        <w:rPr>
          <w:rFonts w:hint="default" w:ascii="Times New Roman" w:hAnsi="Times New Roman" w:eastAsia="仿宋_GB2312" w:cs="Times New Roman"/>
          <w:color w:val="auto"/>
          <w:sz w:val="32"/>
          <w:szCs w:val="32"/>
          <w:lang w:val="zh-CN"/>
        </w:rPr>
        <w:t>%。实际支付</w:t>
      </w:r>
      <w:r>
        <w:rPr>
          <w:rFonts w:hint="default" w:ascii="Times New Roman" w:hAnsi="Times New Roman" w:eastAsia="仿宋_GB2312" w:cs="Times New Roman"/>
          <w:color w:val="auto"/>
          <w:sz w:val="32"/>
          <w:szCs w:val="32"/>
          <w:lang w:val="en-US" w:eastAsia="zh-CN"/>
        </w:rPr>
        <w:t>1.9422</w:t>
      </w:r>
      <w:r>
        <w:rPr>
          <w:rFonts w:hint="default" w:ascii="Times New Roman" w:hAnsi="Times New Roman" w:eastAsia="仿宋_GB2312" w:cs="Times New Roman"/>
          <w:color w:val="auto"/>
          <w:sz w:val="32"/>
          <w:szCs w:val="32"/>
          <w:lang w:val="zh-CN"/>
        </w:rPr>
        <w:t>万元，偏差原因：</w:t>
      </w:r>
      <w:r>
        <w:rPr>
          <w:rFonts w:hint="default" w:ascii="Times New Roman" w:hAnsi="Times New Roman" w:eastAsia="仿宋_GB2312" w:cs="Times New Roman"/>
          <w:color w:val="auto"/>
          <w:sz w:val="32"/>
          <w:szCs w:val="32"/>
          <w:lang w:val="en-US" w:eastAsia="zh-CN"/>
        </w:rPr>
        <w:t>2022年受疫情影响，重点稳控人员平稳，维稳、信访突发情况减少。</w:t>
      </w:r>
    </w:p>
    <w:p w14:paraId="025A10E7">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en-US" w:eastAsia="zh-CN"/>
        </w:rPr>
        <w:t>3.</w:t>
      </w:r>
      <w:r>
        <w:rPr>
          <w:rFonts w:hint="default" w:ascii="Times New Roman" w:hAnsi="Times New Roman" w:eastAsia="仿宋_GB2312" w:cs="Times New Roman"/>
          <w:color w:val="auto"/>
          <w:kern w:val="0"/>
          <w:sz w:val="32"/>
          <w:szCs w:val="32"/>
          <w:shd w:val="clear" w:color="auto" w:fill="FFFFFF"/>
          <w:lang w:val="zh-CN"/>
        </w:rPr>
        <w:t>资金使用。</w:t>
      </w:r>
      <w:r>
        <w:rPr>
          <w:rFonts w:hint="default" w:ascii="Times New Roman" w:hAnsi="Times New Roman" w:eastAsia="仿宋_GB2312" w:cs="Times New Roman"/>
          <w:color w:val="auto"/>
          <w:sz w:val="32"/>
          <w:szCs w:val="32"/>
          <w:lang w:val="zh-CN"/>
        </w:rPr>
        <w:t>截至评价时点，实际支出维稳工作经费</w:t>
      </w:r>
      <w:r>
        <w:rPr>
          <w:rFonts w:hint="default" w:ascii="Times New Roman" w:hAnsi="Times New Roman" w:eastAsia="仿宋_GB2312" w:cs="Times New Roman"/>
          <w:color w:val="auto"/>
          <w:sz w:val="32"/>
          <w:szCs w:val="32"/>
          <w:lang w:val="en-US" w:eastAsia="zh-CN"/>
        </w:rPr>
        <w:t>1.9422万元</w:t>
      </w:r>
      <w:r>
        <w:rPr>
          <w:rFonts w:hint="default" w:ascii="Times New Roman" w:hAnsi="Times New Roman" w:eastAsia="仿宋_GB2312" w:cs="Times New Roman"/>
          <w:color w:val="auto"/>
          <w:sz w:val="32"/>
          <w:szCs w:val="32"/>
          <w:lang w:val="zh-CN"/>
        </w:rPr>
        <w:t>，资金未能全部支付完毕。该项资金全部用于支付</w:t>
      </w:r>
      <w:r>
        <w:rPr>
          <w:rFonts w:hint="default" w:ascii="Times New Roman" w:hAnsi="Times New Roman" w:eastAsia="仿宋_GB2312" w:cs="Times New Roman"/>
          <w:color w:val="auto"/>
          <w:kern w:val="0"/>
          <w:sz w:val="32"/>
          <w:szCs w:val="32"/>
          <w:shd w:val="clear" w:color="auto" w:fill="FFFFFF"/>
          <w:lang w:val="en-US" w:eastAsia="zh-CN" w:bidi="ar-SA"/>
        </w:rPr>
        <w:t>对街道辖区内的信访、综治维稳等工作的开展提供经费保障</w:t>
      </w:r>
      <w:r>
        <w:rPr>
          <w:rFonts w:hint="default" w:ascii="Times New Roman" w:hAnsi="Times New Roman" w:eastAsia="仿宋_GB2312" w:cs="Times New Roman"/>
          <w:color w:val="auto"/>
          <w:sz w:val="32"/>
          <w:szCs w:val="32"/>
          <w:lang w:val="zh-CN"/>
        </w:rPr>
        <w:t>。</w:t>
      </w:r>
    </w:p>
    <w:p w14:paraId="4838816F">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（三）项目财务管理情况。</w:t>
      </w:r>
    </w:p>
    <w:p w14:paraId="159F6759">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玉泉街办按照</w:t>
      </w:r>
      <w:r>
        <w:rPr>
          <w:rFonts w:hint="default" w:ascii="Times New Roman" w:hAnsi="Times New Roman" w:eastAsia="仿宋_GB2312" w:cs="Times New Roman"/>
          <w:color w:val="auto"/>
          <w:sz w:val="32"/>
          <w:szCs w:val="32"/>
          <w:lang w:val="en-US" w:eastAsia="zh-CN"/>
        </w:rPr>
        <w:t>2022年年初预算安排，</w:t>
      </w:r>
      <w:r>
        <w:rPr>
          <w:rFonts w:hint="default" w:ascii="Times New Roman" w:hAnsi="Times New Roman" w:eastAsia="仿宋_GB2312" w:cs="Times New Roman"/>
          <w:color w:val="auto"/>
          <w:sz w:val="32"/>
          <w:szCs w:val="32"/>
          <w:lang w:val="zh-CN"/>
        </w:rPr>
        <w:t>根据年度工作安排向区财政局申报预算，并严格按照街办财务管理制度审批和支付费用。玉泉街办财务机构设置合理，财务制度健全完善，项目支出会计核算及账务处理规范。</w:t>
      </w:r>
    </w:p>
    <w:p w14:paraId="0F367B75">
      <w:pPr>
        <w:adjustRightInd w:val="0"/>
        <w:snapToGrid w:val="0"/>
        <w:spacing w:line="578" w:lineRule="exact"/>
        <w:ind w:firstLine="720"/>
        <w:rPr>
          <w:rFonts w:hint="default" w:ascii="Times New Roman" w:hAnsi="Times New Roman" w:eastAsia="黑体" w:cs="Times New Roman"/>
          <w:color w:val="auto"/>
          <w:sz w:val="32"/>
          <w:szCs w:val="32"/>
        </w:rPr>
      </w:pPr>
      <w:bookmarkStart w:id="163" w:name="_Toc8571_WPSOffice_Level2"/>
      <w:bookmarkStart w:id="164" w:name="_Toc15004_WPSOffice_Level2"/>
      <w:bookmarkStart w:id="165" w:name="_Toc30263_WPSOffice_Level2"/>
      <w:r>
        <w:rPr>
          <w:rFonts w:hint="default" w:ascii="Times New Roman" w:hAnsi="Times New Roman" w:eastAsia="黑体" w:cs="Times New Roman"/>
          <w:color w:val="auto"/>
          <w:sz w:val="32"/>
          <w:szCs w:val="32"/>
        </w:rPr>
        <w:t>三、项目实施及管理情况</w:t>
      </w:r>
      <w:bookmarkEnd w:id="163"/>
      <w:bookmarkEnd w:id="164"/>
      <w:bookmarkEnd w:id="165"/>
    </w:p>
    <w:p w14:paraId="56B1F22F">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（一）项目组织架构及实施流程。</w:t>
      </w:r>
    </w:p>
    <w:p w14:paraId="2C778A49">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玉泉街办严格按照该项目事前规划实施，</w:t>
      </w:r>
      <w:r>
        <w:rPr>
          <w:rFonts w:hint="default" w:ascii="Times New Roman" w:hAnsi="Times New Roman" w:eastAsia="仿宋_GB2312" w:cs="Times New Roman"/>
          <w:color w:val="auto"/>
          <w:kern w:val="0"/>
          <w:sz w:val="32"/>
          <w:szCs w:val="32"/>
          <w:shd w:val="clear" w:color="auto" w:fill="FFFFFF"/>
          <w:lang w:val="en-US" w:eastAsia="zh-CN" w:bidi="ar-SA"/>
        </w:rPr>
        <w:t>对为街道辖区内的信访、综治维稳等工作的开展提供经费保障。</w:t>
      </w:r>
    </w:p>
    <w:p w14:paraId="5FF1B102">
      <w:pPr>
        <w:numPr>
          <w:ilvl w:val="0"/>
          <w:numId w:val="0"/>
        </w:numPr>
        <w:adjustRightInd w:val="0"/>
        <w:snapToGrid w:val="0"/>
        <w:spacing w:line="578" w:lineRule="exact"/>
        <w:ind w:firstLine="643" w:firstLineChars="20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（二）项目管理情况。</w:t>
      </w:r>
    </w:p>
    <w:p w14:paraId="145BC5DC">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在项目实施后，业务经办人员在维稳工作结束后，严格按照财务制度、报销流程，一事一报，完成支付手续。</w:t>
      </w:r>
    </w:p>
    <w:p w14:paraId="713D9CE1">
      <w:pPr>
        <w:numPr>
          <w:ilvl w:val="0"/>
          <w:numId w:val="0"/>
        </w:numPr>
        <w:adjustRightInd w:val="0"/>
        <w:snapToGrid w:val="0"/>
        <w:spacing w:line="600" w:lineRule="exact"/>
        <w:ind w:left="720" w:leftChars="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（三）项目监管情况。</w:t>
      </w:r>
    </w:p>
    <w:p w14:paraId="56E89DF9">
      <w:pPr>
        <w:numPr>
          <w:ilvl w:val="0"/>
          <w:numId w:val="0"/>
        </w:numPr>
        <w:adjustRightInd w:val="0"/>
        <w:snapToGrid w:val="0"/>
        <w:spacing w:line="578" w:lineRule="exact"/>
        <w:ind w:firstLine="640" w:firstLineChars="20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为规范管理，强化廉政风险防控，确保该笔项目资金不浪费、不超支，接受各项巡查审计，同时根据决算的，杜绝浪费等情形出现。</w:t>
      </w:r>
      <w:r>
        <w:rPr>
          <w:rFonts w:hint="default" w:ascii="Times New Roman" w:hAnsi="Times New Roman" w:eastAsia="仿宋_GB2312" w:cs="Times New Roman"/>
          <w:color w:val="auto"/>
          <w:sz w:val="32"/>
          <w:szCs w:val="32"/>
        </w:rPr>
        <w:t xml:space="preserve">   </w:t>
      </w:r>
    </w:p>
    <w:p w14:paraId="2ADC4E4A">
      <w:pPr>
        <w:adjustRightInd w:val="0"/>
        <w:snapToGrid w:val="0"/>
        <w:spacing w:line="578" w:lineRule="exact"/>
        <w:ind w:firstLine="720"/>
        <w:rPr>
          <w:rFonts w:hint="default" w:ascii="Times New Roman" w:hAnsi="Times New Roman" w:cs="Times New Roman"/>
          <w:color w:val="auto"/>
          <w:sz w:val="32"/>
          <w:szCs w:val="32"/>
          <w:lang w:val="zh-CN"/>
        </w:rPr>
      </w:pPr>
      <w:bookmarkStart w:id="166" w:name="_Toc5044_WPSOffice_Level2"/>
      <w:bookmarkStart w:id="167" w:name="_Toc32202_WPSOffice_Level2"/>
      <w:bookmarkStart w:id="168" w:name="_Toc4711_WPSOffice_Level2"/>
      <w:r>
        <w:rPr>
          <w:rFonts w:hint="default" w:ascii="Times New Roman" w:hAnsi="Times New Roman" w:eastAsia="黑体" w:cs="Times New Roman"/>
          <w:color w:val="auto"/>
          <w:sz w:val="32"/>
          <w:szCs w:val="32"/>
        </w:rPr>
        <w:t>四、项目绩效情况</w:t>
      </w:r>
      <w:bookmarkEnd w:id="166"/>
      <w:bookmarkEnd w:id="167"/>
      <w:bookmarkEnd w:id="168"/>
      <w:r>
        <w:rPr>
          <w:rFonts w:hint="default" w:ascii="Times New Roman" w:hAnsi="Times New Roman" w:cs="Times New Roman"/>
          <w:color w:val="auto"/>
          <w:sz w:val="32"/>
          <w:szCs w:val="32"/>
          <w:lang w:val="zh-CN"/>
        </w:rPr>
        <w:tab/>
      </w:r>
    </w:p>
    <w:p w14:paraId="09061F74">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（一）项目完成情况。</w:t>
      </w:r>
    </w:p>
    <w:p w14:paraId="441CC182">
      <w:pPr>
        <w:adjustRightInd w:val="0"/>
        <w:snapToGrid w:val="0"/>
        <w:spacing w:line="600" w:lineRule="exact"/>
        <w:ind w:firstLine="720"/>
        <w:rPr>
          <w:rFonts w:hint="default" w:ascii="Times New Roman" w:hAnsi="Times New Roman" w:eastAsia="仿宋_GB2312" w:cs="Times New Roman"/>
          <w:b/>
          <w:color w:val="auto"/>
          <w:sz w:val="32"/>
          <w:szCs w:val="32"/>
          <w:lang w:val="zh-CN"/>
        </w:rPr>
      </w:pPr>
      <w:r>
        <w:rPr>
          <w:rFonts w:hint="default" w:ascii="Times New Roman" w:hAnsi="Times New Roman" w:eastAsia="仿宋_GB2312" w:cs="Times New Roman"/>
          <w:color w:val="auto"/>
          <w:sz w:val="32"/>
          <w:szCs w:val="32"/>
          <w:lang w:val="zh-CN"/>
        </w:rPr>
        <w:t>2022年支付维稳工作经费</w:t>
      </w:r>
      <w:r>
        <w:rPr>
          <w:rFonts w:hint="default" w:ascii="Times New Roman" w:hAnsi="Times New Roman" w:eastAsia="仿宋_GB2312" w:cs="Times New Roman"/>
          <w:color w:val="auto"/>
          <w:sz w:val="32"/>
          <w:szCs w:val="32"/>
          <w:lang w:val="en-US" w:eastAsia="zh-CN"/>
        </w:rPr>
        <w:t>1.9422万元，严格按照财务制度，根据合同、票据金额，计算报销。</w:t>
      </w:r>
      <w:r>
        <w:rPr>
          <w:rFonts w:hint="default" w:ascii="Times New Roman" w:hAnsi="Times New Roman" w:eastAsia="仿宋_GB2312" w:cs="Times New Roman"/>
          <w:color w:val="auto"/>
          <w:sz w:val="32"/>
          <w:szCs w:val="32"/>
          <w:lang w:val="zh-CN"/>
        </w:rPr>
        <w:t>成本控制较好，</w:t>
      </w:r>
      <w:r>
        <w:rPr>
          <w:rFonts w:hint="default" w:ascii="Times New Roman" w:hAnsi="Times New Roman" w:eastAsia="仿宋_GB2312" w:cs="Times New Roman"/>
          <w:color w:val="auto"/>
          <w:sz w:val="32"/>
          <w:szCs w:val="32"/>
        </w:rPr>
        <w:t>项目无资金结余</w:t>
      </w:r>
      <w:r>
        <w:rPr>
          <w:rFonts w:hint="default" w:ascii="Times New Roman" w:hAnsi="Times New Roman" w:eastAsia="仿宋_GB2312" w:cs="Times New Roman"/>
          <w:color w:val="auto"/>
          <w:sz w:val="32"/>
          <w:szCs w:val="32"/>
          <w:lang w:val="zh-CN"/>
        </w:rPr>
        <w:t>。</w:t>
      </w:r>
    </w:p>
    <w:p w14:paraId="74489032">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（二）项目效益情况。</w:t>
      </w:r>
    </w:p>
    <w:p w14:paraId="7D6FE031">
      <w:pPr>
        <w:pStyle w:val="2"/>
        <w:spacing w:before="93"/>
        <w:ind w:firstLine="640" w:firstLineChars="200"/>
        <w:rPr>
          <w:rFonts w:hint="default" w:ascii="Times New Roman" w:hAnsi="Times New Roman" w:cs="Times New Roman"/>
          <w:color w:val="auto"/>
          <w:lang w:val="zh-CN"/>
        </w:rPr>
      </w:pPr>
      <w:r>
        <w:rPr>
          <w:rFonts w:hint="default" w:ascii="Times New Roman" w:hAnsi="Times New Roman" w:cs="Times New Roman"/>
          <w:color w:val="auto"/>
          <w:sz w:val="32"/>
          <w:szCs w:val="32"/>
          <w:lang w:val="zh-CN"/>
        </w:rPr>
        <w:t>项目的实施是有效落实国家对项目预算评审的管理要求，为财政预算管理提供技术支撑，严格控制项目投资，节约财政资金，有效提高资金使用效率。</w:t>
      </w:r>
    </w:p>
    <w:p w14:paraId="4F8F027F">
      <w:pPr>
        <w:adjustRightInd w:val="0"/>
        <w:snapToGrid w:val="0"/>
        <w:spacing w:line="578" w:lineRule="exact"/>
        <w:ind w:firstLine="720"/>
        <w:rPr>
          <w:rFonts w:hint="default" w:ascii="Times New Roman" w:hAnsi="Times New Roman" w:eastAsia="黑体" w:cs="Times New Roman"/>
          <w:color w:val="auto"/>
          <w:sz w:val="32"/>
          <w:szCs w:val="32"/>
        </w:rPr>
      </w:pPr>
      <w:bookmarkStart w:id="169" w:name="_Toc30681_WPSOffice_Level2"/>
      <w:bookmarkStart w:id="170" w:name="_Toc3875_WPSOffice_Level2"/>
      <w:bookmarkStart w:id="171" w:name="_Toc20692_WPSOffice_Level2"/>
      <w:r>
        <w:rPr>
          <w:rFonts w:hint="default" w:ascii="Times New Roman" w:hAnsi="Times New Roman" w:eastAsia="黑体" w:cs="Times New Roman"/>
          <w:color w:val="auto"/>
          <w:sz w:val="32"/>
          <w:szCs w:val="32"/>
        </w:rPr>
        <w:t>五、评价结论及建议</w:t>
      </w:r>
      <w:bookmarkEnd w:id="169"/>
      <w:bookmarkEnd w:id="170"/>
      <w:bookmarkEnd w:id="171"/>
    </w:p>
    <w:p w14:paraId="67B5D359">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（一）评价结论。</w:t>
      </w:r>
    </w:p>
    <w:p w14:paraId="03114777">
      <w:pPr>
        <w:pStyle w:val="2"/>
        <w:spacing w:before="93"/>
        <w:ind w:firstLine="640" w:firstLineChars="200"/>
        <w:rPr>
          <w:rFonts w:hint="default" w:ascii="Times New Roman" w:hAnsi="Times New Roman" w:cs="Times New Roman"/>
          <w:color w:val="auto"/>
          <w:sz w:val="32"/>
          <w:szCs w:val="32"/>
          <w:lang w:val="zh-CN" w:eastAsia="zh-CN"/>
        </w:rPr>
      </w:pPr>
      <w:r>
        <w:rPr>
          <w:rFonts w:hint="default" w:ascii="Times New Roman" w:hAnsi="Times New Roman" w:cs="Times New Roman"/>
          <w:color w:val="auto"/>
          <w:sz w:val="32"/>
          <w:szCs w:val="32"/>
          <w:lang w:val="zh-CN" w:eastAsia="zh-CN"/>
        </w:rPr>
        <w:t>该项目</w:t>
      </w:r>
      <w:r>
        <w:rPr>
          <w:rFonts w:hint="default" w:ascii="Times New Roman" w:hAnsi="Times New Roman" w:cs="Times New Roman"/>
          <w:color w:val="auto"/>
          <w:sz w:val="32"/>
          <w:szCs w:val="32"/>
          <w:lang w:val="zh-CN"/>
        </w:rPr>
        <w:t>符合中央全面推进依法治国和全区市域社会治理现代的需要，是为民服务，打造法治西区，推进市域治理现代化，提升服务水平的需要，保障</w:t>
      </w:r>
      <w:r>
        <w:rPr>
          <w:rFonts w:hint="default" w:ascii="Times New Roman" w:hAnsi="Times New Roman" w:cs="Times New Roman"/>
          <w:color w:val="auto"/>
          <w:sz w:val="32"/>
          <w:szCs w:val="32"/>
          <w:lang w:val="zh-CN" w:eastAsia="zh-CN"/>
        </w:rPr>
        <w:t>辖区稳定，确保各项</w:t>
      </w:r>
      <w:r>
        <w:rPr>
          <w:rFonts w:hint="default" w:ascii="Times New Roman" w:hAnsi="Times New Roman" w:cs="Times New Roman"/>
          <w:color w:val="auto"/>
          <w:sz w:val="32"/>
          <w:szCs w:val="32"/>
          <w:lang w:val="zh-CN"/>
        </w:rPr>
        <w:t>重大会议顺利</w:t>
      </w:r>
      <w:r>
        <w:rPr>
          <w:rFonts w:hint="default" w:ascii="Times New Roman" w:hAnsi="Times New Roman" w:cs="Times New Roman"/>
          <w:color w:val="auto"/>
          <w:sz w:val="32"/>
          <w:szCs w:val="32"/>
          <w:lang w:val="zh-CN" w:eastAsia="zh-CN"/>
        </w:rPr>
        <w:t>召开</w:t>
      </w:r>
      <w:r>
        <w:rPr>
          <w:rFonts w:hint="default" w:ascii="Times New Roman" w:hAnsi="Times New Roman" w:cs="Times New Roman"/>
          <w:color w:val="auto"/>
          <w:sz w:val="32"/>
          <w:szCs w:val="32"/>
          <w:lang w:val="zh-CN"/>
        </w:rPr>
        <w:t>。</w:t>
      </w:r>
    </w:p>
    <w:p w14:paraId="35D2F24E">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（二）存在的问题。</w:t>
      </w:r>
    </w:p>
    <w:p w14:paraId="70CF29B6">
      <w:pPr>
        <w:adjustRightInd w:val="0"/>
        <w:snapToGrid w:val="0"/>
        <w:spacing w:line="578" w:lineRule="exact"/>
        <w:ind w:firstLine="72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受特殊因数影响，预算与实际支出有所偏差。</w:t>
      </w:r>
    </w:p>
    <w:p w14:paraId="23E64B40">
      <w:pPr>
        <w:adjustRightInd w:val="0"/>
        <w:snapToGrid w:val="0"/>
        <w:spacing w:line="578"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（三）相关建议。</w:t>
      </w:r>
    </w:p>
    <w:p w14:paraId="68D8EDD6">
      <w:pPr>
        <w:spacing w:line="353" w:lineRule="auto"/>
        <w:ind w:firstLine="640" w:firstLineChars="20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街办需综合考虑影响项目预算的因数，对于特殊情况，应及时对预算项目进行调整，杜绝浪费。</w:t>
      </w:r>
    </w:p>
    <w:p w14:paraId="56C8ABA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720" w:leftChars="0"/>
        <w:textAlignment w:val="auto"/>
        <w:outlineLvl w:val="9"/>
        <w:rPr>
          <w:rStyle w:val="31"/>
          <w:rFonts w:hint="default" w:ascii="Times New Roman" w:hAnsi="Times New Roman" w:eastAsia="黑体" w:cs="Times New Roman"/>
          <w:b w:val="0"/>
          <w:color w:val="auto"/>
        </w:rPr>
      </w:pPr>
    </w:p>
    <w:p w14:paraId="2007FA29">
      <w:pPr>
        <w:pStyle w:val="2"/>
        <w:rPr>
          <w:rStyle w:val="31"/>
          <w:rFonts w:hint="default" w:ascii="Times New Roman" w:hAnsi="Times New Roman" w:eastAsia="黑体" w:cs="Times New Roman"/>
          <w:b w:val="0"/>
          <w:color w:val="auto"/>
        </w:rPr>
      </w:pPr>
    </w:p>
    <w:p w14:paraId="6178DE9B">
      <w:pPr>
        <w:pStyle w:val="2"/>
        <w:rPr>
          <w:rStyle w:val="31"/>
          <w:rFonts w:hint="default" w:ascii="Times New Roman" w:hAnsi="Times New Roman" w:eastAsia="黑体" w:cs="Times New Roman"/>
          <w:b w:val="0"/>
          <w:color w:val="auto"/>
        </w:rPr>
      </w:pPr>
    </w:p>
    <w:p w14:paraId="75EC60EC">
      <w:pPr>
        <w:pStyle w:val="2"/>
        <w:rPr>
          <w:rStyle w:val="31"/>
          <w:rFonts w:hint="default" w:ascii="Times New Roman" w:hAnsi="Times New Roman" w:eastAsia="黑体" w:cs="Times New Roman"/>
          <w:b w:val="0"/>
          <w:color w:val="auto"/>
        </w:rPr>
      </w:pPr>
    </w:p>
    <w:p w14:paraId="1289D17E">
      <w:pPr>
        <w:spacing w:line="600" w:lineRule="exact"/>
        <w:jc w:val="center"/>
        <w:outlineLvl w:val="0"/>
        <w:rPr>
          <w:rFonts w:hint="default" w:ascii="Times New Roman" w:hAnsi="Times New Roman" w:eastAsia="黑体" w:cs="Times New Roman"/>
          <w:color w:val="auto"/>
          <w:sz w:val="44"/>
          <w:szCs w:val="44"/>
        </w:rPr>
      </w:pPr>
      <w:bookmarkStart w:id="172" w:name="_Toc15396618"/>
      <w:r>
        <w:rPr>
          <w:rFonts w:hint="default" w:ascii="Times New Roman" w:hAnsi="Times New Roman" w:eastAsia="黑体" w:cs="Times New Roman"/>
          <w:color w:val="auto"/>
          <w:sz w:val="44"/>
          <w:szCs w:val="44"/>
        </w:rPr>
        <w:br w:type="page"/>
      </w:r>
    </w:p>
    <w:p w14:paraId="12BB43DE">
      <w:pPr>
        <w:spacing w:line="600" w:lineRule="exact"/>
        <w:jc w:val="center"/>
        <w:outlineLvl w:val="0"/>
        <w:rPr>
          <w:rFonts w:hint="default" w:ascii="Times New Roman" w:hAnsi="Times New Roman" w:eastAsia="仿宋" w:cs="Times New Roman"/>
          <w:color w:val="auto"/>
        </w:rPr>
      </w:pPr>
      <w:bookmarkStart w:id="173" w:name="_Toc23588_WPSOffice_Level1"/>
      <w:r>
        <w:rPr>
          <w:rFonts w:hint="default" w:ascii="Times New Roman" w:hAnsi="Times New Roman" w:eastAsia="黑体" w:cs="Times New Roman"/>
          <w:color w:val="auto"/>
          <w:sz w:val="44"/>
          <w:szCs w:val="44"/>
        </w:rPr>
        <w:t>第</w:t>
      </w:r>
      <w:r>
        <w:rPr>
          <w:rStyle w:val="31"/>
          <w:rFonts w:hint="default" w:ascii="Times New Roman" w:hAnsi="Times New Roman" w:eastAsia="黑体" w:cs="Times New Roman"/>
          <w:b w:val="0"/>
          <w:color w:val="auto"/>
        </w:rPr>
        <w:t>五部分 附表</w:t>
      </w:r>
      <w:bookmarkEnd w:id="64"/>
      <w:bookmarkEnd w:id="172"/>
      <w:bookmarkEnd w:id="173"/>
      <w:bookmarkStart w:id="174" w:name="_Toc15396619"/>
    </w:p>
    <w:p w14:paraId="3E0C8F23">
      <w:pPr>
        <w:pStyle w:val="4"/>
        <w:rPr>
          <w:rFonts w:hint="default" w:ascii="Times New Roman" w:hAnsi="Times New Roman" w:eastAsia="仿宋" w:cs="Times New Roman"/>
          <w:color w:val="auto"/>
        </w:rPr>
      </w:pPr>
      <w:bookmarkStart w:id="175" w:name="_Toc17181_WPSOffice_Level2"/>
      <w:r>
        <w:rPr>
          <w:rFonts w:hint="default" w:ascii="Times New Roman" w:hAnsi="Times New Roman" w:eastAsia="仿宋" w:cs="Times New Roman"/>
          <w:b w:val="0"/>
          <w:color w:val="auto"/>
        </w:rPr>
        <w:t>一、收</w:t>
      </w:r>
      <w:r>
        <w:rPr>
          <w:rStyle w:val="32"/>
          <w:rFonts w:hint="default" w:ascii="Times New Roman" w:hAnsi="Times New Roman" w:eastAsia="仿宋" w:cs="Times New Roman"/>
          <w:b w:val="0"/>
          <w:bCs w:val="0"/>
          <w:color w:val="auto"/>
        </w:rPr>
        <w:t>入支出决算总表</w:t>
      </w:r>
      <w:bookmarkEnd w:id="174"/>
      <w:bookmarkEnd w:id="175"/>
    </w:p>
    <w:p w14:paraId="355DB1C3">
      <w:pPr>
        <w:pStyle w:val="4"/>
        <w:rPr>
          <w:rFonts w:hint="default" w:ascii="Times New Roman" w:hAnsi="Times New Roman" w:eastAsia="仿宋" w:cs="Times New Roman"/>
          <w:color w:val="auto"/>
        </w:rPr>
      </w:pPr>
      <w:bookmarkStart w:id="176" w:name="_Toc15396620"/>
      <w:bookmarkStart w:id="177" w:name="_Toc28663_WPSOffice_Level2"/>
      <w:r>
        <w:rPr>
          <w:rFonts w:hint="default" w:ascii="Times New Roman" w:hAnsi="Times New Roman" w:eastAsia="仿宋" w:cs="Times New Roman"/>
          <w:b w:val="0"/>
          <w:color w:val="auto"/>
        </w:rPr>
        <w:t>二、收</w:t>
      </w:r>
      <w:r>
        <w:rPr>
          <w:rStyle w:val="32"/>
          <w:rFonts w:hint="default" w:ascii="Times New Roman" w:hAnsi="Times New Roman" w:eastAsia="仿宋" w:cs="Times New Roman"/>
          <w:b w:val="0"/>
          <w:bCs w:val="0"/>
          <w:color w:val="auto"/>
        </w:rPr>
        <w:t>入决算表</w:t>
      </w:r>
      <w:bookmarkEnd w:id="176"/>
      <w:bookmarkEnd w:id="177"/>
    </w:p>
    <w:p w14:paraId="3D14FB16">
      <w:pPr>
        <w:pStyle w:val="4"/>
        <w:rPr>
          <w:rFonts w:hint="default" w:ascii="Times New Roman" w:hAnsi="Times New Roman" w:eastAsia="仿宋" w:cs="Times New Roman"/>
          <w:color w:val="auto"/>
        </w:rPr>
      </w:pPr>
      <w:bookmarkStart w:id="178" w:name="_Toc15396621"/>
      <w:bookmarkStart w:id="179" w:name="_Toc7222_WPSOffice_Level2"/>
      <w:r>
        <w:rPr>
          <w:rStyle w:val="32"/>
          <w:rFonts w:hint="default" w:ascii="Times New Roman" w:hAnsi="Times New Roman" w:eastAsia="仿宋" w:cs="Times New Roman"/>
          <w:b w:val="0"/>
          <w:bCs w:val="0"/>
          <w:color w:val="auto"/>
        </w:rPr>
        <w:t>三、</w:t>
      </w:r>
      <w:r>
        <w:rPr>
          <w:rFonts w:hint="default" w:ascii="Times New Roman" w:hAnsi="Times New Roman" w:eastAsia="仿宋" w:cs="Times New Roman"/>
          <w:b w:val="0"/>
          <w:color w:val="auto"/>
        </w:rPr>
        <w:t>支</w:t>
      </w:r>
      <w:r>
        <w:rPr>
          <w:rStyle w:val="32"/>
          <w:rFonts w:hint="default" w:ascii="Times New Roman" w:hAnsi="Times New Roman" w:eastAsia="仿宋" w:cs="Times New Roman"/>
          <w:b w:val="0"/>
          <w:bCs w:val="0"/>
          <w:color w:val="auto"/>
        </w:rPr>
        <w:t>出决算表</w:t>
      </w:r>
      <w:bookmarkEnd w:id="178"/>
      <w:bookmarkEnd w:id="179"/>
    </w:p>
    <w:p w14:paraId="47B75E6B">
      <w:pPr>
        <w:pStyle w:val="4"/>
        <w:rPr>
          <w:rFonts w:hint="default" w:ascii="Times New Roman" w:hAnsi="Times New Roman" w:eastAsia="仿宋" w:cs="Times New Roman"/>
          <w:b w:val="0"/>
          <w:color w:val="auto"/>
        </w:rPr>
      </w:pPr>
      <w:bookmarkStart w:id="180" w:name="_Toc1351_WPSOffice_Level2"/>
      <w:bookmarkStart w:id="181" w:name="_Toc15396622"/>
      <w:r>
        <w:rPr>
          <w:rStyle w:val="32"/>
          <w:rFonts w:hint="default" w:ascii="Times New Roman" w:hAnsi="Times New Roman" w:eastAsia="仿宋" w:cs="Times New Roman"/>
          <w:b w:val="0"/>
          <w:bCs w:val="0"/>
          <w:color w:val="auto"/>
        </w:rPr>
        <w:t>四、</w:t>
      </w:r>
      <w:r>
        <w:rPr>
          <w:rFonts w:hint="default" w:ascii="Times New Roman" w:hAnsi="Times New Roman" w:eastAsia="仿宋" w:cs="Times New Roman"/>
          <w:b w:val="0"/>
          <w:color w:val="auto"/>
        </w:rPr>
        <w:t>财</w:t>
      </w:r>
      <w:r>
        <w:rPr>
          <w:rStyle w:val="32"/>
          <w:rFonts w:hint="default" w:ascii="Times New Roman" w:hAnsi="Times New Roman" w:eastAsia="仿宋" w:cs="Times New Roman"/>
          <w:b w:val="0"/>
          <w:bCs w:val="0"/>
          <w:color w:val="auto"/>
        </w:rPr>
        <w:t>政拨款收入支出决算总表</w:t>
      </w:r>
      <w:bookmarkEnd w:id="180"/>
      <w:bookmarkEnd w:id="181"/>
    </w:p>
    <w:p w14:paraId="799D9805">
      <w:pPr>
        <w:pStyle w:val="4"/>
        <w:rPr>
          <w:rStyle w:val="32"/>
          <w:rFonts w:hint="default" w:ascii="Times New Roman" w:hAnsi="Times New Roman" w:eastAsia="仿宋" w:cs="Times New Roman"/>
          <w:b w:val="0"/>
          <w:bCs w:val="0"/>
          <w:color w:val="auto"/>
        </w:rPr>
      </w:pPr>
      <w:bookmarkStart w:id="182" w:name="_Toc11805_WPSOffice_Level2"/>
      <w:bookmarkStart w:id="183" w:name="_Toc15396623"/>
      <w:r>
        <w:rPr>
          <w:rStyle w:val="32"/>
          <w:rFonts w:hint="default" w:ascii="Times New Roman" w:hAnsi="Times New Roman" w:eastAsia="仿宋" w:cs="Times New Roman"/>
          <w:b w:val="0"/>
          <w:bCs w:val="0"/>
          <w:color w:val="auto"/>
        </w:rPr>
        <w:t>五、</w:t>
      </w:r>
      <w:r>
        <w:rPr>
          <w:rFonts w:hint="default" w:ascii="Times New Roman" w:hAnsi="Times New Roman" w:eastAsia="仿宋" w:cs="Times New Roman"/>
          <w:b w:val="0"/>
          <w:color w:val="auto"/>
        </w:rPr>
        <w:t>财</w:t>
      </w:r>
      <w:r>
        <w:rPr>
          <w:rStyle w:val="32"/>
          <w:rFonts w:hint="default" w:ascii="Times New Roman" w:hAnsi="Times New Roman" w:eastAsia="仿宋" w:cs="Times New Roman"/>
          <w:b w:val="0"/>
          <w:bCs w:val="0"/>
          <w:color w:val="auto"/>
        </w:rPr>
        <w:t>政拨款支出决算明细表</w:t>
      </w:r>
      <w:bookmarkEnd w:id="182"/>
      <w:bookmarkEnd w:id="183"/>
      <w:bookmarkStart w:id="184" w:name="_Toc15396624"/>
    </w:p>
    <w:p w14:paraId="4A45C79E">
      <w:pPr>
        <w:pStyle w:val="4"/>
        <w:rPr>
          <w:rFonts w:hint="default" w:ascii="Times New Roman" w:hAnsi="Times New Roman" w:eastAsia="仿宋" w:cs="Times New Roman"/>
          <w:color w:val="auto"/>
        </w:rPr>
      </w:pPr>
      <w:bookmarkStart w:id="185" w:name="_Toc16172_WPSOffice_Level2"/>
      <w:r>
        <w:rPr>
          <w:rStyle w:val="32"/>
          <w:rFonts w:hint="default" w:ascii="Times New Roman" w:hAnsi="Times New Roman" w:eastAsia="仿宋" w:cs="Times New Roman"/>
          <w:b w:val="0"/>
          <w:bCs w:val="0"/>
          <w:color w:val="auto"/>
        </w:rPr>
        <w:t>六、</w:t>
      </w:r>
      <w:r>
        <w:rPr>
          <w:rFonts w:hint="default" w:ascii="Times New Roman" w:hAnsi="Times New Roman" w:eastAsia="仿宋" w:cs="Times New Roman"/>
          <w:b w:val="0"/>
          <w:color w:val="auto"/>
        </w:rPr>
        <w:t>一</w:t>
      </w:r>
      <w:r>
        <w:rPr>
          <w:rStyle w:val="32"/>
          <w:rFonts w:hint="default" w:ascii="Times New Roman" w:hAnsi="Times New Roman" w:eastAsia="仿宋" w:cs="Times New Roman"/>
          <w:b w:val="0"/>
          <w:bCs w:val="0"/>
          <w:color w:val="auto"/>
        </w:rPr>
        <w:t>般公共预算财政拨款支出决算表</w:t>
      </w:r>
      <w:bookmarkEnd w:id="184"/>
      <w:bookmarkEnd w:id="185"/>
    </w:p>
    <w:p w14:paraId="1649423A">
      <w:pPr>
        <w:pStyle w:val="4"/>
        <w:rPr>
          <w:rFonts w:hint="default" w:ascii="Times New Roman" w:hAnsi="Times New Roman" w:eastAsia="仿宋" w:cs="Times New Roman"/>
          <w:color w:val="auto"/>
        </w:rPr>
      </w:pPr>
      <w:bookmarkStart w:id="186" w:name="_Toc572_WPSOffice_Level2"/>
      <w:bookmarkStart w:id="187" w:name="_Toc15396625"/>
      <w:r>
        <w:rPr>
          <w:rStyle w:val="32"/>
          <w:rFonts w:hint="default" w:ascii="Times New Roman" w:hAnsi="Times New Roman" w:eastAsia="仿宋" w:cs="Times New Roman"/>
          <w:b w:val="0"/>
          <w:bCs w:val="0"/>
          <w:color w:val="auto"/>
        </w:rPr>
        <w:t>七、</w:t>
      </w:r>
      <w:r>
        <w:rPr>
          <w:rFonts w:hint="default" w:ascii="Times New Roman" w:hAnsi="Times New Roman" w:eastAsia="仿宋" w:cs="Times New Roman"/>
          <w:b w:val="0"/>
          <w:color w:val="auto"/>
        </w:rPr>
        <w:t>一</w:t>
      </w:r>
      <w:r>
        <w:rPr>
          <w:rStyle w:val="32"/>
          <w:rFonts w:hint="default" w:ascii="Times New Roman" w:hAnsi="Times New Roman" w:eastAsia="仿宋" w:cs="Times New Roman"/>
          <w:b w:val="0"/>
          <w:bCs w:val="0"/>
          <w:color w:val="auto"/>
        </w:rPr>
        <w:t>般公共预算财政拨款支出决算明细表</w:t>
      </w:r>
      <w:bookmarkEnd w:id="186"/>
      <w:bookmarkEnd w:id="187"/>
    </w:p>
    <w:p w14:paraId="6493F8A6">
      <w:pPr>
        <w:pStyle w:val="4"/>
        <w:rPr>
          <w:rFonts w:hint="default" w:ascii="Times New Roman" w:hAnsi="Times New Roman" w:eastAsia="仿宋" w:cs="Times New Roman"/>
          <w:color w:val="auto"/>
        </w:rPr>
      </w:pPr>
      <w:bookmarkStart w:id="188" w:name="_Toc15396626"/>
      <w:bookmarkStart w:id="189" w:name="_Toc19336_WPSOffice_Level2"/>
      <w:r>
        <w:rPr>
          <w:rStyle w:val="32"/>
          <w:rFonts w:hint="default" w:ascii="Times New Roman" w:hAnsi="Times New Roman" w:eastAsia="仿宋" w:cs="Times New Roman"/>
          <w:b w:val="0"/>
          <w:bCs w:val="0"/>
          <w:color w:val="auto"/>
        </w:rPr>
        <w:t>八、</w:t>
      </w:r>
      <w:r>
        <w:rPr>
          <w:rFonts w:hint="default" w:ascii="Times New Roman" w:hAnsi="Times New Roman" w:eastAsia="仿宋" w:cs="Times New Roman"/>
          <w:b w:val="0"/>
          <w:color w:val="auto"/>
        </w:rPr>
        <w:t>一</w:t>
      </w:r>
      <w:r>
        <w:rPr>
          <w:rStyle w:val="32"/>
          <w:rFonts w:hint="default" w:ascii="Times New Roman" w:hAnsi="Times New Roman" w:eastAsia="仿宋" w:cs="Times New Roman"/>
          <w:b w:val="0"/>
          <w:bCs w:val="0"/>
          <w:color w:val="auto"/>
        </w:rPr>
        <w:t>般公共预算财政拨款基本支出决算表</w:t>
      </w:r>
      <w:bookmarkEnd w:id="188"/>
      <w:bookmarkEnd w:id="189"/>
    </w:p>
    <w:p w14:paraId="5A13CD15">
      <w:pPr>
        <w:pStyle w:val="4"/>
        <w:rPr>
          <w:rFonts w:hint="default" w:ascii="Times New Roman" w:hAnsi="Times New Roman" w:eastAsia="仿宋" w:cs="Times New Roman"/>
          <w:color w:val="auto"/>
        </w:rPr>
      </w:pPr>
      <w:bookmarkStart w:id="190" w:name="_Toc15396627"/>
      <w:bookmarkStart w:id="191" w:name="_Toc6300_WPSOffice_Level2"/>
      <w:r>
        <w:rPr>
          <w:rStyle w:val="32"/>
          <w:rFonts w:hint="default" w:ascii="Times New Roman" w:hAnsi="Times New Roman" w:eastAsia="仿宋" w:cs="Times New Roman"/>
          <w:b w:val="0"/>
          <w:bCs w:val="0"/>
          <w:color w:val="auto"/>
        </w:rPr>
        <w:t>九、</w:t>
      </w:r>
      <w:r>
        <w:rPr>
          <w:rFonts w:hint="default" w:ascii="Times New Roman" w:hAnsi="Times New Roman" w:eastAsia="仿宋" w:cs="Times New Roman"/>
          <w:b w:val="0"/>
          <w:color w:val="auto"/>
        </w:rPr>
        <w:t>一</w:t>
      </w:r>
      <w:r>
        <w:rPr>
          <w:rStyle w:val="32"/>
          <w:rFonts w:hint="default" w:ascii="Times New Roman" w:hAnsi="Times New Roman" w:eastAsia="仿宋" w:cs="Times New Roman"/>
          <w:b w:val="0"/>
          <w:bCs w:val="0"/>
          <w:color w:val="auto"/>
        </w:rPr>
        <w:t>般公共预算财政拨款项目支出决算表</w:t>
      </w:r>
      <w:bookmarkEnd w:id="190"/>
      <w:bookmarkEnd w:id="191"/>
    </w:p>
    <w:p w14:paraId="38FA4BA1">
      <w:pPr>
        <w:pStyle w:val="4"/>
        <w:rPr>
          <w:rFonts w:hint="default" w:ascii="Times New Roman" w:hAnsi="Times New Roman" w:eastAsia="仿宋" w:cs="Times New Roman"/>
          <w:color w:val="auto"/>
        </w:rPr>
      </w:pPr>
      <w:bookmarkStart w:id="192" w:name="_Toc15396628"/>
      <w:bookmarkStart w:id="193" w:name="_Toc21801_WPSOffice_Level2"/>
      <w:r>
        <w:rPr>
          <w:rStyle w:val="32"/>
          <w:rFonts w:hint="default" w:ascii="Times New Roman" w:hAnsi="Times New Roman" w:eastAsia="仿宋" w:cs="Times New Roman"/>
          <w:b w:val="0"/>
          <w:bCs w:val="0"/>
          <w:color w:val="auto"/>
        </w:rPr>
        <w:t>十、</w:t>
      </w:r>
      <w:bookmarkEnd w:id="192"/>
      <w:r>
        <w:rPr>
          <w:rFonts w:hint="default" w:ascii="Times New Roman" w:hAnsi="Times New Roman" w:eastAsia="仿宋" w:cs="Times New Roman"/>
          <w:b w:val="0"/>
          <w:color w:val="auto"/>
        </w:rPr>
        <w:t>政</w:t>
      </w:r>
      <w:r>
        <w:rPr>
          <w:rStyle w:val="32"/>
          <w:rFonts w:hint="default" w:ascii="Times New Roman" w:hAnsi="Times New Roman" w:eastAsia="仿宋" w:cs="Times New Roman"/>
          <w:b w:val="0"/>
          <w:bCs w:val="0"/>
          <w:color w:val="auto"/>
        </w:rPr>
        <w:t>府性基金预算财政拨款收入支出决算表</w:t>
      </w:r>
      <w:bookmarkEnd w:id="193"/>
    </w:p>
    <w:p w14:paraId="3FBBC489">
      <w:pPr>
        <w:pStyle w:val="4"/>
        <w:rPr>
          <w:rFonts w:hint="default" w:ascii="Times New Roman" w:hAnsi="Times New Roman" w:eastAsia="仿宋" w:cs="Times New Roman"/>
          <w:color w:val="auto"/>
        </w:rPr>
      </w:pPr>
      <w:bookmarkStart w:id="194" w:name="_Toc15396629"/>
      <w:bookmarkStart w:id="195" w:name="_Toc6167_WPSOffice_Level2"/>
      <w:r>
        <w:rPr>
          <w:rStyle w:val="32"/>
          <w:rFonts w:hint="default" w:ascii="Times New Roman" w:hAnsi="Times New Roman" w:eastAsia="仿宋" w:cs="Times New Roman"/>
          <w:b w:val="0"/>
          <w:bCs w:val="0"/>
          <w:color w:val="auto"/>
        </w:rPr>
        <w:t>十一、</w:t>
      </w:r>
      <w:bookmarkEnd w:id="194"/>
      <w:r>
        <w:rPr>
          <w:rFonts w:hint="default" w:ascii="Times New Roman" w:hAnsi="Times New Roman" w:eastAsia="仿宋" w:cs="Times New Roman"/>
          <w:b w:val="0"/>
          <w:color w:val="auto"/>
        </w:rPr>
        <w:t>国</w:t>
      </w:r>
      <w:r>
        <w:rPr>
          <w:rStyle w:val="32"/>
          <w:rFonts w:hint="default" w:ascii="Times New Roman" w:hAnsi="Times New Roman" w:eastAsia="仿宋" w:cs="Times New Roman"/>
          <w:b w:val="0"/>
          <w:bCs w:val="0"/>
          <w:color w:val="auto"/>
        </w:rPr>
        <w:t>有资本经营预算财政拨款收入支出决算表</w:t>
      </w:r>
      <w:bookmarkEnd w:id="195"/>
    </w:p>
    <w:p w14:paraId="10DE939C">
      <w:pPr>
        <w:pStyle w:val="4"/>
        <w:rPr>
          <w:rFonts w:hint="default" w:ascii="Times New Roman" w:hAnsi="Times New Roman" w:eastAsia="仿宋" w:cs="Times New Roman"/>
          <w:color w:val="auto"/>
        </w:rPr>
      </w:pPr>
      <w:bookmarkStart w:id="196" w:name="_Toc15396630"/>
      <w:bookmarkStart w:id="197" w:name="_Toc31159_WPSOffice_Level2"/>
      <w:r>
        <w:rPr>
          <w:rStyle w:val="32"/>
          <w:rFonts w:hint="default" w:ascii="Times New Roman" w:hAnsi="Times New Roman" w:eastAsia="仿宋" w:cs="Times New Roman"/>
          <w:b w:val="0"/>
          <w:bCs w:val="0"/>
          <w:color w:val="auto"/>
        </w:rPr>
        <w:t>十二、</w:t>
      </w:r>
      <w:bookmarkEnd w:id="196"/>
      <w:r>
        <w:rPr>
          <w:rStyle w:val="32"/>
          <w:rFonts w:hint="default" w:ascii="Times New Roman" w:hAnsi="Times New Roman" w:eastAsia="仿宋" w:cs="Times New Roman"/>
          <w:b w:val="0"/>
          <w:bCs w:val="0"/>
          <w:color w:val="auto"/>
        </w:rPr>
        <w:t>国有资本经营预算财政拨款支出决算表</w:t>
      </w:r>
      <w:bookmarkEnd w:id="197"/>
    </w:p>
    <w:p w14:paraId="16E639C8">
      <w:pPr>
        <w:pStyle w:val="4"/>
        <w:rPr>
          <w:rFonts w:hint="default" w:ascii="Times New Roman" w:hAnsi="Times New Roman" w:eastAsia="仿宋" w:cs="Times New Roman"/>
          <w:color w:val="auto"/>
        </w:rPr>
      </w:pPr>
      <w:bookmarkStart w:id="198" w:name="_Toc15396631"/>
      <w:bookmarkStart w:id="199" w:name="_Toc22793_WPSOffice_Level2"/>
      <w:r>
        <w:rPr>
          <w:rStyle w:val="32"/>
          <w:rFonts w:hint="default" w:ascii="Times New Roman" w:hAnsi="Times New Roman" w:eastAsia="仿宋" w:cs="Times New Roman"/>
          <w:b w:val="0"/>
          <w:bCs w:val="0"/>
          <w:color w:val="auto"/>
        </w:rPr>
        <w:t>十三、</w:t>
      </w:r>
      <w:bookmarkEnd w:id="198"/>
      <w:r>
        <w:rPr>
          <w:rStyle w:val="32"/>
          <w:rFonts w:hint="default" w:ascii="Times New Roman" w:hAnsi="Times New Roman" w:eastAsia="仿宋" w:cs="Times New Roman"/>
          <w:b w:val="0"/>
          <w:bCs w:val="0"/>
          <w:color w:val="auto"/>
        </w:rPr>
        <w:t>财政拨款“三公”经费支出决算表</w:t>
      </w:r>
      <w:bookmarkEnd w:id="199"/>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URW Bookman">
    <w:altName w:val="Segoe Print"/>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48E8A215">
        <w:pPr>
          <w:pStyle w:val="11"/>
          <w:jc w:val="center"/>
        </w:pPr>
        <w:r>
          <w:fldChar w:fldCharType="begin"/>
        </w:r>
        <w:r>
          <w:instrText xml:space="preserve">PAGE   \* MERGEFORMAT</w:instrText>
        </w:r>
        <w:r>
          <w:fldChar w:fldCharType="separate"/>
        </w:r>
        <w:r>
          <w:rPr>
            <w:lang w:val="zh-CN"/>
          </w:rPr>
          <w:t>17</w:t>
        </w:r>
        <w:r>
          <w:fldChar w:fldCharType="end"/>
        </w:r>
      </w:p>
    </w:sdtContent>
  </w:sdt>
  <w:p w14:paraId="7132CEFF">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1C20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9F964E"/>
    <w:multiLevelType w:val="singleLevel"/>
    <w:tmpl w:val="DC9F964E"/>
    <w:lvl w:ilvl="0" w:tentative="0">
      <w:start w:val="1"/>
      <w:numFmt w:val="chineseCounting"/>
      <w:suff w:val="nothing"/>
      <w:lvlText w:val="（%1）"/>
      <w:lvlJc w:val="left"/>
      <w:rPr>
        <w:rFonts w:hint="eastAsia"/>
      </w:rPr>
    </w:lvl>
  </w:abstractNum>
  <w:abstractNum w:abstractNumId="1">
    <w:nsid w:val="DEBEF323"/>
    <w:multiLevelType w:val="singleLevel"/>
    <w:tmpl w:val="DEBEF323"/>
    <w:lvl w:ilvl="0" w:tentative="0">
      <w:start w:val="4"/>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FFF674BC"/>
    <w:multiLevelType w:val="singleLevel"/>
    <w:tmpl w:val="FFF674BC"/>
    <w:lvl w:ilvl="0" w:tentative="0">
      <w:start w:val="1"/>
      <w:numFmt w:val="chineseCounting"/>
      <w:suff w:val="nothing"/>
      <w:lvlText w:val="%1、"/>
      <w:lvlJc w:val="left"/>
      <w:rPr>
        <w:rFonts w:hint="eastAsia"/>
      </w:rPr>
    </w:lvl>
  </w:abstractNum>
  <w:abstractNum w:abstractNumId="4">
    <w:nsid w:val="140DDA74"/>
    <w:multiLevelType w:val="singleLevel"/>
    <w:tmpl w:val="140DDA74"/>
    <w:lvl w:ilvl="0" w:tentative="0">
      <w:start w:val="2"/>
      <w:numFmt w:val="chineseCounting"/>
      <w:suff w:val="nothing"/>
      <w:lvlText w:val="（%1）"/>
      <w:lvlJc w:val="left"/>
      <w:rPr>
        <w:rFonts w:hint="eastAsia"/>
      </w:rPr>
    </w:lvl>
  </w:abstractNum>
  <w:abstractNum w:abstractNumId="5">
    <w:nsid w:val="1DACFBC8"/>
    <w:multiLevelType w:val="singleLevel"/>
    <w:tmpl w:val="1DACFBC8"/>
    <w:lvl w:ilvl="0" w:tentative="0">
      <w:start w:val="2"/>
      <w:numFmt w:val="decimal"/>
      <w:lvlText w:val="%1."/>
      <w:lvlJc w:val="left"/>
      <w:pPr>
        <w:tabs>
          <w:tab w:val="left" w:pos="312"/>
        </w:tabs>
      </w:pPr>
    </w:lvl>
  </w:abstractNum>
  <w:abstractNum w:abstractNumId="6">
    <w:nsid w:val="25233901"/>
    <w:multiLevelType w:val="singleLevel"/>
    <w:tmpl w:val="25233901"/>
    <w:lvl w:ilvl="0" w:tentative="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2ZWExMDIwMTAyNTlkY2I3MDQ0MGE2NzkwYzQ5NG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36D0C"/>
    <w:rsid w:val="00142216"/>
    <w:rsid w:val="00144D6A"/>
    <w:rsid w:val="0014729F"/>
    <w:rsid w:val="00157BAB"/>
    <w:rsid w:val="001654D1"/>
    <w:rsid w:val="00174518"/>
    <w:rsid w:val="0018106D"/>
    <w:rsid w:val="001877A7"/>
    <w:rsid w:val="00191536"/>
    <w:rsid w:val="00196687"/>
    <w:rsid w:val="001C0962"/>
    <w:rsid w:val="001D7531"/>
    <w:rsid w:val="001E2FF1"/>
    <w:rsid w:val="001E737D"/>
    <w:rsid w:val="001F0592"/>
    <w:rsid w:val="001F7506"/>
    <w:rsid w:val="002006CD"/>
    <w:rsid w:val="00202B36"/>
    <w:rsid w:val="00204B7A"/>
    <w:rsid w:val="00204CDE"/>
    <w:rsid w:val="0021101A"/>
    <w:rsid w:val="00217081"/>
    <w:rsid w:val="00220536"/>
    <w:rsid w:val="00235629"/>
    <w:rsid w:val="00247B82"/>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46E63"/>
    <w:rsid w:val="0046709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25E15"/>
    <w:rsid w:val="005664BB"/>
    <w:rsid w:val="00566FFA"/>
    <w:rsid w:val="0057481D"/>
    <w:rsid w:val="0058486E"/>
    <w:rsid w:val="00585B33"/>
    <w:rsid w:val="0059014D"/>
    <w:rsid w:val="005B5C64"/>
    <w:rsid w:val="005B67C6"/>
    <w:rsid w:val="005C5337"/>
    <w:rsid w:val="005C6BD0"/>
    <w:rsid w:val="005D1C8B"/>
    <w:rsid w:val="005D468D"/>
    <w:rsid w:val="005D5CED"/>
    <w:rsid w:val="005D7D8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280B"/>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3DCE"/>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4DB6"/>
    <w:rsid w:val="009F1185"/>
    <w:rsid w:val="009F18CD"/>
    <w:rsid w:val="009F2A13"/>
    <w:rsid w:val="009F5540"/>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AF0A5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2575"/>
    <w:rsid w:val="00C533CC"/>
    <w:rsid w:val="00C5751C"/>
    <w:rsid w:val="00C61BFC"/>
    <w:rsid w:val="00C62B85"/>
    <w:rsid w:val="00C65438"/>
    <w:rsid w:val="00C87FD8"/>
    <w:rsid w:val="00C91381"/>
    <w:rsid w:val="00C91CBB"/>
    <w:rsid w:val="00CB4E70"/>
    <w:rsid w:val="00CC09B6"/>
    <w:rsid w:val="00CC666F"/>
    <w:rsid w:val="00CC6BAC"/>
    <w:rsid w:val="00CD1E3F"/>
    <w:rsid w:val="00CE44F6"/>
    <w:rsid w:val="00CE49DA"/>
    <w:rsid w:val="00CE7B61"/>
    <w:rsid w:val="00D00095"/>
    <w:rsid w:val="00D114F0"/>
    <w:rsid w:val="00D20620"/>
    <w:rsid w:val="00D254F7"/>
    <w:rsid w:val="00D26091"/>
    <w:rsid w:val="00D2685C"/>
    <w:rsid w:val="00D34E7C"/>
    <w:rsid w:val="00D34F17"/>
    <w:rsid w:val="00D35489"/>
    <w:rsid w:val="00D36AFE"/>
    <w:rsid w:val="00D51276"/>
    <w:rsid w:val="00D7035F"/>
    <w:rsid w:val="00DA634F"/>
    <w:rsid w:val="00DA65AC"/>
    <w:rsid w:val="00DB1913"/>
    <w:rsid w:val="00DC410D"/>
    <w:rsid w:val="00DC4B63"/>
    <w:rsid w:val="00DC5A81"/>
    <w:rsid w:val="00DC68CA"/>
    <w:rsid w:val="00DC7CBA"/>
    <w:rsid w:val="00DD73B7"/>
    <w:rsid w:val="00DF06E2"/>
    <w:rsid w:val="00DF28BC"/>
    <w:rsid w:val="00DF34B9"/>
    <w:rsid w:val="00E01053"/>
    <w:rsid w:val="00E07ACF"/>
    <w:rsid w:val="00E22135"/>
    <w:rsid w:val="00E331A1"/>
    <w:rsid w:val="00E33202"/>
    <w:rsid w:val="00E336A9"/>
    <w:rsid w:val="00E472B1"/>
    <w:rsid w:val="00E50624"/>
    <w:rsid w:val="00E5285B"/>
    <w:rsid w:val="00E568DF"/>
    <w:rsid w:val="00E64269"/>
    <w:rsid w:val="00E82267"/>
    <w:rsid w:val="00E853CE"/>
    <w:rsid w:val="00E867B6"/>
    <w:rsid w:val="00EA010F"/>
    <w:rsid w:val="00ED1B63"/>
    <w:rsid w:val="00ED3C1F"/>
    <w:rsid w:val="00ED4085"/>
    <w:rsid w:val="00ED420E"/>
    <w:rsid w:val="00ED6FBE"/>
    <w:rsid w:val="00EE2F57"/>
    <w:rsid w:val="00EF39C0"/>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43E91"/>
    <w:rsid w:val="066E0107"/>
    <w:rsid w:val="07996F6E"/>
    <w:rsid w:val="09C70A12"/>
    <w:rsid w:val="0A2032A3"/>
    <w:rsid w:val="0B8935FA"/>
    <w:rsid w:val="0EF744B2"/>
    <w:rsid w:val="0F98263C"/>
    <w:rsid w:val="101860EC"/>
    <w:rsid w:val="10642745"/>
    <w:rsid w:val="10C055FF"/>
    <w:rsid w:val="118107EC"/>
    <w:rsid w:val="11DA14C9"/>
    <w:rsid w:val="13D50BC4"/>
    <w:rsid w:val="16BB723D"/>
    <w:rsid w:val="17D14766"/>
    <w:rsid w:val="1BE8440E"/>
    <w:rsid w:val="1D155CEE"/>
    <w:rsid w:val="1EC7098C"/>
    <w:rsid w:val="1FF35744"/>
    <w:rsid w:val="204F7C2A"/>
    <w:rsid w:val="23860B96"/>
    <w:rsid w:val="240371BF"/>
    <w:rsid w:val="259775B1"/>
    <w:rsid w:val="29FD04D3"/>
    <w:rsid w:val="2C8A61B5"/>
    <w:rsid w:val="2DEB47FC"/>
    <w:rsid w:val="2DF04E50"/>
    <w:rsid w:val="2F040D46"/>
    <w:rsid w:val="319F7F4E"/>
    <w:rsid w:val="3304709D"/>
    <w:rsid w:val="36AA5135"/>
    <w:rsid w:val="376D39B2"/>
    <w:rsid w:val="37E16F03"/>
    <w:rsid w:val="38D469F0"/>
    <w:rsid w:val="3D98207C"/>
    <w:rsid w:val="3DBA2E8A"/>
    <w:rsid w:val="3E78745D"/>
    <w:rsid w:val="44E268DA"/>
    <w:rsid w:val="47254B3A"/>
    <w:rsid w:val="4A627F82"/>
    <w:rsid w:val="4B0E749A"/>
    <w:rsid w:val="4B4F25DA"/>
    <w:rsid w:val="4BE068DB"/>
    <w:rsid w:val="4D577224"/>
    <w:rsid w:val="4EAB630A"/>
    <w:rsid w:val="4ECE2238"/>
    <w:rsid w:val="50B5442B"/>
    <w:rsid w:val="537E6D0A"/>
    <w:rsid w:val="55F70AF1"/>
    <w:rsid w:val="56EE717B"/>
    <w:rsid w:val="5AF92295"/>
    <w:rsid w:val="5B922446"/>
    <w:rsid w:val="5C05731A"/>
    <w:rsid w:val="5CD71FC4"/>
    <w:rsid w:val="5FB1348A"/>
    <w:rsid w:val="63ED4A8F"/>
    <w:rsid w:val="6C4A05C8"/>
    <w:rsid w:val="6D8276B5"/>
    <w:rsid w:val="6DB8385D"/>
    <w:rsid w:val="6E7E3605"/>
    <w:rsid w:val="6FF5CC65"/>
    <w:rsid w:val="715C0E4B"/>
    <w:rsid w:val="71C471D7"/>
    <w:rsid w:val="72730A4D"/>
    <w:rsid w:val="72734D90"/>
    <w:rsid w:val="727668A6"/>
    <w:rsid w:val="73AD73D5"/>
    <w:rsid w:val="73B6EB34"/>
    <w:rsid w:val="73BD4484"/>
    <w:rsid w:val="744731E5"/>
    <w:rsid w:val="76700AB2"/>
    <w:rsid w:val="76E3355F"/>
    <w:rsid w:val="771F46C3"/>
    <w:rsid w:val="778769C8"/>
    <w:rsid w:val="79EE5BA4"/>
    <w:rsid w:val="7A894339"/>
    <w:rsid w:val="7BFF604D"/>
    <w:rsid w:val="7C5E6D0D"/>
    <w:rsid w:val="7DFF2399"/>
    <w:rsid w:val="7EEF11D3"/>
    <w:rsid w:val="7FA30C79"/>
    <w:rsid w:val="7FB7269E"/>
    <w:rsid w:val="7FC96657"/>
    <w:rsid w:val="D8D6DB89"/>
    <w:rsid w:val="DB6F4CAB"/>
    <w:rsid w:val="DF6F9789"/>
    <w:rsid w:val="F54D8070"/>
    <w:rsid w:val="FFB7754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5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8"/>
    <w:qFormat/>
    <w:uiPriority w:val="99"/>
    <w:pPr>
      <w:spacing w:beforeLines="30"/>
    </w:pPr>
    <w:rPr>
      <w:rFonts w:ascii="仿宋_GB2312" w:eastAsia="仿宋_GB2312"/>
      <w:kern w:val="0"/>
      <w:sz w:val="30"/>
    </w:rPr>
  </w:style>
  <w:style w:type="paragraph" w:styleId="6">
    <w:name w:val="Normal Indent"/>
    <w:basedOn w:val="1"/>
    <w:qFormat/>
    <w:uiPriority w:val="99"/>
    <w:pPr>
      <w:ind w:firstLine="420" w:firstLineChars="200"/>
    </w:p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qFormat/>
    <w:uiPriority w:val="0"/>
    <w:rPr>
      <w:rFonts w:ascii="宋体" w:hAnsi="Courier New"/>
    </w:r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unhideWhenUsed/>
    <w:qFormat/>
    <w:uiPriority w:val="99"/>
    <w:pPr>
      <w:spacing w:beforeAutospacing="1" w:afterAutospacing="1"/>
      <w:jc w:val="left"/>
    </w:pPr>
    <w:rPr>
      <w:rFonts w:ascii="Calibri" w:hAnsi="Calibri" w:eastAsia="宋体"/>
      <w:kern w:val="0"/>
      <w:sz w:val="24"/>
      <w:szCs w:val="22"/>
    </w:rPr>
  </w:style>
  <w:style w:type="paragraph" w:styleId="16">
    <w:name w:val="Body Text First Indent 2"/>
    <w:basedOn w:val="7"/>
    <w:unhideWhenUsed/>
    <w:qFormat/>
    <w:uiPriority w:val="99"/>
    <w:pPr>
      <w:ind w:firstLine="420" w:firstLineChars="200"/>
    </w:pPr>
  </w:style>
  <w:style w:type="character" w:styleId="19">
    <w:name w:val="Strong"/>
    <w:basedOn w:val="18"/>
    <w:qFormat/>
    <w:uiPriority w:val="99"/>
    <w:rPr>
      <w:b/>
    </w:rPr>
  </w:style>
  <w:style w:type="character" w:styleId="20">
    <w:name w:val="FollowedHyperlink"/>
    <w:basedOn w:val="18"/>
    <w:semiHidden/>
    <w:unhideWhenUsed/>
    <w:qFormat/>
    <w:uiPriority w:val="99"/>
    <w:rPr>
      <w:color w:val="954F72"/>
      <w:u w:val="single"/>
    </w:rPr>
  </w:style>
  <w:style w:type="character" w:styleId="21">
    <w:name w:val="Hyperlink"/>
    <w:basedOn w:val="18"/>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8"/>
    <w:semiHidden/>
    <w:qFormat/>
    <w:uiPriority w:val="99"/>
    <w:rPr>
      <w:rFonts w:ascii="Times New Roman" w:hAnsi="Times New Roman"/>
      <w:sz w:val="18"/>
      <w:szCs w:val="18"/>
    </w:rPr>
  </w:style>
  <w:style w:type="character" w:customStyle="1" w:styleId="24">
    <w:name w:val="页眉 字符"/>
    <w:link w:val="12"/>
    <w:semiHidden/>
    <w:qFormat/>
    <w:locked/>
    <w:uiPriority w:val="99"/>
    <w:rPr>
      <w:sz w:val="18"/>
    </w:rPr>
  </w:style>
  <w:style w:type="character" w:customStyle="1" w:styleId="25">
    <w:name w:val="Footer Char"/>
    <w:basedOn w:val="18"/>
    <w:semiHidden/>
    <w:qFormat/>
    <w:uiPriority w:val="99"/>
    <w:rPr>
      <w:rFonts w:ascii="Times New Roman" w:hAnsi="Times New Roman"/>
      <w:sz w:val="18"/>
      <w:szCs w:val="18"/>
    </w:rPr>
  </w:style>
  <w:style w:type="character" w:customStyle="1" w:styleId="26">
    <w:name w:val="页脚 字符"/>
    <w:link w:val="11"/>
    <w:qFormat/>
    <w:locked/>
    <w:uiPriority w:val="99"/>
    <w:rPr>
      <w:sz w:val="18"/>
    </w:rPr>
  </w:style>
  <w:style w:type="character" w:customStyle="1" w:styleId="27">
    <w:name w:val="Body Text Char"/>
    <w:basedOn w:val="18"/>
    <w:semiHidden/>
    <w:qFormat/>
    <w:uiPriority w:val="99"/>
    <w:rPr>
      <w:rFonts w:ascii="Times New Roman" w:hAnsi="Times New Roman"/>
      <w:szCs w:val="24"/>
    </w:rPr>
  </w:style>
  <w:style w:type="character" w:customStyle="1" w:styleId="28">
    <w:name w:val="正文文本 字符"/>
    <w:link w:val="2"/>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字符"/>
    <w:basedOn w:val="18"/>
    <w:link w:val="3"/>
    <w:qFormat/>
    <w:uiPriority w:val="9"/>
    <w:rPr>
      <w:rFonts w:ascii="Times New Roman" w:hAnsi="Times New Roman"/>
      <w:b/>
      <w:bCs/>
      <w:kern w:val="44"/>
      <w:sz w:val="44"/>
      <w:szCs w:val="44"/>
    </w:rPr>
  </w:style>
  <w:style w:type="character" w:customStyle="1" w:styleId="32">
    <w:name w:val="标题 2 字符"/>
    <w:basedOn w:val="18"/>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字符"/>
    <w:basedOn w:val="18"/>
    <w:link w:val="10"/>
    <w:semiHidden/>
    <w:qFormat/>
    <w:uiPriority w:val="99"/>
    <w:rPr>
      <w:rFonts w:ascii="Times New Roman" w:hAnsi="Times New Roman"/>
      <w:kern w:val="2"/>
      <w:sz w:val="18"/>
      <w:szCs w:val="18"/>
    </w:rPr>
  </w:style>
  <w:style w:type="character" w:customStyle="1" w:styleId="35">
    <w:name w:val="标题 3 字符"/>
    <w:basedOn w:val="18"/>
    <w:link w:val="5"/>
    <w:qFormat/>
    <w:uiPriority w:val="9"/>
    <w:rPr>
      <w:rFonts w:ascii="Times New Roman" w:hAnsi="Times New Roman"/>
      <w:b/>
      <w:bCs/>
      <w:kern w:val="2"/>
      <w:sz w:val="32"/>
      <w:szCs w:val="32"/>
    </w:rPr>
  </w:style>
  <w:style w:type="paragraph" w:customStyle="1" w:styleId="36">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paragraph" w:customStyle="1" w:styleId="38">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3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0">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1">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2">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3">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5">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6">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7">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8">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9">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50">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51">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2">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character" w:customStyle="1" w:styleId="53">
    <w:name w:val="NormalCharacter"/>
    <w:link w:val="1"/>
    <w:semiHidden/>
    <w:qFormat/>
    <w:uiPriority w:val="99"/>
    <w:rPr>
      <w:rFonts w:ascii="Times New Roman" w:hAnsi="Times New Roman" w:eastAsia="宋体" w:cs="Times New Roman"/>
      <w:kern w:val="2"/>
      <w:sz w:val="21"/>
      <w:szCs w:val="24"/>
      <w:lang w:val="en-US" w:eastAsia="zh-CN" w:bidi="ar-SA"/>
    </w:rPr>
  </w:style>
  <w:style w:type="paragraph" w:customStyle="1" w:styleId="54">
    <w:name w:val="样式1"/>
    <w:basedOn w:val="1"/>
    <w:qFormat/>
    <w:uiPriority w:val="0"/>
    <w:rPr>
      <w:b/>
      <w:color w:val="538135"/>
      <w:sz w:val="28"/>
    </w:rPr>
  </w:style>
  <w:style w:type="paragraph" w:customStyle="1" w:styleId="55">
    <w:name w:val="WPSOffice手动目录 1"/>
    <w:qFormat/>
    <w:uiPriority w:val="0"/>
    <w:pPr>
      <w:ind w:leftChars="0"/>
    </w:pPr>
    <w:rPr>
      <w:rFonts w:ascii="Times New Roman" w:hAnsi="Times New Roman" w:eastAsia="宋体" w:cs="Times New Roman"/>
      <w:sz w:val="20"/>
      <w:szCs w:val="20"/>
    </w:rPr>
  </w:style>
  <w:style w:type="paragraph" w:customStyle="1" w:styleId="5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glossaryDocument" Target="glossary/document.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b="1"/>
              <a:t>收、支决算总计变动情况图</a:t>
            </a:r>
            <a:endParaRPr sz="1600" b="1"/>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2021年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853</c:v>
                </c:pt>
                <c:pt idx="1">
                  <c:v>853</c:v>
                </c:pt>
              </c:numCache>
            </c:numRef>
          </c:val>
        </c:ser>
        <c:ser>
          <c:idx val="1"/>
          <c:order val="1"/>
          <c:tx>
            <c:strRef>
              <c:f>Sheet1!$C$1</c:f>
              <c:strCache>
                <c:ptCount val="1"/>
                <c:pt idx="0">
                  <c:v>2022年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1089.86</c:v>
                </c:pt>
                <c:pt idx="1">
                  <c:v>1089.86</c:v>
                </c:pt>
              </c:numCache>
            </c:numRef>
          </c:val>
        </c:ser>
        <c:dLbls>
          <c:showLegendKey val="0"/>
          <c:showVal val="1"/>
          <c:showCatName val="0"/>
          <c:showSerName val="0"/>
          <c:showPercent val="0"/>
          <c:showBubbleSize val="0"/>
        </c:dLbls>
        <c:gapWidth val="219"/>
        <c:overlap val="-27"/>
        <c:axId val="478348663"/>
        <c:axId val="416856346"/>
      </c:barChart>
      <c:catAx>
        <c:axId val="4783486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6856346"/>
        <c:crosses val="autoZero"/>
        <c:auto val="1"/>
        <c:lblAlgn val="ctr"/>
        <c:lblOffset val="100"/>
        <c:noMultiLvlLbl val="0"/>
      </c:catAx>
      <c:valAx>
        <c:axId val="41685634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83486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4ce4888-2a7f-41cc-9874-134179aaa5a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b="1"/>
              <a:t>收入决算结构图</a:t>
            </a:r>
            <a:endParaRPr sz="1600" b="1"/>
          </a:p>
        </c:rich>
      </c:tx>
      <c:layout>
        <c:manualLayout>
          <c:xMode val="edge"/>
          <c:yMode val="edge"/>
          <c:x val="0.369875"/>
          <c:y val="0.025"/>
        </c:manualLayout>
      </c:layout>
      <c:overlay val="0"/>
      <c:spPr>
        <a:noFill/>
        <a:ln>
          <a:noFill/>
        </a:ln>
        <a:effectLst/>
      </c:spPr>
    </c:title>
    <c:autoTitleDeleted val="0"/>
    <c:plotArea>
      <c:layout>
        <c:manualLayout>
          <c:layoutTarget val="inner"/>
          <c:xMode val="edge"/>
          <c:yMode val="edge"/>
          <c:x val="0.296175"/>
          <c:y val="0.1619"/>
          <c:w val="0.4114"/>
          <c:h val="0.548533333333333"/>
        </c:manualLayout>
      </c:layout>
      <c:pieChart>
        <c:varyColors val="1"/>
        <c:ser>
          <c:idx val="0"/>
          <c:order val="0"/>
          <c:tx>
            <c:strRef>
              <c:f>Sheet1!$B$1</c:f>
              <c:strCache>
                <c:ptCount val="1"/>
                <c:pt idx="0">
                  <c:v>收入</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Lbl>
              <c:idx val="0"/>
              <c:layout>
                <c:manualLayout>
                  <c:x val="-0.00203832068960435"/>
                  <c:y val="-0.11091504052666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90.76%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7.84%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0960086038639722"/>
                  <c:y val="0.0060595030852344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a:t>
                    </a:r>
                    <a:r>
                      <a:rPr lang="en-US" altLang="zh-CN"/>
                      <a:t>.4%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delete val="1"/>
            </c:dLbl>
            <c:dLbl>
              <c:idx val="4"/>
              <c:delete val="1"/>
            </c:dLbl>
            <c:dLbl>
              <c:idx val="5"/>
              <c:delete val="1"/>
            </c:dLbl>
            <c:dLbl>
              <c:idx val="6"/>
              <c:delete val="1"/>
            </c:dLbl>
            <c:dLbl>
              <c:idx val="7"/>
              <c:layout>
                <c:manualLayout>
                  <c:x val="0.0561248480476192"/>
                  <c:y val="0.015361666668506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971.76</c:v>
                </c:pt>
                <c:pt idx="1">
                  <c:v>83.91</c:v>
                </c:pt>
                <c:pt idx="2">
                  <c:v>15</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aeed046-a0ab-4461-b0f1-de7f4f37eb0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b="1"/>
              <a:t>收入决算结构图</a:t>
            </a:r>
            <a:endParaRPr sz="1600" b="1"/>
          </a:p>
        </c:rich>
      </c:tx>
      <c:layout>
        <c:manualLayout>
          <c:xMode val="edge"/>
          <c:yMode val="edge"/>
          <c:x val="0.369875"/>
          <c:y val="0.025"/>
        </c:manualLayout>
      </c:layout>
      <c:overlay val="0"/>
      <c:spPr>
        <a:noFill/>
        <a:ln>
          <a:noFill/>
        </a:ln>
        <a:effectLst/>
      </c:spPr>
    </c:title>
    <c:autoTitleDeleted val="0"/>
    <c:plotArea>
      <c:layout>
        <c:manualLayout>
          <c:layoutTarget val="inner"/>
          <c:xMode val="edge"/>
          <c:yMode val="edge"/>
          <c:x val="0.296175"/>
          <c:y val="0.1619"/>
          <c:w val="0.4114"/>
          <c:h val="0.548533333333333"/>
        </c:manualLayout>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59.69%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40.31%</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0960086038639722"/>
                  <c:y val="0.0060595030852344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delete val="1"/>
            </c:dLbl>
            <c:dLbl>
              <c:idx val="4"/>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650.52</c:v>
                </c:pt>
                <c:pt idx="1">
                  <c:v>439.33</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0402e3b-8312-4727-94b0-66f35d8a027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b="1"/>
              <a:t>收、支决算总计变动情况图</a:t>
            </a:r>
            <a:endParaRPr sz="1600" b="1"/>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2021年</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853</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853</c:v>
                </c:pt>
                <c:pt idx="1">
                  <c:v>853</c:v>
                </c:pt>
              </c:numCache>
            </c:numRef>
          </c:val>
        </c:ser>
        <c:ser>
          <c:idx val="1"/>
          <c:order val="1"/>
          <c:tx>
            <c:strRef>
              <c:f>Sheet1!$C$1</c:f>
              <c:strCache>
                <c:ptCount val="1"/>
                <c:pt idx="0">
                  <c:v>2022年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1089.86</c:v>
                </c:pt>
                <c:pt idx="1">
                  <c:v>1089.86</c:v>
                </c:pt>
              </c:numCache>
            </c:numRef>
          </c:val>
        </c:ser>
        <c:dLbls>
          <c:showLegendKey val="0"/>
          <c:showVal val="1"/>
          <c:showCatName val="0"/>
          <c:showSerName val="0"/>
          <c:showPercent val="0"/>
          <c:showBubbleSize val="0"/>
        </c:dLbls>
        <c:gapWidth val="219"/>
        <c:overlap val="-27"/>
        <c:axId val="478348663"/>
        <c:axId val="416856346"/>
      </c:barChart>
      <c:catAx>
        <c:axId val="4783486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6856346"/>
        <c:crosses val="autoZero"/>
        <c:auto val="1"/>
        <c:lblAlgn val="ctr"/>
        <c:lblOffset val="100"/>
        <c:noMultiLvlLbl val="0"/>
      </c:catAx>
      <c:valAx>
        <c:axId val="41685634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83486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890579-488f-4a22-b969-afe3da19a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 </a:t>
            </a:r>
            <a:r>
              <a:rPr sz="1600" b="1">
                <a:latin typeface="+mn-ea"/>
                <a:ea typeface="+mn-ea"/>
              </a:rPr>
              <a:t>一般公共预算财政拨款支出决算变动情况</a:t>
            </a:r>
            <a:endParaRPr sz="1600" b="1">
              <a:latin typeface="+mn-ea"/>
              <a:ea typeface="+mn-ea"/>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2021年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支出</c:v>
                </c:pt>
              </c:strCache>
            </c:strRef>
          </c:cat>
          <c:val>
            <c:numRef>
              <c:f>Sheet1!$B$2</c:f>
              <c:numCache>
                <c:formatCode>General</c:formatCode>
                <c:ptCount val="1"/>
                <c:pt idx="0">
                  <c:v>843.28</c:v>
                </c:pt>
              </c:numCache>
            </c:numRef>
          </c:val>
        </c:ser>
        <c:ser>
          <c:idx val="1"/>
          <c:order val="1"/>
          <c:tx>
            <c:strRef>
              <c:f>Sheet1!$C$1</c:f>
              <c:strCache>
                <c:ptCount val="1"/>
                <c:pt idx="0">
                  <c:v>2022年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支出</c:v>
                </c:pt>
              </c:strCache>
            </c:strRef>
          </c:cat>
          <c:val>
            <c:numRef>
              <c:f>Sheet1!$C$2</c:f>
              <c:numCache>
                <c:formatCode>General</c:formatCode>
                <c:ptCount val="1"/>
                <c:pt idx="0">
                  <c:v>990.94</c:v>
                </c:pt>
              </c:numCache>
            </c:numRef>
          </c:val>
        </c:ser>
        <c:dLbls>
          <c:showLegendKey val="0"/>
          <c:showVal val="1"/>
          <c:showCatName val="0"/>
          <c:showSerName val="0"/>
          <c:showPercent val="0"/>
          <c:showBubbleSize val="0"/>
        </c:dLbls>
        <c:gapWidth val="219"/>
        <c:overlap val="-27"/>
        <c:axId val="894863644"/>
        <c:axId val="482166241"/>
      </c:barChart>
      <c:catAx>
        <c:axId val="8948636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2166241"/>
        <c:crosses val="autoZero"/>
        <c:auto val="1"/>
        <c:lblAlgn val="ctr"/>
        <c:lblOffset val="100"/>
        <c:noMultiLvlLbl val="0"/>
      </c:catAx>
      <c:valAx>
        <c:axId val="48216624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48636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ae587a5-0c65-4307-9120-be70d2bb79f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200375"/>
          <c:y val="0.005"/>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7</a:t>
                    </a:r>
                    <a:r>
                      <a:rPr lang="en-US" altLang="zh-CN"/>
                      <a:t>0.34</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1"/>
              <c:layout>
                <c:manualLayout>
                  <c:x val="-0.0143522490312945"/>
                  <c:y val="0.129037848352929"/>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401022490312945"/>
                  <c:y val="0.03787118168626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442177930956986"/>
                  <c:y val="-0.03595623960108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0.61</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24</a:t>
                    </a:r>
                    <a:r>
                      <a:rPr lang="en-US" altLang="zh-CN"/>
                      <a:t>.24</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5"/>
              <c:layout>
                <c:manualLayout>
                  <c:x val="-0.0756999642815525"/>
                  <c:y val="0.0059888883479396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0.82</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6"/>
              <c:layout>
                <c:manualLayout>
                  <c:x val="0.0104806788320522"/>
                  <c:y val="0.0060441591068461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1.75</a:t>
                    </a:r>
                    <a:r>
                      <a:t>%</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10025"/>
                      <c:h val="0.0495"/>
                    </c:manualLayout>
                  </c15:layout>
                </c:ext>
              </c:extLst>
            </c:dLbl>
            <c:dLbl>
              <c:idx val="7"/>
              <c:layout>
                <c:manualLayout>
                  <c:x val="0.0795335508267396"/>
                  <c:y val="0.0064688215646046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2.24</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一般公共服务支出</c:v>
                </c:pt>
                <c:pt idx="1">
                  <c:v>教育支出</c:v>
                </c:pt>
                <c:pt idx="2">
                  <c:v>科学技术支出</c:v>
                </c:pt>
                <c:pt idx="3">
                  <c:v>文化旅游体育与传媒支出</c:v>
                </c:pt>
                <c:pt idx="4">
                  <c:v>社会保障和就业支出</c:v>
                </c:pt>
                <c:pt idx="5">
                  <c:v>农林水支出</c:v>
                </c:pt>
                <c:pt idx="6">
                  <c:v>卫生健康支出</c:v>
                </c:pt>
                <c:pt idx="7">
                  <c:v>住房保障支出</c:v>
                </c:pt>
              </c:strCache>
            </c:strRef>
          </c:cat>
          <c:val>
            <c:numRef>
              <c:f>Sheet1!$B$2:$B$9</c:f>
              <c:numCache>
                <c:formatCode>General</c:formatCode>
                <c:ptCount val="8"/>
                <c:pt idx="0">
                  <c:v>697</c:v>
                </c:pt>
                <c:pt idx="1">
                  <c:v>0</c:v>
                </c:pt>
                <c:pt idx="2">
                  <c:v>0</c:v>
                </c:pt>
                <c:pt idx="3">
                  <c:v>6.06</c:v>
                </c:pt>
                <c:pt idx="4">
                  <c:v>240.24</c:v>
                </c:pt>
                <c:pt idx="5">
                  <c:v>8.12</c:v>
                </c:pt>
                <c:pt idx="6">
                  <c:v>17.33</c:v>
                </c:pt>
                <c:pt idx="7">
                  <c:v>22.2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f62b8b2-4ec6-4a36-b7a6-aff995908d5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b="1"/>
              <a:t>“三公”经费财政拨款支出结构</a:t>
            </a:r>
            <a:endParaRPr sz="1600" b="1"/>
          </a:p>
        </c:rich>
      </c:tx>
      <c:layout/>
      <c:overlay val="0"/>
      <c:spPr>
        <a:noFill/>
        <a:ln>
          <a:noFill/>
        </a:ln>
        <a:effectLst/>
      </c:sp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124297393970363"/>
                  <c:y val="0"/>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0</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4760096180045"/>
                  <c:y val="-0.18181423891779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100%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manualLayout>
                      <c:w val="0.114971895758815"/>
                      <c:h val="0.105194563396016"/>
                    </c:manualLayout>
                  </c15:layout>
                </c:ext>
              </c:extLst>
            </c:dLbl>
            <c:dLbl>
              <c:idx val="2"/>
              <c:layout>
                <c:manualLayout>
                  <c:x val="-0.129407256004088"/>
                  <c:y val="0.022528393222863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0</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0.00_ </c:formatCode>
                <c:ptCount val="3"/>
                <c:pt idx="0">
                  <c:v>0</c:v>
                </c:pt>
                <c:pt idx="1">
                  <c:v>1.5</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23cff7-2f88-492a-b362-c67b1413f68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27b2192-bb5d-473c-b8e6-c4e903d1586d}"/>
        <w:style w:val=""/>
        <w:category>
          <w:name w:val="常规"/>
          <w:gallery w:val="placeholder"/>
        </w:category>
        <w:types>
          <w:type w:val="bbPlcHdr"/>
        </w:types>
        <w:behaviors>
          <w:behavior w:val="content"/>
        </w:behaviors>
        <w:description w:val=""/>
        <w:guid w:val="{c27b2192-bb5d-473c-b8e6-c4e903d1586d}"/>
      </w:docPartPr>
      <w:docPartBody>
        <w:p w14:paraId="50670076">
          <w:r>
            <w:rPr>
              <w:color w:val="808080"/>
            </w:rPr>
            <w:t>单击此处输入文字。</w:t>
          </w:r>
        </w:p>
      </w:docPartBody>
    </w:docPart>
    <w:docPart>
      <w:docPartPr>
        <w:name w:val="{d12ccf72-7fe1-4ac5-9f32-333cfe753ecc}"/>
        <w:style w:val=""/>
        <w:category>
          <w:name w:val="常规"/>
          <w:gallery w:val="placeholder"/>
        </w:category>
        <w:types>
          <w:type w:val="bbPlcHdr"/>
        </w:types>
        <w:behaviors>
          <w:behavior w:val="content"/>
        </w:behaviors>
        <w:description w:val=""/>
        <w:guid w:val="{d12ccf72-7fe1-4ac5-9f32-333cfe753ecc}"/>
      </w:docPartPr>
      <w:docPartBody>
        <w:p w14:paraId="03149103">
          <w:r>
            <w:rPr>
              <w:color w:val="808080"/>
            </w:rPr>
            <w:t>单击此处输入文字。</w:t>
          </w:r>
        </w:p>
      </w:docPartBody>
    </w:docPart>
    <w:docPart>
      <w:docPartPr>
        <w:name w:val="{e5f669ff-e908-4cb3-8df8-2b3f71169710}"/>
        <w:style w:val=""/>
        <w:category>
          <w:name w:val="常规"/>
          <w:gallery w:val="placeholder"/>
        </w:category>
        <w:types>
          <w:type w:val="bbPlcHdr"/>
        </w:types>
        <w:behaviors>
          <w:behavior w:val="content"/>
        </w:behaviors>
        <w:description w:val=""/>
        <w:guid w:val="{e5f669ff-e908-4cb3-8df8-2b3f71169710}"/>
      </w:docPartPr>
      <w:docPartBody>
        <w:p w14:paraId="60E058E8">
          <w:r>
            <w:rPr>
              <w:color w:val="808080"/>
            </w:rPr>
            <w:t>单击此处输入文字。</w:t>
          </w:r>
        </w:p>
      </w:docPartBody>
    </w:docPart>
    <w:docPart>
      <w:docPartPr>
        <w:name w:val="{400f78db-c55b-4b17-a220-bd341223e6f4}"/>
        <w:style w:val=""/>
        <w:category>
          <w:name w:val="常规"/>
          <w:gallery w:val="placeholder"/>
        </w:category>
        <w:types>
          <w:type w:val="bbPlcHdr"/>
        </w:types>
        <w:behaviors>
          <w:behavior w:val="content"/>
        </w:behaviors>
        <w:description w:val=""/>
        <w:guid w:val="{400f78db-c55b-4b17-a220-bd341223e6f4}"/>
      </w:docPartPr>
      <w:docPartBody>
        <w:p w14:paraId="445D219D">
          <w:r>
            <w:rPr>
              <w:color w:val="808080"/>
            </w:rPr>
            <w:t>单击此处输入文字。</w:t>
          </w:r>
        </w:p>
      </w:docPartBody>
    </w:docPart>
    <w:docPart>
      <w:docPartPr>
        <w:name w:val="{4b8edd0f-ef39-4b34-adc7-722e74881978}"/>
        <w:style w:val=""/>
        <w:category>
          <w:name w:val="常规"/>
          <w:gallery w:val="placeholder"/>
        </w:category>
        <w:types>
          <w:type w:val="bbPlcHdr"/>
        </w:types>
        <w:behaviors>
          <w:behavior w:val="content"/>
        </w:behaviors>
        <w:description w:val=""/>
        <w:guid w:val="{4b8edd0f-ef39-4b34-adc7-722e74881978}"/>
      </w:docPartPr>
      <w:docPartBody>
        <w:p w14:paraId="0E7F5B41">
          <w:r>
            <w:rPr>
              <w:color w:val="808080"/>
            </w:rPr>
            <w:t>单击此处输入文字。</w:t>
          </w:r>
        </w:p>
      </w:docPartBody>
    </w:docPart>
    <w:docPart>
      <w:docPartPr>
        <w:name w:val="{b586fed7-8e83-401e-ae95-25fae50901e2}"/>
        <w:style w:val=""/>
        <w:category>
          <w:name w:val="常规"/>
          <w:gallery w:val="placeholder"/>
        </w:category>
        <w:types>
          <w:type w:val="bbPlcHdr"/>
        </w:types>
        <w:behaviors>
          <w:behavior w:val="content"/>
        </w:behaviors>
        <w:description w:val=""/>
        <w:guid w:val="{b586fed7-8e83-401e-ae95-25fae50901e2}"/>
      </w:docPartPr>
      <w:docPartBody>
        <w:p w14:paraId="0FC9D041">
          <w:r>
            <w:rPr>
              <w:color w:val="808080"/>
            </w:rPr>
            <w:t>单击此处输入文字。</w:t>
          </w:r>
        </w:p>
      </w:docPartBody>
    </w:docPart>
    <w:docPart>
      <w:docPartPr>
        <w:name w:val="{3df84155-56d9-4522-b43e-25514b1e2727}"/>
        <w:style w:val=""/>
        <w:category>
          <w:name w:val="常规"/>
          <w:gallery w:val="placeholder"/>
        </w:category>
        <w:types>
          <w:type w:val="bbPlcHdr"/>
        </w:types>
        <w:behaviors>
          <w:behavior w:val="content"/>
        </w:behaviors>
        <w:description w:val=""/>
        <w:guid w:val="{3df84155-56d9-4522-b43e-25514b1e2727}"/>
      </w:docPartPr>
      <w:docPartBody>
        <w:p w14:paraId="6B9E2AB4">
          <w:r>
            <w:rPr>
              <w:color w:val="808080"/>
            </w:rPr>
            <w:t>单击此处输入文字。</w:t>
          </w:r>
        </w:p>
      </w:docPartBody>
    </w:docPart>
    <w:docPart>
      <w:docPartPr>
        <w:name w:val="{8645195f-3673-4600-97b1-8faed4efddbd}"/>
        <w:style w:val=""/>
        <w:category>
          <w:name w:val="常规"/>
          <w:gallery w:val="placeholder"/>
        </w:category>
        <w:types>
          <w:type w:val="bbPlcHdr"/>
        </w:types>
        <w:behaviors>
          <w:behavior w:val="content"/>
        </w:behaviors>
        <w:description w:val=""/>
        <w:guid w:val="{8645195f-3673-4600-97b1-8faed4efddbd}"/>
      </w:docPartPr>
      <w:docPartBody>
        <w:p w14:paraId="6BE3E29D">
          <w:r>
            <w:rPr>
              <w:color w:val="808080"/>
            </w:rPr>
            <w:t>单击此处输入文字。</w:t>
          </w:r>
        </w:p>
      </w:docPartBody>
    </w:docPart>
    <w:docPart>
      <w:docPartPr>
        <w:name w:val="{ff118fc5-034c-4512-9a55-d776ba6df56a}"/>
        <w:style w:val=""/>
        <w:category>
          <w:name w:val="常规"/>
          <w:gallery w:val="placeholder"/>
        </w:category>
        <w:types>
          <w:type w:val="bbPlcHdr"/>
        </w:types>
        <w:behaviors>
          <w:behavior w:val="content"/>
        </w:behaviors>
        <w:description w:val=""/>
        <w:guid w:val="{ff118fc5-034c-4512-9a55-d776ba6df56a}"/>
      </w:docPartPr>
      <w:docPartBody>
        <w:p w14:paraId="11BC3BE6">
          <w:r>
            <w:rPr>
              <w:color w:val="808080"/>
            </w:rPr>
            <w:t>单击此处输入文字。</w:t>
          </w:r>
        </w:p>
      </w:docPartBody>
    </w:docPart>
    <w:docPart>
      <w:docPartPr>
        <w:name w:val="{6a0c6649-82b6-4297-abf5-656fe322f4c7}"/>
        <w:style w:val=""/>
        <w:category>
          <w:name w:val="常规"/>
          <w:gallery w:val="placeholder"/>
        </w:category>
        <w:types>
          <w:type w:val="bbPlcHdr"/>
        </w:types>
        <w:behaviors>
          <w:behavior w:val="content"/>
        </w:behaviors>
        <w:description w:val=""/>
        <w:guid w:val="{6a0c6649-82b6-4297-abf5-656fe322f4c7}"/>
      </w:docPartPr>
      <w:docPartBody>
        <w:p w14:paraId="7423F257">
          <w:r>
            <w:rPr>
              <w:color w:val="808080"/>
            </w:rPr>
            <w:t>单击此处输入文字。</w:t>
          </w:r>
        </w:p>
      </w:docPartBody>
    </w:docPart>
    <w:docPart>
      <w:docPartPr>
        <w:name w:val="{389a9e32-8b99-4b20-93ac-63714f2bb15b}"/>
        <w:style w:val=""/>
        <w:category>
          <w:name w:val="常规"/>
          <w:gallery w:val="placeholder"/>
        </w:category>
        <w:types>
          <w:type w:val="bbPlcHdr"/>
        </w:types>
        <w:behaviors>
          <w:behavior w:val="content"/>
        </w:behaviors>
        <w:description w:val=""/>
        <w:guid w:val="{389a9e32-8b99-4b20-93ac-63714f2bb15b}"/>
      </w:docPartPr>
      <w:docPartBody>
        <w:p w14:paraId="3400AB8C">
          <w:r>
            <w:rPr>
              <w:color w:val="808080"/>
            </w:rPr>
            <w:t>单击此处输入文字。</w:t>
          </w:r>
        </w:p>
      </w:docPartBody>
    </w:docPart>
    <w:docPart>
      <w:docPartPr>
        <w:name w:val="{86342076-1307-4d34-af44-6f4c72b4b134}"/>
        <w:style w:val=""/>
        <w:category>
          <w:name w:val="常规"/>
          <w:gallery w:val="placeholder"/>
        </w:category>
        <w:types>
          <w:type w:val="bbPlcHdr"/>
        </w:types>
        <w:behaviors>
          <w:behavior w:val="content"/>
        </w:behaviors>
        <w:description w:val=""/>
        <w:guid w:val="{86342076-1307-4d34-af44-6f4c72b4b134}"/>
      </w:docPartPr>
      <w:docPartBody>
        <w:p w14:paraId="056331FC">
          <w:r>
            <w:rPr>
              <w:color w:val="808080"/>
            </w:rPr>
            <w:t>单击此处输入文字。</w:t>
          </w:r>
        </w:p>
      </w:docPartBody>
    </w:docPart>
    <w:docPart>
      <w:docPartPr>
        <w:name w:val="{5b4920bd-098e-4d36-b5ff-93ceed01eadf}"/>
        <w:style w:val=""/>
        <w:category>
          <w:name w:val="常规"/>
          <w:gallery w:val="placeholder"/>
        </w:category>
        <w:types>
          <w:type w:val="bbPlcHdr"/>
        </w:types>
        <w:behaviors>
          <w:behavior w:val="content"/>
        </w:behaviors>
        <w:description w:val=""/>
        <w:guid w:val="{5b4920bd-098e-4d36-b5ff-93ceed01eadf}"/>
      </w:docPartPr>
      <w:docPartBody>
        <w:p w14:paraId="222747F0">
          <w:r>
            <w:rPr>
              <w:color w:val="808080"/>
            </w:rPr>
            <w:t>单击此处输入文字。</w:t>
          </w:r>
        </w:p>
      </w:docPartBody>
    </w:docPart>
    <w:docPart>
      <w:docPartPr>
        <w:name w:val="{5dd11e48-c4ea-425f-818c-3dce496ee79d}"/>
        <w:style w:val=""/>
        <w:category>
          <w:name w:val="常规"/>
          <w:gallery w:val="placeholder"/>
        </w:category>
        <w:types>
          <w:type w:val="bbPlcHdr"/>
        </w:types>
        <w:behaviors>
          <w:behavior w:val="content"/>
        </w:behaviors>
        <w:description w:val=""/>
        <w:guid w:val="{5dd11e48-c4ea-425f-818c-3dce496ee79d}"/>
      </w:docPartPr>
      <w:docPartBody>
        <w:p w14:paraId="6A5D877C">
          <w:r>
            <w:rPr>
              <w:color w:val="808080"/>
            </w:rPr>
            <w:t>单击此处输入文字。</w:t>
          </w:r>
        </w:p>
      </w:docPartBody>
    </w:docPart>
    <w:docPart>
      <w:docPartPr>
        <w:name w:val="{3f9c28ed-615a-4a05-8cb9-04516ab8dc09}"/>
        <w:style w:val=""/>
        <w:category>
          <w:name w:val="常规"/>
          <w:gallery w:val="placeholder"/>
        </w:category>
        <w:types>
          <w:type w:val="bbPlcHdr"/>
        </w:types>
        <w:behaviors>
          <w:behavior w:val="content"/>
        </w:behaviors>
        <w:description w:val=""/>
        <w:guid w:val="{3f9c28ed-615a-4a05-8cb9-04516ab8dc09}"/>
      </w:docPartPr>
      <w:docPartBody>
        <w:p w14:paraId="095B4B29">
          <w:r>
            <w:rPr>
              <w:color w:val="808080"/>
            </w:rPr>
            <w:t>单击此处输入文字。</w:t>
          </w:r>
        </w:p>
      </w:docPartBody>
    </w:docPart>
    <w:docPart>
      <w:docPartPr>
        <w:name w:val="{ef16634b-7290-47e1-9d1f-d042fb6ee117}"/>
        <w:style w:val=""/>
        <w:category>
          <w:name w:val="常规"/>
          <w:gallery w:val="placeholder"/>
        </w:category>
        <w:types>
          <w:type w:val="bbPlcHdr"/>
        </w:types>
        <w:behaviors>
          <w:behavior w:val="content"/>
        </w:behaviors>
        <w:description w:val=""/>
        <w:guid w:val="{ef16634b-7290-47e1-9d1f-d042fb6ee117}"/>
      </w:docPartPr>
      <w:docPartBody>
        <w:p w14:paraId="1E85EA12">
          <w:r>
            <w:rPr>
              <w:color w:val="808080"/>
            </w:rPr>
            <w:t>单击此处输入文字。</w:t>
          </w:r>
        </w:p>
      </w:docPartBody>
    </w:docPart>
    <w:docPart>
      <w:docPartPr>
        <w:name w:val="{fe0addcf-e9b4-492d-aadc-8e86d5351412}"/>
        <w:style w:val=""/>
        <w:category>
          <w:name w:val="常规"/>
          <w:gallery w:val="placeholder"/>
        </w:category>
        <w:types>
          <w:type w:val="bbPlcHdr"/>
        </w:types>
        <w:behaviors>
          <w:behavior w:val="content"/>
        </w:behaviors>
        <w:description w:val=""/>
        <w:guid w:val="{fe0addcf-e9b4-492d-aadc-8e86d5351412}"/>
      </w:docPartPr>
      <w:docPartBody>
        <w:p w14:paraId="0A9C1DCD">
          <w:r>
            <w:rPr>
              <w:color w:val="808080"/>
            </w:rPr>
            <w:t>单击此处输入文字。</w:t>
          </w:r>
        </w:p>
      </w:docPartBody>
    </w:docPart>
    <w:docPart>
      <w:docPartPr>
        <w:name w:val="{fe1dedfe-25ca-4d94-84d2-b8f0f6139ff8}"/>
        <w:style w:val=""/>
        <w:category>
          <w:name w:val="常规"/>
          <w:gallery w:val="placeholder"/>
        </w:category>
        <w:types>
          <w:type w:val="bbPlcHdr"/>
        </w:types>
        <w:behaviors>
          <w:behavior w:val="content"/>
        </w:behaviors>
        <w:description w:val=""/>
        <w:guid w:val="{fe1dedfe-25ca-4d94-84d2-b8f0f6139ff8}"/>
      </w:docPartPr>
      <w:docPartBody>
        <w:p w14:paraId="20BE226C">
          <w:r>
            <w:rPr>
              <w:color w:val="808080"/>
            </w:rPr>
            <w:t>单击此处输入文字。</w:t>
          </w:r>
        </w:p>
      </w:docPartBody>
    </w:docPart>
    <w:docPart>
      <w:docPartPr>
        <w:name w:val="{365df557-3689-4c17-bf96-1c8fd44523b3}"/>
        <w:style w:val=""/>
        <w:category>
          <w:name w:val="常规"/>
          <w:gallery w:val="placeholder"/>
        </w:category>
        <w:types>
          <w:type w:val="bbPlcHdr"/>
        </w:types>
        <w:behaviors>
          <w:behavior w:val="content"/>
        </w:behaviors>
        <w:description w:val=""/>
        <w:guid w:val="{365df557-3689-4c17-bf96-1c8fd44523b3}"/>
      </w:docPartPr>
      <w:docPartBody>
        <w:p w14:paraId="041C2217">
          <w:r>
            <w:rPr>
              <w:color w:val="808080"/>
            </w:rPr>
            <w:t>单击此处输入文字。</w:t>
          </w:r>
        </w:p>
      </w:docPartBody>
    </w:docPart>
    <w:docPart>
      <w:docPartPr>
        <w:name w:val="{a7a08169-fe70-49ad-b15f-60527dd03bbb}"/>
        <w:style w:val=""/>
        <w:category>
          <w:name w:val="常规"/>
          <w:gallery w:val="placeholder"/>
        </w:category>
        <w:types>
          <w:type w:val="bbPlcHdr"/>
        </w:types>
        <w:behaviors>
          <w:behavior w:val="content"/>
        </w:behaviors>
        <w:description w:val=""/>
        <w:guid w:val="{a7a08169-fe70-49ad-b15f-60527dd03bbb}"/>
      </w:docPartPr>
      <w:docPartBody>
        <w:p w14:paraId="7FCF5201">
          <w:r>
            <w:rPr>
              <w:color w:val="808080"/>
            </w:rPr>
            <w:t>单击此处输入文字。</w:t>
          </w:r>
        </w:p>
      </w:docPartBody>
    </w:docPart>
    <w:docPart>
      <w:docPartPr>
        <w:name w:val="{412f10e4-f73b-422f-b1f6-51f4f4e8ed04}"/>
        <w:style w:val=""/>
        <w:category>
          <w:name w:val="常规"/>
          <w:gallery w:val="placeholder"/>
        </w:category>
        <w:types>
          <w:type w:val="bbPlcHdr"/>
        </w:types>
        <w:behaviors>
          <w:behavior w:val="content"/>
        </w:behaviors>
        <w:description w:val=""/>
        <w:guid w:val="{412f10e4-f73b-422f-b1f6-51f4f4e8ed04}"/>
      </w:docPartPr>
      <w:docPartBody>
        <w:p w14:paraId="3A021E0C">
          <w:r>
            <w:rPr>
              <w:color w:val="808080"/>
            </w:rPr>
            <w:t>单击此处输入文字。</w:t>
          </w:r>
        </w:p>
      </w:docPartBody>
    </w:docPart>
    <w:docPart>
      <w:docPartPr>
        <w:name w:val="{914fac4d-7870-4b94-8140-6ab7f3af23f7}"/>
        <w:style w:val=""/>
        <w:category>
          <w:name w:val="常规"/>
          <w:gallery w:val="placeholder"/>
        </w:category>
        <w:types>
          <w:type w:val="bbPlcHdr"/>
        </w:types>
        <w:behaviors>
          <w:behavior w:val="content"/>
        </w:behaviors>
        <w:description w:val=""/>
        <w:guid w:val="{914fac4d-7870-4b94-8140-6ab7f3af23f7}"/>
      </w:docPartPr>
      <w:docPartBody>
        <w:p w14:paraId="50390A5C">
          <w:r>
            <w:rPr>
              <w:color w:val="808080"/>
            </w:rPr>
            <w:t>单击此处输入文字。</w:t>
          </w:r>
        </w:p>
      </w:docPartBody>
    </w:docPart>
    <w:docPart>
      <w:docPartPr>
        <w:name w:val="{c6db944a-fbcb-4555-97c7-7d01058ee970}"/>
        <w:style w:val=""/>
        <w:category>
          <w:name w:val="常规"/>
          <w:gallery w:val="placeholder"/>
        </w:category>
        <w:types>
          <w:type w:val="bbPlcHdr"/>
        </w:types>
        <w:behaviors>
          <w:behavior w:val="content"/>
        </w:behaviors>
        <w:description w:val=""/>
        <w:guid w:val="{c6db944a-fbcb-4555-97c7-7d01058ee970}"/>
      </w:docPartPr>
      <w:docPartBody>
        <w:p w14:paraId="29A9DB8A">
          <w:r>
            <w:rPr>
              <w:color w:val="808080"/>
            </w:rPr>
            <w:t>单击此处输入文字。</w:t>
          </w:r>
        </w:p>
      </w:docPartBody>
    </w:docPart>
    <w:docPart>
      <w:docPartPr>
        <w:name w:val="{f71a75f3-25e7-4250-a2a1-3910db15c32c}"/>
        <w:style w:val=""/>
        <w:category>
          <w:name w:val="常规"/>
          <w:gallery w:val="placeholder"/>
        </w:category>
        <w:types>
          <w:type w:val="bbPlcHdr"/>
        </w:types>
        <w:behaviors>
          <w:behavior w:val="content"/>
        </w:behaviors>
        <w:description w:val=""/>
        <w:guid w:val="{f71a75f3-25e7-4250-a2a1-3910db15c32c}"/>
      </w:docPartPr>
      <w:docPartBody>
        <w:p w14:paraId="20CCA8E6">
          <w:r>
            <w:rPr>
              <w:color w:val="808080"/>
            </w:rPr>
            <w:t>单击此处输入文字。</w:t>
          </w:r>
        </w:p>
      </w:docPartBody>
    </w:docPart>
    <w:docPart>
      <w:docPartPr>
        <w:name w:val="{21685eee-9bc6-4b4e-87db-fb7171eda432}"/>
        <w:style w:val=""/>
        <w:category>
          <w:name w:val="常规"/>
          <w:gallery w:val="placeholder"/>
        </w:category>
        <w:types>
          <w:type w:val="bbPlcHdr"/>
        </w:types>
        <w:behaviors>
          <w:behavior w:val="content"/>
        </w:behaviors>
        <w:description w:val=""/>
        <w:guid w:val="{21685eee-9bc6-4b4e-87db-fb7171eda432}"/>
      </w:docPartPr>
      <w:docPartBody>
        <w:p w14:paraId="7F1248DD">
          <w:r>
            <w:rPr>
              <w:color w:val="808080"/>
            </w:rPr>
            <w:t>单击此处输入文字。</w:t>
          </w:r>
        </w:p>
      </w:docPartBody>
    </w:docPart>
    <w:docPart>
      <w:docPartPr>
        <w:name w:val="{7964b60c-2152-4305-bfee-ff1c4e82a77b}"/>
        <w:style w:val=""/>
        <w:category>
          <w:name w:val="常规"/>
          <w:gallery w:val="placeholder"/>
        </w:category>
        <w:types>
          <w:type w:val="bbPlcHdr"/>
        </w:types>
        <w:behaviors>
          <w:behavior w:val="content"/>
        </w:behaviors>
        <w:description w:val=""/>
        <w:guid w:val="{7964b60c-2152-4305-bfee-ff1c4e82a77b}"/>
      </w:docPartPr>
      <w:docPartBody>
        <w:p w14:paraId="2E77FF34">
          <w:r>
            <w:rPr>
              <w:color w:val="808080"/>
            </w:rPr>
            <w:t>单击此处输入文字。</w:t>
          </w:r>
        </w:p>
      </w:docPartBody>
    </w:docPart>
    <w:docPart>
      <w:docPartPr>
        <w:name w:val="{d6744726-682f-4766-bf65-1fd36f4d5ebb}"/>
        <w:style w:val=""/>
        <w:category>
          <w:name w:val="常规"/>
          <w:gallery w:val="placeholder"/>
        </w:category>
        <w:types>
          <w:type w:val="bbPlcHdr"/>
        </w:types>
        <w:behaviors>
          <w:behavior w:val="content"/>
        </w:behaviors>
        <w:description w:val=""/>
        <w:guid w:val="{d6744726-682f-4766-bf65-1fd36f4d5ebb}"/>
      </w:docPartPr>
      <w:docPartBody>
        <w:p w14:paraId="420AA4A4">
          <w:r>
            <w:rPr>
              <w:color w:val="808080"/>
            </w:rPr>
            <w:t>单击此处输入文字。</w:t>
          </w:r>
        </w:p>
      </w:docPartBody>
    </w:docPart>
    <w:docPart>
      <w:docPartPr>
        <w:name w:val="{51b6998f-e352-48d1-8ff1-5792c48aa0bb}"/>
        <w:style w:val=""/>
        <w:category>
          <w:name w:val="常规"/>
          <w:gallery w:val="placeholder"/>
        </w:category>
        <w:types>
          <w:type w:val="bbPlcHdr"/>
        </w:types>
        <w:behaviors>
          <w:behavior w:val="content"/>
        </w:behaviors>
        <w:description w:val=""/>
        <w:guid w:val="{51b6998f-e352-48d1-8ff1-5792c48aa0bb}"/>
      </w:docPartPr>
      <w:docPartBody>
        <w:p w14:paraId="044F10DB">
          <w:r>
            <w:rPr>
              <w:color w:val="808080"/>
            </w:rPr>
            <w:t>单击此处输入文字。</w:t>
          </w:r>
        </w:p>
      </w:docPartBody>
    </w:docPart>
    <w:docPart>
      <w:docPartPr>
        <w:name w:val="{c6892e34-3310-42cb-b64a-6d67f329f7a2}"/>
        <w:style w:val=""/>
        <w:category>
          <w:name w:val="常规"/>
          <w:gallery w:val="placeholder"/>
        </w:category>
        <w:types>
          <w:type w:val="bbPlcHdr"/>
        </w:types>
        <w:behaviors>
          <w:behavior w:val="content"/>
        </w:behaviors>
        <w:description w:val=""/>
        <w:guid w:val="{c6892e34-3310-42cb-b64a-6d67f329f7a2}"/>
      </w:docPartPr>
      <w:docPartBody>
        <w:p w14:paraId="5E05C4CE">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68</Pages>
  <Words>7441</Words>
  <Characters>8220</Characters>
  <Lines>58</Lines>
  <Paragraphs>16</Paragraphs>
  <TotalTime>185</TotalTime>
  <ScaleCrop>false</ScaleCrop>
  <LinksUpToDate>false</LinksUpToDate>
  <CharactersWithSpaces>8343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2020-08-06T17:49:00Z</dcterms:created>
  <dc:creator>曹颖</dc:creator>
  <cp:lastModifiedBy>WPS_1740110014</cp:lastModifiedBy>
  <cp:lastPrinted>2023-10-27T16:57:00Z</cp:lastPrinted>
  <dcterms:modified xsi:type="dcterms:W3CDTF">2026-10-21T02:11:11Z</dcterms:modified>
  <dc:title>四川省***</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FC2E2EF61E3244AD8A761AF46D8FD672_13</vt:lpwstr>
  </property>
  <property fmtid="{D5CDD505-2E9C-101B-9397-08002B2CF9AE}" pid="4" name="KSOTemplateDocerSaveRecord">
    <vt:lpwstr>eyJoZGlkIjoiYzk0MmYxZTQ2MjZkMmFhNDU4NDg0YTFjNmU3MTI4ZjMiLCJ1c2VySWQiOiIxNjgwODM1NzYzIn0=</vt:lpwstr>
  </property>
</Properties>
</file>