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9F09E">
      <w:pPr>
        <w:pageBreakBefore w:val="0"/>
        <w:kinsoku/>
        <w:wordWrap/>
        <w:overflowPunct/>
        <w:topLinePunct w:val="0"/>
        <w:bidi w:val="0"/>
        <w:spacing w:line="600" w:lineRule="exact"/>
        <w:ind w:firstLine="1440" w:firstLineChars="200"/>
        <w:jc w:val="center"/>
        <w:textAlignment w:val="auto"/>
        <w:outlineLvl w:val="9"/>
        <w:rPr>
          <w:rFonts w:ascii="方正小标宋简体" w:hAnsi="宋体" w:eastAsia="方正小标宋简体"/>
          <w:sz w:val="72"/>
          <w:szCs w:val="72"/>
        </w:rPr>
      </w:pPr>
      <w:bookmarkStart w:id="0" w:name="_Toc15396475"/>
      <w:bookmarkStart w:id="1" w:name="_Toc15377193"/>
      <w:bookmarkStart w:id="2" w:name="_Toc15396597"/>
      <w:bookmarkStart w:id="3" w:name="_Toc15378441"/>
      <w:bookmarkStart w:id="4" w:name="_Toc15377425"/>
      <w:bookmarkStart w:id="5" w:name="_Toc15306267"/>
    </w:p>
    <w:p w14:paraId="497A3BCB">
      <w:pPr>
        <w:pageBreakBefore w:val="0"/>
        <w:kinsoku/>
        <w:wordWrap/>
        <w:overflowPunct/>
        <w:topLinePunct w:val="0"/>
        <w:bidi w:val="0"/>
        <w:spacing w:line="600" w:lineRule="exact"/>
        <w:ind w:firstLine="1440" w:firstLineChars="200"/>
        <w:jc w:val="center"/>
        <w:textAlignment w:val="auto"/>
        <w:outlineLvl w:val="9"/>
        <w:rPr>
          <w:rFonts w:ascii="方正小标宋简体" w:hAnsi="宋体" w:eastAsia="方正小标宋简体"/>
          <w:sz w:val="72"/>
          <w:szCs w:val="72"/>
        </w:rPr>
      </w:pPr>
    </w:p>
    <w:p w14:paraId="701E2D79">
      <w:pPr>
        <w:pageBreakBefore w:val="0"/>
        <w:kinsoku/>
        <w:wordWrap/>
        <w:overflowPunct/>
        <w:topLinePunct w:val="0"/>
        <w:bidi w:val="0"/>
        <w:spacing w:line="600" w:lineRule="exact"/>
        <w:ind w:firstLine="1440" w:firstLineChars="200"/>
        <w:jc w:val="center"/>
        <w:textAlignment w:val="auto"/>
        <w:outlineLvl w:val="9"/>
        <w:rPr>
          <w:rFonts w:ascii="方正小标宋简体" w:hAnsi="宋体" w:eastAsia="方正小标宋简体"/>
          <w:sz w:val="72"/>
          <w:szCs w:val="72"/>
        </w:rPr>
      </w:pPr>
    </w:p>
    <w:p w14:paraId="1E3BF2FB">
      <w:pPr>
        <w:pageBreakBefore w:val="0"/>
        <w:kinsoku/>
        <w:wordWrap/>
        <w:overflowPunct/>
        <w:topLinePunct w:val="0"/>
        <w:bidi w:val="0"/>
        <w:adjustRightInd w:val="0"/>
        <w:snapToGrid w:val="0"/>
        <w:spacing w:line="360" w:lineRule="auto"/>
        <w:jc w:val="center"/>
        <w:textAlignment w:val="auto"/>
        <w:outlineLvl w:val="0"/>
        <w:rPr>
          <w:rFonts w:ascii="方正小标宋简体" w:hAnsi="方正小标宋简体" w:eastAsia="方正小标宋简体" w:cs="方正小标宋简体"/>
          <w:sz w:val="72"/>
          <w:szCs w:val="72"/>
        </w:rPr>
      </w:pPr>
      <w:bookmarkStart w:id="6" w:name="_Toc10098"/>
      <w:r>
        <w:rPr>
          <w:rFonts w:hint="eastAsia" w:ascii="方正小标宋简体" w:hAnsi="方正小标宋简体" w:eastAsia="方正小标宋简体" w:cs="方正小标宋简体"/>
          <w:sz w:val="72"/>
          <w:szCs w:val="72"/>
        </w:rPr>
        <w:t>2022年度</w:t>
      </w:r>
      <w:bookmarkEnd w:id="0"/>
      <w:bookmarkEnd w:id="1"/>
      <w:bookmarkEnd w:id="2"/>
      <w:bookmarkEnd w:id="3"/>
      <w:bookmarkEnd w:id="4"/>
      <w:bookmarkEnd w:id="6"/>
    </w:p>
    <w:p w14:paraId="06F659D2">
      <w:pPr>
        <w:pageBreakBefore w:val="0"/>
        <w:kinsoku/>
        <w:wordWrap/>
        <w:overflowPunct/>
        <w:topLinePunct w:val="0"/>
        <w:bidi w:val="0"/>
        <w:adjustRightInd w:val="0"/>
        <w:snapToGrid w:val="0"/>
        <w:spacing w:line="360" w:lineRule="auto"/>
        <w:jc w:val="center"/>
        <w:textAlignment w:val="auto"/>
        <w:outlineLvl w:val="0"/>
        <w:rPr>
          <w:rFonts w:ascii="方正小标宋简体" w:hAnsi="方正小标宋简体" w:eastAsia="方正小标宋简体" w:cs="方正小标宋简体"/>
          <w:sz w:val="72"/>
          <w:szCs w:val="72"/>
        </w:rPr>
      </w:pPr>
      <w:bookmarkStart w:id="7" w:name="_Toc15377194"/>
      <w:bookmarkStart w:id="8" w:name="_Toc15396476"/>
      <w:bookmarkStart w:id="9" w:name="_Toc15396598"/>
      <w:bookmarkStart w:id="10" w:name="_Toc15377426"/>
      <w:bookmarkStart w:id="11" w:name="_Toc15378442"/>
      <w:bookmarkStart w:id="12" w:name="_Toc8080"/>
      <w:r>
        <w:rPr>
          <w:rFonts w:hint="eastAsia" w:ascii="方正小标宋简体" w:hAnsi="方正小标宋简体" w:eastAsia="方正小标宋简体" w:cs="方正小标宋简体"/>
          <w:sz w:val="72"/>
          <w:szCs w:val="72"/>
        </w:rPr>
        <w:t>攀枝花市西区</w:t>
      </w:r>
      <w:bookmarkEnd w:id="5"/>
      <w:bookmarkStart w:id="13" w:name="_Toc15306268"/>
      <w:r>
        <w:rPr>
          <w:rFonts w:hint="eastAsia" w:ascii="方正小标宋简体" w:hAnsi="方正小标宋简体" w:eastAsia="方正小标宋简体" w:cs="方正小标宋简体"/>
          <w:sz w:val="72"/>
          <w:szCs w:val="72"/>
        </w:rPr>
        <w:t>农业农村和交通运输局部门决算</w:t>
      </w:r>
      <w:bookmarkEnd w:id="7"/>
      <w:bookmarkEnd w:id="8"/>
      <w:bookmarkEnd w:id="9"/>
      <w:bookmarkEnd w:id="10"/>
      <w:bookmarkEnd w:id="11"/>
      <w:bookmarkEnd w:id="12"/>
      <w:bookmarkEnd w:id="13"/>
    </w:p>
    <w:p w14:paraId="6A1B84B5">
      <w:pPr>
        <w:pageBreakBefore w:val="0"/>
        <w:widowControl/>
        <w:kinsoku/>
        <w:wordWrap/>
        <w:overflowPunct/>
        <w:topLinePunct w:val="0"/>
        <w:bidi w:val="0"/>
        <w:ind w:firstLine="720" w:firstLineChars="200"/>
        <w:jc w:val="center"/>
        <w:textAlignment w:val="auto"/>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229B21D1">
      <w:pPr>
        <w:pageBreakBefore w:val="0"/>
        <w:widowControl/>
        <w:kinsoku/>
        <w:wordWrap/>
        <w:overflowPunct/>
        <w:topLinePunct w:val="0"/>
        <w:bidi w:val="0"/>
        <w:ind w:firstLine="560" w:firstLineChars="200"/>
        <w:jc w:val="center"/>
        <w:textAlignment w:val="auto"/>
        <w:rPr>
          <w:rFonts w:ascii="黑体" w:hAnsi="黑体" w:eastAsia="黑体" w:cstheme="minorBidi"/>
          <w:sz w:val="28"/>
          <w:szCs w:val="28"/>
        </w:rPr>
      </w:pPr>
    </w:p>
    <w:p w14:paraId="2D29B3EF">
      <w:pPr>
        <w:pStyle w:val="13"/>
        <w:pageBreakBefore w:val="0"/>
        <w:kinsoku/>
        <w:wordWrap/>
        <w:overflowPunct/>
        <w:topLinePunct w:val="0"/>
        <w:bidi w:val="0"/>
        <w:ind w:firstLine="560" w:firstLineChars="200"/>
        <w:textAlignment w:val="auto"/>
      </w:pPr>
      <w:r>
        <w:rPr>
          <w:rFonts w:hint="eastAsia"/>
        </w:rPr>
        <w:t>公开时间：2023年</w:t>
      </w:r>
      <w:r>
        <w:rPr>
          <w:rFonts w:hint="eastAsia"/>
          <w:lang w:val="en-US" w:eastAsia="zh-CN"/>
        </w:rPr>
        <w:t>10</w:t>
      </w:r>
      <w:r>
        <w:rPr>
          <w:rFonts w:hint="eastAsia"/>
        </w:rPr>
        <w:t>月</w:t>
      </w:r>
      <w:r>
        <w:rPr>
          <w:rFonts w:hint="eastAsia"/>
          <w:lang w:val="en-US" w:eastAsia="zh-CN"/>
        </w:rPr>
        <w:t>30</w:t>
      </w:r>
      <w:r>
        <w:rPr>
          <w:rFonts w:hint="eastAsia"/>
        </w:rPr>
        <w:t>日</w:t>
      </w:r>
    </w:p>
    <w:sdt>
      <w:sdtPr>
        <w:rPr>
          <w:rFonts w:ascii="宋体" w:hAnsi="宋体" w:eastAsia="宋体" w:cs="Times New Roman"/>
          <w:kern w:val="2"/>
          <w:sz w:val="21"/>
          <w:szCs w:val="24"/>
          <w:lang w:val="en-US" w:eastAsia="zh-CN" w:bidi="ar-SA"/>
        </w:rPr>
        <w:id w:val="147467754"/>
        <w15:color w:val="DBDBDB"/>
        <w:docPartObj>
          <w:docPartGallery w:val="Table of Contents"/>
          <w:docPartUnique/>
        </w:docPartObj>
      </w:sdtPr>
      <w:sdtEndPr>
        <w:rPr>
          <w:rFonts w:ascii="Times New Roman" w:hAnsi="Times New Roman" w:eastAsia="宋体" w:cs="Times New Roman"/>
          <w:b/>
          <w:kern w:val="2"/>
          <w:sz w:val="21"/>
          <w:szCs w:val="24"/>
          <w:lang w:val="en-US" w:eastAsia="zh-CN" w:bidi="ar-SA"/>
        </w:rPr>
      </w:sdtEndPr>
      <w:sdtContent>
        <w:p w14:paraId="672035E0">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8965CBB">
          <w:pPr>
            <w:pStyle w:val="54"/>
            <w:tabs>
              <w:tab w:val="right" w:leader="dot" w:pos="8306"/>
            </w:tabs>
            <w:rPr>
              <w:b/>
            </w:rPr>
          </w:pPr>
          <w:r>
            <w:fldChar w:fldCharType="begin"/>
          </w:r>
          <w:r>
            <w:instrText xml:space="preserve">TOC \o "1-2" \h \u </w:instrText>
          </w:r>
          <w:r>
            <w:fldChar w:fldCharType="separate"/>
          </w:r>
        </w:p>
        <w:p w14:paraId="6AF79EBD">
          <w:pPr>
            <w:pStyle w:val="54"/>
            <w:tabs>
              <w:tab w:val="right" w:leader="dot" w:pos="8306"/>
            </w:tabs>
            <w:rPr>
              <w:b/>
            </w:rPr>
          </w:pPr>
          <w:r>
            <w:rPr>
              <w:b/>
            </w:rPr>
            <w:fldChar w:fldCharType="begin"/>
          </w:r>
          <w:r>
            <w:rPr>
              <w:b/>
            </w:rPr>
            <w:instrText xml:space="preserve"> HYPERLINK \l _Toc29082 </w:instrText>
          </w:r>
          <w:r>
            <w:rPr>
              <w:b/>
            </w:rPr>
            <w:fldChar w:fldCharType="separate"/>
          </w:r>
          <w:r>
            <w:rPr>
              <w:rFonts w:hint="eastAsia" w:ascii="黑体" w:hAnsi="黑体" w:eastAsia="黑体"/>
              <w:b/>
            </w:rPr>
            <w:t xml:space="preserve">第一部分 </w:t>
          </w:r>
          <w:r>
            <w:rPr>
              <w:rFonts w:hint="eastAsia" w:ascii="黑体" w:hAnsi="黑体" w:eastAsia="黑体"/>
              <w:b/>
              <w:bCs w:val="0"/>
            </w:rPr>
            <w:t>部门概况</w:t>
          </w:r>
          <w:r>
            <w:rPr>
              <w:b/>
            </w:rPr>
            <w:tab/>
          </w:r>
          <w:r>
            <w:rPr>
              <w:b/>
            </w:rPr>
            <w:fldChar w:fldCharType="begin"/>
          </w:r>
          <w:r>
            <w:rPr>
              <w:b/>
            </w:rPr>
            <w:instrText xml:space="preserve"> PAGEREF _Toc29082 \h </w:instrText>
          </w:r>
          <w:r>
            <w:rPr>
              <w:b/>
            </w:rPr>
            <w:fldChar w:fldCharType="separate"/>
          </w:r>
          <w:r>
            <w:rPr>
              <w:b/>
            </w:rPr>
            <w:t>1</w:t>
          </w:r>
          <w:r>
            <w:rPr>
              <w:b/>
            </w:rPr>
            <w:fldChar w:fldCharType="end"/>
          </w:r>
          <w:r>
            <w:rPr>
              <w:b/>
            </w:rPr>
            <w:fldChar w:fldCharType="end"/>
          </w:r>
        </w:p>
        <w:p w14:paraId="596748CA">
          <w:pPr>
            <w:pStyle w:val="55"/>
            <w:tabs>
              <w:tab w:val="right" w:leader="dot" w:pos="8306"/>
            </w:tabs>
          </w:pPr>
          <w:r>
            <w:fldChar w:fldCharType="begin"/>
          </w:r>
          <w:r>
            <w:instrText xml:space="preserve"> HYPERLINK \l _Toc10941 </w:instrText>
          </w:r>
          <w:r>
            <w:fldChar w:fldCharType="separate"/>
          </w:r>
          <w:r>
            <w:rPr>
              <w:rFonts w:hint="default" w:ascii="黑体" w:hAnsi="黑体" w:eastAsia="黑体"/>
              <w:lang w:val="en-US"/>
            </w:rPr>
            <w:t xml:space="preserve">一、 </w:t>
          </w:r>
          <w:r>
            <w:rPr>
              <w:rFonts w:hint="eastAsia" w:ascii="黑体" w:hAnsi="黑体" w:eastAsia="黑体"/>
            </w:rPr>
            <w:t>部门职责</w:t>
          </w:r>
          <w:r>
            <w:tab/>
          </w:r>
          <w:r>
            <w:fldChar w:fldCharType="begin"/>
          </w:r>
          <w:r>
            <w:instrText xml:space="preserve"> PAGEREF _Toc10941 \h </w:instrText>
          </w:r>
          <w:r>
            <w:fldChar w:fldCharType="separate"/>
          </w:r>
          <w:r>
            <w:t>1</w:t>
          </w:r>
          <w:r>
            <w:fldChar w:fldCharType="end"/>
          </w:r>
          <w:r>
            <w:fldChar w:fldCharType="end"/>
          </w:r>
        </w:p>
        <w:p w14:paraId="10C7BB51">
          <w:pPr>
            <w:pStyle w:val="55"/>
            <w:tabs>
              <w:tab w:val="right" w:leader="dot" w:pos="8306"/>
            </w:tabs>
          </w:pPr>
          <w:r>
            <w:fldChar w:fldCharType="begin"/>
          </w:r>
          <w:r>
            <w:instrText xml:space="preserve"> HYPERLINK \l _Toc5696 </w:instrText>
          </w:r>
          <w:r>
            <w:fldChar w:fldCharType="separate"/>
          </w:r>
          <w:r>
            <w:rPr>
              <w:rFonts w:hint="eastAsia" w:ascii="黑体" w:eastAsia="黑体"/>
            </w:rPr>
            <w:t>二、</w:t>
          </w:r>
          <w:r>
            <w:rPr>
              <w:rFonts w:hint="eastAsia" w:ascii="黑体" w:hAnsi="黑体" w:eastAsia="黑体"/>
            </w:rPr>
            <w:t>机</w:t>
          </w:r>
          <w:r>
            <w:rPr>
              <w:rFonts w:hint="eastAsia" w:ascii="黑体" w:hAnsi="黑体" w:eastAsia="黑体"/>
              <w:bCs w:val="0"/>
            </w:rPr>
            <w:t>构设置</w:t>
          </w:r>
          <w:r>
            <w:tab/>
          </w:r>
          <w:r>
            <w:fldChar w:fldCharType="begin"/>
          </w:r>
          <w:r>
            <w:instrText xml:space="preserve"> PAGEREF _Toc5696 \h </w:instrText>
          </w:r>
          <w:r>
            <w:fldChar w:fldCharType="separate"/>
          </w:r>
          <w:r>
            <w:t>4</w:t>
          </w:r>
          <w:r>
            <w:fldChar w:fldCharType="end"/>
          </w:r>
          <w:r>
            <w:fldChar w:fldCharType="end"/>
          </w:r>
        </w:p>
        <w:p w14:paraId="6EE136FE">
          <w:pPr>
            <w:pStyle w:val="54"/>
            <w:tabs>
              <w:tab w:val="right" w:leader="dot" w:pos="8306"/>
            </w:tabs>
            <w:rPr>
              <w:b/>
            </w:rPr>
          </w:pPr>
          <w:r>
            <w:rPr>
              <w:b/>
            </w:rPr>
            <w:fldChar w:fldCharType="begin"/>
          </w:r>
          <w:r>
            <w:rPr>
              <w:b/>
            </w:rPr>
            <w:instrText xml:space="preserve"> HYPERLINK \l _Toc24804 </w:instrText>
          </w:r>
          <w:r>
            <w:rPr>
              <w:b/>
            </w:rPr>
            <w:fldChar w:fldCharType="separate"/>
          </w:r>
          <w:r>
            <w:rPr>
              <w:rFonts w:hint="eastAsia" w:ascii="黑体" w:hAnsi="黑体" w:eastAsia="黑体"/>
              <w:b/>
            </w:rPr>
            <w:t>第二部分 2022年度</w:t>
          </w:r>
          <w:r>
            <w:rPr>
              <w:rFonts w:hint="eastAsia" w:ascii="黑体" w:hAnsi="黑体" w:eastAsia="黑体"/>
              <w:b/>
              <w:bCs/>
            </w:rPr>
            <w:t>部门决算情况说明</w:t>
          </w:r>
          <w:r>
            <w:rPr>
              <w:b/>
            </w:rPr>
            <w:tab/>
          </w:r>
          <w:r>
            <w:rPr>
              <w:b/>
            </w:rPr>
            <w:fldChar w:fldCharType="begin"/>
          </w:r>
          <w:r>
            <w:rPr>
              <w:b/>
            </w:rPr>
            <w:instrText xml:space="preserve"> PAGEREF _Toc24804 \h </w:instrText>
          </w:r>
          <w:r>
            <w:rPr>
              <w:b/>
            </w:rPr>
            <w:fldChar w:fldCharType="separate"/>
          </w:r>
          <w:r>
            <w:rPr>
              <w:b/>
            </w:rPr>
            <w:t>5</w:t>
          </w:r>
          <w:r>
            <w:rPr>
              <w:b/>
            </w:rPr>
            <w:fldChar w:fldCharType="end"/>
          </w:r>
          <w:r>
            <w:rPr>
              <w:b/>
            </w:rPr>
            <w:fldChar w:fldCharType="end"/>
          </w:r>
        </w:p>
        <w:p w14:paraId="18BA6544">
          <w:pPr>
            <w:pStyle w:val="55"/>
            <w:tabs>
              <w:tab w:val="right" w:leader="dot" w:pos="8306"/>
            </w:tabs>
          </w:pPr>
          <w:r>
            <w:fldChar w:fldCharType="begin"/>
          </w:r>
          <w:r>
            <w:instrText xml:space="preserve"> HYPERLINK \l _Toc9121 </w:instrText>
          </w:r>
          <w:r>
            <w:fldChar w:fldCharType="separate"/>
          </w:r>
          <w:r>
            <w:rPr>
              <w:rFonts w:hint="eastAsia" w:ascii="黑体" w:hAnsi="黑体" w:eastAsia="黑体"/>
              <w:szCs w:val="32"/>
              <w:lang w:eastAsia="zh-CN"/>
            </w:rPr>
            <w:t>一、</w:t>
          </w:r>
          <w:r>
            <w:rPr>
              <w:rFonts w:hint="eastAsia" w:ascii="黑体" w:hAnsi="黑体" w:eastAsia="黑体"/>
              <w:szCs w:val="32"/>
            </w:rPr>
            <w:t>收</w:t>
          </w:r>
          <w:r>
            <w:rPr>
              <w:rFonts w:hint="eastAsia" w:ascii="黑体" w:hAnsi="黑体" w:eastAsia="黑体"/>
            </w:rPr>
            <w:t>入支出决算总体情况说明</w:t>
          </w:r>
          <w:r>
            <w:tab/>
          </w:r>
          <w:r>
            <w:fldChar w:fldCharType="begin"/>
          </w:r>
          <w:r>
            <w:instrText xml:space="preserve"> PAGEREF _Toc9121 \h </w:instrText>
          </w:r>
          <w:r>
            <w:fldChar w:fldCharType="separate"/>
          </w:r>
          <w:r>
            <w:t>5</w:t>
          </w:r>
          <w:r>
            <w:fldChar w:fldCharType="end"/>
          </w:r>
          <w:r>
            <w:fldChar w:fldCharType="end"/>
          </w:r>
        </w:p>
        <w:p w14:paraId="139A36BC">
          <w:pPr>
            <w:pStyle w:val="55"/>
            <w:tabs>
              <w:tab w:val="right" w:leader="dot" w:pos="8306"/>
            </w:tabs>
          </w:pPr>
          <w:r>
            <w:fldChar w:fldCharType="begin"/>
          </w:r>
          <w:r>
            <w:instrText xml:space="preserve"> HYPERLINK \l _Toc21724 </w:instrText>
          </w:r>
          <w:r>
            <w:fldChar w:fldCharType="separate"/>
          </w:r>
          <w:r>
            <w:rPr>
              <w:rFonts w:hint="eastAsia" w:ascii="黑体" w:hAnsi="黑体" w:eastAsia="黑体"/>
              <w:szCs w:val="32"/>
              <w:lang w:eastAsia="zh-CN"/>
            </w:rPr>
            <w:t>二、</w:t>
          </w:r>
          <w:r>
            <w:rPr>
              <w:rFonts w:hint="eastAsia" w:ascii="黑体" w:hAnsi="黑体" w:eastAsia="黑体"/>
              <w:szCs w:val="32"/>
            </w:rPr>
            <w:t>收</w:t>
          </w:r>
          <w:r>
            <w:rPr>
              <w:rFonts w:hint="eastAsia" w:ascii="黑体" w:hAnsi="黑体" w:eastAsia="黑体"/>
            </w:rPr>
            <w:t>入决算情况说明</w:t>
          </w:r>
          <w:r>
            <w:tab/>
          </w:r>
          <w:r>
            <w:fldChar w:fldCharType="begin"/>
          </w:r>
          <w:r>
            <w:instrText xml:space="preserve"> PAGEREF _Toc21724 \h </w:instrText>
          </w:r>
          <w:r>
            <w:fldChar w:fldCharType="separate"/>
          </w:r>
          <w:r>
            <w:t>5</w:t>
          </w:r>
          <w:r>
            <w:fldChar w:fldCharType="end"/>
          </w:r>
          <w:r>
            <w:fldChar w:fldCharType="end"/>
          </w:r>
        </w:p>
        <w:p w14:paraId="7E988193">
          <w:pPr>
            <w:pStyle w:val="55"/>
            <w:tabs>
              <w:tab w:val="right" w:leader="dot" w:pos="8306"/>
            </w:tabs>
          </w:pPr>
          <w:r>
            <w:fldChar w:fldCharType="begin"/>
          </w:r>
          <w:r>
            <w:instrText xml:space="preserve"> HYPERLINK \l _Toc31867 </w:instrText>
          </w:r>
          <w:r>
            <w:fldChar w:fldCharType="separate"/>
          </w:r>
          <w:r>
            <w:rPr>
              <w:rFonts w:hint="eastAsia" w:ascii="黑体" w:hAnsi="黑体" w:eastAsia="黑体"/>
              <w:szCs w:val="32"/>
              <w:lang w:eastAsia="zh-CN"/>
            </w:rPr>
            <w:t>三、</w:t>
          </w:r>
          <w:r>
            <w:rPr>
              <w:rFonts w:hint="eastAsia" w:ascii="黑体" w:hAnsi="黑体" w:eastAsia="黑体"/>
              <w:szCs w:val="32"/>
            </w:rPr>
            <w:t>支</w:t>
          </w:r>
          <w:r>
            <w:rPr>
              <w:rFonts w:hint="eastAsia" w:ascii="黑体" w:hAnsi="黑体" w:eastAsia="黑体"/>
            </w:rPr>
            <w:t>出决算情况说明</w:t>
          </w:r>
          <w:r>
            <w:tab/>
          </w:r>
          <w:r>
            <w:fldChar w:fldCharType="begin"/>
          </w:r>
          <w:r>
            <w:instrText xml:space="preserve"> PAGEREF _Toc31867 \h </w:instrText>
          </w:r>
          <w:r>
            <w:fldChar w:fldCharType="separate"/>
          </w:r>
          <w:r>
            <w:t>6</w:t>
          </w:r>
          <w:r>
            <w:fldChar w:fldCharType="end"/>
          </w:r>
          <w:r>
            <w:fldChar w:fldCharType="end"/>
          </w:r>
        </w:p>
        <w:p w14:paraId="2AB691E7">
          <w:pPr>
            <w:pStyle w:val="55"/>
            <w:tabs>
              <w:tab w:val="right" w:leader="dot" w:pos="8306"/>
            </w:tabs>
          </w:pPr>
          <w:r>
            <w:fldChar w:fldCharType="begin"/>
          </w:r>
          <w:r>
            <w:instrText xml:space="preserve"> HYPERLINK \l _Toc19111 </w:instrText>
          </w:r>
          <w:r>
            <w:fldChar w:fldCharType="separate"/>
          </w:r>
          <w:r>
            <w:rPr>
              <w:rFonts w:hint="eastAsia" w:ascii="黑体" w:hAnsi="黑体" w:eastAsia="黑体"/>
              <w:szCs w:val="32"/>
            </w:rPr>
            <w:t>四、财</w:t>
          </w:r>
          <w:r>
            <w:rPr>
              <w:rFonts w:hint="eastAsia" w:ascii="黑体" w:hAnsi="黑体" w:eastAsia="黑体"/>
            </w:rPr>
            <w:t>政拨款收入支出决算总体情况说明</w:t>
          </w:r>
          <w:r>
            <w:tab/>
          </w:r>
          <w:r>
            <w:fldChar w:fldCharType="begin"/>
          </w:r>
          <w:r>
            <w:instrText xml:space="preserve"> PAGEREF _Toc19111 \h </w:instrText>
          </w:r>
          <w:r>
            <w:fldChar w:fldCharType="separate"/>
          </w:r>
          <w:r>
            <w:t>6</w:t>
          </w:r>
          <w:r>
            <w:fldChar w:fldCharType="end"/>
          </w:r>
          <w:r>
            <w:fldChar w:fldCharType="end"/>
          </w:r>
        </w:p>
        <w:p w14:paraId="01332CDB">
          <w:pPr>
            <w:pStyle w:val="55"/>
            <w:tabs>
              <w:tab w:val="right" w:leader="dot" w:pos="8306"/>
            </w:tabs>
          </w:pPr>
          <w:r>
            <w:fldChar w:fldCharType="begin"/>
          </w:r>
          <w:r>
            <w:instrText xml:space="preserve"> HYPERLINK \l _Toc3783 </w:instrText>
          </w:r>
          <w:r>
            <w:fldChar w:fldCharType="separate"/>
          </w:r>
          <w:r>
            <w:rPr>
              <w:rFonts w:hint="eastAsia" w:ascii="黑体" w:hAnsi="黑体" w:eastAsia="黑体"/>
              <w:szCs w:val="32"/>
            </w:rPr>
            <w:t>五、一</w:t>
          </w:r>
          <w:r>
            <w:rPr>
              <w:rFonts w:hint="eastAsia" w:ascii="黑体" w:hAnsi="黑体" w:eastAsia="黑体"/>
            </w:rPr>
            <w:t>般公共预算财政拨款支出决算情况说明</w:t>
          </w:r>
          <w:r>
            <w:tab/>
          </w:r>
          <w:r>
            <w:fldChar w:fldCharType="begin"/>
          </w:r>
          <w:r>
            <w:instrText xml:space="preserve"> PAGEREF _Toc3783 \h </w:instrText>
          </w:r>
          <w:r>
            <w:fldChar w:fldCharType="separate"/>
          </w:r>
          <w:r>
            <w:t>7</w:t>
          </w:r>
          <w:r>
            <w:fldChar w:fldCharType="end"/>
          </w:r>
          <w:r>
            <w:fldChar w:fldCharType="end"/>
          </w:r>
        </w:p>
        <w:p w14:paraId="37C7818C">
          <w:pPr>
            <w:pStyle w:val="55"/>
            <w:tabs>
              <w:tab w:val="right" w:leader="dot" w:pos="8306"/>
            </w:tabs>
          </w:pPr>
          <w:r>
            <w:fldChar w:fldCharType="begin"/>
          </w:r>
          <w:r>
            <w:instrText xml:space="preserve"> HYPERLINK \l _Toc11008 </w:instrText>
          </w:r>
          <w:r>
            <w:fldChar w:fldCharType="separate"/>
          </w:r>
          <w:r>
            <w:rPr>
              <w:rFonts w:hint="eastAsia" w:ascii="黑体" w:eastAsia="黑体"/>
              <w:szCs w:val="32"/>
            </w:rPr>
            <w:t>六、</w:t>
          </w:r>
          <w:r>
            <w:rPr>
              <w:rFonts w:hint="eastAsia" w:ascii="黑体" w:hAnsi="黑体" w:eastAsia="黑体"/>
              <w:szCs w:val="32"/>
            </w:rPr>
            <w:t>一</w:t>
          </w:r>
          <w:r>
            <w:rPr>
              <w:rFonts w:hint="eastAsia" w:ascii="黑体" w:hAnsi="黑体" w:eastAsia="黑体"/>
            </w:rPr>
            <w:t>般公共预算财政拨款基本支出决算情况说明</w:t>
          </w:r>
          <w:r>
            <w:tab/>
          </w:r>
          <w:r>
            <w:fldChar w:fldCharType="begin"/>
          </w:r>
          <w:r>
            <w:instrText xml:space="preserve"> PAGEREF _Toc11008 \h </w:instrText>
          </w:r>
          <w:r>
            <w:fldChar w:fldCharType="separate"/>
          </w:r>
          <w:r>
            <w:t>11</w:t>
          </w:r>
          <w:r>
            <w:fldChar w:fldCharType="end"/>
          </w:r>
          <w:r>
            <w:fldChar w:fldCharType="end"/>
          </w:r>
        </w:p>
        <w:p w14:paraId="17A35220">
          <w:pPr>
            <w:pStyle w:val="55"/>
            <w:tabs>
              <w:tab w:val="right" w:leader="dot" w:pos="8306"/>
            </w:tabs>
          </w:pPr>
          <w:r>
            <w:fldChar w:fldCharType="begin"/>
          </w:r>
          <w:r>
            <w:instrText xml:space="preserve"> HYPERLINK \l _Toc29884 </w:instrText>
          </w:r>
          <w:r>
            <w:fldChar w:fldCharType="separate"/>
          </w:r>
          <w:r>
            <w:rPr>
              <w:rFonts w:hint="eastAsia" w:ascii="黑体" w:eastAsia="黑体"/>
              <w:szCs w:val="32"/>
            </w:rPr>
            <w:t>七、</w:t>
          </w:r>
          <w:r>
            <w:rPr>
              <w:rFonts w:hint="eastAsia" w:ascii="黑体" w:hAnsi="黑体" w:eastAsia="黑体"/>
            </w:rPr>
            <w:t>财政拨款“三公”经费支出决算情况说明</w:t>
          </w:r>
          <w:r>
            <w:tab/>
          </w:r>
          <w:r>
            <w:fldChar w:fldCharType="begin"/>
          </w:r>
          <w:r>
            <w:instrText xml:space="preserve"> PAGEREF _Toc29884 \h </w:instrText>
          </w:r>
          <w:r>
            <w:fldChar w:fldCharType="separate"/>
          </w:r>
          <w:r>
            <w:t>11</w:t>
          </w:r>
          <w:r>
            <w:fldChar w:fldCharType="end"/>
          </w:r>
          <w:r>
            <w:fldChar w:fldCharType="end"/>
          </w:r>
        </w:p>
        <w:p w14:paraId="50CEA6A5">
          <w:pPr>
            <w:pStyle w:val="55"/>
            <w:tabs>
              <w:tab w:val="right" w:leader="dot" w:pos="8306"/>
            </w:tabs>
          </w:pPr>
          <w:r>
            <w:fldChar w:fldCharType="begin"/>
          </w:r>
          <w:r>
            <w:instrText xml:space="preserve"> HYPERLINK \l _Toc29633 </w:instrText>
          </w:r>
          <w:r>
            <w:fldChar w:fldCharType="separate"/>
          </w:r>
          <w:r>
            <w:rPr>
              <w:rFonts w:hint="eastAsia" w:ascii="黑体" w:eastAsia="黑体"/>
              <w:szCs w:val="32"/>
            </w:rPr>
            <w:t>八、</w:t>
          </w:r>
          <w:r>
            <w:rPr>
              <w:rFonts w:hint="eastAsia" w:ascii="黑体" w:hAnsi="黑体" w:eastAsia="黑体"/>
            </w:rPr>
            <w:t>政府性基金预算支出决算情况说明</w:t>
          </w:r>
          <w:r>
            <w:tab/>
          </w:r>
          <w:r>
            <w:fldChar w:fldCharType="begin"/>
          </w:r>
          <w:r>
            <w:instrText xml:space="preserve"> PAGEREF _Toc29633 \h </w:instrText>
          </w:r>
          <w:r>
            <w:fldChar w:fldCharType="separate"/>
          </w:r>
          <w:r>
            <w:t>13</w:t>
          </w:r>
          <w:r>
            <w:fldChar w:fldCharType="end"/>
          </w:r>
          <w:r>
            <w:fldChar w:fldCharType="end"/>
          </w:r>
        </w:p>
        <w:p w14:paraId="1C50C631">
          <w:pPr>
            <w:pStyle w:val="55"/>
            <w:tabs>
              <w:tab w:val="right" w:leader="dot" w:pos="8306"/>
            </w:tabs>
          </w:pPr>
          <w:r>
            <w:fldChar w:fldCharType="begin"/>
          </w:r>
          <w:r>
            <w:instrText xml:space="preserve"> HYPERLINK \l _Toc31666 </w:instrText>
          </w:r>
          <w:r>
            <w:fldChar w:fldCharType="separate"/>
          </w:r>
          <w:r>
            <w:rPr>
              <w:rFonts w:hint="eastAsia" w:ascii="黑体" w:hAnsi="黑体" w:eastAsia="黑体"/>
            </w:rPr>
            <w:t>九、 国有资本经营预算支出决算情况说明</w:t>
          </w:r>
          <w:r>
            <w:tab/>
          </w:r>
          <w:r>
            <w:fldChar w:fldCharType="begin"/>
          </w:r>
          <w:r>
            <w:instrText xml:space="preserve"> PAGEREF _Toc31666 \h </w:instrText>
          </w:r>
          <w:r>
            <w:fldChar w:fldCharType="separate"/>
          </w:r>
          <w:r>
            <w:t>14</w:t>
          </w:r>
          <w:r>
            <w:fldChar w:fldCharType="end"/>
          </w:r>
          <w:r>
            <w:fldChar w:fldCharType="end"/>
          </w:r>
        </w:p>
        <w:p w14:paraId="0C6B2A19">
          <w:pPr>
            <w:pStyle w:val="55"/>
            <w:tabs>
              <w:tab w:val="right" w:leader="dot" w:pos="8306"/>
            </w:tabs>
          </w:pPr>
          <w:r>
            <w:fldChar w:fldCharType="begin"/>
          </w:r>
          <w:r>
            <w:instrText xml:space="preserve"> HYPERLINK \l _Toc18383 </w:instrText>
          </w:r>
          <w:r>
            <w:fldChar w:fldCharType="separate"/>
          </w:r>
          <w:r>
            <w:rPr>
              <w:rFonts w:hint="eastAsia" w:ascii="黑体" w:hAnsi="黑体" w:eastAsia="黑体"/>
            </w:rPr>
            <w:t>十、 其他重要事项的情况说明</w:t>
          </w:r>
          <w:r>
            <w:tab/>
          </w:r>
          <w:r>
            <w:fldChar w:fldCharType="begin"/>
          </w:r>
          <w:r>
            <w:instrText xml:space="preserve"> PAGEREF _Toc18383 \h </w:instrText>
          </w:r>
          <w:r>
            <w:fldChar w:fldCharType="separate"/>
          </w:r>
          <w:r>
            <w:t>14</w:t>
          </w:r>
          <w:r>
            <w:fldChar w:fldCharType="end"/>
          </w:r>
          <w:r>
            <w:fldChar w:fldCharType="end"/>
          </w:r>
        </w:p>
        <w:p w14:paraId="04ADA87E">
          <w:pPr>
            <w:pStyle w:val="54"/>
            <w:tabs>
              <w:tab w:val="right" w:leader="dot" w:pos="8306"/>
            </w:tabs>
            <w:rPr>
              <w:b/>
            </w:rPr>
          </w:pPr>
          <w:r>
            <w:rPr>
              <w:rFonts w:hint="eastAsia"/>
              <w:b/>
              <w:lang w:eastAsia="zh-CN"/>
            </w:rPr>
            <w:t>第三部分</w:t>
          </w:r>
          <w:r>
            <w:rPr>
              <w:rFonts w:hint="eastAsia"/>
              <w:b/>
              <w:lang w:val="en-US" w:eastAsia="zh-CN"/>
            </w:rPr>
            <w:t xml:space="preserve"> </w:t>
          </w:r>
          <w:r>
            <w:rPr>
              <w:b/>
            </w:rPr>
            <w:fldChar w:fldCharType="begin"/>
          </w:r>
          <w:r>
            <w:rPr>
              <w:b/>
            </w:rPr>
            <w:instrText xml:space="preserve"> HYPERLINK \l _Toc7898 </w:instrText>
          </w:r>
          <w:r>
            <w:rPr>
              <w:b/>
            </w:rPr>
            <w:fldChar w:fldCharType="separate"/>
          </w:r>
          <w:r>
            <w:rPr>
              <w:rFonts w:hint="eastAsia" w:ascii="黑体" w:hAnsi="黑体" w:eastAsia="黑体"/>
              <w:b/>
              <w:szCs w:val="44"/>
            </w:rPr>
            <w:t>名</w:t>
          </w:r>
          <w:r>
            <w:rPr>
              <w:rFonts w:hint="eastAsia" w:ascii="黑体" w:hAnsi="黑体" w:eastAsia="黑体"/>
              <w:b/>
            </w:rPr>
            <w:t>词解释</w:t>
          </w:r>
          <w:r>
            <w:rPr>
              <w:b/>
            </w:rPr>
            <w:tab/>
          </w:r>
          <w:r>
            <w:rPr>
              <w:b/>
            </w:rPr>
            <w:fldChar w:fldCharType="begin"/>
          </w:r>
          <w:r>
            <w:rPr>
              <w:b/>
            </w:rPr>
            <w:instrText xml:space="preserve"> PAGEREF _Toc7898 \h </w:instrText>
          </w:r>
          <w:r>
            <w:rPr>
              <w:b/>
            </w:rPr>
            <w:fldChar w:fldCharType="separate"/>
          </w:r>
          <w:r>
            <w:rPr>
              <w:b/>
            </w:rPr>
            <w:t>16</w:t>
          </w:r>
          <w:r>
            <w:rPr>
              <w:b/>
            </w:rPr>
            <w:fldChar w:fldCharType="end"/>
          </w:r>
          <w:r>
            <w:rPr>
              <w:b/>
            </w:rPr>
            <w:fldChar w:fldCharType="end"/>
          </w:r>
        </w:p>
        <w:p w14:paraId="6B06FBFA">
          <w:pPr>
            <w:pStyle w:val="54"/>
            <w:tabs>
              <w:tab w:val="right" w:leader="dot" w:pos="8306"/>
            </w:tabs>
          </w:pPr>
          <w:r>
            <w:rPr>
              <w:b/>
            </w:rPr>
            <w:fldChar w:fldCharType="begin"/>
          </w:r>
          <w:r>
            <w:rPr>
              <w:b/>
            </w:rPr>
            <w:instrText xml:space="preserve"> HYPERLINK \l _Toc29193 </w:instrText>
          </w:r>
          <w:r>
            <w:rPr>
              <w:b/>
            </w:rPr>
            <w:fldChar w:fldCharType="separate"/>
          </w:r>
          <w:r>
            <w:rPr>
              <w:rFonts w:hint="eastAsia" w:ascii="黑体" w:hAnsi="黑体" w:eastAsia="黑体"/>
              <w:b/>
              <w:szCs w:val="44"/>
            </w:rPr>
            <w:t>第</w:t>
          </w:r>
          <w:r>
            <w:rPr>
              <w:rFonts w:hint="eastAsia" w:ascii="黑体" w:hAnsi="黑体" w:eastAsia="黑体"/>
              <w:b/>
            </w:rPr>
            <w:t>四部分 附件</w:t>
          </w:r>
          <w:r>
            <w:rPr>
              <w:b/>
            </w:rPr>
            <w:tab/>
          </w:r>
          <w:r>
            <w:rPr>
              <w:b/>
            </w:rPr>
            <w:fldChar w:fldCharType="begin"/>
          </w:r>
          <w:r>
            <w:rPr>
              <w:b/>
            </w:rPr>
            <w:instrText xml:space="preserve"> PAGEREF _Toc29193 \h </w:instrText>
          </w:r>
          <w:r>
            <w:rPr>
              <w:b/>
            </w:rPr>
            <w:fldChar w:fldCharType="separate"/>
          </w:r>
          <w:r>
            <w:rPr>
              <w:b/>
            </w:rPr>
            <w:t>20</w:t>
          </w:r>
          <w:r>
            <w:rPr>
              <w:b/>
            </w:rPr>
            <w:fldChar w:fldCharType="end"/>
          </w:r>
          <w:r>
            <w:rPr>
              <w:b/>
            </w:rPr>
            <w:fldChar w:fldCharType="end"/>
          </w:r>
        </w:p>
        <w:p w14:paraId="655E016E">
          <w:pPr>
            <w:pStyle w:val="54"/>
            <w:tabs>
              <w:tab w:val="right" w:leader="dot" w:pos="8306"/>
            </w:tabs>
            <w:rPr>
              <w:b/>
            </w:rPr>
          </w:pPr>
          <w:r>
            <w:rPr>
              <w:b/>
            </w:rPr>
            <w:fldChar w:fldCharType="begin"/>
          </w:r>
          <w:r>
            <w:rPr>
              <w:b/>
            </w:rPr>
            <w:instrText xml:space="preserve"> HYPERLINK \l _Toc31541 </w:instrText>
          </w:r>
          <w:r>
            <w:rPr>
              <w:b/>
            </w:rPr>
            <w:fldChar w:fldCharType="separate"/>
          </w:r>
          <w:r>
            <w:rPr>
              <w:rFonts w:hint="eastAsia" w:ascii="黑体" w:hAnsi="黑体" w:eastAsia="黑体"/>
              <w:b/>
              <w:szCs w:val="44"/>
            </w:rPr>
            <w:t>第</w:t>
          </w:r>
          <w:r>
            <w:rPr>
              <w:rFonts w:hint="eastAsia" w:ascii="黑体" w:hAnsi="黑体" w:eastAsia="黑体"/>
              <w:b/>
            </w:rPr>
            <w:t>五部分 附表</w:t>
          </w:r>
          <w:r>
            <w:rPr>
              <w:b/>
            </w:rPr>
            <w:tab/>
          </w:r>
          <w:r>
            <w:rPr>
              <w:b/>
            </w:rPr>
            <w:fldChar w:fldCharType="begin"/>
          </w:r>
          <w:r>
            <w:rPr>
              <w:b/>
            </w:rPr>
            <w:instrText xml:space="preserve"> PAGEREF _Toc31541 \h </w:instrText>
          </w:r>
          <w:r>
            <w:rPr>
              <w:b/>
            </w:rPr>
            <w:fldChar w:fldCharType="separate"/>
          </w:r>
          <w:r>
            <w:rPr>
              <w:b/>
            </w:rPr>
            <w:t>33</w:t>
          </w:r>
          <w:r>
            <w:rPr>
              <w:b/>
            </w:rPr>
            <w:fldChar w:fldCharType="end"/>
          </w:r>
          <w:r>
            <w:rPr>
              <w:b/>
            </w:rPr>
            <w:fldChar w:fldCharType="end"/>
          </w:r>
        </w:p>
        <w:p w14:paraId="03AA9367">
          <w:pPr>
            <w:pStyle w:val="55"/>
            <w:tabs>
              <w:tab w:val="right" w:leader="dot" w:pos="8306"/>
            </w:tabs>
          </w:pPr>
          <w:r>
            <w:fldChar w:fldCharType="begin"/>
          </w:r>
          <w:r>
            <w:instrText xml:space="preserve"> HYPERLINK \l _Toc17838 </w:instrText>
          </w:r>
          <w:r>
            <w:fldChar w:fldCharType="separate"/>
          </w:r>
          <w:r>
            <w:rPr>
              <w:rFonts w:hint="eastAsia" w:ascii="仿宋" w:hAnsi="仿宋" w:eastAsia="仿宋"/>
            </w:rPr>
            <w:t>一、收</w:t>
          </w:r>
          <w:r>
            <w:rPr>
              <w:rFonts w:hint="eastAsia" w:ascii="仿宋" w:hAnsi="仿宋" w:eastAsia="仿宋"/>
              <w:bCs w:val="0"/>
            </w:rPr>
            <w:t>入支出决算总表</w:t>
          </w:r>
          <w:r>
            <w:tab/>
          </w:r>
          <w:r>
            <w:fldChar w:fldCharType="begin"/>
          </w:r>
          <w:r>
            <w:instrText xml:space="preserve"> PAGEREF _Toc17838 \h </w:instrText>
          </w:r>
          <w:r>
            <w:fldChar w:fldCharType="separate"/>
          </w:r>
          <w:r>
            <w:t>33</w:t>
          </w:r>
          <w:r>
            <w:fldChar w:fldCharType="end"/>
          </w:r>
          <w:r>
            <w:fldChar w:fldCharType="end"/>
          </w:r>
        </w:p>
        <w:p w14:paraId="23B5D7DE">
          <w:pPr>
            <w:pStyle w:val="55"/>
            <w:tabs>
              <w:tab w:val="right" w:leader="dot" w:pos="8306"/>
            </w:tabs>
          </w:pPr>
          <w:r>
            <w:fldChar w:fldCharType="begin"/>
          </w:r>
          <w:r>
            <w:instrText xml:space="preserve"> HYPERLINK \l _Toc17127 </w:instrText>
          </w:r>
          <w:r>
            <w:fldChar w:fldCharType="separate"/>
          </w:r>
          <w:r>
            <w:rPr>
              <w:rFonts w:hint="eastAsia" w:ascii="仿宋" w:hAnsi="仿宋" w:eastAsia="仿宋"/>
            </w:rPr>
            <w:t>二、收</w:t>
          </w:r>
          <w:r>
            <w:rPr>
              <w:rFonts w:hint="eastAsia" w:ascii="仿宋" w:hAnsi="仿宋" w:eastAsia="仿宋"/>
              <w:bCs w:val="0"/>
            </w:rPr>
            <w:t>入决算表</w:t>
          </w:r>
          <w:r>
            <w:tab/>
          </w:r>
          <w:r>
            <w:fldChar w:fldCharType="begin"/>
          </w:r>
          <w:r>
            <w:instrText xml:space="preserve"> PAGEREF _Toc17127 \h </w:instrText>
          </w:r>
          <w:r>
            <w:fldChar w:fldCharType="separate"/>
          </w:r>
          <w:r>
            <w:t>33</w:t>
          </w:r>
          <w:r>
            <w:fldChar w:fldCharType="end"/>
          </w:r>
          <w:r>
            <w:fldChar w:fldCharType="end"/>
          </w:r>
        </w:p>
        <w:p w14:paraId="2EF2FE93">
          <w:pPr>
            <w:pStyle w:val="55"/>
            <w:tabs>
              <w:tab w:val="right" w:leader="dot" w:pos="8306"/>
            </w:tabs>
          </w:pPr>
          <w:r>
            <w:fldChar w:fldCharType="begin"/>
          </w:r>
          <w:r>
            <w:instrText xml:space="preserve"> HYPERLINK \l _Toc29761 </w:instrText>
          </w:r>
          <w:r>
            <w:fldChar w:fldCharType="separate"/>
          </w:r>
          <w:r>
            <w:rPr>
              <w:rFonts w:hint="eastAsia" w:ascii="仿宋" w:hAnsi="仿宋" w:eastAsia="仿宋"/>
              <w:bCs w:val="0"/>
            </w:rPr>
            <w:t>三、</w:t>
          </w:r>
          <w:r>
            <w:rPr>
              <w:rFonts w:hint="eastAsia" w:ascii="仿宋" w:hAnsi="仿宋" w:eastAsia="仿宋"/>
            </w:rPr>
            <w:t>支</w:t>
          </w:r>
          <w:r>
            <w:rPr>
              <w:rFonts w:hint="eastAsia" w:ascii="仿宋" w:hAnsi="仿宋" w:eastAsia="仿宋"/>
              <w:bCs w:val="0"/>
            </w:rPr>
            <w:t>出决算表</w:t>
          </w:r>
          <w:r>
            <w:tab/>
          </w:r>
          <w:r>
            <w:fldChar w:fldCharType="begin"/>
          </w:r>
          <w:r>
            <w:instrText xml:space="preserve"> PAGEREF _Toc29761 \h </w:instrText>
          </w:r>
          <w:r>
            <w:fldChar w:fldCharType="separate"/>
          </w:r>
          <w:r>
            <w:t>33</w:t>
          </w:r>
          <w:r>
            <w:fldChar w:fldCharType="end"/>
          </w:r>
          <w:r>
            <w:fldChar w:fldCharType="end"/>
          </w:r>
        </w:p>
        <w:p w14:paraId="416F1625">
          <w:pPr>
            <w:pStyle w:val="55"/>
            <w:tabs>
              <w:tab w:val="right" w:leader="dot" w:pos="8306"/>
            </w:tabs>
          </w:pPr>
          <w:r>
            <w:fldChar w:fldCharType="begin"/>
          </w:r>
          <w:r>
            <w:instrText xml:space="preserve"> HYPERLINK \l _Toc26702 </w:instrText>
          </w:r>
          <w:r>
            <w:fldChar w:fldCharType="separate"/>
          </w:r>
          <w:r>
            <w:rPr>
              <w:rFonts w:hint="eastAsia" w:ascii="仿宋" w:hAnsi="仿宋" w:eastAsia="仿宋"/>
              <w:bCs w:val="0"/>
            </w:rPr>
            <w:t>四、</w:t>
          </w:r>
          <w:r>
            <w:rPr>
              <w:rFonts w:hint="eastAsia" w:ascii="仿宋" w:hAnsi="仿宋" w:eastAsia="仿宋"/>
            </w:rPr>
            <w:t>财</w:t>
          </w:r>
          <w:r>
            <w:rPr>
              <w:rFonts w:hint="eastAsia" w:ascii="仿宋" w:hAnsi="仿宋" w:eastAsia="仿宋"/>
              <w:bCs w:val="0"/>
            </w:rPr>
            <w:t>政拨款收入支出决算总表</w:t>
          </w:r>
          <w:r>
            <w:tab/>
          </w:r>
          <w:r>
            <w:fldChar w:fldCharType="begin"/>
          </w:r>
          <w:r>
            <w:instrText xml:space="preserve"> PAGEREF _Toc26702 \h </w:instrText>
          </w:r>
          <w:r>
            <w:fldChar w:fldCharType="separate"/>
          </w:r>
          <w:r>
            <w:t>33</w:t>
          </w:r>
          <w:r>
            <w:fldChar w:fldCharType="end"/>
          </w:r>
          <w:r>
            <w:fldChar w:fldCharType="end"/>
          </w:r>
        </w:p>
        <w:p w14:paraId="1236FA38">
          <w:pPr>
            <w:pStyle w:val="55"/>
            <w:tabs>
              <w:tab w:val="right" w:leader="dot" w:pos="8306"/>
            </w:tabs>
          </w:pPr>
          <w:r>
            <w:fldChar w:fldCharType="begin"/>
          </w:r>
          <w:r>
            <w:instrText xml:space="preserve"> HYPERLINK \l _Toc10824 </w:instrText>
          </w:r>
          <w:r>
            <w:fldChar w:fldCharType="separate"/>
          </w:r>
          <w:r>
            <w:rPr>
              <w:rFonts w:hint="eastAsia" w:ascii="仿宋" w:hAnsi="仿宋" w:eastAsia="仿宋"/>
              <w:bCs w:val="0"/>
            </w:rPr>
            <w:t>五、</w:t>
          </w:r>
          <w:r>
            <w:rPr>
              <w:rFonts w:hint="eastAsia" w:ascii="仿宋" w:hAnsi="仿宋" w:eastAsia="仿宋"/>
            </w:rPr>
            <w:t>财</w:t>
          </w:r>
          <w:r>
            <w:rPr>
              <w:rFonts w:hint="eastAsia" w:ascii="仿宋" w:hAnsi="仿宋" w:eastAsia="仿宋"/>
              <w:bCs w:val="0"/>
            </w:rPr>
            <w:t>政拨款支出决算明细表</w:t>
          </w:r>
          <w:r>
            <w:tab/>
          </w:r>
          <w:r>
            <w:fldChar w:fldCharType="begin"/>
          </w:r>
          <w:r>
            <w:instrText xml:space="preserve"> PAGEREF _Toc10824 \h </w:instrText>
          </w:r>
          <w:r>
            <w:fldChar w:fldCharType="separate"/>
          </w:r>
          <w:r>
            <w:t>33</w:t>
          </w:r>
          <w:r>
            <w:fldChar w:fldCharType="end"/>
          </w:r>
          <w:r>
            <w:fldChar w:fldCharType="end"/>
          </w:r>
        </w:p>
        <w:p w14:paraId="11417589">
          <w:pPr>
            <w:pStyle w:val="55"/>
            <w:tabs>
              <w:tab w:val="right" w:leader="dot" w:pos="8306"/>
            </w:tabs>
          </w:pPr>
          <w:r>
            <w:fldChar w:fldCharType="begin"/>
          </w:r>
          <w:r>
            <w:instrText xml:space="preserve"> HYPERLINK \l _Toc9898 </w:instrText>
          </w:r>
          <w:r>
            <w:fldChar w:fldCharType="separate"/>
          </w:r>
          <w:r>
            <w:rPr>
              <w:rFonts w:hint="eastAsia" w:ascii="仿宋" w:hAnsi="仿宋" w:eastAsia="仿宋"/>
              <w:bCs w:val="0"/>
            </w:rPr>
            <w:t>六、</w:t>
          </w:r>
          <w:r>
            <w:rPr>
              <w:rFonts w:hint="eastAsia" w:ascii="仿宋" w:hAnsi="仿宋" w:eastAsia="仿宋"/>
            </w:rPr>
            <w:t>一</w:t>
          </w:r>
          <w:r>
            <w:rPr>
              <w:rFonts w:hint="eastAsia" w:ascii="仿宋" w:hAnsi="仿宋" w:eastAsia="仿宋"/>
              <w:bCs w:val="0"/>
            </w:rPr>
            <w:t>般公共预算财政拨款支出决算表</w:t>
          </w:r>
          <w:r>
            <w:tab/>
          </w:r>
          <w:r>
            <w:fldChar w:fldCharType="begin"/>
          </w:r>
          <w:r>
            <w:instrText xml:space="preserve"> PAGEREF _Toc9898 \h </w:instrText>
          </w:r>
          <w:r>
            <w:fldChar w:fldCharType="separate"/>
          </w:r>
          <w:r>
            <w:t>33</w:t>
          </w:r>
          <w:r>
            <w:fldChar w:fldCharType="end"/>
          </w:r>
          <w:r>
            <w:fldChar w:fldCharType="end"/>
          </w:r>
        </w:p>
        <w:p w14:paraId="65A964EC">
          <w:pPr>
            <w:pStyle w:val="55"/>
            <w:tabs>
              <w:tab w:val="right" w:leader="dot" w:pos="8306"/>
            </w:tabs>
          </w:pPr>
          <w:r>
            <w:fldChar w:fldCharType="begin"/>
          </w:r>
          <w:r>
            <w:instrText xml:space="preserve"> HYPERLINK \l _Toc21631 </w:instrText>
          </w:r>
          <w:r>
            <w:fldChar w:fldCharType="separate"/>
          </w:r>
          <w:r>
            <w:rPr>
              <w:rFonts w:hint="eastAsia" w:ascii="仿宋" w:hAnsi="仿宋" w:eastAsia="仿宋"/>
              <w:bCs w:val="0"/>
            </w:rPr>
            <w:t>七、</w:t>
          </w:r>
          <w:r>
            <w:rPr>
              <w:rFonts w:hint="eastAsia" w:ascii="仿宋" w:hAnsi="仿宋" w:eastAsia="仿宋"/>
            </w:rPr>
            <w:t>一</w:t>
          </w:r>
          <w:r>
            <w:rPr>
              <w:rFonts w:hint="eastAsia" w:ascii="仿宋" w:hAnsi="仿宋" w:eastAsia="仿宋"/>
              <w:bCs w:val="0"/>
            </w:rPr>
            <w:t>般公共预算财政拨款支出决算明细表</w:t>
          </w:r>
          <w:r>
            <w:tab/>
          </w:r>
          <w:r>
            <w:fldChar w:fldCharType="begin"/>
          </w:r>
          <w:r>
            <w:instrText xml:space="preserve"> PAGEREF _Toc21631 \h </w:instrText>
          </w:r>
          <w:r>
            <w:fldChar w:fldCharType="separate"/>
          </w:r>
          <w:r>
            <w:t>33</w:t>
          </w:r>
          <w:r>
            <w:fldChar w:fldCharType="end"/>
          </w:r>
          <w:r>
            <w:fldChar w:fldCharType="end"/>
          </w:r>
        </w:p>
        <w:p w14:paraId="6923A94C">
          <w:pPr>
            <w:pStyle w:val="55"/>
            <w:tabs>
              <w:tab w:val="right" w:leader="dot" w:pos="8306"/>
            </w:tabs>
          </w:pPr>
          <w:r>
            <w:fldChar w:fldCharType="begin"/>
          </w:r>
          <w:r>
            <w:instrText xml:space="preserve"> HYPERLINK \l _Toc25665 </w:instrText>
          </w:r>
          <w:r>
            <w:fldChar w:fldCharType="separate"/>
          </w:r>
          <w:r>
            <w:rPr>
              <w:rFonts w:hint="eastAsia" w:ascii="仿宋" w:hAnsi="仿宋" w:eastAsia="仿宋"/>
              <w:bCs w:val="0"/>
            </w:rPr>
            <w:t>八、</w:t>
          </w:r>
          <w:r>
            <w:rPr>
              <w:rFonts w:hint="eastAsia" w:ascii="仿宋" w:hAnsi="仿宋" w:eastAsia="仿宋"/>
            </w:rPr>
            <w:t>一</w:t>
          </w:r>
          <w:r>
            <w:rPr>
              <w:rFonts w:hint="eastAsia" w:ascii="仿宋" w:hAnsi="仿宋" w:eastAsia="仿宋"/>
              <w:bCs w:val="0"/>
            </w:rPr>
            <w:t>般公共预算财政拨款基本支出决算表</w:t>
          </w:r>
          <w:r>
            <w:tab/>
          </w:r>
          <w:r>
            <w:fldChar w:fldCharType="begin"/>
          </w:r>
          <w:r>
            <w:instrText xml:space="preserve"> PAGEREF _Toc25665 \h </w:instrText>
          </w:r>
          <w:r>
            <w:fldChar w:fldCharType="separate"/>
          </w:r>
          <w:r>
            <w:t>33</w:t>
          </w:r>
          <w:r>
            <w:fldChar w:fldCharType="end"/>
          </w:r>
          <w:r>
            <w:fldChar w:fldCharType="end"/>
          </w:r>
        </w:p>
        <w:p w14:paraId="5EBA95CF">
          <w:pPr>
            <w:pStyle w:val="55"/>
            <w:tabs>
              <w:tab w:val="right" w:leader="dot" w:pos="8306"/>
            </w:tabs>
          </w:pPr>
          <w:r>
            <w:fldChar w:fldCharType="begin"/>
          </w:r>
          <w:r>
            <w:instrText xml:space="preserve"> HYPERLINK \l _Toc8877 </w:instrText>
          </w:r>
          <w:r>
            <w:fldChar w:fldCharType="separate"/>
          </w:r>
          <w:r>
            <w:rPr>
              <w:rFonts w:hint="eastAsia" w:ascii="仿宋" w:hAnsi="仿宋" w:eastAsia="仿宋"/>
              <w:bCs w:val="0"/>
            </w:rPr>
            <w:t>九、</w:t>
          </w:r>
          <w:r>
            <w:rPr>
              <w:rFonts w:hint="eastAsia" w:ascii="仿宋" w:hAnsi="仿宋" w:eastAsia="仿宋"/>
            </w:rPr>
            <w:t>一</w:t>
          </w:r>
          <w:r>
            <w:rPr>
              <w:rFonts w:hint="eastAsia" w:ascii="仿宋" w:hAnsi="仿宋" w:eastAsia="仿宋"/>
              <w:bCs w:val="0"/>
            </w:rPr>
            <w:t>般公共预算财政拨款项目支出决算表</w:t>
          </w:r>
          <w:r>
            <w:tab/>
          </w:r>
          <w:r>
            <w:fldChar w:fldCharType="begin"/>
          </w:r>
          <w:r>
            <w:instrText xml:space="preserve"> PAGEREF _Toc8877 \h </w:instrText>
          </w:r>
          <w:r>
            <w:fldChar w:fldCharType="separate"/>
          </w:r>
          <w:r>
            <w:t>33</w:t>
          </w:r>
          <w:r>
            <w:fldChar w:fldCharType="end"/>
          </w:r>
          <w:r>
            <w:fldChar w:fldCharType="end"/>
          </w:r>
        </w:p>
        <w:p w14:paraId="01CBA460">
          <w:pPr>
            <w:pStyle w:val="55"/>
            <w:tabs>
              <w:tab w:val="right" w:leader="dot" w:pos="8306"/>
            </w:tabs>
          </w:pPr>
          <w:r>
            <w:fldChar w:fldCharType="begin"/>
          </w:r>
          <w:r>
            <w:instrText xml:space="preserve"> HYPERLINK \l _Toc12804 </w:instrText>
          </w:r>
          <w:r>
            <w:fldChar w:fldCharType="separate"/>
          </w:r>
          <w:r>
            <w:rPr>
              <w:rFonts w:hint="eastAsia" w:ascii="仿宋" w:hAnsi="仿宋" w:eastAsia="仿宋"/>
              <w:bCs w:val="0"/>
            </w:rPr>
            <w:t>十、</w:t>
          </w:r>
          <w:r>
            <w:rPr>
              <w:rFonts w:hint="eastAsia" w:ascii="仿宋" w:hAnsi="仿宋" w:eastAsia="仿宋"/>
            </w:rPr>
            <w:t>政</w:t>
          </w:r>
          <w:r>
            <w:rPr>
              <w:rFonts w:hint="eastAsia" w:ascii="仿宋" w:hAnsi="仿宋" w:eastAsia="仿宋"/>
              <w:bCs w:val="0"/>
            </w:rPr>
            <w:t>府性基金预算财政拨款收入支出决算表</w:t>
          </w:r>
          <w:r>
            <w:tab/>
          </w:r>
          <w:r>
            <w:fldChar w:fldCharType="begin"/>
          </w:r>
          <w:r>
            <w:instrText xml:space="preserve"> PAGEREF _Toc12804 \h </w:instrText>
          </w:r>
          <w:r>
            <w:fldChar w:fldCharType="separate"/>
          </w:r>
          <w:r>
            <w:t>33</w:t>
          </w:r>
          <w:r>
            <w:fldChar w:fldCharType="end"/>
          </w:r>
          <w:r>
            <w:fldChar w:fldCharType="end"/>
          </w:r>
        </w:p>
        <w:p w14:paraId="1D0B7553">
          <w:pPr>
            <w:pStyle w:val="55"/>
            <w:tabs>
              <w:tab w:val="right" w:leader="dot" w:pos="8306"/>
            </w:tabs>
          </w:pPr>
          <w:r>
            <w:fldChar w:fldCharType="begin"/>
          </w:r>
          <w:r>
            <w:instrText xml:space="preserve"> HYPERLINK \l _Toc1462 </w:instrText>
          </w:r>
          <w:r>
            <w:fldChar w:fldCharType="separate"/>
          </w:r>
          <w:r>
            <w:rPr>
              <w:rFonts w:hint="eastAsia" w:ascii="仿宋" w:hAnsi="仿宋" w:eastAsia="仿宋"/>
              <w:bCs w:val="0"/>
            </w:rPr>
            <w:t>十一、</w:t>
          </w:r>
          <w:r>
            <w:rPr>
              <w:rFonts w:hint="eastAsia" w:ascii="仿宋" w:hAnsi="仿宋" w:eastAsia="仿宋"/>
            </w:rPr>
            <w:t>国</w:t>
          </w:r>
          <w:r>
            <w:rPr>
              <w:rFonts w:hint="eastAsia" w:ascii="仿宋" w:hAnsi="仿宋" w:eastAsia="仿宋"/>
              <w:bCs w:val="0"/>
            </w:rPr>
            <w:t>有资本经营预算财政拨款收入支出决算表</w:t>
          </w:r>
          <w:r>
            <w:tab/>
          </w:r>
          <w:r>
            <w:fldChar w:fldCharType="begin"/>
          </w:r>
          <w:r>
            <w:instrText xml:space="preserve"> PAGEREF _Toc1462 \h </w:instrText>
          </w:r>
          <w:r>
            <w:fldChar w:fldCharType="separate"/>
          </w:r>
          <w:r>
            <w:t>33</w:t>
          </w:r>
          <w:r>
            <w:fldChar w:fldCharType="end"/>
          </w:r>
          <w:r>
            <w:fldChar w:fldCharType="end"/>
          </w:r>
        </w:p>
        <w:p w14:paraId="08FD1660">
          <w:pPr>
            <w:pStyle w:val="55"/>
            <w:tabs>
              <w:tab w:val="right" w:leader="dot" w:pos="8306"/>
            </w:tabs>
          </w:pPr>
          <w:r>
            <w:fldChar w:fldCharType="begin"/>
          </w:r>
          <w:r>
            <w:instrText xml:space="preserve"> HYPERLINK \l _Toc22194 </w:instrText>
          </w:r>
          <w:r>
            <w:fldChar w:fldCharType="separate"/>
          </w:r>
          <w:r>
            <w:rPr>
              <w:rFonts w:hint="eastAsia" w:ascii="仿宋" w:hAnsi="仿宋" w:eastAsia="仿宋"/>
              <w:bCs w:val="0"/>
            </w:rPr>
            <w:t>十二、国有资本经营预算财政拨款支出决算表</w:t>
          </w:r>
          <w:r>
            <w:tab/>
          </w:r>
          <w:r>
            <w:fldChar w:fldCharType="begin"/>
          </w:r>
          <w:r>
            <w:instrText xml:space="preserve"> PAGEREF _Toc22194 \h </w:instrText>
          </w:r>
          <w:r>
            <w:fldChar w:fldCharType="separate"/>
          </w:r>
          <w:r>
            <w:t>33</w:t>
          </w:r>
          <w:r>
            <w:fldChar w:fldCharType="end"/>
          </w:r>
          <w:r>
            <w:fldChar w:fldCharType="end"/>
          </w:r>
        </w:p>
        <w:p w14:paraId="29A0BCBB">
          <w:pPr>
            <w:pStyle w:val="55"/>
            <w:tabs>
              <w:tab w:val="right" w:leader="dot" w:pos="8306"/>
            </w:tabs>
          </w:pPr>
          <w:r>
            <w:fldChar w:fldCharType="begin"/>
          </w:r>
          <w:r>
            <w:instrText xml:space="preserve"> HYPERLINK \l _Toc27138 </w:instrText>
          </w:r>
          <w:r>
            <w:fldChar w:fldCharType="separate"/>
          </w:r>
          <w:r>
            <w:rPr>
              <w:rFonts w:hint="eastAsia" w:ascii="仿宋" w:hAnsi="仿宋" w:eastAsia="仿宋"/>
              <w:bCs w:val="0"/>
            </w:rPr>
            <w:t>十三、财政拨款“三公”经费支出决算表</w:t>
          </w:r>
          <w:r>
            <w:tab/>
          </w:r>
          <w:r>
            <w:fldChar w:fldCharType="begin"/>
          </w:r>
          <w:r>
            <w:instrText xml:space="preserve"> PAGEREF _Toc27138 \h </w:instrText>
          </w:r>
          <w:r>
            <w:fldChar w:fldCharType="separate"/>
          </w:r>
          <w:r>
            <w:t>33</w:t>
          </w:r>
          <w:r>
            <w:fldChar w:fldCharType="end"/>
          </w:r>
          <w:r>
            <w:fldChar w:fldCharType="end"/>
          </w:r>
        </w:p>
        <w:p w14:paraId="01A8B2DD">
          <w:pPr>
            <w:pageBreakBefore w:val="0"/>
            <w:kinsoku/>
            <w:wordWrap/>
            <w:overflowPunct/>
            <w:topLinePunct w:val="0"/>
            <w:bidi w:val="0"/>
            <w:ind w:firstLine="422" w:firstLineChars="200"/>
            <w:textAlignment w:val="auto"/>
            <w:rPr>
              <w:rFonts w:ascii="Times New Roman" w:hAnsi="Times New Roman" w:eastAsia="宋体" w:cs="Times New Roman"/>
              <w:b/>
              <w:kern w:val="2"/>
              <w:sz w:val="21"/>
              <w:szCs w:val="24"/>
              <w:lang w:val="en-US" w:eastAsia="zh-CN" w:bidi="ar-SA"/>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b/>
            </w:rPr>
            <w:fldChar w:fldCharType="end"/>
          </w:r>
        </w:p>
      </w:sdtContent>
    </w:sdt>
    <w:p w14:paraId="480B6771">
      <w:pPr>
        <w:pStyle w:val="2"/>
      </w:pPr>
    </w:p>
    <w:p w14:paraId="5E39AB3D">
      <w:pPr>
        <w:pStyle w:val="3"/>
        <w:pageBreakBefore w:val="0"/>
        <w:kinsoku/>
        <w:wordWrap/>
        <w:overflowPunct/>
        <w:topLinePunct w:val="0"/>
        <w:bidi w:val="0"/>
        <w:ind w:firstLine="880" w:firstLineChars="200"/>
        <w:jc w:val="center"/>
        <w:textAlignment w:val="auto"/>
        <w:rPr>
          <w:rFonts w:ascii="黑体" w:hAnsi="黑体" w:eastAsia="黑体"/>
          <w:bCs w:val="0"/>
        </w:rPr>
      </w:pPr>
      <w:bookmarkStart w:id="14" w:name="_Toc15377196"/>
      <w:bookmarkStart w:id="15" w:name="_Toc29082"/>
      <w:bookmarkStart w:id="16" w:name="_Toc15396599"/>
      <w:r>
        <w:rPr>
          <w:rFonts w:hint="eastAsia" w:ascii="黑体" w:hAnsi="黑体" w:eastAsia="黑体"/>
          <w:b w:val="0"/>
        </w:rPr>
        <w:t xml:space="preserve">第一部分 </w:t>
      </w:r>
      <w:r>
        <w:rPr>
          <w:rStyle w:val="30"/>
          <w:rFonts w:hint="eastAsia" w:ascii="黑体" w:hAnsi="黑体" w:eastAsia="黑体"/>
          <w:b w:val="0"/>
          <w:bCs w:val="0"/>
        </w:rPr>
        <w:t>部门概况</w:t>
      </w:r>
      <w:bookmarkEnd w:id="14"/>
      <w:bookmarkEnd w:id="15"/>
      <w:bookmarkEnd w:id="16"/>
    </w:p>
    <w:p w14:paraId="4BD0F81F">
      <w:pPr>
        <w:pStyle w:val="4"/>
        <w:pageBreakBefore w:val="0"/>
        <w:numPr>
          <w:ilvl w:val="0"/>
          <w:numId w:val="0"/>
        </w:numPr>
        <w:kinsoku/>
        <w:wordWrap/>
        <w:overflowPunct/>
        <w:topLinePunct w:val="0"/>
        <w:bidi w:val="0"/>
        <w:ind w:firstLine="640" w:firstLineChars="200"/>
        <w:textAlignment w:val="auto"/>
        <w:rPr>
          <w:rFonts w:ascii="黑体" w:hAnsi="黑体" w:eastAsia="黑体"/>
          <w:b w:val="0"/>
        </w:rPr>
      </w:pPr>
      <w:bookmarkStart w:id="17" w:name="_Toc10941"/>
      <w:r>
        <w:rPr>
          <w:rFonts w:hint="eastAsia" w:ascii="黑体" w:hAnsi="黑体" w:eastAsia="黑体"/>
          <w:b w:val="0"/>
          <w:lang w:eastAsia="zh-CN"/>
        </w:rPr>
        <w:t>一、</w:t>
      </w:r>
      <w:r>
        <w:rPr>
          <w:rFonts w:hint="eastAsia" w:ascii="黑体" w:hAnsi="黑体" w:eastAsia="黑体"/>
          <w:b w:val="0"/>
        </w:rPr>
        <w:t>部门职责</w:t>
      </w:r>
      <w:bookmarkEnd w:id="17"/>
    </w:p>
    <w:p w14:paraId="09FBBCD0">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（1）贯彻执行国家有关种植业、畜牧业、渔业、农业机械化、农垦等农业领域工作的法律、法规、政策以及区委、区政府关于“三农”方面的决策部署，组织拟订全区“三农”有关政策。</w:t>
      </w:r>
    </w:p>
    <w:p w14:paraId="06586C8A">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（2）统筹实施乡村振兴战略，牵头组织改善全区农村人居环境。</w:t>
      </w:r>
    </w:p>
    <w:p w14:paraId="3EEFA4C6">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（3）负责农民承包地管理和改革有关工作。负责农村集体产权制度改革。</w:t>
      </w:r>
    </w:p>
    <w:p w14:paraId="14D703DB">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（4）指导全区乡村特色产业、农产品加工业（产地初加工）、休闲农业和乡村企业发展工作。负责农业信息体系建设，推动数字农业发展。</w:t>
      </w:r>
    </w:p>
    <w:p w14:paraId="4929EF63">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（5）负责全区种植业、畜牧业（草原牧业）、渔业、农垦、农业机械化等农业各产业的监督管理。</w:t>
      </w:r>
    </w:p>
    <w:p w14:paraId="0F52B544">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（6）负责制定全区农业全产业机械化、智能化、数字化发展规划并组织实施。指导设施农业、农机库棚、机电提灌、机耕道等基础设施建设。</w:t>
      </w:r>
    </w:p>
    <w:p w14:paraId="4AD4FB06">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(7)负责全区农产品质量安全监督管理。依法组织实施符合安全标准的农产品生产基地认定、产品认证、农产品地理标志登记保护和监督管理。</w:t>
      </w:r>
    </w:p>
    <w:p w14:paraId="49CF88A8">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(8)组织开展全区农业资源区划和资源保护工作。</w:t>
      </w:r>
    </w:p>
    <w:p w14:paraId="0FA36BE6">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(9)负责全区有关农业生产资料和农业投入品的监督管理。组织兽医医政、兽药（鱼药）药政药检工作，负责执业兽医和兽禽屠宰行业管理。</w:t>
      </w:r>
    </w:p>
    <w:p w14:paraId="57718EEB">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(10)负责全区农业防灾减灾、农作物重大病虫害防治工作。指导动植物防疫检疫体系建设，组织监督管理全区动植物防疫检疫工作，发布疫情并组织扑灭。组织植物检疫性有害生物普查。</w:t>
      </w:r>
    </w:p>
    <w:p w14:paraId="72025B17">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(11)负责全区农业投资管理。按规定权限审批农业投资项目，负责农业投资项目资金安排和监督管理。负责农业综合开发项目工作。</w:t>
      </w:r>
    </w:p>
    <w:p w14:paraId="5E00258E">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（12）负责全区农田建设管理、高标准农田建设和耕地质量管理。</w:t>
      </w:r>
    </w:p>
    <w:p w14:paraId="338421AA">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13）拟订全区农业科研、农技推广的规划、计划和有关政策并组织实施，牵头推动农业科技体制改革和农业科技创新体系建设。指导农业产业技术体系和农技推广体系建设，组织农作物、家禽、水产养殖等新品种育种公关和农业先进技术引进、实验、转化、示范、推广。</w:t>
      </w:r>
    </w:p>
    <w:p w14:paraId="5D12654B">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（14）指导全区农业农村人才工作。拟订农业农村人才队伍建设规划并组织实施，指导农业教育和农业职业技能开发，指导新型职业农民培育、农业科技人才培养和农村实用人才培训工作。</w:t>
      </w:r>
    </w:p>
    <w:p w14:paraId="4101A20A">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（15）牵头开展全区农业对外合作工作。组织开展农业贸易促进和交流合作。</w:t>
      </w:r>
    </w:p>
    <w:p w14:paraId="314726FE">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（16）负责全区农业领域行政执法工作。负责区本级涉农违法案件的办理。推进农业依法行政。</w:t>
      </w:r>
    </w:p>
    <w:p w14:paraId="3B059E08">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（17）依法依规负责农业安全生产和职业健康监督管理工作。</w:t>
      </w:r>
    </w:p>
    <w:p w14:paraId="1E5E99A2">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（18）组织拟订并监督实施公路、水路等行业发展战略、政策，会同有关部门组织编制综合运输体系规划。</w:t>
      </w:r>
    </w:p>
    <w:p w14:paraId="4703000F">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（19）负责本系统、本部门依法行政工作；指导公路、水路行业有关体制改革和机制转换工作；参与拟订物流业发展战略和规划。</w:t>
      </w:r>
    </w:p>
    <w:p w14:paraId="536876D6">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（20）指导城乡客运管理工作，指导出租车行业管理工作；会同有关部门制定运输价格。</w:t>
      </w:r>
    </w:p>
    <w:p w14:paraId="134E1292">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21）承担水上交通安全监管责任。配合协调水上交通管制、运输船舶及相关水上设施检验、登记和防治污染、救助打捞、通讯导航、危险品运输工作；指导水上交通安全事故、船舶及相关水上设施污染事故的应急处置，参与事故调查处理工作。</w:t>
      </w:r>
    </w:p>
    <w:p w14:paraId="0875ABA3">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（22）负责提出公路、水路固定资产投资规模、方向和区财政资金安排建议，按照程序报批国家、省、市、区规划内和年度计划规模内固定资产投资项目。</w:t>
      </w:r>
    </w:p>
    <w:p w14:paraId="43057B5F">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23）承担公路、水路建设市场监管责任。组织协调公路、水路有关重点工程建设，负责工程质量、安全生产监督管理工作；负责对交通行业和产业项目的招投标活动进行监督、指导；指导交通运输基础设施管理和维护，承担有关重要设施的管理和维护。</w:t>
      </w:r>
    </w:p>
    <w:p w14:paraId="3DACC663">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（24）指导农村公路养管理、交通工程建设、农村客运、水上交通灯方面安全生产和应急管理工作。负责全区干线路网运行监测和协调；组织协调地方交通战备工作，承担国防动员有关工作。</w:t>
      </w:r>
    </w:p>
    <w:p w14:paraId="1CCCD906">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（25）承担交通运输科技项目开发和研究的组织实施工作，负责交通运输科研成果的推广、应用工作。指导全区交通运输信息化建设，监测分析运行情况，开展相关统计工作，发布有关信息。</w:t>
      </w:r>
    </w:p>
    <w:p w14:paraId="471E94C3">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（26）负责职责范围内的安全生产、职业健康、生态环境保护、审批服务便民化等工作。</w:t>
      </w:r>
    </w:p>
    <w:p w14:paraId="5EE7F3D3">
      <w:pPr>
        <w:pageBreakBefore w:val="0"/>
        <w:kinsoku/>
        <w:wordWrap/>
        <w:overflowPunct/>
        <w:topLinePunct w:val="0"/>
        <w:bidi w:val="0"/>
        <w:spacing w:line="560" w:lineRule="exact"/>
        <w:ind w:left="284"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（27）完成区委、区政府交办的其他任务。</w:t>
      </w:r>
    </w:p>
    <w:p w14:paraId="58A29287">
      <w:pPr>
        <w:pStyle w:val="4"/>
        <w:pageBreakBefore w:val="0"/>
        <w:kinsoku/>
        <w:wordWrap/>
        <w:overflowPunct/>
        <w:topLinePunct w:val="0"/>
        <w:bidi w:val="0"/>
        <w:ind w:firstLine="640" w:firstLineChars="200"/>
        <w:textAlignment w:val="auto"/>
        <w:rPr>
          <w:rStyle w:val="31"/>
          <w:b w:val="0"/>
          <w:bCs w:val="0"/>
        </w:rPr>
      </w:pPr>
      <w:bookmarkStart w:id="18" w:name="_Toc5696"/>
      <w:bookmarkStart w:id="19" w:name="_Toc15377200"/>
      <w:bookmarkStart w:id="20" w:name="_Toc15396601"/>
      <w:r>
        <w:rPr>
          <w:rFonts w:hint="eastAsia" w:ascii="黑体" w:eastAsia="黑体"/>
          <w:b w:val="0"/>
        </w:rPr>
        <w:t>二、</w:t>
      </w:r>
      <w:r>
        <w:rPr>
          <w:rFonts w:hint="eastAsia" w:ascii="黑体" w:hAnsi="黑体" w:eastAsia="黑体"/>
          <w:b w:val="0"/>
        </w:rPr>
        <w:t>机</w:t>
      </w:r>
      <w:r>
        <w:rPr>
          <w:rStyle w:val="31"/>
          <w:rFonts w:hint="eastAsia" w:ascii="黑体" w:hAnsi="黑体" w:eastAsia="黑体"/>
          <w:b w:val="0"/>
          <w:bCs w:val="0"/>
        </w:rPr>
        <w:t>构设置</w:t>
      </w:r>
      <w:bookmarkEnd w:id="18"/>
      <w:bookmarkEnd w:id="19"/>
      <w:bookmarkEnd w:id="20"/>
    </w:p>
    <w:p w14:paraId="0AF2FAD9">
      <w:pPr>
        <w:pageBreakBefore w:val="0"/>
        <w:kinsoku/>
        <w:wordWrap/>
        <w:overflowPunct/>
        <w:topLinePunct w:val="0"/>
        <w:bidi w:val="0"/>
        <w:ind w:firstLine="640" w:firstLineChars="200"/>
        <w:textAlignment w:val="auto"/>
        <w:rPr>
          <w:rFonts w:ascii="仿宋" w:hAnsi="仿宋" w:eastAsia="仿宋"/>
          <w:sz w:val="32"/>
          <w:szCs w:val="32"/>
        </w:rPr>
      </w:pPr>
      <w:r>
        <w:rPr>
          <w:rFonts w:ascii="仿宋" w:hAnsi="仿宋" w:eastAsia="仿宋"/>
          <w:sz w:val="32"/>
          <w:szCs w:val="32"/>
        </w:rPr>
        <w:t>攀枝花市西区交通运输局</w:t>
      </w:r>
      <w:r>
        <w:rPr>
          <w:rFonts w:hint="eastAsia" w:ascii="仿宋" w:hAnsi="仿宋" w:eastAsia="仿宋"/>
          <w:sz w:val="32"/>
          <w:szCs w:val="32"/>
        </w:rPr>
        <w:t>下属二级预算单位1个，其中行政单位0个，参照公务员法管理的事业单位0个，其他事业单位1个。</w:t>
      </w:r>
    </w:p>
    <w:p w14:paraId="3BFF5890">
      <w:pPr>
        <w:pStyle w:val="2"/>
        <w:pageBreakBefore w:val="0"/>
        <w:kinsoku/>
        <w:wordWrap/>
        <w:overflowPunct/>
        <w:topLinePunct w:val="0"/>
        <w:bidi w:val="0"/>
        <w:adjustRightInd w:val="0"/>
        <w:snapToGrid w:val="0"/>
        <w:spacing w:before="93" w:line="600" w:lineRule="exact"/>
        <w:ind w:firstLine="640" w:firstLineChars="200"/>
        <w:textAlignment w:val="auto"/>
        <w:rPr>
          <w:rFonts w:ascii="仿宋" w:hAnsi="仿宋" w:eastAsia="仿宋"/>
          <w:sz w:val="32"/>
          <w:szCs w:val="32"/>
        </w:rPr>
      </w:pPr>
      <w:r>
        <w:rPr>
          <w:rFonts w:hint="eastAsia" w:ascii="仿宋" w:hAnsi="仿宋" w:eastAsia="仿宋"/>
          <w:sz w:val="32"/>
          <w:szCs w:val="32"/>
        </w:rPr>
        <w:t>纳入</w:t>
      </w:r>
      <w:r>
        <w:rPr>
          <w:rFonts w:ascii="仿宋" w:hAnsi="仿宋" w:eastAsia="仿宋"/>
          <w:sz w:val="32"/>
          <w:szCs w:val="32"/>
        </w:rPr>
        <w:t>攀枝花市西区农业农村和交通运输局</w:t>
      </w:r>
      <w:r>
        <w:rPr>
          <w:rFonts w:hint="eastAsia" w:ascii="仿宋" w:hAnsi="仿宋" w:eastAsia="仿宋"/>
          <w:sz w:val="32"/>
          <w:szCs w:val="32"/>
        </w:rPr>
        <w:t>2022年度部门决算编制范围的二级预算单位包括：</w:t>
      </w:r>
    </w:p>
    <w:p w14:paraId="563DF015">
      <w:pPr>
        <w:pStyle w:val="2"/>
        <w:pageBreakBefore w:val="0"/>
        <w:numPr>
          <w:ilvl w:val="0"/>
          <w:numId w:val="0"/>
        </w:numPr>
        <w:kinsoku/>
        <w:wordWrap/>
        <w:overflowPunct/>
        <w:topLinePunct w:val="0"/>
        <w:bidi w:val="0"/>
        <w:adjustRightInd w:val="0"/>
        <w:snapToGrid w:val="0"/>
        <w:spacing w:before="93" w:line="600" w:lineRule="exact"/>
        <w:ind w:leftChars="200"/>
        <w:textAlignment w:val="auto"/>
        <w:outlineLvl w:val="2"/>
        <w:rPr>
          <w:rFonts w:ascii="仿宋" w:hAnsi="仿宋" w:eastAsia="仿宋"/>
          <w:sz w:val="32"/>
          <w:szCs w:val="32"/>
        </w:rPr>
      </w:pPr>
      <w:bookmarkStart w:id="21" w:name="_Toc15377201"/>
      <w:bookmarkStart w:id="22" w:name="_Toc15378448"/>
      <w:bookmarkStart w:id="23" w:name="_Toc15377432"/>
      <w:bookmarkStart w:id="24" w:name="_Toc15306275"/>
      <w:r>
        <w:rPr>
          <w:rFonts w:hint="eastAsia" w:ascii="仿宋" w:hAnsi="仿宋" w:eastAsia="仿宋"/>
          <w:sz w:val="32"/>
          <w:szCs w:val="32"/>
          <w:lang w:val="en-US" w:eastAsia="zh-CN"/>
        </w:rPr>
        <w:t>1.</w:t>
      </w:r>
      <w:r>
        <w:rPr>
          <w:rFonts w:ascii="仿宋" w:hAnsi="仿宋" w:eastAsia="仿宋"/>
          <w:sz w:val="32"/>
          <w:szCs w:val="32"/>
        </w:rPr>
        <w:t>攀枝花市西区动物疫病预防控制中心</w:t>
      </w:r>
      <w:bookmarkEnd w:id="21"/>
      <w:bookmarkEnd w:id="22"/>
      <w:bookmarkEnd w:id="23"/>
      <w:bookmarkEnd w:id="24"/>
    </w:p>
    <w:p w14:paraId="5EB9CF77">
      <w:pPr>
        <w:pageBreakBefore w:val="0"/>
        <w:widowControl/>
        <w:kinsoku/>
        <w:wordWrap/>
        <w:overflowPunct/>
        <w:topLinePunct w:val="0"/>
        <w:bidi w:val="0"/>
        <w:ind w:firstLine="640" w:firstLineChars="200"/>
        <w:jc w:val="left"/>
        <w:textAlignment w:val="auto"/>
        <w:rPr>
          <w:rFonts w:ascii="仿宋" w:hAnsi="仿宋" w:eastAsia="仿宋"/>
          <w:kern w:val="0"/>
          <w:sz w:val="32"/>
          <w:szCs w:val="32"/>
        </w:rPr>
      </w:pPr>
      <w:r>
        <w:rPr>
          <w:rFonts w:ascii="仿宋" w:hAnsi="仿宋" w:eastAsia="仿宋"/>
          <w:sz w:val="32"/>
          <w:szCs w:val="32"/>
        </w:rPr>
        <w:br w:type="page"/>
      </w:r>
    </w:p>
    <w:p w14:paraId="53D35120">
      <w:pPr>
        <w:pStyle w:val="3"/>
        <w:pageBreakBefore w:val="0"/>
        <w:kinsoku/>
        <w:wordWrap/>
        <w:overflowPunct/>
        <w:topLinePunct w:val="0"/>
        <w:bidi w:val="0"/>
        <w:ind w:right="440"/>
        <w:jc w:val="center"/>
        <w:textAlignment w:val="auto"/>
        <w:rPr>
          <w:rStyle w:val="30"/>
          <w:rFonts w:ascii="黑体" w:hAnsi="黑体" w:eastAsia="黑体"/>
          <w:b w:val="0"/>
          <w:bCs/>
        </w:rPr>
      </w:pPr>
      <w:bookmarkStart w:id="25" w:name="_Toc15396602"/>
      <w:bookmarkStart w:id="26" w:name="_Toc15377204"/>
      <w:bookmarkStart w:id="27" w:name="_Toc24804"/>
      <w:r>
        <w:rPr>
          <w:rFonts w:hint="eastAsia" w:ascii="黑体" w:hAnsi="黑体" w:eastAsia="黑体"/>
          <w:b w:val="0"/>
        </w:rPr>
        <w:t>第二部分 2022年度</w:t>
      </w:r>
      <w:r>
        <w:rPr>
          <w:rStyle w:val="30"/>
          <w:rFonts w:hint="eastAsia" w:ascii="黑体" w:hAnsi="黑体" w:eastAsia="黑体"/>
          <w:b w:val="0"/>
          <w:bCs/>
        </w:rPr>
        <w:t>部门决算情况说明</w:t>
      </w:r>
      <w:bookmarkEnd w:id="25"/>
      <w:bookmarkEnd w:id="26"/>
      <w:bookmarkEnd w:id="27"/>
    </w:p>
    <w:p w14:paraId="79971B12">
      <w:pPr>
        <w:pageBreakBefore w:val="0"/>
        <w:kinsoku/>
        <w:wordWrap/>
        <w:overflowPunct/>
        <w:topLinePunct w:val="0"/>
        <w:bidi w:val="0"/>
        <w:ind w:firstLine="420" w:firstLineChars="200"/>
        <w:textAlignment w:val="auto"/>
      </w:pPr>
    </w:p>
    <w:p w14:paraId="541FC3D1">
      <w:pPr>
        <w:pStyle w:val="29"/>
        <w:pageBreakBefore w:val="0"/>
        <w:numPr>
          <w:ilvl w:val="0"/>
          <w:numId w:val="0"/>
        </w:numPr>
        <w:kinsoku/>
        <w:wordWrap/>
        <w:overflowPunct/>
        <w:topLinePunct w:val="0"/>
        <w:bidi w:val="0"/>
        <w:spacing w:line="600" w:lineRule="exact"/>
        <w:ind w:firstLine="640" w:firstLineChars="200"/>
        <w:textAlignment w:val="auto"/>
        <w:outlineLvl w:val="1"/>
        <w:rPr>
          <w:rStyle w:val="31"/>
          <w:rFonts w:ascii="黑体" w:hAnsi="黑体" w:eastAsia="黑体"/>
          <w:b w:val="0"/>
        </w:rPr>
      </w:pPr>
      <w:bookmarkStart w:id="28" w:name="_Toc9121"/>
      <w:bookmarkStart w:id="29" w:name="_Toc15377205"/>
      <w:bookmarkStart w:id="30" w:name="_Toc15396603"/>
      <w:r>
        <w:rPr>
          <w:rFonts w:hint="eastAsia" w:ascii="黑体" w:hAnsi="黑体" w:eastAsia="黑体"/>
          <w:sz w:val="32"/>
          <w:szCs w:val="32"/>
          <w:lang w:eastAsia="zh-CN"/>
        </w:rPr>
        <w:t>一、</w:t>
      </w:r>
      <w:r>
        <w:rPr>
          <w:rFonts w:hint="eastAsia" w:ascii="黑体" w:hAnsi="黑体" w:eastAsia="黑体"/>
          <w:sz w:val="32"/>
          <w:szCs w:val="32"/>
        </w:rPr>
        <w:t>收</w:t>
      </w:r>
      <w:r>
        <w:rPr>
          <w:rStyle w:val="31"/>
          <w:rFonts w:hint="eastAsia" w:ascii="黑体" w:hAnsi="黑体" w:eastAsia="黑体"/>
          <w:b w:val="0"/>
        </w:rPr>
        <w:t>入支出决算总体情况说明</w:t>
      </w:r>
      <w:bookmarkEnd w:id="28"/>
      <w:bookmarkEnd w:id="29"/>
      <w:bookmarkEnd w:id="30"/>
    </w:p>
    <w:p w14:paraId="329239F7">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2022年度收、支总计1598.57万元。与2021年相比，收、支总计各减少2557.58万元，下降62.4</w:t>
      </w:r>
      <w:r>
        <w:rPr>
          <w:rFonts w:ascii="仿宋" w:hAnsi="仿宋" w:eastAsia="仿宋"/>
          <w:sz w:val="32"/>
          <w:szCs w:val="32"/>
        </w:rPr>
        <w:t>%</w:t>
      </w:r>
      <w:r>
        <w:rPr>
          <w:rFonts w:hint="eastAsia" w:ascii="仿宋" w:hAnsi="仿宋" w:eastAsia="仿宋"/>
          <w:sz w:val="32"/>
          <w:szCs w:val="32"/>
        </w:rPr>
        <w:t>。主要变动原因是农业、交通专项大额资金减少。</w:t>
      </w:r>
    </w:p>
    <w:p w14:paraId="0ED56BCA">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14:paraId="3FCA5E6E">
      <w:pPr>
        <w:pStyle w:val="2"/>
        <w:pageBreakBefore w:val="0"/>
        <w:kinsoku/>
        <w:wordWrap/>
        <w:overflowPunct/>
        <w:topLinePunct w:val="0"/>
        <w:bidi w:val="0"/>
        <w:spacing w:before="93"/>
        <w:ind w:firstLine="600" w:firstLineChars="200"/>
        <w:textAlignment w:val="auto"/>
      </w:pPr>
      <w:r>
        <w:drawing>
          <wp:inline distT="0" distB="0" distL="0" distR="0">
            <wp:extent cx="3419475" cy="1771650"/>
            <wp:effectExtent l="19050" t="0" r="9525"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0514104">
      <w:pPr>
        <w:pStyle w:val="29"/>
        <w:pageBreakBefore w:val="0"/>
        <w:numPr>
          <w:ilvl w:val="0"/>
          <w:numId w:val="0"/>
        </w:numPr>
        <w:kinsoku/>
        <w:wordWrap/>
        <w:overflowPunct/>
        <w:topLinePunct w:val="0"/>
        <w:bidi w:val="0"/>
        <w:spacing w:line="600" w:lineRule="exact"/>
        <w:ind w:firstLine="640" w:firstLineChars="200"/>
        <w:textAlignment w:val="auto"/>
        <w:outlineLvl w:val="1"/>
        <w:rPr>
          <w:rStyle w:val="31"/>
          <w:rFonts w:ascii="黑体" w:hAnsi="黑体" w:eastAsia="黑体"/>
          <w:b w:val="0"/>
        </w:rPr>
      </w:pPr>
      <w:bookmarkStart w:id="31" w:name="_Toc15396604"/>
      <w:bookmarkStart w:id="32" w:name="_Toc21724"/>
      <w:bookmarkStart w:id="33" w:name="_Toc15377206"/>
      <w:r>
        <w:rPr>
          <w:rFonts w:hint="eastAsia" w:ascii="黑体" w:hAnsi="黑体" w:eastAsia="黑体"/>
          <w:sz w:val="32"/>
          <w:szCs w:val="32"/>
          <w:lang w:eastAsia="zh-CN"/>
        </w:rPr>
        <w:t>二、</w:t>
      </w:r>
      <w:r>
        <w:rPr>
          <w:rFonts w:hint="eastAsia" w:ascii="黑体" w:hAnsi="黑体" w:eastAsia="黑体"/>
          <w:sz w:val="32"/>
          <w:szCs w:val="32"/>
        </w:rPr>
        <w:t>收</w:t>
      </w:r>
      <w:r>
        <w:rPr>
          <w:rStyle w:val="31"/>
          <w:rFonts w:hint="eastAsia" w:ascii="黑体" w:hAnsi="黑体" w:eastAsia="黑体"/>
          <w:b w:val="0"/>
        </w:rPr>
        <w:t>入决算情况说明</w:t>
      </w:r>
      <w:bookmarkEnd w:id="31"/>
      <w:bookmarkEnd w:id="32"/>
      <w:bookmarkEnd w:id="33"/>
    </w:p>
    <w:p w14:paraId="60D393EE">
      <w:pPr>
        <w:pageBreakBefore w:val="0"/>
        <w:kinsoku/>
        <w:wordWrap/>
        <w:overflowPunct/>
        <w:topLinePunct w:val="0"/>
        <w:bidi w:val="0"/>
        <w:spacing w:line="600" w:lineRule="exact"/>
        <w:ind w:firstLine="640" w:firstLineChars="200"/>
        <w:textAlignment w:val="auto"/>
        <w:outlineLvl w:val="1"/>
        <w:rPr>
          <w:rFonts w:ascii="仿宋" w:hAnsi="仿宋" w:eastAsia="仿宋"/>
          <w:sz w:val="32"/>
          <w:szCs w:val="32"/>
        </w:rPr>
      </w:pPr>
      <w:bookmarkStart w:id="34" w:name="_Toc28803"/>
      <w:r>
        <w:rPr>
          <w:rFonts w:ascii="仿宋" w:hAnsi="仿宋" w:eastAsia="仿宋"/>
          <w:sz w:val="32"/>
          <w:szCs w:val="32"/>
        </w:rPr>
        <w:t>20</w:t>
      </w:r>
      <w:r>
        <w:rPr>
          <w:rFonts w:hint="eastAsia" w:ascii="仿宋" w:hAnsi="仿宋" w:eastAsia="仿宋"/>
          <w:sz w:val="32"/>
          <w:szCs w:val="32"/>
        </w:rPr>
        <w:t>22年本年收入合计1226.83万元，其中：一般公共预算财政拨款收入1186.43万元，占96.7</w:t>
      </w:r>
      <w:r>
        <w:rPr>
          <w:rFonts w:ascii="仿宋" w:hAnsi="仿宋" w:eastAsia="仿宋"/>
          <w:sz w:val="32"/>
          <w:szCs w:val="32"/>
        </w:rPr>
        <w:t>%</w:t>
      </w:r>
      <w:r>
        <w:rPr>
          <w:rFonts w:hint="eastAsia" w:ascii="仿宋" w:hAnsi="仿宋" w:eastAsia="仿宋"/>
          <w:sz w:val="32"/>
          <w:szCs w:val="32"/>
        </w:rPr>
        <w:t>；政府性基金预算财政拨款收入40.4万元，占3.3</w:t>
      </w:r>
      <w:r>
        <w:rPr>
          <w:rFonts w:ascii="仿宋" w:hAnsi="仿宋" w:eastAsia="仿宋"/>
          <w:sz w:val="32"/>
          <w:szCs w:val="32"/>
        </w:rPr>
        <w:t>%</w:t>
      </w:r>
      <w:r>
        <w:rPr>
          <w:rFonts w:hint="eastAsia" w:ascii="仿宋" w:hAnsi="仿宋" w:eastAsia="仿宋"/>
          <w:sz w:val="32"/>
          <w:szCs w:val="32"/>
        </w:rPr>
        <w:t>；国有资本经营预算财政拨款收入0万元，占0</w:t>
      </w:r>
      <w:r>
        <w:rPr>
          <w:rFonts w:ascii="仿宋" w:hAnsi="仿宋" w:eastAsia="仿宋"/>
          <w:sz w:val="32"/>
          <w:szCs w:val="32"/>
        </w:rPr>
        <w:t>%</w:t>
      </w:r>
      <w:r>
        <w:rPr>
          <w:rFonts w:hint="eastAsia" w:ascii="仿宋" w:hAnsi="仿宋" w:eastAsia="仿宋"/>
          <w:sz w:val="32"/>
          <w:szCs w:val="32"/>
        </w:rPr>
        <w:t>；上级补助收入0万元，占0</w:t>
      </w:r>
      <w:r>
        <w:rPr>
          <w:rFonts w:ascii="仿宋" w:hAnsi="仿宋" w:eastAsia="仿宋"/>
          <w:sz w:val="32"/>
          <w:szCs w:val="32"/>
        </w:rPr>
        <w:t>%</w:t>
      </w:r>
      <w:r>
        <w:rPr>
          <w:rFonts w:hint="eastAsia" w:ascii="仿宋" w:hAnsi="仿宋" w:eastAsia="仿宋"/>
          <w:sz w:val="32"/>
          <w:szCs w:val="32"/>
        </w:rPr>
        <w:t>；事业收入0万元，占0</w:t>
      </w:r>
      <w:r>
        <w:rPr>
          <w:rFonts w:ascii="仿宋" w:hAnsi="仿宋" w:eastAsia="仿宋"/>
          <w:sz w:val="32"/>
          <w:szCs w:val="32"/>
        </w:rPr>
        <w:t>%</w:t>
      </w:r>
      <w:r>
        <w:rPr>
          <w:rFonts w:hint="eastAsia" w:ascii="仿宋" w:hAnsi="仿宋" w:eastAsia="仿宋"/>
          <w:sz w:val="32"/>
          <w:szCs w:val="32"/>
        </w:rPr>
        <w:t>；经营收入0万元，占0</w:t>
      </w:r>
      <w:r>
        <w:rPr>
          <w:rFonts w:ascii="仿宋" w:hAnsi="仿宋" w:eastAsia="仿宋"/>
          <w:sz w:val="32"/>
          <w:szCs w:val="32"/>
        </w:rPr>
        <w:t>%</w:t>
      </w:r>
      <w:r>
        <w:rPr>
          <w:rFonts w:hint="eastAsia" w:ascii="仿宋" w:hAnsi="仿宋" w:eastAsia="仿宋"/>
          <w:sz w:val="32"/>
          <w:szCs w:val="32"/>
        </w:rPr>
        <w:t>；附属单位上缴收入0万元，占0</w:t>
      </w:r>
      <w:r>
        <w:rPr>
          <w:rFonts w:ascii="仿宋" w:hAnsi="仿宋" w:eastAsia="仿宋"/>
          <w:sz w:val="32"/>
          <w:szCs w:val="32"/>
        </w:rPr>
        <w:t>%</w:t>
      </w:r>
      <w:r>
        <w:rPr>
          <w:rFonts w:hint="eastAsia" w:ascii="仿宋" w:hAnsi="仿宋" w:eastAsia="仿宋"/>
          <w:sz w:val="32"/>
          <w:szCs w:val="32"/>
        </w:rPr>
        <w:t>；其他收入0万元，占0</w:t>
      </w:r>
      <w:r>
        <w:rPr>
          <w:rFonts w:ascii="仿宋" w:hAnsi="仿宋" w:eastAsia="仿宋"/>
          <w:sz w:val="32"/>
          <w:szCs w:val="32"/>
        </w:rPr>
        <w:t>%</w:t>
      </w:r>
      <w:r>
        <w:rPr>
          <w:rFonts w:hint="eastAsia" w:ascii="仿宋" w:hAnsi="仿宋" w:eastAsia="仿宋"/>
          <w:sz w:val="32"/>
          <w:szCs w:val="32"/>
        </w:rPr>
        <w:t>。</w:t>
      </w:r>
      <w:bookmarkEnd w:id="34"/>
    </w:p>
    <w:p w14:paraId="69D537B3">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（图2：收入决算结构图）（饼状图）</w:t>
      </w:r>
    </w:p>
    <w:p w14:paraId="6097E4D2">
      <w:pPr>
        <w:pStyle w:val="2"/>
        <w:pageBreakBefore w:val="0"/>
        <w:kinsoku/>
        <w:wordWrap/>
        <w:overflowPunct/>
        <w:topLinePunct w:val="0"/>
        <w:bidi w:val="0"/>
        <w:spacing w:before="93"/>
        <w:ind w:firstLine="600" w:firstLineChars="200"/>
        <w:textAlignment w:val="auto"/>
      </w:pPr>
      <w:r>
        <w:drawing>
          <wp:inline distT="0" distB="0" distL="0" distR="0">
            <wp:extent cx="3019425" cy="1866265"/>
            <wp:effectExtent l="19050" t="0" r="9525" b="1"/>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0D73B9D">
      <w:pPr>
        <w:pStyle w:val="29"/>
        <w:pageBreakBefore w:val="0"/>
        <w:numPr>
          <w:ilvl w:val="0"/>
          <w:numId w:val="0"/>
        </w:numPr>
        <w:kinsoku/>
        <w:wordWrap/>
        <w:overflowPunct/>
        <w:topLinePunct w:val="0"/>
        <w:bidi w:val="0"/>
        <w:spacing w:line="600" w:lineRule="exact"/>
        <w:ind w:firstLine="640" w:firstLineChars="200"/>
        <w:textAlignment w:val="auto"/>
        <w:outlineLvl w:val="1"/>
        <w:rPr>
          <w:rStyle w:val="31"/>
          <w:rFonts w:ascii="黑体" w:hAnsi="黑体" w:eastAsia="黑体"/>
          <w:b w:val="0"/>
        </w:rPr>
      </w:pPr>
      <w:bookmarkStart w:id="35" w:name="_Toc15377207"/>
      <w:bookmarkStart w:id="36" w:name="_Toc15396605"/>
      <w:bookmarkStart w:id="37" w:name="_Toc31867"/>
      <w:r>
        <w:rPr>
          <w:rFonts w:hint="eastAsia" w:ascii="黑体" w:hAnsi="黑体" w:eastAsia="黑体"/>
          <w:sz w:val="32"/>
          <w:szCs w:val="32"/>
          <w:lang w:eastAsia="zh-CN"/>
        </w:rPr>
        <w:t>三、</w:t>
      </w:r>
      <w:r>
        <w:rPr>
          <w:rFonts w:hint="eastAsia" w:ascii="黑体" w:hAnsi="黑体" w:eastAsia="黑体"/>
          <w:sz w:val="32"/>
          <w:szCs w:val="32"/>
        </w:rPr>
        <w:t>支</w:t>
      </w:r>
      <w:r>
        <w:rPr>
          <w:rStyle w:val="31"/>
          <w:rFonts w:hint="eastAsia" w:ascii="黑体" w:hAnsi="黑体" w:eastAsia="黑体"/>
          <w:b w:val="0"/>
        </w:rPr>
        <w:t>出决算情况说明</w:t>
      </w:r>
      <w:bookmarkEnd w:id="35"/>
      <w:bookmarkEnd w:id="36"/>
      <w:bookmarkEnd w:id="37"/>
    </w:p>
    <w:p w14:paraId="786D45FE">
      <w:pPr>
        <w:pageBreakBefore w:val="0"/>
        <w:kinsoku/>
        <w:wordWrap/>
        <w:overflowPunct/>
        <w:topLinePunct w:val="0"/>
        <w:bidi w:val="0"/>
        <w:spacing w:line="600" w:lineRule="exact"/>
        <w:ind w:firstLine="640" w:firstLineChars="200"/>
        <w:textAlignment w:val="auto"/>
        <w:outlineLvl w:val="1"/>
        <w:rPr>
          <w:rFonts w:ascii="仿宋" w:hAnsi="仿宋" w:eastAsia="仿宋"/>
          <w:sz w:val="32"/>
          <w:szCs w:val="32"/>
        </w:rPr>
      </w:pPr>
      <w:bookmarkStart w:id="38" w:name="_Toc13565"/>
      <w:r>
        <w:rPr>
          <w:rFonts w:ascii="仿宋" w:hAnsi="仿宋" w:eastAsia="仿宋"/>
          <w:sz w:val="32"/>
          <w:szCs w:val="32"/>
        </w:rPr>
        <w:t>20</w:t>
      </w:r>
      <w:r>
        <w:rPr>
          <w:rFonts w:hint="eastAsia" w:ascii="仿宋" w:hAnsi="仿宋" w:eastAsia="仿宋"/>
          <w:sz w:val="32"/>
          <w:szCs w:val="32"/>
        </w:rPr>
        <w:t>22年本年支出合计1542.94万元，其中：基本支出584.34万元，占37.87</w:t>
      </w:r>
      <w:r>
        <w:rPr>
          <w:rFonts w:ascii="仿宋" w:hAnsi="仿宋" w:eastAsia="仿宋"/>
          <w:sz w:val="32"/>
          <w:szCs w:val="32"/>
        </w:rPr>
        <w:t>%</w:t>
      </w:r>
      <w:r>
        <w:rPr>
          <w:rFonts w:hint="eastAsia" w:ascii="仿宋" w:hAnsi="仿宋" w:eastAsia="仿宋"/>
          <w:sz w:val="32"/>
          <w:szCs w:val="32"/>
        </w:rPr>
        <w:t>；项目支出958.6万元，占62.13</w:t>
      </w:r>
      <w:r>
        <w:rPr>
          <w:rFonts w:ascii="仿宋" w:hAnsi="仿宋" w:eastAsia="仿宋"/>
          <w:sz w:val="32"/>
          <w:szCs w:val="32"/>
        </w:rPr>
        <w:t>%</w:t>
      </w:r>
      <w:r>
        <w:rPr>
          <w:rFonts w:hint="eastAsia" w:ascii="仿宋" w:hAnsi="仿宋" w:eastAsia="仿宋"/>
          <w:sz w:val="32"/>
          <w:szCs w:val="32"/>
        </w:rPr>
        <w:t>；上缴上级支出0万元，占0</w:t>
      </w:r>
      <w:r>
        <w:rPr>
          <w:rFonts w:ascii="仿宋" w:hAnsi="仿宋" w:eastAsia="仿宋"/>
          <w:sz w:val="32"/>
          <w:szCs w:val="32"/>
        </w:rPr>
        <w:t>%</w:t>
      </w:r>
      <w:r>
        <w:rPr>
          <w:rFonts w:hint="eastAsia" w:ascii="仿宋" w:hAnsi="仿宋" w:eastAsia="仿宋"/>
          <w:sz w:val="32"/>
          <w:szCs w:val="32"/>
        </w:rPr>
        <w:t>；经营支出0万元，占0</w:t>
      </w:r>
      <w:r>
        <w:rPr>
          <w:rFonts w:ascii="仿宋" w:hAnsi="仿宋" w:eastAsia="仿宋"/>
          <w:sz w:val="32"/>
          <w:szCs w:val="32"/>
        </w:rPr>
        <w:t>%</w:t>
      </w:r>
      <w:r>
        <w:rPr>
          <w:rFonts w:hint="eastAsia" w:ascii="仿宋" w:hAnsi="仿宋" w:eastAsia="仿宋"/>
          <w:sz w:val="32"/>
          <w:szCs w:val="32"/>
        </w:rPr>
        <w:t>；对附属单位补助支出0元，占0</w:t>
      </w:r>
      <w:r>
        <w:rPr>
          <w:rFonts w:ascii="仿宋" w:hAnsi="仿宋" w:eastAsia="仿宋"/>
          <w:sz w:val="32"/>
          <w:szCs w:val="32"/>
        </w:rPr>
        <w:t>%</w:t>
      </w:r>
      <w:r>
        <w:rPr>
          <w:rFonts w:hint="eastAsia" w:ascii="仿宋" w:hAnsi="仿宋" w:eastAsia="仿宋"/>
          <w:sz w:val="32"/>
          <w:szCs w:val="32"/>
        </w:rPr>
        <w:t>。</w:t>
      </w:r>
      <w:bookmarkEnd w:id="38"/>
    </w:p>
    <w:p w14:paraId="7FA7C483">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（图3：支出决算结构图）（饼状图）</w:t>
      </w:r>
    </w:p>
    <w:p w14:paraId="424A0D32">
      <w:pPr>
        <w:pStyle w:val="2"/>
        <w:pageBreakBefore w:val="0"/>
        <w:kinsoku/>
        <w:wordWrap/>
        <w:overflowPunct/>
        <w:topLinePunct w:val="0"/>
        <w:bidi w:val="0"/>
        <w:spacing w:before="93"/>
        <w:ind w:firstLine="600" w:firstLineChars="200"/>
        <w:textAlignment w:val="auto"/>
      </w:pPr>
      <w:r>
        <w:drawing>
          <wp:inline distT="0" distB="0" distL="0" distR="0">
            <wp:extent cx="3371850" cy="2113915"/>
            <wp:effectExtent l="19050" t="0" r="19050" b="1"/>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291AF6F">
      <w:pPr>
        <w:pageBreakBefore w:val="0"/>
        <w:kinsoku/>
        <w:wordWrap/>
        <w:overflowPunct/>
        <w:topLinePunct w:val="0"/>
        <w:bidi w:val="0"/>
        <w:spacing w:line="600" w:lineRule="exact"/>
        <w:ind w:firstLine="640" w:firstLineChars="200"/>
        <w:textAlignment w:val="auto"/>
        <w:outlineLvl w:val="1"/>
        <w:rPr>
          <w:rStyle w:val="31"/>
          <w:rFonts w:ascii="黑体" w:hAnsi="黑体" w:eastAsia="黑体"/>
          <w:b w:val="0"/>
        </w:rPr>
      </w:pPr>
      <w:bookmarkStart w:id="39" w:name="_Toc19111"/>
      <w:bookmarkStart w:id="40" w:name="_Toc15377208"/>
      <w:bookmarkStart w:id="41" w:name="_Toc15396606"/>
      <w:r>
        <w:rPr>
          <w:rFonts w:hint="eastAsia" w:ascii="黑体" w:hAnsi="黑体" w:eastAsia="黑体"/>
          <w:sz w:val="32"/>
          <w:szCs w:val="32"/>
        </w:rPr>
        <w:t>四、财</w:t>
      </w:r>
      <w:r>
        <w:rPr>
          <w:rStyle w:val="31"/>
          <w:rFonts w:hint="eastAsia" w:ascii="黑体" w:hAnsi="黑体" w:eastAsia="黑体"/>
          <w:b w:val="0"/>
        </w:rPr>
        <w:t>政拨款收入支出决算总体情况说明</w:t>
      </w:r>
      <w:bookmarkEnd w:id="39"/>
      <w:bookmarkEnd w:id="40"/>
      <w:bookmarkEnd w:id="41"/>
    </w:p>
    <w:p w14:paraId="30DF573F">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22年财政拨款收、支总计1542.94万元。与</w:t>
      </w:r>
      <w:r>
        <w:rPr>
          <w:rFonts w:ascii="仿宋" w:hAnsi="仿宋" w:eastAsia="仿宋"/>
          <w:sz w:val="32"/>
          <w:szCs w:val="32"/>
        </w:rPr>
        <w:t>20</w:t>
      </w:r>
      <w:r>
        <w:rPr>
          <w:rFonts w:hint="eastAsia" w:ascii="仿宋" w:hAnsi="仿宋" w:eastAsia="仿宋"/>
          <w:sz w:val="32"/>
          <w:szCs w:val="32"/>
        </w:rPr>
        <w:t>21年相比，财政拨款收、支总计各减少2573.33万元，下降62.5</w:t>
      </w:r>
      <w:r>
        <w:rPr>
          <w:rFonts w:ascii="仿宋" w:hAnsi="仿宋" w:eastAsia="仿宋"/>
          <w:sz w:val="32"/>
          <w:szCs w:val="32"/>
        </w:rPr>
        <w:t>%</w:t>
      </w:r>
      <w:r>
        <w:rPr>
          <w:rFonts w:hint="eastAsia" w:ascii="仿宋" w:hAnsi="仿宋" w:eastAsia="仿宋"/>
          <w:sz w:val="32"/>
          <w:szCs w:val="32"/>
        </w:rPr>
        <w:t>。主要变动原因是大额项目资金减少。</w:t>
      </w:r>
    </w:p>
    <w:p w14:paraId="63330342">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（图4：财政拨款收、支决算总计变动情况）（柱状图）</w:t>
      </w:r>
    </w:p>
    <w:p w14:paraId="62B29426">
      <w:pPr>
        <w:pStyle w:val="2"/>
        <w:pageBreakBefore w:val="0"/>
        <w:kinsoku/>
        <w:wordWrap/>
        <w:overflowPunct/>
        <w:topLinePunct w:val="0"/>
        <w:bidi w:val="0"/>
        <w:spacing w:before="93"/>
        <w:ind w:firstLine="600" w:firstLineChars="200"/>
        <w:textAlignment w:val="auto"/>
      </w:pPr>
      <w:r>
        <w:drawing>
          <wp:inline distT="0" distB="0" distL="0" distR="0">
            <wp:extent cx="3743325" cy="2105025"/>
            <wp:effectExtent l="19050" t="0" r="9525" b="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95DB6F3">
      <w:pPr>
        <w:pageBreakBefore w:val="0"/>
        <w:kinsoku/>
        <w:wordWrap/>
        <w:overflowPunct/>
        <w:topLinePunct w:val="0"/>
        <w:bidi w:val="0"/>
        <w:spacing w:line="600" w:lineRule="exact"/>
        <w:ind w:firstLine="640" w:firstLineChars="200"/>
        <w:textAlignment w:val="auto"/>
        <w:outlineLvl w:val="1"/>
        <w:rPr>
          <w:rStyle w:val="31"/>
          <w:rFonts w:ascii="黑体" w:hAnsi="黑体" w:eastAsia="黑体"/>
          <w:b w:val="0"/>
        </w:rPr>
      </w:pPr>
      <w:bookmarkStart w:id="42" w:name="_Toc3783"/>
      <w:bookmarkStart w:id="43" w:name="_Toc15396607"/>
      <w:bookmarkStart w:id="44" w:name="_Toc15377209"/>
      <w:r>
        <w:rPr>
          <w:rFonts w:hint="eastAsia" w:ascii="黑体" w:hAnsi="黑体" w:eastAsia="黑体"/>
          <w:sz w:val="32"/>
          <w:szCs w:val="32"/>
        </w:rPr>
        <w:t>五、</w:t>
      </w:r>
      <w:r>
        <w:rPr>
          <w:rFonts w:hint="eastAsia" w:ascii="黑体" w:hAnsi="黑体" w:eastAsia="黑体"/>
          <w:b/>
          <w:sz w:val="32"/>
          <w:szCs w:val="32"/>
        </w:rPr>
        <w:t>一</w:t>
      </w:r>
      <w:r>
        <w:rPr>
          <w:rStyle w:val="31"/>
          <w:rFonts w:hint="eastAsia" w:ascii="黑体" w:hAnsi="黑体" w:eastAsia="黑体"/>
          <w:b w:val="0"/>
        </w:rPr>
        <w:t>般公共预算财政拨款支出决算情况说明</w:t>
      </w:r>
      <w:bookmarkEnd w:id="42"/>
      <w:bookmarkEnd w:id="43"/>
      <w:bookmarkEnd w:id="44"/>
    </w:p>
    <w:p w14:paraId="2DB33EEA">
      <w:pPr>
        <w:pageBreakBefore w:val="0"/>
        <w:kinsoku/>
        <w:wordWrap/>
        <w:overflowPunct/>
        <w:topLinePunct w:val="0"/>
        <w:bidi w:val="0"/>
        <w:spacing w:line="600" w:lineRule="exact"/>
        <w:ind w:firstLine="643" w:firstLineChars="200"/>
        <w:textAlignment w:val="auto"/>
        <w:outlineLvl w:val="2"/>
        <w:rPr>
          <w:rFonts w:ascii="仿宋" w:hAnsi="仿宋" w:eastAsia="仿宋"/>
          <w:b/>
          <w:sz w:val="32"/>
          <w:szCs w:val="32"/>
        </w:rPr>
      </w:pPr>
      <w:bookmarkStart w:id="45" w:name="_Toc15377210"/>
      <w:r>
        <w:rPr>
          <w:rFonts w:hint="eastAsia" w:ascii="仿宋" w:hAnsi="仿宋" w:eastAsia="仿宋"/>
          <w:b/>
          <w:sz w:val="32"/>
          <w:szCs w:val="32"/>
        </w:rPr>
        <w:t>（一）一般公共预算财政拨款支出决算总体情况</w:t>
      </w:r>
      <w:bookmarkEnd w:id="45"/>
    </w:p>
    <w:p w14:paraId="4D813E2B">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22年一般公共预算财政拨款支出1502.54万元，占本年支出合计的97.4</w:t>
      </w:r>
      <w:r>
        <w:rPr>
          <w:rFonts w:ascii="仿宋" w:hAnsi="仿宋" w:eastAsia="仿宋"/>
          <w:sz w:val="32"/>
          <w:szCs w:val="32"/>
        </w:rPr>
        <w:t>%</w:t>
      </w:r>
      <w:r>
        <w:rPr>
          <w:rFonts w:hint="eastAsia" w:ascii="仿宋" w:hAnsi="仿宋" w:eastAsia="仿宋"/>
          <w:sz w:val="32"/>
          <w:szCs w:val="32"/>
        </w:rPr>
        <w:t>。与</w:t>
      </w:r>
      <w:r>
        <w:rPr>
          <w:rFonts w:ascii="仿宋" w:hAnsi="仿宋" w:eastAsia="仿宋"/>
          <w:sz w:val="32"/>
          <w:szCs w:val="32"/>
        </w:rPr>
        <w:t>20</w:t>
      </w:r>
      <w:r>
        <w:rPr>
          <w:rFonts w:hint="eastAsia" w:ascii="仿宋" w:hAnsi="仿宋" w:eastAsia="仿宋"/>
          <w:sz w:val="32"/>
          <w:szCs w:val="32"/>
        </w:rPr>
        <w:t>21年相比，一般公共预算财政拨款支出减少2513.34万元，下降62.6</w:t>
      </w:r>
      <w:r>
        <w:rPr>
          <w:rFonts w:ascii="仿宋" w:hAnsi="仿宋" w:eastAsia="仿宋"/>
          <w:sz w:val="32"/>
          <w:szCs w:val="32"/>
        </w:rPr>
        <w:t>%</w:t>
      </w:r>
      <w:r>
        <w:rPr>
          <w:rFonts w:hint="eastAsia" w:ascii="仿宋" w:hAnsi="仿宋" w:eastAsia="仿宋"/>
          <w:sz w:val="32"/>
          <w:szCs w:val="32"/>
        </w:rPr>
        <w:t>。主要变动原因是大额项目资金减少。</w:t>
      </w:r>
    </w:p>
    <w:p w14:paraId="5D2A992B">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（图5：一般公共预算财政拨款支出决算变动情况）（柱状图）</w:t>
      </w:r>
    </w:p>
    <w:p w14:paraId="6EE592CD">
      <w:pPr>
        <w:pStyle w:val="2"/>
        <w:pageBreakBefore w:val="0"/>
        <w:kinsoku/>
        <w:wordWrap/>
        <w:overflowPunct/>
        <w:topLinePunct w:val="0"/>
        <w:bidi w:val="0"/>
        <w:spacing w:before="93"/>
        <w:ind w:firstLine="600" w:firstLineChars="200"/>
        <w:textAlignment w:val="auto"/>
      </w:pPr>
      <w:r>
        <w:drawing>
          <wp:inline distT="0" distB="0" distL="0" distR="0">
            <wp:extent cx="3705225" cy="2152650"/>
            <wp:effectExtent l="19050" t="0" r="9525"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00C01D6">
      <w:pPr>
        <w:pageBreakBefore w:val="0"/>
        <w:kinsoku/>
        <w:wordWrap/>
        <w:overflowPunct/>
        <w:topLinePunct w:val="0"/>
        <w:bidi w:val="0"/>
        <w:spacing w:line="600" w:lineRule="exact"/>
        <w:ind w:firstLine="643" w:firstLineChars="200"/>
        <w:textAlignment w:val="auto"/>
        <w:outlineLvl w:val="2"/>
        <w:rPr>
          <w:rFonts w:ascii="仿宋" w:hAnsi="仿宋" w:eastAsia="仿宋"/>
          <w:b/>
          <w:sz w:val="32"/>
          <w:szCs w:val="32"/>
        </w:rPr>
      </w:pPr>
      <w:bookmarkStart w:id="46" w:name="_Toc15377211"/>
      <w:r>
        <w:rPr>
          <w:rFonts w:hint="eastAsia" w:ascii="仿宋" w:hAnsi="仿宋" w:eastAsia="仿宋"/>
          <w:b/>
          <w:sz w:val="32"/>
          <w:szCs w:val="32"/>
        </w:rPr>
        <w:t>（二）一般公共预算财政拨款支出决算结构情况</w:t>
      </w:r>
      <w:bookmarkEnd w:id="46"/>
    </w:p>
    <w:p w14:paraId="3C374107">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22年一般公共预算财政拨款支出1502.54万元，主要用于以下方面</w:t>
      </w:r>
      <w:r>
        <w:rPr>
          <w:rFonts w:ascii="仿宋" w:hAnsi="仿宋" w:eastAsia="仿宋"/>
          <w:sz w:val="32"/>
          <w:szCs w:val="32"/>
        </w:rPr>
        <w:t>:</w:t>
      </w:r>
      <w:r>
        <w:rPr>
          <w:rFonts w:hint="eastAsia" w:ascii="仿宋" w:hAnsi="仿宋" w:eastAsia="仿宋"/>
          <w:b w:val="0"/>
          <w:bCs/>
          <w:sz w:val="32"/>
          <w:szCs w:val="32"/>
        </w:rPr>
        <w:t>一般公共服务支出0万元，占0</w:t>
      </w:r>
      <w:r>
        <w:rPr>
          <w:rFonts w:ascii="仿宋" w:hAnsi="仿宋" w:eastAsia="仿宋"/>
          <w:b w:val="0"/>
          <w:bCs/>
          <w:sz w:val="32"/>
          <w:szCs w:val="32"/>
        </w:rPr>
        <w:t>%</w:t>
      </w:r>
      <w:r>
        <w:rPr>
          <w:rFonts w:hint="eastAsia" w:ascii="仿宋" w:hAnsi="仿宋" w:eastAsia="仿宋"/>
          <w:b w:val="0"/>
          <w:bCs/>
          <w:sz w:val="32"/>
          <w:szCs w:val="32"/>
        </w:rPr>
        <w:t>；教育支出</w:t>
      </w:r>
      <w:r>
        <w:rPr>
          <w:rFonts w:hint="eastAsia" w:ascii="仿宋" w:hAnsi="仿宋" w:eastAsia="仿宋"/>
          <w:sz w:val="32"/>
          <w:szCs w:val="32"/>
        </w:rPr>
        <w:t>0万元，占0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val="0"/>
          <w:bCs/>
          <w:sz w:val="32"/>
          <w:szCs w:val="32"/>
        </w:rPr>
        <w:t>科学技术支出0万元，占0</w:t>
      </w:r>
      <w:r>
        <w:rPr>
          <w:rFonts w:ascii="仿宋" w:hAnsi="仿宋" w:eastAsia="仿宋"/>
          <w:b w:val="0"/>
          <w:bCs/>
          <w:sz w:val="32"/>
          <w:szCs w:val="32"/>
        </w:rPr>
        <w:t>%</w:t>
      </w:r>
      <w:r>
        <w:rPr>
          <w:rFonts w:hint="eastAsia" w:ascii="仿宋" w:hAnsi="仿宋" w:eastAsia="仿宋"/>
          <w:b w:val="0"/>
          <w:bCs/>
          <w:sz w:val="32"/>
          <w:szCs w:val="32"/>
        </w:rPr>
        <w:t>；文化旅游体育与传媒支出0万元，占0</w:t>
      </w:r>
      <w:r>
        <w:rPr>
          <w:rFonts w:ascii="仿宋" w:hAnsi="仿宋" w:eastAsia="仿宋"/>
          <w:b w:val="0"/>
          <w:bCs/>
          <w:sz w:val="32"/>
          <w:szCs w:val="32"/>
        </w:rPr>
        <w:t>%</w:t>
      </w:r>
      <w:r>
        <w:rPr>
          <w:rFonts w:hint="eastAsia" w:ascii="仿宋" w:hAnsi="仿宋" w:eastAsia="仿宋"/>
          <w:b w:val="0"/>
          <w:bCs/>
          <w:sz w:val="32"/>
          <w:szCs w:val="32"/>
        </w:rPr>
        <w:t>；社会保障和就业支出41.63万元，占2.8</w:t>
      </w:r>
      <w:r>
        <w:rPr>
          <w:rFonts w:ascii="仿宋" w:hAnsi="仿宋" w:eastAsia="仿宋"/>
          <w:b w:val="0"/>
          <w:bCs/>
          <w:sz w:val="32"/>
          <w:szCs w:val="32"/>
        </w:rPr>
        <w:t>%</w:t>
      </w:r>
      <w:r>
        <w:rPr>
          <w:rFonts w:hint="eastAsia" w:ascii="仿宋" w:hAnsi="仿宋" w:eastAsia="仿宋"/>
          <w:b w:val="0"/>
          <w:bCs/>
          <w:sz w:val="32"/>
          <w:szCs w:val="32"/>
        </w:rPr>
        <w:t>；卫生健康支出26.32万元，占1.8</w:t>
      </w:r>
      <w:r>
        <w:rPr>
          <w:rFonts w:ascii="仿宋" w:hAnsi="仿宋" w:eastAsia="仿宋"/>
          <w:b w:val="0"/>
          <w:bCs/>
          <w:sz w:val="32"/>
          <w:szCs w:val="32"/>
        </w:rPr>
        <w:t>%</w:t>
      </w:r>
      <w:r>
        <w:rPr>
          <w:rFonts w:hint="eastAsia" w:ascii="仿宋" w:hAnsi="仿宋" w:eastAsia="仿宋"/>
          <w:b w:val="0"/>
          <w:bCs/>
          <w:sz w:val="32"/>
          <w:szCs w:val="32"/>
        </w:rPr>
        <w:t>；住房保障支出38.27万元，占2.5</w:t>
      </w:r>
      <w:r>
        <w:rPr>
          <w:rFonts w:ascii="仿宋" w:hAnsi="仿宋" w:eastAsia="仿宋"/>
          <w:b w:val="0"/>
          <w:bCs/>
          <w:sz w:val="32"/>
          <w:szCs w:val="32"/>
        </w:rPr>
        <w:t>%</w:t>
      </w:r>
      <w:r>
        <w:rPr>
          <w:rFonts w:hint="eastAsia" w:ascii="仿宋" w:hAnsi="仿宋" w:eastAsia="仿宋"/>
          <w:b w:val="0"/>
          <w:bCs/>
          <w:sz w:val="32"/>
          <w:szCs w:val="32"/>
        </w:rPr>
        <w:t>；农林水</w:t>
      </w:r>
      <w:r>
        <w:rPr>
          <w:rFonts w:hint="eastAsia" w:ascii="仿宋" w:hAnsi="仿宋" w:eastAsia="仿宋"/>
          <w:sz w:val="32"/>
          <w:szCs w:val="32"/>
        </w:rPr>
        <w:t>支出1153.5万元，占76.7%；交通运输支出241.8万元，占16%。</w:t>
      </w:r>
    </w:p>
    <w:p w14:paraId="571E617B">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（图6：一般公共预算财政拨款支出决算结构）（饼状图）</w:t>
      </w:r>
    </w:p>
    <w:p w14:paraId="72489765">
      <w:pPr>
        <w:pStyle w:val="2"/>
        <w:pageBreakBefore w:val="0"/>
        <w:kinsoku/>
        <w:wordWrap/>
        <w:overflowPunct/>
        <w:topLinePunct w:val="0"/>
        <w:bidi w:val="0"/>
        <w:spacing w:before="93"/>
        <w:ind w:firstLine="600" w:firstLineChars="200"/>
        <w:textAlignment w:val="auto"/>
      </w:pPr>
      <w:r>
        <w:drawing>
          <wp:inline distT="0" distB="0" distL="0" distR="0">
            <wp:extent cx="3095625" cy="2209800"/>
            <wp:effectExtent l="19050" t="0" r="9525"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DE630F">
      <w:pPr>
        <w:pageBreakBefore w:val="0"/>
        <w:kinsoku/>
        <w:wordWrap/>
        <w:overflowPunct/>
        <w:topLinePunct w:val="0"/>
        <w:bidi w:val="0"/>
        <w:spacing w:line="600" w:lineRule="exact"/>
        <w:ind w:firstLine="643" w:firstLineChars="200"/>
        <w:textAlignment w:val="auto"/>
        <w:outlineLvl w:val="2"/>
        <w:rPr>
          <w:rFonts w:ascii="仿宋" w:hAnsi="仿宋" w:eastAsia="仿宋"/>
          <w:b/>
          <w:sz w:val="32"/>
          <w:szCs w:val="32"/>
        </w:rPr>
      </w:pPr>
      <w:bookmarkStart w:id="47" w:name="_Toc15377212"/>
      <w:r>
        <w:rPr>
          <w:rFonts w:hint="eastAsia" w:ascii="仿宋" w:hAnsi="仿宋" w:eastAsia="仿宋"/>
          <w:b/>
          <w:sz w:val="32"/>
          <w:szCs w:val="32"/>
        </w:rPr>
        <w:t>（三）一般公共预算财政拨款支出决算具体情况</w:t>
      </w:r>
      <w:bookmarkEnd w:id="47"/>
    </w:p>
    <w:p w14:paraId="7EA290F0">
      <w:pPr>
        <w:pageBreakBefore w:val="0"/>
        <w:kinsoku/>
        <w:wordWrap/>
        <w:overflowPunct/>
        <w:topLinePunct w:val="0"/>
        <w:bidi w:val="0"/>
        <w:spacing w:line="600" w:lineRule="exact"/>
        <w:ind w:firstLine="640" w:firstLineChars="200"/>
        <w:textAlignment w:val="auto"/>
        <w:outlineLvl w:val="2"/>
        <w:rPr>
          <w:rFonts w:ascii="仿宋" w:hAnsi="仿宋" w:eastAsia="仿宋"/>
          <w:b w:val="0"/>
          <w:bCs/>
          <w:sz w:val="32"/>
          <w:szCs w:val="32"/>
        </w:rPr>
      </w:pPr>
      <w:bookmarkStart w:id="48" w:name="_Toc15377213"/>
      <w:bookmarkStart w:id="49" w:name="_Toc15377444"/>
      <w:bookmarkStart w:id="50" w:name="_Toc15378460"/>
      <w:r>
        <w:rPr>
          <w:rFonts w:hint="eastAsia" w:ascii="仿宋" w:hAnsi="仿宋" w:eastAsia="仿宋"/>
          <w:b w:val="0"/>
          <w:bCs/>
          <w:sz w:val="32"/>
          <w:szCs w:val="32"/>
        </w:rPr>
        <w:t>2022年一般公共预算支出决算数为1502.54万元，</w:t>
      </w:r>
      <w:r>
        <w:rPr>
          <w:rStyle w:val="18"/>
          <w:rFonts w:hint="eastAsia" w:ascii="仿宋" w:hAnsi="仿宋" w:eastAsia="仿宋"/>
          <w:b w:val="0"/>
          <w:bCs/>
          <w:sz w:val="32"/>
          <w:szCs w:val="32"/>
        </w:rPr>
        <w:t>完成预算100</w:t>
      </w:r>
      <w:r>
        <w:rPr>
          <w:rStyle w:val="18"/>
          <w:rFonts w:ascii="仿宋" w:hAnsi="仿宋" w:eastAsia="仿宋"/>
          <w:b w:val="0"/>
          <w:bCs/>
          <w:sz w:val="32"/>
          <w:szCs w:val="32"/>
        </w:rPr>
        <w:t>%</w:t>
      </w:r>
      <w:r>
        <w:rPr>
          <w:rStyle w:val="18"/>
          <w:rFonts w:hint="eastAsia" w:ascii="仿宋" w:hAnsi="仿宋" w:eastAsia="仿宋"/>
          <w:b w:val="0"/>
          <w:bCs/>
          <w:sz w:val="32"/>
          <w:szCs w:val="32"/>
        </w:rPr>
        <w:t>。其中：</w:t>
      </w:r>
      <w:bookmarkEnd w:id="48"/>
      <w:bookmarkEnd w:id="49"/>
      <w:bookmarkEnd w:id="50"/>
    </w:p>
    <w:p w14:paraId="2A14393D">
      <w:pPr>
        <w:pageBreakBefore w:val="0"/>
        <w:kinsoku/>
        <w:wordWrap/>
        <w:overflowPunct/>
        <w:topLinePunct w:val="0"/>
        <w:bidi w:val="0"/>
        <w:spacing w:line="600" w:lineRule="exact"/>
        <w:ind w:firstLine="640" w:firstLineChars="200"/>
        <w:textAlignment w:val="auto"/>
        <w:rPr>
          <w:rFonts w:ascii="仿宋" w:hAnsi="仿宋" w:eastAsia="仿宋"/>
          <w:b w:val="0"/>
          <w:bCs/>
          <w:sz w:val="32"/>
          <w:szCs w:val="32"/>
        </w:rPr>
      </w:pPr>
      <w:r>
        <w:rPr>
          <w:rStyle w:val="18"/>
          <w:rFonts w:ascii="仿宋" w:hAnsi="仿宋" w:eastAsia="仿宋"/>
          <w:b w:val="0"/>
          <w:bCs/>
          <w:sz w:val="32"/>
          <w:szCs w:val="32"/>
        </w:rPr>
        <w:t>1.</w:t>
      </w:r>
      <w:r>
        <w:rPr>
          <w:rStyle w:val="18"/>
          <w:rFonts w:hint="eastAsia" w:ascii="仿宋" w:hAnsi="仿宋" w:eastAsia="仿宋"/>
          <w:b w:val="0"/>
          <w:bCs/>
          <w:sz w:val="32"/>
          <w:szCs w:val="32"/>
        </w:rPr>
        <w:t>一般公共服务（类）0（款）0（项）</w:t>
      </w:r>
      <w:r>
        <w:rPr>
          <w:rStyle w:val="18"/>
          <w:rFonts w:ascii="仿宋" w:hAnsi="仿宋" w:eastAsia="仿宋"/>
          <w:b w:val="0"/>
          <w:bCs/>
          <w:sz w:val="32"/>
          <w:szCs w:val="32"/>
        </w:rPr>
        <w:t>:</w:t>
      </w:r>
      <w:r>
        <w:rPr>
          <w:rStyle w:val="18"/>
          <w:rFonts w:hint="eastAsia" w:ascii="仿宋" w:hAnsi="仿宋" w:eastAsia="仿宋"/>
          <w:b w:val="0"/>
          <w:bCs/>
          <w:sz w:val="32"/>
          <w:szCs w:val="32"/>
        </w:rPr>
        <w:t>支出决算为0万元，完成预算0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，决算数等于预算数的主要原因是无此预算。</w:t>
      </w:r>
    </w:p>
    <w:p w14:paraId="73231585">
      <w:pPr>
        <w:pageBreakBefore w:val="0"/>
        <w:kinsoku/>
        <w:wordWrap/>
        <w:overflowPunct/>
        <w:topLinePunct w:val="0"/>
        <w:bidi w:val="0"/>
        <w:spacing w:line="600" w:lineRule="exact"/>
        <w:ind w:firstLine="640" w:firstLineChars="200"/>
        <w:textAlignment w:val="auto"/>
        <w:rPr>
          <w:rFonts w:ascii="仿宋" w:hAnsi="仿宋" w:eastAsia="仿宋"/>
          <w:b w:val="0"/>
          <w:bCs/>
          <w:sz w:val="32"/>
          <w:szCs w:val="32"/>
        </w:rPr>
      </w:pPr>
      <w:r>
        <w:rPr>
          <w:rStyle w:val="18"/>
          <w:rFonts w:ascii="仿宋" w:hAnsi="仿宋" w:eastAsia="仿宋"/>
          <w:b w:val="0"/>
          <w:bCs/>
          <w:sz w:val="32"/>
          <w:szCs w:val="32"/>
        </w:rPr>
        <w:t>2.</w:t>
      </w:r>
      <w:r>
        <w:rPr>
          <w:rStyle w:val="18"/>
          <w:rFonts w:hint="eastAsia" w:ascii="仿宋" w:hAnsi="仿宋" w:eastAsia="仿宋"/>
          <w:b w:val="0"/>
          <w:bCs/>
          <w:sz w:val="32"/>
          <w:szCs w:val="32"/>
        </w:rPr>
        <w:t>教育（类）0（款）0（项）</w:t>
      </w:r>
      <w:r>
        <w:rPr>
          <w:rStyle w:val="18"/>
          <w:rFonts w:ascii="仿宋" w:hAnsi="仿宋" w:eastAsia="仿宋"/>
          <w:b w:val="0"/>
          <w:bCs/>
          <w:sz w:val="32"/>
          <w:szCs w:val="32"/>
        </w:rPr>
        <w:t>:</w:t>
      </w:r>
      <w:r>
        <w:rPr>
          <w:rStyle w:val="18"/>
          <w:rFonts w:hint="eastAsia" w:ascii="仿宋" w:hAnsi="仿宋" w:eastAsia="仿宋"/>
          <w:b w:val="0"/>
          <w:bCs/>
          <w:sz w:val="32"/>
          <w:szCs w:val="32"/>
        </w:rPr>
        <w:t>支出决算为0万元，完成预算0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，决算数等于预算数的主要原因是无此预算。</w:t>
      </w:r>
    </w:p>
    <w:p w14:paraId="55677FE5">
      <w:pPr>
        <w:pageBreakBefore w:val="0"/>
        <w:kinsoku/>
        <w:wordWrap/>
        <w:overflowPunct/>
        <w:topLinePunct w:val="0"/>
        <w:bidi w:val="0"/>
        <w:spacing w:line="600" w:lineRule="exact"/>
        <w:ind w:firstLine="640" w:firstLineChars="200"/>
        <w:textAlignment w:val="auto"/>
        <w:rPr>
          <w:rFonts w:ascii="仿宋" w:hAnsi="仿宋" w:eastAsia="仿宋"/>
          <w:b/>
          <w:sz w:val="32"/>
          <w:szCs w:val="32"/>
        </w:rPr>
      </w:pPr>
      <w:r>
        <w:rPr>
          <w:rStyle w:val="18"/>
          <w:rFonts w:ascii="仿宋" w:hAnsi="仿宋" w:eastAsia="仿宋"/>
          <w:b w:val="0"/>
          <w:bCs/>
          <w:sz w:val="32"/>
          <w:szCs w:val="32"/>
        </w:rPr>
        <w:t>3.</w:t>
      </w:r>
      <w:r>
        <w:rPr>
          <w:rStyle w:val="18"/>
          <w:rFonts w:hint="eastAsia" w:ascii="仿宋" w:hAnsi="仿宋" w:eastAsia="仿宋"/>
          <w:b w:val="0"/>
          <w:bCs/>
          <w:sz w:val="32"/>
          <w:szCs w:val="32"/>
        </w:rPr>
        <w:t>科学技术（类）0（款）0（项）</w:t>
      </w:r>
      <w:r>
        <w:rPr>
          <w:rStyle w:val="18"/>
          <w:rFonts w:ascii="仿宋" w:hAnsi="仿宋" w:eastAsia="仿宋"/>
          <w:b w:val="0"/>
          <w:bCs/>
          <w:sz w:val="32"/>
          <w:szCs w:val="32"/>
        </w:rPr>
        <w:t>:</w:t>
      </w:r>
      <w:r>
        <w:rPr>
          <w:rStyle w:val="18"/>
          <w:rFonts w:hint="eastAsia" w:ascii="仿宋" w:hAnsi="仿宋" w:eastAsia="仿宋"/>
          <w:b w:val="0"/>
          <w:bCs/>
          <w:sz w:val="32"/>
          <w:szCs w:val="32"/>
        </w:rPr>
        <w:t>支出决算为0万元，完成预算0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，决算数等于预算数的主要原因是无此预算。</w:t>
      </w:r>
    </w:p>
    <w:p w14:paraId="3187710B">
      <w:pPr>
        <w:pageBreakBefore w:val="0"/>
        <w:kinsoku/>
        <w:wordWrap/>
        <w:overflowPunct/>
        <w:topLinePunct w:val="0"/>
        <w:bidi w:val="0"/>
        <w:spacing w:line="600" w:lineRule="exact"/>
        <w:ind w:firstLine="640" w:firstLineChars="200"/>
        <w:textAlignment w:val="auto"/>
        <w:rPr>
          <w:rFonts w:ascii="仿宋" w:hAnsi="仿宋" w:eastAsia="仿宋"/>
          <w:b/>
          <w:sz w:val="32"/>
          <w:szCs w:val="32"/>
        </w:rPr>
      </w:pPr>
      <w:r>
        <w:rPr>
          <w:rStyle w:val="18"/>
          <w:rFonts w:ascii="仿宋" w:hAnsi="仿宋" w:eastAsia="仿宋"/>
          <w:b w:val="0"/>
          <w:bCs w:val="0"/>
          <w:sz w:val="32"/>
          <w:szCs w:val="32"/>
        </w:rPr>
        <w:t>4.</w:t>
      </w:r>
      <w:r>
        <w:rPr>
          <w:rStyle w:val="18"/>
          <w:rFonts w:hint="eastAsia" w:ascii="仿宋" w:hAnsi="仿宋" w:eastAsia="仿宋"/>
          <w:b w:val="0"/>
          <w:bCs w:val="0"/>
          <w:sz w:val="32"/>
          <w:szCs w:val="32"/>
        </w:rPr>
        <w:t>文化旅游体育与传媒（类）0（款）0（项）</w:t>
      </w:r>
      <w:r>
        <w:rPr>
          <w:rStyle w:val="18"/>
          <w:rFonts w:ascii="仿宋" w:hAnsi="仿宋" w:eastAsia="仿宋"/>
          <w:bCs/>
          <w:sz w:val="32"/>
          <w:szCs w:val="32"/>
        </w:rPr>
        <w:t>:</w:t>
      </w:r>
      <w:r>
        <w:rPr>
          <w:rStyle w:val="18"/>
          <w:rFonts w:hint="eastAsia" w:ascii="仿宋" w:hAnsi="仿宋" w:eastAsia="仿宋"/>
          <w:b w:val="0"/>
          <w:bCs/>
          <w:sz w:val="32"/>
          <w:szCs w:val="32"/>
        </w:rPr>
        <w:t>支出决算为0万元，完成预算0</w:t>
      </w:r>
      <w:r>
        <w:rPr>
          <w:rStyle w:val="18"/>
          <w:rFonts w:ascii="仿宋" w:hAnsi="仿宋" w:eastAsia="仿宋"/>
          <w:b w:val="0"/>
          <w:bCs/>
          <w:sz w:val="32"/>
          <w:szCs w:val="32"/>
        </w:rPr>
        <w:t>%</w:t>
      </w:r>
      <w:r>
        <w:rPr>
          <w:rStyle w:val="18"/>
          <w:rFonts w:hint="eastAsia" w:ascii="仿宋" w:hAnsi="仿宋" w:eastAsia="仿宋"/>
          <w:b w:val="0"/>
          <w:bCs/>
          <w:sz w:val="32"/>
          <w:szCs w:val="32"/>
        </w:rPr>
        <w:t>，决算数等于预算数的主要原因是无此预算。</w:t>
      </w:r>
    </w:p>
    <w:p w14:paraId="5DABF510">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Style w:val="18"/>
          <w:rFonts w:ascii="仿宋" w:hAnsi="仿宋" w:eastAsia="仿宋"/>
          <w:b w:val="0"/>
          <w:bCs w:val="0"/>
          <w:sz w:val="32"/>
          <w:szCs w:val="32"/>
        </w:rPr>
        <w:t>5.</w:t>
      </w:r>
      <w:r>
        <w:rPr>
          <w:rFonts w:hint="eastAsia" w:ascii="仿宋" w:hAnsi="仿宋" w:eastAsia="仿宋"/>
          <w:b w:val="0"/>
          <w:bCs w:val="0"/>
          <w:sz w:val="32"/>
          <w:szCs w:val="32"/>
        </w:rPr>
        <w:t xml:space="preserve"> </w:t>
      </w:r>
      <w:r>
        <w:rPr>
          <w:rStyle w:val="18"/>
          <w:rFonts w:hint="eastAsia" w:ascii="仿宋" w:hAnsi="仿宋" w:eastAsia="仿宋"/>
          <w:b w:val="0"/>
          <w:bCs w:val="0"/>
          <w:sz w:val="32"/>
          <w:szCs w:val="32"/>
        </w:rPr>
        <w:t>社会保障和就业（类）行政事业单位养老支出（款）</w:t>
      </w:r>
    </w:p>
    <w:p w14:paraId="7B7851DB">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Style w:val="18"/>
          <w:rFonts w:ascii="仿宋" w:hAnsi="仿宋" w:eastAsia="仿宋"/>
          <w:b w:val="0"/>
          <w:bCs w:val="0"/>
          <w:sz w:val="32"/>
          <w:szCs w:val="32"/>
        </w:rPr>
        <w:t>行政单位离退休</w:t>
      </w:r>
      <w:r>
        <w:rPr>
          <w:rStyle w:val="18"/>
          <w:rFonts w:hint="eastAsia" w:ascii="仿宋" w:hAnsi="仿宋" w:eastAsia="仿宋"/>
          <w:b w:val="0"/>
          <w:bCs w:val="0"/>
          <w:sz w:val="32"/>
          <w:szCs w:val="32"/>
        </w:rPr>
        <w:t>（项）</w:t>
      </w:r>
      <w:r>
        <w:rPr>
          <w:rStyle w:val="18"/>
          <w:rFonts w:ascii="仿宋" w:hAnsi="仿宋" w:eastAsia="仿宋"/>
          <w:b w:val="0"/>
          <w:bCs w:val="0"/>
          <w:sz w:val="32"/>
          <w:szCs w:val="32"/>
        </w:rPr>
        <w:t>:</w:t>
      </w:r>
      <w:r>
        <w:rPr>
          <w:rStyle w:val="18"/>
          <w:rFonts w:hint="eastAsia" w:ascii="仿宋" w:hAnsi="仿宋" w:eastAsia="仿宋"/>
          <w:b w:val="0"/>
          <w:bCs w:val="0"/>
          <w:sz w:val="32"/>
          <w:szCs w:val="32"/>
        </w:rPr>
        <w:t>支出决算为6.51万元，完成预算100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3FE1257E">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Style w:val="18"/>
          <w:rFonts w:hint="eastAsia" w:ascii="仿宋" w:hAnsi="仿宋" w:eastAsia="仿宋"/>
          <w:b w:val="0"/>
          <w:bCs w:val="0"/>
          <w:sz w:val="32"/>
          <w:szCs w:val="32"/>
        </w:rPr>
        <w:t>社会保障和就业（类）行政事业单位养老支出（款）</w:t>
      </w:r>
    </w:p>
    <w:p w14:paraId="3B1C2487">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Style w:val="18"/>
          <w:rFonts w:ascii="仿宋" w:hAnsi="仿宋" w:eastAsia="仿宋"/>
          <w:b w:val="0"/>
          <w:bCs w:val="0"/>
          <w:sz w:val="32"/>
          <w:szCs w:val="32"/>
        </w:rPr>
        <w:t>事业单位离退休</w:t>
      </w:r>
      <w:r>
        <w:rPr>
          <w:rStyle w:val="18"/>
          <w:rFonts w:hint="eastAsia" w:ascii="仿宋" w:hAnsi="仿宋" w:eastAsia="仿宋"/>
          <w:b w:val="0"/>
          <w:bCs w:val="0"/>
          <w:sz w:val="32"/>
          <w:szCs w:val="32"/>
        </w:rPr>
        <w:t>（项）</w:t>
      </w:r>
      <w:r>
        <w:rPr>
          <w:rStyle w:val="18"/>
          <w:rFonts w:ascii="仿宋" w:hAnsi="仿宋" w:eastAsia="仿宋"/>
          <w:b w:val="0"/>
          <w:bCs w:val="0"/>
          <w:sz w:val="32"/>
          <w:szCs w:val="32"/>
        </w:rPr>
        <w:t>:</w:t>
      </w:r>
      <w:r>
        <w:rPr>
          <w:rStyle w:val="18"/>
          <w:rFonts w:hint="eastAsia" w:ascii="仿宋" w:hAnsi="仿宋" w:eastAsia="仿宋"/>
          <w:b w:val="0"/>
          <w:bCs w:val="0"/>
          <w:sz w:val="32"/>
          <w:szCs w:val="32"/>
        </w:rPr>
        <w:t>支出决算为1.6万元，完成预算100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210A2F1B">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Style w:val="18"/>
          <w:rFonts w:hint="eastAsia" w:ascii="仿宋" w:hAnsi="仿宋" w:eastAsia="仿宋"/>
          <w:b w:val="0"/>
          <w:bCs w:val="0"/>
          <w:sz w:val="32"/>
          <w:szCs w:val="32"/>
        </w:rPr>
        <w:t>社会保障和就业（类）行政事业单位养老支出（款）</w:t>
      </w:r>
    </w:p>
    <w:p w14:paraId="50A93A06">
      <w:pPr>
        <w:pStyle w:val="2"/>
        <w:pageBreakBefore w:val="0"/>
        <w:kinsoku/>
        <w:wordWrap/>
        <w:overflowPunct/>
        <w:topLinePunct w:val="0"/>
        <w:bidi w:val="0"/>
        <w:spacing w:before="93"/>
        <w:ind w:firstLine="640" w:firstLineChars="200"/>
        <w:textAlignment w:val="auto"/>
        <w:rPr>
          <w:rFonts w:ascii="仿宋" w:hAnsi="仿宋" w:eastAsia="仿宋"/>
          <w:b w:val="0"/>
          <w:bCs w:val="0"/>
          <w:sz w:val="32"/>
          <w:szCs w:val="32"/>
        </w:rPr>
      </w:pPr>
      <w:r>
        <w:rPr>
          <w:rStyle w:val="18"/>
          <w:rFonts w:ascii="仿宋" w:hAnsi="仿宋" w:eastAsia="仿宋"/>
          <w:b w:val="0"/>
          <w:bCs w:val="0"/>
          <w:sz w:val="32"/>
          <w:szCs w:val="32"/>
        </w:rPr>
        <w:t>机关事业单位基本养老保险缴费支出</w:t>
      </w:r>
      <w:r>
        <w:rPr>
          <w:rStyle w:val="18"/>
          <w:rFonts w:hint="eastAsia" w:ascii="仿宋" w:hAnsi="仿宋" w:eastAsia="仿宋"/>
          <w:b w:val="0"/>
          <w:bCs w:val="0"/>
          <w:sz w:val="32"/>
          <w:szCs w:val="32"/>
        </w:rPr>
        <w:t>（项）</w:t>
      </w:r>
      <w:r>
        <w:rPr>
          <w:rStyle w:val="18"/>
          <w:rFonts w:ascii="仿宋" w:hAnsi="仿宋" w:eastAsia="仿宋"/>
          <w:b w:val="0"/>
          <w:bCs w:val="0"/>
          <w:sz w:val="32"/>
          <w:szCs w:val="32"/>
        </w:rPr>
        <w:t>:</w:t>
      </w:r>
      <w:r>
        <w:rPr>
          <w:rStyle w:val="18"/>
          <w:rFonts w:hint="eastAsia" w:ascii="仿宋" w:hAnsi="仿宋" w:eastAsia="仿宋"/>
          <w:b w:val="0"/>
          <w:bCs w:val="0"/>
          <w:sz w:val="32"/>
          <w:szCs w:val="32"/>
        </w:rPr>
        <w:t>支出决算为33.52万元，完成预算100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2D76A31F">
      <w:pPr>
        <w:pageBreakBefore w:val="0"/>
        <w:kinsoku/>
        <w:wordWrap/>
        <w:overflowPunct/>
        <w:topLinePunct w:val="0"/>
        <w:bidi w:val="0"/>
        <w:spacing w:line="600" w:lineRule="exact"/>
        <w:ind w:firstLine="640" w:firstLineChars="200"/>
        <w:textAlignment w:val="auto"/>
        <w:rPr>
          <w:rFonts w:ascii="仿宋" w:hAnsi="仿宋" w:eastAsia="仿宋"/>
          <w:b w:val="0"/>
          <w:bCs w:val="0"/>
          <w:sz w:val="32"/>
          <w:szCs w:val="32"/>
        </w:rPr>
      </w:pPr>
      <w:r>
        <w:rPr>
          <w:rStyle w:val="18"/>
          <w:rFonts w:ascii="仿宋" w:hAnsi="仿宋" w:eastAsia="仿宋"/>
          <w:b w:val="0"/>
          <w:bCs w:val="0"/>
          <w:sz w:val="32"/>
          <w:szCs w:val="32"/>
        </w:rPr>
        <w:t>6.</w:t>
      </w:r>
      <w:r>
        <w:rPr>
          <w:rFonts w:hint="eastAsia" w:ascii="仿宋" w:hAnsi="仿宋" w:eastAsia="仿宋"/>
          <w:b w:val="0"/>
          <w:bCs w:val="0"/>
          <w:sz w:val="32"/>
          <w:szCs w:val="32"/>
        </w:rPr>
        <w:t>卫生健康</w:t>
      </w:r>
      <w:r>
        <w:rPr>
          <w:rStyle w:val="18"/>
          <w:rFonts w:hint="eastAsia" w:ascii="仿宋" w:hAnsi="仿宋" w:eastAsia="仿宋"/>
          <w:b w:val="0"/>
          <w:bCs w:val="0"/>
          <w:sz w:val="32"/>
          <w:szCs w:val="32"/>
        </w:rPr>
        <w:t>（类）行政事业单位医疗（款）行政单位医疗（项）</w:t>
      </w:r>
      <w:r>
        <w:rPr>
          <w:rStyle w:val="18"/>
          <w:rFonts w:ascii="仿宋" w:hAnsi="仿宋" w:eastAsia="仿宋"/>
          <w:b w:val="0"/>
          <w:bCs w:val="0"/>
          <w:sz w:val="32"/>
          <w:szCs w:val="32"/>
        </w:rPr>
        <w:t>:</w:t>
      </w:r>
      <w:r>
        <w:rPr>
          <w:rStyle w:val="18"/>
          <w:rFonts w:hint="eastAsia" w:ascii="仿宋" w:hAnsi="仿宋" w:eastAsia="仿宋"/>
          <w:b w:val="0"/>
          <w:bCs w:val="0"/>
          <w:sz w:val="32"/>
          <w:szCs w:val="32"/>
        </w:rPr>
        <w:t>支出决算为14.2万元，完成预算100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566B673A">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卫生健康</w:t>
      </w:r>
      <w:r>
        <w:rPr>
          <w:rStyle w:val="18"/>
          <w:rFonts w:hint="eastAsia" w:ascii="仿宋" w:hAnsi="仿宋" w:eastAsia="仿宋"/>
          <w:b w:val="0"/>
          <w:bCs w:val="0"/>
          <w:sz w:val="32"/>
          <w:szCs w:val="32"/>
        </w:rPr>
        <w:t>（类）行政事业单位医疗（款）事业单位医疗（项）</w:t>
      </w:r>
      <w:r>
        <w:rPr>
          <w:rStyle w:val="18"/>
          <w:rFonts w:ascii="仿宋" w:hAnsi="仿宋" w:eastAsia="仿宋"/>
          <w:b w:val="0"/>
          <w:bCs w:val="0"/>
          <w:sz w:val="32"/>
          <w:szCs w:val="32"/>
        </w:rPr>
        <w:t>:</w:t>
      </w:r>
      <w:r>
        <w:rPr>
          <w:rStyle w:val="18"/>
          <w:rFonts w:hint="eastAsia" w:ascii="仿宋" w:hAnsi="仿宋" w:eastAsia="仿宋"/>
          <w:b w:val="0"/>
          <w:bCs w:val="0"/>
          <w:sz w:val="32"/>
          <w:szCs w:val="32"/>
        </w:rPr>
        <w:t>支出决算为9.26万元，完成预算100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601C8FFA">
      <w:pPr>
        <w:pStyle w:val="2"/>
        <w:pageBreakBefore w:val="0"/>
        <w:kinsoku/>
        <w:wordWrap/>
        <w:overflowPunct/>
        <w:topLinePunct w:val="0"/>
        <w:bidi w:val="0"/>
        <w:spacing w:before="93"/>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卫生健康</w:t>
      </w:r>
      <w:r>
        <w:rPr>
          <w:rStyle w:val="18"/>
          <w:rFonts w:hint="eastAsia" w:ascii="仿宋" w:hAnsi="仿宋" w:eastAsia="仿宋"/>
          <w:b w:val="0"/>
          <w:bCs w:val="0"/>
          <w:sz w:val="32"/>
          <w:szCs w:val="32"/>
        </w:rPr>
        <w:t>（类）行政事业单位医疗（款）公务员医疗补助（项）</w:t>
      </w:r>
      <w:r>
        <w:rPr>
          <w:rStyle w:val="18"/>
          <w:rFonts w:ascii="仿宋" w:hAnsi="仿宋" w:eastAsia="仿宋"/>
          <w:b w:val="0"/>
          <w:bCs w:val="0"/>
          <w:sz w:val="32"/>
          <w:szCs w:val="32"/>
        </w:rPr>
        <w:t>:</w:t>
      </w:r>
      <w:r>
        <w:rPr>
          <w:rStyle w:val="18"/>
          <w:rFonts w:hint="eastAsia" w:ascii="仿宋" w:hAnsi="仿宋" w:eastAsia="仿宋"/>
          <w:b w:val="0"/>
          <w:bCs w:val="0"/>
          <w:sz w:val="32"/>
          <w:szCs w:val="32"/>
        </w:rPr>
        <w:t>支出决算为2.1万元，完成预算100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20721BA1">
      <w:pPr>
        <w:pStyle w:val="2"/>
        <w:pageBreakBefore w:val="0"/>
        <w:kinsoku/>
        <w:wordWrap/>
        <w:overflowPunct/>
        <w:topLinePunct w:val="0"/>
        <w:bidi w:val="0"/>
        <w:spacing w:before="93"/>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卫生健康</w:t>
      </w:r>
      <w:r>
        <w:rPr>
          <w:rStyle w:val="18"/>
          <w:rFonts w:hint="eastAsia" w:ascii="仿宋" w:hAnsi="仿宋" w:eastAsia="仿宋"/>
          <w:b w:val="0"/>
          <w:bCs w:val="0"/>
          <w:sz w:val="32"/>
          <w:szCs w:val="32"/>
        </w:rPr>
        <w:t>（类）行政事业单位医疗（款）其他行政事业单位医疗支出（项）</w:t>
      </w:r>
      <w:r>
        <w:rPr>
          <w:rStyle w:val="18"/>
          <w:rFonts w:ascii="仿宋" w:hAnsi="仿宋" w:eastAsia="仿宋"/>
          <w:b w:val="0"/>
          <w:bCs w:val="0"/>
          <w:sz w:val="32"/>
          <w:szCs w:val="32"/>
        </w:rPr>
        <w:t>:</w:t>
      </w:r>
      <w:r>
        <w:rPr>
          <w:rStyle w:val="18"/>
          <w:rFonts w:hint="eastAsia" w:ascii="仿宋" w:hAnsi="仿宋" w:eastAsia="仿宋"/>
          <w:b w:val="0"/>
          <w:bCs w:val="0"/>
          <w:sz w:val="32"/>
          <w:szCs w:val="32"/>
        </w:rPr>
        <w:t>支出决算为0.75万元，完成预算100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02D5ADDC">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7.农林水支出（类）农业农村（款）行政运行（项）：</w:t>
      </w:r>
      <w:r>
        <w:rPr>
          <w:rStyle w:val="18"/>
          <w:rFonts w:hint="eastAsia" w:ascii="仿宋" w:hAnsi="仿宋" w:eastAsia="仿宋"/>
          <w:b w:val="0"/>
          <w:bCs w:val="0"/>
          <w:sz w:val="32"/>
          <w:szCs w:val="32"/>
        </w:rPr>
        <w:t>支出决算为331.36万元，完成预算100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345F867D">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农林水支出（类）农业农村（款）事业运行（项）：</w:t>
      </w:r>
      <w:r>
        <w:rPr>
          <w:rStyle w:val="18"/>
          <w:rFonts w:hint="eastAsia" w:ascii="仿宋" w:hAnsi="仿宋" w:eastAsia="仿宋"/>
          <w:b w:val="0"/>
          <w:bCs w:val="0"/>
          <w:sz w:val="32"/>
          <w:szCs w:val="32"/>
        </w:rPr>
        <w:t>支出决算为146.76万元，完成预算100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22B41977">
      <w:pPr>
        <w:pageBreakBefore w:val="0"/>
        <w:kinsoku/>
        <w:wordWrap/>
        <w:overflowPunct/>
        <w:topLinePunct w:val="0"/>
        <w:bidi w:val="0"/>
        <w:spacing w:line="600" w:lineRule="exact"/>
        <w:ind w:firstLine="640" w:firstLineChars="200"/>
        <w:textAlignment w:val="auto"/>
        <w:rPr>
          <w:rFonts w:ascii="仿宋" w:hAnsi="仿宋" w:eastAsia="仿宋"/>
          <w:b w:val="0"/>
          <w:bCs w:val="0"/>
          <w:sz w:val="32"/>
          <w:szCs w:val="32"/>
        </w:rPr>
      </w:pPr>
      <w:r>
        <w:rPr>
          <w:rFonts w:hint="eastAsia" w:ascii="仿宋_GB2312" w:eastAsia="仿宋_GB2312"/>
          <w:b w:val="0"/>
          <w:bCs w:val="0"/>
          <w:sz w:val="32"/>
          <w:szCs w:val="32"/>
        </w:rPr>
        <w:t>农林水（类）农业农村（款）病虫害控制（项）：支出决算为0.58万元，完成预算100%，决算数等于预算数。</w:t>
      </w:r>
    </w:p>
    <w:p w14:paraId="44686B4E">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农林水支出（类）农业农村（款）其他农业农村支出（项）：</w:t>
      </w:r>
      <w:r>
        <w:rPr>
          <w:rStyle w:val="18"/>
          <w:rFonts w:hint="eastAsia" w:ascii="仿宋" w:hAnsi="仿宋" w:eastAsia="仿宋"/>
          <w:b w:val="0"/>
          <w:bCs w:val="0"/>
          <w:sz w:val="32"/>
          <w:szCs w:val="32"/>
        </w:rPr>
        <w:t>支出决算为583.6万元，完成预算100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088E8516">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农林水支出（类）农村综合改革（款）对村级公益事业建设的补助（项）：</w:t>
      </w:r>
      <w:r>
        <w:rPr>
          <w:rStyle w:val="18"/>
          <w:rFonts w:hint="eastAsia" w:ascii="仿宋" w:hAnsi="仿宋" w:eastAsia="仿宋"/>
          <w:b w:val="0"/>
          <w:bCs w:val="0"/>
          <w:sz w:val="32"/>
          <w:szCs w:val="32"/>
        </w:rPr>
        <w:t>支出决算为80万元，完成预算100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2F6EBD0A">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b w:val="0"/>
          <w:bCs w:val="0"/>
          <w:sz w:val="32"/>
          <w:szCs w:val="32"/>
        </w:rPr>
        <w:t xml:space="preserve">    </w:t>
      </w:r>
      <w:r>
        <w:rPr>
          <w:rFonts w:hint="eastAsia" w:ascii="仿宋" w:hAnsi="仿宋" w:eastAsia="仿宋"/>
          <w:b w:val="0"/>
          <w:bCs w:val="0"/>
          <w:sz w:val="32"/>
          <w:szCs w:val="32"/>
        </w:rPr>
        <w:t>农林水支出（类）普惠金融发展支出（款）农业保险保费支出（项）：</w:t>
      </w:r>
      <w:r>
        <w:rPr>
          <w:rStyle w:val="18"/>
          <w:rFonts w:hint="eastAsia" w:ascii="仿宋" w:hAnsi="仿宋" w:eastAsia="仿宋"/>
          <w:b w:val="0"/>
          <w:bCs w:val="0"/>
          <w:sz w:val="32"/>
          <w:szCs w:val="32"/>
        </w:rPr>
        <w:t>支出决算为11.22万元，完成预算100</w:t>
      </w:r>
      <w:r>
        <w:rPr>
          <w:rStyle w:val="18"/>
          <w:rFonts w:ascii="仿宋" w:hAnsi="仿宋" w:eastAsia="仿宋"/>
          <w:b w:val="0"/>
          <w:bCs w:val="0"/>
          <w:sz w:val="32"/>
          <w:szCs w:val="32"/>
        </w:rPr>
        <w:t>%</w:t>
      </w:r>
      <w:r>
        <w:rPr>
          <w:rStyle w:val="18"/>
          <w:rFonts w:hint="eastAsia" w:ascii="仿宋" w:hAnsi="仿宋" w:eastAsia="仿宋"/>
          <w:b w:val="0"/>
          <w:bCs w:val="0"/>
          <w:sz w:val="32"/>
          <w:szCs w:val="32"/>
        </w:rPr>
        <w:t>，决算数等于预算数。</w:t>
      </w:r>
    </w:p>
    <w:p w14:paraId="2E11012C">
      <w:pPr>
        <w:pStyle w:val="2"/>
        <w:pageBreakBefore w:val="0"/>
        <w:kinsoku/>
        <w:wordWrap/>
        <w:overflowPunct/>
        <w:topLinePunct w:val="0"/>
        <w:bidi w:val="0"/>
        <w:spacing w:before="93"/>
        <w:ind w:firstLine="600" w:firstLineChars="200"/>
        <w:textAlignment w:val="auto"/>
      </w:pPr>
      <w:r>
        <w:rPr>
          <w:rFonts w:hint="eastAsia"/>
        </w:rPr>
        <w:t>8.交通运输支出（类）公路水路运输（款）其他公路水路运输支出（项）：支出决算为137万元，完成预算100%，决算数等于预算数。</w:t>
      </w:r>
    </w:p>
    <w:p w14:paraId="1A26582D">
      <w:pPr>
        <w:pStyle w:val="2"/>
        <w:pageBreakBefore w:val="0"/>
        <w:kinsoku/>
        <w:wordWrap/>
        <w:overflowPunct/>
        <w:topLinePunct w:val="0"/>
        <w:bidi w:val="0"/>
        <w:spacing w:before="93"/>
        <w:ind w:firstLine="600" w:firstLineChars="200"/>
        <w:textAlignment w:val="auto"/>
      </w:pPr>
      <w:r>
        <w:rPr>
          <w:rFonts w:hint="eastAsia"/>
        </w:rPr>
        <w:t>交通运输支出（类）其他交通运输支出（款）其他交通运输支出（项）：支出决算为104.8万元，完成预算100%，决算数等于预算数。</w:t>
      </w:r>
    </w:p>
    <w:p w14:paraId="6F88B467">
      <w:pPr>
        <w:pStyle w:val="2"/>
        <w:pageBreakBefore w:val="0"/>
        <w:kinsoku/>
        <w:wordWrap/>
        <w:overflowPunct/>
        <w:topLinePunct w:val="0"/>
        <w:bidi w:val="0"/>
        <w:spacing w:before="93"/>
        <w:ind w:firstLine="600" w:firstLineChars="200"/>
        <w:textAlignment w:val="auto"/>
        <w:rPr>
          <w:rStyle w:val="18"/>
          <w:rFonts w:ascii="仿宋" w:hAnsi="仿宋" w:eastAsia="仿宋"/>
          <w:b w:val="0"/>
          <w:bCs/>
          <w:sz w:val="32"/>
          <w:szCs w:val="32"/>
        </w:rPr>
      </w:pPr>
      <w:r>
        <w:rPr>
          <w:rFonts w:hint="eastAsia"/>
        </w:rPr>
        <w:t>9.住房保障支出（类）住房改革支出（款）住房公积金（项）：支出决算为38.27万元，完成预算100%，决算数等于预算数。</w:t>
      </w:r>
    </w:p>
    <w:p w14:paraId="156B7907">
      <w:pPr>
        <w:pageBreakBefore w:val="0"/>
        <w:tabs>
          <w:tab w:val="right" w:pos="8306"/>
        </w:tabs>
        <w:kinsoku/>
        <w:wordWrap/>
        <w:overflowPunct/>
        <w:topLinePunct w:val="0"/>
        <w:bidi w:val="0"/>
        <w:spacing w:line="600" w:lineRule="exact"/>
        <w:ind w:firstLine="640" w:firstLineChars="200"/>
        <w:textAlignment w:val="auto"/>
        <w:outlineLvl w:val="1"/>
        <w:rPr>
          <w:rStyle w:val="31"/>
        </w:rPr>
      </w:pPr>
      <w:bookmarkStart w:id="51" w:name="_Toc15377214"/>
      <w:bookmarkStart w:id="52" w:name="_Toc11008"/>
      <w:bookmarkStart w:id="53"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1"/>
          <w:rFonts w:hint="eastAsia" w:ascii="黑体" w:hAnsi="黑体" w:eastAsia="黑体"/>
          <w:b w:val="0"/>
        </w:rPr>
        <w:t>般公共预算财政拨款基本支出决算情况说明</w:t>
      </w:r>
      <w:bookmarkEnd w:id="51"/>
      <w:bookmarkEnd w:id="52"/>
      <w:bookmarkEnd w:id="53"/>
      <w:r>
        <w:rPr>
          <w:rStyle w:val="31"/>
          <w:rFonts w:ascii="黑体" w:hAnsi="黑体" w:eastAsia="黑体"/>
          <w:b w:val="0"/>
        </w:rPr>
        <w:tab/>
      </w:r>
    </w:p>
    <w:p w14:paraId="1D87F839">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22年一般公共预算财政拨款基本支出584.34万元，其中：</w:t>
      </w:r>
    </w:p>
    <w:p w14:paraId="1864AA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人员经费532.38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55F0EC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公用经费43.85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28A968A">
      <w:pPr>
        <w:pageBreakBefore w:val="0"/>
        <w:kinsoku/>
        <w:wordWrap/>
        <w:overflowPunct/>
        <w:topLinePunct w:val="0"/>
        <w:bidi w:val="0"/>
        <w:spacing w:line="600" w:lineRule="exact"/>
        <w:ind w:firstLine="640" w:firstLineChars="200"/>
        <w:textAlignment w:val="auto"/>
        <w:outlineLvl w:val="1"/>
        <w:rPr>
          <w:rStyle w:val="31"/>
          <w:rFonts w:ascii="黑体" w:hAnsi="黑体" w:eastAsia="黑体"/>
          <w:b w:val="0"/>
        </w:rPr>
      </w:pPr>
      <w:bookmarkStart w:id="54" w:name="_Toc15396609"/>
      <w:bookmarkStart w:id="55" w:name="_Toc29884"/>
      <w:bookmarkStart w:id="56" w:name="_Toc15377215"/>
      <w:r>
        <w:rPr>
          <w:rFonts w:hint="eastAsia" w:ascii="黑体" w:eastAsia="黑体"/>
          <w:sz w:val="32"/>
          <w:szCs w:val="32"/>
        </w:rPr>
        <w:t>七、</w:t>
      </w:r>
      <w:r>
        <w:rPr>
          <w:rStyle w:val="31"/>
          <w:rFonts w:hint="eastAsia" w:ascii="黑体" w:hAnsi="黑体" w:eastAsia="黑体"/>
          <w:b w:val="0"/>
        </w:rPr>
        <w:t>财政拨款</w:t>
      </w:r>
      <w:r>
        <w:rPr>
          <w:rStyle w:val="31"/>
          <w:rFonts w:hint="eastAsia" w:ascii="黑体" w:hAnsi="黑体" w:eastAsia="黑体"/>
        </w:rPr>
        <w:t>“</w:t>
      </w:r>
      <w:r>
        <w:rPr>
          <w:rStyle w:val="31"/>
          <w:rFonts w:hint="eastAsia" w:ascii="黑体" w:hAnsi="黑体" w:eastAsia="黑体"/>
          <w:b w:val="0"/>
        </w:rPr>
        <w:t>三公”经费支出决算情况说明</w:t>
      </w:r>
      <w:bookmarkEnd w:id="54"/>
      <w:bookmarkEnd w:id="55"/>
      <w:bookmarkEnd w:id="56"/>
    </w:p>
    <w:p w14:paraId="383AFFF1">
      <w:pPr>
        <w:pageBreakBefore w:val="0"/>
        <w:kinsoku/>
        <w:wordWrap/>
        <w:overflowPunct/>
        <w:topLinePunct w:val="0"/>
        <w:bidi w:val="0"/>
        <w:spacing w:line="600" w:lineRule="exact"/>
        <w:ind w:firstLine="643" w:firstLineChars="200"/>
        <w:textAlignment w:val="auto"/>
        <w:outlineLvl w:val="2"/>
        <w:rPr>
          <w:rFonts w:ascii="仿宋" w:hAnsi="仿宋" w:eastAsia="仿宋"/>
          <w:b/>
          <w:sz w:val="32"/>
          <w:szCs w:val="32"/>
        </w:rPr>
      </w:pPr>
      <w:bookmarkStart w:id="57" w:name="_Toc15377216"/>
      <w:r>
        <w:rPr>
          <w:rFonts w:hint="eastAsia" w:ascii="仿宋" w:hAnsi="仿宋" w:eastAsia="仿宋"/>
          <w:b/>
          <w:sz w:val="32"/>
          <w:szCs w:val="32"/>
        </w:rPr>
        <w:t>（一）“三公”经费财政拨款支出决算总体情况说明</w:t>
      </w:r>
      <w:bookmarkEnd w:id="57"/>
    </w:p>
    <w:p w14:paraId="220CF82C">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22年“三公”经费财政拨款支出决算为4.84万元，完成预算100</w:t>
      </w:r>
      <w:r>
        <w:rPr>
          <w:rFonts w:ascii="仿宋" w:hAnsi="仿宋" w:eastAsia="仿宋"/>
          <w:sz w:val="32"/>
          <w:szCs w:val="32"/>
        </w:rPr>
        <w:t>%</w:t>
      </w:r>
      <w:r>
        <w:rPr>
          <w:rFonts w:hint="eastAsia" w:ascii="仿宋" w:hAnsi="仿宋" w:eastAsia="仿宋"/>
          <w:sz w:val="32"/>
          <w:szCs w:val="32"/>
        </w:rPr>
        <w:t>，较上年减少0.99万元，下降17%。决算数小于预算数的主要原因是</w:t>
      </w:r>
      <w:r>
        <w:rPr>
          <w:rFonts w:hint="eastAsia" w:ascii="仿宋" w:hAnsi="仿宋" w:eastAsia="仿宋"/>
          <w:sz w:val="32"/>
          <w:szCs w:val="32"/>
          <w:lang w:eastAsia="zh-CN"/>
        </w:rPr>
        <w:t>厉行节约</w:t>
      </w:r>
      <w:r>
        <w:rPr>
          <w:rFonts w:hint="eastAsia" w:ascii="仿宋" w:hAnsi="仿宋" w:eastAsia="仿宋"/>
          <w:sz w:val="32"/>
          <w:szCs w:val="32"/>
        </w:rPr>
        <w:t>，下调公务接待费及公车运行费。</w:t>
      </w:r>
    </w:p>
    <w:p w14:paraId="4B4B7FB7">
      <w:pPr>
        <w:pageBreakBefore w:val="0"/>
        <w:kinsoku/>
        <w:wordWrap/>
        <w:overflowPunct/>
        <w:topLinePunct w:val="0"/>
        <w:bidi w:val="0"/>
        <w:spacing w:line="600" w:lineRule="exact"/>
        <w:ind w:firstLine="643" w:firstLineChars="200"/>
        <w:textAlignment w:val="auto"/>
        <w:outlineLvl w:val="2"/>
        <w:rPr>
          <w:rFonts w:ascii="仿宋" w:hAnsi="仿宋" w:eastAsia="仿宋"/>
          <w:b/>
          <w:sz w:val="32"/>
          <w:szCs w:val="32"/>
        </w:rPr>
      </w:pPr>
      <w:bookmarkStart w:id="58" w:name="_Toc15377217"/>
      <w:r>
        <w:rPr>
          <w:rFonts w:hint="eastAsia" w:ascii="仿宋" w:hAnsi="仿宋" w:eastAsia="仿宋"/>
          <w:b/>
          <w:sz w:val="32"/>
          <w:szCs w:val="32"/>
        </w:rPr>
        <w:t>（二）“三公”经费财政拨款支出决算具体情况说明</w:t>
      </w:r>
      <w:bookmarkEnd w:id="58"/>
    </w:p>
    <w:p w14:paraId="0C39C60B">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ascii="仿宋" w:hAnsi="仿宋" w:eastAsia="仿宋"/>
          <w:sz w:val="32"/>
          <w:szCs w:val="32"/>
        </w:rPr>
        <w:t>20</w:t>
      </w:r>
      <w:r>
        <w:rPr>
          <w:rFonts w:hint="eastAsia" w:ascii="仿宋" w:hAnsi="仿宋" w:eastAsia="仿宋"/>
          <w:sz w:val="32"/>
          <w:szCs w:val="32"/>
        </w:rPr>
        <w:t>22年“三公”经费财政拨款支出决算中，因公出国（境）费支出决算0万元，占0</w:t>
      </w:r>
      <w:r>
        <w:rPr>
          <w:rFonts w:ascii="仿宋" w:hAnsi="仿宋" w:eastAsia="仿宋"/>
          <w:sz w:val="32"/>
          <w:szCs w:val="32"/>
        </w:rPr>
        <w:t>%</w:t>
      </w:r>
      <w:r>
        <w:rPr>
          <w:rFonts w:hint="eastAsia" w:ascii="仿宋" w:hAnsi="仿宋" w:eastAsia="仿宋"/>
          <w:sz w:val="32"/>
          <w:szCs w:val="32"/>
        </w:rPr>
        <w:t>；公务用车购置及运行维护费支出决算4.38万元，占90.5</w:t>
      </w:r>
      <w:r>
        <w:rPr>
          <w:rFonts w:ascii="仿宋" w:hAnsi="仿宋" w:eastAsia="仿宋"/>
          <w:sz w:val="32"/>
          <w:szCs w:val="32"/>
        </w:rPr>
        <w:t>%</w:t>
      </w:r>
      <w:r>
        <w:rPr>
          <w:rFonts w:hint="eastAsia" w:ascii="仿宋" w:hAnsi="仿宋" w:eastAsia="仿宋"/>
          <w:sz w:val="32"/>
          <w:szCs w:val="32"/>
        </w:rPr>
        <w:t>；公务接待费支出决算0.46万元，占9.5</w:t>
      </w:r>
      <w:r>
        <w:rPr>
          <w:rFonts w:ascii="仿宋" w:hAnsi="仿宋" w:eastAsia="仿宋"/>
          <w:sz w:val="32"/>
          <w:szCs w:val="32"/>
        </w:rPr>
        <w:t>%</w:t>
      </w:r>
      <w:r>
        <w:rPr>
          <w:rFonts w:hint="eastAsia" w:ascii="仿宋" w:hAnsi="仿宋" w:eastAsia="仿宋"/>
          <w:sz w:val="32"/>
          <w:szCs w:val="32"/>
        </w:rPr>
        <w:t>。具体情况如下：</w:t>
      </w:r>
    </w:p>
    <w:p w14:paraId="5E99D405">
      <w:pPr>
        <w:pageBreakBefore w:val="0"/>
        <w:kinsoku/>
        <w:wordWrap/>
        <w:overflowPunct/>
        <w:topLinePunct w:val="0"/>
        <w:bidi w:val="0"/>
        <w:spacing w:line="600" w:lineRule="exact"/>
        <w:ind w:firstLine="640" w:firstLineChars="200"/>
        <w:textAlignment w:val="auto"/>
        <w:rPr>
          <w:rFonts w:ascii="仿宋" w:hAnsi="仿宋" w:eastAsia="仿宋"/>
          <w:sz w:val="32"/>
          <w:szCs w:val="32"/>
        </w:rPr>
      </w:pPr>
      <w:r>
        <w:rPr>
          <w:rFonts w:hint="eastAsia" w:ascii="仿宋" w:hAnsi="仿宋" w:eastAsia="仿宋"/>
          <w:sz w:val="32"/>
          <w:szCs w:val="32"/>
        </w:rPr>
        <w:t>（图7：“三公”经费财政拨款支出结构）（饼状图）</w:t>
      </w:r>
    </w:p>
    <w:p w14:paraId="40B8A27B">
      <w:pPr>
        <w:pStyle w:val="2"/>
        <w:pageBreakBefore w:val="0"/>
        <w:kinsoku/>
        <w:wordWrap/>
        <w:overflowPunct/>
        <w:topLinePunct w:val="0"/>
        <w:bidi w:val="0"/>
        <w:spacing w:before="93"/>
        <w:ind w:firstLine="600" w:firstLineChars="200"/>
        <w:textAlignment w:val="auto"/>
      </w:pPr>
      <w:r>
        <w:drawing>
          <wp:inline distT="0" distB="0" distL="0" distR="0">
            <wp:extent cx="3086100" cy="1971675"/>
            <wp:effectExtent l="19050" t="0" r="1905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114164">
      <w:pPr>
        <w:pageBreakBefore w:val="0"/>
        <w:kinsoku/>
        <w:wordWrap/>
        <w:overflowPunct/>
        <w:topLinePunct w:val="0"/>
        <w:bidi w:val="0"/>
        <w:spacing w:line="600" w:lineRule="exact"/>
        <w:ind w:firstLine="643" w:firstLineChars="200"/>
        <w:textAlignment w:val="auto"/>
        <w:rPr>
          <w:rFonts w:ascii="仿宋_GB2312" w:eastAsia="仿宋_GB2312"/>
          <w:b/>
          <w:sz w:val="32"/>
          <w:szCs w:val="32"/>
        </w:rPr>
      </w:pPr>
      <w:r>
        <w:rPr>
          <w:rFonts w:ascii="仿宋_GB2312" w:eastAsia="仿宋_GB2312"/>
          <w:b/>
          <w:sz w:val="32"/>
          <w:szCs w:val="32"/>
        </w:rPr>
        <w:t>1.</w:t>
      </w:r>
      <w:r>
        <w:rPr>
          <w:rFonts w:hint="eastAsia" w:ascii="仿宋_GB2312" w:eastAsia="仿宋_GB2312"/>
          <w:b/>
          <w:sz w:val="32"/>
          <w:szCs w:val="32"/>
        </w:rPr>
        <w:t>因公出国（境）经费支出0</w:t>
      </w:r>
      <w:r>
        <w:rPr>
          <w:rFonts w:hint="eastAsia" w:ascii="仿宋_GB2312" w:eastAsia="仿宋_GB2312"/>
          <w:sz w:val="32"/>
          <w:szCs w:val="32"/>
        </w:rPr>
        <w:t>万元，</w:t>
      </w:r>
      <w:r>
        <w:rPr>
          <w:rStyle w:val="18"/>
          <w:rFonts w:hint="eastAsia" w:ascii="仿宋" w:hAnsi="仿宋" w:eastAsia="仿宋"/>
          <w:b w:val="0"/>
          <w:bCs/>
          <w:sz w:val="32"/>
          <w:szCs w:val="32"/>
        </w:rPr>
        <w:t>完成预算0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全年安排因公出国（境）团组0次，出国（境）0人。因公出国（境）支出决算比</w:t>
      </w:r>
      <w:r>
        <w:rPr>
          <w:rFonts w:ascii="仿宋_GB2312" w:eastAsia="仿宋_GB2312"/>
          <w:sz w:val="32"/>
          <w:szCs w:val="32"/>
        </w:rPr>
        <w:t>20</w:t>
      </w:r>
      <w:r>
        <w:rPr>
          <w:rFonts w:hint="eastAsia" w:ascii="仿宋_GB2312" w:eastAsia="仿宋_GB2312"/>
          <w:sz w:val="32"/>
          <w:szCs w:val="32"/>
        </w:rPr>
        <w:t>21年增加0万元，增长0</w:t>
      </w:r>
      <w:r>
        <w:rPr>
          <w:rFonts w:ascii="仿宋_GB2312" w:eastAsia="仿宋_GB2312"/>
          <w:sz w:val="32"/>
          <w:szCs w:val="32"/>
        </w:rPr>
        <w:t>%</w:t>
      </w:r>
      <w:r>
        <w:rPr>
          <w:rFonts w:hint="eastAsia" w:ascii="仿宋_GB2312" w:eastAsia="仿宋_GB2312"/>
          <w:sz w:val="32"/>
          <w:szCs w:val="32"/>
        </w:rPr>
        <w:t>。主要原因是无此预算。</w:t>
      </w:r>
    </w:p>
    <w:p w14:paraId="39AF4744">
      <w:pPr>
        <w:pageBreakBefore w:val="0"/>
        <w:kinsoku/>
        <w:wordWrap/>
        <w:overflowPunct/>
        <w:topLinePunct w:val="0"/>
        <w:bidi w:val="0"/>
        <w:spacing w:line="600" w:lineRule="exact"/>
        <w:ind w:firstLine="643" w:firstLineChars="200"/>
        <w:textAlignment w:val="auto"/>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公务用车购置及运行维护费支出4.38</w:t>
      </w:r>
      <w:r>
        <w:rPr>
          <w:rFonts w:hint="eastAsia" w:ascii="仿宋_GB2312" w:eastAsia="仿宋_GB2312"/>
          <w:sz w:val="32"/>
          <w:szCs w:val="32"/>
        </w:rPr>
        <w:t>万元,</w:t>
      </w:r>
      <w:r>
        <w:rPr>
          <w:rStyle w:val="18"/>
          <w:rFonts w:hint="eastAsia" w:ascii="仿宋" w:hAnsi="仿宋" w:eastAsia="仿宋"/>
          <w:b w:val="0"/>
          <w:bCs/>
          <w:sz w:val="32"/>
          <w:szCs w:val="32"/>
        </w:rPr>
        <w:t>完成预算100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公务用车购置及运行维护费支出决算比</w:t>
      </w:r>
      <w:r>
        <w:rPr>
          <w:rFonts w:ascii="仿宋_GB2312" w:eastAsia="仿宋_GB2312"/>
          <w:sz w:val="32"/>
          <w:szCs w:val="32"/>
        </w:rPr>
        <w:t>20</w:t>
      </w:r>
      <w:r>
        <w:rPr>
          <w:rFonts w:hint="eastAsia" w:ascii="仿宋_GB2312" w:eastAsia="仿宋_GB2312"/>
          <w:sz w:val="32"/>
          <w:szCs w:val="32"/>
        </w:rPr>
        <w:t>21年减少0.85万元，下降16</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厉行节约</w:t>
      </w:r>
      <w:r>
        <w:rPr>
          <w:rFonts w:hint="eastAsia" w:ascii="仿宋_GB2312" w:eastAsia="仿宋_GB2312"/>
          <w:sz w:val="32"/>
          <w:szCs w:val="32"/>
        </w:rPr>
        <w:t>，下调公务车运行维护费。</w:t>
      </w:r>
    </w:p>
    <w:p w14:paraId="367E35EC">
      <w:pPr>
        <w:pageBreakBefore w:val="0"/>
        <w:kinsoku/>
        <w:wordWrap/>
        <w:overflowPunct/>
        <w:topLinePunct w:val="0"/>
        <w:bidi w:val="0"/>
        <w:spacing w:line="600" w:lineRule="exact"/>
        <w:ind w:firstLine="640" w:firstLineChars="200"/>
        <w:textAlignment w:val="auto"/>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公务用车购置支出0</w:t>
      </w:r>
      <w:r>
        <w:rPr>
          <w:rFonts w:hint="eastAsia" w:ascii="仿宋_GB2312" w:eastAsia="仿宋_GB2312"/>
          <w:sz w:val="32"/>
          <w:szCs w:val="32"/>
        </w:rPr>
        <w:t>万元。全年按规定更新购置公务用车0辆，其中：轿车0辆、金额0万元，越野车0辆、金额0万元，载客汽车0辆、金额0万元。截至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月底，单位共有公务用车3辆，其中：轿车1辆、越野车1辆、载客汽车0辆、货车1辆。</w:t>
      </w:r>
    </w:p>
    <w:p w14:paraId="6F0C4411">
      <w:pPr>
        <w:pageBreakBefore w:val="0"/>
        <w:kinsoku/>
        <w:wordWrap/>
        <w:overflowPunct/>
        <w:topLinePunct w:val="0"/>
        <w:bidi w:val="0"/>
        <w:spacing w:line="600" w:lineRule="exact"/>
        <w:ind w:firstLine="643" w:firstLineChars="200"/>
        <w:textAlignment w:val="auto"/>
        <w:rPr>
          <w:rFonts w:ascii="仿宋_GB2312" w:eastAsia="仿宋_GB2312"/>
          <w:sz w:val="32"/>
          <w:szCs w:val="32"/>
        </w:rPr>
      </w:pPr>
      <w:r>
        <w:rPr>
          <w:rFonts w:hint="eastAsia" w:ascii="仿宋_GB2312" w:eastAsia="仿宋_GB2312"/>
          <w:b/>
          <w:sz w:val="32"/>
          <w:szCs w:val="32"/>
        </w:rPr>
        <w:t>公务用车运行维护费支出</w:t>
      </w:r>
      <w:r>
        <w:rPr>
          <w:rFonts w:hint="eastAsia" w:ascii="仿宋_GB2312" w:eastAsia="仿宋_GB2312"/>
          <w:sz w:val="32"/>
          <w:szCs w:val="32"/>
        </w:rPr>
        <w:t>4.38万元。主要用于农业执法、动物防疫等工作等所需的公务用车燃料费、维修费、过路过桥费、保险费等支出。</w:t>
      </w:r>
    </w:p>
    <w:p w14:paraId="3BB09377">
      <w:pPr>
        <w:pageBreakBefore w:val="0"/>
        <w:kinsoku/>
        <w:wordWrap/>
        <w:overflowPunct/>
        <w:topLinePunct w:val="0"/>
        <w:bidi w:val="0"/>
        <w:spacing w:line="600" w:lineRule="exact"/>
        <w:ind w:firstLine="643" w:firstLineChars="200"/>
        <w:textAlignment w:val="auto"/>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公务接待费支出0.46</w:t>
      </w:r>
      <w:r>
        <w:rPr>
          <w:rFonts w:hint="eastAsia" w:ascii="仿宋_GB2312" w:eastAsia="仿宋_GB2312"/>
          <w:sz w:val="32"/>
          <w:szCs w:val="32"/>
        </w:rPr>
        <w:t>万元，</w:t>
      </w:r>
      <w:r>
        <w:rPr>
          <w:rStyle w:val="18"/>
          <w:rFonts w:hint="eastAsia" w:ascii="仿宋" w:hAnsi="仿宋" w:eastAsia="仿宋"/>
          <w:b w:val="0"/>
          <w:bCs/>
          <w:sz w:val="32"/>
          <w:szCs w:val="32"/>
        </w:rPr>
        <w:t>完成预算100</w:t>
      </w:r>
      <w:r>
        <w:rPr>
          <w:rStyle w:val="18"/>
          <w:rFonts w:ascii="仿宋" w:hAnsi="仿宋" w:eastAsia="仿宋"/>
          <w:b w:val="0"/>
          <w:bCs/>
          <w:sz w:val="32"/>
          <w:szCs w:val="32"/>
        </w:rPr>
        <w:t>%</w:t>
      </w:r>
      <w:r>
        <w:rPr>
          <w:rStyle w:val="18"/>
          <w:rFonts w:hint="eastAsia" w:ascii="仿宋" w:hAnsi="仿宋" w:eastAsia="仿宋"/>
          <w:b w:val="0"/>
          <w:bCs/>
          <w:sz w:val="32"/>
          <w:szCs w:val="32"/>
        </w:rPr>
        <w:t>。</w:t>
      </w:r>
      <w:r>
        <w:rPr>
          <w:rFonts w:hint="eastAsia" w:ascii="仿宋_GB2312" w:eastAsia="仿宋_GB2312"/>
          <w:sz w:val="32"/>
          <w:szCs w:val="32"/>
        </w:rPr>
        <w:t>公务接待费支出决算比</w:t>
      </w:r>
      <w:r>
        <w:rPr>
          <w:rFonts w:ascii="仿宋_GB2312" w:eastAsia="仿宋_GB2312"/>
          <w:sz w:val="32"/>
          <w:szCs w:val="32"/>
        </w:rPr>
        <w:t>20</w:t>
      </w:r>
      <w:r>
        <w:rPr>
          <w:rFonts w:hint="eastAsia" w:ascii="仿宋_GB2312" w:eastAsia="仿宋_GB2312"/>
          <w:sz w:val="32"/>
          <w:szCs w:val="32"/>
        </w:rPr>
        <w:t>21年减少0.14万元，下降23</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eastAsia="zh-CN"/>
        </w:rPr>
        <w:t>厉行节约</w:t>
      </w:r>
      <w:r>
        <w:rPr>
          <w:rFonts w:hint="eastAsia" w:ascii="仿宋_GB2312" w:eastAsia="仿宋_GB2312"/>
          <w:sz w:val="32"/>
          <w:szCs w:val="32"/>
        </w:rPr>
        <w:t>，下调公务接待费。其中：</w:t>
      </w:r>
    </w:p>
    <w:p w14:paraId="25F8FD96">
      <w:pPr>
        <w:pageBreakBefore w:val="0"/>
        <w:kinsoku/>
        <w:wordWrap/>
        <w:overflowPunct/>
        <w:topLinePunct w:val="0"/>
        <w:bidi w:val="0"/>
        <w:spacing w:line="600" w:lineRule="exact"/>
        <w:ind w:firstLine="643" w:firstLineChars="200"/>
        <w:textAlignment w:val="auto"/>
        <w:rPr>
          <w:rFonts w:ascii="仿宋_GB2312" w:eastAsia="仿宋_GB2312"/>
          <w:sz w:val="32"/>
          <w:szCs w:val="32"/>
        </w:rPr>
      </w:pPr>
      <w:r>
        <w:rPr>
          <w:rFonts w:hint="eastAsia" w:ascii="仿宋" w:hAnsi="仿宋" w:eastAsia="仿宋"/>
          <w:b/>
          <w:sz w:val="32"/>
          <w:szCs w:val="32"/>
        </w:rPr>
        <w:t>国内公务接待支出0.46</w:t>
      </w:r>
      <w:r>
        <w:rPr>
          <w:rFonts w:hint="eastAsia" w:ascii="仿宋_GB2312" w:eastAsia="仿宋_GB2312"/>
          <w:sz w:val="32"/>
          <w:szCs w:val="32"/>
        </w:rPr>
        <w:t>万元，主要用于交通道路检查督导、农村厕所革命调研、动物疫病春秋两季检查交流餐费。国内公务接待6批次，40人次（不包括陪同人员），共计支出0.46万元，具体内容包括：交通道路养护、建设检查督导0.28万元；农村厕所革命调研0.08万元、动物疫病防控检查餐费0.05万元，屠宰场非洲猪瘟环境样品抽样餐费0.04万元。</w:t>
      </w:r>
    </w:p>
    <w:p w14:paraId="5406BA76">
      <w:pPr>
        <w:pageBreakBefore w:val="0"/>
        <w:kinsoku/>
        <w:wordWrap/>
        <w:overflowPunct/>
        <w:topLinePunct w:val="0"/>
        <w:bidi w:val="0"/>
        <w:spacing w:line="600" w:lineRule="exact"/>
        <w:ind w:firstLine="643" w:firstLineChars="200"/>
        <w:textAlignment w:val="auto"/>
        <w:rPr>
          <w:rFonts w:ascii="仿宋_GB2312" w:eastAsia="仿宋_GB2312"/>
          <w:sz w:val="32"/>
          <w:szCs w:val="32"/>
        </w:rPr>
      </w:pPr>
      <w:r>
        <w:rPr>
          <w:rFonts w:hint="eastAsia" w:ascii="仿宋" w:hAnsi="仿宋" w:eastAsia="仿宋"/>
          <w:b/>
          <w:sz w:val="32"/>
          <w:szCs w:val="32"/>
        </w:rPr>
        <w:t>外事接待支出</w:t>
      </w:r>
      <w:r>
        <w:rPr>
          <w:rFonts w:hint="eastAsia" w:ascii="仿宋" w:hAnsi="仿宋" w:eastAsia="仿宋"/>
          <w:sz w:val="32"/>
          <w:szCs w:val="32"/>
        </w:rPr>
        <w:t>0</w:t>
      </w:r>
      <w:r>
        <w:rPr>
          <w:rFonts w:hint="eastAsia" w:ascii="仿宋_GB2312" w:eastAsia="仿宋_GB2312"/>
          <w:sz w:val="32"/>
          <w:szCs w:val="32"/>
        </w:rPr>
        <w:t>万元。外事接待0批次，0人次（不包括陪同人员），共计支出0万元。</w:t>
      </w:r>
      <w:bookmarkStart w:id="59" w:name="_Toc15377218"/>
      <w:bookmarkStart w:id="60" w:name="_Toc15396610"/>
    </w:p>
    <w:p w14:paraId="1340306B">
      <w:pPr>
        <w:pageBreakBefore w:val="0"/>
        <w:kinsoku/>
        <w:wordWrap/>
        <w:overflowPunct/>
        <w:topLinePunct w:val="0"/>
        <w:bidi w:val="0"/>
        <w:spacing w:line="600" w:lineRule="exact"/>
        <w:ind w:firstLine="640" w:firstLineChars="200"/>
        <w:textAlignment w:val="auto"/>
        <w:outlineLvl w:val="1"/>
        <w:rPr>
          <w:rStyle w:val="31"/>
          <w:rFonts w:ascii="黑体" w:hAnsi="黑体" w:eastAsia="黑体"/>
        </w:rPr>
      </w:pPr>
      <w:bookmarkStart w:id="61" w:name="_Toc29633"/>
      <w:r>
        <w:rPr>
          <w:rFonts w:hint="eastAsia" w:ascii="黑体" w:eastAsia="黑体"/>
          <w:sz w:val="32"/>
          <w:szCs w:val="32"/>
        </w:rPr>
        <w:t>八、</w:t>
      </w:r>
      <w:r>
        <w:rPr>
          <w:rStyle w:val="31"/>
          <w:rFonts w:hint="eastAsia" w:ascii="黑体" w:hAnsi="黑体" w:eastAsia="黑体"/>
          <w:b w:val="0"/>
        </w:rPr>
        <w:t>政府性基金预算支出决算情况说明</w:t>
      </w:r>
      <w:bookmarkEnd w:id="59"/>
      <w:bookmarkEnd w:id="60"/>
      <w:bookmarkEnd w:id="61"/>
    </w:p>
    <w:p w14:paraId="61199B1D">
      <w:pPr>
        <w:pageBreakBefore w:val="0"/>
        <w:kinsoku/>
        <w:wordWrap/>
        <w:overflowPunct/>
        <w:topLinePunct w:val="0"/>
        <w:bidi w:val="0"/>
        <w:spacing w:line="600" w:lineRule="exact"/>
        <w:ind w:firstLine="640" w:firstLineChars="200"/>
        <w:textAlignment w:val="auto"/>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22年政府性基金预算财政拨款支出40.4万元。</w:t>
      </w:r>
    </w:p>
    <w:p w14:paraId="1A44A636">
      <w:pPr>
        <w:pageBreakBefore w:val="0"/>
        <w:kinsoku/>
        <w:wordWrap/>
        <w:overflowPunct/>
        <w:topLinePunct w:val="0"/>
        <w:bidi w:val="0"/>
        <w:spacing w:line="600" w:lineRule="exact"/>
        <w:ind w:firstLine="640" w:firstLineChars="200"/>
        <w:textAlignment w:val="auto"/>
        <w:rPr>
          <w:rFonts w:ascii="仿宋_GB2312" w:eastAsia="仿宋_GB2312"/>
          <w:sz w:val="32"/>
          <w:szCs w:val="32"/>
        </w:rPr>
      </w:pPr>
    </w:p>
    <w:p w14:paraId="69E8B065">
      <w:pPr>
        <w:pageBreakBefore w:val="0"/>
        <w:numPr>
          <w:ilvl w:val="0"/>
          <w:numId w:val="1"/>
        </w:numPr>
        <w:kinsoku/>
        <w:wordWrap/>
        <w:overflowPunct/>
        <w:topLinePunct w:val="0"/>
        <w:bidi w:val="0"/>
        <w:spacing w:line="600" w:lineRule="exact"/>
        <w:ind w:firstLine="640" w:firstLineChars="200"/>
        <w:textAlignment w:val="auto"/>
        <w:outlineLvl w:val="1"/>
        <w:rPr>
          <w:rStyle w:val="31"/>
          <w:rFonts w:ascii="黑体" w:hAnsi="黑体" w:eastAsia="黑体"/>
          <w:b w:val="0"/>
        </w:rPr>
      </w:pPr>
      <w:bookmarkStart w:id="62" w:name="_Toc15396611"/>
      <w:bookmarkStart w:id="63" w:name="_Toc31666"/>
      <w:bookmarkStart w:id="64" w:name="_Toc15377219"/>
      <w:r>
        <w:rPr>
          <w:rStyle w:val="31"/>
          <w:rFonts w:hint="eastAsia" w:ascii="黑体" w:hAnsi="黑体" w:eastAsia="黑体"/>
          <w:b w:val="0"/>
        </w:rPr>
        <w:t>国有资本经营预算支出决算情况说明</w:t>
      </w:r>
      <w:bookmarkEnd w:id="62"/>
      <w:bookmarkEnd w:id="63"/>
      <w:bookmarkEnd w:id="64"/>
    </w:p>
    <w:p w14:paraId="6A8016FE">
      <w:pPr>
        <w:pageBreakBefore w:val="0"/>
        <w:kinsoku/>
        <w:wordWrap/>
        <w:overflowPunct/>
        <w:topLinePunct w:val="0"/>
        <w:bidi w:val="0"/>
        <w:spacing w:line="600" w:lineRule="exact"/>
        <w:ind w:firstLine="640" w:firstLineChars="200"/>
        <w:textAlignment w:val="auto"/>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22年国有资本经营预算财政拨款支出0万元。</w:t>
      </w:r>
    </w:p>
    <w:p w14:paraId="62869053">
      <w:pPr>
        <w:pageBreakBefore w:val="0"/>
        <w:kinsoku/>
        <w:wordWrap/>
        <w:overflowPunct/>
        <w:topLinePunct w:val="0"/>
        <w:bidi w:val="0"/>
        <w:spacing w:line="580" w:lineRule="exact"/>
        <w:ind w:firstLine="880" w:firstLineChars="200"/>
        <w:jc w:val="center"/>
        <w:textAlignment w:val="auto"/>
        <w:rPr>
          <w:rFonts w:ascii="方正小标宋简体" w:hAnsi="方正小标宋简体" w:eastAsia="方正小标宋简体" w:cs="方正小标宋简体"/>
          <w:sz w:val="44"/>
          <w:szCs w:val="44"/>
        </w:rPr>
      </w:pPr>
    </w:p>
    <w:p w14:paraId="6E540D7C">
      <w:pPr>
        <w:pageBreakBefore w:val="0"/>
        <w:numPr>
          <w:ilvl w:val="0"/>
          <w:numId w:val="1"/>
        </w:numPr>
        <w:kinsoku/>
        <w:wordWrap/>
        <w:overflowPunct/>
        <w:topLinePunct w:val="0"/>
        <w:bidi w:val="0"/>
        <w:spacing w:line="600" w:lineRule="exact"/>
        <w:ind w:firstLine="640" w:firstLineChars="200"/>
        <w:textAlignment w:val="auto"/>
        <w:outlineLvl w:val="1"/>
        <w:rPr>
          <w:rStyle w:val="31"/>
          <w:rFonts w:ascii="黑体" w:hAnsi="黑体" w:eastAsia="黑体"/>
          <w:b w:val="0"/>
        </w:rPr>
      </w:pPr>
      <w:bookmarkStart w:id="65" w:name="_Toc18383"/>
      <w:bookmarkStart w:id="66" w:name="_Toc15377221"/>
      <w:bookmarkStart w:id="67" w:name="_Toc15396612"/>
      <w:r>
        <w:rPr>
          <w:rStyle w:val="31"/>
          <w:rFonts w:hint="eastAsia" w:ascii="黑体" w:hAnsi="黑体" w:eastAsia="黑体"/>
          <w:b w:val="0"/>
        </w:rPr>
        <w:t>其他重要事项的情况说明</w:t>
      </w:r>
      <w:bookmarkEnd w:id="65"/>
      <w:bookmarkEnd w:id="66"/>
      <w:bookmarkEnd w:id="67"/>
    </w:p>
    <w:p w14:paraId="3D824ECC">
      <w:pPr>
        <w:pageBreakBefore w:val="0"/>
        <w:kinsoku/>
        <w:wordWrap/>
        <w:overflowPunct/>
        <w:topLinePunct w:val="0"/>
        <w:bidi w:val="0"/>
        <w:spacing w:line="600" w:lineRule="exact"/>
        <w:ind w:firstLine="643" w:firstLineChars="200"/>
        <w:textAlignment w:val="auto"/>
        <w:outlineLvl w:val="2"/>
        <w:rPr>
          <w:rFonts w:ascii="仿宋" w:hAnsi="仿宋" w:eastAsia="仿宋"/>
          <w:sz w:val="32"/>
          <w:szCs w:val="32"/>
        </w:rPr>
      </w:pPr>
      <w:bookmarkStart w:id="68" w:name="_Toc15377222"/>
      <w:r>
        <w:rPr>
          <w:rFonts w:hint="eastAsia" w:ascii="仿宋" w:hAnsi="仿宋" w:eastAsia="仿宋"/>
          <w:b/>
          <w:sz w:val="32"/>
          <w:szCs w:val="32"/>
        </w:rPr>
        <w:t>（一）机关运行经费支出情况</w:t>
      </w:r>
      <w:bookmarkEnd w:id="68"/>
    </w:p>
    <w:p w14:paraId="2AB3CE8B">
      <w:pPr>
        <w:pageBreakBefore w:val="0"/>
        <w:kinsoku/>
        <w:wordWrap/>
        <w:overflowPunct/>
        <w:topLinePunct w:val="0"/>
        <w:bidi w:val="0"/>
        <w:spacing w:line="600" w:lineRule="exact"/>
        <w:ind w:firstLine="640" w:firstLineChars="200"/>
        <w:textAlignment w:val="auto"/>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22年，攀枝花市西区农业农村和交通运输局机关运行经费支出38.89万元，比</w:t>
      </w:r>
      <w:r>
        <w:rPr>
          <w:rFonts w:ascii="仿宋_GB2312" w:eastAsia="仿宋_GB2312"/>
          <w:sz w:val="32"/>
          <w:szCs w:val="32"/>
        </w:rPr>
        <w:t>20</w:t>
      </w:r>
      <w:r>
        <w:rPr>
          <w:rFonts w:hint="eastAsia" w:ascii="仿宋_GB2312" w:eastAsia="仿宋_GB2312"/>
          <w:sz w:val="32"/>
          <w:szCs w:val="32"/>
        </w:rPr>
        <w:t>21年增减少9.57万元，下降19.75</w:t>
      </w:r>
      <w:r>
        <w:rPr>
          <w:rFonts w:ascii="仿宋_GB2312" w:eastAsia="仿宋_GB2312"/>
          <w:sz w:val="32"/>
          <w:szCs w:val="32"/>
        </w:rPr>
        <w:t>%</w:t>
      </w:r>
      <w:r>
        <w:rPr>
          <w:rFonts w:hint="eastAsia" w:ascii="仿宋_GB2312" w:eastAsia="仿宋_GB2312"/>
          <w:sz w:val="32"/>
          <w:szCs w:val="32"/>
        </w:rPr>
        <w:t>。主要原因是 “三公”经费下调，</w:t>
      </w:r>
      <w:r>
        <w:rPr>
          <w:rFonts w:hint="eastAsia" w:ascii="仿宋_GB2312" w:eastAsia="仿宋_GB2312"/>
          <w:sz w:val="32"/>
          <w:szCs w:val="32"/>
          <w:lang w:eastAsia="zh-CN"/>
        </w:rPr>
        <w:t>厉行节约</w:t>
      </w:r>
      <w:r>
        <w:rPr>
          <w:rFonts w:hint="eastAsia" w:ascii="仿宋_GB2312" w:eastAsia="仿宋_GB2312"/>
          <w:sz w:val="32"/>
          <w:szCs w:val="32"/>
        </w:rPr>
        <w:t>严格办公经费管理。</w:t>
      </w:r>
    </w:p>
    <w:p w14:paraId="3DF2AEE6">
      <w:pPr>
        <w:pageBreakBefore w:val="0"/>
        <w:kinsoku/>
        <w:wordWrap/>
        <w:overflowPunct/>
        <w:topLinePunct w:val="0"/>
        <w:autoSpaceDE w:val="0"/>
        <w:autoSpaceDN w:val="0"/>
        <w:bidi w:val="0"/>
        <w:adjustRightInd w:val="0"/>
        <w:spacing w:line="600" w:lineRule="exact"/>
        <w:ind w:firstLine="643" w:firstLineChars="200"/>
        <w:jc w:val="left"/>
        <w:textAlignment w:val="auto"/>
        <w:outlineLvl w:val="2"/>
        <w:rPr>
          <w:rFonts w:ascii="仿宋" w:hAnsi="仿宋" w:eastAsia="仿宋"/>
          <w:b/>
          <w:sz w:val="32"/>
          <w:szCs w:val="32"/>
        </w:rPr>
      </w:pPr>
      <w:bookmarkStart w:id="69" w:name="_Toc15377223"/>
      <w:r>
        <w:rPr>
          <w:rFonts w:hint="eastAsia" w:ascii="仿宋" w:hAnsi="仿宋" w:eastAsia="仿宋"/>
          <w:b/>
          <w:sz w:val="32"/>
          <w:szCs w:val="32"/>
        </w:rPr>
        <w:t>（二）政府采购支出情况</w:t>
      </w:r>
      <w:bookmarkEnd w:id="69"/>
    </w:p>
    <w:p w14:paraId="208120FA">
      <w:pPr>
        <w:pageBreakBefore w:val="0"/>
        <w:kinsoku/>
        <w:wordWrap/>
        <w:overflowPunct/>
        <w:topLinePunct w:val="0"/>
        <w:bidi w:val="0"/>
        <w:spacing w:line="600" w:lineRule="exact"/>
        <w:ind w:firstLine="640" w:firstLineChars="200"/>
        <w:textAlignment w:val="auto"/>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22年，攀枝花市西区农业农村和交通运输局政府采购支出总额0万元，其中：政府采购货物支出0万元、政府采购工程支出0万元、政府采购服务支出0万元。授予中小企业合同金额0万元，占政府采购支出总额的0</w:t>
      </w:r>
      <w:r>
        <w:rPr>
          <w:rFonts w:ascii="仿宋_GB2312" w:eastAsia="仿宋_GB2312"/>
          <w:sz w:val="32"/>
          <w:szCs w:val="32"/>
        </w:rPr>
        <w:t>%</w:t>
      </w:r>
      <w:r>
        <w:rPr>
          <w:rFonts w:hint="eastAsia" w:ascii="仿宋_GB2312" w:eastAsia="仿宋_GB2312"/>
          <w:sz w:val="32"/>
          <w:szCs w:val="32"/>
        </w:rPr>
        <w:t>，其中：授予小微企业合同金额0万元，占政府采购支出总额的0</w:t>
      </w:r>
      <w:r>
        <w:rPr>
          <w:rFonts w:ascii="仿宋_GB2312" w:eastAsia="仿宋_GB2312"/>
          <w:sz w:val="32"/>
          <w:szCs w:val="32"/>
        </w:rPr>
        <w:t>%</w:t>
      </w:r>
      <w:r>
        <w:rPr>
          <w:rFonts w:hint="eastAsia" w:ascii="仿宋_GB2312" w:eastAsia="仿宋_GB2312"/>
          <w:sz w:val="32"/>
          <w:szCs w:val="32"/>
        </w:rPr>
        <w:t>。</w:t>
      </w:r>
    </w:p>
    <w:p w14:paraId="2E72A19A">
      <w:pPr>
        <w:pageBreakBefore w:val="0"/>
        <w:kinsoku/>
        <w:wordWrap/>
        <w:overflowPunct/>
        <w:topLinePunct w:val="0"/>
        <w:autoSpaceDE w:val="0"/>
        <w:autoSpaceDN w:val="0"/>
        <w:bidi w:val="0"/>
        <w:adjustRightInd w:val="0"/>
        <w:spacing w:line="600" w:lineRule="exact"/>
        <w:ind w:firstLine="643" w:firstLineChars="200"/>
        <w:jc w:val="left"/>
        <w:textAlignment w:val="auto"/>
        <w:outlineLvl w:val="2"/>
        <w:rPr>
          <w:rFonts w:ascii="仿宋" w:hAnsi="仿宋" w:eastAsia="仿宋"/>
          <w:b/>
          <w:sz w:val="32"/>
          <w:szCs w:val="32"/>
        </w:rPr>
      </w:pPr>
      <w:bookmarkStart w:id="70" w:name="_Toc15377224"/>
      <w:r>
        <w:rPr>
          <w:rFonts w:hint="eastAsia" w:ascii="仿宋" w:hAnsi="仿宋" w:eastAsia="仿宋"/>
          <w:b/>
          <w:sz w:val="32"/>
          <w:szCs w:val="32"/>
        </w:rPr>
        <w:t>（三）国有资产占有使用情况</w:t>
      </w:r>
      <w:bookmarkEnd w:id="70"/>
    </w:p>
    <w:p w14:paraId="63C47459">
      <w:pPr>
        <w:pageBreakBefore w:val="0"/>
        <w:kinsoku/>
        <w:wordWrap/>
        <w:overflowPunct/>
        <w:topLinePunct w:val="0"/>
        <w:autoSpaceDE w:val="0"/>
        <w:autoSpaceDN w:val="0"/>
        <w:bidi w:val="0"/>
        <w:adjustRightInd w:val="0"/>
        <w:spacing w:line="600" w:lineRule="exact"/>
        <w:ind w:firstLine="640" w:firstLineChars="200"/>
        <w:jc w:val="left"/>
        <w:textAlignment w:val="auto"/>
        <w:rPr>
          <w:rFonts w:ascii="仿宋_GB2312" w:eastAsia="仿宋_GB2312"/>
          <w:sz w:val="32"/>
          <w:szCs w:val="32"/>
        </w:rPr>
      </w:pPr>
      <w:r>
        <w:rPr>
          <w:rFonts w:hint="eastAsia" w:ascii="仿宋_GB2312" w:eastAsia="仿宋_GB2312"/>
          <w:sz w:val="32"/>
          <w:szCs w:val="32"/>
        </w:rPr>
        <w:t>截至</w:t>
      </w:r>
      <w:r>
        <w:rPr>
          <w:rFonts w:ascii="仿宋_GB2312" w:eastAsia="仿宋_GB2312"/>
          <w:sz w:val="32"/>
          <w:szCs w:val="32"/>
        </w:rPr>
        <w:t>20</w:t>
      </w:r>
      <w:r>
        <w:rPr>
          <w:rFonts w:hint="eastAsia" w:ascii="仿宋_GB2312" w:eastAsia="仿宋_GB2312"/>
          <w:sz w:val="32"/>
          <w:szCs w:val="32"/>
        </w:rPr>
        <w:t>22年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日，攀枝花市西区农业农村和交通运输局共有车辆3辆，其中：主要领导干部用车0辆、机要通信用车0辆、应急保障用车0辆、其他用车3辆，其他用车主要是用于农业执法和动物防疫工作。单价</w:t>
      </w:r>
      <w:r>
        <w:rPr>
          <w:rFonts w:ascii="仿宋_GB2312" w:eastAsia="仿宋_GB2312"/>
          <w:sz w:val="32"/>
          <w:szCs w:val="32"/>
        </w:rPr>
        <w:t>100</w:t>
      </w:r>
      <w:r>
        <w:rPr>
          <w:rFonts w:hint="eastAsia" w:ascii="仿宋_GB2312" w:eastAsia="仿宋_GB2312"/>
          <w:sz w:val="32"/>
          <w:szCs w:val="32"/>
        </w:rPr>
        <w:t>万元以上专用设备0台（套）。</w:t>
      </w:r>
    </w:p>
    <w:p w14:paraId="32C33782">
      <w:pPr>
        <w:pageBreakBefore w:val="0"/>
        <w:kinsoku/>
        <w:wordWrap/>
        <w:overflowPunct/>
        <w:topLinePunct w:val="0"/>
        <w:autoSpaceDE w:val="0"/>
        <w:autoSpaceDN w:val="0"/>
        <w:bidi w:val="0"/>
        <w:adjustRightInd w:val="0"/>
        <w:spacing w:line="600" w:lineRule="exact"/>
        <w:ind w:firstLine="643" w:firstLineChars="200"/>
        <w:jc w:val="left"/>
        <w:textAlignment w:val="auto"/>
        <w:outlineLvl w:val="2"/>
        <w:rPr>
          <w:rFonts w:ascii="仿宋" w:hAnsi="仿宋" w:eastAsia="仿宋"/>
          <w:b/>
          <w:sz w:val="32"/>
          <w:szCs w:val="32"/>
        </w:rPr>
      </w:pPr>
      <w:r>
        <w:rPr>
          <w:rFonts w:hint="eastAsia" w:ascii="仿宋" w:hAnsi="仿宋" w:eastAsia="仿宋"/>
          <w:b/>
          <w:sz w:val="32"/>
          <w:szCs w:val="32"/>
        </w:rPr>
        <w:t>（四）预算绩效管理情况</w:t>
      </w:r>
    </w:p>
    <w:p w14:paraId="0F64EB09">
      <w:pPr>
        <w:pageBreakBefore w:val="0"/>
        <w:widowControl/>
        <w:kinsoku/>
        <w:wordWrap/>
        <w:overflowPunct/>
        <w:topLinePunct w:val="0"/>
        <w:bidi w:val="0"/>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根据预算绩效管理要求，本部门在2022年度预算编制阶段，组织对非洲猪瘟和疫情防控等2个项目开展了预算事前绩效评估，对2个项目编制了绩效目标，预算执行过程中，选取2个项目开展绩效监控。</w:t>
      </w:r>
    </w:p>
    <w:p w14:paraId="637E60C0">
      <w:pPr>
        <w:pageBreakBefore w:val="0"/>
        <w:widowControl/>
        <w:kinsoku/>
        <w:wordWrap/>
        <w:overflowPunct/>
        <w:topLinePunct w:val="0"/>
        <w:bidi w:val="0"/>
        <w:ind w:firstLine="640" w:firstLineChars="200"/>
        <w:jc w:val="lef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组织对2022年度一般公共预算、政府性基金预算、国有资本经营预算、社会保险基金预算以及资本资产、债券资金等全面开展绩效自评，形成攀枝花市西区农业农村和交通运输局部门整体（含部门预算项目）绩效自评报告、非洲猪瘟和疫情防控等专项预算项目绩效自评报告，其中，攀枝花市西区农业农村和交通运输局部门整体（含部门预算项目）绩效自评得分为良好，绩效自评综述：全面完成工作目标，完成情况良好；非洲猪瘟和疫情防控等专项预算项目绩效自评得分为良好，绩效自评综述：全面完成工作目标，完成情况良好。绩效自评报告详见附件。</w:t>
      </w:r>
      <w:bookmarkStart w:id="71" w:name="_Toc15396613"/>
      <w:bookmarkStart w:id="72" w:name="_Toc15377225"/>
    </w:p>
    <w:p w14:paraId="27D7D1B7">
      <w:pPr>
        <w:pageBreakBefore w:val="0"/>
        <w:widowControl/>
        <w:kinsoku/>
        <w:wordWrap/>
        <w:overflowPunct/>
        <w:topLinePunct w:val="0"/>
        <w:bidi w:val="0"/>
        <w:ind w:firstLine="880" w:firstLineChars="200"/>
        <w:jc w:val="left"/>
        <w:textAlignment w:val="auto"/>
        <w:rPr>
          <w:rFonts w:ascii="黑体" w:hAnsi="黑体" w:eastAsia="黑体"/>
          <w:sz w:val="44"/>
          <w:szCs w:val="44"/>
        </w:rPr>
      </w:pPr>
    </w:p>
    <w:p w14:paraId="69C615B3">
      <w:pPr>
        <w:pageBreakBefore w:val="0"/>
        <w:widowControl/>
        <w:kinsoku/>
        <w:wordWrap/>
        <w:overflowPunct/>
        <w:topLinePunct w:val="0"/>
        <w:bidi w:val="0"/>
        <w:ind w:firstLine="880" w:firstLineChars="200"/>
        <w:jc w:val="left"/>
        <w:textAlignment w:val="auto"/>
        <w:rPr>
          <w:rFonts w:ascii="黑体" w:hAnsi="黑体" w:eastAsia="黑体"/>
          <w:sz w:val="44"/>
          <w:szCs w:val="44"/>
        </w:rPr>
      </w:pPr>
    </w:p>
    <w:p w14:paraId="3E755D8A">
      <w:pPr>
        <w:pageBreakBefore w:val="0"/>
        <w:widowControl/>
        <w:kinsoku/>
        <w:wordWrap/>
        <w:overflowPunct/>
        <w:topLinePunct w:val="0"/>
        <w:bidi w:val="0"/>
        <w:ind w:firstLine="880" w:firstLineChars="200"/>
        <w:jc w:val="left"/>
        <w:textAlignment w:val="auto"/>
        <w:rPr>
          <w:rFonts w:ascii="黑体" w:hAnsi="黑体" w:eastAsia="黑体"/>
          <w:sz w:val="44"/>
          <w:szCs w:val="44"/>
        </w:rPr>
      </w:pPr>
    </w:p>
    <w:p w14:paraId="72AFD8BF">
      <w:pPr>
        <w:pageBreakBefore w:val="0"/>
        <w:widowControl/>
        <w:kinsoku/>
        <w:wordWrap/>
        <w:overflowPunct/>
        <w:topLinePunct w:val="0"/>
        <w:bidi w:val="0"/>
        <w:ind w:firstLine="880" w:firstLineChars="200"/>
        <w:jc w:val="left"/>
        <w:textAlignment w:val="auto"/>
        <w:rPr>
          <w:rFonts w:ascii="黑体" w:hAnsi="黑体" w:eastAsia="黑体"/>
          <w:sz w:val="44"/>
          <w:szCs w:val="44"/>
        </w:rPr>
      </w:pPr>
    </w:p>
    <w:p w14:paraId="5356061D">
      <w:pPr>
        <w:pageBreakBefore w:val="0"/>
        <w:widowControl/>
        <w:kinsoku/>
        <w:wordWrap/>
        <w:overflowPunct/>
        <w:topLinePunct w:val="0"/>
        <w:bidi w:val="0"/>
        <w:ind w:firstLine="880" w:firstLineChars="200"/>
        <w:jc w:val="left"/>
        <w:textAlignment w:val="auto"/>
        <w:rPr>
          <w:rFonts w:ascii="黑体" w:hAnsi="黑体" w:eastAsia="黑体"/>
          <w:sz w:val="44"/>
          <w:szCs w:val="44"/>
        </w:rPr>
      </w:pPr>
    </w:p>
    <w:p w14:paraId="39388B92">
      <w:pPr>
        <w:pageBreakBefore w:val="0"/>
        <w:widowControl/>
        <w:kinsoku/>
        <w:wordWrap/>
        <w:overflowPunct/>
        <w:topLinePunct w:val="0"/>
        <w:bidi w:val="0"/>
        <w:ind w:firstLine="880" w:firstLineChars="200"/>
        <w:jc w:val="left"/>
        <w:textAlignment w:val="auto"/>
        <w:rPr>
          <w:rFonts w:ascii="黑体" w:hAnsi="黑体" w:eastAsia="黑体"/>
          <w:sz w:val="44"/>
          <w:szCs w:val="44"/>
        </w:rPr>
      </w:pPr>
    </w:p>
    <w:p w14:paraId="16E9119F">
      <w:pPr>
        <w:pageBreakBefore w:val="0"/>
        <w:widowControl/>
        <w:kinsoku/>
        <w:wordWrap/>
        <w:overflowPunct/>
        <w:topLinePunct w:val="0"/>
        <w:bidi w:val="0"/>
        <w:ind w:firstLine="880" w:firstLineChars="200"/>
        <w:jc w:val="left"/>
        <w:textAlignment w:val="auto"/>
        <w:rPr>
          <w:rFonts w:ascii="黑体" w:hAnsi="黑体" w:eastAsia="黑体"/>
          <w:sz w:val="44"/>
          <w:szCs w:val="44"/>
        </w:rPr>
      </w:pPr>
    </w:p>
    <w:p w14:paraId="25598901">
      <w:pPr>
        <w:pageBreakBefore w:val="0"/>
        <w:widowControl/>
        <w:kinsoku/>
        <w:wordWrap/>
        <w:overflowPunct/>
        <w:topLinePunct w:val="0"/>
        <w:bidi w:val="0"/>
        <w:ind w:firstLine="880" w:firstLineChars="200"/>
        <w:jc w:val="left"/>
        <w:textAlignment w:val="auto"/>
        <w:rPr>
          <w:rFonts w:ascii="黑体" w:hAnsi="黑体" w:eastAsia="黑体"/>
          <w:sz w:val="44"/>
          <w:szCs w:val="44"/>
        </w:rPr>
      </w:pPr>
    </w:p>
    <w:p w14:paraId="447E62AB">
      <w:pPr>
        <w:pageBreakBefore w:val="0"/>
        <w:widowControl/>
        <w:kinsoku/>
        <w:wordWrap/>
        <w:overflowPunct/>
        <w:topLinePunct w:val="0"/>
        <w:bidi w:val="0"/>
        <w:jc w:val="center"/>
        <w:textAlignment w:val="auto"/>
        <w:outlineLvl w:val="0"/>
        <w:rPr>
          <w:rStyle w:val="30"/>
          <w:rFonts w:ascii="黑体" w:hAnsi="黑体" w:eastAsia="黑体"/>
          <w:b w:val="0"/>
        </w:rPr>
      </w:pPr>
      <w:bookmarkStart w:id="73" w:name="_Toc7898"/>
      <w:r>
        <w:rPr>
          <w:rFonts w:hint="eastAsia" w:ascii="黑体" w:hAnsi="黑体" w:eastAsia="黑体"/>
          <w:sz w:val="44"/>
          <w:szCs w:val="44"/>
        </w:rPr>
        <w:t>名</w:t>
      </w:r>
      <w:r>
        <w:rPr>
          <w:rStyle w:val="30"/>
          <w:rFonts w:hint="eastAsia" w:ascii="黑体" w:hAnsi="黑体" w:eastAsia="黑体"/>
          <w:b w:val="0"/>
        </w:rPr>
        <w:t>词解释</w:t>
      </w:r>
      <w:bookmarkEnd w:id="71"/>
      <w:bookmarkEnd w:id="72"/>
      <w:bookmarkEnd w:id="73"/>
    </w:p>
    <w:p w14:paraId="18158055">
      <w:pPr>
        <w:pageBreakBefore w:val="0"/>
        <w:kinsoku/>
        <w:wordWrap/>
        <w:overflowPunct/>
        <w:topLinePunct w:val="0"/>
        <w:bidi w:val="0"/>
        <w:spacing w:line="600" w:lineRule="exact"/>
        <w:ind w:firstLine="883" w:firstLineChars="200"/>
        <w:jc w:val="left"/>
        <w:textAlignment w:val="auto"/>
        <w:rPr>
          <w:rFonts w:ascii="宋体"/>
          <w:b/>
          <w:sz w:val="44"/>
          <w:szCs w:val="44"/>
        </w:rPr>
      </w:pPr>
    </w:p>
    <w:p w14:paraId="14D528F3">
      <w:pPr>
        <w:pStyle w:val="28"/>
        <w:pageBreakBefore w:val="0"/>
        <w:kinsoku/>
        <w:wordWrap/>
        <w:overflowPunct/>
        <w:topLinePunct w:val="0"/>
        <w:bidi w:val="0"/>
        <w:spacing w:line="560"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04FCFCAD">
      <w:pPr>
        <w:pStyle w:val="28"/>
        <w:pageBreakBefore w:val="0"/>
        <w:kinsoku/>
        <w:wordWrap/>
        <w:overflowPunct/>
        <w:topLinePunct w:val="0"/>
        <w:bidi w:val="0"/>
        <w:spacing w:line="560"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1F8CB0EF">
      <w:pPr>
        <w:pStyle w:val="28"/>
        <w:pageBreakBefore w:val="0"/>
        <w:kinsoku/>
        <w:wordWrap/>
        <w:overflowPunct/>
        <w:topLinePunct w:val="0"/>
        <w:bidi w:val="0"/>
        <w:spacing w:line="560" w:lineRule="exact"/>
        <w:ind w:firstLine="640" w:firstLineChars="200"/>
        <w:textAlignment w:val="auto"/>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29572A57">
      <w:pPr>
        <w:pStyle w:val="28"/>
        <w:pageBreakBefore w:val="0"/>
        <w:kinsoku/>
        <w:wordWrap/>
        <w:overflowPunct/>
        <w:topLinePunct w:val="0"/>
        <w:bidi w:val="0"/>
        <w:spacing w:line="560" w:lineRule="exact"/>
        <w:ind w:firstLine="640" w:firstLineChars="200"/>
        <w:textAlignment w:val="auto"/>
        <w:rPr>
          <w:rFonts w:hint="eastAsia"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4BCEE58F">
      <w:pPr>
        <w:pStyle w:val="28"/>
        <w:pageBreakBefore w:val="0"/>
        <w:kinsoku/>
        <w:wordWrap/>
        <w:overflowPunct/>
        <w:topLinePunct w:val="0"/>
        <w:bidi w:val="0"/>
        <w:spacing w:line="560"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p>
    <w:p w14:paraId="79647BBD">
      <w:pPr>
        <w:pStyle w:val="28"/>
        <w:pageBreakBefore w:val="0"/>
        <w:kinsoku/>
        <w:wordWrap/>
        <w:overflowPunct/>
        <w:topLinePunct w:val="0"/>
        <w:bidi w:val="0"/>
        <w:spacing w:line="560"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1F135CE5">
      <w:pPr>
        <w:pStyle w:val="28"/>
        <w:pageBreakBefore w:val="0"/>
        <w:kinsoku/>
        <w:wordWrap/>
        <w:overflowPunct/>
        <w:topLinePunct w:val="0"/>
        <w:bidi w:val="0"/>
        <w:spacing w:line="560"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2EC548B5">
      <w:pPr>
        <w:pStyle w:val="28"/>
        <w:pageBreakBefore w:val="0"/>
        <w:kinsoku/>
        <w:wordWrap/>
        <w:overflowPunct/>
        <w:topLinePunct w:val="0"/>
        <w:bidi w:val="0"/>
        <w:spacing w:line="560" w:lineRule="exact"/>
        <w:ind w:firstLine="640" w:firstLineChars="200"/>
        <w:textAlignment w:val="auto"/>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1CA9493B">
      <w:pPr>
        <w:pageBreakBefore w:val="0"/>
        <w:kinsoku/>
        <w:wordWrap/>
        <w:overflowPunct/>
        <w:topLinePunct w:val="0"/>
        <w:bidi w:val="0"/>
        <w:spacing w:line="600" w:lineRule="exact"/>
        <w:ind w:firstLine="640" w:firstLineChars="200"/>
        <w:textAlignment w:val="auto"/>
        <w:rPr>
          <w:rStyle w:val="18"/>
          <w:rFonts w:ascii="仿宋_GB2312" w:hAnsi="仿宋" w:eastAsia="仿宋_GB2312"/>
          <w:b w:val="0"/>
          <w:bCs w:val="0"/>
          <w:sz w:val="32"/>
          <w:szCs w:val="32"/>
        </w:rPr>
      </w:pPr>
      <w:r>
        <w:rPr>
          <w:rFonts w:hint="eastAsia" w:ascii="仿宋_GB2312" w:eastAsia="仿宋_GB2312"/>
          <w:b w:val="0"/>
          <w:bCs w:val="0"/>
          <w:sz w:val="32"/>
          <w:szCs w:val="32"/>
        </w:rPr>
        <w:t>9</w:t>
      </w:r>
      <w:r>
        <w:rPr>
          <w:rFonts w:ascii="仿宋_GB2312" w:eastAsia="仿宋_GB2312"/>
          <w:b w:val="0"/>
          <w:bCs w:val="0"/>
          <w:sz w:val="32"/>
          <w:szCs w:val="32"/>
        </w:rPr>
        <w:t>.</w:t>
      </w:r>
      <w:r>
        <w:rPr>
          <w:rStyle w:val="18"/>
          <w:rFonts w:hint="eastAsia" w:ascii="仿宋_GB2312" w:hAnsi="仿宋" w:eastAsia="仿宋_GB2312"/>
          <w:b w:val="0"/>
          <w:bCs w:val="0"/>
          <w:sz w:val="32"/>
          <w:szCs w:val="32"/>
        </w:rPr>
        <w:t>社会保障和就业（类）行政事业单位养老支出（款）</w:t>
      </w:r>
    </w:p>
    <w:p w14:paraId="2D7512AB">
      <w:pPr>
        <w:pageBreakBefore w:val="0"/>
        <w:kinsoku/>
        <w:wordWrap/>
        <w:overflowPunct/>
        <w:topLinePunct w:val="0"/>
        <w:bidi w:val="0"/>
        <w:ind w:firstLine="640" w:firstLineChars="200"/>
        <w:textAlignment w:val="auto"/>
        <w:rPr>
          <w:rFonts w:ascii="仿宋_GB2312" w:eastAsia="仿宋_GB2312"/>
          <w:b w:val="0"/>
          <w:bCs w:val="0"/>
          <w:sz w:val="32"/>
          <w:szCs w:val="32"/>
        </w:rPr>
      </w:pPr>
      <w:r>
        <w:rPr>
          <w:rStyle w:val="18"/>
          <w:rFonts w:hint="eastAsia" w:ascii="仿宋_GB2312" w:hAnsi="仿宋" w:eastAsia="仿宋_GB2312"/>
          <w:b w:val="0"/>
          <w:bCs w:val="0"/>
          <w:sz w:val="32"/>
          <w:szCs w:val="32"/>
        </w:rPr>
        <w:t>行政单位离退休（项）</w:t>
      </w:r>
      <w:r>
        <w:rPr>
          <w:rFonts w:hint="eastAsia" w:ascii="仿宋_GB2312" w:eastAsia="仿宋_GB2312"/>
          <w:b w:val="0"/>
          <w:bCs w:val="0"/>
          <w:sz w:val="32"/>
          <w:szCs w:val="32"/>
        </w:rPr>
        <w:t>：指行政单位退休人员支出费用。</w:t>
      </w:r>
    </w:p>
    <w:p w14:paraId="3820E768">
      <w:pPr>
        <w:pageBreakBefore w:val="0"/>
        <w:kinsoku/>
        <w:wordWrap/>
        <w:overflowPunct/>
        <w:topLinePunct w:val="0"/>
        <w:bidi w:val="0"/>
        <w:spacing w:line="600" w:lineRule="exact"/>
        <w:ind w:firstLine="640" w:firstLineChars="200"/>
        <w:textAlignment w:val="auto"/>
        <w:rPr>
          <w:rStyle w:val="18"/>
          <w:rFonts w:ascii="仿宋_GB2312" w:hAnsi="仿宋" w:eastAsia="仿宋_GB2312"/>
          <w:b w:val="0"/>
          <w:bCs w:val="0"/>
          <w:sz w:val="32"/>
          <w:szCs w:val="32"/>
        </w:rPr>
      </w:pPr>
      <w:r>
        <w:rPr>
          <w:rStyle w:val="18"/>
          <w:rFonts w:hint="eastAsia" w:ascii="仿宋_GB2312" w:hAnsi="仿宋" w:eastAsia="仿宋_GB2312"/>
          <w:b w:val="0"/>
          <w:bCs w:val="0"/>
          <w:sz w:val="32"/>
          <w:szCs w:val="32"/>
        </w:rPr>
        <w:t>社会保障和就业（类）行政事业单位养老支出（款）</w:t>
      </w:r>
    </w:p>
    <w:p w14:paraId="1BA0E4E5">
      <w:pPr>
        <w:pStyle w:val="2"/>
        <w:pageBreakBefore w:val="0"/>
        <w:kinsoku/>
        <w:wordWrap/>
        <w:overflowPunct/>
        <w:topLinePunct w:val="0"/>
        <w:bidi w:val="0"/>
        <w:spacing w:before="93"/>
        <w:ind w:firstLine="640" w:firstLineChars="200"/>
        <w:textAlignment w:val="auto"/>
        <w:rPr>
          <w:b w:val="0"/>
          <w:bCs w:val="0"/>
        </w:rPr>
      </w:pPr>
      <w:r>
        <w:rPr>
          <w:rStyle w:val="18"/>
          <w:rFonts w:hint="eastAsia" w:hAnsi="仿宋"/>
          <w:b w:val="0"/>
          <w:bCs w:val="0"/>
          <w:sz w:val="32"/>
          <w:szCs w:val="32"/>
        </w:rPr>
        <w:t>机关事业单位基本养老保险缴费支出（项）</w:t>
      </w:r>
      <w:r>
        <w:rPr>
          <w:rFonts w:hint="eastAsia"/>
          <w:b w:val="0"/>
          <w:bCs w:val="0"/>
        </w:rPr>
        <w:t>：指行政事业单位缴纳在职人员养老保险单位部分支出。</w:t>
      </w:r>
    </w:p>
    <w:p w14:paraId="153E7E7D">
      <w:pPr>
        <w:pageBreakBefore w:val="0"/>
        <w:kinsoku/>
        <w:wordWrap/>
        <w:overflowPunct/>
        <w:topLinePunct w:val="0"/>
        <w:bidi w:val="0"/>
        <w:spacing w:line="600" w:lineRule="exact"/>
        <w:ind w:firstLine="640" w:firstLineChars="200"/>
        <w:textAlignment w:val="auto"/>
        <w:rPr>
          <w:rFonts w:ascii="仿宋_GB2312" w:hAnsi="仿宋" w:eastAsia="仿宋_GB2312"/>
          <w:b w:val="0"/>
          <w:bCs w:val="0"/>
          <w:sz w:val="32"/>
          <w:szCs w:val="32"/>
        </w:rPr>
      </w:pPr>
      <w:r>
        <w:rPr>
          <w:rFonts w:ascii="仿宋_GB2312" w:eastAsia="仿宋_GB2312"/>
          <w:b w:val="0"/>
          <w:bCs w:val="0"/>
          <w:sz w:val="32"/>
          <w:szCs w:val="32"/>
        </w:rPr>
        <w:t>1</w:t>
      </w:r>
      <w:r>
        <w:rPr>
          <w:rFonts w:hint="eastAsia" w:ascii="仿宋_GB2312" w:eastAsia="仿宋_GB2312"/>
          <w:b w:val="0"/>
          <w:bCs w:val="0"/>
          <w:sz w:val="32"/>
          <w:szCs w:val="32"/>
        </w:rPr>
        <w:t>0</w:t>
      </w:r>
      <w:r>
        <w:rPr>
          <w:rFonts w:ascii="仿宋_GB2312" w:eastAsia="仿宋_GB2312"/>
          <w:b w:val="0"/>
          <w:bCs w:val="0"/>
          <w:sz w:val="32"/>
          <w:szCs w:val="32"/>
        </w:rPr>
        <w:t>.</w:t>
      </w:r>
      <w:r>
        <w:rPr>
          <w:rFonts w:hint="eastAsia" w:ascii="仿宋" w:hAnsi="仿宋" w:eastAsia="仿宋"/>
          <w:b w:val="0"/>
          <w:bCs w:val="0"/>
          <w:sz w:val="32"/>
          <w:szCs w:val="32"/>
        </w:rPr>
        <w:t xml:space="preserve"> </w:t>
      </w:r>
      <w:r>
        <w:rPr>
          <w:rFonts w:hint="eastAsia" w:ascii="仿宋_GB2312" w:hAnsi="仿宋" w:eastAsia="仿宋_GB2312"/>
          <w:b w:val="0"/>
          <w:bCs w:val="0"/>
          <w:sz w:val="32"/>
          <w:szCs w:val="32"/>
        </w:rPr>
        <w:t>卫生健康</w:t>
      </w:r>
      <w:r>
        <w:rPr>
          <w:rStyle w:val="18"/>
          <w:rFonts w:hint="eastAsia" w:ascii="仿宋_GB2312" w:hAnsi="仿宋" w:eastAsia="仿宋_GB2312"/>
          <w:b w:val="0"/>
          <w:bCs w:val="0"/>
          <w:sz w:val="32"/>
          <w:szCs w:val="32"/>
        </w:rPr>
        <w:t>（类）行政事业单位医疗（款）行政单位医疗（项）:指行政单位缴纳在职人员医疗保险单位部分支出。</w:t>
      </w:r>
    </w:p>
    <w:p w14:paraId="7F70BA6B">
      <w:pPr>
        <w:pageBreakBefore w:val="0"/>
        <w:kinsoku/>
        <w:wordWrap/>
        <w:overflowPunct/>
        <w:topLinePunct w:val="0"/>
        <w:bidi w:val="0"/>
        <w:spacing w:line="600" w:lineRule="exact"/>
        <w:ind w:firstLine="640" w:firstLineChars="200"/>
        <w:textAlignment w:val="auto"/>
        <w:rPr>
          <w:rStyle w:val="18"/>
          <w:rFonts w:ascii="仿宋_GB2312" w:hAnsi="仿宋" w:eastAsia="仿宋_GB2312"/>
          <w:b w:val="0"/>
          <w:bCs w:val="0"/>
          <w:sz w:val="32"/>
          <w:szCs w:val="32"/>
        </w:rPr>
      </w:pPr>
      <w:r>
        <w:rPr>
          <w:rFonts w:hint="eastAsia" w:ascii="仿宋_GB2312" w:hAnsi="仿宋" w:eastAsia="仿宋_GB2312"/>
          <w:b w:val="0"/>
          <w:bCs w:val="0"/>
          <w:sz w:val="32"/>
          <w:szCs w:val="32"/>
        </w:rPr>
        <w:t>卫生健康</w:t>
      </w:r>
      <w:r>
        <w:rPr>
          <w:rStyle w:val="18"/>
          <w:rFonts w:hint="eastAsia" w:ascii="仿宋_GB2312" w:hAnsi="仿宋" w:eastAsia="仿宋_GB2312"/>
          <w:b w:val="0"/>
          <w:bCs w:val="0"/>
          <w:sz w:val="32"/>
          <w:szCs w:val="32"/>
        </w:rPr>
        <w:t>（类）行政事业单位医疗（款）事业单位医疗（项）:指事业单位缴纳在职人员医疗保险单位部分支出。</w:t>
      </w:r>
    </w:p>
    <w:p w14:paraId="49D6AD57">
      <w:pPr>
        <w:pStyle w:val="2"/>
        <w:pageBreakBefore w:val="0"/>
        <w:kinsoku/>
        <w:wordWrap/>
        <w:overflowPunct/>
        <w:topLinePunct w:val="0"/>
        <w:bidi w:val="0"/>
        <w:spacing w:before="93"/>
        <w:ind w:firstLine="640" w:firstLineChars="200"/>
        <w:textAlignment w:val="auto"/>
        <w:rPr>
          <w:rStyle w:val="18"/>
          <w:rFonts w:ascii="仿宋" w:hAnsi="仿宋" w:eastAsia="仿宋"/>
          <w:b w:val="0"/>
          <w:bCs w:val="0"/>
          <w:sz w:val="32"/>
          <w:szCs w:val="32"/>
        </w:rPr>
      </w:pPr>
      <w:r>
        <w:rPr>
          <w:rFonts w:hint="eastAsia" w:hAnsi="仿宋"/>
          <w:b w:val="0"/>
          <w:bCs w:val="0"/>
          <w:sz w:val="32"/>
          <w:szCs w:val="32"/>
        </w:rPr>
        <w:t>卫生健康</w:t>
      </w:r>
      <w:r>
        <w:rPr>
          <w:rStyle w:val="18"/>
          <w:rFonts w:hint="eastAsia" w:hAnsi="仿宋"/>
          <w:b w:val="0"/>
          <w:bCs w:val="0"/>
          <w:sz w:val="32"/>
          <w:szCs w:val="32"/>
        </w:rPr>
        <w:t>（类）行政事业单位医疗（款）公务员医疗补助（项）:</w:t>
      </w:r>
      <w:r>
        <w:rPr>
          <w:rStyle w:val="18"/>
          <w:rFonts w:hint="eastAsia" w:ascii="仿宋" w:hAnsi="仿宋" w:eastAsia="仿宋"/>
          <w:b w:val="0"/>
          <w:bCs w:val="0"/>
          <w:sz w:val="32"/>
          <w:szCs w:val="32"/>
        </w:rPr>
        <w:t>指行政事业单位缴纳在职人员医疗补助部分。</w:t>
      </w:r>
    </w:p>
    <w:p w14:paraId="386E3FCD">
      <w:pPr>
        <w:pageBreakBefore w:val="0"/>
        <w:kinsoku/>
        <w:wordWrap/>
        <w:overflowPunct/>
        <w:topLinePunct w:val="0"/>
        <w:bidi w:val="0"/>
        <w:ind w:firstLine="640" w:firstLineChars="200"/>
        <w:textAlignment w:val="auto"/>
        <w:rPr>
          <w:rFonts w:ascii="仿宋_GB2312" w:eastAsia="仿宋_GB2312"/>
          <w:b w:val="0"/>
          <w:bCs w:val="0"/>
          <w:sz w:val="32"/>
          <w:szCs w:val="32"/>
        </w:rPr>
      </w:pPr>
      <w:r>
        <w:rPr>
          <w:rFonts w:ascii="仿宋_GB2312" w:eastAsia="仿宋_GB2312"/>
          <w:b w:val="0"/>
          <w:bCs w:val="0"/>
          <w:sz w:val="32"/>
          <w:szCs w:val="32"/>
        </w:rPr>
        <w:t>1</w:t>
      </w:r>
      <w:r>
        <w:rPr>
          <w:rFonts w:hint="eastAsia" w:ascii="仿宋_GB2312" w:eastAsia="仿宋_GB2312"/>
          <w:b w:val="0"/>
          <w:bCs w:val="0"/>
          <w:sz w:val="32"/>
          <w:szCs w:val="32"/>
        </w:rPr>
        <w:t>1</w:t>
      </w:r>
      <w:r>
        <w:rPr>
          <w:rFonts w:ascii="仿宋_GB2312" w:eastAsia="仿宋_GB2312"/>
          <w:b w:val="0"/>
          <w:bCs w:val="0"/>
          <w:sz w:val="32"/>
          <w:szCs w:val="32"/>
        </w:rPr>
        <w:t>.</w:t>
      </w:r>
      <w:r>
        <w:rPr>
          <w:rFonts w:hint="eastAsia" w:ascii="仿宋_GB2312" w:eastAsia="仿宋_GB2312"/>
          <w:b w:val="0"/>
          <w:bCs w:val="0"/>
          <w:sz w:val="32"/>
          <w:szCs w:val="32"/>
        </w:rPr>
        <w:t>城乡社区（类）国有土地使用权出让收入安排的支出（款）土地开发支出（项）：指农业和交通项目支出。</w:t>
      </w:r>
    </w:p>
    <w:p w14:paraId="1DF39139">
      <w:pPr>
        <w:pageBreakBefore w:val="0"/>
        <w:kinsoku/>
        <w:wordWrap/>
        <w:overflowPunct/>
        <w:topLinePunct w:val="0"/>
        <w:bidi w:val="0"/>
        <w:ind w:firstLine="640" w:firstLineChars="200"/>
        <w:textAlignment w:val="auto"/>
        <w:rPr>
          <w:rFonts w:ascii="仿宋_GB2312" w:eastAsia="仿宋_GB2312"/>
          <w:b w:val="0"/>
          <w:bCs w:val="0"/>
          <w:sz w:val="32"/>
          <w:szCs w:val="32"/>
        </w:rPr>
      </w:pPr>
      <w:r>
        <w:rPr>
          <w:rFonts w:hint="eastAsia" w:ascii="仿宋_GB2312" w:eastAsia="仿宋_GB2312"/>
          <w:b w:val="0"/>
          <w:bCs w:val="0"/>
          <w:sz w:val="32"/>
          <w:szCs w:val="32"/>
        </w:rPr>
        <w:t>城乡社区（类）国有土地使用权出让收入安排的支出（款）农业农村生态环境支出（项）：指农业专项支出。</w:t>
      </w:r>
    </w:p>
    <w:p w14:paraId="5D464951">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_GB2312" w:eastAsia="仿宋_GB2312"/>
          <w:b w:val="0"/>
          <w:bCs w:val="0"/>
          <w:sz w:val="32"/>
          <w:szCs w:val="32"/>
        </w:rPr>
        <w:t>12</w:t>
      </w:r>
      <w:r>
        <w:rPr>
          <w:rFonts w:ascii="仿宋_GB2312" w:eastAsia="仿宋_GB2312"/>
          <w:b w:val="0"/>
          <w:bCs w:val="0"/>
          <w:sz w:val="32"/>
          <w:szCs w:val="32"/>
        </w:rPr>
        <w:t>.</w:t>
      </w:r>
      <w:r>
        <w:rPr>
          <w:rFonts w:hint="eastAsia" w:ascii="仿宋" w:hAnsi="仿宋" w:eastAsia="仿宋"/>
          <w:b w:val="0"/>
          <w:bCs w:val="0"/>
          <w:sz w:val="32"/>
          <w:szCs w:val="32"/>
        </w:rPr>
        <w:t>农林水支出（类）农业农村（款）行政运行（项）：</w:t>
      </w:r>
      <w:r>
        <w:rPr>
          <w:rStyle w:val="18"/>
          <w:rFonts w:hint="eastAsia" w:ascii="仿宋" w:hAnsi="仿宋" w:eastAsia="仿宋"/>
          <w:b w:val="0"/>
          <w:bCs w:val="0"/>
          <w:sz w:val="32"/>
          <w:szCs w:val="32"/>
        </w:rPr>
        <w:t>指行政单位基本支出。</w:t>
      </w:r>
    </w:p>
    <w:p w14:paraId="57CE93CD">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农林水支出（类）农业农村（款）事业运行（项）：</w:t>
      </w:r>
      <w:r>
        <w:rPr>
          <w:rStyle w:val="18"/>
          <w:rFonts w:hint="eastAsia" w:ascii="仿宋" w:hAnsi="仿宋" w:eastAsia="仿宋"/>
          <w:b w:val="0"/>
          <w:bCs w:val="0"/>
          <w:sz w:val="32"/>
          <w:szCs w:val="32"/>
        </w:rPr>
        <w:t>指事业单位基本支出。</w:t>
      </w:r>
    </w:p>
    <w:p w14:paraId="3A293995">
      <w:pPr>
        <w:pageBreakBefore w:val="0"/>
        <w:kinsoku/>
        <w:wordWrap/>
        <w:overflowPunct/>
        <w:topLinePunct w:val="0"/>
        <w:bidi w:val="0"/>
        <w:ind w:firstLine="640" w:firstLineChars="200"/>
        <w:textAlignment w:val="auto"/>
        <w:rPr>
          <w:rFonts w:ascii="仿宋_GB2312" w:eastAsia="仿宋_GB2312"/>
          <w:sz w:val="32"/>
          <w:szCs w:val="32"/>
        </w:rPr>
      </w:pPr>
      <w:r>
        <w:rPr>
          <w:rFonts w:hint="eastAsia" w:ascii="仿宋_GB2312" w:eastAsia="仿宋_GB2312"/>
          <w:sz w:val="32"/>
          <w:szCs w:val="32"/>
        </w:rPr>
        <w:t>农林水（类）农业农村（款）病虫害控制（项）：指动物疫病预防控制项目经费。</w:t>
      </w:r>
    </w:p>
    <w:p w14:paraId="3D40E4BC">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农林水支出（类）农业农村（款）其他农业农村支出（项）：</w:t>
      </w:r>
      <w:r>
        <w:rPr>
          <w:rStyle w:val="18"/>
          <w:rFonts w:hint="eastAsia" w:ascii="仿宋" w:hAnsi="仿宋" w:eastAsia="仿宋"/>
          <w:b w:val="0"/>
          <w:bCs w:val="0"/>
          <w:sz w:val="32"/>
          <w:szCs w:val="32"/>
        </w:rPr>
        <w:t>指农业专项项目支出。</w:t>
      </w:r>
    </w:p>
    <w:p w14:paraId="68138302">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农林水支出（类）农村综合改革（款）对村级公益事业建设的补助（项）：</w:t>
      </w:r>
      <w:r>
        <w:rPr>
          <w:rStyle w:val="18"/>
          <w:rFonts w:hint="eastAsia" w:ascii="仿宋" w:hAnsi="仿宋" w:eastAsia="仿宋"/>
          <w:b w:val="0"/>
          <w:bCs w:val="0"/>
          <w:sz w:val="32"/>
          <w:szCs w:val="32"/>
        </w:rPr>
        <w:t>指农业专项项目支出。</w:t>
      </w:r>
    </w:p>
    <w:p w14:paraId="5BE8C308">
      <w:pPr>
        <w:pageBreakBefore w:val="0"/>
        <w:kinsoku/>
        <w:wordWrap/>
        <w:overflowPunct/>
        <w:topLinePunct w:val="0"/>
        <w:bidi w:val="0"/>
        <w:spacing w:line="600" w:lineRule="exact"/>
        <w:ind w:firstLine="640" w:firstLineChars="200"/>
        <w:textAlignment w:val="auto"/>
        <w:rPr>
          <w:rStyle w:val="18"/>
          <w:rFonts w:ascii="仿宋" w:hAnsi="仿宋" w:eastAsia="仿宋"/>
          <w:b w:val="0"/>
          <w:bCs w:val="0"/>
          <w:sz w:val="32"/>
          <w:szCs w:val="32"/>
        </w:rPr>
      </w:pPr>
      <w:r>
        <w:rPr>
          <w:rFonts w:hint="eastAsia" w:ascii="仿宋" w:hAnsi="仿宋" w:eastAsia="仿宋"/>
          <w:b w:val="0"/>
          <w:bCs w:val="0"/>
          <w:sz w:val="32"/>
          <w:szCs w:val="32"/>
        </w:rPr>
        <w:t>农林水支出（类）普惠金融发展支出（款）农业保险保费支出（项）：</w:t>
      </w:r>
      <w:r>
        <w:rPr>
          <w:rStyle w:val="18"/>
          <w:rFonts w:hint="eastAsia" w:ascii="仿宋" w:hAnsi="仿宋" w:eastAsia="仿宋"/>
          <w:b w:val="0"/>
          <w:bCs w:val="0"/>
          <w:sz w:val="32"/>
          <w:szCs w:val="32"/>
        </w:rPr>
        <w:t>指农业保险支出。</w:t>
      </w:r>
    </w:p>
    <w:p w14:paraId="7482DC73">
      <w:pPr>
        <w:pStyle w:val="2"/>
        <w:pageBreakBefore w:val="0"/>
        <w:kinsoku/>
        <w:wordWrap/>
        <w:overflowPunct/>
        <w:topLinePunct w:val="0"/>
        <w:bidi w:val="0"/>
        <w:spacing w:before="93"/>
        <w:ind w:firstLine="640" w:firstLineChars="200"/>
        <w:textAlignment w:val="auto"/>
      </w:pPr>
      <w:r>
        <w:rPr>
          <w:rFonts w:hint="eastAsia"/>
          <w:sz w:val="32"/>
          <w:szCs w:val="32"/>
        </w:rPr>
        <w:t>13.</w:t>
      </w:r>
      <w:r>
        <w:rPr>
          <w:rFonts w:hint="eastAsia"/>
        </w:rPr>
        <w:t>交通运输支出（类）公路水路运输（款）其他公路水路运输支出（项）：指交通运输专项支出。</w:t>
      </w:r>
    </w:p>
    <w:p w14:paraId="77E7FE61">
      <w:pPr>
        <w:pStyle w:val="2"/>
        <w:pageBreakBefore w:val="0"/>
        <w:kinsoku/>
        <w:wordWrap/>
        <w:overflowPunct/>
        <w:topLinePunct w:val="0"/>
        <w:bidi w:val="0"/>
        <w:spacing w:before="93"/>
        <w:ind w:firstLine="600" w:firstLineChars="200"/>
        <w:textAlignment w:val="auto"/>
      </w:pPr>
      <w:r>
        <w:rPr>
          <w:rFonts w:hint="eastAsia"/>
        </w:rPr>
        <w:t>交通运输支出（类）其他交通运输支出（款）其他交通运输支出（项）：指交通运输专项支出。</w:t>
      </w:r>
    </w:p>
    <w:p w14:paraId="1DDD369E">
      <w:pPr>
        <w:pageBreakBefore w:val="0"/>
        <w:kinsoku/>
        <w:wordWrap/>
        <w:overflowPunct/>
        <w:topLinePunct w:val="0"/>
        <w:bidi w:val="0"/>
        <w:ind w:firstLine="640" w:firstLineChars="200"/>
        <w:textAlignment w:val="auto"/>
        <w:rPr>
          <w:rFonts w:ascii="仿宋_GB2312" w:eastAsia="仿宋_GB2312"/>
          <w:sz w:val="32"/>
          <w:szCs w:val="32"/>
        </w:rPr>
      </w:pPr>
      <w:r>
        <w:rPr>
          <w:rFonts w:hint="eastAsia" w:ascii="仿宋_GB2312" w:eastAsia="仿宋_GB2312"/>
          <w:sz w:val="32"/>
          <w:szCs w:val="32"/>
        </w:rPr>
        <w:t>14</w:t>
      </w:r>
      <w:r>
        <w:rPr>
          <w:rFonts w:ascii="仿宋_GB2312" w:eastAsia="仿宋_GB2312"/>
          <w:sz w:val="32"/>
          <w:szCs w:val="32"/>
        </w:rPr>
        <w:t>.</w:t>
      </w:r>
      <w:r>
        <w:rPr>
          <w:rFonts w:hint="eastAsia" w:ascii="仿宋_GB2312" w:eastAsia="仿宋_GB2312"/>
          <w:sz w:val="32"/>
          <w:szCs w:val="32"/>
        </w:rPr>
        <w:t>住房保障支出（类）住房改革支出（款）住房公积金（项）：指行政事业单位缴纳在职人员公积金单位部分。</w:t>
      </w:r>
    </w:p>
    <w:p w14:paraId="5DAC381B">
      <w:pPr>
        <w:pageBreakBefore w:val="0"/>
        <w:kinsoku/>
        <w:wordWrap/>
        <w:overflowPunct/>
        <w:topLinePunct w:val="0"/>
        <w:bidi w:val="0"/>
        <w:ind w:firstLine="640" w:firstLineChars="200"/>
        <w:textAlignment w:val="auto"/>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422C2573">
      <w:pPr>
        <w:pageBreakBefore w:val="0"/>
        <w:kinsoku/>
        <w:wordWrap/>
        <w:overflowPunct/>
        <w:topLinePunct w:val="0"/>
        <w:bidi w:val="0"/>
        <w:ind w:firstLine="640" w:firstLineChars="200"/>
        <w:textAlignment w:val="auto"/>
        <w:rPr>
          <w:rFonts w:ascii="仿宋_GB2312" w:eastAsia="仿宋_GB2312"/>
          <w:sz w:val="32"/>
          <w:szCs w:val="32"/>
        </w:rPr>
      </w:pPr>
      <w:r>
        <w:rPr>
          <w:rFonts w:hint="eastAsia" w:ascii="仿宋_GB2312" w:eastAsia="仿宋_GB2312"/>
          <w:sz w:val="32"/>
          <w:szCs w:val="32"/>
        </w:rPr>
        <w:t>16</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p>
    <w:p w14:paraId="0BB73114">
      <w:pPr>
        <w:pageBreakBefore w:val="0"/>
        <w:kinsoku/>
        <w:wordWrap/>
        <w:overflowPunct/>
        <w:topLinePunct w:val="0"/>
        <w:bidi w:val="0"/>
        <w:ind w:firstLine="640" w:firstLineChars="200"/>
        <w:textAlignment w:val="auto"/>
        <w:rPr>
          <w:rFonts w:ascii="仿宋_GB2312" w:eastAsia="仿宋_GB2312"/>
          <w:sz w:val="32"/>
          <w:szCs w:val="32"/>
        </w:rPr>
      </w:pPr>
      <w:r>
        <w:rPr>
          <w:rFonts w:hint="eastAsia" w:ascii="仿宋_GB2312" w:eastAsia="仿宋_GB2312"/>
          <w:sz w:val="32"/>
          <w:szCs w:val="32"/>
        </w:rPr>
        <w:t>17</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43EC67BB">
      <w:pPr>
        <w:pStyle w:val="28"/>
        <w:pageBreakBefore w:val="0"/>
        <w:kinsoku/>
        <w:wordWrap/>
        <w:overflowPunct/>
        <w:topLinePunct w:val="0"/>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18</w:t>
      </w:r>
      <w:r>
        <w:rPr>
          <w:rFonts w:ascii="仿宋_GB2312" w:eastAsia="仿宋_GB2312"/>
          <w:color w:val="auto"/>
          <w:sz w:val="32"/>
          <w:szCs w:val="32"/>
        </w:rPr>
        <w:t>.</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6831B2E">
      <w:pPr>
        <w:pStyle w:val="28"/>
        <w:pageBreakBefore w:val="0"/>
        <w:kinsoku/>
        <w:wordWrap/>
        <w:overflowPunct/>
        <w:topLinePunct w:val="0"/>
        <w:bidi w:val="0"/>
        <w:spacing w:line="56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19</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A590DCD">
      <w:pPr>
        <w:pStyle w:val="28"/>
        <w:pageBreakBefore w:val="0"/>
        <w:kinsoku/>
        <w:wordWrap/>
        <w:overflowPunct/>
        <w:topLinePunct w:val="0"/>
        <w:bidi w:val="0"/>
        <w:spacing w:line="560" w:lineRule="exact"/>
        <w:ind w:firstLine="640" w:firstLineChars="200"/>
        <w:textAlignment w:val="auto"/>
        <w:rPr>
          <w:rFonts w:ascii="仿宋_GB2312" w:eastAsia="仿宋_GB2312" w:cs="黑体"/>
          <w:color w:val="auto"/>
          <w:sz w:val="32"/>
          <w:szCs w:val="32"/>
        </w:rPr>
      </w:pPr>
    </w:p>
    <w:p w14:paraId="61B59D67">
      <w:pPr>
        <w:pageBreakBefore w:val="0"/>
        <w:kinsoku/>
        <w:wordWrap/>
        <w:overflowPunct/>
        <w:topLinePunct w:val="0"/>
        <w:bidi w:val="0"/>
        <w:spacing w:line="600" w:lineRule="exact"/>
        <w:jc w:val="center"/>
        <w:textAlignment w:val="auto"/>
        <w:outlineLvl w:val="0"/>
        <w:rPr>
          <w:rStyle w:val="30"/>
          <w:rFonts w:ascii="黑体" w:hAnsi="黑体" w:eastAsia="黑体"/>
          <w:b w:val="0"/>
        </w:rPr>
      </w:pPr>
      <w:bookmarkStart w:id="74" w:name="_Toc15377226"/>
      <w:r>
        <w:rPr>
          <w:rFonts w:ascii="宋体"/>
          <w:b/>
          <w:sz w:val="44"/>
          <w:szCs w:val="44"/>
        </w:rPr>
        <w:br w:type="page"/>
      </w:r>
      <w:bookmarkStart w:id="75" w:name="_Toc15396614"/>
      <w:bookmarkStart w:id="76" w:name="_Toc29193"/>
      <w:r>
        <w:rPr>
          <w:rFonts w:hint="eastAsia" w:ascii="黑体" w:hAnsi="黑体" w:eastAsia="黑体"/>
          <w:sz w:val="44"/>
          <w:szCs w:val="44"/>
        </w:rPr>
        <w:t>第</w:t>
      </w:r>
      <w:r>
        <w:rPr>
          <w:rStyle w:val="30"/>
          <w:rFonts w:hint="eastAsia" w:ascii="黑体" w:hAnsi="黑体" w:eastAsia="黑体"/>
          <w:b w:val="0"/>
        </w:rPr>
        <w:t>四部分 附件</w:t>
      </w:r>
      <w:bookmarkEnd w:id="75"/>
      <w:bookmarkEnd w:id="76"/>
    </w:p>
    <w:p w14:paraId="2998FFC4">
      <w:pPr>
        <w:pageBreakBefore w:val="0"/>
        <w:kinsoku/>
        <w:wordWrap/>
        <w:overflowPunct/>
        <w:topLinePunct w:val="0"/>
        <w:bidi w:val="0"/>
        <w:spacing w:line="572" w:lineRule="exact"/>
        <w:jc w:val="left"/>
        <w:textAlignment w:val="auto"/>
        <w:outlineLvl w:val="0"/>
        <w:rPr>
          <w:rFonts w:hint="eastAsia" w:ascii="黑体" w:hAnsi="黑体" w:eastAsia="黑体" w:cs="黑体"/>
          <w:sz w:val="32"/>
          <w:szCs w:val="32"/>
        </w:rPr>
      </w:pPr>
      <w:bookmarkStart w:id="77" w:name="_Toc4154"/>
      <w:r>
        <w:rPr>
          <w:rFonts w:hint="eastAsia" w:ascii="黑体" w:hAnsi="黑体" w:eastAsia="黑体" w:cs="黑体"/>
          <w:sz w:val="32"/>
          <w:szCs w:val="32"/>
        </w:rPr>
        <w:t>附件</w:t>
      </w:r>
      <w:bookmarkEnd w:id="77"/>
    </w:p>
    <w:p w14:paraId="33DB297E">
      <w:pPr>
        <w:pageBreakBefore w:val="0"/>
        <w:kinsoku/>
        <w:wordWrap/>
        <w:overflowPunct/>
        <w:topLinePunct w:val="0"/>
        <w:bidi w:val="0"/>
        <w:spacing w:line="572" w:lineRule="exact"/>
        <w:jc w:val="center"/>
        <w:textAlignment w:val="auto"/>
        <w:outlineLvl w:val="0"/>
        <w:rPr>
          <w:rFonts w:asciiTheme="majorEastAsia" w:hAnsiTheme="majorEastAsia" w:eastAsiaTheme="majorEastAsia"/>
          <w:b/>
          <w:sz w:val="32"/>
          <w:szCs w:val="32"/>
          <w:shd w:val="clear" w:color="auto" w:fill="FFFFFF"/>
        </w:rPr>
      </w:pPr>
      <w:r>
        <w:rPr>
          <w:rFonts w:hint="eastAsia" w:asciiTheme="majorEastAsia" w:hAnsiTheme="majorEastAsia" w:eastAsiaTheme="majorEastAsia"/>
          <w:b/>
          <w:sz w:val="32"/>
          <w:szCs w:val="32"/>
          <w:shd w:val="clear" w:color="auto" w:fill="FFFFFF"/>
        </w:rPr>
        <w:t>2022年攀枝花市西区农业农村和交通运输局部门</w:t>
      </w:r>
    </w:p>
    <w:p w14:paraId="3E592D06">
      <w:pPr>
        <w:pageBreakBefore w:val="0"/>
        <w:widowControl/>
        <w:kinsoku/>
        <w:wordWrap/>
        <w:overflowPunct/>
        <w:topLinePunct w:val="0"/>
        <w:bidi w:val="0"/>
        <w:spacing w:line="580" w:lineRule="exact"/>
        <w:contextualSpacing/>
        <w:jc w:val="center"/>
        <w:textAlignment w:val="auto"/>
        <w:rPr>
          <w:rFonts w:asciiTheme="majorEastAsia" w:hAnsiTheme="majorEastAsia" w:eastAsiaTheme="majorEastAsia"/>
          <w:b/>
          <w:sz w:val="32"/>
          <w:szCs w:val="32"/>
          <w:shd w:val="clear" w:color="auto" w:fill="FFFFFF"/>
        </w:rPr>
      </w:pPr>
      <w:r>
        <w:rPr>
          <w:rFonts w:hint="eastAsia" w:asciiTheme="majorEastAsia" w:hAnsiTheme="majorEastAsia" w:eastAsiaTheme="majorEastAsia"/>
          <w:b/>
          <w:sz w:val="32"/>
          <w:szCs w:val="32"/>
          <w:shd w:val="clear" w:color="auto" w:fill="FFFFFF"/>
        </w:rPr>
        <w:t>整体支出绩效评价报告范本</w:t>
      </w:r>
    </w:p>
    <w:p w14:paraId="3498738D">
      <w:pPr>
        <w:pageBreakBefore w:val="0"/>
        <w:widowControl/>
        <w:kinsoku/>
        <w:wordWrap/>
        <w:overflowPunct/>
        <w:topLinePunct w:val="0"/>
        <w:bidi w:val="0"/>
        <w:spacing w:line="580" w:lineRule="exact"/>
        <w:contextualSpacing/>
        <w:jc w:val="center"/>
        <w:textAlignment w:val="auto"/>
        <w:rPr>
          <w:rFonts w:ascii="仿宋_GB2312" w:eastAsia="仿宋_GB2312"/>
          <w:sz w:val="32"/>
          <w:szCs w:val="32"/>
          <w:shd w:val="clear" w:color="auto" w:fill="FFFFFF"/>
        </w:rPr>
      </w:pPr>
      <w:r>
        <w:rPr>
          <w:rFonts w:hint="eastAsia" w:ascii="仿宋_GB2312" w:eastAsia="仿宋_GB2312"/>
          <w:sz w:val="32"/>
          <w:szCs w:val="32"/>
          <w:shd w:val="clear" w:color="auto" w:fill="FFFFFF"/>
        </w:rPr>
        <w:t>（报告范围包括机关和下属单位）</w:t>
      </w:r>
    </w:p>
    <w:p w14:paraId="6E0A2ADD">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rPr>
      </w:pPr>
    </w:p>
    <w:p w14:paraId="6C13C248">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rPr>
        <w:t>一、</w:t>
      </w:r>
      <w:r>
        <w:rPr>
          <w:rFonts w:hint="eastAsia" w:ascii="仿宋_GB2312" w:eastAsia="仿宋_GB2312"/>
          <w:color w:val="000000"/>
          <w:kern w:val="0"/>
          <w:sz w:val="32"/>
          <w:szCs w:val="32"/>
          <w:shd w:val="clear" w:color="auto" w:fill="FFFFFF"/>
          <w:lang w:val="zh-CN"/>
        </w:rPr>
        <w:t>部门（单位）概况</w:t>
      </w:r>
    </w:p>
    <w:p w14:paraId="62A4224E">
      <w:pPr>
        <w:pStyle w:val="9"/>
        <w:pageBreakBefore w:val="0"/>
        <w:kinsoku/>
        <w:wordWrap/>
        <w:overflowPunct/>
        <w:topLinePunct w:val="0"/>
        <w:bidi w:val="0"/>
        <w:spacing w:line="353" w:lineRule="auto"/>
        <w:ind w:firstLine="640" w:firstLineChars="200"/>
        <w:textAlignment w:val="auto"/>
        <w:rPr>
          <w:rFonts w:ascii="仿宋_GB2312" w:hAnsi="Times New Roman" w:eastAsia="仿宋_GB2312"/>
          <w:sz w:val="32"/>
          <w:szCs w:val="32"/>
        </w:rPr>
      </w:pPr>
      <w:r>
        <w:rPr>
          <w:rFonts w:hint="eastAsia" w:ascii="仿宋_GB2312" w:eastAsia="仿宋_GB2312"/>
          <w:color w:val="000000"/>
          <w:kern w:val="0"/>
          <w:sz w:val="32"/>
          <w:szCs w:val="32"/>
          <w:shd w:val="clear" w:color="auto" w:fill="FFFFFF"/>
          <w:lang w:val="zh-CN"/>
        </w:rPr>
        <w:t>（一）机构组成。</w:t>
      </w:r>
      <w:r>
        <w:rPr>
          <w:rFonts w:hint="eastAsia" w:ascii="仿宋_GB2312" w:hAnsi="Times New Roman" w:eastAsia="仿宋_GB2312"/>
          <w:sz w:val="32"/>
          <w:szCs w:val="32"/>
        </w:rPr>
        <w:t>攀枝花市西区农业农村和交通运输局是攀枝花市西区人民政府组成部门，于2019年3月政府机构改革时将原农林畜牧局农业部分和原交通运输局合并新组建而成。</w:t>
      </w:r>
    </w:p>
    <w:p w14:paraId="76B28478">
      <w:pPr>
        <w:pageBreakBefore w:val="0"/>
        <w:kinsoku/>
        <w:wordWrap/>
        <w:overflowPunct/>
        <w:topLinePunct w:val="0"/>
        <w:bidi w:val="0"/>
        <w:spacing w:line="560" w:lineRule="exact"/>
        <w:ind w:firstLine="640" w:firstLineChars="200"/>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（二）机构职能。</w:t>
      </w:r>
    </w:p>
    <w:p w14:paraId="6DD22893">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1.基本职能</w:t>
      </w:r>
    </w:p>
    <w:p w14:paraId="483296DB">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（1）贯彻执行国家有关种植业、畜牧业、渔业、农业机械化、农垦等农业领域工作的法律、法规、政策以及区委、区政府关于“三农”方面的决策部署，组织拟订全区“三农”有关政策。</w:t>
      </w:r>
    </w:p>
    <w:p w14:paraId="159036EB">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（2）统筹实施乡村振兴战略，牵头组织改善全区农村人居环境。</w:t>
      </w:r>
    </w:p>
    <w:p w14:paraId="7362CDF4">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（3）负责农民承包地管理和改革有关工作。负责农村集体产权制度改革。</w:t>
      </w:r>
    </w:p>
    <w:p w14:paraId="67C9E5BA">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（4）指导全区乡村特色产业、农产品加工业（产地初加工）、休闲农业和乡村企业发展工作。负责农业信息体系建设，推动数字农业发展。</w:t>
      </w:r>
    </w:p>
    <w:p w14:paraId="770F0AF8">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（5）负责全区种植业、畜牧业（草原牧业）、渔业、农垦、农业机械化等农业各产业的监督管理。</w:t>
      </w:r>
    </w:p>
    <w:p w14:paraId="7FB107F3">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（6）负责制定全区农业全产业机械化、智能化、数字化发展规划并组织实施。指导设施农业、农机库棚、机电提灌、机耕道等基础设施建设。</w:t>
      </w:r>
    </w:p>
    <w:p w14:paraId="00D00F95">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(7)负责全区农产品质量安全监督管理。依法组织实施符合安全标准的农产品生产基地认定、产品认证、农产品地理标志登记保护和监督管理。</w:t>
      </w:r>
    </w:p>
    <w:p w14:paraId="1C88EA27">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(8)组织开展全区农业资源区划和资源保护工作。</w:t>
      </w:r>
    </w:p>
    <w:p w14:paraId="01007DAA">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(9)负责全区有关农业生产资料和农业投入品的监督管理。组织兽医医政、兽药（鱼药）药政药检工作，负责执业兽医和兽禽屠宰行业管理。</w:t>
      </w:r>
    </w:p>
    <w:p w14:paraId="4C24FF96">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(10)负责全区农业防灾减灾、农作物重大病虫害防治工作。指导动植物防疫检疫体系建设，组织监督管理全区动植物防疫检疫工作，发布疫情并组织扑灭。组织植物检疫性有害生物普查。</w:t>
      </w:r>
    </w:p>
    <w:p w14:paraId="65936F99">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(11)负责全区农业投资管理。按规定权限审批农业投资项目，负责农业投资项目资金安排和监督管理。负责农业综合开发项目工作。</w:t>
      </w:r>
    </w:p>
    <w:p w14:paraId="68FE30E3">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（12）负责全区农田建设管理、高标准农田建设和耕地质量管理。</w:t>
      </w:r>
    </w:p>
    <w:p w14:paraId="2ECDA7E8">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13）拟订全区农业科研、农技推广的规划、计划和有关政策并组织实施，牵头推动农业科技体制改革和农业科技创新体系建设。指导农业产业技术体系和农技推广体系建设，组织农作物、家禽、水产养殖等新品种育种公关和农业先进技术引进、实验、转化、示范、推广。</w:t>
      </w:r>
    </w:p>
    <w:p w14:paraId="63465F08">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（14）指导全区农业农村人才工作。拟订农业农村人才队伍建设规划并组织实施，指导农业教育和农业职业技能开发，指导新型职业农民培育、农业科技人才培养和农村实用人才培训工作。</w:t>
      </w:r>
    </w:p>
    <w:p w14:paraId="06F1AC57">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（15）牵头开展全区农业对外合作工作。组织开展农业贸易促进和交流合作。</w:t>
      </w:r>
    </w:p>
    <w:p w14:paraId="1B6A5BBD">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（16）负责全区农业领域行政执法工作。负责区本级涉农违法案件的办理。推进农业依法行政。</w:t>
      </w:r>
    </w:p>
    <w:p w14:paraId="01477A63">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（17）依法依规负责农业安全生产和职业健康监督管理工作。</w:t>
      </w:r>
    </w:p>
    <w:p w14:paraId="5C0D4438">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（18）组织拟订并监督实施公路、水路等行业发展战略、政策，会同有关部门组织编制综合运输体系规划。</w:t>
      </w:r>
    </w:p>
    <w:p w14:paraId="3DEC63F1">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（19）负责本系统、本部门依法行政工作；指导公路、水路行业有关体制改革和机制转换工作；参与拟订物流业发展战略和规划。</w:t>
      </w:r>
    </w:p>
    <w:p w14:paraId="0A40643F">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（20）指导城乡客运管理工作，指导出租车行业管理工作；会同有关部门制定运输价格。</w:t>
      </w:r>
    </w:p>
    <w:p w14:paraId="29CC0598">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21）承担水上交通安全监管责任。配合协调水上交通管制、运输船舶及相关水上设施检验、登记和防治污染、救助打捞、通讯导航、危险品运输工作；指导水上交通安全事故、船舶及相关水上设施污染事故的应急处置，参与事故调查处理工作。</w:t>
      </w:r>
    </w:p>
    <w:p w14:paraId="5C320B10">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（22）负责提出公路、水路固定资产投资规模、方向和区财政资金安排建议，按照程序报批国家、省、市、区规划内和年度计划规模内固定资产投资项目。</w:t>
      </w:r>
    </w:p>
    <w:p w14:paraId="5059D128">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23）承担公路、水路建设市场监管责任。组织协调公路、水路有关重点工程建设，负责工程质量、安全生产监督管理工作；负责对交通行业和产业项目的招投标活动进行监督、指导；指导交通运输基础设施管理和维护，承担有关重要设施的管理和维护。</w:t>
      </w:r>
    </w:p>
    <w:p w14:paraId="68F6069F">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（24）指导农村公路养管理、交通工程建设、农村客运、水上交通灯方面安全生产和应急管理工作。负责全区干线路网运行监测和协调；组织协调地方交通战备工作，承担国防动员有关工作。</w:t>
      </w:r>
    </w:p>
    <w:p w14:paraId="72090F9F">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（25）承担交通运输科技项目开发和研究的组织实施工作，负责交通运输科研成果的推广、应用工作。指导全区交通运输信息化建设，监测分析运行情况，开展相关统计工作，发布有关信息。</w:t>
      </w:r>
    </w:p>
    <w:p w14:paraId="4C872C5F">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（26）负责职责范围内的安全生产、职业健康、生态环境保护、审批服务便民化等工作。</w:t>
      </w:r>
    </w:p>
    <w:p w14:paraId="23CBEEC2">
      <w:pPr>
        <w:pageBreakBefore w:val="0"/>
        <w:kinsoku/>
        <w:wordWrap/>
        <w:overflowPunct/>
        <w:topLinePunct w:val="0"/>
        <w:bidi w:val="0"/>
        <w:spacing w:line="560" w:lineRule="exact"/>
        <w:ind w:firstLine="624" w:firstLineChars="200"/>
        <w:textAlignment w:val="auto"/>
        <w:rPr>
          <w:rFonts w:ascii="仿宋_GB2312" w:hAnsi="仿宋" w:eastAsia="仿宋_GB2312"/>
          <w:spacing w:val="-4"/>
          <w:sz w:val="32"/>
          <w:szCs w:val="32"/>
        </w:rPr>
      </w:pPr>
      <w:r>
        <w:rPr>
          <w:rFonts w:hint="eastAsia" w:ascii="仿宋_GB2312" w:hAnsi="仿宋" w:eastAsia="仿宋_GB2312"/>
          <w:spacing w:val="-4"/>
          <w:sz w:val="32"/>
          <w:szCs w:val="32"/>
        </w:rPr>
        <w:t>（27）完成区委、区政府交办的其他任务。</w:t>
      </w:r>
    </w:p>
    <w:p w14:paraId="589D33E4">
      <w:pPr>
        <w:pageBreakBefore w:val="0"/>
        <w:kinsoku/>
        <w:wordWrap/>
        <w:overflowPunct/>
        <w:topLinePunct w:val="0"/>
        <w:bidi w:val="0"/>
        <w:snapToGrid w:val="0"/>
        <w:spacing w:line="520" w:lineRule="exact"/>
        <w:ind w:firstLine="640" w:firstLineChars="200"/>
        <w:textAlignment w:val="auto"/>
        <w:rPr>
          <w:rFonts w:ascii="仿宋_GB2312" w:hAnsi="仿宋" w:eastAsia="仿宋_GB2312"/>
          <w:sz w:val="32"/>
          <w:szCs w:val="32"/>
        </w:rPr>
      </w:pPr>
      <w:r>
        <w:rPr>
          <w:rFonts w:hint="eastAsia" w:ascii="仿宋_GB2312" w:eastAsia="仿宋_GB2312"/>
          <w:color w:val="000000"/>
          <w:kern w:val="0"/>
          <w:sz w:val="32"/>
          <w:szCs w:val="32"/>
          <w:shd w:val="clear" w:color="auto" w:fill="FFFFFF"/>
          <w:lang w:val="zh-CN"/>
        </w:rPr>
        <w:t>（三）人员概况。</w:t>
      </w:r>
      <w:r>
        <w:rPr>
          <w:rFonts w:hint="eastAsia" w:ascii="仿宋_GB2312" w:hAnsi="仿宋" w:eastAsia="仿宋_GB2312"/>
          <w:sz w:val="32"/>
          <w:szCs w:val="32"/>
        </w:rPr>
        <w:t>2022年，西区农业农村和交通局下设办公室、农村改革和畜牧渔政股、农业综合股、交通综合股、农业综合执法大队等五个内设科室和西区动物疫病控制中心、西区公路养护管理中心等2个二级单位,截至2022年底,共有正式人员30名,其中公务员5名,参公人员6名,机关工勤5名,参公工勤 1名,事业人员13名,临聘人员19名,退休人员10名。</w:t>
      </w:r>
    </w:p>
    <w:p w14:paraId="76A822CE">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shd w:val="clear" w:color="auto" w:fill="FFFFFF"/>
        </w:rPr>
        <w:t>二、部门财政资金收支情况</w:t>
      </w:r>
    </w:p>
    <w:p w14:paraId="08DE1AFE">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（一）部门财政资金收入情况。</w:t>
      </w:r>
    </w:p>
    <w:p w14:paraId="1EA5993C">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2022年，西区农业农村和交通运输局财政资金收入1542.94万元。</w:t>
      </w:r>
    </w:p>
    <w:p w14:paraId="5D77299F">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（二）部门财政资金支出情况。</w:t>
      </w:r>
    </w:p>
    <w:p w14:paraId="022C9B6B">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2022年，西区农业农村和交通运输局财政资金支出1542.94万元。</w:t>
      </w:r>
    </w:p>
    <w:p w14:paraId="5E124039">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shd w:val="clear" w:color="auto" w:fill="FFFFFF"/>
        </w:rPr>
        <w:t>三、部门整体预算绩效管理情况（根据适用指标体系进行调整，涉及</w:t>
      </w:r>
      <w:bookmarkStart w:id="115" w:name="_GoBack"/>
      <w:bookmarkEnd w:id="115"/>
      <w:r>
        <w:rPr>
          <w:rFonts w:hint="eastAsia" w:ascii="仿宋_GB2312" w:eastAsia="仿宋_GB2312"/>
          <w:color w:val="000000"/>
          <w:kern w:val="0"/>
          <w:sz w:val="32"/>
          <w:szCs w:val="32"/>
          <w:shd w:val="clear" w:color="auto" w:fill="FFFFFF"/>
        </w:rPr>
        <w:t>有专项预算的部门，专项预算项目自评报告根据要求另行单独报送）</w:t>
      </w:r>
    </w:p>
    <w:p w14:paraId="2ACE5D53">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（一）部门预算项目绩效管理。</w:t>
      </w:r>
    </w:p>
    <w:p w14:paraId="20B605E7">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西区农业农村和交通运输局所属各股室（单位）根据第二年工作开展情况，结合西区和单位实际，制定项目绩效目标，细化指标，</w:t>
      </w:r>
      <w:r>
        <w:rPr>
          <w:rFonts w:hint="eastAsia" w:ascii="仿宋_GB2312" w:eastAsia="仿宋_GB2312"/>
          <w:kern w:val="0"/>
          <w:sz w:val="32"/>
          <w:szCs w:val="32"/>
          <w:shd w:val="clear" w:color="auto" w:fill="FFFFFF"/>
          <w:lang w:val="zh-CN"/>
        </w:rPr>
        <w:t>列入局党委会议讨论并</w:t>
      </w:r>
      <w:r>
        <w:rPr>
          <w:rFonts w:hint="eastAsia" w:ascii="仿宋_GB2312" w:eastAsia="仿宋_GB2312"/>
          <w:color w:val="000000"/>
          <w:kern w:val="0"/>
          <w:sz w:val="32"/>
          <w:szCs w:val="32"/>
          <w:shd w:val="clear" w:color="auto" w:fill="FFFFFF"/>
          <w:lang w:val="zh-CN"/>
        </w:rPr>
        <w:t>审议；绩效目标分为人员类、运转类和特定目标类三类分类制定目标，根据目标分类跟踪考核。项目预算编制，实事求是，确保预算的准确性、及时性；专项预算项目按照程序严密、规划合理的原则实施、管理结果符合审计要求、及时支付，没有违规记录等情况。</w:t>
      </w:r>
    </w:p>
    <w:p w14:paraId="3E4C8BC0">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（二）结果应用情况。</w:t>
      </w:r>
    </w:p>
    <w:p w14:paraId="6B273FCC">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严格对照项目支出绩效评价发现的问题，查找漏洞，将评价结果用于制定政策、完善内控管理制度，改进项目管理、财务管理和资金使用管理等方面，不断提高资金使用效益。</w:t>
      </w:r>
    </w:p>
    <w:p w14:paraId="1E264BF2">
      <w:pPr>
        <w:pageBreakBefore w:val="0"/>
        <w:widowControl/>
        <w:numPr>
          <w:ilvl w:val="0"/>
          <w:numId w:val="2"/>
        </w:numPr>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自评质量。</w:t>
      </w:r>
    </w:p>
    <w:p w14:paraId="7682875E">
      <w:pPr>
        <w:pageBreakBefore w:val="0"/>
        <w:tabs>
          <w:tab w:val="left" w:pos="4246"/>
        </w:tabs>
        <w:kinsoku/>
        <w:wordWrap/>
        <w:overflowPunct/>
        <w:topLinePunct w:val="0"/>
        <w:bidi w:val="0"/>
        <w:snapToGrid w:val="0"/>
        <w:spacing w:line="353" w:lineRule="auto"/>
        <w:ind w:firstLine="640" w:firstLineChars="200"/>
        <w:textAlignment w:val="auto"/>
        <w:rPr>
          <w:rFonts w:ascii="仿宋_GB2312" w:eastAsia="仿宋_GB2312"/>
          <w:sz w:val="32"/>
          <w:szCs w:val="32"/>
        </w:rPr>
      </w:pPr>
      <w:r>
        <w:rPr>
          <w:rFonts w:hint="eastAsia" w:ascii="仿宋_GB2312" w:eastAsia="仿宋_GB2312"/>
          <w:sz w:val="32"/>
          <w:szCs w:val="32"/>
        </w:rPr>
        <w:t>2022年,在区委、区政府的正确领导下，西区农业农村和交通运输局克服人员少、任务重、时间紧等诸多困难，按计划、按要求完成了各项目工作，较好地实现了2022年目标绩效工作，完成情况良好。</w:t>
      </w:r>
    </w:p>
    <w:p w14:paraId="5BFB038A">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shd w:val="clear" w:color="auto" w:fill="FFFFFF"/>
        </w:rPr>
        <w:t>四、评价结论及建议</w:t>
      </w:r>
    </w:p>
    <w:p w14:paraId="0CF22CD9">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（一）评价结论。</w:t>
      </w:r>
      <w:r>
        <w:rPr>
          <w:rFonts w:hint="eastAsia" w:ascii="仿宋_GB2312" w:eastAsia="仿宋_GB2312"/>
          <w:kern w:val="0"/>
          <w:sz w:val="32"/>
          <w:szCs w:val="32"/>
          <w:shd w:val="clear" w:color="auto" w:fill="FFFFFF"/>
          <w:lang w:val="zh-CN"/>
        </w:rPr>
        <w:t>我单位支出绩效总体良好，各项目标基本达到了相应时期执行进度，使财政收支预算执行都得到了良好的制度保障和实施效果。</w:t>
      </w:r>
    </w:p>
    <w:p w14:paraId="238F64F1">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（二）存在问题。</w:t>
      </w:r>
    </w:p>
    <w:p w14:paraId="154A5012">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部分资金在资金支付上有进度滞后情况。</w:t>
      </w:r>
    </w:p>
    <w:p w14:paraId="7F51FB6D">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lang w:val="zh-CN"/>
        </w:rPr>
      </w:pPr>
      <w:r>
        <w:rPr>
          <w:rFonts w:hint="eastAsia" w:ascii="仿宋_GB2312" w:eastAsia="仿宋_GB2312"/>
          <w:color w:val="000000"/>
          <w:kern w:val="0"/>
          <w:sz w:val="32"/>
          <w:szCs w:val="32"/>
          <w:shd w:val="clear" w:color="auto" w:fill="FFFFFF"/>
          <w:lang w:val="zh-CN"/>
        </w:rPr>
        <w:t>（三）改进建议。</w:t>
      </w:r>
    </w:p>
    <w:p w14:paraId="4D804689">
      <w:pPr>
        <w:pageBreakBefore w:val="0"/>
        <w:widowControl/>
        <w:kinsoku/>
        <w:wordWrap/>
        <w:overflowPunct/>
        <w:topLinePunct w:val="0"/>
        <w:bidi w:val="0"/>
        <w:adjustRightInd w:val="0"/>
        <w:snapToGrid w:val="0"/>
        <w:spacing w:line="580" w:lineRule="exact"/>
        <w:ind w:firstLine="640" w:firstLineChars="200"/>
        <w:contextualSpacing/>
        <w:jc w:val="left"/>
        <w:textAlignment w:val="auto"/>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shd w:val="clear" w:color="auto" w:fill="FFFFFF"/>
        </w:rPr>
        <w:t>我们将进一步重视预算编制与项目管理制度建设，积极与财政对接，努力提高财政资金使用效率。</w:t>
      </w:r>
    </w:p>
    <w:p w14:paraId="7B8A8E39">
      <w:pPr>
        <w:pStyle w:val="15"/>
        <w:pageBreakBefore w:val="0"/>
        <w:kinsoku/>
        <w:wordWrap/>
        <w:overflowPunct/>
        <w:topLinePunct w:val="0"/>
        <w:bidi w:val="0"/>
        <w:spacing w:line="560" w:lineRule="exact"/>
        <w:ind w:left="0" w:leftChars="0" w:firstLine="640" w:firstLineChars="200"/>
        <w:textAlignment w:val="auto"/>
        <w:rPr>
          <w:rFonts w:eastAsia="仿宋_GB2312"/>
          <w:sz w:val="32"/>
          <w:lang w:val="zh-CN"/>
        </w:rPr>
      </w:pPr>
    </w:p>
    <w:p w14:paraId="3A68A6B9">
      <w:pPr>
        <w:pStyle w:val="15"/>
        <w:pageBreakBefore w:val="0"/>
        <w:kinsoku/>
        <w:wordWrap/>
        <w:overflowPunct/>
        <w:topLinePunct w:val="0"/>
        <w:bidi w:val="0"/>
        <w:spacing w:line="560" w:lineRule="exact"/>
        <w:ind w:left="0" w:leftChars="0" w:firstLine="640" w:firstLineChars="200"/>
        <w:textAlignment w:val="auto"/>
        <w:rPr>
          <w:rFonts w:eastAsia="仿宋_GB2312"/>
          <w:sz w:val="32"/>
          <w:lang w:val="zh-CN"/>
        </w:rPr>
      </w:pPr>
    </w:p>
    <w:p w14:paraId="1817AE28">
      <w:pPr>
        <w:pStyle w:val="2"/>
        <w:pageBreakBefore w:val="0"/>
        <w:kinsoku/>
        <w:wordWrap/>
        <w:overflowPunct/>
        <w:topLinePunct w:val="0"/>
        <w:bidi w:val="0"/>
        <w:spacing w:before="93"/>
        <w:ind w:firstLine="640" w:firstLineChars="200"/>
        <w:textAlignment w:val="auto"/>
        <w:rPr>
          <w:rFonts w:hAnsi="宋体" w:cs="宋体"/>
          <w:sz w:val="32"/>
          <w:szCs w:val="32"/>
          <w:shd w:val="clear" w:color="auto" w:fill="FFFFFF"/>
          <w:lang w:val="zh-CN"/>
        </w:rPr>
      </w:pPr>
    </w:p>
    <w:p w14:paraId="60BFD5C2">
      <w:pPr>
        <w:pStyle w:val="2"/>
        <w:pageBreakBefore w:val="0"/>
        <w:kinsoku/>
        <w:wordWrap/>
        <w:overflowPunct/>
        <w:topLinePunct w:val="0"/>
        <w:bidi w:val="0"/>
        <w:spacing w:before="93"/>
        <w:ind w:firstLine="640" w:firstLineChars="200"/>
        <w:textAlignment w:val="auto"/>
        <w:rPr>
          <w:rFonts w:hAnsi="宋体" w:cs="宋体"/>
          <w:sz w:val="32"/>
          <w:szCs w:val="32"/>
          <w:shd w:val="clear" w:color="auto" w:fill="FFFFFF"/>
          <w:lang w:val="zh-CN"/>
        </w:rPr>
      </w:pPr>
    </w:p>
    <w:p w14:paraId="546403F3">
      <w:pPr>
        <w:pStyle w:val="2"/>
        <w:pageBreakBefore w:val="0"/>
        <w:kinsoku/>
        <w:wordWrap/>
        <w:overflowPunct/>
        <w:topLinePunct w:val="0"/>
        <w:bidi w:val="0"/>
        <w:spacing w:before="93"/>
        <w:ind w:firstLine="640" w:firstLineChars="200"/>
        <w:textAlignment w:val="auto"/>
        <w:rPr>
          <w:rFonts w:hAnsi="宋体" w:cs="宋体"/>
          <w:sz w:val="32"/>
          <w:szCs w:val="32"/>
          <w:shd w:val="clear" w:color="auto" w:fill="FFFFFF"/>
          <w:lang w:val="zh-CN"/>
        </w:rPr>
      </w:pPr>
    </w:p>
    <w:p w14:paraId="7824E7DD">
      <w:pPr>
        <w:pStyle w:val="2"/>
        <w:pageBreakBefore w:val="0"/>
        <w:kinsoku/>
        <w:wordWrap/>
        <w:overflowPunct/>
        <w:topLinePunct w:val="0"/>
        <w:bidi w:val="0"/>
        <w:spacing w:before="93"/>
        <w:ind w:firstLine="640" w:firstLineChars="200"/>
        <w:textAlignment w:val="auto"/>
        <w:rPr>
          <w:rFonts w:hAnsi="宋体" w:cs="宋体"/>
          <w:sz w:val="32"/>
          <w:szCs w:val="32"/>
          <w:shd w:val="clear" w:color="auto" w:fill="FFFFFF"/>
          <w:lang w:val="zh-CN"/>
        </w:rPr>
      </w:pPr>
    </w:p>
    <w:p w14:paraId="28215821">
      <w:pPr>
        <w:pStyle w:val="2"/>
        <w:pageBreakBefore w:val="0"/>
        <w:kinsoku/>
        <w:wordWrap/>
        <w:overflowPunct/>
        <w:topLinePunct w:val="0"/>
        <w:bidi w:val="0"/>
        <w:spacing w:before="93"/>
        <w:ind w:firstLine="640" w:firstLineChars="200"/>
        <w:textAlignment w:val="auto"/>
        <w:rPr>
          <w:rFonts w:hAnsi="宋体" w:cs="宋体"/>
          <w:sz w:val="32"/>
          <w:szCs w:val="32"/>
          <w:shd w:val="clear" w:color="auto" w:fill="FFFFFF"/>
          <w:lang w:val="zh-CN"/>
        </w:rPr>
      </w:pPr>
    </w:p>
    <w:p w14:paraId="6169BE5E">
      <w:pPr>
        <w:pStyle w:val="2"/>
        <w:pageBreakBefore w:val="0"/>
        <w:kinsoku/>
        <w:wordWrap/>
        <w:overflowPunct/>
        <w:topLinePunct w:val="0"/>
        <w:bidi w:val="0"/>
        <w:spacing w:before="93"/>
        <w:ind w:firstLine="640" w:firstLineChars="200"/>
        <w:textAlignment w:val="auto"/>
        <w:rPr>
          <w:rFonts w:hAnsi="宋体" w:cs="宋体"/>
          <w:sz w:val="32"/>
          <w:szCs w:val="32"/>
          <w:shd w:val="clear" w:color="auto" w:fill="FFFFFF"/>
          <w:lang w:val="zh-CN"/>
        </w:rPr>
      </w:pPr>
    </w:p>
    <w:p w14:paraId="047877E6">
      <w:pPr>
        <w:pStyle w:val="2"/>
        <w:pageBreakBefore w:val="0"/>
        <w:kinsoku/>
        <w:wordWrap/>
        <w:overflowPunct/>
        <w:topLinePunct w:val="0"/>
        <w:bidi w:val="0"/>
        <w:spacing w:before="93"/>
        <w:textAlignment w:val="auto"/>
        <w:rPr>
          <w:sz w:val="32"/>
          <w:szCs w:val="32"/>
        </w:rPr>
      </w:pPr>
      <w:r>
        <w:rPr>
          <w:rFonts w:hint="eastAsia" w:hAnsi="宋体" w:cs="宋体"/>
          <w:sz w:val="32"/>
          <w:szCs w:val="32"/>
          <w:shd w:val="clear" w:color="auto" w:fill="FFFFFF"/>
          <w:lang w:val="zh-CN"/>
        </w:rPr>
        <w:t>附件</w:t>
      </w:r>
      <w:r>
        <w:rPr>
          <w:rFonts w:hint="eastAsia" w:hAnsi="宋体" w:cs="宋体"/>
          <w:sz w:val="32"/>
          <w:szCs w:val="32"/>
          <w:shd w:val="clear" w:color="auto" w:fill="FFFFFF"/>
        </w:rPr>
        <w:t>2</w:t>
      </w:r>
    </w:p>
    <w:p w14:paraId="407FE27E">
      <w:pPr>
        <w:pStyle w:val="36"/>
        <w:pageBreakBefore w:val="0"/>
        <w:kinsoku/>
        <w:wordWrap/>
        <w:overflowPunct/>
        <w:topLinePunct w:val="0"/>
        <w:bidi w:val="0"/>
        <w:spacing w:line="578" w:lineRule="exact"/>
        <w:ind w:left="420" w:firstLine="640" w:firstLineChars="200"/>
        <w:jc w:val="center"/>
        <w:textAlignment w:val="auto"/>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2"/>
          <w:szCs w:val="32"/>
          <w:lang w:val="en-US"/>
        </w:rPr>
        <w:t>2022年专项资金预算项目绩效自评报告</w:t>
      </w:r>
    </w:p>
    <w:p w14:paraId="03E616AC">
      <w:pPr>
        <w:pStyle w:val="36"/>
        <w:pageBreakBefore w:val="0"/>
        <w:kinsoku/>
        <w:wordWrap/>
        <w:overflowPunct/>
        <w:topLinePunct w:val="0"/>
        <w:bidi w:val="0"/>
        <w:spacing w:line="578" w:lineRule="exact"/>
        <w:ind w:left="420" w:firstLine="640" w:firstLineChars="200"/>
        <w:jc w:val="center"/>
        <w:textAlignment w:val="auto"/>
        <w:rPr>
          <w:rFonts w:ascii="方正小标宋简体" w:hAnsi="方正小标宋简体" w:eastAsia="方正小标宋简体" w:cs="方正小标宋简体"/>
          <w:color w:val="auto"/>
          <w:kern w:val="2"/>
          <w:sz w:val="32"/>
          <w:szCs w:val="32"/>
          <w:lang w:val="en-US"/>
        </w:rPr>
      </w:pPr>
      <w:r>
        <w:rPr>
          <w:rFonts w:hint="eastAsia" w:ascii="方正小标宋简体" w:hAnsi="方正小标宋简体" w:eastAsia="方正小标宋简体" w:cs="方正小标宋简体"/>
          <w:color w:val="auto"/>
          <w:kern w:val="2"/>
          <w:sz w:val="32"/>
          <w:szCs w:val="32"/>
          <w:lang w:val="en-US"/>
        </w:rPr>
        <w:t>（非洲猪瘟卡点防控经费）</w:t>
      </w:r>
    </w:p>
    <w:p w14:paraId="257F662E">
      <w:pPr>
        <w:pStyle w:val="36"/>
        <w:pageBreakBefore w:val="0"/>
        <w:kinsoku/>
        <w:wordWrap/>
        <w:overflowPunct/>
        <w:topLinePunct w:val="0"/>
        <w:bidi w:val="0"/>
        <w:spacing w:line="578" w:lineRule="exact"/>
        <w:ind w:left="420" w:firstLine="640" w:firstLineChars="200"/>
        <w:jc w:val="center"/>
        <w:textAlignment w:val="auto"/>
        <w:rPr>
          <w:rFonts w:ascii="宋体" w:hAnsi="宋体"/>
          <w:color w:val="auto"/>
          <w:kern w:val="2"/>
          <w:sz w:val="32"/>
          <w:szCs w:val="32"/>
        </w:rPr>
      </w:pPr>
    </w:p>
    <w:p w14:paraId="35504A2F">
      <w:pPr>
        <w:pageBreakBefore w:val="0"/>
        <w:kinsoku/>
        <w:wordWrap/>
        <w:overflowPunct/>
        <w:topLinePunct w:val="0"/>
        <w:bidi w:val="0"/>
        <w:adjustRightInd w:val="0"/>
        <w:snapToGrid w:val="0"/>
        <w:spacing w:line="578" w:lineRule="exact"/>
        <w:ind w:firstLine="640" w:firstLineChars="200"/>
        <w:textAlignment w:val="auto"/>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53161008">
      <w:pPr>
        <w:pageBreakBefore w:val="0"/>
        <w:kinsoku/>
        <w:wordWrap/>
        <w:overflowPunct/>
        <w:topLinePunct w:val="0"/>
        <w:bidi w:val="0"/>
        <w:adjustRightInd w:val="0"/>
        <w:snapToGrid w:val="0"/>
        <w:spacing w:line="578" w:lineRule="exact"/>
        <w:ind w:firstLine="643" w:firstLineChars="20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67ECFC98">
      <w:pPr>
        <w:pageBreakBefore w:val="0"/>
        <w:kinsoku/>
        <w:wordWrap/>
        <w:overflowPunct/>
        <w:topLinePunct w:val="0"/>
        <w:bidi w:val="0"/>
        <w:spacing w:line="600" w:lineRule="exact"/>
        <w:ind w:firstLine="640" w:firstLineChars="200"/>
        <w:textAlignment w:val="auto"/>
        <w:rPr>
          <w:rFonts w:ascii="仿宋_GB2312" w:eastAsia="仿宋_GB2312"/>
          <w:sz w:val="32"/>
          <w:szCs w:val="32"/>
        </w:rPr>
      </w:pPr>
      <w:r>
        <w:rPr>
          <w:rFonts w:hint="eastAsia" w:ascii="仿宋_GB2312" w:eastAsia="仿宋_GB2312"/>
          <w:sz w:val="32"/>
          <w:szCs w:val="32"/>
        </w:rPr>
        <w:t>由于非洲猪瘟防控形势严峻，根据省、市非洲猪瘟防控会议精神和有关要求，西区开展了非洲猪瘟防控工作。在西区3个高速公路出口，陶家渡、新庄、庄上高速公路出口分别设置临时卡点。每个卡点安排民兵24小时轮流值守，每班不少于2人，每班8小时，检查入境车辆，严禁省外生猪及产品、手续不全的生猪及产品入境，开展车辆消毒等工作。开展辖区非洲猪瘟疫情排查、监测，消毒灭源，非洲猪瘟防控知识宣传，产地检疫、屠宰检疫，病害猪无害化处理，生猪调运执法监管等工作。</w:t>
      </w:r>
    </w:p>
    <w:p w14:paraId="5A4CBC98">
      <w:pPr>
        <w:pageBreakBefore w:val="0"/>
        <w:kinsoku/>
        <w:wordWrap/>
        <w:overflowPunct/>
        <w:topLinePunct w:val="0"/>
        <w:bidi w:val="0"/>
        <w:spacing w:line="600" w:lineRule="exact"/>
        <w:ind w:firstLine="640" w:firstLineChars="200"/>
        <w:textAlignment w:val="auto"/>
        <w:rPr>
          <w:rFonts w:eastAsia="仿宋_GB2312"/>
          <w:kern w:val="0"/>
          <w:sz w:val="32"/>
          <w:szCs w:val="32"/>
        </w:rPr>
      </w:pPr>
      <w:r>
        <w:rPr>
          <w:rFonts w:hint="eastAsia" w:ascii="仿宋_GB2312" w:eastAsia="仿宋_GB2312"/>
          <w:sz w:val="32"/>
          <w:szCs w:val="32"/>
        </w:rPr>
        <w:t>2022年区级财政安排</w:t>
      </w:r>
      <w:r>
        <w:rPr>
          <w:rFonts w:hint="eastAsia" w:eastAsia="仿宋_GB2312"/>
          <w:kern w:val="0"/>
          <w:sz w:val="32"/>
          <w:szCs w:val="32"/>
        </w:rPr>
        <w:t>非洲猪瘟卡点防控</w:t>
      </w:r>
      <w:r>
        <w:rPr>
          <w:rFonts w:eastAsia="仿宋_GB2312"/>
          <w:kern w:val="0"/>
          <w:sz w:val="32"/>
          <w:szCs w:val="32"/>
        </w:rPr>
        <w:t>项目</w:t>
      </w:r>
      <w:r>
        <w:rPr>
          <w:rFonts w:hint="eastAsia" w:eastAsia="仿宋_GB2312"/>
          <w:kern w:val="0"/>
          <w:sz w:val="32"/>
          <w:szCs w:val="32"/>
        </w:rPr>
        <w:t>资金50.54万元，保障防控工作的开展，支付使用资金50.54万元。</w:t>
      </w:r>
    </w:p>
    <w:p w14:paraId="0ACC759D">
      <w:pPr>
        <w:pageBreakBefore w:val="0"/>
        <w:kinsoku/>
        <w:wordWrap/>
        <w:overflowPunct/>
        <w:topLinePunct w:val="0"/>
        <w:bidi w:val="0"/>
        <w:spacing w:line="600" w:lineRule="exact"/>
        <w:ind w:firstLine="643" w:firstLineChars="20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1E4CED66">
      <w:pPr>
        <w:pageBreakBefore w:val="0"/>
        <w:kinsoku/>
        <w:wordWrap/>
        <w:overflowPunct/>
        <w:topLinePunct w:val="0"/>
        <w:bidi w:val="0"/>
        <w:spacing w:line="353" w:lineRule="auto"/>
        <w:ind w:firstLine="640" w:firstLineChars="200"/>
        <w:textAlignment w:val="auto"/>
        <w:rPr>
          <w:rFonts w:ascii="仿宋_GB2312" w:eastAsia="仿宋_GB2312"/>
          <w:color w:val="000000"/>
          <w:sz w:val="32"/>
          <w:szCs w:val="32"/>
          <w:shd w:val="clear" w:color="auto" w:fill="F8F8F8"/>
        </w:rPr>
      </w:pPr>
      <w:r>
        <w:rPr>
          <w:rFonts w:hint="eastAsia" w:ascii="仿宋_GB2312" w:hAnsi="黑体" w:eastAsia="仿宋_GB2312"/>
          <w:sz w:val="32"/>
          <w:szCs w:val="32"/>
        </w:rPr>
        <w:t>该项目绩效目标为安排资金保障非洲猪瘟临时防控卡点运行，有效防控非洲猪瘟疫情，保障辖区生猪生产稳定。</w:t>
      </w:r>
    </w:p>
    <w:p w14:paraId="498818A3">
      <w:pPr>
        <w:pageBreakBefore w:val="0"/>
        <w:kinsoku/>
        <w:wordWrap/>
        <w:overflowPunct/>
        <w:topLinePunct w:val="0"/>
        <w:bidi w:val="0"/>
        <w:spacing w:line="353" w:lineRule="auto"/>
        <w:ind w:firstLine="640" w:firstLineChars="200"/>
        <w:textAlignment w:val="auto"/>
        <w:rPr>
          <w:rFonts w:ascii="黑体" w:hAnsi="宋体" w:eastAsia="黑体"/>
          <w:sz w:val="32"/>
          <w:szCs w:val="32"/>
        </w:rPr>
      </w:pPr>
      <w:r>
        <w:rPr>
          <w:rFonts w:hint="eastAsia" w:ascii="黑体" w:hAnsi="宋体" w:eastAsia="黑体"/>
          <w:sz w:val="32"/>
          <w:szCs w:val="32"/>
        </w:rPr>
        <w:t>二、项目资金申报及使用情况</w:t>
      </w:r>
    </w:p>
    <w:p w14:paraId="632F615E">
      <w:pPr>
        <w:pageBreakBefore w:val="0"/>
        <w:kinsoku/>
        <w:wordWrap/>
        <w:overflowPunct/>
        <w:topLinePunct w:val="0"/>
        <w:bidi w:val="0"/>
        <w:adjustRightInd w:val="0"/>
        <w:snapToGrid w:val="0"/>
        <w:spacing w:line="578" w:lineRule="exact"/>
        <w:ind w:firstLine="643" w:firstLineChars="20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4C20869B">
      <w:pPr>
        <w:pageBreakBefore w:val="0"/>
        <w:widowControl/>
        <w:kinsoku/>
        <w:wordWrap/>
        <w:overflowPunct/>
        <w:topLinePunct w:val="0"/>
        <w:bidi w:val="0"/>
        <w:adjustRightInd w:val="0"/>
        <w:snapToGrid w:val="0"/>
        <w:spacing w:line="578" w:lineRule="exact"/>
        <w:ind w:firstLine="640" w:firstLineChars="200"/>
        <w:contextualSpacing/>
        <w:jc w:val="left"/>
        <w:textAlignment w:val="auto"/>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说明项目资金由区农业农村和交通运输局向区政府申报，经批复下达资金预算，保障开展非洲猪瘟防控工作。</w:t>
      </w:r>
    </w:p>
    <w:p w14:paraId="187E9DC7">
      <w:pPr>
        <w:pageBreakBefore w:val="0"/>
        <w:kinsoku/>
        <w:wordWrap/>
        <w:overflowPunct/>
        <w:topLinePunct w:val="0"/>
        <w:bidi w:val="0"/>
        <w:adjustRightInd w:val="0"/>
        <w:snapToGrid w:val="0"/>
        <w:spacing w:line="578" w:lineRule="exact"/>
        <w:ind w:firstLine="643" w:firstLineChars="200"/>
        <w:textAlignment w:val="auto"/>
        <w:rPr>
          <w:rFonts w:ascii="仿宋_GB2312" w:hAnsi="宋体"/>
          <w:sz w:val="32"/>
          <w:szCs w:val="32"/>
          <w:lang w:val="zh-CN"/>
        </w:rPr>
      </w:pPr>
      <w:r>
        <w:rPr>
          <w:rFonts w:hint="eastAsia" w:ascii="楷体_GB2312" w:hAnsi="宋体" w:eastAsia="楷体_GB2312"/>
          <w:b/>
          <w:sz w:val="32"/>
          <w:szCs w:val="32"/>
          <w:lang w:val="zh-CN"/>
        </w:rPr>
        <w:t>（二）资金计划、到位及使用情况。</w:t>
      </w:r>
    </w:p>
    <w:p w14:paraId="7275F4EF">
      <w:pPr>
        <w:pageBreakBefore w:val="0"/>
        <w:widowControl/>
        <w:kinsoku/>
        <w:wordWrap/>
        <w:overflowPunct/>
        <w:topLinePunct w:val="0"/>
        <w:bidi w:val="0"/>
        <w:adjustRightInd w:val="0"/>
        <w:snapToGrid w:val="0"/>
        <w:spacing w:line="578" w:lineRule="exact"/>
        <w:ind w:firstLine="640" w:firstLineChars="200"/>
        <w:contextualSpacing/>
        <w:jc w:val="left"/>
        <w:textAlignment w:val="auto"/>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1．资金计划。该项目计划使用资金120万元，由区级财政进行预算。</w:t>
      </w:r>
    </w:p>
    <w:p w14:paraId="28062C34">
      <w:pPr>
        <w:pageBreakBefore w:val="0"/>
        <w:widowControl/>
        <w:kinsoku/>
        <w:wordWrap/>
        <w:overflowPunct/>
        <w:topLinePunct w:val="0"/>
        <w:bidi w:val="0"/>
        <w:adjustRightInd w:val="0"/>
        <w:snapToGrid w:val="0"/>
        <w:spacing w:line="578" w:lineRule="exact"/>
        <w:ind w:firstLine="640" w:firstLineChars="200"/>
        <w:contextualSpacing/>
        <w:jc w:val="left"/>
        <w:textAlignment w:val="auto"/>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2．资金到位。该项资金到位50.54万元。</w:t>
      </w:r>
    </w:p>
    <w:p w14:paraId="7767F553">
      <w:pPr>
        <w:pageBreakBefore w:val="0"/>
        <w:widowControl/>
        <w:kinsoku/>
        <w:wordWrap/>
        <w:overflowPunct/>
        <w:topLinePunct w:val="0"/>
        <w:bidi w:val="0"/>
        <w:adjustRightInd w:val="0"/>
        <w:snapToGrid w:val="0"/>
        <w:spacing w:line="578" w:lineRule="exact"/>
        <w:ind w:firstLine="640" w:firstLineChars="200"/>
        <w:contextualSpacing/>
        <w:jc w:val="left"/>
        <w:textAlignment w:val="auto"/>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3．资金使用。该项按照厉行节约的原则使用资金</w:t>
      </w:r>
      <w:r>
        <w:rPr>
          <w:rFonts w:hint="eastAsia" w:eastAsia="仿宋_GB2312"/>
          <w:kern w:val="0"/>
          <w:sz w:val="32"/>
          <w:szCs w:val="32"/>
        </w:rPr>
        <w:t>50.54万元</w:t>
      </w:r>
      <w:r>
        <w:rPr>
          <w:rFonts w:hint="eastAsia" w:ascii="仿宋_GB2312" w:hAnsi="仿宋_GB2312" w:eastAsia="仿宋_GB2312" w:cs="仿宋_GB2312"/>
          <w:kern w:val="0"/>
          <w:sz w:val="32"/>
          <w:szCs w:val="32"/>
          <w:shd w:val="clear" w:color="auto" w:fill="FFFFFF"/>
          <w:lang w:val="zh-CN"/>
        </w:rPr>
        <w:t>，资金支付范围、支付标准、支付进度、支付依据合规合法、与预算相符。</w:t>
      </w:r>
    </w:p>
    <w:p w14:paraId="22DFBA86">
      <w:pPr>
        <w:pageBreakBefore w:val="0"/>
        <w:kinsoku/>
        <w:wordWrap/>
        <w:overflowPunct/>
        <w:topLinePunct w:val="0"/>
        <w:bidi w:val="0"/>
        <w:adjustRightInd w:val="0"/>
        <w:snapToGrid w:val="0"/>
        <w:spacing w:line="578" w:lineRule="exact"/>
        <w:ind w:firstLine="643" w:firstLineChars="20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18A8E516">
      <w:pPr>
        <w:pageBreakBefore w:val="0"/>
        <w:widowControl/>
        <w:kinsoku/>
        <w:wordWrap/>
        <w:overflowPunct/>
        <w:topLinePunct w:val="0"/>
        <w:bidi w:val="0"/>
        <w:adjustRightInd w:val="0"/>
        <w:snapToGrid w:val="0"/>
        <w:spacing w:line="578" w:lineRule="exact"/>
        <w:ind w:firstLine="640" w:firstLineChars="200"/>
        <w:contextualSpacing/>
        <w:jc w:val="left"/>
        <w:textAlignment w:val="auto"/>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项目实施单位财务管理制度健全，严格执行财务管理制度，账务处理及时，会计核算规范。</w:t>
      </w:r>
    </w:p>
    <w:p w14:paraId="6902DA6F">
      <w:pPr>
        <w:pageBreakBefore w:val="0"/>
        <w:kinsoku/>
        <w:wordWrap/>
        <w:overflowPunct/>
        <w:topLinePunct w:val="0"/>
        <w:bidi w:val="0"/>
        <w:adjustRightInd w:val="0"/>
        <w:snapToGrid w:val="0"/>
        <w:spacing w:line="578" w:lineRule="exact"/>
        <w:ind w:firstLine="640" w:firstLineChars="200"/>
        <w:textAlignment w:val="auto"/>
        <w:rPr>
          <w:rFonts w:ascii="黑体" w:hAnsi="宋体" w:eastAsia="黑体"/>
          <w:sz w:val="32"/>
          <w:szCs w:val="32"/>
        </w:rPr>
      </w:pPr>
      <w:r>
        <w:rPr>
          <w:rFonts w:hint="eastAsia" w:ascii="黑体" w:hAnsi="宋体" w:eastAsia="黑体"/>
          <w:sz w:val="32"/>
          <w:szCs w:val="32"/>
        </w:rPr>
        <w:t>三、项目实施及管理情况</w:t>
      </w:r>
    </w:p>
    <w:p w14:paraId="12C5F32A">
      <w:pPr>
        <w:pageBreakBefore w:val="0"/>
        <w:kinsoku/>
        <w:wordWrap/>
        <w:overflowPunct/>
        <w:topLinePunct w:val="0"/>
        <w:bidi w:val="0"/>
        <w:adjustRightInd w:val="0"/>
        <w:snapToGrid w:val="0"/>
        <w:spacing w:line="578" w:lineRule="exact"/>
        <w:ind w:firstLine="643" w:firstLineChars="200"/>
        <w:textAlignment w:val="auto"/>
        <w:rPr>
          <w:lang w:val="zh-CN"/>
        </w:rPr>
      </w:pPr>
      <w:r>
        <w:rPr>
          <w:rFonts w:hint="eastAsia" w:ascii="楷体_GB2312" w:hAnsi="宋体" w:eastAsia="楷体_GB2312"/>
          <w:b/>
          <w:sz w:val="32"/>
          <w:szCs w:val="32"/>
          <w:lang w:val="zh-CN"/>
        </w:rPr>
        <w:t>（一）项目组织架构及实施流程。</w:t>
      </w:r>
      <w:r>
        <w:rPr>
          <w:rFonts w:hint="eastAsia" w:ascii="仿宋_GB2312" w:hAnsi="仿宋_GB2312" w:eastAsia="仿宋_GB2312" w:cs="仿宋_GB2312"/>
          <w:kern w:val="0"/>
          <w:sz w:val="32"/>
          <w:szCs w:val="32"/>
          <w:shd w:val="clear" w:color="auto" w:fill="FFFFFF"/>
          <w:lang w:val="zh-CN"/>
        </w:rPr>
        <w:t>项目由区农业农村和交通运输局牵头，在高速公路出口设置临时卡点，由属地的格里坪镇人民政府和陶家渡街道办事处安排执勤民兵开展卡点值守和排查等相关防控工作，安排资金补助执勤民兵和购买相关物资，保障卡点的运行。</w:t>
      </w:r>
    </w:p>
    <w:p w14:paraId="31988C76">
      <w:pPr>
        <w:pageBreakBefore w:val="0"/>
        <w:kinsoku/>
        <w:wordWrap/>
        <w:overflowPunct/>
        <w:topLinePunct w:val="0"/>
        <w:bidi w:val="0"/>
        <w:adjustRightInd w:val="0"/>
        <w:snapToGrid w:val="0"/>
        <w:spacing w:line="578" w:lineRule="exact"/>
        <w:ind w:firstLine="643" w:firstLineChars="200"/>
        <w:textAlignment w:val="auto"/>
        <w:rPr>
          <w:rFonts w:ascii="仿宋_GB2312" w:hAnsi="仿宋_GB2312" w:eastAsia="仿宋_GB2312" w:cs="仿宋_GB2312"/>
          <w:kern w:val="0"/>
          <w:sz w:val="32"/>
          <w:szCs w:val="32"/>
          <w:shd w:val="clear" w:color="auto" w:fill="FFFFFF"/>
          <w:lang w:val="zh-CN"/>
        </w:rPr>
      </w:pPr>
      <w:r>
        <w:rPr>
          <w:rFonts w:hint="eastAsia" w:ascii="楷体_GB2312" w:hAnsi="宋体" w:eastAsia="楷体_GB2312"/>
          <w:b/>
          <w:sz w:val="32"/>
          <w:szCs w:val="32"/>
          <w:lang w:val="zh-CN"/>
        </w:rPr>
        <w:t>（二）项目管理情况。</w:t>
      </w:r>
      <w:r>
        <w:rPr>
          <w:rFonts w:hint="eastAsia" w:eastAsia="仿宋_GB2312"/>
          <w:kern w:val="0"/>
          <w:sz w:val="32"/>
          <w:szCs w:val="32"/>
        </w:rPr>
        <w:t>项目实施依据充分，目标明确，在项目实施过程中严格执行了相关政策规定，项目的立项、卡点数量、人员安排、物</w:t>
      </w:r>
      <w:r>
        <w:rPr>
          <w:rFonts w:hint="eastAsia" w:eastAsia="仿宋_GB2312"/>
          <w:kern w:val="0"/>
          <w:sz w:val="32"/>
          <w:szCs w:val="32"/>
          <w:lang w:val="en-US" w:eastAsia="zh-CN"/>
        </w:rPr>
        <w:t>资</w:t>
      </w:r>
      <w:r>
        <w:rPr>
          <w:rFonts w:hint="eastAsia" w:eastAsia="仿宋_GB2312"/>
          <w:kern w:val="0"/>
          <w:sz w:val="32"/>
          <w:szCs w:val="32"/>
        </w:rPr>
        <w:t>采购、资金拨付等程序严格管理和审核。</w:t>
      </w:r>
    </w:p>
    <w:p w14:paraId="57E291EB">
      <w:pPr>
        <w:pageBreakBefore w:val="0"/>
        <w:kinsoku/>
        <w:wordWrap/>
        <w:overflowPunct/>
        <w:topLinePunct w:val="0"/>
        <w:bidi w:val="0"/>
        <w:adjustRightInd w:val="0"/>
        <w:snapToGrid w:val="0"/>
        <w:spacing w:line="578" w:lineRule="exact"/>
        <w:ind w:firstLine="643" w:firstLineChars="200"/>
        <w:textAlignment w:val="auto"/>
        <w:rPr>
          <w:rFonts w:eastAsia="仿宋_GB2312"/>
          <w:kern w:val="0"/>
          <w:sz w:val="32"/>
          <w:szCs w:val="32"/>
        </w:rPr>
      </w:pPr>
      <w:r>
        <w:rPr>
          <w:rFonts w:hint="eastAsia" w:ascii="楷体_GB2312" w:hAnsi="宋体" w:eastAsia="楷体_GB2312"/>
          <w:b/>
          <w:sz w:val="32"/>
          <w:szCs w:val="32"/>
          <w:lang w:val="zh-CN"/>
        </w:rPr>
        <w:t>（三）项目监管情况。</w:t>
      </w:r>
      <w:r>
        <w:rPr>
          <w:rFonts w:hint="eastAsia" w:eastAsia="仿宋_GB2312"/>
          <w:kern w:val="0"/>
          <w:sz w:val="32"/>
          <w:szCs w:val="32"/>
        </w:rPr>
        <w:t>加强项目监管，在卡点数量、人员安排、物</w:t>
      </w:r>
      <w:r>
        <w:rPr>
          <w:rFonts w:hint="eastAsia" w:eastAsia="仿宋_GB2312"/>
          <w:kern w:val="0"/>
          <w:sz w:val="32"/>
          <w:szCs w:val="32"/>
          <w:lang w:val="en-US" w:eastAsia="zh-CN"/>
        </w:rPr>
        <w:t>资</w:t>
      </w:r>
      <w:r>
        <w:rPr>
          <w:rFonts w:hint="eastAsia" w:eastAsia="仿宋_GB2312"/>
          <w:kern w:val="0"/>
          <w:sz w:val="32"/>
          <w:szCs w:val="32"/>
        </w:rPr>
        <w:t>采购、资金拨付等程序未发现不符合政策要求的情况，严格资金使用监管，保障专款专用。</w:t>
      </w:r>
    </w:p>
    <w:p w14:paraId="510F46BB">
      <w:pPr>
        <w:pageBreakBefore w:val="0"/>
        <w:kinsoku/>
        <w:wordWrap/>
        <w:overflowPunct/>
        <w:topLinePunct w:val="0"/>
        <w:bidi w:val="0"/>
        <w:adjustRightInd w:val="0"/>
        <w:snapToGrid w:val="0"/>
        <w:spacing w:line="578" w:lineRule="exact"/>
        <w:ind w:firstLine="640" w:firstLineChars="200"/>
        <w:textAlignment w:val="auto"/>
        <w:rPr>
          <w:rFonts w:ascii="仿宋_GB2312" w:hAnsi="宋体"/>
          <w:sz w:val="32"/>
          <w:szCs w:val="32"/>
          <w:lang w:val="zh-CN"/>
        </w:rPr>
      </w:pPr>
      <w:r>
        <w:rPr>
          <w:rFonts w:hint="eastAsia" w:ascii="黑体" w:hAnsi="宋体" w:eastAsia="黑体"/>
          <w:sz w:val="32"/>
          <w:szCs w:val="32"/>
        </w:rPr>
        <w:t>四、项目绩效情况</w:t>
      </w:r>
      <w:r>
        <w:rPr>
          <w:rFonts w:hint="eastAsia" w:ascii="仿宋_GB2312" w:hAnsi="宋体"/>
          <w:sz w:val="32"/>
          <w:szCs w:val="32"/>
          <w:lang w:val="zh-CN"/>
        </w:rPr>
        <w:tab/>
      </w:r>
    </w:p>
    <w:p w14:paraId="4EA6F49C">
      <w:pPr>
        <w:pageBreakBefore w:val="0"/>
        <w:kinsoku/>
        <w:wordWrap/>
        <w:overflowPunct/>
        <w:topLinePunct w:val="0"/>
        <w:bidi w:val="0"/>
        <w:adjustRightInd w:val="0"/>
        <w:snapToGrid w:val="0"/>
        <w:spacing w:line="578" w:lineRule="exact"/>
        <w:ind w:firstLine="643" w:firstLineChars="20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0C8B59D7">
      <w:pPr>
        <w:pageBreakBefore w:val="0"/>
        <w:kinsoku/>
        <w:wordWrap/>
        <w:overflowPunct/>
        <w:topLinePunct w:val="0"/>
        <w:bidi w:val="0"/>
        <w:spacing w:line="353" w:lineRule="auto"/>
        <w:ind w:firstLine="640" w:firstLineChars="200"/>
        <w:textAlignment w:val="auto"/>
        <w:rPr>
          <w:rFonts w:ascii="楷体_GB2312" w:hAnsi="黑体" w:eastAsia="楷体_GB2312"/>
          <w:sz w:val="32"/>
          <w:szCs w:val="32"/>
        </w:rPr>
      </w:pPr>
      <w:r>
        <w:rPr>
          <w:rFonts w:hint="eastAsia" w:ascii="仿宋_GB2312" w:hAnsi="仿宋_GB2312" w:eastAsia="仿宋_GB2312" w:cs="仿宋_GB2312"/>
          <w:kern w:val="0"/>
          <w:sz w:val="32"/>
          <w:szCs w:val="32"/>
          <w:shd w:val="clear" w:color="auto" w:fill="FFFFFF"/>
        </w:rPr>
        <w:t>完成了非洲猪瘟疫情防控目标，辖区生猪生产稳定，</w:t>
      </w:r>
      <w:r>
        <w:rPr>
          <w:rFonts w:hint="eastAsia" w:eastAsia="仿宋_GB2312"/>
          <w:sz w:val="32"/>
          <w:szCs w:val="32"/>
        </w:rPr>
        <w:t>生猪出栏1.2万头，完成市级下达的目标任务。</w:t>
      </w:r>
    </w:p>
    <w:p w14:paraId="5ACA8876">
      <w:pPr>
        <w:pageBreakBefore w:val="0"/>
        <w:kinsoku/>
        <w:wordWrap/>
        <w:overflowPunct/>
        <w:topLinePunct w:val="0"/>
        <w:bidi w:val="0"/>
        <w:adjustRightInd w:val="0"/>
        <w:snapToGrid w:val="0"/>
        <w:spacing w:line="578" w:lineRule="exact"/>
        <w:ind w:firstLine="643" w:firstLineChars="200"/>
        <w:textAlignment w:val="auto"/>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4C1D2056">
      <w:pPr>
        <w:pageBreakBefore w:val="0"/>
        <w:kinsoku/>
        <w:wordWrap/>
        <w:overflowPunct/>
        <w:topLinePunct w:val="0"/>
        <w:bidi w:val="0"/>
        <w:spacing w:line="600" w:lineRule="exact"/>
        <w:ind w:firstLine="640" w:firstLineChars="200"/>
        <w:textAlignment w:val="auto"/>
        <w:rPr>
          <w:rFonts w:ascii="仿宋_GB2312" w:hAnsi="仿宋_GB2312" w:eastAsia="仿宋_GB2312" w:cs="仿宋_GB2312"/>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rPr>
        <w:t>通过项目资金的支持，有效防控了非洲猪瘟疫情，</w:t>
      </w:r>
      <w:r>
        <w:rPr>
          <w:rFonts w:hint="eastAsia" w:eastAsia="仿宋_GB2312"/>
          <w:sz w:val="32"/>
          <w:szCs w:val="32"/>
        </w:rPr>
        <w:t>保护了辖区生猪安全生产，促进了生猪养殖农户增收，增加了市场猪肉供应，丰富了“菜篮子”，稳定了猪肉价格，保障了群众基本营养需要，促进了社会稳定。</w:t>
      </w:r>
    </w:p>
    <w:p w14:paraId="62E015C6">
      <w:pPr>
        <w:pageBreakBefore w:val="0"/>
        <w:kinsoku/>
        <w:wordWrap/>
        <w:overflowPunct/>
        <w:topLinePunct w:val="0"/>
        <w:bidi w:val="0"/>
        <w:adjustRightInd w:val="0"/>
        <w:snapToGrid w:val="0"/>
        <w:spacing w:line="578" w:lineRule="exact"/>
        <w:ind w:firstLine="640" w:firstLineChars="200"/>
        <w:textAlignment w:val="auto"/>
        <w:rPr>
          <w:rFonts w:ascii="黑体" w:hAnsi="宋体" w:eastAsia="黑体"/>
          <w:sz w:val="32"/>
          <w:szCs w:val="32"/>
        </w:rPr>
      </w:pPr>
      <w:r>
        <w:rPr>
          <w:rFonts w:hint="eastAsia" w:ascii="黑体" w:hAnsi="宋体" w:eastAsia="黑体"/>
          <w:sz w:val="32"/>
          <w:szCs w:val="32"/>
        </w:rPr>
        <w:t>五、评价结论及建议</w:t>
      </w:r>
    </w:p>
    <w:p w14:paraId="41F4A2EE">
      <w:pPr>
        <w:pageBreakBefore w:val="0"/>
        <w:kinsoku/>
        <w:wordWrap/>
        <w:overflowPunct/>
        <w:topLinePunct w:val="0"/>
        <w:bidi w:val="0"/>
        <w:spacing w:line="580" w:lineRule="exact"/>
        <w:ind w:firstLine="640" w:firstLineChars="200"/>
        <w:textAlignment w:val="auto"/>
        <w:rPr>
          <w:rFonts w:ascii="仿宋_GB2312" w:hAnsi="仿宋_GB2312" w:eastAsia="仿宋_GB2312" w:cs="仿宋_GB2312"/>
          <w:bCs/>
          <w:kern w:val="0"/>
          <w:sz w:val="32"/>
          <w:szCs w:val="32"/>
          <w:shd w:val="clear" w:color="auto" w:fill="FFFFFF"/>
          <w:lang w:val="zh-CN"/>
        </w:rPr>
      </w:pPr>
      <w:r>
        <w:rPr>
          <w:rFonts w:hint="eastAsia" w:ascii="仿宋_GB2312" w:hAnsi="仿宋_GB2312" w:eastAsia="仿宋_GB2312" w:cs="仿宋_GB2312"/>
          <w:kern w:val="0"/>
          <w:sz w:val="32"/>
          <w:szCs w:val="32"/>
          <w:shd w:val="clear" w:color="auto" w:fill="FFFFFF"/>
          <w:lang w:val="zh-CN"/>
        </w:rPr>
        <w:t>非洲猪瘟卡点防控经费项目，项目实施依据充分，目标明确，在项目实施过程中严格执行了相关政策规定，项目的立项、卡点数量、人员安排、物</w:t>
      </w:r>
      <w:r>
        <w:rPr>
          <w:rFonts w:hint="eastAsia" w:ascii="仿宋_GB2312" w:hAnsi="仿宋_GB2312" w:eastAsia="仿宋_GB2312" w:cs="仿宋_GB2312"/>
          <w:kern w:val="0"/>
          <w:sz w:val="32"/>
          <w:szCs w:val="32"/>
          <w:shd w:val="clear" w:color="auto" w:fill="FFFFFF"/>
          <w:lang w:val="en-US" w:eastAsia="zh-CN"/>
        </w:rPr>
        <w:t>资</w:t>
      </w:r>
      <w:r>
        <w:rPr>
          <w:rFonts w:hint="eastAsia" w:ascii="仿宋_GB2312" w:hAnsi="仿宋_GB2312" w:eastAsia="仿宋_GB2312" w:cs="仿宋_GB2312"/>
          <w:kern w:val="0"/>
          <w:sz w:val="32"/>
          <w:szCs w:val="32"/>
          <w:shd w:val="clear" w:color="auto" w:fill="FFFFFF"/>
          <w:lang w:val="zh-CN"/>
        </w:rPr>
        <w:t>采购、资金拨付等程序未发现不符合政策要求的情况。较好地完成了</w:t>
      </w:r>
      <w:r>
        <w:rPr>
          <w:rFonts w:ascii="仿宋_GB2312" w:hAnsi="仿宋_GB2312" w:eastAsia="仿宋_GB2312" w:cs="仿宋_GB2312"/>
          <w:kern w:val="0"/>
          <w:sz w:val="32"/>
          <w:szCs w:val="32"/>
          <w:shd w:val="clear" w:color="auto" w:fill="FFFFFF"/>
          <w:lang w:val="zh-CN"/>
        </w:rPr>
        <w:t>202</w:t>
      </w:r>
      <w:r>
        <w:rPr>
          <w:rFonts w:hint="eastAsia" w:ascii="仿宋_GB2312" w:hAnsi="仿宋_GB2312" w:eastAsia="仿宋_GB2312" w:cs="仿宋_GB2312"/>
          <w:kern w:val="0"/>
          <w:sz w:val="32"/>
          <w:szCs w:val="32"/>
          <w:shd w:val="clear" w:color="auto" w:fill="FFFFFF"/>
          <w:lang w:val="zh-CN"/>
        </w:rPr>
        <w:t>2年非洲猪瘟疫情防控和生猪生产任务，项目绩效评价得分优良。</w:t>
      </w:r>
    </w:p>
    <w:p w14:paraId="02FF6CAC">
      <w:pPr>
        <w:pageBreakBefore w:val="0"/>
        <w:kinsoku/>
        <w:wordWrap/>
        <w:overflowPunct/>
        <w:topLinePunct w:val="0"/>
        <w:bidi w:val="0"/>
        <w:ind w:firstLine="640" w:firstLineChars="200"/>
        <w:textAlignment w:val="auto"/>
        <w:rPr>
          <w:rFonts w:ascii="仿宋_GB2312" w:hAnsi="仿宋_GB2312" w:eastAsia="仿宋_GB2312" w:cs="仿宋_GB2312"/>
          <w:kern w:val="0"/>
          <w:sz w:val="32"/>
          <w:szCs w:val="32"/>
          <w:shd w:val="clear" w:color="auto" w:fill="FFFFFF"/>
          <w:lang w:val="zh-CN"/>
        </w:rPr>
      </w:pPr>
    </w:p>
    <w:p w14:paraId="3E1F1A18">
      <w:pPr>
        <w:pageBreakBefore w:val="0"/>
        <w:kinsoku/>
        <w:wordWrap/>
        <w:overflowPunct/>
        <w:topLinePunct w:val="0"/>
        <w:bidi w:val="0"/>
        <w:spacing w:line="580" w:lineRule="exact"/>
        <w:ind w:firstLine="880" w:firstLineChars="200"/>
        <w:textAlignment w:val="auto"/>
        <w:rPr>
          <w:rStyle w:val="30"/>
          <w:rFonts w:ascii="黑体" w:hAnsi="黑体" w:eastAsia="黑体"/>
          <w:b w:val="0"/>
        </w:rPr>
      </w:pPr>
    </w:p>
    <w:p w14:paraId="795D5128">
      <w:pPr>
        <w:pStyle w:val="36"/>
        <w:pageBreakBefore w:val="0"/>
        <w:kinsoku/>
        <w:wordWrap/>
        <w:overflowPunct/>
        <w:topLinePunct w:val="0"/>
        <w:bidi w:val="0"/>
        <w:spacing w:line="300" w:lineRule="auto"/>
        <w:jc w:val="center"/>
        <w:textAlignment w:val="auto"/>
        <w:outlineLvl w:val="0"/>
        <w:rPr>
          <w:rFonts w:ascii="Times New Roman" w:hAnsi="Times New Roman" w:eastAsia="方正小标宋_GBK"/>
          <w:color w:val="auto"/>
          <w:kern w:val="2"/>
          <w:sz w:val="44"/>
          <w:szCs w:val="44"/>
          <w:lang w:val="en-US"/>
        </w:rPr>
      </w:pPr>
      <w:r>
        <w:rPr>
          <w:rStyle w:val="30"/>
          <w:rFonts w:ascii="黑体" w:hAnsi="黑体" w:eastAsia="黑体"/>
          <w:b w:val="0"/>
        </w:rPr>
        <w:br w:type="page"/>
      </w:r>
      <w:bookmarkStart w:id="78" w:name="_Toc19545"/>
      <w:r>
        <w:rPr>
          <w:rFonts w:ascii="Times New Roman" w:hAnsi="Times New Roman" w:eastAsia="方正小标宋_GBK"/>
          <w:color w:val="auto"/>
          <w:kern w:val="2"/>
          <w:sz w:val="44"/>
          <w:szCs w:val="44"/>
          <w:lang w:val="en-US"/>
        </w:rPr>
        <w:t>2022年区级专项资金预算项目绩效</w:t>
      </w:r>
      <w:bookmarkEnd w:id="78"/>
      <w:bookmarkStart w:id="79" w:name="_Toc31249"/>
    </w:p>
    <w:p w14:paraId="677E3FE0">
      <w:pPr>
        <w:pStyle w:val="36"/>
        <w:pageBreakBefore w:val="0"/>
        <w:kinsoku/>
        <w:wordWrap/>
        <w:overflowPunct/>
        <w:topLinePunct w:val="0"/>
        <w:bidi w:val="0"/>
        <w:spacing w:line="300" w:lineRule="auto"/>
        <w:jc w:val="center"/>
        <w:textAlignment w:val="auto"/>
        <w:outlineLvl w:val="0"/>
        <w:rPr>
          <w:rFonts w:ascii="Times New Roman" w:hAnsi="Times New Roman" w:eastAsia="方正小标宋_GBK"/>
          <w:color w:val="auto"/>
          <w:kern w:val="2"/>
          <w:sz w:val="44"/>
          <w:szCs w:val="44"/>
          <w:lang w:val="en-US"/>
        </w:rPr>
      </w:pPr>
      <w:r>
        <w:rPr>
          <w:rFonts w:ascii="Times New Roman" w:hAnsi="Times New Roman" w:eastAsia="方正小标宋_GBK"/>
          <w:color w:val="auto"/>
          <w:kern w:val="2"/>
          <w:sz w:val="44"/>
          <w:szCs w:val="44"/>
          <w:lang w:val="en-US"/>
        </w:rPr>
        <w:t>自评报告</w:t>
      </w:r>
      <w:bookmarkEnd w:id="79"/>
    </w:p>
    <w:p w14:paraId="45A73E0D">
      <w:pPr>
        <w:pStyle w:val="36"/>
        <w:pageBreakBefore w:val="0"/>
        <w:kinsoku/>
        <w:wordWrap/>
        <w:overflowPunct/>
        <w:topLinePunct w:val="0"/>
        <w:bidi w:val="0"/>
        <w:spacing w:line="578" w:lineRule="exact"/>
        <w:jc w:val="center"/>
        <w:textAlignment w:val="auto"/>
        <w:outlineLvl w:val="1"/>
        <w:rPr>
          <w:rFonts w:ascii="Times New Roman" w:hAnsi="Times New Roman"/>
          <w:color w:val="auto"/>
          <w:kern w:val="2"/>
          <w:sz w:val="32"/>
          <w:szCs w:val="32"/>
        </w:rPr>
      </w:pPr>
      <w:bookmarkStart w:id="80" w:name="_Toc6172"/>
      <w:r>
        <w:rPr>
          <w:rFonts w:hint="eastAsia" w:ascii="Times New Roman" w:hAnsi="Times New Roman"/>
          <w:color w:val="auto"/>
          <w:kern w:val="2"/>
          <w:sz w:val="32"/>
          <w:szCs w:val="32"/>
        </w:rPr>
        <w:t>（疫情防控项目）</w:t>
      </w:r>
      <w:bookmarkEnd w:id="80"/>
    </w:p>
    <w:p w14:paraId="3705F2C4">
      <w:pPr>
        <w:pageBreakBefore w:val="0"/>
        <w:kinsoku/>
        <w:wordWrap/>
        <w:overflowPunct/>
        <w:topLinePunct w:val="0"/>
        <w:bidi w:val="0"/>
        <w:adjustRightInd w:val="0"/>
        <w:snapToGrid w:val="0"/>
        <w:spacing w:line="353" w:lineRule="auto"/>
        <w:ind w:firstLine="640" w:firstLineChars="200"/>
        <w:textAlignment w:val="auto"/>
        <w:outlineLvl w:val="1"/>
        <w:rPr>
          <w:rFonts w:eastAsia="黑体"/>
          <w:sz w:val="32"/>
          <w:szCs w:val="32"/>
          <w:lang w:val="zh-CN"/>
        </w:rPr>
      </w:pPr>
      <w:bookmarkStart w:id="81" w:name="_Toc8214"/>
      <w:r>
        <w:rPr>
          <w:rFonts w:eastAsia="黑体"/>
          <w:sz w:val="32"/>
          <w:szCs w:val="32"/>
        </w:rPr>
        <w:t>一、</w:t>
      </w:r>
      <w:r>
        <w:rPr>
          <w:rFonts w:eastAsia="黑体"/>
          <w:sz w:val="32"/>
          <w:szCs w:val="32"/>
          <w:lang w:val="zh-CN"/>
        </w:rPr>
        <w:t>项目概况</w:t>
      </w:r>
      <w:bookmarkEnd w:id="81"/>
    </w:p>
    <w:p w14:paraId="1146BE6F">
      <w:pPr>
        <w:pageBreakBefore w:val="0"/>
        <w:kinsoku/>
        <w:wordWrap/>
        <w:overflowPunct/>
        <w:topLinePunct w:val="0"/>
        <w:bidi w:val="0"/>
        <w:adjustRightInd w:val="0"/>
        <w:snapToGrid w:val="0"/>
        <w:spacing w:line="353" w:lineRule="auto"/>
        <w:ind w:firstLine="640" w:firstLineChars="200"/>
        <w:textAlignment w:val="auto"/>
        <w:rPr>
          <w:rFonts w:eastAsia="楷体_GB2312"/>
          <w:sz w:val="32"/>
          <w:szCs w:val="32"/>
          <w:lang w:val="zh-CN"/>
        </w:rPr>
      </w:pPr>
      <w:r>
        <w:rPr>
          <w:rFonts w:eastAsia="楷体_GB2312"/>
          <w:sz w:val="32"/>
          <w:szCs w:val="32"/>
          <w:lang w:val="zh-CN"/>
        </w:rPr>
        <w:t>（一）项目基本情况。</w:t>
      </w:r>
    </w:p>
    <w:p w14:paraId="1D13797D">
      <w:pPr>
        <w:pageBreakBefore w:val="0"/>
        <w:kinsoku/>
        <w:wordWrap/>
        <w:overflowPunct/>
        <w:topLinePunct w:val="0"/>
        <w:bidi w:val="0"/>
        <w:adjustRightInd w:val="0"/>
        <w:snapToGrid w:val="0"/>
        <w:spacing w:line="353" w:lineRule="auto"/>
        <w:ind w:firstLine="640" w:firstLineChars="200"/>
        <w:textAlignment w:val="auto"/>
        <w:rPr>
          <w:rFonts w:eastAsia="仿宋_GB2312"/>
          <w:color w:val="333333"/>
          <w:sz w:val="32"/>
          <w:szCs w:val="32"/>
          <w:shd w:val="clear" w:color="auto" w:fill="FFFFFF"/>
        </w:rPr>
      </w:pPr>
      <w:r>
        <w:rPr>
          <w:rFonts w:eastAsia="仿宋_GB2312"/>
          <w:color w:val="333333"/>
          <w:sz w:val="32"/>
          <w:szCs w:val="32"/>
          <w:shd w:val="clear" w:color="auto" w:fill="FFFFFF"/>
        </w:rPr>
        <w:t>本项目资金用于自2022年1月以来，在疫情防控过程中发生的相关费用，包括但不仅限于：防疫车辆费用（包括转运车辆）、防疫卡点费用、防疫物资费用、第三方民兵值守、联勤安保费用等等。</w:t>
      </w:r>
    </w:p>
    <w:p w14:paraId="4F7F8E9D">
      <w:pPr>
        <w:pageBreakBefore w:val="0"/>
        <w:kinsoku/>
        <w:wordWrap/>
        <w:overflowPunct/>
        <w:topLinePunct w:val="0"/>
        <w:bidi w:val="0"/>
        <w:adjustRightInd w:val="0"/>
        <w:snapToGrid w:val="0"/>
        <w:spacing w:line="353" w:lineRule="auto"/>
        <w:ind w:firstLine="640" w:firstLineChars="200"/>
        <w:textAlignment w:val="auto"/>
        <w:rPr>
          <w:rFonts w:eastAsia="楷体_GB2312"/>
          <w:sz w:val="32"/>
          <w:szCs w:val="32"/>
          <w:lang w:val="zh-CN"/>
        </w:rPr>
      </w:pPr>
      <w:r>
        <w:rPr>
          <w:rFonts w:eastAsia="楷体_GB2312"/>
          <w:sz w:val="32"/>
          <w:szCs w:val="32"/>
          <w:lang w:val="zh-CN"/>
        </w:rPr>
        <w:t>（二）项目绩效目标。</w:t>
      </w:r>
    </w:p>
    <w:p w14:paraId="31E9FD2D">
      <w:pPr>
        <w:pageBreakBefore w:val="0"/>
        <w:kinsoku/>
        <w:wordWrap/>
        <w:overflowPunct/>
        <w:topLinePunct w:val="0"/>
        <w:bidi w:val="0"/>
        <w:spacing w:line="353" w:lineRule="auto"/>
        <w:ind w:firstLine="640" w:firstLineChars="200"/>
        <w:textAlignment w:val="auto"/>
        <w:rPr>
          <w:rFonts w:eastAsia="仿宋_GB2312"/>
          <w:color w:val="000000"/>
          <w:sz w:val="32"/>
          <w:szCs w:val="32"/>
          <w:shd w:val="clear" w:color="auto" w:fill="FFFFFF"/>
        </w:rPr>
      </w:pPr>
      <w:r>
        <w:rPr>
          <w:rFonts w:eastAsia="仿宋_GB2312"/>
          <w:color w:val="000000"/>
          <w:sz w:val="32"/>
          <w:szCs w:val="32"/>
          <w:shd w:val="clear" w:color="auto" w:fill="FFFFFF"/>
        </w:rPr>
        <w:t>积极配合全区做好疫情防控工作，守好高速出口“第一道防线”，按照卡点工作要求做好值守工作，根据区委、区政府疫情防控工作安排与部署，积极做好卡点疫情防控，严防死守高速卡口，加大财政投入力度，强化后勤物资采购的资金保障，改善核酸采样人员和一线值守人员工作环境，全力保障疫情防控服务站和核酸检测点正常运行。</w:t>
      </w:r>
    </w:p>
    <w:p w14:paraId="447CDBBB">
      <w:pPr>
        <w:pageBreakBefore w:val="0"/>
        <w:kinsoku/>
        <w:wordWrap/>
        <w:overflowPunct/>
        <w:topLinePunct w:val="0"/>
        <w:bidi w:val="0"/>
        <w:adjustRightInd w:val="0"/>
        <w:snapToGrid w:val="0"/>
        <w:spacing w:line="353" w:lineRule="auto"/>
        <w:ind w:firstLine="640" w:firstLineChars="200"/>
        <w:textAlignment w:val="auto"/>
        <w:outlineLvl w:val="1"/>
        <w:rPr>
          <w:rFonts w:eastAsia="黑体"/>
          <w:sz w:val="32"/>
          <w:szCs w:val="32"/>
        </w:rPr>
      </w:pPr>
      <w:bookmarkStart w:id="82" w:name="_Toc6858"/>
      <w:r>
        <w:rPr>
          <w:rFonts w:eastAsia="黑体"/>
          <w:sz w:val="32"/>
          <w:szCs w:val="32"/>
        </w:rPr>
        <w:t>二、项目资金使用情况</w:t>
      </w:r>
      <w:bookmarkEnd w:id="82"/>
    </w:p>
    <w:p w14:paraId="0494D35D">
      <w:pPr>
        <w:pageBreakBefore w:val="0"/>
        <w:kinsoku/>
        <w:wordWrap/>
        <w:overflowPunct/>
        <w:topLinePunct w:val="0"/>
        <w:bidi w:val="0"/>
        <w:adjustRightInd w:val="0"/>
        <w:snapToGrid w:val="0"/>
        <w:spacing w:line="353" w:lineRule="auto"/>
        <w:ind w:firstLine="640" w:firstLineChars="200"/>
        <w:textAlignment w:val="auto"/>
        <w:rPr>
          <w:rFonts w:eastAsia="楷体_GB2312"/>
          <w:sz w:val="32"/>
          <w:szCs w:val="32"/>
          <w:lang w:val="zh-CN"/>
        </w:rPr>
      </w:pPr>
      <w:r>
        <w:rPr>
          <w:rFonts w:eastAsia="楷体_GB2312"/>
          <w:sz w:val="32"/>
          <w:szCs w:val="32"/>
          <w:lang w:val="zh-CN"/>
        </w:rPr>
        <w:t>（一）资金使用情况。</w:t>
      </w:r>
    </w:p>
    <w:p w14:paraId="571F8D23">
      <w:pPr>
        <w:pageBreakBefore w:val="0"/>
        <w:widowControl/>
        <w:kinsoku/>
        <w:wordWrap/>
        <w:overflowPunct/>
        <w:topLinePunct w:val="0"/>
        <w:bidi w:val="0"/>
        <w:adjustRightInd w:val="0"/>
        <w:snapToGrid w:val="0"/>
        <w:spacing w:line="353" w:lineRule="auto"/>
        <w:ind w:firstLine="640" w:firstLineChars="200"/>
        <w:contextualSpacing/>
        <w:jc w:val="left"/>
        <w:textAlignment w:val="auto"/>
        <w:rPr>
          <w:rFonts w:eastAsia="仿宋_GB2312"/>
          <w:kern w:val="0"/>
          <w:sz w:val="32"/>
          <w:szCs w:val="32"/>
          <w:shd w:val="clear" w:color="auto" w:fill="FFFFFF"/>
          <w:lang w:val="zh-CN"/>
        </w:rPr>
      </w:pPr>
      <w:r>
        <w:rPr>
          <w:rFonts w:eastAsia="仿宋_GB2312"/>
          <w:kern w:val="0"/>
          <w:sz w:val="32"/>
          <w:szCs w:val="32"/>
          <w:shd w:val="clear" w:color="auto" w:fill="FFFFFF"/>
          <w:lang w:val="zh-CN"/>
        </w:rPr>
        <w:t>攀枝花市西区农业农村和交通运输局2022年新冠病毒肺炎疫情防控工作经费实际使用资金为</w:t>
      </w:r>
      <w:r>
        <w:rPr>
          <w:rFonts w:eastAsia="仿宋_GB2312"/>
          <w:kern w:val="0"/>
          <w:sz w:val="32"/>
          <w:szCs w:val="32"/>
          <w:shd w:val="clear" w:color="auto" w:fill="FFFFFF"/>
        </w:rPr>
        <w:t>160.01</w:t>
      </w:r>
      <w:r>
        <w:rPr>
          <w:rFonts w:eastAsia="仿宋_GB2312"/>
          <w:kern w:val="0"/>
          <w:sz w:val="32"/>
          <w:szCs w:val="32"/>
          <w:shd w:val="clear" w:color="auto" w:fill="FFFFFF"/>
          <w:lang w:val="zh-CN"/>
        </w:rPr>
        <w:t>万元，其中防疫车辆费用（包括转运车辆）共计</w:t>
      </w:r>
      <w:r>
        <w:rPr>
          <w:rFonts w:eastAsia="仿宋_GB2312"/>
          <w:kern w:val="0"/>
          <w:sz w:val="32"/>
          <w:szCs w:val="32"/>
          <w:shd w:val="clear" w:color="auto" w:fill="FFFFFF"/>
        </w:rPr>
        <w:t>12.66万元</w:t>
      </w:r>
      <w:r>
        <w:rPr>
          <w:rFonts w:eastAsia="仿宋_GB2312"/>
          <w:kern w:val="0"/>
          <w:sz w:val="32"/>
          <w:szCs w:val="32"/>
          <w:shd w:val="clear" w:color="auto" w:fill="FFFFFF"/>
          <w:lang w:val="zh-CN"/>
        </w:rPr>
        <w:t>、防疫卡点建设费用</w:t>
      </w:r>
      <w:r>
        <w:rPr>
          <w:rFonts w:eastAsia="仿宋_GB2312"/>
          <w:kern w:val="0"/>
          <w:sz w:val="32"/>
          <w:szCs w:val="32"/>
          <w:shd w:val="clear" w:color="auto" w:fill="FFFFFF"/>
        </w:rPr>
        <w:t>12.747万元</w:t>
      </w:r>
      <w:r>
        <w:rPr>
          <w:rFonts w:eastAsia="仿宋_GB2312"/>
          <w:kern w:val="0"/>
          <w:sz w:val="32"/>
          <w:szCs w:val="32"/>
          <w:shd w:val="clear" w:color="auto" w:fill="FFFFFF"/>
          <w:lang w:val="zh-CN"/>
        </w:rPr>
        <w:t>、防疫物资费用</w:t>
      </w:r>
      <w:r>
        <w:rPr>
          <w:rFonts w:eastAsia="仿宋_GB2312"/>
          <w:kern w:val="0"/>
          <w:sz w:val="32"/>
          <w:szCs w:val="32"/>
          <w:shd w:val="clear" w:color="auto" w:fill="FFFFFF"/>
        </w:rPr>
        <w:t>15.3万元</w:t>
      </w:r>
      <w:r>
        <w:rPr>
          <w:rFonts w:eastAsia="仿宋_GB2312"/>
          <w:kern w:val="0"/>
          <w:sz w:val="32"/>
          <w:szCs w:val="32"/>
          <w:shd w:val="clear" w:color="auto" w:fill="FFFFFF"/>
          <w:lang w:val="zh-CN"/>
        </w:rPr>
        <w:t>、第三方民兵值守、联勤安保费用</w:t>
      </w:r>
      <w:r>
        <w:rPr>
          <w:rFonts w:eastAsia="仿宋_GB2312"/>
          <w:kern w:val="0"/>
          <w:sz w:val="32"/>
          <w:szCs w:val="32"/>
          <w:shd w:val="clear" w:color="auto" w:fill="FFFFFF"/>
        </w:rPr>
        <w:t>119.303万元</w:t>
      </w:r>
      <w:r>
        <w:rPr>
          <w:rFonts w:eastAsia="仿宋_GB2312"/>
          <w:kern w:val="0"/>
          <w:sz w:val="32"/>
          <w:szCs w:val="32"/>
          <w:shd w:val="clear" w:color="auto" w:fill="FFFFFF"/>
          <w:lang w:val="zh-CN"/>
        </w:rPr>
        <w:t>。截止至绩效评价日，该项目总投资金额</w:t>
      </w:r>
      <w:r>
        <w:rPr>
          <w:rFonts w:eastAsia="仿宋_GB2312"/>
          <w:kern w:val="0"/>
          <w:sz w:val="32"/>
          <w:szCs w:val="32"/>
          <w:shd w:val="clear" w:color="auto" w:fill="FFFFFF"/>
        </w:rPr>
        <w:t>160.01</w:t>
      </w:r>
      <w:r>
        <w:rPr>
          <w:rFonts w:eastAsia="仿宋_GB2312"/>
          <w:kern w:val="0"/>
          <w:sz w:val="32"/>
          <w:szCs w:val="32"/>
          <w:shd w:val="clear" w:color="auto" w:fill="FFFFFF"/>
          <w:lang w:val="zh-CN"/>
        </w:rPr>
        <w:t>万元已足额到位，资金到位率100%。</w:t>
      </w:r>
    </w:p>
    <w:p w14:paraId="34E8E14C">
      <w:pPr>
        <w:pageBreakBefore w:val="0"/>
        <w:kinsoku/>
        <w:wordWrap/>
        <w:overflowPunct/>
        <w:topLinePunct w:val="0"/>
        <w:bidi w:val="0"/>
        <w:adjustRightInd w:val="0"/>
        <w:snapToGrid w:val="0"/>
        <w:spacing w:line="353" w:lineRule="auto"/>
        <w:ind w:firstLine="640" w:firstLineChars="200"/>
        <w:textAlignment w:val="auto"/>
        <w:rPr>
          <w:rFonts w:ascii="楷体_GB2312" w:hAnsi="楷体_GB2312" w:eastAsia="楷体_GB2312" w:cs="楷体_GB2312"/>
          <w:sz w:val="32"/>
          <w:szCs w:val="32"/>
          <w:lang w:val="zh-CN"/>
        </w:rPr>
      </w:pPr>
      <w:r>
        <w:rPr>
          <w:rFonts w:hint="eastAsia" w:ascii="楷体_GB2312" w:hAnsi="楷体_GB2312" w:eastAsia="楷体_GB2312" w:cs="楷体_GB2312"/>
          <w:sz w:val="32"/>
          <w:szCs w:val="32"/>
          <w:lang w:val="zh-CN"/>
        </w:rPr>
        <w:t>（二）项目财务管理情况。</w:t>
      </w:r>
    </w:p>
    <w:p w14:paraId="73CE6CA4">
      <w:pPr>
        <w:pageBreakBefore w:val="0"/>
        <w:kinsoku/>
        <w:wordWrap/>
        <w:overflowPunct/>
        <w:topLinePunct w:val="0"/>
        <w:bidi w:val="0"/>
        <w:adjustRightInd w:val="0"/>
        <w:snapToGrid w:val="0"/>
        <w:spacing w:line="353" w:lineRule="auto"/>
        <w:ind w:firstLine="640" w:firstLineChars="200"/>
        <w:textAlignment w:val="auto"/>
        <w:rPr>
          <w:rFonts w:eastAsia="仿宋_GB2312"/>
          <w:kern w:val="0"/>
          <w:sz w:val="32"/>
          <w:szCs w:val="32"/>
          <w:shd w:val="clear" w:color="auto" w:fill="FFFFFF"/>
          <w:lang w:val="zh-CN"/>
        </w:rPr>
      </w:pPr>
      <w:r>
        <w:rPr>
          <w:rFonts w:eastAsia="仿宋_GB2312"/>
          <w:kern w:val="0"/>
          <w:sz w:val="32"/>
          <w:szCs w:val="32"/>
          <w:shd w:val="clear" w:color="auto" w:fill="FFFFFF"/>
          <w:lang w:val="zh-CN"/>
        </w:rPr>
        <w:t>被评价项目在预算执行过程中执行《行政单位会计制度》及本单位的《财务管理制度》，被评价项目的支出原则与业务活动有关的支出列入此项目，对资金使用过程进行控制，发现问题及时汇报，及时解决，会计核算基本规范。</w:t>
      </w:r>
    </w:p>
    <w:p w14:paraId="162F9302">
      <w:pPr>
        <w:pageBreakBefore w:val="0"/>
        <w:kinsoku/>
        <w:wordWrap/>
        <w:overflowPunct/>
        <w:topLinePunct w:val="0"/>
        <w:bidi w:val="0"/>
        <w:adjustRightInd w:val="0"/>
        <w:snapToGrid w:val="0"/>
        <w:spacing w:line="353" w:lineRule="auto"/>
        <w:ind w:firstLine="640" w:firstLineChars="200"/>
        <w:textAlignment w:val="auto"/>
        <w:outlineLvl w:val="1"/>
        <w:rPr>
          <w:rFonts w:ascii="黑体" w:hAnsi="黑体" w:eastAsia="黑体" w:cs="黑体"/>
          <w:sz w:val="32"/>
          <w:szCs w:val="32"/>
        </w:rPr>
      </w:pPr>
      <w:bookmarkStart w:id="83" w:name="_Toc2034"/>
      <w:r>
        <w:rPr>
          <w:rFonts w:hint="eastAsia" w:ascii="黑体" w:hAnsi="黑体" w:eastAsia="黑体" w:cs="黑体"/>
          <w:sz w:val="32"/>
          <w:szCs w:val="32"/>
        </w:rPr>
        <w:t>三、项目实施及管理情况</w:t>
      </w:r>
      <w:bookmarkEnd w:id="83"/>
    </w:p>
    <w:p w14:paraId="2212805A">
      <w:pPr>
        <w:pageBreakBefore w:val="0"/>
        <w:kinsoku/>
        <w:wordWrap/>
        <w:overflowPunct/>
        <w:topLinePunct w:val="0"/>
        <w:bidi w:val="0"/>
        <w:adjustRightInd w:val="0"/>
        <w:snapToGrid w:val="0"/>
        <w:spacing w:line="353" w:lineRule="auto"/>
        <w:ind w:firstLine="640" w:firstLineChars="200"/>
        <w:textAlignment w:val="auto"/>
        <w:rPr>
          <w:rFonts w:ascii="楷体_GB2312" w:hAnsi="楷体_GB2312" w:eastAsia="楷体_GB2312" w:cs="楷体_GB2312"/>
          <w:sz w:val="32"/>
          <w:szCs w:val="32"/>
          <w:lang w:val="zh-CN"/>
        </w:rPr>
      </w:pPr>
      <w:r>
        <w:rPr>
          <w:rFonts w:hint="eastAsia" w:ascii="楷体_GB2312" w:hAnsi="楷体_GB2312" w:eastAsia="楷体_GB2312" w:cs="楷体_GB2312"/>
          <w:sz w:val="32"/>
          <w:szCs w:val="32"/>
          <w:lang w:val="zh-CN"/>
        </w:rPr>
        <w:t>（一）项目组织架构及实施流程。</w:t>
      </w:r>
    </w:p>
    <w:p w14:paraId="3B463A93">
      <w:pPr>
        <w:pageBreakBefore w:val="0"/>
        <w:kinsoku/>
        <w:wordWrap/>
        <w:overflowPunct/>
        <w:topLinePunct w:val="0"/>
        <w:bidi w:val="0"/>
        <w:adjustRightInd w:val="0"/>
        <w:snapToGrid w:val="0"/>
        <w:spacing w:line="353" w:lineRule="auto"/>
        <w:ind w:firstLine="640" w:firstLineChars="200"/>
        <w:textAlignment w:val="auto"/>
        <w:rPr>
          <w:rFonts w:eastAsia="仿宋_GB2312"/>
          <w:color w:val="000000"/>
          <w:sz w:val="32"/>
          <w:szCs w:val="32"/>
          <w:shd w:val="clear" w:color="auto" w:fill="FFFFFF"/>
        </w:rPr>
      </w:pPr>
      <w:r>
        <w:rPr>
          <w:rFonts w:hint="eastAsia" w:eastAsia="仿宋_GB2312"/>
          <w:color w:val="000000"/>
          <w:sz w:val="32"/>
          <w:szCs w:val="32"/>
          <w:shd w:val="clear" w:color="auto" w:fill="FFFFFF"/>
        </w:rPr>
        <w:t>我局负责牵头统筹疫情防控服务站有关工作，对常态化疫情防控服务站和应急状态下增设的疫情防控服务站人员安排、物资采购配备、值班值守时间安排等提供合理化建议; 负责贯彻落实上级各项防控措施，加强指导检查，对发现的问题督促有关单位进行整改;负责整理、收集、报告疫情防控服务站工作情况; 负责卡点一线值守人员政策培训、严格落实“入川即检”及最新的各项政策措施;负责督促值守人员做好个人防护并提供后勤物资保障。</w:t>
      </w:r>
      <w:r>
        <w:rPr>
          <w:rFonts w:eastAsia="仿宋_GB2312"/>
          <w:color w:val="000000"/>
          <w:sz w:val="32"/>
          <w:szCs w:val="32"/>
          <w:shd w:val="clear" w:color="auto" w:fill="FFFFFF"/>
        </w:rPr>
        <w:t>在项目管理上制定有相应管理制度并严格按照制度加以落实，各个股室根据职能职责负责各自工作职能项目的申报与跟进，办公室配合好各股室做好项目资金管理与收支使用，同时协助各职能股室做好项目绩效管理工作。</w:t>
      </w:r>
    </w:p>
    <w:p w14:paraId="1EC63A79">
      <w:pPr>
        <w:pageBreakBefore w:val="0"/>
        <w:numPr>
          <w:ilvl w:val="0"/>
          <w:numId w:val="3"/>
        </w:numPr>
        <w:kinsoku/>
        <w:wordWrap/>
        <w:overflowPunct/>
        <w:topLinePunct w:val="0"/>
        <w:bidi w:val="0"/>
        <w:adjustRightInd w:val="0"/>
        <w:snapToGrid w:val="0"/>
        <w:spacing w:line="578" w:lineRule="exact"/>
        <w:ind w:firstLine="640" w:firstLineChars="200"/>
        <w:textAlignment w:val="auto"/>
        <w:rPr>
          <w:rFonts w:ascii="楷体_GB2312" w:hAnsi="宋体" w:eastAsia="楷体_GB2312"/>
          <w:bCs/>
          <w:sz w:val="32"/>
          <w:szCs w:val="32"/>
          <w:lang w:val="zh-CN"/>
        </w:rPr>
      </w:pPr>
      <w:r>
        <w:rPr>
          <w:rFonts w:hint="eastAsia" w:ascii="楷体_GB2312" w:hAnsi="宋体" w:eastAsia="楷体_GB2312"/>
          <w:bCs/>
          <w:sz w:val="32"/>
          <w:szCs w:val="32"/>
          <w:lang w:val="zh-CN"/>
        </w:rPr>
        <w:t>项目管理情况。</w:t>
      </w:r>
    </w:p>
    <w:p w14:paraId="28C1AB9F">
      <w:pPr>
        <w:pageBreakBefore w:val="0"/>
        <w:kinsoku/>
        <w:wordWrap/>
        <w:overflowPunct/>
        <w:topLinePunct w:val="0"/>
        <w:bidi w:val="0"/>
        <w:adjustRightInd w:val="0"/>
        <w:snapToGrid w:val="0"/>
        <w:spacing w:line="578" w:lineRule="exact"/>
        <w:ind w:firstLine="640" w:firstLineChars="200"/>
        <w:textAlignment w:val="auto"/>
        <w:rPr>
          <w:rFonts w:ascii="仿宋_GB2312" w:hAnsi="仿宋_GB2312" w:eastAsia="仿宋_GB2312" w:cs="仿宋_GB2312"/>
          <w:kern w:val="0"/>
          <w:sz w:val="32"/>
          <w:szCs w:val="32"/>
          <w:shd w:val="clear" w:color="auto" w:fill="FFFFFF"/>
          <w:lang w:val="zh-CN"/>
        </w:rPr>
      </w:pPr>
      <w:r>
        <w:rPr>
          <w:rFonts w:hint="eastAsia" w:eastAsia="仿宋_GB2312"/>
          <w:kern w:val="0"/>
          <w:sz w:val="32"/>
          <w:szCs w:val="32"/>
        </w:rPr>
        <w:t>项目实施依据充分，目标明确，在项目实施过程中严格执行了相关政策规定，项目的立项、高速卡点数量、人员安排、物</w:t>
      </w:r>
      <w:r>
        <w:rPr>
          <w:rFonts w:hint="eastAsia" w:eastAsia="仿宋_GB2312"/>
          <w:kern w:val="0"/>
          <w:sz w:val="32"/>
          <w:szCs w:val="32"/>
          <w:lang w:val="en-US" w:eastAsia="zh-CN"/>
        </w:rPr>
        <w:t>资</w:t>
      </w:r>
      <w:r>
        <w:rPr>
          <w:rFonts w:hint="eastAsia" w:eastAsia="仿宋_GB2312"/>
          <w:kern w:val="0"/>
          <w:sz w:val="32"/>
          <w:szCs w:val="32"/>
        </w:rPr>
        <w:t>采购、资金拨付等程序严格管理和审核。</w:t>
      </w:r>
    </w:p>
    <w:p w14:paraId="1151B968">
      <w:pPr>
        <w:pageBreakBefore w:val="0"/>
        <w:numPr>
          <w:ilvl w:val="0"/>
          <w:numId w:val="3"/>
        </w:numPr>
        <w:kinsoku/>
        <w:wordWrap/>
        <w:overflowPunct/>
        <w:topLinePunct w:val="0"/>
        <w:bidi w:val="0"/>
        <w:adjustRightInd w:val="0"/>
        <w:snapToGrid w:val="0"/>
        <w:spacing w:line="578" w:lineRule="exact"/>
        <w:ind w:firstLine="640" w:firstLineChars="200"/>
        <w:textAlignment w:val="auto"/>
        <w:rPr>
          <w:rFonts w:ascii="楷体_GB2312" w:hAnsi="宋体" w:eastAsia="楷体_GB2312"/>
          <w:bCs/>
          <w:sz w:val="32"/>
          <w:szCs w:val="32"/>
          <w:lang w:val="zh-CN"/>
        </w:rPr>
      </w:pPr>
      <w:r>
        <w:rPr>
          <w:rFonts w:hint="eastAsia" w:ascii="楷体_GB2312" w:hAnsi="宋体" w:eastAsia="楷体_GB2312"/>
          <w:bCs/>
          <w:sz w:val="32"/>
          <w:szCs w:val="32"/>
          <w:lang w:val="zh-CN"/>
        </w:rPr>
        <w:t>项目监管情况。</w:t>
      </w:r>
    </w:p>
    <w:p w14:paraId="1726917A">
      <w:pPr>
        <w:pageBreakBefore w:val="0"/>
        <w:kinsoku/>
        <w:wordWrap/>
        <w:overflowPunct/>
        <w:topLinePunct w:val="0"/>
        <w:bidi w:val="0"/>
        <w:adjustRightInd w:val="0"/>
        <w:snapToGrid w:val="0"/>
        <w:spacing w:line="578" w:lineRule="exact"/>
        <w:ind w:firstLine="640" w:firstLineChars="200"/>
        <w:textAlignment w:val="auto"/>
        <w:rPr>
          <w:rFonts w:eastAsia="仿宋_GB2312"/>
          <w:kern w:val="0"/>
          <w:sz w:val="32"/>
          <w:szCs w:val="32"/>
        </w:rPr>
      </w:pPr>
      <w:r>
        <w:rPr>
          <w:rFonts w:hint="eastAsia" w:eastAsia="仿宋_GB2312"/>
          <w:kern w:val="0"/>
          <w:sz w:val="32"/>
          <w:szCs w:val="32"/>
        </w:rPr>
        <w:t>加强项目监管，在高速卡点数量、人员安排、物</w:t>
      </w:r>
      <w:r>
        <w:rPr>
          <w:rFonts w:hint="eastAsia" w:eastAsia="仿宋_GB2312"/>
          <w:kern w:val="0"/>
          <w:sz w:val="32"/>
          <w:szCs w:val="32"/>
          <w:lang w:val="en-US" w:eastAsia="zh-CN"/>
        </w:rPr>
        <w:t>资</w:t>
      </w:r>
      <w:r>
        <w:rPr>
          <w:rFonts w:hint="eastAsia" w:eastAsia="仿宋_GB2312"/>
          <w:kern w:val="0"/>
          <w:sz w:val="32"/>
          <w:szCs w:val="32"/>
        </w:rPr>
        <w:t>采购、资金拨付等程序未发现不符合政策要求的情况，严格资金使用监管，保障专款专用。</w:t>
      </w:r>
    </w:p>
    <w:p w14:paraId="1DC9A253">
      <w:pPr>
        <w:pStyle w:val="6"/>
        <w:pageBreakBefore w:val="0"/>
        <w:kinsoku/>
        <w:wordWrap/>
        <w:overflowPunct/>
        <w:topLinePunct w:val="0"/>
        <w:bidi w:val="0"/>
        <w:ind w:firstLine="420" w:firstLineChars="200"/>
        <w:textAlignment w:val="auto"/>
      </w:pPr>
    </w:p>
    <w:p w14:paraId="32BF9F78">
      <w:pPr>
        <w:pageBreakBefore w:val="0"/>
        <w:kinsoku/>
        <w:wordWrap/>
        <w:overflowPunct/>
        <w:topLinePunct w:val="0"/>
        <w:bidi w:val="0"/>
        <w:adjustRightInd w:val="0"/>
        <w:snapToGrid w:val="0"/>
        <w:spacing w:line="353" w:lineRule="auto"/>
        <w:ind w:firstLine="640" w:firstLineChars="200"/>
        <w:textAlignment w:val="auto"/>
        <w:outlineLvl w:val="1"/>
        <w:rPr>
          <w:rFonts w:ascii="黑体" w:hAnsi="黑体" w:eastAsia="黑体" w:cs="黑体"/>
          <w:sz w:val="32"/>
          <w:szCs w:val="32"/>
          <w:lang w:val="zh-CN"/>
        </w:rPr>
      </w:pPr>
      <w:bookmarkStart w:id="84" w:name="_Toc10523"/>
      <w:r>
        <w:rPr>
          <w:rFonts w:hint="eastAsia" w:ascii="黑体" w:hAnsi="黑体" w:eastAsia="黑体" w:cs="黑体"/>
          <w:sz w:val="32"/>
          <w:szCs w:val="32"/>
        </w:rPr>
        <w:t>四、项目绩效情况</w:t>
      </w:r>
      <w:bookmarkEnd w:id="84"/>
      <w:r>
        <w:rPr>
          <w:rFonts w:hint="eastAsia" w:ascii="黑体" w:hAnsi="黑体" w:eastAsia="黑体" w:cs="黑体"/>
          <w:sz w:val="32"/>
          <w:szCs w:val="32"/>
          <w:lang w:val="zh-CN"/>
        </w:rPr>
        <w:tab/>
      </w:r>
    </w:p>
    <w:p w14:paraId="6E49B717">
      <w:pPr>
        <w:pStyle w:val="4"/>
        <w:pageBreakBefore w:val="0"/>
        <w:widowControl/>
        <w:shd w:val="clear" w:color="auto" w:fill="FFFFFF"/>
        <w:kinsoku/>
        <w:wordWrap/>
        <w:overflowPunct/>
        <w:topLinePunct w:val="0"/>
        <w:bidi w:val="0"/>
        <w:spacing w:line="353" w:lineRule="auto"/>
        <w:ind w:firstLine="640" w:firstLineChars="200"/>
        <w:textAlignment w:val="auto"/>
        <w:rPr>
          <w:rFonts w:ascii="Times New Roman" w:hAnsi="Times New Roman" w:eastAsia="仿宋_GB2312"/>
          <w:b w:val="0"/>
          <w:bCs w:val="0"/>
          <w:color w:val="000000"/>
          <w:shd w:val="clear" w:color="auto" w:fill="FFFFFF"/>
          <w:lang w:val="zh-CN"/>
        </w:rPr>
      </w:pPr>
      <w:bookmarkStart w:id="85" w:name="_Toc19058"/>
      <w:r>
        <w:rPr>
          <w:rFonts w:ascii="Times New Roman" w:hAnsi="Times New Roman" w:eastAsia="仿宋_GB2312" w:cs="Times New Roman"/>
          <w:b w:val="0"/>
          <w:bCs w:val="0"/>
          <w:color w:val="000000"/>
          <w:shd w:val="clear" w:color="auto" w:fill="FFFFFF"/>
        </w:rPr>
        <w:t>结合2022年度我区疫情防控工作实际，申请了疫情防控项目，经过区级财政研究同意给予疫情防控项目经费保障部门疫情防控工作。2022年，项目实施内容完成了西区高速卡口建设工作，疫情防控物资(社会面)的采购工作，项目已经按预期绩效目标完成，项目完成质量较好。我局2022年度疫情防控工作紧跟区级推进，全年工作开展顺利，资金保障充足，各项项目目标均得以实现。我局通过积极开展疫情防控工作，在全力保障物流畅通的同时，筑牢了“外防输入”屏障。</w:t>
      </w:r>
      <w:bookmarkEnd w:id="85"/>
    </w:p>
    <w:p w14:paraId="583E78D2">
      <w:pPr>
        <w:pageBreakBefore w:val="0"/>
        <w:kinsoku/>
        <w:wordWrap/>
        <w:overflowPunct/>
        <w:topLinePunct w:val="0"/>
        <w:bidi w:val="0"/>
        <w:adjustRightInd w:val="0"/>
        <w:snapToGrid w:val="0"/>
        <w:spacing w:line="353" w:lineRule="auto"/>
        <w:ind w:firstLine="640" w:firstLineChars="200"/>
        <w:textAlignment w:val="auto"/>
        <w:outlineLvl w:val="1"/>
        <w:rPr>
          <w:rFonts w:ascii="黑体" w:hAnsi="黑体" w:eastAsia="黑体" w:cs="黑体"/>
          <w:sz w:val="32"/>
          <w:szCs w:val="32"/>
        </w:rPr>
      </w:pPr>
      <w:bookmarkStart w:id="86" w:name="_Toc23530"/>
      <w:r>
        <w:rPr>
          <w:rFonts w:hint="eastAsia" w:ascii="黑体" w:hAnsi="黑体" w:eastAsia="黑体" w:cs="黑体"/>
          <w:sz w:val="32"/>
          <w:szCs w:val="32"/>
        </w:rPr>
        <w:t>五、评价结论及建议</w:t>
      </w:r>
      <w:bookmarkEnd w:id="86"/>
    </w:p>
    <w:p w14:paraId="23CE1386">
      <w:pPr>
        <w:pageBreakBefore w:val="0"/>
        <w:kinsoku/>
        <w:wordWrap/>
        <w:overflowPunct/>
        <w:topLinePunct w:val="0"/>
        <w:bidi w:val="0"/>
        <w:adjustRightInd w:val="0"/>
        <w:snapToGrid w:val="0"/>
        <w:spacing w:line="353" w:lineRule="auto"/>
        <w:ind w:firstLine="640" w:firstLineChars="200"/>
        <w:textAlignment w:val="auto"/>
        <w:rPr>
          <w:rFonts w:ascii="楷体_GB2312" w:hAnsi="楷体_GB2312" w:eastAsia="楷体_GB2312" w:cs="楷体_GB2312"/>
          <w:sz w:val="32"/>
          <w:szCs w:val="32"/>
          <w:lang w:val="zh-CN"/>
        </w:rPr>
      </w:pPr>
      <w:r>
        <w:rPr>
          <w:rFonts w:hint="eastAsia" w:ascii="楷体_GB2312" w:hAnsi="楷体_GB2312" w:eastAsia="楷体_GB2312" w:cs="楷体_GB2312"/>
          <w:sz w:val="32"/>
          <w:szCs w:val="32"/>
          <w:lang w:val="zh-CN"/>
        </w:rPr>
        <w:t>（一）评价结论。</w:t>
      </w:r>
    </w:p>
    <w:p w14:paraId="3E7AACC4">
      <w:pPr>
        <w:pageBreakBefore w:val="0"/>
        <w:kinsoku/>
        <w:wordWrap/>
        <w:overflowPunct/>
        <w:topLinePunct w:val="0"/>
        <w:bidi w:val="0"/>
        <w:adjustRightInd w:val="0"/>
        <w:snapToGrid w:val="0"/>
        <w:spacing w:line="353" w:lineRule="auto"/>
        <w:ind w:firstLine="640" w:firstLineChars="200"/>
        <w:textAlignment w:val="auto"/>
        <w:rPr>
          <w:rFonts w:eastAsia="仿宋_GB2312"/>
          <w:color w:val="000000"/>
          <w:sz w:val="32"/>
          <w:szCs w:val="32"/>
          <w:shd w:val="clear" w:color="auto" w:fill="FFFFFF"/>
        </w:rPr>
      </w:pPr>
      <w:r>
        <w:rPr>
          <w:rFonts w:eastAsia="仿宋_GB2312"/>
          <w:color w:val="000000"/>
          <w:sz w:val="32"/>
          <w:szCs w:val="32"/>
          <w:shd w:val="clear" w:color="auto" w:fill="FFFFFF"/>
        </w:rPr>
        <w:t>通过认真开展评价，我局2022年度新冠肺炎疫情防控项目自评得分99分，其中结转项目资金反映项目进度有点缓慢扣除1分，但综合评价等级结果为优。按照项目绩效目标设定值，2022年度新冠肺炎疫情防控项目已顺利实施，各项目标得以实现。</w:t>
      </w:r>
    </w:p>
    <w:p w14:paraId="3FFFD3EB">
      <w:pPr>
        <w:pageBreakBefore w:val="0"/>
        <w:kinsoku/>
        <w:wordWrap/>
        <w:overflowPunct/>
        <w:topLinePunct w:val="0"/>
        <w:bidi w:val="0"/>
        <w:adjustRightInd w:val="0"/>
        <w:snapToGrid w:val="0"/>
        <w:spacing w:line="353" w:lineRule="auto"/>
        <w:ind w:firstLine="640" w:firstLineChars="200"/>
        <w:textAlignment w:val="auto"/>
        <w:rPr>
          <w:rFonts w:ascii="楷体_GB2312" w:hAnsi="楷体_GB2312" w:eastAsia="楷体_GB2312" w:cs="楷体_GB2312"/>
          <w:sz w:val="32"/>
          <w:szCs w:val="32"/>
          <w:lang w:val="zh-CN"/>
        </w:rPr>
      </w:pPr>
      <w:r>
        <w:rPr>
          <w:rFonts w:hint="eastAsia" w:ascii="楷体_GB2312" w:hAnsi="楷体_GB2312" w:eastAsia="楷体_GB2312" w:cs="楷体_GB2312"/>
          <w:sz w:val="32"/>
          <w:szCs w:val="32"/>
          <w:lang w:val="zh-CN"/>
        </w:rPr>
        <w:t>（二）存在的问题。</w:t>
      </w:r>
    </w:p>
    <w:p w14:paraId="0E67D630">
      <w:pPr>
        <w:pageBreakBefore w:val="0"/>
        <w:widowControl/>
        <w:kinsoku/>
        <w:wordWrap/>
        <w:overflowPunct/>
        <w:topLinePunct w:val="0"/>
        <w:bidi w:val="0"/>
        <w:adjustRightInd w:val="0"/>
        <w:snapToGrid w:val="0"/>
        <w:spacing w:line="353" w:lineRule="auto"/>
        <w:ind w:firstLine="640" w:firstLineChars="200"/>
        <w:contextualSpacing/>
        <w:jc w:val="left"/>
        <w:textAlignment w:val="auto"/>
        <w:rPr>
          <w:rFonts w:eastAsia="仿宋_GB2312"/>
          <w:kern w:val="0"/>
          <w:sz w:val="32"/>
          <w:szCs w:val="32"/>
          <w:shd w:val="clear" w:color="auto" w:fill="FFFFFF"/>
        </w:rPr>
      </w:pPr>
      <w:r>
        <w:rPr>
          <w:rFonts w:eastAsia="仿宋_GB2312"/>
          <w:color w:val="000000"/>
          <w:sz w:val="32"/>
          <w:szCs w:val="32"/>
          <w:shd w:val="clear" w:color="auto" w:fill="FFFFFF"/>
        </w:rPr>
        <w:t>该项目在绩效管理上暂未发现问题。</w:t>
      </w:r>
    </w:p>
    <w:p w14:paraId="78F915A5">
      <w:pPr>
        <w:pageBreakBefore w:val="0"/>
        <w:kinsoku/>
        <w:wordWrap/>
        <w:overflowPunct/>
        <w:topLinePunct w:val="0"/>
        <w:bidi w:val="0"/>
        <w:adjustRightInd w:val="0"/>
        <w:snapToGrid w:val="0"/>
        <w:spacing w:line="353" w:lineRule="auto"/>
        <w:ind w:firstLine="640" w:firstLineChars="200"/>
        <w:textAlignment w:val="auto"/>
        <w:rPr>
          <w:rFonts w:ascii="楷体_GB2312" w:hAnsi="楷体_GB2312" w:eastAsia="楷体_GB2312" w:cs="楷体_GB2312"/>
          <w:sz w:val="32"/>
          <w:szCs w:val="32"/>
          <w:lang w:val="zh-CN"/>
        </w:rPr>
      </w:pPr>
      <w:r>
        <w:rPr>
          <w:rFonts w:hint="eastAsia" w:ascii="楷体_GB2312" w:hAnsi="楷体_GB2312" w:eastAsia="楷体_GB2312" w:cs="楷体_GB2312"/>
          <w:sz w:val="32"/>
          <w:szCs w:val="32"/>
          <w:lang w:val="zh-CN"/>
        </w:rPr>
        <w:t>（三）相关建议。</w:t>
      </w:r>
    </w:p>
    <w:p w14:paraId="5D5E2AF3">
      <w:pPr>
        <w:pageBreakBefore w:val="0"/>
        <w:kinsoku/>
        <w:wordWrap/>
        <w:overflowPunct/>
        <w:topLinePunct w:val="0"/>
        <w:bidi w:val="0"/>
        <w:adjustRightInd w:val="0"/>
        <w:snapToGrid w:val="0"/>
        <w:spacing w:line="353" w:lineRule="auto"/>
        <w:ind w:firstLine="640" w:firstLineChars="200"/>
        <w:textAlignment w:val="auto"/>
        <w:rPr>
          <w:rFonts w:eastAsia="仿宋_GB2312"/>
          <w:color w:val="000000"/>
          <w:sz w:val="32"/>
          <w:szCs w:val="32"/>
          <w:shd w:val="clear" w:color="auto" w:fill="FFFFFF"/>
        </w:rPr>
      </w:pPr>
      <w:r>
        <w:rPr>
          <w:rFonts w:eastAsia="仿宋_GB2312"/>
          <w:color w:val="000000"/>
          <w:sz w:val="32"/>
          <w:szCs w:val="32"/>
          <w:shd w:val="clear" w:color="auto" w:fill="FFFFFF"/>
        </w:rPr>
        <w:t>一是要紧扣工作中心，科学设立考核指标体系。严格落实“一把手”负责制，根据人员变动，及时对绩效管理工作领导小组进行调整，并及时召开会议研究项目绩效目标的设定和管理工作，确保绩效目标科学合理，可实现性强。二是要取长补短，完善指标考核综合体系。根据往年绩效目标实现情况，认真分析绩效目标管理工作中的经验和不足，从指标设置、日常考核等环节逐项深入讨论，找症结，补短板，压实责任。三是要抓住工作重点，加强绩效目标运行监督。按月度、季度、半年和年度，将各部门工作完成情况与目标值进行比较，及时掌握工作进度缓慢、实现难度大的绩效目标进行规范和监督，防止在项目执行过程中出现偏差。</w:t>
      </w:r>
    </w:p>
    <w:p w14:paraId="055C1164">
      <w:pPr>
        <w:pStyle w:val="2"/>
        <w:pageBreakBefore w:val="0"/>
        <w:kinsoku/>
        <w:wordWrap/>
        <w:overflowPunct/>
        <w:topLinePunct w:val="0"/>
        <w:bidi w:val="0"/>
        <w:spacing w:beforeLines="0" w:line="353" w:lineRule="auto"/>
        <w:ind w:firstLine="640" w:firstLineChars="200"/>
        <w:textAlignment w:val="auto"/>
        <w:rPr>
          <w:rFonts w:ascii="Times New Roman"/>
          <w:sz w:val="32"/>
          <w:szCs w:val="32"/>
        </w:rPr>
      </w:pPr>
    </w:p>
    <w:p w14:paraId="78BC7BBE">
      <w:pPr>
        <w:pageBreakBefore w:val="0"/>
        <w:widowControl/>
        <w:kinsoku/>
        <w:wordWrap/>
        <w:overflowPunct/>
        <w:topLinePunct w:val="0"/>
        <w:bidi w:val="0"/>
        <w:ind w:firstLine="880" w:firstLineChars="200"/>
        <w:jc w:val="left"/>
        <w:textAlignment w:val="auto"/>
        <w:rPr>
          <w:rStyle w:val="30"/>
          <w:rFonts w:hint="eastAsia" w:ascii="黑体" w:hAnsi="黑体" w:eastAsia="黑体"/>
          <w:b w:val="0"/>
        </w:rPr>
      </w:pPr>
    </w:p>
    <w:p w14:paraId="7774FAFA">
      <w:pPr>
        <w:pStyle w:val="2"/>
        <w:pageBreakBefore w:val="0"/>
        <w:kinsoku/>
        <w:wordWrap/>
        <w:overflowPunct/>
        <w:topLinePunct w:val="0"/>
        <w:bidi w:val="0"/>
        <w:spacing w:before="93"/>
        <w:ind w:firstLine="600" w:firstLineChars="200"/>
        <w:textAlignment w:val="auto"/>
        <w:rPr>
          <w:rFonts w:hint="eastAsia"/>
        </w:rPr>
      </w:pPr>
    </w:p>
    <w:p w14:paraId="79C35CFB">
      <w:pPr>
        <w:pStyle w:val="2"/>
        <w:pageBreakBefore w:val="0"/>
        <w:kinsoku/>
        <w:wordWrap/>
        <w:overflowPunct/>
        <w:topLinePunct w:val="0"/>
        <w:bidi w:val="0"/>
        <w:spacing w:before="93"/>
        <w:ind w:firstLine="600" w:firstLineChars="200"/>
        <w:textAlignment w:val="auto"/>
        <w:rPr>
          <w:rFonts w:hint="eastAsia"/>
        </w:rPr>
      </w:pPr>
    </w:p>
    <w:p w14:paraId="5784D4D7">
      <w:pPr>
        <w:pStyle w:val="2"/>
        <w:pageBreakBefore w:val="0"/>
        <w:kinsoku/>
        <w:wordWrap/>
        <w:overflowPunct/>
        <w:topLinePunct w:val="0"/>
        <w:bidi w:val="0"/>
        <w:spacing w:before="93"/>
        <w:ind w:firstLine="600" w:firstLineChars="200"/>
        <w:textAlignment w:val="auto"/>
      </w:pPr>
    </w:p>
    <w:p w14:paraId="5BDA2809">
      <w:pPr>
        <w:pageBreakBefore w:val="0"/>
        <w:kinsoku/>
        <w:wordWrap/>
        <w:overflowPunct/>
        <w:topLinePunct w:val="0"/>
        <w:bidi w:val="0"/>
        <w:spacing w:line="600" w:lineRule="exact"/>
        <w:jc w:val="center"/>
        <w:textAlignment w:val="auto"/>
        <w:outlineLvl w:val="0"/>
        <w:rPr>
          <w:rFonts w:ascii="仿宋" w:hAnsi="仿宋" w:eastAsia="仿宋"/>
        </w:rPr>
      </w:pPr>
      <w:bookmarkStart w:id="87" w:name="_Toc31541"/>
      <w:bookmarkStart w:id="88" w:name="_Toc15396618"/>
      <w:r>
        <w:rPr>
          <w:rFonts w:hint="eastAsia" w:ascii="黑体" w:hAnsi="黑体" w:eastAsia="黑体"/>
          <w:sz w:val="44"/>
          <w:szCs w:val="44"/>
        </w:rPr>
        <w:t>第</w:t>
      </w:r>
      <w:r>
        <w:rPr>
          <w:rStyle w:val="30"/>
          <w:rFonts w:hint="eastAsia" w:ascii="黑体" w:hAnsi="黑体" w:eastAsia="黑体"/>
          <w:b w:val="0"/>
        </w:rPr>
        <w:t>五部分 附表</w:t>
      </w:r>
      <w:bookmarkEnd w:id="74"/>
      <w:bookmarkEnd w:id="87"/>
      <w:bookmarkEnd w:id="88"/>
      <w:bookmarkStart w:id="89" w:name="_Toc15396619"/>
    </w:p>
    <w:p w14:paraId="0B682FFD">
      <w:pPr>
        <w:pStyle w:val="4"/>
        <w:pageBreakBefore w:val="0"/>
        <w:kinsoku/>
        <w:wordWrap/>
        <w:overflowPunct/>
        <w:topLinePunct w:val="0"/>
        <w:bidi w:val="0"/>
        <w:ind w:firstLine="640" w:firstLineChars="200"/>
        <w:textAlignment w:val="auto"/>
        <w:rPr>
          <w:rFonts w:ascii="仿宋" w:hAnsi="仿宋" w:eastAsia="仿宋"/>
        </w:rPr>
      </w:pPr>
      <w:bookmarkStart w:id="90" w:name="_Toc17838"/>
      <w:r>
        <w:rPr>
          <w:rFonts w:hint="eastAsia" w:ascii="仿宋" w:hAnsi="仿宋" w:eastAsia="仿宋"/>
          <w:b w:val="0"/>
        </w:rPr>
        <w:t>一、收</w:t>
      </w:r>
      <w:r>
        <w:rPr>
          <w:rStyle w:val="31"/>
          <w:rFonts w:hint="eastAsia" w:ascii="仿宋" w:hAnsi="仿宋" w:eastAsia="仿宋"/>
          <w:b w:val="0"/>
          <w:bCs w:val="0"/>
        </w:rPr>
        <w:t>入支出决算总表</w:t>
      </w:r>
      <w:bookmarkEnd w:id="89"/>
      <w:bookmarkEnd w:id="90"/>
    </w:p>
    <w:p w14:paraId="24C13A97">
      <w:pPr>
        <w:pStyle w:val="4"/>
        <w:pageBreakBefore w:val="0"/>
        <w:kinsoku/>
        <w:wordWrap/>
        <w:overflowPunct/>
        <w:topLinePunct w:val="0"/>
        <w:bidi w:val="0"/>
        <w:ind w:firstLine="640" w:firstLineChars="200"/>
        <w:textAlignment w:val="auto"/>
        <w:rPr>
          <w:rFonts w:ascii="仿宋" w:hAnsi="仿宋" w:eastAsia="仿宋"/>
        </w:rPr>
      </w:pPr>
      <w:bookmarkStart w:id="91" w:name="_Toc15396620"/>
      <w:bookmarkStart w:id="92" w:name="_Toc17127"/>
      <w:r>
        <w:rPr>
          <w:rFonts w:hint="eastAsia" w:ascii="仿宋" w:hAnsi="仿宋" w:eastAsia="仿宋"/>
          <w:b w:val="0"/>
        </w:rPr>
        <w:t>二、收</w:t>
      </w:r>
      <w:r>
        <w:rPr>
          <w:rStyle w:val="31"/>
          <w:rFonts w:hint="eastAsia" w:ascii="仿宋" w:hAnsi="仿宋" w:eastAsia="仿宋"/>
          <w:b w:val="0"/>
          <w:bCs w:val="0"/>
        </w:rPr>
        <w:t>入决算表</w:t>
      </w:r>
      <w:bookmarkEnd w:id="91"/>
      <w:bookmarkEnd w:id="92"/>
    </w:p>
    <w:p w14:paraId="44366AC4">
      <w:pPr>
        <w:pStyle w:val="4"/>
        <w:pageBreakBefore w:val="0"/>
        <w:kinsoku/>
        <w:wordWrap/>
        <w:overflowPunct/>
        <w:topLinePunct w:val="0"/>
        <w:bidi w:val="0"/>
        <w:ind w:firstLine="640" w:firstLineChars="200"/>
        <w:textAlignment w:val="auto"/>
        <w:rPr>
          <w:rFonts w:ascii="仿宋" w:hAnsi="仿宋" w:eastAsia="仿宋"/>
        </w:rPr>
      </w:pPr>
      <w:bookmarkStart w:id="93" w:name="_Toc15396621"/>
      <w:bookmarkStart w:id="94" w:name="_Toc29761"/>
      <w:r>
        <w:rPr>
          <w:rStyle w:val="31"/>
          <w:rFonts w:hint="eastAsia" w:ascii="仿宋" w:hAnsi="仿宋" w:eastAsia="仿宋"/>
          <w:b w:val="0"/>
          <w:bCs w:val="0"/>
        </w:rPr>
        <w:t>三、</w:t>
      </w:r>
      <w:r>
        <w:rPr>
          <w:rFonts w:hint="eastAsia" w:ascii="仿宋" w:hAnsi="仿宋" w:eastAsia="仿宋"/>
          <w:b w:val="0"/>
        </w:rPr>
        <w:t>支</w:t>
      </w:r>
      <w:r>
        <w:rPr>
          <w:rStyle w:val="31"/>
          <w:rFonts w:hint="eastAsia" w:ascii="仿宋" w:hAnsi="仿宋" w:eastAsia="仿宋"/>
          <w:b w:val="0"/>
          <w:bCs w:val="0"/>
        </w:rPr>
        <w:t>出决算表</w:t>
      </w:r>
      <w:bookmarkEnd w:id="93"/>
      <w:bookmarkEnd w:id="94"/>
    </w:p>
    <w:p w14:paraId="20AD0E63">
      <w:pPr>
        <w:pStyle w:val="4"/>
        <w:pageBreakBefore w:val="0"/>
        <w:kinsoku/>
        <w:wordWrap/>
        <w:overflowPunct/>
        <w:topLinePunct w:val="0"/>
        <w:bidi w:val="0"/>
        <w:ind w:firstLine="640" w:firstLineChars="200"/>
        <w:textAlignment w:val="auto"/>
        <w:rPr>
          <w:rFonts w:ascii="仿宋" w:hAnsi="仿宋" w:eastAsia="仿宋"/>
          <w:b w:val="0"/>
        </w:rPr>
      </w:pPr>
      <w:bookmarkStart w:id="95" w:name="_Toc26702"/>
      <w:bookmarkStart w:id="96" w:name="_Toc15396622"/>
      <w:r>
        <w:rPr>
          <w:rStyle w:val="31"/>
          <w:rFonts w:hint="eastAsia" w:ascii="仿宋" w:hAnsi="仿宋" w:eastAsia="仿宋"/>
          <w:b w:val="0"/>
          <w:bCs w:val="0"/>
        </w:rPr>
        <w:t>四、</w:t>
      </w:r>
      <w:r>
        <w:rPr>
          <w:rFonts w:hint="eastAsia" w:ascii="仿宋" w:hAnsi="仿宋" w:eastAsia="仿宋"/>
          <w:b w:val="0"/>
        </w:rPr>
        <w:t>财</w:t>
      </w:r>
      <w:r>
        <w:rPr>
          <w:rStyle w:val="31"/>
          <w:rFonts w:hint="eastAsia" w:ascii="仿宋" w:hAnsi="仿宋" w:eastAsia="仿宋"/>
          <w:b w:val="0"/>
          <w:bCs w:val="0"/>
        </w:rPr>
        <w:t>政拨款收入支出决算总表</w:t>
      </w:r>
      <w:bookmarkEnd w:id="95"/>
      <w:bookmarkEnd w:id="96"/>
    </w:p>
    <w:p w14:paraId="6D66E4A1">
      <w:pPr>
        <w:pStyle w:val="4"/>
        <w:pageBreakBefore w:val="0"/>
        <w:kinsoku/>
        <w:wordWrap/>
        <w:overflowPunct/>
        <w:topLinePunct w:val="0"/>
        <w:bidi w:val="0"/>
        <w:ind w:firstLine="640" w:firstLineChars="200"/>
        <w:textAlignment w:val="auto"/>
        <w:rPr>
          <w:rStyle w:val="31"/>
          <w:rFonts w:ascii="仿宋" w:hAnsi="仿宋" w:eastAsia="仿宋"/>
          <w:b w:val="0"/>
          <w:bCs w:val="0"/>
        </w:rPr>
      </w:pPr>
      <w:bookmarkStart w:id="97" w:name="_Toc15396623"/>
      <w:bookmarkStart w:id="98" w:name="_Toc10824"/>
      <w:r>
        <w:rPr>
          <w:rStyle w:val="31"/>
          <w:rFonts w:hint="eastAsia" w:ascii="仿宋" w:hAnsi="仿宋" w:eastAsia="仿宋"/>
          <w:b w:val="0"/>
          <w:bCs w:val="0"/>
        </w:rPr>
        <w:t>五、</w:t>
      </w:r>
      <w:r>
        <w:rPr>
          <w:rFonts w:hint="eastAsia" w:ascii="仿宋" w:hAnsi="仿宋" w:eastAsia="仿宋"/>
          <w:b w:val="0"/>
        </w:rPr>
        <w:t>财</w:t>
      </w:r>
      <w:r>
        <w:rPr>
          <w:rStyle w:val="31"/>
          <w:rFonts w:hint="eastAsia" w:ascii="仿宋" w:hAnsi="仿宋" w:eastAsia="仿宋"/>
          <w:b w:val="0"/>
          <w:bCs w:val="0"/>
        </w:rPr>
        <w:t>政拨款支出决算明细表</w:t>
      </w:r>
      <w:bookmarkEnd w:id="97"/>
      <w:bookmarkEnd w:id="98"/>
      <w:bookmarkStart w:id="99" w:name="_Toc15396624"/>
    </w:p>
    <w:p w14:paraId="58188F25">
      <w:pPr>
        <w:pStyle w:val="4"/>
        <w:pageBreakBefore w:val="0"/>
        <w:kinsoku/>
        <w:wordWrap/>
        <w:overflowPunct/>
        <w:topLinePunct w:val="0"/>
        <w:bidi w:val="0"/>
        <w:ind w:firstLine="640" w:firstLineChars="200"/>
        <w:textAlignment w:val="auto"/>
        <w:rPr>
          <w:rFonts w:ascii="仿宋" w:hAnsi="仿宋" w:eastAsia="仿宋"/>
        </w:rPr>
      </w:pPr>
      <w:bookmarkStart w:id="100" w:name="_Toc9898"/>
      <w:r>
        <w:rPr>
          <w:rStyle w:val="31"/>
          <w:rFonts w:hint="eastAsia" w:ascii="仿宋" w:hAnsi="仿宋" w:eastAsia="仿宋"/>
          <w:b w:val="0"/>
          <w:bCs w:val="0"/>
        </w:rPr>
        <w:t>六、</w:t>
      </w:r>
      <w:r>
        <w:rPr>
          <w:rFonts w:hint="eastAsia" w:ascii="仿宋" w:hAnsi="仿宋" w:eastAsia="仿宋"/>
          <w:b w:val="0"/>
        </w:rPr>
        <w:t>一</w:t>
      </w:r>
      <w:r>
        <w:rPr>
          <w:rStyle w:val="31"/>
          <w:rFonts w:hint="eastAsia" w:ascii="仿宋" w:hAnsi="仿宋" w:eastAsia="仿宋"/>
          <w:b w:val="0"/>
          <w:bCs w:val="0"/>
        </w:rPr>
        <w:t>般公共预算财政拨款支出决算表</w:t>
      </w:r>
      <w:bookmarkEnd w:id="99"/>
      <w:bookmarkEnd w:id="100"/>
    </w:p>
    <w:p w14:paraId="45A18F70">
      <w:pPr>
        <w:pStyle w:val="4"/>
        <w:pageBreakBefore w:val="0"/>
        <w:kinsoku/>
        <w:wordWrap/>
        <w:overflowPunct/>
        <w:topLinePunct w:val="0"/>
        <w:bidi w:val="0"/>
        <w:ind w:firstLine="640" w:firstLineChars="200"/>
        <w:textAlignment w:val="auto"/>
        <w:rPr>
          <w:rFonts w:ascii="仿宋" w:hAnsi="仿宋" w:eastAsia="仿宋"/>
        </w:rPr>
      </w:pPr>
      <w:bookmarkStart w:id="101" w:name="_Toc21631"/>
      <w:bookmarkStart w:id="102" w:name="_Toc15396625"/>
      <w:r>
        <w:rPr>
          <w:rStyle w:val="31"/>
          <w:rFonts w:hint="eastAsia" w:ascii="仿宋" w:hAnsi="仿宋" w:eastAsia="仿宋"/>
          <w:b w:val="0"/>
          <w:bCs w:val="0"/>
        </w:rPr>
        <w:t>七、</w:t>
      </w:r>
      <w:r>
        <w:rPr>
          <w:rFonts w:hint="eastAsia" w:ascii="仿宋" w:hAnsi="仿宋" w:eastAsia="仿宋"/>
          <w:b w:val="0"/>
        </w:rPr>
        <w:t>一</w:t>
      </w:r>
      <w:r>
        <w:rPr>
          <w:rStyle w:val="31"/>
          <w:rFonts w:hint="eastAsia" w:ascii="仿宋" w:hAnsi="仿宋" w:eastAsia="仿宋"/>
          <w:b w:val="0"/>
          <w:bCs w:val="0"/>
        </w:rPr>
        <w:t>般公共预算财政拨款支出决算明细表</w:t>
      </w:r>
      <w:bookmarkEnd w:id="101"/>
      <w:bookmarkEnd w:id="102"/>
    </w:p>
    <w:p w14:paraId="2A5AF228">
      <w:pPr>
        <w:pStyle w:val="4"/>
        <w:pageBreakBefore w:val="0"/>
        <w:kinsoku/>
        <w:wordWrap/>
        <w:overflowPunct/>
        <w:topLinePunct w:val="0"/>
        <w:bidi w:val="0"/>
        <w:ind w:firstLine="640" w:firstLineChars="200"/>
        <w:textAlignment w:val="auto"/>
        <w:rPr>
          <w:rFonts w:ascii="仿宋" w:hAnsi="仿宋" w:eastAsia="仿宋"/>
        </w:rPr>
      </w:pPr>
      <w:bookmarkStart w:id="103" w:name="_Toc15396626"/>
      <w:bookmarkStart w:id="104" w:name="_Toc25665"/>
      <w:r>
        <w:rPr>
          <w:rStyle w:val="31"/>
          <w:rFonts w:hint="eastAsia" w:ascii="仿宋" w:hAnsi="仿宋" w:eastAsia="仿宋"/>
          <w:b w:val="0"/>
          <w:bCs w:val="0"/>
        </w:rPr>
        <w:t>八、</w:t>
      </w:r>
      <w:r>
        <w:rPr>
          <w:rFonts w:hint="eastAsia" w:ascii="仿宋" w:hAnsi="仿宋" w:eastAsia="仿宋"/>
          <w:b w:val="0"/>
        </w:rPr>
        <w:t>一</w:t>
      </w:r>
      <w:r>
        <w:rPr>
          <w:rStyle w:val="31"/>
          <w:rFonts w:hint="eastAsia" w:ascii="仿宋" w:hAnsi="仿宋" w:eastAsia="仿宋"/>
          <w:b w:val="0"/>
          <w:bCs w:val="0"/>
        </w:rPr>
        <w:t>般公共预算财政拨款基本支出决算表</w:t>
      </w:r>
      <w:bookmarkEnd w:id="103"/>
      <w:bookmarkEnd w:id="104"/>
    </w:p>
    <w:p w14:paraId="55274543">
      <w:pPr>
        <w:pStyle w:val="4"/>
        <w:pageBreakBefore w:val="0"/>
        <w:kinsoku/>
        <w:wordWrap/>
        <w:overflowPunct/>
        <w:topLinePunct w:val="0"/>
        <w:bidi w:val="0"/>
        <w:ind w:firstLine="640" w:firstLineChars="200"/>
        <w:textAlignment w:val="auto"/>
        <w:rPr>
          <w:rFonts w:ascii="仿宋" w:hAnsi="仿宋" w:eastAsia="仿宋"/>
        </w:rPr>
      </w:pPr>
      <w:bookmarkStart w:id="105" w:name="_Toc15396627"/>
      <w:bookmarkStart w:id="106" w:name="_Toc8877"/>
      <w:r>
        <w:rPr>
          <w:rStyle w:val="31"/>
          <w:rFonts w:hint="eastAsia" w:ascii="仿宋" w:hAnsi="仿宋" w:eastAsia="仿宋"/>
          <w:b w:val="0"/>
          <w:bCs w:val="0"/>
        </w:rPr>
        <w:t>九、</w:t>
      </w:r>
      <w:r>
        <w:rPr>
          <w:rFonts w:hint="eastAsia" w:ascii="仿宋" w:hAnsi="仿宋" w:eastAsia="仿宋"/>
          <w:b w:val="0"/>
        </w:rPr>
        <w:t>一</w:t>
      </w:r>
      <w:r>
        <w:rPr>
          <w:rStyle w:val="31"/>
          <w:rFonts w:hint="eastAsia" w:ascii="仿宋" w:hAnsi="仿宋" w:eastAsia="仿宋"/>
          <w:b w:val="0"/>
          <w:bCs w:val="0"/>
        </w:rPr>
        <w:t>般公共预算财政拨款项目支出决算表</w:t>
      </w:r>
      <w:bookmarkEnd w:id="105"/>
      <w:bookmarkEnd w:id="106"/>
    </w:p>
    <w:p w14:paraId="3FBA21AF">
      <w:pPr>
        <w:pStyle w:val="4"/>
        <w:pageBreakBefore w:val="0"/>
        <w:kinsoku/>
        <w:wordWrap/>
        <w:overflowPunct/>
        <w:topLinePunct w:val="0"/>
        <w:bidi w:val="0"/>
        <w:ind w:firstLine="640" w:firstLineChars="200"/>
        <w:textAlignment w:val="auto"/>
        <w:rPr>
          <w:rFonts w:ascii="仿宋" w:hAnsi="仿宋" w:eastAsia="仿宋"/>
        </w:rPr>
      </w:pPr>
      <w:bookmarkStart w:id="107" w:name="_Toc15396628"/>
      <w:bookmarkStart w:id="108" w:name="_Toc12804"/>
      <w:r>
        <w:rPr>
          <w:rStyle w:val="31"/>
          <w:rFonts w:hint="eastAsia" w:ascii="仿宋" w:hAnsi="仿宋" w:eastAsia="仿宋"/>
          <w:b w:val="0"/>
          <w:bCs w:val="0"/>
        </w:rPr>
        <w:t>十、</w:t>
      </w:r>
      <w:bookmarkEnd w:id="107"/>
      <w:r>
        <w:rPr>
          <w:rFonts w:hint="eastAsia" w:ascii="仿宋" w:hAnsi="仿宋" w:eastAsia="仿宋"/>
          <w:b w:val="0"/>
        </w:rPr>
        <w:t>政</w:t>
      </w:r>
      <w:r>
        <w:rPr>
          <w:rStyle w:val="31"/>
          <w:rFonts w:hint="eastAsia" w:ascii="仿宋" w:hAnsi="仿宋" w:eastAsia="仿宋"/>
          <w:b w:val="0"/>
          <w:bCs w:val="0"/>
        </w:rPr>
        <w:t>府性基金预算财政拨款收入支出决算表</w:t>
      </w:r>
      <w:bookmarkEnd w:id="108"/>
    </w:p>
    <w:p w14:paraId="0E7D4E4B">
      <w:pPr>
        <w:pStyle w:val="4"/>
        <w:pageBreakBefore w:val="0"/>
        <w:kinsoku/>
        <w:wordWrap/>
        <w:overflowPunct/>
        <w:topLinePunct w:val="0"/>
        <w:bidi w:val="0"/>
        <w:ind w:firstLine="640" w:firstLineChars="200"/>
        <w:textAlignment w:val="auto"/>
        <w:rPr>
          <w:rFonts w:ascii="仿宋" w:hAnsi="仿宋" w:eastAsia="仿宋"/>
        </w:rPr>
      </w:pPr>
      <w:bookmarkStart w:id="109" w:name="_Toc15396629"/>
      <w:bookmarkStart w:id="110" w:name="_Toc1462"/>
      <w:r>
        <w:rPr>
          <w:rStyle w:val="31"/>
          <w:rFonts w:hint="eastAsia" w:ascii="仿宋" w:hAnsi="仿宋" w:eastAsia="仿宋"/>
          <w:b w:val="0"/>
          <w:bCs w:val="0"/>
        </w:rPr>
        <w:t>十一、</w:t>
      </w:r>
      <w:bookmarkEnd w:id="109"/>
      <w:r>
        <w:rPr>
          <w:rFonts w:hint="eastAsia" w:ascii="仿宋" w:hAnsi="仿宋" w:eastAsia="仿宋"/>
          <w:b w:val="0"/>
        </w:rPr>
        <w:t>国</w:t>
      </w:r>
      <w:r>
        <w:rPr>
          <w:rStyle w:val="31"/>
          <w:rFonts w:hint="eastAsia" w:ascii="仿宋" w:hAnsi="仿宋" w:eastAsia="仿宋"/>
          <w:b w:val="0"/>
          <w:bCs w:val="0"/>
        </w:rPr>
        <w:t>有资本经营预算财政拨款收入支出决算表</w:t>
      </w:r>
      <w:bookmarkEnd w:id="110"/>
    </w:p>
    <w:p w14:paraId="754037E6">
      <w:pPr>
        <w:pStyle w:val="4"/>
        <w:pageBreakBefore w:val="0"/>
        <w:kinsoku/>
        <w:wordWrap/>
        <w:overflowPunct/>
        <w:topLinePunct w:val="0"/>
        <w:bidi w:val="0"/>
        <w:ind w:firstLine="640" w:firstLineChars="200"/>
        <w:textAlignment w:val="auto"/>
        <w:rPr>
          <w:rFonts w:ascii="仿宋" w:hAnsi="仿宋" w:eastAsia="仿宋"/>
        </w:rPr>
      </w:pPr>
      <w:bookmarkStart w:id="111" w:name="_Toc15396630"/>
      <w:bookmarkStart w:id="112" w:name="_Toc22194"/>
      <w:r>
        <w:rPr>
          <w:rStyle w:val="31"/>
          <w:rFonts w:hint="eastAsia" w:ascii="仿宋" w:hAnsi="仿宋" w:eastAsia="仿宋"/>
          <w:b w:val="0"/>
          <w:bCs w:val="0"/>
        </w:rPr>
        <w:t>十二、</w:t>
      </w:r>
      <w:bookmarkEnd w:id="111"/>
      <w:r>
        <w:rPr>
          <w:rStyle w:val="31"/>
          <w:rFonts w:hint="eastAsia" w:ascii="仿宋" w:hAnsi="仿宋" w:eastAsia="仿宋"/>
          <w:b w:val="0"/>
          <w:bCs w:val="0"/>
        </w:rPr>
        <w:t>国有资本经营预算财政拨款支出决算表</w:t>
      </w:r>
      <w:bookmarkEnd w:id="112"/>
    </w:p>
    <w:p w14:paraId="18F3CF77">
      <w:pPr>
        <w:pStyle w:val="4"/>
        <w:pageBreakBefore w:val="0"/>
        <w:kinsoku/>
        <w:wordWrap/>
        <w:overflowPunct/>
        <w:topLinePunct w:val="0"/>
        <w:bidi w:val="0"/>
        <w:ind w:firstLine="640" w:firstLineChars="200"/>
        <w:textAlignment w:val="auto"/>
        <w:rPr>
          <w:rFonts w:eastAsia="仿宋"/>
        </w:rPr>
      </w:pPr>
      <w:bookmarkStart w:id="113" w:name="_Toc15396631"/>
      <w:bookmarkStart w:id="114" w:name="_Toc27138"/>
      <w:r>
        <w:rPr>
          <w:rStyle w:val="31"/>
          <w:rFonts w:hint="eastAsia" w:ascii="仿宋" w:hAnsi="仿宋" w:eastAsia="仿宋"/>
          <w:b w:val="0"/>
          <w:bCs w:val="0"/>
        </w:rPr>
        <w:t>十三、</w:t>
      </w:r>
      <w:bookmarkEnd w:id="113"/>
      <w:r>
        <w:rPr>
          <w:rStyle w:val="31"/>
          <w:rFonts w:hint="eastAsia" w:ascii="仿宋" w:hAnsi="仿宋" w:eastAsia="仿宋"/>
          <w:b w:val="0"/>
          <w:bCs w:val="0"/>
        </w:rPr>
        <w:t>财政拨款“三公”经费支出决算表</w:t>
      </w:r>
      <w:bookmarkEnd w:id="114"/>
    </w:p>
    <w:sectPr>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微软雅黑">
    <w:altName w:val="方正黑体_GBK"/>
    <w:panose1 w:val="020B0503020204020204"/>
    <w:charset w:val="86"/>
    <w:family w:val="auto"/>
    <w:pitch w:val="default"/>
    <w:sig w:usb0="00000000" w:usb1="0000000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C9CDB">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
                          </w:sdtPr>
                          <w:sdtContent>
                            <w:p w14:paraId="0CF6279D">
                              <w:pPr>
                                <w:pStyle w:val="11"/>
                                <w:jc w:val="center"/>
                              </w:pPr>
                              <w:r>
                                <w:fldChar w:fldCharType="begin"/>
                              </w:r>
                              <w:r>
                                <w:instrText xml:space="preserve">PAGE   \* MERGEFORMAT</w:instrText>
                              </w:r>
                              <w:r>
                                <w:fldChar w:fldCharType="separate"/>
                              </w:r>
                              <w:r>
                                <w:rPr>
                                  <w:lang w:val="zh-CN"/>
                                </w:rPr>
                                <w:t>14</w:t>
                              </w:r>
                              <w:r>
                                <w:rPr>
                                  <w:lang w:val="zh-CN"/>
                                </w:rPr>
                                <w:fldChar w:fldCharType="end"/>
                              </w:r>
                            </w:p>
                          </w:sdtContent>
                        </w:sdt>
                        <w:p w14:paraId="1FE885BB">
                          <w:pPr>
                            <w:pStyle w:val="2"/>
                          </w:pP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lY197LAQAAnAMAAA4AAAAAAAAAAQAgAAAAHgEAAGRycy9lMm9E&#10;b2MueG1sUEsFBgAAAAAGAAYAWQEAAFsFAAAAAA==&#10;">
              <v:fill on="f" focussize="0,0"/>
              <v:stroke on="f"/>
              <v:imagedata o:title=""/>
              <o:lock v:ext="edit" aspectratio="f"/>
              <v:textbox inset="0mm,0mm,0mm,0mm" style="mso-fit-shape-to-text:t;">
                <w:txbxContent>
                  <w:sdt>
                    <w:sdtPr>
                      <w:id w:val="-1"/>
                    </w:sdtPr>
                    <w:sdtContent>
                      <w:p w14:paraId="0CF6279D">
                        <w:pPr>
                          <w:pStyle w:val="11"/>
                          <w:jc w:val="center"/>
                        </w:pPr>
                        <w:r>
                          <w:fldChar w:fldCharType="begin"/>
                        </w:r>
                        <w:r>
                          <w:instrText xml:space="preserve">PAGE   \* MERGEFORMAT</w:instrText>
                        </w:r>
                        <w:r>
                          <w:fldChar w:fldCharType="separate"/>
                        </w:r>
                        <w:r>
                          <w:rPr>
                            <w:lang w:val="zh-CN"/>
                          </w:rPr>
                          <w:t>14</w:t>
                        </w:r>
                        <w:r>
                          <w:rPr>
                            <w:lang w:val="zh-CN"/>
                          </w:rPr>
                          <w:fldChar w:fldCharType="end"/>
                        </w:r>
                      </w:p>
                    </w:sdtContent>
                  </w:sdt>
                  <w:p w14:paraId="1FE885BB">
                    <w:pPr>
                      <w:pStyle w:val="2"/>
                    </w:pPr>
                  </w:p>
                </w:txbxContent>
              </v:textbox>
            </v:shape>
          </w:pict>
        </mc:Fallback>
      </mc:AlternateContent>
    </w:r>
  </w:p>
  <w:p w14:paraId="6728575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7BBB4">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0541EC">
                          <w:pPr>
                            <w:pStyle w:val="11"/>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gL3ss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pqYlJZYbHPj5+7fzj1/nn1/J&#10;sijfJoV6DxUmPnlMjcOdG3BvZj+gMxEf2mDSFykRjKO+p4u+cohEpEercrUqMCQwNl8Qnz0/9wHi&#10;e+kMSUZNAw4w68qPjxDH1DklVbPuXmmdh6jtXw7ETB6Weh97TFYcdsNEaOeaE/LpcfY1tbjqlOgH&#10;i9KmNZmNMBu72Tj4oPZd3qNUD/ztIWITubdUYYSdCuPQMrtpwdJW/HnPWc8/1e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ZIC97LAQAAnAMAAA4AAAAAAAAAAQAgAAAAHgEAAGRycy9lMm9E&#10;b2MueG1sUEsFBgAAAAAGAAYAWQEAAFsFAAAAAA==&#10;">
              <v:fill on="f" focussize="0,0"/>
              <v:stroke on="f"/>
              <v:imagedata o:title=""/>
              <o:lock v:ext="edit" aspectratio="f"/>
              <v:textbox inset="0mm,0mm,0mm,0mm" style="mso-fit-shape-to-text:t;">
                <w:txbxContent>
                  <w:p w14:paraId="470541EC">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969DC">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634B677"/>
    <w:multiLevelType w:val="singleLevel"/>
    <w:tmpl w:val="E634B677"/>
    <w:lvl w:ilvl="0" w:tentative="0">
      <w:start w:val="2"/>
      <w:numFmt w:val="chineseCounting"/>
      <w:suff w:val="nothing"/>
      <w:lvlText w:val="（%1）"/>
      <w:lvlJc w:val="left"/>
      <w:rPr>
        <w:rFonts w:hint="eastAsia"/>
      </w:rPr>
    </w:lvl>
  </w:abstractNum>
  <w:abstractNum w:abstractNumId="2">
    <w:nsid w:val="3E794925"/>
    <w:multiLevelType w:val="singleLevel"/>
    <w:tmpl w:val="3E794925"/>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mNjU4ZWMyNzRjNWRkODQwMDZiZGE1MWU4ZTU3OWEifQ=="/>
  </w:docVars>
  <w:rsids>
    <w:rsidRoot w:val="00F1361C"/>
    <w:rsid w:val="000222C6"/>
    <w:rsid w:val="0002549F"/>
    <w:rsid w:val="000468DB"/>
    <w:rsid w:val="0006487A"/>
    <w:rsid w:val="00065F8F"/>
    <w:rsid w:val="00066034"/>
    <w:rsid w:val="00070A43"/>
    <w:rsid w:val="00071306"/>
    <w:rsid w:val="000768F2"/>
    <w:rsid w:val="0009184B"/>
    <w:rsid w:val="00094236"/>
    <w:rsid w:val="00094A26"/>
    <w:rsid w:val="0009593C"/>
    <w:rsid w:val="00096FB4"/>
    <w:rsid w:val="00097322"/>
    <w:rsid w:val="000A6A92"/>
    <w:rsid w:val="000B047F"/>
    <w:rsid w:val="000B251B"/>
    <w:rsid w:val="000B5923"/>
    <w:rsid w:val="000B5A48"/>
    <w:rsid w:val="000B6FF3"/>
    <w:rsid w:val="000C3467"/>
    <w:rsid w:val="000C3CA6"/>
    <w:rsid w:val="000D1267"/>
    <w:rsid w:val="000D1D50"/>
    <w:rsid w:val="000D5782"/>
    <w:rsid w:val="000E315D"/>
    <w:rsid w:val="000E6613"/>
    <w:rsid w:val="000E7119"/>
    <w:rsid w:val="00114E9B"/>
    <w:rsid w:val="00136D0C"/>
    <w:rsid w:val="00142216"/>
    <w:rsid w:val="00144D6A"/>
    <w:rsid w:val="0014729F"/>
    <w:rsid w:val="00157BAB"/>
    <w:rsid w:val="001654D1"/>
    <w:rsid w:val="00174518"/>
    <w:rsid w:val="0018106D"/>
    <w:rsid w:val="001877A7"/>
    <w:rsid w:val="00191536"/>
    <w:rsid w:val="00196687"/>
    <w:rsid w:val="001C0962"/>
    <w:rsid w:val="001D7531"/>
    <w:rsid w:val="001E2FF1"/>
    <w:rsid w:val="001E737D"/>
    <w:rsid w:val="001F0592"/>
    <w:rsid w:val="001F7506"/>
    <w:rsid w:val="002006CD"/>
    <w:rsid w:val="00202B36"/>
    <w:rsid w:val="00204B7A"/>
    <w:rsid w:val="00204CDE"/>
    <w:rsid w:val="0021101A"/>
    <w:rsid w:val="00217081"/>
    <w:rsid w:val="00220536"/>
    <w:rsid w:val="00235629"/>
    <w:rsid w:val="00247B82"/>
    <w:rsid w:val="00260C38"/>
    <w:rsid w:val="002616C0"/>
    <w:rsid w:val="00265372"/>
    <w:rsid w:val="002662AA"/>
    <w:rsid w:val="00280496"/>
    <w:rsid w:val="00294DC9"/>
    <w:rsid w:val="00295495"/>
    <w:rsid w:val="002A31DE"/>
    <w:rsid w:val="002B24C7"/>
    <w:rsid w:val="002B2613"/>
    <w:rsid w:val="002D6D05"/>
    <w:rsid w:val="002F1818"/>
    <w:rsid w:val="002F3E97"/>
    <w:rsid w:val="002F567B"/>
    <w:rsid w:val="003216A9"/>
    <w:rsid w:val="00335A74"/>
    <w:rsid w:val="0036561B"/>
    <w:rsid w:val="0037013F"/>
    <w:rsid w:val="00376F20"/>
    <w:rsid w:val="00380C92"/>
    <w:rsid w:val="003A2EAB"/>
    <w:rsid w:val="003A484F"/>
    <w:rsid w:val="003A4883"/>
    <w:rsid w:val="003B0BE0"/>
    <w:rsid w:val="003B0C1B"/>
    <w:rsid w:val="003B688C"/>
    <w:rsid w:val="003B6CF4"/>
    <w:rsid w:val="003C0291"/>
    <w:rsid w:val="003C39AE"/>
    <w:rsid w:val="003C7B60"/>
    <w:rsid w:val="003D0C0F"/>
    <w:rsid w:val="003D1FB2"/>
    <w:rsid w:val="003D66DA"/>
    <w:rsid w:val="003E1310"/>
    <w:rsid w:val="003E6F55"/>
    <w:rsid w:val="003F4456"/>
    <w:rsid w:val="00401AD7"/>
    <w:rsid w:val="00406254"/>
    <w:rsid w:val="004223DE"/>
    <w:rsid w:val="00432B63"/>
    <w:rsid w:val="00434489"/>
    <w:rsid w:val="00437085"/>
    <w:rsid w:val="00443880"/>
    <w:rsid w:val="004464F4"/>
    <w:rsid w:val="00446E63"/>
    <w:rsid w:val="00467094"/>
    <w:rsid w:val="00471401"/>
    <w:rsid w:val="00473F31"/>
    <w:rsid w:val="0048263A"/>
    <w:rsid w:val="00487E5D"/>
    <w:rsid w:val="004A711F"/>
    <w:rsid w:val="004B199D"/>
    <w:rsid w:val="004B4690"/>
    <w:rsid w:val="004D074C"/>
    <w:rsid w:val="004E0A2D"/>
    <w:rsid w:val="004E206B"/>
    <w:rsid w:val="004E2808"/>
    <w:rsid w:val="004E6DF7"/>
    <w:rsid w:val="004F0FBD"/>
    <w:rsid w:val="00505A47"/>
    <w:rsid w:val="00512FDA"/>
    <w:rsid w:val="00520DA0"/>
    <w:rsid w:val="00524EF0"/>
    <w:rsid w:val="00525E15"/>
    <w:rsid w:val="005664BB"/>
    <w:rsid w:val="00566FFA"/>
    <w:rsid w:val="0057481D"/>
    <w:rsid w:val="00582D13"/>
    <w:rsid w:val="0058486E"/>
    <w:rsid w:val="00585B33"/>
    <w:rsid w:val="0059014D"/>
    <w:rsid w:val="005B5C64"/>
    <w:rsid w:val="005B67C6"/>
    <w:rsid w:val="005C5337"/>
    <w:rsid w:val="005C6BD0"/>
    <w:rsid w:val="005D1C8B"/>
    <w:rsid w:val="005D3E86"/>
    <w:rsid w:val="005D468D"/>
    <w:rsid w:val="005D5CED"/>
    <w:rsid w:val="005D7D8C"/>
    <w:rsid w:val="005F1A4C"/>
    <w:rsid w:val="00601DB0"/>
    <w:rsid w:val="00605688"/>
    <w:rsid w:val="006070AF"/>
    <w:rsid w:val="00607E6C"/>
    <w:rsid w:val="006101B1"/>
    <w:rsid w:val="00614E44"/>
    <w:rsid w:val="006219B9"/>
    <w:rsid w:val="0062270A"/>
    <w:rsid w:val="00622830"/>
    <w:rsid w:val="00623DA0"/>
    <w:rsid w:val="00630AEF"/>
    <w:rsid w:val="006325F8"/>
    <w:rsid w:val="00633463"/>
    <w:rsid w:val="00634C9A"/>
    <w:rsid w:val="006440E4"/>
    <w:rsid w:val="0066343B"/>
    <w:rsid w:val="00664777"/>
    <w:rsid w:val="0067280B"/>
    <w:rsid w:val="006748A4"/>
    <w:rsid w:val="00681A31"/>
    <w:rsid w:val="00683E73"/>
    <w:rsid w:val="006A3141"/>
    <w:rsid w:val="006A5E34"/>
    <w:rsid w:val="006B2422"/>
    <w:rsid w:val="006B2B9A"/>
    <w:rsid w:val="006C1937"/>
    <w:rsid w:val="006F020C"/>
    <w:rsid w:val="006F4366"/>
    <w:rsid w:val="006F77A3"/>
    <w:rsid w:val="007127B7"/>
    <w:rsid w:val="0071798E"/>
    <w:rsid w:val="0074073D"/>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0801"/>
    <w:rsid w:val="007F1991"/>
    <w:rsid w:val="007F2C2F"/>
    <w:rsid w:val="007F55FC"/>
    <w:rsid w:val="007F5665"/>
    <w:rsid w:val="00800112"/>
    <w:rsid w:val="00813348"/>
    <w:rsid w:val="008253BB"/>
    <w:rsid w:val="0083706E"/>
    <w:rsid w:val="008408F6"/>
    <w:rsid w:val="008423A5"/>
    <w:rsid w:val="00850625"/>
    <w:rsid w:val="00853718"/>
    <w:rsid w:val="0085405C"/>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3DCE"/>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AF0A50"/>
    <w:rsid w:val="00B034AF"/>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2340C"/>
    <w:rsid w:val="00C33E72"/>
    <w:rsid w:val="00C354B2"/>
    <w:rsid w:val="00C35554"/>
    <w:rsid w:val="00C42709"/>
    <w:rsid w:val="00C52575"/>
    <w:rsid w:val="00C533CC"/>
    <w:rsid w:val="00C5751C"/>
    <w:rsid w:val="00C61BFC"/>
    <w:rsid w:val="00C62B85"/>
    <w:rsid w:val="00C65438"/>
    <w:rsid w:val="00C87FD8"/>
    <w:rsid w:val="00C91381"/>
    <w:rsid w:val="00C91CBB"/>
    <w:rsid w:val="00CB4E70"/>
    <w:rsid w:val="00CC09B6"/>
    <w:rsid w:val="00CC666F"/>
    <w:rsid w:val="00CC6BAC"/>
    <w:rsid w:val="00CD1E3F"/>
    <w:rsid w:val="00CE44F6"/>
    <w:rsid w:val="00CE49DA"/>
    <w:rsid w:val="00CE7B61"/>
    <w:rsid w:val="00D00095"/>
    <w:rsid w:val="00D114F0"/>
    <w:rsid w:val="00D20620"/>
    <w:rsid w:val="00D254F7"/>
    <w:rsid w:val="00D26091"/>
    <w:rsid w:val="00D2685C"/>
    <w:rsid w:val="00D34E7C"/>
    <w:rsid w:val="00D34F17"/>
    <w:rsid w:val="00D35489"/>
    <w:rsid w:val="00D36AFE"/>
    <w:rsid w:val="00D51276"/>
    <w:rsid w:val="00D7035F"/>
    <w:rsid w:val="00DA634F"/>
    <w:rsid w:val="00DA65AC"/>
    <w:rsid w:val="00DB1913"/>
    <w:rsid w:val="00DC410D"/>
    <w:rsid w:val="00DC4B63"/>
    <w:rsid w:val="00DC5A81"/>
    <w:rsid w:val="00DC68CA"/>
    <w:rsid w:val="00DC7CBA"/>
    <w:rsid w:val="00DD73B7"/>
    <w:rsid w:val="00DF06E2"/>
    <w:rsid w:val="00DF28BC"/>
    <w:rsid w:val="00DF34B9"/>
    <w:rsid w:val="00E01053"/>
    <w:rsid w:val="00E07ACF"/>
    <w:rsid w:val="00E22135"/>
    <w:rsid w:val="00E331A1"/>
    <w:rsid w:val="00E33202"/>
    <w:rsid w:val="00E336A9"/>
    <w:rsid w:val="00E472B1"/>
    <w:rsid w:val="00E50624"/>
    <w:rsid w:val="00E5285B"/>
    <w:rsid w:val="00E568DF"/>
    <w:rsid w:val="00E64269"/>
    <w:rsid w:val="00E82267"/>
    <w:rsid w:val="00E853CE"/>
    <w:rsid w:val="00E867B6"/>
    <w:rsid w:val="00EA010F"/>
    <w:rsid w:val="00ED1B63"/>
    <w:rsid w:val="00ED3C1F"/>
    <w:rsid w:val="00ED4085"/>
    <w:rsid w:val="00ED420E"/>
    <w:rsid w:val="00ED6FBE"/>
    <w:rsid w:val="00EE2F57"/>
    <w:rsid w:val="00EE41FF"/>
    <w:rsid w:val="00EF39C0"/>
    <w:rsid w:val="00EF4392"/>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B1164"/>
    <w:rsid w:val="00FD3CC1"/>
    <w:rsid w:val="00FF1E02"/>
    <w:rsid w:val="00FF30B4"/>
    <w:rsid w:val="015975B8"/>
    <w:rsid w:val="02143E91"/>
    <w:rsid w:val="066E0107"/>
    <w:rsid w:val="07996F6E"/>
    <w:rsid w:val="0A2032A3"/>
    <w:rsid w:val="0F98263C"/>
    <w:rsid w:val="101860EC"/>
    <w:rsid w:val="10C055FF"/>
    <w:rsid w:val="118107EC"/>
    <w:rsid w:val="13D50BC4"/>
    <w:rsid w:val="16BB723D"/>
    <w:rsid w:val="189A5212"/>
    <w:rsid w:val="1BE8440E"/>
    <w:rsid w:val="1D155CEE"/>
    <w:rsid w:val="1EC7098C"/>
    <w:rsid w:val="1FF35744"/>
    <w:rsid w:val="23860B96"/>
    <w:rsid w:val="240371BF"/>
    <w:rsid w:val="29FD04D3"/>
    <w:rsid w:val="2C8A61B5"/>
    <w:rsid w:val="2DF04E50"/>
    <w:rsid w:val="2F040D46"/>
    <w:rsid w:val="319F7F4E"/>
    <w:rsid w:val="3304709D"/>
    <w:rsid w:val="36AA5135"/>
    <w:rsid w:val="376D39B2"/>
    <w:rsid w:val="37E16F03"/>
    <w:rsid w:val="38D469F0"/>
    <w:rsid w:val="3D98207C"/>
    <w:rsid w:val="3E78745D"/>
    <w:rsid w:val="41E20BCA"/>
    <w:rsid w:val="44E268DA"/>
    <w:rsid w:val="48713B42"/>
    <w:rsid w:val="4A627F82"/>
    <w:rsid w:val="4B0E749A"/>
    <w:rsid w:val="4B4F25DA"/>
    <w:rsid w:val="4BE068DB"/>
    <w:rsid w:val="4D577224"/>
    <w:rsid w:val="4EAB630A"/>
    <w:rsid w:val="4ECE2238"/>
    <w:rsid w:val="537E6D0A"/>
    <w:rsid w:val="539B3278"/>
    <w:rsid w:val="5AF92295"/>
    <w:rsid w:val="5CD71FC4"/>
    <w:rsid w:val="6C4A05C8"/>
    <w:rsid w:val="6D8276B5"/>
    <w:rsid w:val="6E7E3605"/>
    <w:rsid w:val="6FF5CC65"/>
    <w:rsid w:val="715C0E4B"/>
    <w:rsid w:val="72734D90"/>
    <w:rsid w:val="73AD73D5"/>
    <w:rsid w:val="73B6EB34"/>
    <w:rsid w:val="744731E5"/>
    <w:rsid w:val="76E3355F"/>
    <w:rsid w:val="778769C8"/>
    <w:rsid w:val="77942B35"/>
    <w:rsid w:val="794F6CF9"/>
    <w:rsid w:val="79EE5BA4"/>
    <w:rsid w:val="7A894339"/>
    <w:rsid w:val="7EEF11D3"/>
    <w:rsid w:val="7FA30C79"/>
    <w:rsid w:val="7FB7269E"/>
    <w:rsid w:val="7FC96657"/>
    <w:rsid w:val="7FFB5F20"/>
    <w:rsid w:val="BAEF5721"/>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7"/>
    <w:qFormat/>
    <w:uiPriority w:val="99"/>
    <w:pPr>
      <w:spacing w:beforeLines="30"/>
    </w:pPr>
    <w:rPr>
      <w:rFonts w:ascii="仿宋_GB2312" w:eastAsia="仿宋_GB2312"/>
      <w:kern w:val="0"/>
      <w:sz w:val="30"/>
    </w:rPr>
  </w:style>
  <w:style w:type="paragraph" w:styleId="6">
    <w:name w:val="Salutation"/>
    <w:basedOn w:val="1"/>
    <w:next w:val="1"/>
    <w:link w:val="53"/>
    <w:unhideWhenUsed/>
    <w:qFormat/>
    <w:uiPriority w:val="99"/>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link w:val="52"/>
    <w:qFormat/>
    <w:uiPriority w:val="0"/>
    <w:rPr>
      <w:rFonts w:ascii="宋体" w:hAnsi="Courier New"/>
      <w:szCs w:val="22"/>
    </w:r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Body Text First Indent 2"/>
    <w:basedOn w:val="7"/>
    <w:unhideWhenUsed/>
    <w:qFormat/>
    <w:uiPriority w:val="99"/>
    <w:pPr>
      <w:ind w:firstLine="420" w:firstLineChars="200"/>
    </w:pPr>
  </w:style>
  <w:style w:type="character" w:styleId="18">
    <w:name w:val="Strong"/>
    <w:basedOn w:val="17"/>
    <w:qFormat/>
    <w:uiPriority w:val="99"/>
    <w:rPr>
      <w:b/>
    </w:rPr>
  </w:style>
  <w:style w:type="character" w:styleId="19">
    <w:name w:val="FollowedHyperlink"/>
    <w:basedOn w:val="17"/>
    <w:semiHidden/>
    <w:unhideWhenUsed/>
    <w:qFormat/>
    <w:uiPriority w:val="99"/>
    <w:rPr>
      <w:color w:val="954F72"/>
      <w:u w:val="single"/>
    </w:rPr>
  </w:style>
  <w:style w:type="character" w:styleId="20">
    <w:name w:val="Hyperlink"/>
    <w:basedOn w:val="17"/>
    <w:unhideWhenUsed/>
    <w:qFormat/>
    <w:uiPriority w:val="99"/>
    <w:rPr>
      <w:color w:val="0000FF" w:themeColor="hyperlink"/>
      <w:u w:val="single"/>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Char"/>
    <w:link w:val="2"/>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7"/>
    <w:link w:val="3"/>
    <w:qFormat/>
    <w:uiPriority w:val="9"/>
    <w:rPr>
      <w:rFonts w:ascii="Times New Roman" w:hAnsi="Times New Roman"/>
      <w:b/>
      <w:bCs/>
      <w:kern w:val="44"/>
      <w:sz w:val="44"/>
      <w:szCs w:val="44"/>
    </w:rPr>
  </w:style>
  <w:style w:type="character" w:customStyle="1" w:styleId="31">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3">
    <w:name w:val="批注框文本 Char"/>
    <w:basedOn w:val="17"/>
    <w:link w:val="10"/>
    <w:semiHidden/>
    <w:qFormat/>
    <w:uiPriority w:val="99"/>
    <w:rPr>
      <w:rFonts w:ascii="Times New Roman" w:hAnsi="Times New Roman"/>
      <w:kern w:val="2"/>
      <w:sz w:val="18"/>
      <w:szCs w:val="18"/>
    </w:rPr>
  </w:style>
  <w:style w:type="character" w:customStyle="1" w:styleId="34">
    <w:name w:val="标题 3 Char"/>
    <w:basedOn w:val="17"/>
    <w:link w:val="5"/>
    <w:qFormat/>
    <w:uiPriority w:val="9"/>
    <w:rPr>
      <w:rFonts w:ascii="Times New Roman" w:hAnsi="Times New Roman"/>
      <w:b/>
      <w:bCs/>
      <w:kern w:val="2"/>
      <w:sz w:val="32"/>
      <w:szCs w:val="32"/>
    </w:rPr>
  </w:style>
  <w:style w:type="paragraph" w:customStyle="1" w:styleId="35">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 w:type="paragraph" w:customStyle="1" w:styleId="37">
    <w:name w:val="TOC 标题3"/>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paragraph" w:customStyle="1" w:styleId="3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0">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1">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2">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3">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5">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6">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7">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8">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49">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0">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1">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2">
    <w:name w:val="纯文本 Char"/>
    <w:basedOn w:val="17"/>
    <w:link w:val="9"/>
    <w:qFormat/>
    <w:uiPriority w:val="0"/>
    <w:rPr>
      <w:rFonts w:ascii="宋体" w:hAnsi="Courier New" w:eastAsia="宋体" w:cs="Times New Roman"/>
      <w:kern w:val="2"/>
      <w:sz w:val="21"/>
      <w:szCs w:val="22"/>
    </w:rPr>
  </w:style>
  <w:style w:type="character" w:customStyle="1" w:styleId="53">
    <w:name w:val="称呼 Char"/>
    <w:basedOn w:val="17"/>
    <w:link w:val="6"/>
    <w:qFormat/>
    <w:uiPriority w:val="99"/>
    <w:rPr>
      <w:rFonts w:ascii="Times New Roman" w:hAnsi="Times New Roman" w:eastAsia="宋体" w:cs="Times New Roman"/>
      <w:kern w:val="2"/>
      <w:sz w:val="21"/>
      <w:szCs w:val="24"/>
    </w:rPr>
  </w:style>
  <w:style w:type="paragraph" w:customStyle="1" w:styleId="54">
    <w:name w:val="WPSOffice手动目录 1"/>
    <w:qFormat/>
    <w:uiPriority w:val="0"/>
    <w:pPr>
      <w:ind w:leftChars="0"/>
    </w:pPr>
    <w:rPr>
      <w:rFonts w:asciiTheme="minorHAnsi" w:hAnsiTheme="minorHAnsi" w:eastAsiaTheme="minorEastAsia" w:cstheme="minorBidi"/>
      <w:sz w:val="20"/>
      <w:szCs w:val="20"/>
    </w:rPr>
  </w:style>
  <w:style w:type="paragraph" w:customStyle="1" w:styleId="55">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invertIfNegative val="0"/>
          <c:dLbls>
            <c:delete val="1"/>
          </c:dLbls>
          <c:cat>
            <c:multiLvlStrRef>
              <c:f>Sheet1!$H$17:$I$18</c:f>
              <c:multiLvlStrCache>
                <c:ptCount val="2"/>
                <c:lvl>
                  <c:pt idx="0">
                    <c:v>4156.15万元</c:v>
                  </c:pt>
                  <c:pt idx="1">
                    <c:v>1598.57万元</c:v>
                  </c:pt>
                </c:lvl>
                <c:lvl>
                  <c:pt idx="0">
                    <c:v>2021年收、支决算总计</c:v>
                  </c:pt>
                  <c:pt idx="1">
                    <c:v>2022年收、支决算总计</c:v>
                  </c:pt>
                </c:lvl>
              </c:multiLvlStrCache>
            </c:multiLvlStrRef>
          </c:cat>
          <c:val>
            <c:numRef>
              <c:f>Sheet1!$J$17:$J$18</c:f>
              <c:numCache>
                <c:formatCode>0%</c:formatCode>
                <c:ptCount val="2"/>
                <c:pt idx="0">
                  <c:v>1</c:v>
                </c:pt>
                <c:pt idx="1" c:formatCode="0.00%">
                  <c:v>0.376</c:v>
                </c:pt>
              </c:numCache>
            </c:numRef>
          </c:val>
        </c:ser>
        <c:dLbls>
          <c:showLegendKey val="0"/>
          <c:showVal val="0"/>
          <c:showCatName val="0"/>
          <c:showSerName val="0"/>
          <c:showPercent val="0"/>
          <c:showBubbleSize val="0"/>
        </c:dLbls>
        <c:gapWidth val="150"/>
        <c:overlap val="100"/>
        <c:axId val="317564032"/>
        <c:axId val="317565568"/>
      </c:barChart>
      <c:catAx>
        <c:axId val="31756403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7565568"/>
        <c:crosses val="autoZero"/>
        <c:auto val="1"/>
        <c:lblAlgn val="ctr"/>
        <c:lblOffset val="100"/>
        <c:noMultiLvlLbl val="0"/>
      </c:catAx>
      <c:valAx>
        <c:axId val="317565568"/>
        <c:scaling>
          <c:orientation val="minMax"/>
        </c:scaling>
        <c:delete val="0"/>
        <c:axPos val="l"/>
        <c:majorGridlines/>
        <c:numFmt formatCode="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7564032"/>
        <c:crosses val="autoZero"/>
        <c:crossBetween val="between"/>
      </c:valAx>
    </c:plotArea>
    <c:plotVisOnly val="1"/>
    <c:dispBlanksAs val="gap"/>
    <c:showDLblsOverMax val="0"/>
    <c:extLst>
      <c:ext uri="{0b15fc19-7d7d-44ad-8c2d-2c3a37ce22c3}">
        <chartProps xmlns="https://web.wps.cn/et/2018/main" chartId="{c8f08a9d-a6e7-4b6f-9086-08ff69ca1f24}"/>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dPt>
          <c:dPt>
            <c:idx val="1"/>
            <c:bubble3D val="0"/>
          </c:dPt>
          <c:dPt>
            <c:idx val="2"/>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multiLvlStrRef>
              <c:f>Sheet1!$H$12:$I$14</c:f>
              <c:multiLvlStrCache>
                <c:ptCount val="3"/>
                <c:lvl>
                  <c:pt idx="0">
                    <c:v>1222.23万元</c:v>
                  </c:pt>
                  <c:pt idx="1">
                    <c:v>1186.43万元</c:v>
                  </c:pt>
                  <c:pt idx="2">
                    <c:v>40.4万元</c:v>
                  </c:pt>
                </c:lvl>
                <c:lvl>
                  <c:pt idx="0">
                    <c:v>2022年收入总计</c:v>
                  </c:pt>
                  <c:pt idx="1">
                    <c:v>其中：一般公共预算财政拨款收入</c:v>
                  </c:pt>
                  <c:pt idx="2">
                    <c:v>政府性基金财政预算拨款收入</c:v>
                  </c:pt>
                </c:lvl>
              </c:multiLvlStrCache>
            </c:multiLvlStrRef>
          </c:cat>
          <c:val>
            <c:numRef>
              <c:f>Sheet1!$J$12:$J$14</c:f>
              <c:numCache>
                <c:formatCode>General</c:formatCode>
                <c:ptCount val="3"/>
                <c:pt idx="1" c:formatCode="0.00%">
                  <c:v>0.967000000000001</c:v>
                </c:pt>
                <c:pt idx="2" c:formatCode="0.00%">
                  <c:v>0.033</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6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50a9de2-52b7-4b2d-8abd-df481548a3dd}"/>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dPt>
          <c:dPt>
            <c:idx val="1"/>
            <c:bubble3D val="0"/>
          </c:dPt>
          <c:dPt>
            <c:idx val="2"/>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multiLvlStrRef>
              <c:f>Sheet1!$G$13:$H$15</c:f>
              <c:multiLvlStrCache>
                <c:ptCount val="3"/>
                <c:lvl>
                  <c:pt idx="0">
                    <c:v>1542.94万元</c:v>
                  </c:pt>
                  <c:pt idx="1">
                    <c:v>584.34万元</c:v>
                  </c:pt>
                  <c:pt idx="2">
                    <c:v>958.6万元</c:v>
                  </c:pt>
                </c:lvl>
                <c:lvl>
                  <c:pt idx="0">
                    <c:v>2022年支出总计</c:v>
                  </c:pt>
                  <c:pt idx="1">
                    <c:v>其中：基本支出</c:v>
                  </c:pt>
                  <c:pt idx="2">
                    <c:v>项目支出</c:v>
                  </c:pt>
                </c:lvl>
              </c:multiLvlStrCache>
            </c:multiLvlStrRef>
          </c:cat>
          <c:val>
            <c:numRef>
              <c:f>Sheet1!$I$13:$I$15</c:f>
              <c:numCache>
                <c:formatCode>General</c:formatCode>
                <c:ptCount val="3"/>
                <c:pt idx="1" c:formatCode="0.00%">
                  <c:v>0.3787</c:v>
                </c:pt>
                <c:pt idx="2" c:formatCode="0.00%">
                  <c:v>0.621300000000001</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27a83c9-3025-4e52-b052-606025362fe3}"/>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invertIfNegative val="0"/>
          <c:dLbls>
            <c:delete val="1"/>
          </c:dLbls>
          <c:cat>
            <c:multiLvlStrRef>
              <c:f>Sheet1!$E$14:$F$15</c:f>
              <c:multiLvlStrCache>
                <c:ptCount val="2"/>
                <c:lvl>
                  <c:pt idx="0">
                    <c:v>4116.27万元</c:v>
                  </c:pt>
                  <c:pt idx="1">
                    <c:v>1542.94万元</c:v>
                  </c:pt>
                </c:lvl>
                <c:lvl>
                  <c:pt idx="0">
                    <c:v>2021年财政拨款收支总计</c:v>
                  </c:pt>
                  <c:pt idx="1">
                    <c:v>2022年财政拨款收支总计</c:v>
                  </c:pt>
                </c:lvl>
              </c:multiLvlStrCache>
            </c:multiLvlStrRef>
          </c:cat>
          <c:val>
            <c:numRef>
              <c:f>Sheet1!$G$14:$G$15</c:f>
              <c:numCache>
                <c:formatCode>0%</c:formatCode>
                <c:ptCount val="2"/>
                <c:pt idx="0">
                  <c:v>1</c:v>
                </c:pt>
                <c:pt idx="1" c:formatCode="0.00%">
                  <c:v>0.375</c:v>
                </c:pt>
              </c:numCache>
            </c:numRef>
          </c:val>
        </c:ser>
        <c:dLbls>
          <c:showLegendKey val="0"/>
          <c:showVal val="0"/>
          <c:showCatName val="0"/>
          <c:showSerName val="0"/>
          <c:showPercent val="0"/>
          <c:showBubbleSize val="0"/>
        </c:dLbls>
        <c:gapWidth val="150"/>
        <c:overlap val="100"/>
        <c:axId val="39376768"/>
        <c:axId val="39378304"/>
      </c:barChart>
      <c:catAx>
        <c:axId val="3937676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9378304"/>
        <c:crosses val="autoZero"/>
        <c:auto val="1"/>
        <c:lblAlgn val="ctr"/>
        <c:lblOffset val="100"/>
        <c:noMultiLvlLbl val="0"/>
      </c:catAx>
      <c:valAx>
        <c:axId val="39378304"/>
        <c:scaling>
          <c:orientation val="minMax"/>
        </c:scaling>
        <c:delete val="0"/>
        <c:axPos val="l"/>
        <c:majorGridlines/>
        <c:numFmt formatCode="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9376768"/>
        <c:crosses val="autoZero"/>
        <c:crossBetween val="between"/>
      </c:valAx>
    </c:plotArea>
    <c:plotVisOnly val="1"/>
    <c:dispBlanksAs val="gap"/>
    <c:showDLblsOverMax val="0"/>
    <c:extLst>
      <c:ext uri="{0b15fc19-7d7d-44ad-8c2d-2c3a37ce22c3}">
        <chartProps xmlns="https://web.wps.cn/et/2018/main" chartId="{4e186ed5-3d5b-439b-bed1-5b9f55bebc6e}"/>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invertIfNegative val="0"/>
          <c:dLbls>
            <c:delete val="1"/>
          </c:dLbls>
          <c:cat>
            <c:multiLvlStrRef>
              <c:f>Sheet1!$E$13:$F$14</c:f>
              <c:multiLvlStrCache>
                <c:ptCount val="2"/>
                <c:lvl>
                  <c:pt idx="0">
                    <c:v>4015.88万元</c:v>
                  </c:pt>
                  <c:pt idx="1">
                    <c:v>1502.54万元</c:v>
                  </c:pt>
                </c:lvl>
                <c:lvl>
                  <c:pt idx="0">
                    <c:v>2021年一般公共预算财政拨款支出总计</c:v>
                  </c:pt>
                  <c:pt idx="1">
                    <c:v>2022年一般公共预算财政拨款支出总计</c:v>
                  </c:pt>
                </c:lvl>
              </c:multiLvlStrCache>
            </c:multiLvlStrRef>
          </c:cat>
          <c:val>
            <c:numRef>
              <c:f>Sheet1!$G$13:$G$14</c:f>
              <c:numCache>
                <c:formatCode>0%</c:formatCode>
                <c:ptCount val="2"/>
                <c:pt idx="0">
                  <c:v>1</c:v>
                </c:pt>
                <c:pt idx="1" c:formatCode="0.00%">
                  <c:v>0.374</c:v>
                </c:pt>
              </c:numCache>
            </c:numRef>
          </c:val>
        </c:ser>
        <c:dLbls>
          <c:showLegendKey val="0"/>
          <c:showVal val="0"/>
          <c:showCatName val="0"/>
          <c:showSerName val="0"/>
          <c:showPercent val="0"/>
          <c:showBubbleSize val="0"/>
        </c:dLbls>
        <c:gapWidth val="150"/>
        <c:overlap val="100"/>
        <c:axId val="39385344"/>
        <c:axId val="317603840"/>
      </c:barChart>
      <c:catAx>
        <c:axId val="3938534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17603840"/>
        <c:crosses val="autoZero"/>
        <c:auto val="1"/>
        <c:lblAlgn val="ctr"/>
        <c:lblOffset val="100"/>
        <c:noMultiLvlLbl val="0"/>
      </c:catAx>
      <c:valAx>
        <c:axId val="317603840"/>
        <c:scaling>
          <c:orientation val="minMax"/>
        </c:scaling>
        <c:delete val="0"/>
        <c:axPos val="l"/>
        <c:majorGridlines/>
        <c:numFmt formatCode="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9385344"/>
        <c:crosses val="autoZero"/>
        <c:crossBetween val="between"/>
      </c:valAx>
    </c:plotArea>
    <c:plotVisOnly val="1"/>
    <c:dispBlanksAs val="gap"/>
    <c:showDLblsOverMax val="0"/>
    <c:extLst>
      <c:ext uri="{0b15fc19-7d7d-44ad-8c2d-2c3a37ce22c3}">
        <chartProps xmlns="https://web.wps.cn/et/2018/main" chartId="{c9d07fa6-fbb0-4217-8d2f-067409d49806}"/>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dPt>
          <c:dPt>
            <c:idx val="1"/>
            <c:bubble3D val="0"/>
          </c:dPt>
          <c:dPt>
            <c:idx val="2"/>
            <c:bubble3D val="0"/>
          </c:dPt>
          <c:dPt>
            <c:idx val="3"/>
            <c:bubble3D val="0"/>
          </c:dPt>
          <c:dPt>
            <c:idx val="4"/>
            <c:bubble3D val="0"/>
          </c:dPt>
          <c:dPt>
            <c:idx val="5"/>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multiLvlStrRef>
              <c:f>Sheet1!$E$9:$F$14</c:f>
              <c:multiLvlStrCache>
                <c:ptCount val="6"/>
                <c:lvl>
                  <c:pt idx="0">
                    <c:v>1502.54万元</c:v>
                  </c:pt>
                  <c:pt idx="1">
                    <c:v>41.63万元</c:v>
                  </c:pt>
                  <c:pt idx="2">
                    <c:v>26.32万元</c:v>
                  </c:pt>
                  <c:pt idx="3">
                    <c:v>38.27万元</c:v>
                  </c:pt>
                  <c:pt idx="4">
                    <c:v>1153.5万元</c:v>
                  </c:pt>
                  <c:pt idx="5">
                    <c:v>241.8万元</c:v>
                  </c:pt>
                </c:lvl>
                <c:lvl>
                  <c:pt idx="0">
                    <c:v>一般公共预算财政拨款支出</c:v>
                  </c:pt>
                  <c:pt idx="1">
                    <c:v>其中：社会保障和就业支出</c:v>
                  </c:pt>
                  <c:pt idx="2">
                    <c:v>卫生和健康支出</c:v>
                  </c:pt>
                  <c:pt idx="3">
                    <c:v>住房保障支出</c:v>
                  </c:pt>
                  <c:pt idx="4">
                    <c:v>农林水支出</c:v>
                  </c:pt>
                  <c:pt idx="5">
                    <c:v>交通运输支出</c:v>
                  </c:pt>
                </c:lvl>
              </c:multiLvlStrCache>
            </c:multiLvlStrRef>
          </c:cat>
          <c:val>
            <c:numRef>
              <c:f>Sheet1!$G$9:$G$14</c:f>
              <c:numCache>
                <c:formatCode>General</c:formatCode>
                <c:ptCount val="6"/>
                <c:pt idx="1" c:formatCode="0.00%">
                  <c:v>0.028</c:v>
                </c:pt>
                <c:pt idx="2" c:formatCode="0.00%">
                  <c:v>0.018</c:v>
                </c:pt>
                <c:pt idx="3" c:formatCode="0.00%">
                  <c:v>0.025</c:v>
                </c:pt>
                <c:pt idx="4" c:formatCode="0.00%">
                  <c:v>0.767000000000001</c:v>
                </c:pt>
                <c:pt idx="5" c:formatCode="0%">
                  <c:v>0.16</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6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8b509d5-0b8b-4a04-a609-94c227b491fc}"/>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dPt>
          <c:dPt>
            <c:idx val="1"/>
            <c:bubble3D val="0"/>
          </c:dPt>
          <c:dPt>
            <c:idx val="2"/>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multiLvlStrRef>
              <c:f>Sheet1!$D$10:$E$12</c:f>
              <c:multiLvlStrCache>
                <c:ptCount val="3"/>
                <c:lvl>
                  <c:pt idx="0">
                    <c:v>4.84万元</c:v>
                  </c:pt>
                  <c:pt idx="1">
                    <c:v>4.38万元</c:v>
                  </c:pt>
                  <c:pt idx="2">
                    <c:v>0.46万元</c:v>
                  </c:pt>
                </c:lvl>
                <c:lvl>
                  <c:pt idx="0">
                    <c:v>2022年“三公”经费财政拨款支出</c:v>
                  </c:pt>
                  <c:pt idx="1">
                    <c:v>其中：公务车运行维护费</c:v>
                  </c:pt>
                  <c:pt idx="2">
                    <c:v>公务接待费</c:v>
                  </c:pt>
                </c:lvl>
              </c:multiLvlStrCache>
            </c:multiLvlStrRef>
          </c:cat>
          <c:val>
            <c:numRef>
              <c:f>Sheet1!$F$10:$F$12</c:f>
              <c:numCache>
                <c:formatCode>General</c:formatCode>
                <c:ptCount val="3"/>
                <c:pt idx="1" c:formatCode="0.00%">
                  <c:v>0.905</c:v>
                </c:pt>
                <c:pt idx="2" c:formatCode="0.00%">
                  <c:v>0.095</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8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b328601-cdd8-4505-9b68-c9ba37364979}"/>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02F86C-FA4F-4A44-9A3D-466B3B03D470}">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36</Pages>
  <Words>2137</Words>
  <Characters>12185</Characters>
  <Lines>101</Lines>
  <Paragraphs>28</Paragraphs>
  <TotalTime>13</TotalTime>
  <ScaleCrop>false</ScaleCrop>
  <LinksUpToDate>false</LinksUpToDate>
  <CharactersWithSpaces>14294</CharactersWithSpaces>
  <Application>WPS Office_12.8.2.19831_F1E327BC-269C-435d-A152-05C5408002CA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2020-08-05T09:49:00Z</dcterms:created>
  <dc:creator>曹颖</dc:creator>
  <cp:lastModifiedBy>WPS_1713582078</cp:lastModifiedBy>
  <cp:lastPrinted>2023-07-31T10:35:00Z</cp:lastPrinted>
  <dcterms:modified xsi:type="dcterms:W3CDTF">2026-10-21T09:16:44Z</dcterms:modified>
  <dc:title>四川省***</dc:title>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2052-12.8.2.19831</vt:lpwstr>
  </property>
  <property fmtid="{D5CDD505-2E9C-101B-9397-08002B2CF9AE}" pid="3" name="ICV">
    <vt:lpwstr>9E61D137E02D03867C12D86AFE094C12_43</vt:lpwstr>
  </property>
</Properties>
</file>