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48701">
      <w:pPr>
        <w:spacing w:line="600" w:lineRule="exact"/>
        <w:jc w:val="center"/>
        <w:outlineLvl w:val="0"/>
        <w:rPr>
          <w:rFonts w:ascii="方正小标宋简体" w:hAnsi="宋体" w:eastAsia="方正小标宋简体"/>
          <w:sz w:val="72"/>
          <w:szCs w:val="72"/>
        </w:rPr>
      </w:pPr>
      <w:bookmarkStart w:id="0" w:name="_Toc15396597"/>
      <w:bookmarkStart w:id="1" w:name="_Toc15378441"/>
      <w:bookmarkStart w:id="2" w:name="_Toc15377425"/>
      <w:bookmarkStart w:id="3" w:name="_Toc15396475"/>
      <w:bookmarkStart w:id="4" w:name="_Toc15377193"/>
      <w:bookmarkStart w:id="5" w:name="_Toc15306267"/>
    </w:p>
    <w:p w14:paraId="72B382DF">
      <w:pPr>
        <w:spacing w:line="600" w:lineRule="exact"/>
        <w:jc w:val="center"/>
        <w:outlineLvl w:val="0"/>
        <w:rPr>
          <w:rFonts w:ascii="方正小标宋简体" w:hAnsi="宋体" w:eastAsia="方正小标宋简体"/>
          <w:sz w:val="72"/>
          <w:szCs w:val="72"/>
        </w:rPr>
      </w:pPr>
    </w:p>
    <w:p w14:paraId="1AAF7C03">
      <w:pPr>
        <w:spacing w:line="600" w:lineRule="exact"/>
        <w:jc w:val="center"/>
        <w:outlineLvl w:val="0"/>
        <w:rPr>
          <w:rFonts w:ascii="方正小标宋简体" w:hAnsi="宋体" w:eastAsia="方正小标宋简体"/>
          <w:sz w:val="72"/>
          <w:szCs w:val="72"/>
        </w:rPr>
      </w:pPr>
    </w:p>
    <w:p w14:paraId="24611444">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2022年度</w:t>
      </w:r>
      <w:bookmarkEnd w:id="0"/>
      <w:bookmarkEnd w:id="1"/>
      <w:bookmarkEnd w:id="2"/>
      <w:bookmarkEnd w:id="3"/>
      <w:bookmarkEnd w:id="4"/>
    </w:p>
    <w:p w14:paraId="6BC00EAE">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6" w:name="_Toc15396476"/>
      <w:bookmarkStart w:id="7" w:name="_Toc15377194"/>
      <w:bookmarkStart w:id="8" w:name="_Toc15396598"/>
      <w:bookmarkStart w:id="9" w:name="_Toc15377426"/>
      <w:bookmarkStart w:id="10" w:name="_Toc15378442"/>
      <w:r>
        <w:rPr>
          <w:rFonts w:hint="eastAsia" w:ascii="方正小标宋简体" w:hAnsi="方正小标宋简体" w:eastAsia="方正小标宋简体" w:cs="方正小标宋简体"/>
          <w:sz w:val="72"/>
          <w:szCs w:val="72"/>
          <w:lang w:val="en-US" w:eastAsia="zh-CN"/>
        </w:rPr>
        <w:t>攀枝花市西区</w:t>
      </w:r>
      <w:bookmarkEnd w:id="5"/>
      <w:bookmarkStart w:id="11" w:name="_Toc15306268"/>
      <w:r>
        <w:rPr>
          <w:rFonts w:hint="eastAsia" w:ascii="方正小标宋简体" w:hAnsi="方正小标宋简体" w:eastAsia="方正小标宋简体" w:cs="方正小标宋简体"/>
          <w:sz w:val="72"/>
          <w:szCs w:val="72"/>
          <w:lang w:eastAsia="zh-CN"/>
        </w:rPr>
        <w:t>司法局</w:t>
      </w:r>
    </w:p>
    <w:p w14:paraId="7D0599A7">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14:paraId="2CF87A61">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05ABF888">
      <w:pPr>
        <w:widowControl/>
        <w:jc w:val="center"/>
        <w:rPr>
          <w:rFonts w:ascii="黑体" w:hAnsi="黑体" w:eastAsia="黑体" w:cstheme="minorBidi"/>
          <w:sz w:val="28"/>
          <w:szCs w:val="28"/>
        </w:rPr>
      </w:pPr>
    </w:p>
    <w:p w14:paraId="7338C07F">
      <w:pPr>
        <w:pStyle w:val="12"/>
      </w:pPr>
      <w:r>
        <w:rPr>
          <w:rFonts w:hint="eastAsia"/>
        </w:rPr>
        <w:t>公开时间：2023年</w:t>
      </w:r>
      <w:r>
        <w:rPr>
          <w:rFonts w:hint="eastAsia"/>
          <w:lang w:val="en-US" w:eastAsia="zh-CN"/>
        </w:rPr>
        <w:t>10</w:t>
      </w:r>
      <w:r>
        <w:rPr>
          <w:rFonts w:hint="eastAsia"/>
        </w:rPr>
        <w:t>月</w:t>
      </w:r>
      <w:r>
        <w:rPr>
          <w:rFonts w:hint="eastAsia"/>
          <w:lang w:val="en-US" w:eastAsia="zh-CN"/>
        </w:rPr>
        <w:t>30</w:t>
      </w:r>
      <w:r>
        <w:rPr>
          <w:rFonts w:hint="eastAsia"/>
        </w:rPr>
        <w:t>日</w:t>
      </w:r>
    </w:p>
    <w:p w14:paraId="3C39CFFF"/>
    <w:sdt>
      <w:sdtPr>
        <w:rPr>
          <w:rFonts w:ascii="宋体" w:hAnsi="宋体" w:eastAsia="宋体"/>
          <w:sz w:val="21"/>
        </w:rPr>
        <w:id w:val="370200969"/>
        <w:docPartObj>
          <w:docPartGallery w:val="Table of Contents"/>
          <w:docPartUnique/>
        </w:docPartObj>
      </w:sdtPr>
      <w:sdtEndPr>
        <w:rPr>
          <w:rFonts w:ascii="宋体" w:hAnsi="宋体" w:eastAsia="宋体"/>
          <w:sz w:val="20"/>
          <w:szCs w:val="20"/>
        </w:rPr>
      </w:sdtEndPr>
      <w:sdtContent>
        <w:p w14:paraId="769CF08D">
          <w:pPr>
            <w:jc w:val="center"/>
          </w:pPr>
          <w:bookmarkStart w:id="12" w:name="_Toc15396599"/>
          <w:bookmarkStart w:id="13" w:name="_Toc15377196"/>
          <w:r>
            <w:rPr>
              <w:rFonts w:ascii="宋体" w:hAnsi="宋体" w:eastAsia="宋体"/>
              <w:sz w:val="21"/>
            </w:rPr>
            <w:t>目录</w:t>
          </w:r>
        </w:p>
        <w:p w14:paraId="581FCAD6">
          <w:pPr>
            <w:pStyle w:val="54"/>
            <w:tabs>
              <w:tab w:val="right" w:leader="dot" w:pos="8306"/>
            </w:tabs>
          </w:pPr>
          <w:r>
            <w:fldChar w:fldCharType="begin"/>
          </w:r>
          <w:r>
            <w:instrText xml:space="preserve"> HYPERLINK \l _Toc8604 </w:instrText>
          </w:r>
          <w:r>
            <w:fldChar w:fldCharType="separate"/>
          </w:r>
          <w:sdt>
            <w:sdtPr>
              <w:rPr>
                <w:rFonts w:ascii="Times New Roman" w:hAnsi="Times New Roman" w:eastAsia="宋体" w:cs="Times New Roman"/>
                <w:kern w:val="2"/>
                <w:sz w:val="21"/>
                <w:szCs w:val="24"/>
                <w:lang w:val="en-US" w:eastAsia="zh-CN" w:bidi="ar-SA"/>
              </w:rPr>
              <w:id w:val="147466086"/>
              <w:placeholder>
                <w:docPart w:val="{701a95a7-2b1d-414a-bab9-9d033c54d4f8}"/>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第一部分 部门概况</w:t>
              </w:r>
            </w:sdtContent>
          </w:sdt>
          <w:r>
            <w:tab/>
          </w:r>
          <w:r>
            <w:t>5</w:t>
          </w:r>
          <w:r>
            <w:fldChar w:fldCharType="end"/>
          </w:r>
        </w:p>
        <w:p w14:paraId="1F39B8B5">
          <w:pPr>
            <w:pStyle w:val="55"/>
            <w:tabs>
              <w:tab w:val="right" w:leader="dot" w:pos="8306"/>
            </w:tabs>
          </w:pPr>
          <w:r>
            <w:fldChar w:fldCharType="begin"/>
          </w:r>
          <w:r>
            <w:instrText xml:space="preserve"> HYPERLINK \l _Toc6097 </w:instrText>
          </w:r>
          <w:r>
            <w:fldChar w:fldCharType="separate"/>
          </w:r>
          <w:sdt>
            <w:sdtPr>
              <w:rPr>
                <w:rFonts w:ascii="Times New Roman" w:hAnsi="Times New Roman" w:eastAsia="宋体" w:cs="Times New Roman"/>
                <w:kern w:val="2"/>
                <w:sz w:val="21"/>
                <w:szCs w:val="24"/>
                <w:lang w:val="en-US" w:eastAsia="zh-CN" w:bidi="ar-SA"/>
              </w:rPr>
              <w:id w:val="372047227"/>
              <w:placeholder>
                <w:docPart w:val="{298bb307-6473-4bfa-a7c5-e289d8b8e347}"/>
              </w:placeholder>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一、 </w:t>
              </w:r>
              <w:r>
                <w:rPr>
                  <w:rFonts w:hint="eastAsia" w:ascii="黑体" w:hAnsi="黑体" w:eastAsia="黑体" w:cstheme="majorBidi"/>
                </w:rPr>
                <w:t>部门职责</w:t>
              </w:r>
            </w:sdtContent>
          </w:sdt>
          <w:r>
            <w:tab/>
          </w:r>
          <w:r>
            <w:t>5</w:t>
          </w:r>
          <w:r>
            <w:fldChar w:fldCharType="end"/>
          </w:r>
        </w:p>
        <w:p w14:paraId="410D7863">
          <w:pPr>
            <w:pStyle w:val="56"/>
            <w:tabs>
              <w:tab w:val="right" w:leader="dot" w:pos="8306"/>
            </w:tabs>
          </w:pPr>
          <w:r>
            <w:fldChar w:fldCharType="begin"/>
          </w:r>
          <w:r>
            <w:instrText xml:space="preserve"> HYPERLINK \l _Toc9745 </w:instrText>
          </w:r>
          <w:r>
            <w:fldChar w:fldCharType="separate"/>
          </w:r>
          <w:sdt>
            <w:sdtPr>
              <w:rPr>
                <w:rFonts w:ascii="Times New Roman" w:hAnsi="Times New Roman" w:eastAsia="宋体" w:cs="Times New Roman"/>
                <w:kern w:val="2"/>
                <w:sz w:val="21"/>
                <w:szCs w:val="24"/>
                <w:lang w:val="en-US" w:eastAsia="zh-CN" w:bidi="ar-SA"/>
              </w:rPr>
              <w:id w:val="341995542"/>
              <w:placeholder>
                <w:docPart w:val="{6d09763a-638c-4d58-8489-5876982385fb}"/>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（一）主要职能。</w:t>
              </w:r>
            </w:sdtContent>
          </w:sdt>
          <w:r>
            <w:tab/>
          </w:r>
          <w:r>
            <w:t>5</w:t>
          </w:r>
          <w:r>
            <w:fldChar w:fldCharType="end"/>
          </w:r>
        </w:p>
        <w:p w14:paraId="630B8757">
          <w:pPr>
            <w:pStyle w:val="55"/>
            <w:tabs>
              <w:tab w:val="right" w:leader="dot" w:pos="8306"/>
            </w:tabs>
          </w:pPr>
          <w:r>
            <w:fldChar w:fldCharType="begin"/>
          </w:r>
          <w:r>
            <w:instrText xml:space="preserve"> HYPERLINK \l _Toc4237 </w:instrText>
          </w:r>
          <w:r>
            <w:fldChar w:fldCharType="separate"/>
          </w:r>
          <w:sdt>
            <w:sdtPr>
              <w:rPr>
                <w:rFonts w:ascii="Times New Roman" w:hAnsi="Times New Roman" w:eastAsia="宋体" w:cs="Times New Roman"/>
                <w:kern w:val="2"/>
                <w:sz w:val="21"/>
                <w:szCs w:val="24"/>
                <w:lang w:val="en-US" w:eastAsia="zh-CN" w:bidi="ar-SA"/>
              </w:rPr>
              <w:id w:val="662118530"/>
              <w:placeholder>
                <w:docPart w:val="{00307adb-f026-42b6-91c8-ed1da1ef586c}"/>
              </w:placeholder>
            </w:sdtPr>
            <w:sdtEndPr>
              <w:rPr>
                <w:rFonts w:ascii="Times New Roman" w:hAnsi="Times New Roman" w:eastAsia="宋体" w:cs="Times New Roman"/>
                <w:kern w:val="2"/>
                <w:sz w:val="21"/>
                <w:szCs w:val="24"/>
                <w:lang w:val="en-US" w:eastAsia="zh-CN" w:bidi="ar-SA"/>
              </w:rPr>
            </w:sdtEndPr>
            <w:sdtContent>
              <w:r>
                <w:rPr>
                  <w:rFonts w:hint="eastAsia" w:ascii="黑体" w:eastAsia="黑体" w:hAnsiTheme="majorHAnsi" w:cstheme="majorBidi"/>
                </w:rPr>
                <w:t>二、</w:t>
              </w:r>
              <w:r>
                <w:rPr>
                  <w:rFonts w:hint="eastAsia" w:ascii="黑体" w:hAnsi="黑体" w:eastAsia="黑体" w:cstheme="majorBidi"/>
                </w:rPr>
                <w:t>机构设置</w:t>
              </w:r>
            </w:sdtContent>
          </w:sdt>
          <w:r>
            <w:tab/>
          </w:r>
          <w:r>
            <w:t>6</w:t>
          </w:r>
          <w:r>
            <w:fldChar w:fldCharType="end"/>
          </w:r>
        </w:p>
        <w:p w14:paraId="7F86C71C">
          <w:pPr>
            <w:pStyle w:val="56"/>
            <w:tabs>
              <w:tab w:val="right" w:leader="dot" w:pos="8306"/>
            </w:tabs>
          </w:pPr>
          <w:r>
            <w:fldChar w:fldCharType="begin"/>
          </w:r>
          <w:r>
            <w:instrText xml:space="preserve"> HYPERLINK \l _Toc19091 </w:instrText>
          </w:r>
          <w:r>
            <w:fldChar w:fldCharType="separate"/>
          </w:r>
          <w:sdt>
            <w:sdtPr>
              <w:rPr>
                <w:rFonts w:ascii="Times New Roman" w:hAnsi="Times New Roman" w:eastAsia="宋体" w:cs="Times New Roman"/>
                <w:kern w:val="2"/>
                <w:sz w:val="21"/>
                <w:szCs w:val="24"/>
                <w:lang w:val="en-US" w:eastAsia="zh-CN" w:bidi="ar-SA"/>
              </w:rPr>
              <w:id w:val="741560074"/>
              <w:placeholder>
                <w:docPart w:val="{a4b2060d-064a-4fb3-87f6-4d272dfa3eee}"/>
              </w:placeholder>
            </w:sdtPr>
            <w:sdtEndPr>
              <w:rPr>
                <w:rFonts w:ascii="Times New Roman" w:hAnsi="Times New Roman" w:eastAsia="宋体" w:cs="Times New Roman"/>
                <w:kern w:val="2"/>
                <w:sz w:val="21"/>
                <w:szCs w:val="24"/>
                <w:lang w:val="en-US" w:eastAsia="zh-CN" w:bidi="ar-SA"/>
              </w:rPr>
            </w:sdtEndPr>
            <w:sdtContent>
              <w:r>
                <w:rPr>
                  <w:rFonts w:hint="default" w:ascii="仿宋" w:hAnsi="仿宋" w:eastAsia="仿宋" w:cs="Times New Roman"/>
                </w:rPr>
                <w:t xml:space="preserve">1. </w:t>
              </w:r>
              <w:r>
                <w:rPr>
                  <w:rFonts w:hint="eastAsia" w:ascii="仿宋" w:hAnsi="仿宋" w:eastAsia="仿宋" w:cs="仿宋"/>
                </w:rPr>
                <w:t>西区法律援助中心</w:t>
              </w:r>
            </w:sdtContent>
          </w:sdt>
          <w:r>
            <w:tab/>
          </w:r>
          <w:r>
            <w:t>6</w:t>
          </w:r>
          <w:r>
            <w:fldChar w:fldCharType="end"/>
          </w:r>
        </w:p>
        <w:p w14:paraId="7C7E1757">
          <w:pPr>
            <w:pStyle w:val="56"/>
            <w:tabs>
              <w:tab w:val="right" w:leader="dot" w:pos="8306"/>
            </w:tabs>
          </w:pPr>
          <w:r>
            <w:fldChar w:fldCharType="begin"/>
          </w:r>
          <w:r>
            <w:instrText xml:space="preserve"> HYPERLINK \l _Toc17537 </w:instrText>
          </w:r>
          <w:r>
            <w:fldChar w:fldCharType="separate"/>
          </w:r>
          <w:sdt>
            <w:sdtPr>
              <w:rPr>
                <w:rFonts w:ascii="Times New Roman" w:hAnsi="Times New Roman" w:eastAsia="宋体" w:cs="Times New Roman"/>
                <w:kern w:val="2"/>
                <w:sz w:val="21"/>
                <w:szCs w:val="24"/>
                <w:lang w:val="en-US" w:eastAsia="zh-CN" w:bidi="ar-SA"/>
              </w:rPr>
              <w:id w:val="582733644"/>
              <w:placeholder>
                <w:docPart w:val="{e00fa741-93ef-4710-82fc-7da63e819e7f}"/>
              </w:placeholder>
            </w:sdtPr>
            <w:sdtEndPr>
              <w:rPr>
                <w:rFonts w:ascii="Times New Roman" w:hAnsi="Times New Roman" w:eastAsia="宋体" w:cs="Times New Roman"/>
                <w:kern w:val="2"/>
                <w:sz w:val="21"/>
                <w:szCs w:val="24"/>
                <w:lang w:val="en-US" w:eastAsia="zh-CN" w:bidi="ar-SA"/>
              </w:rPr>
            </w:sdtEndPr>
            <w:sdtContent>
              <w:r>
                <w:rPr>
                  <w:rFonts w:hint="default" w:ascii="仿宋" w:hAnsi="仿宋" w:eastAsia="仿宋" w:cs="Times New Roman"/>
                </w:rPr>
                <w:t xml:space="preserve">2. </w:t>
              </w:r>
              <w:r>
                <w:rPr>
                  <w:rFonts w:hint="eastAsia" w:ascii="仿宋" w:hAnsi="仿宋" w:eastAsia="仿宋" w:cs="仿宋"/>
                </w:rPr>
                <w:t>四川省攀枝花市玉泉公证处</w:t>
              </w:r>
            </w:sdtContent>
          </w:sdt>
          <w:r>
            <w:tab/>
          </w:r>
          <w:r>
            <w:t>7</w:t>
          </w:r>
          <w:r>
            <w:fldChar w:fldCharType="end"/>
          </w:r>
        </w:p>
        <w:p w14:paraId="46D3A80C">
          <w:pPr>
            <w:pStyle w:val="54"/>
            <w:tabs>
              <w:tab w:val="right" w:leader="dot" w:pos="8306"/>
            </w:tabs>
          </w:pPr>
          <w:r>
            <w:fldChar w:fldCharType="begin"/>
          </w:r>
          <w:r>
            <w:instrText xml:space="preserve"> HYPERLINK \l _Toc24932 </w:instrText>
          </w:r>
          <w:r>
            <w:fldChar w:fldCharType="separate"/>
          </w:r>
          <w:sdt>
            <w:sdtPr>
              <w:rPr>
                <w:rFonts w:ascii="Times New Roman" w:hAnsi="Times New Roman" w:eastAsia="宋体" w:cs="Times New Roman"/>
                <w:kern w:val="2"/>
                <w:sz w:val="21"/>
                <w:szCs w:val="24"/>
                <w:lang w:val="en-US" w:eastAsia="zh-CN" w:bidi="ar-SA"/>
              </w:rPr>
              <w:id w:val="652070132"/>
              <w:placeholder>
                <w:docPart w:val="{c31b19f0-9303-4a76-a166-e07f3e9c88de}"/>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第二部分 2022年度部门决算情况说明</w:t>
              </w:r>
            </w:sdtContent>
          </w:sdt>
          <w:r>
            <w:tab/>
          </w:r>
          <w:r>
            <w:t>8</w:t>
          </w:r>
          <w:r>
            <w:fldChar w:fldCharType="end"/>
          </w:r>
        </w:p>
        <w:p w14:paraId="0964696C">
          <w:pPr>
            <w:pStyle w:val="55"/>
            <w:tabs>
              <w:tab w:val="right" w:leader="dot" w:pos="8306"/>
            </w:tabs>
          </w:pPr>
          <w:r>
            <w:fldChar w:fldCharType="begin"/>
          </w:r>
          <w:r>
            <w:instrText xml:space="preserve"> HYPERLINK \l _Toc8867 </w:instrText>
          </w:r>
          <w:r>
            <w:fldChar w:fldCharType="separate"/>
          </w:r>
          <w:sdt>
            <w:sdtPr>
              <w:rPr>
                <w:rFonts w:ascii="Times New Roman" w:hAnsi="Times New Roman" w:eastAsia="宋体" w:cs="Times New Roman"/>
                <w:kern w:val="2"/>
                <w:sz w:val="21"/>
                <w:szCs w:val="24"/>
                <w:lang w:val="en-US" w:eastAsia="zh-CN" w:bidi="ar-SA"/>
              </w:rPr>
              <w:id w:val="844605209"/>
              <w:placeholder>
                <w:docPart w:val="{8db2f4d0-3950-4a30-999d-34b1b8ac7a25}"/>
              </w:placeholder>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一、 </w:t>
              </w:r>
              <w:r>
                <w:rPr>
                  <w:rFonts w:hint="eastAsia" w:ascii="黑体" w:hAnsi="黑体" w:eastAsia="黑体" w:cs="Times New Roman"/>
                </w:rPr>
                <w:t>收</w:t>
              </w:r>
              <w:r>
                <w:rPr>
                  <w:rFonts w:hint="eastAsia" w:ascii="黑体" w:hAnsi="黑体" w:eastAsia="黑体" w:cstheme="majorBidi"/>
                </w:rPr>
                <w:t>入支出决算总体情况说明</w:t>
              </w:r>
            </w:sdtContent>
          </w:sdt>
          <w:r>
            <w:tab/>
          </w:r>
          <w:r>
            <w:t>8</w:t>
          </w:r>
          <w:r>
            <w:fldChar w:fldCharType="end"/>
          </w:r>
        </w:p>
        <w:p w14:paraId="0A748251">
          <w:pPr>
            <w:pStyle w:val="55"/>
            <w:tabs>
              <w:tab w:val="right" w:leader="dot" w:pos="8306"/>
            </w:tabs>
          </w:pPr>
          <w:r>
            <w:fldChar w:fldCharType="begin"/>
          </w:r>
          <w:r>
            <w:instrText xml:space="preserve"> HYPERLINK \l _Toc12127 </w:instrText>
          </w:r>
          <w:r>
            <w:fldChar w:fldCharType="separate"/>
          </w:r>
          <w:sdt>
            <w:sdtPr>
              <w:rPr>
                <w:rFonts w:ascii="Times New Roman" w:hAnsi="Times New Roman" w:eastAsia="宋体" w:cs="Times New Roman"/>
                <w:kern w:val="2"/>
                <w:sz w:val="21"/>
                <w:szCs w:val="24"/>
                <w:lang w:val="en-US" w:eastAsia="zh-CN" w:bidi="ar-SA"/>
              </w:rPr>
              <w:id w:val="275102928"/>
              <w:placeholder>
                <w:docPart w:val="{6a8f12d1-691c-4679-8192-c0b709fcafb3}"/>
              </w:placeholder>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二、 </w:t>
              </w:r>
              <w:r>
                <w:rPr>
                  <w:rFonts w:hint="eastAsia" w:ascii="黑体" w:hAnsi="黑体" w:eastAsia="黑体" w:cs="Times New Roman"/>
                </w:rPr>
                <w:t>收</w:t>
              </w:r>
              <w:r>
                <w:rPr>
                  <w:rFonts w:hint="eastAsia" w:ascii="黑体" w:hAnsi="黑体" w:eastAsia="黑体" w:cstheme="majorBidi"/>
                </w:rPr>
                <w:t>入决算情况说明</w:t>
              </w:r>
            </w:sdtContent>
          </w:sdt>
          <w:r>
            <w:tab/>
          </w:r>
          <w:r>
            <w:t>8</w:t>
          </w:r>
          <w:r>
            <w:fldChar w:fldCharType="end"/>
          </w:r>
        </w:p>
        <w:p w14:paraId="6117840F">
          <w:pPr>
            <w:pStyle w:val="55"/>
            <w:tabs>
              <w:tab w:val="right" w:leader="dot" w:pos="8306"/>
            </w:tabs>
          </w:pPr>
          <w:r>
            <w:fldChar w:fldCharType="begin"/>
          </w:r>
          <w:r>
            <w:instrText xml:space="preserve"> HYPERLINK \l _Toc3892 </w:instrText>
          </w:r>
          <w:r>
            <w:fldChar w:fldCharType="separate"/>
          </w:r>
          <w:sdt>
            <w:sdtPr>
              <w:rPr>
                <w:rFonts w:ascii="Times New Roman" w:hAnsi="Times New Roman" w:eastAsia="宋体" w:cs="Times New Roman"/>
                <w:kern w:val="2"/>
                <w:sz w:val="21"/>
                <w:szCs w:val="24"/>
                <w:lang w:val="en-US" w:eastAsia="zh-CN" w:bidi="ar-SA"/>
              </w:rPr>
              <w:id w:val="616120839"/>
              <w:placeholder>
                <w:docPart w:val="{36a2b020-cddb-465c-ac6a-36b5ec5a088d}"/>
              </w:placeholder>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三、 </w:t>
              </w:r>
              <w:r>
                <w:rPr>
                  <w:rFonts w:hint="eastAsia" w:ascii="黑体" w:hAnsi="黑体" w:eastAsia="黑体" w:cs="Times New Roman"/>
                </w:rPr>
                <w:t>支</w:t>
              </w:r>
              <w:r>
                <w:rPr>
                  <w:rFonts w:hint="eastAsia" w:ascii="黑体" w:hAnsi="黑体" w:eastAsia="黑体" w:cstheme="majorBidi"/>
                </w:rPr>
                <w:t>出决算情况说明</w:t>
              </w:r>
            </w:sdtContent>
          </w:sdt>
          <w:r>
            <w:tab/>
          </w:r>
          <w:r>
            <w:t>9</w:t>
          </w:r>
          <w:r>
            <w:fldChar w:fldCharType="end"/>
          </w:r>
        </w:p>
        <w:p w14:paraId="5FB5AFA1">
          <w:pPr>
            <w:pStyle w:val="55"/>
            <w:tabs>
              <w:tab w:val="right" w:leader="dot" w:pos="8306"/>
            </w:tabs>
          </w:pPr>
          <w:r>
            <w:fldChar w:fldCharType="begin"/>
          </w:r>
          <w:r>
            <w:instrText xml:space="preserve"> HYPERLINK \l _Toc14151 </w:instrText>
          </w:r>
          <w:r>
            <w:fldChar w:fldCharType="separate"/>
          </w:r>
          <w:sdt>
            <w:sdtPr>
              <w:rPr>
                <w:rFonts w:ascii="Times New Roman" w:hAnsi="Times New Roman" w:eastAsia="宋体" w:cs="Times New Roman"/>
                <w:kern w:val="2"/>
                <w:sz w:val="21"/>
                <w:szCs w:val="24"/>
                <w:lang w:val="en-US" w:eastAsia="zh-CN" w:bidi="ar-SA"/>
              </w:rPr>
              <w:id w:val="965935910"/>
              <w:placeholder>
                <w:docPart w:val="{e78788f9-4244-4f60-bfdc-e36fef25f0c1}"/>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四、财</w:t>
              </w:r>
              <w:r>
                <w:rPr>
                  <w:rFonts w:hint="eastAsia" w:ascii="黑体" w:hAnsi="黑体" w:eastAsia="黑体" w:cstheme="majorBidi"/>
                </w:rPr>
                <w:t>政拨款收入支出决算总体情况说明</w:t>
              </w:r>
            </w:sdtContent>
          </w:sdt>
          <w:r>
            <w:tab/>
          </w:r>
          <w:r>
            <w:t>9</w:t>
          </w:r>
          <w:r>
            <w:fldChar w:fldCharType="end"/>
          </w:r>
        </w:p>
        <w:p w14:paraId="64A26151">
          <w:pPr>
            <w:pStyle w:val="55"/>
            <w:tabs>
              <w:tab w:val="right" w:leader="dot" w:pos="8306"/>
            </w:tabs>
          </w:pPr>
          <w:r>
            <w:fldChar w:fldCharType="begin"/>
          </w:r>
          <w:r>
            <w:instrText xml:space="preserve"> HYPERLINK \l _Toc6990 </w:instrText>
          </w:r>
          <w:r>
            <w:fldChar w:fldCharType="separate"/>
          </w:r>
          <w:sdt>
            <w:sdtPr>
              <w:rPr>
                <w:rFonts w:ascii="Times New Roman" w:hAnsi="Times New Roman" w:eastAsia="宋体" w:cs="Times New Roman"/>
                <w:kern w:val="2"/>
                <w:sz w:val="21"/>
                <w:szCs w:val="24"/>
                <w:lang w:val="en-US" w:eastAsia="zh-CN" w:bidi="ar-SA"/>
              </w:rPr>
              <w:id w:val="143524928"/>
              <w:placeholder>
                <w:docPart w:val="{10af7f21-c646-4a34-83ca-c1584c89fe1f}"/>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五、一</w:t>
              </w:r>
              <w:r>
                <w:rPr>
                  <w:rFonts w:hint="eastAsia" w:ascii="黑体" w:hAnsi="黑体" w:eastAsia="黑体" w:cstheme="majorBidi"/>
                </w:rPr>
                <w:t>般公共预算财政拨款支出决算情况说明</w:t>
              </w:r>
            </w:sdtContent>
          </w:sdt>
          <w:r>
            <w:tab/>
          </w:r>
          <w:r>
            <w:t>10</w:t>
          </w:r>
          <w:r>
            <w:fldChar w:fldCharType="end"/>
          </w:r>
        </w:p>
        <w:p w14:paraId="4EFE69DE">
          <w:pPr>
            <w:pStyle w:val="56"/>
            <w:tabs>
              <w:tab w:val="right" w:leader="dot" w:pos="8306"/>
            </w:tabs>
          </w:pPr>
          <w:r>
            <w:fldChar w:fldCharType="begin"/>
          </w:r>
          <w:r>
            <w:instrText xml:space="preserve"> HYPERLINK \l _Toc425 </w:instrText>
          </w:r>
          <w:r>
            <w:fldChar w:fldCharType="separate"/>
          </w:r>
          <w:sdt>
            <w:sdtPr>
              <w:rPr>
                <w:rFonts w:ascii="Times New Roman" w:hAnsi="Times New Roman" w:eastAsia="宋体" w:cs="Times New Roman"/>
                <w:kern w:val="2"/>
                <w:sz w:val="21"/>
                <w:szCs w:val="24"/>
                <w:lang w:val="en-US" w:eastAsia="zh-CN" w:bidi="ar-SA"/>
              </w:rPr>
              <w:id w:val="961138310"/>
              <w:placeholder>
                <w:docPart w:val="{17f83e7e-c8d8-41be-b571-2bd84ae86ade}"/>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（一）一般公共预算财政拨款支出决算总体情况</w:t>
              </w:r>
            </w:sdtContent>
          </w:sdt>
          <w:r>
            <w:tab/>
          </w:r>
          <w:r>
            <w:t>10</w:t>
          </w:r>
          <w:r>
            <w:fldChar w:fldCharType="end"/>
          </w:r>
        </w:p>
        <w:p w14:paraId="6D120EE5">
          <w:pPr>
            <w:pStyle w:val="56"/>
            <w:tabs>
              <w:tab w:val="right" w:leader="dot" w:pos="8306"/>
            </w:tabs>
          </w:pPr>
          <w:r>
            <w:fldChar w:fldCharType="begin"/>
          </w:r>
          <w:r>
            <w:instrText xml:space="preserve"> HYPERLINK \l _Toc25015 </w:instrText>
          </w:r>
          <w:r>
            <w:fldChar w:fldCharType="separate"/>
          </w:r>
          <w:sdt>
            <w:sdtPr>
              <w:rPr>
                <w:rFonts w:ascii="Times New Roman" w:hAnsi="Times New Roman" w:eastAsia="宋体" w:cs="Times New Roman"/>
                <w:kern w:val="2"/>
                <w:sz w:val="21"/>
                <w:szCs w:val="24"/>
                <w:lang w:val="en-US" w:eastAsia="zh-CN" w:bidi="ar-SA"/>
              </w:rPr>
              <w:id w:val="693227179"/>
              <w:placeholder>
                <w:docPart w:val="{2bd3167d-c748-4d19-9386-2c0c61def620}"/>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（二）一般公共预算财政拨款支出决算结构情况</w:t>
              </w:r>
            </w:sdtContent>
          </w:sdt>
          <w:r>
            <w:tab/>
          </w:r>
          <w:r>
            <w:t>10</w:t>
          </w:r>
          <w:r>
            <w:fldChar w:fldCharType="end"/>
          </w:r>
        </w:p>
        <w:p w14:paraId="30675A09">
          <w:pPr>
            <w:pStyle w:val="56"/>
            <w:tabs>
              <w:tab w:val="right" w:leader="dot" w:pos="8306"/>
            </w:tabs>
          </w:pPr>
          <w:r>
            <w:fldChar w:fldCharType="begin"/>
          </w:r>
          <w:r>
            <w:instrText xml:space="preserve"> HYPERLINK \l _Toc26845 </w:instrText>
          </w:r>
          <w:r>
            <w:fldChar w:fldCharType="separate"/>
          </w:r>
          <w:sdt>
            <w:sdtPr>
              <w:rPr>
                <w:rFonts w:ascii="Times New Roman" w:hAnsi="Times New Roman" w:eastAsia="宋体" w:cs="Times New Roman"/>
                <w:kern w:val="2"/>
                <w:sz w:val="21"/>
                <w:szCs w:val="24"/>
                <w:lang w:val="en-US" w:eastAsia="zh-CN" w:bidi="ar-SA"/>
              </w:rPr>
              <w:id w:val="428124777"/>
              <w:placeholder>
                <w:docPart w:val="{45b7b448-9875-42a5-8097-6479a82bfd7b}"/>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（三）一般公共预算财政拨款支出决算具体情况</w:t>
              </w:r>
            </w:sdtContent>
          </w:sdt>
          <w:r>
            <w:tab/>
          </w:r>
          <w:r>
            <w:t>11</w:t>
          </w:r>
          <w:r>
            <w:fldChar w:fldCharType="end"/>
          </w:r>
        </w:p>
        <w:p w14:paraId="62AF9B79">
          <w:pPr>
            <w:pStyle w:val="55"/>
            <w:tabs>
              <w:tab w:val="right" w:leader="dot" w:pos="8306"/>
            </w:tabs>
          </w:pPr>
          <w:r>
            <w:fldChar w:fldCharType="begin"/>
          </w:r>
          <w:r>
            <w:instrText xml:space="preserve"> HYPERLINK \l _Toc31599 </w:instrText>
          </w:r>
          <w:r>
            <w:fldChar w:fldCharType="separate"/>
          </w:r>
          <w:sdt>
            <w:sdtPr>
              <w:rPr>
                <w:rFonts w:ascii="Times New Roman" w:hAnsi="Times New Roman" w:eastAsia="宋体" w:cs="Times New Roman"/>
                <w:kern w:val="2"/>
                <w:sz w:val="21"/>
                <w:szCs w:val="24"/>
                <w:lang w:val="en-US" w:eastAsia="zh-CN" w:bidi="ar-SA"/>
              </w:rPr>
              <w:id w:val="252682390"/>
              <w:placeholder>
                <w:docPart w:val="{b5b2e318-c37c-4017-9387-ea3f48f36e28}"/>
              </w:placeholder>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六、</w:t>
              </w:r>
              <w:r>
                <w:rPr>
                  <w:rFonts w:hint="eastAsia" w:ascii="黑体" w:hAnsi="黑体" w:eastAsia="黑体" w:cs="Times New Roman"/>
                </w:rPr>
                <w:t>一</w:t>
              </w:r>
              <w:r>
                <w:rPr>
                  <w:rFonts w:hint="eastAsia" w:ascii="黑体" w:hAnsi="黑体" w:eastAsia="黑体" w:cstheme="majorBidi"/>
                </w:rPr>
                <w:t>般公共预算财政拨款基本支出决算情况说明</w:t>
              </w:r>
            </w:sdtContent>
          </w:sdt>
          <w:r>
            <w:tab/>
          </w:r>
          <w:r>
            <w:t>13</w:t>
          </w:r>
          <w:r>
            <w:fldChar w:fldCharType="end"/>
          </w:r>
        </w:p>
        <w:p w14:paraId="690D8447">
          <w:pPr>
            <w:pStyle w:val="55"/>
            <w:tabs>
              <w:tab w:val="right" w:leader="dot" w:pos="8306"/>
            </w:tabs>
          </w:pPr>
          <w:r>
            <w:fldChar w:fldCharType="begin"/>
          </w:r>
          <w:r>
            <w:instrText xml:space="preserve"> HYPERLINK \l _Toc12764 </w:instrText>
          </w:r>
          <w:r>
            <w:fldChar w:fldCharType="separate"/>
          </w:r>
          <w:sdt>
            <w:sdtPr>
              <w:rPr>
                <w:rFonts w:ascii="Times New Roman" w:hAnsi="Times New Roman" w:eastAsia="宋体" w:cs="Times New Roman"/>
                <w:kern w:val="2"/>
                <w:sz w:val="21"/>
                <w:szCs w:val="24"/>
                <w:lang w:val="en-US" w:eastAsia="zh-CN" w:bidi="ar-SA"/>
              </w:rPr>
              <w:id w:val="113784605"/>
              <w:placeholder>
                <w:docPart w:val="{957eec19-8873-4370-af8d-8c92163dbb04}"/>
              </w:placeholder>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七、</w:t>
              </w:r>
              <w:r>
                <w:rPr>
                  <w:rFonts w:hint="eastAsia" w:ascii="黑体" w:hAnsi="黑体" w:eastAsia="黑体" w:cstheme="majorBidi"/>
                </w:rPr>
                <w:t>财政拨款“三公”经费支出决算情况说明</w:t>
              </w:r>
            </w:sdtContent>
          </w:sdt>
          <w:r>
            <w:tab/>
          </w:r>
          <w:r>
            <w:t>13</w:t>
          </w:r>
          <w:r>
            <w:fldChar w:fldCharType="end"/>
          </w:r>
        </w:p>
        <w:p w14:paraId="405C6510">
          <w:pPr>
            <w:pStyle w:val="56"/>
            <w:tabs>
              <w:tab w:val="right" w:leader="dot" w:pos="8306"/>
            </w:tabs>
          </w:pPr>
          <w:r>
            <w:fldChar w:fldCharType="begin"/>
          </w:r>
          <w:r>
            <w:instrText xml:space="preserve"> HYPERLINK \l _Toc20888 </w:instrText>
          </w:r>
          <w:r>
            <w:fldChar w:fldCharType="separate"/>
          </w:r>
          <w:sdt>
            <w:sdtPr>
              <w:rPr>
                <w:rFonts w:ascii="Times New Roman" w:hAnsi="Times New Roman" w:eastAsia="宋体" w:cs="Times New Roman"/>
                <w:kern w:val="2"/>
                <w:sz w:val="21"/>
                <w:szCs w:val="24"/>
                <w:lang w:val="en-US" w:eastAsia="zh-CN" w:bidi="ar-SA"/>
              </w:rPr>
              <w:id w:val="292287780"/>
              <w:placeholder>
                <w:docPart w:val="{6643f755-fb82-468f-8cf4-9cd067066ce4}"/>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（一）“三公”经费财政拨款支出决算总体情况说明</w:t>
              </w:r>
            </w:sdtContent>
          </w:sdt>
          <w:r>
            <w:tab/>
          </w:r>
          <w:r>
            <w:t>13</w:t>
          </w:r>
          <w:r>
            <w:fldChar w:fldCharType="end"/>
          </w:r>
        </w:p>
        <w:p w14:paraId="6F046328">
          <w:pPr>
            <w:pStyle w:val="56"/>
            <w:tabs>
              <w:tab w:val="right" w:leader="dot" w:pos="8306"/>
            </w:tabs>
          </w:pPr>
          <w:r>
            <w:fldChar w:fldCharType="begin"/>
          </w:r>
          <w:r>
            <w:instrText xml:space="preserve"> HYPERLINK \l _Toc16653 </w:instrText>
          </w:r>
          <w:r>
            <w:fldChar w:fldCharType="separate"/>
          </w:r>
          <w:sdt>
            <w:sdtPr>
              <w:rPr>
                <w:rFonts w:ascii="Times New Roman" w:hAnsi="Times New Roman" w:eastAsia="宋体" w:cs="Times New Roman"/>
                <w:kern w:val="2"/>
                <w:sz w:val="21"/>
                <w:szCs w:val="24"/>
                <w:lang w:val="en-US" w:eastAsia="zh-CN" w:bidi="ar-SA"/>
              </w:rPr>
              <w:id w:val="59943857"/>
              <w:placeholder>
                <w:docPart w:val="{1f7d61df-4cdd-4cb6-9239-cd76c9e928be}"/>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（二）“三公”经费财政拨款支出决算具体情况说明</w:t>
              </w:r>
            </w:sdtContent>
          </w:sdt>
          <w:r>
            <w:tab/>
          </w:r>
          <w:r>
            <w:t>14</w:t>
          </w:r>
          <w:r>
            <w:fldChar w:fldCharType="end"/>
          </w:r>
        </w:p>
        <w:p w14:paraId="5181C501">
          <w:pPr>
            <w:pStyle w:val="55"/>
            <w:tabs>
              <w:tab w:val="right" w:leader="dot" w:pos="8306"/>
            </w:tabs>
          </w:pPr>
          <w:r>
            <w:fldChar w:fldCharType="begin"/>
          </w:r>
          <w:r>
            <w:instrText xml:space="preserve"> HYPERLINK \l _Toc32674 </w:instrText>
          </w:r>
          <w:r>
            <w:fldChar w:fldCharType="separate"/>
          </w:r>
          <w:sdt>
            <w:sdtPr>
              <w:rPr>
                <w:rFonts w:ascii="Times New Roman" w:hAnsi="Times New Roman" w:eastAsia="宋体" w:cs="Times New Roman"/>
                <w:kern w:val="2"/>
                <w:sz w:val="21"/>
                <w:szCs w:val="24"/>
                <w:lang w:val="en-US" w:eastAsia="zh-CN" w:bidi="ar-SA"/>
              </w:rPr>
              <w:id w:val="589389399"/>
              <w:placeholder>
                <w:docPart w:val="{0befc113-0799-4a3e-861b-df387c487502}"/>
              </w:placeholder>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八、</w:t>
              </w:r>
              <w:r>
                <w:rPr>
                  <w:rFonts w:hint="eastAsia" w:ascii="黑体" w:hAnsi="黑体" w:eastAsia="黑体" w:cstheme="majorBidi"/>
                </w:rPr>
                <w:t>政府性基金预算支出决算情况说明</w:t>
              </w:r>
            </w:sdtContent>
          </w:sdt>
          <w:r>
            <w:tab/>
          </w:r>
          <w:r>
            <w:t>15</w:t>
          </w:r>
          <w:r>
            <w:fldChar w:fldCharType="end"/>
          </w:r>
        </w:p>
        <w:p w14:paraId="47302DAE">
          <w:pPr>
            <w:pStyle w:val="55"/>
            <w:tabs>
              <w:tab w:val="right" w:leader="dot" w:pos="8306"/>
            </w:tabs>
          </w:pPr>
          <w:r>
            <w:fldChar w:fldCharType="begin"/>
          </w:r>
          <w:r>
            <w:instrText xml:space="preserve"> HYPERLINK \l _Toc29239 </w:instrText>
          </w:r>
          <w:r>
            <w:fldChar w:fldCharType="separate"/>
          </w:r>
          <w:sdt>
            <w:sdtPr>
              <w:rPr>
                <w:rFonts w:ascii="Times New Roman" w:hAnsi="Times New Roman" w:eastAsia="宋体" w:cs="Times New Roman"/>
                <w:kern w:val="2"/>
                <w:sz w:val="21"/>
                <w:szCs w:val="24"/>
                <w:lang w:val="en-US" w:eastAsia="zh-CN" w:bidi="ar-SA"/>
              </w:rPr>
              <w:id w:val="611396853"/>
              <w:placeholder>
                <w:docPart w:val="{cc7d61dc-df77-4e54-9030-1ce10dfe5959}"/>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九、 国有资本经营预算支出决算情况说明</w:t>
              </w:r>
            </w:sdtContent>
          </w:sdt>
          <w:r>
            <w:tab/>
          </w:r>
          <w:r>
            <w:t>15</w:t>
          </w:r>
          <w:r>
            <w:fldChar w:fldCharType="end"/>
          </w:r>
        </w:p>
        <w:p w14:paraId="72333E02">
          <w:pPr>
            <w:pStyle w:val="55"/>
            <w:tabs>
              <w:tab w:val="right" w:leader="dot" w:pos="8306"/>
            </w:tabs>
          </w:pPr>
          <w:r>
            <w:fldChar w:fldCharType="begin"/>
          </w:r>
          <w:r>
            <w:instrText xml:space="preserve"> HYPERLINK \l _Toc20456 </w:instrText>
          </w:r>
          <w:r>
            <w:fldChar w:fldCharType="separate"/>
          </w:r>
          <w:sdt>
            <w:sdtPr>
              <w:rPr>
                <w:rFonts w:ascii="Times New Roman" w:hAnsi="Times New Roman" w:eastAsia="宋体" w:cs="Times New Roman"/>
                <w:kern w:val="2"/>
                <w:sz w:val="21"/>
                <w:szCs w:val="24"/>
                <w:lang w:val="en-US" w:eastAsia="zh-CN" w:bidi="ar-SA"/>
              </w:rPr>
              <w:id w:val="833278304"/>
              <w:placeholder>
                <w:docPart w:val="{a5ac9430-1b81-4900-912a-fc171f4fe208}"/>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十、 其他重要事项的情况说明</w:t>
              </w:r>
            </w:sdtContent>
          </w:sdt>
          <w:r>
            <w:tab/>
          </w:r>
          <w:r>
            <w:t>15</w:t>
          </w:r>
          <w:r>
            <w:fldChar w:fldCharType="end"/>
          </w:r>
        </w:p>
        <w:p w14:paraId="36F89CA3">
          <w:pPr>
            <w:pStyle w:val="56"/>
            <w:tabs>
              <w:tab w:val="right" w:leader="dot" w:pos="8306"/>
            </w:tabs>
          </w:pPr>
          <w:r>
            <w:fldChar w:fldCharType="begin"/>
          </w:r>
          <w:r>
            <w:instrText xml:space="preserve"> HYPERLINK \l _Toc5429 </w:instrText>
          </w:r>
          <w:r>
            <w:fldChar w:fldCharType="separate"/>
          </w:r>
          <w:sdt>
            <w:sdtPr>
              <w:rPr>
                <w:rFonts w:ascii="Times New Roman" w:hAnsi="Times New Roman" w:eastAsia="宋体" w:cs="Times New Roman"/>
                <w:kern w:val="2"/>
                <w:sz w:val="21"/>
                <w:szCs w:val="24"/>
                <w:lang w:val="en-US" w:eastAsia="zh-CN" w:bidi="ar-SA"/>
              </w:rPr>
              <w:id w:val="465100821"/>
              <w:placeholder>
                <w:docPart w:val="{a9056ee3-2eb3-42be-94b1-419a0baa93ed}"/>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（一）机关运行经费支出情况</w:t>
              </w:r>
            </w:sdtContent>
          </w:sdt>
          <w:r>
            <w:tab/>
          </w:r>
          <w:r>
            <w:t>15</w:t>
          </w:r>
          <w:r>
            <w:fldChar w:fldCharType="end"/>
          </w:r>
        </w:p>
        <w:p w14:paraId="35B6BB80">
          <w:pPr>
            <w:pStyle w:val="56"/>
            <w:tabs>
              <w:tab w:val="right" w:leader="dot" w:pos="8306"/>
            </w:tabs>
          </w:pPr>
          <w:r>
            <w:fldChar w:fldCharType="begin"/>
          </w:r>
          <w:r>
            <w:instrText xml:space="preserve"> HYPERLINK \l _Toc28191 </w:instrText>
          </w:r>
          <w:r>
            <w:fldChar w:fldCharType="separate"/>
          </w:r>
          <w:sdt>
            <w:sdtPr>
              <w:rPr>
                <w:rFonts w:ascii="Times New Roman" w:hAnsi="Times New Roman" w:eastAsia="宋体" w:cs="Times New Roman"/>
                <w:kern w:val="2"/>
                <w:sz w:val="21"/>
                <w:szCs w:val="24"/>
                <w:lang w:val="en-US" w:eastAsia="zh-CN" w:bidi="ar-SA"/>
              </w:rPr>
              <w:id w:val="157111630"/>
              <w:placeholder>
                <w:docPart w:val="{5be9f79d-6242-4a86-ac24-9f12bc4620b7}"/>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（二）政府采购支出情况</w:t>
              </w:r>
            </w:sdtContent>
          </w:sdt>
          <w:r>
            <w:tab/>
          </w:r>
          <w:r>
            <w:t>15</w:t>
          </w:r>
          <w:r>
            <w:fldChar w:fldCharType="end"/>
          </w:r>
        </w:p>
        <w:p w14:paraId="26078210">
          <w:pPr>
            <w:pStyle w:val="56"/>
            <w:tabs>
              <w:tab w:val="right" w:leader="dot" w:pos="8306"/>
            </w:tabs>
          </w:pPr>
          <w:r>
            <w:fldChar w:fldCharType="begin"/>
          </w:r>
          <w:r>
            <w:instrText xml:space="preserve"> HYPERLINK \l _Toc23843 </w:instrText>
          </w:r>
          <w:r>
            <w:fldChar w:fldCharType="separate"/>
          </w:r>
          <w:sdt>
            <w:sdtPr>
              <w:rPr>
                <w:rFonts w:ascii="Times New Roman" w:hAnsi="Times New Roman" w:eastAsia="宋体" w:cs="Times New Roman"/>
                <w:kern w:val="2"/>
                <w:sz w:val="21"/>
                <w:szCs w:val="24"/>
                <w:lang w:val="en-US" w:eastAsia="zh-CN" w:bidi="ar-SA"/>
              </w:rPr>
              <w:id w:val="802137639"/>
              <w:placeholder>
                <w:docPart w:val="{6fe40687-3f7d-43cd-aa65-9da886caa1b7}"/>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（三）国有资产占有使用情况</w:t>
              </w:r>
            </w:sdtContent>
          </w:sdt>
          <w:r>
            <w:tab/>
          </w:r>
          <w:r>
            <w:t>16</w:t>
          </w:r>
          <w:r>
            <w:fldChar w:fldCharType="end"/>
          </w:r>
        </w:p>
        <w:p w14:paraId="62BE07E9">
          <w:pPr>
            <w:pStyle w:val="56"/>
            <w:tabs>
              <w:tab w:val="right" w:leader="dot" w:pos="8306"/>
            </w:tabs>
          </w:pPr>
          <w:r>
            <w:fldChar w:fldCharType="begin"/>
          </w:r>
          <w:r>
            <w:instrText xml:space="preserve"> HYPERLINK \l _Toc1600 </w:instrText>
          </w:r>
          <w:r>
            <w:fldChar w:fldCharType="separate"/>
          </w:r>
          <w:sdt>
            <w:sdtPr>
              <w:rPr>
                <w:rFonts w:ascii="Times New Roman" w:hAnsi="Times New Roman" w:eastAsia="宋体" w:cs="Times New Roman"/>
                <w:kern w:val="2"/>
                <w:sz w:val="21"/>
                <w:szCs w:val="24"/>
                <w:lang w:val="en-US" w:eastAsia="zh-CN" w:bidi="ar-SA"/>
              </w:rPr>
              <w:id w:val="875615403"/>
              <w:placeholder>
                <w:docPart w:val="{1ce59a2c-356f-45ee-af2e-fbbbbcfebc5c}"/>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imes New Roman"/>
                </w:rPr>
                <w:t>（四）预算绩效管理情况</w:t>
              </w:r>
            </w:sdtContent>
          </w:sdt>
          <w:r>
            <w:tab/>
          </w:r>
          <w:r>
            <w:t>16</w:t>
          </w:r>
          <w:r>
            <w:fldChar w:fldCharType="end"/>
          </w:r>
        </w:p>
        <w:p w14:paraId="6E74C32F">
          <w:pPr>
            <w:pStyle w:val="54"/>
            <w:tabs>
              <w:tab w:val="right" w:leader="dot" w:pos="8306"/>
            </w:tabs>
          </w:pPr>
          <w:r>
            <w:fldChar w:fldCharType="begin"/>
          </w:r>
          <w:r>
            <w:instrText xml:space="preserve"> HYPERLINK \l _Toc15900 </w:instrText>
          </w:r>
          <w:r>
            <w:fldChar w:fldCharType="separate"/>
          </w:r>
          <w:sdt>
            <w:sdtPr>
              <w:rPr>
                <w:rFonts w:ascii="Times New Roman" w:hAnsi="Times New Roman" w:eastAsia="宋体" w:cs="Times New Roman"/>
                <w:kern w:val="2"/>
                <w:sz w:val="21"/>
                <w:szCs w:val="24"/>
                <w:lang w:val="en-US" w:eastAsia="zh-CN" w:bidi="ar-SA"/>
              </w:rPr>
              <w:id w:val="404379450"/>
              <w:placeholder>
                <w:docPart w:val="{4762ad6f-2581-4e0b-bee7-edc3b28fe8fc}"/>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第三部分 名词解释</w:t>
              </w:r>
            </w:sdtContent>
          </w:sdt>
          <w:r>
            <w:tab/>
          </w:r>
          <w:r>
            <w:t>17</w:t>
          </w:r>
          <w:r>
            <w:fldChar w:fldCharType="end"/>
          </w:r>
        </w:p>
        <w:p w14:paraId="30C36A4E">
          <w:pPr>
            <w:pStyle w:val="54"/>
            <w:tabs>
              <w:tab w:val="right" w:leader="dot" w:pos="8306"/>
            </w:tabs>
          </w:pPr>
          <w:r>
            <w:fldChar w:fldCharType="begin"/>
          </w:r>
          <w:r>
            <w:instrText xml:space="preserve"> HYPERLINK \l _Toc31710 </w:instrText>
          </w:r>
          <w:r>
            <w:fldChar w:fldCharType="separate"/>
          </w:r>
          <w:sdt>
            <w:sdtPr>
              <w:rPr>
                <w:rFonts w:ascii="Times New Roman" w:hAnsi="Times New Roman" w:eastAsia="宋体" w:cs="Times New Roman"/>
                <w:kern w:val="2"/>
                <w:sz w:val="21"/>
                <w:szCs w:val="24"/>
                <w:lang w:val="en-US" w:eastAsia="zh-CN" w:bidi="ar-SA"/>
              </w:rPr>
              <w:id w:val="658854527"/>
              <w:placeholder>
                <w:docPart w:val="{7f067072-d59f-488d-b53f-c179f9887f3d}"/>
              </w:placeholder>
            </w:sdtPr>
            <w:sdtEndPr>
              <w:rPr>
                <w:rFonts w:ascii="Times New Roman" w:hAnsi="Times New Roman" w:eastAsia="宋体" w:cs="Times New Roman"/>
                <w:kern w:val="2"/>
                <w:sz w:val="21"/>
                <w:szCs w:val="24"/>
                <w:lang w:val="en-US" w:eastAsia="zh-CN" w:bidi="ar-SA"/>
              </w:rPr>
            </w:sdtEndPr>
            <w:sdtContent>
              <w:r>
                <w:rPr>
                  <w:rFonts w:hint="eastAsia" w:ascii="宋体" w:hAnsi="宋体" w:eastAsia="宋体" w:cs="Times New Roman"/>
                </w:rPr>
                <w:t>2023年省级部门整体绩效评价报告</w:t>
              </w:r>
            </w:sdtContent>
          </w:sdt>
          <w:r>
            <w:tab/>
          </w:r>
          <w:r>
            <w:t>21</w:t>
          </w:r>
          <w:r>
            <w:fldChar w:fldCharType="end"/>
          </w:r>
        </w:p>
        <w:p w14:paraId="5547F0A9">
          <w:pPr>
            <w:pStyle w:val="54"/>
            <w:tabs>
              <w:tab w:val="right" w:leader="dot" w:pos="8306"/>
            </w:tabs>
          </w:pPr>
          <w:r>
            <w:fldChar w:fldCharType="begin"/>
          </w:r>
          <w:r>
            <w:instrText xml:space="preserve"> HYPERLINK \l _Toc21956 </w:instrText>
          </w:r>
          <w:r>
            <w:fldChar w:fldCharType="separate"/>
          </w:r>
          <w:sdt>
            <w:sdtPr>
              <w:rPr>
                <w:rFonts w:ascii="Times New Roman" w:hAnsi="Times New Roman" w:eastAsia="宋体" w:cs="Times New Roman"/>
                <w:kern w:val="2"/>
                <w:sz w:val="21"/>
                <w:szCs w:val="24"/>
                <w:lang w:val="en-US" w:eastAsia="zh-CN" w:bidi="ar-SA"/>
              </w:rPr>
              <w:id w:val="363176923"/>
              <w:placeholder>
                <w:docPart w:val="{0d96d868-e7c4-491c-b212-7ec00831142a}"/>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（报告范围包括机关和下属单位）</w:t>
              </w:r>
            </w:sdtContent>
          </w:sdt>
          <w:r>
            <w:tab/>
          </w:r>
          <w:r>
            <w:t>21</w:t>
          </w:r>
          <w:r>
            <w:fldChar w:fldCharType="end"/>
          </w:r>
        </w:p>
        <w:p w14:paraId="6EA65281">
          <w:pPr>
            <w:pStyle w:val="54"/>
            <w:tabs>
              <w:tab w:val="right" w:leader="dot" w:pos="8306"/>
            </w:tabs>
          </w:pPr>
          <w:r>
            <w:fldChar w:fldCharType="begin"/>
          </w:r>
          <w:r>
            <w:instrText xml:space="preserve"> HYPERLINK \l _Toc1282 </w:instrText>
          </w:r>
          <w:r>
            <w:fldChar w:fldCharType="separate"/>
          </w:r>
          <w:sdt>
            <w:sdtPr>
              <w:rPr>
                <w:rFonts w:ascii="Times New Roman" w:hAnsi="Times New Roman" w:eastAsia="宋体" w:cs="Times New Roman"/>
                <w:kern w:val="2"/>
                <w:sz w:val="21"/>
                <w:szCs w:val="24"/>
                <w:lang w:val="en-US" w:eastAsia="zh-CN" w:bidi="ar-SA"/>
              </w:rPr>
              <w:id w:val="981484855"/>
              <w:placeholder>
                <w:docPart w:val="{306a3f8a-dabe-4a02-8442-8f5e3436302c}"/>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宋体"/>
                </w:rPr>
                <w:t>一、 部门（单位）基本情况</w:t>
              </w:r>
            </w:sdtContent>
          </w:sdt>
          <w:r>
            <w:tab/>
          </w:r>
          <w:r>
            <w:t>21</w:t>
          </w:r>
          <w:r>
            <w:fldChar w:fldCharType="end"/>
          </w:r>
        </w:p>
        <w:p w14:paraId="6EA6BBFF">
          <w:pPr>
            <w:pStyle w:val="55"/>
            <w:tabs>
              <w:tab w:val="right" w:leader="dot" w:pos="8306"/>
            </w:tabs>
          </w:pPr>
          <w:r>
            <w:fldChar w:fldCharType="begin"/>
          </w:r>
          <w:r>
            <w:instrText xml:space="preserve"> HYPERLINK \l _Toc7465 </w:instrText>
          </w:r>
          <w:r>
            <w:fldChar w:fldCharType="separate"/>
          </w:r>
          <w:sdt>
            <w:sdtPr>
              <w:rPr>
                <w:rFonts w:ascii="Times New Roman" w:hAnsi="Times New Roman" w:eastAsia="宋体" w:cs="Times New Roman"/>
                <w:kern w:val="2"/>
                <w:sz w:val="21"/>
                <w:szCs w:val="24"/>
                <w:lang w:val="en-US" w:eastAsia="zh-CN" w:bidi="ar-SA"/>
              </w:rPr>
              <w:id w:val="433128737"/>
              <w:placeholder>
                <w:docPart w:val="{bf023af8-2050-43e8-b0e1-9b5b4120470f}"/>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 机构组成。</w:t>
              </w:r>
            </w:sdtContent>
          </w:sdt>
          <w:r>
            <w:tab/>
          </w:r>
          <w:r>
            <w:t>21</w:t>
          </w:r>
          <w:r>
            <w:fldChar w:fldCharType="end"/>
          </w:r>
        </w:p>
        <w:p w14:paraId="64E38D3F">
          <w:pPr>
            <w:pStyle w:val="55"/>
            <w:tabs>
              <w:tab w:val="right" w:leader="dot" w:pos="8306"/>
            </w:tabs>
          </w:pPr>
          <w:r>
            <w:fldChar w:fldCharType="begin"/>
          </w:r>
          <w:r>
            <w:instrText xml:space="preserve"> HYPERLINK \l _Toc3327 </w:instrText>
          </w:r>
          <w:r>
            <w:fldChar w:fldCharType="separate"/>
          </w:r>
          <w:sdt>
            <w:sdtPr>
              <w:rPr>
                <w:rFonts w:ascii="Times New Roman" w:hAnsi="Times New Roman" w:eastAsia="宋体" w:cs="Times New Roman"/>
                <w:kern w:val="2"/>
                <w:sz w:val="21"/>
                <w:szCs w:val="24"/>
                <w:lang w:val="en-US" w:eastAsia="zh-CN" w:bidi="ar-SA"/>
              </w:rPr>
              <w:id w:val="271306482"/>
              <w:placeholder>
                <w:docPart w:val="{3457961f-29f0-4fff-b498-07a034f82484}"/>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 机构职能和人员概况。</w:t>
              </w:r>
            </w:sdtContent>
          </w:sdt>
          <w:r>
            <w:tab/>
          </w:r>
          <w:r>
            <w:t>21</w:t>
          </w:r>
          <w:r>
            <w:fldChar w:fldCharType="end"/>
          </w:r>
        </w:p>
        <w:p w14:paraId="39CEA348">
          <w:pPr>
            <w:pStyle w:val="55"/>
            <w:tabs>
              <w:tab w:val="right" w:leader="dot" w:pos="8306"/>
            </w:tabs>
          </w:pPr>
          <w:r>
            <w:fldChar w:fldCharType="begin"/>
          </w:r>
          <w:r>
            <w:instrText xml:space="preserve"> HYPERLINK \l _Toc22222 </w:instrText>
          </w:r>
          <w:r>
            <w:fldChar w:fldCharType="separate"/>
          </w:r>
          <w:sdt>
            <w:sdtPr>
              <w:rPr>
                <w:rFonts w:ascii="Times New Roman" w:hAnsi="Times New Roman" w:eastAsia="宋体" w:cs="Times New Roman"/>
                <w:kern w:val="2"/>
                <w:sz w:val="21"/>
                <w:szCs w:val="24"/>
                <w:lang w:val="en-US" w:eastAsia="zh-CN" w:bidi="ar-SA"/>
              </w:rPr>
              <w:id w:val="353532083"/>
              <w:placeholder>
                <w:docPart w:val="{a26dbce0-8daa-4608-b413-97f076adeb12}"/>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 年度主要工作任务。</w:t>
              </w:r>
            </w:sdtContent>
          </w:sdt>
          <w:r>
            <w:tab/>
          </w:r>
          <w:r>
            <w:t>23</w:t>
          </w:r>
          <w:r>
            <w:fldChar w:fldCharType="end"/>
          </w:r>
        </w:p>
        <w:p w14:paraId="481A240A">
          <w:pPr>
            <w:pStyle w:val="55"/>
            <w:tabs>
              <w:tab w:val="right" w:leader="dot" w:pos="8306"/>
            </w:tabs>
          </w:pPr>
          <w:r>
            <w:fldChar w:fldCharType="begin"/>
          </w:r>
          <w:r>
            <w:instrText xml:space="preserve"> HYPERLINK \l _Toc9953 </w:instrText>
          </w:r>
          <w:r>
            <w:fldChar w:fldCharType="separate"/>
          </w:r>
          <w:sdt>
            <w:sdtPr>
              <w:rPr>
                <w:rFonts w:ascii="Times New Roman" w:hAnsi="Times New Roman" w:eastAsia="宋体" w:cs="Times New Roman"/>
                <w:kern w:val="2"/>
                <w:sz w:val="21"/>
                <w:szCs w:val="24"/>
                <w:lang w:val="en-US" w:eastAsia="zh-CN" w:bidi="ar-SA"/>
              </w:rPr>
              <w:id w:val="627640631"/>
              <w:placeholder>
                <w:docPart w:val="{a0b59398-6c6e-42bc-b5eb-8392a756fbb5}"/>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（四）部门整体支出绩效目标。</w:t>
              </w:r>
            </w:sdtContent>
          </w:sdt>
          <w:r>
            <w:tab/>
          </w:r>
          <w:r>
            <w:t>28</w:t>
          </w:r>
          <w:r>
            <w:fldChar w:fldCharType="end"/>
          </w:r>
        </w:p>
        <w:p w14:paraId="0D31C96B">
          <w:pPr>
            <w:pStyle w:val="54"/>
            <w:tabs>
              <w:tab w:val="right" w:leader="dot" w:pos="8306"/>
            </w:tabs>
          </w:pPr>
          <w:r>
            <w:fldChar w:fldCharType="begin"/>
          </w:r>
          <w:r>
            <w:instrText xml:space="preserve"> HYPERLINK \l _Toc467 </w:instrText>
          </w:r>
          <w:r>
            <w:fldChar w:fldCharType="separate"/>
          </w:r>
          <w:sdt>
            <w:sdtPr>
              <w:rPr>
                <w:rFonts w:ascii="Times New Roman" w:hAnsi="Times New Roman" w:eastAsia="宋体" w:cs="Times New Roman"/>
                <w:kern w:val="2"/>
                <w:sz w:val="21"/>
                <w:szCs w:val="24"/>
                <w:lang w:val="en-US" w:eastAsia="zh-CN" w:bidi="ar-SA"/>
              </w:rPr>
              <w:id w:val="933425013"/>
              <w:placeholder>
                <w:docPart w:val="{12c214c5-a44f-42f5-8e39-7f735291aedc}"/>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宋体"/>
                </w:rPr>
                <w:t>二、部门资金收支情况</w:t>
              </w:r>
            </w:sdtContent>
          </w:sdt>
          <w:r>
            <w:tab/>
          </w:r>
          <w:r>
            <w:t>28</w:t>
          </w:r>
          <w:r>
            <w:fldChar w:fldCharType="end"/>
          </w:r>
        </w:p>
        <w:p w14:paraId="3CE1A746">
          <w:pPr>
            <w:pStyle w:val="55"/>
            <w:tabs>
              <w:tab w:val="right" w:leader="dot" w:pos="8306"/>
            </w:tabs>
          </w:pPr>
          <w:r>
            <w:fldChar w:fldCharType="begin"/>
          </w:r>
          <w:r>
            <w:instrText xml:space="preserve"> HYPERLINK \l _Toc21608 </w:instrText>
          </w:r>
          <w:r>
            <w:fldChar w:fldCharType="separate"/>
          </w:r>
          <w:sdt>
            <w:sdtPr>
              <w:rPr>
                <w:rFonts w:ascii="Times New Roman" w:hAnsi="Times New Roman" w:eastAsia="宋体" w:cs="Times New Roman"/>
                <w:kern w:val="2"/>
                <w:sz w:val="21"/>
                <w:szCs w:val="24"/>
                <w:lang w:val="en-US" w:eastAsia="zh-CN" w:bidi="ar-SA"/>
              </w:rPr>
              <w:id w:val="95092157"/>
              <w:placeholder>
                <w:docPart w:val="{faaf2cea-d8a8-4441-81c3-19ff36c69544}"/>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（一）部门总体收支情况。</w:t>
              </w:r>
            </w:sdtContent>
          </w:sdt>
          <w:r>
            <w:tab/>
          </w:r>
          <w:r>
            <w:t>28</w:t>
          </w:r>
          <w:r>
            <w:fldChar w:fldCharType="end"/>
          </w:r>
        </w:p>
        <w:p w14:paraId="6B242B54">
          <w:pPr>
            <w:pStyle w:val="56"/>
            <w:tabs>
              <w:tab w:val="right" w:leader="dot" w:pos="8306"/>
            </w:tabs>
          </w:pPr>
          <w:r>
            <w:fldChar w:fldCharType="begin"/>
          </w:r>
          <w:r>
            <w:instrText xml:space="preserve"> HYPERLINK \l _Toc9114 </w:instrText>
          </w:r>
          <w:r>
            <w:fldChar w:fldCharType="separate"/>
          </w:r>
          <w:sdt>
            <w:sdtPr>
              <w:rPr>
                <w:rFonts w:ascii="Times New Roman" w:hAnsi="Times New Roman" w:eastAsia="宋体" w:cs="Times New Roman"/>
                <w:kern w:val="2"/>
                <w:sz w:val="21"/>
                <w:szCs w:val="24"/>
                <w:lang w:val="en-US" w:eastAsia="zh-CN" w:bidi="ar-SA"/>
              </w:rPr>
              <w:id w:val="62890628"/>
              <w:placeholder>
                <w:docPart w:val="{2b4deba0-e959-41c8-aafb-41eee306315e}"/>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1.部门总体收入情况。</w:t>
              </w:r>
            </w:sdtContent>
          </w:sdt>
          <w:r>
            <w:tab/>
          </w:r>
          <w:r>
            <w:t>28</w:t>
          </w:r>
          <w:r>
            <w:fldChar w:fldCharType="end"/>
          </w:r>
        </w:p>
        <w:p w14:paraId="68D21DB0">
          <w:pPr>
            <w:pStyle w:val="56"/>
            <w:tabs>
              <w:tab w:val="right" w:leader="dot" w:pos="8306"/>
            </w:tabs>
          </w:pPr>
          <w:r>
            <w:fldChar w:fldCharType="begin"/>
          </w:r>
          <w:r>
            <w:instrText xml:space="preserve"> HYPERLINK \l _Toc19876 </w:instrText>
          </w:r>
          <w:r>
            <w:fldChar w:fldCharType="separate"/>
          </w:r>
          <w:sdt>
            <w:sdtPr>
              <w:rPr>
                <w:rFonts w:ascii="Times New Roman" w:hAnsi="Times New Roman" w:eastAsia="宋体" w:cs="Times New Roman"/>
                <w:kern w:val="2"/>
                <w:sz w:val="21"/>
                <w:szCs w:val="24"/>
                <w:lang w:val="en-US" w:eastAsia="zh-CN" w:bidi="ar-SA"/>
              </w:rPr>
              <w:id w:val="438011497"/>
              <w:placeholder>
                <w:docPart w:val="{8c3523f5-f506-4fbd-9219-5f2f87b6b073}"/>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2.部门总体支出情况。</w:t>
              </w:r>
            </w:sdtContent>
          </w:sdt>
          <w:r>
            <w:tab/>
          </w:r>
          <w:r>
            <w:t>28</w:t>
          </w:r>
          <w:r>
            <w:fldChar w:fldCharType="end"/>
          </w:r>
        </w:p>
        <w:p w14:paraId="48769F55">
          <w:pPr>
            <w:pStyle w:val="56"/>
            <w:tabs>
              <w:tab w:val="right" w:leader="dot" w:pos="8306"/>
            </w:tabs>
          </w:pPr>
          <w:r>
            <w:fldChar w:fldCharType="begin"/>
          </w:r>
          <w:r>
            <w:instrText xml:space="preserve"> HYPERLINK \l _Toc857 </w:instrText>
          </w:r>
          <w:r>
            <w:fldChar w:fldCharType="separate"/>
          </w:r>
          <w:sdt>
            <w:sdtPr>
              <w:rPr>
                <w:rFonts w:ascii="Times New Roman" w:hAnsi="Times New Roman" w:eastAsia="宋体" w:cs="Times New Roman"/>
                <w:kern w:val="2"/>
                <w:sz w:val="21"/>
                <w:szCs w:val="24"/>
                <w:lang w:val="en-US" w:eastAsia="zh-CN" w:bidi="ar-SA"/>
              </w:rPr>
              <w:id w:val="792213719"/>
              <w:placeholder>
                <w:docPart w:val="{a85a1994-df1c-4014-8ea7-71c146a4f162}"/>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3.部门总体结转结余情况。</w:t>
              </w:r>
            </w:sdtContent>
          </w:sdt>
          <w:r>
            <w:tab/>
          </w:r>
          <w:r>
            <w:t>28</w:t>
          </w:r>
          <w:r>
            <w:fldChar w:fldCharType="end"/>
          </w:r>
        </w:p>
        <w:p w14:paraId="6F91A332">
          <w:pPr>
            <w:pStyle w:val="55"/>
            <w:tabs>
              <w:tab w:val="right" w:leader="dot" w:pos="8306"/>
            </w:tabs>
          </w:pPr>
          <w:r>
            <w:fldChar w:fldCharType="begin"/>
          </w:r>
          <w:r>
            <w:instrText xml:space="preserve"> HYPERLINK \l _Toc5808 </w:instrText>
          </w:r>
          <w:r>
            <w:fldChar w:fldCharType="separate"/>
          </w:r>
          <w:sdt>
            <w:sdtPr>
              <w:rPr>
                <w:rFonts w:ascii="Times New Roman" w:hAnsi="Times New Roman" w:eastAsia="宋体" w:cs="Times New Roman"/>
                <w:kern w:val="2"/>
                <w:sz w:val="21"/>
                <w:szCs w:val="24"/>
                <w:lang w:val="en-US" w:eastAsia="zh-CN" w:bidi="ar-SA"/>
              </w:rPr>
              <w:id w:val="337993557"/>
              <w:placeholder>
                <w:docPart w:val="{789762b7-9be1-4bd6-8380-eeec528df4f0}"/>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（二）部门财政拨款收支情况。</w:t>
              </w:r>
            </w:sdtContent>
          </w:sdt>
          <w:r>
            <w:tab/>
          </w:r>
          <w:r>
            <w:t>29</w:t>
          </w:r>
          <w:r>
            <w:fldChar w:fldCharType="end"/>
          </w:r>
        </w:p>
        <w:p w14:paraId="651A61D5">
          <w:pPr>
            <w:pStyle w:val="56"/>
            <w:tabs>
              <w:tab w:val="right" w:leader="dot" w:pos="8306"/>
            </w:tabs>
          </w:pPr>
          <w:r>
            <w:fldChar w:fldCharType="begin"/>
          </w:r>
          <w:r>
            <w:instrText xml:space="preserve"> HYPERLINK \l _Toc3961 </w:instrText>
          </w:r>
          <w:r>
            <w:fldChar w:fldCharType="separate"/>
          </w:r>
          <w:sdt>
            <w:sdtPr>
              <w:rPr>
                <w:rFonts w:ascii="Times New Roman" w:hAnsi="Times New Roman" w:eastAsia="宋体" w:cs="Times New Roman"/>
                <w:kern w:val="2"/>
                <w:sz w:val="21"/>
                <w:szCs w:val="24"/>
                <w:lang w:val="en-US" w:eastAsia="zh-CN" w:bidi="ar-SA"/>
              </w:rPr>
              <w:id w:val="54132337"/>
              <w:placeholder>
                <w:docPart w:val="{5acc77b2-b70f-4973-a431-cc35cb6c26ba}"/>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1.部门财政拨款收入情况。</w:t>
              </w:r>
            </w:sdtContent>
          </w:sdt>
          <w:r>
            <w:tab/>
          </w:r>
          <w:r>
            <w:t>29</w:t>
          </w:r>
          <w:r>
            <w:fldChar w:fldCharType="end"/>
          </w:r>
        </w:p>
        <w:p w14:paraId="61102585">
          <w:pPr>
            <w:pStyle w:val="56"/>
            <w:tabs>
              <w:tab w:val="right" w:leader="dot" w:pos="8306"/>
            </w:tabs>
          </w:pPr>
          <w:r>
            <w:fldChar w:fldCharType="begin"/>
          </w:r>
          <w:r>
            <w:instrText xml:space="preserve"> HYPERLINK \l _Toc23590 </w:instrText>
          </w:r>
          <w:r>
            <w:fldChar w:fldCharType="separate"/>
          </w:r>
          <w:sdt>
            <w:sdtPr>
              <w:rPr>
                <w:rFonts w:ascii="Times New Roman" w:hAnsi="Times New Roman" w:eastAsia="宋体" w:cs="Times New Roman"/>
                <w:kern w:val="2"/>
                <w:sz w:val="21"/>
                <w:szCs w:val="24"/>
                <w:lang w:val="en-US" w:eastAsia="zh-CN" w:bidi="ar-SA"/>
              </w:rPr>
              <w:id w:val="610665982"/>
              <w:placeholder>
                <w:docPart w:val="{f09a4acf-5b38-4fb5-9898-b650fa60e745}"/>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2.部门财政拨款支出情况。</w:t>
              </w:r>
            </w:sdtContent>
          </w:sdt>
          <w:r>
            <w:tab/>
          </w:r>
          <w:r>
            <w:t>29</w:t>
          </w:r>
          <w:r>
            <w:fldChar w:fldCharType="end"/>
          </w:r>
        </w:p>
        <w:p w14:paraId="41EC4A30">
          <w:pPr>
            <w:pStyle w:val="56"/>
            <w:tabs>
              <w:tab w:val="right" w:leader="dot" w:pos="8306"/>
            </w:tabs>
          </w:pPr>
          <w:r>
            <w:fldChar w:fldCharType="begin"/>
          </w:r>
          <w:r>
            <w:instrText xml:space="preserve"> HYPERLINK \l _Toc8883 </w:instrText>
          </w:r>
          <w:r>
            <w:fldChar w:fldCharType="separate"/>
          </w:r>
          <w:sdt>
            <w:sdtPr>
              <w:rPr>
                <w:rFonts w:ascii="Times New Roman" w:hAnsi="Times New Roman" w:eastAsia="宋体" w:cs="Times New Roman"/>
                <w:kern w:val="2"/>
                <w:sz w:val="21"/>
                <w:szCs w:val="24"/>
                <w:lang w:val="en-US" w:eastAsia="zh-CN" w:bidi="ar-SA"/>
              </w:rPr>
              <w:id w:val="334034838"/>
              <w:placeholder>
                <w:docPart w:val="{f9c84cc3-23dd-4183-b796-c56533fec45c}"/>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3.部门财政拨款结转结余情况。</w:t>
              </w:r>
            </w:sdtContent>
          </w:sdt>
          <w:r>
            <w:tab/>
          </w:r>
          <w:r>
            <w:t>29</w:t>
          </w:r>
          <w:r>
            <w:fldChar w:fldCharType="end"/>
          </w:r>
        </w:p>
        <w:p w14:paraId="470D9702">
          <w:pPr>
            <w:pStyle w:val="54"/>
            <w:tabs>
              <w:tab w:val="right" w:leader="dot" w:pos="8306"/>
            </w:tabs>
          </w:pPr>
          <w:r>
            <w:fldChar w:fldCharType="begin"/>
          </w:r>
          <w:r>
            <w:instrText xml:space="preserve"> HYPERLINK \l _Toc5180 </w:instrText>
          </w:r>
          <w:r>
            <w:fldChar w:fldCharType="separate"/>
          </w:r>
          <w:sdt>
            <w:sdtPr>
              <w:rPr>
                <w:rFonts w:ascii="Times New Roman" w:hAnsi="Times New Roman" w:eastAsia="宋体" w:cs="Times New Roman"/>
                <w:kern w:val="2"/>
                <w:sz w:val="21"/>
                <w:szCs w:val="24"/>
                <w:lang w:val="en-US" w:eastAsia="zh-CN" w:bidi="ar-SA"/>
              </w:rPr>
              <w:id w:val="867786999"/>
              <w:placeholder>
                <w:docPart w:val="{9429f369-cbd6-4666-8f74-e1410e416c50}"/>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宋体"/>
                </w:rPr>
                <w:t>三、部门整体绩效分析</w:t>
              </w:r>
            </w:sdtContent>
          </w:sdt>
          <w:r>
            <w:tab/>
          </w:r>
          <w:r>
            <w:t>29</w:t>
          </w:r>
          <w:r>
            <w:fldChar w:fldCharType="end"/>
          </w:r>
        </w:p>
        <w:p w14:paraId="0204691A">
          <w:pPr>
            <w:pStyle w:val="55"/>
            <w:tabs>
              <w:tab w:val="right" w:leader="dot" w:pos="8306"/>
            </w:tabs>
          </w:pPr>
          <w:r>
            <w:fldChar w:fldCharType="begin"/>
          </w:r>
          <w:r>
            <w:instrText xml:space="preserve"> HYPERLINK \l _Toc20296 </w:instrText>
          </w:r>
          <w:r>
            <w:fldChar w:fldCharType="separate"/>
          </w:r>
          <w:sdt>
            <w:sdtPr>
              <w:rPr>
                <w:rFonts w:ascii="Times New Roman" w:hAnsi="Times New Roman" w:eastAsia="宋体" w:cs="Times New Roman"/>
                <w:kern w:val="2"/>
                <w:sz w:val="21"/>
                <w:szCs w:val="24"/>
                <w:lang w:val="en-US" w:eastAsia="zh-CN" w:bidi="ar-SA"/>
              </w:rPr>
              <w:id w:val="156409514"/>
              <w:placeholder>
                <w:docPart w:val="{8115d775-ba44-40fb-b20c-0aeb8f41738b}"/>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（一）部门预算项目绩效分析。</w:t>
              </w:r>
            </w:sdtContent>
          </w:sdt>
          <w:r>
            <w:tab/>
          </w:r>
          <w:r>
            <w:t>29</w:t>
          </w:r>
          <w:r>
            <w:fldChar w:fldCharType="end"/>
          </w:r>
        </w:p>
        <w:p w14:paraId="306EEDC0">
          <w:pPr>
            <w:pStyle w:val="56"/>
            <w:tabs>
              <w:tab w:val="right" w:leader="dot" w:pos="8306"/>
            </w:tabs>
          </w:pPr>
          <w:r>
            <w:fldChar w:fldCharType="begin"/>
          </w:r>
          <w:r>
            <w:instrText xml:space="preserve"> HYPERLINK \l _Toc4514 </w:instrText>
          </w:r>
          <w:r>
            <w:fldChar w:fldCharType="separate"/>
          </w:r>
          <w:sdt>
            <w:sdtPr>
              <w:rPr>
                <w:rFonts w:ascii="Times New Roman" w:hAnsi="Times New Roman" w:eastAsia="宋体" w:cs="Times New Roman"/>
                <w:kern w:val="2"/>
                <w:sz w:val="21"/>
                <w:szCs w:val="24"/>
                <w:lang w:val="en-US" w:eastAsia="zh-CN" w:bidi="ar-SA"/>
              </w:rPr>
              <w:id w:val="762159615"/>
              <w:placeholder>
                <w:docPart w:val="{825a07d9-23c6-47e9-8f00-6cb8b286c34a}"/>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1.人员类项目绩效分析</w:t>
              </w:r>
            </w:sdtContent>
          </w:sdt>
          <w:r>
            <w:tab/>
          </w:r>
          <w:r>
            <w:t>29</w:t>
          </w:r>
          <w:r>
            <w:fldChar w:fldCharType="end"/>
          </w:r>
        </w:p>
        <w:p w14:paraId="2292DD10">
          <w:pPr>
            <w:pStyle w:val="56"/>
            <w:tabs>
              <w:tab w:val="right" w:leader="dot" w:pos="8306"/>
            </w:tabs>
          </w:pPr>
          <w:r>
            <w:fldChar w:fldCharType="begin"/>
          </w:r>
          <w:r>
            <w:instrText xml:space="preserve"> HYPERLINK \l _Toc18632 </w:instrText>
          </w:r>
          <w:r>
            <w:fldChar w:fldCharType="separate"/>
          </w:r>
          <w:sdt>
            <w:sdtPr>
              <w:rPr>
                <w:rFonts w:ascii="Times New Roman" w:hAnsi="Times New Roman" w:eastAsia="宋体" w:cs="Times New Roman"/>
                <w:kern w:val="2"/>
                <w:sz w:val="21"/>
                <w:szCs w:val="24"/>
                <w:lang w:val="en-US" w:eastAsia="zh-CN" w:bidi="ar-SA"/>
              </w:rPr>
              <w:id w:val="120469390"/>
              <w:placeholder>
                <w:docPart w:val="{2f005041-0d65-4176-9677-bb3f168094c3}"/>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2.运转类项目绩效分析</w:t>
              </w:r>
            </w:sdtContent>
          </w:sdt>
          <w:r>
            <w:tab/>
          </w:r>
          <w:r>
            <w:t>29</w:t>
          </w:r>
          <w:r>
            <w:fldChar w:fldCharType="end"/>
          </w:r>
        </w:p>
        <w:p w14:paraId="3A7B886C">
          <w:pPr>
            <w:pStyle w:val="56"/>
            <w:tabs>
              <w:tab w:val="right" w:leader="dot" w:pos="8306"/>
            </w:tabs>
          </w:pPr>
          <w:r>
            <w:fldChar w:fldCharType="begin"/>
          </w:r>
          <w:r>
            <w:instrText xml:space="preserve"> HYPERLINK \l _Toc24231 </w:instrText>
          </w:r>
          <w:r>
            <w:fldChar w:fldCharType="separate"/>
          </w:r>
          <w:sdt>
            <w:sdtPr>
              <w:rPr>
                <w:rFonts w:ascii="Times New Roman" w:hAnsi="Times New Roman" w:eastAsia="宋体" w:cs="Times New Roman"/>
                <w:kern w:val="2"/>
                <w:sz w:val="21"/>
                <w:szCs w:val="24"/>
                <w:lang w:val="en-US" w:eastAsia="zh-CN" w:bidi="ar-SA"/>
              </w:rPr>
              <w:id w:val="270194119"/>
              <w:placeholder>
                <w:docPart w:val="{bf7dd7a1-9b72-4ae9-b73a-f2ac5529a96b}"/>
              </w:placeholder>
            </w:sdtPr>
            <w:sdtEndPr>
              <w:rPr>
                <w:rFonts w:ascii="Times New Roman" w:hAnsi="Times New Roman" w:eastAsia="宋体" w:cs="Times New Roman"/>
                <w:kern w:val="2"/>
                <w:sz w:val="21"/>
                <w:szCs w:val="24"/>
                <w:lang w:val="en-US" w:eastAsia="zh-CN" w:bidi="ar-SA"/>
              </w:rPr>
            </w:sdtEndPr>
            <w:sdtContent>
              <w:r>
                <w:rPr>
                  <w:rFonts w:hint="eastAsia" w:ascii="仿宋_GB2312" w:hAnsi="仿宋_GB2312" w:eastAsia="仿宋_GB2312" w:cs="仿宋_GB2312"/>
                </w:rPr>
                <w:t>3.特定目标类项目绩效分析</w:t>
              </w:r>
            </w:sdtContent>
          </w:sdt>
          <w:r>
            <w:tab/>
          </w:r>
          <w:r>
            <w:t>30</w:t>
          </w:r>
          <w:r>
            <w:fldChar w:fldCharType="end"/>
          </w:r>
        </w:p>
        <w:p w14:paraId="087B68A7">
          <w:pPr>
            <w:pStyle w:val="55"/>
            <w:tabs>
              <w:tab w:val="right" w:leader="dot" w:pos="8306"/>
            </w:tabs>
          </w:pPr>
          <w:r>
            <w:fldChar w:fldCharType="begin"/>
          </w:r>
          <w:r>
            <w:instrText xml:space="preserve"> HYPERLINK \l _Toc2372 </w:instrText>
          </w:r>
          <w:r>
            <w:fldChar w:fldCharType="separate"/>
          </w:r>
          <w:sdt>
            <w:sdtPr>
              <w:rPr>
                <w:rFonts w:ascii="Times New Roman" w:hAnsi="Times New Roman" w:eastAsia="宋体" w:cs="Times New Roman"/>
                <w:kern w:val="2"/>
                <w:sz w:val="21"/>
                <w:szCs w:val="24"/>
                <w:lang w:val="en-US" w:eastAsia="zh-CN" w:bidi="ar-SA"/>
              </w:rPr>
              <w:id w:val="906963748"/>
              <w:placeholder>
                <w:docPart w:val="{da8f8d03-daf4-4d75-8df3-ad5a7a93648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（二）部门整体履职绩效分析。</w:t>
              </w:r>
            </w:sdtContent>
          </w:sdt>
          <w:r>
            <w:tab/>
          </w:r>
          <w:r>
            <w:t>30</w:t>
          </w:r>
          <w:r>
            <w:fldChar w:fldCharType="end"/>
          </w:r>
        </w:p>
        <w:p w14:paraId="61E98908">
          <w:pPr>
            <w:pStyle w:val="55"/>
            <w:tabs>
              <w:tab w:val="right" w:leader="dot" w:pos="8306"/>
            </w:tabs>
          </w:pPr>
          <w:r>
            <w:fldChar w:fldCharType="begin"/>
          </w:r>
          <w:r>
            <w:instrText xml:space="preserve"> HYPERLINK \l _Toc10797 </w:instrText>
          </w:r>
          <w:r>
            <w:fldChar w:fldCharType="separate"/>
          </w:r>
          <w:sdt>
            <w:sdtPr>
              <w:rPr>
                <w:rFonts w:ascii="Times New Roman" w:hAnsi="Times New Roman" w:eastAsia="宋体" w:cs="Times New Roman"/>
                <w:kern w:val="2"/>
                <w:sz w:val="21"/>
                <w:szCs w:val="24"/>
                <w:lang w:val="en-US" w:eastAsia="zh-CN" w:bidi="ar-SA"/>
              </w:rPr>
              <w:id w:val="180413248"/>
              <w:placeholder>
                <w:docPart w:val="{8953eabc-b221-486a-9645-1ab99bb35617}"/>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（三）结果应用情况。</w:t>
              </w:r>
            </w:sdtContent>
          </w:sdt>
          <w:r>
            <w:tab/>
          </w:r>
          <w:r>
            <w:t>30</w:t>
          </w:r>
          <w:r>
            <w:fldChar w:fldCharType="end"/>
          </w:r>
        </w:p>
        <w:p w14:paraId="47077110">
          <w:pPr>
            <w:pStyle w:val="55"/>
            <w:tabs>
              <w:tab w:val="right" w:leader="dot" w:pos="8306"/>
            </w:tabs>
          </w:pPr>
          <w:r>
            <w:fldChar w:fldCharType="begin"/>
          </w:r>
          <w:r>
            <w:instrText xml:space="preserve"> HYPERLINK \l _Toc29921 </w:instrText>
          </w:r>
          <w:r>
            <w:fldChar w:fldCharType="separate"/>
          </w:r>
          <w:sdt>
            <w:sdtPr>
              <w:rPr>
                <w:rFonts w:ascii="Times New Roman" w:hAnsi="Times New Roman" w:eastAsia="宋体" w:cs="Times New Roman"/>
                <w:kern w:val="2"/>
                <w:sz w:val="21"/>
                <w:szCs w:val="24"/>
                <w:lang w:val="en-US" w:eastAsia="zh-CN" w:bidi="ar-SA"/>
              </w:rPr>
              <w:id w:val="712099871"/>
              <w:placeholder>
                <w:docPart w:val="{d084d43a-3bb6-4342-9e71-0a3b5306c5ee}"/>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 自评质量。</w:t>
              </w:r>
            </w:sdtContent>
          </w:sdt>
          <w:r>
            <w:tab/>
          </w:r>
          <w:r>
            <w:t>30</w:t>
          </w:r>
          <w:r>
            <w:fldChar w:fldCharType="end"/>
          </w:r>
        </w:p>
        <w:p w14:paraId="0ABCD497">
          <w:pPr>
            <w:pStyle w:val="54"/>
            <w:tabs>
              <w:tab w:val="right" w:leader="dot" w:pos="8306"/>
            </w:tabs>
          </w:pPr>
          <w:r>
            <w:fldChar w:fldCharType="begin"/>
          </w:r>
          <w:r>
            <w:instrText xml:space="preserve"> HYPERLINK \l _Toc7527 </w:instrText>
          </w:r>
          <w:r>
            <w:fldChar w:fldCharType="separate"/>
          </w:r>
          <w:sdt>
            <w:sdtPr>
              <w:rPr>
                <w:rFonts w:ascii="Times New Roman" w:hAnsi="Times New Roman" w:eastAsia="宋体" w:cs="Times New Roman"/>
                <w:kern w:val="2"/>
                <w:sz w:val="21"/>
                <w:szCs w:val="24"/>
                <w:lang w:val="en-US" w:eastAsia="zh-CN" w:bidi="ar-SA"/>
              </w:rPr>
              <w:id w:val="518360602"/>
              <w:placeholder>
                <w:docPart w:val="{b28a59ae-fd42-4c59-aaeb-da885d8c0924}"/>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宋体"/>
                </w:rPr>
                <w:t>四、评价结论及建议</w:t>
              </w:r>
            </w:sdtContent>
          </w:sdt>
          <w:r>
            <w:tab/>
          </w:r>
          <w:r>
            <w:t>30</w:t>
          </w:r>
          <w:r>
            <w:fldChar w:fldCharType="end"/>
          </w:r>
        </w:p>
        <w:p w14:paraId="4A0CC70F">
          <w:pPr>
            <w:pStyle w:val="55"/>
            <w:tabs>
              <w:tab w:val="right" w:leader="dot" w:pos="8306"/>
            </w:tabs>
          </w:pPr>
          <w:r>
            <w:fldChar w:fldCharType="begin"/>
          </w:r>
          <w:r>
            <w:instrText xml:space="preserve"> HYPERLINK \l _Toc5920 </w:instrText>
          </w:r>
          <w:r>
            <w:fldChar w:fldCharType="separate"/>
          </w:r>
          <w:sdt>
            <w:sdtPr>
              <w:rPr>
                <w:rFonts w:ascii="Times New Roman" w:hAnsi="Times New Roman" w:eastAsia="宋体" w:cs="Times New Roman"/>
                <w:kern w:val="2"/>
                <w:sz w:val="21"/>
                <w:szCs w:val="24"/>
                <w:lang w:val="en-US" w:eastAsia="zh-CN" w:bidi="ar-SA"/>
              </w:rPr>
              <w:id w:val="866207905"/>
              <w:placeholder>
                <w:docPart w:val="{c221a77d-0853-4dfa-9991-8a366a680d92}"/>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（一）评价结论。</w:t>
              </w:r>
            </w:sdtContent>
          </w:sdt>
          <w:r>
            <w:tab/>
          </w:r>
          <w:r>
            <w:t>30</w:t>
          </w:r>
          <w:r>
            <w:fldChar w:fldCharType="end"/>
          </w:r>
        </w:p>
        <w:p w14:paraId="051F04F3">
          <w:pPr>
            <w:pStyle w:val="55"/>
            <w:tabs>
              <w:tab w:val="right" w:leader="dot" w:pos="8306"/>
            </w:tabs>
          </w:pPr>
          <w:r>
            <w:fldChar w:fldCharType="begin"/>
          </w:r>
          <w:r>
            <w:instrText xml:space="preserve"> HYPERLINK \l _Toc26756 </w:instrText>
          </w:r>
          <w:r>
            <w:fldChar w:fldCharType="separate"/>
          </w:r>
          <w:sdt>
            <w:sdtPr>
              <w:rPr>
                <w:rFonts w:ascii="Times New Roman" w:hAnsi="Times New Roman" w:eastAsia="宋体" w:cs="Times New Roman"/>
                <w:kern w:val="2"/>
                <w:sz w:val="21"/>
                <w:szCs w:val="24"/>
                <w:lang w:val="en-US" w:eastAsia="zh-CN" w:bidi="ar-SA"/>
              </w:rPr>
              <w:id w:val="29717045"/>
              <w:placeholder>
                <w:docPart w:val="{dfc7f6f5-d2fd-45e4-8d06-0f4fa41802f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 存在问题。</w:t>
              </w:r>
            </w:sdtContent>
          </w:sdt>
          <w:r>
            <w:tab/>
          </w:r>
          <w:r>
            <w:t>31</w:t>
          </w:r>
          <w:r>
            <w:fldChar w:fldCharType="end"/>
          </w:r>
        </w:p>
        <w:p w14:paraId="29A73913">
          <w:pPr>
            <w:pStyle w:val="55"/>
            <w:tabs>
              <w:tab w:val="right" w:leader="dot" w:pos="8306"/>
            </w:tabs>
          </w:pPr>
          <w:r>
            <w:fldChar w:fldCharType="begin"/>
          </w:r>
          <w:r>
            <w:instrText xml:space="preserve"> HYPERLINK \l _Toc12126 </w:instrText>
          </w:r>
          <w:r>
            <w:fldChar w:fldCharType="separate"/>
          </w:r>
          <w:sdt>
            <w:sdtPr>
              <w:rPr>
                <w:rFonts w:ascii="Times New Roman" w:hAnsi="Times New Roman" w:eastAsia="宋体" w:cs="Times New Roman"/>
                <w:kern w:val="2"/>
                <w:sz w:val="21"/>
                <w:szCs w:val="24"/>
                <w:lang w:val="en-US" w:eastAsia="zh-CN" w:bidi="ar-SA"/>
              </w:rPr>
              <w:id w:val="675472232"/>
              <w:placeholder>
                <w:docPart w:val="{fa0e19f3-83f9-4623-97b5-45c3787f2757}"/>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（三）改进建议。</w:t>
              </w:r>
            </w:sdtContent>
          </w:sdt>
          <w:r>
            <w:tab/>
          </w:r>
          <w:r>
            <w:t>31</w:t>
          </w:r>
          <w:r>
            <w:fldChar w:fldCharType="end"/>
          </w:r>
        </w:p>
        <w:p w14:paraId="680FD4E7">
          <w:pPr>
            <w:pStyle w:val="54"/>
            <w:tabs>
              <w:tab w:val="right" w:leader="dot" w:pos="8306"/>
            </w:tabs>
          </w:pPr>
          <w:r>
            <w:fldChar w:fldCharType="begin"/>
          </w:r>
          <w:r>
            <w:instrText xml:space="preserve"> HYPERLINK \l _Toc1454 </w:instrText>
          </w:r>
          <w:r>
            <w:fldChar w:fldCharType="separate"/>
          </w:r>
          <w:sdt>
            <w:sdtPr>
              <w:rPr>
                <w:rFonts w:ascii="Times New Roman" w:hAnsi="Times New Roman" w:eastAsia="宋体" w:cs="Times New Roman"/>
                <w:kern w:val="2"/>
                <w:sz w:val="21"/>
                <w:szCs w:val="24"/>
                <w:lang w:val="en-US" w:eastAsia="zh-CN" w:bidi="ar-SA"/>
              </w:rPr>
              <w:id w:val="520861897"/>
              <w:placeholder>
                <w:docPart w:val="{243170ff-4e3f-47d0-8633-8e9a5b9544a8}"/>
              </w:placeholder>
            </w:sdtPr>
            <w:sdtEndPr>
              <w:rPr>
                <w:rFonts w:ascii="Times New Roman" w:hAnsi="Times New Roman" w:eastAsia="宋体" w:cs="Times New Roman"/>
                <w:kern w:val="2"/>
                <w:sz w:val="21"/>
                <w:szCs w:val="24"/>
                <w:lang w:val="en-US" w:eastAsia="zh-CN" w:bidi="ar-SA"/>
              </w:rPr>
            </w:sdtEndPr>
            <w:sdtContent>
              <w:r>
                <w:rPr>
                  <w:rFonts w:hint="eastAsia" w:ascii="方正小标宋简体" w:hAnsi="方正小标宋简体" w:eastAsia="方正小标宋简体" w:cs="方正小标宋简体"/>
                </w:rPr>
                <w:t>2023年西区司法局政法转移支付（办案、装备）专项资金</w:t>
              </w:r>
            </w:sdtContent>
          </w:sdt>
          <w:r>
            <w:tab/>
          </w:r>
          <w:r>
            <w:t>32</w:t>
          </w:r>
          <w:r>
            <w:fldChar w:fldCharType="end"/>
          </w:r>
        </w:p>
        <w:p w14:paraId="772E5082">
          <w:pPr>
            <w:pStyle w:val="54"/>
            <w:tabs>
              <w:tab w:val="right" w:leader="dot" w:pos="8306"/>
            </w:tabs>
          </w:pPr>
          <w:r>
            <w:fldChar w:fldCharType="begin"/>
          </w:r>
          <w:r>
            <w:instrText xml:space="preserve"> HYPERLINK \l _Toc11861 </w:instrText>
          </w:r>
          <w:r>
            <w:fldChar w:fldCharType="separate"/>
          </w:r>
          <w:sdt>
            <w:sdtPr>
              <w:rPr>
                <w:rFonts w:ascii="Times New Roman" w:hAnsi="Times New Roman" w:eastAsia="宋体" w:cs="Times New Roman"/>
                <w:kern w:val="2"/>
                <w:sz w:val="21"/>
                <w:szCs w:val="24"/>
                <w:lang w:val="en-US" w:eastAsia="zh-CN" w:bidi="ar-SA"/>
              </w:rPr>
              <w:id w:val="905332449"/>
              <w:placeholder>
                <w:docPart w:val="{2ddf02ca-ea60-46ea-a2a3-8d424dbddd87}"/>
              </w:placeholder>
            </w:sdtPr>
            <w:sdtEndPr>
              <w:rPr>
                <w:rFonts w:ascii="Times New Roman" w:hAnsi="Times New Roman" w:eastAsia="宋体" w:cs="Times New Roman"/>
                <w:kern w:val="2"/>
                <w:sz w:val="21"/>
                <w:szCs w:val="24"/>
                <w:lang w:val="en-US" w:eastAsia="zh-CN" w:bidi="ar-SA"/>
              </w:rPr>
            </w:sdtEndPr>
            <w:sdtContent>
              <w:r>
                <w:rPr>
                  <w:rFonts w:hint="eastAsia" w:ascii="方正小标宋简体" w:hAnsi="方正小标宋简体" w:eastAsia="方正小标宋简体" w:cs="方正小标宋简体"/>
                </w:rPr>
                <w:t>预算项目绩效自评报告</w:t>
              </w:r>
            </w:sdtContent>
          </w:sdt>
          <w:r>
            <w:tab/>
          </w:r>
          <w:r>
            <w:t>32</w:t>
          </w:r>
          <w:r>
            <w:fldChar w:fldCharType="end"/>
          </w:r>
        </w:p>
        <w:p w14:paraId="386539A2">
          <w:pPr>
            <w:pStyle w:val="55"/>
            <w:tabs>
              <w:tab w:val="right" w:leader="dot" w:pos="8306"/>
            </w:tabs>
          </w:pPr>
          <w:r>
            <w:fldChar w:fldCharType="begin"/>
          </w:r>
          <w:r>
            <w:instrText xml:space="preserve"> HYPERLINK \l _Toc27912 </w:instrText>
          </w:r>
          <w:r>
            <w:fldChar w:fldCharType="separate"/>
          </w:r>
          <w:sdt>
            <w:sdtPr>
              <w:rPr>
                <w:rFonts w:ascii="Times New Roman" w:hAnsi="Times New Roman" w:eastAsia="宋体" w:cs="Times New Roman"/>
                <w:kern w:val="2"/>
                <w:sz w:val="21"/>
                <w:szCs w:val="24"/>
                <w:lang w:val="en-US" w:eastAsia="zh-CN" w:bidi="ar-SA"/>
              </w:rPr>
              <w:id w:val="79851683"/>
              <w:placeholder>
                <w:docPart w:val="{1a84b966-06da-4b16-a029-92dcda554995}"/>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Times New Roman"/>
                </w:rPr>
                <w:t>一、项目概况</w:t>
              </w:r>
            </w:sdtContent>
          </w:sdt>
          <w:r>
            <w:tab/>
          </w:r>
          <w:r>
            <w:t>32</w:t>
          </w:r>
          <w:r>
            <w:fldChar w:fldCharType="end"/>
          </w:r>
        </w:p>
        <w:p w14:paraId="79800CFB">
          <w:pPr>
            <w:pStyle w:val="56"/>
            <w:tabs>
              <w:tab w:val="right" w:leader="dot" w:pos="8306"/>
            </w:tabs>
          </w:pPr>
          <w:r>
            <w:fldChar w:fldCharType="begin"/>
          </w:r>
          <w:r>
            <w:instrText xml:space="preserve"> HYPERLINK \l _Toc5288 </w:instrText>
          </w:r>
          <w:r>
            <w:fldChar w:fldCharType="separate"/>
          </w:r>
          <w:sdt>
            <w:sdtPr>
              <w:rPr>
                <w:rFonts w:ascii="Times New Roman" w:hAnsi="Times New Roman" w:eastAsia="宋体" w:cs="Times New Roman"/>
                <w:kern w:val="2"/>
                <w:sz w:val="21"/>
                <w:szCs w:val="24"/>
                <w:lang w:val="en-US" w:eastAsia="zh-CN" w:bidi="ar-SA"/>
              </w:rPr>
              <w:id w:val="179716425"/>
              <w:placeholder>
                <w:docPart w:val="{de50b283-dfed-4b44-943e-8fbff5699ccd}"/>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（一）项目基本情况。</w:t>
              </w:r>
            </w:sdtContent>
          </w:sdt>
          <w:r>
            <w:tab/>
          </w:r>
          <w:r>
            <w:t>32</w:t>
          </w:r>
          <w:r>
            <w:fldChar w:fldCharType="end"/>
          </w:r>
        </w:p>
        <w:p w14:paraId="5EF4201B">
          <w:pPr>
            <w:pStyle w:val="56"/>
            <w:tabs>
              <w:tab w:val="right" w:leader="dot" w:pos="8306"/>
            </w:tabs>
          </w:pPr>
          <w:r>
            <w:fldChar w:fldCharType="begin"/>
          </w:r>
          <w:r>
            <w:instrText xml:space="preserve"> HYPERLINK \l _Toc2447 </w:instrText>
          </w:r>
          <w:r>
            <w:fldChar w:fldCharType="separate"/>
          </w:r>
          <w:sdt>
            <w:sdtPr>
              <w:rPr>
                <w:rFonts w:ascii="Times New Roman" w:hAnsi="Times New Roman" w:eastAsia="宋体" w:cs="Times New Roman"/>
                <w:kern w:val="2"/>
                <w:sz w:val="21"/>
                <w:szCs w:val="24"/>
                <w:lang w:val="en-US" w:eastAsia="zh-CN" w:bidi="ar-SA"/>
              </w:rPr>
              <w:id w:val="268509372"/>
              <w:placeholder>
                <w:docPart w:val="{47589704-c65a-4db6-a888-362a3120478f}"/>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（二）项目绩效目标。</w:t>
              </w:r>
            </w:sdtContent>
          </w:sdt>
          <w:r>
            <w:tab/>
          </w:r>
          <w:r>
            <w:t>32</w:t>
          </w:r>
          <w:r>
            <w:fldChar w:fldCharType="end"/>
          </w:r>
        </w:p>
        <w:p w14:paraId="692A4173">
          <w:pPr>
            <w:pStyle w:val="56"/>
            <w:tabs>
              <w:tab w:val="right" w:leader="dot" w:pos="8306"/>
            </w:tabs>
          </w:pPr>
          <w:r>
            <w:fldChar w:fldCharType="begin"/>
          </w:r>
          <w:r>
            <w:instrText xml:space="preserve"> HYPERLINK \l _Toc25274 </w:instrText>
          </w:r>
          <w:r>
            <w:fldChar w:fldCharType="separate"/>
          </w:r>
          <w:sdt>
            <w:sdtPr>
              <w:rPr>
                <w:rFonts w:ascii="Times New Roman" w:hAnsi="Times New Roman" w:eastAsia="宋体" w:cs="Times New Roman"/>
                <w:kern w:val="2"/>
                <w:sz w:val="21"/>
                <w:szCs w:val="24"/>
                <w:lang w:val="en-US" w:eastAsia="zh-CN" w:bidi="ar-SA"/>
              </w:rPr>
              <w:id w:val="913852891"/>
              <w:placeholder>
                <w:docPart w:val="{5736264b-9276-4bde-9836-f1e20da2ab49}"/>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（三）项目自评步骤及方法。</w:t>
              </w:r>
            </w:sdtContent>
          </w:sdt>
          <w:r>
            <w:tab/>
          </w:r>
          <w:r>
            <w:t>32</w:t>
          </w:r>
          <w:r>
            <w:fldChar w:fldCharType="end"/>
          </w:r>
        </w:p>
        <w:p w14:paraId="6A2AD993">
          <w:pPr>
            <w:pStyle w:val="55"/>
            <w:tabs>
              <w:tab w:val="right" w:leader="dot" w:pos="8306"/>
            </w:tabs>
          </w:pPr>
          <w:r>
            <w:fldChar w:fldCharType="begin"/>
          </w:r>
          <w:r>
            <w:instrText xml:space="preserve"> HYPERLINK \l _Toc32263 </w:instrText>
          </w:r>
          <w:r>
            <w:fldChar w:fldCharType="separate"/>
          </w:r>
          <w:sdt>
            <w:sdtPr>
              <w:rPr>
                <w:rFonts w:ascii="Times New Roman" w:hAnsi="Times New Roman" w:eastAsia="宋体" w:cs="Times New Roman"/>
                <w:kern w:val="2"/>
                <w:sz w:val="21"/>
                <w:szCs w:val="24"/>
                <w:lang w:val="en-US" w:eastAsia="zh-CN" w:bidi="ar-SA"/>
              </w:rPr>
              <w:id w:val="465361514"/>
              <w:placeholder>
                <w:docPart w:val="{f5516e8a-25ec-44bd-9505-cb10a3c68301}"/>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Times New Roman"/>
                </w:rPr>
                <w:t>二、项目资金申报及使用情况</w:t>
              </w:r>
            </w:sdtContent>
          </w:sdt>
          <w:r>
            <w:tab/>
          </w:r>
          <w:r>
            <w:t>33</w:t>
          </w:r>
          <w:r>
            <w:fldChar w:fldCharType="end"/>
          </w:r>
        </w:p>
        <w:p w14:paraId="05CC1EDB">
          <w:pPr>
            <w:pStyle w:val="56"/>
            <w:tabs>
              <w:tab w:val="right" w:leader="dot" w:pos="8306"/>
            </w:tabs>
          </w:pPr>
          <w:r>
            <w:fldChar w:fldCharType="begin"/>
          </w:r>
          <w:r>
            <w:instrText xml:space="preserve"> HYPERLINK \l _Toc3174 </w:instrText>
          </w:r>
          <w:r>
            <w:fldChar w:fldCharType="separate"/>
          </w:r>
          <w:sdt>
            <w:sdtPr>
              <w:rPr>
                <w:rFonts w:ascii="Times New Roman" w:hAnsi="Times New Roman" w:eastAsia="宋体" w:cs="Times New Roman"/>
                <w:kern w:val="2"/>
                <w:sz w:val="21"/>
                <w:szCs w:val="24"/>
                <w:lang w:val="en-US" w:eastAsia="zh-CN" w:bidi="ar-SA"/>
              </w:rPr>
              <w:id w:val="539815855"/>
              <w:placeholder>
                <w:docPart w:val="{0b06e14f-48c5-4f91-9266-f3a2fa81d5a4}"/>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（一）项目资金申报及批复情况。</w:t>
              </w:r>
            </w:sdtContent>
          </w:sdt>
          <w:r>
            <w:tab/>
          </w:r>
          <w:r>
            <w:t>33</w:t>
          </w:r>
          <w:r>
            <w:fldChar w:fldCharType="end"/>
          </w:r>
        </w:p>
        <w:p w14:paraId="4601D8B2">
          <w:pPr>
            <w:pStyle w:val="56"/>
            <w:tabs>
              <w:tab w:val="right" w:leader="dot" w:pos="8306"/>
            </w:tabs>
          </w:pPr>
          <w:r>
            <w:fldChar w:fldCharType="begin"/>
          </w:r>
          <w:r>
            <w:instrText xml:space="preserve"> HYPERLINK \l _Toc610 </w:instrText>
          </w:r>
          <w:r>
            <w:fldChar w:fldCharType="separate"/>
          </w:r>
          <w:sdt>
            <w:sdtPr>
              <w:rPr>
                <w:rFonts w:ascii="Times New Roman" w:hAnsi="Times New Roman" w:eastAsia="宋体" w:cs="Times New Roman"/>
                <w:kern w:val="2"/>
                <w:sz w:val="21"/>
                <w:szCs w:val="24"/>
                <w:lang w:val="en-US" w:eastAsia="zh-CN" w:bidi="ar-SA"/>
              </w:rPr>
              <w:id w:val="119901326"/>
              <w:placeholder>
                <w:docPart w:val="{d0e2e213-2a2d-4433-9be6-d702bb8eae8d}"/>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（二）资金计划、到位及使用情况（可用表格形式反映）。</w:t>
              </w:r>
            </w:sdtContent>
          </w:sdt>
          <w:r>
            <w:tab/>
          </w:r>
          <w:r>
            <w:t>33</w:t>
          </w:r>
          <w:r>
            <w:fldChar w:fldCharType="end"/>
          </w:r>
        </w:p>
        <w:p w14:paraId="26975200">
          <w:pPr>
            <w:pStyle w:val="56"/>
            <w:tabs>
              <w:tab w:val="right" w:leader="dot" w:pos="8306"/>
            </w:tabs>
          </w:pPr>
          <w:r>
            <w:fldChar w:fldCharType="begin"/>
          </w:r>
          <w:r>
            <w:instrText xml:space="preserve"> HYPERLINK \l _Toc14164 </w:instrText>
          </w:r>
          <w:r>
            <w:fldChar w:fldCharType="separate"/>
          </w:r>
          <w:sdt>
            <w:sdtPr>
              <w:rPr>
                <w:rFonts w:ascii="Times New Roman" w:hAnsi="Times New Roman" w:eastAsia="宋体" w:cs="Times New Roman"/>
                <w:kern w:val="2"/>
                <w:sz w:val="21"/>
                <w:szCs w:val="24"/>
                <w:lang w:val="en-US" w:eastAsia="zh-CN" w:bidi="ar-SA"/>
              </w:rPr>
              <w:id w:val="93002146"/>
              <w:placeholder>
                <w:docPart w:val="{897071fe-cd00-4032-abff-d82027e29a55}"/>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（三）项目财务管理情况。</w:t>
              </w:r>
            </w:sdtContent>
          </w:sdt>
          <w:r>
            <w:tab/>
          </w:r>
          <w:r>
            <w:t>34</w:t>
          </w:r>
          <w:r>
            <w:fldChar w:fldCharType="end"/>
          </w:r>
        </w:p>
        <w:p w14:paraId="1B3D8D6E">
          <w:pPr>
            <w:pStyle w:val="55"/>
            <w:tabs>
              <w:tab w:val="right" w:leader="dot" w:pos="8306"/>
            </w:tabs>
          </w:pPr>
          <w:r>
            <w:fldChar w:fldCharType="begin"/>
          </w:r>
          <w:r>
            <w:instrText xml:space="preserve"> HYPERLINK \l _Toc9533 </w:instrText>
          </w:r>
          <w:r>
            <w:fldChar w:fldCharType="separate"/>
          </w:r>
          <w:sdt>
            <w:sdtPr>
              <w:rPr>
                <w:rFonts w:ascii="Times New Roman" w:hAnsi="Times New Roman" w:eastAsia="宋体" w:cs="Times New Roman"/>
                <w:kern w:val="2"/>
                <w:sz w:val="21"/>
                <w:szCs w:val="24"/>
                <w:lang w:val="en-US" w:eastAsia="zh-CN" w:bidi="ar-SA"/>
              </w:rPr>
              <w:id w:val="325757221"/>
              <w:placeholder>
                <w:docPart w:val="{63b398a8-a590-459a-b27e-1669de9f0edd}"/>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Times New Roman"/>
                </w:rPr>
                <w:t>三、项目实施及管理情况</w:t>
              </w:r>
            </w:sdtContent>
          </w:sdt>
          <w:r>
            <w:tab/>
          </w:r>
          <w:r>
            <w:t>34</w:t>
          </w:r>
          <w:r>
            <w:fldChar w:fldCharType="end"/>
          </w:r>
        </w:p>
        <w:p w14:paraId="2FB713CD">
          <w:pPr>
            <w:pStyle w:val="56"/>
            <w:tabs>
              <w:tab w:val="right" w:leader="dot" w:pos="8306"/>
            </w:tabs>
          </w:pPr>
          <w:r>
            <w:fldChar w:fldCharType="begin"/>
          </w:r>
          <w:r>
            <w:instrText xml:space="preserve"> HYPERLINK \l _Toc244 </w:instrText>
          </w:r>
          <w:r>
            <w:fldChar w:fldCharType="separate"/>
          </w:r>
          <w:sdt>
            <w:sdtPr>
              <w:rPr>
                <w:rFonts w:ascii="Times New Roman" w:hAnsi="Times New Roman" w:eastAsia="宋体" w:cs="Times New Roman"/>
                <w:kern w:val="2"/>
                <w:sz w:val="21"/>
                <w:szCs w:val="24"/>
                <w:lang w:val="en-US" w:eastAsia="zh-CN" w:bidi="ar-SA"/>
              </w:rPr>
              <w:id w:val="67509836"/>
              <w:placeholder>
                <w:docPart w:val="{230229d2-dd98-471d-a199-0142dc0256c3}"/>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（一）项目组织架构及实施流程。</w:t>
              </w:r>
            </w:sdtContent>
          </w:sdt>
          <w:r>
            <w:tab/>
          </w:r>
          <w:r>
            <w:t>34</w:t>
          </w:r>
          <w:r>
            <w:fldChar w:fldCharType="end"/>
          </w:r>
        </w:p>
        <w:p w14:paraId="4ADD5549">
          <w:pPr>
            <w:pStyle w:val="56"/>
            <w:tabs>
              <w:tab w:val="right" w:leader="dot" w:pos="8306"/>
            </w:tabs>
          </w:pPr>
          <w:r>
            <w:fldChar w:fldCharType="begin"/>
          </w:r>
          <w:r>
            <w:instrText xml:space="preserve"> HYPERLINK \l _Toc23145 </w:instrText>
          </w:r>
          <w:r>
            <w:fldChar w:fldCharType="separate"/>
          </w:r>
          <w:sdt>
            <w:sdtPr>
              <w:rPr>
                <w:rFonts w:ascii="Times New Roman" w:hAnsi="Times New Roman" w:eastAsia="宋体" w:cs="Times New Roman"/>
                <w:kern w:val="2"/>
                <w:sz w:val="21"/>
                <w:szCs w:val="24"/>
                <w:lang w:val="en-US" w:eastAsia="zh-CN" w:bidi="ar-SA"/>
              </w:rPr>
              <w:id w:val="155892775"/>
              <w:placeholder>
                <w:docPart w:val="{83f9d6da-806c-44bf-be72-f058743e5602}"/>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（二）项目管理情况。</w:t>
              </w:r>
            </w:sdtContent>
          </w:sdt>
          <w:r>
            <w:tab/>
          </w:r>
          <w:r>
            <w:t>34</w:t>
          </w:r>
          <w:r>
            <w:fldChar w:fldCharType="end"/>
          </w:r>
        </w:p>
        <w:p w14:paraId="270129B4">
          <w:pPr>
            <w:pStyle w:val="56"/>
            <w:tabs>
              <w:tab w:val="right" w:leader="dot" w:pos="8306"/>
            </w:tabs>
          </w:pPr>
          <w:r>
            <w:fldChar w:fldCharType="begin"/>
          </w:r>
          <w:r>
            <w:instrText xml:space="preserve"> HYPERLINK \l _Toc12655 </w:instrText>
          </w:r>
          <w:r>
            <w:fldChar w:fldCharType="separate"/>
          </w:r>
          <w:sdt>
            <w:sdtPr>
              <w:rPr>
                <w:rFonts w:ascii="Times New Roman" w:hAnsi="Times New Roman" w:eastAsia="宋体" w:cs="Times New Roman"/>
                <w:kern w:val="2"/>
                <w:sz w:val="21"/>
                <w:szCs w:val="24"/>
                <w:lang w:val="en-US" w:eastAsia="zh-CN" w:bidi="ar-SA"/>
              </w:rPr>
              <w:id w:val="616285071"/>
              <w:placeholder>
                <w:docPart w:val="{fd5fa829-ad50-4b86-98dc-b988d423efcc}"/>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（三） 项目监管情况。</w:t>
              </w:r>
            </w:sdtContent>
          </w:sdt>
          <w:r>
            <w:tab/>
          </w:r>
          <w:r>
            <w:t>34</w:t>
          </w:r>
          <w:r>
            <w:fldChar w:fldCharType="end"/>
          </w:r>
        </w:p>
        <w:p w14:paraId="207A6D4C">
          <w:pPr>
            <w:pStyle w:val="55"/>
            <w:tabs>
              <w:tab w:val="right" w:leader="dot" w:pos="8306"/>
            </w:tabs>
          </w:pPr>
          <w:r>
            <w:fldChar w:fldCharType="begin"/>
          </w:r>
          <w:r>
            <w:instrText xml:space="preserve"> HYPERLINK \l _Toc18075 </w:instrText>
          </w:r>
          <w:r>
            <w:fldChar w:fldCharType="separate"/>
          </w:r>
          <w:sdt>
            <w:sdtPr>
              <w:rPr>
                <w:rFonts w:ascii="Times New Roman" w:hAnsi="Times New Roman" w:eastAsia="宋体" w:cs="Times New Roman"/>
                <w:kern w:val="2"/>
                <w:sz w:val="21"/>
                <w:szCs w:val="24"/>
                <w:lang w:val="en-US" w:eastAsia="zh-CN" w:bidi="ar-SA"/>
              </w:rPr>
              <w:id w:val="859723556"/>
              <w:placeholder>
                <w:docPart w:val="{97ef3c47-8367-416b-ac22-aa7b611ddb74}"/>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Times New Roman"/>
                </w:rPr>
                <w:t>四、项目绩效情况</w:t>
              </w:r>
            </w:sdtContent>
          </w:sdt>
          <w:r>
            <w:tab/>
          </w:r>
          <w:r>
            <w:t>34</w:t>
          </w:r>
          <w:r>
            <w:fldChar w:fldCharType="end"/>
          </w:r>
        </w:p>
        <w:p w14:paraId="36D1A6BC">
          <w:pPr>
            <w:pStyle w:val="56"/>
            <w:tabs>
              <w:tab w:val="right" w:leader="dot" w:pos="8306"/>
            </w:tabs>
          </w:pPr>
          <w:r>
            <w:fldChar w:fldCharType="begin"/>
          </w:r>
          <w:r>
            <w:instrText xml:space="preserve"> HYPERLINK \l _Toc11024 </w:instrText>
          </w:r>
          <w:r>
            <w:fldChar w:fldCharType="separate"/>
          </w:r>
          <w:sdt>
            <w:sdtPr>
              <w:rPr>
                <w:rFonts w:ascii="Times New Roman" w:hAnsi="Times New Roman" w:eastAsia="宋体" w:cs="Times New Roman"/>
                <w:kern w:val="2"/>
                <w:sz w:val="21"/>
                <w:szCs w:val="24"/>
                <w:lang w:val="en-US" w:eastAsia="zh-CN" w:bidi="ar-SA"/>
              </w:rPr>
              <w:id w:val="346402685"/>
              <w:placeholder>
                <w:docPart w:val="{08a3d61b-90e7-4158-ad6e-110bd85cd0dd}"/>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（一）项目完成情况。</w:t>
              </w:r>
            </w:sdtContent>
          </w:sdt>
          <w:r>
            <w:tab/>
          </w:r>
          <w:r>
            <w:t>34</w:t>
          </w:r>
          <w:r>
            <w:fldChar w:fldCharType="end"/>
          </w:r>
        </w:p>
        <w:p w14:paraId="6F61C10D">
          <w:pPr>
            <w:pStyle w:val="56"/>
            <w:tabs>
              <w:tab w:val="right" w:leader="dot" w:pos="8306"/>
            </w:tabs>
          </w:pPr>
          <w:r>
            <w:fldChar w:fldCharType="begin"/>
          </w:r>
          <w:r>
            <w:instrText xml:space="preserve"> HYPERLINK \l _Toc31156 </w:instrText>
          </w:r>
          <w:r>
            <w:fldChar w:fldCharType="separate"/>
          </w:r>
          <w:sdt>
            <w:sdtPr>
              <w:rPr>
                <w:rFonts w:ascii="Times New Roman" w:hAnsi="Times New Roman" w:eastAsia="宋体" w:cs="Times New Roman"/>
                <w:kern w:val="2"/>
                <w:sz w:val="21"/>
                <w:szCs w:val="24"/>
                <w:lang w:val="en-US" w:eastAsia="zh-CN" w:bidi="ar-SA"/>
              </w:rPr>
              <w:id w:val="522933760"/>
              <w:placeholder>
                <w:docPart w:val="{c6897e9c-f3ca-4754-8aba-74b0e946be70}"/>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（二）项目效益情况。</w:t>
              </w:r>
            </w:sdtContent>
          </w:sdt>
          <w:r>
            <w:tab/>
          </w:r>
          <w:r>
            <w:t>35</w:t>
          </w:r>
          <w:r>
            <w:fldChar w:fldCharType="end"/>
          </w:r>
        </w:p>
        <w:p w14:paraId="1FBF8FA2">
          <w:pPr>
            <w:pStyle w:val="55"/>
            <w:tabs>
              <w:tab w:val="right" w:leader="dot" w:pos="8306"/>
            </w:tabs>
          </w:pPr>
          <w:r>
            <w:fldChar w:fldCharType="begin"/>
          </w:r>
          <w:r>
            <w:instrText xml:space="preserve"> HYPERLINK \l _Toc8685 </w:instrText>
          </w:r>
          <w:r>
            <w:fldChar w:fldCharType="separate"/>
          </w:r>
          <w:sdt>
            <w:sdtPr>
              <w:rPr>
                <w:rFonts w:ascii="Times New Roman" w:hAnsi="Times New Roman" w:eastAsia="宋体" w:cs="Times New Roman"/>
                <w:kern w:val="2"/>
                <w:sz w:val="21"/>
                <w:szCs w:val="24"/>
                <w:lang w:val="en-US" w:eastAsia="zh-CN" w:bidi="ar-SA"/>
              </w:rPr>
              <w:id w:val="322905891"/>
              <w:placeholder>
                <w:docPart w:val="{6c0b2eba-572a-4275-b099-f5012072f8e1}"/>
              </w:placeholder>
            </w:sdtPr>
            <w:sdtEndPr>
              <w:rPr>
                <w:rFonts w:ascii="Times New Roman" w:hAnsi="Times New Roman" w:eastAsia="宋体" w:cs="Times New Roman"/>
                <w:kern w:val="2"/>
                <w:sz w:val="21"/>
                <w:szCs w:val="24"/>
                <w:lang w:val="en-US" w:eastAsia="zh-CN" w:bidi="ar-SA"/>
              </w:rPr>
            </w:sdtEndPr>
            <w:sdtContent>
              <w:r>
                <w:rPr>
                  <w:rFonts w:hint="eastAsia" w:ascii="黑体" w:hAnsi="宋体" w:eastAsia="黑体" w:cs="Times New Roman"/>
                </w:rPr>
                <w:t>五、评价结论及建议</w:t>
              </w:r>
            </w:sdtContent>
          </w:sdt>
          <w:r>
            <w:tab/>
          </w:r>
          <w:r>
            <w:t>35</w:t>
          </w:r>
          <w:r>
            <w:fldChar w:fldCharType="end"/>
          </w:r>
        </w:p>
        <w:p w14:paraId="7F6D77B3">
          <w:pPr>
            <w:pStyle w:val="56"/>
            <w:tabs>
              <w:tab w:val="right" w:leader="dot" w:pos="8306"/>
            </w:tabs>
          </w:pPr>
          <w:r>
            <w:fldChar w:fldCharType="begin"/>
          </w:r>
          <w:r>
            <w:instrText xml:space="preserve"> HYPERLINK \l _Toc5191 </w:instrText>
          </w:r>
          <w:r>
            <w:fldChar w:fldCharType="separate"/>
          </w:r>
          <w:sdt>
            <w:sdtPr>
              <w:rPr>
                <w:rFonts w:ascii="Times New Roman" w:hAnsi="Times New Roman" w:eastAsia="宋体" w:cs="Times New Roman"/>
                <w:kern w:val="2"/>
                <w:sz w:val="21"/>
                <w:szCs w:val="24"/>
                <w:lang w:val="en-US" w:eastAsia="zh-CN" w:bidi="ar-SA"/>
              </w:rPr>
              <w:id w:val="680437523"/>
              <w:placeholder>
                <w:docPart w:val="{42e51950-3793-4618-a068-1e532d80b65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（一）评价结论。</w:t>
              </w:r>
            </w:sdtContent>
          </w:sdt>
          <w:r>
            <w:tab/>
          </w:r>
          <w:r>
            <w:t>35</w:t>
          </w:r>
          <w:r>
            <w:fldChar w:fldCharType="end"/>
          </w:r>
        </w:p>
        <w:p w14:paraId="060645E9">
          <w:pPr>
            <w:pStyle w:val="56"/>
            <w:tabs>
              <w:tab w:val="right" w:leader="dot" w:pos="8306"/>
            </w:tabs>
          </w:pPr>
          <w:r>
            <w:fldChar w:fldCharType="begin"/>
          </w:r>
          <w:r>
            <w:instrText xml:space="preserve"> HYPERLINK \l _Toc17879 </w:instrText>
          </w:r>
          <w:r>
            <w:fldChar w:fldCharType="separate"/>
          </w:r>
          <w:sdt>
            <w:sdtPr>
              <w:rPr>
                <w:rFonts w:ascii="Times New Roman" w:hAnsi="Times New Roman" w:eastAsia="宋体" w:cs="Times New Roman"/>
                <w:kern w:val="2"/>
                <w:sz w:val="21"/>
                <w:szCs w:val="24"/>
                <w:lang w:val="en-US" w:eastAsia="zh-CN" w:bidi="ar-SA"/>
              </w:rPr>
              <w:id w:val="390720760"/>
              <w:placeholder>
                <w:docPart w:val="{5fe94937-a0c8-441f-8baa-9f0ccc28f404}"/>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（二）存在的问题。</w:t>
              </w:r>
            </w:sdtContent>
          </w:sdt>
          <w:r>
            <w:tab/>
          </w:r>
          <w:r>
            <w:t>35</w:t>
          </w:r>
          <w:r>
            <w:fldChar w:fldCharType="end"/>
          </w:r>
        </w:p>
        <w:p w14:paraId="4E77946F">
          <w:pPr>
            <w:pStyle w:val="56"/>
            <w:tabs>
              <w:tab w:val="right" w:leader="dot" w:pos="8306"/>
            </w:tabs>
          </w:pPr>
          <w:r>
            <w:fldChar w:fldCharType="begin"/>
          </w:r>
          <w:r>
            <w:instrText xml:space="preserve"> HYPERLINK \l _Toc31297 </w:instrText>
          </w:r>
          <w:r>
            <w:fldChar w:fldCharType="separate"/>
          </w:r>
          <w:sdt>
            <w:sdtPr>
              <w:rPr>
                <w:rFonts w:ascii="Times New Roman" w:hAnsi="Times New Roman" w:eastAsia="宋体" w:cs="Times New Roman"/>
                <w:kern w:val="2"/>
                <w:sz w:val="21"/>
                <w:szCs w:val="24"/>
                <w:lang w:val="en-US" w:eastAsia="zh-CN" w:bidi="ar-SA"/>
              </w:rPr>
              <w:id w:val="479315406"/>
              <w:placeholder>
                <w:docPart w:val="{9b6ca77a-7d0a-4fdf-9e51-c786f7a9ba5e}"/>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宋体" w:eastAsia="楷体_GB2312" w:cs="Times New Roman"/>
                </w:rPr>
                <w:t>（三）相关建议。</w:t>
              </w:r>
            </w:sdtContent>
          </w:sdt>
          <w:r>
            <w:tab/>
          </w:r>
          <w:r>
            <w:t>36</w:t>
          </w:r>
          <w:r>
            <w:fldChar w:fldCharType="end"/>
          </w:r>
        </w:p>
        <w:p w14:paraId="02EC62BC">
          <w:pPr>
            <w:pStyle w:val="54"/>
            <w:tabs>
              <w:tab w:val="right" w:leader="dot" w:pos="8306"/>
            </w:tabs>
          </w:pPr>
          <w:r>
            <w:fldChar w:fldCharType="begin"/>
          </w:r>
          <w:r>
            <w:instrText xml:space="preserve"> HYPERLINK \l _Toc6367 </w:instrText>
          </w:r>
          <w:r>
            <w:fldChar w:fldCharType="separate"/>
          </w:r>
          <w:sdt>
            <w:sdtPr>
              <w:rPr>
                <w:rFonts w:ascii="Times New Roman" w:hAnsi="Times New Roman" w:eastAsia="宋体" w:cs="Times New Roman"/>
                <w:kern w:val="2"/>
                <w:sz w:val="21"/>
                <w:szCs w:val="24"/>
                <w:lang w:val="en-US" w:eastAsia="zh-CN" w:bidi="ar-SA"/>
              </w:rPr>
              <w:id w:val="295113491"/>
              <w:placeholder>
                <w:docPart w:val="{0507548c-a48a-4496-bed9-37dad9b99cb4}"/>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第五部分 附表</w:t>
              </w:r>
            </w:sdtContent>
          </w:sdt>
          <w:r>
            <w:tab/>
          </w:r>
          <w:r>
            <w:t>37</w:t>
          </w:r>
          <w:r>
            <w:fldChar w:fldCharType="end"/>
          </w:r>
        </w:p>
        <w:p w14:paraId="4CE4707C">
          <w:pPr>
            <w:pStyle w:val="55"/>
            <w:tabs>
              <w:tab w:val="right" w:leader="dot" w:pos="8306"/>
            </w:tabs>
          </w:pPr>
          <w:r>
            <w:fldChar w:fldCharType="begin"/>
          </w:r>
          <w:r>
            <w:instrText xml:space="preserve"> HYPERLINK \l _Toc995 </w:instrText>
          </w:r>
          <w:r>
            <w:fldChar w:fldCharType="separate"/>
          </w:r>
          <w:sdt>
            <w:sdtPr>
              <w:rPr>
                <w:rFonts w:ascii="Times New Roman" w:hAnsi="Times New Roman" w:eastAsia="宋体" w:cs="Times New Roman"/>
                <w:kern w:val="2"/>
                <w:sz w:val="21"/>
                <w:szCs w:val="24"/>
                <w:lang w:val="en-US" w:eastAsia="zh-CN" w:bidi="ar-SA"/>
              </w:rPr>
              <w:id w:val="363706503"/>
              <w:placeholder>
                <w:docPart w:val="{25065d26-19e5-4b91-a80e-dc65eb76ade0}"/>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一、收入支出决算总表</w:t>
              </w:r>
            </w:sdtContent>
          </w:sdt>
          <w:r>
            <w:tab/>
          </w:r>
          <w:r>
            <w:t>37</w:t>
          </w:r>
          <w:r>
            <w:fldChar w:fldCharType="end"/>
          </w:r>
        </w:p>
        <w:p w14:paraId="5F3106CA">
          <w:pPr>
            <w:pStyle w:val="55"/>
            <w:tabs>
              <w:tab w:val="right" w:leader="dot" w:pos="8306"/>
            </w:tabs>
          </w:pPr>
          <w:r>
            <w:fldChar w:fldCharType="begin"/>
          </w:r>
          <w:r>
            <w:instrText xml:space="preserve"> HYPERLINK \l _Toc16113 </w:instrText>
          </w:r>
          <w:r>
            <w:fldChar w:fldCharType="separate"/>
          </w:r>
          <w:sdt>
            <w:sdtPr>
              <w:rPr>
                <w:rFonts w:ascii="Times New Roman" w:hAnsi="Times New Roman" w:eastAsia="宋体" w:cs="Times New Roman"/>
                <w:kern w:val="2"/>
                <w:sz w:val="21"/>
                <w:szCs w:val="24"/>
                <w:lang w:val="en-US" w:eastAsia="zh-CN" w:bidi="ar-SA"/>
              </w:rPr>
              <w:id w:val="749509526"/>
              <w:placeholder>
                <w:docPart w:val="{73bbffb1-036f-4134-a55e-b612e07b8a11}"/>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二、收入决算表</w:t>
              </w:r>
            </w:sdtContent>
          </w:sdt>
          <w:r>
            <w:tab/>
          </w:r>
          <w:r>
            <w:t>37</w:t>
          </w:r>
          <w:r>
            <w:fldChar w:fldCharType="end"/>
          </w:r>
        </w:p>
        <w:p w14:paraId="5DE6C5B7">
          <w:pPr>
            <w:pStyle w:val="55"/>
            <w:tabs>
              <w:tab w:val="right" w:leader="dot" w:pos="8306"/>
            </w:tabs>
          </w:pPr>
          <w:r>
            <w:fldChar w:fldCharType="begin"/>
          </w:r>
          <w:r>
            <w:instrText xml:space="preserve"> HYPERLINK \l _Toc26472 </w:instrText>
          </w:r>
          <w:r>
            <w:fldChar w:fldCharType="separate"/>
          </w:r>
          <w:sdt>
            <w:sdtPr>
              <w:rPr>
                <w:rFonts w:ascii="Times New Roman" w:hAnsi="Times New Roman" w:eastAsia="宋体" w:cs="Times New Roman"/>
                <w:kern w:val="2"/>
                <w:sz w:val="21"/>
                <w:szCs w:val="24"/>
                <w:lang w:val="en-US" w:eastAsia="zh-CN" w:bidi="ar-SA"/>
              </w:rPr>
              <w:id w:val="202077240"/>
              <w:placeholder>
                <w:docPart w:val="{bbabaeee-6a5a-4956-a4b0-68d5cefd89c1}"/>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三、支出决算表</w:t>
              </w:r>
            </w:sdtContent>
          </w:sdt>
          <w:r>
            <w:tab/>
          </w:r>
          <w:r>
            <w:t>37</w:t>
          </w:r>
          <w:r>
            <w:fldChar w:fldCharType="end"/>
          </w:r>
        </w:p>
        <w:p w14:paraId="07E7FC2E">
          <w:pPr>
            <w:pStyle w:val="55"/>
            <w:tabs>
              <w:tab w:val="right" w:leader="dot" w:pos="8306"/>
            </w:tabs>
          </w:pPr>
          <w:r>
            <w:fldChar w:fldCharType="begin"/>
          </w:r>
          <w:r>
            <w:instrText xml:space="preserve"> HYPERLINK \l _Toc14162 </w:instrText>
          </w:r>
          <w:r>
            <w:fldChar w:fldCharType="separate"/>
          </w:r>
          <w:sdt>
            <w:sdtPr>
              <w:rPr>
                <w:rFonts w:ascii="Times New Roman" w:hAnsi="Times New Roman" w:eastAsia="宋体" w:cs="Times New Roman"/>
                <w:kern w:val="2"/>
                <w:sz w:val="21"/>
                <w:szCs w:val="24"/>
                <w:lang w:val="en-US" w:eastAsia="zh-CN" w:bidi="ar-SA"/>
              </w:rPr>
              <w:id w:val="544119752"/>
              <w:placeholder>
                <w:docPart w:val="{91f6542b-bf5f-4d66-b251-df17d0366592}"/>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四、财政拨款收入支出决算总表</w:t>
              </w:r>
            </w:sdtContent>
          </w:sdt>
          <w:r>
            <w:tab/>
          </w:r>
          <w:r>
            <w:t>37</w:t>
          </w:r>
          <w:r>
            <w:fldChar w:fldCharType="end"/>
          </w:r>
        </w:p>
        <w:p w14:paraId="6E1C027E">
          <w:pPr>
            <w:pStyle w:val="55"/>
            <w:tabs>
              <w:tab w:val="right" w:leader="dot" w:pos="8306"/>
            </w:tabs>
          </w:pPr>
          <w:r>
            <w:fldChar w:fldCharType="begin"/>
          </w:r>
          <w:r>
            <w:instrText xml:space="preserve"> HYPERLINK \l _Toc10514 </w:instrText>
          </w:r>
          <w:r>
            <w:fldChar w:fldCharType="separate"/>
          </w:r>
          <w:sdt>
            <w:sdtPr>
              <w:rPr>
                <w:rFonts w:ascii="Times New Roman" w:hAnsi="Times New Roman" w:eastAsia="宋体" w:cs="Times New Roman"/>
                <w:kern w:val="2"/>
                <w:sz w:val="21"/>
                <w:szCs w:val="24"/>
                <w:lang w:val="en-US" w:eastAsia="zh-CN" w:bidi="ar-SA"/>
              </w:rPr>
              <w:id w:val="314125749"/>
              <w:placeholder>
                <w:docPart w:val="{5f5fda1c-2f27-43b6-afed-6854e37fe69a}"/>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五、财政拨款支出决算明细表</w:t>
              </w:r>
            </w:sdtContent>
          </w:sdt>
          <w:r>
            <w:tab/>
          </w:r>
          <w:r>
            <w:t>37</w:t>
          </w:r>
          <w:r>
            <w:fldChar w:fldCharType="end"/>
          </w:r>
        </w:p>
        <w:p w14:paraId="6E63D4D8">
          <w:pPr>
            <w:pStyle w:val="55"/>
            <w:tabs>
              <w:tab w:val="right" w:leader="dot" w:pos="8306"/>
            </w:tabs>
          </w:pPr>
          <w:r>
            <w:fldChar w:fldCharType="begin"/>
          </w:r>
          <w:r>
            <w:instrText xml:space="preserve"> HYPERLINK \l _Toc14088 </w:instrText>
          </w:r>
          <w:r>
            <w:fldChar w:fldCharType="separate"/>
          </w:r>
          <w:sdt>
            <w:sdtPr>
              <w:rPr>
                <w:rFonts w:ascii="Times New Roman" w:hAnsi="Times New Roman" w:eastAsia="宋体" w:cs="Times New Roman"/>
                <w:kern w:val="2"/>
                <w:sz w:val="21"/>
                <w:szCs w:val="24"/>
                <w:lang w:val="en-US" w:eastAsia="zh-CN" w:bidi="ar-SA"/>
              </w:rPr>
              <w:id w:val="572954194"/>
              <w:placeholder>
                <w:docPart w:val="{fd9347b9-2c4b-4493-a0ff-845dbd4b4545}"/>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六、一般公共预算财政拨款支出决算表</w:t>
              </w:r>
            </w:sdtContent>
          </w:sdt>
          <w:r>
            <w:tab/>
          </w:r>
          <w:r>
            <w:t>37</w:t>
          </w:r>
          <w:r>
            <w:fldChar w:fldCharType="end"/>
          </w:r>
        </w:p>
        <w:p w14:paraId="37F58B61">
          <w:pPr>
            <w:pStyle w:val="55"/>
            <w:tabs>
              <w:tab w:val="right" w:leader="dot" w:pos="8306"/>
            </w:tabs>
          </w:pPr>
          <w:r>
            <w:fldChar w:fldCharType="begin"/>
          </w:r>
          <w:r>
            <w:instrText xml:space="preserve"> HYPERLINK \l _Toc3190 </w:instrText>
          </w:r>
          <w:r>
            <w:fldChar w:fldCharType="separate"/>
          </w:r>
          <w:sdt>
            <w:sdtPr>
              <w:rPr>
                <w:rFonts w:ascii="Times New Roman" w:hAnsi="Times New Roman" w:eastAsia="宋体" w:cs="Times New Roman"/>
                <w:kern w:val="2"/>
                <w:sz w:val="21"/>
                <w:szCs w:val="24"/>
                <w:lang w:val="en-US" w:eastAsia="zh-CN" w:bidi="ar-SA"/>
              </w:rPr>
              <w:id w:val="262844010"/>
              <w:placeholder>
                <w:docPart w:val="{1ae8a79a-4e31-409e-aa75-0848149f2071}"/>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七、一般公共预算财政拨款支出决算明细表</w:t>
              </w:r>
            </w:sdtContent>
          </w:sdt>
          <w:r>
            <w:tab/>
          </w:r>
          <w:r>
            <w:t>37</w:t>
          </w:r>
          <w:r>
            <w:fldChar w:fldCharType="end"/>
          </w:r>
        </w:p>
        <w:p w14:paraId="54039082">
          <w:pPr>
            <w:pStyle w:val="55"/>
            <w:tabs>
              <w:tab w:val="right" w:leader="dot" w:pos="8306"/>
            </w:tabs>
          </w:pPr>
          <w:r>
            <w:fldChar w:fldCharType="begin"/>
          </w:r>
          <w:r>
            <w:instrText xml:space="preserve"> HYPERLINK \l _Toc21355 </w:instrText>
          </w:r>
          <w:r>
            <w:fldChar w:fldCharType="separate"/>
          </w:r>
          <w:sdt>
            <w:sdtPr>
              <w:rPr>
                <w:rFonts w:ascii="Times New Roman" w:hAnsi="Times New Roman" w:eastAsia="宋体" w:cs="Times New Roman"/>
                <w:kern w:val="2"/>
                <w:sz w:val="21"/>
                <w:szCs w:val="24"/>
                <w:lang w:val="en-US" w:eastAsia="zh-CN" w:bidi="ar-SA"/>
              </w:rPr>
              <w:id w:val="343842795"/>
              <w:placeholder>
                <w:docPart w:val="{66582d69-1c70-4b6d-bc67-b7bb2a1c4dcc}"/>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八、一般公共预算财政拨款基本支出决算表</w:t>
              </w:r>
            </w:sdtContent>
          </w:sdt>
          <w:r>
            <w:tab/>
          </w:r>
          <w:r>
            <w:t>37</w:t>
          </w:r>
          <w:r>
            <w:fldChar w:fldCharType="end"/>
          </w:r>
        </w:p>
        <w:p w14:paraId="006C879D">
          <w:pPr>
            <w:pStyle w:val="55"/>
            <w:tabs>
              <w:tab w:val="right" w:leader="dot" w:pos="8306"/>
            </w:tabs>
          </w:pPr>
          <w:r>
            <w:fldChar w:fldCharType="begin"/>
          </w:r>
          <w:r>
            <w:instrText xml:space="preserve"> HYPERLINK \l _Toc6456 </w:instrText>
          </w:r>
          <w:r>
            <w:fldChar w:fldCharType="separate"/>
          </w:r>
          <w:sdt>
            <w:sdtPr>
              <w:rPr>
                <w:rFonts w:ascii="Times New Roman" w:hAnsi="Times New Roman" w:eastAsia="宋体" w:cs="Times New Roman"/>
                <w:kern w:val="2"/>
                <w:sz w:val="21"/>
                <w:szCs w:val="24"/>
                <w:lang w:val="en-US" w:eastAsia="zh-CN" w:bidi="ar-SA"/>
              </w:rPr>
              <w:id w:val="100942779"/>
              <w:placeholder>
                <w:docPart w:val="{1b468c49-c736-4ef1-abb0-9c879c725c4c}"/>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九、一般公共预算财政拨款项目支出决算表</w:t>
              </w:r>
            </w:sdtContent>
          </w:sdt>
          <w:r>
            <w:tab/>
          </w:r>
          <w:r>
            <w:t>37</w:t>
          </w:r>
          <w:r>
            <w:fldChar w:fldCharType="end"/>
          </w:r>
        </w:p>
        <w:p w14:paraId="1F8B40B8">
          <w:pPr>
            <w:pStyle w:val="55"/>
            <w:tabs>
              <w:tab w:val="right" w:leader="dot" w:pos="8306"/>
            </w:tabs>
          </w:pPr>
          <w:r>
            <w:fldChar w:fldCharType="begin"/>
          </w:r>
          <w:r>
            <w:instrText xml:space="preserve"> HYPERLINK \l _Toc26238 </w:instrText>
          </w:r>
          <w:r>
            <w:fldChar w:fldCharType="separate"/>
          </w:r>
          <w:sdt>
            <w:sdtPr>
              <w:rPr>
                <w:rFonts w:ascii="Times New Roman" w:hAnsi="Times New Roman" w:eastAsia="宋体" w:cs="Times New Roman"/>
                <w:kern w:val="2"/>
                <w:sz w:val="21"/>
                <w:szCs w:val="24"/>
                <w:lang w:val="en-US" w:eastAsia="zh-CN" w:bidi="ar-SA"/>
              </w:rPr>
              <w:id w:val="783705907"/>
              <w:placeholder>
                <w:docPart w:val="{72a61604-eb32-439d-8274-56566b5e89ba}"/>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十、政府性基金预算财政拨款收入支出决算表</w:t>
              </w:r>
            </w:sdtContent>
          </w:sdt>
          <w:r>
            <w:tab/>
          </w:r>
          <w:r>
            <w:t>37</w:t>
          </w:r>
          <w:r>
            <w:fldChar w:fldCharType="end"/>
          </w:r>
        </w:p>
        <w:p w14:paraId="04D85C21">
          <w:pPr>
            <w:pStyle w:val="55"/>
            <w:tabs>
              <w:tab w:val="right" w:leader="dot" w:pos="8306"/>
            </w:tabs>
          </w:pPr>
          <w:r>
            <w:fldChar w:fldCharType="begin"/>
          </w:r>
          <w:r>
            <w:instrText xml:space="preserve"> HYPERLINK \l _Toc5785 </w:instrText>
          </w:r>
          <w:r>
            <w:fldChar w:fldCharType="separate"/>
          </w:r>
          <w:sdt>
            <w:sdtPr>
              <w:rPr>
                <w:rFonts w:ascii="Times New Roman" w:hAnsi="Times New Roman" w:eastAsia="宋体" w:cs="Times New Roman"/>
                <w:kern w:val="2"/>
                <w:sz w:val="21"/>
                <w:szCs w:val="24"/>
                <w:lang w:val="en-US" w:eastAsia="zh-CN" w:bidi="ar-SA"/>
              </w:rPr>
              <w:id w:val="249175244"/>
              <w:placeholder>
                <w:docPart w:val="{accdb6de-9166-49fd-89ca-c1209c026d3f}"/>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十一、国有资本经营预算财政拨款收入支出决算表</w:t>
              </w:r>
            </w:sdtContent>
          </w:sdt>
          <w:r>
            <w:tab/>
          </w:r>
          <w:r>
            <w:t>37</w:t>
          </w:r>
          <w:r>
            <w:fldChar w:fldCharType="end"/>
          </w:r>
        </w:p>
        <w:p w14:paraId="4A51431D">
          <w:pPr>
            <w:pStyle w:val="55"/>
            <w:tabs>
              <w:tab w:val="right" w:leader="dot" w:pos="8306"/>
            </w:tabs>
          </w:pPr>
          <w:r>
            <w:fldChar w:fldCharType="begin"/>
          </w:r>
          <w:r>
            <w:instrText xml:space="preserve"> HYPERLINK \l _Toc8887 </w:instrText>
          </w:r>
          <w:r>
            <w:fldChar w:fldCharType="separate"/>
          </w:r>
          <w:sdt>
            <w:sdtPr>
              <w:rPr>
                <w:rFonts w:ascii="Times New Roman" w:hAnsi="Times New Roman" w:eastAsia="宋体" w:cs="Times New Roman"/>
                <w:kern w:val="2"/>
                <w:sz w:val="21"/>
                <w:szCs w:val="24"/>
                <w:lang w:val="en-US" w:eastAsia="zh-CN" w:bidi="ar-SA"/>
              </w:rPr>
              <w:id w:val="33310815"/>
              <w:placeholder>
                <w:docPart w:val="{572b8c0e-306f-410e-873b-b82bc0458805}"/>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十二、国有资本经营预算财政拨款支出决算表</w:t>
              </w:r>
            </w:sdtContent>
          </w:sdt>
          <w:r>
            <w:tab/>
          </w:r>
          <w:r>
            <w:t>37</w:t>
          </w:r>
          <w:r>
            <w:fldChar w:fldCharType="end"/>
          </w:r>
        </w:p>
        <w:p w14:paraId="0FCD1590">
          <w:pPr>
            <w:pStyle w:val="55"/>
            <w:tabs>
              <w:tab w:val="right" w:leader="dot" w:pos="8306"/>
            </w:tabs>
          </w:pPr>
          <w:r>
            <w:fldChar w:fldCharType="begin"/>
          </w:r>
          <w:r>
            <w:instrText xml:space="preserve"> HYPERLINK \l _Toc15490 </w:instrText>
          </w:r>
          <w:r>
            <w:fldChar w:fldCharType="separate"/>
          </w:r>
          <w:sdt>
            <w:sdtPr>
              <w:rPr>
                <w:rFonts w:ascii="Times New Roman" w:hAnsi="Times New Roman" w:eastAsia="宋体" w:cs="Times New Roman"/>
                <w:kern w:val="2"/>
                <w:sz w:val="21"/>
                <w:szCs w:val="24"/>
                <w:lang w:val="en-US" w:eastAsia="zh-CN" w:bidi="ar-SA"/>
              </w:rPr>
              <w:id w:val="963422333"/>
              <w:placeholder>
                <w:docPart w:val="{4ed91393-4754-41c8-844f-0075785fef91}"/>
              </w:placeholder>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十三、财政拨款“三公”经费支出决算表</w:t>
              </w:r>
            </w:sdtContent>
          </w:sdt>
          <w:r>
            <w:tab/>
          </w:r>
          <w:r>
            <w:t>37</w:t>
          </w:r>
          <w:r>
            <w:fldChar w:fldCharType="end"/>
          </w:r>
        </w:p>
      </w:sdtContent>
    </w:sdt>
    <w:p w14:paraId="61DDD03A">
      <w:pPr>
        <w:widowControl/>
        <w:spacing w:line="440" w:lineRule="exact"/>
        <w:jc w:val="left"/>
        <w:rPr>
          <w:rFonts w:ascii="仿宋" w:hAnsi="仿宋" w:eastAsia="仿宋"/>
          <w:bCs/>
          <w:kern w:val="44"/>
          <w:sz w:val="24"/>
        </w:rPr>
      </w:pPr>
      <w:r>
        <w:rPr>
          <w:rFonts w:ascii="仿宋" w:hAnsi="仿宋" w:eastAsia="仿宋"/>
          <w:b/>
          <w:sz w:val="24"/>
        </w:rPr>
        <w:br w:type="page"/>
      </w:r>
    </w:p>
    <w:p w14:paraId="2AB34988">
      <w:pPr>
        <w:pStyle w:val="3"/>
        <w:jc w:val="center"/>
        <w:rPr>
          <w:rStyle w:val="30"/>
          <w:rFonts w:ascii="黑体" w:hAnsi="黑体" w:eastAsia="黑体"/>
          <w:b/>
          <w:bCs w:val="0"/>
        </w:rPr>
      </w:pPr>
      <w:bookmarkStart w:id="14" w:name="_Toc8604"/>
      <w:r>
        <w:rPr>
          <w:rFonts w:hint="eastAsia" w:ascii="黑体" w:hAnsi="黑体" w:eastAsia="黑体"/>
          <w:b w:val="0"/>
        </w:rPr>
        <w:t xml:space="preserve">第一部分 </w:t>
      </w:r>
      <w:r>
        <w:rPr>
          <w:rStyle w:val="30"/>
          <w:rFonts w:hint="eastAsia" w:ascii="黑体" w:hAnsi="黑体" w:eastAsia="黑体"/>
          <w:b w:val="0"/>
          <w:bCs w:val="0"/>
        </w:rPr>
        <w:t>部门概况</w:t>
      </w:r>
      <w:bookmarkEnd w:id="12"/>
      <w:bookmarkEnd w:id="13"/>
      <w:bookmarkEnd w:id="14"/>
    </w:p>
    <w:p w14:paraId="2DC42342">
      <w:pPr>
        <w:widowControl/>
        <w:jc w:val="left"/>
        <w:rPr>
          <w:rFonts w:ascii="黑体" w:eastAsia="黑体"/>
          <w:sz w:val="32"/>
          <w:szCs w:val="32"/>
        </w:rPr>
      </w:pPr>
    </w:p>
    <w:p w14:paraId="2062027C">
      <w:pPr>
        <w:pStyle w:val="4"/>
        <w:numPr>
          <w:ilvl w:val="0"/>
          <w:numId w:val="1"/>
        </w:numPr>
        <w:rPr>
          <w:rFonts w:ascii="黑体" w:hAnsi="黑体" w:eastAsia="黑体"/>
          <w:b w:val="0"/>
        </w:rPr>
      </w:pPr>
      <w:bookmarkStart w:id="15" w:name="_Toc6097"/>
      <w:r>
        <w:rPr>
          <w:rFonts w:hint="eastAsia" w:ascii="黑体" w:hAnsi="黑体" w:eastAsia="黑体"/>
          <w:b w:val="0"/>
        </w:rPr>
        <w:t>部门职责</w:t>
      </w:r>
      <w:bookmarkEnd w:id="15"/>
    </w:p>
    <w:p w14:paraId="7703E9E0">
      <w:pPr>
        <w:pStyle w:val="6"/>
        <w:pageBreakBefore w:val="0"/>
        <w:widowControl w:val="0"/>
        <w:kinsoku/>
        <w:wordWrap/>
        <w:overflowPunct/>
        <w:topLinePunct w:val="0"/>
        <w:autoSpaceDE/>
        <w:autoSpaceDN/>
        <w:bidi w:val="0"/>
        <w:adjustRightInd w:val="0"/>
        <w:snapToGrid w:val="0"/>
        <w:spacing w:before="93" w:line="300" w:lineRule="auto"/>
        <w:ind w:firstLine="672" w:firstLineChars="210"/>
        <w:textAlignment w:val="auto"/>
        <w:outlineLvl w:val="2"/>
        <w:rPr>
          <w:rFonts w:hint="eastAsia" w:ascii="楷体_GB2312" w:hAnsi="楷体_GB2312" w:eastAsia="楷体_GB2312" w:cs="楷体_GB2312"/>
          <w:bCs/>
          <w:sz w:val="32"/>
          <w:szCs w:val="32"/>
        </w:rPr>
      </w:pPr>
      <w:bookmarkStart w:id="16" w:name="_Toc9745"/>
      <w:bookmarkStart w:id="17" w:name="_Toc15377198"/>
      <w:bookmarkStart w:id="18" w:name="_Toc15378445"/>
      <w:r>
        <w:rPr>
          <w:rFonts w:hint="eastAsia" w:ascii="楷体_GB2312" w:hAnsi="楷体_GB2312" w:eastAsia="楷体_GB2312" w:cs="楷体_GB2312"/>
          <w:bCs/>
          <w:sz w:val="32"/>
          <w:szCs w:val="32"/>
        </w:rPr>
        <w:t>（一）主要职能。</w:t>
      </w:r>
      <w:bookmarkEnd w:id="16"/>
    </w:p>
    <w:bookmarkEnd w:id="17"/>
    <w:bookmarkEnd w:id="18"/>
    <w:p w14:paraId="69C55DC7">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承担全面依法治国、依法治省、依法治市、依法治区重大问题的政策研究，协调有关方面提出全面依法治区规划建议，负责有关重大决策部署督察工作。</w:t>
      </w:r>
    </w:p>
    <w:p w14:paraId="7FF025DC">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负责区政府规范性文件、重大行政决策发布前的合法性审查。承办区政府规范性文件的报送备案工作。负责区政府各部门规范性文件报送区政府的备案审查工作。组织开展规范性文件清理。</w:t>
      </w:r>
    </w:p>
    <w:p w14:paraId="42A8C86D">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承担统筹推进法治政府建设的责任。指导监督区政府各部门依法行政工作。负责综合协调、监督检查行政执法，承担推进行政执法体系改革有关工作，推进严格规范公正文明执法。指导监督全区行政复议、行政应诉和行政赔偿工作，承办向区政府申请的行政复议、行政赔偿案件，代理区政府行政应诉案件。</w:t>
      </w:r>
    </w:p>
    <w:p w14:paraId="46E3815C">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承担统筹规划法治社会建设的责任。负责拟订法治宣传教育规划，组织实施普法宣传工作，组织对外法治宣传。推动人民参与和促进法治建设。指导依法治理和法治创建工作。指导调解工作。负责并指导人民监督员的选任管理工作。指导人民陪审员选任工作。指导监督司法所建设和管理工作。负责职责范围内的安全生产工作。</w:t>
      </w:r>
    </w:p>
    <w:p w14:paraId="7BB8CB23">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指导管理全区社区矫正工作。会同有关部门开展刑满释放人员帮教安置工作。</w:t>
      </w:r>
    </w:p>
    <w:p w14:paraId="5CA76225">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负责拟订全区公共法律服务体系建设规划并指导实施，统筹和布局全区城乡、区域法律服务资源。指导监督律师、法律援助、公证和基层法律服务工作。</w:t>
      </w:r>
    </w:p>
    <w:p w14:paraId="65E95254">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负责本单位财务、装备、设施、场所等保障工作。指导监督所属事业单位的计划财务工作。负责所属事业单位内部审计工作。</w:t>
      </w:r>
    </w:p>
    <w:p w14:paraId="1FBCBFD8">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规划、协调、指导法治人才队伍建设相关工作，负责本单位队伍建设。</w:t>
      </w:r>
    </w:p>
    <w:p w14:paraId="5EF3765A">
      <w:pPr>
        <w:pageBreakBefore w:val="0"/>
        <w:widowControl w:val="0"/>
        <w:kinsoku/>
        <w:wordWrap/>
        <w:overflowPunct/>
        <w:topLinePunct w:val="0"/>
        <w:autoSpaceDE/>
        <w:autoSpaceDN/>
        <w:bidi w:val="0"/>
        <w:spacing w:line="30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负责本单位行政审批工作。负责全区外来企业投诉处理和民营企业法律服务工作。</w:t>
      </w:r>
    </w:p>
    <w:p w14:paraId="5C7BE8CF">
      <w:pPr>
        <w:pageBreakBefore w:val="0"/>
        <w:widowControl w:val="0"/>
        <w:kinsoku/>
        <w:wordWrap/>
        <w:overflowPunct/>
        <w:topLinePunct w:val="0"/>
        <w:autoSpaceDE/>
        <w:autoSpaceDN/>
        <w:bidi w:val="0"/>
        <w:spacing w:line="300" w:lineRule="auto"/>
        <w:ind w:firstLine="640" w:firstLineChars="200"/>
        <w:textAlignment w:val="auto"/>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完成区委、区政府交办的其他任务。</w:t>
      </w:r>
    </w:p>
    <w:p w14:paraId="1A68F73B">
      <w:pPr>
        <w:pStyle w:val="4"/>
        <w:pageBreakBefore w:val="0"/>
        <w:widowControl w:val="0"/>
        <w:kinsoku/>
        <w:wordWrap/>
        <w:overflowPunct/>
        <w:topLinePunct w:val="0"/>
        <w:autoSpaceDE/>
        <w:autoSpaceDN/>
        <w:bidi w:val="0"/>
        <w:spacing w:line="300" w:lineRule="auto"/>
        <w:textAlignment w:val="auto"/>
        <w:rPr>
          <w:rStyle w:val="31"/>
          <w:b w:val="0"/>
          <w:bCs w:val="0"/>
        </w:rPr>
      </w:pPr>
      <w:bookmarkStart w:id="19" w:name="_Toc15396601"/>
      <w:bookmarkStart w:id="20" w:name="_Toc15377200"/>
      <w:bookmarkStart w:id="21" w:name="_Toc4237"/>
      <w:r>
        <w:rPr>
          <w:rFonts w:hint="eastAsia" w:ascii="黑体" w:eastAsia="黑体"/>
          <w:b w:val="0"/>
        </w:rPr>
        <w:t>二、</w:t>
      </w:r>
      <w:r>
        <w:rPr>
          <w:rFonts w:hint="eastAsia" w:ascii="黑体" w:hAnsi="黑体" w:eastAsia="黑体"/>
          <w:b w:val="0"/>
        </w:rPr>
        <w:t>机</w:t>
      </w:r>
      <w:r>
        <w:rPr>
          <w:rStyle w:val="31"/>
          <w:rFonts w:hint="eastAsia" w:ascii="黑体" w:hAnsi="黑体" w:eastAsia="黑体"/>
          <w:b w:val="0"/>
          <w:bCs w:val="0"/>
        </w:rPr>
        <w:t>构设置</w:t>
      </w:r>
      <w:bookmarkEnd w:id="19"/>
      <w:bookmarkEnd w:id="20"/>
      <w:bookmarkEnd w:id="21"/>
    </w:p>
    <w:p w14:paraId="65532F4E">
      <w:pPr>
        <w:ind w:firstLine="800" w:firstLineChars="250"/>
        <w:rPr>
          <w:rFonts w:ascii="仿宋" w:hAnsi="仿宋" w:eastAsia="仿宋"/>
          <w:sz w:val="32"/>
          <w:szCs w:val="32"/>
        </w:rPr>
      </w:pPr>
      <w:r>
        <w:rPr>
          <w:rFonts w:hint="eastAsia" w:ascii="仿宋" w:hAnsi="仿宋" w:eastAsia="仿宋"/>
          <w:sz w:val="32"/>
          <w:szCs w:val="32"/>
          <w:lang w:eastAsia="zh-CN"/>
        </w:rPr>
        <w:t>西区司法局</w:t>
      </w:r>
      <w:r>
        <w:rPr>
          <w:rFonts w:hint="eastAsia" w:ascii="仿宋" w:hAnsi="仿宋" w:eastAsia="仿宋"/>
          <w:sz w:val="32"/>
          <w:szCs w:val="32"/>
        </w:rPr>
        <w:t>下属二级单位</w:t>
      </w:r>
      <w:r>
        <w:rPr>
          <w:rFonts w:hint="eastAsia" w:ascii="仿宋" w:hAnsi="仿宋" w:eastAsia="仿宋"/>
          <w:sz w:val="32"/>
          <w:szCs w:val="32"/>
          <w:lang w:val="en-US" w:eastAsia="zh-CN"/>
        </w:rPr>
        <w:t>2</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1</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p>
    <w:p w14:paraId="4BAD7285">
      <w:pPr>
        <w:pStyle w:val="6"/>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w:t>
      </w:r>
      <w:r>
        <w:rPr>
          <w:rFonts w:hint="eastAsia" w:ascii="仿宋" w:hAnsi="仿宋" w:eastAsia="仿宋"/>
          <w:sz w:val="32"/>
          <w:szCs w:val="32"/>
          <w:lang w:eastAsia="zh-CN"/>
        </w:rPr>
        <w:t>西区司法局</w:t>
      </w:r>
      <w:r>
        <w:rPr>
          <w:rFonts w:hint="eastAsia" w:ascii="仿宋" w:hAnsi="仿宋" w:eastAsia="仿宋"/>
          <w:sz w:val="32"/>
          <w:szCs w:val="32"/>
        </w:rPr>
        <w:t>202</w:t>
      </w:r>
      <w:r>
        <w:rPr>
          <w:rFonts w:hint="eastAsia" w:ascii="仿宋" w:hAnsi="仿宋" w:eastAsia="仿宋"/>
          <w:sz w:val="32"/>
          <w:szCs w:val="32"/>
          <w:lang w:val="en-US" w:eastAsia="zh-CN"/>
        </w:rPr>
        <w:t>2</w:t>
      </w:r>
      <w:r>
        <w:rPr>
          <w:rFonts w:hint="eastAsia" w:ascii="仿宋" w:hAnsi="仿宋" w:eastAsia="仿宋"/>
          <w:sz w:val="32"/>
          <w:szCs w:val="32"/>
        </w:rPr>
        <w:t>年度部门决算编制范围的二级预算单位包括：</w:t>
      </w:r>
    </w:p>
    <w:p w14:paraId="2306957A">
      <w:pPr>
        <w:pStyle w:val="6"/>
        <w:numPr>
          <w:ilvl w:val="0"/>
          <w:numId w:val="2"/>
        </w:numPr>
        <w:adjustRightInd w:val="0"/>
        <w:snapToGrid w:val="0"/>
        <w:spacing w:before="93" w:line="600" w:lineRule="exact"/>
        <w:outlineLvl w:val="2"/>
        <w:rPr>
          <w:rFonts w:ascii="仿宋" w:hAnsi="仿宋" w:eastAsia="仿宋"/>
          <w:sz w:val="32"/>
          <w:szCs w:val="32"/>
        </w:rPr>
      </w:pPr>
      <w:bookmarkStart w:id="22" w:name="_Toc19091"/>
      <w:r>
        <w:rPr>
          <w:rFonts w:hint="eastAsia" w:ascii="仿宋" w:hAnsi="仿宋" w:eastAsia="仿宋" w:cs="仿宋"/>
          <w:color w:val="auto"/>
          <w:sz w:val="32"/>
          <w:lang w:eastAsia="zh-CN"/>
        </w:rPr>
        <w:t>西区</w:t>
      </w:r>
      <w:r>
        <w:rPr>
          <w:rFonts w:hint="eastAsia" w:ascii="仿宋" w:hAnsi="仿宋" w:eastAsia="仿宋" w:cs="仿宋"/>
          <w:color w:val="auto"/>
          <w:sz w:val="32"/>
        </w:rPr>
        <w:t>法律援助中心</w:t>
      </w:r>
      <w:bookmarkEnd w:id="22"/>
    </w:p>
    <w:p w14:paraId="73371DF7">
      <w:pPr>
        <w:pStyle w:val="6"/>
        <w:numPr>
          <w:ilvl w:val="0"/>
          <w:numId w:val="2"/>
        </w:numPr>
        <w:adjustRightInd w:val="0"/>
        <w:snapToGrid w:val="0"/>
        <w:spacing w:before="93" w:line="600" w:lineRule="exact"/>
        <w:outlineLvl w:val="2"/>
        <w:rPr>
          <w:rFonts w:ascii="仿宋" w:hAnsi="仿宋" w:eastAsia="仿宋"/>
          <w:sz w:val="32"/>
          <w:szCs w:val="32"/>
        </w:rPr>
      </w:pPr>
      <w:bookmarkStart w:id="23" w:name="_Toc17537"/>
      <w:r>
        <w:rPr>
          <w:rFonts w:hint="eastAsia" w:ascii="仿宋" w:hAnsi="仿宋" w:eastAsia="仿宋" w:cs="仿宋"/>
          <w:color w:val="auto"/>
          <w:sz w:val="32"/>
        </w:rPr>
        <w:t>四川省</w:t>
      </w:r>
      <w:r>
        <w:rPr>
          <w:rFonts w:hint="eastAsia" w:ascii="仿宋" w:hAnsi="仿宋" w:eastAsia="仿宋" w:cs="仿宋"/>
          <w:color w:val="auto"/>
          <w:sz w:val="32"/>
          <w:lang w:eastAsia="zh-CN"/>
        </w:rPr>
        <w:t>攀枝花市玉泉</w:t>
      </w:r>
      <w:r>
        <w:rPr>
          <w:rFonts w:hint="eastAsia" w:ascii="仿宋" w:hAnsi="仿宋" w:eastAsia="仿宋" w:cs="仿宋"/>
          <w:color w:val="auto"/>
          <w:sz w:val="32"/>
        </w:rPr>
        <w:t>公证处</w:t>
      </w:r>
      <w:bookmarkEnd w:id="23"/>
    </w:p>
    <w:p w14:paraId="1504336F">
      <w:pPr>
        <w:widowControl/>
        <w:jc w:val="left"/>
        <w:rPr>
          <w:rFonts w:ascii="仿宋" w:hAnsi="仿宋" w:eastAsia="仿宋"/>
          <w:kern w:val="0"/>
          <w:sz w:val="32"/>
          <w:szCs w:val="32"/>
        </w:rPr>
      </w:pPr>
      <w:r>
        <w:rPr>
          <w:rFonts w:ascii="仿宋" w:hAnsi="仿宋" w:eastAsia="仿宋"/>
          <w:sz w:val="32"/>
          <w:szCs w:val="32"/>
        </w:rPr>
        <w:br w:type="page"/>
      </w:r>
    </w:p>
    <w:p w14:paraId="2F6CA8FC">
      <w:pPr>
        <w:pStyle w:val="3"/>
        <w:ind w:right="440"/>
        <w:jc w:val="center"/>
        <w:rPr>
          <w:rStyle w:val="30"/>
          <w:rFonts w:ascii="黑体" w:hAnsi="黑体" w:eastAsia="黑体"/>
          <w:b w:val="0"/>
          <w:bCs/>
        </w:rPr>
      </w:pPr>
      <w:bookmarkStart w:id="24" w:name="_Toc15396602"/>
      <w:bookmarkStart w:id="25" w:name="_Toc15377204"/>
      <w:bookmarkStart w:id="26" w:name="_Toc24932"/>
      <w:r>
        <w:rPr>
          <w:rFonts w:hint="eastAsia" w:ascii="黑体" w:hAnsi="黑体" w:eastAsia="黑体"/>
          <w:b w:val="0"/>
        </w:rPr>
        <w:t>第二部分 2022年度</w:t>
      </w:r>
      <w:r>
        <w:rPr>
          <w:rStyle w:val="30"/>
          <w:rFonts w:hint="eastAsia" w:ascii="黑体" w:hAnsi="黑体" w:eastAsia="黑体"/>
          <w:b w:val="0"/>
          <w:bCs/>
        </w:rPr>
        <w:t>部门决算情况说明</w:t>
      </w:r>
      <w:bookmarkEnd w:id="24"/>
      <w:bookmarkEnd w:id="25"/>
      <w:bookmarkEnd w:id="26"/>
    </w:p>
    <w:p w14:paraId="080C44EF"/>
    <w:p w14:paraId="62DA3D48">
      <w:pPr>
        <w:pStyle w:val="29"/>
        <w:numPr>
          <w:ilvl w:val="0"/>
          <w:numId w:val="3"/>
        </w:numPr>
        <w:spacing w:line="600" w:lineRule="exact"/>
        <w:ind w:firstLineChars="0"/>
        <w:outlineLvl w:val="1"/>
        <w:rPr>
          <w:rStyle w:val="31"/>
          <w:rFonts w:ascii="黑体" w:hAnsi="黑体" w:eastAsia="黑体"/>
          <w:b w:val="0"/>
        </w:rPr>
      </w:pPr>
      <w:bookmarkStart w:id="27" w:name="_Toc15377205"/>
      <w:bookmarkStart w:id="28" w:name="_Toc8867"/>
      <w:bookmarkStart w:id="29" w:name="_Toc15396603"/>
      <w:r>
        <w:rPr>
          <w:rFonts w:hint="eastAsia" w:ascii="黑体" w:hAnsi="黑体" w:eastAsia="黑体"/>
          <w:sz w:val="32"/>
          <w:szCs w:val="32"/>
        </w:rPr>
        <w:t>收</w:t>
      </w:r>
      <w:r>
        <w:rPr>
          <w:rStyle w:val="31"/>
          <w:rFonts w:hint="eastAsia" w:ascii="黑体" w:hAnsi="黑体" w:eastAsia="黑体"/>
          <w:b w:val="0"/>
        </w:rPr>
        <w:t>入支出决算总体情况说明</w:t>
      </w:r>
      <w:bookmarkEnd w:id="27"/>
      <w:bookmarkEnd w:id="28"/>
      <w:bookmarkEnd w:id="29"/>
    </w:p>
    <w:p w14:paraId="343BB7C3">
      <w:pPr>
        <w:spacing w:line="600" w:lineRule="exact"/>
        <w:ind w:firstLine="640" w:firstLineChars="200"/>
        <w:rPr>
          <w:rFonts w:ascii="仿宋" w:hAnsi="仿宋" w:eastAsia="仿宋"/>
          <w:sz w:val="32"/>
          <w:szCs w:val="32"/>
        </w:rPr>
      </w:pPr>
      <w:r>
        <w:rPr>
          <w:rFonts w:hint="eastAsia" w:ascii="仿宋" w:hAnsi="仿宋" w:eastAsia="仿宋"/>
          <w:sz w:val="32"/>
          <w:szCs w:val="32"/>
        </w:rPr>
        <w:t>2022年度收、支总计</w:t>
      </w:r>
      <w:r>
        <w:rPr>
          <w:rFonts w:hint="eastAsia" w:ascii="仿宋" w:hAnsi="仿宋" w:eastAsia="仿宋"/>
          <w:sz w:val="32"/>
          <w:szCs w:val="32"/>
          <w:lang w:val="en-US" w:eastAsia="zh-CN"/>
        </w:rPr>
        <w:t>742.76</w:t>
      </w:r>
      <w:r>
        <w:rPr>
          <w:rFonts w:hint="eastAsia" w:ascii="仿宋" w:hAnsi="仿宋" w:eastAsia="仿宋"/>
          <w:sz w:val="32"/>
          <w:szCs w:val="32"/>
        </w:rPr>
        <w:t>万元。与2021年相比，收、支总计各增加</w:t>
      </w:r>
      <w:r>
        <w:rPr>
          <w:rFonts w:hint="eastAsia" w:ascii="仿宋" w:hAnsi="仿宋" w:eastAsia="仿宋"/>
          <w:sz w:val="32"/>
          <w:szCs w:val="32"/>
          <w:lang w:val="en-US" w:eastAsia="zh-CN"/>
        </w:rPr>
        <w:t>46.98</w:t>
      </w:r>
      <w:r>
        <w:rPr>
          <w:rFonts w:hint="eastAsia" w:ascii="仿宋" w:hAnsi="仿宋" w:eastAsia="仿宋"/>
          <w:sz w:val="32"/>
          <w:szCs w:val="32"/>
        </w:rPr>
        <w:t>万元，增长</w:t>
      </w:r>
      <w:r>
        <w:rPr>
          <w:rFonts w:hint="eastAsia" w:ascii="仿宋" w:hAnsi="仿宋" w:eastAsia="仿宋"/>
          <w:sz w:val="32"/>
          <w:szCs w:val="32"/>
          <w:lang w:val="en-US" w:eastAsia="zh-CN"/>
        </w:rPr>
        <w:t>6.8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单位人员增加，人员经费支出数增加</w:t>
      </w:r>
      <w:r>
        <w:rPr>
          <w:rFonts w:hint="eastAsia" w:ascii="仿宋" w:hAnsi="仿宋" w:eastAsia="仿宋"/>
          <w:sz w:val="32"/>
          <w:szCs w:val="32"/>
        </w:rPr>
        <w:t>。</w:t>
      </w:r>
    </w:p>
    <w:p w14:paraId="4E66C117">
      <w:pPr>
        <w:spacing w:line="240" w:lineRule="auto"/>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4561840" cy="2761615"/>
            <wp:effectExtent l="0" t="0" r="10160" b="63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6"/>
                    <a:stretch>
                      <a:fillRect/>
                    </a:stretch>
                  </pic:blipFill>
                  <pic:spPr>
                    <a:xfrm>
                      <a:off x="0" y="0"/>
                      <a:ext cx="4561840" cy="2761615"/>
                    </a:xfrm>
                    <a:prstGeom prst="rect">
                      <a:avLst/>
                    </a:prstGeom>
                  </pic:spPr>
                </pic:pic>
              </a:graphicData>
            </a:graphic>
          </wp:inline>
        </w:drawing>
      </w:r>
    </w:p>
    <w:p w14:paraId="23152B78">
      <w:pPr>
        <w:pStyle w:val="29"/>
        <w:numPr>
          <w:ilvl w:val="0"/>
          <w:numId w:val="3"/>
        </w:numPr>
        <w:spacing w:line="600" w:lineRule="exact"/>
        <w:ind w:firstLineChars="0"/>
        <w:outlineLvl w:val="1"/>
        <w:rPr>
          <w:rStyle w:val="31"/>
          <w:rFonts w:ascii="黑体" w:hAnsi="黑体" w:eastAsia="黑体"/>
          <w:b w:val="0"/>
        </w:rPr>
      </w:pPr>
      <w:bookmarkStart w:id="30" w:name="_Toc15377206"/>
      <w:bookmarkStart w:id="31" w:name="_Toc15396604"/>
      <w:bookmarkStart w:id="32" w:name="_Toc12127"/>
      <w:r>
        <w:rPr>
          <w:rFonts w:hint="eastAsia" w:ascii="黑体" w:hAnsi="黑体" w:eastAsia="黑体"/>
          <w:sz w:val="32"/>
          <w:szCs w:val="32"/>
        </w:rPr>
        <w:t>收</w:t>
      </w:r>
      <w:r>
        <w:rPr>
          <w:rStyle w:val="31"/>
          <w:rFonts w:hint="eastAsia" w:ascii="黑体" w:hAnsi="黑体" w:eastAsia="黑体"/>
          <w:b w:val="0"/>
        </w:rPr>
        <w:t>入决算情况说明</w:t>
      </w:r>
      <w:bookmarkEnd w:id="30"/>
      <w:bookmarkEnd w:id="31"/>
      <w:bookmarkEnd w:id="32"/>
    </w:p>
    <w:p w14:paraId="525EE7EF">
      <w:pPr>
        <w:spacing w:line="600" w:lineRule="exact"/>
        <w:ind w:firstLine="640" w:firstLineChars="200"/>
        <w:outlineLvl w:val="1"/>
        <w:rPr>
          <w:rFonts w:hint="eastAsia" w:ascii="仿宋" w:hAnsi="仿宋" w:eastAsia="仿宋"/>
          <w:sz w:val="32"/>
          <w:szCs w:val="32"/>
          <w:lang w:val="en-US" w:eastAsia="zh-CN"/>
        </w:rPr>
      </w:pPr>
      <w:r>
        <w:rPr>
          <w:rFonts w:ascii="仿宋" w:hAnsi="仿宋" w:eastAsia="仿宋"/>
          <w:sz w:val="32"/>
          <w:szCs w:val="32"/>
        </w:rPr>
        <w:t>20</w:t>
      </w:r>
      <w:r>
        <w:rPr>
          <w:rFonts w:hint="eastAsia" w:ascii="仿宋" w:hAnsi="仿宋" w:eastAsia="仿宋"/>
          <w:sz w:val="32"/>
          <w:szCs w:val="32"/>
        </w:rPr>
        <w:t>22年本年收入合计</w:t>
      </w:r>
      <w:r>
        <w:rPr>
          <w:rFonts w:hint="eastAsia" w:ascii="仿宋" w:hAnsi="仿宋" w:eastAsia="仿宋"/>
          <w:sz w:val="32"/>
          <w:szCs w:val="32"/>
          <w:lang w:val="en-US" w:eastAsia="zh-CN"/>
        </w:rPr>
        <w:t>708.13</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705.66</w:t>
      </w:r>
      <w:r>
        <w:rPr>
          <w:rFonts w:hint="eastAsia" w:ascii="仿宋" w:hAnsi="仿宋" w:eastAsia="仿宋"/>
          <w:sz w:val="32"/>
          <w:szCs w:val="32"/>
        </w:rPr>
        <w:t>万元，占</w:t>
      </w:r>
      <w:r>
        <w:rPr>
          <w:rFonts w:hint="eastAsia" w:ascii="仿宋" w:hAnsi="仿宋" w:eastAsia="仿宋"/>
          <w:sz w:val="32"/>
          <w:szCs w:val="32"/>
          <w:lang w:val="en-US" w:eastAsia="zh-CN"/>
        </w:rPr>
        <w:t>99.7</w:t>
      </w:r>
      <w:r>
        <w:rPr>
          <w:rFonts w:ascii="仿宋" w:hAnsi="仿宋" w:eastAsia="仿宋"/>
          <w:sz w:val="32"/>
          <w:szCs w:val="32"/>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2.47</w:t>
      </w:r>
      <w:r>
        <w:rPr>
          <w:rFonts w:hint="eastAsia" w:ascii="仿宋" w:hAnsi="仿宋" w:eastAsia="仿宋"/>
          <w:sz w:val="32"/>
          <w:szCs w:val="32"/>
        </w:rPr>
        <w:t>万元，占</w:t>
      </w:r>
      <w:r>
        <w:rPr>
          <w:rFonts w:hint="eastAsia" w:ascii="仿宋" w:hAnsi="仿宋" w:eastAsia="仿宋"/>
          <w:sz w:val="32"/>
          <w:szCs w:val="32"/>
          <w:lang w:val="en-US" w:eastAsia="zh-CN"/>
        </w:rPr>
        <w:t>0.3</w:t>
      </w:r>
      <w:r>
        <w:rPr>
          <w:rFonts w:ascii="仿宋" w:hAnsi="仿宋" w:eastAsia="仿宋"/>
          <w:sz w:val="32"/>
          <w:szCs w:val="32"/>
        </w:rPr>
        <w:t>%</w:t>
      </w:r>
      <w:r>
        <w:rPr>
          <w:rFonts w:hint="eastAsia" w:ascii="仿宋" w:hAnsi="仿宋" w:eastAsia="仿宋"/>
          <w:sz w:val="32"/>
          <w:szCs w:val="32"/>
        </w:rPr>
        <w:t>；国有资本经营预算财政拨款收入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；上级补助收入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；事业收入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；附属单位上缴收入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1ABDDD18">
      <w:pPr>
        <w:spacing w:line="24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4571365" cy="2752090"/>
            <wp:effectExtent l="0" t="0" r="635" b="1016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7"/>
                    <a:stretch>
                      <a:fillRect/>
                    </a:stretch>
                  </pic:blipFill>
                  <pic:spPr>
                    <a:xfrm>
                      <a:off x="0" y="0"/>
                      <a:ext cx="4571365" cy="2752090"/>
                    </a:xfrm>
                    <a:prstGeom prst="rect">
                      <a:avLst/>
                    </a:prstGeom>
                  </pic:spPr>
                </pic:pic>
              </a:graphicData>
            </a:graphic>
          </wp:inline>
        </w:drawing>
      </w:r>
    </w:p>
    <w:p w14:paraId="625EE966">
      <w:pPr>
        <w:pStyle w:val="29"/>
        <w:numPr>
          <w:ilvl w:val="0"/>
          <w:numId w:val="3"/>
        </w:numPr>
        <w:spacing w:line="600" w:lineRule="exact"/>
        <w:ind w:firstLineChars="0"/>
        <w:outlineLvl w:val="1"/>
        <w:rPr>
          <w:rStyle w:val="31"/>
          <w:rFonts w:ascii="黑体" w:hAnsi="黑体" w:eastAsia="黑体"/>
          <w:b w:val="0"/>
        </w:rPr>
      </w:pPr>
      <w:bookmarkStart w:id="33" w:name="_Toc15396605"/>
      <w:bookmarkStart w:id="34" w:name="_Toc3892"/>
      <w:bookmarkStart w:id="35" w:name="_Toc15377207"/>
      <w:r>
        <w:rPr>
          <w:rFonts w:hint="eastAsia" w:ascii="黑体" w:hAnsi="黑体" w:eastAsia="黑体"/>
          <w:sz w:val="32"/>
          <w:szCs w:val="32"/>
        </w:rPr>
        <w:t>支</w:t>
      </w:r>
      <w:r>
        <w:rPr>
          <w:rStyle w:val="31"/>
          <w:rFonts w:hint="eastAsia" w:ascii="黑体" w:hAnsi="黑体" w:eastAsia="黑体"/>
          <w:b w:val="0"/>
        </w:rPr>
        <w:t>出决算情况说明</w:t>
      </w:r>
      <w:bookmarkEnd w:id="33"/>
      <w:bookmarkEnd w:id="34"/>
      <w:bookmarkEnd w:id="35"/>
    </w:p>
    <w:p w14:paraId="5EE2BFC8">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22年本年支出合计</w:t>
      </w:r>
      <w:r>
        <w:rPr>
          <w:rFonts w:hint="eastAsia" w:ascii="仿宋" w:hAnsi="仿宋" w:eastAsia="仿宋"/>
          <w:sz w:val="32"/>
          <w:szCs w:val="32"/>
          <w:lang w:val="en-US" w:eastAsia="zh-CN"/>
        </w:rPr>
        <w:t>742.76</w:t>
      </w:r>
      <w:r>
        <w:rPr>
          <w:rFonts w:hint="eastAsia" w:ascii="仿宋" w:hAnsi="仿宋" w:eastAsia="仿宋"/>
          <w:sz w:val="32"/>
          <w:szCs w:val="32"/>
        </w:rPr>
        <w:t>万元，其中：基本支出</w:t>
      </w:r>
      <w:r>
        <w:rPr>
          <w:rFonts w:hint="eastAsia" w:ascii="仿宋" w:hAnsi="仿宋" w:eastAsia="仿宋"/>
          <w:sz w:val="32"/>
          <w:szCs w:val="32"/>
          <w:lang w:val="en-US" w:eastAsia="zh-CN"/>
        </w:rPr>
        <w:t>631.55</w:t>
      </w:r>
      <w:r>
        <w:rPr>
          <w:rFonts w:hint="eastAsia" w:ascii="仿宋" w:hAnsi="仿宋" w:eastAsia="仿宋"/>
          <w:sz w:val="32"/>
          <w:szCs w:val="32"/>
        </w:rPr>
        <w:t>万元，占</w:t>
      </w:r>
      <w:r>
        <w:rPr>
          <w:rFonts w:hint="eastAsia" w:ascii="仿宋" w:hAnsi="仿宋" w:eastAsia="仿宋"/>
          <w:sz w:val="32"/>
          <w:szCs w:val="32"/>
          <w:lang w:val="en-US" w:eastAsia="zh-CN"/>
        </w:rPr>
        <w:t>85.1</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111.21</w:t>
      </w:r>
      <w:r>
        <w:rPr>
          <w:rFonts w:hint="eastAsia" w:ascii="仿宋" w:hAnsi="仿宋" w:eastAsia="仿宋"/>
          <w:sz w:val="32"/>
          <w:szCs w:val="32"/>
        </w:rPr>
        <w:t>万元，占</w:t>
      </w:r>
      <w:r>
        <w:rPr>
          <w:rFonts w:hint="eastAsia" w:ascii="仿宋" w:hAnsi="仿宋" w:eastAsia="仿宋"/>
          <w:sz w:val="32"/>
          <w:szCs w:val="32"/>
          <w:lang w:val="en-US" w:eastAsia="zh-CN"/>
        </w:rPr>
        <w:t>14.9</w:t>
      </w:r>
      <w:r>
        <w:rPr>
          <w:rFonts w:ascii="仿宋" w:hAnsi="仿宋" w:eastAsia="仿宋"/>
          <w:sz w:val="32"/>
          <w:szCs w:val="32"/>
        </w:rPr>
        <w:t>%</w:t>
      </w:r>
      <w:r>
        <w:rPr>
          <w:rFonts w:hint="eastAsia" w:ascii="仿宋" w:hAnsi="仿宋" w:eastAsia="仿宋"/>
          <w:sz w:val="32"/>
          <w:szCs w:val="32"/>
        </w:rPr>
        <w:t>；上缴上级支出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；对附属单位补助支出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70FFD48E">
      <w:pPr>
        <w:spacing w:line="24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4590415" cy="2713990"/>
            <wp:effectExtent l="0" t="0" r="635" b="1016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8"/>
                    <a:stretch>
                      <a:fillRect/>
                    </a:stretch>
                  </pic:blipFill>
                  <pic:spPr>
                    <a:xfrm>
                      <a:off x="0" y="0"/>
                      <a:ext cx="4590415" cy="2713990"/>
                    </a:xfrm>
                    <a:prstGeom prst="rect">
                      <a:avLst/>
                    </a:prstGeom>
                  </pic:spPr>
                </pic:pic>
              </a:graphicData>
            </a:graphic>
          </wp:inline>
        </w:drawing>
      </w:r>
    </w:p>
    <w:p w14:paraId="2B0A6DAD">
      <w:pPr>
        <w:spacing w:line="600" w:lineRule="exact"/>
        <w:ind w:firstLine="640" w:firstLineChars="200"/>
        <w:outlineLvl w:val="1"/>
        <w:rPr>
          <w:rStyle w:val="31"/>
          <w:rFonts w:ascii="黑体" w:hAnsi="黑体" w:eastAsia="黑体"/>
          <w:b w:val="0"/>
        </w:rPr>
      </w:pPr>
      <w:bookmarkStart w:id="36" w:name="_Toc15377208"/>
      <w:bookmarkStart w:id="37" w:name="_Toc15396606"/>
      <w:bookmarkStart w:id="38" w:name="_Toc14151"/>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36"/>
      <w:bookmarkEnd w:id="37"/>
      <w:bookmarkEnd w:id="38"/>
    </w:p>
    <w:p w14:paraId="36CB7229">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22年财政拨款收、支总计</w:t>
      </w:r>
      <w:r>
        <w:rPr>
          <w:rFonts w:hint="eastAsia" w:ascii="仿宋" w:hAnsi="仿宋" w:eastAsia="仿宋"/>
          <w:sz w:val="32"/>
          <w:szCs w:val="32"/>
          <w:lang w:val="en-US" w:eastAsia="zh-CN"/>
        </w:rPr>
        <w:t>742.66</w:t>
      </w:r>
      <w:r>
        <w:rPr>
          <w:rFonts w:hint="eastAsia" w:ascii="仿宋" w:hAnsi="仿宋" w:eastAsia="仿宋"/>
          <w:sz w:val="32"/>
          <w:szCs w:val="32"/>
        </w:rPr>
        <w:t>万元。与</w:t>
      </w:r>
      <w:r>
        <w:rPr>
          <w:rFonts w:ascii="仿宋" w:hAnsi="仿宋" w:eastAsia="仿宋"/>
          <w:sz w:val="32"/>
          <w:szCs w:val="32"/>
        </w:rPr>
        <w:t>20</w:t>
      </w:r>
      <w:r>
        <w:rPr>
          <w:rFonts w:hint="eastAsia" w:ascii="仿宋" w:hAnsi="仿宋" w:eastAsia="仿宋"/>
          <w:sz w:val="32"/>
          <w:szCs w:val="32"/>
        </w:rPr>
        <w:t>21年相比，财政拨款收、支总计各增加</w:t>
      </w:r>
      <w:r>
        <w:rPr>
          <w:rFonts w:hint="eastAsia" w:ascii="仿宋" w:hAnsi="仿宋" w:eastAsia="仿宋"/>
          <w:sz w:val="32"/>
          <w:szCs w:val="32"/>
          <w:lang w:val="en-US" w:eastAsia="zh-CN"/>
        </w:rPr>
        <w:t>46.98</w:t>
      </w:r>
      <w:r>
        <w:rPr>
          <w:rFonts w:hint="eastAsia" w:ascii="仿宋" w:hAnsi="仿宋" w:eastAsia="仿宋"/>
          <w:sz w:val="32"/>
          <w:szCs w:val="32"/>
        </w:rPr>
        <w:t>万元，增长</w:t>
      </w:r>
      <w:r>
        <w:rPr>
          <w:rFonts w:hint="eastAsia" w:ascii="仿宋" w:hAnsi="仿宋" w:eastAsia="仿宋"/>
          <w:sz w:val="32"/>
          <w:szCs w:val="32"/>
          <w:lang w:val="en-US" w:eastAsia="zh-CN"/>
        </w:rPr>
        <w:t>6.8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单位人员增加，人员经费支出数增加</w:t>
      </w:r>
      <w:r>
        <w:rPr>
          <w:rFonts w:hint="eastAsia" w:ascii="仿宋" w:hAnsi="仿宋" w:eastAsia="仿宋"/>
          <w:sz w:val="32"/>
          <w:szCs w:val="32"/>
        </w:rPr>
        <w:t>。</w:t>
      </w:r>
    </w:p>
    <w:p w14:paraId="6AA56189">
      <w:pPr>
        <w:spacing w:line="240" w:lineRule="auto"/>
        <w:ind w:firstLine="640"/>
        <w:rPr>
          <w:rFonts w:hint="eastAsia" w:ascii="仿宋" w:hAnsi="仿宋" w:eastAsia="仿宋"/>
          <w:b/>
          <w:sz w:val="32"/>
          <w:szCs w:val="32"/>
          <w:lang w:eastAsia="zh-CN"/>
        </w:rPr>
      </w:pPr>
      <w:r>
        <w:rPr>
          <w:rFonts w:hint="eastAsia" w:ascii="仿宋" w:hAnsi="仿宋" w:eastAsia="仿宋"/>
          <w:b/>
          <w:sz w:val="32"/>
          <w:szCs w:val="32"/>
          <w:lang w:eastAsia="zh-CN"/>
        </w:rPr>
        <w:drawing>
          <wp:inline distT="0" distB="0" distL="114300" distR="114300">
            <wp:extent cx="4580890" cy="2742565"/>
            <wp:effectExtent l="0" t="0" r="10160" b="635"/>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9"/>
                    <a:stretch>
                      <a:fillRect/>
                    </a:stretch>
                  </pic:blipFill>
                  <pic:spPr>
                    <a:xfrm>
                      <a:off x="0" y="0"/>
                      <a:ext cx="4580890" cy="2742565"/>
                    </a:xfrm>
                    <a:prstGeom prst="rect">
                      <a:avLst/>
                    </a:prstGeom>
                  </pic:spPr>
                </pic:pic>
              </a:graphicData>
            </a:graphic>
          </wp:inline>
        </w:drawing>
      </w:r>
    </w:p>
    <w:p w14:paraId="3C5E69AB">
      <w:pPr>
        <w:spacing w:line="600" w:lineRule="exact"/>
        <w:ind w:firstLine="640" w:firstLineChars="200"/>
        <w:outlineLvl w:val="1"/>
        <w:rPr>
          <w:rStyle w:val="31"/>
          <w:rFonts w:ascii="黑体" w:hAnsi="黑体" w:eastAsia="黑体"/>
          <w:b w:val="0"/>
        </w:rPr>
      </w:pPr>
      <w:bookmarkStart w:id="39" w:name="_Toc15377209"/>
      <w:bookmarkStart w:id="40" w:name="_Toc6990"/>
      <w:bookmarkStart w:id="41" w:name="_Toc15396607"/>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39"/>
      <w:bookmarkEnd w:id="40"/>
      <w:bookmarkEnd w:id="41"/>
    </w:p>
    <w:p w14:paraId="6ABC07A4">
      <w:pPr>
        <w:spacing w:line="600" w:lineRule="exact"/>
        <w:ind w:firstLine="643" w:firstLineChars="200"/>
        <w:outlineLvl w:val="2"/>
        <w:rPr>
          <w:rFonts w:ascii="仿宋" w:hAnsi="仿宋" w:eastAsia="仿宋"/>
          <w:b/>
          <w:sz w:val="32"/>
          <w:szCs w:val="32"/>
        </w:rPr>
      </w:pPr>
      <w:bookmarkStart w:id="42" w:name="_Toc425"/>
      <w:bookmarkStart w:id="43" w:name="_Toc15377210"/>
      <w:r>
        <w:rPr>
          <w:rFonts w:hint="eastAsia" w:ascii="仿宋" w:hAnsi="仿宋" w:eastAsia="仿宋"/>
          <w:b/>
          <w:sz w:val="32"/>
          <w:szCs w:val="32"/>
        </w:rPr>
        <w:t>（一）一般公共预算财政拨款支出决算总体情况</w:t>
      </w:r>
      <w:bookmarkEnd w:id="42"/>
      <w:bookmarkEnd w:id="43"/>
    </w:p>
    <w:p w14:paraId="6C32C633">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22年一般公共预算财政拨款支出</w:t>
      </w:r>
      <w:r>
        <w:rPr>
          <w:rFonts w:hint="eastAsia" w:ascii="仿宋" w:hAnsi="仿宋" w:eastAsia="仿宋"/>
          <w:sz w:val="32"/>
          <w:szCs w:val="32"/>
          <w:lang w:val="en-US" w:eastAsia="zh-CN"/>
        </w:rPr>
        <w:t>740.29</w:t>
      </w:r>
      <w:r>
        <w:rPr>
          <w:rFonts w:hint="eastAsia" w:ascii="仿宋" w:hAnsi="仿宋" w:eastAsia="仿宋"/>
          <w:sz w:val="32"/>
          <w:szCs w:val="32"/>
        </w:rPr>
        <w:t>万元，占本年支出合计的</w:t>
      </w:r>
      <w:r>
        <w:rPr>
          <w:rFonts w:hint="eastAsia" w:ascii="仿宋" w:hAnsi="仿宋" w:eastAsia="仿宋"/>
          <w:sz w:val="32"/>
          <w:szCs w:val="32"/>
          <w:lang w:val="en-US" w:eastAsia="zh-CN"/>
        </w:rPr>
        <w:t>99.7</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21年相比，一般公共预算财政拨款支出增加</w:t>
      </w:r>
      <w:r>
        <w:rPr>
          <w:rFonts w:hint="eastAsia" w:ascii="仿宋" w:hAnsi="仿宋" w:eastAsia="仿宋"/>
          <w:sz w:val="32"/>
          <w:szCs w:val="32"/>
          <w:lang w:val="en-US" w:eastAsia="zh-CN"/>
        </w:rPr>
        <w:t>67.29</w:t>
      </w:r>
      <w:r>
        <w:rPr>
          <w:rFonts w:hint="eastAsia" w:ascii="仿宋" w:hAnsi="仿宋" w:eastAsia="仿宋"/>
          <w:sz w:val="32"/>
          <w:szCs w:val="32"/>
        </w:rPr>
        <w:t>万元，增长</w:t>
      </w:r>
      <w:r>
        <w:rPr>
          <w:rFonts w:hint="eastAsia" w:ascii="仿宋" w:hAnsi="仿宋" w:eastAsia="仿宋"/>
          <w:sz w:val="32"/>
          <w:szCs w:val="32"/>
          <w:lang w:val="en-US" w:eastAsia="zh-CN"/>
        </w:rPr>
        <w:t>10</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eastAsia="zh-CN"/>
        </w:rPr>
        <w:t>单位人员增加，人员经费支出数增加</w:t>
      </w:r>
      <w:r>
        <w:rPr>
          <w:rFonts w:hint="eastAsia" w:ascii="仿宋" w:hAnsi="仿宋" w:eastAsia="仿宋"/>
          <w:sz w:val="32"/>
          <w:szCs w:val="32"/>
        </w:rPr>
        <w:t>。</w:t>
      </w:r>
    </w:p>
    <w:p w14:paraId="3B44D37B">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561840" cy="2733040"/>
            <wp:effectExtent l="0" t="0" r="10160" b="10160"/>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10"/>
                    <a:stretch>
                      <a:fillRect/>
                    </a:stretch>
                  </pic:blipFill>
                  <pic:spPr>
                    <a:xfrm>
                      <a:off x="0" y="0"/>
                      <a:ext cx="4561840" cy="2733040"/>
                    </a:xfrm>
                    <a:prstGeom prst="rect">
                      <a:avLst/>
                    </a:prstGeom>
                  </pic:spPr>
                </pic:pic>
              </a:graphicData>
            </a:graphic>
          </wp:inline>
        </w:drawing>
      </w:r>
    </w:p>
    <w:p w14:paraId="3D700769">
      <w:pPr>
        <w:spacing w:line="600" w:lineRule="exact"/>
        <w:ind w:firstLine="643" w:firstLineChars="200"/>
        <w:outlineLvl w:val="2"/>
        <w:rPr>
          <w:rFonts w:ascii="仿宋" w:hAnsi="仿宋" w:eastAsia="仿宋"/>
          <w:b/>
          <w:sz w:val="32"/>
          <w:szCs w:val="32"/>
        </w:rPr>
      </w:pPr>
      <w:bookmarkStart w:id="44" w:name="_Toc15377211"/>
      <w:bookmarkStart w:id="45" w:name="_Toc25015"/>
      <w:r>
        <w:rPr>
          <w:rFonts w:hint="eastAsia" w:ascii="仿宋" w:hAnsi="仿宋" w:eastAsia="仿宋"/>
          <w:b/>
          <w:sz w:val="32"/>
          <w:szCs w:val="32"/>
        </w:rPr>
        <w:t>（二）一般公共预算财政拨款支出决算结构情况</w:t>
      </w:r>
      <w:bookmarkEnd w:id="44"/>
      <w:bookmarkEnd w:id="45"/>
    </w:p>
    <w:p w14:paraId="4DAD9E96">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22年一般公共预算财政拨款支出</w:t>
      </w:r>
      <w:r>
        <w:rPr>
          <w:rFonts w:hint="eastAsia" w:ascii="仿宋" w:hAnsi="仿宋" w:eastAsia="仿宋"/>
          <w:sz w:val="32"/>
          <w:szCs w:val="32"/>
          <w:lang w:val="en-US" w:eastAsia="zh-CN"/>
        </w:rPr>
        <w:t>740.29</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0.25</w:t>
      </w:r>
      <w:r>
        <w:rPr>
          <w:rFonts w:hint="eastAsia" w:ascii="仿宋" w:hAnsi="仿宋" w:eastAsia="仿宋"/>
          <w:sz w:val="32"/>
          <w:szCs w:val="32"/>
        </w:rPr>
        <w:t>万元，占</w:t>
      </w:r>
      <w:r>
        <w:rPr>
          <w:rFonts w:hint="eastAsia" w:ascii="仿宋" w:hAnsi="仿宋" w:eastAsia="仿宋"/>
          <w:sz w:val="32"/>
          <w:szCs w:val="32"/>
          <w:lang w:val="en-US" w:eastAsia="zh-CN"/>
        </w:rPr>
        <w:t>0.1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lang w:eastAsia="zh-CN"/>
        </w:rPr>
        <w:t>公共安全支出</w:t>
      </w:r>
      <w:r>
        <w:rPr>
          <w:rFonts w:hint="eastAsia" w:ascii="仿宋" w:hAnsi="仿宋" w:eastAsia="仿宋"/>
          <w:sz w:val="32"/>
          <w:szCs w:val="32"/>
          <w:lang w:val="en-US" w:eastAsia="zh-CN"/>
        </w:rPr>
        <w:t>613.87万元，占82.7%；</w:t>
      </w:r>
      <w:r>
        <w:rPr>
          <w:rFonts w:hint="eastAsia" w:ascii="仿宋" w:hAnsi="仿宋" w:eastAsia="仿宋"/>
          <w:b/>
          <w:sz w:val="32"/>
          <w:szCs w:val="32"/>
        </w:rPr>
        <w:t>教育支出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科学技术</w:t>
      </w:r>
      <w:r>
        <w:rPr>
          <w:rFonts w:hint="eastAsia" w:ascii="仿宋" w:hAnsi="仿宋" w:eastAsia="仿宋"/>
          <w:b/>
          <w:bCs/>
          <w:sz w:val="32"/>
          <w:szCs w:val="32"/>
        </w:rPr>
        <w:t>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文化旅游体育与传媒支出</w:t>
      </w:r>
      <w:r>
        <w:rPr>
          <w:rFonts w:hint="eastAsia" w:ascii="仿宋" w:hAnsi="仿宋" w:eastAsia="仿宋"/>
          <w:b/>
          <w:bCs/>
          <w:sz w:val="32"/>
          <w:szCs w:val="32"/>
          <w:lang w:val="en-US" w:eastAsia="zh-CN"/>
        </w:rPr>
        <w:t>0</w:t>
      </w:r>
      <w:r>
        <w:rPr>
          <w:rFonts w:hint="eastAsia" w:ascii="仿宋" w:hAnsi="仿宋" w:eastAsia="仿宋"/>
          <w:b/>
          <w:bCs/>
          <w:sz w:val="32"/>
          <w:szCs w:val="32"/>
        </w:rPr>
        <w:t>万元，占</w:t>
      </w:r>
      <w:r>
        <w:rPr>
          <w:rFonts w:hint="eastAsia" w:ascii="仿宋" w:hAnsi="仿宋" w:eastAsia="仿宋"/>
          <w:b/>
          <w:bCs/>
          <w:sz w:val="32"/>
          <w:szCs w:val="32"/>
          <w:lang w:val="en-US" w:eastAsia="zh-CN"/>
        </w:rPr>
        <w:t>0</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lang w:val="en-US" w:eastAsia="zh-CN"/>
        </w:rPr>
        <w:t>41.01</w:t>
      </w:r>
      <w:r>
        <w:rPr>
          <w:rFonts w:hint="eastAsia" w:ascii="仿宋" w:hAnsi="仿宋" w:eastAsia="仿宋"/>
          <w:sz w:val="32"/>
          <w:szCs w:val="32"/>
        </w:rPr>
        <w:t>万元，占</w:t>
      </w:r>
      <w:r>
        <w:rPr>
          <w:rFonts w:hint="eastAsia" w:ascii="仿宋" w:hAnsi="仿宋" w:eastAsia="仿宋"/>
          <w:sz w:val="32"/>
          <w:szCs w:val="32"/>
          <w:lang w:val="en-US" w:eastAsia="zh-CN"/>
        </w:rPr>
        <w:t>5.6</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35.16</w:t>
      </w:r>
      <w:r>
        <w:rPr>
          <w:rFonts w:hint="eastAsia" w:ascii="仿宋" w:hAnsi="仿宋" w:eastAsia="仿宋"/>
          <w:sz w:val="32"/>
          <w:szCs w:val="32"/>
        </w:rPr>
        <w:t>万元，占</w:t>
      </w:r>
      <w:r>
        <w:rPr>
          <w:rFonts w:hint="eastAsia" w:ascii="仿宋" w:hAnsi="仿宋" w:eastAsia="仿宋"/>
          <w:sz w:val="32"/>
          <w:szCs w:val="32"/>
          <w:lang w:val="en-US" w:eastAsia="zh-CN"/>
        </w:rPr>
        <w:t>4.8</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lang w:val="en-US" w:eastAsia="zh-CN"/>
        </w:rPr>
        <w:t>50</w:t>
      </w:r>
      <w:r>
        <w:rPr>
          <w:rFonts w:hint="eastAsia" w:ascii="仿宋" w:hAnsi="仿宋" w:eastAsia="仿宋"/>
          <w:sz w:val="32"/>
          <w:szCs w:val="32"/>
        </w:rPr>
        <w:t>万元，占</w:t>
      </w:r>
      <w:r>
        <w:rPr>
          <w:rFonts w:hint="eastAsia" w:ascii="仿宋" w:hAnsi="仿宋" w:eastAsia="仿宋"/>
          <w:sz w:val="32"/>
          <w:szCs w:val="32"/>
          <w:lang w:val="en-US" w:eastAsia="zh-CN"/>
        </w:rPr>
        <w:t>6.8</w:t>
      </w:r>
      <w:r>
        <w:rPr>
          <w:rFonts w:ascii="仿宋" w:hAnsi="仿宋" w:eastAsia="仿宋"/>
          <w:sz w:val="32"/>
          <w:szCs w:val="32"/>
        </w:rPr>
        <w:t>%</w:t>
      </w:r>
      <w:r>
        <w:rPr>
          <w:rFonts w:hint="eastAsia" w:ascii="仿宋" w:hAnsi="仿宋" w:eastAsia="仿宋"/>
          <w:sz w:val="32"/>
          <w:szCs w:val="32"/>
        </w:rPr>
        <w:t>。</w:t>
      </w:r>
    </w:p>
    <w:p w14:paraId="1DA1DDC1">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571365" cy="2733040"/>
            <wp:effectExtent l="0" t="0" r="635" b="10160"/>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11"/>
                    <a:stretch>
                      <a:fillRect/>
                    </a:stretch>
                  </pic:blipFill>
                  <pic:spPr>
                    <a:xfrm>
                      <a:off x="0" y="0"/>
                      <a:ext cx="4571365" cy="2733040"/>
                    </a:xfrm>
                    <a:prstGeom prst="rect">
                      <a:avLst/>
                    </a:prstGeom>
                  </pic:spPr>
                </pic:pic>
              </a:graphicData>
            </a:graphic>
          </wp:inline>
        </w:drawing>
      </w:r>
    </w:p>
    <w:p w14:paraId="277297B8">
      <w:pPr>
        <w:spacing w:line="600" w:lineRule="exact"/>
        <w:ind w:firstLine="643" w:firstLineChars="200"/>
        <w:outlineLvl w:val="2"/>
        <w:rPr>
          <w:rFonts w:ascii="仿宋" w:hAnsi="仿宋" w:eastAsia="仿宋"/>
          <w:b/>
          <w:sz w:val="32"/>
          <w:szCs w:val="32"/>
        </w:rPr>
      </w:pPr>
      <w:bookmarkStart w:id="46" w:name="_Toc26845"/>
      <w:bookmarkStart w:id="47" w:name="_Toc15377212"/>
      <w:r>
        <w:rPr>
          <w:rFonts w:hint="eastAsia" w:ascii="仿宋" w:hAnsi="仿宋" w:eastAsia="仿宋"/>
          <w:b/>
          <w:sz w:val="32"/>
          <w:szCs w:val="32"/>
        </w:rPr>
        <w:t>（三）一般公共预算财政拨款支出决算具体情况</w:t>
      </w:r>
      <w:bookmarkEnd w:id="46"/>
      <w:bookmarkEnd w:id="47"/>
    </w:p>
    <w:p w14:paraId="78FE920F">
      <w:pPr>
        <w:spacing w:line="600" w:lineRule="exact"/>
        <w:ind w:firstLine="643" w:firstLineChars="200"/>
        <w:outlineLvl w:val="2"/>
        <w:rPr>
          <w:rFonts w:ascii="仿宋" w:hAnsi="仿宋" w:eastAsia="仿宋"/>
          <w:sz w:val="32"/>
          <w:szCs w:val="32"/>
        </w:rPr>
      </w:pPr>
      <w:bookmarkStart w:id="48" w:name="_Toc15377213"/>
      <w:bookmarkStart w:id="49" w:name="_Toc15377444"/>
      <w:bookmarkStart w:id="50" w:name="_Toc15378460"/>
      <w:r>
        <w:rPr>
          <w:rFonts w:hint="eastAsia" w:ascii="仿宋" w:hAnsi="仿宋" w:eastAsia="仿宋"/>
          <w:b/>
          <w:sz w:val="32"/>
          <w:szCs w:val="32"/>
        </w:rPr>
        <w:t>2022年一般公共预算支出决算数为</w:t>
      </w:r>
      <w:r>
        <w:rPr>
          <w:rFonts w:hint="eastAsia" w:ascii="仿宋" w:hAnsi="仿宋" w:eastAsia="仿宋"/>
          <w:b/>
          <w:sz w:val="32"/>
          <w:szCs w:val="32"/>
          <w:lang w:val="en-US" w:eastAsia="zh-CN"/>
        </w:rPr>
        <w:t>740.29</w:t>
      </w:r>
      <w:r>
        <w:rPr>
          <w:rFonts w:hint="eastAsia" w:ascii="仿宋" w:hAnsi="仿宋" w:eastAsia="仿宋"/>
          <w:sz w:val="32"/>
          <w:szCs w:val="32"/>
        </w:rPr>
        <w:t>，</w:t>
      </w:r>
      <w:r>
        <w:rPr>
          <w:rStyle w:val="18"/>
          <w:rFonts w:hint="eastAsia" w:ascii="仿宋" w:hAnsi="仿宋" w:eastAsia="仿宋"/>
          <w:bCs/>
          <w:sz w:val="32"/>
          <w:szCs w:val="32"/>
        </w:rPr>
        <w:t>完成预算</w:t>
      </w:r>
      <w:r>
        <w:rPr>
          <w:rStyle w:val="18"/>
          <w:rFonts w:hint="eastAsia" w:ascii="仿宋" w:hAnsi="仿宋" w:eastAsia="仿宋"/>
          <w:bCs/>
          <w:sz w:val="32"/>
          <w:szCs w:val="32"/>
          <w:lang w:val="en-US" w:eastAsia="zh-CN"/>
        </w:rPr>
        <w:t>100</w:t>
      </w:r>
      <w:r>
        <w:rPr>
          <w:rStyle w:val="18"/>
          <w:rFonts w:ascii="仿宋" w:hAnsi="仿宋" w:eastAsia="仿宋"/>
          <w:bCs/>
          <w:sz w:val="32"/>
          <w:szCs w:val="32"/>
        </w:rPr>
        <w:t>%</w:t>
      </w:r>
      <w:r>
        <w:rPr>
          <w:rStyle w:val="18"/>
          <w:rFonts w:hint="eastAsia" w:ascii="仿宋" w:hAnsi="仿宋" w:eastAsia="仿宋"/>
          <w:bCs/>
          <w:sz w:val="32"/>
          <w:szCs w:val="32"/>
        </w:rPr>
        <w:t>。其中：</w:t>
      </w:r>
      <w:bookmarkEnd w:id="48"/>
      <w:bookmarkEnd w:id="49"/>
      <w:bookmarkEnd w:id="50"/>
    </w:p>
    <w:p w14:paraId="7C455714">
      <w:pPr>
        <w:spacing w:line="600" w:lineRule="exact"/>
        <w:ind w:firstLine="643" w:firstLineChars="200"/>
        <w:rPr>
          <w:rFonts w:ascii="仿宋" w:hAnsi="仿宋" w:eastAsia="仿宋"/>
          <w:b/>
          <w:sz w:val="32"/>
          <w:szCs w:val="32"/>
        </w:rPr>
      </w:pPr>
      <w:r>
        <w:rPr>
          <w:rStyle w:val="18"/>
          <w:rFonts w:ascii="仿宋" w:hAnsi="仿宋" w:eastAsia="仿宋"/>
          <w:bCs/>
          <w:sz w:val="32"/>
          <w:szCs w:val="32"/>
        </w:rPr>
        <w:t>1.</w:t>
      </w:r>
      <w:r>
        <w:rPr>
          <w:rStyle w:val="18"/>
          <w:rFonts w:hint="eastAsia" w:ascii="仿宋" w:hAnsi="仿宋" w:eastAsia="仿宋"/>
          <w:bCs/>
          <w:sz w:val="32"/>
          <w:szCs w:val="32"/>
        </w:rPr>
        <w:t>一般公共服务（类）财政事务（款）一般行政管理事务（项）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0.25</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4907FFDE">
      <w:pPr>
        <w:spacing w:line="600" w:lineRule="exact"/>
        <w:ind w:firstLine="643" w:firstLineChars="200"/>
        <w:rPr>
          <w:rStyle w:val="18"/>
          <w:rFonts w:hint="eastAsia" w:ascii="仿宋" w:hAnsi="仿宋" w:eastAsia="仿宋"/>
          <w:b w:val="0"/>
          <w:bCs/>
          <w:sz w:val="32"/>
          <w:szCs w:val="32"/>
        </w:rPr>
      </w:pPr>
      <w:r>
        <w:rPr>
          <w:rStyle w:val="18"/>
          <w:rFonts w:ascii="仿宋" w:hAnsi="仿宋" w:eastAsia="仿宋"/>
          <w:bCs/>
          <w:sz w:val="32"/>
          <w:szCs w:val="32"/>
        </w:rPr>
        <w:t>2.</w:t>
      </w:r>
      <w:r>
        <w:rPr>
          <w:rStyle w:val="18"/>
          <w:rFonts w:hint="eastAsia" w:ascii="仿宋" w:hAnsi="仿宋" w:eastAsia="仿宋"/>
          <w:bCs/>
          <w:sz w:val="32"/>
          <w:szCs w:val="32"/>
        </w:rPr>
        <w:t>公共安全支出（类）司法（款）行政运行（项）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支出决算为479.33万元，完成预算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774BBC26">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3</w:t>
      </w:r>
      <w:r>
        <w:rPr>
          <w:rStyle w:val="18"/>
          <w:rFonts w:ascii="仿宋" w:hAnsi="仿宋" w:eastAsia="仿宋"/>
          <w:bCs/>
          <w:sz w:val="32"/>
          <w:szCs w:val="32"/>
        </w:rPr>
        <w:t>.</w:t>
      </w:r>
      <w:r>
        <w:rPr>
          <w:rStyle w:val="18"/>
          <w:rFonts w:hint="eastAsia" w:ascii="仿宋" w:hAnsi="仿宋" w:eastAsia="仿宋"/>
          <w:bCs/>
          <w:sz w:val="32"/>
          <w:szCs w:val="32"/>
        </w:rPr>
        <w:t>公共安全支出（类）司法（款）一般行政管理事务（项）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83.05</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34F91B4E">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4</w:t>
      </w:r>
      <w:r>
        <w:rPr>
          <w:rStyle w:val="18"/>
          <w:rFonts w:ascii="仿宋" w:hAnsi="仿宋" w:eastAsia="仿宋"/>
          <w:bCs/>
          <w:sz w:val="32"/>
          <w:szCs w:val="32"/>
        </w:rPr>
        <w:t>.</w:t>
      </w:r>
      <w:r>
        <w:rPr>
          <w:rStyle w:val="18"/>
          <w:rFonts w:hint="eastAsia" w:ascii="仿宋" w:hAnsi="仿宋" w:eastAsia="仿宋"/>
          <w:bCs/>
          <w:sz w:val="32"/>
          <w:szCs w:val="32"/>
        </w:rPr>
        <w:t>公共安全支出（类）司法（款）公共法律服务（项）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支出决算为4.11万元，完成预算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79B70D45">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5</w:t>
      </w:r>
      <w:r>
        <w:rPr>
          <w:rStyle w:val="18"/>
          <w:rFonts w:ascii="仿宋" w:hAnsi="仿宋" w:eastAsia="仿宋"/>
          <w:bCs/>
          <w:sz w:val="32"/>
          <w:szCs w:val="32"/>
        </w:rPr>
        <w:t>.</w:t>
      </w:r>
      <w:r>
        <w:rPr>
          <w:rStyle w:val="18"/>
          <w:rFonts w:hint="eastAsia" w:ascii="仿宋" w:hAnsi="仿宋" w:eastAsia="仿宋"/>
          <w:bCs/>
          <w:sz w:val="32"/>
          <w:szCs w:val="32"/>
        </w:rPr>
        <w:t>公共安全支出（类）司法（款）社区矫正（项）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支出决算为0.58万元，完成预算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5D644BD7">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6</w:t>
      </w:r>
      <w:r>
        <w:rPr>
          <w:rStyle w:val="18"/>
          <w:rFonts w:ascii="仿宋" w:hAnsi="仿宋" w:eastAsia="仿宋"/>
          <w:bCs/>
          <w:sz w:val="32"/>
          <w:szCs w:val="32"/>
        </w:rPr>
        <w:t>.</w:t>
      </w:r>
      <w:r>
        <w:rPr>
          <w:rStyle w:val="18"/>
          <w:rFonts w:hint="eastAsia" w:ascii="仿宋" w:hAnsi="仿宋" w:eastAsia="仿宋"/>
          <w:bCs/>
          <w:sz w:val="32"/>
          <w:szCs w:val="32"/>
        </w:rPr>
        <w:t>公共安全支出（类）司法（款）事业运行（项）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支出决算为26.05万元，完成预算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078AA193">
      <w:pPr>
        <w:spacing w:line="600" w:lineRule="exact"/>
        <w:ind w:firstLine="643" w:firstLineChars="200"/>
        <w:rPr>
          <w:rStyle w:val="18"/>
          <w:rFonts w:ascii="仿宋" w:hAnsi="仿宋" w:eastAsia="仿宋"/>
          <w:bCs/>
          <w:sz w:val="32"/>
          <w:szCs w:val="32"/>
        </w:rPr>
      </w:pPr>
      <w:r>
        <w:rPr>
          <w:rStyle w:val="18"/>
          <w:rFonts w:hint="eastAsia" w:ascii="仿宋" w:hAnsi="仿宋" w:eastAsia="仿宋"/>
          <w:bCs/>
          <w:sz w:val="32"/>
          <w:szCs w:val="32"/>
          <w:lang w:val="en-US" w:eastAsia="zh-CN"/>
        </w:rPr>
        <w:t>7</w:t>
      </w:r>
      <w:r>
        <w:rPr>
          <w:rStyle w:val="18"/>
          <w:rFonts w:ascii="仿宋" w:hAnsi="仿宋" w:eastAsia="仿宋"/>
          <w:bCs/>
          <w:sz w:val="32"/>
          <w:szCs w:val="32"/>
        </w:rPr>
        <w:t>.</w:t>
      </w:r>
      <w:r>
        <w:rPr>
          <w:rStyle w:val="18"/>
          <w:rFonts w:hint="eastAsia" w:ascii="仿宋" w:hAnsi="仿宋" w:eastAsia="仿宋"/>
          <w:bCs/>
          <w:sz w:val="32"/>
          <w:szCs w:val="32"/>
        </w:rPr>
        <w:t>公共安全支出（类）司法（款）其他司法支出（项）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支出决算为20.75万元，完成预算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3AE9C723">
      <w:pPr>
        <w:spacing w:line="600" w:lineRule="exact"/>
        <w:ind w:firstLine="643" w:firstLineChars="200"/>
        <w:rPr>
          <w:rStyle w:val="18"/>
          <w:rFonts w:hint="eastAsia" w:ascii="仿宋" w:hAnsi="仿宋" w:eastAsia="仿宋"/>
          <w:b w:val="0"/>
          <w:bCs/>
          <w:sz w:val="32"/>
          <w:szCs w:val="32"/>
        </w:rPr>
      </w:pPr>
      <w:r>
        <w:rPr>
          <w:rStyle w:val="18"/>
          <w:rFonts w:hint="eastAsia" w:ascii="仿宋" w:hAnsi="仿宋" w:eastAsia="仿宋"/>
          <w:bCs/>
          <w:sz w:val="32"/>
          <w:szCs w:val="32"/>
          <w:lang w:val="en-US" w:eastAsia="zh-CN"/>
        </w:rPr>
        <w:t>8</w:t>
      </w:r>
      <w:r>
        <w:rPr>
          <w:rStyle w:val="18"/>
          <w:rFonts w:ascii="仿宋" w:hAnsi="仿宋" w:eastAsia="仿宋"/>
          <w:bCs/>
          <w:sz w:val="32"/>
          <w:szCs w:val="32"/>
        </w:rPr>
        <w:t>.</w:t>
      </w:r>
      <w:r>
        <w:rPr>
          <w:rStyle w:val="18"/>
          <w:rFonts w:hint="eastAsia" w:ascii="仿宋" w:hAnsi="仿宋" w:eastAsia="仿宋"/>
          <w:bCs/>
          <w:sz w:val="32"/>
          <w:szCs w:val="32"/>
        </w:rPr>
        <w:t>社会保障和就业（类）行政事业单位养老支出（款）行政单位离退休（项）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支出决算为4.95万元，完成预算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6B0F6465">
      <w:pPr>
        <w:spacing w:line="600" w:lineRule="exact"/>
        <w:ind w:firstLine="643" w:firstLineChars="200"/>
      </w:pPr>
      <w:r>
        <w:rPr>
          <w:rStyle w:val="18"/>
          <w:rFonts w:hint="eastAsia" w:ascii="仿宋" w:hAnsi="仿宋" w:eastAsia="仿宋"/>
          <w:bCs/>
          <w:sz w:val="32"/>
          <w:szCs w:val="32"/>
          <w:lang w:val="en-US" w:eastAsia="zh-CN"/>
        </w:rPr>
        <w:t>9</w:t>
      </w:r>
      <w:r>
        <w:rPr>
          <w:rStyle w:val="18"/>
          <w:rFonts w:ascii="仿宋" w:hAnsi="仿宋" w:eastAsia="仿宋"/>
          <w:bCs/>
          <w:sz w:val="32"/>
          <w:szCs w:val="32"/>
        </w:rPr>
        <w:t>.</w:t>
      </w:r>
      <w:r>
        <w:rPr>
          <w:rStyle w:val="18"/>
          <w:rFonts w:hint="eastAsia" w:ascii="仿宋" w:hAnsi="仿宋" w:eastAsia="仿宋"/>
          <w:bCs/>
          <w:sz w:val="32"/>
          <w:szCs w:val="32"/>
        </w:rPr>
        <w:t>社会保障和就业（类）行政事业单位养老支出（款）机关事业单位基本养老保险缴费支出（项）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36.06</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0B5CB7BD">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10</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（类）行政事业单位医疗（款）行政单位医疗（项）</w:t>
      </w:r>
      <w:r>
        <w:rPr>
          <w:rStyle w:val="18"/>
          <w:rFonts w:ascii="仿宋" w:hAnsi="仿宋" w:eastAsia="仿宋"/>
          <w:bCs/>
          <w:sz w:val="32"/>
          <w:szCs w:val="32"/>
        </w:rPr>
        <w:t>:</w:t>
      </w:r>
      <w:r>
        <w:rPr>
          <w:rStyle w:val="18"/>
          <w:rFonts w:hint="eastAsia" w:ascii="仿宋" w:hAnsi="仿宋" w:eastAsia="仿宋"/>
          <w:b w:val="0"/>
          <w:bCs/>
          <w:sz w:val="32"/>
          <w:szCs w:val="32"/>
        </w:rPr>
        <w:t>支出决算为30.37万元，完成预算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23C55CDD">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11</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（类）行政事业单位医疗（款）事业单位医疗（项）</w:t>
      </w:r>
      <w:r>
        <w:rPr>
          <w:rStyle w:val="18"/>
          <w:rFonts w:ascii="仿宋" w:hAnsi="仿宋" w:eastAsia="仿宋"/>
          <w:bCs/>
          <w:sz w:val="32"/>
          <w:szCs w:val="32"/>
        </w:rPr>
        <w:t>:</w:t>
      </w:r>
      <w:r>
        <w:rPr>
          <w:rStyle w:val="18"/>
          <w:rFonts w:hint="eastAsia" w:ascii="仿宋" w:hAnsi="仿宋" w:eastAsia="仿宋"/>
          <w:b w:val="0"/>
          <w:bCs/>
          <w:sz w:val="32"/>
          <w:szCs w:val="32"/>
        </w:rPr>
        <w:t>支出决算为1.61万元，完成预算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30A20473">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12</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（类）行政事业单位医疗（款）公务员医疗补助（项）</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3</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589FF2CE">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13</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（类）行政事业单位医疗（款）其他行政事业单位医疗支出（项）</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0.18</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36708807">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14</w:t>
      </w:r>
      <w:r>
        <w:rPr>
          <w:rStyle w:val="18"/>
          <w:rFonts w:ascii="仿宋" w:hAnsi="仿宋" w:eastAsia="仿宋"/>
          <w:bCs/>
          <w:sz w:val="32"/>
          <w:szCs w:val="32"/>
        </w:rPr>
        <w:t>.</w:t>
      </w:r>
      <w:r>
        <w:rPr>
          <w:rFonts w:hint="eastAsia" w:ascii="仿宋" w:hAnsi="仿宋" w:eastAsia="仿宋"/>
          <w:b/>
          <w:bCs/>
          <w:sz w:val="32"/>
          <w:szCs w:val="32"/>
        </w:rPr>
        <w:t>住房保障支出</w:t>
      </w:r>
      <w:r>
        <w:rPr>
          <w:rStyle w:val="18"/>
          <w:rFonts w:hint="eastAsia" w:ascii="仿宋" w:hAnsi="仿宋" w:eastAsia="仿宋"/>
          <w:bCs/>
          <w:sz w:val="32"/>
          <w:szCs w:val="32"/>
        </w:rPr>
        <w:t>（类）住房改革支出（款）住房公积金（项）</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50</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7F669A5B">
      <w:pPr>
        <w:tabs>
          <w:tab w:val="right" w:pos="8306"/>
        </w:tabs>
        <w:spacing w:line="600" w:lineRule="exact"/>
        <w:ind w:firstLine="640"/>
        <w:outlineLvl w:val="1"/>
        <w:rPr>
          <w:rStyle w:val="31"/>
        </w:rPr>
      </w:pPr>
      <w:bookmarkStart w:id="51" w:name="_Toc15377214"/>
      <w:bookmarkStart w:id="52" w:name="_Toc15396608"/>
      <w:bookmarkStart w:id="53" w:name="_Toc31599"/>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51"/>
      <w:bookmarkEnd w:id="52"/>
      <w:bookmarkEnd w:id="53"/>
      <w:r>
        <w:rPr>
          <w:rStyle w:val="31"/>
          <w:rFonts w:ascii="黑体" w:hAnsi="黑体" w:eastAsia="黑体"/>
          <w:b w:val="0"/>
        </w:rPr>
        <w:tab/>
      </w:r>
    </w:p>
    <w:p w14:paraId="6EE7B5AA">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22年一般公共预算财政拨款基本支出</w:t>
      </w:r>
      <w:r>
        <w:rPr>
          <w:rFonts w:hint="eastAsia" w:ascii="仿宋" w:hAnsi="仿宋" w:eastAsia="仿宋"/>
          <w:sz w:val="32"/>
          <w:szCs w:val="32"/>
          <w:lang w:val="en-US" w:eastAsia="zh-CN"/>
        </w:rPr>
        <w:t>631.55</w:t>
      </w:r>
      <w:r>
        <w:rPr>
          <w:rFonts w:hint="eastAsia" w:ascii="仿宋" w:hAnsi="仿宋" w:eastAsia="仿宋"/>
          <w:sz w:val="32"/>
          <w:szCs w:val="32"/>
        </w:rPr>
        <w:t>万元，其中：</w:t>
      </w:r>
    </w:p>
    <w:p w14:paraId="7390FDE8">
      <w:pPr>
        <w:spacing w:line="600" w:lineRule="exact"/>
        <w:ind w:firstLine="645"/>
        <w:rPr>
          <w:rFonts w:ascii="仿宋" w:hAnsi="仿宋" w:eastAsia="仿宋"/>
          <w:b/>
          <w:sz w:val="32"/>
          <w:szCs w:val="32"/>
        </w:rPr>
      </w:pPr>
      <w:r>
        <w:rPr>
          <w:rFonts w:hint="eastAsia" w:ascii="仿宋" w:hAnsi="仿宋" w:eastAsia="仿宋"/>
          <w:sz w:val="32"/>
          <w:szCs w:val="32"/>
        </w:rPr>
        <w:t>人员经费</w:t>
      </w:r>
      <w:r>
        <w:rPr>
          <w:rFonts w:hint="eastAsia" w:ascii="仿宋" w:hAnsi="仿宋" w:eastAsia="仿宋"/>
          <w:sz w:val="32"/>
          <w:szCs w:val="32"/>
          <w:lang w:val="en-US" w:eastAsia="zh-CN"/>
        </w:rPr>
        <w:t>582.9</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sz w:val="32"/>
          <w:szCs w:val="32"/>
          <w:lang w:val="en-US" w:eastAsia="zh-CN"/>
        </w:rPr>
        <w:t>48.65</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0D8D8D5">
      <w:pPr>
        <w:spacing w:line="600" w:lineRule="exact"/>
        <w:ind w:firstLine="640"/>
        <w:outlineLvl w:val="1"/>
        <w:rPr>
          <w:rStyle w:val="31"/>
          <w:rFonts w:ascii="黑体" w:hAnsi="黑体" w:eastAsia="黑体"/>
          <w:b w:val="0"/>
        </w:rPr>
      </w:pPr>
      <w:bookmarkStart w:id="54" w:name="_Toc15377215"/>
      <w:bookmarkStart w:id="55" w:name="_Toc15396609"/>
      <w:bookmarkStart w:id="56" w:name="_Toc12764"/>
      <w:r>
        <w:rPr>
          <w:rFonts w:hint="eastAsia" w:ascii="黑体" w:eastAsia="黑体"/>
          <w:sz w:val="32"/>
          <w:szCs w:val="32"/>
        </w:rPr>
        <w:t>七、</w:t>
      </w:r>
      <w:r>
        <w:rPr>
          <w:rStyle w:val="31"/>
          <w:rFonts w:hint="eastAsia" w:ascii="黑体" w:hAnsi="黑体" w:eastAsia="黑体"/>
          <w:b w:val="0"/>
        </w:rPr>
        <w:t>财政拨款</w:t>
      </w:r>
      <w:r>
        <w:rPr>
          <w:rStyle w:val="31"/>
          <w:rFonts w:hint="eastAsia" w:ascii="黑体" w:hAnsi="黑体" w:eastAsia="黑体"/>
        </w:rPr>
        <w:t>“</w:t>
      </w:r>
      <w:r>
        <w:rPr>
          <w:rStyle w:val="31"/>
          <w:rFonts w:hint="eastAsia" w:ascii="黑体" w:hAnsi="黑体" w:eastAsia="黑体"/>
          <w:b w:val="0"/>
        </w:rPr>
        <w:t>三公”经费支出决算情况说明</w:t>
      </w:r>
      <w:bookmarkEnd w:id="54"/>
      <w:bookmarkEnd w:id="55"/>
      <w:bookmarkEnd w:id="56"/>
    </w:p>
    <w:p w14:paraId="248ED8C6">
      <w:pPr>
        <w:spacing w:line="600" w:lineRule="exact"/>
        <w:ind w:firstLine="640"/>
        <w:outlineLvl w:val="2"/>
        <w:rPr>
          <w:rFonts w:ascii="仿宋" w:hAnsi="仿宋" w:eastAsia="仿宋"/>
          <w:b/>
          <w:sz w:val="32"/>
          <w:szCs w:val="32"/>
        </w:rPr>
      </w:pPr>
      <w:bookmarkStart w:id="57" w:name="_Toc15377216"/>
      <w:bookmarkStart w:id="58" w:name="_Toc20888"/>
      <w:r>
        <w:rPr>
          <w:rFonts w:hint="eastAsia" w:ascii="仿宋" w:hAnsi="仿宋" w:eastAsia="仿宋"/>
          <w:b/>
          <w:sz w:val="32"/>
          <w:szCs w:val="32"/>
        </w:rPr>
        <w:t>（一）“三公”经费财政拨款支出决算总体情况说明</w:t>
      </w:r>
      <w:bookmarkEnd w:id="57"/>
      <w:bookmarkEnd w:id="58"/>
    </w:p>
    <w:p w14:paraId="760FD5C7">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22年“三公”经费财政拨款支出决算为</w:t>
      </w:r>
      <w:r>
        <w:rPr>
          <w:rFonts w:hint="eastAsia" w:ascii="仿宋" w:hAnsi="仿宋" w:eastAsia="仿宋"/>
          <w:sz w:val="32"/>
          <w:szCs w:val="32"/>
          <w:lang w:val="en-US" w:eastAsia="zh-CN"/>
        </w:rPr>
        <w:t>26.35</w:t>
      </w:r>
      <w:r>
        <w:rPr>
          <w:rFonts w:hint="eastAsia" w:ascii="仿宋" w:hAnsi="仿宋" w:eastAsia="仿宋"/>
          <w:sz w:val="32"/>
          <w:szCs w:val="32"/>
        </w:rPr>
        <w:t>万元，完成预算</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，较上年增加</w:t>
      </w:r>
      <w:r>
        <w:rPr>
          <w:rFonts w:hint="eastAsia" w:ascii="仿宋" w:hAnsi="仿宋" w:eastAsia="仿宋"/>
          <w:sz w:val="32"/>
          <w:szCs w:val="32"/>
          <w:lang w:val="en-US" w:eastAsia="zh-CN"/>
        </w:rPr>
        <w:t>24.64</w:t>
      </w:r>
      <w:r>
        <w:rPr>
          <w:rFonts w:hint="eastAsia" w:ascii="仿宋" w:hAnsi="仿宋" w:eastAsia="仿宋"/>
          <w:sz w:val="32"/>
          <w:szCs w:val="32"/>
        </w:rPr>
        <w:t>万元，增长</w:t>
      </w:r>
      <w:r>
        <w:rPr>
          <w:rFonts w:hint="eastAsia" w:ascii="仿宋" w:hAnsi="仿宋" w:eastAsia="仿宋"/>
          <w:sz w:val="32"/>
          <w:szCs w:val="32"/>
          <w:lang w:val="en-US" w:eastAsia="zh-CN"/>
        </w:rPr>
        <w:t>1441</w:t>
      </w:r>
      <w:r>
        <w:rPr>
          <w:rFonts w:hint="eastAsia" w:ascii="仿宋" w:hAnsi="仿宋" w:eastAsia="仿宋"/>
          <w:sz w:val="32"/>
          <w:szCs w:val="32"/>
        </w:rPr>
        <w:t>%。决算数与预算数持平的主要原因是</w:t>
      </w:r>
      <w:r>
        <w:rPr>
          <w:rFonts w:hint="eastAsia" w:ascii="仿宋" w:hAnsi="仿宋" w:eastAsia="仿宋"/>
          <w:sz w:val="32"/>
          <w:szCs w:val="32"/>
          <w:lang w:val="en-US" w:eastAsia="zh-CN"/>
        </w:rPr>
        <w:t>2022年购置公务用车一台</w:t>
      </w:r>
      <w:r>
        <w:rPr>
          <w:rFonts w:hint="eastAsia" w:ascii="仿宋" w:hAnsi="仿宋" w:eastAsia="仿宋"/>
          <w:sz w:val="32"/>
          <w:szCs w:val="32"/>
        </w:rPr>
        <w:t>。</w:t>
      </w:r>
    </w:p>
    <w:p w14:paraId="31403931">
      <w:pPr>
        <w:spacing w:line="600" w:lineRule="exact"/>
        <w:ind w:firstLine="640"/>
        <w:outlineLvl w:val="2"/>
        <w:rPr>
          <w:rFonts w:ascii="仿宋" w:hAnsi="仿宋" w:eastAsia="仿宋"/>
          <w:b/>
          <w:sz w:val="32"/>
          <w:szCs w:val="32"/>
        </w:rPr>
      </w:pPr>
      <w:bookmarkStart w:id="59" w:name="_Toc16653"/>
      <w:bookmarkStart w:id="60" w:name="_Toc15377217"/>
      <w:r>
        <w:rPr>
          <w:rFonts w:hint="eastAsia" w:ascii="仿宋" w:hAnsi="仿宋" w:eastAsia="仿宋"/>
          <w:b/>
          <w:sz w:val="32"/>
          <w:szCs w:val="32"/>
        </w:rPr>
        <w:t>（二）“三公”经费财政拨款支出决算具体情况说明</w:t>
      </w:r>
      <w:bookmarkEnd w:id="59"/>
      <w:bookmarkEnd w:id="60"/>
    </w:p>
    <w:p w14:paraId="027E1046">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22年“三公”经费财政拨款支出决算中，因公出国（境）费支出决算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ascii="仿宋" w:hAnsi="仿宋" w:eastAsia="仿宋"/>
          <w:sz w:val="32"/>
          <w:szCs w:val="32"/>
          <w:lang w:val="en-US" w:eastAsia="zh-CN"/>
        </w:rPr>
        <w:t>26.31</w:t>
      </w:r>
      <w:r>
        <w:rPr>
          <w:rFonts w:hint="eastAsia" w:ascii="仿宋" w:hAnsi="仿宋" w:eastAsia="仿宋"/>
          <w:sz w:val="32"/>
          <w:szCs w:val="32"/>
        </w:rPr>
        <w:t>万元，占</w:t>
      </w:r>
      <w:r>
        <w:rPr>
          <w:rFonts w:hint="eastAsia" w:ascii="仿宋" w:hAnsi="仿宋" w:eastAsia="仿宋"/>
          <w:sz w:val="32"/>
          <w:szCs w:val="32"/>
          <w:lang w:val="en-US" w:eastAsia="zh-CN"/>
        </w:rPr>
        <w:t>99.9</w:t>
      </w:r>
      <w:r>
        <w:rPr>
          <w:rFonts w:ascii="仿宋" w:hAnsi="仿宋" w:eastAsia="仿宋"/>
          <w:sz w:val="32"/>
          <w:szCs w:val="32"/>
        </w:rPr>
        <w:t>%</w:t>
      </w:r>
      <w:r>
        <w:rPr>
          <w:rFonts w:hint="eastAsia" w:ascii="仿宋" w:hAnsi="仿宋" w:eastAsia="仿宋"/>
          <w:sz w:val="32"/>
          <w:szCs w:val="32"/>
        </w:rPr>
        <w:t>；公务接待费支出决算</w:t>
      </w:r>
      <w:r>
        <w:rPr>
          <w:rFonts w:hint="eastAsia" w:ascii="仿宋" w:hAnsi="仿宋" w:eastAsia="仿宋"/>
          <w:sz w:val="32"/>
          <w:szCs w:val="32"/>
          <w:lang w:val="en-US" w:eastAsia="zh-CN"/>
        </w:rPr>
        <w:t>0.04</w:t>
      </w:r>
      <w:r>
        <w:rPr>
          <w:rFonts w:hint="eastAsia" w:ascii="仿宋" w:hAnsi="仿宋" w:eastAsia="仿宋"/>
          <w:sz w:val="32"/>
          <w:szCs w:val="32"/>
        </w:rPr>
        <w:t>万元，占</w:t>
      </w:r>
      <w:r>
        <w:rPr>
          <w:rFonts w:hint="eastAsia" w:ascii="仿宋" w:hAnsi="仿宋" w:eastAsia="仿宋"/>
          <w:sz w:val="32"/>
          <w:szCs w:val="32"/>
          <w:lang w:val="en-US" w:eastAsia="zh-CN"/>
        </w:rPr>
        <w:t>0.1</w:t>
      </w:r>
      <w:r>
        <w:rPr>
          <w:rFonts w:ascii="仿宋" w:hAnsi="仿宋" w:eastAsia="仿宋"/>
          <w:sz w:val="32"/>
          <w:szCs w:val="32"/>
        </w:rPr>
        <w:t>%</w:t>
      </w:r>
      <w:r>
        <w:rPr>
          <w:rFonts w:hint="eastAsia" w:ascii="仿宋" w:hAnsi="仿宋" w:eastAsia="仿宋"/>
          <w:sz w:val="32"/>
          <w:szCs w:val="32"/>
        </w:rPr>
        <w:t>。具体情况如下：</w:t>
      </w:r>
    </w:p>
    <w:p w14:paraId="7564084E">
      <w:pPr>
        <w:pStyle w:val="2"/>
        <w:rPr>
          <w:rFonts w:hint="eastAsia" w:eastAsia="仿宋"/>
          <w:lang w:eastAsia="zh-CN"/>
        </w:rPr>
      </w:pPr>
      <w:r>
        <w:rPr>
          <w:rFonts w:hint="eastAsia" w:eastAsia="仿宋"/>
          <w:lang w:eastAsia="zh-CN"/>
        </w:rPr>
        <w:drawing>
          <wp:inline distT="0" distB="0" distL="114300" distR="114300">
            <wp:extent cx="4580890" cy="2733040"/>
            <wp:effectExtent l="0" t="0" r="10160" b="10160"/>
            <wp:docPr id="7" name="图片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
                    <pic:cNvPicPr>
                      <a:picLocks noChangeAspect="1"/>
                    </pic:cNvPicPr>
                  </pic:nvPicPr>
                  <pic:blipFill>
                    <a:blip r:embed="rId12"/>
                    <a:stretch>
                      <a:fillRect/>
                    </a:stretch>
                  </pic:blipFill>
                  <pic:spPr>
                    <a:xfrm>
                      <a:off x="0" y="0"/>
                      <a:ext cx="4580890" cy="2733040"/>
                    </a:xfrm>
                    <a:prstGeom prst="rect">
                      <a:avLst/>
                    </a:prstGeom>
                  </pic:spPr>
                </pic:pic>
              </a:graphicData>
            </a:graphic>
          </wp:inline>
        </w:drawing>
      </w:r>
    </w:p>
    <w:p w14:paraId="26E3773A">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w:t>
      </w:r>
    </w:p>
    <w:p w14:paraId="23DE2D08">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26.31</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21年增加</w:t>
      </w:r>
      <w:r>
        <w:rPr>
          <w:rFonts w:hint="eastAsia" w:ascii="仿宋_GB2312" w:eastAsia="仿宋_GB2312"/>
          <w:sz w:val="32"/>
          <w:szCs w:val="32"/>
          <w:lang w:val="en-US" w:eastAsia="zh-CN"/>
        </w:rPr>
        <w:t>24.65</w:t>
      </w:r>
      <w:r>
        <w:rPr>
          <w:rFonts w:hint="eastAsia" w:ascii="仿宋_GB2312" w:eastAsia="仿宋_GB2312"/>
          <w:sz w:val="32"/>
          <w:szCs w:val="32"/>
        </w:rPr>
        <w:t>万元，增长</w:t>
      </w:r>
      <w:r>
        <w:rPr>
          <w:rFonts w:hint="eastAsia" w:ascii="仿宋_GB2312" w:eastAsia="仿宋_GB2312"/>
          <w:sz w:val="32"/>
          <w:szCs w:val="32"/>
          <w:lang w:val="en-US" w:eastAsia="zh-CN"/>
        </w:rPr>
        <w:t>1485</w:t>
      </w:r>
      <w:r>
        <w:rPr>
          <w:rFonts w:ascii="仿宋_GB2312" w:eastAsia="仿宋_GB2312"/>
          <w:sz w:val="32"/>
          <w:szCs w:val="32"/>
        </w:rPr>
        <w:t>%</w:t>
      </w:r>
      <w:r>
        <w:rPr>
          <w:rFonts w:hint="eastAsia" w:ascii="仿宋_GB2312" w:eastAsia="仿宋_GB2312"/>
          <w:sz w:val="32"/>
          <w:szCs w:val="32"/>
        </w:rPr>
        <w:t>。主要原因是</w:t>
      </w:r>
      <w:r>
        <w:rPr>
          <w:rFonts w:hint="eastAsia" w:ascii="仿宋" w:hAnsi="仿宋" w:eastAsia="仿宋"/>
          <w:sz w:val="32"/>
          <w:szCs w:val="32"/>
          <w:lang w:val="en-US" w:eastAsia="zh-CN"/>
        </w:rPr>
        <w:t>2022年购置公务用车一台</w:t>
      </w:r>
      <w:r>
        <w:rPr>
          <w:rFonts w:hint="eastAsia" w:ascii="仿宋_GB2312" w:eastAsia="仿宋_GB2312"/>
          <w:sz w:val="32"/>
          <w:szCs w:val="32"/>
        </w:rPr>
        <w:t>。</w:t>
      </w:r>
    </w:p>
    <w:p w14:paraId="4543BD09">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lang w:val="en-US" w:eastAsia="zh-CN"/>
        </w:rPr>
        <w:t>24.6</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1</w:t>
      </w:r>
      <w:r>
        <w:rPr>
          <w:rFonts w:hint="eastAsia" w:ascii="仿宋_GB2312" w:eastAsia="仿宋_GB2312"/>
          <w:sz w:val="32"/>
          <w:szCs w:val="32"/>
        </w:rPr>
        <w:t>辆、金额</w:t>
      </w:r>
      <w:r>
        <w:rPr>
          <w:rFonts w:hint="eastAsia" w:ascii="仿宋_GB2312" w:eastAsia="仿宋_GB2312"/>
          <w:sz w:val="32"/>
          <w:szCs w:val="32"/>
          <w:lang w:val="en-US" w:eastAsia="zh-CN"/>
        </w:rPr>
        <w:t>24.6</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月底，单位共有公务用车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1</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7E56F0B4">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1.71</w:t>
      </w:r>
      <w:r>
        <w:rPr>
          <w:rFonts w:hint="eastAsia" w:ascii="仿宋_GB2312" w:eastAsia="仿宋_GB2312"/>
          <w:sz w:val="32"/>
          <w:szCs w:val="32"/>
        </w:rPr>
        <w:t>万元。</w:t>
      </w:r>
      <w:r>
        <w:rPr>
          <w:rFonts w:hint="eastAsia" w:ascii="仿宋_GB2312" w:eastAsia="仿宋_GB2312"/>
          <w:color w:val="000000"/>
          <w:sz w:val="32"/>
          <w:szCs w:val="32"/>
        </w:rPr>
        <w:t>主要用于保障各项司法行政工作</w:t>
      </w:r>
      <w:r>
        <w:rPr>
          <w:rFonts w:hint="eastAsia" w:ascii="仿宋_GB2312" w:eastAsia="仿宋_GB2312"/>
          <w:sz w:val="32"/>
          <w:szCs w:val="32"/>
        </w:rPr>
        <w:t>等所需的公务用车燃料费、维修费、过路过桥费、保险费等支出。</w:t>
      </w:r>
    </w:p>
    <w:p w14:paraId="3D31027C">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0.04</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21年减少</w:t>
      </w:r>
      <w:r>
        <w:rPr>
          <w:rFonts w:hint="eastAsia" w:ascii="仿宋_GB2312" w:eastAsia="仿宋_GB2312"/>
          <w:sz w:val="32"/>
          <w:szCs w:val="32"/>
          <w:lang w:val="en-US" w:eastAsia="zh-CN"/>
        </w:rPr>
        <w:t>0.01</w:t>
      </w:r>
      <w:r>
        <w:rPr>
          <w:rFonts w:hint="eastAsia" w:ascii="仿宋_GB2312" w:eastAsia="仿宋_GB2312"/>
          <w:sz w:val="32"/>
          <w:szCs w:val="32"/>
        </w:rPr>
        <w:t>万元，下降</w:t>
      </w:r>
      <w:r>
        <w:rPr>
          <w:rFonts w:hint="eastAsia" w:ascii="仿宋_GB2312" w:eastAsia="仿宋_GB2312"/>
          <w:sz w:val="32"/>
          <w:szCs w:val="32"/>
          <w:lang w:val="en-US" w:eastAsia="zh-CN"/>
        </w:rPr>
        <w:t>20</w:t>
      </w:r>
      <w:r>
        <w:rPr>
          <w:rFonts w:ascii="仿宋_GB2312" w:eastAsia="仿宋_GB2312"/>
          <w:sz w:val="32"/>
          <w:szCs w:val="32"/>
        </w:rPr>
        <w:t>%</w:t>
      </w:r>
      <w:r>
        <w:rPr>
          <w:rFonts w:hint="eastAsia" w:ascii="仿宋_GB2312" w:eastAsia="仿宋_GB2312"/>
          <w:sz w:val="32"/>
          <w:szCs w:val="32"/>
        </w:rPr>
        <w:t>。主要原因</w:t>
      </w:r>
      <w:r>
        <w:rPr>
          <w:rFonts w:hint="eastAsia" w:ascii="仿宋_GB2312" w:eastAsia="仿宋_GB2312"/>
          <w:sz w:val="32"/>
          <w:szCs w:val="32"/>
          <w:lang w:eastAsia="zh-CN"/>
        </w:rPr>
        <w:t>是</w:t>
      </w:r>
      <w:r>
        <w:rPr>
          <w:rFonts w:hint="eastAsia" w:ascii="仿宋" w:hAnsi="仿宋" w:eastAsia="仿宋"/>
          <w:color w:val="000000"/>
          <w:sz w:val="32"/>
          <w:szCs w:val="32"/>
        </w:rPr>
        <w:t>本着厉行节约的原则，合理缩减不必要的开支</w:t>
      </w:r>
      <w:r>
        <w:rPr>
          <w:rFonts w:hint="eastAsia" w:ascii="仿宋_GB2312" w:eastAsia="仿宋_GB2312"/>
          <w:sz w:val="32"/>
          <w:szCs w:val="32"/>
        </w:rPr>
        <w:t>。其中：</w:t>
      </w:r>
    </w:p>
    <w:p w14:paraId="20C68BF8">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0.04</w:t>
      </w:r>
      <w:r>
        <w:rPr>
          <w:rFonts w:hint="eastAsia" w:ascii="仿宋_GB2312" w:eastAsia="仿宋_GB2312"/>
          <w:sz w:val="32"/>
          <w:szCs w:val="32"/>
        </w:rPr>
        <w:t>万元，</w:t>
      </w:r>
      <w:r>
        <w:rPr>
          <w:rFonts w:hint="eastAsia" w:ascii="仿宋_GB2312" w:eastAsia="仿宋_GB2312"/>
          <w:color w:val="000000"/>
          <w:sz w:val="32"/>
          <w:szCs w:val="32"/>
        </w:rPr>
        <w:t>主要用于执行公务、考察调研、检查指导等公务活动开支的用餐费</w:t>
      </w:r>
      <w:r>
        <w:rPr>
          <w:rFonts w:hint="eastAsia" w:ascii="仿宋_GB2312" w:eastAsia="仿宋_GB2312"/>
          <w:sz w:val="32"/>
          <w:szCs w:val="32"/>
        </w:rPr>
        <w:t>。国内公务接待</w:t>
      </w:r>
      <w:r>
        <w:rPr>
          <w:rFonts w:hint="eastAsia" w:ascii="仿宋_GB2312" w:eastAsia="仿宋_GB2312"/>
          <w:sz w:val="32"/>
          <w:szCs w:val="32"/>
          <w:lang w:val="en-US" w:eastAsia="zh-CN"/>
        </w:rPr>
        <w:t>1</w:t>
      </w:r>
      <w:r>
        <w:rPr>
          <w:rFonts w:hint="eastAsia" w:ascii="仿宋_GB2312" w:eastAsia="仿宋_GB2312"/>
          <w:sz w:val="32"/>
          <w:szCs w:val="32"/>
        </w:rPr>
        <w:t>批次，</w:t>
      </w:r>
      <w:r>
        <w:rPr>
          <w:rFonts w:hint="eastAsia" w:ascii="仿宋_GB2312" w:eastAsia="仿宋_GB2312"/>
          <w:sz w:val="32"/>
          <w:szCs w:val="32"/>
          <w:lang w:val="en-US" w:eastAsia="zh-CN"/>
        </w:rPr>
        <w:t>5</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0.04</w:t>
      </w:r>
      <w:r>
        <w:rPr>
          <w:rFonts w:hint="eastAsia" w:ascii="仿宋_GB2312" w:eastAsia="仿宋_GB2312"/>
          <w:sz w:val="32"/>
          <w:szCs w:val="32"/>
        </w:rPr>
        <w:t>万元，具体内容包括：</w:t>
      </w:r>
      <w:r>
        <w:rPr>
          <w:rFonts w:hint="eastAsia" w:ascii="仿宋_GB2312" w:eastAsia="仿宋_GB2312"/>
          <w:sz w:val="32"/>
          <w:szCs w:val="32"/>
          <w:lang w:eastAsia="zh-CN"/>
        </w:rPr>
        <w:t>遴选考察接待费</w:t>
      </w:r>
      <w:r>
        <w:rPr>
          <w:rFonts w:hint="eastAsia" w:ascii="仿宋_GB2312" w:eastAsia="仿宋_GB2312"/>
          <w:sz w:val="32"/>
          <w:szCs w:val="32"/>
          <w:lang w:val="en-US" w:eastAsia="zh-CN"/>
        </w:rPr>
        <w:t>0.04万元</w:t>
      </w:r>
      <w:r>
        <w:rPr>
          <w:rFonts w:hint="eastAsia" w:ascii="仿宋_GB2312" w:eastAsia="仿宋_GB2312"/>
          <w:sz w:val="32"/>
          <w:szCs w:val="32"/>
        </w:rPr>
        <w:t>。</w:t>
      </w:r>
    </w:p>
    <w:p w14:paraId="42AAB4BC">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bookmarkStart w:id="61" w:name="_Toc15396610"/>
      <w:bookmarkStart w:id="62" w:name="_Toc15377218"/>
    </w:p>
    <w:p w14:paraId="1B7A99E2">
      <w:pPr>
        <w:spacing w:line="600" w:lineRule="exact"/>
        <w:ind w:firstLine="640"/>
        <w:outlineLvl w:val="1"/>
        <w:rPr>
          <w:rStyle w:val="31"/>
          <w:rFonts w:ascii="黑体" w:hAnsi="黑体" w:eastAsia="黑体"/>
        </w:rPr>
      </w:pPr>
      <w:bookmarkStart w:id="63" w:name="_Toc32674"/>
      <w:r>
        <w:rPr>
          <w:rFonts w:hint="eastAsia" w:ascii="黑体" w:eastAsia="黑体"/>
          <w:sz w:val="32"/>
          <w:szCs w:val="32"/>
        </w:rPr>
        <w:t>八、</w:t>
      </w:r>
      <w:r>
        <w:rPr>
          <w:rStyle w:val="31"/>
          <w:rFonts w:hint="eastAsia" w:ascii="黑体" w:hAnsi="黑体" w:eastAsia="黑体"/>
          <w:b w:val="0"/>
        </w:rPr>
        <w:t>政府性基金预算支出决算情况说明</w:t>
      </w:r>
      <w:bookmarkEnd w:id="61"/>
      <w:bookmarkEnd w:id="62"/>
      <w:bookmarkEnd w:id="63"/>
    </w:p>
    <w:p w14:paraId="1CBCE577">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22年政府性基金预算财政拨款支出</w:t>
      </w:r>
      <w:r>
        <w:rPr>
          <w:rFonts w:hint="eastAsia" w:ascii="仿宋_GB2312" w:eastAsia="仿宋_GB2312"/>
          <w:sz w:val="32"/>
          <w:szCs w:val="32"/>
          <w:lang w:val="en-US" w:eastAsia="zh-CN"/>
        </w:rPr>
        <w:t>2.47</w:t>
      </w:r>
      <w:r>
        <w:rPr>
          <w:rFonts w:hint="eastAsia" w:ascii="仿宋_GB2312" w:eastAsia="仿宋_GB2312"/>
          <w:sz w:val="32"/>
          <w:szCs w:val="32"/>
        </w:rPr>
        <w:t>万元。</w:t>
      </w:r>
    </w:p>
    <w:p w14:paraId="42140DB5">
      <w:pPr>
        <w:numPr>
          <w:ilvl w:val="0"/>
          <w:numId w:val="4"/>
        </w:numPr>
        <w:spacing w:line="600" w:lineRule="exact"/>
        <w:ind w:firstLine="640"/>
        <w:outlineLvl w:val="1"/>
        <w:rPr>
          <w:rStyle w:val="31"/>
          <w:rFonts w:ascii="黑体" w:hAnsi="黑体" w:eastAsia="黑体"/>
          <w:b w:val="0"/>
        </w:rPr>
      </w:pPr>
      <w:bookmarkStart w:id="64" w:name="_Toc29239"/>
      <w:bookmarkStart w:id="65" w:name="_Toc15396611"/>
      <w:bookmarkStart w:id="66" w:name="_Toc15377219"/>
      <w:r>
        <w:rPr>
          <w:rStyle w:val="31"/>
          <w:rFonts w:hint="eastAsia" w:ascii="黑体" w:hAnsi="黑体" w:eastAsia="黑体"/>
          <w:b w:val="0"/>
        </w:rPr>
        <w:t>国有资本经营预算支出决算情况说明</w:t>
      </w:r>
      <w:bookmarkEnd w:id="64"/>
      <w:bookmarkEnd w:id="65"/>
      <w:bookmarkEnd w:id="66"/>
    </w:p>
    <w:p w14:paraId="27AB81AB">
      <w:pPr>
        <w:spacing w:line="600" w:lineRule="exact"/>
        <w:ind w:firstLine="64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22年国有资本经营预算财政拨款支出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21842F1D">
      <w:pPr>
        <w:numPr>
          <w:ilvl w:val="0"/>
          <w:numId w:val="4"/>
        </w:numPr>
        <w:spacing w:line="600" w:lineRule="exact"/>
        <w:ind w:firstLine="640"/>
        <w:outlineLvl w:val="1"/>
        <w:rPr>
          <w:rStyle w:val="31"/>
          <w:rFonts w:ascii="黑体" w:hAnsi="黑体" w:eastAsia="黑体"/>
          <w:b w:val="0"/>
        </w:rPr>
      </w:pPr>
      <w:bookmarkStart w:id="67" w:name="_Toc15396612"/>
      <w:bookmarkStart w:id="68" w:name="_Toc20456"/>
      <w:bookmarkStart w:id="69" w:name="_Toc15377221"/>
      <w:r>
        <w:rPr>
          <w:rStyle w:val="31"/>
          <w:rFonts w:hint="eastAsia" w:ascii="黑体" w:hAnsi="黑体" w:eastAsia="黑体"/>
          <w:b w:val="0"/>
        </w:rPr>
        <w:t>其他重要事项的情况说明</w:t>
      </w:r>
      <w:bookmarkEnd w:id="67"/>
      <w:bookmarkEnd w:id="68"/>
      <w:bookmarkEnd w:id="69"/>
    </w:p>
    <w:p w14:paraId="24C38D4C">
      <w:pPr>
        <w:spacing w:line="600" w:lineRule="exact"/>
        <w:ind w:firstLine="643" w:firstLineChars="200"/>
        <w:outlineLvl w:val="2"/>
        <w:rPr>
          <w:rFonts w:ascii="仿宋" w:hAnsi="仿宋" w:eastAsia="仿宋"/>
          <w:sz w:val="32"/>
          <w:szCs w:val="32"/>
        </w:rPr>
      </w:pPr>
      <w:bookmarkStart w:id="70" w:name="_Toc5429"/>
      <w:bookmarkStart w:id="71" w:name="_Toc15377222"/>
      <w:r>
        <w:rPr>
          <w:rFonts w:hint="eastAsia" w:ascii="仿宋" w:hAnsi="仿宋" w:eastAsia="仿宋"/>
          <w:b/>
          <w:sz w:val="32"/>
          <w:szCs w:val="32"/>
        </w:rPr>
        <w:t>（一）机关运行经费支出情况</w:t>
      </w:r>
      <w:bookmarkEnd w:id="70"/>
      <w:bookmarkEnd w:id="71"/>
    </w:p>
    <w:p w14:paraId="4B4FE3D3">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w:t>
      </w:r>
      <w:r>
        <w:rPr>
          <w:rFonts w:hint="eastAsia" w:ascii="仿宋_GB2312" w:eastAsia="仿宋_GB2312"/>
          <w:sz w:val="32"/>
          <w:szCs w:val="32"/>
          <w:lang w:eastAsia="zh-CN"/>
        </w:rPr>
        <w:t>西区司法局</w:t>
      </w:r>
      <w:r>
        <w:rPr>
          <w:rFonts w:hint="eastAsia" w:ascii="仿宋_GB2312" w:eastAsia="仿宋_GB2312"/>
          <w:sz w:val="32"/>
          <w:szCs w:val="32"/>
        </w:rPr>
        <w:t>机关运行经费支出</w:t>
      </w:r>
      <w:r>
        <w:rPr>
          <w:rFonts w:hint="eastAsia" w:ascii="仿宋_GB2312" w:eastAsia="仿宋_GB2312"/>
          <w:sz w:val="32"/>
          <w:szCs w:val="32"/>
          <w:lang w:val="en-US" w:eastAsia="zh-CN"/>
        </w:rPr>
        <w:t>48.65</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21年减少</w:t>
      </w:r>
      <w:r>
        <w:rPr>
          <w:rFonts w:hint="eastAsia" w:ascii="仿宋_GB2312" w:eastAsia="仿宋_GB2312"/>
          <w:sz w:val="32"/>
          <w:szCs w:val="32"/>
          <w:lang w:val="en-US" w:eastAsia="zh-CN"/>
        </w:rPr>
        <w:t>3.05</w:t>
      </w:r>
      <w:r>
        <w:rPr>
          <w:rFonts w:hint="eastAsia" w:ascii="仿宋_GB2312" w:eastAsia="仿宋_GB2312"/>
          <w:sz w:val="32"/>
          <w:szCs w:val="32"/>
        </w:rPr>
        <w:t>万元，下降</w:t>
      </w:r>
      <w:r>
        <w:rPr>
          <w:rFonts w:hint="eastAsia" w:ascii="仿宋_GB2312" w:eastAsia="仿宋_GB2312"/>
          <w:sz w:val="32"/>
          <w:szCs w:val="32"/>
          <w:lang w:val="en-US" w:eastAsia="zh-CN"/>
        </w:rPr>
        <w:t>5.9</w:t>
      </w:r>
      <w:r>
        <w:rPr>
          <w:rFonts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主要原因是</w:t>
      </w:r>
      <w:r>
        <w:rPr>
          <w:rFonts w:hint="eastAsia" w:ascii="仿宋" w:hAnsi="仿宋" w:eastAsia="仿宋"/>
          <w:color w:val="000000"/>
          <w:sz w:val="32"/>
          <w:szCs w:val="32"/>
        </w:rPr>
        <w:t>本着厉行节约的原则，合理缩减不必要的开支</w:t>
      </w:r>
      <w:r>
        <w:rPr>
          <w:rFonts w:hint="eastAsia" w:ascii="仿宋_GB2312" w:eastAsia="仿宋_GB2312"/>
          <w:sz w:val="32"/>
          <w:szCs w:val="32"/>
        </w:rPr>
        <w:t>。</w:t>
      </w:r>
    </w:p>
    <w:p w14:paraId="409E2BDA">
      <w:pPr>
        <w:autoSpaceDE w:val="0"/>
        <w:autoSpaceDN w:val="0"/>
        <w:adjustRightInd w:val="0"/>
        <w:spacing w:line="600" w:lineRule="exact"/>
        <w:ind w:firstLine="643" w:firstLineChars="200"/>
        <w:jc w:val="left"/>
        <w:outlineLvl w:val="2"/>
        <w:rPr>
          <w:rFonts w:ascii="仿宋" w:hAnsi="仿宋" w:eastAsia="仿宋"/>
          <w:b/>
          <w:sz w:val="32"/>
          <w:szCs w:val="32"/>
        </w:rPr>
      </w:pPr>
      <w:bookmarkStart w:id="72" w:name="_Toc28191"/>
      <w:bookmarkStart w:id="73" w:name="_Toc15377223"/>
      <w:r>
        <w:rPr>
          <w:rFonts w:hint="eastAsia" w:ascii="仿宋" w:hAnsi="仿宋" w:eastAsia="仿宋"/>
          <w:b/>
          <w:sz w:val="32"/>
          <w:szCs w:val="32"/>
        </w:rPr>
        <w:t>（二）政府采购支出情况</w:t>
      </w:r>
      <w:bookmarkEnd w:id="72"/>
      <w:bookmarkEnd w:id="73"/>
    </w:p>
    <w:p w14:paraId="4AB29277">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w:t>
      </w:r>
      <w:r>
        <w:rPr>
          <w:rFonts w:hint="eastAsia" w:ascii="仿宋_GB2312" w:eastAsia="仿宋_GB2312"/>
          <w:sz w:val="32"/>
          <w:szCs w:val="32"/>
          <w:lang w:eastAsia="zh-CN"/>
        </w:rPr>
        <w:t>西区司法局</w:t>
      </w:r>
      <w:r>
        <w:rPr>
          <w:rFonts w:hint="eastAsia" w:ascii="仿宋_GB2312" w:eastAsia="仿宋_GB2312"/>
          <w:sz w:val="32"/>
          <w:szCs w:val="32"/>
        </w:rPr>
        <w:t>政府采购支出总额</w:t>
      </w:r>
      <w:r>
        <w:rPr>
          <w:rFonts w:hint="eastAsia" w:ascii="仿宋_GB2312" w:eastAsia="仿宋_GB2312"/>
          <w:sz w:val="32"/>
          <w:szCs w:val="32"/>
          <w:lang w:val="en-US" w:eastAsia="zh-CN"/>
        </w:rPr>
        <w:t>24.6</w:t>
      </w:r>
      <w:r>
        <w:rPr>
          <w:rFonts w:hint="eastAsia" w:ascii="仿宋_GB2312" w:eastAsia="仿宋_GB2312"/>
          <w:sz w:val="32"/>
          <w:szCs w:val="32"/>
        </w:rPr>
        <w:t>万元，其中：政府采购货物支出</w:t>
      </w:r>
      <w:r>
        <w:rPr>
          <w:rFonts w:hint="eastAsia" w:ascii="仿宋_GB2312" w:eastAsia="仿宋_GB2312"/>
          <w:sz w:val="32"/>
          <w:szCs w:val="32"/>
          <w:lang w:val="en-US" w:eastAsia="zh-CN"/>
        </w:rPr>
        <w:t>24.6</w:t>
      </w:r>
      <w:r>
        <w:rPr>
          <w:rFonts w:hint="eastAsia" w:ascii="仿宋_GB2312" w:eastAsia="仿宋_GB2312"/>
          <w:sz w:val="32"/>
          <w:szCs w:val="32"/>
        </w:rPr>
        <w:t>万元、政府采购工程支出</w:t>
      </w:r>
      <w:r>
        <w:rPr>
          <w:rFonts w:hint="eastAsia" w:ascii="仿宋_GB2312" w:eastAsia="仿宋_GB2312"/>
          <w:sz w:val="32"/>
          <w:szCs w:val="32"/>
          <w:lang w:val="en-US" w:eastAsia="zh-CN"/>
        </w:rPr>
        <w:t>0</w:t>
      </w:r>
      <w:r>
        <w:rPr>
          <w:rFonts w:hint="eastAsia" w:ascii="仿宋_GB2312" w:eastAsia="仿宋_GB2312"/>
          <w:sz w:val="32"/>
          <w:szCs w:val="32"/>
        </w:rPr>
        <w:t>万元、政府采购服务支出</w:t>
      </w:r>
      <w:r>
        <w:rPr>
          <w:rFonts w:hint="eastAsia" w:ascii="仿宋_GB2312" w:eastAsia="仿宋_GB2312"/>
          <w:sz w:val="32"/>
          <w:szCs w:val="32"/>
          <w:lang w:val="en-US" w:eastAsia="zh-CN"/>
        </w:rPr>
        <w:t>0</w:t>
      </w:r>
      <w:r>
        <w:rPr>
          <w:rFonts w:hint="eastAsia" w:ascii="仿宋_GB2312" w:eastAsia="仿宋_GB2312"/>
          <w:sz w:val="32"/>
          <w:szCs w:val="32"/>
        </w:rPr>
        <w:t>万元。主要用于</w:t>
      </w:r>
      <w:r>
        <w:rPr>
          <w:rFonts w:hint="eastAsia" w:ascii="仿宋_GB2312" w:eastAsia="仿宋_GB2312"/>
          <w:sz w:val="32"/>
          <w:szCs w:val="32"/>
          <w:lang w:eastAsia="zh-CN"/>
        </w:rPr>
        <w:t>购买公务用车</w:t>
      </w:r>
      <w:r>
        <w:rPr>
          <w:rFonts w:hint="eastAsia" w:ascii="仿宋_GB2312" w:eastAsia="仿宋_GB2312"/>
          <w:sz w:val="32"/>
          <w:szCs w:val="32"/>
        </w:rPr>
        <w:t>。授予中小企业合同金额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1F266D10">
      <w:pPr>
        <w:autoSpaceDE w:val="0"/>
        <w:autoSpaceDN w:val="0"/>
        <w:adjustRightInd w:val="0"/>
        <w:spacing w:line="600" w:lineRule="exact"/>
        <w:ind w:firstLine="643" w:firstLineChars="200"/>
        <w:jc w:val="left"/>
        <w:outlineLvl w:val="2"/>
        <w:rPr>
          <w:rFonts w:ascii="仿宋" w:hAnsi="仿宋" w:eastAsia="仿宋"/>
          <w:b/>
          <w:sz w:val="32"/>
          <w:szCs w:val="32"/>
        </w:rPr>
      </w:pPr>
      <w:bookmarkStart w:id="74" w:name="_Toc23843"/>
      <w:bookmarkStart w:id="75" w:name="_Toc15377224"/>
      <w:r>
        <w:rPr>
          <w:rFonts w:hint="eastAsia" w:ascii="仿宋" w:hAnsi="仿宋" w:eastAsia="仿宋"/>
          <w:b/>
          <w:sz w:val="32"/>
          <w:szCs w:val="32"/>
        </w:rPr>
        <w:t>（三）国有资产占有使用情况</w:t>
      </w:r>
      <w:bookmarkEnd w:id="74"/>
      <w:bookmarkEnd w:id="75"/>
    </w:p>
    <w:p w14:paraId="3C0B6762">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eastAsia="zh-CN"/>
        </w:rPr>
        <w:t>西区司法局</w:t>
      </w:r>
      <w:r>
        <w:rPr>
          <w:rFonts w:hint="eastAsia" w:ascii="仿宋_GB2312" w:eastAsia="仿宋_GB2312"/>
          <w:sz w:val="32"/>
          <w:szCs w:val="32"/>
        </w:rPr>
        <w:t>共有车辆</w:t>
      </w:r>
      <w:r>
        <w:rPr>
          <w:rFonts w:hint="eastAsia" w:ascii="仿宋_GB2312" w:eastAsia="仿宋_GB2312"/>
          <w:sz w:val="32"/>
          <w:szCs w:val="32"/>
          <w:lang w:val="en-US" w:eastAsia="zh-CN"/>
        </w:rPr>
        <w:t>1</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w:t>
      </w:r>
      <w:r>
        <w:rPr>
          <w:rFonts w:hint="eastAsia" w:ascii="仿宋_GB2312" w:eastAsia="仿宋_GB2312"/>
          <w:sz w:val="32"/>
          <w:szCs w:val="32"/>
          <w:lang w:eastAsia="zh-CN"/>
        </w:rPr>
        <w:t>执法执勤用车</w:t>
      </w:r>
      <w:r>
        <w:rPr>
          <w:rFonts w:hint="eastAsia" w:ascii="仿宋_GB2312" w:eastAsia="仿宋_GB2312"/>
          <w:sz w:val="32"/>
          <w:szCs w:val="32"/>
          <w:lang w:val="en-US" w:eastAsia="zh-CN"/>
        </w:rPr>
        <w:t>1辆、</w:t>
      </w:r>
      <w:r>
        <w:rPr>
          <w:rFonts w:hint="eastAsia" w:ascii="仿宋_GB2312" w:eastAsia="仿宋_GB2312"/>
          <w:sz w:val="32"/>
          <w:szCs w:val="32"/>
        </w:rPr>
        <w:t>其他用车</w:t>
      </w:r>
      <w:r>
        <w:rPr>
          <w:rFonts w:hint="eastAsia" w:ascii="仿宋_GB2312" w:eastAsia="仿宋_GB2312"/>
          <w:sz w:val="32"/>
          <w:szCs w:val="32"/>
          <w:lang w:val="en-US" w:eastAsia="zh-CN"/>
        </w:rPr>
        <w:t>0</w:t>
      </w:r>
      <w:r>
        <w:rPr>
          <w:rFonts w:hint="eastAsia" w:ascii="仿宋_GB2312" w:eastAsia="仿宋_GB2312"/>
          <w:sz w:val="32"/>
          <w:szCs w:val="32"/>
        </w:rPr>
        <w:t>辆。单价</w:t>
      </w:r>
      <w:r>
        <w:rPr>
          <w:rFonts w:ascii="仿宋_GB2312" w:eastAsia="仿宋_GB2312"/>
          <w:sz w:val="32"/>
          <w:szCs w:val="32"/>
        </w:rPr>
        <w:t>100</w:t>
      </w:r>
      <w:r>
        <w:rPr>
          <w:rFonts w:hint="eastAsia" w:ascii="仿宋_GB2312" w:eastAsia="仿宋_GB2312"/>
          <w:sz w:val="32"/>
          <w:szCs w:val="32"/>
        </w:rPr>
        <w:t>万元以上专用设备</w:t>
      </w:r>
      <w:r>
        <w:rPr>
          <w:rFonts w:hint="eastAsia" w:ascii="仿宋_GB2312" w:eastAsia="仿宋_GB2312"/>
          <w:sz w:val="32"/>
          <w:szCs w:val="32"/>
          <w:lang w:val="en-US" w:eastAsia="zh-CN"/>
        </w:rPr>
        <w:t>0</w:t>
      </w:r>
      <w:r>
        <w:rPr>
          <w:rFonts w:hint="eastAsia" w:ascii="仿宋_GB2312" w:eastAsia="仿宋_GB2312"/>
          <w:sz w:val="32"/>
          <w:szCs w:val="32"/>
        </w:rPr>
        <w:t>台（套）。</w:t>
      </w:r>
    </w:p>
    <w:p w14:paraId="373CA458">
      <w:pPr>
        <w:autoSpaceDE w:val="0"/>
        <w:autoSpaceDN w:val="0"/>
        <w:adjustRightInd w:val="0"/>
        <w:spacing w:line="600" w:lineRule="exact"/>
        <w:ind w:firstLine="643" w:firstLineChars="200"/>
        <w:jc w:val="left"/>
        <w:outlineLvl w:val="2"/>
        <w:rPr>
          <w:rFonts w:ascii="仿宋" w:hAnsi="仿宋" w:eastAsia="仿宋"/>
          <w:b/>
          <w:sz w:val="32"/>
          <w:szCs w:val="32"/>
        </w:rPr>
      </w:pPr>
      <w:bookmarkStart w:id="76" w:name="_Toc1600"/>
      <w:r>
        <w:rPr>
          <w:rFonts w:hint="eastAsia" w:ascii="仿宋" w:hAnsi="仿宋" w:eastAsia="仿宋"/>
          <w:b/>
          <w:sz w:val="32"/>
          <w:szCs w:val="32"/>
        </w:rPr>
        <w:t>（四）预算绩效管理情况</w:t>
      </w:r>
      <w:bookmarkEnd w:id="76"/>
    </w:p>
    <w:p w14:paraId="241325D4">
      <w:pPr>
        <w:widowControl/>
        <w:ind w:firstLine="640" w:firstLineChars="200"/>
        <w:jc w:val="left"/>
        <w:rPr>
          <w:rFonts w:ascii="仿宋_GB2312" w:eastAsia="仿宋_GB2312"/>
          <w:b/>
          <w:sz w:val="32"/>
          <w:szCs w:val="32"/>
        </w:rPr>
      </w:pPr>
      <w:r>
        <w:rPr>
          <w:rFonts w:hint="eastAsia" w:ascii="仿宋_GB2312" w:hAnsi="仿宋_GB2312" w:eastAsia="仿宋_GB2312" w:cs="仿宋_GB2312"/>
          <w:sz w:val="32"/>
          <w:szCs w:val="32"/>
        </w:rPr>
        <w:t>根据预算绩效管理要求，本部门在202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年度预算编制阶段，组织对政法转移支付（办案、装备）</w:t>
      </w:r>
      <w:r>
        <w:rPr>
          <w:rFonts w:hint="eastAsia" w:ascii="仿宋_GB2312" w:hAnsi="仿宋_GB2312" w:eastAsia="仿宋_GB2312" w:cs="仿宋_GB2312"/>
          <w:sz w:val="32"/>
          <w:szCs w:val="32"/>
          <w:lang w:eastAsia="zh-CN"/>
        </w:rPr>
        <w:t>、法律援助、社区矫正经费项目</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w:t>
      </w:r>
      <w:r>
        <w:rPr>
          <w:rFonts w:hint="eastAsia" w:ascii="仿宋_GB2312" w:hAnsi="仿宋_GB2312" w:eastAsia="仿宋_GB2312" w:cs="仿宋_GB2312"/>
          <w:sz w:val="32"/>
          <w:szCs w:val="32"/>
          <w:lang w:eastAsia="zh-CN"/>
        </w:rPr>
        <w:t>（金额</w:t>
      </w:r>
      <w:r>
        <w:rPr>
          <w:rFonts w:hint="eastAsia" w:ascii="仿宋_GB2312" w:hAnsi="仿宋_GB2312" w:eastAsia="仿宋_GB2312" w:cs="仿宋_GB2312"/>
          <w:sz w:val="32"/>
          <w:szCs w:val="32"/>
          <w:lang w:val="en-US" w:eastAsia="zh-CN"/>
        </w:rPr>
        <w:t>30万以上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开展了绩效自评。同时，本部门对202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年部门整体开展绩效自评，《2021年</w:t>
      </w:r>
      <w:r>
        <w:rPr>
          <w:rFonts w:hint="eastAsia" w:ascii="仿宋_GB2312" w:hAnsi="仿宋_GB2312" w:eastAsia="仿宋_GB2312" w:cs="仿宋_GB2312"/>
          <w:sz w:val="32"/>
          <w:szCs w:val="32"/>
          <w:lang w:eastAsia="zh-CN"/>
        </w:rPr>
        <w:t>西区司法局</w:t>
      </w:r>
      <w:r>
        <w:rPr>
          <w:rFonts w:hint="eastAsia" w:ascii="仿宋_GB2312" w:hAnsi="仿宋_GB2312" w:eastAsia="仿宋_GB2312" w:cs="仿宋_GB2312"/>
          <w:sz w:val="32"/>
          <w:szCs w:val="32"/>
        </w:rPr>
        <w:t>部门整体绩效评价报告》见附件（第四部分）。</w:t>
      </w:r>
      <w:r>
        <w:rPr>
          <w:rFonts w:ascii="仿宋_GB2312" w:eastAsia="仿宋_GB2312"/>
          <w:b/>
          <w:sz w:val="32"/>
          <w:szCs w:val="32"/>
        </w:rPr>
        <w:br w:type="page"/>
      </w:r>
    </w:p>
    <w:p w14:paraId="7497FEB1">
      <w:pPr>
        <w:numPr>
          <w:ilvl w:val="0"/>
          <w:numId w:val="5"/>
        </w:numPr>
        <w:spacing w:line="600" w:lineRule="exact"/>
        <w:ind w:firstLine="660" w:firstLineChars="150"/>
        <w:jc w:val="center"/>
        <w:outlineLvl w:val="0"/>
        <w:rPr>
          <w:rStyle w:val="30"/>
          <w:rFonts w:ascii="黑体" w:hAnsi="黑体" w:eastAsia="黑体"/>
          <w:b w:val="0"/>
        </w:rPr>
      </w:pPr>
      <w:bookmarkStart w:id="77" w:name="_Toc15396613"/>
      <w:bookmarkStart w:id="78" w:name="_Toc15377225"/>
      <w:bookmarkStart w:id="79" w:name="_Toc15900"/>
      <w:r>
        <w:rPr>
          <w:rFonts w:hint="eastAsia" w:ascii="黑体" w:hAnsi="黑体" w:eastAsia="黑体"/>
          <w:sz w:val="44"/>
          <w:szCs w:val="44"/>
        </w:rPr>
        <w:t>名</w:t>
      </w:r>
      <w:r>
        <w:rPr>
          <w:rStyle w:val="30"/>
          <w:rFonts w:hint="eastAsia" w:ascii="黑体" w:hAnsi="黑体" w:eastAsia="黑体"/>
          <w:b w:val="0"/>
        </w:rPr>
        <w:t>词解释</w:t>
      </w:r>
      <w:bookmarkEnd w:id="77"/>
      <w:bookmarkEnd w:id="78"/>
      <w:bookmarkEnd w:id="79"/>
    </w:p>
    <w:p w14:paraId="1447FEE8">
      <w:pPr>
        <w:spacing w:line="600" w:lineRule="exact"/>
        <w:jc w:val="left"/>
        <w:rPr>
          <w:rFonts w:ascii="宋体"/>
          <w:b/>
          <w:sz w:val="44"/>
          <w:szCs w:val="44"/>
        </w:rPr>
      </w:pPr>
    </w:p>
    <w:p w14:paraId="6DE41D37">
      <w:pPr>
        <w:autoSpaceDE w:val="0"/>
        <w:autoSpaceDN w:val="0"/>
        <w:adjustRightInd w:val="0"/>
        <w:spacing w:line="560" w:lineRule="exact"/>
        <w:jc w:val="left"/>
        <w:rPr>
          <w:rFonts w:hint="eastAsia" w:ascii="仿宋_GB2312" w:hAnsi="Times New Roman" w:eastAsia="仿宋_GB2312" w:cs="仿宋"/>
          <w:color w:val="000000"/>
          <w:kern w:val="0"/>
          <w:sz w:val="32"/>
          <w:szCs w:val="32"/>
          <w:lang w:val="en-US" w:eastAsia="zh-CN" w:bidi="ar-SA"/>
        </w:rPr>
      </w:pPr>
      <w:bookmarkStart w:id="80" w:name="_Toc15377226"/>
      <w:r>
        <w:rPr>
          <w:rFonts w:hint="eastAsia" w:ascii="仿宋_GB2312" w:eastAsia="仿宋_GB2312" w:cs="仿宋"/>
          <w:color w:val="000000"/>
          <w:kern w:val="0"/>
          <w:sz w:val="32"/>
          <w:szCs w:val="32"/>
          <w:lang w:val="en-US" w:eastAsia="zh-CN" w:bidi="ar-SA"/>
        </w:rPr>
        <w:t xml:space="preserve">    </w:t>
      </w:r>
      <w:r>
        <w:rPr>
          <w:rFonts w:hint="eastAsia" w:ascii="仿宋_GB2312" w:hAnsi="Times New Roman" w:eastAsia="仿宋_GB2312" w:cs="仿宋"/>
          <w:color w:val="000000"/>
          <w:kern w:val="0"/>
          <w:sz w:val="32"/>
          <w:szCs w:val="32"/>
          <w:lang w:val="en-US" w:eastAsia="zh-CN" w:bidi="ar-SA"/>
        </w:rPr>
        <w:t>1.财政拨款收入：指单位从同级财政部门取得的财政预算资金。</w:t>
      </w:r>
    </w:p>
    <w:p w14:paraId="1B34D808">
      <w:pPr>
        <w:autoSpaceDE w:val="0"/>
        <w:autoSpaceDN w:val="0"/>
        <w:adjustRightInd w:val="0"/>
        <w:spacing w:line="560" w:lineRule="exact"/>
        <w:ind w:firstLine="640" w:firstLineChars="200"/>
        <w:jc w:val="left"/>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 xml:space="preserve">2.年初结转和结余：指以前年度尚未完成、结转到本年按有关规定继续使用的资金。 </w:t>
      </w:r>
    </w:p>
    <w:p w14:paraId="7A42ABBF">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3.年末结转和结余：指本年度或以前年度预算安排、因客观条件发生变化无法按原计划实施，需延迟到以后年度按有关规定继续使用的资金。</w:t>
      </w:r>
    </w:p>
    <w:p w14:paraId="1BC283C6">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4.基本支出：指为保障机构正常运转、完成日常工作任务而发生的人员支出和公用支出。</w:t>
      </w:r>
    </w:p>
    <w:p w14:paraId="121E528F">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 xml:space="preserve">5.项目支出：指在基本支出之外为完成特定行政任务和事业发展目标所发生的支出。 </w:t>
      </w:r>
    </w:p>
    <w:p w14:paraId="67C5DB13">
      <w:pPr>
        <w:pStyle w:val="28"/>
        <w:spacing w:line="560" w:lineRule="exact"/>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6.“三公”经费：纳入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5DE6C6F">
      <w:pPr>
        <w:pStyle w:val="28"/>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0AADC5">
      <w:pPr>
        <w:spacing w:line="560" w:lineRule="exact"/>
        <w:ind w:firstLine="640" w:firstLineChars="200"/>
        <w:outlineLvl w:val="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8.公共安全支出（类）司法（款）</w:t>
      </w:r>
    </w:p>
    <w:p w14:paraId="22355030">
      <w:pPr>
        <w:widowControl/>
        <w:shd w:val="clear" w:color="auto" w:fill="FFFFFF"/>
        <w:spacing w:line="560" w:lineRule="exact"/>
        <w:ind w:firstLine="640" w:firstLineChars="200"/>
        <w:jc w:val="left"/>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①、行政运行: 指行政单位（包括实行公务员管理的事业单位）的基本支出。</w:t>
      </w:r>
    </w:p>
    <w:p w14:paraId="4A835C9F">
      <w:pPr>
        <w:widowControl/>
        <w:shd w:val="clear" w:color="auto" w:fill="FFFFFF"/>
        <w:spacing w:line="560" w:lineRule="exact"/>
        <w:ind w:firstLine="640" w:firstLineChars="200"/>
        <w:jc w:val="left"/>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sym w:font="Wingdings" w:char="F082"/>
      </w:r>
      <w:r>
        <w:rPr>
          <w:rFonts w:hint="eastAsia" w:ascii="仿宋_GB2312" w:hAnsi="Times New Roman" w:eastAsia="仿宋_GB2312" w:cs="仿宋"/>
          <w:color w:val="000000"/>
          <w:kern w:val="0"/>
          <w:sz w:val="32"/>
          <w:szCs w:val="32"/>
          <w:lang w:val="en-US" w:eastAsia="zh-CN" w:bidi="ar-SA"/>
        </w:rPr>
        <w:t>、一般行政管理事务：反映行政单位（包括实行公务员管理的事业单位）未单独设置项级科目的其他项目支出。</w:t>
      </w:r>
    </w:p>
    <w:p w14:paraId="16C25768">
      <w:pPr>
        <w:pStyle w:val="52"/>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③、公共法律服务：反映司法行政部门用于法律援助、司法鉴定、仲裁等公共法律服务工作的相关支出。</w:t>
      </w:r>
    </w:p>
    <w:p w14:paraId="3D78D1F1">
      <w:pPr>
        <w:pStyle w:val="52"/>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④、社区矫正：反映司法行政部门用于社区矫正的相关支出。</w:t>
      </w:r>
    </w:p>
    <w:p w14:paraId="5B4B8215">
      <w:pPr>
        <w:pStyle w:val="52"/>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⑤、事业运行：反映事业单位的基本支出，不包括行政单位（包括实行公务员管理的事业单位）后勤服务中心、医务室等附属事业单位。</w:t>
      </w:r>
    </w:p>
    <w:p w14:paraId="3B4EF7B5">
      <w:pPr>
        <w:pStyle w:val="52"/>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⑥、其他司法支出：反映除上述项目以外其他用于司法方面的支出。</w:t>
      </w:r>
    </w:p>
    <w:p w14:paraId="3770867E">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 xml:space="preserve">9、社会保障和就业（类）行政事业单位养老支出（款）  </w:t>
      </w:r>
    </w:p>
    <w:p w14:paraId="49ADC0BB">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①、行政单位离退休: 指行政单位（包括实行公务员管理的事业单位）开支的离退休支出。</w:t>
      </w:r>
    </w:p>
    <w:p w14:paraId="7A30FD7B">
      <w:pPr>
        <w:pStyle w:val="28"/>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②、机关事业单位基本养老保险缴费支出：指机关事业单位实施养老保险制度有单位缴纳的基本养老保险费支出。</w:t>
      </w:r>
    </w:p>
    <w:p w14:paraId="0C722BDB">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 xml:space="preserve">10、卫生健康支出支出（类） 行政事业单位医疗支出（款） </w:t>
      </w:r>
    </w:p>
    <w:p w14:paraId="1ED664E7">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sym w:font="Wingdings" w:char="F081"/>
      </w:r>
      <w:r>
        <w:rPr>
          <w:rFonts w:hint="eastAsia" w:ascii="仿宋_GB2312" w:hAnsi="Times New Roman" w:eastAsia="仿宋_GB2312" w:cs="仿宋"/>
          <w:color w:val="000000"/>
          <w:kern w:val="0"/>
          <w:sz w:val="32"/>
          <w:szCs w:val="32"/>
          <w:lang w:val="en-US" w:eastAsia="zh-CN" w:bidi="ar-SA"/>
        </w:rPr>
        <w:t>、行政单位医疗：反映财政部门安排的行政单位（包括实行公务员管理的事业单位、下同）基本医疗保险缴费经费，未参加医疗保险的行政单位的公费医疗经费，按国家规定享受离休人员、红军老战士待遇人员的医疗经费。</w:t>
      </w:r>
    </w:p>
    <w:p w14:paraId="7AFB16E3">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sym w:font="Wingdings" w:char="F082"/>
      </w:r>
      <w:r>
        <w:rPr>
          <w:rFonts w:hint="eastAsia" w:ascii="仿宋_GB2312" w:hAnsi="Times New Roman" w:eastAsia="仿宋_GB2312" w:cs="仿宋"/>
          <w:color w:val="000000"/>
          <w:kern w:val="0"/>
          <w:sz w:val="32"/>
          <w:szCs w:val="32"/>
          <w:lang w:val="en-US" w:eastAsia="zh-CN" w:bidi="ar-SA"/>
        </w:rPr>
        <w:t>、事业单位医疗：反映财政部门安排的事业单位基本医疗保险缴费经费，未参加医疗保险的事业单位的公费医疗经费，按国家规定享受离休人员待遇的医疗经费。</w:t>
      </w:r>
    </w:p>
    <w:p w14:paraId="54DE492A">
      <w:pPr>
        <w:spacing w:line="560" w:lineRule="exact"/>
        <w:ind w:firstLine="640" w:firstLineChars="200"/>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③、公务员医疗补助：反映财政部门安排的公务员医疗补助经费。</w:t>
      </w:r>
    </w:p>
    <w:p w14:paraId="7A4BEBD0">
      <w:pPr>
        <w:autoSpaceDE w:val="0"/>
        <w:autoSpaceDN w:val="0"/>
        <w:adjustRightInd w:val="0"/>
        <w:spacing w:line="353" w:lineRule="auto"/>
        <w:jc w:val="left"/>
        <w:rPr>
          <w:rFonts w:hint="eastAsia" w:ascii="仿宋_GB2312" w:hAnsi="Times New Roman" w:eastAsia="仿宋_GB2312" w:cs="仿宋"/>
          <w:color w:val="000000"/>
          <w:kern w:val="0"/>
          <w:sz w:val="32"/>
          <w:szCs w:val="32"/>
          <w:lang w:val="en-US" w:eastAsia="zh-CN" w:bidi="ar-SA"/>
        </w:rPr>
      </w:pPr>
      <w:r>
        <w:rPr>
          <w:rFonts w:hint="eastAsia" w:ascii="仿宋_GB2312" w:hAnsi="Times New Roman" w:eastAsia="仿宋_GB2312" w:cs="仿宋"/>
          <w:color w:val="000000"/>
          <w:kern w:val="0"/>
          <w:sz w:val="32"/>
          <w:szCs w:val="32"/>
          <w:lang w:val="en-US" w:eastAsia="zh-CN" w:bidi="ar-SA"/>
        </w:rPr>
        <w:t xml:space="preserve">    11、住房保障支出（类）住房改革支出（款）住房公积金（项）：指行政事业单位按人力资源和社会保障部、财政部规定的基本工资和津贴补贴以及规定比例为职工缴纳的住房公积金。</w:t>
      </w:r>
    </w:p>
    <w:p w14:paraId="43B9736C">
      <w:pPr>
        <w:ind w:firstLine="640" w:firstLineChars="200"/>
        <w:rPr>
          <w:rFonts w:ascii="仿宋_GB2312" w:eastAsia="仿宋_GB2312"/>
          <w:sz w:val="32"/>
          <w:szCs w:val="32"/>
        </w:rPr>
      </w:pPr>
      <w:r>
        <w:rPr>
          <w:rFonts w:hint="eastAsia" w:eastAsia="仿宋_GB2312" w:cs="Times New Roman"/>
          <w:sz w:val="32"/>
          <w:szCs w:val="32"/>
          <w:lang w:val="en-US" w:eastAsia="zh-CN"/>
        </w:rPr>
        <w:t>12、城乡社区支出（类）国有土地使用权出让收入安排的支出（款）土地开发支出（项）：反映新疆生产建设兵团和地方政府用于前期土地开发性支出以及前期土地开发相关的费用支出</w:t>
      </w:r>
      <w:r>
        <w:rPr>
          <w:rFonts w:hint="eastAsia" w:ascii="Times New Roman" w:hAnsi="Times New Roman" w:eastAsia="仿宋_GB2312" w:cs="Times New Roman"/>
          <w:sz w:val="32"/>
          <w:szCs w:val="32"/>
        </w:rPr>
        <w:t>。</w:t>
      </w: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434ED3F8">
      <w:pPr>
        <w:ind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2C883A8E">
      <w:pPr>
        <w:ind w:firstLine="640" w:firstLineChars="200"/>
        <w:rPr>
          <w:rFonts w:ascii="仿宋_GB2312" w:eastAsia="仿宋_GB2312"/>
          <w:sz w:val="32"/>
          <w:szCs w:val="32"/>
        </w:rPr>
      </w:pPr>
      <w:r>
        <w:rPr>
          <w:rFonts w:hint="eastAsia" w:ascii="仿宋_GB2312" w:eastAsia="仿宋_GB2312"/>
          <w:sz w:val="32"/>
          <w:szCs w:val="32"/>
          <w:lang w:val="en-US" w:eastAsia="zh-CN"/>
        </w:rPr>
        <w:t>14</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1FA8DE5A">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15</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49705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Style w:val="30"/>
          <w:rFonts w:ascii="黑体" w:hAnsi="黑体" w:eastAsia="黑体"/>
          <w:b w:val="0"/>
        </w:rPr>
      </w:pPr>
      <w:r>
        <w:rPr>
          <w:rFonts w:hint="eastAsia" w:ascii="仿宋_GB2312" w:eastAsia="仿宋_GB2312"/>
          <w:color w:val="auto"/>
          <w:sz w:val="32"/>
          <w:szCs w:val="32"/>
          <w:lang w:val="en-US" w:eastAsia="zh-CN"/>
        </w:rPr>
        <w:t>16</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宋体"/>
          <w:b/>
          <w:sz w:val="44"/>
          <w:szCs w:val="44"/>
        </w:rPr>
        <w:br w:type="page"/>
      </w:r>
      <w:bookmarkStart w:id="81" w:name="_Toc15396614"/>
      <w:r>
        <w:rPr>
          <w:rFonts w:hint="eastAsia" w:ascii="黑体" w:hAnsi="黑体" w:eastAsia="黑体"/>
          <w:sz w:val="44"/>
          <w:szCs w:val="44"/>
        </w:rPr>
        <w:t>第</w:t>
      </w:r>
      <w:r>
        <w:rPr>
          <w:rStyle w:val="30"/>
          <w:rFonts w:hint="eastAsia" w:ascii="黑体" w:hAnsi="黑体" w:eastAsia="黑体"/>
          <w:b w:val="0"/>
        </w:rPr>
        <w:t>四部分 附件</w:t>
      </w:r>
      <w:bookmarkEnd w:id="81"/>
    </w:p>
    <w:p w14:paraId="5ABF697C">
      <w:pPr>
        <w:spacing w:line="572" w:lineRule="exact"/>
        <w:jc w:val="left"/>
        <w:outlineLvl w:val="0"/>
        <w:rPr>
          <w:rFonts w:ascii="方正小标宋简体" w:hAnsi="方正小标宋简体" w:eastAsia="方正小标宋简体" w:cs="方正小标宋简体"/>
          <w:sz w:val="44"/>
          <w:szCs w:val="44"/>
        </w:rPr>
      </w:pPr>
      <w:r>
        <w:rPr>
          <w:rFonts w:hint="eastAsia" w:ascii="黑体" w:hAnsi="黑体" w:eastAsia="黑体" w:cs="黑体"/>
          <w:sz w:val="32"/>
          <w:szCs w:val="32"/>
        </w:rPr>
        <w:t>附件</w:t>
      </w:r>
    </w:p>
    <w:p w14:paraId="294CAAD5">
      <w:pPr>
        <w:widowControl/>
        <w:spacing w:line="560" w:lineRule="exact"/>
        <w:contextualSpacing/>
        <w:jc w:val="center"/>
        <w:rPr>
          <w:rFonts w:ascii="宋体" w:hAnsi="宋体"/>
          <w:b/>
          <w:sz w:val="32"/>
          <w:szCs w:val="32"/>
          <w:shd w:val="clear" w:color="auto" w:fill="FFFFFF"/>
        </w:rPr>
      </w:pPr>
      <w:bookmarkStart w:id="82" w:name="_Toc31710"/>
      <w:r>
        <w:rPr>
          <w:rFonts w:hint="eastAsia" w:ascii="宋体" w:hAnsi="宋体"/>
          <w:b/>
          <w:sz w:val="32"/>
          <w:szCs w:val="32"/>
          <w:shd w:val="clear" w:color="auto" w:fill="FFFFFF"/>
        </w:rPr>
        <w:t>2023年省级部门整体绩效评价报告</w:t>
      </w:r>
      <w:bookmarkEnd w:id="82"/>
    </w:p>
    <w:p w14:paraId="38C416AE">
      <w:pPr>
        <w:widowControl/>
        <w:spacing w:line="560" w:lineRule="exact"/>
        <w:contextualSpacing/>
        <w:jc w:val="center"/>
        <w:rPr>
          <w:rFonts w:ascii="仿宋_GB2312" w:hAnsi="仿宋_GB2312" w:eastAsia="仿宋_GB2312" w:cs="仿宋_GB2312"/>
          <w:sz w:val="32"/>
          <w:szCs w:val="32"/>
          <w:shd w:val="clear" w:color="auto" w:fill="FFFFFF"/>
        </w:rPr>
      </w:pPr>
      <w:bookmarkStart w:id="83" w:name="_Toc21956"/>
      <w:r>
        <w:rPr>
          <w:rFonts w:hint="eastAsia" w:ascii="仿宋_GB2312" w:hAnsi="仿宋_GB2312" w:eastAsia="仿宋_GB2312" w:cs="仿宋_GB2312"/>
          <w:sz w:val="32"/>
          <w:szCs w:val="32"/>
          <w:shd w:val="clear" w:color="auto" w:fill="FFFFFF"/>
        </w:rPr>
        <w:t>（报告范围包括机关和下属单位）</w:t>
      </w:r>
      <w:bookmarkEnd w:id="83"/>
    </w:p>
    <w:p w14:paraId="47491A52">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p>
    <w:p w14:paraId="661A1641">
      <w:pPr>
        <w:widowControl/>
        <w:numPr>
          <w:ilvl w:val="0"/>
          <w:numId w:val="6"/>
        </w:numPr>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lang w:val="zh-CN"/>
        </w:rPr>
      </w:pPr>
      <w:bookmarkStart w:id="84" w:name="_Toc1282"/>
      <w:r>
        <w:rPr>
          <w:rFonts w:hint="eastAsia" w:ascii="黑体" w:hAnsi="宋体" w:eastAsia="黑体" w:cs="宋体"/>
          <w:kern w:val="0"/>
          <w:sz w:val="32"/>
          <w:szCs w:val="32"/>
          <w:shd w:val="clear" w:color="auto" w:fill="FFFFFF"/>
          <w:lang w:val="zh-CN"/>
        </w:rPr>
        <w:t>部门（单位）基本情况</w:t>
      </w:r>
      <w:bookmarkEnd w:id="84"/>
    </w:p>
    <w:p w14:paraId="3B883EAE">
      <w:pPr>
        <w:widowControl/>
        <w:numPr>
          <w:ilvl w:val="0"/>
          <w:numId w:val="7"/>
        </w:numPr>
        <w:adjustRightInd w:val="0"/>
        <w:snapToGrid w:val="0"/>
        <w:spacing w:line="560" w:lineRule="exact"/>
        <w:ind w:firstLine="643" w:firstLineChars="200"/>
        <w:contextualSpacing/>
        <w:jc w:val="left"/>
        <w:rPr>
          <w:rFonts w:hint="eastAsia" w:ascii="楷体_GB2312" w:hAnsi="楷体_GB2312" w:eastAsia="楷体_GB2312" w:cs="楷体_GB2312"/>
          <w:b/>
          <w:bCs/>
          <w:kern w:val="0"/>
          <w:sz w:val="32"/>
          <w:szCs w:val="32"/>
          <w:shd w:val="clear" w:color="auto" w:fill="FFFFFF"/>
          <w:lang w:val="zh-CN"/>
        </w:rPr>
      </w:pPr>
      <w:bookmarkStart w:id="85" w:name="_Toc7465"/>
      <w:r>
        <w:rPr>
          <w:rFonts w:hint="eastAsia" w:ascii="楷体_GB2312" w:hAnsi="楷体_GB2312" w:eastAsia="楷体_GB2312" w:cs="楷体_GB2312"/>
          <w:b/>
          <w:bCs/>
          <w:kern w:val="0"/>
          <w:sz w:val="32"/>
          <w:szCs w:val="32"/>
          <w:shd w:val="clear" w:color="auto" w:fill="FFFFFF"/>
          <w:lang w:val="zh-CN"/>
        </w:rPr>
        <w:t>机构组成。</w:t>
      </w:r>
      <w:bookmarkEnd w:id="85"/>
    </w:p>
    <w:p w14:paraId="4B7A8240">
      <w:pPr>
        <w:pStyle w:val="6"/>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lang w:val="zh-CN"/>
        </w:rPr>
      </w:pPr>
      <w:r>
        <w:rPr>
          <w:rFonts w:hint="eastAsia" w:ascii="仿宋" w:hAnsi="仿宋" w:eastAsia="仿宋"/>
          <w:sz w:val="32"/>
          <w:szCs w:val="32"/>
          <w:lang w:eastAsia="zh-CN"/>
        </w:rPr>
        <w:t>西区司法局</w:t>
      </w:r>
      <w:r>
        <w:rPr>
          <w:rFonts w:hint="eastAsia" w:ascii="仿宋" w:hAnsi="仿宋" w:eastAsia="仿宋"/>
          <w:sz w:val="32"/>
          <w:szCs w:val="32"/>
        </w:rPr>
        <w:t>下属二级单位</w:t>
      </w:r>
      <w:r>
        <w:rPr>
          <w:rFonts w:hint="eastAsia" w:ascii="仿宋" w:hAnsi="仿宋" w:eastAsia="仿宋"/>
          <w:sz w:val="32"/>
          <w:szCs w:val="32"/>
          <w:lang w:val="en-US" w:eastAsia="zh-CN"/>
        </w:rPr>
        <w:t>2</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1</w:t>
      </w:r>
      <w:r>
        <w:rPr>
          <w:rFonts w:hint="eastAsia" w:ascii="仿宋" w:hAnsi="仿宋" w:eastAsia="仿宋"/>
          <w:sz w:val="32"/>
          <w:szCs w:val="32"/>
        </w:rPr>
        <w:t>个，其他事业单位</w:t>
      </w:r>
      <w:r>
        <w:rPr>
          <w:rFonts w:hint="eastAsia" w:ascii="仿宋" w:hAnsi="仿宋" w:eastAsia="仿宋"/>
          <w:sz w:val="32"/>
          <w:szCs w:val="32"/>
          <w:lang w:val="en-US" w:eastAsia="zh-CN"/>
        </w:rPr>
        <w:t>1</w:t>
      </w:r>
      <w:r>
        <w:rPr>
          <w:rFonts w:hint="eastAsia" w:ascii="仿宋" w:hAnsi="仿宋" w:eastAsia="仿宋"/>
          <w:sz w:val="32"/>
          <w:szCs w:val="32"/>
        </w:rPr>
        <w:t>个</w:t>
      </w:r>
      <w:r>
        <w:rPr>
          <w:rFonts w:hint="eastAsia" w:ascii="仿宋" w:hAnsi="仿宋" w:eastAsia="仿宋"/>
          <w:sz w:val="32"/>
          <w:szCs w:val="32"/>
          <w:lang w:eastAsia="zh-CN"/>
        </w:rPr>
        <w:t>。</w:t>
      </w:r>
    </w:p>
    <w:p w14:paraId="432E4918">
      <w:pPr>
        <w:widowControl/>
        <w:numPr>
          <w:ilvl w:val="0"/>
          <w:numId w:val="7"/>
        </w:numPr>
        <w:adjustRightInd w:val="0"/>
        <w:snapToGrid w:val="0"/>
        <w:spacing w:line="560" w:lineRule="exact"/>
        <w:ind w:left="0" w:leftChars="0" w:firstLine="643" w:firstLineChars="200"/>
        <w:contextualSpacing/>
        <w:jc w:val="left"/>
        <w:rPr>
          <w:rFonts w:hint="eastAsia" w:ascii="楷体_GB2312" w:hAnsi="楷体_GB2312" w:eastAsia="楷体_GB2312" w:cs="楷体_GB2312"/>
          <w:b/>
          <w:bCs/>
          <w:kern w:val="0"/>
          <w:sz w:val="32"/>
          <w:szCs w:val="32"/>
          <w:shd w:val="clear" w:color="auto" w:fill="FFFFFF"/>
          <w:lang w:val="zh-CN"/>
        </w:rPr>
      </w:pPr>
      <w:bookmarkStart w:id="86" w:name="_Toc3327"/>
      <w:r>
        <w:rPr>
          <w:rFonts w:hint="eastAsia" w:ascii="楷体_GB2312" w:hAnsi="楷体_GB2312" w:eastAsia="楷体_GB2312" w:cs="楷体_GB2312"/>
          <w:b/>
          <w:bCs/>
          <w:kern w:val="0"/>
          <w:sz w:val="32"/>
          <w:szCs w:val="32"/>
          <w:shd w:val="clear" w:color="auto" w:fill="FFFFFF"/>
          <w:lang w:val="zh-CN"/>
        </w:rPr>
        <w:t>机构职能和人员概况。</w:t>
      </w:r>
      <w:bookmarkEnd w:id="86"/>
    </w:p>
    <w:p w14:paraId="5F355699">
      <w:pPr>
        <w:pStyle w:val="14"/>
        <w:shd w:val="clear" w:color="auto" w:fill="FFFFFF"/>
        <w:spacing w:before="93"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1</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承担全面依法治国、依法治省、依法治市、依法治区重大问题的政策研究，协调有关方面提出全面依法治区规划建议，负责有关重大决策部署督察工作。</w:t>
      </w:r>
    </w:p>
    <w:p w14:paraId="28A85638">
      <w:pPr>
        <w:pStyle w:val="14"/>
        <w:shd w:val="clear" w:color="auto" w:fill="FFFFFF"/>
        <w:spacing w:before="93"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负责区政府规范性文件、重大行政决策发布前的合法性审查。承办区政府规范性文件的报送备案工作。负责区政府各部门规范性文件报送区政府的备案审查工作。组织开展规范性文件清理。</w:t>
      </w:r>
    </w:p>
    <w:p w14:paraId="29425C8B">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承担统筹推进法治政府建设的责任。指导监督区政府各部门依法行政工作。负责综合协调、监督检查行政执法，承担推进行政执法体系改革有关工作，推进严格规范公正文明执法。指导监督全区行政复议、行政应诉和行政赔偿工作，承办向区政府申请的行政复议、行政赔偿案件，代理区政府行政应诉案件。</w:t>
      </w:r>
    </w:p>
    <w:p w14:paraId="641B64E4">
      <w:pPr>
        <w:pStyle w:val="14"/>
        <w:shd w:val="clear" w:color="auto" w:fill="FFFFFF"/>
        <w:spacing w:before="0" w:beforeAutospacing="0" w:after="0" w:afterAutospacing="0" w:line="560" w:lineRule="exact"/>
        <w:ind w:firstLine="672"/>
        <w:jc w:val="both"/>
        <w:rPr>
          <w:rFonts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4</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承担统筹规划法治社会建设的责任。负责拟订法治宣传教育规划，组织实施普法宣传工作，组织对外法治宣传。推动人民参与和促进法治建设。指导依法治理和法治创建工作。指导调解工作。负责并指导人民监督员的选任管理工作。指导人民陪审员选任工作。指导监督司法所建设和管理工作。负责职责范围内的安全生产工作。</w:t>
      </w:r>
    </w:p>
    <w:p w14:paraId="0A0E13C4">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5</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指导管理全区社区矫正工作。会同有关部门开展刑满释放人员帮教安置工作。</w:t>
      </w:r>
    </w:p>
    <w:p w14:paraId="250DBAA4">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负责拟订全区公共法律服务体系建设规划并指导实施，统筹和布局全区城乡、区域法律服务资源。指导监督律师、法律援助、公证和基层法律服务工作。</w:t>
      </w:r>
    </w:p>
    <w:p w14:paraId="151980F1">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7</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负责本单位财务、装备、设施、场所等保障工作。指导监督所属事业单位的计划财务工作。负责所属事业单位内部审计工作。</w:t>
      </w:r>
    </w:p>
    <w:p w14:paraId="60C37A10">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8</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规划、协调、指导法治人才队伍建设相关工作，负责本单位队伍建设。</w:t>
      </w:r>
    </w:p>
    <w:p w14:paraId="068AA582">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9</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负责本单位行政审批工作。负责全区外来企业投诉处理和民营企业法律服务工作。</w:t>
      </w:r>
    </w:p>
    <w:p w14:paraId="04074C95">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10</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负责职责范围内的安全生产和职业健康、生态环境保护、审批服务便民化等工作。</w:t>
      </w:r>
    </w:p>
    <w:p w14:paraId="37030E59">
      <w:pPr>
        <w:pStyle w:val="14"/>
        <w:shd w:val="clear" w:color="auto" w:fill="FFFFFF"/>
        <w:spacing w:before="0" w:beforeAutospacing="0" w:after="0" w:afterAutospacing="0" w:line="560" w:lineRule="exact"/>
        <w:ind w:firstLine="672"/>
        <w:jc w:val="both"/>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11.完成区委、区政府交办的其他任务。</w:t>
      </w:r>
    </w:p>
    <w:p w14:paraId="274EE599">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12.职能转变统筹推进承担行政职能的事业单位改革。区法律援助中心不再承担受理、审查法律援助申请，指派或者安排人员为符合法律援助条例规定的公民提供法律援助的职能。上述行政职能交由区司法局机关承担。</w:t>
      </w:r>
    </w:p>
    <w:p w14:paraId="385B603C">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Times New Roman" w:hAnsi="Times New Roman" w:eastAsia="仿宋_GB2312" w:cs="Times New Roman"/>
          <w:color w:val="000000"/>
          <w:kern w:val="2"/>
          <w:sz w:val="32"/>
          <w:szCs w:val="32"/>
          <w:highlight w:val="none"/>
          <w:lang w:val="zh-CN" w:eastAsia="zh-CN" w:bidi="ar-SA"/>
        </w:rPr>
      </w:pPr>
      <w:r>
        <w:rPr>
          <w:rFonts w:hint="eastAsia" w:eastAsia="仿宋_GB2312" w:cs="Times New Roman"/>
          <w:sz w:val="32"/>
          <w:szCs w:val="32"/>
          <w:lang w:eastAsia="zh-CN"/>
        </w:rPr>
        <w:t>人员状况：</w:t>
      </w:r>
      <w:r>
        <w:rPr>
          <w:rFonts w:hint="default" w:ascii="Times New Roman" w:hAnsi="Times New Roman" w:eastAsia="仿宋_GB2312" w:cs="Times New Roman"/>
          <w:sz w:val="32"/>
          <w:szCs w:val="32"/>
        </w:rPr>
        <w:t>西区</w:t>
      </w:r>
      <w:r>
        <w:rPr>
          <w:rFonts w:hint="default" w:ascii="Times New Roman" w:hAnsi="Times New Roman" w:eastAsia="仿宋_GB2312" w:cs="Times New Roman"/>
          <w:sz w:val="32"/>
          <w:szCs w:val="32"/>
          <w:lang w:eastAsia="zh-CN"/>
        </w:rPr>
        <w:t>司法局人员编制</w:t>
      </w:r>
      <w:r>
        <w:rPr>
          <w:rFonts w:hint="default" w:ascii="Times New Roman" w:hAnsi="Times New Roman" w:eastAsia="仿宋_GB2312" w:cs="Times New Roman"/>
          <w:sz w:val="32"/>
          <w:szCs w:val="32"/>
          <w:lang w:val="en-US" w:eastAsia="zh-CN"/>
        </w:rPr>
        <w:t>33名，其中：行政编制26个、参公编制3名、</w:t>
      </w:r>
      <w:r>
        <w:rPr>
          <w:rFonts w:hint="default" w:ascii="Times New Roman" w:hAnsi="Times New Roman" w:eastAsia="仿宋_GB2312" w:cs="Times New Roman"/>
          <w:sz w:val="32"/>
          <w:szCs w:val="32"/>
          <w:lang w:eastAsia="zh-CN"/>
        </w:rPr>
        <w:t>事业</w:t>
      </w:r>
      <w:r>
        <w:rPr>
          <w:rFonts w:hint="default" w:ascii="Times New Roman" w:hAnsi="Times New Roman" w:eastAsia="仿宋_GB2312" w:cs="Times New Roman"/>
          <w:sz w:val="32"/>
          <w:szCs w:val="32"/>
        </w:rPr>
        <w:t>编制</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个，实有人员</w:t>
      </w:r>
      <w:r>
        <w:rPr>
          <w:rFonts w:hint="default" w:ascii="Times New Roman" w:hAnsi="Times New Roman" w:eastAsia="仿宋_GB2312" w:cs="Times New Roman"/>
          <w:sz w:val="32"/>
          <w:szCs w:val="32"/>
          <w:lang w:val="en-US" w:eastAsia="zh-CN"/>
        </w:rPr>
        <w:t>29</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，其中在编人员</w:t>
      </w:r>
      <w:r>
        <w:rPr>
          <w:rFonts w:hint="default" w:ascii="Times New Roman" w:hAnsi="Times New Roman" w:eastAsia="仿宋_GB2312" w:cs="Times New Roman"/>
          <w:sz w:val="32"/>
          <w:szCs w:val="32"/>
          <w:lang w:val="en-US" w:eastAsia="zh-CN"/>
        </w:rPr>
        <w:t>28人，</w:t>
      </w:r>
      <w:r>
        <w:rPr>
          <w:rFonts w:hint="default" w:ascii="Times New Roman" w:hAnsi="Times New Roman" w:eastAsia="仿宋_GB2312" w:cs="Times New Roman"/>
          <w:sz w:val="32"/>
          <w:szCs w:val="32"/>
          <w:lang w:eastAsia="zh-CN"/>
        </w:rPr>
        <w:t>聘用人员</w:t>
      </w:r>
      <w:r>
        <w:rPr>
          <w:rFonts w:hint="default" w:ascii="Times New Roman" w:hAnsi="Times New Roman" w:eastAsia="仿宋_GB2312" w:cs="Times New Roman"/>
          <w:sz w:val="32"/>
          <w:szCs w:val="32"/>
          <w:lang w:val="en-US" w:eastAsia="zh-CN"/>
        </w:rPr>
        <w:t>1人</w:t>
      </w:r>
      <w:r>
        <w:rPr>
          <w:rFonts w:hint="default" w:ascii="Times New Roman" w:hAnsi="Times New Roman" w:eastAsia="仿宋_GB2312" w:cs="Times New Roman"/>
          <w:sz w:val="32"/>
          <w:szCs w:val="32"/>
        </w:rPr>
        <w:t>。</w:t>
      </w:r>
      <w:r>
        <w:rPr>
          <w:rFonts w:hint="eastAsia"/>
          <w:lang w:val="en-US" w:eastAsia="zh-CN"/>
        </w:rPr>
        <w:t xml:space="preserve"> </w:t>
      </w:r>
    </w:p>
    <w:p w14:paraId="5FD095BA">
      <w:pPr>
        <w:widowControl/>
        <w:numPr>
          <w:ilvl w:val="0"/>
          <w:numId w:val="7"/>
        </w:numPr>
        <w:adjustRightInd w:val="0"/>
        <w:snapToGrid w:val="0"/>
        <w:spacing w:line="560" w:lineRule="exact"/>
        <w:ind w:left="0" w:leftChars="0" w:firstLine="643" w:firstLineChars="200"/>
        <w:contextualSpacing/>
        <w:jc w:val="left"/>
        <w:rPr>
          <w:rFonts w:hint="eastAsia" w:ascii="楷体_GB2312" w:hAnsi="楷体_GB2312" w:eastAsia="楷体_GB2312" w:cs="楷体_GB2312"/>
          <w:b/>
          <w:bCs/>
          <w:kern w:val="0"/>
          <w:sz w:val="32"/>
          <w:szCs w:val="32"/>
          <w:shd w:val="clear" w:color="auto" w:fill="FFFFFF"/>
          <w:lang w:val="zh-CN"/>
        </w:rPr>
      </w:pPr>
      <w:bookmarkStart w:id="87" w:name="_Toc22222"/>
      <w:r>
        <w:rPr>
          <w:rFonts w:hint="eastAsia" w:ascii="楷体_GB2312" w:hAnsi="楷体_GB2312" w:eastAsia="楷体_GB2312" w:cs="楷体_GB2312"/>
          <w:b/>
          <w:bCs/>
          <w:kern w:val="0"/>
          <w:sz w:val="32"/>
          <w:szCs w:val="32"/>
          <w:shd w:val="clear" w:color="auto" w:fill="FFFFFF"/>
          <w:lang w:val="zh-CN"/>
        </w:rPr>
        <w:t>年度主要工作任务。</w:t>
      </w:r>
      <w:bookmarkEnd w:id="87"/>
    </w:p>
    <w:p w14:paraId="28E6EC51">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聚力依法行政，全力推进法治西区建设。一是健全体制机制，统筹推动落实。优化完善西区全面依法治区工作领导体系，调整区委全面依法治区委员会及其协调小组组成人员，加强党对法治建设的领导。制定法治建设“一规划两方案”，印发全面依法治区年度工作要点，召开区委全面依法治区委员会第四次会议，明确目标任务，细化思路举措，确保法治建设各项工作稳步实施、有序推进。二是聚焦“关键少数”，发挥引领作用。制定《党组织书记履行推进法治建设“第一责任人”职责清单》，推行领导干部会前学法、任前考法、年度述法和法治档案制度，推动领导干部带头学法、模范守法、厉行法治、依法办事。今年以来，区委常委会、区政府常务会会前学法21次，各单位会前学法280余次，领导干部任前考法78人，2021年度法治考核655人，其中合格593人，不合格6人，未确定等次56人。三是精心谋划部署，抓实成果推广。召开西区推广应用“1+8”示范试点成果动员部署会，印发《西区推广应用“1+8”示范试点成果实施方案》，开展示范试点“八大行动”，补齐全面依法治区工作短板弱项，有效解决法治领域突出问题，切实提升群众法治获得感、幸福感、安全感。</w:t>
      </w:r>
    </w:p>
    <w:p w14:paraId="59F49A30">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聚力普治并举，全面深化普法依法治理。一是凝聚部门普法合力。深入实施“八五”普法规划，严格执行“谁执法谁普法”“谁主管谁负责”“谁服务谁负责”普法责任制。细化22家单位年度法治宣传教育责任清单，将法治宣传教育与民生实事、疫情防控、森林草原防灭火等重要工作结合起来，整合普法资源力量，组织开展各类法治宣传活动180余场，发放普法资料15万余份，切实引导群众自觉尊法学法守法用法，为法治西区建设营造良好法治环境。二是加强重点对象法治教育。抓好青少年这个基础，配备法治副校长10名，法治辅导员233名，拍摄法治教育宣传片，充分发挥第一课堂的主渠道作用。开展青少年法治教育基地创建活动，推动形成学校、家庭、社会三位一体的青少年法治教育网络。抓好基层群众这个难点，采取乡村“大喇叭”广播、民法典打卡活动、法治春联进万家等形式扎实开展普法活动。三是夯实基层法治建设基础。对26个村（社区）法治阵地建设、法治宣传栏、基层普法等相关工作进行实地摸底，对河门口公园、杨家坪宪法广场进行升级打造，开展民主法治示范创建，推行“法治阵地实践教育活动”。2022年，杨家坪社区成功申报为第一批省级法治示范社区。积极开展“法律明白人”培养工程，推选出法律明白人130名，评选出学法用法示范户6户，并逐步开展示范培训、专题培训提高其法治实践能力，推动法律明白人成为宣传法律、调解纠纷、维护稳定的重要力量。</w:t>
      </w:r>
    </w:p>
    <w:p w14:paraId="4A3EE9FD">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聚力风险防控，全面夯实平安维稳基础。围绕党的二十大安保维稳工作任务，积极主动防御风险，坚决维护西区社会安全稳定。一是深耕重点人员管理“责任田”。结合忠诚铸魂、铁纪担当专项活动开展重点整治社区矫正管理不力专项行动，建成100人的社区矫正工作志愿者队伍，联合市检察院、区检察院对各司法所进行3次巡回检查，抓好日常监管教育、请销假、帮扶等六个环节，全区138名社区矫正对象全部监管到位。建立健全横向贯通、纵向联合的区、街道（镇）、村（居）安置帮教工作网络，按照一人一档案落实专职人员确保帮教工作的顺利开展。全区安置帮教人员443名，帮教率达到100%，就业安置率达到95%，重新犯罪率控制在3%以下。二是挺在社会矛盾纠纷“最前沿”。进一步健全三级调解组织，规范全区原有34个调解组织设置，新成立物业、劳动纠纷两个专业性人民调解委员会，组建有251名专兼职调解员的调解队伍，为人民调解员开办初任人员培训、既有住宅电梯增设、乡村调解员提能等专题培训5场。充分发挥人民调解维护社会和谐稳定的“第一道防线”作用，有针对性开展矛盾纠纷排查，为党的二十大</w:t>
      </w:r>
      <w:r>
        <w:rPr>
          <w:rFonts w:hint="eastAsia" w:eastAsia="仿宋_GB2312" w:cs="Times New Roman"/>
          <w:sz w:val="32"/>
          <w:szCs w:val="32"/>
          <w:lang w:eastAsia="zh-CN"/>
        </w:rPr>
        <w:t>胜利</w:t>
      </w:r>
      <w:r>
        <w:rPr>
          <w:rFonts w:hint="default" w:ascii="Times New Roman" w:hAnsi="Times New Roman" w:eastAsia="仿宋_GB2312" w:cs="Times New Roman"/>
          <w:sz w:val="32"/>
          <w:szCs w:val="32"/>
          <w:lang w:eastAsia="zh-CN"/>
        </w:rPr>
        <w:t>召开贡献力量。今年以来，全区共调处化解各类矛盾纠纷1081件，进行司法确认11件，调解成功率99%。三是充分发挥复议化解争议主渠道作用。践行“复议为民”宗旨，充分发挥行政复议纠错功能，紧紧围绕保市场主体、保障企业稳健发展，切实维护市场主体的合法权益，持续推动行政复议与应诉工作高质量发展。截至10月，共收到行政复议案件6件，办理的《某旅行社不服某市场监督管理局作出的行政处罚案》成功入选四川省“川渝行政复议”年度十佳典型案例。</w:t>
      </w:r>
    </w:p>
    <w:p w14:paraId="359A65F1">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聚力便民利企，全面优化公共法律服务。突出法治思维，注重百姓视角，为全区经济社会高质量发展提供优质、高效的法律服务和法治保障。一是拓展服务领域，打造综合性服务平台。依托区公共法律服务中心，升级打造融合了矛盾纠纷多元化解、劳动仲裁、诉讼服务、外来企业投诉等九大中心工作职能，实现纠纷调处、行政复议、法律援助、公证服务、心理疏导、远程视频会见等十余种功能为一体的综合性法律服务平台，引进西区本土纠纷化解品牌——“三说会堂”，能够为办事群众提供化解矛盾全链条、闭环式服务，让辖区居民享受到了便捷高效、智能精准的优质服务。自今年8月中心升级之后共接待群众500余人次。二是围绕便民利企，不断优化法律服务质效。常态化组织律师、法律顾问开展法治讲座7场，为12家民营企业开展“法治体检”，梳理法律风险、法律问题21个，审查用工合同700余份。结合“我为群众办实事”，推出12条公共法律服务便民措施，开辟法律援助绿色服务通道，实行公证预约服务、延时服务、上门服务。截至10月，共办理公证123件，上门服务9次。受理法律援助案件303件，法律帮助案件279件，法律咨询数815人次，代书18个，法律援助率达到100%。三是整合服务队伍，充分发挥法律服务功效。整合公证员、律师（基层法律服务工作者）、法律明白人、人民调解员、司法所工作人员等多支法律服务队伍，签订律师事务所、司法所“所所结对”协议，开展司法所“大所带小所”活动，促成资源共享、工作优势互补、专项活动互援、法律文化共建。积极开展“万所联万会”，促成西区商会与智达律师事务所长效合作机制建立，搭建西区法律服务民营企业新平台，形成律所与商协会的良性协作机制。整合法律从业人员，开展进企业、进社区法律咨询活动30余场，对有关法律问题进行集中解答，实现家门口的公共法律服务。</w:t>
      </w:r>
    </w:p>
    <w:p w14:paraId="22F8A096">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lang w:val="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聚力党建引领，全面加强司法队伍建设。一是创新学习形式，持续筑牢政治忠诚。突出党建引领，推出重温入党申请、参观书画作品展、红色经典诵读等主题党日活动，创新开展“司想汇·午间课堂”集中学习26期，形成“人人上讲台、大家齐分享”的良好局面。深入贯彻落实“筑忠诚、担使命，守纪律、树形象”总要求，构建“7+3”工作格局，深化“七大行动”“三项重点”工作任务，一体推进“忠诚铸魂、铁纪担当”专项活动，助推司法行政工作高质量发展。二是狠抓整改落实，推动问题清仓见底。坚决扛起巡察整改政治责任、主体责任，针对巡察反馈的3个方面12个问题，制定整改方案，细化整改措施37条，建立整改台账，实行挂图作战、动态管理，逐一对账落实，全面销号清零，做到件件有着落、事事有回音。坚持“当下改”和“长久立”相结合，建立健全党组工作规则、“三重一大”、财务管理、资产管理、干部八小时以外监督管理等单位内控制度，从制度上加强规范约束。三是从严正风肃纪，全力锻造司法铁军。采取召开警示教育大会、观看警示教育片、领导干部讲廉政党课、通报典型违法违纪案例、制发“十个严禁”书签、签订六大顽瘴痼疾承诺书、发出《家风建设倡议书》等方式，进一</w:t>
      </w:r>
      <w:bookmarkStart w:id="159" w:name="_GoBack"/>
      <w:bookmarkEnd w:id="159"/>
      <w:r>
        <w:rPr>
          <w:rFonts w:hint="default" w:ascii="Times New Roman" w:hAnsi="Times New Roman" w:eastAsia="仿宋_GB2312" w:cs="Times New Roman"/>
          <w:sz w:val="32"/>
          <w:szCs w:val="32"/>
          <w:lang w:eastAsia="zh-CN"/>
        </w:rPr>
        <w:t>步筑牢干警</w:t>
      </w:r>
      <w:r>
        <w:rPr>
          <w:rFonts w:hint="eastAsia" w:ascii="方正仿宋_GB2312" w:hAnsi="方正仿宋_GB2312" w:eastAsia="方正仿宋_GB2312" w:cs="方正仿宋_GB2312"/>
          <w:sz w:val="32"/>
          <w:szCs w:val="32"/>
          <w:lang w:val="en-US" w:eastAsia="zh-CN"/>
        </w:rPr>
        <w:t>不敢腐、不能腐、不想腐</w:t>
      </w:r>
      <w:r>
        <w:rPr>
          <w:rFonts w:hint="default" w:ascii="Times New Roman" w:hAnsi="Times New Roman" w:eastAsia="仿宋_GB2312" w:cs="Times New Roman"/>
          <w:sz w:val="32"/>
          <w:szCs w:val="32"/>
          <w:lang w:eastAsia="zh-CN"/>
        </w:rPr>
        <w:t>的思想防线。持之以恒正风肃纪。开展法律援助经费使用管理自查自纠、纪律作风督查巡查、意识形态责任制落实情况、“三公经费”等专项检查10余次。健全岗位风险防控体系。修订完善标准化工作手册和个人岗位风险提示牌，查找岗位风险点151个，制定防控措施194个，建立创建示范岗、风险防控督导员等制度，建立起权责清晰、流程规范、风险明确、措施有力的岗位风险防控长效机制。</w:t>
      </w:r>
    </w:p>
    <w:p w14:paraId="594B434B">
      <w:pPr>
        <w:widowControl/>
        <w:adjustRightInd w:val="0"/>
        <w:snapToGrid w:val="0"/>
        <w:spacing w:line="560" w:lineRule="exact"/>
        <w:ind w:firstLine="643" w:firstLineChars="200"/>
        <w:contextualSpacing/>
        <w:jc w:val="left"/>
        <w:rPr>
          <w:rFonts w:hint="eastAsia" w:ascii="楷体_GB2312" w:hAnsi="楷体_GB2312" w:eastAsia="楷体_GB2312" w:cs="楷体_GB2312"/>
          <w:b/>
          <w:bCs/>
          <w:kern w:val="0"/>
          <w:sz w:val="32"/>
          <w:szCs w:val="32"/>
          <w:shd w:val="clear" w:color="auto" w:fill="FFFFFF"/>
          <w:lang w:val="zh-CN"/>
        </w:rPr>
      </w:pPr>
      <w:bookmarkStart w:id="88" w:name="_Toc9953"/>
      <w:r>
        <w:rPr>
          <w:rFonts w:hint="eastAsia" w:ascii="楷体_GB2312" w:hAnsi="楷体_GB2312" w:eastAsia="楷体_GB2312" w:cs="楷体_GB2312"/>
          <w:b/>
          <w:bCs/>
          <w:kern w:val="0"/>
          <w:sz w:val="32"/>
          <w:szCs w:val="32"/>
          <w:shd w:val="clear" w:color="auto" w:fill="FFFFFF"/>
          <w:lang w:val="zh-CN"/>
        </w:rPr>
        <w:t>（四）部门整体支出绩效目标。</w:t>
      </w:r>
      <w:bookmarkEnd w:id="88"/>
    </w:p>
    <w:p w14:paraId="35C2E95A">
      <w:pPr>
        <w:pageBreakBefore w:val="0"/>
        <w:kinsoku/>
        <w:wordWrap/>
        <w:overflowPunct/>
        <w:topLinePunct w:val="0"/>
        <w:bidi w:val="0"/>
        <w:adjustRightInd w:val="0"/>
        <w:snapToGrid w:val="0"/>
        <w:spacing w:line="353" w:lineRule="auto"/>
        <w:ind w:left="0" w:right="0" w:firstLine="640" w:firstLineChars="200"/>
        <w:textAlignment w:val="auto"/>
        <w:rPr>
          <w:lang w:val="zh-CN"/>
        </w:rPr>
      </w:pPr>
      <w:r>
        <w:rPr>
          <w:rFonts w:hint="default" w:ascii="Times New Roman" w:hAnsi="Times New Roman" w:eastAsia="仿宋" w:cs="Times New Roman"/>
          <w:color w:val="000000"/>
          <w:sz w:val="32"/>
          <w:szCs w:val="32"/>
        </w:rPr>
        <w:t>严格预算支出管理。在支出预算编制上，人员经费按照配置定额，逐人核定编制，公用经费分类分档，按定额编制；根据“总量控制、计划管理”的要求从严控制行政经费，压缩公务费开支，严格控制“三公”经费，按照预算科目和项目资金的规定使用财政资金，保障部门整体支出的规范化、制度化。</w:t>
      </w:r>
    </w:p>
    <w:p w14:paraId="5B3095BA">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bookmarkStart w:id="89" w:name="_Toc467"/>
      <w:r>
        <w:rPr>
          <w:rFonts w:hint="eastAsia" w:ascii="黑体" w:hAnsi="宋体" w:eastAsia="黑体" w:cs="宋体"/>
          <w:kern w:val="0"/>
          <w:sz w:val="32"/>
          <w:szCs w:val="32"/>
          <w:shd w:val="clear" w:color="auto" w:fill="FFFFFF"/>
        </w:rPr>
        <w:t>二、部门资金收支情况</w:t>
      </w:r>
      <w:bookmarkEnd w:id="89"/>
    </w:p>
    <w:p w14:paraId="2067ED0C">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bookmarkStart w:id="90" w:name="_Toc21608"/>
      <w:r>
        <w:rPr>
          <w:rFonts w:hint="eastAsia" w:ascii="楷体_GB2312" w:hAnsi="楷体_GB2312" w:eastAsia="楷体_GB2312" w:cs="楷体_GB2312"/>
          <w:b/>
          <w:bCs/>
          <w:kern w:val="0"/>
          <w:sz w:val="32"/>
          <w:szCs w:val="32"/>
          <w:shd w:val="clear" w:color="auto" w:fill="FFFFFF"/>
          <w:lang w:val="zh-CN"/>
        </w:rPr>
        <w:t>（一）部门总体收支情况。</w:t>
      </w:r>
      <w:bookmarkEnd w:id="90"/>
    </w:p>
    <w:p w14:paraId="2C651BA1">
      <w:pPr>
        <w:keepNext w:val="0"/>
        <w:keepLines w:val="0"/>
        <w:pageBreakBefore w:val="0"/>
        <w:widowControl/>
        <w:kinsoku/>
        <w:wordWrap/>
        <w:overflowPunct/>
        <w:topLinePunct w:val="0"/>
        <w:autoSpaceDE/>
        <w:autoSpaceDN/>
        <w:bidi w:val="0"/>
        <w:adjustRightInd w:val="0"/>
        <w:snapToGrid w:val="0"/>
        <w:spacing w:line="300" w:lineRule="auto"/>
        <w:ind w:firstLine="640" w:firstLineChars="20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bookmarkStart w:id="91" w:name="_Toc9114"/>
      <w:r>
        <w:rPr>
          <w:rFonts w:hint="eastAsia" w:ascii="仿宋_GB2312" w:hAnsi="仿宋_GB2312" w:eastAsia="仿宋_GB2312" w:cs="仿宋_GB2312"/>
          <w:kern w:val="0"/>
          <w:sz w:val="32"/>
          <w:szCs w:val="32"/>
          <w:shd w:val="clear" w:color="auto" w:fill="FFFFFF"/>
        </w:rPr>
        <w:t>1.部门总体收入情况</w:t>
      </w:r>
      <w:r>
        <w:rPr>
          <w:rFonts w:hint="eastAsia" w:ascii="仿宋_GB2312" w:hAnsi="仿宋_GB2312" w:eastAsia="仿宋_GB2312" w:cs="仿宋_GB2312"/>
          <w:kern w:val="0"/>
          <w:sz w:val="32"/>
          <w:szCs w:val="32"/>
          <w:shd w:val="clear" w:color="auto" w:fill="FFFFFF"/>
          <w:lang w:eastAsia="zh-CN"/>
        </w:rPr>
        <w:t>。</w:t>
      </w:r>
      <w:bookmarkEnd w:id="91"/>
    </w:p>
    <w:p w14:paraId="78D1B0C2">
      <w:pPr>
        <w:keepNext w:val="0"/>
        <w:keepLines w:val="0"/>
        <w:pageBreakBefore w:val="0"/>
        <w:kinsoku/>
        <w:wordWrap/>
        <w:overflowPunct/>
        <w:topLinePunct w:val="0"/>
        <w:autoSpaceDE/>
        <w:autoSpaceDN/>
        <w:bidi w:val="0"/>
        <w:adjustRightInd w:val="0"/>
        <w:snapToGrid w:val="0"/>
        <w:spacing w:line="300" w:lineRule="auto"/>
        <w:ind w:firstLine="640" w:firstLineChars="200"/>
        <w:textAlignment w:val="auto"/>
        <w:outlineLvl w:val="9"/>
      </w:pPr>
      <w:r>
        <w:rPr>
          <w:rFonts w:hint="eastAsia" w:eastAsia="仿宋_GB2312"/>
          <w:sz w:val="32"/>
          <w:szCs w:val="32"/>
        </w:rPr>
        <w:t>202</w:t>
      </w:r>
      <w:r>
        <w:rPr>
          <w:rFonts w:hint="eastAsia" w:eastAsia="仿宋_GB2312"/>
          <w:sz w:val="32"/>
          <w:szCs w:val="32"/>
          <w:lang w:val="en-US" w:eastAsia="zh-CN"/>
        </w:rPr>
        <w:t>2</w:t>
      </w:r>
      <w:r>
        <w:rPr>
          <w:rFonts w:hint="eastAsia" w:eastAsia="仿宋_GB2312"/>
          <w:sz w:val="32"/>
          <w:szCs w:val="32"/>
        </w:rPr>
        <w:t>年全年预算数</w:t>
      </w:r>
      <w:r>
        <w:rPr>
          <w:rFonts w:hint="eastAsia" w:eastAsia="仿宋_GB2312"/>
          <w:sz w:val="32"/>
          <w:szCs w:val="32"/>
          <w:lang w:val="en-US" w:eastAsia="zh-CN"/>
        </w:rPr>
        <w:t>742.76</w:t>
      </w:r>
      <w:r>
        <w:rPr>
          <w:rFonts w:hint="eastAsia" w:eastAsia="仿宋_GB2312"/>
          <w:sz w:val="32"/>
          <w:szCs w:val="32"/>
        </w:rPr>
        <w:t>万元，其中：一般公共预算财政拨款收入</w:t>
      </w:r>
      <w:r>
        <w:rPr>
          <w:rFonts w:hint="eastAsia" w:eastAsia="仿宋_GB2312"/>
          <w:sz w:val="32"/>
          <w:szCs w:val="32"/>
          <w:lang w:val="en-US" w:eastAsia="zh-CN"/>
        </w:rPr>
        <w:t>705.66</w:t>
      </w:r>
      <w:r>
        <w:rPr>
          <w:rFonts w:hint="eastAsia" w:eastAsia="仿宋_GB2312"/>
          <w:sz w:val="32"/>
          <w:szCs w:val="32"/>
        </w:rPr>
        <w:t>万元、政府性基金预算财政拨款收入</w:t>
      </w:r>
      <w:r>
        <w:rPr>
          <w:rFonts w:hint="eastAsia" w:eastAsia="仿宋_GB2312"/>
          <w:sz w:val="32"/>
          <w:szCs w:val="32"/>
          <w:lang w:val="en-US" w:eastAsia="zh-CN"/>
        </w:rPr>
        <w:t>2.47</w:t>
      </w:r>
      <w:r>
        <w:rPr>
          <w:rFonts w:hint="eastAsia" w:eastAsia="仿宋_GB2312"/>
          <w:sz w:val="32"/>
          <w:szCs w:val="32"/>
        </w:rPr>
        <w:t>万元</w:t>
      </w:r>
      <w:r>
        <w:rPr>
          <w:rFonts w:hint="eastAsia" w:eastAsia="仿宋_GB2312"/>
          <w:sz w:val="32"/>
          <w:szCs w:val="32"/>
          <w:lang w:eastAsia="zh-CN"/>
        </w:rPr>
        <w:t>、</w:t>
      </w:r>
      <w:r>
        <w:rPr>
          <w:rFonts w:hint="eastAsia" w:eastAsia="仿宋_GB2312"/>
          <w:sz w:val="32"/>
          <w:szCs w:val="32"/>
        </w:rPr>
        <w:t>上年结转项目收入</w:t>
      </w:r>
      <w:r>
        <w:rPr>
          <w:rFonts w:hint="eastAsia" w:eastAsia="仿宋_GB2312"/>
          <w:sz w:val="32"/>
          <w:szCs w:val="32"/>
          <w:lang w:val="en-US" w:eastAsia="zh-CN"/>
        </w:rPr>
        <w:t>34.63</w:t>
      </w:r>
      <w:r>
        <w:rPr>
          <w:rFonts w:hint="eastAsia" w:eastAsia="仿宋_GB2312"/>
          <w:sz w:val="32"/>
          <w:szCs w:val="32"/>
        </w:rPr>
        <w:t>万元。</w:t>
      </w:r>
    </w:p>
    <w:p w14:paraId="67A67847">
      <w:pPr>
        <w:keepNext w:val="0"/>
        <w:keepLines w:val="0"/>
        <w:pageBreakBefore w:val="0"/>
        <w:widowControl/>
        <w:numPr>
          <w:ilvl w:val="0"/>
          <w:numId w:val="0"/>
        </w:numPr>
        <w:kinsoku/>
        <w:wordWrap/>
        <w:overflowPunct/>
        <w:topLinePunct w:val="0"/>
        <w:autoSpaceDE/>
        <w:autoSpaceDN/>
        <w:bidi w:val="0"/>
        <w:adjustRightInd w:val="0"/>
        <w:snapToGrid w:val="0"/>
        <w:spacing w:line="300" w:lineRule="auto"/>
        <w:ind w:left="672" w:leftChars="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bookmarkStart w:id="92" w:name="_Toc19876"/>
      <w:r>
        <w:rPr>
          <w:rFonts w:hint="eastAsia" w:ascii="仿宋_GB2312" w:hAnsi="仿宋_GB2312" w:eastAsia="仿宋_GB2312" w:cs="仿宋_GB2312"/>
          <w:kern w:val="0"/>
          <w:sz w:val="32"/>
          <w:szCs w:val="32"/>
          <w:shd w:val="clear" w:color="auto" w:fill="FFFFFF"/>
          <w:lang w:val="en-US" w:eastAsia="zh-CN"/>
        </w:rPr>
        <w:t>2.</w:t>
      </w:r>
      <w:r>
        <w:rPr>
          <w:rFonts w:hint="eastAsia" w:ascii="仿宋_GB2312" w:hAnsi="仿宋_GB2312" w:eastAsia="仿宋_GB2312" w:cs="仿宋_GB2312"/>
          <w:kern w:val="0"/>
          <w:sz w:val="32"/>
          <w:szCs w:val="32"/>
          <w:shd w:val="clear" w:color="auto" w:fill="FFFFFF"/>
        </w:rPr>
        <w:t>部门总体支出情况</w:t>
      </w:r>
      <w:r>
        <w:rPr>
          <w:rFonts w:hint="eastAsia" w:ascii="仿宋_GB2312" w:hAnsi="仿宋_GB2312" w:eastAsia="仿宋_GB2312" w:cs="仿宋_GB2312"/>
          <w:kern w:val="0"/>
          <w:sz w:val="32"/>
          <w:szCs w:val="32"/>
          <w:shd w:val="clear" w:color="auto" w:fill="FFFFFF"/>
          <w:lang w:eastAsia="zh-CN"/>
        </w:rPr>
        <w:t>。</w:t>
      </w:r>
      <w:bookmarkEnd w:id="92"/>
    </w:p>
    <w:p w14:paraId="3360C6A7">
      <w:pPr>
        <w:keepNext w:val="0"/>
        <w:keepLines w:val="0"/>
        <w:pageBreakBefore w:val="0"/>
        <w:kinsoku/>
        <w:wordWrap/>
        <w:overflowPunct/>
        <w:topLinePunct w:val="0"/>
        <w:autoSpaceDE/>
        <w:autoSpaceDN/>
        <w:bidi w:val="0"/>
        <w:adjustRightInd w:val="0"/>
        <w:snapToGrid w:val="0"/>
        <w:spacing w:line="300" w:lineRule="auto"/>
        <w:ind w:firstLine="640" w:firstLineChars="200"/>
        <w:textAlignment w:val="auto"/>
        <w:outlineLvl w:val="9"/>
        <w:rPr>
          <w:rFonts w:hint="eastAsia"/>
          <w:lang w:eastAsia="zh-CN"/>
        </w:rPr>
      </w:pPr>
      <w:r>
        <w:rPr>
          <w:rFonts w:hint="eastAsia" w:eastAsia="仿宋_GB2312"/>
          <w:sz w:val="32"/>
          <w:szCs w:val="32"/>
        </w:rPr>
        <w:t>202</w:t>
      </w:r>
      <w:r>
        <w:rPr>
          <w:rFonts w:hint="eastAsia" w:eastAsia="仿宋_GB2312"/>
          <w:sz w:val="32"/>
          <w:szCs w:val="32"/>
          <w:lang w:val="en-US" w:eastAsia="zh-CN"/>
        </w:rPr>
        <w:t>2</w:t>
      </w:r>
      <w:r>
        <w:rPr>
          <w:rFonts w:hint="eastAsia" w:eastAsia="仿宋_GB2312"/>
          <w:sz w:val="32"/>
          <w:szCs w:val="32"/>
        </w:rPr>
        <w:t>年全年</w:t>
      </w:r>
      <w:r>
        <w:rPr>
          <w:rFonts w:hint="eastAsia" w:eastAsia="仿宋_GB2312"/>
          <w:sz w:val="32"/>
          <w:szCs w:val="32"/>
          <w:lang w:eastAsia="zh-CN"/>
        </w:rPr>
        <w:t>支出</w:t>
      </w:r>
      <w:r>
        <w:rPr>
          <w:rFonts w:hint="eastAsia" w:eastAsia="仿宋_GB2312"/>
          <w:sz w:val="32"/>
          <w:szCs w:val="32"/>
        </w:rPr>
        <w:t>预算数</w:t>
      </w:r>
      <w:r>
        <w:rPr>
          <w:rFonts w:hint="eastAsia" w:eastAsia="仿宋_GB2312"/>
          <w:sz w:val="32"/>
          <w:szCs w:val="32"/>
          <w:lang w:val="en-US" w:eastAsia="zh-CN"/>
        </w:rPr>
        <w:t>742.76</w:t>
      </w:r>
      <w:r>
        <w:rPr>
          <w:rFonts w:hint="eastAsia" w:eastAsia="仿宋_GB2312"/>
          <w:sz w:val="32"/>
          <w:szCs w:val="32"/>
        </w:rPr>
        <w:t>万元，其中：基本支出</w:t>
      </w:r>
      <w:r>
        <w:rPr>
          <w:rFonts w:hint="eastAsia" w:eastAsia="仿宋_GB2312"/>
          <w:sz w:val="32"/>
          <w:szCs w:val="32"/>
          <w:lang w:val="en-US" w:eastAsia="zh-CN"/>
        </w:rPr>
        <w:t>631.55</w:t>
      </w:r>
      <w:r>
        <w:rPr>
          <w:rFonts w:hint="eastAsia" w:eastAsia="仿宋_GB2312"/>
          <w:sz w:val="32"/>
          <w:szCs w:val="32"/>
        </w:rPr>
        <w:t>万元、项目支出</w:t>
      </w:r>
      <w:r>
        <w:rPr>
          <w:rFonts w:hint="eastAsia" w:eastAsia="仿宋_GB2312"/>
          <w:sz w:val="32"/>
          <w:szCs w:val="32"/>
          <w:lang w:val="en-US" w:eastAsia="zh-CN"/>
        </w:rPr>
        <w:t>111.21</w:t>
      </w:r>
      <w:r>
        <w:rPr>
          <w:rFonts w:hint="eastAsia" w:eastAsia="仿宋_GB2312"/>
          <w:sz w:val="32"/>
          <w:szCs w:val="32"/>
        </w:rPr>
        <w:t>万元。</w:t>
      </w:r>
    </w:p>
    <w:p w14:paraId="4C8B8A57">
      <w:pPr>
        <w:keepNext w:val="0"/>
        <w:keepLines w:val="0"/>
        <w:pageBreakBefore w:val="0"/>
        <w:widowControl/>
        <w:numPr>
          <w:ilvl w:val="0"/>
          <w:numId w:val="0"/>
        </w:numPr>
        <w:kinsoku/>
        <w:wordWrap/>
        <w:overflowPunct/>
        <w:topLinePunct w:val="0"/>
        <w:autoSpaceDE/>
        <w:autoSpaceDN/>
        <w:bidi w:val="0"/>
        <w:adjustRightInd w:val="0"/>
        <w:snapToGrid w:val="0"/>
        <w:spacing w:line="300" w:lineRule="auto"/>
        <w:ind w:left="672" w:leftChars="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bookmarkStart w:id="93" w:name="_Toc857"/>
      <w:r>
        <w:rPr>
          <w:rFonts w:hint="eastAsia" w:ascii="仿宋_GB2312" w:hAnsi="仿宋_GB2312" w:eastAsia="仿宋_GB2312" w:cs="仿宋_GB2312"/>
          <w:kern w:val="0"/>
          <w:sz w:val="32"/>
          <w:szCs w:val="32"/>
          <w:shd w:val="clear" w:color="auto" w:fill="FFFFFF"/>
          <w:lang w:val="en-US" w:eastAsia="zh-CN"/>
        </w:rPr>
        <w:t>3.</w:t>
      </w:r>
      <w:r>
        <w:rPr>
          <w:rFonts w:hint="eastAsia" w:ascii="仿宋_GB2312" w:hAnsi="仿宋_GB2312" w:eastAsia="仿宋_GB2312" w:cs="仿宋_GB2312"/>
          <w:kern w:val="0"/>
          <w:sz w:val="32"/>
          <w:szCs w:val="32"/>
          <w:shd w:val="clear" w:color="auto" w:fill="FFFFFF"/>
        </w:rPr>
        <w:t>部门总体结转结余情况</w:t>
      </w:r>
      <w:r>
        <w:rPr>
          <w:rFonts w:hint="eastAsia" w:ascii="仿宋_GB2312" w:hAnsi="仿宋_GB2312" w:eastAsia="仿宋_GB2312" w:cs="仿宋_GB2312"/>
          <w:kern w:val="0"/>
          <w:sz w:val="32"/>
          <w:szCs w:val="32"/>
          <w:shd w:val="clear" w:color="auto" w:fill="FFFFFF"/>
          <w:lang w:eastAsia="zh-CN"/>
        </w:rPr>
        <w:t>。</w:t>
      </w:r>
      <w:bookmarkEnd w:id="93"/>
    </w:p>
    <w:p w14:paraId="3F0593BB">
      <w:pPr>
        <w:pStyle w:val="2"/>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lang w:eastAsia="zh-CN"/>
        </w:rPr>
      </w:pPr>
      <w:r>
        <w:rPr>
          <w:rFonts w:hint="eastAsia" w:ascii="仿宋_GB2312" w:hAnsi="仿宋_GB2312" w:eastAsia="仿宋_GB2312" w:cs="仿宋_GB2312"/>
          <w:kern w:val="0"/>
          <w:sz w:val="32"/>
          <w:szCs w:val="32"/>
          <w:shd w:val="clear" w:color="auto" w:fill="FFFFFF"/>
          <w:lang w:eastAsia="zh-CN"/>
        </w:rPr>
        <w:t>无结转结余。</w:t>
      </w:r>
    </w:p>
    <w:p w14:paraId="77343BB8">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bookmarkStart w:id="94" w:name="_Toc5808"/>
      <w:r>
        <w:rPr>
          <w:rFonts w:hint="eastAsia" w:ascii="楷体_GB2312" w:hAnsi="楷体_GB2312" w:eastAsia="楷体_GB2312" w:cs="楷体_GB2312"/>
          <w:b/>
          <w:bCs/>
          <w:kern w:val="0"/>
          <w:sz w:val="32"/>
          <w:szCs w:val="32"/>
          <w:shd w:val="clear" w:color="auto" w:fill="FFFFFF"/>
          <w:lang w:val="zh-CN"/>
        </w:rPr>
        <w:t>（二）部门财政拨款收支情况。</w:t>
      </w:r>
      <w:bookmarkEnd w:id="94"/>
    </w:p>
    <w:p w14:paraId="40CEFA79">
      <w:pPr>
        <w:widowControl/>
        <w:adjustRightInd w:val="0"/>
        <w:snapToGrid w:val="0"/>
        <w:spacing w:line="560" w:lineRule="exact"/>
        <w:ind w:firstLine="640" w:firstLineChars="200"/>
        <w:contextualSpacing/>
        <w:jc w:val="left"/>
        <w:rPr>
          <w:rFonts w:hint="eastAsia" w:ascii="仿宋_GB2312" w:hAnsi="仿宋_GB2312" w:eastAsia="仿宋_GB2312" w:cs="仿宋_GB2312"/>
          <w:kern w:val="0"/>
          <w:sz w:val="32"/>
          <w:szCs w:val="32"/>
          <w:shd w:val="clear" w:color="auto" w:fill="FFFFFF"/>
          <w:lang w:eastAsia="zh-CN"/>
        </w:rPr>
      </w:pPr>
      <w:bookmarkStart w:id="95" w:name="_Toc3961"/>
      <w:r>
        <w:rPr>
          <w:rFonts w:hint="eastAsia" w:ascii="仿宋_GB2312" w:hAnsi="仿宋_GB2312" w:eastAsia="仿宋_GB2312" w:cs="仿宋_GB2312"/>
          <w:kern w:val="0"/>
          <w:sz w:val="32"/>
          <w:szCs w:val="32"/>
          <w:shd w:val="clear" w:color="auto" w:fill="FFFFFF"/>
        </w:rPr>
        <w:t>1.部门财政拨款收入情况</w:t>
      </w:r>
      <w:r>
        <w:rPr>
          <w:rFonts w:hint="eastAsia" w:ascii="仿宋_GB2312" w:hAnsi="仿宋_GB2312" w:eastAsia="仿宋_GB2312" w:cs="仿宋_GB2312"/>
          <w:kern w:val="0"/>
          <w:sz w:val="32"/>
          <w:szCs w:val="32"/>
          <w:shd w:val="clear" w:color="auto" w:fill="FFFFFF"/>
          <w:lang w:eastAsia="zh-CN"/>
        </w:rPr>
        <w:t>。</w:t>
      </w:r>
      <w:bookmarkEnd w:id="95"/>
    </w:p>
    <w:p w14:paraId="1A7ADD4D">
      <w:pPr>
        <w:pStyle w:val="2"/>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lang w:eastAsia="zh-CN"/>
        </w:rPr>
      </w:pPr>
      <w:r>
        <w:rPr>
          <w:rFonts w:hint="eastAsia" w:eastAsia="仿宋_GB2312"/>
          <w:sz w:val="32"/>
          <w:szCs w:val="32"/>
          <w:lang w:val="en-US" w:eastAsia="zh-CN"/>
        </w:rPr>
        <w:t>2022年</w:t>
      </w:r>
      <w:r>
        <w:rPr>
          <w:rFonts w:hint="eastAsia" w:eastAsia="仿宋_GB2312"/>
          <w:sz w:val="32"/>
          <w:szCs w:val="32"/>
        </w:rPr>
        <w:t>1-12月财政拨款收入</w:t>
      </w:r>
      <w:r>
        <w:rPr>
          <w:rFonts w:hint="eastAsia" w:eastAsia="仿宋_GB2312"/>
          <w:sz w:val="32"/>
          <w:szCs w:val="32"/>
          <w:lang w:val="en-US" w:eastAsia="zh-CN"/>
        </w:rPr>
        <w:t>742.76</w:t>
      </w:r>
      <w:r>
        <w:rPr>
          <w:rFonts w:hint="eastAsia" w:eastAsia="仿宋_GB2312"/>
          <w:sz w:val="32"/>
          <w:szCs w:val="32"/>
        </w:rPr>
        <w:t>万元</w:t>
      </w:r>
      <w:r>
        <w:rPr>
          <w:rFonts w:hint="eastAsia" w:eastAsia="仿宋_GB2312"/>
          <w:sz w:val="32"/>
          <w:szCs w:val="32"/>
          <w:lang w:eastAsia="zh-CN"/>
        </w:rPr>
        <w:t>（含</w:t>
      </w:r>
      <w:r>
        <w:rPr>
          <w:rFonts w:hint="eastAsia" w:eastAsia="仿宋_GB2312"/>
          <w:sz w:val="32"/>
          <w:szCs w:val="32"/>
        </w:rPr>
        <w:t>上年结转项目收入</w:t>
      </w:r>
      <w:r>
        <w:rPr>
          <w:rFonts w:hint="eastAsia" w:eastAsia="仿宋_GB2312"/>
          <w:sz w:val="32"/>
          <w:szCs w:val="32"/>
          <w:lang w:val="en-US" w:eastAsia="zh-CN"/>
        </w:rPr>
        <w:t>34.63</w:t>
      </w:r>
      <w:r>
        <w:rPr>
          <w:rFonts w:hint="eastAsia" w:eastAsia="仿宋_GB2312"/>
          <w:sz w:val="32"/>
          <w:szCs w:val="32"/>
        </w:rPr>
        <w:t>万元</w:t>
      </w:r>
      <w:r>
        <w:rPr>
          <w:rFonts w:hint="eastAsia" w:eastAsia="仿宋_GB2312"/>
          <w:sz w:val="32"/>
          <w:szCs w:val="32"/>
          <w:lang w:eastAsia="zh-CN"/>
        </w:rPr>
        <w:t>）</w:t>
      </w:r>
      <w:r>
        <w:rPr>
          <w:rFonts w:hint="eastAsia" w:eastAsia="仿宋_GB2312"/>
          <w:sz w:val="32"/>
          <w:szCs w:val="32"/>
        </w:rPr>
        <w:t>。</w:t>
      </w:r>
    </w:p>
    <w:p w14:paraId="5D04302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kern w:val="0"/>
          <w:sz w:val="32"/>
          <w:szCs w:val="32"/>
          <w:shd w:val="clear" w:color="auto" w:fill="FFFFFF"/>
          <w:lang w:eastAsia="zh-CN"/>
        </w:rPr>
      </w:pPr>
      <w:bookmarkStart w:id="96" w:name="_Toc23590"/>
      <w:r>
        <w:rPr>
          <w:rFonts w:hint="eastAsia" w:ascii="仿宋_GB2312" w:hAnsi="仿宋_GB2312" w:eastAsia="仿宋_GB2312" w:cs="仿宋_GB2312"/>
          <w:kern w:val="0"/>
          <w:sz w:val="32"/>
          <w:szCs w:val="32"/>
          <w:shd w:val="clear" w:color="auto" w:fill="FFFFFF"/>
          <w:lang w:val="en-US" w:eastAsia="zh-CN"/>
        </w:rPr>
        <w:t>2.</w:t>
      </w:r>
      <w:r>
        <w:rPr>
          <w:rFonts w:hint="eastAsia" w:ascii="仿宋_GB2312" w:hAnsi="仿宋_GB2312" w:eastAsia="仿宋_GB2312" w:cs="仿宋_GB2312"/>
          <w:kern w:val="0"/>
          <w:sz w:val="32"/>
          <w:szCs w:val="32"/>
          <w:shd w:val="clear" w:color="auto" w:fill="FFFFFF"/>
        </w:rPr>
        <w:t>部门财政拨款支出情况</w:t>
      </w:r>
      <w:r>
        <w:rPr>
          <w:rFonts w:hint="eastAsia" w:ascii="仿宋_GB2312" w:hAnsi="仿宋_GB2312" w:eastAsia="仿宋_GB2312" w:cs="仿宋_GB2312"/>
          <w:kern w:val="0"/>
          <w:sz w:val="32"/>
          <w:szCs w:val="32"/>
          <w:shd w:val="clear" w:color="auto" w:fill="FFFFFF"/>
          <w:lang w:eastAsia="zh-CN"/>
        </w:rPr>
        <w:t>。</w:t>
      </w:r>
      <w:bookmarkEnd w:id="96"/>
    </w:p>
    <w:p w14:paraId="1B89C86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2022年1-12月财政拨款支出总计742.76万元，占全年预算数的100%。其中：基本支出631.55万元，占全年预算数的85.1%；项目支出拨款111.21万元，占全年预算数的14.9%。</w:t>
      </w:r>
    </w:p>
    <w:p w14:paraId="0F996B89">
      <w:pPr>
        <w:widowControl/>
        <w:numPr>
          <w:ilvl w:val="0"/>
          <w:numId w:val="0"/>
        </w:numPr>
        <w:adjustRightInd w:val="0"/>
        <w:snapToGrid w:val="0"/>
        <w:spacing w:line="560" w:lineRule="exact"/>
        <w:ind w:left="672" w:leftChars="0"/>
        <w:contextualSpacing/>
        <w:jc w:val="left"/>
        <w:rPr>
          <w:rFonts w:hint="eastAsia" w:ascii="仿宋_GB2312" w:hAnsi="仿宋_GB2312" w:eastAsia="仿宋_GB2312" w:cs="仿宋_GB2312"/>
          <w:kern w:val="0"/>
          <w:sz w:val="32"/>
          <w:szCs w:val="32"/>
          <w:shd w:val="clear" w:color="auto" w:fill="FFFFFF"/>
          <w:lang w:eastAsia="zh-CN"/>
        </w:rPr>
      </w:pPr>
      <w:bookmarkStart w:id="97" w:name="_Toc8883"/>
      <w:r>
        <w:rPr>
          <w:rFonts w:hint="eastAsia" w:ascii="仿宋_GB2312" w:hAnsi="仿宋_GB2312" w:eastAsia="仿宋_GB2312" w:cs="仿宋_GB2312"/>
          <w:kern w:val="0"/>
          <w:sz w:val="32"/>
          <w:szCs w:val="32"/>
          <w:shd w:val="clear" w:color="auto" w:fill="FFFFFF"/>
          <w:lang w:val="en-US" w:eastAsia="zh-CN"/>
        </w:rPr>
        <w:t>3.</w:t>
      </w:r>
      <w:r>
        <w:rPr>
          <w:rFonts w:hint="eastAsia" w:ascii="仿宋_GB2312" w:hAnsi="仿宋_GB2312" w:eastAsia="仿宋_GB2312" w:cs="仿宋_GB2312"/>
          <w:kern w:val="0"/>
          <w:sz w:val="32"/>
          <w:szCs w:val="32"/>
          <w:shd w:val="clear" w:color="auto" w:fill="FFFFFF"/>
        </w:rPr>
        <w:t>部门财政拨款结转结余情况</w:t>
      </w:r>
      <w:r>
        <w:rPr>
          <w:rFonts w:hint="eastAsia" w:ascii="仿宋_GB2312" w:hAnsi="仿宋_GB2312" w:eastAsia="仿宋_GB2312" w:cs="仿宋_GB2312"/>
          <w:kern w:val="0"/>
          <w:sz w:val="32"/>
          <w:szCs w:val="32"/>
          <w:shd w:val="clear" w:color="auto" w:fill="FFFFFF"/>
          <w:lang w:eastAsia="zh-CN"/>
        </w:rPr>
        <w:t>。</w:t>
      </w:r>
      <w:bookmarkEnd w:id="97"/>
    </w:p>
    <w:p w14:paraId="45553CC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lang w:eastAsia="zh-CN"/>
        </w:rPr>
      </w:pPr>
      <w:r>
        <w:rPr>
          <w:rFonts w:hint="eastAsia" w:ascii="仿宋_GB2312" w:hAnsi="仿宋_GB2312" w:eastAsia="仿宋_GB2312" w:cs="仿宋_GB2312"/>
          <w:kern w:val="0"/>
          <w:sz w:val="32"/>
          <w:szCs w:val="32"/>
          <w:shd w:val="clear" w:color="auto" w:fill="FFFFFF"/>
          <w:lang w:eastAsia="zh-CN"/>
        </w:rPr>
        <w:t>无结转结余。</w:t>
      </w:r>
    </w:p>
    <w:p w14:paraId="7E60B1C5">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bookmarkStart w:id="98" w:name="_Toc5180"/>
      <w:r>
        <w:rPr>
          <w:rFonts w:hint="eastAsia" w:ascii="黑体" w:hAnsi="宋体" w:eastAsia="黑体" w:cs="宋体"/>
          <w:kern w:val="0"/>
          <w:sz w:val="32"/>
          <w:szCs w:val="32"/>
          <w:shd w:val="clear" w:color="auto" w:fill="FFFFFF"/>
        </w:rPr>
        <w:t>三、部门整体绩效分析</w:t>
      </w:r>
      <w:bookmarkEnd w:id="98"/>
    </w:p>
    <w:p w14:paraId="1D08224A">
      <w:pPr>
        <w:widowControl/>
        <w:adjustRightInd w:val="0"/>
        <w:snapToGrid w:val="0"/>
        <w:spacing w:line="560" w:lineRule="exact"/>
        <w:ind w:firstLine="643" w:firstLineChars="200"/>
        <w:contextualSpacing/>
        <w:jc w:val="left"/>
        <w:rPr>
          <w:rFonts w:ascii="仿宋_GB2312" w:hAnsi="仿宋_GB2312" w:eastAsia="仿宋_GB2312" w:cs="仿宋_GB2312"/>
          <w:kern w:val="0"/>
          <w:sz w:val="32"/>
          <w:szCs w:val="32"/>
          <w:shd w:val="clear" w:color="auto" w:fill="FFFFFF"/>
          <w:lang w:val="zh-CN"/>
        </w:rPr>
      </w:pPr>
      <w:bookmarkStart w:id="99" w:name="_Toc20296"/>
      <w:r>
        <w:rPr>
          <w:rFonts w:hint="eastAsia" w:ascii="楷体_GB2312" w:hAnsi="楷体_GB2312" w:eastAsia="楷体_GB2312" w:cs="楷体_GB2312"/>
          <w:b/>
          <w:bCs/>
          <w:kern w:val="0"/>
          <w:sz w:val="32"/>
          <w:szCs w:val="32"/>
          <w:shd w:val="clear" w:color="auto" w:fill="FFFFFF"/>
          <w:lang w:val="zh-CN"/>
        </w:rPr>
        <w:t>（一）部门预算项目绩效分析。</w:t>
      </w:r>
      <w:bookmarkEnd w:id="99"/>
    </w:p>
    <w:p w14:paraId="11FE46DD">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bookmarkStart w:id="100" w:name="_Toc4514"/>
      <w:r>
        <w:rPr>
          <w:rFonts w:hint="eastAsia" w:ascii="仿宋_GB2312" w:hAnsi="仿宋_GB2312" w:eastAsia="仿宋_GB2312" w:cs="仿宋_GB2312"/>
          <w:kern w:val="0"/>
          <w:sz w:val="32"/>
          <w:szCs w:val="32"/>
          <w:shd w:val="clear" w:color="auto" w:fill="FFFFFF"/>
        </w:rPr>
        <w:t>1.人员类项目绩效分析</w:t>
      </w:r>
      <w:bookmarkEnd w:id="100"/>
    </w:p>
    <w:p w14:paraId="25871879">
      <w:pPr>
        <w:pageBreakBefore w:val="0"/>
        <w:widowControl/>
        <w:kinsoku/>
        <w:wordWrap/>
        <w:overflowPunct/>
        <w:topLinePunct w:val="0"/>
        <w:bidi w:val="0"/>
        <w:adjustRightInd w:val="0"/>
        <w:snapToGrid w:val="0"/>
        <w:spacing w:line="353" w:lineRule="auto"/>
        <w:ind w:left="0" w:right="0" w:firstLine="640" w:firstLineChars="200"/>
        <w:contextualSpacing/>
        <w:jc w:val="left"/>
        <w:textAlignment w:val="auto"/>
        <w:rPr>
          <w:rFonts w:hint="default" w:ascii="Times New Roman" w:hAnsi="Times New Roman" w:eastAsia="仿宋" w:cs="Times New Roman"/>
          <w:kern w:val="0"/>
          <w:sz w:val="32"/>
          <w:szCs w:val="32"/>
          <w:shd w:val="clear" w:color="auto" w:fill="FFFFFF"/>
        </w:rPr>
      </w:pPr>
      <w:r>
        <w:rPr>
          <w:rFonts w:hint="default" w:ascii="Times New Roman" w:hAnsi="Times New Roman" w:eastAsia="仿宋" w:cs="Times New Roman"/>
          <w:sz w:val="32"/>
          <w:szCs w:val="32"/>
        </w:rPr>
        <w:t>2022年及时准确核算发放在职人员的工资和各项待遇，共支出人员经费</w:t>
      </w:r>
      <w:r>
        <w:rPr>
          <w:rFonts w:hint="eastAsia" w:ascii="Times New Roman" w:hAnsi="Times New Roman" w:eastAsia="仿宋" w:cs="Times New Roman"/>
          <w:sz w:val="32"/>
          <w:szCs w:val="32"/>
          <w:lang w:val="en-US" w:eastAsia="zh-CN"/>
        </w:rPr>
        <w:t>582.9</w:t>
      </w:r>
      <w:r>
        <w:rPr>
          <w:rFonts w:hint="default" w:ascii="Times New Roman" w:hAnsi="Times New Roman" w:eastAsia="仿宋" w:cs="Times New Roman"/>
          <w:sz w:val="32"/>
          <w:szCs w:val="32"/>
        </w:rPr>
        <w:t>万元，主要包括：基本工资、津贴补贴、奖金、绩效工资、机关事业单位基本养老保险缴费、职工基本医疗保险缴费、公务员医疗补助缴费、其他社会保障缴费、其他工资福利支出、住房公积金</w:t>
      </w:r>
      <w:r>
        <w:rPr>
          <w:rFonts w:hint="default" w:ascii="Times New Roman" w:hAnsi="Times New Roman" w:eastAsia="仿宋" w:cs="Times New Roman"/>
          <w:sz w:val="32"/>
          <w:szCs w:val="32"/>
          <w:lang w:eastAsia="zh-CN"/>
        </w:rPr>
        <w:t>、生活补助</w:t>
      </w:r>
      <w:r>
        <w:rPr>
          <w:rFonts w:hint="default" w:ascii="Times New Roman" w:hAnsi="Times New Roman" w:eastAsia="仿宋" w:cs="Times New Roman"/>
          <w:kern w:val="0"/>
          <w:sz w:val="32"/>
          <w:szCs w:val="32"/>
          <w:shd w:val="clear" w:color="auto" w:fill="FFFFFF"/>
          <w:lang w:val="zh-CN"/>
        </w:rPr>
        <w:t>。</w:t>
      </w:r>
    </w:p>
    <w:p w14:paraId="6DC1A673">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bookmarkStart w:id="101" w:name="_Toc18632"/>
      <w:r>
        <w:rPr>
          <w:rFonts w:hint="eastAsia" w:ascii="仿宋_GB2312" w:hAnsi="仿宋_GB2312" w:eastAsia="仿宋_GB2312" w:cs="仿宋_GB2312"/>
          <w:kern w:val="0"/>
          <w:sz w:val="32"/>
          <w:szCs w:val="32"/>
          <w:shd w:val="clear" w:color="auto" w:fill="FFFFFF"/>
        </w:rPr>
        <w:t>2.运转类项目绩效分析</w:t>
      </w:r>
      <w:bookmarkEnd w:id="101"/>
    </w:p>
    <w:p w14:paraId="1102F612">
      <w:pPr>
        <w:widowControl/>
        <w:adjustRightInd w:val="0"/>
        <w:snapToGrid w:val="0"/>
        <w:spacing w:line="560" w:lineRule="exact"/>
        <w:ind w:firstLine="640" w:firstLineChars="200"/>
        <w:contextualSpacing/>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2022年贯彻区委、区政府过紧日子要求，按照厉行节约原则，严格控制“三公经费”支出，强化支出及项目绩效管理，保证机关单位的正常运转，按照规定使用日常公用经费</w:t>
      </w:r>
      <w:r>
        <w:rPr>
          <w:rFonts w:hint="eastAsia" w:ascii="Times New Roman" w:hAnsi="Times New Roman" w:eastAsia="仿宋" w:cs="Times New Roman"/>
          <w:sz w:val="32"/>
          <w:szCs w:val="32"/>
          <w:lang w:val="en-US" w:eastAsia="zh-CN"/>
        </w:rPr>
        <w:t>48.65</w:t>
      </w:r>
      <w:r>
        <w:rPr>
          <w:rFonts w:hint="default" w:ascii="Times New Roman" w:hAnsi="Times New Roman" w:eastAsia="仿宋" w:cs="Times New Roman"/>
          <w:sz w:val="32"/>
          <w:szCs w:val="32"/>
        </w:rPr>
        <w:t>万元，主要包括：办公费、</w:t>
      </w:r>
      <w:r>
        <w:rPr>
          <w:rFonts w:hint="default" w:ascii="Times New Roman" w:hAnsi="Times New Roman" w:eastAsia="仿宋" w:cs="Times New Roman"/>
          <w:sz w:val="32"/>
          <w:szCs w:val="32"/>
          <w:lang w:eastAsia="zh-CN"/>
        </w:rPr>
        <w:t>咨询费、</w:t>
      </w:r>
      <w:r>
        <w:rPr>
          <w:rFonts w:hint="default" w:ascii="Times New Roman" w:hAnsi="Times New Roman" w:eastAsia="仿宋" w:cs="Times New Roman"/>
          <w:sz w:val="32"/>
          <w:szCs w:val="32"/>
        </w:rPr>
        <w:t>邮电费、差旅费、维修（护）费、劳务费、工会经费、福利费、其他交通费。</w:t>
      </w:r>
    </w:p>
    <w:p w14:paraId="13B8C784">
      <w:pPr>
        <w:widowControl/>
        <w:adjustRightInd w:val="0"/>
        <w:snapToGrid w:val="0"/>
        <w:spacing w:line="560" w:lineRule="exact"/>
        <w:ind w:firstLine="640" w:firstLineChars="200"/>
        <w:contextualSpacing/>
        <w:jc w:val="left"/>
        <w:rPr>
          <w:rFonts w:ascii="仿宋_GB2312" w:hAnsi="仿宋_GB2312" w:eastAsia="仿宋_GB2312" w:cs="仿宋_GB2312"/>
          <w:kern w:val="0"/>
          <w:sz w:val="32"/>
          <w:szCs w:val="32"/>
          <w:shd w:val="clear" w:color="auto" w:fill="FFFFFF"/>
        </w:rPr>
      </w:pPr>
      <w:bookmarkStart w:id="102" w:name="_Toc24231"/>
      <w:r>
        <w:rPr>
          <w:rFonts w:hint="eastAsia" w:ascii="仿宋_GB2312" w:hAnsi="仿宋_GB2312" w:eastAsia="仿宋_GB2312" w:cs="仿宋_GB2312"/>
          <w:kern w:val="0"/>
          <w:sz w:val="32"/>
          <w:szCs w:val="32"/>
          <w:shd w:val="clear" w:color="auto" w:fill="FFFFFF"/>
        </w:rPr>
        <w:t>3.特定目标类项目绩效分析</w:t>
      </w:r>
      <w:bookmarkEnd w:id="102"/>
    </w:p>
    <w:p w14:paraId="626FBBE5">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bookmarkStart w:id="103" w:name="_Toc2372"/>
      <w:r>
        <w:rPr>
          <w:rFonts w:hint="eastAsia" w:ascii="楷体_GB2312" w:hAnsi="楷体_GB2312" w:eastAsia="楷体_GB2312" w:cs="楷体_GB2312"/>
          <w:b/>
          <w:bCs/>
          <w:kern w:val="0"/>
          <w:sz w:val="32"/>
          <w:szCs w:val="32"/>
          <w:shd w:val="clear" w:color="auto" w:fill="FFFFFF"/>
          <w:lang w:val="zh-CN"/>
        </w:rPr>
        <w:t>（二）部门整体履职绩效分析。</w:t>
      </w:r>
      <w:bookmarkEnd w:id="103"/>
    </w:p>
    <w:p w14:paraId="6CE2597E">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20</w:t>
      </w:r>
      <w:r>
        <w:rPr>
          <w:rFonts w:hint="eastAsia" w:ascii="仿宋_GB2312" w:hAnsi="宋体" w:eastAsia="仿宋_GB2312" w:cs="宋体"/>
          <w:kern w:val="0"/>
          <w:sz w:val="32"/>
          <w:szCs w:val="32"/>
          <w:shd w:val="clear" w:color="auto" w:fill="FFFFFF"/>
          <w:lang w:val="en-US" w:eastAsia="zh-CN"/>
        </w:rPr>
        <w:t>22</w:t>
      </w:r>
      <w:r>
        <w:rPr>
          <w:rFonts w:hint="eastAsia" w:ascii="仿宋_GB2312" w:hAnsi="宋体" w:eastAsia="仿宋_GB2312" w:cs="宋体"/>
          <w:kern w:val="0"/>
          <w:sz w:val="32"/>
          <w:szCs w:val="32"/>
          <w:shd w:val="clear" w:color="auto" w:fill="FFFFFF"/>
          <w:lang w:val="zh-CN"/>
        </w:rPr>
        <w:t>年本部门的绩效目标制定、目标完成、预算编制等均按照区财政局下达的相关文件指标进行了编制和预算公开，并按相关要求严格执行预算范围内开支。年度内根据工作开展情况进行经费执行，并完成所有预定目标，未发生违规记录。</w:t>
      </w:r>
    </w:p>
    <w:p w14:paraId="0D4418DA">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bookmarkStart w:id="104" w:name="_Toc10797"/>
      <w:r>
        <w:rPr>
          <w:rFonts w:hint="eastAsia" w:ascii="楷体_GB2312" w:hAnsi="楷体_GB2312" w:eastAsia="楷体_GB2312" w:cs="楷体_GB2312"/>
          <w:b/>
          <w:bCs/>
          <w:kern w:val="0"/>
          <w:sz w:val="32"/>
          <w:szCs w:val="32"/>
          <w:shd w:val="clear" w:color="auto" w:fill="FFFFFF"/>
          <w:lang w:val="zh-CN"/>
        </w:rPr>
        <w:t>（三）结果应用情况。</w:t>
      </w:r>
      <w:bookmarkEnd w:id="104"/>
    </w:p>
    <w:p w14:paraId="0D9C6801">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本单位按照区财政局下达的预算指标，严格执行预算内开支，保障了单位正常运转。并按相关要求进行预决算公开工作，绩效目标如实填报，专项预算进行了规划和筹划。</w:t>
      </w:r>
    </w:p>
    <w:p w14:paraId="64F1B58D">
      <w:pPr>
        <w:widowControl/>
        <w:numPr>
          <w:ilvl w:val="0"/>
          <w:numId w:val="8"/>
        </w:numPr>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bookmarkStart w:id="105" w:name="_Toc29921"/>
      <w:r>
        <w:rPr>
          <w:rFonts w:hint="eastAsia" w:ascii="楷体_GB2312" w:hAnsi="楷体_GB2312" w:eastAsia="楷体_GB2312" w:cs="楷体_GB2312"/>
          <w:b/>
          <w:bCs/>
          <w:kern w:val="0"/>
          <w:sz w:val="32"/>
          <w:szCs w:val="32"/>
          <w:shd w:val="clear" w:color="auto" w:fill="FFFFFF"/>
          <w:lang w:val="zh-CN"/>
        </w:rPr>
        <w:t>自评质量。</w:t>
      </w:r>
      <w:bookmarkEnd w:id="105"/>
    </w:p>
    <w:p w14:paraId="2C2C07B4">
      <w:pPr>
        <w:widowControl/>
        <w:adjustRightInd w:val="0"/>
        <w:snapToGrid w:val="0"/>
        <w:spacing w:line="572" w:lineRule="exact"/>
        <w:ind w:firstLine="640" w:firstLineChars="200"/>
        <w:contextualSpacing/>
        <w:jc w:val="left"/>
        <w:rPr>
          <w:rFonts w:hint="eastAsia"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从整体上看，202</w:t>
      </w:r>
      <w:r>
        <w:rPr>
          <w:rFonts w:hint="eastAsia" w:ascii="仿宋_GB2312" w:hAnsi="宋体" w:eastAsia="仿宋_GB2312" w:cs="宋体"/>
          <w:kern w:val="0"/>
          <w:sz w:val="32"/>
          <w:szCs w:val="32"/>
          <w:shd w:val="clear" w:color="auto" w:fill="FFFFFF"/>
          <w:lang w:val="en-US" w:eastAsia="zh-CN"/>
        </w:rPr>
        <w:t>2</w:t>
      </w:r>
      <w:r>
        <w:rPr>
          <w:rFonts w:hint="eastAsia" w:ascii="仿宋_GB2312" w:hAnsi="宋体" w:eastAsia="仿宋_GB2312" w:cs="宋体"/>
          <w:kern w:val="0"/>
          <w:sz w:val="32"/>
          <w:szCs w:val="32"/>
          <w:shd w:val="clear" w:color="auto" w:fill="FFFFFF"/>
          <w:lang w:val="zh-CN"/>
        </w:rPr>
        <w:t>年我局资金运行维护决策正确，资金管理规范，项目管理到位，政策执行有力，有效发挥了财政资金的使用效率。我局各项资金其主要用途是保障该部门机构正常运</w:t>
      </w:r>
      <w:r>
        <w:rPr>
          <w:rFonts w:hint="eastAsia" w:ascii="仿宋_GB2312" w:hAnsi="宋体" w:eastAsia="仿宋_GB2312" w:cs="宋体"/>
          <w:color w:val="auto"/>
          <w:kern w:val="0"/>
          <w:sz w:val="32"/>
          <w:szCs w:val="32"/>
          <w:shd w:val="clear" w:color="auto" w:fill="FFFFFF"/>
          <w:lang w:val="zh-CN"/>
        </w:rPr>
        <w:t>转、完成日常工作任务以及本单位承担的其他具体工作。在人员经费支出、公共支出严格执</w:t>
      </w:r>
      <w:r>
        <w:rPr>
          <w:rFonts w:hint="eastAsia" w:ascii="仿宋_GB2312" w:hAnsi="宋体" w:eastAsia="仿宋_GB2312" w:cs="宋体"/>
          <w:kern w:val="0"/>
          <w:sz w:val="32"/>
          <w:szCs w:val="32"/>
          <w:shd w:val="clear" w:color="auto" w:fill="FFFFFF"/>
          <w:lang w:val="zh-CN"/>
        </w:rPr>
        <w:t>行区委区政府的各项制度；在项目经费的使用上，在保证各项任务顺利完成的同时，严格落实厉行节约的原则；三公经费的使用严格控制在预算申报的范围内。</w:t>
      </w:r>
    </w:p>
    <w:p w14:paraId="6F373B06">
      <w:pPr>
        <w:widowControl/>
        <w:adjustRightInd w:val="0"/>
        <w:snapToGrid w:val="0"/>
        <w:spacing w:line="560" w:lineRule="exact"/>
        <w:ind w:firstLine="640" w:firstLineChars="200"/>
        <w:contextualSpacing/>
        <w:jc w:val="left"/>
        <w:rPr>
          <w:rFonts w:ascii="黑体" w:hAnsi="宋体" w:eastAsia="黑体" w:cs="宋体"/>
          <w:kern w:val="0"/>
          <w:sz w:val="32"/>
          <w:szCs w:val="32"/>
          <w:shd w:val="clear" w:color="auto" w:fill="FFFFFF"/>
        </w:rPr>
      </w:pPr>
      <w:bookmarkStart w:id="106" w:name="_Toc7527"/>
      <w:r>
        <w:rPr>
          <w:rFonts w:hint="eastAsia" w:ascii="黑体" w:hAnsi="宋体" w:eastAsia="黑体" w:cs="宋体"/>
          <w:kern w:val="0"/>
          <w:sz w:val="32"/>
          <w:szCs w:val="32"/>
          <w:shd w:val="clear" w:color="auto" w:fill="FFFFFF"/>
        </w:rPr>
        <w:t>四、评价结论及建议</w:t>
      </w:r>
      <w:bookmarkEnd w:id="106"/>
    </w:p>
    <w:p w14:paraId="378DFD1C">
      <w:pPr>
        <w:widowControl/>
        <w:adjustRightInd w:val="0"/>
        <w:snapToGrid w:val="0"/>
        <w:spacing w:line="560" w:lineRule="exact"/>
        <w:ind w:firstLine="643" w:firstLineChars="200"/>
        <w:contextualSpacing/>
        <w:jc w:val="left"/>
        <w:rPr>
          <w:rFonts w:hint="eastAsia" w:ascii="楷体_GB2312" w:hAnsi="楷体_GB2312" w:eastAsia="楷体_GB2312" w:cs="楷体_GB2312"/>
          <w:b/>
          <w:bCs/>
          <w:kern w:val="0"/>
          <w:sz w:val="32"/>
          <w:szCs w:val="32"/>
          <w:shd w:val="clear" w:color="auto" w:fill="FFFFFF"/>
          <w:lang w:val="zh-CN"/>
        </w:rPr>
      </w:pPr>
      <w:bookmarkStart w:id="107" w:name="_Toc5920"/>
      <w:r>
        <w:rPr>
          <w:rFonts w:hint="eastAsia" w:ascii="楷体_GB2312" w:hAnsi="楷体_GB2312" w:eastAsia="楷体_GB2312" w:cs="楷体_GB2312"/>
          <w:b/>
          <w:bCs/>
          <w:kern w:val="0"/>
          <w:sz w:val="32"/>
          <w:szCs w:val="32"/>
          <w:shd w:val="clear" w:color="auto" w:fill="FFFFFF"/>
          <w:lang w:val="zh-CN"/>
        </w:rPr>
        <w:t>（一）评价结论。</w:t>
      </w:r>
      <w:bookmarkEnd w:id="107"/>
    </w:p>
    <w:p w14:paraId="57918F1A">
      <w:pPr>
        <w:pStyle w:val="2"/>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lang w:val="zh-CN"/>
        </w:rPr>
      </w:pPr>
      <w:r>
        <w:rPr>
          <w:rFonts w:hint="eastAsia" w:ascii="仿宋_GB2312" w:eastAsia="仿宋_GB2312"/>
          <w:sz w:val="32"/>
          <w:szCs w:val="32"/>
        </w:rPr>
        <w:t>区</w:t>
      </w:r>
      <w:r>
        <w:rPr>
          <w:rFonts w:hint="eastAsia" w:ascii="仿宋_GB2312" w:eastAsia="仿宋_GB2312"/>
          <w:sz w:val="32"/>
          <w:szCs w:val="32"/>
          <w:lang w:eastAsia="zh-CN"/>
        </w:rPr>
        <w:t>司法</w:t>
      </w:r>
      <w:r>
        <w:rPr>
          <w:rFonts w:hint="eastAsia" w:ascii="仿宋_GB2312" w:eastAsia="仿宋_GB2312"/>
          <w:sz w:val="32"/>
          <w:szCs w:val="32"/>
        </w:rPr>
        <w:t>局较好地完成了</w:t>
      </w:r>
      <w:r>
        <w:rPr>
          <w:rFonts w:hint="eastAsia" w:ascii="仿宋_GB2312" w:eastAsia="仿宋_GB2312"/>
          <w:sz w:val="32"/>
          <w:szCs w:val="32"/>
          <w:lang w:val="en-US" w:eastAsia="zh-CN"/>
        </w:rPr>
        <w:t>2022</w:t>
      </w:r>
      <w:r>
        <w:rPr>
          <w:rFonts w:hint="eastAsia" w:ascii="仿宋_GB2312" w:eastAsia="仿宋_GB2312"/>
          <w:sz w:val="32"/>
          <w:szCs w:val="32"/>
        </w:rPr>
        <w:t>年部门预算绩效，一是规范了内部制度；二是通过整体支出绩效自评，一是增强了各项目单位的绩效评价主体责任意识；二是制定了部门绩效管理办法及项目工作实施方案，建立了长效机制；三是规范使用项目资金，圆满完成了</w:t>
      </w:r>
      <w:r>
        <w:rPr>
          <w:rFonts w:hint="eastAsia" w:ascii="仿宋_GB2312" w:eastAsia="仿宋_GB2312"/>
          <w:sz w:val="32"/>
          <w:szCs w:val="32"/>
          <w:lang w:val="en-US" w:eastAsia="zh-CN"/>
        </w:rPr>
        <w:t>2022</w:t>
      </w:r>
      <w:r>
        <w:rPr>
          <w:rFonts w:hint="eastAsia" w:ascii="仿宋_GB2312" w:eastAsia="仿宋_GB2312"/>
          <w:sz w:val="32"/>
          <w:szCs w:val="32"/>
        </w:rPr>
        <w:t>年各项目标任务。</w:t>
      </w:r>
    </w:p>
    <w:p w14:paraId="5617806D">
      <w:pPr>
        <w:widowControl/>
        <w:numPr>
          <w:ilvl w:val="0"/>
          <w:numId w:val="9"/>
        </w:numPr>
        <w:adjustRightInd w:val="0"/>
        <w:snapToGrid w:val="0"/>
        <w:spacing w:line="560" w:lineRule="exact"/>
        <w:ind w:firstLine="643" w:firstLineChars="200"/>
        <w:contextualSpacing/>
        <w:jc w:val="left"/>
        <w:rPr>
          <w:rFonts w:hint="eastAsia" w:ascii="楷体_GB2312" w:hAnsi="楷体_GB2312" w:eastAsia="楷体_GB2312" w:cs="楷体_GB2312"/>
          <w:b/>
          <w:bCs/>
          <w:kern w:val="0"/>
          <w:sz w:val="32"/>
          <w:szCs w:val="32"/>
          <w:shd w:val="clear" w:color="auto" w:fill="FFFFFF"/>
          <w:lang w:val="zh-CN"/>
        </w:rPr>
      </w:pPr>
      <w:bookmarkStart w:id="108" w:name="_Toc26756"/>
      <w:r>
        <w:rPr>
          <w:rFonts w:hint="eastAsia" w:ascii="楷体_GB2312" w:hAnsi="楷体_GB2312" w:eastAsia="楷体_GB2312" w:cs="楷体_GB2312"/>
          <w:b/>
          <w:bCs/>
          <w:kern w:val="0"/>
          <w:sz w:val="32"/>
          <w:szCs w:val="32"/>
          <w:shd w:val="clear" w:color="auto" w:fill="FFFFFF"/>
          <w:lang w:val="zh-CN"/>
        </w:rPr>
        <w:t>存在问题。</w:t>
      </w:r>
      <w:bookmarkEnd w:id="108"/>
    </w:p>
    <w:p w14:paraId="297EA53D">
      <w:pPr>
        <w:widowControl/>
        <w:adjustRightInd w:val="0"/>
        <w:snapToGrid w:val="0"/>
        <w:spacing w:line="576" w:lineRule="exact"/>
        <w:ind w:firstLine="640" w:firstLineChars="200"/>
        <w:contextualSpacing/>
        <w:jc w:val="left"/>
        <w:rPr>
          <w:lang w:val="zh-CN"/>
        </w:rPr>
      </w:pPr>
      <w:r>
        <w:rPr>
          <w:rFonts w:hint="eastAsia" w:ascii="仿宋_GB2312" w:hAnsi="宋体" w:eastAsia="仿宋_GB2312" w:cs="宋体"/>
          <w:kern w:val="0"/>
          <w:sz w:val="32"/>
          <w:szCs w:val="32"/>
          <w:shd w:val="clear" w:color="auto" w:fill="FFFFFF"/>
          <w:lang w:val="zh-CN"/>
        </w:rPr>
        <w:t>自主预算绩效监控意识不够，未及时对各项目经费进行预算绩效监控。</w:t>
      </w:r>
    </w:p>
    <w:p w14:paraId="4BBE4107">
      <w:pPr>
        <w:widowControl/>
        <w:adjustRightInd w:val="0"/>
        <w:snapToGrid w:val="0"/>
        <w:spacing w:line="560" w:lineRule="exact"/>
        <w:ind w:firstLine="643" w:firstLineChars="200"/>
        <w:contextualSpacing/>
        <w:jc w:val="left"/>
        <w:rPr>
          <w:rFonts w:ascii="楷体_GB2312" w:hAnsi="楷体_GB2312" w:eastAsia="楷体_GB2312" w:cs="楷体_GB2312"/>
          <w:b/>
          <w:bCs/>
          <w:kern w:val="0"/>
          <w:sz w:val="32"/>
          <w:szCs w:val="32"/>
          <w:shd w:val="clear" w:color="auto" w:fill="FFFFFF"/>
          <w:lang w:val="zh-CN"/>
        </w:rPr>
      </w:pPr>
      <w:bookmarkStart w:id="109" w:name="_Toc12126"/>
      <w:r>
        <w:rPr>
          <w:rFonts w:hint="eastAsia" w:ascii="楷体_GB2312" w:hAnsi="楷体_GB2312" w:eastAsia="楷体_GB2312" w:cs="楷体_GB2312"/>
          <w:b/>
          <w:bCs/>
          <w:kern w:val="0"/>
          <w:sz w:val="32"/>
          <w:szCs w:val="32"/>
          <w:shd w:val="clear" w:color="auto" w:fill="FFFFFF"/>
          <w:lang w:val="zh-CN"/>
        </w:rPr>
        <w:t>（三）改进建议。</w:t>
      </w:r>
      <w:bookmarkEnd w:id="109"/>
    </w:p>
    <w:p w14:paraId="65D7A745">
      <w:pPr>
        <w:pStyle w:val="6"/>
        <w:keepNext w:val="0"/>
        <w:keepLines w:val="0"/>
        <w:pageBreakBefore w:val="0"/>
        <w:widowControl w:val="0"/>
        <w:kinsoku/>
        <w:wordWrap/>
        <w:overflowPunct/>
        <w:topLinePunct w:val="0"/>
        <w:autoSpaceDE/>
        <w:autoSpaceDN/>
        <w:bidi w:val="0"/>
        <w:adjustRightInd/>
        <w:snapToGrid/>
        <w:spacing w:before="72"/>
        <w:ind w:firstLine="640" w:firstLineChars="200"/>
        <w:textAlignment w:val="auto"/>
        <w:outlineLvl w:val="9"/>
        <w:rPr>
          <w:rFonts w:hint="eastAsia" w:ascii="仿宋_GB2312" w:hAnsi="宋体" w:eastAsia="仿宋_GB2312" w:cs="宋体"/>
          <w:kern w:val="0"/>
          <w:sz w:val="32"/>
          <w:szCs w:val="32"/>
          <w:shd w:val="clear" w:color="auto" w:fill="FFFFFF"/>
          <w:lang w:val="zh-CN" w:eastAsia="zh-CN" w:bidi="ar-SA"/>
        </w:rPr>
      </w:pPr>
      <w:r>
        <w:rPr>
          <w:rFonts w:hint="eastAsia" w:ascii="仿宋_GB2312" w:hAnsi="宋体" w:eastAsia="仿宋_GB2312" w:cs="宋体"/>
          <w:kern w:val="0"/>
          <w:sz w:val="32"/>
          <w:szCs w:val="32"/>
          <w:shd w:val="clear" w:color="auto" w:fill="FFFFFF"/>
          <w:lang w:val="zh-CN" w:eastAsia="zh-CN" w:bidi="ar-SA"/>
        </w:rPr>
        <w:t>及时做好各项目资金的预算绩效监控工作，即要确保各项工作顺利的开展，又要做好厉行节约，力争把成本降低</w:t>
      </w:r>
      <w:r>
        <w:rPr>
          <w:rFonts w:hint="eastAsia" w:hAnsi="宋体" w:cs="宋体"/>
          <w:kern w:val="0"/>
          <w:sz w:val="32"/>
          <w:szCs w:val="32"/>
          <w:shd w:val="clear" w:color="auto" w:fill="FFFFFF"/>
          <w:lang w:val="zh-CN" w:eastAsia="zh-CN" w:bidi="ar-SA"/>
        </w:rPr>
        <w:t>。</w:t>
      </w:r>
    </w:p>
    <w:p w14:paraId="252EB27F">
      <w:pPr>
        <w:pStyle w:val="15"/>
        <w:spacing w:line="560" w:lineRule="exact"/>
        <w:ind w:left="0" w:leftChars="0" w:firstLine="640"/>
        <w:rPr>
          <w:rFonts w:hint="eastAsia" w:hAnsi="仿宋_GB2312" w:eastAsia="仿宋_GB2312" w:cs="仿宋_GB2312"/>
          <w:sz w:val="32"/>
          <w:lang w:val="zh-CN"/>
        </w:rPr>
      </w:pPr>
    </w:p>
    <w:p w14:paraId="6D4E5154">
      <w:pPr>
        <w:pStyle w:val="15"/>
        <w:spacing w:line="560" w:lineRule="exact"/>
        <w:ind w:left="0" w:leftChars="0" w:firstLine="640"/>
        <w:rPr>
          <w:rFonts w:hAnsi="仿宋_GB2312" w:eastAsia="仿宋_GB2312" w:cs="仿宋_GB2312"/>
          <w:sz w:val="32"/>
          <w:lang w:val="zh-CN"/>
        </w:rPr>
      </w:pPr>
      <w:r>
        <w:rPr>
          <w:rFonts w:hint="eastAsia" w:hAnsi="仿宋_GB2312" w:eastAsia="仿宋_GB2312" w:cs="仿宋_GB2312"/>
          <w:sz w:val="32"/>
          <w:lang w:val="zh-CN"/>
        </w:rPr>
        <w:t>附表：</w:t>
      </w:r>
      <w:r>
        <w:rPr>
          <w:rFonts w:hint="eastAsia" w:hAnsi="仿宋_GB2312" w:eastAsia="仿宋_GB2312" w:cs="仿宋_GB2312"/>
          <w:sz w:val="32"/>
        </w:rPr>
        <w:t>部门预算项目支出绩效自评表（2022年度）见附件*</w:t>
      </w:r>
    </w:p>
    <w:p w14:paraId="1AEEA39E">
      <w:pPr>
        <w:pStyle w:val="15"/>
        <w:spacing w:line="560" w:lineRule="exact"/>
        <w:ind w:left="0" w:leftChars="0" w:firstLine="0" w:firstLineChars="0"/>
        <w:rPr>
          <w:sz w:val="32"/>
          <w:lang w:val="zh-CN"/>
        </w:rPr>
      </w:pPr>
    </w:p>
    <w:p w14:paraId="1554CB35">
      <w:pPr>
        <w:pStyle w:val="6"/>
        <w:spacing w:before="93"/>
        <w:rPr>
          <w:rFonts w:hAnsi="宋体" w:cs="宋体"/>
          <w:sz w:val="32"/>
          <w:szCs w:val="32"/>
          <w:shd w:val="clear" w:color="auto" w:fill="FFFFFF"/>
          <w:lang w:val="zh-CN"/>
        </w:rPr>
      </w:pPr>
    </w:p>
    <w:p w14:paraId="5257E5A3">
      <w:pPr>
        <w:pStyle w:val="6"/>
        <w:spacing w:before="93"/>
        <w:rPr>
          <w:rFonts w:hint="eastAsia" w:hAnsi="宋体" w:cs="宋体"/>
          <w:sz w:val="32"/>
          <w:szCs w:val="32"/>
          <w:shd w:val="clear" w:color="auto" w:fill="FFFFFF"/>
          <w:lang w:val="zh-CN"/>
        </w:rPr>
      </w:pPr>
    </w:p>
    <w:p w14:paraId="185EC682">
      <w:pPr>
        <w:pStyle w:val="6"/>
        <w:spacing w:before="93"/>
        <w:rPr>
          <w:rFonts w:hint="eastAsia" w:hAnsi="宋体" w:cs="宋体"/>
          <w:sz w:val="32"/>
          <w:szCs w:val="32"/>
          <w:shd w:val="clear" w:color="auto" w:fill="FFFFFF"/>
          <w:lang w:val="zh-CN"/>
        </w:rPr>
      </w:pPr>
    </w:p>
    <w:p w14:paraId="2121F8F1">
      <w:pPr>
        <w:pStyle w:val="6"/>
        <w:spacing w:before="93"/>
        <w:rPr>
          <w:rFonts w:hint="eastAsia" w:hAnsi="宋体" w:cs="宋体"/>
          <w:sz w:val="32"/>
          <w:szCs w:val="32"/>
          <w:shd w:val="clear" w:color="auto" w:fill="FFFFFF"/>
          <w:lang w:val="zh-CN"/>
        </w:rPr>
      </w:pPr>
    </w:p>
    <w:p w14:paraId="590BBD4C">
      <w:pPr>
        <w:pStyle w:val="6"/>
        <w:spacing w:before="93"/>
        <w:rPr>
          <w:rFonts w:hint="eastAsia" w:hAnsi="宋体" w:cs="宋体"/>
          <w:sz w:val="32"/>
          <w:szCs w:val="32"/>
          <w:shd w:val="clear" w:color="auto" w:fill="FFFFFF"/>
          <w:lang w:val="zh-CN"/>
        </w:rPr>
      </w:pPr>
    </w:p>
    <w:p w14:paraId="2688F4AC">
      <w:pPr>
        <w:pStyle w:val="6"/>
        <w:spacing w:before="93"/>
        <w:rPr>
          <w:rFonts w:hint="eastAsia" w:hAnsi="宋体" w:cs="宋体"/>
          <w:sz w:val="32"/>
          <w:szCs w:val="32"/>
          <w:shd w:val="clear" w:color="auto" w:fill="FFFFFF"/>
          <w:lang w:val="zh-CN"/>
        </w:rPr>
      </w:pPr>
    </w:p>
    <w:p w14:paraId="08326781">
      <w:pPr>
        <w:pStyle w:val="6"/>
        <w:spacing w:before="93"/>
        <w:rPr>
          <w:sz w:val="32"/>
          <w:szCs w:val="32"/>
        </w:rPr>
      </w:pPr>
      <w:r>
        <w:rPr>
          <w:rFonts w:hint="eastAsia" w:hAnsi="宋体" w:cs="宋体"/>
          <w:sz w:val="32"/>
          <w:szCs w:val="32"/>
          <w:shd w:val="clear" w:color="auto" w:fill="FFFFFF"/>
          <w:lang w:val="zh-CN"/>
        </w:rPr>
        <w:t>附件</w:t>
      </w:r>
      <w:r>
        <w:rPr>
          <w:rFonts w:hint="eastAsia" w:hAnsi="宋体" w:cs="宋体"/>
          <w:sz w:val="32"/>
          <w:szCs w:val="32"/>
          <w:shd w:val="clear" w:color="auto" w:fill="FFFFFF"/>
        </w:rPr>
        <w:t>2</w:t>
      </w:r>
    </w:p>
    <w:p w14:paraId="6D41735E">
      <w:pPr>
        <w:pStyle w:val="36"/>
        <w:spacing w:line="578" w:lineRule="exact"/>
        <w:jc w:val="center"/>
        <w:rPr>
          <w:rFonts w:hint="eastAsia" w:ascii="方正小标宋简体" w:hAnsi="方正小标宋简体" w:eastAsia="方正小标宋简体" w:cs="方正小标宋简体"/>
          <w:color w:val="auto"/>
          <w:kern w:val="2"/>
          <w:sz w:val="32"/>
          <w:szCs w:val="32"/>
          <w:lang w:val="en-US"/>
        </w:rPr>
      </w:pPr>
      <w:bookmarkStart w:id="110" w:name="_Toc1454"/>
      <w:r>
        <w:rPr>
          <w:rFonts w:hint="eastAsia" w:ascii="方正小标宋简体" w:hAnsi="方正小标宋简体" w:eastAsia="方正小标宋简体" w:cs="方正小标宋简体"/>
          <w:color w:val="auto"/>
          <w:kern w:val="2"/>
          <w:sz w:val="32"/>
          <w:szCs w:val="32"/>
          <w:lang w:val="en-US"/>
        </w:rPr>
        <w:t>2023年</w:t>
      </w:r>
      <w:r>
        <w:rPr>
          <w:rFonts w:hint="eastAsia" w:ascii="方正小标宋简体" w:hAnsi="方正小标宋简体" w:eastAsia="方正小标宋简体" w:cs="方正小标宋简体"/>
          <w:color w:val="auto"/>
          <w:kern w:val="2"/>
          <w:sz w:val="32"/>
          <w:szCs w:val="32"/>
          <w:lang w:val="en-US" w:eastAsia="zh-CN"/>
        </w:rPr>
        <w:t>西区司法局政法转移支付（办案、装备）</w:t>
      </w:r>
      <w:r>
        <w:rPr>
          <w:rFonts w:hint="eastAsia" w:ascii="方正小标宋简体" w:hAnsi="方正小标宋简体" w:eastAsia="方正小标宋简体" w:cs="方正小标宋简体"/>
          <w:color w:val="auto"/>
          <w:kern w:val="2"/>
          <w:sz w:val="32"/>
          <w:szCs w:val="32"/>
          <w:lang w:val="en-US"/>
        </w:rPr>
        <w:t>专项资金</w:t>
      </w:r>
      <w:bookmarkEnd w:id="110"/>
    </w:p>
    <w:p w14:paraId="379FF391">
      <w:pPr>
        <w:pStyle w:val="36"/>
        <w:spacing w:line="578" w:lineRule="exact"/>
        <w:jc w:val="center"/>
        <w:rPr>
          <w:rFonts w:ascii="方正小标宋简体" w:hAnsi="方正小标宋简体" w:eastAsia="方正小标宋简体" w:cs="方正小标宋简体"/>
          <w:color w:val="auto"/>
          <w:kern w:val="2"/>
          <w:sz w:val="32"/>
          <w:szCs w:val="32"/>
          <w:lang w:val="en-US"/>
        </w:rPr>
      </w:pPr>
      <w:bookmarkStart w:id="111" w:name="_Toc11861"/>
      <w:r>
        <w:rPr>
          <w:rFonts w:hint="eastAsia" w:ascii="方正小标宋简体" w:hAnsi="方正小标宋简体" w:eastAsia="方正小标宋简体" w:cs="方正小标宋简体"/>
          <w:color w:val="auto"/>
          <w:kern w:val="2"/>
          <w:sz w:val="32"/>
          <w:szCs w:val="32"/>
          <w:lang w:val="en-US"/>
        </w:rPr>
        <w:t>预算项目绩效自评报告</w:t>
      </w:r>
      <w:bookmarkEnd w:id="111"/>
    </w:p>
    <w:p w14:paraId="7AE34F20">
      <w:pPr>
        <w:pStyle w:val="36"/>
        <w:spacing w:line="578" w:lineRule="exact"/>
        <w:ind w:firstLine="640"/>
        <w:jc w:val="center"/>
        <w:rPr>
          <w:rFonts w:ascii="宋体" w:hAnsi="宋体"/>
          <w:color w:val="auto"/>
          <w:kern w:val="2"/>
          <w:sz w:val="32"/>
          <w:szCs w:val="32"/>
        </w:rPr>
      </w:pPr>
    </w:p>
    <w:p w14:paraId="34EA73B8">
      <w:pPr>
        <w:adjustRightInd w:val="0"/>
        <w:snapToGrid w:val="0"/>
        <w:spacing w:line="578" w:lineRule="exact"/>
        <w:ind w:firstLine="720"/>
        <w:rPr>
          <w:rFonts w:ascii="黑体" w:hAnsi="宋体" w:eastAsia="黑体"/>
          <w:sz w:val="32"/>
          <w:szCs w:val="32"/>
          <w:lang w:val="zh-CN"/>
        </w:rPr>
      </w:pPr>
      <w:bookmarkStart w:id="112" w:name="_Toc27912"/>
      <w:r>
        <w:rPr>
          <w:rFonts w:hint="eastAsia" w:ascii="黑体" w:hAnsi="宋体" w:eastAsia="黑体"/>
          <w:sz w:val="32"/>
          <w:szCs w:val="32"/>
        </w:rPr>
        <w:t>一、</w:t>
      </w:r>
      <w:r>
        <w:rPr>
          <w:rFonts w:hint="eastAsia" w:ascii="黑体" w:hAnsi="宋体" w:eastAsia="黑体"/>
          <w:sz w:val="32"/>
          <w:szCs w:val="32"/>
          <w:lang w:val="zh-CN"/>
        </w:rPr>
        <w:t>项目概况</w:t>
      </w:r>
      <w:bookmarkEnd w:id="112"/>
    </w:p>
    <w:p w14:paraId="1B45E435">
      <w:pPr>
        <w:adjustRightInd w:val="0"/>
        <w:snapToGrid w:val="0"/>
        <w:spacing w:line="578" w:lineRule="exact"/>
        <w:ind w:firstLine="720"/>
        <w:rPr>
          <w:rFonts w:ascii="楷体_GB2312" w:hAnsi="宋体" w:eastAsia="楷体_GB2312"/>
          <w:b/>
          <w:sz w:val="32"/>
          <w:szCs w:val="32"/>
          <w:lang w:val="zh-CN"/>
        </w:rPr>
      </w:pPr>
      <w:bookmarkStart w:id="113" w:name="_Toc5288"/>
      <w:r>
        <w:rPr>
          <w:rFonts w:hint="eastAsia" w:ascii="楷体_GB2312" w:hAnsi="宋体" w:eastAsia="楷体_GB2312"/>
          <w:b/>
          <w:sz w:val="32"/>
          <w:szCs w:val="32"/>
          <w:lang w:val="zh-CN"/>
        </w:rPr>
        <w:t>（一）项目基本情况。</w:t>
      </w:r>
      <w:bookmarkEnd w:id="113"/>
    </w:p>
    <w:p w14:paraId="274654F6">
      <w:pPr>
        <w:pStyle w:val="6"/>
        <w:keepNext w:val="0"/>
        <w:keepLines w:val="0"/>
        <w:pageBreakBefore w:val="0"/>
        <w:widowControl w:val="0"/>
        <w:kinsoku/>
        <w:wordWrap/>
        <w:overflowPunct/>
        <w:topLinePunct w:val="0"/>
        <w:autoSpaceDE/>
        <w:autoSpaceDN/>
        <w:bidi w:val="0"/>
        <w:adjustRightInd/>
        <w:snapToGrid/>
        <w:spacing w:before="72"/>
        <w:ind w:firstLine="640" w:firstLineChars="200"/>
        <w:textAlignment w:val="auto"/>
        <w:outlineLvl w:val="9"/>
        <w:rPr>
          <w:rFonts w:hint="eastAsia" w:ascii="仿宋_GB2312" w:hAnsi="宋体" w:eastAsia="仿宋_GB2312" w:cs="宋体"/>
          <w:kern w:val="0"/>
          <w:sz w:val="32"/>
          <w:szCs w:val="32"/>
          <w:shd w:val="clear" w:color="auto" w:fill="FFFFFF"/>
          <w:lang w:val="zh-CN" w:eastAsia="zh-CN" w:bidi="ar-SA"/>
        </w:rPr>
      </w:pPr>
      <w:r>
        <w:rPr>
          <w:rFonts w:hint="eastAsia" w:ascii="仿宋_GB2312" w:hAnsi="宋体" w:eastAsia="仿宋_GB2312" w:cs="宋体"/>
          <w:kern w:val="0"/>
          <w:sz w:val="32"/>
          <w:szCs w:val="32"/>
          <w:shd w:val="clear" w:color="auto" w:fill="FFFFFF"/>
          <w:lang w:val="zh-CN" w:eastAsia="zh-CN" w:bidi="ar-SA"/>
        </w:rPr>
        <w:t>1</w:t>
      </w:r>
      <w:r>
        <w:rPr>
          <w:rFonts w:hint="eastAsia" w:ascii="仿宋_GB2312" w:hAnsi="宋体" w:eastAsia="仿宋_GB2312" w:cs="宋体"/>
          <w:kern w:val="0"/>
          <w:sz w:val="32"/>
          <w:szCs w:val="32"/>
          <w:shd w:val="clear" w:color="auto" w:fill="FFFFFF"/>
          <w:lang w:val="en-US" w:eastAsia="zh-CN" w:bidi="ar-SA"/>
        </w:rPr>
        <w:t>.</w:t>
      </w:r>
      <w:r>
        <w:rPr>
          <w:rFonts w:hint="eastAsia" w:ascii="仿宋_GB2312" w:hAnsi="宋体" w:eastAsia="仿宋_GB2312" w:cs="宋体"/>
          <w:kern w:val="0"/>
          <w:sz w:val="32"/>
          <w:szCs w:val="32"/>
          <w:shd w:val="clear" w:color="auto" w:fill="FFFFFF"/>
          <w:lang w:val="zh-CN" w:eastAsia="zh-CN" w:bidi="ar-SA"/>
        </w:rPr>
        <w:t>西区</w:t>
      </w:r>
      <w:r>
        <w:rPr>
          <w:rFonts w:hint="eastAsia" w:ascii="仿宋_GB2312" w:hAnsi="宋体" w:eastAsia="仿宋_GB2312" w:cs="宋体"/>
          <w:kern w:val="0"/>
          <w:sz w:val="32"/>
          <w:szCs w:val="32"/>
          <w:shd w:val="clear" w:color="auto" w:fill="FFFFFF"/>
          <w:lang w:val="en-US" w:eastAsia="zh-CN" w:bidi="ar-SA"/>
        </w:rPr>
        <w:t>司法局</w:t>
      </w:r>
      <w:r>
        <w:rPr>
          <w:rFonts w:hint="eastAsia" w:ascii="仿宋_GB2312" w:hAnsi="宋体" w:eastAsia="仿宋_GB2312" w:cs="宋体"/>
          <w:kern w:val="0"/>
          <w:sz w:val="32"/>
          <w:szCs w:val="32"/>
          <w:shd w:val="clear" w:color="auto" w:fill="FFFFFF"/>
          <w:lang w:val="zh-CN" w:eastAsia="zh-CN" w:bidi="ar-SA"/>
        </w:rPr>
        <w:t>是该项目的具体实施主体。</w:t>
      </w:r>
    </w:p>
    <w:p w14:paraId="3BFDE05F">
      <w:pPr>
        <w:pageBreakBefore w:val="0"/>
        <w:kinsoku/>
        <w:wordWrap/>
        <w:overflowPunct/>
        <w:topLinePunct w:val="0"/>
        <w:autoSpaceDE w:val="0"/>
        <w:bidi w:val="0"/>
        <w:spacing w:line="353" w:lineRule="auto"/>
        <w:ind w:firstLine="640" w:firstLineChars="200"/>
        <w:jc w:val="left"/>
        <w:textAlignment w:val="auto"/>
        <w:rPr>
          <w:rFonts w:hint="eastAsia" w:ascii="仿宋_GB2312" w:hAnsi="宋体" w:eastAsia="仿宋_GB2312" w:cs="宋体"/>
          <w:kern w:val="0"/>
          <w:sz w:val="32"/>
          <w:szCs w:val="32"/>
          <w:shd w:val="clear" w:color="auto" w:fill="FFFFFF"/>
          <w:lang w:val="zh-CN" w:eastAsia="zh-CN" w:bidi="ar-SA"/>
        </w:rPr>
      </w:pPr>
      <w:r>
        <w:rPr>
          <w:rFonts w:hint="eastAsia" w:ascii="仿宋_GB2312" w:hAnsi="宋体" w:eastAsia="仿宋_GB2312" w:cs="宋体"/>
          <w:kern w:val="0"/>
          <w:sz w:val="32"/>
          <w:szCs w:val="32"/>
          <w:shd w:val="clear" w:color="auto" w:fill="FFFFFF"/>
          <w:lang w:val="zh-CN" w:eastAsia="zh-CN" w:bidi="ar-SA"/>
        </w:rPr>
        <w:t>2</w:t>
      </w:r>
      <w:r>
        <w:rPr>
          <w:rFonts w:hint="eastAsia" w:ascii="仿宋_GB2312" w:hAnsi="宋体" w:eastAsia="仿宋_GB2312" w:cs="宋体"/>
          <w:kern w:val="0"/>
          <w:sz w:val="32"/>
          <w:szCs w:val="32"/>
          <w:shd w:val="clear" w:color="auto" w:fill="FFFFFF"/>
          <w:lang w:val="en-US" w:eastAsia="zh-CN" w:bidi="ar-SA"/>
        </w:rPr>
        <w:t>.</w:t>
      </w:r>
      <w:r>
        <w:rPr>
          <w:rFonts w:hint="eastAsia" w:ascii="仿宋_GB2312" w:hAnsi="宋体" w:eastAsia="仿宋_GB2312" w:cs="宋体"/>
          <w:kern w:val="0"/>
          <w:sz w:val="32"/>
          <w:szCs w:val="32"/>
          <w:shd w:val="clear" w:color="auto" w:fill="FFFFFF"/>
          <w:lang w:val="zh-CN" w:eastAsia="zh-CN" w:bidi="ar-SA"/>
        </w:rPr>
        <w:t>项目立项、资金申报的依据是：中央根据上一年司法局具体工作开展情况，给予经费考虑</w:t>
      </w:r>
      <w:r>
        <w:rPr>
          <w:rFonts w:hint="default" w:ascii="Times New Roman" w:hAnsi="Times New Roman" w:eastAsia="方正仿宋_GBK" w:cs="Times New Roman"/>
          <w:color w:val="000000"/>
          <w:kern w:val="0"/>
          <w:sz w:val="33"/>
          <w:szCs w:val="33"/>
        </w:rPr>
        <w:t>。</w:t>
      </w:r>
    </w:p>
    <w:p w14:paraId="7F696AD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shd w:val="clear" w:color="auto" w:fill="FFFFFF"/>
          <w:lang w:val="zh-CN" w:eastAsia="zh-CN" w:bidi="ar-SA"/>
        </w:rPr>
      </w:pPr>
      <w:r>
        <w:rPr>
          <w:rFonts w:hint="eastAsia" w:ascii="仿宋_GB2312" w:hAnsi="宋体" w:eastAsia="仿宋_GB2312" w:cs="宋体"/>
          <w:kern w:val="0"/>
          <w:sz w:val="32"/>
          <w:szCs w:val="32"/>
          <w:shd w:val="clear" w:color="auto" w:fill="FFFFFF"/>
          <w:lang w:val="zh-CN" w:eastAsia="zh-CN" w:bidi="ar-SA"/>
        </w:rPr>
        <w:t>3</w:t>
      </w:r>
      <w:r>
        <w:rPr>
          <w:rFonts w:hint="eastAsia" w:ascii="仿宋_GB2312" w:hAnsi="宋体" w:eastAsia="仿宋_GB2312" w:cs="宋体"/>
          <w:kern w:val="0"/>
          <w:sz w:val="32"/>
          <w:szCs w:val="32"/>
          <w:shd w:val="clear" w:color="auto" w:fill="FFFFFF"/>
          <w:lang w:val="en-US" w:eastAsia="zh-CN" w:bidi="ar-SA"/>
        </w:rPr>
        <w:t>.</w:t>
      </w:r>
      <w:r>
        <w:rPr>
          <w:rFonts w:hint="default" w:ascii="仿宋_GB2312" w:hAnsi="宋体" w:eastAsia="仿宋_GB2312" w:cs="宋体"/>
          <w:kern w:val="0"/>
          <w:sz w:val="32"/>
          <w:szCs w:val="32"/>
          <w:shd w:val="clear" w:color="auto" w:fill="FFFFFF"/>
          <w:lang w:val="zh-CN" w:eastAsia="zh-CN" w:bidi="ar-SA"/>
        </w:rPr>
        <w:t>资金管理办法制定情况</w:t>
      </w:r>
      <w:r>
        <w:rPr>
          <w:rFonts w:hint="eastAsia" w:ascii="仿宋_GB2312" w:hAnsi="宋体" w:eastAsia="仿宋_GB2312" w:cs="宋体"/>
          <w:kern w:val="0"/>
          <w:sz w:val="32"/>
          <w:szCs w:val="32"/>
          <w:shd w:val="clear" w:color="auto" w:fill="FFFFFF"/>
          <w:lang w:val="zh-CN" w:eastAsia="zh-CN" w:bidi="ar-SA"/>
        </w:rPr>
        <w:t>。</w:t>
      </w:r>
    </w:p>
    <w:p w14:paraId="7222351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宋体"/>
          <w:kern w:val="0"/>
          <w:sz w:val="32"/>
          <w:szCs w:val="32"/>
          <w:shd w:val="clear" w:color="auto" w:fill="FFFFFF"/>
          <w:lang w:val="zh-CN" w:eastAsia="zh-CN" w:bidi="ar-SA"/>
        </w:rPr>
      </w:pPr>
      <w:r>
        <w:rPr>
          <w:rFonts w:hint="default" w:ascii="仿宋_GB2312" w:hAnsi="宋体" w:eastAsia="仿宋_GB2312" w:cs="宋体"/>
          <w:kern w:val="0"/>
          <w:sz w:val="32"/>
          <w:szCs w:val="32"/>
          <w:shd w:val="clear" w:color="auto" w:fill="FFFFFF"/>
          <w:lang w:val="zh-CN" w:eastAsia="zh-CN" w:bidi="ar-SA"/>
        </w:rPr>
        <w:t>资金按照规定使用，主要用于西区</w:t>
      </w:r>
      <w:r>
        <w:rPr>
          <w:rFonts w:hint="eastAsia" w:ascii="仿宋_GB2312" w:hAnsi="宋体" w:eastAsia="仿宋_GB2312" w:cs="宋体"/>
          <w:kern w:val="0"/>
          <w:sz w:val="32"/>
          <w:szCs w:val="32"/>
          <w:shd w:val="clear" w:color="auto" w:fill="FFFFFF"/>
          <w:lang w:val="zh-CN" w:eastAsia="zh-CN" w:bidi="ar-SA"/>
        </w:rPr>
        <w:t>政法装备、业务办案费用</w:t>
      </w:r>
      <w:r>
        <w:rPr>
          <w:rFonts w:hint="default" w:ascii="仿宋_GB2312" w:hAnsi="宋体" w:eastAsia="仿宋_GB2312" w:cs="宋体"/>
          <w:kern w:val="0"/>
          <w:sz w:val="32"/>
          <w:szCs w:val="32"/>
          <w:shd w:val="clear" w:color="auto" w:fill="FFFFFF"/>
          <w:lang w:val="zh-CN" w:eastAsia="zh-CN" w:bidi="ar-SA"/>
        </w:rPr>
        <w:t>。</w:t>
      </w:r>
    </w:p>
    <w:p w14:paraId="12E3BAE0">
      <w:pPr>
        <w:adjustRightInd w:val="0"/>
        <w:snapToGrid w:val="0"/>
        <w:spacing w:line="578" w:lineRule="exact"/>
        <w:ind w:firstLine="720"/>
        <w:rPr>
          <w:rFonts w:hint="default" w:ascii="仿宋_GB2312" w:hAnsi="宋体" w:eastAsia="仿宋_GB2312" w:cs="宋体"/>
          <w:kern w:val="0"/>
          <w:sz w:val="32"/>
          <w:szCs w:val="32"/>
          <w:shd w:val="clear" w:color="auto" w:fill="FFFFFF"/>
          <w:lang w:val="zh-CN" w:eastAsia="zh-CN" w:bidi="ar-SA"/>
        </w:rPr>
      </w:pPr>
      <w:r>
        <w:rPr>
          <w:rFonts w:hint="eastAsia" w:ascii="仿宋_GB2312" w:hAnsi="宋体" w:eastAsia="仿宋_GB2312" w:cs="宋体"/>
          <w:kern w:val="0"/>
          <w:sz w:val="32"/>
          <w:szCs w:val="32"/>
          <w:shd w:val="clear" w:color="auto" w:fill="FFFFFF"/>
          <w:lang w:val="zh-CN" w:eastAsia="zh-CN" w:bidi="ar-SA"/>
        </w:rPr>
        <w:t>4</w:t>
      </w:r>
      <w:r>
        <w:rPr>
          <w:rFonts w:hint="eastAsia" w:ascii="仿宋_GB2312" w:hAnsi="宋体" w:eastAsia="仿宋_GB2312" w:cs="宋体"/>
          <w:kern w:val="0"/>
          <w:sz w:val="32"/>
          <w:szCs w:val="32"/>
          <w:shd w:val="clear" w:color="auto" w:fill="FFFFFF"/>
          <w:lang w:val="en-US" w:eastAsia="zh-CN" w:bidi="ar-SA"/>
        </w:rPr>
        <w:t>.</w:t>
      </w:r>
      <w:r>
        <w:rPr>
          <w:rFonts w:hint="default" w:ascii="仿宋_GB2312" w:hAnsi="宋体" w:eastAsia="仿宋_GB2312" w:cs="宋体"/>
          <w:kern w:val="0"/>
          <w:sz w:val="32"/>
          <w:szCs w:val="32"/>
          <w:shd w:val="clear" w:color="auto" w:fill="FFFFFF"/>
          <w:lang w:val="zh-CN" w:eastAsia="zh-CN" w:bidi="ar-SA"/>
        </w:rPr>
        <w:t>资金分配的原则及考虑因素。</w:t>
      </w:r>
    </w:p>
    <w:p w14:paraId="44C2A11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lang w:val="zh-CN" w:eastAsia="zh-CN"/>
        </w:rPr>
      </w:pPr>
      <w:r>
        <w:rPr>
          <w:rFonts w:hint="default" w:ascii="仿宋_GB2312" w:hAnsi="宋体" w:eastAsia="仿宋_GB2312" w:cs="宋体"/>
          <w:kern w:val="0"/>
          <w:sz w:val="32"/>
          <w:szCs w:val="32"/>
          <w:shd w:val="clear" w:color="auto" w:fill="FFFFFF"/>
          <w:lang w:val="zh-CN" w:eastAsia="zh-CN" w:bidi="ar-SA"/>
        </w:rPr>
        <w:t>严格按照文件规定内容据实核算、发放。</w:t>
      </w:r>
    </w:p>
    <w:p w14:paraId="3942B58E">
      <w:pPr>
        <w:adjustRightInd w:val="0"/>
        <w:snapToGrid w:val="0"/>
        <w:spacing w:line="578" w:lineRule="exact"/>
        <w:ind w:firstLine="720"/>
        <w:rPr>
          <w:rFonts w:ascii="楷体_GB2312" w:hAnsi="宋体" w:eastAsia="楷体_GB2312"/>
          <w:b/>
          <w:sz w:val="32"/>
          <w:szCs w:val="32"/>
          <w:lang w:val="zh-CN"/>
        </w:rPr>
      </w:pPr>
      <w:bookmarkStart w:id="114" w:name="_Toc2447"/>
      <w:r>
        <w:rPr>
          <w:rFonts w:hint="eastAsia" w:ascii="楷体_GB2312" w:hAnsi="宋体" w:eastAsia="楷体_GB2312"/>
          <w:b/>
          <w:sz w:val="32"/>
          <w:szCs w:val="32"/>
          <w:lang w:val="zh-CN"/>
        </w:rPr>
        <w:t>（二）项目绩效目标。</w:t>
      </w:r>
      <w:bookmarkEnd w:id="114"/>
    </w:p>
    <w:p w14:paraId="2FDE8868">
      <w:pPr>
        <w:pStyle w:val="6"/>
        <w:keepNext w:val="0"/>
        <w:keepLines w:val="0"/>
        <w:pageBreakBefore w:val="0"/>
        <w:widowControl w:val="0"/>
        <w:kinsoku/>
        <w:wordWrap/>
        <w:overflowPunct/>
        <w:topLinePunct w:val="0"/>
        <w:autoSpaceDE/>
        <w:autoSpaceDN/>
        <w:bidi w:val="0"/>
        <w:adjustRightInd/>
        <w:snapToGrid/>
        <w:spacing w:before="72"/>
        <w:ind w:firstLine="640" w:firstLineChars="200"/>
        <w:textAlignment w:val="auto"/>
        <w:outlineLvl w:val="9"/>
        <w:rPr>
          <w:rFonts w:hint="default" w:ascii="仿宋_GB2312" w:hAnsi="宋体" w:eastAsia="仿宋_GB2312" w:cs="宋体"/>
          <w:kern w:val="0"/>
          <w:sz w:val="32"/>
          <w:szCs w:val="32"/>
          <w:shd w:val="clear" w:color="auto" w:fill="FFFFFF"/>
          <w:lang w:val="zh-CN" w:eastAsia="zh-CN" w:bidi="ar-SA"/>
        </w:rPr>
      </w:pPr>
      <w:r>
        <w:rPr>
          <w:rFonts w:hint="eastAsia" w:ascii="仿宋_GB2312" w:hAnsi="宋体" w:eastAsia="仿宋_GB2312" w:cs="宋体"/>
          <w:kern w:val="0"/>
          <w:sz w:val="32"/>
          <w:szCs w:val="32"/>
          <w:shd w:val="clear" w:color="auto" w:fill="FFFFFF"/>
          <w:lang w:val="zh-CN" w:eastAsia="zh-CN" w:bidi="ar-SA"/>
        </w:rPr>
        <w:t>积极运用中央和省级转移支付资金，发挥中央和省级财政资金的政策扶持和引导作用，强化法治保障，推进法治政府建设，提升全市公共法律服务水平，加强社区矫正工作，持续有效化解矛盾纠纷，建设过硬司法行政队伍，确保各项业务目标工作按进度完成；健全设施、完善设备，提高业务装备保障水平。</w:t>
      </w:r>
    </w:p>
    <w:p w14:paraId="507FCA60">
      <w:pPr>
        <w:adjustRightInd w:val="0"/>
        <w:snapToGrid w:val="0"/>
        <w:spacing w:line="578" w:lineRule="exact"/>
        <w:ind w:firstLine="720"/>
        <w:rPr>
          <w:rFonts w:ascii="楷体_GB2312" w:hAnsi="宋体" w:eastAsia="楷体_GB2312"/>
          <w:b/>
          <w:sz w:val="32"/>
          <w:szCs w:val="32"/>
          <w:lang w:val="zh-CN"/>
        </w:rPr>
      </w:pPr>
      <w:bookmarkStart w:id="115" w:name="_Toc25274"/>
      <w:r>
        <w:rPr>
          <w:rFonts w:hint="eastAsia" w:ascii="楷体_GB2312" w:hAnsi="宋体" w:eastAsia="楷体_GB2312"/>
          <w:b/>
          <w:sz w:val="32"/>
          <w:szCs w:val="32"/>
          <w:lang w:val="zh-CN"/>
        </w:rPr>
        <w:t>（三）项目自评步骤及方法。</w:t>
      </w:r>
      <w:bookmarkEnd w:id="115"/>
    </w:p>
    <w:p w14:paraId="08F0216B">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Times New Roman" w:eastAsia="仿宋_GB2312"/>
          <w:sz w:val="32"/>
          <w:szCs w:val="32"/>
        </w:rPr>
      </w:pPr>
      <w:r>
        <w:rPr>
          <w:rFonts w:hint="eastAsia" w:ascii="仿宋_GB2312" w:hAnsi="Times New Roman" w:eastAsia="仿宋_GB2312"/>
          <w:sz w:val="32"/>
          <w:szCs w:val="32"/>
        </w:rPr>
        <w:t>1.</w:t>
      </w:r>
      <w:r>
        <w:rPr>
          <w:rFonts w:hint="default" w:ascii="仿宋_GB2312" w:hAnsi="Times New Roman" w:eastAsia="仿宋_GB2312"/>
          <w:sz w:val="32"/>
          <w:szCs w:val="32"/>
        </w:rPr>
        <w:t>所有项目经费使用均做到事前向党组汇报，经党组会议讨论通过后才能使用，政工股对局党组会议做好记录。资金使用中随时向分管领导汇报进展情况并及时调整，使用后经分管领导和主管领导审批后才能向局财务部门请求报销</w:t>
      </w:r>
      <w:r>
        <w:rPr>
          <w:rFonts w:hint="eastAsia" w:ascii="仿宋_GB2312" w:hAnsi="Times New Roman" w:eastAsia="仿宋_GB2312"/>
          <w:sz w:val="32"/>
          <w:szCs w:val="32"/>
        </w:rPr>
        <w:t>。</w:t>
      </w:r>
    </w:p>
    <w:p w14:paraId="6126E308">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Times New Roman" w:eastAsia="仿宋_GB2312"/>
          <w:sz w:val="32"/>
          <w:szCs w:val="32"/>
        </w:rPr>
      </w:pPr>
      <w:r>
        <w:rPr>
          <w:rFonts w:hint="eastAsia" w:ascii="仿宋_GB2312" w:hAnsi="Times New Roman" w:eastAsia="仿宋_GB2312"/>
          <w:sz w:val="32"/>
          <w:szCs w:val="32"/>
        </w:rPr>
        <w:t>2</w:t>
      </w:r>
      <w:r>
        <w:rPr>
          <w:rFonts w:hint="eastAsia" w:ascii="仿宋_GB2312" w:hAnsi="Times New Roman" w:eastAsia="仿宋_GB2312"/>
          <w:sz w:val="32"/>
          <w:szCs w:val="32"/>
          <w:lang w:val="en-US" w:eastAsia="zh-CN"/>
        </w:rPr>
        <w:t>.</w:t>
      </w:r>
      <w:r>
        <w:rPr>
          <w:rFonts w:hint="eastAsia" w:ascii="仿宋_GB2312" w:hAnsi="Times New Roman" w:eastAsia="仿宋_GB2312"/>
          <w:sz w:val="32"/>
          <w:szCs w:val="32"/>
        </w:rPr>
        <w:t>绩效自评。根据资料收集的情况，按照区财政支出绩效评价指标体系，以定量与定性相结合的方式，对项目绩效情况进行判断，对项目存在的问题进行分析，对各项考评指标进行自评。</w:t>
      </w:r>
    </w:p>
    <w:p w14:paraId="2C8F401B">
      <w:pPr>
        <w:adjustRightInd w:val="0"/>
        <w:snapToGrid w:val="0"/>
        <w:spacing w:line="600" w:lineRule="exact"/>
        <w:ind w:firstLine="720"/>
        <w:rPr>
          <w:rFonts w:hint="eastAsia" w:ascii="仿宋_GB2312" w:hAnsi="Times New Roman" w:eastAsia="仿宋_GB2312"/>
          <w:sz w:val="32"/>
          <w:szCs w:val="32"/>
        </w:rPr>
      </w:pPr>
      <w:r>
        <w:rPr>
          <w:rFonts w:hint="eastAsia" w:ascii="仿宋_GB2312" w:hAnsi="Times New Roman" w:eastAsia="仿宋_GB2312"/>
          <w:sz w:val="32"/>
          <w:szCs w:val="32"/>
        </w:rPr>
        <w:t>3.撰写报告。结合项目定性与定量评价分析，得出自评结论，并撰写自评报告。</w:t>
      </w:r>
    </w:p>
    <w:p w14:paraId="4655AD75">
      <w:pPr>
        <w:adjustRightInd w:val="0"/>
        <w:snapToGrid w:val="0"/>
        <w:spacing w:line="578" w:lineRule="exact"/>
        <w:ind w:firstLine="720"/>
        <w:rPr>
          <w:rFonts w:ascii="黑体" w:hAnsi="宋体" w:eastAsia="黑体"/>
          <w:sz w:val="32"/>
          <w:szCs w:val="32"/>
        </w:rPr>
      </w:pPr>
      <w:bookmarkStart w:id="116" w:name="_Toc32263"/>
      <w:r>
        <w:rPr>
          <w:rFonts w:hint="eastAsia" w:ascii="黑体" w:hAnsi="宋体" w:eastAsia="黑体"/>
          <w:sz w:val="32"/>
          <w:szCs w:val="32"/>
        </w:rPr>
        <w:t>二、项目资金申报及使用情况</w:t>
      </w:r>
      <w:bookmarkEnd w:id="116"/>
    </w:p>
    <w:p w14:paraId="7B0DC7CF">
      <w:pPr>
        <w:adjustRightInd w:val="0"/>
        <w:snapToGrid w:val="0"/>
        <w:spacing w:line="578" w:lineRule="exact"/>
        <w:ind w:firstLine="720"/>
        <w:rPr>
          <w:rFonts w:ascii="楷体_GB2312" w:hAnsi="宋体" w:eastAsia="楷体_GB2312"/>
          <w:b/>
          <w:sz w:val="32"/>
          <w:szCs w:val="32"/>
          <w:lang w:val="zh-CN"/>
        </w:rPr>
      </w:pPr>
      <w:bookmarkStart w:id="117" w:name="_Toc3174"/>
      <w:r>
        <w:rPr>
          <w:rFonts w:hint="eastAsia" w:ascii="楷体_GB2312" w:hAnsi="宋体" w:eastAsia="楷体_GB2312"/>
          <w:b/>
          <w:sz w:val="32"/>
          <w:szCs w:val="32"/>
          <w:lang w:val="zh-CN"/>
        </w:rPr>
        <w:t>（一）项目资金申报及批复情况。</w:t>
      </w:r>
      <w:bookmarkEnd w:id="117"/>
    </w:p>
    <w:p w14:paraId="7F42FF9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color w:val="auto"/>
          <w:kern w:val="0"/>
          <w:sz w:val="32"/>
          <w:szCs w:val="32"/>
          <w:lang w:val="en-US" w:eastAsia="zh-CN"/>
        </w:rPr>
      </w:pPr>
      <w:r>
        <w:rPr>
          <w:rFonts w:hint="eastAsia" w:ascii="仿宋_GB2312" w:hAnsi="Times New Roman" w:eastAsia="仿宋_GB2312" w:cs="Times New Roman"/>
          <w:sz w:val="32"/>
          <w:szCs w:val="32"/>
          <w:lang w:val="zh-CN"/>
        </w:rPr>
        <w:t>2022年</w:t>
      </w:r>
      <w:r>
        <w:rPr>
          <w:rFonts w:hint="eastAsia" w:ascii="仿宋_GB2312" w:hAnsi="Times New Roman" w:eastAsia="仿宋_GB2312" w:cs="Times New Roman"/>
          <w:sz w:val="32"/>
          <w:szCs w:val="32"/>
          <w:lang w:val="en-US"/>
        </w:rPr>
        <w:t>政法转移支付（办案、装备）</w:t>
      </w:r>
      <w:r>
        <w:rPr>
          <w:rFonts w:hint="eastAsia" w:ascii="仿宋_GB2312" w:hAnsi="Times New Roman" w:eastAsia="仿宋_GB2312" w:cs="Times New Roman"/>
          <w:sz w:val="32"/>
          <w:szCs w:val="32"/>
          <w:lang w:val="zh-CN"/>
        </w:rPr>
        <w:t>经费预算</w:t>
      </w:r>
      <w:r>
        <w:rPr>
          <w:rFonts w:hint="eastAsia" w:ascii="仿宋_GB2312" w:hAnsi="Times New Roman" w:eastAsia="仿宋_GB2312" w:cs="Times New Roman"/>
          <w:sz w:val="32"/>
          <w:szCs w:val="32"/>
          <w:lang w:val="en-US" w:eastAsia="zh-CN"/>
        </w:rPr>
        <w:t>107</w:t>
      </w:r>
      <w:r>
        <w:rPr>
          <w:rFonts w:hint="eastAsia" w:ascii="仿宋_GB2312" w:hAnsi="Times New Roman" w:eastAsia="仿宋_GB2312" w:cs="Times New Roman"/>
          <w:sz w:val="32"/>
          <w:szCs w:val="32"/>
          <w:lang w:val="zh-CN"/>
        </w:rPr>
        <w:t>元，按年度进行申报。资金及时批复到位，符合资金管理办法等相关规定。资金及时批复到位，符合资金管理办法等相关规定。</w:t>
      </w:r>
      <w:r>
        <w:rPr>
          <w:rFonts w:hint="eastAsia" w:ascii="Times New Roman" w:hAnsi="Times New Roman"/>
          <w:color w:val="auto"/>
          <w:kern w:val="0"/>
          <w:sz w:val="32"/>
          <w:szCs w:val="32"/>
          <w:lang w:val="en-US" w:eastAsia="zh-CN"/>
        </w:rPr>
        <w:t xml:space="preserve"> </w:t>
      </w:r>
    </w:p>
    <w:p w14:paraId="1BDD4C81">
      <w:pPr>
        <w:adjustRightInd w:val="0"/>
        <w:snapToGrid w:val="0"/>
        <w:spacing w:line="578" w:lineRule="exact"/>
        <w:ind w:firstLine="720"/>
        <w:rPr>
          <w:rFonts w:ascii="仿宋_GB2312" w:hAnsi="宋体"/>
          <w:sz w:val="32"/>
          <w:szCs w:val="32"/>
          <w:lang w:val="zh-CN"/>
        </w:rPr>
      </w:pPr>
      <w:bookmarkStart w:id="118" w:name="_Toc610"/>
      <w:r>
        <w:rPr>
          <w:rFonts w:hint="eastAsia" w:ascii="楷体_GB2312" w:hAnsi="宋体" w:eastAsia="楷体_GB2312"/>
          <w:b/>
          <w:sz w:val="32"/>
          <w:szCs w:val="32"/>
          <w:lang w:val="zh-CN"/>
        </w:rPr>
        <w:t>（二）资金计划、到位及使用情况（可用表格形式反映）。</w:t>
      </w:r>
      <w:bookmarkEnd w:id="118"/>
    </w:p>
    <w:p w14:paraId="3B3B4D30">
      <w:pPr>
        <w:adjustRightInd w:val="0"/>
        <w:snapToGrid w:val="0"/>
        <w:spacing w:line="600" w:lineRule="exact"/>
        <w:ind w:firstLine="720"/>
        <w:rPr>
          <w:rFonts w:hint="eastAsia" w:ascii="仿宋_GB2312" w:hAnsi="Times New Roman" w:eastAsia="仿宋_GB2312" w:cs="Times New Roman"/>
          <w:sz w:val="32"/>
          <w:szCs w:val="32"/>
          <w:lang w:val="zh-CN"/>
        </w:rPr>
      </w:pPr>
      <w:r>
        <w:rPr>
          <w:rFonts w:hint="eastAsia" w:ascii="仿宋_GB2312" w:hAnsi="Times New Roman" w:eastAsia="仿宋_GB2312" w:cs="Times New Roman"/>
          <w:sz w:val="32"/>
          <w:szCs w:val="32"/>
          <w:lang w:val="zh-CN"/>
        </w:rPr>
        <w:t>1.资金计划。为了保障司法行政工作正常开展，2022年中央及省下达政法转移支付各项经费</w:t>
      </w:r>
      <w:r>
        <w:rPr>
          <w:rFonts w:hint="eastAsia" w:ascii="仿宋_GB2312" w:hAnsi="Times New Roman" w:eastAsia="仿宋_GB2312" w:cs="Times New Roman"/>
          <w:sz w:val="32"/>
          <w:szCs w:val="32"/>
          <w:lang w:val="zh-CN" w:eastAsia="zh-CN"/>
        </w:rPr>
        <w:t>107</w:t>
      </w:r>
      <w:r>
        <w:rPr>
          <w:rFonts w:hint="eastAsia" w:ascii="仿宋_GB2312" w:hAnsi="Times New Roman" w:eastAsia="仿宋_GB2312" w:cs="Times New Roman"/>
          <w:sz w:val="32"/>
          <w:szCs w:val="32"/>
          <w:lang w:val="zh-CN"/>
        </w:rPr>
        <w:t>万元。</w:t>
      </w:r>
    </w:p>
    <w:p w14:paraId="41D9104D">
      <w:pPr>
        <w:adjustRightInd w:val="0"/>
        <w:snapToGrid w:val="0"/>
        <w:spacing w:line="600" w:lineRule="exact"/>
        <w:ind w:firstLine="720"/>
        <w:rPr>
          <w:rFonts w:hint="eastAsia" w:ascii="仿宋_GB2312" w:hAnsi="Times New Roman" w:eastAsia="仿宋_GB2312" w:cs="Times New Roman"/>
          <w:sz w:val="32"/>
          <w:szCs w:val="32"/>
          <w:lang w:val="zh-CN"/>
        </w:rPr>
      </w:pPr>
      <w:r>
        <w:rPr>
          <w:rFonts w:hint="eastAsia" w:ascii="仿宋_GB2312" w:hAnsi="Times New Roman" w:eastAsia="仿宋_GB2312" w:cs="Times New Roman"/>
          <w:sz w:val="32"/>
          <w:szCs w:val="32"/>
          <w:lang w:val="zh-CN" w:eastAsia="zh-CN"/>
        </w:rPr>
        <w:t>2.</w:t>
      </w:r>
      <w:r>
        <w:rPr>
          <w:rFonts w:hint="eastAsia" w:ascii="仿宋_GB2312" w:hAnsi="Times New Roman" w:eastAsia="仿宋_GB2312" w:cs="Times New Roman"/>
          <w:sz w:val="32"/>
          <w:szCs w:val="32"/>
          <w:lang w:val="zh-CN"/>
        </w:rPr>
        <w:t>资金到位。资金分别于2022.6.29和2022.10.25准时下达</w:t>
      </w:r>
    </w:p>
    <w:p w14:paraId="637B454D">
      <w:pPr>
        <w:adjustRightInd w:val="0"/>
        <w:snapToGrid w:val="0"/>
        <w:spacing w:line="600" w:lineRule="exact"/>
        <w:ind w:firstLine="720"/>
        <w:rPr>
          <w:rFonts w:hint="eastAsia" w:ascii="仿宋_GB2312" w:hAnsi="Times New Roman" w:eastAsia="仿宋_GB2312" w:cs="Times New Roman"/>
          <w:sz w:val="32"/>
          <w:szCs w:val="32"/>
          <w:lang w:val="zh-CN"/>
        </w:rPr>
      </w:pPr>
      <w:r>
        <w:rPr>
          <w:rFonts w:hint="eastAsia" w:ascii="仿宋_GB2312" w:hAnsi="Times New Roman" w:eastAsia="仿宋_GB2312" w:cs="Times New Roman"/>
          <w:sz w:val="32"/>
          <w:szCs w:val="32"/>
          <w:lang w:val="zh-CN" w:eastAsia="zh-CN"/>
        </w:rPr>
        <w:t>3.</w:t>
      </w:r>
      <w:r>
        <w:rPr>
          <w:rFonts w:hint="eastAsia" w:ascii="仿宋_GB2312" w:hAnsi="Times New Roman" w:eastAsia="仿宋_GB2312" w:cs="Times New Roman"/>
          <w:sz w:val="32"/>
          <w:szCs w:val="32"/>
          <w:lang w:val="zh-CN"/>
        </w:rPr>
        <w:t>资金使用。年度预算批复后，严格遵守财政资金拨付程序，项目资金支出及拨付符合相关财政支出管理规定。</w:t>
      </w:r>
    </w:p>
    <w:p w14:paraId="60711B78">
      <w:pPr>
        <w:adjustRightInd w:val="0"/>
        <w:snapToGrid w:val="0"/>
        <w:spacing w:line="578" w:lineRule="exact"/>
        <w:ind w:firstLine="720"/>
        <w:rPr>
          <w:rFonts w:ascii="楷体_GB2312" w:hAnsi="宋体" w:eastAsia="楷体_GB2312"/>
          <w:b/>
          <w:sz w:val="32"/>
          <w:szCs w:val="32"/>
          <w:lang w:val="zh-CN"/>
        </w:rPr>
      </w:pPr>
      <w:bookmarkStart w:id="119" w:name="_Toc14164"/>
      <w:r>
        <w:rPr>
          <w:rFonts w:hint="eastAsia" w:ascii="楷体_GB2312" w:hAnsi="宋体" w:eastAsia="楷体_GB2312"/>
          <w:b/>
          <w:sz w:val="32"/>
          <w:szCs w:val="32"/>
          <w:lang w:val="zh-CN"/>
        </w:rPr>
        <w:t>（三）项目财务管理情况。</w:t>
      </w:r>
      <w:bookmarkEnd w:id="119"/>
    </w:p>
    <w:p w14:paraId="06C617F6">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ascii="仿宋_GB2312" w:hAnsi="宋体"/>
          <w:lang w:val="zh-CN"/>
        </w:rPr>
      </w:pPr>
      <w:r>
        <w:rPr>
          <w:rFonts w:hint="eastAsia" w:ascii="Times New Roman" w:hAnsi="Times New Roman" w:eastAsia="仿宋_GB2312"/>
          <w:color w:val="auto"/>
          <w:kern w:val="0"/>
          <w:sz w:val="32"/>
          <w:szCs w:val="32"/>
        </w:rPr>
        <w:t>2022年</w:t>
      </w:r>
      <w:r>
        <w:rPr>
          <w:rFonts w:hint="eastAsia" w:ascii="Times New Roman" w:hAnsi="Times New Roman" w:eastAsia="仿宋_GB2312"/>
          <w:color w:val="auto"/>
          <w:kern w:val="0"/>
          <w:sz w:val="32"/>
          <w:szCs w:val="32"/>
          <w:lang w:val="en-US"/>
        </w:rPr>
        <w:t>政法转移支付（办案、装备）</w:t>
      </w:r>
      <w:r>
        <w:rPr>
          <w:rFonts w:hint="eastAsia" w:ascii="Times New Roman" w:hAnsi="Times New Roman" w:eastAsia="仿宋_GB2312"/>
          <w:color w:val="auto"/>
          <w:kern w:val="0"/>
          <w:sz w:val="32"/>
          <w:szCs w:val="32"/>
          <w:lang w:val="zh-CN"/>
        </w:rPr>
        <w:t>经费</w:t>
      </w:r>
      <w:r>
        <w:rPr>
          <w:rFonts w:hint="eastAsia" w:ascii="Times New Roman" w:hAnsi="Times New Roman" w:eastAsia="仿宋_GB2312"/>
          <w:color w:val="auto"/>
          <w:kern w:val="0"/>
          <w:sz w:val="32"/>
          <w:szCs w:val="32"/>
        </w:rPr>
        <w:t>转移支付资金采取授权支付形式，有</w:t>
      </w:r>
      <w:r>
        <w:rPr>
          <w:rFonts w:hint="eastAsia"/>
          <w:color w:val="auto"/>
          <w:kern w:val="0"/>
          <w:sz w:val="32"/>
          <w:szCs w:val="32"/>
          <w:lang w:eastAsia="zh-CN"/>
        </w:rPr>
        <w:t>财务室</w:t>
      </w:r>
      <w:r>
        <w:rPr>
          <w:rFonts w:hint="eastAsia" w:ascii="Times New Roman" w:hAnsi="Times New Roman" w:eastAsia="仿宋_GB2312"/>
          <w:color w:val="auto"/>
          <w:kern w:val="0"/>
          <w:sz w:val="32"/>
          <w:szCs w:val="32"/>
        </w:rPr>
        <w:t>年初拟定用款计划，分期严格按照项目资金管理办法对资金进行计划申请、划拨、使用，及时、规范对收支进行财务处理和会计核算。</w:t>
      </w:r>
    </w:p>
    <w:p w14:paraId="0CEB9A6C">
      <w:pPr>
        <w:adjustRightInd w:val="0"/>
        <w:snapToGrid w:val="0"/>
        <w:spacing w:line="578" w:lineRule="exact"/>
        <w:ind w:firstLine="720"/>
        <w:rPr>
          <w:rFonts w:ascii="黑体" w:hAnsi="宋体" w:eastAsia="黑体"/>
          <w:sz w:val="32"/>
          <w:szCs w:val="32"/>
        </w:rPr>
      </w:pPr>
      <w:bookmarkStart w:id="120" w:name="_Toc9533"/>
      <w:r>
        <w:rPr>
          <w:rFonts w:hint="eastAsia" w:ascii="黑体" w:hAnsi="宋体" w:eastAsia="黑体"/>
          <w:sz w:val="32"/>
          <w:szCs w:val="32"/>
        </w:rPr>
        <w:t>三、项目实施及管理情况</w:t>
      </w:r>
      <w:bookmarkEnd w:id="120"/>
    </w:p>
    <w:p w14:paraId="5D201826">
      <w:pPr>
        <w:adjustRightInd w:val="0"/>
        <w:snapToGrid w:val="0"/>
        <w:spacing w:line="578" w:lineRule="exact"/>
        <w:ind w:firstLine="720"/>
        <w:rPr>
          <w:rFonts w:hint="eastAsia" w:ascii="楷体_GB2312" w:hAnsi="宋体" w:eastAsia="楷体_GB2312"/>
          <w:b/>
          <w:sz w:val="32"/>
          <w:szCs w:val="32"/>
          <w:lang w:val="zh-CN"/>
        </w:rPr>
      </w:pPr>
      <w:bookmarkStart w:id="121" w:name="_Toc244"/>
      <w:r>
        <w:rPr>
          <w:rFonts w:hint="eastAsia" w:ascii="楷体_GB2312" w:hAnsi="宋体" w:eastAsia="楷体_GB2312"/>
          <w:b/>
          <w:sz w:val="32"/>
          <w:szCs w:val="32"/>
          <w:lang w:val="zh-CN"/>
        </w:rPr>
        <w:t>（一）项目组织架构及实施流程。</w:t>
      </w:r>
      <w:bookmarkEnd w:id="121"/>
    </w:p>
    <w:p w14:paraId="43A293EF">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 xml:space="preserve"> </w:t>
      </w:r>
      <w:r>
        <w:rPr>
          <w:rFonts w:hint="eastAsia" w:ascii="Times New Roman" w:hAnsi="Times New Roman" w:eastAsia="仿宋_GB2312" w:cs="Times New Roman"/>
          <w:color w:val="auto"/>
          <w:kern w:val="0"/>
          <w:sz w:val="32"/>
          <w:szCs w:val="32"/>
        </w:rPr>
        <w:t>1.根据预算项目批复，下达项目经费，预算单位进行项目实施计划。</w:t>
      </w:r>
    </w:p>
    <w:p w14:paraId="1F5EBA28">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ascii="Times New Roman" w:hAnsi="Times New Roman" w:eastAsia="仿宋_GB2312" w:cs="Times New Roman"/>
          <w:color w:val="auto"/>
          <w:kern w:val="0"/>
          <w:sz w:val="32"/>
          <w:szCs w:val="32"/>
          <w:lang w:val="zh-CN" w:eastAsia="zh-CN"/>
        </w:rPr>
      </w:pPr>
      <w:r>
        <w:rPr>
          <w:rFonts w:hint="eastAsia" w:ascii="Times New Roman" w:hAnsi="Times New Roman" w:eastAsia="仿宋_GB2312" w:cs="Times New Roman"/>
          <w:color w:val="auto"/>
          <w:kern w:val="0"/>
          <w:sz w:val="32"/>
          <w:szCs w:val="32"/>
          <w:lang w:val="en-US" w:eastAsia="zh-CN"/>
        </w:rPr>
        <w:t xml:space="preserve"> 2.</w:t>
      </w:r>
      <w:r>
        <w:rPr>
          <w:rFonts w:hint="default" w:ascii="Times New Roman" w:hAnsi="Times New Roman" w:eastAsia="仿宋_GB2312" w:cs="Times New Roman"/>
          <w:color w:val="auto"/>
          <w:kern w:val="0"/>
          <w:sz w:val="32"/>
          <w:szCs w:val="32"/>
        </w:rPr>
        <w:t>拨付时根据工作完成情况，报分管领导审核同意，呈报单位主要负责人审批同意后支付</w:t>
      </w:r>
      <w:r>
        <w:rPr>
          <w:rFonts w:hint="eastAsia" w:ascii="Times New Roman" w:hAnsi="Times New Roman" w:eastAsia="仿宋_GB2312" w:cs="Times New Roman"/>
          <w:color w:val="auto"/>
          <w:kern w:val="0"/>
          <w:sz w:val="32"/>
          <w:szCs w:val="32"/>
          <w:lang w:eastAsia="zh-CN"/>
        </w:rPr>
        <w:t>。</w:t>
      </w:r>
    </w:p>
    <w:p w14:paraId="7B1FD6FA">
      <w:pPr>
        <w:keepNext w:val="0"/>
        <w:keepLines w:val="0"/>
        <w:pageBreakBefore w:val="0"/>
        <w:widowControl w:val="0"/>
        <w:kinsoku/>
        <w:wordWrap/>
        <w:overflowPunct/>
        <w:topLinePunct w:val="0"/>
        <w:bidi w:val="0"/>
        <w:adjustRightInd w:val="0"/>
        <w:snapToGrid w:val="0"/>
        <w:spacing w:line="600" w:lineRule="exact"/>
        <w:ind w:firstLine="643" w:firstLineChars="200"/>
        <w:textAlignment w:val="auto"/>
        <w:rPr>
          <w:rFonts w:hint="eastAsia"/>
          <w:lang w:val="zh-CN"/>
        </w:rPr>
      </w:pPr>
      <w:bookmarkStart w:id="122" w:name="_Toc23145"/>
      <w:r>
        <w:rPr>
          <w:rFonts w:hint="eastAsia" w:ascii="楷体_GB2312" w:hAnsi="宋体" w:eastAsia="楷体_GB2312"/>
          <w:b/>
          <w:sz w:val="32"/>
          <w:szCs w:val="32"/>
          <w:lang w:val="zh-CN"/>
        </w:rPr>
        <w:t>（二）项目管理情况。</w:t>
      </w:r>
      <w:bookmarkEnd w:id="122"/>
    </w:p>
    <w:p w14:paraId="529883E1">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50" w:lineRule="atLeast"/>
        <w:ind w:right="0" w:rightChars="0" w:firstLine="640" w:firstLineChars="200"/>
        <w:textAlignment w:val="auto"/>
        <w:outlineLvl w:val="9"/>
        <w:rPr>
          <w:rFonts w:ascii="仿宋_GB2312" w:hAnsi="仿宋_GB2312" w:eastAsia="仿宋_GB2312" w:cs="仿宋_GB2312"/>
          <w:kern w:val="0"/>
          <w:sz w:val="32"/>
          <w:szCs w:val="32"/>
          <w:shd w:val="clear" w:color="auto" w:fill="FFFFFF"/>
          <w:lang w:val="zh-CN"/>
        </w:rPr>
      </w:pPr>
      <w:r>
        <w:rPr>
          <w:rFonts w:hint="eastAsia" w:ascii="仿宋_GB2312" w:hAnsi="宋体" w:eastAsia="仿宋_GB2312" w:cs="Times New Roman"/>
          <w:kern w:val="2"/>
          <w:sz w:val="32"/>
          <w:szCs w:val="32"/>
          <w:lang w:val="zh-CN" w:eastAsia="zh-CN" w:bidi="ar-SA"/>
        </w:rPr>
        <w:t>项目是区财政纳入年度预算，严格安照项目要求及财经法律法规等要求落实的</w:t>
      </w:r>
      <w:r>
        <w:rPr>
          <w:rFonts w:hint="eastAsia" w:ascii="仿宋_GB2312" w:hAnsi="宋体" w:eastAsia="仿宋_GB2312"/>
          <w:sz w:val="32"/>
          <w:szCs w:val="32"/>
          <w:lang w:val="zh-CN"/>
        </w:rPr>
        <w:t>。</w:t>
      </w:r>
    </w:p>
    <w:p w14:paraId="0378CC75">
      <w:pPr>
        <w:numPr>
          <w:ilvl w:val="0"/>
          <w:numId w:val="9"/>
        </w:numPr>
        <w:adjustRightInd w:val="0"/>
        <w:snapToGrid w:val="0"/>
        <w:spacing w:line="578" w:lineRule="exact"/>
        <w:ind w:left="0" w:leftChars="0" w:firstLine="643" w:firstLineChars="200"/>
        <w:rPr>
          <w:rFonts w:hint="eastAsia" w:ascii="楷体_GB2312" w:hAnsi="宋体" w:eastAsia="楷体_GB2312"/>
          <w:b/>
          <w:sz w:val="32"/>
          <w:szCs w:val="32"/>
          <w:lang w:val="zh-CN"/>
        </w:rPr>
      </w:pPr>
      <w:bookmarkStart w:id="123" w:name="_Toc12655"/>
      <w:r>
        <w:rPr>
          <w:rFonts w:hint="eastAsia" w:ascii="楷体_GB2312" w:hAnsi="宋体" w:eastAsia="楷体_GB2312"/>
          <w:b/>
          <w:sz w:val="32"/>
          <w:szCs w:val="32"/>
          <w:lang w:val="zh-CN"/>
        </w:rPr>
        <w:t>项目监管情况。</w:t>
      </w:r>
      <w:bookmarkEnd w:id="123"/>
    </w:p>
    <w:p w14:paraId="166550A2">
      <w:pPr>
        <w:adjustRightInd w:val="0"/>
        <w:snapToGrid w:val="0"/>
        <w:spacing w:line="600" w:lineRule="exact"/>
        <w:ind w:firstLine="720"/>
        <w:rPr>
          <w:lang w:val="zh-CN"/>
        </w:rPr>
      </w:pPr>
      <w:r>
        <w:rPr>
          <w:rFonts w:ascii="微软雅黑" w:hAnsi="微软雅黑" w:eastAsia="微软雅黑" w:cs="微软雅黑"/>
          <w:i w:val="0"/>
          <w:caps w:val="0"/>
          <w:color w:val="333333"/>
          <w:spacing w:val="0"/>
          <w:sz w:val="32"/>
          <w:szCs w:val="32"/>
          <w:shd w:val="clear" w:fill="FFFFFF"/>
        </w:rPr>
        <w:t> </w:t>
      </w:r>
      <w:r>
        <w:rPr>
          <w:rFonts w:hint="eastAsia" w:ascii="仿宋_GB2312" w:hAnsi="宋体" w:eastAsia="仿宋_GB2312" w:cs="Times New Roman"/>
          <w:kern w:val="2"/>
          <w:sz w:val="32"/>
          <w:szCs w:val="32"/>
          <w:lang w:val="zh-CN" w:eastAsia="zh-CN" w:bidi="ar-SA"/>
        </w:rPr>
        <w:t>项目完成情况每年都要向上级财政部门填写相关的绩效分析评价，并上报相关对口管理部门检查</w:t>
      </w:r>
      <w:r>
        <w:rPr>
          <w:rFonts w:hint="eastAsia" w:ascii="仿宋_GB2312" w:hAnsi="宋体" w:eastAsia="仿宋_GB2312"/>
          <w:sz w:val="32"/>
          <w:szCs w:val="32"/>
          <w:lang w:val="zh-CN"/>
        </w:rPr>
        <w:t>。</w:t>
      </w:r>
    </w:p>
    <w:p w14:paraId="4982DEE1">
      <w:pPr>
        <w:adjustRightInd w:val="0"/>
        <w:snapToGrid w:val="0"/>
        <w:spacing w:line="578" w:lineRule="exact"/>
        <w:ind w:firstLine="720"/>
        <w:rPr>
          <w:rFonts w:ascii="仿宋_GB2312" w:hAnsi="宋体"/>
          <w:sz w:val="32"/>
          <w:szCs w:val="32"/>
          <w:lang w:val="zh-CN"/>
        </w:rPr>
      </w:pPr>
      <w:bookmarkStart w:id="124" w:name="_Toc18075"/>
      <w:r>
        <w:rPr>
          <w:rFonts w:hint="eastAsia" w:ascii="黑体" w:hAnsi="宋体" w:eastAsia="黑体"/>
          <w:sz w:val="32"/>
          <w:szCs w:val="32"/>
        </w:rPr>
        <w:t>四、项目绩效情况</w:t>
      </w:r>
      <w:bookmarkEnd w:id="124"/>
      <w:r>
        <w:rPr>
          <w:rFonts w:hint="eastAsia" w:ascii="仿宋_GB2312" w:hAnsi="宋体"/>
          <w:sz w:val="32"/>
          <w:szCs w:val="32"/>
          <w:lang w:val="zh-CN"/>
        </w:rPr>
        <w:tab/>
      </w:r>
    </w:p>
    <w:p w14:paraId="1D1722E2">
      <w:pPr>
        <w:adjustRightInd w:val="0"/>
        <w:snapToGrid w:val="0"/>
        <w:spacing w:line="578" w:lineRule="exact"/>
        <w:ind w:firstLine="720"/>
        <w:rPr>
          <w:rFonts w:ascii="楷体_GB2312" w:hAnsi="宋体" w:eastAsia="楷体_GB2312"/>
          <w:b/>
          <w:sz w:val="32"/>
          <w:szCs w:val="32"/>
          <w:lang w:val="zh-CN"/>
        </w:rPr>
      </w:pPr>
      <w:bookmarkStart w:id="125" w:name="_Toc11024"/>
      <w:r>
        <w:rPr>
          <w:rFonts w:hint="eastAsia" w:ascii="楷体_GB2312" w:hAnsi="宋体" w:eastAsia="楷体_GB2312"/>
          <w:b/>
          <w:sz w:val="32"/>
          <w:szCs w:val="32"/>
          <w:lang w:val="zh-CN"/>
        </w:rPr>
        <w:t>（一）项目完成情况。</w:t>
      </w:r>
      <w:bookmarkEnd w:id="125"/>
    </w:p>
    <w:p w14:paraId="4DA8CC2A">
      <w:pPr>
        <w:adjustRightInd w:val="0"/>
        <w:snapToGrid w:val="0"/>
        <w:spacing w:line="600" w:lineRule="exact"/>
        <w:ind w:firstLine="720"/>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通过落实工作经费、配齐装备和发放补贴，激发社区矫正执法人员的工作热情，有力推动社区矫正工作开展；公共法律服务站（室）的稳步推进，标志着我区惠及全民的公共法律服务体系日益完善，为促进社会公平正义，维护社会和谐稳定，最大限度地实现“服务群众零距离、法治宣传零死角、矛盾纠纷零上访”奠定了坚实基础。</w:t>
      </w:r>
    </w:p>
    <w:p w14:paraId="458913FD">
      <w:pPr>
        <w:adjustRightInd w:val="0"/>
        <w:snapToGrid w:val="0"/>
        <w:spacing w:line="578" w:lineRule="exact"/>
        <w:ind w:firstLine="720"/>
        <w:rPr>
          <w:rFonts w:ascii="楷体_GB2312" w:hAnsi="宋体" w:eastAsia="楷体_GB2312"/>
          <w:b/>
          <w:sz w:val="32"/>
          <w:szCs w:val="32"/>
          <w:lang w:val="zh-CN"/>
        </w:rPr>
      </w:pPr>
      <w:bookmarkStart w:id="126" w:name="_Toc31156"/>
      <w:r>
        <w:rPr>
          <w:rFonts w:hint="eastAsia" w:ascii="楷体_GB2312" w:hAnsi="宋体" w:eastAsia="楷体_GB2312"/>
          <w:b/>
          <w:sz w:val="32"/>
          <w:szCs w:val="32"/>
          <w:lang w:val="zh-CN"/>
        </w:rPr>
        <w:t>（二）项目效益情况。</w:t>
      </w:r>
      <w:bookmarkEnd w:id="126"/>
    </w:p>
    <w:p w14:paraId="063F1D6D">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2022年，西区司法行政系统在区委区政府的正确领导和市司法局的精心指导下，坚持以习近平新时代中国特色社会主义思想为指导，认真贯彻落实上级各项决策部署，紧密结合司法行政工作职能，充分履职，积极作为、扎实工作，为推动全区经济社会和谐稳定发展作出了积极贡献。2022年，区司法局荣获四川省司法行政系统党史学习教育和队伍教育整顿工作先进集体、全市矛盾纠纷多元化解先进集体、省第十二次党代会信访维稳安保工作先进集体、2016</w:t>
      </w:r>
      <w:r>
        <w:rPr>
          <w:rFonts w:hint="eastAsia" w:ascii="仿宋_GB2312" w:hAnsi="仿宋_GB2312" w:eastAsia="仿宋_GB2312" w:cs="仿宋_GB2312"/>
          <w:sz w:val="32"/>
          <w:szCs w:val="32"/>
          <w:shd w:val="clear" w:color="auto" w:fill="FFFFFF"/>
        </w:rPr>
        <w:t>—2</w:t>
      </w:r>
      <w:r>
        <w:rPr>
          <w:rFonts w:ascii="Times New Roman" w:hAnsi="Times New Roman" w:eastAsia="仿宋_GB2312"/>
          <w:sz w:val="32"/>
          <w:szCs w:val="32"/>
          <w:shd w:val="clear" w:color="auto" w:fill="FFFFFF"/>
        </w:rPr>
        <w:t>020年攀枝花市法治宣传教育先进集体、攀枝花市西区2021年经济社会工作先进集体等多项殊荣。</w:t>
      </w:r>
    </w:p>
    <w:p w14:paraId="2472B150">
      <w:pPr>
        <w:adjustRightInd w:val="0"/>
        <w:snapToGrid w:val="0"/>
        <w:spacing w:line="578" w:lineRule="exact"/>
        <w:ind w:firstLine="720"/>
        <w:rPr>
          <w:rFonts w:ascii="黑体" w:hAnsi="宋体" w:eastAsia="黑体"/>
          <w:sz w:val="32"/>
          <w:szCs w:val="32"/>
        </w:rPr>
      </w:pPr>
      <w:bookmarkStart w:id="127" w:name="_Toc8685"/>
      <w:r>
        <w:rPr>
          <w:rFonts w:hint="eastAsia" w:ascii="黑体" w:hAnsi="宋体" w:eastAsia="黑体"/>
          <w:sz w:val="32"/>
          <w:szCs w:val="32"/>
        </w:rPr>
        <w:t>五、评价结论及建议</w:t>
      </w:r>
      <w:bookmarkEnd w:id="127"/>
    </w:p>
    <w:p w14:paraId="009A3DDC">
      <w:pPr>
        <w:adjustRightInd w:val="0"/>
        <w:snapToGrid w:val="0"/>
        <w:spacing w:line="578" w:lineRule="exact"/>
        <w:ind w:firstLine="720"/>
        <w:rPr>
          <w:rFonts w:ascii="楷体_GB2312" w:hAnsi="宋体" w:eastAsia="楷体_GB2312"/>
          <w:b/>
          <w:sz w:val="32"/>
          <w:szCs w:val="32"/>
          <w:lang w:val="zh-CN"/>
        </w:rPr>
      </w:pPr>
      <w:bookmarkStart w:id="128" w:name="_Toc5191"/>
      <w:r>
        <w:rPr>
          <w:rFonts w:hint="eastAsia" w:ascii="楷体_GB2312" w:hAnsi="宋体" w:eastAsia="楷体_GB2312"/>
          <w:b/>
          <w:sz w:val="32"/>
          <w:szCs w:val="32"/>
          <w:lang w:val="zh-CN"/>
        </w:rPr>
        <w:t>（一）评价结论。</w:t>
      </w:r>
      <w:bookmarkEnd w:id="128"/>
    </w:p>
    <w:p w14:paraId="25DA9324">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ascii="Times New Roman" w:hAnsi="Times New Roman" w:eastAsia="仿宋_GB2312" w:cs="Times New Roman"/>
          <w:sz w:val="32"/>
          <w:szCs w:val="32"/>
          <w:shd w:val="clear" w:color="auto" w:fill="FFFFFF"/>
        </w:rPr>
      </w:pPr>
      <w:r>
        <w:rPr>
          <w:rFonts w:hint="eastAsia" w:ascii="Times New Roman" w:hAnsi="Times New Roman" w:eastAsia="仿宋_GB2312" w:cs="Times New Roman"/>
          <w:sz w:val="32"/>
          <w:szCs w:val="32"/>
          <w:shd w:val="clear" w:color="auto" w:fill="FFFFFF"/>
          <w:lang w:eastAsia="zh-CN"/>
        </w:rPr>
        <w:t>西区司法局</w:t>
      </w:r>
      <w:r>
        <w:rPr>
          <w:rFonts w:ascii="Times New Roman" w:hAnsi="Times New Roman" w:eastAsia="仿宋_GB2312" w:cs="Times New Roman"/>
          <w:sz w:val="32"/>
          <w:szCs w:val="32"/>
          <w:shd w:val="clear" w:color="auto" w:fill="FFFFFF"/>
        </w:rPr>
        <w:t>绩效评价小组从项目立项、资金分配、预算执行、组织管理、财务管理、项目产出和项目效益等方面对</w:t>
      </w:r>
      <w:r>
        <w:rPr>
          <w:rFonts w:hint="eastAsia" w:ascii="Times New Roman" w:hAnsi="Times New Roman" w:eastAsia="仿宋_GB2312" w:cs="Times New Roman"/>
          <w:sz w:val="32"/>
          <w:szCs w:val="32"/>
          <w:shd w:val="clear" w:color="auto" w:fill="FFFFFF"/>
          <w:lang w:val="en-US"/>
        </w:rPr>
        <w:t>政法转移支付（办案、装备）</w:t>
      </w:r>
      <w:r>
        <w:rPr>
          <w:rFonts w:ascii="Times New Roman" w:hAnsi="Times New Roman" w:eastAsia="仿宋_GB2312" w:cs="Times New Roman"/>
          <w:sz w:val="32"/>
          <w:szCs w:val="32"/>
          <w:shd w:val="clear" w:color="auto" w:fill="FFFFFF"/>
        </w:rPr>
        <w:t>专项资金进行了综合评价，区司法局积极组织实施</w:t>
      </w:r>
      <w:r>
        <w:rPr>
          <w:rFonts w:hint="eastAsia" w:ascii="Times New Roman" w:hAnsi="Times New Roman" w:eastAsia="仿宋_GB2312" w:cs="Times New Roman"/>
          <w:sz w:val="32"/>
          <w:szCs w:val="32"/>
          <w:shd w:val="clear" w:color="auto" w:fill="FFFFFF"/>
          <w:lang w:val="en-US"/>
        </w:rPr>
        <w:t>政法转移支付（办案、装备）</w:t>
      </w:r>
      <w:r>
        <w:rPr>
          <w:rFonts w:ascii="Times New Roman" w:hAnsi="Times New Roman" w:eastAsia="仿宋_GB2312" w:cs="Times New Roman"/>
          <w:sz w:val="32"/>
          <w:szCs w:val="32"/>
          <w:shd w:val="clear" w:color="auto" w:fill="FFFFFF"/>
        </w:rPr>
        <w:t>专项资金，基本完成了</w:t>
      </w:r>
      <w:r>
        <w:rPr>
          <w:rFonts w:hint="eastAsia" w:ascii="Times New Roman" w:hAnsi="Times New Roman" w:cs="Times New Roman"/>
          <w:sz w:val="32"/>
          <w:szCs w:val="32"/>
          <w:shd w:val="clear" w:color="auto" w:fill="FFFFFF"/>
          <w:lang w:val="en-US" w:eastAsia="zh-CN"/>
        </w:rPr>
        <w:t>2022</w:t>
      </w:r>
      <w:r>
        <w:rPr>
          <w:rFonts w:ascii="Times New Roman" w:hAnsi="Times New Roman" w:eastAsia="仿宋_GB2312" w:cs="Times New Roman"/>
          <w:sz w:val="32"/>
          <w:szCs w:val="32"/>
          <w:shd w:val="clear" w:color="auto" w:fill="FFFFFF"/>
        </w:rPr>
        <w:t>年度的目标任务。</w:t>
      </w:r>
    </w:p>
    <w:p w14:paraId="3288765E">
      <w:pPr>
        <w:adjustRightInd w:val="0"/>
        <w:snapToGrid w:val="0"/>
        <w:spacing w:line="578" w:lineRule="exact"/>
        <w:ind w:firstLine="720"/>
        <w:rPr>
          <w:rFonts w:ascii="楷体_GB2312" w:hAnsi="宋体" w:eastAsia="楷体_GB2312"/>
          <w:b/>
          <w:sz w:val="32"/>
          <w:szCs w:val="32"/>
          <w:lang w:val="zh-CN"/>
        </w:rPr>
      </w:pPr>
      <w:bookmarkStart w:id="129" w:name="_Toc17879"/>
      <w:r>
        <w:rPr>
          <w:rFonts w:hint="eastAsia" w:ascii="楷体_GB2312" w:hAnsi="宋体" w:eastAsia="楷体_GB2312"/>
          <w:b/>
          <w:sz w:val="32"/>
          <w:szCs w:val="32"/>
          <w:lang w:val="zh-CN"/>
        </w:rPr>
        <w:t>（二）存在的问题。</w:t>
      </w:r>
      <w:bookmarkEnd w:id="129"/>
    </w:p>
    <w:p w14:paraId="7C12105E">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lang w:val="zh-CN"/>
        </w:rPr>
      </w:pPr>
      <w:r>
        <w:rPr>
          <w:rFonts w:hint="eastAsia" w:ascii="Times New Roman" w:hAnsi="Times New Roman" w:eastAsia="仿宋_GB2312" w:cs="Times New Roman"/>
          <w:sz w:val="32"/>
          <w:szCs w:val="32"/>
          <w:shd w:val="clear" w:color="auto" w:fill="FFFFFF"/>
        </w:rPr>
        <w:t>工作亮点</w:t>
      </w:r>
      <w:r>
        <w:rPr>
          <w:rFonts w:hint="eastAsia" w:ascii="Times New Roman" w:hAnsi="Times New Roman" w:cs="Times New Roman"/>
          <w:sz w:val="32"/>
          <w:szCs w:val="32"/>
          <w:shd w:val="clear" w:color="auto" w:fill="FFFFFF"/>
          <w:lang w:eastAsia="zh-CN"/>
        </w:rPr>
        <w:t>不足，下一步</w:t>
      </w:r>
      <w:r>
        <w:rPr>
          <w:rFonts w:hint="eastAsia" w:ascii="Times New Roman" w:hAnsi="Times New Roman" w:eastAsia="仿宋_GB2312" w:cs="Times New Roman"/>
          <w:sz w:val="32"/>
          <w:szCs w:val="32"/>
          <w:shd w:val="clear" w:color="auto" w:fill="FFFFFF"/>
        </w:rPr>
        <w:t>司法局扩大工作范围，增加工作亮点，更好地满足上级的要求、群众的期待。扎实推进法治政府的建设，加强规范性文件、重大行政决策的合法性审查，广泛深入开展法治体检、法律咨询，同时寻求工作创新，增强争优创先精神。</w:t>
      </w:r>
      <w:r>
        <w:rPr>
          <w:lang w:val="zh-CN"/>
        </w:rPr>
        <w:tab/>
      </w:r>
    </w:p>
    <w:p w14:paraId="225F25FB">
      <w:pPr>
        <w:adjustRightInd w:val="0"/>
        <w:snapToGrid w:val="0"/>
        <w:spacing w:line="578" w:lineRule="exact"/>
        <w:ind w:firstLine="720"/>
        <w:rPr>
          <w:rFonts w:ascii="楷体_GB2312" w:hAnsi="宋体" w:eastAsia="楷体_GB2312"/>
          <w:b/>
          <w:sz w:val="32"/>
          <w:szCs w:val="32"/>
          <w:lang w:val="zh-CN"/>
        </w:rPr>
      </w:pPr>
      <w:bookmarkStart w:id="130" w:name="_Toc31297"/>
      <w:r>
        <w:rPr>
          <w:rFonts w:hint="eastAsia" w:ascii="楷体_GB2312" w:hAnsi="宋体" w:eastAsia="楷体_GB2312"/>
          <w:b/>
          <w:sz w:val="32"/>
          <w:szCs w:val="32"/>
          <w:lang w:val="zh-CN"/>
        </w:rPr>
        <w:t>（三）相关建议。</w:t>
      </w:r>
      <w:bookmarkEnd w:id="130"/>
    </w:p>
    <w:p w14:paraId="05C68814">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shd w:val="clear" w:color="auto" w:fill="FFFFFF"/>
          <w:lang w:eastAsia="zh-CN"/>
        </w:rPr>
      </w:pPr>
      <w:r>
        <w:rPr>
          <w:rFonts w:hint="eastAsia" w:ascii="Times New Roman" w:hAnsi="Times New Roman" w:eastAsia="仿宋_GB2312" w:cs="Times New Roman"/>
          <w:sz w:val="32"/>
          <w:szCs w:val="32"/>
          <w:shd w:val="clear" w:color="auto" w:fill="FFFFFF"/>
          <w:lang w:eastAsia="zh-CN"/>
        </w:rPr>
        <w:t>无。</w:t>
      </w:r>
    </w:p>
    <w:p w14:paraId="15602516">
      <w:pPr>
        <w:spacing w:line="580" w:lineRule="exact"/>
        <w:rPr>
          <w:rStyle w:val="30"/>
          <w:rFonts w:ascii="黑体" w:hAnsi="黑体" w:eastAsia="黑体"/>
          <w:b w:val="0"/>
        </w:rPr>
      </w:pPr>
    </w:p>
    <w:p w14:paraId="5D7D186A">
      <w:pPr>
        <w:widowControl/>
        <w:jc w:val="left"/>
        <w:rPr>
          <w:rStyle w:val="30"/>
          <w:rFonts w:ascii="黑体" w:hAnsi="黑体" w:eastAsia="黑体"/>
          <w:b w:val="0"/>
        </w:rPr>
      </w:pPr>
      <w:r>
        <w:rPr>
          <w:rStyle w:val="30"/>
          <w:rFonts w:ascii="黑体" w:hAnsi="黑体" w:eastAsia="黑体"/>
          <w:b w:val="0"/>
        </w:rPr>
        <w:br w:type="page"/>
      </w:r>
    </w:p>
    <w:p w14:paraId="4F697A4B">
      <w:pPr>
        <w:spacing w:line="600" w:lineRule="exact"/>
        <w:jc w:val="center"/>
        <w:outlineLvl w:val="0"/>
        <w:rPr>
          <w:rFonts w:ascii="仿宋" w:hAnsi="仿宋" w:eastAsia="仿宋"/>
        </w:rPr>
      </w:pPr>
      <w:bookmarkStart w:id="131" w:name="_Toc6367"/>
      <w:bookmarkStart w:id="132" w:name="_Toc15396618"/>
      <w:r>
        <w:rPr>
          <w:rFonts w:hint="eastAsia" w:ascii="黑体" w:hAnsi="黑体" w:eastAsia="黑体"/>
          <w:sz w:val="44"/>
          <w:szCs w:val="44"/>
        </w:rPr>
        <w:t>第</w:t>
      </w:r>
      <w:r>
        <w:rPr>
          <w:rStyle w:val="30"/>
          <w:rFonts w:hint="eastAsia" w:ascii="黑体" w:hAnsi="黑体" w:eastAsia="黑体"/>
          <w:b w:val="0"/>
        </w:rPr>
        <w:t>五部分 附表</w:t>
      </w:r>
      <w:bookmarkEnd w:id="80"/>
      <w:bookmarkEnd w:id="131"/>
      <w:bookmarkEnd w:id="132"/>
      <w:bookmarkStart w:id="133" w:name="_Toc15396619"/>
    </w:p>
    <w:p w14:paraId="6488218D">
      <w:pPr>
        <w:pStyle w:val="4"/>
        <w:rPr>
          <w:rFonts w:ascii="仿宋" w:hAnsi="仿宋" w:eastAsia="仿宋"/>
        </w:rPr>
      </w:pPr>
      <w:bookmarkStart w:id="134" w:name="_Toc995"/>
      <w:r>
        <w:rPr>
          <w:rFonts w:hint="eastAsia" w:ascii="仿宋" w:hAnsi="仿宋" w:eastAsia="仿宋"/>
          <w:b w:val="0"/>
        </w:rPr>
        <w:t>一、收</w:t>
      </w:r>
      <w:r>
        <w:rPr>
          <w:rStyle w:val="31"/>
          <w:rFonts w:hint="eastAsia" w:ascii="仿宋" w:hAnsi="仿宋" w:eastAsia="仿宋"/>
          <w:b w:val="0"/>
          <w:bCs w:val="0"/>
        </w:rPr>
        <w:t>入支出决算总表</w:t>
      </w:r>
      <w:bookmarkEnd w:id="133"/>
      <w:bookmarkEnd w:id="134"/>
    </w:p>
    <w:p w14:paraId="7E589EC3">
      <w:pPr>
        <w:pStyle w:val="4"/>
        <w:rPr>
          <w:rFonts w:ascii="仿宋" w:hAnsi="仿宋" w:eastAsia="仿宋"/>
        </w:rPr>
      </w:pPr>
      <w:bookmarkStart w:id="135" w:name="_Toc16113"/>
      <w:bookmarkStart w:id="136" w:name="_Toc15396620"/>
      <w:r>
        <w:rPr>
          <w:rFonts w:hint="eastAsia" w:ascii="仿宋" w:hAnsi="仿宋" w:eastAsia="仿宋"/>
          <w:b w:val="0"/>
        </w:rPr>
        <w:t>二、收</w:t>
      </w:r>
      <w:r>
        <w:rPr>
          <w:rStyle w:val="31"/>
          <w:rFonts w:hint="eastAsia" w:ascii="仿宋" w:hAnsi="仿宋" w:eastAsia="仿宋"/>
          <w:b w:val="0"/>
          <w:bCs w:val="0"/>
        </w:rPr>
        <w:t>入决算表</w:t>
      </w:r>
      <w:bookmarkEnd w:id="135"/>
      <w:bookmarkEnd w:id="136"/>
    </w:p>
    <w:p w14:paraId="3F826FE8">
      <w:pPr>
        <w:pStyle w:val="4"/>
        <w:rPr>
          <w:rFonts w:ascii="仿宋" w:hAnsi="仿宋" w:eastAsia="仿宋"/>
        </w:rPr>
      </w:pPr>
      <w:bookmarkStart w:id="137" w:name="_Toc26472"/>
      <w:bookmarkStart w:id="138" w:name="_Toc15396621"/>
      <w:r>
        <w:rPr>
          <w:rStyle w:val="31"/>
          <w:rFonts w:hint="eastAsia" w:ascii="仿宋" w:hAnsi="仿宋" w:eastAsia="仿宋"/>
          <w:b w:val="0"/>
          <w:bCs w:val="0"/>
        </w:rPr>
        <w:t>三、</w:t>
      </w:r>
      <w:r>
        <w:rPr>
          <w:rFonts w:hint="eastAsia" w:ascii="仿宋" w:hAnsi="仿宋" w:eastAsia="仿宋"/>
          <w:b w:val="0"/>
        </w:rPr>
        <w:t>支</w:t>
      </w:r>
      <w:r>
        <w:rPr>
          <w:rStyle w:val="31"/>
          <w:rFonts w:hint="eastAsia" w:ascii="仿宋" w:hAnsi="仿宋" w:eastAsia="仿宋"/>
          <w:b w:val="0"/>
          <w:bCs w:val="0"/>
        </w:rPr>
        <w:t>出决算表</w:t>
      </w:r>
      <w:bookmarkEnd w:id="137"/>
      <w:bookmarkEnd w:id="138"/>
    </w:p>
    <w:p w14:paraId="1FF16636">
      <w:pPr>
        <w:pStyle w:val="4"/>
        <w:rPr>
          <w:rFonts w:ascii="仿宋" w:hAnsi="仿宋" w:eastAsia="仿宋"/>
          <w:b w:val="0"/>
        </w:rPr>
      </w:pPr>
      <w:bookmarkStart w:id="139" w:name="_Toc14162"/>
      <w:bookmarkStart w:id="140" w:name="_Toc15396622"/>
      <w:r>
        <w:rPr>
          <w:rStyle w:val="31"/>
          <w:rFonts w:hint="eastAsia" w:ascii="仿宋" w:hAnsi="仿宋" w:eastAsia="仿宋"/>
          <w:b w:val="0"/>
          <w:bCs w:val="0"/>
        </w:rPr>
        <w:t>四、</w:t>
      </w:r>
      <w:r>
        <w:rPr>
          <w:rFonts w:hint="eastAsia" w:ascii="仿宋" w:hAnsi="仿宋" w:eastAsia="仿宋"/>
          <w:b w:val="0"/>
        </w:rPr>
        <w:t>财</w:t>
      </w:r>
      <w:r>
        <w:rPr>
          <w:rStyle w:val="31"/>
          <w:rFonts w:hint="eastAsia" w:ascii="仿宋" w:hAnsi="仿宋" w:eastAsia="仿宋"/>
          <w:b w:val="0"/>
          <w:bCs w:val="0"/>
        </w:rPr>
        <w:t>政拨款收入支出决算总表</w:t>
      </w:r>
      <w:bookmarkEnd w:id="139"/>
      <w:bookmarkEnd w:id="140"/>
    </w:p>
    <w:p w14:paraId="3C4BD530">
      <w:pPr>
        <w:pStyle w:val="4"/>
        <w:rPr>
          <w:rStyle w:val="31"/>
          <w:rFonts w:ascii="仿宋" w:hAnsi="仿宋" w:eastAsia="仿宋"/>
          <w:b w:val="0"/>
          <w:bCs w:val="0"/>
        </w:rPr>
      </w:pPr>
      <w:bookmarkStart w:id="141" w:name="_Toc10514"/>
      <w:bookmarkStart w:id="142" w:name="_Toc15396623"/>
      <w:r>
        <w:rPr>
          <w:rStyle w:val="31"/>
          <w:rFonts w:hint="eastAsia" w:ascii="仿宋" w:hAnsi="仿宋" w:eastAsia="仿宋"/>
          <w:b w:val="0"/>
          <w:bCs w:val="0"/>
        </w:rPr>
        <w:t>五、</w:t>
      </w:r>
      <w:r>
        <w:rPr>
          <w:rFonts w:hint="eastAsia" w:ascii="仿宋" w:hAnsi="仿宋" w:eastAsia="仿宋"/>
          <w:b w:val="0"/>
        </w:rPr>
        <w:t>财</w:t>
      </w:r>
      <w:r>
        <w:rPr>
          <w:rStyle w:val="31"/>
          <w:rFonts w:hint="eastAsia" w:ascii="仿宋" w:hAnsi="仿宋" w:eastAsia="仿宋"/>
          <w:b w:val="0"/>
          <w:bCs w:val="0"/>
        </w:rPr>
        <w:t>政拨款支出决算明细表</w:t>
      </w:r>
      <w:bookmarkEnd w:id="141"/>
      <w:bookmarkEnd w:id="142"/>
      <w:bookmarkStart w:id="143" w:name="_Toc15396624"/>
    </w:p>
    <w:p w14:paraId="1BC95EAE">
      <w:pPr>
        <w:pStyle w:val="4"/>
        <w:rPr>
          <w:rFonts w:ascii="仿宋" w:hAnsi="仿宋" w:eastAsia="仿宋"/>
        </w:rPr>
      </w:pPr>
      <w:bookmarkStart w:id="144" w:name="_Toc14088"/>
      <w:r>
        <w:rPr>
          <w:rStyle w:val="31"/>
          <w:rFonts w:hint="eastAsia" w:ascii="仿宋" w:hAnsi="仿宋" w:eastAsia="仿宋"/>
          <w:b w:val="0"/>
          <w:bCs w:val="0"/>
        </w:rPr>
        <w:t>六、</w:t>
      </w:r>
      <w:r>
        <w:rPr>
          <w:rFonts w:hint="eastAsia" w:ascii="仿宋" w:hAnsi="仿宋" w:eastAsia="仿宋"/>
          <w:b w:val="0"/>
        </w:rPr>
        <w:t>一</w:t>
      </w:r>
      <w:r>
        <w:rPr>
          <w:rStyle w:val="31"/>
          <w:rFonts w:hint="eastAsia" w:ascii="仿宋" w:hAnsi="仿宋" w:eastAsia="仿宋"/>
          <w:b w:val="0"/>
          <w:bCs w:val="0"/>
        </w:rPr>
        <w:t>般公共预算财政拨款支出决算表</w:t>
      </w:r>
      <w:bookmarkEnd w:id="143"/>
      <w:bookmarkEnd w:id="144"/>
    </w:p>
    <w:p w14:paraId="37FCE55B">
      <w:pPr>
        <w:pStyle w:val="4"/>
        <w:rPr>
          <w:rFonts w:ascii="仿宋" w:hAnsi="仿宋" w:eastAsia="仿宋"/>
        </w:rPr>
      </w:pPr>
      <w:bookmarkStart w:id="145" w:name="_Toc15396625"/>
      <w:bookmarkStart w:id="146" w:name="_Toc3190"/>
      <w:r>
        <w:rPr>
          <w:rStyle w:val="31"/>
          <w:rFonts w:hint="eastAsia" w:ascii="仿宋" w:hAnsi="仿宋" w:eastAsia="仿宋"/>
          <w:b w:val="0"/>
          <w:bCs w:val="0"/>
        </w:rPr>
        <w:t>七、</w:t>
      </w:r>
      <w:r>
        <w:rPr>
          <w:rFonts w:hint="eastAsia" w:ascii="仿宋" w:hAnsi="仿宋" w:eastAsia="仿宋"/>
          <w:b w:val="0"/>
        </w:rPr>
        <w:t>一</w:t>
      </w:r>
      <w:r>
        <w:rPr>
          <w:rStyle w:val="31"/>
          <w:rFonts w:hint="eastAsia" w:ascii="仿宋" w:hAnsi="仿宋" w:eastAsia="仿宋"/>
          <w:b w:val="0"/>
          <w:bCs w:val="0"/>
        </w:rPr>
        <w:t>般公共预算财政拨款支出决算明细表</w:t>
      </w:r>
      <w:bookmarkEnd w:id="145"/>
      <w:bookmarkEnd w:id="146"/>
    </w:p>
    <w:p w14:paraId="19E954A3">
      <w:pPr>
        <w:pStyle w:val="4"/>
        <w:rPr>
          <w:rFonts w:ascii="仿宋" w:hAnsi="仿宋" w:eastAsia="仿宋"/>
        </w:rPr>
      </w:pPr>
      <w:bookmarkStart w:id="147" w:name="_Toc15396626"/>
      <w:bookmarkStart w:id="148" w:name="_Toc21355"/>
      <w:r>
        <w:rPr>
          <w:rStyle w:val="31"/>
          <w:rFonts w:hint="eastAsia" w:ascii="仿宋" w:hAnsi="仿宋" w:eastAsia="仿宋"/>
          <w:b w:val="0"/>
          <w:bCs w:val="0"/>
        </w:rPr>
        <w:t>八、</w:t>
      </w:r>
      <w:r>
        <w:rPr>
          <w:rFonts w:hint="eastAsia" w:ascii="仿宋" w:hAnsi="仿宋" w:eastAsia="仿宋"/>
          <w:b w:val="0"/>
        </w:rPr>
        <w:t>一</w:t>
      </w:r>
      <w:r>
        <w:rPr>
          <w:rStyle w:val="31"/>
          <w:rFonts w:hint="eastAsia" w:ascii="仿宋" w:hAnsi="仿宋" w:eastAsia="仿宋"/>
          <w:b w:val="0"/>
          <w:bCs w:val="0"/>
        </w:rPr>
        <w:t>般公共预算财政拨款基本支出决算表</w:t>
      </w:r>
      <w:bookmarkEnd w:id="147"/>
      <w:bookmarkEnd w:id="148"/>
    </w:p>
    <w:p w14:paraId="39D4BBAD">
      <w:pPr>
        <w:pStyle w:val="4"/>
        <w:rPr>
          <w:rFonts w:ascii="仿宋" w:hAnsi="仿宋" w:eastAsia="仿宋"/>
        </w:rPr>
      </w:pPr>
      <w:bookmarkStart w:id="149" w:name="_Toc6456"/>
      <w:bookmarkStart w:id="150" w:name="_Toc15396627"/>
      <w:r>
        <w:rPr>
          <w:rStyle w:val="31"/>
          <w:rFonts w:hint="eastAsia" w:ascii="仿宋" w:hAnsi="仿宋" w:eastAsia="仿宋"/>
          <w:b w:val="0"/>
          <w:bCs w:val="0"/>
        </w:rPr>
        <w:t>九、</w:t>
      </w:r>
      <w:r>
        <w:rPr>
          <w:rFonts w:hint="eastAsia" w:ascii="仿宋" w:hAnsi="仿宋" w:eastAsia="仿宋"/>
          <w:b w:val="0"/>
        </w:rPr>
        <w:t>一</w:t>
      </w:r>
      <w:r>
        <w:rPr>
          <w:rStyle w:val="31"/>
          <w:rFonts w:hint="eastAsia" w:ascii="仿宋" w:hAnsi="仿宋" w:eastAsia="仿宋"/>
          <w:b w:val="0"/>
          <w:bCs w:val="0"/>
        </w:rPr>
        <w:t>般公共预算财政拨款项目支出决算表</w:t>
      </w:r>
      <w:bookmarkEnd w:id="149"/>
      <w:bookmarkEnd w:id="150"/>
    </w:p>
    <w:p w14:paraId="3F71719F">
      <w:pPr>
        <w:pStyle w:val="4"/>
        <w:rPr>
          <w:rFonts w:ascii="仿宋" w:hAnsi="仿宋" w:eastAsia="仿宋"/>
        </w:rPr>
      </w:pPr>
      <w:bookmarkStart w:id="151" w:name="_Toc15396628"/>
      <w:bookmarkStart w:id="152" w:name="_Toc26238"/>
      <w:r>
        <w:rPr>
          <w:rStyle w:val="31"/>
          <w:rFonts w:hint="eastAsia" w:ascii="仿宋" w:hAnsi="仿宋" w:eastAsia="仿宋"/>
          <w:b w:val="0"/>
          <w:bCs w:val="0"/>
        </w:rPr>
        <w:t>十、</w:t>
      </w:r>
      <w:bookmarkEnd w:id="151"/>
      <w:r>
        <w:rPr>
          <w:rFonts w:hint="eastAsia" w:ascii="仿宋" w:hAnsi="仿宋" w:eastAsia="仿宋"/>
          <w:b w:val="0"/>
        </w:rPr>
        <w:t>政</w:t>
      </w:r>
      <w:r>
        <w:rPr>
          <w:rStyle w:val="31"/>
          <w:rFonts w:hint="eastAsia" w:ascii="仿宋" w:hAnsi="仿宋" w:eastAsia="仿宋"/>
          <w:b w:val="0"/>
          <w:bCs w:val="0"/>
        </w:rPr>
        <w:t>府性基金预算财政拨款收入支出决算表</w:t>
      </w:r>
      <w:bookmarkEnd w:id="152"/>
    </w:p>
    <w:p w14:paraId="5876D393">
      <w:pPr>
        <w:pStyle w:val="4"/>
        <w:rPr>
          <w:rFonts w:ascii="仿宋" w:hAnsi="仿宋" w:eastAsia="仿宋"/>
        </w:rPr>
      </w:pPr>
      <w:bookmarkStart w:id="153" w:name="_Toc15396629"/>
      <w:bookmarkStart w:id="154" w:name="_Toc5785"/>
      <w:r>
        <w:rPr>
          <w:rStyle w:val="31"/>
          <w:rFonts w:hint="eastAsia" w:ascii="仿宋" w:hAnsi="仿宋" w:eastAsia="仿宋"/>
          <w:b w:val="0"/>
          <w:bCs w:val="0"/>
        </w:rPr>
        <w:t>十一、</w:t>
      </w:r>
      <w:bookmarkEnd w:id="153"/>
      <w:r>
        <w:rPr>
          <w:rFonts w:hint="eastAsia" w:ascii="仿宋" w:hAnsi="仿宋" w:eastAsia="仿宋"/>
          <w:b w:val="0"/>
        </w:rPr>
        <w:t>国</w:t>
      </w:r>
      <w:r>
        <w:rPr>
          <w:rStyle w:val="31"/>
          <w:rFonts w:hint="eastAsia" w:ascii="仿宋" w:hAnsi="仿宋" w:eastAsia="仿宋"/>
          <w:b w:val="0"/>
          <w:bCs w:val="0"/>
        </w:rPr>
        <w:t>有资本经营预算财政拨款收入支出决算表</w:t>
      </w:r>
      <w:bookmarkEnd w:id="154"/>
    </w:p>
    <w:p w14:paraId="0236FC3D">
      <w:pPr>
        <w:pStyle w:val="4"/>
        <w:rPr>
          <w:rFonts w:ascii="仿宋" w:hAnsi="仿宋" w:eastAsia="仿宋"/>
        </w:rPr>
      </w:pPr>
      <w:bookmarkStart w:id="155" w:name="_Toc15396630"/>
      <w:bookmarkStart w:id="156" w:name="_Toc8887"/>
      <w:r>
        <w:rPr>
          <w:rStyle w:val="31"/>
          <w:rFonts w:hint="eastAsia" w:ascii="仿宋" w:hAnsi="仿宋" w:eastAsia="仿宋"/>
          <w:b w:val="0"/>
          <w:bCs w:val="0"/>
        </w:rPr>
        <w:t>十二、</w:t>
      </w:r>
      <w:bookmarkEnd w:id="155"/>
      <w:r>
        <w:rPr>
          <w:rStyle w:val="31"/>
          <w:rFonts w:hint="eastAsia" w:ascii="仿宋" w:hAnsi="仿宋" w:eastAsia="仿宋"/>
          <w:b w:val="0"/>
          <w:bCs w:val="0"/>
        </w:rPr>
        <w:t>国有资本经营预算财政拨款支出决算表</w:t>
      </w:r>
      <w:bookmarkEnd w:id="156"/>
    </w:p>
    <w:p w14:paraId="2E41FE97">
      <w:pPr>
        <w:pStyle w:val="4"/>
        <w:rPr>
          <w:rFonts w:eastAsia="仿宋"/>
        </w:rPr>
      </w:pPr>
      <w:bookmarkStart w:id="157" w:name="_Toc15396631"/>
      <w:bookmarkStart w:id="158" w:name="_Toc15490"/>
      <w:r>
        <w:rPr>
          <w:rStyle w:val="31"/>
          <w:rFonts w:hint="eastAsia" w:ascii="仿宋" w:hAnsi="仿宋" w:eastAsia="仿宋"/>
          <w:b w:val="0"/>
          <w:bCs w:val="0"/>
        </w:rPr>
        <w:t>十三、</w:t>
      </w:r>
      <w:bookmarkEnd w:id="157"/>
      <w:r>
        <w:rPr>
          <w:rStyle w:val="31"/>
          <w:rFonts w:hint="eastAsia" w:ascii="仿宋" w:hAnsi="仿宋" w:eastAsia="仿宋"/>
          <w:b w:val="0"/>
          <w:bCs w:val="0"/>
        </w:rPr>
        <w:t>财政拨款“三公”经费支出决算表</w:t>
      </w:r>
      <w:bookmarkEnd w:id="158"/>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Liberation Serif">
    <w:panose1 w:val="02020603050405020304"/>
    <w:charset w:val="00"/>
    <w:family w:val="auto"/>
    <w:pitch w:val="default"/>
    <w:sig w:usb0="A00002AF" w:usb1="500078FB" w:usb2="00000000" w:usb3="00000000" w:csb0="6000009F" w:csb1="DFD7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80AB2E3">
        <w:pPr>
          <w:pStyle w:val="10"/>
          <w:jc w:val="center"/>
        </w:pPr>
        <w:r>
          <w:fldChar w:fldCharType="begin"/>
        </w:r>
        <w:r>
          <w:instrText xml:space="preserve">PAGE   \* MERGEFORMAT</w:instrText>
        </w:r>
        <w:r>
          <w:fldChar w:fldCharType="separate"/>
        </w:r>
        <w:r>
          <w:rPr>
            <w:lang w:val="zh-CN"/>
          </w:rPr>
          <w:t>17</w:t>
        </w:r>
        <w:r>
          <w:fldChar w:fldCharType="end"/>
        </w:r>
      </w:p>
    </w:sdtContent>
  </w:sdt>
  <w:p w14:paraId="1DC264D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F490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84B840"/>
    <w:multiLevelType w:val="singleLevel"/>
    <w:tmpl w:val="BA84B840"/>
    <w:lvl w:ilvl="0" w:tentative="0">
      <w:start w:val="1"/>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D0C40E20"/>
    <w:multiLevelType w:val="singleLevel"/>
    <w:tmpl w:val="D0C40E20"/>
    <w:lvl w:ilvl="0" w:tentative="0">
      <w:start w:val="2"/>
      <w:numFmt w:val="chineseCounting"/>
      <w:suff w:val="nothing"/>
      <w:lvlText w:val="（%1）"/>
      <w:lvlJc w:val="left"/>
      <w:rPr>
        <w:rFonts w:hint="eastAsia"/>
      </w:rPr>
    </w:lvl>
  </w:abstractNum>
  <w:abstractNum w:abstractNumId="3">
    <w:nsid w:val="DEBEF323"/>
    <w:multiLevelType w:val="singleLevel"/>
    <w:tmpl w:val="DEBEF323"/>
    <w:lvl w:ilvl="0" w:tentative="0">
      <w:start w:val="4"/>
      <w:numFmt w:val="chineseCounting"/>
      <w:suff w:val="nothing"/>
      <w:lvlText w:val="（%1）"/>
      <w:lvlJc w:val="left"/>
      <w:rPr>
        <w:rFonts w:hint="eastAsia"/>
      </w:rPr>
    </w:lvl>
  </w:abstractNum>
  <w:abstractNum w:abstractNumId="4">
    <w:nsid w:val="E2FA047D"/>
    <w:multiLevelType w:val="singleLevel"/>
    <w:tmpl w:val="E2FA047D"/>
    <w:lvl w:ilvl="0" w:tentative="0">
      <w:start w:val="3"/>
      <w:numFmt w:val="chineseCounting"/>
      <w:suff w:val="space"/>
      <w:lvlText w:val="第%1部分"/>
      <w:lvlJc w:val="left"/>
      <w:rPr>
        <w:rFonts w:hint="eastAsia"/>
      </w:rPr>
    </w:lvl>
  </w:abstractNum>
  <w:abstractNum w:abstractNumId="5">
    <w:nsid w:val="FFF674BC"/>
    <w:multiLevelType w:val="singleLevel"/>
    <w:tmpl w:val="FFF674BC"/>
    <w:lvl w:ilvl="0" w:tentative="0">
      <w:start w:val="1"/>
      <w:numFmt w:val="chineseCounting"/>
      <w:suff w:val="nothing"/>
      <w:lvlText w:val="%1、"/>
      <w:lvlJc w:val="left"/>
      <w:rPr>
        <w:rFonts w:hint="eastAsia"/>
      </w:rPr>
    </w:lvl>
  </w:abstractNum>
  <w:abstractNum w:abstractNumId="6">
    <w:nsid w:val="0FD16D87"/>
    <w:multiLevelType w:val="multilevel"/>
    <w:tmpl w:val="0FD16D87"/>
    <w:lvl w:ilvl="0" w:tentative="0">
      <w:start w:val="1"/>
      <w:numFmt w:val="japaneseCounting"/>
      <w:lvlText w:val="%1、"/>
      <w:lvlJc w:val="left"/>
      <w:pPr>
        <w:ind w:left="630" w:hanging="6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6"/>
  </w:num>
  <w:num w:numId="2">
    <w:abstractNumId w:val="8"/>
  </w:num>
  <w:num w:numId="3">
    <w:abstractNumId w:val="7"/>
  </w:num>
  <w:num w:numId="4">
    <w:abstractNumId w:val="1"/>
  </w:num>
  <w:num w:numId="5">
    <w:abstractNumId w:val="4"/>
  </w:num>
  <w:num w:numId="6">
    <w:abstractNumId w:val="5"/>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2ZWExMDIwMTAyNTlkY2I3MDQ0MGE2NzkwYzQ5NG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46E63"/>
    <w:rsid w:val="0046709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25E15"/>
    <w:rsid w:val="005664BB"/>
    <w:rsid w:val="00566FFA"/>
    <w:rsid w:val="0057481D"/>
    <w:rsid w:val="0058486E"/>
    <w:rsid w:val="00585B33"/>
    <w:rsid w:val="0059014D"/>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F0A5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575"/>
    <w:rsid w:val="00C533CC"/>
    <w:rsid w:val="00C5751C"/>
    <w:rsid w:val="00C61BFC"/>
    <w:rsid w:val="00C62B85"/>
    <w:rsid w:val="00C65438"/>
    <w:rsid w:val="00C87FD8"/>
    <w:rsid w:val="00C91381"/>
    <w:rsid w:val="00C91CBB"/>
    <w:rsid w:val="00CB4E70"/>
    <w:rsid w:val="00CC09B6"/>
    <w:rsid w:val="00CC666F"/>
    <w:rsid w:val="00CC6BAC"/>
    <w:rsid w:val="00CD1E3F"/>
    <w:rsid w:val="00CE44F6"/>
    <w:rsid w:val="00CE49DA"/>
    <w:rsid w:val="00CE7B61"/>
    <w:rsid w:val="00D00095"/>
    <w:rsid w:val="00D114F0"/>
    <w:rsid w:val="00D20620"/>
    <w:rsid w:val="00D254F7"/>
    <w:rsid w:val="00D26091"/>
    <w:rsid w:val="00D2685C"/>
    <w:rsid w:val="00D34E7C"/>
    <w:rsid w:val="00D34F17"/>
    <w:rsid w:val="00D35489"/>
    <w:rsid w:val="00D36AFE"/>
    <w:rsid w:val="00D51276"/>
    <w:rsid w:val="00D7035F"/>
    <w:rsid w:val="00DA634F"/>
    <w:rsid w:val="00DA65AC"/>
    <w:rsid w:val="00DB1913"/>
    <w:rsid w:val="00DC410D"/>
    <w:rsid w:val="00DC4B63"/>
    <w:rsid w:val="00DC5A81"/>
    <w:rsid w:val="00DC68CA"/>
    <w:rsid w:val="00DC7CBA"/>
    <w:rsid w:val="00DD73B7"/>
    <w:rsid w:val="00DF06E2"/>
    <w:rsid w:val="00DF28BC"/>
    <w:rsid w:val="00DF34B9"/>
    <w:rsid w:val="00E01053"/>
    <w:rsid w:val="00E07ACF"/>
    <w:rsid w:val="00E22135"/>
    <w:rsid w:val="00E331A1"/>
    <w:rsid w:val="00E33202"/>
    <w:rsid w:val="00E336A9"/>
    <w:rsid w:val="00E472B1"/>
    <w:rsid w:val="00E50624"/>
    <w:rsid w:val="00E5285B"/>
    <w:rsid w:val="00E568DF"/>
    <w:rsid w:val="00E64269"/>
    <w:rsid w:val="00E82267"/>
    <w:rsid w:val="00E853CE"/>
    <w:rsid w:val="00E867B6"/>
    <w:rsid w:val="00EA010F"/>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5B2E81"/>
    <w:rsid w:val="02143E91"/>
    <w:rsid w:val="066E0107"/>
    <w:rsid w:val="07996F6E"/>
    <w:rsid w:val="09697BA9"/>
    <w:rsid w:val="0A2032A3"/>
    <w:rsid w:val="0F98263C"/>
    <w:rsid w:val="101860EC"/>
    <w:rsid w:val="10C055FF"/>
    <w:rsid w:val="118107EC"/>
    <w:rsid w:val="13D50BC4"/>
    <w:rsid w:val="16BB723D"/>
    <w:rsid w:val="1BE8440E"/>
    <w:rsid w:val="1D155CEE"/>
    <w:rsid w:val="1E230C34"/>
    <w:rsid w:val="1EC7098C"/>
    <w:rsid w:val="1FF35744"/>
    <w:rsid w:val="237F4127"/>
    <w:rsid w:val="23860B96"/>
    <w:rsid w:val="240371BF"/>
    <w:rsid w:val="29FD04D3"/>
    <w:rsid w:val="2C8A61B5"/>
    <w:rsid w:val="2DF04E50"/>
    <w:rsid w:val="2F040D46"/>
    <w:rsid w:val="319F7F4E"/>
    <w:rsid w:val="3304709D"/>
    <w:rsid w:val="36AA5135"/>
    <w:rsid w:val="376D39B2"/>
    <w:rsid w:val="37E16F03"/>
    <w:rsid w:val="38D469F0"/>
    <w:rsid w:val="39E54493"/>
    <w:rsid w:val="39FB6505"/>
    <w:rsid w:val="3D98207C"/>
    <w:rsid w:val="3E78745D"/>
    <w:rsid w:val="42945C28"/>
    <w:rsid w:val="44502B98"/>
    <w:rsid w:val="44E268DA"/>
    <w:rsid w:val="4A627F82"/>
    <w:rsid w:val="4B0E749A"/>
    <w:rsid w:val="4B4F25DA"/>
    <w:rsid w:val="4BE068DB"/>
    <w:rsid w:val="4CFF7524"/>
    <w:rsid w:val="4D577224"/>
    <w:rsid w:val="4EAB630A"/>
    <w:rsid w:val="4ECE2238"/>
    <w:rsid w:val="537E6D0A"/>
    <w:rsid w:val="55AA076E"/>
    <w:rsid w:val="5A6B24E1"/>
    <w:rsid w:val="5AF92295"/>
    <w:rsid w:val="5CD71FC4"/>
    <w:rsid w:val="66446967"/>
    <w:rsid w:val="6C4A05C8"/>
    <w:rsid w:val="6D8276B5"/>
    <w:rsid w:val="6D870A62"/>
    <w:rsid w:val="6E7E3605"/>
    <w:rsid w:val="6FA73689"/>
    <w:rsid w:val="6FF5CC65"/>
    <w:rsid w:val="715C0E4B"/>
    <w:rsid w:val="72734D90"/>
    <w:rsid w:val="73AD73D5"/>
    <w:rsid w:val="73B6EB34"/>
    <w:rsid w:val="744731E5"/>
    <w:rsid w:val="76E3355F"/>
    <w:rsid w:val="778769C8"/>
    <w:rsid w:val="79EE5BA4"/>
    <w:rsid w:val="7A894339"/>
    <w:rsid w:val="7EA73301"/>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unhideWhenUsed/>
    <w:qFormat/>
    <w:uiPriority w:val="99"/>
    <w:rPr>
      <w:rFonts w:ascii="Times New Roman" w:hAnsi="Times New Roma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99"/>
    <w:rPr>
      <w:b/>
    </w:rPr>
  </w:style>
  <w:style w:type="character" w:styleId="19">
    <w:name w:val="FollowedHyperlink"/>
    <w:basedOn w:val="17"/>
    <w:semiHidden/>
    <w:unhideWhenUsed/>
    <w:qFormat/>
    <w:uiPriority w:val="99"/>
    <w:rPr>
      <w:color w:val="954F72"/>
      <w:u w:val="single"/>
    </w:rPr>
  </w:style>
  <w:style w:type="character" w:styleId="20">
    <w:name w:val="Hyperlink"/>
    <w:basedOn w:val="17"/>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字符"/>
    <w:link w:val="11"/>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字符"/>
    <w:link w:val="10"/>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字符"/>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7"/>
    <w:link w:val="3"/>
    <w:qFormat/>
    <w:uiPriority w:val="9"/>
    <w:rPr>
      <w:rFonts w:ascii="Times New Roman" w:hAnsi="Times New Roman"/>
      <w:b/>
      <w:bCs/>
      <w:kern w:val="44"/>
      <w:sz w:val="44"/>
      <w:szCs w:val="44"/>
    </w:rPr>
  </w:style>
  <w:style w:type="character" w:customStyle="1" w:styleId="31">
    <w:name w:val="标题 2 字符"/>
    <w:basedOn w:val="17"/>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7"/>
    <w:link w:val="9"/>
    <w:semiHidden/>
    <w:qFormat/>
    <w:uiPriority w:val="99"/>
    <w:rPr>
      <w:rFonts w:ascii="Times New Roman" w:hAnsi="Times New Roman"/>
      <w:kern w:val="2"/>
      <w:sz w:val="18"/>
      <w:szCs w:val="18"/>
    </w:rPr>
  </w:style>
  <w:style w:type="character" w:customStyle="1" w:styleId="34">
    <w:name w:val="标题 3 字符"/>
    <w:basedOn w:val="17"/>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1">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2">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7">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8">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9">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0">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1">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paragraph" w:customStyle="1" w:styleId="52">
    <w:name w:val="常用样式（方正仿宋简）"/>
    <w:basedOn w:val="1"/>
    <w:next w:val="1"/>
    <w:qFormat/>
    <w:uiPriority w:val="0"/>
    <w:pPr>
      <w:spacing w:line="560" w:lineRule="exact"/>
      <w:ind w:firstLine="640" w:firstLineChars="200"/>
    </w:pPr>
    <w:rPr>
      <w:rFonts w:eastAsia="Times New Roman"/>
      <w:sz w:val="32"/>
      <w:szCs w:val="32"/>
    </w:rPr>
  </w:style>
  <w:style w:type="paragraph" w:customStyle="1" w:styleId="53">
    <w:name w:val="章标题"/>
    <w:basedOn w:val="1"/>
    <w:next w:val="1"/>
    <w:qFormat/>
    <w:uiPriority w:val="99"/>
    <w:pPr>
      <w:widowControl/>
      <w:spacing w:before="158" w:after="153" w:line="323" w:lineRule="atLeast"/>
      <w:ind w:right="-120"/>
      <w:jc w:val="center"/>
      <w:textAlignment w:val="baseline"/>
    </w:pPr>
    <w:rPr>
      <w:color w:val="FF0000"/>
      <w:sz w:val="18"/>
      <w:szCs w:val="24"/>
    </w:rPr>
  </w:style>
  <w:style w:type="paragraph" w:customStyle="1" w:styleId="54">
    <w:name w:val="WPSOffice手动目录 1"/>
    <w:qFormat/>
    <w:uiPriority w:val="0"/>
    <w:pPr>
      <w:ind w:leftChars="0"/>
    </w:pPr>
    <w:rPr>
      <w:rFonts w:ascii="Times New Roman" w:hAnsi="Times New Roman" w:eastAsia="宋体" w:cs="Times New Roman"/>
      <w:sz w:val="20"/>
      <w:szCs w:val="20"/>
    </w:rPr>
  </w:style>
  <w:style w:type="paragraph" w:customStyle="1" w:styleId="55">
    <w:name w:val="WPSOffice手动目录 2"/>
    <w:qFormat/>
    <w:uiPriority w:val="0"/>
    <w:pPr>
      <w:ind w:leftChars="200"/>
    </w:pPr>
    <w:rPr>
      <w:rFonts w:ascii="Times New Roman" w:hAnsi="Times New Roman" w:eastAsia="宋体" w:cs="Times New Roman"/>
      <w:sz w:val="20"/>
      <w:szCs w:val="20"/>
    </w:rPr>
  </w:style>
  <w:style w:type="paragraph" w:customStyle="1" w:styleId="5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01a95a7-2b1d-414a-bab9-9d033c54d4f8}"/>
        <w:style w:val=""/>
        <w:category>
          <w:name w:val="常规"/>
          <w:gallery w:val="placeholder"/>
        </w:category>
        <w:types>
          <w:type w:val="bbPlcHdr"/>
        </w:types>
        <w:behaviors>
          <w:behavior w:val="content"/>
        </w:behaviors>
        <w:description w:val=""/>
        <w:guid w:val="{701a95a7-2b1d-414a-bab9-9d033c54d4f8}"/>
      </w:docPartPr>
      <w:docPartBody>
        <w:p w14:paraId="66874AB8">
          <w:r>
            <w:rPr>
              <w:color w:val="808080"/>
            </w:rPr>
            <w:t>单击此处输入文字。</w:t>
          </w:r>
        </w:p>
      </w:docPartBody>
    </w:docPart>
    <w:docPart>
      <w:docPartPr>
        <w:name w:val="{298bb307-6473-4bfa-a7c5-e289d8b8e347}"/>
        <w:style w:val=""/>
        <w:category>
          <w:name w:val="常规"/>
          <w:gallery w:val="placeholder"/>
        </w:category>
        <w:types>
          <w:type w:val="bbPlcHdr"/>
        </w:types>
        <w:behaviors>
          <w:behavior w:val="content"/>
        </w:behaviors>
        <w:description w:val=""/>
        <w:guid w:val="{298bb307-6473-4bfa-a7c5-e289d8b8e347}"/>
      </w:docPartPr>
      <w:docPartBody>
        <w:p w14:paraId="104EC6EA">
          <w:r>
            <w:rPr>
              <w:color w:val="808080"/>
            </w:rPr>
            <w:t>单击此处输入文字。</w:t>
          </w:r>
        </w:p>
      </w:docPartBody>
    </w:docPart>
    <w:docPart>
      <w:docPartPr>
        <w:name w:val="{6d09763a-638c-4d58-8489-5876982385fb}"/>
        <w:style w:val=""/>
        <w:category>
          <w:name w:val="常规"/>
          <w:gallery w:val="placeholder"/>
        </w:category>
        <w:types>
          <w:type w:val="bbPlcHdr"/>
        </w:types>
        <w:behaviors>
          <w:behavior w:val="content"/>
        </w:behaviors>
        <w:description w:val=""/>
        <w:guid w:val="{6d09763a-638c-4d58-8489-5876982385fb}"/>
      </w:docPartPr>
      <w:docPartBody>
        <w:p w14:paraId="02A61FFF">
          <w:r>
            <w:rPr>
              <w:color w:val="808080"/>
            </w:rPr>
            <w:t>单击此处输入文字。</w:t>
          </w:r>
        </w:p>
      </w:docPartBody>
    </w:docPart>
    <w:docPart>
      <w:docPartPr>
        <w:name w:val="{00307adb-f026-42b6-91c8-ed1da1ef586c}"/>
        <w:style w:val=""/>
        <w:category>
          <w:name w:val="常规"/>
          <w:gallery w:val="placeholder"/>
        </w:category>
        <w:types>
          <w:type w:val="bbPlcHdr"/>
        </w:types>
        <w:behaviors>
          <w:behavior w:val="content"/>
        </w:behaviors>
        <w:description w:val=""/>
        <w:guid w:val="{00307adb-f026-42b6-91c8-ed1da1ef586c}"/>
      </w:docPartPr>
      <w:docPartBody>
        <w:p w14:paraId="630F4101">
          <w:r>
            <w:rPr>
              <w:color w:val="808080"/>
            </w:rPr>
            <w:t>单击此处输入文字。</w:t>
          </w:r>
        </w:p>
      </w:docPartBody>
    </w:docPart>
    <w:docPart>
      <w:docPartPr>
        <w:name w:val="{a4b2060d-064a-4fb3-87f6-4d272dfa3eee}"/>
        <w:style w:val=""/>
        <w:category>
          <w:name w:val="常规"/>
          <w:gallery w:val="placeholder"/>
        </w:category>
        <w:types>
          <w:type w:val="bbPlcHdr"/>
        </w:types>
        <w:behaviors>
          <w:behavior w:val="content"/>
        </w:behaviors>
        <w:description w:val=""/>
        <w:guid w:val="{a4b2060d-064a-4fb3-87f6-4d272dfa3eee}"/>
      </w:docPartPr>
      <w:docPartBody>
        <w:p w14:paraId="1C76A743">
          <w:r>
            <w:rPr>
              <w:color w:val="808080"/>
            </w:rPr>
            <w:t>单击此处输入文字。</w:t>
          </w:r>
        </w:p>
      </w:docPartBody>
    </w:docPart>
    <w:docPart>
      <w:docPartPr>
        <w:name w:val="{e00fa741-93ef-4710-82fc-7da63e819e7f}"/>
        <w:style w:val=""/>
        <w:category>
          <w:name w:val="常规"/>
          <w:gallery w:val="placeholder"/>
        </w:category>
        <w:types>
          <w:type w:val="bbPlcHdr"/>
        </w:types>
        <w:behaviors>
          <w:behavior w:val="content"/>
        </w:behaviors>
        <w:description w:val=""/>
        <w:guid w:val="{e00fa741-93ef-4710-82fc-7da63e819e7f}"/>
      </w:docPartPr>
      <w:docPartBody>
        <w:p w14:paraId="094D9549">
          <w:r>
            <w:rPr>
              <w:color w:val="808080"/>
            </w:rPr>
            <w:t>单击此处输入文字。</w:t>
          </w:r>
        </w:p>
      </w:docPartBody>
    </w:docPart>
    <w:docPart>
      <w:docPartPr>
        <w:name w:val="{c31b19f0-9303-4a76-a166-e07f3e9c88de}"/>
        <w:style w:val=""/>
        <w:category>
          <w:name w:val="常规"/>
          <w:gallery w:val="placeholder"/>
        </w:category>
        <w:types>
          <w:type w:val="bbPlcHdr"/>
        </w:types>
        <w:behaviors>
          <w:behavior w:val="content"/>
        </w:behaviors>
        <w:description w:val=""/>
        <w:guid w:val="{c31b19f0-9303-4a76-a166-e07f3e9c88de}"/>
      </w:docPartPr>
      <w:docPartBody>
        <w:p w14:paraId="042A350B">
          <w:r>
            <w:rPr>
              <w:color w:val="808080"/>
            </w:rPr>
            <w:t>单击此处输入文字。</w:t>
          </w:r>
        </w:p>
      </w:docPartBody>
    </w:docPart>
    <w:docPart>
      <w:docPartPr>
        <w:name w:val="{8db2f4d0-3950-4a30-999d-34b1b8ac7a25}"/>
        <w:style w:val=""/>
        <w:category>
          <w:name w:val="常规"/>
          <w:gallery w:val="placeholder"/>
        </w:category>
        <w:types>
          <w:type w:val="bbPlcHdr"/>
        </w:types>
        <w:behaviors>
          <w:behavior w:val="content"/>
        </w:behaviors>
        <w:description w:val=""/>
        <w:guid w:val="{8db2f4d0-3950-4a30-999d-34b1b8ac7a25}"/>
      </w:docPartPr>
      <w:docPartBody>
        <w:p w14:paraId="2299CB25">
          <w:r>
            <w:rPr>
              <w:color w:val="808080"/>
            </w:rPr>
            <w:t>单击此处输入文字。</w:t>
          </w:r>
        </w:p>
      </w:docPartBody>
    </w:docPart>
    <w:docPart>
      <w:docPartPr>
        <w:name w:val="{6a8f12d1-691c-4679-8192-c0b709fcafb3}"/>
        <w:style w:val=""/>
        <w:category>
          <w:name w:val="常规"/>
          <w:gallery w:val="placeholder"/>
        </w:category>
        <w:types>
          <w:type w:val="bbPlcHdr"/>
        </w:types>
        <w:behaviors>
          <w:behavior w:val="content"/>
        </w:behaviors>
        <w:description w:val=""/>
        <w:guid w:val="{6a8f12d1-691c-4679-8192-c0b709fcafb3}"/>
      </w:docPartPr>
      <w:docPartBody>
        <w:p w14:paraId="0300E6AA">
          <w:r>
            <w:rPr>
              <w:color w:val="808080"/>
            </w:rPr>
            <w:t>单击此处输入文字。</w:t>
          </w:r>
        </w:p>
      </w:docPartBody>
    </w:docPart>
    <w:docPart>
      <w:docPartPr>
        <w:name w:val="{36a2b020-cddb-465c-ac6a-36b5ec5a088d}"/>
        <w:style w:val=""/>
        <w:category>
          <w:name w:val="常规"/>
          <w:gallery w:val="placeholder"/>
        </w:category>
        <w:types>
          <w:type w:val="bbPlcHdr"/>
        </w:types>
        <w:behaviors>
          <w:behavior w:val="content"/>
        </w:behaviors>
        <w:description w:val=""/>
        <w:guid w:val="{36a2b020-cddb-465c-ac6a-36b5ec5a088d}"/>
      </w:docPartPr>
      <w:docPartBody>
        <w:p w14:paraId="3ECB988A">
          <w:r>
            <w:rPr>
              <w:color w:val="808080"/>
            </w:rPr>
            <w:t>单击此处输入文字。</w:t>
          </w:r>
        </w:p>
      </w:docPartBody>
    </w:docPart>
    <w:docPart>
      <w:docPartPr>
        <w:name w:val="{e78788f9-4244-4f60-bfdc-e36fef25f0c1}"/>
        <w:style w:val=""/>
        <w:category>
          <w:name w:val="常规"/>
          <w:gallery w:val="placeholder"/>
        </w:category>
        <w:types>
          <w:type w:val="bbPlcHdr"/>
        </w:types>
        <w:behaviors>
          <w:behavior w:val="content"/>
        </w:behaviors>
        <w:description w:val=""/>
        <w:guid w:val="{e78788f9-4244-4f60-bfdc-e36fef25f0c1}"/>
      </w:docPartPr>
      <w:docPartBody>
        <w:p w14:paraId="78083850">
          <w:r>
            <w:rPr>
              <w:color w:val="808080"/>
            </w:rPr>
            <w:t>单击此处输入文字。</w:t>
          </w:r>
        </w:p>
      </w:docPartBody>
    </w:docPart>
    <w:docPart>
      <w:docPartPr>
        <w:name w:val="{10af7f21-c646-4a34-83ca-c1584c89fe1f}"/>
        <w:style w:val=""/>
        <w:category>
          <w:name w:val="常规"/>
          <w:gallery w:val="placeholder"/>
        </w:category>
        <w:types>
          <w:type w:val="bbPlcHdr"/>
        </w:types>
        <w:behaviors>
          <w:behavior w:val="content"/>
        </w:behaviors>
        <w:description w:val=""/>
        <w:guid w:val="{10af7f21-c646-4a34-83ca-c1584c89fe1f}"/>
      </w:docPartPr>
      <w:docPartBody>
        <w:p w14:paraId="4ADA6FB0">
          <w:r>
            <w:rPr>
              <w:color w:val="808080"/>
            </w:rPr>
            <w:t>单击此处输入文字。</w:t>
          </w:r>
        </w:p>
      </w:docPartBody>
    </w:docPart>
    <w:docPart>
      <w:docPartPr>
        <w:name w:val="{17f83e7e-c8d8-41be-b571-2bd84ae86ade}"/>
        <w:style w:val=""/>
        <w:category>
          <w:name w:val="常规"/>
          <w:gallery w:val="placeholder"/>
        </w:category>
        <w:types>
          <w:type w:val="bbPlcHdr"/>
        </w:types>
        <w:behaviors>
          <w:behavior w:val="content"/>
        </w:behaviors>
        <w:description w:val=""/>
        <w:guid w:val="{17f83e7e-c8d8-41be-b571-2bd84ae86ade}"/>
      </w:docPartPr>
      <w:docPartBody>
        <w:p w14:paraId="5ED3CADD">
          <w:r>
            <w:rPr>
              <w:color w:val="808080"/>
            </w:rPr>
            <w:t>单击此处输入文字。</w:t>
          </w:r>
        </w:p>
      </w:docPartBody>
    </w:docPart>
    <w:docPart>
      <w:docPartPr>
        <w:name w:val="{2bd3167d-c748-4d19-9386-2c0c61def620}"/>
        <w:style w:val=""/>
        <w:category>
          <w:name w:val="常规"/>
          <w:gallery w:val="placeholder"/>
        </w:category>
        <w:types>
          <w:type w:val="bbPlcHdr"/>
        </w:types>
        <w:behaviors>
          <w:behavior w:val="content"/>
        </w:behaviors>
        <w:description w:val=""/>
        <w:guid w:val="{2bd3167d-c748-4d19-9386-2c0c61def620}"/>
      </w:docPartPr>
      <w:docPartBody>
        <w:p w14:paraId="6AC68CE7">
          <w:r>
            <w:rPr>
              <w:color w:val="808080"/>
            </w:rPr>
            <w:t>单击此处输入文字。</w:t>
          </w:r>
        </w:p>
      </w:docPartBody>
    </w:docPart>
    <w:docPart>
      <w:docPartPr>
        <w:name w:val="{45b7b448-9875-42a5-8097-6479a82bfd7b}"/>
        <w:style w:val=""/>
        <w:category>
          <w:name w:val="常规"/>
          <w:gallery w:val="placeholder"/>
        </w:category>
        <w:types>
          <w:type w:val="bbPlcHdr"/>
        </w:types>
        <w:behaviors>
          <w:behavior w:val="content"/>
        </w:behaviors>
        <w:description w:val=""/>
        <w:guid w:val="{45b7b448-9875-42a5-8097-6479a82bfd7b}"/>
      </w:docPartPr>
      <w:docPartBody>
        <w:p w14:paraId="3115EDAD">
          <w:r>
            <w:rPr>
              <w:color w:val="808080"/>
            </w:rPr>
            <w:t>单击此处输入文字。</w:t>
          </w:r>
        </w:p>
      </w:docPartBody>
    </w:docPart>
    <w:docPart>
      <w:docPartPr>
        <w:name w:val="{b5b2e318-c37c-4017-9387-ea3f48f36e28}"/>
        <w:style w:val=""/>
        <w:category>
          <w:name w:val="常规"/>
          <w:gallery w:val="placeholder"/>
        </w:category>
        <w:types>
          <w:type w:val="bbPlcHdr"/>
        </w:types>
        <w:behaviors>
          <w:behavior w:val="content"/>
        </w:behaviors>
        <w:description w:val=""/>
        <w:guid w:val="{b5b2e318-c37c-4017-9387-ea3f48f36e28}"/>
      </w:docPartPr>
      <w:docPartBody>
        <w:p w14:paraId="534CB6E2">
          <w:r>
            <w:rPr>
              <w:color w:val="808080"/>
            </w:rPr>
            <w:t>单击此处输入文字。</w:t>
          </w:r>
        </w:p>
      </w:docPartBody>
    </w:docPart>
    <w:docPart>
      <w:docPartPr>
        <w:name w:val="{957eec19-8873-4370-af8d-8c92163dbb04}"/>
        <w:style w:val=""/>
        <w:category>
          <w:name w:val="常规"/>
          <w:gallery w:val="placeholder"/>
        </w:category>
        <w:types>
          <w:type w:val="bbPlcHdr"/>
        </w:types>
        <w:behaviors>
          <w:behavior w:val="content"/>
        </w:behaviors>
        <w:description w:val=""/>
        <w:guid w:val="{957eec19-8873-4370-af8d-8c92163dbb04}"/>
      </w:docPartPr>
      <w:docPartBody>
        <w:p w14:paraId="31D8776E">
          <w:r>
            <w:rPr>
              <w:color w:val="808080"/>
            </w:rPr>
            <w:t>单击此处输入文字。</w:t>
          </w:r>
        </w:p>
      </w:docPartBody>
    </w:docPart>
    <w:docPart>
      <w:docPartPr>
        <w:name w:val="{6643f755-fb82-468f-8cf4-9cd067066ce4}"/>
        <w:style w:val=""/>
        <w:category>
          <w:name w:val="常规"/>
          <w:gallery w:val="placeholder"/>
        </w:category>
        <w:types>
          <w:type w:val="bbPlcHdr"/>
        </w:types>
        <w:behaviors>
          <w:behavior w:val="content"/>
        </w:behaviors>
        <w:description w:val=""/>
        <w:guid w:val="{6643f755-fb82-468f-8cf4-9cd067066ce4}"/>
      </w:docPartPr>
      <w:docPartBody>
        <w:p w14:paraId="429D6B0E">
          <w:r>
            <w:rPr>
              <w:color w:val="808080"/>
            </w:rPr>
            <w:t>单击此处输入文字。</w:t>
          </w:r>
        </w:p>
      </w:docPartBody>
    </w:docPart>
    <w:docPart>
      <w:docPartPr>
        <w:name w:val="{1f7d61df-4cdd-4cb6-9239-cd76c9e928be}"/>
        <w:style w:val=""/>
        <w:category>
          <w:name w:val="常规"/>
          <w:gallery w:val="placeholder"/>
        </w:category>
        <w:types>
          <w:type w:val="bbPlcHdr"/>
        </w:types>
        <w:behaviors>
          <w:behavior w:val="content"/>
        </w:behaviors>
        <w:description w:val=""/>
        <w:guid w:val="{1f7d61df-4cdd-4cb6-9239-cd76c9e928be}"/>
      </w:docPartPr>
      <w:docPartBody>
        <w:p w14:paraId="194D55B5">
          <w:r>
            <w:rPr>
              <w:color w:val="808080"/>
            </w:rPr>
            <w:t>单击此处输入文字。</w:t>
          </w:r>
        </w:p>
      </w:docPartBody>
    </w:docPart>
    <w:docPart>
      <w:docPartPr>
        <w:name w:val="{0befc113-0799-4a3e-861b-df387c487502}"/>
        <w:style w:val=""/>
        <w:category>
          <w:name w:val="常规"/>
          <w:gallery w:val="placeholder"/>
        </w:category>
        <w:types>
          <w:type w:val="bbPlcHdr"/>
        </w:types>
        <w:behaviors>
          <w:behavior w:val="content"/>
        </w:behaviors>
        <w:description w:val=""/>
        <w:guid w:val="{0befc113-0799-4a3e-861b-df387c487502}"/>
      </w:docPartPr>
      <w:docPartBody>
        <w:p w14:paraId="2789D5C6">
          <w:r>
            <w:rPr>
              <w:color w:val="808080"/>
            </w:rPr>
            <w:t>单击此处输入文字。</w:t>
          </w:r>
        </w:p>
      </w:docPartBody>
    </w:docPart>
    <w:docPart>
      <w:docPartPr>
        <w:name w:val="{cc7d61dc-df77-4e54-9030-1ce10dfe5959}"/>
        <w:style w:val=""/>
        <w:category>
          <w:name w:val="常规"/>
          <w:gallery w:val="placeholder"/>
        </w:category>
        <w:types>
          <w:type w:val="bbPlcHdr"/>
        </w:types>
        <w:behaviors>
          <w:behavior w:val="content"/>
        </w:behaviors>
        <w:description w:val=""/>
        <w:guid w:val="{cc7d61dc-df77-4e54-9030-1ce10dfe5959}"/>
      </w:docPartPr>
      <w:docPartBody>
        <w:p w14:paraId="19549F63">
          <w:r>
            <w:rPr>
              <w:color w:val="808080"/>
            </w:rPr>
            <w:t>单击此处输入文字。</w:t>
          </w:r>
        </w:p>
      </w:docPartBody>
    </w:docPart>
    <w:docPart>
      <w:docPartPr>
        <w:name w:val="{a5ac9430-1b81-4900-912a-fc171f4fe208}"/>
        <w:style w:val=""/>
        <w:category>
          <w:name w:val="常规"/>
          <w:gallery w:val="placeholder"/>
        </w:category>
        <w:types>
          <w:type w:val="bbPlcHdr"/>
        </w:types>
        <w:behaviors>
          <w:behavior w:val="content"/>
        </w:behaviors>
        <w:description w:val=""/>
        <w:guid w:val="{a5ac9430-1b81-4900-912a-fc171f4fe208}"/>
      </w:docPartPr>
      <w:docPartBody>
        <w:p w14:paraId="43FE7E94">
          <w:r>
            <w:rPr>
              <w:color w:val="808080"/>
            </w:rPr>
            <w:t>单击此处输入文字。</w:t>
          </w:r>
        </w:p>
      </w:docPartBody>
    </w:docPart>
    <w:docPart>
      <w:docPartPr>
        <w:name w:val="{a9056ee3-2eb3-42be-94b1-419a0baa93ed}"/>
        <w:style w:val=""/>
        <w:category>
          <w:name w:val="常规"/>
          <w:gallery w:val="placeholder"/>
        </w:category>
        <w:types>
          <w:type w:val="bbPlcHdr"/>
        </w:types>
        <w:behaviors>
          <w:behavior w:val="content"/>
        </w:behaviors>
        <w:description w:val=""/>
        <w:guid w:val="{a9056ee3-2eb3-42be-94b1-419a0baa93ed}"/>
      </w:docPartPr>
      <w:docPartBody>
        <w:p w14:paraId="312AB7BA">
          <w:r>
            <w:rPr>
              <w:color w:val="808080"/>
            </w:rPr>
            <w:t>单击此处输入文字。</w:t>
          </w:r>
        </w:p>
      </w:docPartBody>
    </w:docPart>
    <w:docPart>
      <w:docPartPr>
        <w:name w:val="{5be9f79d-6242-4a86-ac24-9f12bc4620b7}"/>
        <w:style w:val=""/>
        <w:category>
          <w:name w:val="常规"/>
          <w:gallery w:val="placeholder"/>
        </w:category>
        <w:types>
          <w:type w:val="bbPlcHdr"/>
        </w:types>
        <w:behaviors>
          <w:behavior w:val="content"/>
        </w:behaviors>
        <w:description w:val=""/>
        <w:guid w:val="{5be9f79d-6242-4a86-ac24-9f12bc4620b7}"/>
      </w:docPartPr>
      <w:docPartBody>
        <w:p w14:paraId="5B43EAC2">
          <w:r>
            <w:rPr>
              <w:color w:val="808080"/>
            </w:rPr>
            <w:t>单击此处输入文字。</w:t>
          </w:r>
        </w:p>
      </w:docPartBody>
    </w:docPart>
    <w:docPart>
      <w:docPartPr>
        <w:name w:val="{6fe40687-3f7d-43cd-aa65-9da886caa1b7}"/>
        <w:style w:val=""/>
        <w:category>
          <w:name w:val="常规"/>
          <w:gallery w:val="placeholder"/>
        </w:category>
        <w:types>
          <w:type w:val="bbPlcHdr"/>
        </w:types>
        <w:behaviors>
          <w:behavior w:val="content"/>
        </w:behaviors>
        <w:description w:val=""/>
        <w:guid w:val="{6fe40687-3f7d-43cd-aa65-9da886caa1b7}"/>
      </w:docPartPr>
      <w:docPartBody>
        <w:p w14:paraId="4B22C444">
          <w:r>
            <w:rPr>
              <w:color w:val="808080"/>
            </w:rPr>
            <w:t>单击此处输入文字。</w:t>
          </w:r>
        </w:p>
      </w:docPartBody>
    </w:docPart>
    <w:docPart>
      <w:docPartPr>
        <w:name w:val="{1ce59a2c-356f-45ee-af2e-fbbbbcfebc5c}"/>
        <w:style w:val=""/>
        <w:category>
          <w:name w:val="常规"/>
          <w:gallery w:val="placeholder"/>
        </w:category>
        <w:types>
          <w:type w:val="bbPlcHdr"/>
        </w:types>
        <w:behaviors>
          <w:behavior w:val="content"/>
        </w:behaviors>
        <w:description w:val=""/>
        <w:guid w:val="{1ce59a2c-356f-45ee-af2e-fbbbbcfebc5c}"/>
      </w:docPartPr>
      <w:docPartBody>
        <w:p w14:paraId="43914887">
          <w:r>
            <w:rPr>
              <w:color w:val="808080"/>
            </w:rPr>
            <w:t>单击此处输入文字。</w:t>
          </w:r>
        </w:p>
      </w:docPartBody>
    </w:docPart>
    <w:docPart>
      <w:docPartPr>
        <w:name w:val="{4762ad6f-2581-4e0b-bee7-edc3b28fe8fc}"/>
        <w:style w:val=""/>
        <w:category>
          <w:name w:val="常规"/>
          <w:gallery w:val="placeholder"/>
        </w:category>
        <w:types>
          <w:type w:val="bbPlcHdr"/>
        </w:types>
        <w:behaviors>
          <w:behavior w:val="content"/>
        </w:behaviors>
        <w:description w:val=""/>
        <w:guid w:val="{4762ad6f-2581-4e0b-bee7-edc3b28fe8fc}"/>
      </w:docPartPr>
      <w:docPartBody>
        <w:p w14:paraId="27049FD3">
          <w:r>
            <w:rPr>
              <w:color w:val="808080"/>
            </w:rPr>
            <w:t>单击此处输入文字。</w:t>
          </w:r>
        </w:p>
      </w:docPartBody>
    </w:docPart>
    <w:docPart>
      <w:docPartPr>
        <w:name w:val="{7f067072-d59f-488d-b53f-c179f9887f3d}"/>
        <w:style w:val=""/>
        <w:category>
          <w:name w:val="常规"/>
          <w:gallery w:val="placeholder"/>
        </w:category>
        <w:types>
          <w:type w:val="bbPlcHdr"/>
        </w:types>
        <w:behaviors>
          <w:behavior w:val="content"/>
        </w:behaviors>
        <w:description w:val=""/>
        <w:guid w:val="{7f067072-d59f-488d-b53f-c179f9887f3d}"/>
      </w:docPartPr>
      <w:docPartBody>
        <w:p w14:paraId="750BAA40">
          <w:r>
            <w:rPr>
              <w:color w:val="808080"/>
            </w:rPr>
            <w:t>单击此处输入文字。</w:t>
          </w:r>
        </w:p>
      </w:docPartBody>
    </w:docPart>
    <w:docPart>
      <w:docPartPr>
        <w:name w:val="{0d96d868-e7c4-491c-b212-7ec00831142a}"/>
        <w:style w:val=""/>
        <w:category>
          <w:name w:val="常规"/>
          <w:gallery w:val="placeholder"/>
        </w:category>
        <w:types>
          <w:type w:val="bbPlcHdr"/>
        </w:types>
        <w:behaviors>
          <w:behavior w:val="content"/>
        </w:behaviors>
        <w:description w:val=""/>
        <w:guid w:val="{0d96d868-e7c4-491c-b212-7ec00831142a}"/>
      </w:docPartPr>
      <w:docPartBody>
        <w:p w14:paraId="1C72C755">
          <w:r>
            <w:rPr>
              <w:color w:val="808080"/>
            </w:rPr>
            <w:t>单击此处输入文字。</w:t>
          </w:r>
        </w:p>
      </w:docPartBody>
    </w:docPart>
    <w:docPart>
      <w:docPartPr>
        <w:name w:val="{306a3f8a-dabe-4a02-8442-8f5e3436302c}"/>
        <w:style w:val=""/>
        <w:category>
          <w:name w:val="常规"/>
          <w:gallery w:val="placeholder"/>
        </w:category>
        <w:types>
          <w:type w:val="bbPlcHdr"/>
        </w:types>
        <w:behaviors>
          <w:behavior w:val="content"/>
        </w:behaviors>
        <w:description w:val=""/>
        <w:guid w:val="{306a3f8a-dabe-4a02-8442-8f5e3436302c}"/>
      </w:docPartPr>
      <w:docPartBody>
        <w:p w14:paraId="31F0CD96">
          <w:r>
            <w:rPr>
              <w:color w:val="808080"/>
            </w:rPr>
            <w:t>单击此处输入文字。</w:t>
          </w:r>
        </w:p>
      </w:docPartBody>
    </w:docPart>
    <w:docPart>
      <w:docPartPr>
        <w:name w:val="{bf023af8-2050-43e8-b0e1-9b5b4120470f}"/>
        <w:style w:val=""/>
        <w:category>
          <w:name w:val="常规"/>
          <w:gallery w:val="placeholder"/>
        </w:category>
        <w:types>
          <w:type w:val="bbPlcHdr"/>
        </w:types>
        <w:behaviors>
          <w:behavior w:val="content"/>
        </w:behaviors>
        <w:description w:val=""/>
        <w:guid w:val="{bf023af8-2050-43e8-b0e1-9b5b4120470f}"/>
      </w:docPartPr>
      <w:docPartBody>
        <w:p w14:paraId="269E15AD">
          <w:r>
            <w:rPr>
              <w:color w:val="808080"/>
            </w:rPr>
            <w:t>单击此处输入文字。</w:t>
          </w:r>
        </w:p>
      </w:docPartBody>
    </w:docPart>
    <w:docPart>
      <w:docPartPr>
        <w:name w:val="{3457961f-29f0-4fff-b498-07a034f82484}"/>
        <w:style w:val=""/>
        <w:category>
          <w:name w:val="常规"/>
          <w:gallery w:val="placeholder"/>
        </w:category>
        <w:types>
          <w:type w:val="bbPlcHdr"/>
        </w:types>
        <w:behaviors>
          <w:behavior w:val="content"/>
        </w:behaviors>
        <w:description w:val=""/>
        <w:guid w:val="{3457961f-29f0-4fff-b498-07a034f82484}"/>
      </w:docPartPr>
      <w:docPartBody>
        <w:p w14:paraId="421ADDE2">
          <w:r>
            <w:rPr>
              <w:color w:val="808080"/>
            </w:rPr>
            <w:t>单击此处输入文字。</w:t>
          </w:r>
        </w:p>
      </w:docPartBody>
    </w:docPart>
    <w:docPart>
      <w:docPartPr>
        <w:name w:val="{a26dbce0-8daa-4608-b413-97f076adeb12}"/>
        <w:style w:val=""/>
        <w:category>
          <w:name w:val="常规"/>
          <w:gallery w:val="placeholder"/>
        </w:category>
        <w:types>
          <w:type w:val="bbPlcHdr"/>
        </w:types>
        <w:behaviors>
          <w:behavior w:val="content"/>
        </w:behaviors>
        <w:description w:val=""/>
        <w:guid w:val="{a26dbce0-8daa-4608-b413-97f076adeb12}"/>
      </w:docPartPr>
      <w:docPartBody>
        <w:p w14:paraId="112BD026">
          <w:r>
            <w:rPr>
              <w:color w:val="808080"/>
            </w:rPr>
            <w:t>单击此处输入文字。</w:t>
          </w:r>
        </w:p>
      </w:docPartBody>
    </w:docPart>
    <w:docPart>
      <w:docPartPr>
        <w:name w:val="{a0b59398-6c6e-42bc-b5eb-8392a756fbb5}"/>
        <w:style w:val=""/>
        <w:category>
          <w:name w:val="常规"/>
          <w:gallery w:val="placeholder"/>
        </w:category>
        <w:types>
          <w:type w:val="bbPlcHdr"/>
        </w:types>
        <w:behaviors>
          <w:behavior w:val="content"/>
        </w:behaviors>
        <w:description w:val=""/>
        <w:guid w:val="{a0b59398-6c6e-42bc-b5eb-8392a756fbb5}"/>
      </w:docPartPr>
      <w:docPartBody>
        <w:p w14:paraId="71FA8F40">
          <w:r>
            <w:rPr>
              <w:color w:val="808080"/>
            </w:rPr>
            <w:t>单击此处输入文字。</w:t>
          </w:r>
        </w:p>
      </w:docPartBody>
    </w:docPart>
    <w:docPart>
      <w:docPartPr>
        <w:name w:val="{12c214c5-a44f-42f5-8e39-7f735291aedc}"/>
        <w:style w:val=""/>
        <w:category>
          <w:name w:val="常规"/>
          <w:gallery w:val="placeholder"/>
        </w:category>
        <w:types>
          <w:type w:val="bbPlcHdr"/>
        </w:types>
        <w:behaviors>
          <w:behavior w:val="content"/>
        </w:behaviors>
        <w:description w:val=""/>
        <w:guid w:val="{12c214c5-a44f-42f5-8e39-7f735291aedc}"/>
      </w:docPartPr>
      <w:docPartBody>
        <w:p w14:paraId="3C4B2109">
          <w:r>
            <w:rPr>
              <w:color w:val="808080"/>
            </w:rPr>
            <w:t>单击此处输入文字。</w:t>
          </w:r>
        </w:p>
      </w:docPartBody>
    </w:docPart>
    <w:docPart>
      <w:docPartPr>
        <w:name w:val="{faaf2cea-d8a8-4441-81c3-19ff36c69544}"/>
        <w:style w:val=""/>
        <w:category>
          <w:name w:val="常规"/>
          <w:gallery w:val="placeholder"/>
        </w:category>
        <w:types>
          <w:type w:val="bbPlcHdr"/>
        </w:types>
        <w:behaviors>
          <w:behavior w:val="content"/>
        </w:behaviors>
        <w:description w:val=""/>
        <w:guid w:val="{faaf2cea-d8a8-4441-81c3-19ff36c69544}"/>
      </w:docPartPr>
      <w:docPartBody>
        <w:p w14:paraId="6F1C3012">
          <w:r>
            <w:rPr>
              <w:color w:val="808080"/>
            </w:rPr>
            <w:t>单击此处输入文字。</w:t>
          </w:r>
        </w:p>
      </w:docPartBody>
    </w:docPart>
    <w:docPart>
      <w:docPartPr>
        <w:name w:val="{2b4deba0-e959-41c8-aafb-41eee306315e}"/>
        <w:style w:val=""/>
        <w:category>
          <w:name w:val="常规"/>
          <w:gallery w:val="placeholder"/>
        </w:category>
        <w:types>
          <w:type w:val="bbPlcHdr"/>
        </w:types>
        <w:behaviors>
          <w:behavior w:val="content"/>
        </w:behaviors>
        <w:description w:val=""/>
        <w:guid w:val="{2b4deba0-e959-41c8-aafb-41eee306315e}"/>
      </w:docPartPr>
      <w:docPartBody>
        <w:p w14:paraId="73B013E8">
          <w:r>
            <w:rPr>
              <w:color w:val="808080"/>
            </w:rPr>
            <w:t>单击此处输入文字。</w:t>
          </w:r>
        </w:p>
      </w:docPartBody>
    </w:docPart>
    <w:docPart>
      <w:docPartPr>
        <w:name w:val="{8c3523f5-f506-4fbd-9219-5f2f87b6b073}"/>
        <w:style w:val=""/>
        <w:category>
          <w:name w:val="常规"/>
          <w:gallery w:val="placeholder"/>
        </w:category>
        <w:types>
          <w:type w:val="bbPlcHdr"/>
        </w:types>
        <w:behaviors>
          <w:behavior w:val="content"/>
        </w:behaviors>
        <w:description w:val=""/>
        <w:guid w:val="{8c3523f5-f506-4fbd-9219-5f2f87b6b073}"/>
      </w:docPartPr>
      <w:docPartBody>
        <w:p w14:paraId="1293DC46">
          <w:r>
            <w:rPr>
              <w:color w:val="808080"/>
            </w:rPr>
            <w:t>单击此处输入文字。</w:t>
          </w:r>
        </w:p>
      </w:docPartBody>
    </w:docPart>
    <w:docPart>
      <w:docPartPr>
        <w:name w:val="{a85a1994-df1c-4014-8ea7-71c146a4f162}"/>
        <w:style w:val=""/>
        <w:category>
          <w:name w:val="常规"/>
          <w:gallery w:val="placeholder"/>
        </w:category>
        <w:types>
          <w:type w:val="bbPlcHdr"/>
        </w:types>
        <w:behaviors>
          <w:behavior w:val="content"/>
        </w:behaviors>
        <w:description w:val=""/>
        <w:guid w:val="{a85a1994-df1c-4014-8ea7-71c146a4f162}"/>
      </w:docPartPr>
      <w:docPartBody>
        <w:p w14:paraId="78214D56">
          <w:r>
            <w:rPr>
              <w:color w:val="808080"/>
            </w:rPr>
            <w:t>单击此处输入文字。</w:t>
          </w:r>
        </w:p>
      </w:docPartBody>
    </w:docPart>
    <w:docPart>
      <w:docPartPr>
        <w:name w:val="{789762b7-9be1-4bd6-8380-eeec528df4f0}"/>
        <w:style w:val=""/>
        <w:category>
          <w:name w:val="常规"/>
          <w:gallery w:val="placeholder"/>
        </w:category>
        <w:types>
          <w:type w:val="bbPlcHdr"/>
        </w:types>
        <w:behaviors>
          <w:behavior w:val="content"/>
        </w:behaviors>
        <w:description w:val=""/>
        <w:guid w:val="{789762b7-9be1-4bd6-8380-eeec528df4f0}"/>
      </w:docPartPr>
      <w:docPartBody>
        <w:p w14:paraId="234E7033">
          <w:r>
            <w:rPr>
              <w:color w:val="808080"/>
            </w:rPr>
            <w:t>单击此处输入文字。</w:t>
          </w:r>
        </w:p>
      </w:docPartBody>
    </w:docPart>
    <w:docPart>
      <w:docPartPr>
        <w:name w:val="{5acc77b2-b70f-4973-a431-cc35cb6c26ba}"/>
        <w:style w:val=""/>
        <w:category>
          <w:name w:val="常规"/>
          <w:gallery w:val="placeholder"/>
        </w:category>
        <w:types>
          <w:type w:val="bbPlcHdr"/>
        </w:types>
        <w:behaviors>
          <w:behavior w:val="content"/>
        </w:behaviors>
        <w:description w:val=""/>
        <w:guid w:val="{5acc77b2-b70f-4973-a431-cc35cb6c26ba}"/>
      </w:docPartPr>
      <w:docPartBody>
        <w:p w14:paraId="632749CA">
          <w:r>
            <w:rPr>
              <w:color w:val="808080"/>
            </w:rPr>
            <w:t>单击此处输入文字。</w:t>
          </w:r>
        </w:p>
      </w:docPartBody>
    </w:docPart>
    <w:docPart>
      <w:docPartPr>
        <w:name w:val="{f09a4acf-5b38-4fb5-9898-b650fa60e745}"/>
        <w:style w:val=""/>
        <w:category>
          <w:name w:val="常规"/>
          <w:gallery w:val="placeholder"/>
        </w:category>
        <w:types>
          <w:type w:val="bbPlcHdr"/>
        </w:types>
        <w:behaviors>
          <w:behavior w:val="content"/>
        </w:behaviors>
        <w:description w:val=""/>
        <w:guid w:val="{f09a4acf-5b38-4fb5-9898-b650fa60e745}"/>
      </w:docPartPr>
      <w:docPartBody>
        <w:p w14:paraId="19B209AC">
          <w:r>
            <w:rPr>
              <w:color w:val="808080"/>
            </w:rPr>
            <w:t>单击此处输入文字。</w:t>
          </w:r>
        </w:p>
      </w:docPartBody>
    </w:docPart>
    <w:docPart>
      <w:docPartPr>
        <w:name w:val="{f9c84cc3-23dd-4183-b796-c56533fec45c}"/>
        <w:style w:val=""/>
        <w:category>
          <w:name w:val="常规"/>
          <w:gallery w:val="placeholder"/>
        </w:category>
        <w:types>
          <w:type w:val="bbPlcHdr"/>
        </w:types>
        <w:behaviors>
          <w:behavior w:val="content"/>
        </w:behaviors>
        <w:description w:val=""/>
        <w:guid w:val="{f9c84cc3-23dd-4183-b796-c56533fec45c}"/>
      </w:docPartPr>
      <w:docPartBody>
        <w:p w14:paraId="45673277">
          <w:r>
            <w:rPr>
              <w:color w:val="808080"/>
            </w:rPr>
            <w:t>单击此处输入文字。</w:t>
          </w:r>
        </w:p>
      </w:docPartBody>
    </w:docPart>
    <w:docPart>
      <w:docPartPr>
        <w:name w:val="{9429f369-cbd6-4666-8f74-e1410e416c50}"/>
        <w:style w:val=""/>
        <w:category>
          <w:name w:val="常规"/>
          <w:gallery w:val="placeholder"/>
        </w:category>
        <w:types>
          <w:type w:val="bbPlcHdr"/>
        </w:types>
        <w:behaviors>
          <w:behavior w:val="content"/>
        </w:behaviors>
        <w:description w:val=""/>
        <w:guid w:val="{9429f369-cbd6-4666-8f74-e1410e416c50}"/>
      </w:docPartPr>
      <w:docPartBody>
        <w:p w14:paraId="151CBA09">
          <w:r>
            <w:rPr>
              <w:color w:val="808080"/>
            </w:rPr>
            <w:t>单击此处输入文字。</w:t>
          </w:r>
        </w:p>
      </w:docPartBody>
    </w:docPart>
    <w:docPart>
      <w:docPartPr>
        <w:name w:val="{8115d775-ba44-40fb-b20c-0aeb8f41738b}"/>
        <w:style w:val=""/>
        <w:category>
          <w:name w:val="常规"/>
          <w:gallery w:val="placeholder"/>
        </w:category>
        <w:types>
          <w:type w:val="bbPlcHdr"/>
        </w:types>
        <w:behaviors>
          <w:behavior w:val="content"/>
        </w:behaviors>
        <w:description w:val=""/>
        <w:guid w:val="{8115d775-ba44-40fb-b20c-0aeb8f41738b}"/>
      </w:docPartPr>
      <w:docPartBody>
        <w:p w14:paraId="6FF91E07">
          <w:r>
            <w:rPr>
              <w:color w:val="808080"/>
            </w:rPr>
            <w:t>单击此处输入文字。</w:t>
          </w:r>
        </w:p>
      </w:docPartBody>
    </w:docPart>
    <w:docPart>
      <w:docPartPr>
        <w:name w:val="{825a07d9-23c6-47e9-8f00-6cb8b286c34a}"/>
        <w:style w:val=""/>
        <w:category>
          <w:name w:val="常规"/>
          <w:gallery w:val="placeholder"/>
        </w:category>
        <w:types>
          <w:type w:val="bbPlcHdr"/>
        </w:types>
        <w:behaviors>
          <w:behavior w:val="content"/>
        </w:behaviors>
        <w:description w:val=""/>
        <w:guid w:val="{825a07d9-23c6-47e9-8f00-6cb8b286c34a}"/>
      </w:docPartPr>
      <w:docPartBody>
        <w:p w14:paraId="354ABBDA">
          <w:r>
            <w:rPr>
              <w:color w:val="808080"/>
            </w:rPr>
            <w:t>单击此处输入文字。</w:t>
          </w:r>
        </w:p>
      </w:docPartBody>
    </w:docPart>
    <w:docPart>
      <w:docPartPr>
        <w:name w:val="{2f005041-0d65-4176-9677-bb3f168094c3}"/>
        <w:style w:val=""/>
        <w:category>
          <w:name w:val="常规"/>
          <w:gallery w:val="placeholder"/>
        </w:category>
        <w:types>
          <w:type w:val="bbPlcHdr"/>
        </w:types>
        <w:behaviors>
          <w:behavior w:val="content"/>
        </w:behaviors>
        <w:description w:val=""/>
        <w:guid w:val="{2f005041-0d65-4176-9677-bb3f168094c3}"/>
      </w:docPartPr>
      <w:docPartBody>
        <w:p w14:paraId="69B1B75C">
          <w:r>
            <w:rPr>
              <w:color w:val="808080"/>
            </w:rPr>
            <w:t>单击此处输入文字。</w:t>
          </w:r>
        </w:p>
      </w:docPartBody>
    </w:docPart>
    <w:docPart>
      <w:docPartPr>
        <w:name w:val="{bf7dd7a1-9b72-4ae9-b73a-f2ac5529a96b}"/>
        <w:style w:val=""/>
        <w:category>
          <w:name w:val="常规"/>
          <w:gallery w:val="placeholder"/>
        </w:category>
        <w:types>
          <w:type w:val="bbPlcHdr"/>
        </w:types>
        <w:behaviors>
          <w:behavior w:val="content"/>
        </w:behaviors>
        <w:description w:val=""/>
        <w:guid w:val="{bf7dd7a1-9b72-4ae9-b73a-f2ac5529a96b}"/>
      </w:docPartPr>
      <w:docPartBody>
        <w:p w14:paraId="1A5C31AE">
          <w:r>
            <w:rPr>
              <w:color w:val="808080"/>
            </w:rPr>
            <w:t>单击此处输入文字。</w:t>
          </w:r>
        </w:p>
      </w:docPartBody>
    </w:docPart>
    <w:docPart>
      <w:docPartPr>
        <w:name w:val="{da8f8d03-daf4-4d75-8df3-ad5a7a936481}"/>
        <w:style w:val=""/>
        <w:category>
          <w:name w:val="常规"/>
          <w:gallery w:val="placeholder"/>
        </w:category>
        <w:types>
          <w:type w:val="bbPlcHdr"/>
        </w:types>
        <w:behaviors>
          <w:behavior w:val="content"/>
        </w:behaviors>
        <w:description w:val=""/>
        <w:guid w:val="{da8f8d03-daf4-4d75-8df3-ad5a7a936481}"/>
      </w:docPartPr>
      <w:docPartBody>
        <w:p w14:paraId="67CDFC3B">
          <w:r>
            <w:rPr>
              <w:color w:val="808080"/>
            </w:rPr>
            <w:t>单击此处输入文字。</w:t>
          </w:r>
        </w:p>
      </w:docPartBody>
    </w:docPart>
    <w:docPart>
      <w:docPartPr>
        <w:name w:val="{8953eabc-b221-486a-9645-1ab99bb35617}"/>
        <w:style w:val=""/>
        <w:category>
          <w:name w:val="常规"/>
          <w:gallery w:val="placeholder"/>
        </w:category>
        <w:types>
          <w:type w:val="bbPlcHdr"/>
        </w:types>
        <w:behaviors>
          <w:behavior w:val="content"/>
        </w:behaviors>
        <w:description w:val=""/>
        <w:guid w:val="{8953eabc-b221-486a-9645-1ab99bb35617}"/>
      </w:docPartPr>
      <w:docPartBody>
        <w:p w14:paraId="55EFABC9">
          <w:r>
            <w:rPr>
              <w:color w:val="808080"/>
            </w:rPr>
            <w:t>单击此处输入文字。</w:t>
          </w:r>
        </w:p>
      </w:docPartBody>
    </w:docPart>
    <w:docPart>
      <w:docPartPr>
        <w:name w:val="{d084d43a-3bb6-4342-9e71-0a3b5306c5ee}"/>
        <w:style w:val=""/>
        <w:category>
          <w:name w:val="常规"/>
          <w:gallery w:val="placeholder"/>
        </w:category>
        <w:types>
          <w:type w:val="bbPlcHdr"/>
        </w:types>
        <w:behaviors>
          <w:behavior w:val="content"/>
        </w:behaviors>
        <w:description w:val=""/>
        <w:guid w:val="{d084d43a-3bb6-4342-9e71-0a3b5306c5ee}"/>
      </w:docPartPr>
      <w:docPartBody>
        <w:p w14:paraId="7D53224C">
          <w:r>
            <w:rPr>
              <w:color w:val="808080"/>
            </w:rPr>
            <w:t>单击此处输入文字。</w:t>
          </w:r>
        </w:p>
      </w:docPartBody>
    </w:docPart>
    <w:docPart>
      <w:docPartPr>
        <w:name w:val="{b28a59ae-fd42-4c59-aaeb-da885d8c0924}"/>
        <w:style w:val=""/>
        <w:category>
          <w:name w:val="常规"/>
          <w:gallery w:val="placeholder"/>
        </w:category>
        <w:types>
          <w:type w:val="bbPlcHdr"/>
        </w:types>
        <w:behaviors>
          <w:behavior w:val="content"/>
        </w:behaviors>
        <w:description w:val=""/>
        <w:guid w:val="{b28a59ae-fd42-4c59-aaeb-da885d8c0924}"/>
      </w:docPartPr>
      <w:docPartBody>
        <w:p w14:paraId="10AF7A3A">
          <w:r>
            <w:rPr>
              <w:color w:val="808080"/>
            </w:rPr>
            <w:t>单击此处输入文字。</w:t>
          </w:r>
        </w:p>
      </w:docPartBody>
    </w:docPart>
    <w:docPart>
      <w:docPartPr>
        <w:name w:val="{c221a77d-0853-4dfa-9991-8a366a680d92}"/>
        <w:style w:val=""/>
        <w:category>
          <w:name w:val="常规"/>
          <w:gallery w:val="placeholder"/>
        </w:category>
        <w:types>
          <w:type w:val="bbPlcHdr"/>
        </w:types>
        <w:behaviors>
          <w:behavior w:val="content"/>
        </w:behaviors>
        <w:description w:val=""/>
        <w:guid w:val="{c221a77d-0853-4dfa-9991-8a366a680d92}"/>
      </w:docPartPr>
      <w:docPartBody>
        <w:p w14:paraId="0CBCC925">
          <w:r>
            <w:rPr>
              <w:color w:val="808080"/>
            </w:rPr>
            <w:t>单击此处输入文字。</w:t>
          </w:r>
        </w:p>
      </w:docPartBody>
    </w:docPart>
    <w:docPart>
      <w:docPartPr>
        <w:name w:val="{dfc7f6f5-d2fd-45e4-8d06-0f4fa41802f6}"/>
        <w:style w:val=""/>
        <w:category>
          <w:name w:val="常规"/>
          <w:gallery w:val="placeholder"/>
        </w:category>
        <w:types>
          <w:type w:val="bbPlcHdr"/>
        </w:types>
        <w:behaviors>
          <w:behavior w:val="content"/>
        </w:behaviors>
        <w:description w:val=""/>
        <w:guid w:val="{dfc7f6f5-d2fd-45e4-8d06-0f4fa41802f6}"/>
      </w:docPartPr>
      <w:docPartBody>
        <w:p w14:paraId="5521EEB5">
          <w:r>
            <w:rPr>
              <w:color w:val="808080"/>
            </w:rPr>
            <w:t>单击此处输入文字。</w:t>
          </w:r>
        </w:p>
      </w:docPartBody>
    </w:docPart>
    <w:docPart>
      <w:docPartPr>
        <w:name w:val="{fa0e19f3-83f9-4623-97b5-45c3787f2757}"/>
        <w:style w:val=""/>
        <w:category>
          <w:name w:val="常规"/>
          <w:gallery w:val="placeholder"/>
        </w:category>
        <w:types>
          <w:type w:val="bbPlcHdr"/>
        </w:types>
        <w:behaviors>
          <w:behavior w:val="content"/>
        </w:behaviors>
        <w:description w:val=""/>
        <w:guid w:val="{fa0e19f3-83f9-4623-97b5-45c3787f2757}"/>
      </w:docPartPr>
      <w:docPartBody>
        <w:p w14:paraId="43227124">
          <w:r>
            <w:rPr>
              <w:color w:val="808080"/>
            </w:rPr>
            <w:t>单击此处输入文字。</w:t>
          </w:r>
        </w:p>
      </w:docPartBody>
    </w:docPart>
    <w:docPart>
      <w:docPartPr>
        <w:name w:val="{243170ff-4e3f-47d0-8633-8e9a5b9544a8}"/>
        <w:style w:val=""/>
        <w:category>
          <w:name w:val="常规"/>
          <w:gallery w:val="placeholder"/>
        </w:category>
        <w:types>
          <w:type w:val="bbPlcHdr"/>
        </w:types>
        <w:behaviors>
          <w:behavior w:val="content"/>
        </w:behaviors>
        <w:description w:val=""/>
        <w:guid w:val="{243170ff-4e3f-47d0-8633-8e9a5b9544a8}"/>
      </w:docPartPr>
      <w:docPartBody>
        <w:p w14:paraId="67EA1EE1">
          <w:r>
            <w:rPr>
              <w:color w:val="808080"/>
            </w:rPr>
            <w:t>单击此处输入文字。</w:t>
          </w:r>
        </w:p>
      </w:docPartBody>
    </w:docPart>
    <w:docPart>
      <w:docPartPr>
        <w:name w:val="{2ddf02ca-ea60-46ea-a2a3-8d424dbddd87}"/>
        <w:style w:val=""/>
        <w:category>
          <w:name w:val="常规"/>
          <w:gallery w:val="placeholder"/>
        </w:category>
        <w:types>
          <w:type w:val="bbPlcHdr"/>
        </w:types>
        <w:behaviors>
          <w:behavior w:val="content"/>
        </w:behaviors>
        <w:description w:val=""/>
        <w:guid w:val="{2ddf02ca-ea60-46ea-a2a3-8d424dbddd87}"/>
      </w:docPartPr>
      <w:docPartBody>
        <w:p w14:paraId="67A36E09">
          <w:r>
            <w:rPr>
              <w:color w:val="808080"/>
            </w:rPr>
            <w:t>单击此处输入文字。</w:t>
          </w:r>
        </w:p>
      </w:docPartBody>
    </w:docPart>
    <w:docPart>
      <w:docPartPr>
        <w:name w:val="{1a84b966-06da-4b16-a029-92dcda554995}"/>
        <w:style w:val=""/>
        <w:category>
          <w:name w:val="常规"/>
          <w:gallery w:val="placeholder"/>
        </w:category>
        <w:types>
          <w:type w:val="bbPlcHdr"/>
        </w:types>
        <w:behaviors>
          <w:behavior w:val="content"/>
        </w:behaviors>
        <w:description w:val=""/>
        <w:guid w:val="{1a84b966-06da-4b16-a029-92dcda554995}"/>
      </w:docPartPr>
      <w:docPartBody>
        <w:p w14:paraId="517491E4">
          <w:r>
            <w:rPr>
              <w:color w:val="808080"/>
            </w:rPr>
            <w:t>单击此处输入文字。</w:t>
          </w:r>
        </w:p>
      </w:docPartBody>
    </w:docPart>
    <w:docPart>
      <w:docPartPr>
        <w:name w:val="{de50b283-dfed-4b44-943e-8fbff5699ccd}"/>
        <w:style w:val=""/>
        <w:category>
          <w:name w:val="常规"/>
          <w:gallery w:val="placeholder"/>
        </w:category>
        <w:types>
          <w:type w:val="bbPlcHdr"/>
        </w:types>
        <w:behaviors>
          <w:behavior w:val="content"/>
        </w:behaviors>
        <w:description w:val=""/>
        <w:guid w:val="{de50b283-dfed-4b44-943e-8fbff5699ccd}"/>
      </w:docPartPr>
      <w:docPartBody>
        <w:p w14:paraId="3534C343">
          <w:r>
            <w:rPr>
              <w:color w:val="808080"/>
            </w:rPr>
            <w:t>单击此处输入文字。</w:t>
          </w:r>
        </w:p>
      </w:docPartBody>
    </w:docPart>
    <w:docPart>
      <w:docPartPr>
        <w:name w:val="{47589704-c65a-4db6-a888-362a3120478f}"/>
        <w:style w:val=""/>
        <w:category>
          <w:name w:val="常规"/>
          <w:gallery w:val="placeholder"/>
        </w:category>
        <w:types>
          <w:type w:val="bbPlcHdr"/>
        </w:types>
        <w:behaviors>
          <w:behavior w:val="content"/>
        </w:behaviors>
        <w:description w:val=""/>
        <w:guid w:val="{47589704-c65a-4db6-a888-362a3120478f}"/>
      </w:docPartPr>
      <w:docPartBody>
        <w:p w14:paraId="4669EB3E">
          <w:r>
            <w:rPr>
              <w:color w:val="808080"/>
            </w:rPr>
            <w:t>单击此处输入文字。</w:t>
          </w:r>
        </w:p>
      </w:docPartBody>
    </w:docPart>
    <w:docPart>
      <w:docPartPr>
        <w:name w:val="{5736264b-9276-4bde-9836-f1e20da2ab49}"/>
        <w:style w:val=""/>
        <w:category>
          <w:name w:val="常规"/>
          <w:gallery w:val="placeholder"/>
        </w:category>
        <w:types>
          <w:type w:val="bbPlcHdr"/>
        </w:types>
        <w:behaviors>
          <w:behavior w:val="content"/>
        </w:behaviors>
        <w:description w:val=""/>
        <w:guid w:val="{5736264b-9276-4bde-9836-f1e20da2ab49}"/>
      </w:docPartPr>
      <w:docPartBody>
        <w:p w14:paraId="74C16016">
          <w:r>
            <w:rPr>
              <w:color w:val="808080"/>
            </w:rPr>
            <w:t>单击此处输入文字。</w:t>
          </w:r>
        </w:p>
      </w:docPartBody>
    </w:docPart>
    <w:docPart>
      <w:docPartPr>
        <w:name w:val="{f5516e8a-25ec-44bd-9505-cb10a3c68301}"/>
        <w:style w:val=""/>
        <w:category>
          <w:name w:val="常规"/>
          <w:gallery w:val="placeholder"/>
        </w:category>
        <w:types>
          <w:type w:val="bbPlcHdr"/>
        </w:types>
        <w:behaviors>
          <w:behavior w:val="content"/>
        </w:behaviors>
        <w:description w:val=""/>
        <w:guid w:val="{f5516e8a-25ec-44bd-9505-cb10a3c68301}"/>
      </w:docPartPr>
      <w:docPartBody>
        <w:p w14:paraId="68AC94FE">
          <w:r>
            <w:rPr>
              <w:color w:val="808080"/>
            </w:rPr>
            <w:t>单击此处输入文字。</w:t>
          </w:r>
        </w:p>
      </w:docPartBody>
    </w:docPart>
    <w:docPart>
      <w:docPartPr>
        <w:name w:val="{0b06e14f-48c5-4f91-9266-f3a2fa81d5a4}"/>
        <w:style w:val=""/>
        <w:category>
          <w:name w:val="常规"/>
          <w:gallery w:val="placeholder"/>
        </w:category>
        <w:types>
          <w:type w:val="bbPlcHdr"/>
        </w:types>
        <w:behaviors>
          <w:behavior w:val="content"/>
        </w:behaviors>
        <w:description w:val=""/>
        <w:guid w:val="{0b06e14f-48c5-4f91-9266-f3a2fa81d5a4}"/>
      </w:docPartPr>
      <w:docPartBody>
        <w:p w14:paraId="507D4081">
          <w:r>
            <w:rPr>
              <w:color w:val="808080"/>
            </w:rPr>
            <w:t>单击此处输入文字。</w:t>
          </w:r>
        </w:p>
      </w:docPartBody>
    </w:docPart>
    <w:docPart>
      <w:docPartPr>
        <w:name w:val="{d0e2e213-2a2d-4433-9be6-d702bb8eae8d}"/>
        <w:style w:val=""/>
        <w:category>
          <w:name w:val="常规"/>
          <w:gallery w:val="placeholder"/>
        </w:category>
        <w:types>
          <w:type w:val="bbPlcHdr"/>
        </w:types>
        <w:behaviors>
          <w:behavior w:val="content"/>
        </w:behaviors>
        <w:description w:val=""/>
        <w:guid w:val="{d0e2e213-2a2d-4433-9be6-d702bb8eae8d}"/>
      </w:docPartPr>
      <w:docPartBody>
        <w:p w14:paraId="03A61AF8">
          <w:r>
            <w:rPr>
              <w:color w:val="808080"/>
            </w:rPr>
            <w:t>单击此处输入文字。</w:t>
          </w:r>
        </w:p>
      </w:docPartBody>
    </w:docPart>
    <w:docPart>
      <w:docPartPr>
        <w:name w:val="{897071fe-cd00-4032-abff-d82027e29a55}"/>
        <w:style w:val=""/>
        <w:category>
          <w:name w:val="常规"/>
          <w:gallery w:val="placeholder"/>
        </w:category>
        <w:types>
          <w:type w:val="bbPlcHdr"/>
        </w:types>
        <w:behaviors>
          <w:behavior w:val="content"/>
        </w:behaviors>
        <w:description w:val=""/>
        <w:guid w:val="{897071fe-cd00-4032-abff-d82027e29a55}"/>
      </w:docPartPr>
      <w:docPartBody>
        <w:p w14:paraId="7583D89A">
          <w:r>
            <w:rPr>
              <w:color w:val="808080"/>
            </w:rPr>
            <w:t>单击此处输入文字。</w:t>
          </w:r>
        </w:p>
      </w:docPartBody>
    </w:docPart>
    <w:docPart>
      <w:docPartPr>
        <w:name w:val="{63b398a8-a590-459a-b27e-1669de9f0edd}"/>
        <w:style w:val=""/>
        <w:category>
          <w:name w:val="常规"/>
          <w:gallery w:val="placeholder"/>
        </w:category>
        <w:types>
          <w:type w:val="bbPlcHdr"/>
        </w:types>
        <w:behaviors>
          <w:behavior w:val="content"/>
        </w:behaviors>
        <w:description w:val=""/>
        <w:guid w:val="{63b398a8-a590-459a-b27e-1669de9f0edd}"/>
      </w:docPartPr>
      <w:docPartBody>
        <w:p w14:paraId="163557F8">
          <w:r>
            <w:rPr>
              <w:color w:val="808080"/>
            </w:rPr>
            <w:t>单击此处输入文字。</w:t>
          </w:r>
        </w:p>
      </w:docPartBody>
    </w:docPart>
    <w:docPart>
      <w:docPartPr>
        <w:name w:val="{230229d2-dd98-471d-a199-0142dc0256c3}"/>
        <w:style w:val=""/>
        <w:category>
          <w:name w:val="常规"/>
          <w:gallery w:val="placeholder"/>
        </w:category>
        <w:types>
          <w:type w:val="bbPlcHdr"/>
        </w:types>
        <w:behaviors>
          <w:behavior w:val="content"/>
        </w:behaviors>
        <w:description w:val=""/>
        <w:guid w:val="{230229d2-dd98-471d-a199-0142dc0256c3}"/>
      </w:docPartPr>
      <w:docPartBody>
        <w:p w14:paraId="6A9B727F">
          <w:r>
            <w:rPr>
              <w:color w:val="808080"/>
            </w:rPr>
            <w:t>单击此处输入文字。</w:t>
          </w:r>
        </w:p>
      </w:docPartBody>
    </w:docPart>
    <w:docPart>
      <w:docPartPr>
        <w:name w:val="{83f9d6da-806c-44bf-be72-f058743e5602}"/>
        <w:style w:val=""/>
        <w:category>
          <w:name w:val="常规"/>
          <w:gallery w:val="placeholder"/>
        </w:category>
        <w:types>
          <w:type w:val="bbPlcHdr"/>
        </w:types>
        <w:behaviors>
          <w:behavior w:val="content"/>
        </w:behaviors>
        <w:description w:val=""/>
        <w:guid w:val="{83f9d6da-806c-44bf-be72-f058743e5602}"/>
      </w:docPartPr>
      <w:docPartBody>
        <w:p w14:paraId="595D2438">
          <w:r>
            <w:rPr>
              <w:color w:val="808080"/>
            </w:rPr>
            <w:t>单击此处输入文字。</w:t>
          </w:r>
        </w:p>
      </w:docPartBody>
    </w:docPart>
    <w:docPart>
      <w:docPartPr>
        <w:name w:val="{fd5fa829-ad50-4b86-98dc-b988d423efcc}"/>
        <w:style w:val=""/>
        <w:category>
          <w:name w:val="常规"/>
          <w:gallery w:val="placeholder"/>
        </w:category>
        <w:types>
          <w:type w:val="bbPlcHdr"/>
        </w:types>
        <w:behaviors>
          <w:behavior w:val="content"/>
        </w:behaviors>
        <w:description w:val=""/>
        <w:guid w:val="{fd5fa829-ad50-4b86-98dc-b988d423efcc}"/>
      </w:docPartPr>
      <w:docPartBody>
        <w:p w14:paraId="0CF9AEFC">
          <w:r>
            <w:rPr>
              <w:color w:val="808080"/>
            </w:rPr>
            <w:t>单击此处输入文字。</w:t>
          </w:r>
        </w:p>
      </w:docPartBody>
    </w:docPart>
    <w:docPart>
      <w:docPartPr>
        <w:name w:val="{97ef3c47-8367-416b-ac22-aa7b611ddb74}"/>
        <w:style w:val=""/>
        <w:category>
          <w:name w:val="常规"/>
          <w:gallery w:val="placeholder"/>
        </w:category>
        <w:types>
          <w:type w:val="bbPlcHdr"/>
        </w:types>
        <w:behaviors>
          <w:behavior w:val="content"/>
        </w:behaviors>
        <w:description w:val=""/>
        <w:guid w:val="{97ef3c47-8367-416b-ac22-aa7b611ddb74}"/>
      </w:docPartPr>
      <w:docPartBody>
        <w:p w14:paraId="444BDD8F">
          <w:r>
            <w:rPr>
              <w:color w:val="808080"/>
            </w:rPr>
            <w:t>单击此处输入文字。</w:t>
          </w:r>
        </w:p>
      </w:docPartBody>
    </w:docPart>
    <w:docPart>
      <w:docPartPr>
        <w:name w:val="{08a3d61b-90e7-4158-ad6e-110bd85cd0dd}"/>
        <w:style w:val=""/>
        <w:category>
          <w:name w:val="常规"/>
          <w:gallery w:val="placeholder"/>
        </w:category>
        <w:types>
          <w:type w:val="bbPlcHdr"/>
        </w:types>
        <w:behaviors>
          <w:behavior w:val="content"/>
        </w:behaviors>
        <w:description w:val=""/>
        <w:guid w:val="{08a3d61b-90e7-4158-ad6e-110bd85cd0dd}"/>
      </w:docPartPr>
      <w:docPartBody>
        <w:p w14:paraId="14A7ADC0">
          <w:r>
            <w:rPr>
              <w:color w:val="808080"/>
            </w:rPr>
            <w:t>单击此处输入文字。</w:t>
          </w:r>
        </w:p>
      </w:docPartBody>
    </w:docPart>
    <w:docPart>
      <w:docPartPr>
        <w:name w:val="{c6897e9c-f3ca-4754-8aba-74b0e946be70}"/>
        <w:style w:val=""/>
        <w:category>
          <w:name w:val="常规"/>
          <w:gallery w:val="placeholder"/>
        </w:category>
        <w:types>
          <w:type w:val="bbPlcHdr"/>
        </w:types>
        <w:behaviors>
          <w:behavior w:val="content"/>
        </w:behaviors>
        <w:description w:val=""/>
        <w:guid w:val="{c6897e9c-f3ca-4754-8aba-74b0e946be70}"/>
      </w:docPartPr>
      <w:docPartBody>
        <w:p w14:paraId="6E442490">
          <w:r>
            <w:rPr>
              <w:color w:val="808080"/>
            </w:rPr>
            <w:t>单击此处输入文字。</w:t>
          </w:r>
        </w:p>
      </w:docPartBody>
    </w:docPart>
    <w:docPart>
      <w:docPartPr>
        <w:name w:val="{6c0b2eba-572a-4275-b099-f5012072f8e1}"/>
        <w:style w:val=""/>
        <w:category>
          <w:name w:val="常规"/>
          <w:gallery w:val="placeholder"/>
        </w:category>
        <w:types>
          <w:type w:val="bbPlcHdr"/>
        </w:types>
        <w:behaviors>
          <w:behavior w:val="content"/>
        </w:behaviors>
        <w:description w:val=""/>
        <w:guid w:val="{6c0b2eba-572a-4275-b099-f5012072f8e1}"/>
      </w:docPartPr>
      <w:docPartBody>
        <w:p w14:paraId="2BBC26B8">
          <w:r>
            <w:rPr>
              <w:color w:val="808080"/>
            </w:rPr>
            <w:t>单击此处输入文字。</w:t>
          </w:r>
        </w:p>
      </w:docPartBody>
    </w:docPart>
    <w:docPart>
      <w:docPartPr>
        <w:name w:val="{42e51950-3793-4618-a068-1e532d80b651}"/>
        <w:style w:val=""/>
        <w:category>
          <w:name w:val="常规"/>
          <w:gallery w:val="placeholder"/>
        </w:category>
        <w:types>
          <w:type w:val="bbPlcHdr"/>
        </w:types>
        <w:behaviors>
          <w:behavior w:val="content"/>
        </w:behaviors>
        <w:description w:val=""/>
        <w:guid w:val="{42e51950-3793-4618-a068-1e532d80b651}"/>
      </w:docPartPr>
      <w:docPartBody>
        <w:p w14:paraId="511DBD35">
          <w:r>
            <w:rPr>
              <w:color w:val="808080"/>
            </w:rPr>
            <w:t>单击此处输入文字。</w:t>
          </w:r>
        </w:p>
      </w:docPartBody>
    </w:docPart>
    <w:docPart>
      <w:docPartPr>
        <w:name w:val="{5fe94937-a0c8-441f-8baa-9f0ccc28f404}"/>
        <w:style w:val=""/>
        <w:category>
          <w:name w:val="常规"/>
          <w:gallery w:val="placeholder"/>
        </w:category>
        <w:types>
          <w:type w:val="bbPlcHdr"/>
        </w:types>
        <w:behaviors>
          <w:behavior w:val="content"/>
        </w:behaviors>
        <w:description w:val=""/>
        <w:guid w:val="{5fe94937-a0c8-441f-8baa-9f0ccc28f404}"/>
      </w:docPartPr>
      <w:docPartBody>
        <w:p w14:paraId="0D561F78">
          <w:r>
            <w:rPr>
              <w:color w:val="808080"/>
            </w:rPr>
            <w:t>单击此处输入文字。</w:t>
          </w:r>
        </w:p>
      </w:docPartBody>
    </w:docPart>
    <w:docPart>
      <w:docPartPr>
        <w:name w:val="{9b6ca77a-7d0a-4fdf-9e51-c786f7a9ba5e}"/>
        <w:style w:val=""/>
        <w:category>
          <w:name w:val="常规"/>
          <w:gallery w:val="placeholder"/>
        </w:category>
        <w:types>
          <w:type w:val="bbPlcHdr"/>
        </w:types>
        <w:behaviors>
          <w:behavior w:val="content"/>
        </w:behaviors>
        <w:description w:val=""/>
        <w:guid w:val="{9b6ca77a-7d0a-4fdf-9e51-c786f7a9ba5e}"/>
      </w:docPartPr>
      <w:docPartBody>
        <w:p w14:paraId="75B84A34">
          <w:r>
            <w:rPr>
              <w:color w:val="808080"/>
            </w:rPr>
            <w:t>单击此处输入文字。</w:t>
          </w:r>
        </w:p>
      </w:docPartBody>
    </w:docPart>
    <w:docPart>
      <w:docPartPr>
        <w:name w:val="{0507548c-a48a-4496-bed9-37dad9b99cb4}"/>
        <w:style w:val=""/>
        <w:category>
          <w:name w:val="常规"/>
          <w:gallery w:val="placeholder"/>
        </w:category>
        <w:types>
          <w:type w:val="bbPlcHdr"/>
        </w:types>
        <w:behaviors>
          <w:behavior w:val="content"/>
        </w:behaviors>
        <w:description w:val=""/>
        <w:guid w:val="{0507548c-a48a-4496-bed9-37dad9b99cb4}"/>
      </w:docPartPr>
      <w:docPartBody>
        <w:p w14:paraId="12E3E4DF">
          <w:r>
            <w:rPr>
              <w:color w:val="808080"/>
            </w:rPr>
            <w:t>单击此处输入文字。</w:t>
          </w:r>
        </w:p>
      </w:docPartBody>
    </w:docPart>
    <w:docPart>
      <w:docPartPr>
        <w:name w:val="{25065d26-19e5-4b91-a80e-dc65eb76ade0}"/>
        <w:style w:val=""/>
        <w:category>
          <w:name w:val="常规"/>
          <w:gallery w:val="placeholder"/>
        </w:category>
        <w:types>
          <w:type w:val="bbPlcHdr"/>
        </w:types>
        <w:behaviors>
          <w:behavior w:val="content"/>
        </w:behaviors>
        <w:description w:val=""/>
        <w:guid w:val="{25065d26-19e5-4b91-a80e-dc65eb76ade0}"/>
      </w:docPartPr>
      <w:docPartBody>
        <w:p w14:paraId="4A22BB50">
          <w:r>
            <w:rPr>
              <w:color w:val="808080"/>
            </w:rPr>
            <w:t>单击此处输入文字。</w:t>
          </w:r>
        </w:p>
      </w:docPartBody>
    </w:docPart>
    <w:docPart>
      <w:docPartPr>
        <w:name w:val="{73bbffb1-036f-4134-a55e-b612e07b8a11}"/>
        <w:style w:val=""/>
        <w:category>
          <w:name w:val="常规"/>
          <w:gallery w:val="placeholder"/>
        </w:category>
        <w:types>
          <w:type w:val="bbPlcHdr"/>
        </w:types>
        <w:behaviors>
          <w:behavior w:val="content"/>
        </w:behaviors>
        <w:description w:val=""/>
        <w:guid w:val="{73bbffb1-036f-4134-a55e-b612e07b8a11}"/>
      </w:docPartPr>
      <w:docPartBody>
        <w:p w14:paraId="5336FE2F">
          <w:r>
            <w:rPr>
              <w:color w:val="808080"/>
            </w:rPr>
            <w:t>单击此处输入文字。</w:t>
          </w:r>
        </w:p>
      </w:docPartBody>
    </w:docPart>
    <w:docPart>
      <w:docPartPr>
        <w:name w:val="{bbabaeee-6a5a-4956-a4b0-68d5cefd89c1}"/>
        <w:style w:val=""/>
        <w:category>
          <w:name w:val="常规"/>
          <w:gallery w:val="placeholder"/>
        </w:category>
        <w:types>
          <w:type w:val="bbPlcHdr"/>
        </w:types>
        <w:behaviors>
          <w:behavior w:val="content"/>
        </w:behaviors>
        <w:description w:val=""/>
        <w:guid w:val="{bbabaeee-6a5a-4956-a4b0-68d5cefd89c1}"/>
      </w:docPartPr>
      <w:docPartBody>
        <w:p w14:paraId="6E4B99AD">
          <w:r>
            <w:rPr>
              <w:color w:val="808080"/>
            </w:rPr>
            <w:t>单击此处输入文字。</w:t>
          </w:r>
        </w:p>
      </w:docPartBody>
    </w:docPart>
    <w:docPart>
      <w:docPartPr>
        <w:name w:val="{91f6542b-bf5f-4d66-b251-df17d0366592}"/>
        <w:style w:val=""/>
        <w:category>
          <w:name w:val="常规"/>
          <w:gallery w:val="placeholder"/>
        </w:category>
        <w:types>
          <w:type w:val="bbPlcHdr"/>
        </w:types>
        <w:behaviors>
          <w:behavior w:val="content"/>
        </w:behaviors>
        <w:description w:val=""/>
        <w:guid w:val="{91f6542b-bf5f-4d66-b251-df17d0366592}"/>
      </w:docPartPr>
      <w:docPartBody>
        <w:p w14:paraId="7F1870D2">
          <w:r>
            <w:rPr>
              <w:color w:val="808080"/>
            </w:rPr>
            <w:t>单击此处输入文字。</w:t>
          </w:r>
        </w:p>
      </w:docPartBody>
    </w:docPart>
    <w:docPart>
      <w:docPartPr>
        <w:name w:val="{5f5fda1c-2f27-43b6-afed-6854e37fe69a}"/>
        <w:style w:val=""/>
        <w:category>
          <w:name w:val="常规"/>
          <w:gallery w:val="placeholder"/>
        </w:category>
        <w:types>
          <w:type w:val="bbPlcHdr"/>
        </w:types>
        <w:behaviors>
          <w:behavior w:val="content"/>
        </w:behaviors>
        <w:description w:val=""/>
        <w:guid w:val="{5f5fda1c-2f27-43b6-afed-6854e37fe69a}"/>
      </w:docPartPr>
      <w:docPartBody>
        <w:p w14:paraId="5FBF9331">
          <w:r>
            <w:rPr>
              <w:color w:val="808080"/>
            </w:rPr>
            <w:t>单击此处输入文字。</w:t>
          </w:r>
        </w:p>
      </w:docPartBody>
    </w:docPart>
    <w:docPart>
      <w:docPartPr>
        <w:name w:val="{fd9347b9-2c4b-4493-a0ff-845dbd4b4545}"/>
        <w:style w:val=""/>
        <w:category>
          <w:name w:val="常规"/>
          <w:gallery w:val="placeholder"/>
        </w:category>
        <w:types>
          <w:type w:val="bbPlcHdr"/>
        </w:types>
        <w:behaviors>
          <w:behavior w:val="content"/>
        </w:behaviors>
        <w:description w:val=""/>
        <w:guid w:val="{fd9347b9-2c4b-4493-a0ff-845dbd4b4545}"/>
      </w:docPartPr>
      <w:docPartBody>
        <w:p w14:paraId="2CD4EC05">
          <w:r>
            <w:rPr>
              <w:color w:val="808080"/>
            </w:rPr>
            <w:t>单击此处输入文字。</w:t>
          </w:r>
        </w:p>
      </w:docPartBody>
    </w:docPart>
    <w:docPart>
      <w:docPartPr>
        <w:name w:val="{1ae8a79a-4e31-409e-aa75-0848149f2071}"/>
        <w:style w:val=""/>
        <w:category>
          <w:name w:val="常规"/>
          <w:gallery w:val="placeholder"/>
        </w:category>
        <w:types>
          <w:type w:val="bbPlcHdr"/>
        </w:types>
        <w:behaviors>
          <w:behavior w:val="content"/>
        </w:behaviors>
        <w:description w:val=""/>
        <w:guid w:val="{1ae8a79a-4e31-409e-aa75-0848149f2071}"/>
      </w:docPartPr>
      <w:docPartBody>
        <w:p w14:paraId="1CF017B0">
          <w:r>
            <w:rPr>
              <w:color w:val="808080"/>
            </w:rPr>
            <w:t>单击此处输入文字。</w:t>
          </w:r>
        </w:p>
      </w:docPartBody>
    </w:docPart>
    <w:docPart>
      <w:docPartPr>
        <w:name w:val="{66582d69-1c70-4b6d-bc67-b7bb2a1c4dcc}"/>
        <w:style w:val=""/>
        <w:category>
          <w:name w:val="常规"/>
          <w:gallery w:val="placeholder"/>
        </w:category>
        <w:types>
          <w:type w:val="bbPlcHdr"/>
        </w:types>
        <w:behaviors>
          <w:behavior w:val="content"/>
        </w:behaviors>
        <w:description w:val=""/>
        <w:guid w:val="{66582d69-1c70-4b6d-bc67-b7bb2a1c4dcc}"/>
      </w:docPartPr>
      <w:docPartBody>
        <w:p w14:paraId="24FEA2A0">
          <w:r>
            <w:rPr>
              <w:color w:val="808080"/>
            </w:rPr>
            <w:t>单击此处输入文字。</w:t>
          </w:r>
        </w:p>
      </w:docPartBody>
    </w:docPart>
    <w:docPart>
      <w:docPartPr>
        <w:name w:val="{1b468c49-c736-4ef1-abb0-9c879c725c4c}"/>
        <w:style w:val=""/>
        <w:category>
          <w:name w:val="常规"/>
          <w:gallery w:val="placeholder"/>
        </w:category>
        <w:types>
          <w:type w:val="bbPlcHdr"/>
        </w:types>
        <w:behaviors>
          <w:behavior w:val="content"/>
        </w:behaviors>
        <w:description w:val=""/>
        <w:guid w:val="{1b468c49-c736-4ef1-abb0-9c879c725c4c}"/>
      </w:docPartPr>
      <w:docPartBody>
        <w:p w14:paraId="56C6282C">
          <w:r>
            <w:rPr>
              <w:color w:val="808080"/>
            </w:rPr>
            <w:t>单击此处输入文字。</w:t>
          </w:r>
        </w:p>
      </w:docPartBody>
    </w:docPart>
    <w:docPart>
      <w:docPartPr>
        <w:name w:val="{72a61604-eb32-439d-8274-56566b5e89ba}"/>
        <w:style w:val=""/>
        <w:category>
          <w:name w:val="常规"/>
          <w:gallery w:val="placeholder"/>
        </w:category>
        <w:types>
          <w:type w:val="bbPlcHdr"/>
        </w:types>
        <w:behaviors>
          <w:behavior w:val="content"/>
        </w:behaviors>
        <w:description w:val=""/>
        <w:guid w:val="{72a61604-eb32-439d-8274-56566b5e89ba}"/>
      </w:docPartPr>
      <w:docPartBody>
        <w:p w14:paraId="160A7665">
          <w:r>
            <w:rPr>
              <w:color w:val="808080"/>
            </w:rPr>
            <w:t>单击此处输入文字。</w:t>
          </w:r>
        </w:p>
      </w:docPartBody>
    </w:docPart>
    <w:docPart>
      <w:docPartPr>
        <w:name w:val="{accdb6de-9166-49fd-89ca-c1209c026d3f}"/>
        <w:style w:val=""/>
        <w:category>
          <w:name w:val="常规"/>
          <w:gallery w:val="placeholder"/>
        </w:category>
        <w:types>
          <w:type w:val="bbPlcHdr"/>
        </w:types>
        <w:behaviors>
          <w:behavior w:val="content"/>
        </w:behaviors>
        <w:description w:val=""/>
        <w:guid w:val="{accdb6de-9166-49fd-89ca-c1209c026d3f}"/>
      </w:docPartPr>
      <w:docPartBody>
        <w:p w14:paraId="168DB774">
          <w:r>
            <w:rPr>
              <w:color w:val="808080"/>
            </w:rPr>
            <w:t>单击此处输入文字。</w:t>
          </w:r>
        </w:p>
      </w:docPartBody>
    </w:docPart>
    <w:docPart>
      <w:docPartPr>
        <w:name w:val="{572b8c0e-306f-410e-873b-b82bc0458805}"/>
        <w:style w:val=""/>
        <w:category>
          <w:name w:val="常规"/>
          <w:gallery w:val="placeholder"/>
        </w:category>
        <w:types>
          <w:type w:val="bbPlcHdr"/>
        </w:types>
        <w:behaviors>
          <w:behavior w:val="content"/>
        </w:behaviors>
        <w:description w:val=""/>
        <w:guid w:val="{572b8c0e-306f-410e-873b-b82bc0458805}"/>
      </w:docPartPr>
      <w:docPartBody>
        <w:p w14:paraId="4B84DF13">
          <w:r>
            <w:rPr>
              <w:color w:val="808080"/>
            </w:rPr>
            <w:t>单击此处输入文字。</w:t>
          </w:r>
        </w:p>
      </w:docPartBody>
    </w:docPart>
    <w:docPart>
      <w:docPartPr>
        <w:name w:val="{4ed91393-4754-41c8-844f-0075785fef91}"/>
        <w:style w:val=""/>
        <w:category>
          <w:name w:val="常规"/>
          <w:gallery w:val="placeholder"/>
        </w:category>
        <w:types>
          <w:type w:val="bbPlcHdr"/>
        </w:types>
        <w:behaviors>
          <w:behavior w:val="content"/>
        </w:behaviors>
        <w:description w:val=""/>
        <w:guid w:val="{4ed91393-4754-41c8-844f-0075785fef91}"/>
      </w:docPartPr>
      <w:docPartBody>
        <w:p w14:paraId="389FC375">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standalone='no'?>
<b:Sources xmlns:b="http://schemas.openxmlformats.org/officeDocument/2006/bibliography" SelectedStyle="\APASixthEditionOfficeOnline.xsl" Version="6" xmlns:b="http://schemas.openxmlformats.org/officeDocument/2006/bibliography" StyleName="APA"/>

</file>

<file path=customXml/itemProps1.xml><?xml version="1.0" encoding="utf-8"?>
<ds:datastoreItem xmlns:ds="http://schemas.openxmlformats.org/officeDocument/2006/customXml" ds:itemID="{B2B089E2-D438-45B4-B1D5-CABA8630F86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1232</Words>
  <Characters>7025</Characters>
  <Lines>58</Lines>
  <Paragraphs>16</Paragraphs>
  <TotalTime>0</TotalTime>
  <ScaleCrop>false</ScaleCrop>
  <LinksUpToDate>false</LinksUpToDate>
  <CharactersWithSpaces>8241</CharactersWithSpaces>
  <Application>WPS Office_12.8.2.19831_F1E327BC-269C-435d-A152-05C5408002CA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神奇小扭</cp:lastModifiedBy>
  <cp:lastPrinted>2023-07-31T10:35:00Z</cp:lastPrinted>
  <dcterms:modified xsi:type="dcterms:W3CDTF">2026-10-20T16:50:54Z</dcterms:modified>
  <dc:title>四川省***</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2052-12.8.2.19831</vt:lpwstr>
  </property>
  <property fmtid="{D5CDD505-2E9C-101B-9397-08002B2CF9AE}" pid="3" name="ICV">
    <vt:lpwstr>423AE45F2EA74D15BDF760A36EB3D5FE_12</vt:lpwstr>
  </property>
</Properties>
</file>