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A38E6">
      <w:pPr>
        <w:pageBreakBefore w:val="0"/>
        <w:kinsoku/>
        <w:wordWrap/>
        <w:topLinePunct w:val="0"/>
        <w:bidi w:val="0"/>
        <w:spacing w:line="240" w:lineRule="auto"/>
        <w:textAlignment w:val="auto"/>
        <w:outlineLvl w:val="0"/>
        <w:rPr>
          <w:rFonts w:hint="default" w:ascii="Times New Roman" w:hAnsi="Times New Roman" w:eastAsia="方正小标宋简体" w:cs="Times New Roman"/>
          <w:sz w:val="72"/>
          <w:szCs w:val="72"/>
        </w:rPr>
      </w:pPr>
      <w:bookmarkStart w:id="0" w:name="_Toc15377425"/>
      <w:bookmarkStart w:id="1" w:name="_Toc15396597"/>
      <w:bookmarkStart w:id="2" w:name="_Toc15396475"/>
      <w:bookmarkStart w:id="3" w:name="_Toc15377193"/>
      <w:bookmarkStart w:id="4" w:name="_Toc15378441"/>
      <w:bookmarkStart w:id="5" w:name="_Toc15306267"/>
    </w:p>
    <w:p w14:paraId="02732BB1">
      <w:pPr>
        <w:pStyle w:val="10"/>
        <w:pageBreakBefore w:val="0"/>
        <w:kinsoku/>
        <w:wordWrap/>
        <w:topLinePunct w:val="0"/>
        <w:bidi w:val="0"/>
        <w:spacing w:before="93" w:line="240" w:lineRule="auto"/>
        <w:textAlignment w:val="auto"/>
        <w:rPr>
          <w:rFonts w:hint="default" w:ascii="Times New Roman" w:hAnsi="Times New Roman" w:cs="Times New Roman"/>
        </w:rPr>
      </w:pPr>
    </w:p>
    <w:p w14:paraId="78B15F9B">
      <w:pPr>
        <w:pStyle w:val="10"/>
        <w:pageBreakBefore w:val="0"/>
        <w:kinsoku/>
        <w:wordWrap/>
        <w:topLinePunct w:val="0"/>
        <w:bidi w:val="0"/>
        <w:spacing w:before="93" w:line="240" w:lineRule="auto"/>
        <w:textAlignment w:val="auto"/>
        <w:rPr>
          <w:rFonts w:hint="default" w:ascii="Times New Roman" w:hAnsi="Times New Roman" w:cs="Times New Roman"/>
        </w:rPr>
      </w:pPr>
    </w:p>
    <w:p w14:paraId="3DE5F9D0">
      <w:pPr>
        <w:pageBreakBefore w:val="0"/>
        <w:kinsoku/>
        <w:wordWrap/>
        <w:topLinePunct w:val="0"/>
        <w:bidi w:val="0"/>
        <w:adjustRightInd w:val="0"/>
        <w:snapToGrid w:val="0"/>
        <w:spacing w:line="240" w:lineRule="auto"/>
        <w:jc w:val="center"/>
        <w:textAlignment w:val="auto"/>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lang w:eastAsia="zh-CN"/>
        </w:rPr>
        <w:t>2023</w:t>
      </w:r>
      <w:r>
        <w:rPr>
          <w:rFonts w:hint="default" w:ascii="Times New Roman" w:hAnsi="Times New Roman" w:eastAsia="方正小标宋简体" w:cs="Times New Roman"/>
          <w:sz w:val="72"/>
          <w:szCs w:val="72"/>
        </w:rPr>
        <w:t>年度</w:t>
      </w:r>
      <w:bookmarkEnd w:id="0"/>
      <w:bookmarkEnd w:id="1"/>
      <w:bookmarkEnd w:id="2"/>
      <w:bookmarkEnd w:id="3"/>
      <w:bookmarkEnd w:id="4"/>
    </w:p>
    <w:bookmarkEnd w:id="5"/>
    <w:p w14:paraId="2C34C93D">
      <w:pPr>
        <w:pageBreakBefore w:val="0"/>
        <w:kinsoku/>
        <w:wordWrap/>
        <w:topLinePunct w:val="0"/>
        <w:bidi w:val="0"/>
        <w:adjustRightInd w:val="0"/>
        <w:snapToGrid w:val="0"/>
        <w:spacing w:line="240" w:lineRule="auto"/>
        <w:jc w:val="center"/>
        <w:textAlignment w:val="auto"/>
        <w:outlineLvl w:val="0"/>
        <w:rPr>
          <w:rFonts w:hint="default" w:ascii="Times New Roman" w:hAnsi="Times New Roman" w:eastAsia="方正小标宋简体" w:cs="Times New Roman"/>
          <w:spacing w:val="-20"/>
          <w:sz w:val="72"/>
          <w:szCs w:val="72"/>
        </w:rPr>
      </w:pPr>
      <w:bookmarkStart w:id="6" w:name="_Toc15306268"/>
      <w:bookmarkStart w:id="7" w:name="_Toc15378442"/>
      <w:bookmarkStart w:id="8" w:name="_Toc15396476"/>
      <w:bookmarkStart w:id="9" w:name="_Toc15377426"/>
      <w:bookmarkStart w:id="10" w:name="_Toc15377194"/>
      <w:bookmarkStart w:id="11" w:name="_Toc15396598"/>
      <w:r>
        <w:rPr>
          <w:rFonts w:hint="default" w:ascii="Times New Roman" w:hAnsi="Times New Roman" w:eastAsia="方正小标宋简体" w:cs="Times New Roman"/>
          <w:sz w:val="72"/>
          <w:szCs w:val="72"/>
        </w:rPr>
        <w:t>攀枝花市西区</w:t>
      </w:r>
      <w:r>
        <w:rPr>
          <w:rFonts w:hint="default" w:ascii="Times New Roman" w:hAnsi="Times New Roman" w:eastAsia="方正小标宋简体" w:cs="Times New Roman"/>
          <w:spacing w:val="-20"/>
          <w:sz w:val="72"/>
          <w:szCs w:val="72"/>
        </w:rPr>
        <w:t>河门口街道</w:t>
      </w:r>
    </w:p>
    <w:p w14:paraId="4950CA6E">
      <w:pPr>
        <w:pageBreakBefore w:val="0"/>
        <w:kinsoku/>
        <w:wordWrap/>
        <w:topLinePunct w:val="0"/>
        <w:bidi w:val="0"/>
        <w:adjustRightInd w:val="0"/>
        <w:snapToGrid w:val="0"/>
        <w:spacing w:line="240" w:lineRule="auto"/>
        <w:jc w:val="center"/>
        <w:textAlignment w:val="auto"/>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pacing w:val="-20"/>
          <w:sz w:val="72"/>
          <w:szCs w:val="72"/>
        </w:rPr>
        <w:t>办事处部门决算</w:t>
      </w:r>
      <w:bookmarkEnd w:id="6"/>
      <w:bookmarkEnd w:id="7"/>
      <w:bookmarkEnd w:id="8"/>
      <w:bookmarkEnd w:id="9"/>
      <w:bookmarkEnd w:id="10"/>
      <w:bookmarkEnd w:id="11"/>
    </w:p>
    <w:p w14:paraId="04AD87CB">
      <w:pPr>
        <w:pageBreakBefore w:val="0"/>
        <w:widowControl/>
        <w:kinsoku/>
        <w:wordWrap/>
        <w:topLinePunct w:val="0"/>
        <w:bidi w:val="0"/>
        <w:spacing w:line="240" w:lineRule="auto"/>
        <w:jc w:val="center"/>
        <w:textAlignment w:val="auto"/>
        <w:rPr>
          <w:rFonts w:hint="default" w:ascii="Times New Roman" w:hAnsi="Times New Roman" w:eastAsia="方正小标宋_GBK" w:cs="Times New Roman"/>
          <w:color w:val="auto"/>
          <w:sz w:val="48"/>
          <w:szCs w:val="48"/>
        </w:rPr>
      </w:pPr>
      <w:r>
        <w:rPr>
          <w:rFonts w:hint="default" w:ascii="Times New Roman" w:hAnsi="Times New Roman" w:eastAsia="方正小标宋简体" w:cs="Times New Roman"/>
          <w:sz w:val="36"/>
          <w:szCs w:val="36"/>
        </w:rPr>
        <w:br w:type="page"/>
      </w:r>
      <w:bookmarkStart w:id="12" w:name="_Toc15377196"/>
      <w:bookmarkStart w:id="13" w:name="_Toc15396599"/>
      <w:r>
        <w:rPr>
          <w:rFonts w:hint="default" w:ascii="Times New Roman" w:hAnsi="Times New Roman" w:eastAsia="方正小标宋_GBK" w:cs="Times New Roman"/>
          <w:color w:val="auto"/>
          <w:sz w:val="48"/>
          <w:szCs w:val="48"/>
        </w:rPr>
        <w:t>目录</w:t>
      </w:r>
    </w:p>
    <w:p w14:paraId="51020365">
      <w:pPr>
        <w:pStyle w:val="15"/>
        <w:pageBreakBefore w:val="0"/>
        <w:kinsoku/>
        <w:wordWrap/>
        <w:topLinePunct w:val="0"/>
        <w:bidi w:val="0"/>
        <w:spacing w:line="240" w:lineRule="auto"/>
        <w:ind w:firstLine="560" w:firstLineChars="200"/>
        <w:textAlignment w:val="auto"/>
        <w:rPr>
          <w:rFonts w:hint="default" w:ascii="Times New Roman" w:hAnsi="Times New Roman" w:cs="Times New Roman"/>
        </w:rPr>
      </w:pPr>
      <w:r>
        <w:rPr>
          <w:rFonts w:hint="default" w:ascii="Times New Roman" w:hAnsi="Times New Roman" w:cs="Times New Roman"/>
        </w:rPr>
        <w:t>公开时间：202</w:t>
      </w:r>
      <w:r>
        <w:rPr>
          <w:rFonts w:hint="default" w:ascii="Times New Roman" w:hAnsi="Times New Roman" w:cs="Times New Roman"/>
          <w:lang w:val="en-US" w:eastAsia="zh-CN"/>
        </w:rPr>
        <w:t>4</w:t>
      </w:r>
      <w:r>
        <w:rPr>
          <w:rFonts w:hint="default" w:ascii="Times New Roman" w:hAnsi="Times New Roman" w:cs="Times New Roman"/>
        </w:rPr>
        <w:t>年10月</w:t>
      </w:r>
      <w:r>
        <w:rPr>
          <w:rFonts w:hint="default" w:ascii="Times New Roman" w:hAnsi="Times New Roman" w:cs="Times New Roman"/>
          <w:lang w:val="en-US" w:eastAsia="zh-CN"/>
        </w:rPr>
        <w:t>2</w:t>
      </w:r>
      <w:r>
        <w:rPr>
          <w:rFonts w:hint="eastAsia" w:ascii="Times New Roman" w:hAnsi="Times New Roman" w:cs="Times New Roman"/>
          <w:lang w:val="en-US" w:eastAsia="zh-CN"/>
        </w:rPr>
        <w:t>4</w:t>
      </w:r>
      <w:r>
        <w:rPr>
          <w:rFonts w:hint="default" w:ascii="Times New Roman" w:hAnsi="Times New Roman" w:cs="Times New Roman"/>
        </w:rPr>
        <w:t>日</w:t>
      </w:r>
    </w:p>
    <w:p w14:paraId="4CC9DCD1">
      <w:pPr>
        <w:pStyle w:val="15"/>
        <w:pageBreakBefore w:val="0"/>
        <w:kinsoku/>
        <w:wordWrap/>
        <w:topLinePunct w:val="0"/>
        <w:bidi w:val="0"/>
        <w:adjustRightInd w:val="0"/>
        <w:snapToGrid w:val="0"/>
        <w:spacing w:before="0" w:line="240" w:lineRule="auto"/>
        <w:jc w:val="left"/>
        <w:textAlignment w:val="auto"/>
        <w:rPr>
          <w:rFonts w:hint="eastAsia" w:ascii="Times New Roman" w:hAnsi="Times New Roman" w:eastAsia="仿宋" w:cs="Times New Roman"/>
          <w:sz w:val="24"/>
          <w:szCs w:val="24"/>
          <w:lang w:eastAsia="zh-CN"/>
        </w:rPr>
      </w:pPr>
      <w:r>
        <w:rPr>
          <w:rFonts w:hint="default" w:ascii="Times New Roman" w:hAnsi="Times New Roman" w:cs="Times New Roman"/>
          <w:sz w:val="24"/>
        </w:rPr>
        <w:t>第一部分部门概况</w:t>
      </w:r>
      <w:r>
        <w:rPr>
          <w:rFonts w:hint="default" w:ascii="Times New Roman" w:hAnsi="Times New Roman" w:cs="Times New Roman"/>
        </w:rPr>
        <w:tab/>
      </w:r>
      <w:r>
        <w:rPr>
          <w:rFonts w:hint="eastAsia" w:ascii="Times New Roman" w:hAnsi="Times New Roman" w:eastAsia="宋体" w:cs="Times New Roman"/>
          <w:sz w:val="21"/>
          <w:szCs w:val="24"/>
          <w:lang w:val="en-US" w:eastAsia="zh-CN"/>
        </w:rPr>
        <w:t>3</w:t>
      </w:r>
    </w:p>
    <w:p w14:paraId="7B7F3859">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eastAsia="zh-CN"/>
        </w:rPr>
      </w:pPr>
      <w:r>
        <w:rPr>
          <w:rFonts w:hint="default" w:ascii="Times New Roman" w:hAnsi="Times New Roman" w:cs="Times New Roman"/>
          <w:sz w:val="24"/>
        </w:rPr>
        <w:t>一、部门职责</w:t>
      </w:r>
      <w:r>
        <w:rPr>
          <w:rFonts w:hint="default" w:ascii="Times New Roman" w:hAnsi="Times New Roman" w:cs="Times New Roman"/>
        </w:rPr>
        <w:tab/>
      </w:r>
      <w:r>
        <w:rPr>
          <w:rFonts w:hint="eastAsia" w:cs="Times New Roman"/>
          <w:lang w:val="en-US" w:eastAsia="zh-CN"/>
        </w:rPr>
        <w:t>3</w:t>
      </w:r>
    </w:p>
    <w:p w14:paraId="701F0054">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sz w:val="24"/>
        </w:rPr>
        <w:t>二、机构设置</w:t>
      </w:r>
      <w:r>
        <w:rPr>
          <w:rFonts w:hint="default" w:ascii="Times New Roman" w:hAnsi="Times New Roman" w:cs="Times New Roman"/>
        </w:rPr>
        <w:tab/>
      </w:r>
      <w:r>
        <w:rPr>
          <w:rFonts w:hint="eastAsia" w:cs="Times New Roman"/>
          <w:lang w:val="en-US" w:eastAsia="zh-CN"/>
        </w:rPr>
        <w:t>4</w:t>
      </w:r>
    </w:p>
    <w:p w14:paraId="77B16526">
      <w:pPr>
        <w:pStyle w:val="15"/>
        <w:pageBreakBefore w:val="0"/>
        <w:kinsoku/>
        <w:wordWrap/>
        <w:topLinePunct w:val="0"/>
        <w:bidi w:val="0"/>
        <w:adjustRightInd w:val="0"/>
        <w:snapToGrid w:val="0"/>
        <w:spacing w:before="0" w:line="240" w:lineRule="auto"/>
        <w:jc w:val="left"/>
        <w:textAlignment w:val="auto"/>
        <w:rPr>
          <w:rFonts w:hint="eastAsia" w:ascii="Times New Roman" w:hAnsi="Times New Roman" w:eastAsia="仿宋" w:cs="Times New Roman"/>
          <w:sz w:val="24"/>
          <w:szCs w:val="24"/>
          <w:lang w:eastAsia="zh-CN"/>
        </w:rPr>
      </w:pPr>
      <w:r>
        <w:rPr>
          <w:rFonts w:hint="default" w:ascii="Times New Roman" w:hAnsi="Times New Roman" w:cs="Times New Roman"/>
          <w:sz w:val="24"/>
        </w:rPr>
        <w:t xml:space="preserve">第二部分 </w:t>
      </w:r>
      <w:r>
        <w:rPr>
          <w:rFonts w:hint="default" w:ascii="Times New Roman" w:hAnsi="Times New Roman" w:cs="Times New Roman"/>
          <w:sz w:val="24"/>
          <w:lang w:eastAsia="zh-CN"/>
        </w:rPr>
        <w:t>2023</w:t>
      </w:r>
      <w:r>
        <w:rPr>
          <w:rFonts w:hint="default" w:ascii="Times New Roman" w:hAnsi="Times New Roman" w:cs="Times New Roman"/>
          <w:sz w:val="24"/>
        </w:rPr>
        <w:t>年度部门决算情况说明</w:t>
      </w:r>
      <w:r>
        <w:rPr>
          <w:rFonts w:hint="default" w:ascii="Times New Roman" w:hAnsi="Times New Roman" w:cs="Times New Roman"/>
        </w:rPr>
        <w:tab/>
      </w:r>
      <w:r>
        <w:rPr>
          <w:rFonts w:hint="eastAsia" w:ascii="Times New Roman" w:hAnsi="Times New Roman" w:eastAsia="宋体" w:cs="Times New Roman"/>
          <w:sz w:val="21"/>
          <w:szCs w:val="24"/>
          <w:lang w:val="en-US" w:eastAsia="zh-CN"/>
        </w:rPr>
        <w:t>5</w:t>
      </w:r>
    </w:p>
    <w:p w14:paraId="7EFD96B7">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eastAsia="zh-CN"/>
        </w:rPr>
      </w:pPr>
      <w:r>
        <w:rPr>
          <w:rFonts w:hint="default" w:ascii="Times New Roman" w:hAnsi="Times New Roman" w:cs="Times New Roman"/>
          <w:sz w:val="24"/>
        </w:rPr>
        <w:t>一、收入支出决算总体情况说明</w:t>
      </w:r>
      <w:r>
        <w:rPr>
          <w:rFonts w:hint="default" w:ascii="Times New Roman" w:hAnsi="Times New Roman" w:cs="Times New Roman"/>
        </w:rPr>
        <w:tab/>
      </w:r>
      <w:r>
        <w:rPr>
          <w:rFonts w:hint="eastAsia" w:cs="Times New Roman"/>
          <w:lang w:val="en-US" w:eastAsia="zh-CN"/>
        </w:rPr>
        <w:t>5</w:t>
      </w:r>
    </w:p>
    <w:p w14:paraId="29DC23E2">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eastAsia="zh-CN"/>
        </w:rPr>
      </w:pPr>
      <w:r>
        <w:rPr>
          <w:rFonts w:hint="default" w:ascii="Times New Roman" w:hAnsi="Times New Roman" w:cs="Times New Roman"/>
          <w:sz w:val="24"/>
        </w:rPr>
        <w:t>二、收入决算情况说明</w:t>
      </w:r>
      <w:r>
        <w:rPr>
          <w:rFonts w:hint="default" w:ascii="Times New Roman" w:hAnsi="Times New Roman" w:cs="Times New Roman"/>
        </w:rPr>
        <w:tab/>
      </w:r>
      <w:r>
        <w:rPr>
          <w:rFonts w:hint="eastAsia" w:cs="Times New Roman"/>
          <w:lang w:val="en-US" w:eastAsia="zh-CN"/>
        </w:rPr>
        <w:t>6</w:t>
      </w:r>
    </w:p>
    <w:p w14:paraId="33CF7D27">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仿宋" w:cs="Times New Roman"/>
          <w:sz w:val="24"/>
        </w:rPr>
      </w:pPr>
      <w:r>
        <w:rPr>
          <w:rFonts w:hint="default" w:ascii="Times New Roman" w:hAnsi="Times New Roman" w:cs="Times New Roman"/>
          <w:sz w:val="24"/>
        </w:rPr>
        <w:t>三、支出决算情况说明</w:t>
      </w:r>
      <w:r>
        <w:rPr>
          <w:rFonts w:hint="default" w:ascii="Times New Roman" w:hAnsi="Times New Roman" w:cs="Times New Roman"/>
        </w:rPr>
        <w:tab/>
      </w:r>
      <w:r>
        <w:rPr>
          <w:rFonts w:hint="default" w:ascii="Times New Roman" w:hAnsi="Times New Roman" w:cs="Times New Roman"/>
        </w:rPr>
        <w:t>7</w:t>
      </w:r>
    </w:p>
    <w:p w14:paraId="5AB9D183">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eastAsia="zh-CN"/>
        </w:rPr>
      </w:pPr>
      <w:r>
        <w:rPr>
          <w:rFonts w:hint="default" w:ascii="Times New Roman" w:hAnsi="Times New Roman" w:cs="Times New Roman"/>
          <w:sz w:val="24"/>
        </w:rPr>
        <w:t>四、财政拨款收入支出决算总体情况说明</w:t>
      </w:r>
      <w:r>
        <w:rPr>
          <w:rFonts w:hint="default" w:ascii="Times New Roman" w:hAnsi="Times New Roman" w:cs="Times New Roman"/>
        </w:rPr>
        <w:tab/>
      </w:r>
      <w:r>
        <w:rPr>
          <w:rFonts w:hint="eastAsia" w:cs="Times New Roman"/>
          <w:lang w:val="en-US" w:eastAsia="zh-CN"/>
        </w:rPr>
        <w:t>7</w:t>
      </w:r>
    </w:p>
    <w:p w14:paraId="06621063">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sz w:val="24"/>
        </w:rPr>
        <w:t>五、一般公共预算财政拨款支出决算情况说明</w:t>
      </w:r>
      <w:r>
        <w:rPr>
          <w:rFonts w:hint="default" w:ascii="Times New Roman" w:hAnsi="Times New Roman" w:cs="Times New Roman"/>
        </w:rPr>
        <w:tab/>
      </w:r>
      <w:r>
        <w:rPr>
          <w:rFonts w:hint="eastAsia" w:cs="Times New Roman"/>
          <w:lang w:val="en-US" w:eastAsia="zh-CN"/>
        </w:rPr>
        <w:t>8</w:t>
      </w:r>
    </w:p>
    <w:p w14:paraId="23CBE3E5">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sz w:val="24"/>
        </w:rPr>
        <w:t>六、一般公共预算财政拨款基本支出决算情况说明</w:t>
      </w:r>
      <w:r>
        <w:rPr>
          <w:rFonts w:hint="default" w:ascii="Times New Roman" w:hAnsi="Times New Roman" w:cs="Times New Roman"/>
        </w:rPr>
        <w:tab/>
      </w:r>
      <w:r>
        <w:rPr>
          <w:rFonts w:hint="default" w:ascii="Times New Roman" w:hAnsi="Times New Roman" w:cs="Times New Roman"/>
        </w:rPr>
        <w:t>1</w:t>
      </w:r>
      <w:r>
        <w:rPr>
          <w:rFonts w:hint="eastAsia" w:cs="Times New Roman"/>
          <w:lang w:val="en-US" w:eastAsia="zh-CN"/>
        </w:rPr>
        <w:t>3</w:t>
      </w:r>
    </w:p>
    <w:p w14:paraId="7BEDF1B5">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sz w:val="24"/>
        </w:rPr>
        <w:t>七、</w:t>
      </w:r>
      <w:r>
        <w:rPr>
          <w:rFonts w:hint="default" w:ascii="Times New Roman" w:hAnsi="Times New Roman" w:cs="Times New Roman"/>
          <w:sz w:val="24"/>
          <w:lang w:eastAsia="zh-CN"/>
        </w:rPr>
        <w:t>财政拨款</w:t>
      </w:r>
      <w:r>
        <w:rPr>
          <w:rFonts w:hint="default" w:ascii="Times New Roman" w:hAnsi="Times New Roman" w:cs="Times New Roman"/>
          <w:sz w:val="24"/>
        </w:rPr>
        <w:t>“三公”经费支出决算情况说明</w:t>
      </w:r>
      <w:r>
        <w:rPr>
          <w:rFonts w:hint="default" w:ascii="Times New Roman" w:hAnsi="Times New Roman" w:cs="Times New Roman"/>
        </w:rPr>
        <w:tab/>
      </w:r>
      <w:r>
        <w:rPr>
          <w:rFonts w:hint="default" w:ascii="Times New Roman" w:hAnsi="Times New Roman" w:cs="Times New Roman"/>
        </w:rPr>
        <w:t>1</w:t>
      </w:r>
      <w:r>
        <w:rPr>
          <w:rFonts w:hint="eastAsia" w:cs="Times New Roman"/>
          <w:lang w:val="en-US" w:eastAsia="zh-CN"/>
        </w:rPr>
        <w:t>3</w:t>
      </w:r>
    </w:p>
    <w:p w14:paraId="52B8574A">
      <w:pPr>
        <w:pStyle w:val="16"/>
        <w:pageBreakBefore w:val="0"/>
        <w:kinsoku/>
        <w:wordWrap/>
        <w:topLinePunct w:val="0"/>
        <w:bidi w:val="0"/>
        <w:adjustRightInd w:val="0"/>
        <w:snapToGrid w:val="0"/>
        <w:spacing w:line="240" w:lineRule="auto"/>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sz w:val="24"/>
        </w:rPr>
        <w:t>八、政府性基金预算支出决算情况说明</w:t>
      </w:r>
      <w:r>
        <w:rPr>
          <w:rFonts w:hint="default" w:ascii="Times New Roman" w:hAnsi="Times New Roman" w:cs="Times New Roman"/>
        </w:rPr>
        <w:tab/>
      </w:r>
      <w:r>
        <w:rPr>
          <w:rFonts w:hint="default" w:ascii="Times New Roman" w:hAnsi="Times New Roman" w:cs="Times New Roman"/>
        </w:rPr>
        <w:t>1</w:t>
      </w:r>
      <w:r>
        <w:rPr>
          <w:rFonts w:hint="eastAsia" w:cs="Times New Roman"/>
          <w:lang w:val="en-US" w:eastAsia="zh-CN"/>
        </w:rPr>
        <w:t>5</w:t>
      </w:r>
    </w:p>
    <w:p w14:paraId="3F024AEF">
      <w:pPr>
        <w:pStyle w:val="16"/>
        <w:pageBreakBefore w:val="0"/>
        <w:kinsoku/>
        <w:wordWrap/>
        <w:topLinePunct w:val="0"/>
        <w:bidi w:val="0"/>
        <w:adjustRightInd w:val="0"/>
        <w:snapToGrid w:val="0"/>
        <w:spacing w:line="240" w:lineRule="auto"/>
        <w:ind w:leftChars="0"/>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eastAsiaTheme="minorEastAsia"/>
          <w:sz w:val="24"/>
        </w:rPr>
        <w:t>九、国有资本经营预算支出决算情况说明</w:t>
      </w:r>
      <w:r>
        <w:rPr>
          <w:rFonts w:hint="default" w:ascii="Times New Roman" w:hAnsi="Times New Roman" w:cs="Times New Roman"/>
        </w:rPr>
        <w:tab/>
      </w:r>
      <w:r>
        <w:rPr>
          <w:rFonts w:hint="default" w:ascii="Times New Roman" w:hAnsi="Times New Roman" w:cs="Times New Roman"/>
        </w:rPr>
        <w:t>1</w:t>
      </w:r>
      <w:r>
        <w:rPr>
          <w:rFonts w:hint="eastAsia" w:cs="Times New Roman"/>
          <w:lang w:val="en-US" w:eastAsia="zh-CN"/>
        </w:rPr>
        <w:t>5</w:t>
      </w:r>
    </w:p>
    <w:p w14:paraId="66295744">
      <w:pPr>
        <w:pageBreakBefore w:val="0"/>
        <w:kinsoku/>
        <w:wordWrap/>
        <w:topLinePunct w:val="0"/>
        <w:bidi w:val="0"/>
        <w:adjustRightInd w:val="0"/>
        <w:snapToGrid w:val="0"/>
        <w:spacing w:line="240" w:lineRule="auto"/>
        <w:ind w:firstLine="420" w:firstLineChars="200"/>
        <w:jc w:val="left"/>
        <w:textAlignment w:val="auto"/>
        <w:rPr>
          <w:rFonts w:hint="eastAsia" w:ascii="Times New Roman" w:hAnsi="Times New Roman" w:eastAsia="宋体" w:cs="Times New Roman"/>
          <w:sz w:val="24"/>
          <w:lang w:val="en-US" w:eastAsia="zh-CN"/>
        </w:rPr>
      </w:pPr>
      <w:r>
        <w:rPr>
          <w:rFonts w:hint="default" w:ascii="Times New Roman" w:hAnsi="Times New Roman" w:cs="Times New Roman" w:eastAsiaTheme="minorEastAsia"/>
        </w:rPr>
        <w:t>十、</w:t>
      </w:r>
      <w:r>
        <w:rPr>
          <w:rFonts w:hint="default" w:ascii="Times New Roman" w:hAnsi="Times New Roman" w:cs="Times New Roman" w:eastAsiaTheme="minorEastAsia"/>
          <w:sz w:val="24"/>
        </w:rPr>
        <w:t>其他重要事项的情况说明</w:t>
      </w:r>
      <w:r>
        <w:rPr>
          <w:rFonts w:hint="default" w:ascii="Times New Roman" w:hAnsi="Times New Roman" w:cs="Times New Roman"/>
          <w:sz w:val="24"/>
        </w:rPr>
        <w:t>........................................................................... .</w:t>
      </w:r>
      <w:r>
        <w:rPr>
          <w:rFonts w:hint="default" w:ascii="Times New Roman" w:hAnsi="Times New Roman" w:cs="Times New Roman"/>
        </w:rPr>
        <w:t>1</w:t>
      </w:r>
      <w:r>
        <w:rPr>
          <w:rFonts w:hint="eastAsia" w:cs="Times New Roman"/>
          <w:lang w:val="en-US" w:eastAsia="zh-CN"/>
        </w:rPr>
        <w:t>5</w:t>
      </w:r>
    </w:p>
    <w:p w14:paraId="56A310E6">
      <w:pPr>
        <w:pStyle w:val="15"/>
        <w:pageBreakBefore w:val="0"/>
        <w:kinsoku/>
        <w:wordWrap/>
        <w:topLinePunct w:val="0"/>
        <w:bidi w:val="0"/>
        <w:adjustRightInd w:val="0"/>
        <w:snapToGrid w:val="0"/>
        <w:spacing w:before="0" w:line="24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rPr>
        <w:t>第三部分名词解释</w:t>
      </w:r>
      <w:r>
        <w:rPr>
          <w:rFonts w:hint="default" w:ascii="Times New Roman" w:hAnsi="Times New Roman" w:cs="Times New Roman"/>
        </w:rPr>
        <w:tab/>
      </w:r>
      <w:r>
        <w:rPr>
          <w:rFonts w:hint="default" w:ascii="Times New Roman" w:hAnsi="Times New Roman" w:eastAsia="宋体" w:cs="Times New Roman"/>
          <w:sz w:val="21"/>
          <w:szCs w:val="24"/>
        </w:rPr>
        <w:t>17</w:t>
      </w:r>
    </w:p>
    <w:p w14:paraId="622FE7C2">
      <w:pPr>
        <w:pStyle w:val="15"/>
        <w:pageBreakBefore w:val="0"/>
        <w:kinsoku/>
        <w:wordWrap/>
        <w:topLinePunct w:val="0"/>
        <w:bidi w:val="0"/>
        <w:adjustRightInd w:val="0"/>
        <w:snapToGrid w:val="0"/>
        <w:spacing w:before="0" w:line="240" w:lineRule="auto"/>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rPr>
        <w:t>第四部分附件</w:t>
      </w:r>
      <w:r>
        <w:rPr>
          <w:rFonts w:hint="default" w:ascii="Times New Roman" w:hAnsi="Times New Roman" w:cs="Times New Roman"/>
        </w:rPr>
        <w:tab/>
      </w:r>
      <w:r>
        <w:rPr>
          <w:rFonts w:hint="default" w:ascii="Times New Roman" w:hAnsi="Times New Roman" w:eastAsia="宋体" w:cs="Times New Roman"/>
          <w:sz w:val="21"/>
          <w:szCs w:val="24"/>
        </w:rPr>
        <w:t>2</w:t>
      </w:r>
      <w:r>
        <w:rPr>
          <w:rFonts w:hint="eastAsia" w:ascii="Times New Roman" w:hAnsi="Times New Roman" w:eastAsia="宋体" w:cs="Times New Roman"/>
          <w:sz w:val="21"/>
          <w:szCs w:val="24"/>
          <w:lang w:val="en-US" w:eastAsia="zh-CN"/>
        </w:rPr>
        <w:t>0</w:t>
      </w:r>
    </w:p>
    <w:p w14:paraId="5224EDE5">
      <w:pPr>
        <w:pStyle w:val="15"/>
        <w:pageBreakBefore w:val="0"/>
        <w:kinsoku/>
        <w:wordWrap/>
        <w:topLinePunct w:val="0"/>
        <w:bidi w:val="0"/>
        <w:adjustRightInd w:val="0"/>
        <w:snapToGrid w:val="0"/>
        <w:spacing w:before="0" w:line="240" w:lineRule="auto"/>
        <w:jc w:val="left"/>
        <w:textAlignment w:val="auto"/>
        <w:rPr>
          <w:rFonts w:hint="default" w:ascii="Times New Roman" w:hAnsi="Times New Roman" w:eastAsia="宋体" w:cs="Times New Roman"/>
          <w:sz w:val="21"/>
          <w:szCs w:val="24"/>
          <w:lang w:val="en-US" w:eastAsia="zh-CN"/>
        </w:rPr>
      </w:pPr>
      <w:r>
        <w:rPr>
          <w:rFonts w:hint="default" w:ascii="Times New Roman" w:hAnsi="Times New Roman" w:cs="Times New Roman"/>
          <w:sz w:val="24"/>
        </w:rPr>
        <w:t>第五部分附表</w:t>
      </w:r>
      <w:r>
        <w:rPr>
          <w:rFonts w:hint="default" w:ascii="Times New Roman" w:hAnsi="Times New Roman" w:cs="Times New Roman"/>
        </w:rPr>
        <w:tab/>
      </w:r>
      <w:r>
        <w:rPr>
          <w:rFonts w:hint="eastAsia" w:ascii="Times New Roman" w:hAnsi="Times New Roman" w:eastAsia="宋体" w:cs="Times New Roman"/>
          <w:sz w:val="21"/>
          <w:szCs w:val="24"/>
          <w:lang w:val="en-US" w:eastAsia="zh-CN"/>
        </w:rPr>
        <w:t>35</w:t>
      </w:r>
    </w:p>
    <w:p w14:paraId="53582A96">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eastAsia="仿宋" w:cs="Times New Roman"/>
          <w:sz w:val="24"/>
        </w:rPr>
        <w:t>一、</w:t>
      </w:r>
      <w:r>
        <w:rPr>
          <w:rFonts w:hint="default" w:ascii="Times New Roman" w:hAnsi="Times New Roman" w:cs="Times New Roman"/>
          <w:sz w:val="24"/>
        </w:rPr>
        <w:t>收入支出决算总表</w:t>
      </w:r>
      <w:r>
        <w:rPr>
          <w:rFonts w:hint="default" w:ascii="Times New Roman" w:hAnsi="Times New Roman" w:cs="Times New Roman"/>
        </w:rPr>
        <w:tab/>
      </w:r>
      <w:r>
        <w:rPr>
          <w:rFonts w:hint="eastAsia" w:cs="Times New Roman"/>
          <w:lang w:val="en-US" w:eastAsia="zh-CN"/>
        </w:rPr>
        <w:t>35</w:t>
      </w:r>
    </w:p>
    <w:p w14:paraId="198A7EC2">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二、收入决算表</w:t>
      </w:r>
      <w:r>
        <w:rPr>
          <w:rFonts w:hint="default" w:ascii="Times New Roman" w:hAnsi="Times New Roman" w:cs="Times New Roman"/>
        </w:rPr>
        <w:tab/>
      </w:r>
      <w:r>
        <w:rPr>
          <w:rFonts w:hint="eastAsia" w:cs="Times New Roman"/>
          <w:lang w:val="en-US" w:eastAsia="zh-CN"/>
        </w:rPr>
        <w:t>35</w:t>
      </w:r>
    </w:p>
    <w:p w14:paraId="31E16082">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三、支出决算表</w:t>
      </w:r>
      <w:r>
        <w:rPr>
          <w:rFonts w:hint="default" w:ascii="Times New Roman" w:hAnsi="Times New Roman" w:cs="Times New Roman"/>
        </w:rPr>
        <w:tab/>
      </w:r>
      <w:r>
        <w:rPr>
          <w:rFonts w:hint="eastAsia" w:cs="Times New Roman"/>
          <w:lang w:val="en-US" w:eastAsia="zh-CN"/>
        </w:rPr>
        <w:t>35</w:t>
      </w:r>
    </w:p>
    <w:p w14:paraId="29B0E555">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四、财政拨款收入支出决算总表</w:t>
      </w:r>
      <w:r>
        <w:rPr>
          <w:rFonts w:hint="default" w:ascii="Times New Roman" w:hAnsi="Times New Roman" w:cs="Times New Roman"/>
        </w:rPr>
        <w:tab/>
      </w:r>
      <w:r>
        <w:rPr>
          <w:rFonts w:hint="eastAsia" w:cs="Times New Roman"/>
          <w:lang w:val="en-US" w:eastAsia="zh-CN"/>
        </w:rPr>
        <w:t>35</w:t>
      </w:r>
    </w:p>
    <w:p w14:paraId="6A8FF9A6">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五、财政拨款支出决算明细表</w:t>
      </w:r>
      <w:r>
        <w:rPr>
          <w:rFonts w:hint="default" w:ascii="Times New Roman" w:hAnsi="Times New Roman" w:cs="Times New Roman"/>
        </w:rPr>
        <w:tab/>
      </w:r>
      <w:r>
        <w:rPr>
          <w:rFonts w:hint="eastAsia" w:cs="Times New Roman"/>
          <w:lang w:val="en-US" w:eastAsia="zh-CN"/>
        </w:rPr>
        <w:t>35</w:t>
      </w:r>
    </w:p>
    <w:p w14:paraId="4097C375">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六、一般公共预算财政拨款支出决算表</w:t>
      </w:r>
      <w:r>
        <w:rPr>
          <w:rFonts w:hint="default" w:ascii="Times New Roman" w:hAnsi="Times New Roman" w:cs="Times New Roman"/>
        </w:rPr>
        <w:tab/>
      </w:r>
      <w:r>
        <w:rPr>
          <w:rFonts w:hint="eastAsia" w:cs="Times New Roman"/>
          <w:lang w:val="en-US" w:eastAsia="zh-CN"/>
        </w:rPr>
        <w:t>35</w:t>
      </w:r>
    </w:p>
    <w:p w14:paraId="4C59E2B3">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七、一般公共预算财政拨款支出决算明细表</w:t>
      </w:r>
      <w:r>
        <w:rPr>
          <w:rFonts w:hint="default" w:ascii="Times New Roman" w:hAnsi="Times New Roman" w:cs="Times New Roman"/>
        </w:rPr>
        <w:tab/>
      </w:r>
      <w:r>
        <w:rPr>
          <w:rFonts w:hint="eastAsia" w:cs="Times New Roman"/>
          <w:lang w:val="en-US" w:eastAsia="zh-CN"/>
        </w:rPr>
        <w:t>35</w:t>
      </w:r>
    </w:p>
    <w:p w14:paraId="4F696A3E">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八、一般公共预算财政拨款基本支出决算明细表</w:t>
      </w:r>
      <w:r>
        <w:rPr>
          <w:rFonts w:hint="default" w:ascii="Times New Roman" w:hAnsi="Times New Roman" w:cs="Times New Roman"/>
        </w:rPr>
        <w:tab/>
      </w:r>
      <w:r>
        <w:rPr>
          <w:rFonts w:hint="eastAsia" w:cs="Times New Roman"/>
          <w:lang w:val="en-US" w:eastAsia="zh-CN"/>
        </w:rPr>
        <w:t>35</w:t>
      </w:r>
    </w:p>
    <w:p w14:paraId="2BD5635B">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lang w:val="en-US" w:eastAsia="zh-CN"/>
        </w:rPr>
      </w:pPr>
      <w:r>
        <w:rPr>
          <w:rFonts w:hint="default" w:ascii="Times New Roman" w:hAnsi="Times New Roman" w:cs="Times New Roman" w:eastAsiaTheme="minorEastAsia"/>
          <w:sz w:val="24"/>
        </w:rPr>
        <w:t>九、一般公共预算财政拨款项目支出决算表</w:t>
      </w:r>
      <w:r>
        <w:rPr>
          <w:rFonts w:hint="default" w:ascii="Times New Roman" w:hAnsi="Times New Roman" w:cs="Times New Roman"/>
        </w:rPr>
        <w:tab/>
      </w:r>
      <w:r>
        <w:rPr>
          <w:rFonts w:hint="eastAsia" w:cs="Times New Roman"/>
          <w:lang w:val="en-US" w:eastAsia="zh-CN"/>
        </w:rPr>
        <w:t>35</w:t>
      </w:r>
    </w:p>
    <w:p w14:paraId="17D7CA02">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十、政府性基金预算财政拨款收入支出决算表</w:t>
      </w:r>
      <w:r>
        <w:rPr>
          <w:rFonts w:hint="default" w:ascii="Times New Roman" w:hAnsi="Times New Roman" w:cs="Times New Roman"/>
        </w:rPr>
        <w:tab/>
      </w:r>
      <w:r>
        <w:rPr>
          <w:rFonts w:hint="eastAsia" w:cs="Times New Roman"/>
          <w:lang w:val="en-US" w:eastAsia="zh-CN"/>
        </w:rPr>
        <w:t>35</w:t>
      </w:r>
    </w:p>
    <w:p w14:paraId="4827AC69">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十一、国有资本经营预算财政拨款收入支出决算表</w:t>
      </w:r>
      <w:r>
        <w:rPr>
          <w:rFonts w:hint="default" w:ascii="Times New Roman" w:hAnsi="Times New Roman" w:cs="Times New Roman"/>
        </w:rPr>
        <w:tab/>
      </w:r>
      <w:r>
        <w:rPr>
          <w:rFonts w:hint="eastAsia" w:cs="Times New Roman"/>
          <w:lang w:val="en-US" w:eastAsia="zh-CN"/>
        </w:rPr>
        <w:t>35</w:t>
      </w:r>
    </w:p>
    <w:p w14:paraId="41B258B7">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十二、国有资本经营预算财政拨款支出决算表</w:t>
      </w:r>
      <w:r>
        <w:rPr>
          <w:rFonts w:hint="default" w:ascii="Times New Roman" w:hAnsi="Times New Roman" w:cs="Times New Roman"/>
        </w:rPr>
        <w:tab/>
      </w:r>
      <w:r>
        <w:rPr>
          <w:rFonts w:hint="eastAsia" w:cs="Times New Roman"/>
          <w:lang w:val="en-US" w:eastAsia="zh-CN"/>
        </w:rPr>
        <w:t>35</w:t>
      </w:r>
    </w:p>
    <w:p w14:paraId="561BC3F2">
      <w:pPr>
        <w:pStyle w:val="16"/>
        <w:pageBreakBefore w:val="0"/>
        <w:kinsoku/>
        <w:wordWrap/>
        <w:topLinePunct w:val="0"/>
        <w:bidi w:val="0"/>
        <w:adjustRightInd w:val="0"/>
        <w:snapToGrid w:val="0"/>
        <w:spacing w:line="240" w:lineRule="auto"/>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十三、财政拨款“三公”经费支出决算表</w:t>
      </w:r>
      <w:r>
        <w:rPr>
          <w:rFonts w:hint="default" w:ascii="Times New Roman" w:hAnsi="Times New Roman" w:cs="Times New Roman"/>
        </w:rPr>
        <w:tab/>
      </w:r>
      <w:r>
        <w:rPr>
          <w:rFonts w:hint="eastAsia" w:cs="Times New Roman"/>
          <w:lang w:val="en-US" w:eastAsia="zh-CN"/>
        </w:rPr>
        <w:t>35</w:t>
      </w:r>
    </w:p>
    <w:p w14:paraId="65CEA54D">
      <w:pPr>
        <w:pageBreakBefore w:val="0"/>
        <w:widowControl/>
        <w:kinsoku/>
        <w:wordWrap/>
        <w:topLinePunct w:val="0"/>
        <w:bidi w:val="0"/>
        <w:spacing w:line="240" w:lineRule="auto"/>
        <w:jc w:val="left"/>
        <w:textAlignment w:val="auto"/>
        <w:rPr>
          <w:rFonts w:hint="default" w:ascii="Times New Roman" w:hAnsi="Times New Roman" w:eastAsia="仿宋" w:cs="Times New Roman"/>
          <w:bCs/>
          <w:kern w:val="44"/>
          <w:sz w:val="24"/>
        </w:rPr>
      </w:pPr>
      <w:r>
        <w:rPr>
          <w:rFonts w:hint="default" w:ascii="Times New Roman" w:hAnsi="Times New Roman" w:eastAsia="仿宋" w:cs="Times New Roman"/>
          <w:b/>
          <w:sz w:val="24"/>
        </w:rPr>
        <w:br w:type="page"/>
      </w:r>
    </w:p>
    <w:p w14:paraId="1658D668">
      <w:pPr>
        <w:pageBreakBefore w:val="0"/>
        <w:widowControl/>
        <w:kinsoku/>
        <w:wordWrap/>
        <w:topLinePunct w:val="0"/>
        <w:bidi w:val="0"/>
        <w:spacing w:line="240" w:lineRule="auto"/>
        <w:jc w:val="center"/>
        <w:textAlignment w:val="auto"/>
        <w:rPr>
          <w:rStyle w:val="30"/>
          <w:rFonts w:hint="default" w:ascii="Times New Roman" w:hAnsi="Times New Roman" w:eastAsia="方正小标宋_GBK" w:cs="Times New Roman"/>
          <w:b w:val="0"/>
        </w:rPr>
      </w:pPr>
      <w:r>
        <w:rPr>
          <w:rStyle w:val="30"/>
          <w:rFonts w:hint="default" w:ascii="Times New Roman" w:hAnsi="Times New Roman" w:eastAsia="方正小标宋_GBK" w:cs="Times New Roman"/>
          <w:b w:val="0"/>
        </w:rPr>
        <w:t>第一部分部门概况</w:t>
      </w:r>
      <w:bookmarkEnd w:id="12"/>
      <w:bookmarkEnd w:id="13"/>
    </w:p>
    <w:p w14:paraId="7EB0FB23">
      <w:pPr>
        <w:pStyle w:val="10"/>
        <w:pageBreakBefore w:val="0"/>
        <w:kinsoku/>
        <w:wordWrap/>
        <w:topLinePunct w:val="0"/>
        <w:bidi w:val="0"/>
        <w:spacing w:before="93" w:line="240" w:lineRule="auto"/>
        <w:textAlignment w:val="auto"/>
        <w:rPr>
          <w:rFonts w:hint="default" w:ascii="Times New Roman" w:hAnsi="Times New Roman" w:cs="Times New Roman"/>
        </w:rPr>
      </w:pPr>
    </w:p>
    <w:p w14:paraId="3BD30016">
      <w:pPr>
        <w:pStyle w:val="6"/>
        <w:pageBreakBefore w:val="0"/>
        <w:kinsoku/>
        <w:wordWrap/>
        <w:topLinePunct w:val="0"/>
        <w:bidi w:val="0"/>
        <w:spacing w:before="0" w:after="0" w:line="240" w:lineRule="auto"/>
        <w:ind w:firstLine="640" w:firstLineChars="200"/>
        <w:textAlignment w:val="auto"/>
        <w:rPr>
          <w:rStyle w:val="31"/>
          <w:rFonts w:hint="default" w:ascii="Times New Roman" w:hAnsi="Times New Roman" w:eastAsia="仿宋" w:cs="Times New Roman"/>
          <w:b w:val="0"/>
          <w:bCs w:val="0"/>
        </w:rPr>
      </w:pPr>
      <w:bookmarkStart w:id="14" w:name="_Toc15396600"/>
      <w:bookmarkStart w:id="15" w:name="_Toc15377197"/>
      <w:r>
        <w:rPr>
          <w:rFonts w:hint="default" w:ascii="Times New Roman" w:hAnsi="Times New Roman" w:eastAsia="黑体" w:cs="Times New Roman"/>
          <w:b w:val="0"/>
        </w:rPr>
        <w:t>一、</w:t>
      </w:r>
      <w:bookmarkEnd w:id="14"/>
      <w:bookmarkEnd w:id="15"/>
      <w:r>
        <w:rPr>
          <w:rFonts w:hint="default" w:ascii="Times New Roman" w:hAnsi="Times New Roman" w:eastAsia="黑体" w:cs="Times New Roman"/>
          <w:b w:val="0"/>
        </w:rPr>
        <w:t>部门职责</w:t>
      </w:r>
    </w:p>
    <w:p w14:paraId="46B7A123">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16" w:name="_Toc15377199"/>
      <w:bookmarkStart w:id="17" w:name="_Toc15378446"/>
      <w:r>
        <w:rPr>
          <w:rFonts w:hint="default" w:ascii="Times New Roman" w:hAnsi="Times New Roman" w:eastAsia="仿宋_GB2312" w:cs="Times New Roman"/>
          <w:sz w:val="32"/>
          <w:szCs w:val="32"/>
        </w:rPr>
        <w:t>1.贯彻执行党和国家的各项法律、法规、规章以及上级政府的决议、决定，依法管理基层公共事务。</w:t>
      </w:r>
    </w:p>
    <w:p w14:paraId="32C82061">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辖区经济、文化、教育体育、科技、卫生健康、民政、社会保障、民族宗教、住房保障、司法、退役军人、统计等公共管理和公共服务工作，积极构建公共服务均等化体系，促进社会事业发展。推进“最多跑一次”改革，建立健全群众办事一次办结机制，优化便民服务质量。</w:t>
      </w:r>
    </w:p>
    <w:p w14:paraId="5908621F">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负责辖区环境保护、秩序治理、物业管理、城乡环境综合治理等城市管理工作，开展爱国卫生、环境卫生监督检查，营造良好发展环境。整合基层一线执法力量，充分发挥属地管理优势，强化对辖区范围内执法力量的统一指挥和统筹协调。</w:t>
      </w:r>
    </w:p>
    <w:p w14:paraId="2E56BA8A">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4.负责辖区平安建设、社会治安综合治理工作，处理群众来信来访，反映社情民意，建立社会矛盾纠纷排查调处机制，维护社会和谐稳定。</w:t>
      </w:r>
    </w:p>
    <w:p w14:paraId="70C7EFF3">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5.负责辖区公共安全，协助做好安全生产、防汛、防火、防灾减灾等应急管理工作，构建公共安全防控体系，建立应对突发紧急事件的处理预案。</w:t>
      </w:r>
    </w:p>
    <w:p w14:paraId="1BA09764">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6.领导社区居委会建设，指导社区居委会工作，培育、发展社区社会组织，组织社区居民参与社区建设和管理，健全完善自治、法治、德治相结合的城市基层治理体系。</w:t>
      </w:r>
    </w:p>
    <w:p w14:paraId="7B10AFD3">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牵头协调职能部门及其派出机构，共同处理地区性、综合性社会管理事务。动员辖区各类单位、社会组织和社区居民等社会力量参与基层社会治理，引导辖区单位履行社会责任，统筹辖区资源，实现共建共治共享。</w:t>
      </w:r>
    </w:p>
    <w:p w14:paraId="6647990F">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8.完成区委、区政府交办的其他工作。</w:t>
      </w:r>
    </w:p>
    <w:bookmarkEnd w:id="16"/>
    <w:bookmarkEnd w:id="17"/>
    <w:p w14:paraId="2262A597">
      <w:pPr>
        <w:pStyle w:val="6"/>
        <w:pageBreakBefore w:val="0"/>
        <w:kinsoku/>
        <w:wordWrap/>
        <w:overflowPunct/>
        <w:topLinePunct w:val="0"/>
        <w:autoSpaceDE/>
        <w:autoSpaceDN/>
        <w:bidi w:val="0"/>
        <w:adjustRightInd/>
        <w:snapToGrid/>
        <w:spacing w:before="0" w:after="0" w:line="560" w:lineRule="exact"/>
        <w:ind w:firstLine="640" w:firstLineChars="200"/>
        <w:textAlignment w:val="auto"/>
        <w:rPr>
          <w:rStyle w:val="31"/>
          <w:rFonts w:hint="default" w:ascii="Times New Roman" w:hAnsi="Times New Roman" w:cs="Times New Roman"/>
          <w:b w:val="0"/>
          <w:bCs w:val="0"/>
        </w:rPr>
      </w:pPr>
      <w:bookmarkStart w:id="18" w:name="_Toc15377200"/>
      <w:bookmarkStart w:id="19" w:name="_Toc15396601"/>
      <w:r>
        <w:rPr>
          <w:rFonts w:hint="default" w:ascii="Times New Roman" w:hAnsi="Times New Roman" w:eastAsia="黑体" w:cs="Times New Roman"/>
          <w:b w:val="0"/>
        </w:rPr>
        <w:t>二、机</w:t>
      </w:r>
      <w:r>
        <w:rPr>
          <w:rStyle w:val="31"/>
          <w:rFonts w:hint="default" w:ascii="Times New Roman" w:hAnsi="Times New Roman" w:eastAsia="黑体" w:cs="Times New Roman"/>
          <w:b w:val="0"/>
          <w:bCs w:val="0"/>
        </w:rPr>
        <w:t>构设置</w:t>
      </w:r>
      <w:bookmarkEnd w:id="18"/>
      <w:bookmarkEnd w:id="19"/>
    </w:p>
    <w:p w14:paraId="15727F28">
      <w:pPr>
        <w:pageBreakBefore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攀枝花市西区河门口街道办事处内设股室5个，下属二级单位3个，其中行政单位0个，参照公务员法管理的事业单位0个，其他事业单位3个，分别是：攀枝花市西区河门口街道便民服务中心、攀枝花市西区河门口街道党群服务中心、攀枝花市西区河门口街道社会治理事务中心，均为未独立核算事业单位。</w:t>
      </w:r>
    </w:p>
    <w:p w14:paraId="7B0697BD">
      <w:pPr>
        <w:pageBreakBefore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纳入</w:t>
      </w: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年度部门决算编制范围的独立编制单位包括：攀枝花市西区河门口街道办事处。</w:t>
      </w:r>
    </w:p>
    <w:p w14:paraId="4DF7153B">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sz w:val="32"/>
          <w:szCs w:val="32"/>
        </w:rPr>
        <w:br w:type="page"/>
      </w:r>
    </w:p>
    <w:p w14:paraId="18CEF028">
      <w:pPr>
        <w:pStyle w:val="5"/>
        <w:pageBreakBefore w:val="0"/>
        <w:kinsoku/>
        <w:wordWrap/>
        <w:overflowPunct/>
        <w:topLinePunct w:val="0"/>
        <w:autoSpaceDE/>
        <w:autoSpaceDN/>
        <w:bidi w:val="0"/>
        <w:adjustRightInd/>
        <w:snapToGrid/>
        <w:spacing w:before="0" w:after="0" w:line="560" w:lineRule="exact"/>
        <w:jc w:val="center"/>
        <w:textAlignment w:val="auto"/>
        <w:rPr>
          <w:rStyle w:val="30"/>
          <w:rFonts w:hint="default" w:ascii="Times New Roman" w:hAnsi="Times New Roman" w:eastAsia="方正小标宋_GBK" w:cs="Times New Roman"/>
          <w:b w:val="0"/>
          <w:bCs/>
        </w:rPr>
      </w:pPr>
      <w:bookmarkStart w:id="20" w:name="_Toc15396602"/>
      <w:bookmarkStart w:id="21" w:name="_Toc15377204"/>
      <w:r>
        <w:rPr>
          <w:rFonts w:hint="default" w:ascii="Times New Roman" w:hAnsi="Times New Roman" w:eastAsia="方正小标宋_GBK" w:cs="Times New Roman"/>
          <w:b w:val="0"/>
        </w:rPr>
        <w:t xml:space="preserve">第二部分 </w:t>
      </w:r>
      <w:r>
        <w:rPr>
          <w:rFonts w:hint="default" w:ascii="Times New Roman" w:hAnsi="Times New Roman" w:eastAsia="方正小标宋_GBK" w:cs="Times New Roman"/>
          <w:b w:val="0"/>
          <w:lang w:eastAsia="zh-CN"/>
        </w:rPr>
        <w:t>2023</w:t>
      </w:r>
      <w:r>
        <w:rPr>
          <w:rFonts w:hint="default" w:ascii="Times New Roman" w:hAnsi="Times New Roman" w:eastAsia="方正小标宋_GBK" w:cs="Times New Roman"/>
          <w:b w:val="0"/>
        </w:rPr>
        <w:t>年度</w:t>
      </w:r>
      <w:r>
        <w:rPr>
          <w:rStyle w:val="30"/>
          <w:rFonts w:hint="default" w:ascii="Times New Roman" w:hAnsi="Times New Roman" w:eastAsia="方正小标宋_GBK" w:cs="Times New Roman"/>
          <w:b w:val="0"/>
          <w:bCs/>
        </w:rPr>
        <w:t>部门决算情况说明</w:t>
      </w:r>
      <w:bookmarkEnd w:id="20"/>
      <w:bookmarkEnd w:id="21"/>
    </w:p>
    <w:p w14:paraId="4F2F93D4">
      <w:pPr>
        <w:pageBreakBefore w:val="0"/>
        <w:kinsoku/>
        <w:wordWrap/>
        <w:overflowPunct/>
        <w:topLinePunct w:val="0"/>
        <w:autoSpaceDE/>
        <w:autoSpaceDN/>
        <w:bidi w:val="0"/>
        <w:adjustRightInd/>
        <w:snapToGrid/>
        <w:spacing w:line="560" w:lineRule="exact"/>
        <w:textAlignment w:val="auto"/>
        <w:outlineLvl w:val="1"/>
        <w:rPr>
          <w:rFonts w:hint="default" w:ascii="Times New Roman" w:hAnsi="Times New Roman" w:cs="Times New Roman"/>
        </w:rPr>
      </w:pPr>
      <w:bookmarkStart w:id="22" w:name="_Toc15377205"/>
      <w:bookmarkStart w:id="23" w:name="_Toc15396603"/>
    </w:p>
    <w:p w14:paraId="05A20418">
      <w:pPr>
        <w:pStyle w:val="29"/>
        <w:pageBreakBefore w:val="0"/>
        <w:numPr>
          <w:ilvl w:val="0"/>
          <w:numId w:val="1"/>
        </w:numPr>
        <w:kinsoku/>
        <w:wordWrap/>
        <w:overflowPunct/>
        <w:topLinePunct w:val="0"/>
        <w:autoSpaceDE/>
        <w:autoSpaceDN/>
        <w:bidi w:val="0"/>
        <w:adjustRightInd/>
        <w:snapToGrid/>
        <w:spacing w:line="560" w:lineRule="exact"/>
        <w:ind w:firstLineChars="0"/>
        <w:textAlignment w:val="auto"/>
        <w:outlineLvl w:val="1"/>
        <w:rPr>
          <w:rStyle w:val="31"/>
          <w:rFonts w:hint="default" w:ascii="Times New Roman" w:hAnsi="Times New Roman" w:eastAsia="黑体" w:cs="Times New Roman"/>
          <w:b w:val="0"/>
        </w:rPr>
      </w:pPr>
      <w:r>
        <w:rPr>
          <w:rFonts w:hint="default" w:ascii="Times New Roman" w:hAnsi="Times New Roman" w:eastAsia="黑体" w:cs="Times New Roman"/>
          <w:sz w:val="32"/>
          <w:szCs w:val="32"/>
        </w:rPr>
        <w:t>收</w:t>
      </w:r>
      <w:r>
        <w:rPr>
          <w:rStyle w:val="31"/>
          <w:rFonts w:hint="default" w:ascii="Times New Roman" w:hAnsi="Times New Roman" w:eastAsia="黑体" w:cs="Times New Roman"/>
          <w:b w:val="0"/>
        </w:rPr>
        <w:t>入支出决算总体情况说明</w:t>
      </w:r>
      <w:bookmarkEnd w:id="22"/>
      <w:bookmarkEnd w:id="23"/>
    </w:p>
    <w:p w14:paraId="16289BBE">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年度收入总计</w:t>
      </w:r>
      <w:r>
        <w:rPr>
          <w:rFonts w:hint="default" w:ascii="Times New Roman" w:hAnsi="Times New Roman" w:eastAsia="仿宋_GB2312" w:cs="Times New Roman"/>
          <w:sz w:val="32"/>
          <w:szCs w:val="32"/>
          <w:lang w:val="en-US" w:eastAsia="zh-CN"/>
        </w:rPr>
        <w:t>742.38</w:t>
      </w:r>
      <w:r>
        <w:rPr>
          <w:rFonts w:hint="default" w:ascii="Times New Roman" w:hAnsi="Times New Roman" w:eastAsia="仿宋_GB2312" w:cs="Times New Roman"/>
          <w:sz w:val="32"/>
          <w:szCs w:val="32"/>
        </w:rPr>
        <w:t>万元，与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年相比，收入总计</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lang w:val="en-US" w:eastAsia="zh-CN"/>
        </w:rPr>
        <w:t>91.74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%。主要变动原因是项目预算收入比上年</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rPr>
        <w:t>。</w:t>
      </w:r>
    </w:p>
    <w:p w14:paraId="1295D101">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年度支出总计</w:t>
      </w:r>
      <w:r>
        <w:rPr>
          <w:rFonts w:hint="default" w:ascii="Times New Roman" w:hAnsi="Times New Roman" w:eastAsia="仿宋_GB2312" w:cs="Times New Roman"/>
          <w:sz w:val="32"/>
          <w:szCs w:val="32"/>
          <w:lang w:val="en-US" w:eastAsia="zh-CN"/>
        </w:rPr>
        <w:t>1047.2</w:t>
      </w:r>
      <w:r>
        <w:rPr>
          <w:rFonts w:hint="default" w:ascii="Times New Roman" w:hAnsi="Times New Roman" w:eastAsia="仿宋_GB2312" w:cs="Times New Roman"/>
          <w:sz w:val="32"/>
          <w:szCs w:val="32"/>
        </w:rPr>
        <w:t>万元（含</w:t>
      </w:r>
      <w:r>
        <w:rPr>
          <w:rFonts w:hint="eastAsia" w:eastAsia="仿宋_GB2312" w:cs="Times New Roman"/>
          <w:sz w:val="32"/>
          <w:szCs w:val="32"/>
          <w:lang w:eastAsia="zh-CN"/>
        </w:rPr>
        <w:t>年初</w:t>
      </w:r>
      <w:r>
        <w:rPr>
          <w:rFonts w:hint="default" w:ascii="Times New Roman" w:hAnsi="Times New Roman" w:eastAsia="仿宋_GB2312" w:cs="Times New Roman"/>
          <w:sz w:val="32"/>
          <w:szCs w:val="32"/>
        </w:rPr>
        <w:t>结转</w:t>
      </w:r>
      <w:r>
        <w:rPr>
          <w:rFonts w:hint="eastAsia" w:eastAsia="仿宋_GB2312" w:cs="Times New Roman"/>
          <w:sz w:val="32"/>
          <w:szCs w:val="32"/>
          <w:lang w:eastAsia="zh-CN"/>
        </w:rPr>
        <w:t>结余</w:t>
      </w:r>
      <w:r>
        <w:rPr>
          <w:rFonts w:hint="default" w:ascii="Times New Roman" w:hAnsi="Times New Roman" w:eastAsia="仿宋_GB2312" w:cs="Times New Roman"/>
          <w:sz w:val="32"/>
          <w:szCs w:val="32"/>
        </w:rPr>
        <w:t>），与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年相比，支出总计增加</w:t>
      </w:r>
      <w:r>
        <w:rPr>
          <w:rFonts w:hint="default" w:ascii="Times New Roman" w:hAnsi="Times New Roman" w:eastAsia="仿宋_GB2312" w:cs="Times New Roman"/>
          <w:sz w:val="32"/>
          <w:szCs w:val="32"/>
          <w:lang w:val="en-US" w:eastAsia="zh-CN"/>
        </w:rPr>
        <w:t>55.26</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5.6</w:t>
      </w:r>
      <w:r>
        <w:rPr>
          <w:rFonts w:hint="default" w:ascii="Times New Roman" w:hAnsi="Times New Roman" w:eastAsia="仿宋_GB2312" w:cs="Times New Roman"/>
          <w:sz w:val="32"/>
          <w:szCs w:val="32"/>
        </w:rPr>
        <w:t>%。主要变动</w:t>
      </w:r>
      <w:r>
        <w:rPr>
          <w:rFonts w:hint="eastAsia" w:eastAsia="仿宋_GB2312" w:cs="Times New Roman"/>
          <w:sz w:val="32"/>
          <w:szCs w:val="32"/>
          <w:lang w:eastAsia="zh-CN"/>
        </w:rPr>
        <w:t>原因是</w:t>
      </w:r>
      <w:r>
        <w:rPr>
          <w:rFonts w:hint="default" w:ascii="Times New Roman" w:hAnsi="Times New Roman" w:eastAsia="仿宋_GB2312" w:cs="Times New Roman"/>
          <w:sz w:val="32"/>
          <w:szCs w:val="32"/>
          <w:lang w:eastAsia="zh-CN"/>
        </w:rPr>
        <w:t>结转</w:t>
      </w:r>
      <w:r>
        <w:rPr>
          <w:rFonts w:hint="eastAsia" w:eastAsia="仿宋_GB2312" w:cs="Times New Roman"/>
          <w:sz w:val="32"/>
          <w:szCs w:val="32"/>
          <w:lang w:eastAsia="zh-CN"/>
        </w:rPr>
        <w:t>结余项目的</w:t>
      </w:r>
      <w:r>
        <w:rPr>
          <w:rFonts w:hint="default" w:ascii="Times New Roman" w:hAnsi="Times New Roman" w:eastAsia="仿宋_GB2312" w:cs="Times New Roman"/>
          <w:sz w:val="32"/>
          <w:szCs w:val="32"/>
        </w:rPr>
        <w:t>预算支出比上年增加。</w:t>
      </w:r>
    </w:p>
    <w:p w14:paraId="326B4F9E">
      <w:pPr>
        <w:pageBreakBefore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（图1：收、支决算总计变动情况图）（柱状图）</w:t>
      </w:r>
    </w:p>
    <w:p w14:paraId="51F355F9">
      <w:pPr>
        <w:pageBreakBefore w:val="0"/>
        <w:kinsoku/>
        <w:wordWrap/>
        <w:topLinePunct w:val="0"/>
        <w:bidi w:val="0"/>
        <w:spacing w:line="24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5274310" cy="3076575"/>
            <wp:effectExtent l="19050" t="0" r="2159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105B2ED">
      <w:pPr>
        <w:pStyle w:val="2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Style w:val="31"/>
          <w:rFonts w:hint="default" w:ascii="Times New Roman" w:hAnsi="Times New Roman" w:eastAsia="黑体" w:cs="Times New Roman"/>
          <w:b w:val="0"/>
        </w:rPr>
      </w:pPr>
      <w:bookmarkStart w:id="24" w:name="_Toc15396604"/>
      <w:bookmarkStart w:id="25" w:name="_Toc15377206"/>
      <w:r>
        <w:rPr>
          <w:rFonts w:hint="default" w:ascii="Times New Roman" w:hAnsi="Times New Roman" w:eastAsia="黑体" w:cs="Times New Roman"/>
          <w:sz w:val="32"/>
          <w:szCs w:val="32"/>
        </w:rPr>
        <w:t>收</w:t>
      </w:r>
      <w:r>
        <w:rPr>
          <w:rStyle w:val="31"/>
          <w:rFonts w:hint="default" w:ascii="Times New Roman" w:hAnsi="Times New Roman" w:eastAsia="黑体" w:cs="Times New Roman"/>
          <w:b w:val="0"/>
        </w:rPr>
        <w:t>入决算情况说明</w:t>
      </w:r>
      <w:bookmarkEnd w:id="24"/>
      <w:bookmarkEnd w:id="25"/>
    </w:p>
    <w:p w14:paraId="7B4C9C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年本年收入合计</w:t>
      </w:r>
      <w:r>
        <w:rPr>
          <w:rFonts w:hint="default" w:ascii="Times New Roman" w:hAnsi="Times New Roman" w:eastAsia="仿宋_GB2312" w:cs="Times New Roman"/>
          <w:sz w:val="32"/>
          <w:szCs w:val="32"/>
          <w:lang w:val="en-US" w:eastAsia="zh-CN"/>
        </w:rPr>
        <w:t>742.38</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714.92</w:t>
      </w:r>
      <w:r>
        <w:rPr>
          <w:rFonts w:hint="default" w:ascii="Times New Roman" w:hAnsi="Times New Roman" w:eastAsia="仿宋_GB2312" w:cs="Times New Roman"/>
          <w:sz w:val="32"/>
          <w:szCs w:val="32"/>
        </w:rPr>
        <w:t>万元，占9</w:t>
      </w:r>
      <w:r>
        <w:rPr>
          <w:rFonts w:hint="default" w:ascii="Times New Roman" w:hAnsi="Times New Roman" w:eastAsia="仿宋_GB2312" w:cs="Times New Roman"/>
          <w:sz w:val="32"/>
          <w:szCs w:val="32"/>
          <w:lang w:val="en-US" w:eastAsia="zh-CN"/>
        </w:rPr>
        <w:t>6.3</w:t>
      </w:r>
      <w:r>
        <w:rPr>
          <w:rFonts w:hint="default" w:ascii="Times New Roman" w:hAnsi="Times New Roman" w:eastAsia="仿宋_GB2312" w:cs="Times New Roman"/>
          <w:sz w:val="32"/>
          <w:szCs w:val="32"/>
        </w:rPr>
        <w:t>%；政府性基金预算财政拨款收入</w:t>
      </w:r>
      <w:r>
        <w:rPr>
          <w:rFonts w:hint="default" w:ascii="Times New Roman" w:hAnsi="Times New Roman" w:eastAsia="仿宋_GB2312" w:cs="Times New Roman"/>
          <w:sz w:val="32"/>
          <w:szCs w:val="32"/>
          <w:lang w:val="en-US" w:eastAsia="zh-CN"/>
        </w:rPr>
        <w:t>27.46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3.7</w:t>
      </w:r>
      <w:r>
        <w:rPr>
          <w:rFonts w:hint="default" w:ascii="Times New Roman" w:hAnsi="Times New Roman" w:eastAsia="仿宋_GB2312" w:cs="Times New Roman"/>
          <w:sz w:val="32"/>
          <w:szCs w:val="32"/>
        </w:rPr>
        <w:t>%；国有资本经营预算财政拨款收入0万元，占0%；上级补助收入0万元，占0%；事业收入0万元，占0%；经营收入0万元，占0%；附属单位上缴收入0万元，占0%；其他收入0万元，占0%。</w:t>
      </w:r>
    </w:p>
    <w:p w14:paraId="044BE3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（图2：收入决算结构图）（饼状图）</w:t>
      </w:r>
    </w:p>
    <w:p w14:paraId="7A680FBB">
      <w:pPr>
        <w:pageBreakBefore w:val="0"/>
        <w:kinsoku/>
        <w:wordWrap/>
        <w:topLinePunct w:val="0"/>
        <w:bidi w:val="0"/>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5172075" cy="2990850"/>
            <wp:effectExtent l="19050" t="0" r="952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05CCB69">
      <w:pPr>
        <w:pStyle w:val="29"/>
        <w:pageBreakBefore w:val="0"/>
        <w:numPr>
          <w:ilvl w:val="0"/>
          <w:numId w:val="1"/>
        </w:numPr>
        <w:kinsoku/>
        <w:wordWrap/>
        <w:topLinePunct w:val="0"/>
        <w:bidi w:val="0"/>
        <w:spacing w:line="240" w:lineRule="auto"/>
        <w:ind w:firstLineChars="0"/>
        <w:textAlignment w:val="auto"/>
        <w:rPr>
          <w:rStyle w:val="31"/>
          <w:rFonts w:hint="default" w:ascii="Times New Roman" w:hAnsi="Times New Roman" w:eastAsia="黑体" w:cs="Times New Roman"/>
          <w:b w:val="0"/>
        </w:rPr>
      </w:pPr>
      <w:bookmarkStart w:id="26" w:name="_Toc15396605"/>
      <w:bookmarkStart w:id="27" w:name="_Toc15377207"/>
      <w:r>
        <w:rPr>
          <w:rFonts w:hint="default" w:ascii="Times New Roman" w:hAnsi="Times New Roman" w:eastAsia="黑体" w:cs="Times New Roman"/>
          <w:sz w:val="32"/>
          <w:szCs w:val="32"/>
        </w:rPr>
        <w:t>支</w:t>
      </w:r>
      <w:r>
        <w:rPr>
          <w:rStyle w:val="31"/>
          <w:rFonts w:hint="default" w:ascii="Times New Roman" w:hAnsi="Times New Roman" w:eastAsia="黑体" w:cs="Times New Roman"/>
          <w:b w:val="0"/>
        </w:rPr>
        <w:t>出决算情况说明</w:t>
      </w:r>
      <w:bookmarkEnd w:id="26"/>
      <w:bookmarkEnd w:id="27"/>
    </w:p>
    <w:p w14:paraId="355154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年本年支出合计</w:t>
      </w:r>
      <w:r>
        <w:rPr>
          <w:rFonts w:hint="default" w:ascii="Times New Roman" w:hAnsi="Times New Roman" w:eastAsia="仿宋_GB2312" w:cs="Times New Roman"/>
          <w:sz w:val="32"/>
          <w:szCs w:val="32"/>
          <w:lang w:val="en-US" w:eastAsia="zh-CN"/>
        </w:rPr>
        <w:t>1047.2</w:t>
      </w:r>
      <w:r>
        <w:rPr>
          <w:rFonts w:hint="default" w:ascii="Times New Roman" w:hAnsi="Times New Roman" w:eastAsia="仿宋_GB2312" w:cs="Times New Roman"/>
          <w:sz w:val="32"/>
          <w:szCs w:val="32"/>
        </w:rPr>
        <w:t>万元（含上年结转），其中：基本支出</w:t>
      </w:r>
      <w:r>
        <w:rPr>
          <w:rFonts w:hint="default" w:ascii="Times New Roman" w:hAnsi="Times New Roman" w:eastAsia="仿宋_GB2312" w:cs="Times New Roman"/>
          <w:sz w:val="32"/>
          <w:szCs w:val="32"/>
          <w:lang w:val="en-US" w:eastAsia="zh-CN"/>
        </w:rPr>
        <w:t>557.29</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53.2</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489.91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46.8</w:t>
      </w:r>
      <w:r>
        <w:rPr>
          <w:rFonts w:hint="default" w:ascii="Times New Roman" w:hAnsi="Times New Roman" w:eastAsia="仿宋_GB2312" w:cs="Times New Roman"/>
          <w:sz w:val="32"/>
          <w:szCs w:val="32"/>
        </w:rPr>
        <w:t>%；上缴上级支出0万元，占0%；经营支出0万元，占0%；对附属单位补助支出0万元，占0%。</w:t>
      </w:r>
    </w:p>
    <w:p w14:paraId="1D2693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（图3：支出决算结构图）（饼状图）</w:t>
      </w:r>
    </w:p>
    <w:p w14:paraId="4E4B7C4E">
      <w:pPr>
        <w:pageBreakBefore w:val="0"/>
        <w:kinsoku/>
        <w:wordWrap/>
        <w:topLinePunct w:val="0"/>
        <w:bidi w:val="0"/>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5029200" cy="2886075"/>
            <wp:effectExtent l="19050" t="0" r="1905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960F76A">
      <w:pPr>
        <w:pStyle w:val="2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Style w:val="31"/>
          <w:rFonts w:hint="default" w:ascii="Times New Roman" w:hAnsi="Times New Roman" w:eastAsia="黑体" w:cs="Times New Roman"/>
          <w:b w:val="0"/>
        </w:rPr>
      </w:pPr>
      <w:bookmarkStart w:id="28" w:name="_Toc15396606"/>
      <w:bookmarkStart w:id="29" w:name="_Toc15377208"/>
      <w:r>
        <w:rPr>
          <w:rFonts w:hint="default" w:ascii="Times New Roman" w:hAnsi="Times New Roman" w:eastAsia="黑体" w:cs="Times New Roman"/>
          <w:sz w:val="32"/>
          <w:szCs w:val="32"/>
        </w:rPr>
        <w:t>财</w:t>
      </w:r>
      <w:r>
        <w:rPr>
          <w:rStyle w:val="31"/>
          <w:rFonts w:hint="default" w:ascii="Times New Roman" w:hAnsi="Times New Roman" w:eastAsia="黑体" w:cs="Times New Roman"/>
          <w:b w:val="0"/>
        </w:rPr>
        <w:t>政拨款收入支出决算总体情况说明</w:t>
      </w:r>
      <w:bookmarkEnd w:id="28"/>
      <w:bookmarkEnd w:id="29"/>
    </w:p>
    <w:p w14:paraId="365469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年财政拨款收入总计</w:t>
      </w:r>
      <w:r>
        <w:rPr>
          <w:rFonts w:hint="default" w:ascii="Times New Roman" w:hAnsi="Times New Roman" w:eastAsia="仿宋_GB2312" w:cs="Times New Roman"/>
          <w:sz w:val="32"/>
          <w:szCs w:val="32"/>
          <w:lang w:val="en-US" w:eastAsia="zh-CN"/>
        </w:rPr>
        <w:t>742.38</w:t>
      </w:r>
      <w:r>
        <w:rPr>
          <w:rFonts w:hint="default" w:ascii="Times New Roman" w:hAnsi="Times New Roman" w:eastAsia="仿宋_GB2312" w:cs="Times New Roman"/>
          <w:sz w:val="32"/>
          <w:szCs w:val="32"/>
        </w:rPr>
        <w:t>万元，与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年相比，财政拨款收入总计</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lang w:val="en-US" w:eastAsia="zh-CN"/>
        </w:rPr>
        <w:t>91.74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%。主要变动原因是</w:t>
      </w:r>
      <w:r>
        <w:rPr>
          <w:rFonts w:hint="eastAsia" w:eastAsia="仿宋_GB2312" w:cs="Times New Roman"/>
          <w:sz w:val="32"/>
          <w:szCs w:val="32"/>
          <w:lang w:eastAsia="zh-CN"/>
        </w:rPr>
        <w:t>财政拨款</w:t>
      </w:r>
      <w:r>
        <w:rPr>
          <w:rFonts w:hint="default" w:ascii="Times New Roman" w:hAnsi="Times New Roman" w:eastAsia="仿宋_GB2312" w:cs="Times New Roman"/>
          <w:sz w:val="32"/>
          <w:szCs w:val="32"/>
        </w:rPr>
        <w:t>项目收入比上年</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rPr>
        <w:t>。</w:t>
      </w:r>
    </w:p>
    <w:p w14:paraId="430140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年财政拨款支出总计</w:t>
      </w:r>
      <w:r>
        <w:rPr>
          <w:rFonts w:hint="default" w:ascii="Times New Roman" w:hAnsi="Times New Roman" w:eastAsia="仿宋_GB2312" w:cs="Times New Roman"/>
          <w:sz w:val="32"/>
          <w:szCs w:val="32"/>
          <w:lang w:val="en-US" w:eastAsia="zh-CN"/>
        </w:rPr>
        <w:t>1047.2</w:t>
      </w:r>
      <w:r>
        <w:rPr>
          <w:rFonts w:hint="default" w:ascii="Times New Roman" w:hAnsi="Times New Roman" w:eastAsia="仿宋_GB2312" w:cs="Times New Roman"/>
          <w:sz w:val="32"/>
          <w:szCs w:val="32"/>
        </w:rPr>
        <w:t>万元（含</w:t>
      </w:r>
      <w:r>
        <w:rPr>
          <w:rFonts w:hint="eastAsia" w:eastAsia="仿宋_GB2312" w:cs="Times New Roman"/>
          <w:sz w:val="32"/>
          <w:szCs w:val="32"/>
          <w:lang w:eastAsia="zh-CN"/>
        </w:rPr>
        <w:t>年初</w:t>
      </w:r>
      <w:r>
        <w:rPr>
          <w:rFonts w:hint="default" w:ascii="Times New Roman" w:hAnsi="Times New Roman" w:eastAsia="仿宋_GB2312" w:cs="Times New Roman"/>
          <w:sz w:val="32"/>
          <w:szCs w:val="32"/>
        </w:rPr>
        <w:t>结转</w:t>
      </w:r>
      <w:r>
        <w:rPr>
          <w:rFonts w:hint="eastAsia" w:eastAsia="仿宋_GB2312" w:cs="Times New Roman"/>
          <w:sz w:val="32"/>
          <w:szCs w:val="32"/>
          <w:lang w:eastAsia="zh-CN"/>
        </w:rPr>
        <w:t>结余</w:t>
      </w:r>
      <w:r>
        <w:rPr>
          <w:rFonts w:hint="default" w:ascii="Times New Roman" w:hAnsi="Times New Roman" w:eastAsia="仿宋_GB2312" w:cs="Times New Roman"/>
          <w:sz w:val="32"/>
          <w:szCs w:val="32"/>
        </w:rPr>
        <w:t>），与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年相比，财政拨款支出增加</w:t>
      </w:r>
      <w:r>
        <w:rPr>
          <w:rFonts w:hint="default" w:ascii="Times New Roman" w:hAnsi="Times New Roman" w:eastAsia="仿宋_GB2312" w:cs="Times New Roman"/>
          <w:sz w:val="32"/>
          <w:szCs w:val="32"/>
          <w:lang w:val="en-US" w:eastAsia="zh-CN"/>
        </w:rPr>
        <w:t>55.26</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5.6</w:t>
      </w:r>
      <w:r>
        <w:rPr>
          <w:rFonts w:hint="default" w:ascii="Times New Roman" w:hAnsi="Times New Roman" w:eastAsia="仿宋_GB2312" w:cs="Times New Roman"/>
          <w:sz w:val="32"/>
          <w:szCs w:val="32"/>
        </w:rPr>
        <w:t>%。主要变动原因</w:t>
      </w:r>
      <w:r>
        <w:rPr>
          <w:rFonts w:hint="eastAsia" w:eastAsia="仿宋_GB2312" w:cs="Times New Roman"/>
          <w:sz w:val="32"/>
          <w:szCs w:val="32"/>
          <w:lang w:eastAsia="zh-CN"/>
        </w:rPr>
        <w:t>是财政拨款</w:t>
      </w:r>
      <w:r>
        <w:rPr>
          <w:rFonts w:hint="default" w:ascii="Times New Roman" w:hAnsi="Times New Roman" w:eastAsia="仿宋_GB2312" w:cs="Times New Roman"/>
          <w:sz w:val="32"/>
          <w:szCs w:val="32"/>
          <w:lang w:eastAsia="zh-CN"/>
        </w:rPr>
        <w:t>结转</w:t>
      </w:r>
      <w:r>
        <w:rPr>
          <w:rFonts w:hint="eastAsia" w:eastAsia="仿宋_GB2312" w:cs="Times New Roman"/>
          <w:sz w:val="32"/>
          <w:szCs w:val="32"/>
          <w:lang w:eastAsia="zh-CN"/>
        </w:rPr>
        <w:t>结余项目</w:t>
      </w:r>
      <w:r>
        <w:rPr>
          <w:rFonts w:hint="default" w:ascii="Times New Roman" w:hAnsi="Times New Roman" w:eastAsia="仿宋_GB2312" w:cs="Times New Roman"/>
          <w:sz w:val="32"/>
          <w:szCs w:val="32"/>
        </w:rPr>
        <w:t>支出增加。</w:t>
      </w:r>
    </w:p>
    <w:p w14:paraId="1CB6AA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（图4：财政拨款收、支决算总计变动情况）（柱状图）</w:t>
      </w:r>
    </w:p>
    <w:p w14:paraId="768F975B">
      <w:pPr>
        <w:pageBreakBefore w:val="0"/>
        <w:kinsoku/>
        <w:wordWrap/>
        <w:topLinePunct w:val="0"/>
        <w:bidi w:val="0"/>
        <w:spacing w:line="240" w:lineRule="auto"/>
        <w:ind w:firstLine="643"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drawing>
          <wp:inline distT="0" distB="0" distL="0" distR="0">
            <wp:extent cx="5274310" cy="3076575"/>
            <wp:effectExtent l="19050" t="0" r="2159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7ADFA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1"/>
          <w:rFonts w:hint="default" w:ascii="Times New Roman" w:hAnsi="Times New Roman" w:eastAsia="黑体" w:cs="Times New Roman"/>
          <w:b w:val="0"/>
        </w:rPr>
      </w:pPr>
      <w:bookmarkStart w:id="30" w:name="_Toc15396607"/>
      <w:bookmarkStart w:id="31" w:name="_Toc15377209"/>
      <w:r>
        <w:rPr>
          <w:rFonts w:hint="default" w:ascii="Times New Roman" w:hAnsi="Times New Roman" w:eastAsia="黑体" w:cs="Times New Roman"/>
          <w:sz w:val="32"/>
          <w:szCs w:val="32"/>
        </w:rPr>
        <w:t>五、</w:t>
      </w:r>
      <w:r>
        <w:rPr>
          <w:rFonts w:hint="default" w:ascii="Times New Roman" w:hAnsi="Times New Roman" w:eastAsia="黑体" w:cs="Times New Roman"/>
          <w:b w:val="0"/>
          <w:bCs/>
          <w:sz w:val="32"/>
          <w:szCs w:val="32"/>
        </w:rPr>
        <w:t>一</w:t>
      </w:r>
      <w:r>
        <w:rPr>
          <w:rStyle w:val="31"/>
          <w:rFonts w:hint="default" w:ascii="Times New Roman" w:hAnsi="Times New Roman" w:eastAsia="黑体" w:cs="Times New Roman"/>
          <w:b w:val="0"/>
          <w:bCs/>
        </w:rPr>
        <w:t>般</w:t>
      </w:r>
      <w:r>
        <w:rPr>
          <w:rStyle w:val="31"/>
          <w:rFonts w:hint="default" w:ascii="Times New Roman" w:hAnsi="Times New Roman" w:eastAsia="黑体" w:cs="Times New Roman"/>
          <w:b w:val="0"/>
        </w:rPr>
        <w:t>公共预算财政拨款支出决算情况说明</w:t>
      </w:r>
      <w:bookmarkEnd w:id="30"/>
      <w:bookmarkEnd w:id="31"/>
    </w:p>
    <w:p w14:paraId="7C8C27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bCs w:val="0"/>
          <w:sz w:val="32"/>
          <w:szCs w:val="32"/>
        </w:rPr>
      </w:pPr>
      <w:bookmarkStart w:id="32" w:name="_Toc15377210"/>
      <w:r>
        <w:rPr>
          <w:rFonts w:hint="default" w:ascii="Times New Roman" w:hAnsi="Times New Roman" w:eastAsia="楷体_GB2312" w:cs="Times New Roman"/>
          <w:b/>
          <w:bCs w:val="0"/>
          <w:sz w:val="32"/>
          <w:szCs w:val="32"/>
        </w:rPr>
        <w:t>（一）一般公共预算财政拨款支出决算总体情况</w:t>
      </w:r>
      <w:bookmarkEnd w:id="32"/>
      <w:r>
        <w:rPr>
          <w:rFonts w:hint="default" w:ascii="Times New Roman" w:hAnsi="Times New Roman" w:eastAsia="楷体_GB2312" w:cs="Times New Roman"/>
          <w:b/>
          <w:bCs w:val="0"/>
          <w:sz w:val="32"/>
          <w:szCs w:val="32"/>
        </w:rPr>
        <w:t>。</w:t>
      </w:r>
    </w:p>
    <w:p w14:paraId="66485F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年一般公共预算财政拨款支出</w:t>
      </w:r>
      <w:r>
        <w:rPr>
          <w:rFonts w:hint="default" w:ascii="Times New Roman" w:hAnsi="Times New Roman" w:eastAsia="仿宋_GB2312" w:cs="Times New Roman"/>
          <w:sz w:val="32"/>
          <w:szCs w:val="32"/>
          <w:lang w:val="en-US" w:eastAsia="zh-CN"/>
        </w:rPr>
        <w:t>989.09</w:t>
      </w:r>
      <w:r>
        <w:rPr>
          <w:rFonts w:hint="default" w:ascii="Times New Roman" w:hAnsi="Times New Roman" w:eastAsia="仿宋_GB2312" w:cs="Times New Roman"/>
          <w:sz w:val="32"/>
          <w:szCs w:val="32"/>
        </w:rPr>
        <w:t>万元，占本年支出合计的9</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年相比，一般公共预算财政拨款支出增加</w:t>
      </w:r>
      <w:r>
        <w:rPr>
          <w:rFonts w:hint="default" w:ascii="Times New Roman" w:hAnsi="Times New Roman" w:eastAsia="仿宋_GB2312" w:cs="Times New Roman"/>
          <w:sz w:val="32"/>
          <w:szCs w:val="32"/>
          <w:lang w:val="en-US" w:eastAsia="zh-CN"/>
        </w:rPr>
        <w:t>79.02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8.7</w:t>
      </w:r>
      <w:r>
        <w:rPr>
          <w:rFonts w:hint="default" w:ascii="Times New Roman" w:hAnsi="Times New Roman" w:eastAsia="仿宋_GB2312" w:cs="Times New Roman"/>
          <w:sz w:val="32"/>
          <w:szCs w:val="32"/>
        </w:rPr>
        <w:t>%。主要变动原因是一般公共预算财政拨款</w:t>
      </w:r>
      <w:r>
        <w:rPr>
          <w:rFonts w:hint="default" w:ascii="Times New Roman" w:hAnsi="Times New Roman" w:eastAsia="仿宋_GB2312" w:cs="Times New Roman"/>
          <w:sz w:val="32"/>
          <w:szCs w:val="32"/>
          <w:lang w:eastAsia="zh-CN"/>
        </w:rPr>
        <w:t>结转结余</w:t>
      </w:r>
      <w:r>
        <w:rPr>
          <w:rFonts w:hint="default" w:ascii="Times New Roman" w:hAnsi="Times New Roman" w:eastAsia="仿宋_GB2312" w:cs="Times New Roman"/>
          <w:sz w:val="32"/>
          <w:szCs w:val="32"/>
        </w:rPr>
        <w:t>项目支出增加。</w:t>
      </w:r>
    </w:p>
    <w:p w14:paraId="61ED42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（图5：一般公共预算财政拨款支出决算变动情况）（柱状图）</w:t>
      </w:r>
    </w:p>
    <w:p w14:paraId="3C3C9DEC">
      <w:pPr>
        <w:pageBreakBefore w:val="0"/>
        <w:kinsoku/>
        <w:wordWrap/>
        <w:topLinePunct w:val="0"/>
        <w:bidi w:val="0"/>
        <w:spacing w:line="240" w:lineRule="auto"/>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drawing>
          <wp:inline distT="0" distB="0" distL="0" distR="0">
            <wp:extent cx="5274310" cy="24669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816ED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bCs w:val="0"/>
          <w:sz w:val="32"/>
          <w:szCs w:val="32"/>
        </w:rPr>
      </w:pPr>
      <w:bookmarkStart w:id="33" w:name="_Toc15377211"/>
      <w:r>
        <w:rPr>
          <w:rFonts w:hint="default" w:ascii="Times New Roman" w:hAnsi="Times New Roman" w:eastAsia="楷体_GB2312" w:cs="Times New Roman"/>
          <w:b/>
          <w:bCs w:val="0"/>
          <w:sz w:val="32"/>
          <w:szCs w:val="32"/>
        </w:rPr>
        <w:t>（二）一般公共预算财政拨款支出决算结构情况</w:t>
      </w:r>
      <w:bookmarkEnd w:id="33"/>
      <w:r>
        <w:rPr>
          <w:rFonts w:hint="default" w:ascii="Times New Roman" w:hAnsi="Times New Roman" w:eastAsia="楷体_GB2312" w:cs="Times New Roman"/>
          <w:b/>
          <w:bCs w:val="0"/>
          <w:sz w:val="32"/>
          <w:szCs w:val="32"/>
        </w:rPr>
        <w:t>。</w:t>
      </w:r>
    </w:p>
    <w:p w14:paraId="23F50A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年一般公共预算财政拨款支出</w:t>
      </w:r>
      <w:r>
        <w:rPr>
          <w:rFonts w:hint="default" w:ascii="Times New Roman" w:hAnsi="Times New Roman" w:eastAsia="仿宋_GB2312" w:cs="Times New Roman"/>
          <w:sz w:val="32"/>
          <w:szCs w:val="32"/>
          <w:lang w:val="en-US" w:eastAsia="zh-CN"/>
        </w:rPr>
        <w:t>989.09</w:t>
      </w:r>
      <w:r>
        <w:rPr>
          <w:rFonts w:hint="default" w:ascii="Times New Roman" w:hAnsi="Times New Roman" w:eastAsia="仿宋_GB2312" w:cs="Times New Roman"/>
          <w:sz w:val="32"/>
          <w:szCs w:val="32"/>
        </w:rPr>
        <w:t>万元，主要用于以下方面:</w:t>
      </w:r>
    </w:p>
    <w:p w14:paraId="2B80A185">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一般公共服务</w:t>
      </w:r>
      <w:r>
        <w:rPr>
          <w:rFonts w:hint="default" w:ascii="Times New Roman" w:hAnsi="Times New Roman" w:eastAsia="仿宋_GB2312" w:cs="Times New Roman"/>
          <w:color w:val="000000"/>
          <w:sz w:val="32"/>
          <w:szCs w:val="32"/>
        </w:rPr>
        <w:t>支出</w:t>
      </w:r>
      <w:r>
        <w:rPr>
          <w:rFonts w:hint="default" w:ascii="Times New Roman" w:hAnsi="Times New Roman" w:eastAsia="仿宋_GB2312" w:cs="Times New Roman"/>
          <w:color w:val="000000"/>
          <w:sz w:val="32"/>
          <w:szCs w:val="32"/>
          <w:lang w:val="en-US" w:eastAsia="zh-CN"/>
        </w:rPr>
        <w:t>778.06</w:t>
      </w:r>
      <w:r>
        <w:rPr>
          <w:rFonts w:hint="default" w:ascii="Times New Roman" w:hAnsi="Times New Roman" w:eastAsia="仿宋_GB2312" w:cs="Times New Roman"/>
          <w:color w:val="000000"/>
          <w:sz w:val="32"/>
          <w:szCs w:val="32"/>
        </w:rPr>
        <w:t>万元，占</w:t>
      </w:r>
      <w:r>
        <w:rPr>
          <w:rFonts w:hint="default" w:ascii="Times New Roman" w:hAnsi="Times New Roman" w:eastAsia="仿宋_GB2312" w:cs="Times New Roman"/>
          <w:color w:val="000000"/>
          <w:sz w:val="32"/>
          <w:szCs w:val="32"/>
          <w:lang w:val="en-US" w:eastAsia="zh-CN"/>
        </w:rPr>
        <w:t>78.7</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b/>
          <w:bCs/>
          <w:color w:val="000000"/>
          <w:sz w:val="32"/>
          <w:szCs w:val="32"/>
        </w:rPr>
        <w:t>文化旅游体育与传媒</w:t>
      </w:r>
      <w:r>
        <w:rPr>
          <w:rFonts w:hint="default" w:ascii="Times New Roman" w:hAnsi="Times New Roman" w:eastAsia="仿宋_GB2312" w:cs="Times New Roman"/>
          <w:bCs/>
          <w:color w:val="000000"/>
          <w:sz w:val="32"/>
          <w:szCs w:val="32"/>
        </w:rPr>
        <w:t>支出</w:t>
      </w:r>
      <w:r>
        <w:rPr>
          <w:rFonts w:hint="default" w:ascii="Times New Roman" w:hAnsi="Times New Roman" w:eastAsia="仿宋_GB2312" w:cs="Times New Roman"/>
          <w:bCs/>
          <w:color w:val="000000"/>
          <w:sz w:val="32"/>
          <w:szCs w:val="32"/>
          <w:lang w:val="en-US" w:eastAsia="zh-CN"/>
        </w:rPr>
        <w:t>45.3</w:t>
      </w:r>
      <w:r>
        <w:rPr>
          <w:rFonts w:hint="default" w:ascii="Times New Roman" w:hAnsi="Times New Roman" w:eastAsia="仿宋_GB2312" w:cs="Times New Roman"/>
          <w:bCs/>
          <w:color w:val="000000"/>
          <w:sz w:val="32"/>
          <w:szCs w:val="32"/>
        </w:rPr>
        <w:t>万元，占</w:t>
      </w:r>
      <w:r>
        <w:rPr>
          <w:rFonts w:hint="default" w:ascii="Times New Roman" w:hAnsi="Times New Roman" w:eastAsia="仿宋_GB2312" w:cs="Times New Roman"/>
          <w:bCs/>
          <w:color w:val="000000"/>
          <w:sz w:val="32"/>
          <w:szCs w:val="32"/>
          <w:lang w:val="en-US" w:eastAsia="zh-CN"/>
        </w:rPr>
        <w:t>4.6</w:t>
      </w:r>
      <w:r>
        <w:rPr>
          <w:rFonts w:hint="default" w:ascii="Times New Roman" w:hAnsi="Times New Roman" w:eastAsia="仿宋_GB2312" w:cs="Times New Roman"/>
          <w:bCs/>
          <w:color w:val="000000"/>
          <w:sz w:val="32"/>
          <w:szCs w:val="32"/>
        </w:rPr>
        <w:t>%</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b/>
          <w:color w:val="000000"/>
          <w:sz w:val="32"/>
          <w:szCs w:val="32"/>
        </w:rPr>
        <w:t>社会保障和就业</w:t>
      </w:r>
      <w:r>
        <w:rPr>
          <w:rFonts w:hint="default" w:ascii="Times New Roman" w:hAnsi="Times New Roman" w:eastAsia="仿宋_GB2312" w:cs="Times New Roman"/>
          <w:color w:val="000000"/>
          <w:sz w:val="32"/>
          <w:szCs w:val="32"/>
        </w:rPr>
        <w:t>支出</w:t>
      </w:r>
      <w:r>
        <w:rPr>
          <w:rFonts w:hint="default" w:ascii="Times New Roman" w:hAnsi="Times New Roman" w:eastAsia="仿宋_GB2312" w:cs="Times New Roman"/>
          <w:color w:val="000000"/>
          <w:sz w:val="32"/>
          <w:szCs w:val="32"/>
          <w:lang w:val="en-US" w:eastAsia="zh-CN"/>
        </w:rPr>
        <w:t>80.75</w:t>
      </w:r>
      <w:r>
        <w:rPr>
          <w:rFonts w:hint="default" w:ascii="Times New Roman" w:hAnsi="Times New Roman" w:eastAsia="仿宋_GB2312" w:cs="Times New Roman"/>
          <w:color w:val="000000"/>
          <w:sz w:val="32"/>
          <w:szCs w:val="32"/>
        </w:rPr>
        <w:t>万元，占</w:t>
      </w:r>
      <w:r>
        <w:rPr>
          <w:rFonts w:hint="default" w:ascii="Times New Roman" w:hAnsi="Times New Roman" w:eastAsia="仿宋_GB2312" w:cs="Times New Roman"/>
          <w:color w:val="000000"/>
          <w:sz w:val="32"/>
          <w:szCs w:val="32"/>
          <w:lang w:val="en-US" w:eastAsia="zh-CN"/>
        </w:rPr>
        <w:t>8.2</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b/>
          <w:bCs/>
          <w:color w:val="000000"/>
          <w:sz w:val="32"/>
          <w:szCs w:val="32"/>
        </w:rPr>
        <w:t>卫生健康</w:t>
      </w:r>
      <w:r>
        <w:rPr>
          <w:rFonts w:hint="default" w:ascii="Times New Roman" w:hAnsi="Times New Roman" w:eastAsia="仿宋_GB2312" w:cs="Times New Roman"/>
          <w:b w:val="0"/>
          <w:bCs w:val="0"/>
          <w:color w:val="000000"/>
          <w:sz w:val="32"/>
          <w:szCs w:val="32"/>
        </w:rPr>
        <w:t>支出</w:t>
      </w:r>
      <w:r>
        <w:rPr>
          <w:rFonts w:hint="default" w:ascii="Times New Roman" w:hAnsi="Times New Roman" w:eastAsia="仿宋_GB2312" w:cs="Times New Roman"/>
          <w:color w:val="000000"/>
          <w:sz w:val="32"/>
          <w:szCs w:val="32"/>
          <w:lang w:val="en-US" w:eastAsia="zh-CN"/>
        </w:rPr>
        <w:t>28.64</w:t>
      </w:r>
      <w:r>
        <w:rPr>
          <w:rFonts w:hint="default" w:ascii="Times New Roman" w:hAnsi="Times New Roman" w:eastAsia="仿宋_GB2312" w:cs="Times New Roman"/>
          <w:color w:val="000000"/>
          <w:sz w:val="32"/>
          <w:szCs w:val="32"/>
        </w:rPr>
        <w:t>万元，占</w:t>
      </w:r>
      <w:r>
        <w:rPr>
          <w:rFonts w:hint="default" w:ascii="Times New Roman" w:hAnsi="Times New Roman" w:eastAsia="仿宋_GB2312" w:cs="Times New Roman"/>
          <w:color w:val="000000"/>
          <w:sz w:val="32"/>
          <w:szCs w:val="32"/>
          <w:lang w:val="en-US" w:eastAsia="zh-CN"/>
        </w:rPr>
        <w:t>2.9</w:t>
      </w:r>
      <w:r>
        <w:rPr>
          <w:rFonts w:hint="default" w:ascii="Times New Roman" w:hAnsi="Times New Roman" w:eastAsia="仿宋_GB2312" w:cs="Times New Roman"/>
          <w:color w:val="000000"/>
          <w:sz w:val="32"/>
          <w:szCs w:val="32"/>
        </w:rPr>
        <w:t>%；城乡社区支出</w:t>
      </w:r>
      <w:r>
        <w:rPr>
          <w:rFonts w:hint="default" w:ascii="Times New Roman" w:hAnsi="Times New Roman" w:eastAsia="仿宋_GB2312" w:cs="Times New Roman"/>
          <w:color w:val="000000"/>
          <w:sz w:val="32"/>
          <w:szCs w:val="32"/>
          <w:lang w:val="en-US" w:eastAsia="zh-CN"/>
        </w:rPr>
        <w:t>16.26</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1.6</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
          <w:color w:val="000000"/>
          <w:sz w:val="32"/>
          <w:szCs w:val="32"/>
        </w:rPr>
        <w:t>农林水</w:t>
      </w:r>
      <w:r>
        <w:rPr>
          <w:rFonts w:hint="default" w:ascii="Times New Roman" w:hAnsi="Times New Roman" w:eastAsia="仿宋_GB2312" w:cs="Times New Roman"/>
          <w:color w:val="000000"/>
          <w:sz w:val="32"/>
          <w:szCs w:val="32"/>
        </w:rPr>
        <w:t>支出</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2.</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7</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.3%万元；资源勘探工业信息等支出</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0.3</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
          <w:bCs/>
          <w:color w:val="000000"/>
          <w:sz w:val="32"/>
          <w:szCs w:val="32"/>
        </w:rPr>
        <w:t>住房保障</w:t>
      </w:r>
      <w:r>
        <w:rPr>
          <w:rFonts w:hint="default" w:ascii="Times New Roman" w:hAnsi="Times New Roman" w:eastAsia="仿宋_GB2312" w:cs="Times New Roman"/>
          <w:b w:val="0"/>
          <w:bCs w:val="0"/>
          <w:color w:val="000000"/>
          <w:sz w:val="32"/>
          <w:szCs w:val="32"/>
        </w:rPr>
        <w:t>支出</w:t>
      </w:r>
      <w:r>
        <w:rPr>
          <w:rFonts w:hint="default" w:ascii="Times New Roman" w:hAnsi="Times New Roman" w:eastAsia="仿宋_GB2312" w:cs="Times New Roman"/>
          <w:color w:val="000000"/>
          <w:sz w:val="32"/>
          <w:szCs w:val="32"/>
          <w:lang w:val="en-US" w:eastAsia="zh-CN"/>
        </w:rPr>
        <w:t>24.61</w:t>
      </w:r>
      <w:r>
        <w:rPr>
          <w:rFonts w:hint="default" w:ascii="Times New Roman" w:hAnsi="Times New Roman" w:eastAsia="仿宋_GB2312" w:cs="Times New Roman"/>
          <w:color w:val="000000"/>
          <w:sz w:val="32"/>
          <w:szCs w:val="32"/>
        </w:rPr>
        <w:t>万元，占2.</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w:t>
      </w:r>
    </w:p>
    <w:p w14:paraId="5DB85F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（图6：一般公共预算财政拨款支出决算结构）（饼状图）</w:t>
      </w:r>
    </w:p>
    <w:p w14:paraId="73D97108">
      <w:pPr>
        <w:pageBreakBefore w:val="0"/>
        <w:kinsoku/>
        <w:wordWrap/>
        <w:topLinePunct w:val="0"/>
        <w:bidi w:val="0"/>
        <w:spacing w:line="240" w:lineRule="auto"/>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drawing>
          <wp:inline distT="0" distB="0" distL="0" distR="0">
            <wp:extent cx="5274310" cy="4523105"/>
            <wp:effectExtent l="4445" t="4445" r="17145" b="635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0A27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Cs/>
          <w:sz w:val="32"/>
          <w:szCs w:val="32"/>
        </w:rPr>
      </w:pPr>
      <w:bookmarkStart w:id="34" w:name="_Toc15377212"/>
      <w:r>
        <w:rPr>
          <w:rFonts w:hint="default" w:ascii="Times New Roman" w:hAnsi="Times New Roman" w:eastAsia="楷体_GB2312" w:cs="Times New Roman"/>
          <w:b/>
          <w:bCs w:val="0"/>
          <w:sz w:val="32"/>
          <w:szCs w:val="32"/>
        </w:rPr>
        <w:t>（三）一般公共预算财政拨款支出决算具体情况</w:t>
      </w:r>
      <w:bookmarkEnd w:id="34"/>
      <w:r>
        <w:rPr>
          <w:rFonts w:hint="default" w:ascii="Times New Roman" w:hAnsi="Times New Roman" w:eastAsia="楷体_GB2312" w:cs="Times New Roman"/>
          <w:b/>
          <w:bCs w:val="0"/>
          <w:sz w:val="32"/>
          <w:szCs w:val="32"/>
        </w:rPr>
        <w:t>。</w:t>
      </w:r>
    </w:p>
    <w:p w14:paraId="7AC8CC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Style w:val="20"/>
          <w:rFonts w:hint="default" w:ascii="Times New Roman" w:hAnsi="Times New Roman" w:eastAsia="仿宋_GB2312" w:cs="Times New Roman"/>
          <w:b w:val="0"/>
          <w:bCs/>
          <w:sz w:val="32"/>
          <w:szCs w:val="32"/>
        </w:rPr>
      </w:pPr>
      <w:bookmarkStart w:id="35" w:name="_Toc15377444"/>
      <w:bookmarkStart w:id="36" w:name="_Toc15378460"/>
      <w:bookmarkStart w:id="37" w:name="_Toc15377213"/>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年一般公共预算支出决算数为</w:t>
      </w:r>
      <w:r>
        <w:rPr>
          <w:rFonts w:hint="default" w:ascii="Times New Roman" w:hAnsi="Times New Roman" w:eastAsia="仿宋_GB2312" w:cs="Times New Roman"/>
          <w:sz w:val="32"/>
          <w:szCs w:val="32"/>
          <w:lang w:val="en-US" w:eastAsia="zh-CN"/>
        </w:rPr>
        <w:t>989.09</w:t>
      </w:r>
      <w:r>
        <w:rPr>
          <w:rFonts w:hint="default" w:ascii="Times New Roman" w:hAnsi="Times New Roman" w:eastAsia="仿宋_GB2312" w:cs="Times New Roman"/>
          <w:sz w:val="32"/>
          <w:szCs w:val="32"/>
        </w:rPr>
        <w:t>万元，</w:t>
      </w:r>
      <w:r>
        <w:rPr>
          <w:rStyle w:val="20"/>
          <w:rFonts w:hint="default" w:ascii="Times New Roman" w:hAnsi="Times New Roman" w:eastAsia="仿宋_GB2312" w:cs="Times New Roman"/>
          <w:b w:val="0"/>
          <w:bCs/>
          <w:sz w:val="32"/>
          <w:szCs w:val="32"/>
        </w:rPr>
        <w:t>完成预算100%。其中：</w:t>
      </w:r>
      <w:bookmarkEnd w:id="35"/>
      <w:bookmarkEnd w:id="36"/>
      <w:bookmarkEnd w:id="37"/>
    </w:p>
    <w:p w14:paraId="28A7D3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bCs/>
          <w:sz w:val="32"/>
          <w:szCs w:val="32"/>
        </w:rPr>
      </w:pPr>
      <w:r>
        <w:rPr>
          <w:rStyle w:val="20"/>
          <w:rFonts w:hint="default" w:ascii="Times New Roman" w:hAnsi="Times New Roman" w:eastAsia="仿宋_GB2312" w:cs="Times New Roman"/>
          <w:b w:val="0"/>
          <w:bCs/>
          <w:color w:val="000000"/>
          <w:sz w:val="32"/>
          <w:szCs w:val="32"/>
        </w:rPr>
        <w:t>1.一般公共服务（类）政府办公厅（室）及相关机构事务（款）行政运行（项）: 支出决算为</w:t>
      </w:r>
      <w:r>
        <w:rPr>
          <w:rStyle w:val="20"/>
          <w:rFonts w:hint="default" w:ascii="Times New Roman" w:hAnsi="Times New Roman" w:eastAsia="仿宋_GB2312" w:cs="Times New Roman"/>
          <w:b w:val="0"/>
          <w:bCs/>
          <w:sz w:val="32"/>
          <w:szCs w:val="32"/>
          <w:lang w:val="en-US" w:eastAsia="zh-CN"/>
        </w:rPr>
        <w:t>132.97</w:t>
      </w:r>
      <w:r>
        <w:rPr>
          <w:rStyle w:val="20"/>
          <w:rFonts w:hint="default" w:ascii="Times New Roman" w:hAnsi="Times New Roman" w:eastAsia="仿宋_GB2312" w:cs="Times New Roman"/>
          <w:b w:val="0"/>
          <w:bCs/>
          <w:color w:val="000000"/>
          <w:sz w:val="32"/>
          <w:szCs w:val="32"/>
        </w:rPr>
        <w:t>万元，完成预算100%。</w:t>
      </w:r>
    </w:p>
    <w:p w14:paraId="08ED2DBA">
      <w:pPr>
        <w:pStyle w:val="17"/>
        <w:keepNext w:val="0"/>
        <w:keepLines w:val="0"/>
        <w:pageBreakBefore w:val="0"/>
        <w:widowControl w:val="0"/>
        <w:kinsoku/>
        <w:wordWrap/>
        <w:overflowPunct/>
        <w:topLinePunct w:val="0"/>
        <w:autoSpaceDE/>
        <w:autoSpaceDN/>
        <w:bidi w:val="0"/>
        <w:adjustRightInd/>
        <w:snapToGrid/>
        <w:spacing w:before="72" w:line="560" w:lineRule="exact"/>
        <w:ind w:firstLine="640" w:firstLineChars="200"/>
        <w:textAlignment w:val="auto"/>
        <w:rPr>
          <w:rStyle w:val="20"/>
          <w:rFonts w:hint="default" w:ascii="Times New Roman" w:hAnsi="Times New Roman" w:eastAsia="仿宋_GB2312" w:cs="Times New Roman"/>
          <w:b w:val="0"/>
          <w:bCs/>
          <w:color w:val="000000"/>
          <w:sz w:val="32"/>
          <w:szCs w:val="32"/>
        </w:rPr>
      </w:pPr>
      <w:r>
        <w:rPr>
          <w:rStyle w:val="20"/>
          <w:rFonts w:hint="default" w:ascii="Times New Roman" w:hAnsi="Times New Roman" w:eastAsia="仿宋_GB2312" w:cs="Times New Roman"/>
          <w:b w:val="0"/>
          <w:bCs/>
          <w:color w:val="000000"/>
          <w:sz w:val="32"/>
          <w:szCs w:val="32"/>
        </w:rPr>
        <w:t>2.一般公共服务（类）政府办公厅（室）及相关机构事务（款）一般行政管理事务（项）: 支出决算为</w:t>
      </w:r>
      <w:r>
        <w:rPr>
          <w:rStyle w:val="20"/>
          <w:rFonts w:hint="default" w:ascii="Times New Roman" w:hAnsi="Times New Roman" w:eastAsia="仿宋_GB2312" w:cs="Times New Roman"/>
          <w:b w:val="0"/>
          <w:bCs/>
          <w:color w:val="000000"/>
          <w:sz w:val="32"/>
          <w:szCs w:val="32"/>
          <w:lang w:val="en-US" w:eastAsia="zh-CN"/>
        </w:rPr>
        <w:t>261.03</w:t>
      </w:r>
      <w:r>
        <w:rPr>
          <w:rStyle w:val="20"/>
          <w:rFonts w:hint="default" w:ascii="Times New Roman" w:hAnsi="Times New Roman" w:eastAsia="仿宋_GB2312" w:cs="Times New Roman"/>
          <w:b w:val="0"/>
          <w:bCs/>
          <w:color w:val="000000"/>
          <w:sz w:val="32"/>
          <w:szCs w:val="32"/>
        </w:rPr>
        <w:t>万元，完成预算100%。</w:t>
      </w:r>
    </w:p>
    <w:p w14:paraId="085C5A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bCs/>
          <w:color w:val="000000"/>
          <w:sz w:val="32"/>
          <w:szCs w:val="32"/>
        </w:rPr>
      </w:pPr>
      <w:r>
        <w:rPr>
          <w:rStyle w:val="20"/>
          <w:rFonts w:hint="default" w:ascii="Times New Roman" w:hAnsi="Times New Roman" w:eastAsia="仿宋_GB2312" w:cs="Times New Roman"/>
          <w:b w:val="0"/>
          <w:bCs/>
          <w:color w:val="000000"/>
          <w:sz w:val="32"/>
          <w:szCs w:val="32"/>
        </w:rPr>
        <w:t>3.一般公共服务（类）政府办公厅（室）及相关机构事务（款）事业运行（项）: 支出决算为</w:t>
      </w:r>
      <w:r>
        <w:rPr>
          <w:rStyle w:val="20"/>
          <w:rFonts w:hint="default" w:ascii="Times New Roman" w:hAnsi="Times New Roman" w:eastAsia="仿宋_GB2312" w:cs="Times New Roman"/>
          <w:b w:val="0"/>
          <w:bCs/>
          <w:color w:val="000000"/>
          <w:sz w:val="32"/>
          <w:szCs w:val="32"/>
          <w:lang w:val="en-US" w:eastAsia="zh-CN"/>
        </w:rPr>
        <w:t>154.34</w:t>
      </w:r>
      <w:r>
        <w:rPr>
          <w:rStyle w:val="20"/>
          <w:rFonts w:hint="default" w:ascii="Times New Roman" w:hAnsi="Times New Roman" w:eastAsia="仿宋_GB2312" w:cs="Times New Roman"/>
          <w:b w:val="0"/>
          <w:bCs/>
          <w:color w:val="000000"/>
          <w:sz w:val="32"/>
          <w:szCs w:val="32"/>
        </w:rPr>
        <w:t>万元，完成预算100%。</w:t>
      </w:r>
    </w:p>
    <w:p w14:paraId="164087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Style w:val="20"/>
          <w:rFonts w:hint="default" w:ascii="Times New Roman" w:hAnsi="Times New Roman" w:eastAsia="仿宋_GB2312" w:cs="Times New Roman"/>
          <w:b w:val="0"/>
          <w:bCs/>
          <w:color w:val="000000"/>
          <w:sz w:val="32"/>
          <w:szCs w:val="32"/>
        </w:rPr>
        <w:t>4.一般公共服务（类）政府办公厅（室）及相关机构事务（款）</w:t>
      </w:r>
      <w:r>
        <w:rPr>
          <w:rFonts w:hint="default" w:ascii="Times New Roman" w:hAnsi="Times New Roman" w:eastAsia="仿宋_GB2312" w:cs="Times New Roman"/>
          <w:sz w:val="32"/>
          <w:szCs w:val="32"/>
        </w:rPr>
        <w:t>其他政府办公厅（室）及相关机构事务支出（项）: 支出决算为</w:t>
      </w:r>
      <w:r>
        <w:rPr>
          <w:rFonts w:hint="default" w:ascii="Times New Roman" w:hAnsi="Times New Roman" w:eastAsia="仿宋_GB2312" w:cs="Times New Roman"/>
          <w:sz w:val="32"/>
          <w:szCs w:val="32"/>
          <w:lang w:val="en-US" w:eastAsia="zh-CN"/>
        </w:rPr>
        <w:t>226.11</w:t>
      </w:r>
      <w:r>
        <w:rPr>
          <w:rFonts w:hint="default" w:ascii="Times New Roman" w:hAnsi="Times New Roman" w:eastAsia="仿宋_GB2312" w:cs="Times New Roman"/>
          <w:sz w:val="32"/>
          <w:szCs w:val="32"/>
        </w:rPr>
        <w:t>万元，完成预算100%。</w:t>
      </w:r>
    </w:p>
    <w:p w14:paraId="4CFEDA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5.一般公共服务（类）统计信息事务（款）专项统计业务（项）: 支出决算为</w:t>
      </w:r>
      <w:r>
        <w:rPr>
          <w:rFonts w:hint="default" w:ascii="Times New Roman" w:hAnsi="Times New Roman" w:eastAsia="仿宋_GB2312" w:cs="Times New Roman"/>
          <w:sz w:val="32"/>
          <w:szCs w:val="32"/>
          <w:lang w:val="en-US" w:eastAsia="zh-CN"/>
        </w:rPr>
        <w:t>0.63</w:t>
      </w:r>
      <w:r>
        <w:rPr>
          <w:rFonts w:hint="default" w:ascii="Times New Roman" w:hAnsi="Times New Roman" w:eastAsia="仿宋_GB2312" w:cs="Times New Roman"/>
          <w:sz w:val="32"/>
          <w:szCs w:val="32"/>
        </w:rPr>
        <w:t>万元，完成预算100%。</w:t>
      </w:r>
    </w:p>
    <w:p w14:paraId="42768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6.一般公共服务（类）纪检监察事务（款）其他纪检监察事务支出（项）: 支出决算为</w:t>
      </w:r>
      <w:r>
        <w:rPr>
          <w:rFonts w:hint="default" w:ascii="Times New Roman" w:hAnsi="Times New Roman" w:eastAsia="仿宋_GB2312" w:cs="Times New Roman"/>
          <w:sz w:val="32"/>
          <w:szCs w:val="32"/>
          <w:lang w:val="en-US" w:eastAsia="zh-CN"/>
        </w:rPr>
        <w:t>2.06</w:t>
      </w:r>
      <w:r>
        <w:rPr>
          <w:rFonts w:hint="default" w:ascii="Times New Roman" w:hAnsi="Times New Roman" w:eastAsia="仿宋_GB2312" w:cs="Times New Roman"/>
          <w:sz w:val="32"/>
          <w:szCs w:val="32"/>
        </w:rPr>
        <w:t>万元，完成预算100%。</w:t>
      </w:r>
    </w:p>
    <w:p w14:paraId="41469E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7.一般公共服务（类）群众团体事务（款）一般行政管理事务支出: 支出决算为0.2万元，完成预算100%。</w:t>
      </w:r>
    </w:p>
    <w:p w14:paraId="6FE811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8.一般公共服务（类）宣传事务支出（款）其他宣传事务支出（项）: 支出决算为</w:t>
      </w:r>
      <w:r>
        <w:rPr>
          <w:rFonts w:hint="default" w:ascii="Times New Roman" w:hAnsi="Times New Roman" w:eastAsia="仿宋_GB2312" w:cs="Times New Roman"/>
          <w:sz w:val="32"/>
          <w:szCs w:val="32"/>
          <w:lang w:val="en-US" w:eastAsia="zh-CN"/>
        </w:rPr>
        <w:t>0.72</w:t>
      </w:r>
      <w:r>
        <w:rPr>
          <w:rFonts w:hint="default" w:ascii="Times New Roman" w:hAnsi="Times New Roman" w:eastAsia="仿宋_GB2312" w:cs="Times New Roman"/>
          <w:sz w:val="32"/>
          <w:szCs w:val="32"/>
        </w:rPr>
        <w:t>万元，完成预算100%。</w:t>
      </w:r>
    </w:p>
    <w:p w14:paraId="3E9942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.文化旅游体育与传媒（类）文化和旅游（款）其他文化和旅游支出（项）: 支出决算为</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万元，完成预算100%。</w:t>
      </w:r>
    </w:p>
    <w:p w14:paraId="7F2F9A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文化和旅游</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eastAsia="zh-CN"/>
        </w:rPr>
        <w:t>文物</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博物馆</w:t>
      </w:r>
      <w:r>
        <w:rPr>
          <w:rFonts w:hint="default" w:ascii="Times New Roman" w:hAnsi="Times New Roman" w:eastAsia="仿宋_GB2312" w:cs="Times New Roman"/>
          <w:sz w:val="32"/>
          <w:szCs w:val="32"/>
        </w:rPr>
        <w:t>（项）: 支出决算为</w:t>
      </w:r>
      <w:r>
        <w:rPr>
          <w:rFonts w:hint="default"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rPr>
        <w:t>万元，完成预算100%。</w:t>
      </w:r>
    </w:p>
    <w:p w14:paraId="4D0200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文化和旅游</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eastAsia="zh-CN"/>
        </w:rPr>
        <w:t>其他文化旅游体育与传媒支出</w:t>
      </w:r>
      <w:r>
        <w:rPr>
          <w:rFonts w:hint="default" w:ascii="Times New Roman" w:hAnsi="Times New Roman" w:eastAsia="仿宋_GB2312" w:cs="Times New Roman"/>
          <w:sz w:val="32"/>
          <w:szCs w:val="32"/>
        </w:rPr>
        <w:t>（款）其他文化旅游体育与传媒支出（项）: 支出决算为4.1万元，完成预算100%。</w:t>
      </w:r>
    </w:p>
    <w:p w14:paraId="432829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.社会保障和就业（类）行政事业单位离退休（款）行政单位离退休（项）: 支出决算为</w:t>
      </w:r>
      <w:r>
        <w:rPr>
          <w:rFonts w:hint="default" w:ascii="Times New Roman" w:hAnsi="Times New Roman" w:eastAsia="仿宋_GB2312" w:cs="Times New Roman"/>
          <w:sz w:val="32"/>
          <w:szCs w:val="32"/>
          <w:lang w:val="en-US" w:eastAsia="zh-CN"/>
        </w:rPr>
        <w:t>4.07</w:t>
      </w:r>
      <w:r>
        <w:rPr>
          <w:rFonts w:hint="default" w:ascii="Times New Roman" w:hAnsi="Times New Roman" w:eastAsia="仿宋_GB2312" w:cs="Times New Roman"/>
          <w:sz w:val="32"/>
          <w:szCs w:val="32"/>
        </w:rPr>
        <w:t>万元，完成预算100%。</w:t>
      </w:r>
    </w:p>
    <w:p w14:paraId="1C2CBA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.社会保障和就业（类）行政事业单位离退休（款）</w:t>
      </w:r>
      <w:r>
        <w:rPr>
          <w:rStyle w:val="20"/>
          <w:rFonts w:hint="default" w:ascii="Times New Roman" w:hAnsi="Times New Roman" w:eastAsia="仿宋_GB2312" w:cs="Times New Roman"/>
          <w:b w:val="0"/>
          <w:bCs/>
          <w:color w:val="000000"/>
          <w:sz w:val="32"/>
          <w:szCs w:val="32"/>
        </w:rPr>
        <w:t>机关事业单位基本养老保险缴费支出（项）: 支出决算为</w:t>
      </w:r>
      <w:r>
        <w:rPr>
          <w:rStyle w:val="20"/>
          <w:rFonts w:hint="default" w:ascii="Times New Roman" w:hAnsi="Times New Roman" w:eastAsia="仿宋_GB2312" w:cs="Times New Roman"/>
          <w:b w:val="0"/>
          <w:bCs/>
          <w:color w:val="000000"/>
          <w:sz w:val="32"/>
          <w:szCs w:val="32"/>
          <w:lang w:val="en-US" w:eastAsia="zh-CN"/>
        </w:rPr>
        <w:t>36.84</w:t>
      </w:r>
      <w:r>
        <w:rPr>
          <w:rStyle w:val="20"/>
          <w:rFonts w:hint="default" w:ascii="Times New Roman" w:hAnsi="Times New Roman" w:eastAsia="仿宋_GB2312" w:cs="Times New Roman"/>
          <w:b w:val="0"/>
          <w:bCs/>
          <w:color w:val="000000"/>
          <w:sz w:val="32"/>
          <w:szCs w:val="32"/>
        </w:rPr>
        <w:t>万元，完成预算100%。</w:t>
      </w:r>
    </w:p>
    <w:p w14:paraId="3E1CA4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bCs/>
          <w:color w:val="000000"/>
          <w:sz w:val="32"/>
          <w:szCs w:val="32"/>
        </w:rPr>
      </w:pPr>
      <w:r>
        <w:rPr>
          <w:rStyle w:val="20"/>
          <w:rFonts w:hint="default" w:ascii="Times New Roman" w:hAnsi="Times New Roman" w:eastAsia="仿宋_GB2312" w:cs="Times New Roman"/>
          <w:b w:val="0"/>
          <w:bCs/>
          <w:color w:val="000000"/>
          <w:sz w:val="32"/>
          <w:szCs w:val="32"/>
          <w:lang w:val="en-US" w:eastAsia="zh-CN"/>
        </w:rPr>
        <w:t>14</w:t>
      </w:r>
      <w:r>
        <w:rPr>
          <w:rStyle w:val="20"/>
          <w:rFonts w:hint="default" w:ascii="Times New Roman" w:hAnsi="Times New Roman" w:eastAsia="仿宋_GB2312" w:cs="Times New Roman"/>
          <w:b w:val="0"/>
          <w:bCs/>
          <w:color w:val="000000"/>
          <w:sz w:val="32"/>
          <w:szCs w:val="32"/>
        </w:rPr>
        <w:t>.社会保障和就业（类）社会福利（款）养老服务（项）: 支出决算为</w:t>
      </w:r>
      <w:r>
        <w:rPr>
          <w:rStyle w:val="20"/>
          <w:rFonts w:hint="default" w:ascii="Times New Roman" w:hAnsi="Times New Roman" w:eastAsia="仿宋_GB2312" w:cs="Times New Roman"/>
          <w:b w:val="0"/>
          <w:bCs/>
          <w:color w:val="000000"/>
          <w:sz w:val="32"/>
          <w:szCs w:val="32"/>
          <w:lang w:val="en-US" w:eastAsia="zh-CN"/>
        </w:rPr>
        <w:t>38.86</w:t>
      </w:r>
      <w:r>
        <w:rPr>
          <w:rStyle w:val="20"/>
          <w:rFonts w:hint="default" w:ascii="Times New Roman" w:hAnsi="Times New Roman" w:eastAsia="仿宋_GB2312" w:cs="Times New Roman"/>
          <w:b w:val="0"/>
          <w:bCs/>
          <w:color w:val="000000"/>
          <w:sz w:val="32"/>
          <w:szCs w:val="32"/>
        </w:rPr>
        <w:t>万元，完成预算100%。</w:t>
      </w:r>
    </w:p>
    <w:p w14:paraId="2FB496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bCs/>
          <w:color w:val="000000"/>
          <w:sz w:val="32"/>
          <w:szCs w:val="32"/>
          <w:lang w:eastAsia="zh-CN"/>
        </w:rPr>
      </w:pPr>
      <w:r>
        <w:rPr>
          <w:rStyle w:val="20"/>
          <w:rFonts w:hint="default" w:ascii="Times New Roman" w:hAnsi="Times New Roman" w:eastAsia="仿宋_GB2312" w:cs="Times New Roman"/>
          <w:b w:val="0"/>
          <w:bCs/>
          <w:color w:val="000000"/>
          <w:sz w:val="32"/>
          <w:szCs w:val="32"/>
          <w:lang w:val="en-US" w:eastAsia="zh-CN"/>
        </w:rPr>
        <w:t>15</w:t>
      </w:r>
      <w:r>
        <w:rPr>
          <w:rStyle w:val="20"/>
          <w:rFonts w:hint="default" w:ascii="Times New Roman" w:hAnsi="Times New Roman" w:eastAsia="仿宋_GB2312" w:cs="Times New Roman"/>
          <w:b w:val="0"/>
          <w:bCs/>
          <w:color w:val="000000"/>
          <w:sz w:val="32"/>
          <w:szCs w:val="32"/>
        </w:rPr>
        <w:t>.社会保障和就业（类）退役军人管理事务（款）拥军优属（项）: 支出决算为</w:t>
      </w:r>
      <w:r>
        <w:rPr>
          <w:rStyle w:val="20"/>
          <w:rFonts w:hint="default" w:ascii="Times New Roman" w:hAnsi="Times New Roman" w:eastAsia="仿宋_GB2312" w:cs="Times New Roman"/>
          <w:b w:val="0"/>
          <w:bCs/>
          <w:color w:val="000000"/>
          <w:sz w:val="32"/>
          <w:szCs w:val="32"/>
          <w:lang w:val="en-US" w:eastAsia="zh-CN"/>
        </w:rPr>
        <w:t>0.98</w:t>
      </w:r>
      <w:r>
        <w:rPr>
          <w:rStyle w:val="20"/>
          <w:rFonts w:hint="default" w:ascii="Times New Roman" w:hAnsi="Times New Roman" w:eastAsia="仿宋_GB2312" w:cs="Times New Roman"/>
          <w:b w:val="0"/>
          <w:bCs/>
          <w:color w:val="000000"/>
          <w:sz w:val="32"/>
          <w:szCs w:val="32"/>
        </w:rPr>
        <w:t>万元，完成预算100%</w:t>
      </w:r>
      <w:r>
        <w:rPr>
          <w:rStyle w:val="20"/>
          <w:rFonts w:hint="default" w:ascii="Times New Roman" w:hAnsi="Times New Roman" w:eastAsia="仿宋_GB2312" w:cs="Times New Roman"/>
          <w:b w:val="0"/>
          <w:bCs/>
          <w:color w:val="000000"/>
          <w:sz w:val="32"/>
          <w:szCs w:val="32"/>
          <w:lang w:eastAsia="zh-CN"/>
        </w:rPr>
        <w:t>。</w:t>
      </w:r>
    </w:p>
    <w:p w14:paraId="39B684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val="en-US" w:eastAsia="zh-CN"/>
        </w:rPr>
        <w:t>16</w:t>
      </w:r>
      <w:r>
        <w:rPr>
          <w:rStyle w:val="20"/>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Cs/>
          <w:color w:val="000000"/>
          <w:sz w:val="32"/>
          <w:szCs w:val="32"/>
        </w:rPr>
        <w:t>卫生健康</w:t>
      </w:r>
      <w:r>
        <w:rPr>
          <w:rStyle w:val="20"/>
          <w:rFonts w:hint="default" w:ascii="Times New Roman" w:hAnsi="Times New Roman" w:eastAsia="仿宋_GB2312" w:cs="Times New Roman"/>
          <w:b w:val="0"/>
          <w:color w:val="000000"/>
          <w:sz w:val="32"/>
          <w:szCs w:val="32"/>
        </w:rPr>
        <w:t>（类）公共卫生（款）重大公共卫生服务（项）:支出决算为</w:t>
      </w:r>
      <w:r>
        <w:rPr>
          <w:rStyle w:val="20"/>
          <w:rFonts w:hint="default" w:ascii="Times New Roman" w:hAnsi="Times New Roman" w:eastAsia="仿宋_GB2312" w:cs="Times New Roman"/>
          <w:b w:val="0"/>
          <w:color w:val="000000"/>
          <w:sz w:val="32"/>
          <w:szCs w:val="32"/>
          <w:lang w:val="en-US" w:eastAsia="zh-CN"/>
        </w:rPr>
        <w:t>0.28</w:t>
      </w:r>
      <w:r>
        <w:rPr>
          <w:rStyle w:val="20"/>
          <w:rFonts w:hint="default" w:ascii="Times New Roman" w:hAnsi="Times New Roman" w:eastAsia="仿宋_GB2312" w:cs="Times New Roman"/>
          <w:b w:val="0"/>
          <w:color w:val="000000"/>
          <w:sz w:val="32"/>
          <w:szCs w:val="32"/>
        </w:rPr>
        <w:t>万元，完成预算100%。</w:t>
      </w:r>
    </w:p>
    <w:p w14:paraId="48FB98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Style w:val="20"/>
          <w:rFonts w:hint="default" w:ascii="Times New Roman" w:hAnsi="Times New Roman" w:eastAsia="仿宋_GB2312" w:cs="Times New Roman"/>
          <w:b w:val="0"/>
          <w:bCs/>
          <w:color w:val="000000"/>
          <w:sz w:val="32"/>
          <w:szCs w:val="32"/>
        </w:rPr>
        <w:t>17.</w:t>
      </w:r>
      <w:r>
        <w:rPr>
          <w:rFonts w:hint="default" w:ascii="Times New Roman" w:hAnsi="Times New Roman" w:eastAsia="仿宋_GB2312" w:cs="Times New Roman"/>
          <w:bCs/>
          <w:color w:val="000000"/>
          <w:sz w:val="32"/>
          <w:szCs w:val="32"/>
        </w:rPr>
        <w:t>卫生健康</w:t>
      </w:r>
      <w:r>
        <w:rPr>
          <w:rStyle w:val="20"/>
          <w:rFonts w:hint="default" w:ascii="Times New Roman" w:hAnsi="Times New Roman" w:eastAsia="仿宋_GB2312" w:cs="Times New Roman"/>
          <w:b w:val="0"/>
          <w:color w:val="000000"/>
          <w:sz w:val="32"/>
          <w:szCs w:val="32"/>
        </w:rPr>
        <w:t>（类）行政事业单位医疗（款）行政单位医疗（项）:支出决算为</w:t>
      </w:r>
      <w:r>
        <w:rPr>
          <w:rStyle w:val="20"/>
          <w:rFonts w:hint="default" w:ascii="Times New Roman" w:hAnsi="Times New Roman" w:eastAsia="仿宋_GB2312" w:cs="Times New Roman"/>
          <w:b w:val="0"/>
          <w:color w:val="000000"/>
          <w:sz w:val="32"/>
          <w:szCs w:val="32"/>
          <w:lang w:val="en-US" w:eastAsia="zh-CN"/>
        </w:rPr>
        <w:t>7.9</w:t>
      </w:r>
      <w:r>
        <w:rPr>
          <w:rStyle w:val="20"/>
          <w:rFonts w:hint="default" w:ascii="Times New Roman" w:hAnsi="Times New Roman" w:eastAsia="仿宋_GB2312" w:cs="Times New Roman"/>
          <w:b w:val="0"/>
          <w:color w:val="000000"/>
          <w:sz w:val="32"/>
          <w:szCs w:val="32"/>
        </w:rPr>
        <w:t>万元，完成预算100%。</w:t>
      </w:r>
    </w:p>
    <w:p w14:paraId="2FCB9B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sz w:val="32"/>
          <w:szCs w:val="32"/>
        </w:rPr>
      </w:pPr>
      <w:r>
        <w:rPr>
          <w:rStyle w:val="20"/>
          <w:rFonts w:hint="default" w:ascii="Times New Roman" w:hAnsi="Times New Roman" w:eastAsia="仿宋_GB2312" w:cs="Times New Roman"/>
          <w:b w:val="0"/>
          <w:bCs/>
          <w:color w:val="000000"/>
          <w:sz w:val="32"/>
          <w:szCs w:val="32"/>
        </w:rPr>
        <w:t>18.</w:t>
      </w:r>
      <w:r>
        <w:rPr>
          <w:rFonts w:hint="default" w:ascii="Times New Roman" w:hAnsi="Times New Roman" w:eastAsia="仿宋_GB2312" w:cs="Times New Roman"/>
          <w:bCs/>
          <w:color w:val="000000"/>
          <w:sz w:val="32"/>
          <w:szCs w:val="32"/>
        </w:rPr>
        <w:t>卫生健康</w:t>
      </w:r>
      <w:r>
        <w:rPr>
          <w:rStyle w:val="20"/>
          <w:rFonts w:hint="default" w:ascii="Times New Roman" w:hAnsi="Times New Roman" w:eastAsia="仿宋_GB2312" w:cs="Times New Roman"/>
          <w:b w:val="0"/>
          <w:color w:val="000000"/>
          <w:sz w:val="32"/>
          <w:szCs w:val="32"/>
        </w:rPr>
        <w:t>（类）行政事业单位医疗（款）事业单位医疗（项）:支出决算为</w:t>
      </w:r>
      <w:r>
        <w:rPr>
          <w:rStyle w:val="20"/>
          <w:rFonts w:hint="default" w:ascii="Times New Roman" w:hAnsi="Times New Roman" w:eastAsia="仿宋_GB2312" w:cs="Times New Roman"/>
          <w:b w:val="0"/>
          <w:color w:val="000000"/>
          <w:sz w:val="32"/>
          <w:szCs w:val="32"/>
          <w:lang w:val="en-US" w:eastAsia="zh-CN"/>
        </w:rPr>
        <w:t>9.01</w:t>
      </w:r>
      <w:r>
        <w:rPr>
          <w:rStyle w:val="20"/>
          <w:rFonts w:hint="default" w:ascii="Times New Roman" w:hAnsi="Times New Roman" w:eastAsia="仿宋_GB2312" w:cs="Times New Roman"/>
          <w:b w:val="0"/>
          <w:color w:val="000000"/>
          <w:sz w:val="32"/>
          <w:szCs w:val="32"/>
        </w:rPr>
        <w:t>万元，完成预算100%。</w:t>
      </w:r>
    </w:p>
    <w:p w14:paraId="7854E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color w:val="000000"/>
          <w:sz w:val="32"/>
          <w:szCs w:val="32"/>
        </w:rPr>
      </w:pPr>
      <w:r>
        <w:rPr>
          <w:rStyle w:val="20"/>
          <w:rFonts w:hint="default" w:ascii="Times New Roman" w:hAnsi="Times New Roman" w:eastAsia="仿宋_GB2312" w:cs="Times New Roman"/>
          <w:b w:val="0"/>
          <w:bCs/>
          <w:color w:val="000000"/>
          <w:sz w:val="32"/>
          <w:szCs w:val="32"/>
        </w:rPr>
        <w:t>19.</w:t>
      </w:r>
      <w:r>
        <w:rPr>
          <w:rFonts w:hint="default" w:ascii="Times New Roman" w:hAnsi="Times New Roman" w:eastAsia="仿宋_GB2312" w:cs="Times New Roman"/>
          <w:bCs/>
          <w:color w:val="000000"/>
          <w:sz w:val="32"/>
          <w:szCs w:val="32"/>
        </w:rPr>
        <w:t>卫生健康</w:t>
      </w:r>
      <w:r>
        <w:rPr>
          <w:rStyle w:val="20"/>
          <w:rFonts w:hint="default" w:ascii="Times New Roman" w:hAnsi="Times New Roman" w:eastAsia="仿宋_GB2312" w:cs="Times New Roman"/>
          <w:b w:val="0"/>
          <w:color w:val="000000"/>
          <w:sz w:val="32"/>
          <w:szCs w:val="32"/>
        </w:rPr>
        <w:t>（类）行政事业单位医疗（款）公务员医疗补助（项）:支出决算为</w:t>
      </w:r>
      <w:r>
        <w:rPr>
          <w:rStyle w:val="20"/>
          <w:rFonts w:hint="default" w:ascii="Times New Roman" w:hAnsi="Times New Roman" w:eastAsia="仿宋_GB2312" w:cs="Times New Roman"/>
          <w:b w:val="0"/>
          <w:color w:val="000000"/>
          <w:sz w:val="32"/>
          <w:szCs w:val="32"/>
          <w:lang w:val="en-US" w:eastAsia="zh-CN"/>
        </w:rPr>
        <w:t>6.22</w:t>
      </w:r>
      <w:r>
        <w:rPr>
          <w:rStyle w:val="20"/>
          <w:rFonts w:hint="default" w:ascii="Times New Roman" w:hAnsi="Times New Roman" w:eastAsia="仿宋_GB2312" w:cs="Times New Roman"/>
          <w:b w:val="0"/>
          <w:color w:val="000000"/>
          <w:sz w:val="32"/>
          <w:szCs w:val="32"/>
        </w:rPr>
        <w:t>万元，完成预算100%。</w:t>
      </w:r>
    </w:p>
    <w:p w14:paraId="5BA69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color w:val="000000"/>
          <w:sz w:val="32"/>
          <w:szCs w:val="32"/>
        </w:rPr>
      </w:pPr>
      <w:r>
        <w:rPr>
          <w:rStyle w:val="20"/>
          <w:rFonts w:hint="default" w:ascii="Times New Roman" w:hAnsi="Times New Roman" w:eastAsia="仿宋_GB2312" w:cs="Times New Roman"/>
          <w:b w:val="0"/>
          <w:bCs/>
          <w:color w:val="000000"/>
          <w:sz w:val="32"/>
          <w:szCs w:val="32"/>
        </w:rPr>
        <w:t>20.</w:t>
      </w:r>
      <w:r>
        <w:rPr>
          <w:rFonts w:hint="default" w:ascii="Times New Roman" w:hAnsi="Times New Roman" w:eastAsia="仿宋_GB2312" w:cs="Times New Roman"/>
          <w:bCs/>
          <w:color w:val="000000"/>
          <w:sz w:val="32"/>
          <w:szCs w:val="32"/>
        </w:rPr>
        <w:t>卫生健康</w:t>
      </w:r>
      <w:r>
        <w:rPr>
          <w:rStyle w:val="20"/>
          <w:rFonts w:hint="default" w:ascii="Times New Roman" w:hAnsi="Times New Roman" w:eastAsia="仿宋_GB2312" w:cs="Times New Roman"/>
          <w:b w:val="0"/>
          <w:color w:val="000000"/>
          <w:sz w:val="32"/>
          <w:szCs w:val="32"/>
        </w:rPr>
        <w:t>（类）行政事业单位医疗（款）其他行政事业单位医疗支出（项）:支出决算为</w:t>
      </w:r>
      <w:r>
        <w:rPr>
          <w:rStyle w:val="20"/>
          <w:rFonts w:hint="default" w:ascii="Times New Roman" w:hAnsi="Times New Roman" w:eastAsia="仿宋_GB2312" w:cs="Times New Roman"/>
          <w:b w:val="0"/>
          <w:color w:val="000000"/>
          <w:sz w:val="32"/>
          <w:szCs w:val="32"/>
          <w:lang w:val="en-US" w:eastAsia="zh-CN"/>
        </w:rPr>
        <w:t>5.23</w:t>
      </w:r>
      <w:r>
        <w:rPr>
          <w:rStyle w:val="20"/>
          <w:rFonts w:hint="default" w:ascii="Times New Roman" w:hAnsi="Times New Roman" w:eastAsia="仿宋_GB2312" w:cs="Times New Roman"/>
          <w:b w:val="0"/>
          <w:color w:val="000000"/>
          <w:sz w:val="32"/>
          <w:szCs w:val="32"/>
        </w:rPr>
        <w:t>万元，完成预算100%。</w:t>
      </w:r>
    </w:p>
    <w:p w14:paraId="0C368A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Style w:val="20"/>
          <w:rFonts w:hint="default" w:ascii="Times New Roman" w:hAnsi="Times New Roman" w:eastAsia="仿宋_GB2312" w:cs="Times New Roman"/>
          <w:b w:val="0"/>
          <w:bCs/>
          <w:color w:val="000000"/>
          <w:sz w:val="32"/>
          <w:szCs w:val="32"/>
        </w:rPr>
        <w:t>21.</w:t>
      </w:r>
      <w:r>
        <w:rPr>
          <w:rFonts w:hint="default" w:ascii="Times New Roman" w:hAnsi="Times New Roman" w:eastAsia="仿宋_GB2312" w:cs="Times New Roman"/>
          <w:bCs/>
          <w:color w:val="000000"/>
          <w:sz w:val="32"/>
          <w:szCs w:val="32"/>
        </w:rPr>
        <w:t>城乡社区支出</w:t>
      </w:r>
      <w:r>
        <w:rPr>
          <w:rStyle w:val="20"/>
          <w:rFonts w:hint="default" w:ascii="Times New Roman" w:hAnsi="Times New Roman" w:eastAsia="仿宋_GB2312" w:cs="Times New Roman"/>
          <w:b w:val="0"/>
          <w:color w:val="000000"/>
          <w:sz w:val="32"/>
          <w:szCs w:val="32"/>
        </w:rPr>
        <w:t>（类）城乡社区管理事务（款）其他城乡社区管理事务支出（项）:支出决算为</w:t>
      </w:r>
      <w:r>
        <w:rPr>
          <w:rStyle w:val="20"/>
          <w:rFonts w:hint="default" w:ascii="Times New Roman" w:hAnsi="Times New Roman" w:eastAsia="仿宋_GB2312" w:cs="Times New Roman"/>
          <w:b w:val="0"/>
          <w:color w:val="000000"/>
          <w:sz w:val="32"/>
          <w:szCs w:val="32"/>
          <w:lang w:val="en-US" w:eastAsia="zh-CN"/>
        </w:rPr>
        <w:t>16.26</w:t>
      </w:r>
      <w:r>
        <w:rPr>
          <w:rStyle w:val="20"/>
          <w:rFonts w:hint="default" w:ascii="Times New Roman" w:hAnsi="Times New Roman" w:eastAsia="仿宋_GB2312" w:cs="Times New Roman"/>
          <w:b w:val="0"/>
          <w:color w:val="000000"/>
          <w:sz w:val="32"/>
          <w:szCs w:val="32"/>
        </w:rPr>
        <w:t>万元，完成预算100%。</w:t>
      </w:r>
    </w:p>
    <w:p w14:paraId="24C4BE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color w:val="000000"/>
          <w:sz w:val="32"/>
          <w:szCs w:val="32"/>
        </w:rPr>
      </w:pPr>
      <w:r>
        <w:rPr>
          <w:rStyle w:val="20"/>
          <w:rFonts w:hint="default" w:ascii="Times New Roman" w:hAnsi="Times New Roman" w:eastAsia="仿宋_GB2312" w:cs="Times New Roman"/>
          <w:b w:val="0"/>
          <w:bCs/>
          <w:color w:val="000000"/>
          <w:sz w:val="32"/>
          <w:szCs w:val="32"/>
        </w:rPr>
        <w:t>2</w:t>
      </w:r>
      <w:r>
        <w:rPr>
          <w:rStyle w:val="20"/>
          <w:rFonts w:hint="default" w:ascii="Times New Roman" w:hAnsi="Times New Roman" w:eastAsia="仿宋_GB2312" w:cs="Times New Roman"/>
          <w:b w:val="0"/>
          <w:bCs/>
          <w:color w:val="000000"/>
          <w:sz w:val="32"/>
          <w:szCs w:val="32"/>
          <w:lang w:val="en-US" w:eastAsia="zh-CN"/>
        </w:rPr>
        <w:t>2</w:t>
      </w:r>
      <w:r>
        <w:rPr>
          <w:rStyle w:val="20"/>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Cs/>
          <w:color w:val="000000"/>
          <w:sz w:val="32"/>
          <w:szCs w:val="32"/>
        </w:rPr>
        <w:t>农林水支出</w:t>
      </w:r>
      <w:r>
        <w:rPr>
          <w:rStyle w:val="20"/>
          <w:rFonts w:hint="default" w:ascii="Times New Roman" w:hAnsi="Times New Roman" w:eastAsia="仿宋_GB2312" w:cs="Times New Roman"/>
          <w:b w:val="0"/>
          <w:color w:val="000000"/>
          <w:sz w:val="32"/>
          <w:szCs w:val="32"/>
        </w:rPr>
        <w:t>（类）林业和草原（款）其他林业和草原支出（项）:支出决算为</w:t>
      </w:r>
      <w:r>
        <w:rPr>
          <w:rStyle w:val="20"/>
          <w:rFonts w:hint="default" w:ascii="Times New Roman" w:hAnsi="Times New Roman" w:eastAsia="仿宋_GB2312" w:cs="Times New Roman"/>
          <w:b w:val="0"/>
          <w:color w:val="000000"/>
          <w:sz w:val="32"/>
          <w:szCs w:val="32"/>
          <w:lang w:val="en-US" w:eastAsia="zh-CN"/>
        </w:rPr>
        <w:t>9.47</w:t>
      </w:r>
      <w:r>
        <w:rPr>
          <w:rStyle w:val="20"/>
          <w:rFonts w:hint="default" w:ascii="Times New Roman" w:hAnsi="Times New Roman" w:eastAsia="仿宋_GB2312" w:cs="Times New Roman"/>
          <w:b w:val="0"/>
          <w:color w:val="000000"/>
          <w:sz w:val="32"/>
          <w:szCs w:val="32"/>
        </w:rPr>
        <w:t>万元，完成预算100%。</w:t>
      </w:r>
    </w:p>
    <w:p w14:paraId="7DD63A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0"/>
          <w:rFonts w:hint="default" w:ascii="Times New Roman" w:hAnsi="Times New Roman" w:eastAsia="仿宋_GB2312" w:cs="Times New Roman"/>
          <w:b w:val="0"/>
          <w:color w:val="000000"/>
          <w:sz w:val="32"/>
          <w:szCs w:val="32"/>
        </w:rPr>
      </w:pPr>
      <w:r>
        <w:rPr>
          <w:rStyle w:val="20"/>
          <w:rFonts w:hint="default" w:ascii="Times New Roman" w:hAnsi="Times New Roman" w:eastAsia="仿宋_GB2312" w:cs="Times New Roman"/>
          <w:b w:val="0"/>
          <w:bCs/>
          <w:color w:val="000000"/>
          <w:sz w:val="32"/>
          <w:szCs w:val="32"/>
        </w:rPr>
        <w:t>2</w:t>
      </w:r>
      <w:r>
        <w:rPr>
          <w:rStyle w:val="20"/>
          <w:rFonts w:hint="default" w:ascii="Times New Roman" w:hAnsi="Times New Roman" w:eastAsia="仿宋_GB2312" w:cs="Times New Roman"/>
          <w:b w:val="0"/>
          <w:bCs/>
          <w:color w:val="000000"/>
          <w:sz w:val="32"/>
          <w:szCs w:val="32"/>
          <w:lang w:val="en-US" w:eastAsia="zh-CN"/>
        </w:rPr>
        <w:t>3</w:t>
      </w:r>
      <w:r>
        <w:rPr>
          <w:rStyle w:val="20"/>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Cs/>
          <w:color w:val="000000"/>
          <w:sz w:val="32"/>
          <w:szCs w:val="32"/>
        </w:rPr>
        <w:t>农林水支出</w:t>
      </w:r>
      <w:r>
        <w:rPr>
          <w:rStyle w:val="20"/>
          <w:rFonts w:hint="default" w:ascii="Times New Roman" w:hAnsi="Times New Roman" w:eastAsia="仿宋_GB2312" w:cs="Times New Roman"/>
          <w:b w:val="0"/>
          <w:color w:val="000000"/>
          <w:sz w:val="32"/>
          <w:szCs w:val="32"/>
        </w:rPr>
        <w:t>（类）农村综合改革（款）对村民委员会和村党支部的补助（项）:支出决算为</w:t>
      </w:r>
      <w:r>
        <w:rPr>
          <w:rStyle w:val="20"/>
          <w:rFonts w:hint="default" w:ascii="Times New Roman" w:hAnsi="Times New Roman" w:eastAsia="仿宋_GB2312" w:cs="Times New Roman"/>
          <w:b w:val="0"/>
          <w:color w:val="000000"/>
          <w:sz w:val="32"/>
          <w:szCs w:val="32"/>
          <w:lang w:val="en-US" w:eastAsia="zh-CN"/>
        </w:rPr>
        <w:t>3</w:t>
      </w:r>
      <w:r>
        <w:rPr>
          <w:rStyle w:val="20"/>
          <w:rFonts w:hint="default" w:ascii="Times New Roman" w:hAnsi="Times New Roman" w:eastAsia="仿宋_GB2312" w:cs="Times New Roman"/>
          <w:b w:val="0"/>
          <w:color w:val="000000"/>
          <w:sz w:val="32"/>
          <w:szCs w:val="32"/>
        </w:rPr>
        <w:t>万元，完成预算100%。</w:t>
      </w:r>
    </w:p>
    <w:p w14:paraId="7158D1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Style w:val="20"/>
          <w:rFonts w:hint="default" w:ascii="Times New Roman" w:hAnsi="Times New Roman" w:eastAsia="仿宋_GB2312" w:cs="Times New Roman"/>
          <w:b w:val="0"/>
          <w:bCs/>
          <w:color w:val="000000"/>
          <w:sz w:val="32"/>
          <w:szCs w:val="32"/>
        </w:rPr>
        <w:t>2</w:t>
      </w:r>
      <w:r>
        <w:rPr>
          <w:rStyle w:val="20"/>
          <w:rFonts w:hint="default" w:ascii="Times New Roman" w:hAnsi="Times New Roman" w:eastAsia="仿宋_GB2312" w:cs="Times New Roman"/>
          <w:b w:val="0"/>
          <w:bCs/>
          <w:color w:val="000000"/>
          <w:sz w:val="32"/>
          <w:szCs w:val="32"/>
          <w:lang w:val="en-US" w:eastAsia="zh-CN"/>
        </w:rPr>
        <w:t>4</w:t>
      </w:r>
      <w:r>
        <w:rPr>
          <w:rStyle w:val="20"/>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Cs/>
          <w:color w:val="000000"/>
          <w:sz w:val="32"/>
          <w:szCs w:val="32"/>
        </w:rPr>
        <w:t>资源勘探工业信息等支出</w:t>
      </w:r>
      <w:r>
        <w:rPr>
          <w:rStyle w:val="20"/>
          <w:rFonts w:hint="default" w:ascii="Times New Roman" w:hAnsi="Times New Roman" w:eastAsia="仿宋_GB2312" w:cs="Times New Roman"/>
          <w:b w:val="0"/>
          <w:color w:val="000000"/>
          <w:sz w:val="32"/>
          <w:szCs w:val="32"/>
        </w:rPr>
        <w:t>（类）工业和信息产业监管（款）一般行政管理事务（项）:支出决算为</w:t>
      </w:r>
      <w:r>
        <w:rPr>
          <w:rStyle w:val="20"/>
          <w:rFonts w:hint="default" w:ascii="Times New Roman" w:hAnsi="Times New Roman" w:eastAsia="仿宋_GB2312" w:cs="Times New Roman"/>
          <w:b w:val="0"/>
          <w:color w:val="000000"/>
          <w:sz w:val="32"/>
          <w:szCs w:val="32"/>
          <w:lang w:val="en-US" w:eastAsia="zh-CN"/>
        </w:rPr>
        <w:t>3</w:t>
      </w:r>
      <w:r>
        <w:rPr>
          <w:rStyle w:val="20"/>
          <w:rFonts w:hint="default" w:ascii="Times New Roman" w:hAnsi="Times New Roman" w:eastAsia="仿宋_GB2312" w:cs="Times New Roman"/>
          <w:b w:val="0"/>
          <w:color w:val="000000"/>
          <w:sz w:val="32"/>
          <w:szCs w:val="32"/>
        </w:rPr>
        <w:t>万元，完成预算100%</w:t>
      </w:r>
      <w:r>
        <w:rPr>
          <w:rStyle w:val="20"/>
          <w:rFonts w:hint="default" w:ascii="Times New Roman" w:hAnsi="Times New Roman" w:eastAsia="仿宋_GB2312" w:cs="Times New Roman"/>
          <w:b w:val="0"/>
          <w:color w:val="000000"/>
          <w:sz w:val="32"/>
          <w:szCs w:val="32"/>
          <w:lang w:eastAsia="zh-CN"/>
        </w:rPr>
        <w:t>。</w:t>
      </w:r>
    </w:p>
    <w:p w14:paraId="1315331D">
      <w:pPr>
        <w:pStyle w:val="17"/>
        <w:keepNext w:val="0"/>
        <w:keepLines w:val="0"/>
        <w:pageBreakBefore w:val="0"/>
        <w:widowControl w:val="0"/>
        <w:kinsoku/>
        <w:wordWrap/>
        <w:overflowPunct/>
        <w:topLinePunct w:val="0"/>
        <w:autoSpaceDE/>
        <w:autoSpaceDN/>
        <w:bidi w:val="0"/>
        <w:adjustRightInd/>
        <w:snapToGrid/>
        <w:spacing w:before="72" w:line="560" w:lineRule="exact"/>
        <w:ind w:firstLine="640" w:firstLineChars="200"/>
        <w:textAlignment w:val="auto"/>
        <w:rPr>
          <w:rStyle w:val="20"/>
          <w:rFonts w:hint="default" w:ascii="Times New Roman" w:hAnsi="Times New Roman" w:eastAsia="仿宋_GB2312" w:cs="Times New Roman"/>
          <w:b w:val="0"/>
          <w:color w:val="000000"/>
          <w:sz w:val="32"/>
          <w:szCs w:val="32"/>
        </w:rPr>
      </w:pPr>
      <w:r>
        <w:rPr>
          <w:rStyle w:val="20"/>
          <w:rFonts w:hint="default" w:ascii="Times New Roman" w:hAnsi="Times New Roman" w:eastAsia="仿宋_GB2312" w:cs="Times New Roman"/>
          <w:b w:val="0"/>
          <w:bCs/>
          <w:color w:val="000000"/>
          <w:sz w:val="32"/>
          <w:szCs w:val="32"/>
        </w:rPr>
        <w:t>2</w:t>
      </w:r>
      <w:r>
        <w:rPr>
          <w:rStyle w:val="20"/>
          <w:rFonts w:hint="default" w:ascii="Times New Roman" w:hAnsi="Times New Roman" w:eastAsia="仿宋_GB2312" w:cs="Times New Roman"/>
          <w:b w:val="0"/>
          <w:bCs/>
          <w:color w:val="000000"/>
          <w:sz w:val="32"/>
          <w:szCs w:val="32"/>
          <w:lang w:val="en-US" w:eastAsia="zh-CN"/>
        </w:rPr>
        <w:t>5</w:t>
      </w:r>
      <w:r>
        <w:rPr>
          <w:rStyle w:val="20"/>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Cs/>
          <w:color w:val="000000"/>
          <w:sz w:val="32"/>
          <w:szCs w:val="32"/>
        </w:rPr>
        <w:t>住房保障支出</w:t>
      </w:r>
      <w:r>
        <w:rPr>
          <w:rStyle w:val="20"/>
          <w:rFonts w:hint="default" w:ascii="Times New Roman" w:hAnsi="Times New Roman" w:eastAsia="仿宋_GB2312" w:cs="Times New Roman"/>
          <w:b w:val="0"/>
          <w:color w:val="000000"/>
          <w:sz w:val="32"/>
          <w:szCs w:val="32"/>
        </w:rPr>
        <w:t>（类）住房改革</w:t>
      </w:r>
      <w:r>
        <w:rPr>
          <w:rStyle w:val="20"/>
          <w:rFonts w:hint="eastAsia" w:eastAsia="仿宋_GB2312" w:cs="Times New Roman"/>
          <w:b w:val="0"/>
          <w:color w:val="000000"/>
          <w:sz w:val="32"/>
          <w:szCs w:val="32"/>
          <w:lang w:eastAsia="zh-CN"/>
        </w:rPr>
        <w:t>支出</w:t>
      </w:r>
      <w:r>
        <w:rPr>
          <w:rStyle w:val="20"/>
          <w:rFonts w:hint="default" w:ascii="Times New Roman" w:hAnsi="Times New Roman" w:eastAsia="仿宋_GB2312" w:cs="Times New Roman"/>
          <w:b w:val="0"/>
          <w:color w:val="000000"/>
          <w:sz w:val="32"/>
          <w:szCs w:val="32"/>
        </w:rPr>
        <w:t>（款）住房公积金（项）:支出决算为</w:t>
      </w:r>
      <w:r>
        <w:rPr>
          <w:rStyle w:val="20"/>
          <w:rFonts w:hint="default" w:ascii="Times New Roman" w:hAnsi="Times New Roman" w:eastAsia="仿宋_GB2312" w:cs="Times New Roman"/>
          <w:b w:val="0"/>
          <w:color w:val="000000"/>
          <w:sz w:val="32"/>
          <w:szCs w:val="32"/>
          <w:lang w:val="en-US" w:eastAsia="zh-CN"/>
        </w:rPr>
        <w:t>24.61</w:t>
      </w:r>
      <w:r>
        <w:rPr>
          <w:rStyle w:val="20"/>
          <w:rFonts w:hint="default" w:ascii="Times New Roman" w:hAnsi="Times New Roman" w:eastAsia="仿宋_GB2312" w:cs="Times New Roman"/>
          <w:b w:val="0"/>
          <w:color w:val="000000"/>
          <w:sz w:val="32"/>
          <w:szCs w:val="32"/>
        </w:rPr>
        <w:t>万元，完成预算100%。</w:t>
      </w:r>
    </w:p>
    <w:p w14:paraId="0018861A">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firstLineChars="200"/>
        <w:textAlignment w:val="auto"/>
        <w:outlineLvl w:val="1"/>
        <w:rPr>
          <w:rStyle w:val="31"/>
          <w:rFonts w:hint="default" w:ascii="Times New Roman" w:hAnsi="Times New Roman" w:cs="Times New Roman"/>
        </w:rPr>
      </w:pPr>
      <w:bookmarkStart w:id="38" w:name="_Toc15396608"/>
      <w:bookmarkStart w:id="39"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w:t>
      </w:r>
      <w:r>
        <w:rPr>
          <w:rStyle w:val="31"/>
          <w:rFonts w:hint="default" w:ascii="Times New Roman" w:hAnsi="Times New Roman" w:eastAsia="黑体" w:cs="Times New Roman"/>
          <w:b w:val="0"/>
        </w:rPr>
        <w:t>一般公共预算财政拨款基本支出决算情况说明</w:t>
      </w:r>
      <w:bookmarkEnd w:id="38"/>
      <w:bookmarkEnd w:id="39"/>
      <w:r>
        <w:rPr>
          <w:rStyle w:val="31"/>
          <w:rFonts w:hint="default" w:ascii="Times New Roman" w:hAnsi="Times New Roman" w:eastAsia="黑体" w:cs="Times New Roman"/>
          <w:b w:val="0"/>
        </w:rPr>
        <w:tab/>
      </w:r>
    </w:p>
    <w:p w14:paraId="61AE96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年一般公共预算财政拨款基本支出</w:t>
      </w:r>
      <w:r>
        <w:rPr>
          <w:rFonts w:hint="default" w:ascii="Times New Roman" w:hAnsi="Times New Roman" w:eastAsia="仿宋_GB2312" w:cs="Times New Roman"/>
          <w:sz w:val="32"/>
          <w:szCs w:val="32"/>
          <w:lang w:val="en-US" w:eastAsia="zh-CN"/>
        </w:rPr>
        <w:t>557.29</w:t>
      </w:r>
      <w:r>
        <w:rPr>
          <w:rFonts w:hint="default" w:ascii="Times New Roman" w:hAnsi="Times New Roman" w:eastAsia="仿宋_GB2312" w:cs="Times New Roman"/>
          <w:sz w:val="32"/>
          <w:szCs w:val="32"/>
        </w:rPr>
        <w:t>万元，其中：</w:t>
      </w:r>
    </w:p>
    <w:p w14:paraId="0918DA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人员经费支出</w:t>
      </w:r>
      <w:r>
        <w:rPr>
          <w:rFonts w:hint="default" w:ascii="Times New Roman" w:hAnsi="Times New Roman" w:eastAsia="仿宋_GB2312" w:cs="Times New Roman"/>
          <w:sz w:val="32"/>
          <w:szCs w:val="32"/>
          <w:lang w:val="en-US" w:eastAsia="zh-CN"/>
        </w:rPr>
        <w:t>532.87</w:t>
      </w:r>
      <w:r>
        <w:rPr>
          <w:rFonts w:hint="default" w:ascii="Times New Roman" w:hAnsi="Times New Roman" w:eastAsia="仿宋_GB2312" w:cs="Times New Roman"/>
          <w:sz w:val="32"/>
          <w:szCs w:val="32"/>
        </w:rPr>
        <w:t>万元，主要包括：基本工资、津贴补贴、奖金、绩效工资、机关事业单位基本养老保险缴费、职业年金缴费、其他社会保障缴费、职工基本医疗保险缴费、公务员医疗补助缴费、其他工资福利支出、退休费、生活补助、奖励金、住房公积金支出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公用经费支出</w:t>
      </w:r>
      <w:r>
        <w:rPr>
          <w:rFonts w:hint="default" w:ascii="Times New Roman" w:hAnsi="Times New Roman" w:eastAsia="仿宋_GB2312" w:cs="Times New Roman"/>
          <w:sz w:val="32"/>
          <w:szCs w:val="32"/>
          <w:lang w:val="en-US" w:eastAsia="zh-CN"/>
        </w:rPr>
        <w:t>24.42</w:t>
      </w:r>
      <w:r>
        <w:rPr>
          <w:rFonts w:hint="default" w:ascii="Times New Roman" w:hAnsi="Times New Roman" w:eastAsia="仿宋_GB2312" w:cs="Times New Roman"/>
          <w:sz w:val="32"/>
          <w:szCs w:val="32"/>
        </w:rPr>
        <w:t>万元，主要包括：办公费、水费、电费、邮电费、差旅费、维修（护）费、劳务费、工会经费、福利费、公务用车运行维护费、其他交通费、其他商品和服务支出等。</w:t>
      </w:r>
    </w:p>
    <w:p w14:paraId="084C4C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1"/>
          <w:rFonts w:hint="default" w:ascii="Times New Roman" w:hAnsi="Times New Roman" w:eastAsia="黑体" w:cs="Times New Roman"/>
          <w:b w:val="0"/>
        </w:rPr>
      </w:pPr>
      <w:bookmarkStart w:id="40" w:name="_Toc15396609"/>
      <w:bookmarkStart w:id="41" w:name="_Toc15377215"/>
      <w:r>
        <w:rPr>
          <w:rFonts w:hint="default" w:ascii="Times New Roman" w:hAnsi="Times New Roman" w:eastAsia="黑体" w:cs="Times New Roman"/>
          <w:sz w:val="32"/>
          <w:szCs w:val="32"/>
        </w:rPr>
        <w:t>七、</w:t>
      </w:r>
      <w:r>
        <w:rPr>
          <w:rStyle w:val="31"/>
          <w:rFonts w:hint="default" w:ascii="Times New Roman" w:hAnsi="Times New Roman" w:eastAsia="黑体" w:cs="Times New Roman"/>
        </w:rPr>
        <w:t>“</w:t>
      </w:r>
      <w:r>
        <w:rPr>
          <w:rStyle w:val="31"/>
          <w:rFonts w:hint="default" w:ascii="Times New Roman" w:hAnsi="Times New Roman" w:eastAsia="黑体" w:cs="Times New Roman"/>
          <w:b w:val="0"/>
        </w:rPr>
        <w:t>三公”经费财政拨款支出决算情况说明</w:t>
      </w:r>
      <w:bookmarkEnd w:id="40"/>
      <w:bookmarkEnd w:id="41"/>
    </w:p>
    <w:p w14:paraId="5F36FD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bCs w:val="0"/>
          <w:sz w:val="32"/>
          <w:szCs w:val="32"/>
        </w:rPr>
      </w:pPr>
      <w:bookmarkStart w:id="42" w:name="_Toc15377216"/>
      <w:r>
        <w:rPr>
          <w:rFonts w:hint="default" w:ascii="Times New Roman" w:hAnsi="Times New Roman" w:eastAsia="楷体_GB2312" w:cs="Times New Roman"/>
          <w:b/>
          <w:bCs w:val="0"/>
          <w:sz w:val="32"/>
          <w:szCs w:val="32"/>
        </w:rPr>
        <w:t>（一）“三公”经费财政拨款支出决算总体情况说明</w:t>
      </w:r>
      <w:bookmarkEnd w:id="42"/>
      <w:r>
        <w:rPr>
          <w:rFonts w:hint="default" w:ascii="Times New Roman" w:hAnsi="Times New Roman" w:eastAsia="楷体_GB2312" w:cs="Times New Roman"/>
          <w:b/>
          <w:bCs w:val="0"/>
          <w:sz w:val="32"/>
          <w:szCs w:val="32"/>
        </w:rPr>
        <w:t>。</w:t>
      </w:r>
    </w:p>
    <w:p w14:paraId="0B9E29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Cs/>
          <w:sz w:val="32"/>
          <w:szCs w:val="32"/>
          <w:lang w:eastAsia="zh-CN"/>
        </w:rPr>
        <w:t>2023</w:t>
      </w:r>
      <w:r>
        <w:rPr>
          <w:rFonts w:hint="default" w:ascii="Times New Roman" w:hAnsi="Times New Roman" w:eastAsia="仿宋_GB2312" w:cs="Times New Roman"/>
          <w:bCs/>
          <w:sz w:val="32"/>
          <w:szCs w:val="32"/>
        </w:rPr>
        <w:t>年“三公”经费财政拨款支出决算为</w:t>
      </w:r>
      <w:r>
        <w:rPr>
          <w:rFonts w:hint="default" w:ascii="Times New Roman" w:hAnsi="Times New Roman" w:eastAsia="仿宋_GB2312" w:cs="Times New Roman"/>
          <w:bCs/>
          <w:sz w:val="32"/>
          <w:szCs w:val="32"/>
          <w:lang w:val="en-US" w:eastAsia="zh-CN"/>
        </w:rPr>
        <w:t>18.64</w:t>
      </w:r>
      <w:r>
        <w:rPr>
          <w:rFonts w:hint="default" w:ascii="Times New Roman" w:hAnsi="Times New Roman" w:eastAsia="仿宋_GB2312" w:cs="Times New Roman"/>
          <w:bCs/>
          <w:sz w:val="32"/>
          <w:szCs w:val="32"/>
        </w:rPr>
        <w:t>万元</w:t>
      </w:r>
      <w:r>
        <w:rPr>
          <w:rFonts w:hint="default" w:ascii="Times New Roman" w:hAnsi="Times New Roman" w:eastAsia="仿宋_GB2312" w:cs="Times New Roman"/>
          <w:bCs/>
          <w:sz w:val="32"/>
          <w:szCs w:val="32"/>
          <w:lang w:eastAsia="zh-CN"/>
        </w:rPr>
        <w:t>（其中，公务用车购置费</w:t>
      </w:r>
      <w:r>
        <w:rPr>
          <w:rFonts w:hint="default" w:ascii="Times New Roman" w:hAnsi="Times New Roman" w:eastAsia="仿宋_GB2312" w:cs="Times New Roman"/>
          <w:bCs/>
          <w:sz w:val="32"/>
          <w:szCs w:val="32"/>
          <w:lang w:val="en-US" w:eastAsia="zh-CN"/>
        </w:rPr>
        <w:t>14.35万元，公务用车运行费4.2万元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color w:val="000000"/>
          <w:sz w:val="32"/>
          <w:szCs w:val="32"/>
        </w:rPr>
        <w:t>完</w:t>
      </w:r>
      <w:r>
        <w:rPr>
          <w:rFonts w:hint="default" w:ascii="Times New Roman" w:hAnsi="Times New Roman" w:eastAsia="仿宋_GB2312" w:cs="Times New Roman"/>
          <w:color w:val="000000"/>
          <w:sz w:val="32"/>
          <w:szCs w:val="32"/>
        </w:rPr>
        <w:t>成预算的</w:t>
      </w:r>
      <w:r>
        <w:rPr>
          <w:rFonts w:hint="default" w:ascii="Times New Roman" w:hAnsi="Times New Roman" w:eastAsia="仿宋_GB2312" w:cs="Times New Roman"/>
          <w:color w:val="000000"/>
          <w:sz w:val="32"/>
          <w:szCs w:val="32"/>
          <w:lang w:val="en-US" w:eastAsia="zh-CN"/>
        </w:rPr>
        <w:t>95.9</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bCs/>
          <w:sz w:val="32"/>
          <w:szCs w:val="32"/>
          <w:lang w:val="en-US" w:eastAsia="zh-CN"/>
        </w:rPr>
        <w:t>公务用车运行</w:t>
      </w:r>
      <w:r>
        <w:rPr>
          <w:rFonts w:hint="eastAsia" w:eastAsia="仿宋_GB2312" w:cs="Times New Roman"/>
          <w:bCs/>
          <w:sz w:val="32"/>
          <w:szCs w:val="32"/>
          <w:lang w:val="en-US" w:eastAsia="zh-CN"/>
        </w:rPr>
        <w:t>维护</w:t>
      </w:r>
      <w:r>
        <w:rPr>
          <w:rFonts w:hint="default" w:ascii="Times New Roman" w:hAnsi="Times New Roman" w:eastAsia="仿宋_GB2312" w:cs="Times New Roman"/>
          <w:bCs/>
          <w:sz w:val="32"/>
          <w:szCs w:val="32"/>
          <w:lang w:val="en-US" w:eastAsia="zh-CN"/>
        </w:rPr>
        <w:t>费</w:t>
      </w:r>
      <w:r>
        <w:rPr>
          <w:rFonts w:hint="default" w:ascii="Times New Roman" w:hAnsi="Times New Roman" w:eastAsia="仿宋_GB2312" w:cs="Times New Roman"/>
          <w:sz w:val="32"/>
          <w:szCs w:val="32"/>
        </w:rPr>
        <w:t>较上年</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3.04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auto"/>
          <w:sz w:val="32"/>
          <w:szCs w:val="32"/>
          <w:highlight w:val="none"/>
          <w:lang w:val="en-US" w:eastAsia="zh-CN"/>
        </w:rPr>
        <w:t>增长262.1%，</w:t>
      </w:r>
      <w:r>
        <w:rPr>
          <w:rFonts w:hint="default" w:ascii="Times New Roman" w:hAnsi="Times New Roman" w:eastAsia="仿宋_GB2312" w:cs="Times New Roman"/>
          <w:sz w:val="32"/>
          <w:szCs w:val="32"/>
          <w:lang w:eastAsia="zh-CN"/>
        </w:rPr>
        <w:t>公务用车运行</w:t>
      </w:r>
      <w:r>
        <w:rPr>
          <w:rFonts w:hint="eastAsia" w:eastAsia="仿宋_GB2312" w:cs="Times New Roman"/>
          <w:bCs/>
          <w:sz w:val="32"/>
          <w:szCs w:val="32"/>
          <w:lang w:val="en-US" w:eastAsia="zh-CN"/>
        </w:rPr>
        <w:t>维护</w:t>
      </w:r>
      <w:r>
        <w:rPr>
          <w:rFonts w:hint="default" w:ascii="Times New Roman" w:hAnsi="Times New Roman" w:eastAsia="仿宋_GB2312" w:cs="Times New Roman"/>
          <w:sz w:val="32"/>
          <w:szCs w:val="32"/>
          <w:lang w:eastAsia="zh-CN"/>
        </w:rPr>
        <w:t>费增加的原因是</w:t>
      </w:r>
      <w:r>
        <w:rPr>
          <w:rFonts w:hint="default" w:ascii="Times New Roman" w:hAnsi="Times New Roman" w:eastAsia="仿宋_GB2312" w:cs="Times New Roman"/>
          <w:sz w:val="32"/>
          <w:szCs w:val="32"/>
          <w:lang w:val="en-US" w:eastAsia="zh-CN"/>
        </w:rPr>
        <w:t>2023年新增公务用车一辆，且防火防汛</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应急</w:t>
      </w:r>
      <w:r>
        <w:rPr>
          <w:rFonts w:hint="eastAsia" w:eastAsia="仿宋_GB2312" w:cs="Times New Roman"/>
          <w:sz w:val="32"/>
          <w:szCs w:val="32"/>
          <w:lang w:val="en-US" w:eastAsia="zh-CN"/>
        </w:rPr>
        <w:t>抢险等</w:t>
      </w:r>
      <w:r>
        <w:rPr>
          <w:rFonts w:hint="default" w:ascii="Times New Roman" w:hAnsi="Times New Roman" w:eastAsia="仿宋_GB2312" w:cs="Times New Roman"/>
          <w:sz w:val="32"/>
          <w:szCs w:val="32"/>
          <w:lang w:val="en-US" w:eastAsia="zh-CN"/>
        </w:rPr>
        <w:t>工作</w:t>
      </w:r>
      <w:r>
        <w:rPr>
          <w:rFonts w:hint="eastAsia" w:eastAsia="仿宋_GB2312" w:cs="Times New Roman"/>
          <w:sz w:val="32"/>
          <w:szCs w:val="32"/>
          <w:lang w:val="en-US" w:eastAsia="zh-CN"/>
        </w:rPr>
        <w:t>量增加</w:t>
      </w:r>
      <w:r>
        <w:rPr>
          <w:rFonts w:hint="default" w:ascii="Times New Roman" w:hAnsi="Times New Roman" w:eastAsia="仿宋_GB2312" w:cs="Times New Roman"/>
          <w:sz w:val="32"/>
          <w:szCs w:val="32"/>
          <w:lang w:val="en-US" w:eastAsia="zh-CN"/>
        </w:rPr>
        <w:t>。三公经费</w:t>
      </w:r>
      <w:r>
        <w:rPr>
          <w:rFonts w:hint="default" w:ascii="Times New Roman" w:hAnsi="Times New Roman" w:eastAsia="仿宋_GB2312" w:cs="Times New Roman"/>
          <w:sz w:val="32"/>
          <w:szCs w:val="32"/>
        </w:rPr>
        <w:t>决算数小于预算数</w:t>
      </w:r>
      <w:r>
        <w:rPr>
          <w:rFonts w:hint="default" w:ascii="Times New Roman" w:hAnsi="Times New Roman" w:eastAsia="仿宋_GB2312" w:cs="Times New Roman"/>
          <w:sz w:val="32"/>
          <w:szCs w:val="32"/>
          <w:lang w:eastAsia="zh-CN"/>
        </w:rPr>
        <w:t>是</w:t>
      </w:r>
      <w:r>
        <w:rPr>
          <w:rFonts w:hint="default" w:ascii="Times New Roman" w:hAnsi="Times New Roman" w:eastAsia="仿宋_GB2312" w:cs="Times New Roman"/>
          <w:sz w:val="32"/>
          <w:szCs w:val="32"/>
        </w:rPr>
        <w:t>因为街道厉行节约，缩减了公务用车运行费。</w:t>
      </w:r>
    </w:p>
    <w:p w14:paraId="376842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bCs w:val="0"/>
          <w:sz w:val="32"/>
          <w:szCs w:val="32"/>
        </w:rPr>
      </w:pPr>
      <w:bookmarkStart w:id="43" w:name="_Toc15377217"/>
      <w:r>
        <w:rPr>
          <w:rFonts w:hint="default" w:ascii="Times New Roman" w:hAnsi="Times New Roman" w:eastAsia="楷体_GB2312" w:cs="Times New Roman"/>
          <w:b/>
          <w:bCs w:val="0"/>
          <w:sz w:val="32"/>
          <w:szCs w:val="32"/>
        </w:rPr>
        <w:t>（二）“三公”经费财政拨款支出决算具体情况说明</w:t>
      </w:r>
      <w:bookmarkEnd w:id="43"/>
      <w:r>
        <w:rPr>
          <w:rFonts w:hint="default" w:ascii="Times New Roman" w:hAnsi="Times New Roman" w:eastAsia="楷体_GB2312" w:cs="Times New Roman"/>
          <w:b/>
          <w:bCs w:val="0"/>
          <w:sz w:val="32"/>
          <w:szCs w:val="32"/>
        </w:rPr>
        <w:t>。</w:t>
      </w:r>
    </w:p>
    <w:p w14:paraId="7858AE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年“三公”经费财政拨款支出决算中，因公出国（境）费支出决算0万元，占0%；公务用车购置费支出</w:t>
      </w:r>
      <w:r>
        <w:rPr>
          <w:rFonts w:hint="default" w:ascii="Times New Roman" w:hAnsi="Times New Roman" w:eastAsia="仿宋_GB2312" w:cs="Times New Roman"/>
          <w:sz w:val="32"/>
          <w:szCs w:val="32"/>
          <w:lang w:val="en-US" w:eastAsia="zh-CN"/>
        </w:rPr>
        <w:t>14.35</w:t>
      </w:r>
      <w:r>
        <w:rPr>
          <w:rFonts w:hint="default" w:ascii="Times New Roman" w:hAnsi="Times New Roman" w:eastAsia="仿宋_GB2312" w:cs="Times New Roman"/>
          <w:sz w:val="32"/>
          <w:szCs w:val="32"/>
        </w:rPr>
        <w:t>元，占</w:t>
      </w:r>
      <w:r>
        <w:rPr>
          <w:rFonts w:hint="default" w:ascii="Times New Roman" w:hAnsi="Times New Roman" w:eastAsia="仿宋_GB2312" w:cs="Times New Roman"/>
          <w:sz w:val="32"/>
          <w:szCs w:val="32"/>
          <w:lang w:val="en-US" w:eastAsia="zh-CN"/>
        </w:rPr>
        <w:t>77.4</w:t>
      </w:r>
      <w:r>
        <w:rPr>
          <w:rFonts w:hint="default" w:ascii="Times New Roman" w:hAnsi="Times New Roman" w:eastAsia="仿宋_GB2312" w:cs="Times New Roman"/>
          <w:sz w:val="32"/>
          <w:szCs w:val="32"/>
        </w:rPr>
        <w:t>%；公务用车运行维护费支出决算</w:t>
      </w:r>
      <w:r>
        <w:rPr>
          <w:rFonts w:hint="default" w:ascii="Times New Roman" w:hAnsi="Times New Roman" w:eastAsia="仿宋_GB2312" w:cs="Times New Roman"/>
          <w:sz w:val="32"/>
          <w:szCs w:val="32"/>
          <w:lang w:val="en-US" w:eastAsia="zh-CN"/>
        </w:rPr>
        <w:t>4.2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22.6</w:t>
      </w:r>
      <w:r>
        <w:rPr>
          <w:rFonts w:hint="default" w:ascii="Times New Roman" w:hAnsi="Times New Roman" w:eastAsia="仿宋_GB2312" w:cs="Times New Roman"/>
          <w:sz w:val="32"/>
          <w:szCs w:val="32"/>
        </w:rPr>
        <w:t>%；公务接待费支出决算0万元，占0%。具体情况如下：</w:t>
      </w:r>
    </w:p>
    <w:p w14:paraId="15A24D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（图7：“三公”经费财政拨款支出结构）（饼状图）</w:t>
      </w:r>
    </w:p>
    <w:p w14:paraId="07F54160">
      <w:pPr>
        <w:pStyle w:val="10"/>
        <w:pageBreakBefore w:val="0"/>
        <w:kinsoku/>
        <w:wordWrap/>
        <w:topLinePunct w:val="0"/>
        <w:bidi w:val="0"/>
        <w:spacing w:before="93" w:line="240" w:lineRule="auto"/>
        <w:ind w:firstLine="600" w:firstLineChars="200"/>
        <w:textAlignment w:val="auto"/>
        <w:rPr>
          <w:rFonts w:hint="default" w:ascii="Times New Roman" w:hAnsi="Times New Roman" w:cs="Times New Roman"/>
        </w:rPr>
      </w:pPr>
      <w:r>
        <w:rPr>
          <w:rFonts w:hint="default" w:ascii="Times New Roman" w:hAnsi="Times New Roman" w:cs="Times New Roman"/>
        </w:rPr>
        <w:drawing>
          <wp:inline distT="0" distB="0" distL="0" distR="0">
            <wp:extent cx="4848225" cy="2933700"/>
            <wp:effectExtent l="0" t="0" r="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1892A0">
      <w:pPr>
        <w:keepNext w:val="0"/>
        <w:keepLines w:val="0"/>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1.因公出国（境）经费支出</w:t>
      </w:r>
      <w:r>
        <w:rPr>
          <w:rFonts w:hint="default" w:ascii="Times New Roman" w:hAnsi="Times New Roman" w:eastAsia="仿宋_GB2312" w:cs="Times New Roman"/>
          <w:sz w:val="32"/>
          <w:szCs w:val="32"/>
        </w:rPr>
        <w:t>0万元，</w:t>
      </w:r>
      <w:r>
        <w:rPr>
          <w:rStyle w:val="20"/>
          <w:rFonts w:hint="default" w:ascii="Times New Roman" w:hAnsi="Times New Roman" w:eastAsia="仿宋_GB2312" w:cs="Times New Roman"/>
          <w:b w:val="0"/>
          <w:bCs/>
          <w:sz w:val="32"/>
          <w:szCs w:val="32"/>
        </w:rPr>
        <w:t>完成预算0%。</w:t>
      </w:r>
      <w:r>
        <w:rPr>
          <w:rFonts w:hint="default" w:ascii="Times New Roman" w:hAnsi="Times New Roman" w:eastAsia="仿宋_GB2312" w:cs="Times New Roman"/>
          <w:sz w:val="32"/>
          <w:szCs w:val="32"/>
        </w:rPr>
        <w:t>全年安排因公出国（境）团组0次，出国（境）0人。因公出国（境）支出决算与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年决算数持平。</w:t>
      </w:r>
    </w:p>
    <w:p w14:paraId="744B5524">
      <w:pPr>
        <w:keepNext w:val="0"/>
        <w:keepLines w:val="0"/>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2.公务用车购置及运行维护费支出</w:t>
      </w:r>
      <w:r>
        <w:rPr>
          <w:rFonts w:hint="default" w:ascii="Times New Roman" w:hAnsi="Times New Roman" w:eastAsia="仿宋_GB2312" w:cs="Times New Roman"/>
          <w:sz w:val="32"/>
          <w:szCs w:val="32"/>
          <w:lang w:val="en-US" w:eastAsia="zh-CN"/>
        </w:rPr>
        <w:t>18.64</w:t>
      </w:r>
      <w:r>
        <w:rPr>
          <w:rFonts w:hint="default" w:ascii="Times New Roman" w:hAnsi="Times New Roman" w:eastAsia="仿宋_GB2312" w:cs="Times New Roman"/>
          <w:sz w:val="32"/>
          <w:szCs w:val="32"/>
        </w:rPr>
        <w:t>万元,</w:t>
      </w:r>
      <w:r>
        <w:rPr>
          <w:rStyle w:val="20"/>
          <w:rFonts w:hint="default" w:ascii="Times New Roman" w:hAnsi="Times New Roman" w:eastAsia="仿宋_GB2312" w:cs="Times New Roman"/>
          <w:b w:val="0"/>
          <w:bCs/>
          <w:sz w:val="32"/>
          <w:szCs w:val="32"/>
        </w:rPr>
        <w:t>完成预算</w:t>
      </w:r>
      <w:r>
        <w:rPr>
          <w:rStyle w:val="20"/>
          <w:rFonts w:hint="default" w:ascii="Times New Roman" w:hAnsi="Times New Roman" w:eastAsia="仿宋_GB2312" w:cs="Times New Roman"/>
          <w:b w:val="0"/>
          <w:bCs/>
          <w:sz w:val="32"/>
          <w:szCs w:val="32"/>
          <w:lang w:val="en-US" w:eastAsia="zh-CN"/>
        </w:rPr>
        <w:t>95.01</w:t>
      </w:r>
      <w:r>
        <w:rPr>
          <w:rStyle w:val="20"/>
          <w:rFonts w:hint="default" w:ascii="Times New Roman" w:hAnsi="Times New Roman" w:eastAsia="仿宋_GB2312" w:cs="Times New Roman"/>
          <w:b w:val="0"/>
          <w:bCs/>
          <w:sz w:val="32"/>
          <w:szCs w:val="32"/>
        </w:rPr>
        <w:t>%，</w:t>
      </w:r>
      <w:r>
        <w:rPr>
          <w:rFonts w:hint="default" w:ascii="Times New Roman" w:hAnsi="Times New Roman" w:eastAsia="仿宋_GB2312" w:cs="Times New Roman"/>
          <w:sz w:val="32"/>
          <w:szCs w:val="32"/>
        </w:rPr>
        <w:t>支出决算比</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3.04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增加的原因是</w:t>
      </w:r>
      <w:r>
        <w:rPr>
          <w:rFonts w:hint="default" w:ascii="Times New Roman" w:hAnsi="Times New Roman" w:eastAsia="仿宋_GB2312" w:cs="Times New Roman"/>
          <w:sz w:val="32"/>
          <w:szCs w:val="32"/>
          <w:lang w:val="en-US" w:eastAsia="zh-CN"/>
        </w:rPr>
        <w:t>2023年新增公务用车一辆，且防火防汛等应急工作增加导致运行维护费增加。</w:t>
      </w:r>
    </w:p>
    <w:p w14:paraId="51B69ECF">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_GB2312" w:cs="Times New Roman"/>
          <w:sz w:val="32"/>
          <w:szCs w:val="32"/>
          <w:lang w:val="en-US" w:eastAsia="zh-CN"/>
        </w:rPr>
        <w:t>14.35</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辆，其中：轿车0辆、金额0万元，越野车0辆、金额0万元，载客汽车0辆、金额0万元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sz w:val="32"/>
          <w:szCs w:val="32"/>
        </w:rPr>
        <w:t>小型货车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14.35</w:t>
      </w:r>
      <w:r>
        <w:rPr>
          <w:rFonts w:hint="default" w:ascii="Times New Roman" w:hAnsi="Times New Roman" w:eastAsia="仿宋_GB2312" w:cs="Times New Roman"/>
          <w:sz w:val="32"/>
          <w:szCs w:val="32"/>
        </w:rPr>
        <w:t>万元。截至</w:t>
      </w: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年12月底，单位共有公务用车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w:t>
      </w:r>
      <w:r>
        <w:rPr>
          <w:rFonts w:hint="default" w:ascii="Times New Roman" w:hAnsi="Times New Roman" w:eastAsia="仿宋_GB2312" w:cs="Times New Roman"/>
          <w:color w:val="000000"/>
          <w:sz w:val="32"/>
          <w:szCs w:val="32"/>
        </w:rPr>
        <w:t>小型货车</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w:t>
      </w:r>
    </w:p>
    <w:p w14:paraId="702E5FB4">
      <w:pPr>
        <w:keepNext w:val="0"/>
        <w:keepLines w:val="0"/>
        <w:pageBreakBefore w:val="0"/>
        <w:widowControl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sz w:val="32"/>
          <w:szCs w:val="32"/>
          <w:lang w:val="en-US" w:eastAsia="zh-CN"/>
        </w:rPr>
        <w:t>4.2</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000000"/>
          <w:sz w:val="32"/>
          <w:szCs w:val="32"/>
        </w:rPr>
        <w:t>主要用于街道机关及事业单位日常</w:t>
      </w:r>
      <w:r>
        <w:rPr>
          <w:rFonts w:hint="eastAsia" w:eastAsia="仿宋_GB2312" w:cs="Times New Roman"/>
          <w:color w:val="000000"/>
          <w:sz w:val="32"/>
          <w:szCs w:val="32"/>
          <w:lang w:eastAsia="zh-CN"/>
        </w:rPr>
        <w:t>办公</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社会管理、</w:t>
      </w:r>
      <w:r>
        <w:rPr>
          <w:rFonts w:hint="default" w:ascii="Times New Roman" w:hAnsi="Times New Roman" w:eastAsia="仿宋_GB2312" w:cs="Times New Roman"/>
          <w:color w:val="000000"/>
          <w:sz w:val="32"/>
          <w:szCs w:val="32"/>
        </w:rPr>
        <w:t>基层政权建设、</w:t>
      </w:r>
      <w:r>
        <w:rPr>
          <w:rFonts w:hint="default" w:ascii="Times New Roman" w:hAnsi="Times New Roman" w:eastAsia="仿宋_GB2312" w:cs="Times New Roman"/>
          <w:color w:val="000000"/>
          <w:sz w:val="32"/>
          <w:szCs w:val="32"/>
          <w:lang w:eastAsia="zh-CN"/>
        </w:rPr>
        <w:t>防汛防火</w:t>
      </w:r>
      <w:r>
        <w:rPr>
          <w:rFonts w:hint="default" w:ascii="Times New Roman" w:hAnsi="Times New Roman" w:eastAsia="仿宋_GB2312" w:cs="Times New Roman"/>
          <w:color w:val="000000"/>
          <w:sz w:val="32"/>
          <w:szCs w:val="32"/>
        </w:rPr>
        <w:t>急难险重等工作所需的公务用车燃料费、维修费、过路过桥费、保险费等支出。</w:t>
      </w:r>
    </w:p>
    <w:p w14:paraId="3E855A7E">
      <w:pPr>
        <w:keepNext w:val="0"/>
        <w:keepLines w:val="0"/>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3.公务接待费支出</w:t>
      </w:r>
      <w:r>
        <w:rPr>
          <w:rFonts w:hint="default" w:ascii="Times New Roman" w:hAnsi="Times New Roman" w:eastAsia="仿宋_GB2312" w:cs="Times New Roman"/>
          <w:sz w:val="32"/>
          <w:szCs w:val="32"/>
        </w:rPr>
        <w:t>0万元，</w:t>
      </w:r>
      <w:r>
        <w:rPr>
          <w:rStyle w:val="20"/>
          <w:rFonts w:hint="default" w:ascii="Times New Roman" w:hAnsi="Times New Roman" w:eastAsia="仿宋_GB2312" w:cs="Times New Roman"/>
          <w:b w:val="0"/>
          <w:bCs/>
          <w:sz w:val="32"/>
          <w:szCs w:val="32"/>
        </w:rPr>
        <w:t>完成预算0%。</w:t>
      </w:r>
      <w:r>
        <w:rPr>
          <w:rFonts w:hint="default" w:ascii="Times New Roman" w:hAnsi="Times New Roman" w:eastAsia="仿宋_GB2312" w:cs="Times New Roman"/>
          <w:sz w:val="32"/>
          <w:szCs w:val="32"/>
        </w:rPr>
        <w:t>公务接待费支出决算与</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年决算数持平。</w:t>
      </w:r>
      <w:bookmarkStart w:id="44" w:name="_Toc15396610"/>
      <w:bookmarkStart w:id="45" w:name="_Toc15377218"/>
      <w:r>
        <w:rPr>
          <w:rFonts w:hint="default" w:ascii="Times New Roman" w:hAnsi="Times New Roman" w:eastAsia="仿宋_GB2312" w:cs="Times New Roman"/>
          <w:sz w:val="32"/>
          <w:szCs w:val="32"/>
        </w:rPr>
        <w:t>其中：</w:t>
      </w:r>
    </w:p>
    <w:p w14:paraId="04D143CA">
      <w:pPr>
        <w:keepNext w:val="0"/>
        <w:keepLines w:val="0"/>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国内公务接待支出0元。</w:t>
      </w:r>
    </w:p>
    <w:p w14:paraId="6AA77EAD">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外事接待支出0万元。</w:t>
      </w:r>
    </w:p>
    <w:p w14:paraId="23202A75">
      <w:pPr>
        <w:keepNext w:val="0"/>
        <w:keepLines w:val="0"/>
        <w:pageBreakBefore w:val="0"/>
        <w:widowControl w:val="0"/>
        <w:kinsoku/>
        <w:wordWrap/>
        <w:overflowPunct/>
        <w:topLinePunct w:val="0"/>
        <w:bidi w:val="0"/>
        <w:spacing w:line="560" w:lineRule="exact"/>
        <w:ind w:firstLine="640" w:firstLineChars="200"/>
        <w:textAlignment w:val="auto"/>
        <w:outlineLvl w:val="1"/>
        <w:rPr>
          <w:rStyle w:val="31"/>
          <w:rFonts w:hint="default" w:ascii="Times New Roman" w:hAnsi="Times New Roman" w:eastAsia="黑体" w:cs="Times New Roman"/>
        </w:rPr>
      </w:pPr>
      <w:r>
        <w:rPr>
          <w:rFonts w:hint="default" w:ascii="Times New Roman" w:hAnsi="Times New Roman" w:eastAsia="黑体" w:cs="Times New Roman"/>
          <w:sz w:val="32"/>
          <w:szCs w:val="32"/>
        </w:rPr>
        <w:t>八、</w:t>
      </w:r>
      <w:r>
        <w:rPr>
          <w:rStyle w:val="31"/>
          <w:rFonts w:hint="default" w:ascii="Times New Roman" w:hAnsi="Times New Roman" w:eastAsia="黑体" w:cs="Times New Roman"/>
          <w:b w:val="0"/>
        </w:rPr>
        <w:t>政府性基金预算支出决算情况说明</w:t>
      </w:r>
      <w:bookmarkEnd w:id="44"/>
      <w:bookmarkEnd w:id="45"/>
    </w:p>
    <w:p w14:paraId="0E1254CF">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年政府性基金预算财政拨款支出</w:t>
      </w:r>
      <w:r>
        <w:rPr>
          <w:rFonts w:hint="default" w:ascii="Times New Roman" w:hAnsi="Times New Roman" w:eastAsia="仿宋_GB2312" w:cs="Times New Roman"/>
          <w:sz w:val="32"/>
          <w:szCs w:val="32"/>
          <w:lang w:val="en-US" w:eastAsia="zh-CN"/>
        </w:rPr>
        <w:t>58.11</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000000"/>
          <w:sz w:val="32"/>
          <w:szCs w:val="32"/>
        </w:rPr>
        <w:t>（支出含上年结转结余）。</w:t>
      </w:r>
    </w:p>
    <w:p w14:paraId="563E3978">
      <w:pPr>
        <w:keepNext w:val="0"/>
        <w:keepLines w:val="0"/>
        <w:pageBreakBefore w:val="0"/>
        <w:widowControl w:val="0"/>
        <w:numPr>
          <w:ilvl w:val="0"/>
          <w:numId w:val="2"/>
        </w:numPr>
        <w:kinsoku/>
        <w:wordWrap/>
        <w:overflowPunct/>
        <w:topLinePunct w:val="0"/>
        <w:bidi w:val="0"/>
        <w:spacing w:line="560" w:lineRule="exact"/>
        <w:ind w:firstLine="640" w:firstLineChars="200"/>
        <w:textAlignment w:val="auto"/>
        <w:outlineLvl w:val="1"/>
        <w:rPr>
          <w:rStyle w:val="31"/>
          <w:rFonts w:hint="default" w:ascii="Times New Roman" w:hAnsi="Times New Roman" w:eastAsia="黑体" w:cs="Times New Roman"/>
          <w:b w:val="0"/>
        </w:rPr>
      </w:pPr>
      <w:bookmarkStart w:id="46" w:name="_Toc15377219"/>
      <w:bookmarkStart w:id="47" w:name="_Toc15396611"/>
      <w:r>
        <w:rPr>
          <w:rStyle w:val="31"/>
          <w:rFonts w:hint="default" w:ascii="Times New Roman" w:hAnsi="Times New Roman" w:eastAsia="黑体" w:cs="Times New Roman"/>
          <w:b w:val="0"/>
        </w:rPr>
        <w:t>国有资本经营预算支出决算情况说明</w:t>
      </w:r>
      <w:bookmarkEnd w:id="46"/>
      <w:bookmarkEnd w:id="47"/>
    </w:p>
    <w:p w14:paraId="08AB07F8">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年国有资本经营预算财政拨款支出0万元。</w:t>
      </w:r>
    </w:p>
    <w:p w14:paraId="1BE78648">
      <w:pPr>
        <w:keepNext w:val="0"/>
        <w:keepLines w:val="0"/>
        <w:pageBreakBefore w:val="0"/>
        <w:widowControl w:val="0"/>
        <w:numPr>
          <w:ilvl w:val="0"/>
          <w:numId w:val="2"/>
        </w:numPr>
        <w:kinsoku/>
        <w:wordWrap/>
        <w:overflowPunct/>
        <w:topLinePunct w:val="0"/>
        <w:bidi w:val="0"/>
        <w:spacing w:line="560" w:lineRule="exact"/>
        <w:ind w:firstLine="640" w:firstLineChars="200"/>
        <w:textAlignment w:val="auto"/>
        <w:outlineLvl w:val="1"/>
        <w:rPr>
          <w:rStyle w:val="31"/>
          <w:rFonts w:hint="default" w:ascii="Times New Roman" w:hAnsi="Times New Roman" w:eastAsia="黑体" w:cs="Times New Roman"/>
          <w:b w:val="0"/>
        </w:rPr>
      </w:pPr>
      <w:bookmarkStart w:id="48" w:name="_Toc15396612"/>
      <w:bookmarkStart w:id="49" w:name="_Toc15377221"/>
      <w:r>
        <w:rPr>
          <w:rStyle w:val="31"/>
          <w:rFonts w:hint="default" w:ascii="Times New Roman" w:hAnsi="Times New Roman" w:eastAsia="黑体" w:cs="Times New Roman"/>
          <w:b w:val="0"/>
        </w:rPr>
        <w:t>其他重要事项的情况说明</w:t>
      </w:r>
      <w:bookmarkEnd w:id="48"/>
      <w:bookmarkEnd w:id="49"/>
    </w:p>
    <w:p w14:paraId="31214FE1">
      <w:pPr>
        <w:keepNext w:val="0"/>
        <w:keepLines w:val="0"/>
        <w:pageBreakBefore w:val="0"/>
        <w:widowControl w:val="0"/>
        <w:kinsoku/>
        <w:wordWrap/>
        <w:overflowPunct/>
        <w:topLinePunct w:val="0"/>
        <w:bidi w:val="0"/>
        <w:spacing w:line="560" w:lineRule="exact"/>
        <w:ind w:firstLine="472" w:firstLineChars="147"/>
        <w:textAlignment w:val="auto"/>
        <w:outlineLvl w:val="2"/>
        <w:rPr>
          <w:rFonts w:hint="default" w:ascii="Times New Roman" w:hAnsi="Times New Roman" w:eastAsia="楷体_GB2312" w:cs="Times New Roman"/>
          <w:b/>
          <w:bCs w:val="0"/>
          <w:sz w:val="32"/>
          <w:szCs w:val="32"/>
        </w:rPr>
      </w:pPr>
      <w:bookmarkStart w:id="50" w:name="_Toc15377222"/>
      <w:r>
        <w:rPr>
          <w:rFonts w:hint="default" w:ascii="Times New Roman" w:hAnsi="Times New Roman" w:eastAsia="楷体_GB2312" w:cs="Times New Roman"/>
          <w:b/>
          <w:bCs w:val="0"/>
          <w:sz w:val="32"/>
          <w:szCs w:val="32"/>
        </w:rPr>
        <w:t>（一）机关运行经费支出情况</w:t>
      </w:r>
      <w:bookmarkEnd w:id="50"/>
      <w:r>
        <w:rPr>
          <w:rFonts w:hint="default" w:ascii="Times New Roman" w:hAnsi="Times New Roman" w:eastAsia="楷体_GB2312" w:cs="Times New Roman"/>
          <w:b/>
          <w:bCs w:val="0"/>
          <w:sz w:val="32"/>
          <w:szCs w:val="32"/>
        </w:rPr>
        <w:t>。</w:t>
      </w:r>
    </w:p>
    <w:p w14:paraId="510E7510">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年，河门口街道机关运行经费支出</w:t>
      </w:r>
      <w:r>
        <w:rPr>
          <w:rFonts w:hint="default" w:ascii="Times New Roman" w:hAnsi="Times New Roman" w:eastAsia="仿宋_GB2312" w:cs="Times New Roman"/>
          <w:sz w:val="32"/>
          <w:szCs w:val="32"/>
          <w:lang w:val="en-US" w:eastAsia="zh-CN"/>
        </w:rPr>
        <w:t>24.42</w:t>
      </w:r>
      <w:r>
        <w:rPr>
          <w:rFonts w:hint="default" w:ascii="Times New Roman" w:hAnsi="Times New Roman" w:eastAsia="仿宋_GB2312" w:cs="Times New Roman"/>
          <w:sz w:val="32"/>
          <w:szCs w:val="32"/>
        </w:rPr>
        <w:t>万元，比</w:t>
      </w:r>
      <w:r>
        <w:rPr>
          <w:rFonts w:hint="default" w:ascii="Times New Roman" w:hAnsi="Times New Roman" w:eastAsia="仿宋_GB2312" w:cs="Times New Roman"/>
          <w:sz w:val="32"/>
          <w:szCs w:val="32"/>
          <w:lang w:eastAsia="zh-CN"/>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5.91</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增长</w:t>
      </w:r>
      <w:r>
        <w:rPr>
          <w:rFonts w:hint="default" w:ascii="Times New Roman" w:hAnsi="Times New Roman" w:eastAsia="仿宋_GB2312" w:cs="Times New Roman"/>
          <w:sz w:val="32"/>
          <w:szCs w:val="32"/>
          <w:lang w:val="en-US" w:eastAsia="zh-CN"/>
        </w:rPr>
        <w:t>32</w:t>
      </w:r>
      <w:r>
        <w:rPr>
          <w:rFonts w:hint="default" w:ascii="Times New Roman" w:hAnsi="Times New Roman" w:eastAsia="仿宋_GB2312" w:cs="Times New Roman"/>
          <w:sz w:val="32"/>
          <w:szCs w:val="32"/>
        </w:rPr>
        <w:t>%。主要原因是</w:t>
      </w:r>
      <w:bookmarkStart w:id="51" w:name="_Toc15377223"/>
      <w:r>
        <w:rPr>
          <w:rFonts w:hint="default" w:ascii="Times New Roman" w:hAnsi="Times New Roman" w:eastAsia="仿宋_GB2312" w:cs="Times New Roman"/>
          <w:sz w:val="32"/>
          <w:szCs w:val="32"/>
          <w:lang w:eastAsia="zh-CN"/>
        </w:rPr>
        <w:t>新增公务员用车一辆，公务用车运行</w:t>
      </w:r>
      <w:r>
        <w:rPr>
          <w:rFonts w:hint="eastAsia" w:eastAsia="仿宋_GB2312" w:cs="Times New Roman"/>
          <w:sz w:val="32"/>
          <w:szCs w:val="32"/>
          <w:lang w:eastAsia="zh-CN"/>
        </w:rPr>
        <w:t>维护</w:t>
      </w:r>
      <w:r>
        <w:rPr>
          <w:rFonts w:hint="default" w:ascii="Times New Roman" w:hAnsi="Times New Roman" w:eastAsia="仿宋_GB2312" w:cs="Times New Roman"/>
          <w:sz w:val="32"/>
          <w:szCs w:val="32"/>
          <w:lang w:eastAsia="zh-CN"/>
        </w:rPr>
        <w:t>费增加等</w:t>
      </w:r>
      <w:r>
        <w:rPr>
          <w:rFonts w:hint="default" w:ascii="Times New Roman" w:hAnsi="Times New Roman" w:eastAsia="仿宋_GB2312" w:cs="Times New Roman"/>
          <w:color w:val="000000"/>
          <w:sz w:val="32"/>
          <w:szCs w:val="32"/>
        </w:rPr>
        <w:t>。</w:t>
      </w:r>
    </w:p>
    <w:p w14:paraId="07D63D98">
      <w:pPr>
        <w:keepNext w:val="0"/>
        <w:keepLines w:val="0"/>
        <w:pageBreakBefore w:val="0"/>
        <w:widowControl w:val="0"/>
        <w:kinsoku/>
        <w:wordWrap/>
        <w:overflowPunct/>
        <w:topLinePunct w:val="0"/>
        <w:bidi w:val="0"/>
        <w:spacing w:line="560" w:lineRule="exact"/>
        <w:ind w:firstLine="472" w:firstLineChars="147"/>
        <w:textAlignment w:val="auto"/>
        <w:outlineLvl w:val="2"/>
        <w:rPr>
          <w:rFonts w:hint="default" w:ascii="Times New Roman" w:hAnsi="Times New Roman" w:eastAsia="仿宋" w:cs="Times New Roman"/>
          <w:b/>
          <w:bCs w:val="0"/>
          <w:sz w:val="32"/>
          <w:szCs w:val="32"/>
        </w:rPr>
      </w:pPr>
      <w:r>
        <w:rPr>
          <w:rFonts w:hint="default" w:ascii="Times New Roman" w:hAnsi="Times New Roman" w:eastAsia="楷体_GB2312" w:cs="Times New Roman"/>
          <w:b/>
          <w:bCs w:val="0"/>
          <w:sz w:val="32"/>
          <w:szCs w:val="32"/>
        </w:rPr>
        <w:t>（二）政府采购支出情况。</w:t>
      </w:r>
      <w:bookmarkEnd w:id="51"/>
    </w:p>
    <w:p w14:paraId="590336DE">
      <w:pPr>
        <w:keepNext w:val="0"/>
        <w:keepLines w:val="0"/>
        <w:pageBreakBefore w:val="0"/>
        <w:widowControl w:val="0"/>
        <w:kinsoku/>
        <w:wordWrap/>
        <w:overflowPunct/>
        <w:topLinePunct w:val="0"/>
        <w:bidi w:val="0"/>
        <w:adjustRightInd w:val="0"/>
        <w:snapToGrid w:val="0"/>
        <w:spacing w:line="560" w:lineRule="exact"/>
        <w:ind w:left="0" w:right="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52" w:name="_Toc15377224"/>
      <w:r>
        <w:rPr>
          <w:rFonts w:hint="default" w:ascii="Times New Roman" w:hAnsi="Times New Roman" w:eastAsia="仿宋_GB2312" w:cs="Times New Roman"/>
          <w:color w:val="000000" w:themeColor="text1"/>
          <w:sz w:val="32"/>
          <w:szCs w:val="32"/>
          <w:lang w:eastAsia="zh-CN"/>
          <w14:textFill>
            <w14:solidFill>
              <w14:schemeClr w14:val="tx1"/>
            </w14:solidFill>
          </w14:textFill>
        </w:rPr>
        <w:t>2023</w:t>
      </w:r>
      <w:r>
        <w:rPr>
          <w:rFonts w:hint="default" w:ascii="Times New Roman" w:hAnsi="Times New Roman" w:eastAsia="仿宋_GB2312" w:cs="Times New Roman"/>
          <w:color w:val="000000" w:themeColor="text1"/>
          <w:sz w:val="32"/>
          <w:szCs w:val="32"/>
          <w14:textFill>
            <w14:solidFill>
              <w14:schemeClr w14:val="tx1"/>
            </w14:solidFill>
          </w14:textFill>
        </w:rPr>
        <w:t>年，河门口街道政府采购支出总额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198.61</w:t>
      </w:r>
      <w:r>
        <w:rPr>
          <w:rFonts w:hint="default" w:ascii="Times New Roman" w:hAnsi="Times New Roman" w:eastAsia="仿宋_GB2312" w:cs="Times New Roman"/>
          <w:color w:val="000000" w:themeColor="text1"/>
          <w:sz w:val="32"/>
          <w:szCs w:val="32"/>
          <w14:textFill>
            <w14:solidFill>
              <w14:schemeClr w14:val="tx1"/>
            </w14:solidFill>
          </w14:textFill>
        </w:rPr>
        <w:t>万元，其中：政府采购货物支出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61.95</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auto"/>
          <w:kern w:val="2"/>
          <w:sz w:val="32"/>
          <w:szCs w:val="32"/>
          <w:shd w:val="clear" w:color="auto" w:fill="FFFFFF"/>
          <w:lang w:val="en-US" w:eastAsia="zh-CN" w:bidi="ar-SA"/>
        </w:rPr>
        <w:t>政府采购工程支出121.66万元、政府采购服务支出15万元。</w:t>
      </w:r>
      <w:r>
        <w:rPr>
          <w:rFonts w:hint="default" w:ascii="Times New Roman" w:hAnsi="Times New Roman" w:eastAsia="仿宋_GB2312" w:cs="Times New Roman"/>
          <w:color w:val="000000" w:themeColor="text1"/>
          <w:sz w:val="32"/>
          <w:szCs w:val="32"/>
          <w14:textFill>
            <w14:solidFill>
              <w14:schemeClr w14:val="tx1"/>
            </w14:solidFill>
          </w14:textFill>
        </w:rPr>
        <w:t>其中：授予小微企业合同金额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168.7</w:t>
      </w:r>
      <w:r>
        <w:rPr>
          <w:rFonts w:hint="default" w:ascii="Times New Roman" w:hAnsi="Times New Roman" w:eastAsia="仿宋_GB2312" w:cs="Times New Roman"/>
          <w:color w:val="000000" w:themeColor="text1"/>
          <w:sz w:val="32"/>
          <w:szCs w:val="32"/>
          <w14:textFill>
            <w14:solidFill>
              <w14:schemeClr w14:val="tx1"/>
            </w14:solidFill>
          </w14:textFill>
        </w:rPr>
        <w:t>万元，占政府采购支出总额的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84.9</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7982AB1A">
      <w:pPr>
        <w:keepNext w:val="0"/>
        <w:keepLines w:val="0"/>
        <w:pageBreakBefore w:val="0"/>
        <w:widowControl w:val="0"/>
        <w:kinsoku/>
        <w:wordWrap/>
        <w:overflowPunct/>
        <w:topLinePunct w:val="0"/>
        <w:autoSpaceDE w:val="0"/>
        <w:autoSpaceDN w:val="0"/>
        <w:bidi w:val="0"/>
        <w:adjustRightInd w:val="0"/>
        <w:spacing w:line="560" w:lineRule="exact"/>
        <w:ind w:firstLine="643" w:firstLineChars="200"/>
        <w:jc w:val="left"/>
        <w:textAlignment w:val="auto"/>
        <w:outlineLvl w:val="2"/>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（三）国有资产占有使用情况</w:t>
      </w:r>
      <w:bookmarkEnd w:id="52"/>
      <w:r>
        <w:rPr>
          <w:rFonts w:hint="default" w:ascii="Times New Roman" w:hAnsi="Times New Roman" w:eastAsia="楷体_GB2312" w:cs="Times New Roman"/>
          <w:b/>
          <w:bCs w:val="0"/>
          <w:sz w:val="32"/>
          <w:szCs w:val="32"/>
        </w:rPr>
        <w:t>。</w:t>
      </w:r>
    </w:p>
    <w:p w14:paraId="159292F6">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w:t>
      </w:r>
      <w:r>
        <w:rPr>
          <w:rFonts w:hint="default" w:ascii="Times New Roman" w:hAnsi="Times New Roman" w:eastAsia="仿宋_GB2312" w:cs="Times New Roman"/>
          <w:sz w:val="32"/>
          <w:szCs w:val="32"/>
          <w:lang w:eastAsia="zh-CN"/>
        </w:rPr>
        <w:t>2023</w:t>
      </w:r>
      <w:r>
        <w:rPr>
          <w:rFonts w:hint="default" w:ascii="Times New Roman" w:hAnsi="Times New Roman" w:eastAsia="仿宋_GB2312" w:cs="Times New Roman"/>
          <w:sz w:val="32"/>
          <w:szCs w:val="32"/>
        </w:rPr>
        <w:t>年12月31日，街道共有车辆</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辆，其中：主要领导干部用车0辆、机要通信用车0辆、应急保障用车0辆、其他用车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辆，单价50万元以上通用设备0台（套），单价100万元以上专用设备0台（套）。</w:t>
      </w:r>
    </w:p>
    <w:p w14:paraId="71DF5FE8">
      <w:pPr>
        <w:keepNext w:val="0"/>
        <w:keepLines w:val="0"/>
        <w:pageBreakBefore w:val="0"/>
        <w:widowControl w:val="0"/>
        <w:kinsoku/>
        <w:wordWrap/>
        <w:overflowPunct/>
        <w:topLinePunct w:val="0"/>
        <w:autoSpaceDE w:val="0"/>
        <w:autoSpaceDN w:val="0"/>
        <w:bidi w:val="0"/>
        <w:adjustRightInd w:val="0"/>
        <w:spacing w:line="560" w:lineRule="exact"/>
        <w:ind w:firstLine="643" w:firstLineChars="200"/>
        <w:jc w:val="left"/>
        <w:textAlignment w:val="auto"/>
        <w:outlineLvl w:val="2"/>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（四）预算绩效管理情况。</w:t>
      </w:r>
    </w:p>
    <w:p w14:paraId="035E1AB8">
      <w:pPr>
        <w:keepNext w:val="0"/>
        <w:keepLines w:val="0"/>
        <w:pageBreakBefore w:val="0"/>
        <w:widowControl w:val="0"/>
        <w:kinsoku/>
        <w:wordWrap/>
        <w:overflowPunct/>
        <w:topLinePunct w:val="0"/>
        <w:bidi w:val="0"/>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本部门按要求对</w:t>
      </w:r>
      <w:r>
        <w:rPr>
          <w:rFonts w:hint="default" w:ascii="Times New Roman" w:hAnsi="Times New Roman" w:eastAsia="仿宋_GB2312" w:cs="Times New Roman"/>
          <w:color w:val="auto"/>
          <w:sz w:val="32"/>
          <w:szCs w:val="32"/>
          <w:lang w:eastAsia="zh-CN"/>
        </w:rPr>
        <w:t>2023</w:t>
      </w:r>
      <w:r>
        <w:rPr>
          <w:rFonts w:hint="default" w:ascii="Times New Roman" w:hAnsi="Times New Roman" w:eastAsia="仿宋_GB2312" w:cs="Times New Roman"/>
          <w:color w:val="auto"/>
          <w:sz w:val="32"/>
          <w:szCs w:val="32"/>
        </w:rPr>
        <w:t>年部门整体支出绩效评价情况开展自评，《</w:t>
      </w:r>
      <w:r>
        <w:rPr>
          <w:rFonts w:hint="default" w:ascii="Times New Roman" w:hAnsi="Times New Roman" w:eastAsia="仿宋_GB2312" w:cs="Times New Roman"/>
          <w:color w:val="auto"/>
          <w:sz w:val="32"/>
          <w:szCs w:val="32"/>
          <w:lang w:eastAsia="zh-CN"/>
        </w:rPr>
        <w:t>2023</w:t>
      </w:r>
      <w:r>
        <w:rPr>
          <w:rFonts w:hint="default" w:ascii="Times New Roman" w:hAnsi="Times New Roman" w:eastAsia="仿宋_GB2312" w:cs="Times New Roman"/>
          <w:color w:val="auto"/>
          <w:sz w:val="32"/>
          <w:szCs w:val="32"/>
        </w:rPr>
        <w:t>年攀枝花市西区河门口街道办事处部门整体绩效评价报告》见附件（附件1）。</w:t>
      </w:r>
    </w:p>
    <w:p w14:paraId="11ADE772">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本部门自行组织</w:t>
      </w:r>
      <w:r>
        <w:rPr>
          <w:rFonts w:hint="eastAsia" w:ascii="Times New Roman" w:hAnsi="Times New Roman" w:eastAsia="仿宋_GB2312" w:cs="Times New Roman"/>
          <w:color w:val="auto"/>
          <w:sz w:val="32"/>
          <w:szCs w:val="32"/>
          <w:lang w:val="en-US" w:eastAsia="zh-CN"/>
        </w:rPr>
        <w:t>对</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省级财政养老服务业发展补助资金</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河门口老旧小区公共服务活动中心改造项目</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开展了绩效评价，见附件（附件2</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附件2</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w:t>
      </w:r>
    </w:p>
    <w:p w14:paraId="3C96D884">
      <w:pPr>
        <w:pStyle w:val="10"/>
        <w:keepNext w:val="0"/>
        <w:keepLines w:val="0"/>
        <w:pageBreakBefore w:val="0"/>
        <w:widowControl w:val="0"/>
        <w:kinsoku/>
        <w:wordWrap/>
        <w:overflowPunct/>
        <w:topLinePunct w:val="0"/>
        <w:bidi w:val="0"/>
        <w:spacing w:line="560" w:lineRule="exact"/>
        <w:textAlignment w:val="auto"/>
        <w:rPr>
          <w:rFonts w:hint="default" w:ascii="Times New Roman" w:hAnsi="Times New Roman" w:eastAsia="仿宋_GB2312" w:cs="Times New Roman"/>
          <w:color w:val="FF0000"/>
          <w:sz w:val="32"/>
          <w:szCs w:val="32"/>
        </w:rPr>
      </w:pPr>
    </w:p>
    <w:p w14:paraId="0EFB655C">
      <w:pPr>
        <w:pStyle w:val="10"/>
        <w:pageBreakBefore w:val="0"/>
        <w:kinsoku/>
        <w:wordWrap/>
        <w:topLinePunct w:val="0"/>
        <w:bidi w:val="0"/>
        <w:spacing w:line="240" w:lineRule="auto"/>
        <w:textAlignment w:val="auto"/>
        <w:rPr>
          <w:rFonts w:hint="default" w:ascii="Times New Roman" w:hAnsi="Times New Roman" w:eastAsia="仿宋_GB2312" w:cs="Times New Roman"/>
          <w:sz w:val="32"/>
          <w:szCs w:val="32"/>
        </w:rPr>
      </w:pPr>
    </w:p>
    <w:p w14:paraId="16C210F8">
      <w:pPr>
        <w:pStyle w:val="10"/>
        <w:pageBreakBefore w:val="0"/>
        <w:kinsoku/>
        <w:wordWrap/>
        <w:topLinePunct w:val="0"/>
        <w:bidi w:val="0"/>
        <w:spacing w:line="240" w:lineRule="auto"/>
        <w:textAlignment w:val="auto"/>
        <w:rPr>
          <w:rFonts w:hint="default" w:ascii="Times New Roman" w:hAnsi="Times New Roman" w:eastAsia="仿宋_GB2312" w:cs="Times New Roman"/>
          <w:sz w:val="32"/>
          <w:szCs w:val="32"/>
        </w:rPr>
      </w:pPr>
    </w:p>
    <w:p w14:paraId="354B05B8">
      <w:pPr>
        <w:keepNext w:val="0"/>
        <w:keepLines w:val="0"/>
        <w:pageBreakBefore w:val="0"/>
        <w:widowControl w:val="0"/>
        <w:numPr>
          <w:ilvl w:val="0"/>
          <w:numId w:val="0"/>
        </w:numPr>
        <w:kinsoku/>
        <w:wordWrap/>
        <w:overflowPunct/>
        <w:topLinePunct w:val="0"/>
        <w:bidi w:val="0"/>
        <w:snapToGrid/>
        <w:spacing w:line="560" w:lineRule="exact"/>
        <w:ind w:firstLine="1760" w:firstLineChars="400"/>
        <w:jc w:val="both"/>
        <w:textAlignment w:val="auto"/>
        <w:rPr>
          <w:rFonts w:hint="default" w:ascii="Times New Roman" w:hAnsi="Times New Roman" w:eastAsia="方正小标宋_GBK" w:cs="Times New Roman"/>
          <w:sz w:val="44"/>
          <w:szCs w:val="44"/>
          <w:lang w:eastAsia="zh-CN"/>
        </w:rPr>
      </w:pPr>
      <w:bookmarkStart w:id="53" w:name="_Toc15396613"/>
      <w:bookmarkStart w:id="54" w:name="_Toc15377225"/>
    </w:p>
    <w:p w14:paraId="10A6F0D6">
      <w:pPr>
        <w:keepNext w:val="0"/>
        <w:keepLines w:val="0"/>
        <w:pageBreakBefore w:val="0"/>
        <w:widowControl w:val="0"/>
        <w:numPr>
          <w:ilvl w:val="0"/>
          <w:numId w:val="0"/>
        </w:numPr>
        <w:kinsoku/>
        <w:wordWrap/>
        <w:overflowPunct/>
        <w:topLinePunct w:val="0"/>
        <w:bidi w:val="0"/>
        <w:snapToGrid/>
        <w:spacing w:line="560" w:lineRule="exact"/>
        <w:ind w:firstLine="2640" w:firstLineChars="600"/>
        <w:jc w:val="both"/>
        <w:textAlignment w:val="auto"/>
        <w:rPr>
          <w:rFonts w:hint="default" w:ascii="Times New Roman" w:hAnsi="Times New Roman" w:eastAsia="方正小标宋_GBK" w:cs="Times New Roman"/>
          <w:sz w:val="44"/>
          <w:szCs w:val="44"/>
          <w:lang w:eastAsia="zh-CN"/>
        </w:rPr>
      </w:pPr>
    </w:p>
    <w:p w14:paraId="51FCFF71">
      <w:pPr>
        <w:keepNext w:val="0"/>
        <w:keepLines w:val="0"/>
        <w:pageBreakBefore w:val="0"/>
        <w:widowControl w:val="0"/>
        <w:numPr>
          <w:ilvl w:val="0"/>
          <w:numId w:val="0"/>
        </w:numPr>
        <w:kinsoku/>
        <w:wordWrap/>
        <w:overflowPunct/>
        <w:topLinePunct w:val="0"/>
        <w:bidi w:val="0"/>
        <w:snapToGrid/>
        <w:spacing w:line="560" w:lineRule="exact"/>
        <w:ind w:firstLine="2640" w:firstLineChars="600"/>
        <w:jc w:val="both"/>
        <w:textAlignment w:val="auto"/>
        <w:rPr>
          <w:rStyle w:val="30"/>
          <w:rFonts w:hint="default" w:ascii="Times New Roman" w:hAnsi="Times New Roman" w:eastAsia="方正小标宋_GBK" w:cs="Times New Roman"/>
          <w:b w:val="0"/>
        </w:rPr>
      </w:pPr>
      <w:r>
        <w:rPr>
          <w:rFonts w:hint="default" w:ascii="Times New Roman" w:hAnsi="Times New Roman" w:eastAsia="方正小标宋_GBK" w:cs="Times New Roman"/>
          <w:sz w:val="44"/>
          <w:szCs w:val="44"/>
          <w:lang w:eastAsia="zh-CN"/>
        </w:rPr>
        <w:t>第三部分</w:t>
      </w:r>
      <w:r>
        <w:rPr>
          <w:rFonts w:hint="default" w:ascii="Times New Roman" w:hAnsi="Times New Roman" w:eastAsia="方正小标宋_GBK" w:cs="Times New Roman"/>
          <w:sz w:val="44"/>
          <w:szCs w:val="44"/>
          <w:lang w:val="en-US" w:eastAsia="zh-CN"/>
        </w:rPr>
        <w:t xml:space="preserve">  </w:t>
      </w:r>
      <w:r>
        <w:rPr>
          <w:rFonts w:hint="default" w:ascii="Times New Roman" w:hAnsi="Times New Roman" w:eastAsia="方正小标宋_GBK" w:cs="Times New Roman"/>
          <w:sz w:val="44"/>
          <w:szCs w:val="44"/>
        </w:rPr>
        <w:t>名</w:t>
      </w:r>
      <w:r>
        <w:rPr>
          <w:rStyle w:val="30"/>
          <w:rFonts w:hint="default" w:ascii="Times New Roman" w:hAnsi="Times New Roman" w:eastAsia="方正小标宋_GBK" w:cs="Times New Roman"/>
          <w:b w:val="0"/>
        </w:rPr>
        <w:t>词解释</w:t>
      </w:r>
      <w:bookmarkEnd w:id="53"/>
      <w:bookmarkEnd w:id="54"/>
    </w:p>
    <w:p w14:paraId="128EC0FD">
      <w:pPr>
        <w:keepNext w:val="0"/>
        <w:keepLines w:val="0"/>
        <w:pageBreakBefore w:val="0"/>
        <w:widowControl w:val="0"/>
        <w:kinsoku/>
        <w:wordWrap/>
        <w:overflowPunct/>
        <w:topLinePunct w:val="0"/>
        <w:bidi w:val="0"/>
        <w:snapToGrid/>
        <w:spacing w:line="560" w:lineRule="exact"/>
        <w:ind w:firstLine="883" w:firstLineChars="200"/>
        <w:jc w:val="left"/>
        <w:textAlignment w:val="auto"/>
        <w:rPr>
          <w:rFonts w:hint="default" w:ascii="Times New Roman" w:hAnsi="Times New Roman" w:cs="Times New Roman"/>
          <w:b/>
          <w:sz w:val="44"/>
          <w:szCs w:val="44"/>
        </w:rPr>
      </w:pPr>
    </w:p>
    <w:p w14:paraId="0ABA522B">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1.财政拨款收入：指单位从同级财政部门取得的财政预算资金。</w:t>
      </w:r>
    </w:p>
    <w:p w14:paraId="6C8EEFFF">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2.其他收入：指单位取得的除上述收入以外的各项收入。</w:t>
      </w:r>
    </w:p>
    <w:p w14:paraId="0470DB83">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3.年初结转和结余：指以前年度尚未完成、结转到本年按有关规定继续使用的资金。</w:t>
      </w:r>
    </w:p>
    <w:p w14:paraId="6C4C0A05">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4.年末结转和结余：指单位按有关规定结转到下年或以后年度继续使用的资金。</w:t>
      </w:r>
    </w:p>
    <w:p w14:paraId="29BD3A95">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5.一般公共服务（类）政府办公厅（室）及相关机构事务（款）行政运行（项）：指行政单位的基本支出。</w:t>
      </w:r>
    </w:p>
    <w:p w14:paraId="07A4ECFE">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6.一般公共服务（类）政府办公厅（室）及相关机构事务（款）一般行政管理事务（项）：指行政单位未单独设置项级科目的其他项目支出。</w:t>
      </w:r>
    </w:p>
    <w:p w14:paraId="761D325D">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 一般公共服务（类）统计信息事务（款）专项统计业务（项）:指行政单位开展专项统计工作的支出。</w:t>
      </w:r>
    </w:p>
    <w:p w14:paraId="6AD8C96E">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8.一般公共服务（类）政府办公厅（室）及相关机构事务（款）事业运行（项）：指事业单位的基本支出。</w:t>
      </w:r>
    </w:p>
    <w:p w14:paraId="1CDEE233">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9.一般公共服务（类）政府办公厅（室）及相关机构事务（款）其他政府办公厅（室）及相关机构事务支出（项）：其他政府办公厅及相关机构事务支出。</w:t>
      </w:r>
    </w:p>
    <w:p w14:paraId="04A05995">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10.文化体育与传媒支出（类）其他文化体育与传媒支出（款）宣传文化发展专项支出（项）:指按照国家有关政策支持宣传文化单位发展的专项支出。</w:t>
      </w:r>
    </w:p>
    <w:p w14:paraId="4281BB32">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11.社会保障和就业支出（类）行政事业单位离退休（款）机关事业单位基本养老保险缴费支出（项）：指机关事业单位实施养老保险制度由单位缴纳的基本养老保险费支出。</w:t>
      </w:r>
    </w:p>
    <w:p w14:paraId="2AA1C63C">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12.社会保障和就业支出（类）其他社会保障和就业支出（款）其他社会保障和就业支出（项）：指其他用于社会保障和就业方面的支出。</w:t>
      </w:r>
    </w:p>
    <w:p w14:paraId="4C03A574">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13.医疗卫生与计划生育（类）行政事业单位医疗（款）行政单位医疗（项）：指财政部门集中安排的行政单位基本医疗保险缴费经费。</w:t>
      </w:r>
    </w:p>
    <w:p w14:paraId="7859BF5D">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14.医疗卫生与计划生育（类）行政事业单位医疗（款）事业单位医疗（项）：指财政部门集中安排的事业单位基本医疗保险缴费经费。</w:t>
      </w:r>
    </w:p>
    <w:p w14:paraId="178B7AB3">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15.医疗卫生与计划生育（类）行政事业单位医疗（款）公务员医疗补助（项）：指财政部门集中安排的公务员医疗补助经费。</w:t>
      </w:r>
    </w:p>
    <w:p w14:paraId="1B67523C">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16.城乡社区支出（类）城乡社区管理事务（款）其他城乡社区管理事务（项）：指其他用于城乡社区管理事务方面的支出。</w:t>
      </w:r>
    </w:p>
    <w:p w14:paraId="72655585">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17.城乡社区支出（类）城乡社区公共设施（款）其他城乡社区公共设施支出（项）：指其他用于城乡社区公共设施方面的支出。</w:t>
      </w:r>
    </w:p>
    <w:p w14:paraId="38194CC0">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18.住房保障支出（类）住房改革支出（款）住房公积金（项）：指反映行政事业单位按人事、财政部门规定的基本工资和津贴补贴以及规定比例为职工缴纳的住房公积金。</w:t>
      </w:r>
    </w:p>
    <w:p w14:paraId="21E956D5">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19.基本支出：指为保障机构正常运转、完成日常工作任务而发生的人员支出和公用支出。</w:t>
      </w:r>
    </w:p>
    <w:p w14:paraId="07292F1B">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20.项目支出：指在基本支出之外为完成特定行政任务和事业发展目标所发生的支出。</w:t>
      </w:r>
    </w:p>
    <w:p w14:paraId="3ABF4FC6">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4142183">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cs="Times New Roman"/>
          <w:b/>
          <w:bCs/>
          <w:color w:val="FF0000"/>
          <w:sz w:val="44"/>
          <w:szCs w:val="44"/>
        </w:rPr>
      </w:pPr>
      <w:r>
        <w:rPr>
          <w:rFonts w:hint="default" w:ascii="Times New Roman" w:hAnsi="Times New Roman" w:eastAsia="仿宋_GB2312" w:cs="Times New Roman"/>
          <w:color w:val="000000"/>
          <w:kern w:val="0"/>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ascii="Times New Roman" w:hAnsi="Times New Roman" w:cs="Times New Roman"/>
          <w:b/>
          <w:bCs/>
          <w:color w:val="FF0000"/>
          <w:sz w:val="44"/>
          <w:szCs w:val="44"/>
        </w:rPr>
        <w:br w:type="page"/>
      </w:r>
    </w:p>
    <w:p w14:paraId="420A2ACA">
      <w:pPr>
        <w:pageBreakBefore w:val="0"/>
        <w:kinsoku/>
        <w:wordWrap/>
        <w:topLinePunct w:val="0"/>
        <w:bidi w:val="0"/>
        <w:spacing w:line="240" w:lineRule="auto"/>
        <w:textAlignment w:val="auto"/>
        <w:rPr>
          <w:rStyle w:val="30"/>
          <w:rFonts w:hint="default" w:ascii="Times New Roman" w:hAnsi="Times New Roman" w:eastAsia="黑体" w:cs="Times New Roman"/>
          <w:b w:val="0"/>
        </w:rPr>
      </w:pPr>
      <w:bookmarkStart w:id="55" w:name="_Toc15396614"/>
      <w:bookmarkStart w:id="56" w:name="_Toc15377226"/>
      <w:r>
        <w:rPr>
          <w:rFonts w:hint="default" w:ascii="Times New Roman" w:hAnsi="Times New Roman" w:eastAsia="方正小标宋_GBK" w:cs="Times New Roman"/>
          <w:sz w:val="44"/>
          <w:szCs w:val="44"/>
        </w:rPr>
        <w:t xml:space="preserve">              第</w:t>
      </w:r>
      <w:r>
        <w:rPr>
          <w:rStyle w:val="30"/>
          <w:rFonts w:hint="default" w:ascii="Times New Roman" w:hAnsi="Times New Roman" w:eastAsia="方正小标宋_GBK" w:cs="Times New Roman"/>
          <w:b w:val="0"/>
        </w:rPr>
        <w:t>四部分 附件</w:t>
      </w:r>
    </w:p>
    <w:p w14:paraId="1FCB6E7F">
      <w:pPr>
        <w:pageBreakBefore w:val="0"/>
        <w:kinsoku/>
        <w:wordWrap/>
        <w:topLinePunct w:val="0"/>
        <w:bidi w:val="0"/>
        <w:spacing w:line="240" w:lineRule="auto"/>
        <w:jc w:val="left"/>
        <w:textAlignment w:val="auto"/>
        <w:rPr>
          <w:rFonts w:hint="eastAsia" w:ascii="黑体" w:hAnsi="黑体" w:eastAsia="黑体" w:cs="黑体"/>
          <w:color w:val="000000"/>
          <w:kern w:val="0"/>
          <w:sz w:val="32"/>
          <w:szCs w:val="32"/>
        </w:rPr>
      </w:pPr>
      <w:r>
        <w:rPr>
          <w:rFonts w:hint="eastAsia" w:ascii="黑体" w:hAnsi="黑体" w:eastAsia="黑体" w:cs="黑体"/>
          <w:bCs/>
          <w:color w:val="000000"/>
          <w:kern w:val="0"/>
          <w:sz w:val="32"/>
          <w:szCs w:val="32"/>
        </w:rPr>
        <w:t>附件</w:t>
      </w:r>
      <w:bookmarkEnd w:id="55"/>
      <w:r>
        <w:rPr>
          <w:rFonts w:hint="eastAsia" w:ascii="黑体" w:hAnsi="黑体" w:eastAsia="黑体" w:cs="黑体"/>
          <w:bCs/>
          <w:color w:val="000000"/>
          <w:kern w:val="0"/>
          <w:sz w:val="32"/>
          <w:szCs w:val="32"/>
        </w:rPr>
        <w:t>1</w:t>
      </w:r>
    </w:p>
    <w:p w14:paraId="321710C2">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lang w:eastAsia="zh-CN"/>
        </w:rPr>
        <w:t>2023</w:t>
      </w:r>
      <w:r>
        <w:rPr>
          <w:rFonts w:hint="eastAsia" w:ascii="方正小标宋_GBK" w:hAnsi="方正小标宋_GBK" w:eastAsia="方正小标宋_GBK" w:cs="方正小标宋_GBK"/>
          <w:kern w:val="0"/>
          <w:sz w:val="44"/>
          <w:szCs w:val="44"/>
        </w:rPr>
        <w:t>年攀枝花市西区河门口街道办事处</w:t>
      </w:r>
    </w:p>
    <w:p w14:paraId="2B46C2AF">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ascii="方正小标宋_GBK" w:hAnsi="方正小标宋_GBK" w:eastAsia="方正小标宋_GBK" w:cs="方正小标宋_GBK"/>
          <w:kern w:val="0"/>
          <w:sz w:val="44"/>
          <w:szCs w:val="44"/>
          <w:lang w:val="zh-CN"/>
        </w:rPr>
      </w:pPr>
      <w:r>
        <w:rPr>
          <w:rFonts w:hint="eastAsia" w:ascii="方正小标宋_GBK" w:hAnsi="方正小标宋_GBK" w:eastAsia="方正小标宋_GBK" w:cs="方正小标宋_GBK"/>
          <w:kern w:val="0"/>
          <w:sz w:val="44"/>
          <w:szCs w:val="44"/>
          <w:lang w:eastAsia="zh-CN"/>
        </w:rPr>
        <w:t>预算</w:t>
      </w:r>
      <w:r>
        <w:rPr>
          <w:rFonts w:hint="eastAsia" w:ascii="方正小标宋_GBK" w:hAnsi="方正小标宋_GBK" w:eastAsia="方正小标宋_GBK" w:cs="方正小标宋_GBK"/>
          <w:kern w:val="0"/>
          <w:sz w:val="44"/>
          <w:szCs w:val="44"/>
        </w:rPr>
        <w:t>绩效评价报告</w:t>
      </w:r>
    </w:p>
    <w:p w14:paraId="54160A96">
      <w:pPr>
        <w:pageBreakBefore w:val="0"/>
        <w:widowControl/>
        <w:kinsoku/>
        <w:wordWrap/>
        <w:topLinePunct w:val="0"/>
        <w:bidi w:val="0"/>
        <w:adjustRightInd w:val="0"/>
        <w:snapToGrid w:val="0"/>
        <w:spacing w:line="240" w:lineRule="auto"/>
        <w:contextualSpacing/>
        <w:jc w:val="left"/>
        <w:textAlignment w:val="auto"/>
        <w:rPr>
          <w:rFonts w:hint="default" w:ascii="Times New Roman" w:hAnsi="Times New Roman" w:eastAsia="黑体" w:cs="Times New Roman"/>
          <w:kern w:val="0"/>
          <w:sz w:val="24"/>
          <w:szCs w:val="32"/>
          <w:shd w:val="clear" w:color="auto" w:fill="FFFFFF"/>
        </w:rPr>
      </w:pPr>
    </w:p>
    <w:p w14:paraId="352305D8">
      <w:pPr>
        <w:pageBreakBefore w:val="0"/>
        <w:widowControl/>
        <w:kinsoku/>
        <w:wordWrap/>
        <w:topLinePunct w:val="0"/>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rPr>
        <w:t>一、</w:t>
      </w:r>
      <w:r>
        <w:rPr>
          <w:rFonts w:hint="default" w:ascii="Times New Roman" w:hAnsi="Times New Roman" w:eastAsia="黑体" w:cs="Times New Roman"/>
          <w:kern w:val="0"/>
          <w:sz w:val="32"/>
          <w:szCs w:val="32"/>
          <w:shd w:val="clear" w:color="auto" w:fill="FFFFFF"/>
          <w:lang w:val="zh-CN"/>
        </w:rPr>
        <w:t>部门（单位）概况</w:t>
      </w:r>
    </w:p>
    <w:p w14:paraId="50384668">
      <w:pPr>
        <w:pageBreakBefore w:val="0"/>
        <w:widowControl/>
        <w:kinsoku/>
        <w:wordWrap/>
        <w:topLinePunct w:val="0"/>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val="0"/>
          <w:kern w:val="0"/>
          <w:sz w:val="32"/>
          <w:szCs w:val="32"/>
          <w:shd w:val="clear" w:color="auto" w:fill="FFFFFF"/>
          <w:lang w:val="zh-CN"/>
        </w:rPr>
      </w:pPr>
      <w:r>
        <w:rPr>
          <w:rFonts w:hint="default" w:ascii="Times New Roman" w:hAnsi="Times New Roman" w:eastAsia="楷体_GB2312" w:cs="Times New Roman"/>
          <w:b/>
          <w:bCs w:val="0"/>
          <w:kern w:val="0"/>
          <w:sz w:val="32"/>
          <w:szCs w:val="32"/>
          <w:shd w:val="clear" w:color="auto" w:fill="FFFFFF"/>
          <w:lang w:val="zh-CN"/>
        </w:rPr>
        <w:t>（一）机构组成。</w:t>
      </w:r>
    </w:p>
    <w:p w14:paraId="22261AB8">
      <w:pPr>
        <w:pageBreakBefore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攀枝花市西区河门口街道办事处内设股室5个，下属二级单位3个，其中行政单位0个，参照公务员法管理的事业单位0个，其他事业单位3个，分别是：攀枝花市西区河门口街道便民服务中心、攀枝花市西区河门口街道党群服务中心、攀枝花市西区河门口街道社会治理事务中心，均为未独立核算事业单位。</w:t>
      </w:r>
    </w:p>
    <w:p w14:paraId="54DCA8D5">
      <w:pPr>
        <w:pageBreakBefore w:val="0"/>
        <w:widowControl/>
        <w:kinsoku/>
        <w:wordWrap/>
        <w:topLinePunct w:val="0"/>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val="0"/>
          <w:kern w:val="0"/>
          <w:sz w:val="32"/>
          <w:szCs w:val="32"/>
          <w:shd w:val="clear" w:color="auto" w:fill="FFFFFF"/>
          <w:lang w:val="en-US" w:eastAsia="zh-CN"/>
        </w:rPr>
      </w:pPr>
      <w:r>
        <w:rPr>
          <w:rFonts w:hint="default" w:ascii="Times New Roman" w:hAnsi="Times New Roman" w:eastAsia="楷体_GB2312" w:cs="Times New Roman"/>
          <w:b/>
          <w:bCs w:val="0"/>
          <w:kern w:val="0"/>
          <w:sz w:val="32"/>
          <w:szCs w:val="32"/>
          <w:shd w:val="clear" w:color="auto" w:fill="FFFFFF"/>
          <w:lang w:val="zh-CN"/>
        </w:rPr>
        <w:t>（二）机构职能。</w:t>
      </w:r>
    </w:p>
    <w:p w14:paraId="16434E54">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1.贯彻执行党和国家的各项法律、法规、规章以及上级政府的决议、决定，依法管理基层公共事务。</w:t>
      </w:r>
    </w:p>
    <w:p w14:paraId="74F7CC68">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辖区经济、文化、教育体育、科技、卫生健康、民政、社会保障、民族宗教、住房保障、司法、退役军人、统计等公共管理和公共服务工作，积极构建公共服务均等化体系，促进社会事业发展。推进“最多跑一次”改革，建立健全群众办事一次办结机制，优化便民服务质量。</w:t>
      </w:r>
    </w:p>
    <w:p w14:paraId="64D283ED">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负责辖区环境保护、秩序治理、物业管理、城乡环境综合治理等城市管理工作，开展爱国卫生、环境卫生监督检查，营造良好发展环境。整合基层一线执法力量，充分发挥属地管理优势，强化对辖区范围内执法力量的统一指挥和统筹协调。</w:t>
      </w:r>
    </w:p>
    <w:p w14:paraId="53F4D379">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4.负责辖区平安建设、社会治安综合治理工作，处理群众来信来访，反映社情民意，建立社会矛盾纠纷排查调处机制，维护社会和谐稳定。</w:t>
      </w:r>
    </w:p>
    <w:p w14:paraId="401304FB">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5.负责辖区公共安全，协助做好安全生产、防汛、防火、防灾减灾等应急管理工作，构建公共安全防控体系，建立应对突发紧急事件的处理预案。</w:t>
      </w:r>
    </w:p>
    <w:p w14:paraId="506E484E">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6.领导社区居委会建设，指导社区居委会工作，培育、发展社区社会组织，组织社区居民参与社区建设和管理，健全完善自治、法治、德治相结合的城市基层治理体系。</w:t>
      </w:r>
    </w:p>
    <w:p w14:paraId="1A400273">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牵头协调职能部门及其派出机构，共同处理地区性、综合性社会管理事务。动员辖区各类单位、社会组织和社区居民等社会力量参与基层社会治理，引导辖区单位履行社会责任，统筹辖区资源，实现共建共治共享。</w:t>
      </w:r>
    </w:p>
    <w:p w14:paraId="7BAEE68E">
      <w:pPr>
        <w:pageBreakBefore w:val="0"/>
        <w:kinsoku/>
        <w:wordWrap/>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8.完成区委、区政府交办的其他工作。</w:t>
      </w:r>
    </w:p>
    <w:p w14:paraId="176268CD">
      <w:pPr>
        <w:pageBreakBefore w:val="0"/>
        <w:widowControl/>
        <w:kinsoku/>
        <w:wordWrap/>
        <w:topLinePunct w:val="0"/>
        <w:bidi w:val="0"/>
        <w:adjustRightInd w:val="0"/>
        <w:snapToGrid w:val="0"/>
        <w:spacing w:line="560" w:lineRule="exact"/>
        <w:ind w:firstLine="420" w:firstLineChars="200"/>
        <w:contextualSpacing/>
        <w:jc w:val="left"/>
        <w:textAlignment w:val="auto"/>
        <w:rPr>
          <w:rFonts w:hint="default" w:ascii="Times New Roman" w:hAnsi="Times New Roman" w:eastAsia="楷体_GB2312" w:cs="Times New Roman"/>
          <w:b/>
          <w:bCs w:val="0"/>
          <w:kern w:val="0"/>
          <w:sz w:val="32"/>
          <w:szCs w:val="32"/>
          <w:shd w:val="clear" w:color="auto" w:fill="FFFFFF"/>
          <w:lang w:val="en-US" w:eastAsia="zh-CN"/>
        </w:rPr>
      </w:pPr>
      <w:r>
        <w:rPr>
          <w:rFonts w:hint="default" w:ascii="Times New Roman" w:hAnsi="Times New Roman" w:cs="Times New Roman"/>
          <w:lang w:val="en-US" w:eastAsia="zh-CN"/>
        </w:rPr>
        <w:t xml:space="preserve"> </w:t>
      </w:r>
      <w:r>
        <w:rPr>
          <w:rFonts w:hint="default" w:ascii="Times New Roman" w:hAnsi="Times New Roman" w:eastAsia="楷体_GB2312" w:cs="Times New Roman"/>
          <w:b/>
          <w:bCs w:val="0"/>
          <w:kern w:val="0"/>
          <w:sz w:val="32"/>
          <w:szCs w:val="32"/>
          <w:shd w:val="clear" w:color="auto" w:fill="FFFFFF"/>
          <w:lang w:val="zh-CN"/>
        </w:rPr>
        <w:t>（三）人员概况。</w:t>
      </w:r>
    </w:p>
    <w:p w14:paraId="2E2ED53C">
      <w:pPr>
        <w:pageBreakBefore w:val="0"/>
        <w:kinsoku/>
        <w:wordWrap/>
        <w:topLinePunct w:val="0"/>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eastAsia="zh-CN"/>
        </w:rPr>
        <w:t>截至</w:t>
      </w:r>
      <w:r>
        <w:rPr>
          <w:rFonts w:hint="eastAsia" w:ascii="仿宋_GB2312" w:hAnsi="仿宋_GB2312" w:eastAsia="仿宋_GB2312" w:cs="仿宋_GB2312"/>
          <w:sz w:val="32"/>
          <w:szCs w:val="32"/>
          <w:lang w:val="en-US" w:eastAsia="zh-CN"/>
        </w:rPr>
        <w:t>2023年末，我单位</w:t>
      </w:r>
      <w:r>
        <w:rPr>
          <w:rFonts w:hint="eastAsia" w:ascii="仿宋_GB2312" w:hAnsi="仿宋_GB2312" w:eastAsia="仿宋_GB2312" w:cs="仿宋_GB2312"/>
          <w:sz w:val="32"/>
          <w:szCs w:val="32"/>
        </w:rPr>
        <w:t>上年行政人员</w:t>
      </w:r>
      <w:bookmarkStart w:id="57" w:name="OLE_LINK1"/>
      <w:r>
        <w:rPr>
          <w:rFonts w:hint="eastAsia" w:ascii="仿宋_GB2312" w:hAnsi="仿宋_GB2312" w:eastAsia="仿宋_GB2312" w:cs="仿宋_GB2312"/>
          <w:sz w:val="32"/>
          <w:szCs w:val="32"/>
        </w:rPr>
        <w:t>年末在职人数</w:t>
      </w:r>
      <w:bookmarkEnd w:id="57"/>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人，本年行政人员年末在职人数</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新增调入行政人员</w:t>
      </w:r>
      <w:r>
        <w:rPr>
          <w:rFonts w:hint="eastAsia" w:ascii="仿宋_GB2312" w:hAnsi="仿宋_GB2312" w:eastAsia="仿宋_GB2312" w:cs="仿宋_GB2312"/>
          <w:sz w:val="32"/>
          <w:szCs w:val="32"/>
        </w:rPr>
        <w:t>1人；上年事业人员年末在职人数</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人，本年事业人员年末在职人数</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新增招考</w:t>
      </w:r>
      <w:r>
        <w:rPr>
          <w:rFonts w:hint="eastAsia" w:ascii="仿宋_GB2312" w:hAnsi="仿宋_GB2312" w:eastAsia="仿宋_GB2312" w:cs="仿宋_GB2312"/>
          <w:sz w:val="32"/>
          <w:szCs w:val="32"/>
        </w:rPr>
        <w:t>事业人员</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人；上年退休人员年末人数4人，本年退休人员年末人数4人，较上年无增减变化</w:t>
      </w:r>
      <w:r>
        <w:rPr>
          <w:rFonts w:hint="eastAsia" w:ascii="仿宋_GB2312" w:hAnsi="仿宋_GB2312" w:eastAsia="仿宋_GB2312" w:cs="仿宋_GB2312"/>
          <w:sz w:val="32"/>
          <w:szCs w:val="32"/>
          <w:lang w:eastAsia="zh-CN"/>
        </w:rPr>
        <w:t>；上年编内临聘人员年末人数</w:t>
      </w:r>
      <w:r>
        <w:rPr>
          <w:rFonts w:hint="eastAsia" w:ascii="仿宋_GB2312" w:hAnsi="仿宋_GB2312" w:eastAsia="仿宋_GB2312" w:cs="仿宋_GB2312"/>
          <w:sz w:val="32"/>
          <w:szCs w:val="32"/>
          <w:lang w:val="en-US" w:eastAsia="zh-CN"/>
        </w:rPr>
        <w:t>4人，本年</w:t>
      </w:r>
      <w:r>
        <w:rPr>
          <w:rFonts w:hint="eastAsia" w:ascii="仿宋_GB2312" w:hAnsi="仿宋_GB2312" w:eastAsia="仿宋_GB2312" w:cs="仿宋_GB2312"/>
          <w:sz w:val="32"/>
          <w:szCs w:val="32"/>
          <w:lang w:eastAsia="zh-CN"/>
        </w:rPr>
        <w:t>编内临聘人员年末人数</w:t>
      </w:r>
      <w:r>
        <w:rPr>
          <w:rFonts w:hint="eastAsia" w:ascii="仿宋_GB2312" w:hAnsi="仿宋_GB2312" w:eastAsia="仿宋_GB2312" w:cs="仿宋_GB2312"/>
          <w:sz w:val="32"/>
          <w:szCs w:val="32"/>
          <w:lang w:val="en-US" w:eastAsia="zh-CN"/>
        </w:rPr>
        <w:t>4人，</w:t>
      </w:r>
      <w:r>
        <w:rPr>
          <w:rFonts w:hint="eastAsia" w:ascii="仿宋_GB2312" w:hAnsi="仿宋_GB2312" w:eastAsia="仿宋_GB2312" w:cs="仿宋_GB2312"/>
          <w:sz w:val="32"/>
          <w:szCs w:val="32"/>
        </w:rPr>
        <w:t>较上年无增减变化</w:t>
      </w:r>
      <w:r>
        <w:rPr>
          <w:rFonts w:hint="eastAsia" w:ascii="仿宋_GB2312" w:hAnsi="仿宋_GB2312" w:eastAsia="仿宋_GB2312" w:cs="仿宋_GB2312"/>
          <w:sz w:val="32"/>
          <w:szCs w:val="32"/>
          <w:lang w:eastAsia="zh-CN"/>
        </w:rPr>
        <w:t>。</w:t>
      </w:r>
    </w:p>
    <w:p w14:paraId="2BF71866">
      <w:pPr>
        <w:pageBreakBefore w:val="0"/>
        <w:widowControl/>
        <w:kinsoku/>
        <w:wordWrap/>
        <w:topLinePunct w:val="0"/>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二、部门财政资金收支情况</w:t>
      </w:r>
    </w:p>
    <w:p w14:paraId="612CF34A">
      <w:pPr>
        <w:pageBreakBefore w:val="0"/>
        <w:kinsoku/>
        <w:wordWrap/>
        <w:topLinePunct w:val="0"/>
        <w:bidi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（一）收入情况。</w:t>
      </w:r>
    </w:p>
    <w:p w14:paraId="564F8565">
      <w:pPr>
        <w:pageBreakBefore w:val="0"/>
        <w:kinsoku/>
        <w:wordWrap/>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2023年财政拨款收入年初预算收入合计</w:t>
      </w:r>
      <w:r>
        <w:rPr>
          <w:rFonts w:hint="eastAsia" w:ascii="仿宋_GB2312" w:hAnsi="仿宋_GB2312" w:eastAsia="仿宋_GB2312" w:cs="仿宋_GB2312"/>
          <w:sz w:val="32"/>
          <w:szCs w:val="32"/>
          <w:lang w:val="en-US" w:eastAsia="zh-CN"/>
        </w:rPr>
        <w:t>742.38</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714.92</w:t>
      </w:r>
      <w:r>
        <w:rPr>
          <w:rFonts w:hint="eastAsia" w:ascii="仿宋_GB2312" w:hAnsi="仿宋_GB2312" w:eastAsia="仿宋_GB2312" w:cs="仿宋_GB2312"/>
          <w:sz w:val="32"/>
          <w:szCs w:val="32"/>
        </w:rPr>
        <w:t>万元，占总收入的</w:t>
      </w:r>
      <w:r>
        <w:rPr>
          <w:rFonts w:hint="eastAsia" w:ascii="仿宋_GB2312" w:hAnsi="仿宋_GB2312" w:eastAsia="仿宋_GB2312" w:cs="仿宋_GB2312"/>
          <w:sz w:val="32"/>
          <w:szCs w:val="32"/>
          <w:lang w:val="en-US" w:eastAsia="zh-CN"/>
        </w:rPr>
        <w:t>96.3</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27.46</w:t>
      </w:r>
      <w:r>
        <w:rPr>
          <w:rFonts w:hint="eastAsia" w:ascii="仿宋_GB2312" w:hAnsi="仿宋_GB2312" w:eastAsia="仿宋_GB2312" w:cs="仿宋_GB2312"/>
          <w:sz w:val="32"/>
          <w:szCs w:val="32"/>
        </w:rPr>
        <w:t>万元，占总收入的</w:t>
      </w:r>
      <w:r>
        <w:rPr>
          <w:rFonts w:hint="eastAsia" w:ascii="仿宋_GB2312" w:hAnsi="仿宋_GB2312" w:eastAsia="仿宋_GB2312" w:cs="仿宋_GB2312"/>
          <w:sz w:val="32"/>
          <w:szCs w:val="32"/>
          <w:lang w:val="en-US" w:eastAsia="zh-CN"/>
        </w:rPr>
        <w:t>3.7</w:t>
      </w:r>
      <w:r>
        <w:rPr>
          <w:rFonts w:hint="eastAsia" w:ascii="仿宋_GB2312" w:hAnsi="仿宋_GB2312" w:eastAsia="仿宋_GB2312" w:cs="仿宋_GB2312"/>
          <w:sz w:val="32"/>
          <w:szCs w:val="32"/>
        </w:rPr>
        <w:t>%。</w:t>
      </w:r>
    </w:p>
    <w:p w14:paraId="153908B6">
      <w:pPr>
        <w:pageBreakBefore w:val="0"/>
        <w:kinsoku/>
        <w:wordWrap/>
        <w:topLinePunct w:val="0"/>
        <w:bidi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（二）支出情况。</w:t>
      </w:r>
    </w:p>
    <w:p w14:paraId="1CBF24DA">
      <w:pPr>
        <w:pageBreakBefore w:val="0"/>
        <w:kinsoku/>
        <w:wordWrap/>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2023年部门</w:t>
      </w:r>
      <w:r>
        <w:rPr>
          <w:rFonts w:hint="eastAsia" w:ascii="仿宋_GB2312" w:hAnsi="仿宋_GB2312" w:eastAsia="仿宋_GB2312" w:cs="仿宋_GB2312"/>
          <w:sz w:val="32"/>
          <w:szCs w:val="32"/>
        </w:rPr>
        <w:t>支出合计</w:t>
      </w:r>
      <w:r>
        <w:rPr>
          <w:rFonts w:hint="eastAsia" w:ascii="仿宋_GB2312" w:hAnsi="仿宋_GB2312" w:eastAsia="仿宋_GB2312" w:cs="仿宋_GB2312"/>
          <w:sz w:val="32"/>
          <w:szCs w:val="32"/>
          <w:lang w:val="en-US" w:eastAsia="zh-CN"/>
        </w:rPr>
        <w:t>1047.2</w:t>
      </w:r>
      <w:r>
        <w:rPr>
          <w:rFonts w:hint="eastAsia" w:ascii="仿宋_GB2312" w:hAnsi="仿宋_GB2312" w:eastAsia="仿宋_GB2312" w:cs="仿宋_GB2312"/>
          <w:sz w:val="32"/>
          <w:szCs w:val="32"/>
        </w:rPr>
        <w:t>万元（含</w:t>
      </w:r>
      <w:r>
        <w:rPr>
          <w:rFonts w:hint="eastAsia" w:ascii="仿宋_GB2312" w:hAnsi="仿宋_GB2312" w:eastAsia="仿宋_GB2312" w:cs="仿宋_GB2312"/>
          <w:sz w:val="32"/>
          <w:szCs w:val="32"/>
          <w:lang w:eastAsia="zh-CN"/>
        </w:rPr>
        <w:t>年初</w:t>
      </w:r>
      <w:r>
        <w:rPr>
          <w:rFonts w:hint="eastAsia" w:ascii="仿宋_GB2312" w:hAnsi="仿宋_GB2312" w:eastAsia="仿宋_GB2312" w:cs="仿宋_GB2312"/>
          <w:sz w:val="32"/>
          <w:szCs w:val="32"/>
        </w:rPr>
        <w:t>结转结余）。其中，本年基本支出年</w:t>
      </w:r>
      <w:r>
        <w:rPr>
          <w:rFonts w:hint="eastAsia" w:ascii="仿宋_GB2312" w:hAnsi="仿宋_GB2312" w:eastAsia="仿宋_GB2312" w:cs="仿宋_GB2312"/>
          <w:sz w:val="32"/>
          <w:szCs w:val="32"/>
          <w:lang w:val="en-US" w:eastAsia="zh-CN"/>
        </w:rPr>
        <w:t>557.3</w:t>
      </w:r>
      <w:r>
        <w:rPr>
          <w:rFonts w:hint="eastAsia" w:ascii="仿宋_GB2312" w:hAnsi="仿宋_GB2312" w:eastAsia="仿宋_GB2312" w:cs="仿宋_GB2312"/>
          <w:sz w:val="32"/>
          <w:szCs w:val="32"/>
        </w:rPr>
        <w:t>万元（基本支出主要为保障街道日常正常运转需支付的公用经费，以及人员工资、社保、公积金等人员经费），项目支出合计</w:t>
      </w:r>
      <w:r>
        <w:rPr>
          <w:rFonts w:hint="eastAsia" w:ascii="仿宋_GB2312" w:hAnsi="仿宋_GB2312" w:eastAsia="仿宋_GB2312" w:cs="仿宋_GB2312"/>
          <w:sz w:val="32"/>
          <w:szCs w:val="32"/>
          <w:lang w:val="en-US" w:eastAsia="zh-CN"/>
        </w:rPr>
        <w:t>489.9</w:t>
      </w:r>
      <w:r>
        <w:rPr>
          <w:rFonts w:hint="eastAsia" w:ascii="仿宋_GB2312" w:hAnsi="仿宋_GB2312" w:eastAsia="仿宋_GB2312" w:cs="仿宋_GB2312"/>
          <w:sz w:val="32"/>
          <w:szCs w:val="32"/>
        </w:rPr>
        <w:t>万元（项目支出主要为基层政权建设、社会管理、人大代表建设、维稳、环卫清扫保洁、养老综合体、就业创业宣传显示屏采购</w:t>
      </w:r>
      <w:r>
        <w:rPr>
          <w:rFonts w:hint="eastAsia" w:ascii="仿宋_GB2312" w:hAnsi="仿宋_GB2312" w:eastAsia="仿宋_GB2312" w:cs="仿宋_GB2312"/>
          <w:sz w:val="32"/>
          <w:szCs w:val="32"/>
          <w:lang w:eastAsia="zh-CN"/>
        </w:rPr>
        <w:t>、苏铁社区党群服务中心房屋维修、河门口街道城乡社区治理试点、河门口老旧小区公共服务活动中心改造、“火红年华”影视基地修复打造、公务用车购置等</w:t>
      </w:r>
      <w:r>
        <w:rPr>
          <w:rFonts w:hint="eastAsia" w:ascii="仿宋_GB2312" w:hAnsi="仿宋_GB2312" w:eastAsia="仿宋_GB2312" w:cs="仿宋_GB2312"/>
          <w:sz w:val="32"/>
          <w:szCs w:val="32"/>
        </w:rPr>
        <w:t>）。</w:t>
      </w:r>
    </w:p>
    <w:p w14:paraId="34E7BF21">
      <w:pPr>
        <w:pStyle w:val="9"/>
        <w:pageBreakBefore w:val="0"/>
        <w:numPr>
          <w:ilvl w:val="0"/>
          <w:numId w:val="3"/>
        </w:numPr>
        <w:kinsoku/>
        <w:wordWrap/>
        <w:topLinePunct w:val="0"/>
        <w:bidi w:val="0"/>
        <w:spacing w:line="560" w:lineRule="exact"/>
        <w:ind w:left="480" w:leftChars="0" w:firstLine="0" w:firstLineChars="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1CDFE8CF">
      <w:pPr>
        <w:pageBreakBefore w:val="0"/>
        <w:kinsoku/>
        <w:wordWrap/>
        <w:topLinePunct w:val="0"/>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2023年决算报表结转结余资金24.62万元（为以前年度调账结转金额）。</w:t>
      </w:r>
    </w:p>
    <w:p w14:paraId="18770AB4">
      <w:pPr>
        <w:pageBreakBefore w:val="0"/>
        <w:widowControl/>
        <w:kinsoku/>
        <w:wordWrap/>
        <w:topLinePunct w:val="0"/>
        <w:bidi w:val="0"/>
        <w:adjustRightInd w:val="0"/>
        <w:snapToGrid w:val="0"/>
        <w:spacing w:line="560" w:lineRule="exact"/>
        <w:ind w:firstLine="640" w:firstLineChars="200"/>
        <w:contextualSpacing/>
        <w:jc w:val="both"/>
        <w:textAlignment w:val="auto"/>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三、部门</w:t>
      </w:r>
      <w:r>
        <w:rPr>
          <w:rFonts w:hint="default" w:ascii="Times New Roman" w:hAnsi="Times New Roman" w:eastAsia="黑体" w:cs="Times New Roman"/>
          <w:kern w:val="0"/>
          <w:sz w:val="32"/>
          <w:szCs w:val="32"/>
          <w:shd w:val="clear" w:color="auto" w:fill="FFFFFF"/>
          <w:lang w:eastAsia="zh-CN"/>
        </w:rPr>
        <w:t>预算</w:t>
      </w:r>
      <w:r>
        <w:rPr>
          <w:rFonts w:hint="default" w:ascii="Times New Roman" w:hAnsi="Times New Roman" w:eastAsia="黑体" w:cs="Times New Roman"/>
          <w:kern w:val="0"/>
          <w:sz w:val="32"/>
          <w:szCs w:val="32"/>
          <w:shd w:val="clear" w:color="auto" w:fill="FFFFFF"/>
        </w:rPr>
        <w:t>绩效分析</w:t>
      </w:r>
    </w:p>
    <w:p w14:paraId="70D360C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（一）部门预算</w:t>
      </w:r>
      <w:r>
        <w:rPr>
          <w:rFonts w:hint="default" w:ascii="Times New Roman" w:hAnsi="Times New Roman" w:eastAsia="楷体_GB2312" w:cs="Times New Roman"/>
          <w:b/>
          <w:bCs w:val="0"/>
          <w:sz w:val="32"/>
          <w:szCs w:val="32"/>
          <w:lang w:eastAsia="zh-CN"/>
        </w:rPr>
        <w:t>总体</w:t>
      </w:r>
      <w:r>
        <w:rPr>
          <w:rFonts w:hint="default" w:ascii="Times New Roman" w:hAnsi="Times New Roman" w:eastAsia="楷体_GB2312" w:cs="Times New Roman"/>
          <w:b/>
          <w:bCs w:val="0"/>
          <w:sz w:val="32"/>
          <w:szCs w:val="32"/>
        </w:rPr>
        <w:t>绩效分析。</w:t>
      </w:r>
    </w:p>
    <w:p w14:paraId="72435EE8">
      <w:pPr>
        <w:pStyle w:val="10"/>
        <w:keepNext w:val="0"/>
        <w:keepLines w:val="0"/>
        <w:pageBreakBefore w:val="0"/>
        <w:kinsoku/>
        <w:wordWrap/>
        <w:overflowPunct/>
        <w:topLinePunct w:val="0"/>
        <w:autoSpaceDE/>
        <w:autoSpaceDN/>
        <w:bidi w:val="0"/>
        <w:spacing w:beforeLines="0" w:line="560" w:lineRule="exact"/>
        <w:ind w:firstLine="640" w:firstLineChars="200"/>
        <w:textAlignment w:val="auto"/>
        <w:rPr>
          <w:rFonts w:hint="eastAsia" w:ascii="仿宋_GB2312" w:hAnsi="仿宋_GB2312" w:eastAsia="仿宋_GB2312" w:cs="仿宋_GB2312"/>
          <w:color w:val="000000"/>
          <w:sz w:val="32"/>
          <w:szCs w:val="32"/>
          <w:shd w:val="clear" w:color="auto" w:fill="FFFFFF"/>
          <w:lang w:val="zh-CN" w:eastAsia="zh-CN"/>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zh-CN"/>
        </w:rPr>
        <w:t>履职效能。</w:t>
      </w:r>
      <w:r>
        <w:rPr>
          <w:rFonts w:hint="eastAsia" w:ascii="仿宋_GB2312" w:hAnsi="仿宋_GB2312" w:eastAsia="仿宋_GB2312" w:cs="仿宋_GB2312"/>
          <w:color w:val="000000"/>
          <w:sz w:val="32"/>
          <w:szCs w:val="32"/>
          <w:shd w:val="clear" w:color="auto" w:fill="FFFFFF"/>
          <w:lang w:val="en-US" w:eastAsia="zh-CN"/>
        </w:rPr>
        <w:t>2023年</w:t>
      </w:r>
      <w:r>
        <w:rPr>
          <w:rFonts w:hint="eastAsia" w:ascii="仿宋_GB2312" w:hAnsi="仿宋_GB2312" w:eastAsia="仿宋_GB2312" w:cs="仿宋_GB2312"/>
          <w:sz w:val="32"/>
          <w:szCs w:val="32"/>
          <w:lang w:val="zh-CN"/>
        </w:rPr>
        <w:t>街道顺利完了项目预算执行任务。通过各项指标的监测和分析，</w:t>
      </w:r>
      <w:r>
        <w:rPr>
          <w:rFonts w:hint="eastAsia" w:ascii="仿宋_GB2312" w:hAnsi="仿宋_GB2312" w:eastAsia="仿宋_GB2312" w:cs="仿宋_GB2312"/>
          <w:color w:val="000000"/>
          <w:sz w:val="32"/>
          <w:szCs w:val="32"/>
          <w:shd w:val="clear" w:color="auto" w:fill="FFFFFF"/>
          <w:lang w:val="zh-CN" w:eastAsia="zh-CN"/>
        </w:rPr>
        <w:t>工作效率得到了提高，例如财务处理速度加快、资金使用率提高等，通过对过去一年的工作进行分析和评估，我们认为街道在部门整体履职绩效方面表现良好。</w:t>
      </w:r>
    </w:p>
    <w:p w14:paraId="75BD70A7">
      <w:pPr>
        <w:pStyle w:val="10"/>
        <w:pageBreakBefore w:val="0"/>
        <w:kinsoku/>
        <w:wordWrap/>
        <w:topLinePunct w:val="0"/>
        <w:bidi w:val="0"/>
        <w:spacing w:beforeLines="0" w:line="560" w:lineRule="exact"/>
        <w:ind w:firstLine="640" w:firstLineChars="200"/>
        <w:textAlignment w:val="auto"/>
        <w:rPr>
          <w:rFonts w:hint="eastAsia" w:ascii="仿宋_GB2312" w:hAnsi="仿宋_GB2312" w:eastAsia="仿宋_GB2312" w:cs="仿宋_GB2312"/>
          <w:color w:val="000000"/>
          <w:sz w:val="32"/>
          <w:szCs w:val="32"/>
          <w:shd w:val="clear" w:color="auto" w:fill="FFFFFF"/>
          <w:lang w:val="zh-CN" w:eastAsia="zh-CN"/>
        </w:rPr>
      </w:pPr>
      <w:r>
        <w:rPr>
          <w:rFonts w:hint="eastAsia" w:ascii="仿宋_GB2312" w:hAnsi="仿宋_GB2312" w:eastAsia="仿宋_GB2312" w:cs="仿宋_GB2312"/>
          <w:color w:val="000000"/>
          <w:sz w:val="32"/>
          <w:szCs w:val="32"/>
          <w:shd w:val="clear" w:color="auto" w:fill="FFFFFF"/>
          <w:lang w:val="en-US" w:eastAsia="zh-CN"/>
        </w:rPr>
        <w:t>2.</w:t>
      </w:r>
      <w:r>
        <w:rPr>
          <w:rFonts w:hint="eastAsia" w:ascii="仿宋_GB2312" w:hAnsi="仿宋_GB2312" w:eastAsia="仿宋_GB2312" w:cs="仿宋_GB2312"/>
          <w:color w:val="000000"/>
          <w:sz w:val="32"/>
          <w:szCs w:val="32"/>
          <w:shd w:val="clear" w:color="auto" w:fill="FFFFFF"/>
          <w:lang w:val="zh-CN" w:eastAsia="zh-CN"/>
        </w:rPr>
        <w:t>预算管理。在预算编制质量方面，深入分析了预算设定的合规性、合理性和完整性。严格按照区财政编制要求编制年初预算，做到项目事前、事中、事后监控。在严格一般性支出控制方面，评估了各项支出的必要性和成本效益，通过审查支出审批流程，识别并削减了部分不必要的开支，提升了财政资金的使用效率。</w:t>
      </w:r>
    </w:p>
    <w:p w14:paraId="5D2828E5">
      <w:pPr>
        <w:pageBreakBefore w:val="0"/>
        <w:kinsoku/>
        <w:wordWrap/>
        <w:topLinePunct w:val="0"/>
        <w:bidi w:val="0"/>
        <w:adjustRightInd w:val="0"/>
        <w:snapToGrid w:val="0"/>
        <w:spacing w:line="560" w:lineRule="exact"/>
        <w:ind w:firstLine="640" w:firstLineChars="200"/>
        <w:contextualSpacing/>
        <w:jc w:val="both"/>
        <w:textAlignment w:val="auto"/>
        <w:rPr>
          <w:rFonts w:hint="eastAsia" w:ascii="仿宋_GB2312" w:hAnsi="仿宋_GB2312" w:eastAsia="仿宋_GB2312" w:cs="仿宋_GB2312"/>
          <w:color w:val="000000"/>
          <w:sz w:val="32"/>
          <w:szCs w:val="32"/>
          <w:shd w:val="clear" w:color="auto" w:fill="FFFFFF"/>
          <w:lang w:val="zh-CN" w:eastAsia="zh-CN"/>
        </w:rPr>
      </w:pP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lang w:val="zh-CN" w:eastAsia="zh-CN"/>
        </w:rPr>
        <w:t>财务管理。岗位设置按照不相容岗位分离，分工明确，有利于提高工作效率和准确性，</w:t>
      </w:r>
      <w:r>
        <w:rPr>
          <w:rFonts w:hint="eastAsia" w:ascii="仿宋_GB2312" w:hAnsi="仿宋_GB2312" w:eastAsia="仿宋_GB2312" w:cs="仿宋_GB2312"/>
          <w:sz w:val="32"/>
          <w:szCs w:val="32"/>
        </w:rPr>
        <w:t>设</w:t>
      </w:r>
      <w:r>
        <w:rPr>
          <w:rFonts w:hint="eastAsia" w:ascii="仿宋_GB2312" w:hAnsi="仿宋_GB2312" w:eastAsia="仿宋_GB2312" w:cs="仿宋_GB2312"/>
          <w:sz w:val="32"/>
          <w:szCs w:val="32"/>
          <w:lang w:eastAsia="zh-CN"/>
        </w:rPr>
        <w:t>有</w:t>
      </w:r>
      <w:r>
        <w:rPr>
          <w:rFonts w:hint="eastAsia" w:ascii="仿宋_GB2312" w:hAnsi="仿宋_GB2312" w:eastAsia="仿宋_GB2312" w:cs="仿宋_GB2312"/>
          <w:sz w:val="32"/>
          <w:szCs w:val="32"/>
        </w:rPr>
        <w:t>财务负责人、会计、出纳</w:t>
      </w:r>
      <w:r>
        <w:rPr>
          <w:rFonts w:hint="eastAsia" w:ascii="仿宋_GB2312" w:hAnsi="仿宋_GB2312" w:eastAsia="仿宋_GB2312" w:cs="仿宋_GB2312"/>
          <w:sz w:val="32"/>
          <w:szCs w:val="32"/>
          <w:lang w:eastAsia="zh-CN"/>
        </w:rPr>
        <w:t>、资产管理员等岗位</w:t>
      </w:r>
      <w:r>
        <w:rPr>
          <w:rFonts w:hint="eastAsia" w:ascii="仿宋_GB2312" w:hAnsi="仿宋_GB2312" w:eastAsia="仿宋_GB2312" w:cs="仿宋_GB2312"/>
          <w:color w:val="000000"/>
          <w:sz w:val="32"/>
          <w:szCs w:val="32"/>
          <w:shd w:val="clear" w:color="auto" w:fill="FFFFFF"/>
          <w:lang w:val="zh-CN" w:eastAsia="zh-CN"/>
        </w:rPr>
        <w:t>；资金使用</w:t>
      </w:r>
      <w:r>
        <w:rPr>
          <w:rFonts w:hint="eastAsia" w:ascii="仿宋_GB2312" w:hAnsi="仿宋_GB2312" w:eastAsia="仿宋_GB2312" w:cs="仿宋_GB2312"/>
          <w:sz w:val="32"/>
          <w:szCs w:val="32"/>
        </w:rPr>
        <w:t>严格执行财务管理规定</w:t>
      </w:r>
      <w:r>
        <w:rPr>
          <w:rFonts w:hint="eastAsia" w:ascii="仿宋_GB2312" w:hAnsi="仿宋_GB2312" w:eastAsia="仿宋_GB2312" w:cs="仿宋_GB2312"/>
          <w:color w:val="000000"/>
          <w:sz w:val="32"/>
          <w:szCs w:val="32"/>
          <w:shd w:val="clear" w:color="auto" w:fill="FFFFFF"/>
          <w:lang w:val="zh-CN" w:eastAsia="zh-CN"/>
        </w:rPr>
        <w:t>，定期进行绩效分析，保证资金使用在合理范畴之内；</w:t>
      </w:r>
      <w:r>
        <w:rPr>
          <w:rFonts w:hint="eastAsia" w:ascii="仿宋_GB2312" w:hAnsi="仿宋_GB2312" w:eastAsia="仿宋_GB2312" w:cs="仿宋_GB2312"/>
          <w:sz w:val="32"/>
          <w:szCs w:val="32"/>
        </w:rPr>
        <w:t>细化收支业务管理、采购管理、</w:t>
      </w:r>
      <w:r>
        <w:rPr>
          <w:rFonts w:hint="eastAsia" w:ascii="仿宋_GB2312" w:hAnsi="仿宋_GB2312" w:eastAsia="仿宋_GB2312" w:cs="仿宋_GB2312"/>
          <w:sz w:val="32"/>
          <w:szCs w:val="32"/>
          <w:lang w:eastAsia="zh-CN"/>
        </w:rPr>
        <w:t>合同管理、</w:t>
      </w:r>
      <w:r>
        <w:rPr>
          <w:rFonts w:hint="eastAsia" w:ascii="仿宋_GB2312" w:hAnsi="仿宋_GB2312" w:eastAsia="仿宋_GB2312" w:cs="仿宋_GB2312"/>
          <w:sz w:val="32"/>
          <w:szCs w:val="32"/>
        </w:rPr>
        <w:t>固定资产管理等制度，不断健全</w:t>
      </w:r>
      <w:r>
        <w:rPr>
          <w:rFonts w:hint="eastAsia" w:ascii="仿宋_GB2312" w:hAnsi="仿宋_GB2312" w:eastAsia="仿宋_GB2312" w:cs="仿宋_GB2312"/>
          <w:sz w:val="32"/>
          <w:szCs w:val="32"/>
          <w:lang w:eastAsia="zh-CN"/>
        </w:rPr>
        <w:t>内部控制、</w:t>
      </w:r>
      <w:r>
        <w:rPr>
          <w:rFonts w:hint="eastAsia" w:ascii="仿宋_GB2312" w:hAnsi="仿宋_GB2312" w:eastAsia="仿宋_GB2312" w:cs="仿宋_GB2312"/>
          <w:sz w:val="32"/>
          <w:szCs w:val="32"/>
        </w:rPr>
        <w:t>规范</w:t>
      </w:r>
      <w:r>
        <w:rPr>
          <w:rFonts w:hint="eastAsia" w:ascii="仿宋_GB2312" w:hAnsi="仿宋_GB2312" w:eastAsia="仿宋_GB2312" w:cs="仿宋_GB2312"/>
          <w:sz w:val="32"/>
          <w:szCs w:val="32"/>
          <w:lang w:eastAsia="zh-CN"/>
        </w:rPr>
        <w:t>财务管理</w:t>
      </w:r>
      <w:r>
        <w:rPr>
          <w:rFonts w:hint="eastAsia" w:ascii="仿宋_GB2312" w:hAnsi="仿宋_GB2312" w:eastAsia="仿宋_GB2312" w:cs="仿宋_GB2312"/>
          <w:sz w:val="32"/>
          <w:szCs w:val="32"/>
        </w:rPr>
        <w:t>。</w:t>
      </w:r>
    </w:p>
    <w:p w14:paraId="7AD674C4">
      <w:pPr>
        <w:pStyle w:val="10"/>
        <w:keepNext w:val="0"/>
        <w:keepLines w:val="0"/>
        <w:pageBreakBefore w:val="0"/>
        <w:widowControl w:val="0"/>
        <w:kinsoku/>
        <w:wordWrap/>
        <w:overflowPunct/>
        <w:topLinePunct w:val="0"/>
        <w:autoSpaceDE/>
        <w:autoSpaceDN/>
        <w:bidi w:val="0"/>
        <w:spacing w:beforeLines="0" w:line="560" w:lineRule="exact"/>
        <w:ind w:firstLine="640" w:firstLineChars="200"/>
        <w:textAlignment w:val="auto"/>
        <w:rPr>
          <w:rFonts w:hint="eastAsia" w:ascii="仿宋_GB2312" w:hAnsi="仿宋_GB2312" w:eastAsia="仿宋_GB2312" w:cs="仿宋_GB2312"/>
          <w:color w:val="000000"/>
          <w:kern w:val="2"/>
          <w:sz w:val="32"/>
          <w:szCs w:val="32"/>
          <w:shd w:val="clear" w:color="auto" w:fill="FFFFFF"/>
          <w:lang w:val="zh-CN"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4.</w:t>
      </w:r>
      <w:r>
        <w:rPr>
          <w:rFonts w:hint="eastAsia" w:ascii="仿宋_GB2312" w:hAnsi="仿宋_GB2312" w:eastAsia="仿宋_GB2312" w:cs="仿宋_GB2312"/>
          <w:color w:val="000000"/>
          <w:kern w:val="2"/>
          <w:sz w:val="32"/>
          <w:szCs w:val="32"/>
          <w:shd w:val="clear" w:color="auto" w:fill="FFFFFF"/>
          <w:lang w:val="zh-CN" w:eastAsia="zh-CN" w:bidi="ar-SA"/>
        </w:rPr>
        <w:t>资产管理。街道大部分资产利用率保持在合理水平，资产配置中注重资产的使用效率，避免资源浪费。今后将继续深化资产管理工作，优化资产配置，提高资产利用效率，积极探索资产盘活新途径，以进一步提升资产管理的绩效。</w:t>
      </w:r>
    </w:p>
    <w:p w14:paraId="01639D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2"/>
          <w:sz w:val="32"/>
          <w:szCs w:val="32"/>
          <w:shd w:val="clear" w:color="auto" w:fill="FFFFFF"/>
          <w:lang w:val="zh-CN"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5.</w:t>
      </w:r>
      <w:r>
        <w:rPr>
          <w:rFonts w:hint="eastAsia" w:ascii="仿宋_GB2312" w:hAnsi="仿宋_GB2312" w:eastAsia="仿宋_GB2312" w:cs="仿宋_GB2312"/>
          <w:color w:val="000000"/>
          <w:kern w:val="2"/>
          <w:sz w:val="32"/>
          <w:szCs w:val="32"/>
          <w:shd w:val="clear" w:color="auto" w:fill="FFFFFF"/>
          <w:lang w:val="zh-CN" w:eastAsia="zh-CN" w:bidi="ar-SA"/>
        </w:rPr>
        <w:t>采购管理。街道采购按照“全面管控与突出重点并举、分工制衡与提升效能并重、权责对等与依法惩处并行”的基本原则，以“分事行权、分岗设权、分级授权”为主线，形成了依法合规、运转高效、风险可控、问责严格的政府采购内部运转和管控制度，做到约束机制健全、权力运行规范、风险控制有力，实现对政府采购活动运行的有效制约。</w:t>
      </w:r>
    </w:p>
    <w:p w14:paraId="04864A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（二）部门预算项目绩效分析。</w:t>
      </w:r>
    </w:p>
    <w:p w14:paraId="759682EC">
      <w:pPr>
        <w:pageBreakBefore w:val="0"/>
        <w:widowControl/>
        <w:kinsoku/>
        <w:wordWrap/>
        <w:topLinePunct w:val="0"/>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hd w:val="clear" w:color="auto" w:fill="FFFFFF"/>
          <w:lang w:val="zh-CN" w:bidi="ar"/>
        </w:rPr>
        <w:t>常年项目绩效分析。该类项目总数</w:t>
      </w:r>
      <w:r>
        <w:rPr>
          <w:rFonts w:hint="eastAsia" w:ascii="仿宋_GB2312" w:hAnsi="仿宋_GB2312" w:eastAsia="仿宋_GB2312" w:cs="仿宋_GB2312"/>
          <w:color w:val="000000"/>
          <w:kern w:val="0"/>
          <w:sz w:val="32"/>
          <w:shd w:val="clear" w:color="auto" w:fill="FFFFFF"/>
          <w:lang w:val="en-US" w:eastAsia="zh-CN" w:bidi="ar"/>
        </w:rPr>
        <w:t>5</w:t>
      </w:r>
      <w:r>
        <w:rPr>
          <w:rFonts w:hint="eastAsia" w:ascii="仿宋_GB2312" w:hAnsi="仿宋_GB2312" w:eastAsia="仿宋_GB2312" w:cs="仿宋_GB2312"/>
          <w:color w:val="000000"/>
          <w:kern w:val="0"/>
          <w:sz w:val="32"/>
          <w:shd w:val="clear" w:color="auto" w:fill="FFFFFF"/>
          <w:lang w:val="zh-CN" w:bidi="ar"/>
        </w:rPr>
        <w:t>个，涉及预算总金额</w:t>
      </w:r>
      <w:r>
        <w:rPr>
          <w:rFonts w:hint="eastAsia" w:ascii="仿宋_GB2312" w:hAnsi="仿宋_GB2312" w:eastAsia="仿宋_GB2312" w:cs="仿宋_GB2312"/>
          <w:color w:val="000000"/>
          <w:kern w:val="0"/>
          <w:sz w:val="32"/>
          <w:shd w:val="clear" w:color="auto" w:fill="FFFFFF"/>
          <w:lang w:val="en-US" w:eastAsia="zh-CN" w:bidi="ar"/>
        </w:rPr>
        <w:t>17</w:t>
      </w:r>
      <w:r>
        <w:rPr>
          <w:rFonts w:hint="eastAsia" w:ascii="仿宋_GB2312" w:hAnsi="仿宋_GB2312" w:eastAsia="仿宋_GB2312" w:cs="仿宋_GB2312"/>
          <w:color w:val="000000"/>
          <w:kern w:val="0"/>
          <w:sz w:val="32"/>
          <w:shd w:val="clear" w:color="auto" w:fill="FFFFFF"/>
          <w:lang w:val="zh-CN" w:bidi="ar"/>
        </w:rPr>
        <w:t>万元，1—12月预算执行总体进度为</w:t>
      </w:r>
      <w:r>
        <w:rPr>
          <w:rFonts w:hint="eastAsia" w:ascii="仿宋_GB2312" w:hAnsi="仿宋_GB2312" w:eastAsia="仿宋_GB2312" w:cs="仿宋_GB2312"/>
          <w:color w:val="000000"/>
          <w:kern w:val="0"/>
          <w:sz w:val="32"/>
          <w:shd w:val="clear" w:color="auto" w:fill="FFFFFF"/>
          <w:lang w:val="en-US" w:eastAsia="zh-CN" w:bidi="ar"/>
        </w:rPr>
        <w:t>100</w:t>
      </w:r>
      <w:r>
        <w:rPr>
          <w:rFonts w:hint="eastAsia" w:ascii="仿宋_GB2312" w:hAnsi="仿宋_GB2312" w:eastAsia="仿宋_GB2312" w:cs="仿宋_GB2312"/>
          <w:color w:val="000000"/>
          <w:kern w:val="0"/>
          <w:sz w:val="32"/>
          <w:shd w:val="clear" w:color="auto" w:fill="FFFFFF"/>
          <w:lang w:val="zh-CN" w:bidi="ar"/>
        </w:rPr>
        <w:t>%，</w:t>
      </w:r>
      <w:r>
        <w:rPr>
          <w:rFonts w:hint="eastAsia" w:ascii="仿宋_GB2312" w:hAnsi="仿宋_GB2312" w:eastAsia="仿宋_GB2312" w:cs="仿宋_GB2312"/>
          <w:sz w:val="32"/>
          <w:szCs w:val="32"/>
          <w:lang w:val="zh-CN"/>
        </w:rPr>
        <w:t>其中：预算结余率大于</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的项目共计</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zh-CN"/>
        </w:rPr>
        <w:t>个。</w:t>
      </w:r>
    </w:p>
    <w:p w14:paraId="0F130B6D">
      <w:pPr>
        <w:pageBreakBefore w:val="0"/>
        <w:widowControl/>
        <w:kinsoku/>
        <w:wordWrap/>
        <w:topLinePunct w:val="0"/>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阶段（一次性）项目绩效分析。</w:t>
      </w:r>
      <w:r>
        <w:rPr>
          <w:rFonts w:hint="eastAsia" w:ascii="仿宋_GB2312" w:hAnsi="仿宋_GB2312" w:eastAsia="仿宋_GB2312" w:cs="仿宋_GB2312"/>
          <w:sz w:val="32"/>
          <w:szCs w:val="32"/>
          <w:lang w:val="zh-CN"/>
        </w:rPr>
        <w:t>该类项目总数</w:t>
      </w: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sz w:val="32"/>
          <w:szCs w:val="32"/>
          <w:lang w:val="zh-CN"/>
        </w:rPr>
        <w:t>个，涉及预算总金额</w:t>
      </w:r>
      <w:r>
        <w:rPr>
          <w:rFonts w:hint="eastAsia" w:ascii="仿宋_GB2312" w:hAnsi="仿宋_GB2312" w:eastAsia="仿宋_GB2312" w:cs="仿宋_GB2312"/>
          <w:sz w:val="32"/>
          <w:szCs w:val="32"/>
          <w:lang w:val="en-US" w:eastAsia="zh-CN"/>
        </w:rPr>
        <w:t>472.9</w:t>
      </w:r>
      <w:r>
        <w:rPr>
          <w:rFonts w:hint="eastAsia" w:ascii="仿宋_GB2312" w:hAnsi="仿宋_GB2312" w:eastAsia="仿宋_GB2312" w:cs="仿宋_GB2312"/>
          <w:sz w:val="32"/>
          <w:szCs w:val="32"/>
          <w:lang w:val="zh-CN"/>
        </w:rPr>
        <w:t>万元，1—1</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月预算执行总体进度为</w:t>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lang w:val="zh-CN"/>
        </w:rPr>
        <w:t>%，其中：预算结余率大于</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的项目共计</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zh-CN"/>
        </w:rPr>
        <w:t>个。</w:t>
      </w:r>
    </w:p>
    <w:p w14:paraId="3EA1EA86">
      <w:pPr>
        <w:pageBreakBefore w:val="0"/>
        <w:widowControl/>
        <w:kinsoku/>
        <w:wordWrap/>
        <w:topLinePunct w:val="0"/>
        <w:bidi w:val="0"/>
        <w:adjustRightInd w:val="0"/>
        <w:snapToGrid w:val="0"/>
        <w:spacing w:line="560" w:lineRule="exact"/>
        <w:ind w:firstLine="643" w:firstLineChars="200"/>
        <w:jc w:val="left"/>
        <w:textAlignment w:val="auto"/>
        <w:rPr>
          <w:rFonts w:hint="eastAsia" w:ascii="仿宋_GB2312" w:hAnsi="仿宋_GB2312" w:eastAsia="仿宋_GB2312" w:cs="仿宋_GB2312"/>
          <w:b/>
          <w:bCs/>
          <w:color w:val="000000"/>
          <w:kern w:val="0"/>
          <w:sz w:val="32"/>
          <w:shd w:val="clear" w:color="auto" w:fill="FFFFFF"/>
          <w:lang w:val="zh-CN" w:bidi="ar"/>
        </w:rPr>
      </w:pPr>
      <w:r>
        <w:rPr>
          <w:rFonts w:hint="eastAsia" w:ascii="仿宋_GB2312" w:hAnsi="仿宋_GB2312" w:eastAsia="仿宋_GB2312" w:cs="仿宋_GB2312"/>
          <w:b/>
          <w:bCs/>
          <w:color w:val="000000"/>
          <w:kern w:val="0"/>
          <w:sz w:val="32"/>
          <w:shd w:val="clear" w:color="auto" w:fill="FFFFFF"/>
          <w:lang w:val="zh-CN" w:bidi="ar"/>
        </w:rPr>
        <w:t>1.项目决策。</w:t>
      </w:r>
    </w:p>
    <w:p w14:paraId="5F3BCAAA">
      <w:pPr>
        <w:pageBreakBefore w:val="0"/>
        <w:widowControl/>
        <w:kinsoku/>
        <w:wordWrap/>
        <w:topLinePunct w:val="0"/>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0"/>
          <w:sz w:val="32"/>
          <w:shd w:val="clear" w:color="auto" w:fill="FFFFFF"/>
          <w:lang w:val="zh-CN" w:bidi="ar"/>
        </w:rPr>
      </w:pPr>
      <w:r>
        <w:rPr>
          <w:rFonts w:hint="eastAsia" w:ascii="仿宋_GB2312" w:hAnsi="仿宋_GB2312" w:eastAsia="仿宋_GB2312" w:cs="仿宋_GB2312"/>
          <w:color w:val="000000"/>
          <w:kern w:val="0"/>
          <w:sz w:val="32"/>
          <w:shd w:val="clear" w:color="auto" w:fill="FFFFFF"/>
          <w:lang w:val="zh-CN" w:bidi="ar"/>
        </w:rPr>
        <w:t>根据</w:t>
      </w:r>
      <w:r>
        <w:rPr>
          <w:rFonts w:hint="eastAsia" w:ascii="仿宋_GB2312" w:hAnsi="仿宋_GB2312" w:eastAsia="仿宋_GB2312" w:cs="仿宋_GB2312"/>
          <w:color w:val="000000"/>
          <w:kern w:val="0"/>
          <w:sz w:val="32"/>
          <w:shd w:val="clear" w:color="auto" w:fill="FFFFFF"/>
          <w:lang w:val="en-US" w:eastAsia="zh-CN" w:bidi="ar"/>
        </w:rPr>
        <w:t>2023年</w:t>
      </w:r>
      <w:r>
        <w:rPr>
          <w:rFonts w:hint="eastAsia" w:ascii="仿宋_GB2312" w:hAnsi="仿宋_GB2312" w:eastAsia="仿宋_GB2312" w:cs="仿宋_GB2312"/>
          <w:color w:val="000000"/>
          <w:kern w:val="0"/>
          <w:sz w:val="32"/>
          <w:shd w:val="clear" w:color="auto" w:fill="FFFFFF"/>
          <w:lang w:val="zh-CN" w:bidi="ar"/>
        </w:rPr>
        <w:t>实际需要实施的项目进行申报，及时进行项目入库，以保证项目预算编制正常进行，并设置数量指标、质量指标、成本指标等对项目进行绩效监控。</w:t>
      </w:r>
      <w:r>
        <w:rPr>
          <w:rStyle w:val="20"/>
          <w:rFonts w:hint="eastAsia" w:ascii="仿宋_GB2312" w:hAnsi="仿宋_GB2312" w:eastAsia="仿宋_GB2312" w:cs="仿宋_GB2312"/>
          <w:b w:val="0"/>
          <w:bCs/>
          <w:color w:val="000000"/>
          <w:sz w:val="32"/>
          <w:szCs w:val="32"/>
          <w:lang w:eastAsia="zh-CN"/>
        </w:rPr>
        <w:t>各项目</w:t>
      </w:r>
      <w:r>
        <w:rPr>
          <w:rStyle w:val="20"/>
          <w:rFonts w:hint="eastAsia" w:ascii="仿宋_GB2312" w:hAnsi="仿宋_GB2312" w:eastAsia="仿宋_GB2312" w:cs="仿宋_GB2312"/>
          <w:b w:val="0"/>
          <w:bCs/>
          <w:color w:val="000000"/>
          <w:sz w:val="32"/>
          <w:szCs w:val="32"/>
        </w:rPr>
        <w:t>立项依据充分、程序合规、资金使用计划可行、审批手续齐全。</w:t>
      </w:r>
    </w:p>
    <w:p w14:paraId="192F7C53">
      <w:pPr>
        <w:pageBreakBefore w:val="0"/>
        <w:widowControl/>
        <w:kinsoku/>
        <w:wordWrap/>
        <w:topLinePunct w:val="0"/>
        <w:bidi w:val="0"/>
        <w:adjustRightInd w:val="0"/>
        <w:snapToGrid w:val="0"/>
        <w:spacing w:line="560" w:lineRule="exact"/>
        <w:ind w:firstLine="643" w:firstLineChars="200"/>
        <w:jc w:val="left"/>
        <w:textAlignment w:val="auto"/>
        <w:rPr>
          <w:rFonts w:hint="default" w:ascii="Times New Roman" w:hAnsi="Times New Roman" w:eastAsia="仿宋" w:cs="Times New Roman"/>
          <w:b/>
          <w:bCs/>
          <w:color w:val="000000"/>
          <w:kern w:val="0"/>
          <w:sz w:val="32"/>
          <w:shd w:val="clear" w:color="auto" w:fill="FFFFFF"/>
          <w:lang w:val="zh-CN" w:bidi="ar"/>
        </w:rPr>
      </w:pPr>
      <w:r>
        <w:rPr>
          <w:rFonts w:hint="default" w:ascii="Times New Roman" w:hAnsi="Times New Roman" w:eastAsia="仿宋" w:cs="Times New Roman"/>
          <w:b/>
          <w:bCs/>
          <w:color w:val="000000"/>
          <w:kern w:val="0"/>
          <w:sz w:val="32"/>
          <w:shd w:val="clear" w:color="auto" w:fill="FFFFFF"/>
          <w:lang w:val="zh-CN" w:bidi="ar"/>
        </w:rPr>
        <w:t>2.项目执行。</w:t>
      </w:r>
    </w:p>
    <w:p w14:paraId="4F4800A8">
      <w:pPr>
        <w:pageBreakBefore w:val="0"/>
        <w:kinsoku/>
        <w:wordWrap/>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年项目支出</w:t>
      </w:r>
      <w:r>
        <w:rPr>
          <w:rFonts w:hint="eastAsia" w:ascii="仿宋_GB2312" w:hAnsi="仿宋_GB2312" w:eastAsia="仿宋_GB2312" w:cs="仿宋_GB2312"/>
          <w:sz w:val="32"/>
          <w:szCs w:val="32"/>
          <w:lang w:val="en-US" w:eastAsia="zh-CN"/>
        </w:rPr>
        <w:t>489.9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完成了</w:t>
      </w:r>
      <w:r>
        <w:rPr>
          <w:rFonts w:hint="eastAsia" w:ascii="仿宋_GB2312" w:hAnsi="仿宋_GB2312" w:eastAsia="仿宋_GB2312" w:cs="仿宋_GB2312"/>
          <w:sz w:val="32"/>
          <w:szCs w:val="32"/>
        </w:rPr>
        <w:t>辖区经济、文化、教育、科技、卫生健康、民政、社会保障、民族宗教、司法、退役军人、统计等公共管理和公共服务工作，积极构建公共服务均等化体系，促进社会事业发展；完成了辖区平安建设、社会治安综合治理工作，建立社会矛盾纠纷排查调处机制，维护社会和谐稳定；积极推进人大政协履职基础；</w:t>
      </w:r>
      <w:r>
        <w:rPr>
          <w:rFonts w:hint="eastAsia" w:ascii="仿宋_GB2312" w:hAnsi="仿宋_GB2312" w:eastAsia="仿宋_GB2312" w:cs="仿宋_GB2312"/>
          <w:sz w:val="32"/>
          <w:szCs w:val="32"/>
          <w:lang w:eastAsia="zh-CN"/>
        </w:rPr>
        <w:t>完成了</w:t>
      </w:r>
      <w:r>
        <w:rPr>
          <w:rFonts w:hint="eastAsia" w:ascii="仿宋_GB2312" w:hAnsi="仿宋_GB2312" w:eastAsia="仿宋_GB2312" w:cs="仿宋_GB2312"/>
          <w:sz w:val="32"/>
          <w:szCs w:val="32"/>
        </w:rPr>
        <w:t>养老综合体、就业创业宣传显示屏采购</w:t>
      </w:r>
      <w:r>
        <w:rPr>
          <w:rFonts w:hint="eastAsia" w:ascii="仿宋_GB2312" w:hAnsi="仿宋_GB2312" w:eastAsia="仿宋_GB2312" w:cs="仿宋_GB2312"/>
          <w:sz w:val="32"/>
          <w:szCs w:val="32"/>
          <w:lang w:eastAsia="zh-CN"/>
        </w:rPr>
        <w:t>、苏铁社区党群服务中心房屋维修、河门口街道城乡社区治理试点、河门口老旧小区公共服务活动中心改造、“火红年华”影视基地修复打造、公务用车购置等</w:t>
      </w:r>
      <w:r>
        <w:rPr>
          <w:rFonts w:hint="eastAsia" w:ascii="仿宋_GB2312" w:hAnsi="仿宋_GB2312" w:eastAsia="仿宋_GB2312" w:cs="仿宋_GB2312"/>
          <w:sz w:val="32"/>
          <w:szCs w:val="32"/>
        </w:rPr>
        <w:t>。</w:t>
      </w:r>
    </w:p>
    <w:p w14:paraId="26421F57">
      <w:pPr>
        <w:pageBreakBefore w:val="0"/>
        <w:widowControl/>
        <w:kinsoku/>
        <w:wordWrap/>
        <w:topLinePunct w:val="0"/>
        <w:bidi w:val="0"/>
        <w:adjustRightInd w:val="0"/>
        <w:snapToGrid w:val="0"/>
        <w:spacing w:line="560" w:lineRule="exact"/>
        <w:ind w:firstLine="643" w:firstLineChars="200"/>
        <w:jc w:val="left"/>
        <w:textAlignment w:val="auto"/>
        <w:rPr>
          <w:rFonts w:hint="default" w:ascii="Times New Roman" w:hAnsi="Times New Roman" w:eastAsia="仿宋" w:cs="Times New Roman"/>
          <w:b/>
          <w:bCs/>
          <w:color w:val="000000"/>
          <w:kern w:val="0"/>
          <w:sz w:val="32"/>
          <w:shd w:val="clear" w:color="auto" w:fill="FFFFFF"/>
          <w:lang w:val="zh-CN" w:bidi="ar"/>
        </w:rPr>
      </w:pPr>
      <w:r>
        <w:rPr>
          <w:rFonts w:hint="default" w:ascii="Times New Roman" w:hAnsi="Times New Roman" w:eastAsia="仿宋" w:cs="Times New Roman"/>
          <w:b/>
          <w:bCs/>
          <w:color w:val="000000"/>
          <w:kern w:val="0"/>
          <w:sz w:val="32"/>
          <w:shd w:val="clear" w:color="auto" w:fill="FFFFFF"/>
          <w:lang w:val="en-US" w:eastAsia="zh-CN" w:bidi="ar"/>
        </w:rPr>
        <w:t>3.</w:t>
      </w:r>
      <w:r>
        <w:rPr>
          <w:rFonts w:hint="default" w:ascii="Times New Roman" w:hAnsi="Times New Roman" w:eastAsia="仿宋" w:cs="Times New Roman"/>
          <w:b/>
          <w:bCs/>
          <w:color w:val="000000"/>
          <w:kern w:val="0"/>
          <w:sz w:val="32"/>
          <w:shd w:val="clear" w:color="auto" w:fill="FFFFFF"/>
          <w:lang w:val="zh-CN" w:bidi="ar"/>
        </w:rPr>
        <w:t>目标实现。</w:t>
      </w:r>
    </w:p>
    <w:p w14:paraId="258DA979">
      <w:pPr>
        <w:pageBreakBefore w:val="0"/>
        <w:widowControl/>
        <w:kinsoku/>
        <w:wordWrap/>
        <w:topLinePunct w:val="0"/>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0"/>
          <w:sz w:val="32"/>
          <w:shd w:val="clear" w:color="auto" w:fill="FFFFFF"/>
          <w:lang w:val="zh-CN" w:bidi="ar"/>
        </w:rPr>
      </w:pPr>
      <w:r>
        <w:rPr>
          <w:rFonts w:hint="eastAsia" w:ascii="仿宋_GB2312" w:hAnsi="仿宋_GB2312" w:eastAsia="仿宋_GB2312" w:cs="仿宋_GB2312"/>
          <w:sz w:val="32"/>
          <w:szCs w:val="32"/>
        </w:rPr>
        <w:t>紧扣区委“一区一城”战略目标和区政府重点工作，在街道党工委领导下，踔</w:t>
      </w:r>
      <w:r>
        <w:rPr>
          <w:rFonts w:hint="eastAsia" w:ascii="仿宋_GB2312" w:hAnsi="仿宋_GB2312" w:eastAsia="仿宋_GB2312" w:cs="仿宋_GB2312"/>
          <w:sz w:val="32"/>
          <w:szCs w:val="32"/>
          <w:lang w:val="en-US" w:eastAsia="zh-CN"/>
        </w:rPr>
        <w:t>厉奋发、笃行不怠，</w:t>
      </w:r>
      <w:r>
        <w:rPr>
          <w:rFonts w:hint="eastAsia" w:ascii="仿宋_GB2312" w:hAnsi="仿宋_GB2312" w:eastAsia="仿宋_GB2312" w:cs="仿宋_GB2312"/>
          <w:sz w:val="32"/>
          <w:szCs w:val="32"/>
        </w:rPr>
        <w:t>统筹经济社会发展</w:t>
      </w:r>
      <w:r>
        <w:rPr>
          <w:rFonts w:hint="eastAsia" w:ascii="仿宋_GB2312" w:hAnsi="仿宋_GB2312" w:eastAsia="仿宋_GB2312" w:cs="仿宋_GB2312"/>
          <w:sz w:val="32"/>
          <w:szCs w:val="32"/>
          <w:lang w:val="en-US" w:eastAsia="zh-CN"/>
        </w:rPr>
        <w:t>和安全稳定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稳中有进</w:t>
      </w:r>
      <w:r>
        <w:rPr>
          <w:rFonts w:hint="eastAsia" w:ascii="仿宋_GB2312" w:hAnsi="仿宋_GB2312" w:eastAsia="仿宋_GB2312" w:cs="仿宋_GB2312"/>
          <w:sz w:val="32"/>
          <w:szCs w:val="32"/>
        </w:rPr>
        <w:t>、稳中提质，扎实做好各项工作，较好完成</w:t>
      </w:r>
      <w:r>
        <w:rPr>
          <w:rFonts w:hint="eastAsia" w:ascii="仿宋_GB2312" w:hAnsi="仿宋_GB2312" w:eastAsia="仿宋_GB2312" w:cs="仿宋_GB2312"/>
          <w:sz w:val="32"/>
          <w:szCs w:val="32"/>
          <w:lang w:val="en-US" w:eastAsia="zh-CN"/>
        </w:rPr>
        <w:t>全</w:t>
      </w:r>
      <w:r>
        <w:rPr>
          <w:rFonts w:hint="eastAsia" w:ascii="仿宋_GB2312" w:hAnsi="仿宋_GB2312" w:eastAsia="仿宋_GB2312" w:cs="仿宋_GB2312"/>
          <w:sz w:val="32"/>
          <w:szCs w:val="32"/>
        </w:rPr>
        <w:t>年目标任务。</w:t>
      </w:r>
    </w:p>
    <w:p w14:paraId="58FCAC82">
      <w:pPr>
        <w:pageBreakBefore w:val="0"/>
        <w:widowControl/>
        <w:numPr>
          <w:ilvl w:val="0"/>
          <w:numId w:val="0"/>
        </w:numPr>
        <w:kinsoku/>
        <w:wordWrap/>
        <w:topLinePunct w:val="0"/>
        <w:bidi w:val="0"/>
        <w:adjustRightInd w:val="0"/>
        <w:snapToGrid w:val="0"/>
        <w:spacing w:line="560" w:lineRule="exact"/>
        <w:ind w:left="630" w:leftChars="0"/>
        <w:contextualSpacing/>
        <w:jc w:val="left"/>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（三）重点领域绩效分析。</w:t>
      </w:r>
    </w:p>
    <w:p w14:paraId="2F900FD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无</w:t>
      </w:r>
    </w:p>
    <w:p w14:paraId="2B1A0F89">
      <w:pPr>
        <w:pageBreakBefore w:val="0"/>
        <w:kinsoku/>
        <w:wordWrap/>
        <w:topLinePunct w:val="0"/>
        <w:bidi w:val="0"/>
        <w:snapToGrid w:val="0"/>
        <w:spacing w:line="560"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（四）绩效结果应用情况。</w:t>
      </w:r>
    </w:p>
    <w:p w14:paraId="612AB400">
      <w:pPr>
        <w:pageBreakBefore w:val="0"/>
        <w:widowControl/>
        <w:kinsoku/>
        <w:wordWrap/>
        <w:topLinePunct w:val="0"/>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0"/>
          <w:sz w:val="32"/>
          <w:shd w:val="clear" w:color="auto" w:fill="FFFFFF"/>
          <w:lang w:val="zh-CN" w:bidi="ar"/>
        </w:rPr>
      </w:pPr>
      <w:r>
        <w:rPr>
          <w:rFonts w:hint="eastAsia" w:ascii="仿宋_GB2312" w:hAnsi="仿宋_GB2312" w:eastAsia="仿宋_GB2312" w:cs="仿宋_GB2312"/>
          <w:color w:val="000000"/>
          <w:kern w:val="0"/>
          <w:sz w:val="32"/>
          <w:shd w:val="clear" w:color="auto" w:fill="FFFFFF"/>
          <w:lang w:val="zh-CN" w:bidi="ar"/>
        </w:rPr>
        <w:t>在工作中，街道严格执行绩效评价相关规定，2023年</w:t>
      </w:r>
      <w:r>
        <w:rPr>
          <w:rFonts w:hint="eastAsia" w:ascii="仿宋_GB2312" w:hAnsi="仿宋_GB2312" w:eastAsia="仿宋_GB2312" w:cs="仿宋_GB2312"/>
          <w:color w:val="000000"/>
          <w:kern w:val="0"/>
          <w:sz w:val="32"/>
          <w:shd w:val="clear" w:color="auto" w:fill="FFFFFF"/>
          <w:lang w:val="en-US" w:eastAsia="zh-CN" w:bidi="ar"/>
        </w:rPr>
        <w:t>度</w:t>
      </w:r>
      <w:r>
        <w:rPr>
          <w:rFonts w:hint="eastAsia" w:ascii="仿宋_GB2312" w:hAnsi="仿宋_GB2312" w:eastAsia="仿宋_GB2312" w:cs="仿宋_GB2312"/>
          <w:color w:val="000000"/>
          <w:kern w:val="0"/>
          <w:sz w:val="32"/>
          <w:shd w:val="clear" w:color="auto" w:fill="FFFFFF"/>
          <w:lang w:val="zh-CN" w:bidi="ar"/>
        </w:rPr>
        <w:t>绩效监控采用事前、事中、事后评价方式，长期监控绩效情况，保障目标绩效均能在资金范围内按时间节点完成。街道绩效目标、绩效评价、绩效监控等均按要求对外公开，主动接受社会监督，且定时开展自查，对自查中发现的问题及时整改，全面提高绩效评价水平，并将评价结果用于考核促进工作。</w:t>
      </w:r>
    </w:p>
    <w:p w14:paraId="148D7458">
      <w:pPr>
        <w:pageBreakBefore w:val="0"/>
        <w:kinsoku/>
        <w:wordWrap/>
        <w:topLinePunct w:val="0"/>
        <w:bidi w:val="0"/>
        <w:snapToGrid w:val="0"/>
        <w:spacing w:line="560"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w:t>
      </w:r>
      <w:r>
        <w:rPr>
          <w:rFonts w:hint="default" w:ascii="Times New Roman" w:hAnsi="Times New Roman" w:eastAsia="楷体_GB2312" w:cs="Times New Roman"/>
          <w:b/>
          <w:bCs/>
          <w:color w:val="000000"/>
          <w:kern w:val="0"/>
          <w:sz w:val="32"/>
          <w:szCs w:val="32"/>
          <w:shd w:val="clear" w:color="auto" w:fill="FFFFFF"/>
          <w:lang w:val="zh-CN" w:eastAsia="zh-CN"/>
        </w:rPr>
        <w:t>五</w:t>
      </w:r>
      <w:r>
        <w:rPr>
          <w:rFonts w:hint="default" w:ascii="Times New Roman" w:hAnsi="Times New Roman" w:eastAsia="楷体_GB2312" w:cs="Times New Roman"/>
          <w:b/>
          <w:bCs/>
          <w:color w:val="000000"/>
          <w:kern w:val="0"/>
          <w:sz w:val="32"/>
          <w:szCs w:val="32"/>
          <w:shd w:val="clear" w:color="auto" w:fill="FFFFFF"/>
          <w:lang w:val="zh-CN"/>
        </w:rPr>
        <w:t>）自评质量。</w:t>
      </w:r>
    </w:p>
    <w:p w14:paraId="41460CF8">
      <w:pPr>
        <w:pageBreakBefore w:val="0"/>
        <w:kinsoku/>
        <w:wordWrap/>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街道</w:t>
      </w: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年部门预算整体支出情况良好，财政资金预算配置合理合规，预算执行严格有序，预算管理规范可控，资金效益合乎预期。预算、执行、收支、资产管理及信息公开都严格按相关</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进行，全年收支平衡，有效保证了机构运转，圆满完成了上级下达的目标任务，取得了较大的社会效益。</w:t>
      </w:r>
    </w:p>
    <w:p w14:paraId="508AD738">
      <w:pPr>
        <w:pageBreakBefore w:val="0"/>
        <w:widowControl/>
        <w:kinsoku/>
        <w:wordWrap/>
        <w:topLinePunct w:val="0"/>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四、评价结论及建议</w:t>
      </w:r>
    </w:p>
    <w:p w14:paraId="77760D4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（一）评价结论。</w:t>
      </w:r>
    </w:p>
    <w:p w14:paraId="5B590F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通过绩效自评，街道整体支出的经济性和时效性都明显增强，切实提升了街道的整体支出效益，有力推动了街道相关工作的开展，基本实现了预算绩效管理工作目标。</w:t>
      </w:r>
    </w:p>
    <w:p w14:paraId="7410DA1E">
      <w:pPr>
        <w:keepNext w:val="0"/>
        <w:keepLines w:val="0"/>
        <w:pageBreakBefore w:val="0"/>
        <w:numPr>
          <w:ilvl w:val="0"/>
          <w:numId w:val="0"/>
        </w:numPr>
        <w:kinsoku/>
        <w:wordWrap/>
        <w:overflowPunct/>
        <w:topLinePunct w:val="0"/>
        <w:autoSpaceDE/>
        <w:autoSpaceDN/>
        <w:bidi w:val="0"/>
        <w:adjustRightInd/>
        <w:snapToGrid/>
        <w:spacing w:line="560" w:lineRule="exact"/>
        <w:ind w:left="630" w:leftChars="0"/>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lang w:eastAsia="zh-CN"/>
        </w:rPr>
        <w:t>（二）</w:t>
      </w:r>
      <w:r>
        <w:rPr>
          <w:rFonts w:hint="default" w:ascii="Times New Roman" w:hAnsi="Times New Roman" w:eastAsia="楷体_GB2312" w:cs="Times New Roman"/>
          <w:b/>
          <w:bCs w:val="0"/>
          <w:sz w:val="32"/>
          <w:szCs w:val="32"/>
        </w:rPr>
        <w:t>存在问题。</w:t>
      </w:r>
    </w:p>
    <w:p w14:paraId="52A907C5">
      <w:pPr>
        <w:keepNext w:val="0"/>
        <w:keepLines w:val="0"/>
        <w:pageBreakBefore w:val="0"/>
        <w:widowControl/>
        <w:kinsoku/>
        <w:wordWrap/>
        <w:overflowPunct/>
        <w:topLinePunct w:val="0"/>
        <w:autoSpaceDE/>
        <w:autoSpaceDN/>
        <w:bidi w:val="0"/>
        <w:adjustRightInd/>
        <w:snapToGrid/>
        <w:spacing w:line="560" w:lineRule="exact"/>
        <w:ind w:firstLine="66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w:t>
      </w:r>
      <w:r>
        <w:rPr>
          <w:rFonts w:hint="eastAsia" w:eastAsia="仿宋_GB2312" w:cs="Times New Roman"/>
          <w:sz w:val="32"/>
          <w:szCs w:val="32"/>
          <w:lang w:val="en-US" w:eastAsia="zh-CN"/>
        </w:rPr>
        <w:t>实施与区级相关</w:t>
      </w:r>
      <w:r>
        <w:rPr>
          <w:rFonts w:hint="default" w:ascii="Times New Roman" w:hAnsi="Times New Roman" w:eastAsia="仿宋_GB2312" w:cs="Times New Roman"/>
          <w:sz w:val="32"/>
          <w:szCs w:val="32"/>
          <w:lang w:val="en-US" w:eastAsia="zh-CN"/>
        </w:rPr>
        <w:t>部门之间协调还不够紧密，绩效指标</w:t>
      </w:r>
      <w:r>
        <w:rPr>
          <w:rFonts w:hint="eastAsia" w:eastAsia="仿宋_GB2312" w:cs="Times New Roman"/>
          <w:sz w:val="32"/>
          <w:szCs w:val="32"/>
          <w:lang w:val="en-US" w:eastAsia="zh-CN"/>
        </w:rPr>
        <w:t>设置</w:t>
      </w:r>
      <w:r>
        <w:rPr>
          <w:rFonts w:hint="default" w:ascii="Times New Roman" w:hAnsi="Times New Roman" w:eastAsia="仿宋_GB2312" w:cs="Times New Roman"/>
          <w:sz w:val="32"/>
          <w:szCs w:val="32"/>
          <w:lang w:val="en-US" w:eastAsia="zh-CN"/>
        </w:rPr>
        <w:t>还需进一步完善。</w:t>
      </w:r>
    </w:p>
    <w:p w14:paraId="760934CE">
      <w:pPr>
        <w:keepNext w:val="0"/>
        <w:keepLines w:val="0"/>
        <w:pageBreakBefore w:val="0"/>
        <w:numPr>
          <w:ilvl w:val="0"/>
          <w:numId w:val="0"/>
        </w:numPr>
        <w:kinsoku/>
        <w:wordWrap/>
        <w:overflowPunct/>
        <w:topLinePunct w:val="0"/>
        <w:autoSpaceDE/>
        <w:autoSpaceDN/>
        <w:bidi w:val="0"/>
        <w:adjustRightInd/>
        <w:snapToGrid/>
        <w:spacing w:line="560" w:lineRule="exact"/>
        <w:ind w:left="630" w:leftChars="0"/>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lang w:eastAsia="zh-CN"/>
        </w:rPr>
        <w:t>（三）</w:t>
      </w:r>
      <w:r>
        <w:rPr>
          <w:rFonts w:hint="default" w:ascii="Times New Roman" w:hAnsi="Times New Roman" w:eastAsia="楷体_GB2312" w:cs="Times New Roman"/>
          <w:b/>
          <w:bCs w:val="0"/>
          <w:sz w:val="32"/>
          <w:szCs w:val="32"/>
        </w:rPr>
        <w:t>改进建议。</w:t>
      </w:r>
    </w:p>
    <w:p w14:paraId="5735A771">
      <w:pPr>
        <w:pStyle w:val="10"/>
        <w:pageBreakBefore w:val="0"/>
        <w:kinsoku/>
        <w:wordWrap/>
        <w:topLinePunct w:val="0"/>
        <w:bidi w:val="0"/>
        <w:spacing w:beforeLines="0" w:line="560" w:lineRule="exact"/>
        <w:ind w:firstLine="640" w:firstLineChars="200"/>
        <w:textAlignment w:val="auto"/>
        <w:rPr>
          <w:rFonts w:hint="default" w:ascii="Times New Roman" w:hAnsi="Times New Roman" w:eastAsia="仿宋_GB2312" w:cs="Times New Roman"/>
          <w:color w:val="000000"/>
          <w:sz w:val="32"/>
          <w:szCs w:val="32"/>
          <w:shd w:val="clear" w:color="auto" w:fill="FFFFFF"/>
          <w:lang w:val="zh-CN" w:eastAsia="zh-CN"/>
        </w:rPr>
      </w:pPr>
      <w:r>
        <w:rPr>
          <w:rFonts w:hint="default" w:ascii="Times New Roman" w:hAnsi="Times New Roman" w:eastAsia="仿宋_GB2312" w:cs="Times New Roman"/>
          <w:color w:val="000000"/>
          <w:sz w:val="32"/>
          <w:szCs w:val="32"/>
          <w:shd w:val="clear" w:color="auto" w:fill="FFFFFF"/>
          <w:lang w:val="zh-CN" w:eastAsia="zh-CN"/>
        </w:rPr>
        <w:t>进一步加强预算执行的管理和监督，确保预算资金使用的合规性；进一步</w:t>
      </w:r>
      <w:r>
        <w:rPr>
          <w:rFonts w:hint="eastAsia" w:ascii="Times New Roman" w:cs="Times New Roman"/>
          <w:color w:val="000000"/>
          <w:sz w:val="32"/>
          <w:szCs w:val="32"/>
          <w:shd w:val="clear" w:color="auto" w:fill="FFFFFF"/>
          <w:lang w:val="zh-CN" w:eastAsia="zh-CN"/>
        </w:rPr>
        <w:t>加强与区级相关部门沟通，</w:t>
      </w:r>
      <w:r>
        <w:rPr>
          <w:rFonts w:hint="default" w:ascii="Times New Roman" w:hAnsi="Times New Roman" w:eastAsia="仿宋_GB2312" w:cs="Times New Roman"/>
          <w:color w:val="000000"/>
          <w:sz w:val="32"/>
          <w:szCs w:val="32"/>
          <w:shd w:val="clear" w:color="auto" w:fill="FFFFFF"/>
          <w:lang w:val="zh-CN" w:eastAsia="zh-CN"/>
        </w:rPr>
        <w:t>提高工作效率和质量</w:t>
      </w:r>
      <w:r>
        <w:rPr>
          <w:rFonts w:hint="eastAsia" w:ascii="Times New Roman" w:cs="Times New Roman"/>
          <w:color w:val="000000"/>
          <w:sz w:val="32"/>
          <w:szCs w:val="32"/>
          <w:shd w:val="clear" w:color="auto" w:fill="FFFFFF"/>
          <w:lang w:val="zh-CN" w:eastAsia="zh-CN"/>
        </w:rPr>
        <w:t>；进一步优化绩效指标，提高项目实施</w:t>
      </w:r>
      <w:r>
        <w:rPr>
          <w:rFonts w:hint="default" w:ascii="Times New Roman" w:hAnsi="Times New Roman" w:eastAsia="仿宋_GB2312" w:cs="Times New Roman"/>
          <w:color w:val="000000"/>
          <w:sz w:val="32"/>
          <w:szCs w:val="32"/>
          <w:shd w:val="clear" w:color="auto" w:fill="FFFFFF"/>
          <w:lang w:val="zh-CN" w:eastAsia="zh-CN"/>
        </w:rPr>
        <w:t>效益性</w:t>
      </w:r>
      <w:r>
        <w:rPr>
          <w:rFonts w:hint="eastAsia" w:ascii="Times New Roman" w:cs="Times New Roman"/>
          <w:color w:val="000000"/>
          <w:sz w:val="32"/>
          <w:szCs w:val="32"/>
          <w:shd w:val="clear" w:color="auto" w:fill="FFFFFF"/>
          <w:lang w:val="zh-CN" w:eastAsia="zh-CN"/>
        </w:rPr>
        <w:t>。</w:t>
      </w:r>
    </w:p>
    <w:p w14:paraId="1408667E">
      <w:pPr>
        <w:pStyle w:val="10"/>
        <w:pageBreakBefore w:val="0"/>
        <w:numPr>
          <w:ilvl w:val="0"/>
          <w:numId w:val="0"/>
        </w:numPr>
        <w:kinsoku/>
        <w:wordWrap/>
        <w:topLinePunct w:val="0"/>
        <w:bidi w:val="0"/>
        <w:spacing w:line="560" w:lineRule="exact"/>
        <w:ind w:left="630" w:leftChars="0"/>
        <w:textAlignment w:val="auto"/>
        <w:rPr>
          <w:rFonts w:hint="default" w:ascii="Times New Roman" w:hAnsi="Times New Roman" w:cs="Times New Roman"/>
        </w:rPr>
      </w:pPr>
    </w:p>
    <w:p w14:paraId="0D0813C6">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1AE39318">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32BF2026">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470C769E">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13499F64">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7C9FCC80">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13724C68">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7B4985E0">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28C53A6B">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484AB9EC">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p w14:paraId="52213EF3">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en-US" w:eastAsia="zh-CN"/>
        </w:rPr>
      </w:pPr>
      <w:r>
        <w:rPr>
          <w:rFonts w:hint="default" w:ascii="Times New Roman" w:hAnsi="Times New Roman" w:eastAsia="黑体" w:cs="Times New Roman"/>
          <w:sz w:val="32"/>
          <w:szCs w:val="32"/>
          <w:shd w:val="clear" w:color="auto" w:fill="FFFFFF"/>
          <w:lang w:val="zh-CN"/>
        </w:rPr>
        <w:t>附件2</w:t>
      </w:r>
      <w:r>
        <w:rPr>
          <w:rFonts w:hint="eastAsia" w:ascii="Times New Roman" w:hAnsi="Times New Roman" w:eastAsia="黑体" w:cs="Times New Roman"/>
          <w:sz w:val="32"/>
          <w:szCs w:val="32"/>
          <w:shd w:val="clear" w:color="auto" w:fill="FFFFFF"/>
          <w:lang w:val="en-US" w:eastAsia="zh-CN"/>
        </w:rPr>
        <w:t>-1</w:t>
      </w:r>
    </w:p>
    <w:p w14:paraId="388CF3B5">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方正小标宋_GBK" w:hAnsi="方正小标宋_GBK" w:eastAsia="方正小标宋_GBK" w:cs="方正小标宋_GBK"/>
          <w:kern w:val="0"/>
          <w:sz w:val="44"/>
          <w:szCs w:val="44"/>
          <w:lang w:eastAsia="zh-CN"/>
        </w:rPr>
      </w:pPr>
      <w:r>
        <w:rPr>
          <w:rFonts w:hint="default" w:ascii="方正小标宋_GBK" w:hAnsi="方正小标宋_GBK" w:eastAsia="方正小标宋_GBK" w:cs="方正小标宋_GBK"/>
          <w:kern w:val="0"/>
          <w:sz w:val="44"/>
          <w:szCs w:val="44"/>
          <w:lang w:eastAsia="zh-CN"/>
        </w:rPr>
        <w:t>省级财政养老服务业发展补助资金</w:t>
      </w:r>
    </w:p>
    <w:p w14:paraId="633BE606">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方正小标宋_GBK" w:hAnsi="方正小标宋_GBK" w:eastAsia="方正小标宋_GBK" w:cs="方正小标宋_GBK"/>
          <w:kern w:val="0"/>
          <w:sz w:val="44"/>
          <w:szCs w:val="44"/>
          <w:lang w:eastAsia="zh-CN"/>
        </w:rPr>
      </w:pPr>
      <w:r>
        <w:rPr>
          <w:rFonts w:hint="default" w:ascii="方正小标宋_GBK" w:hAnsi="方正小标宋_GBK" w:eastAsia="方正小标宋_GBK" w:cs="方正小标宋_GBK"/>
          <w:kern w:val="0"/>
          <w:sz w:val="44"/>
          <w:szCs w:val="44"/>
          <w:lang w:eastAsia="zh-CN"/>
        </w:rPr>
        <w:t>绩效评价告</w:t>
      </w:r>
    </w:p>
    <w:p w14:paraId="55D5A9E7">
      <w:pPr>
        <w:pStyle w:val="41"/>
        <w:spacing w:line="0" w:lineRule="atLeast"/>
        <w:jc w:val="center"/>
        <w:rPr>
          <w:rFonts w:hint="default" w:ascii="Times New Roman" w:hAnsi="Times New Roman" w:eastAsia="方正小标宋_GBK" w:cs="Times New Roman"/>
          <w:sz w:val="44"/>
          <w:szCs w:val="44"/>
        </w:rPr>
      </w:pPr>
    </w:p>
    <w:p w14:paraId="657122C2">
      <w:pPr>
        <w:suppressAutoHyphens/>
        <w:adjustRightInd w:val="0"/>
        <w:snapToGrid w:val="0"/>
        <w:spacing w:line="600" w:lineRule="exact"/>
        <w:ind w:firstLine="643" w:firstLineChars="200"/>
        <w:rPr>
          <w:rFonts w:hint="default" w:ascii="Times New Roman" w:hAnsi="Times New Roman" w:eastAsia="黑体" w:cs="Times New Roman"/>
          <w:b/>
          <w:sz w:val="32"/>
          <w:szCs w:val="32"/>
          <w:lang w:val="zh-CN"/>
        </w:rPr>
      </w:pPr>
      <w:r>
        <w:rPr>
          <w:rFonts w:hint="default" w:ascii="Times New Roman" w:hAnsi="Times New Roman" w:eastAsia="黑体" w:cs="Times New Roman"/>
          <w:b/>
          <w:sz w:val="32"/>
          <w:szCs w:val="32"/>
        </w:rPr>
        <w:t>一、</w:t>
      </w:r>
      <w:r>
        <w:rPr>
          <w:rFonts w:hint="default" w:ascii="Times New Roman" w:hAnsi="Times New Roman" w:eastAsia="黑体" w:cs="Times New Roman"/>
          <w:b/>
          <w:sz w:val="32"/>
          <w:szCs w:val="32"/>
          <w:lang w:val="zh-CN"/>
        </w:rPr>
        <w:t>项目概况</w:t>
      </w:r>
    </w:p>
    <w:p w14:paraId="0D81FBFF">
      <w:pPr>
        <w:adjustRightInd w:val="0"/>
        <w:snapToGrid w:val="0"/>
        <w:spacing w:line="600" w:lineRule="exact"/>
        <w:rPr>
          <w:rFonts w:hint="default" w:ascii="Times New Roman" w:hAnsi="Times New Roman" w:eastAsia="楷体_GB2312" w:cs="Times New Roman"/>
          <w:sz w:val="32"/>
          <w:szCs w:val="32"/>
          <w:lang w:val="zh-CN"/>
        </w:rPr>
      </w:pPr>
      <w:r>
        <w:rPr>
          <w:rFonts w:hint="default" w:ascii="Times New Roman" w:hAnsi="Times New Roman" w:eastAsia="楷体_GB2312" w:cs="Times New Roman"/>
          <w:b/>
          <w:sz w:val="32"/>
          <w:szCs w:val="32"/>
          <w:lang w:val="zh-CN"/>
        </w:rPr>
        <w:t xml:space="preserve">   （一）设立背景及基本情况。</w:t>
      </w:r>
    </w:p>
    <w:p w14:paraId="12580E9F">
      <w:pPr>
        <w:ind w:firstLine="640" w:firstLineChars="200"/>
        <w:rPr>
          <w:rFonts w:hint="eastAsia" w:ascii="仿宋_GB2312" w:hAnsi="仿宋_GB2312" w:eastAsia="仿宋_GB2312" w:cs="仿宋_GB2312"/>
          <w:b/>
          <w:lang w:val="zh-CN"/>
        </w:rPr>
      </w:pPr>
      <w:r>
        <w:rPr>
          <w:rFonts w:hint="default" w:ascii="Times New Roman" w:hAnsi="Times New Roman" w:eastAsia="仿宋_GB2312" w:cs="Times New Roman"/>
          <w:sz w:val="32"/>
          <w:szCs w:val="32"/>
          <w:lang w:val="zh-CN"/>
        </w:rPr>
        <w:t>1.</w:t>
      </w:r>
      <w:r>
        <w:rPr>
          <w:rFonts w:hint="default" w:ascii="Times New Roman" w:hAnsi="Times New Roman" w:eastAsia="仿宋_GB2312" w:cs="Times New Roman"/>
          <w:b/>
          <w:sz w:val="32"/>
          <w:szCs w:val="32"/>
          <w:lang w:val="zh-CN"/>
        </w:rPr>
        <w:t>项目主要内容</w:t>
      </w:r>
      <w:r>
        <w:rPr>
          <w:rFonts w:hint="default" w:ascii="Times New Roman" w:hAnsi="Times New Roman" w:eastAsia="仿宋_GB2312" w:cs="Times New Roman"/>
          <w:sz w:val="32"/>
          <w:szCs w:val="32"/>
          <w:lang w:val="zh-CN"/>
        </w:rPr>
        <w:t>：</w:t>
      </w:r>
      <w:r>
        <w:rPr>
          <w:rFonts w:hint="eastAsia" w:ascii="仿宋_GB2312" w:hAnsi="仿宋_GB2312" w:eastAsia="仿宋_GB2312" w:cs="仿宋_GB2312"/>
          <w:sz w:val="32"/>
          <w:szCs w:val="32"/>
          <w:lang w:val="zh-CN"/>
        </w:rPr>
        <w:t>按照中央、省级的统一部署要求，</w:t>
      </w:r>
      <w:r>
        <w:rPr>
          <w:rFonts w:hint="eastAsia" w:ascii="仿宋_GB2312" w:hAnsi="仿宋_GB2312" w:eastAsia="仿宋_GB2312" w:cs="仿宋_GB2312"/>
          <w:sz w:val="32"/>
          <w:szCs w:val="32"/>
          <w:lang w:val="en-US" w:eastAsia="zh-CN"/>
        </w:rPr>
        <w:t>河门口街道实施社区养老服务综合体项目，</w:t>
      </w:r>
      <w:r>
        <w:rPr>
          <w:rFonts w:hint="eastAsia" w:ascii="仿宋_GB2312" w:hAnsi="仿宋_GB2312" w:eastAsia="仿宋_GB2312" w:cs="仿宋_GB2312"/>
          <w:sz w:val="32"/>
          <w:szCs w:val="32"/>
        </w:rPr>
        <w:t>该项目盘活企业闲置资产，建成社区养老服务综合体，开发建设“河美颐家”智慧养老服务平台，设置短期照料中心、老年活动中心、康复器械租赁中心、康复器械体验中心、智慧养老服务中心、长者餐厅等功能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满足辖区老人就近，多样化、个性化的养老服务需求</w:t>
      </w:r>
      <w:r>
        <w:rPr>
          <w:rFonts w:hint="eastAsia" w:ascii="仿宋_GB2312" w:hAnsi="仿宋_GB2312" w:eastAsia="仿宋_GB2312" w:cs="仿宋_GB2312"/>
          <w:sz w:val="32"/>
          <w:szCs w:val="32"/>
        </w:rPr>
        <w:t>。</w:t>
      </w:r>
    </w:p>
    <w:p w14:paraId="5E0C5EF3">
      <w:pPr>
        <w:adjustRightInd w:val="0"/>
        <w:snapToGrid w:val="0"/>
        <w:spacing w:line="600" w:lineRule="exact"/>
        <w:rPr>
          <w:rFonts w:hint="eastAsia" w:ascii="仿宋_GB2312" w:hAnsi="仿宋_GB2312" w:eastAsia="仿宋_GB2312" w:cs="仿宋_GB2312"/>
          <w:sz w:val="32"/>
          <w:szCs w:val="32"/>
          <w:lang w:val="zh-CN"/>
        </w:rPr>
      </w:pPr>
      <w:r>
        <w:rPr>
          <w:rFonts w:hint="default" w:ascii="Times New Roman" w:hAnsi="Times New Roman" w:eastAsia="仿宋_GB2312" w:cs="Times New Roman"/>
          <w:sz w:val="32"/>
          <w:szCs w:val="32"/>
          <w:lang w:val="zh-CN"/>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zh-CN"/>
        </w:rPr>
        <w:t>2.</w:t>
      </w:r>
      <w:r>
        <w:rPr>
          <w:rFonts w:hint="default" w:ascii="Times New Roman" w:hAnsi="Times New Roman" w:eastAsia="仿宋_GB2312" w:cs="Times New Roman"/>
          <w:b/>
          <w:sz w:val="32"/>
          <w:szCs w:val="32"/>
          <w:lang w:val="zh-CN"/>
        </w:rPr>
        <w:t>资金申报依据</w:t>
      </w:r>
      <w:r>
        <w:rPr>
          <w:rFonts w:hint="default" w:ascii="Times New Roman" w:hAnsi="Times New Roman" w:eastAsia="仿宋_GB2312" w:cs="Times New Roman"/>
          <w:sz w:val="32"/>
          <w:szCs w:val="32"/>
          <w:lang w:val="zh-CN"/>
        </w:rPr>
        <w:t>：</w:t>
      </w:r>
      <w:r>
        <w:rPr>
          <w:rFonts w:hint="eastAsia" w:ascii="仿宋_GB2312" w:hAnsi="仿宋_GB2312" w:eastAsia="仿宋_GB2312" w:cs="仿宋_GB2312"/>
          <w:sz w:val="32"/>
          <w:szCs w:val="32"/>
          <w:lang w:val="zh-CN"/>
        </w:rPr>
        <w:t>按照《四川省民政厅关于印发2021年民政专项资金项目安排表的通知》文件要求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rPr>
        <w:t>经2021年区政府十二届第1次常务会议定通过后实施，项目实施过程严格按照程序开展，资金支付符合资金管理办法等相关规定。</w:t>
      </w:r>
    </w:p>
    <w:p w14:paraId="4B7DFB75">
      <w:pPr>
        <w:adjustRightInd w:val="0"/>
        <w:snapToGrid w:val="0"/>
        <w:spacing w:line="600" w:lineRule="exact"/>
        <w:ind w:firstLine="640" w:firstLineChars="200"/>
        <w:rPr>
          <w:rFonts w:hint="eastAsia" w:ascii="仿宋_GB2312" w:hAnsi="仿宋_GB2312" w:eastAsia="仿宋_GB2312" w:cs="仿宋_GB2312"/>
          <w:sz w:val="32"/>
          <w:szCs w:val="32"/>
          <w:lang w:val="zh-CN"/>
        </w:rPr>
      </w:pPr>
      <w:r>
        <w:rPr>
          <w:rFonts w:hint="default" w:ascii="Times New Roman" w:hAnsi="Times New Roman" w:eastAsia="仿宋_GB2312" w:cs="Times New Roman"/>
          <w:sz w:val="32"/>
          <w:szCs w:val="32"/>
          <w:lang w:val="zh-CN"/>
        </w:rPr>
        <w:t>3.</w:t>
      </w:r>
      <w:r>
        <w:rPr>
          <w:rFonts w:hint="default" w:ascii="Times New Roman" w:hAnsi="Times New Roman" w:eastAsia="仿宋_GB2312" w:cs="Times New Roman"/>
          <w:b/>
          <w:sz w:val="32"/>
          <w:szCs w:val="32"/>
          <w:lang w:val="zh-CN"/>
        </w:rPr>
        <w:t>主管部门职能</w:t>
      </w:r>
      <w:r>
        <w:rPr>
          <w:rFonts w:hint="default" w:ascii="Times New Roman" w:hAnsi="Times New Roman" w:eastAsia="仿宋_GB2312" w:cs="Times New Roman"/>
          <w:sz w:val="32"/>
          <w:szCs w:val="32"/>
          <w:lang w:val="zh-CN"/>
        </w:rPr>
        <w:t>：</w:t>
      </w:r>
      <w:r>
        <w:rPr>
          <w:rFonts w:hint="eastAsia" w:ascii="仿宋_GB2312" w:hAnsi="仿宋_GB2312" w:eastAsia="仿宋_GB2312" w:cs="仿宋_GB2312"/>
          <w:kern w:val="0"/>
          <w:sz w:val="32"/>
          <w:szCs w:val="32"/>
          <w:lang w:val="zh-CN" w:eastAsia="zh-CN"/>
        </w:rPr>
        <w:t>负责监督</w:t>
      </w:r>
      <w:r>
        <w:rPr>
          <w:rFonts w:hint="eastAsia" w:ascii="仿宋_GB2312" w:hAnsi="仿宋_GB2312" w:eastAsia="仿宋_GB2312" w:cs="仿宋_GB2312"/>
          <w:kern w:val="0"/>
          <w:sz w:val="32"/>
          <w:szCs w:val="32"/>
          <w:lang w:val="en-US" w:eastAsia="zh-CN"/>
        </w:rPr>
        <w:t>项目的实施</w:t>
      </w:r>
      <w:r>
        <w:rPr>
          <w:rFonts w:hint="eastAsia" w:ascii="仿宋_GB2312" w:hAnsi="仿宋_GB2312" w:eastAsia="仿宋_GB2312" w:cs="仿宋_GB2312"/>
          <w:kern w:val="0"/>
          <w:sz w:val="32"/>
          <w:szCs w:val="32"/>
          <w:lang w:val="zh-CN" w:eastAsia="zh-CN"/>
        </w:rPr>
        <w:t>，评价</w:t>
      </w:r>
      <w:r>
        <w:rPr>
          <w:rFonts w:hint="eastAsia" w:ascii="仿宋_GB2312" w:hAnsi="仿宋_GB2312" w:eastAsia="仿宋_GB2312" w:cs="仿宋_GB2312"/>
          <w:kern w:val="0"/>
          <w:sz w:val="32"/>
          <w:szCs w:val="32"/>
          <w:lang w:val="en-US" w:eastAsia="zh-CN"/>
        </w:rPr>
        <w:t>项目</w:t>
      </w:r>
      <w:r>
        <w:rPr>
          <w:rFonts w:hint="eastAsia" w:ascii="仿宋_GB2312" w:hAnsi="仿宋_GB2312" w:eastAsia="仿宋_GB2312" w:cs="仿宋_GB2312"/>
          <w:kern w:val="0"/>
          <w:sz w:val="32"/>
          <w:szCs w:val="32"/>
          <w:lang w:val="zh-CN" w:eastAsia="zh-CN"/>
        </w:rPr>
        <w:t>工作的及时性和有效性。</w:t>
      </w:r>
    </w:p>
    <w:p w14:paraId="0EFBC685">
      <w:pPr>
        <w:suppressAutoHyphens/>
        <w:adjustRightInd w:val="0"/>
        <w:snapToGrid w:val="0"/>
        <w:spacing w:line="600" w:lineRule="exact"/>
        <w:ind w:firstLine="640"/>
        <w:rPr>
          <w:rFonts w:hint="default" w:ascii="Times New Roman" w:hAnsi="Times New Roman" w:eastAsia="楷体_GB2312" w:cs="Times New Roman"/>
          <w:b/>
          <w:sz w:val="32"/>
          <w:szCs w:val="32"/>
        </w:rPr>
      </w:pPr>
      <w:r>
        <w:rPr>
          <w:rFonts w:hint="default" w:ascii="仿宋_GB2312" w:hAnsi="仿宋_GB2312" w:eastAsia="仿宋_GB2312" w:cs="仿宋_GB2312"/>
          <w:sz w:val="32"/>
          <w:szCs w:val="32"/>
          <w:lang w:val="zh-CN"/>
        </w:rPr>
        <w:t>（二）实施目</w:t>
      </w:r>
      <w:r>
        <w:rPr>
          <w:rFonts w:hint="default" w:ascii="Times New Roman" w:hAnsi="Times New Roman" w:eastAsia="楷体_GB2312" w:cs="Times New Roman"/>
          <w:b/>
          <w:sz w:val="32"/>
          <w:szCs w:val="32"/>
        </w:rPr>
        <w:t>的及支持方向。</w:t>
      </w:r>
    </w:p>
    <w:p w14:paraId="0DD0978F">
      <w:pPr>
        <w:keepNext w:val="0"/>
        <w:keepLines w:val="0"/>
        <w:pageBreakBefore w:val="0"/>
        <w:widowControl w:val="0"/>
        <w:kinsoku/>
        <w:wordWrap/>
        <w:overflowPunct/>
        <w:topLinePunct w:val="0"/>
        <w:autoSpaceDE/>
        <w:autoSpaceDN/>
        <w:bidi w:val="0"/>
        <w:adjustRightInd/>
        <w:snapToGrid/>
        <w:spacing w:line="540" w:lineRule="atLeast"/>
        <w:ind w:left="0" w:right="0" w:firstLine="643"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sz w:val="32"/>
          <w:szCs w:val="32"/>
        </w:rPr>
        <w:t>1.实施的主要目的：</w:t>
      </w:r>
      <w:r>
        <w:rPr>
          <w:rFonts w:hint="eastAsia" w:ascii="仿宋_GB2312" w:hAnsi="仿宋_GB2312" w:eastAsia="仿宋_GB2312" w:cs="仿宋_GB2312"/>
          <w:kern w:val="0"/>
          <w:sz w:val="32"/>
          <w:szCs w:val="32"/>
          <w:lang w:val="en-US" w:eastAsia="zh-CN"/>
        </w:rPr>
        <w:t>建成社区养老服务综合体是统筹为老服务资源、完善社区养老服务网络、促进服务与需求信息对接、提升养老服务综合管理水平，是满足社区老年人多层次、多样化养老服务需求。</w:t>
      </w:r>
    </w:p>
    <w:p w14:paraId="26F1EBE0">
      <w:pPr>
        <w:suppressAutoHyphens/>
        <w:adjustRightInd w:val="0"/>
        <w:snapToGrid w:val="0"/>
        <w:spacing w:line="60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w:t>
      </w:r>
      <w:r>
        <w:rPr>
          <w:rFonts w:hint="eastAsia" w:ascii="仿宋_GB2312" w:hAnsi="仿宋_GB2312" w:eastAsia="仿宋_GB2312" w:cs="仿宋_GB2312"/>
          <w:b/>
          <w:sz w:val="32"/>
          <w:szCs w:val="32"/>
          <w:lang w:val="zh-CN"/>
        </w:rPr>
        <w:t>项目支持方向</w:t>
      </w:r>
      <w:r>
        <w:rPr>
          <w:rFonts w:hint="eastAsia" w:ascii="仿宋_GB2312" w:hAnsi="仿宋_GB2312" w:eastAsia="仿宋_GB2312" w:cs="仿宋_GB2312"/>
          <w:sz w:val="32"/>
          <w:szCs w:val="32"/>
          <w:lang w:val="zh-CN"/>
        </w:rPr>
        <w:t>：</w:t>
      </w:r>
      <w:r>
        <w:rPr>
          <w:rFonts w:hint="eastAsia" w:ascii="仿宋_GB2312" w:hAnsi="仿宋_GB2312" w:eastAsia="仿宋_GB2312" w:cs="仿宋_GB2312"/>
          <w:kern w:val="0"/>
          <w:sz w:val="32"/>
          <w:szCs w:val="32"/>
          <w:lang w:val="en-US" w:eastAsia="zh-CN"/>
        </w:rPr>
        <w:t>建成社区养老服务综合体是统筹为老服务资源、提升养老服务综合管理水平，</w:t>
      </w:r>
      <w:r>
        <w:rPr>
          <w:rFonts w:hint="eastAsia" w:ascii="仿宋_GB2312" w:hAnsi="仿宋_GB2312" w:eastAsia="仿宋_GB2312" w:cs="仿宋_GB2312"/>
          <w:sz w:val="32"/>
          <w:szCs w:val="32"/>
          <w:lang w:val="en-US" w:eastAsia="zh-CN"/>
        </w:rPr>
        <w:t>满足辖区老人就近，多样化、个性化的养老服务需求</w:t>
      </w:r>
      <w:r>
        <w:rPr>
          <w:rFonts w:hint="eastAsia" w:ascii="仿宋_GB2312" w:hAnsi="仿宋_GB2312" w:eastAsia="仿宋_GB2312" w:cs="仿宋_GB2312"/>
          <w:sz w:val="32"/>
          <w:szCs w:val="32"/>
        </w:rPr>
        <w:t>。</w:t>
      </w:r>
    </w:p>
    <w:p w14:paraId="349D1DA3">
      <w:pPr>
        <w:adjustRightInd w:val="0"/>
        <w:snapToGrid w:val="0"/>
        <w:spacing w:line="600" w:lineRule="exact"/>
        <w:rPr>
          <w:rFonts w:hint="eastAsia" w:ascii="仿宋_GB2312" w:hAnsi="仿宋_GB2312" w:eastAsia="仿宋_GB2312" w:cs="仿宋_GB2312"/>
          <w:sz w:val="32"/>
          <w:szCs w:val="32"/>
          <w:lang w:val="zh-CN"/>
        </w:rPr>
      </w:pPr>
      <w:r>
        <w:rPr>
          <w:rFonts w:hint="default" w:ascii="Times New Roman" w:hAnsi="Times New Roman" w:eastAsia="楷体_GB2312" w:cs="Times New Roman"/>
          <w:b/>
          <w:sz w:val="32"/>
          <w:szCs w:val="32"/>
          <w:lang w:val="zh-CN"/>
        </w:rPr>
        <w:t xml:space="preserve">    （三）</w:t>
      </w:r>
      <w:r>
        <w:rPr>
          <w:rFonts w:hint="default" w:ascii="Times New Roman" w:hAnsi="Times New Roman" w:eastAsia="楷体_GB2312" w:cs="Times New Roman"/>
          <w:b/>
          <w:sz w:val="32"/>
          <w:szCs w:val="32"/>
        </w:rPr>
        <w:t>预算安排及分配管理</w:t>
      </w:r>
      <w:r>
        <w:rPr>
          <w:rFonts w:hint="default" w:ascii="Times New Roman" w:hAnsi="Times New Roman" w:eastAsia="楷体_GB2312" w:cs="Times New Roman"/>
          <w:b/>
          <w:sz w:val="32"/>
          <w:szCs w:val="32"/>
          <w:lang w:val="zh-CN"/>
        </w:rPr>
        <w:t>。</w:t>
      </w:r>
      <w:r>
        <w:rPr>
          <w:rFonts w:hint="eastAsia" w:ascii="仿宋_GB2312" w:hAnsi="仿宋_GB2312" w:eastAsia="仿宋_GB2312" w:cs="仿宋_GB2312"/>
          <w:kern w:val="0"/>
          <w:sz w:val="32"/>
          <w:szCs w:val="32"/>
          <w:lang w:val="en-US" w:eastAsia="zh-CN"/>
        </w:rPr>
        <w:t>该项目总资金190.18万，实际到位资金190.18万元，为省级资金，资金到位率100%，</w:t>
      </w:r>
      <w:r>
        <w:rPr>
          <w:rFonts w:hint="eastAsia" w:ascii="仿宋_GB2312" w:hAnsi="仿宋_GB2312" w:eastAsia="仿宋_GB2312" w:cs="仿宋_GB2312"/>
          <w:kern w:val="0"/>
          <w:sz w:val="32"/>
          <w:szCs w:val="32"/>
          <w:lang w:val="zh-CN" w:eastAsia="zh-CN"/>
        </w:rPr>
        <w:t>主要用于养老综合体项目款，支付进度</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lang w:val="zh-CN" w:eastAsia="zh-CN"/>
        </w:rPr>
        <w:t>支付依据合规合法，资金支付与预算相符。</w:t>
      </w:r>
    </w:p>
    <w:p w14:paraId="5D697F79">
      <w:pPr>
        <w:suppressAutoHyphens/>
        <w:adjustRightInd w:val="0"/>
        <w:snapToGrid w:val="0"/>
        <w:spacing w:line="600" w:lineRule="exact"/>
        <w:ind w:firstLine="643" w:firstLineChars="200"/>
        <w:rPr>
          <w:rFonts w:hint="default" w:ascii="Times New Roman" w:hAnsi="Times New Roman" w:eastAsia="仿宋_GB2312" w:cs="Times New Roman"/>
          <w:kern w:val="0"/>
          <w:sz w:val="32"/>
          <w:szCs w:val="32"/>
          <w:lang w:val="zh-CN"/>
        </w:rPr>
      </w:pPr>
      <w:r>
        <w:rPr>
          <w:rFonts w:hint="default" w:ascii="Times New Roman" w:hAnsi="Times New Roman" w:eastAsia="楷体_GB2312" w:cs="Times New Roman"/>
          <w:b/>
          <w:sz w:val="32"/>
          <w:szCs w:val="32"/>
          <w:lang w:val="zh-CN"/>
        </w:rPr>
        <w:t>（四）项目绩效目标设置。</w:t>
      </w:r>
      <w:r>
        <w:rPr>
          <w:rFonts w:hint="default" w:ascii="Times New Roman" w:hAnsi="Times New Roman" w:eastAsia="仿宋_GB2312" w:cs="Times New Roman"/>
          <w:kern w:val="0"/>
          <w:sz w:val="32"/>
          <w:szCs w:val="32"/>
          <w:lang w:val="zh-CN" w:eastAsia="zh-CN"/>
        </w:rPr>
        <w:t>根据</w:t>
      </w:r>
      <w:r>
        <w:rPr>
          <w:rFonts w:hint="default" w:ascii="Times New Roman" w:hAnsi="Times New Roman" w:eastAsia="仿宋_GB2312" w:cs="Times New Roman"/>
          <w:kern w:val="0"/>
          <w:sz w:val="32"/>
          <w:szCs w:val="32"/>
          <w:lang w:val="en-US" w:eastAsia="zh-CN"/>
        </w:rPr>
        <w:t>养老服务综合体项目目标</w:t>
      </w:r>
      <w:r>
        <w:rPr>
          <w:rFonts w:hint="default" w:ascii="Times New Roman" w:hAnsi="Times New Roman" w:eastAsia="仿宋_GB2312" w:cs="Times New Roman"/>
          <w:kern w:val="0"/>
          <w:sz w:val="32"/>
          <w:szCs w:val="32"/>
          <w:lang w:val="zh-CN" w:eastAsia="zh-CN"/>
        </w:rPr>
        <w:t>，设置了产出、成本、效益和满意度等绩效指标，并对每项绩效指标进行细化分级，开展相关绩效目标的自评工作，经自评相关绩效指标均</w:t>
      </w:r>
      <w:r>
        <w:rPr>
          <w:rFonts w:hint="eastAsia" w:eastAsia="仿宋_GB2312" w:cs="Times New Roman"/>
          <w:kern w:val="0"/>
          <w:sz w:val="32"/>
          <w:szCs w:val="32"/>
          <w:lang w:val="zh-CN" w:eastAsia="zh-CN"/>
        </w:rPr>
        <w:t>已</w:t>
      </w:r>
      <w:r>
        <w:rPr>
          <w:rFonts w:hint="default" w:ascii="Times New Roman" w:hAnsi="Times New Roman" w:eastAsia="仿宋_GB2312" w:cs="Times New Roman"/>
          <w:kern w:val="0"/>
          <w:sz w:val="32"/>
          <w:szCs w:val="32"/>
          <w:lang w:val="zh-CN" w:eastAsia="zh-CN"/>
        </w:rPr>
        <w:t>达到预期目标。</w:t>
      </w:r>
    </w:p>
    <w:p w14:paraId="2C4F9D8C">
      <w:pPr>
        <w:suppressAutoHyphens/>
        <w:adjustRightInd w:val="0"/>
        <w:snapToGrid w:val="0"/>
        <w:spacing w:line="600" w:lineRule="exact"/>
        <w:ind w:firstLine="643" w:firstLineChars="200"/>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二、评价实施</w:t>
      </w:r>
    </w:p>
    <w:p w14:paraId="04BB51CB">
      <w:pPr>
        <w:suppressAutoHyphens/>
        <w:spacing w:line="600" w:lineRule="exact"/>
        <w:ind w:firstLine="640"/>
        <w:rPr>
          <w:rFonts w:hint="default" w:ascii="Times New Roman" w:hAnsi="Times New Roman" w:eastAsia="仿宋_GB2312" w:cs="Times New Roman"/>
          <w:i w:val="0"/>
          <w:caps w:val="0"/>
          <w:color w:val="auto"/>
          <w:spacing w:val="0"/>
          <w:sz w:val="32"/>
          <w:szCs w:val="32"/>
          <w:shd w:val="clear" w:fill="FFFFFF"/>
          <w:lang w:eastAsia="zh-CN"/>
        </w:rPr>
      </w:pPr>
      <w:r>
        <w:rPr>
          <w:rFonts w:hint="default" w:ascii="Times New Roman" w:hAnsi="Times New Roman" w:eastAsia="楷体_GB2312" w:cs="Times New Roman"/>
          <w:b/>
          <w:color w:val="auto"/>
          <w:sz w:val="32"/>
          <w:szCs w:val="32"/>
          <w:lang w:val="zh-CN"/>
        </w:rPr>
        <w:t>（一）评价目的。</w:t>
      </w:r>
      <w:r>
        <w:rPr>
          <w:rFonts w:hint="default" w:ascii="Times New Roman" w:hAnsi="Times New Roman" w:eastAsia="仿宋_GB2312" w:cs="Times New Roman"/>
          <w:kern w:val="0"/>
          <w:sz w:val="32"/>
          <w:szCs w:val="32"/>
          <w:lang w:val="en-US" w:eastAsia="zh-CN"/>
        </w:rPr>
        <w:t>通过建成社区养老服务综合体，打造居家和社区养老服务平台，统筹为老服务资源、完善社区养老服务网络、促进服务与需求信息对接、提升养老服务综合管理水平，满足社区老年人多层次、多样化养老服务需求。</w:t>
      </w:r>
    </w:p>
    <w:p w14:paraId="67C571C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仿宋_GB2312"/>
          <w:kern w:val="0"/>
          <w:sz w:val="32"/>
          <w:szCs w:val="32"/>
        </w:rPr>
      </w:pPr>
      <w:r>
        <w:rPr>
          <w:rFonts w:hint="default" w:ascii="Times New Roman" w:hAnsi="Times New Roman" w:eastAsia="楷体_GB2312" w:cs="Times New Roman"/>
          <w:b/>
          <w:color w:val="auto"/>
          <w:sz w:val="32"/>
          <w:szCs w:val="32"/>
          <w:lang w:val="zh-CN"/>
        </w:rPr>
        <w:t>（二）预设问题及评价重点。</w:t>
      </w:r>
      <w:r>
        <w:rPr>
          <w:rFonts w:hint="eastAsia" w:ascii="仿宋_GB2312" w:hAnsi="仿宋_GB2312" w:eastAsia="仿宋_GB2312" w:cs="仿宋_GB2312"/>
          <w:kern w:val="0"/>
          <w:sz w:val="32"/>
          <w:szCs w:val="32"/>
          <w:lang w:val="zh-CN" w:eastAsia="zh-CN"/>
        </w:rPr>
        <w:t>社区养老综合体项目按《</w:t>
      </w:r>
      <w:r>
        <w:rPr>
          <w:rFonts w:hint="eastAsia" w:ascii="仿宋_GB2312" w:hAnsi="仿宋_GB2312" w:eastAsia="仿宋_GB2312" w:cs="仿宋_GB2312"/>
          <w:kern w:val="0"/>
          <w:sz w:val="32"/>
          <w:szCs w:val="32"/>
          <w:lang w:val="en-US" w:eastAsia="zh-CN"/>
        </w:rPr>
        <w:t>养老综合体项目实施方案</w:t>
      </w:r>
      <w:r>
        <w:rPr>
          <w:rFonts w:hint="eastAsia" w:ascii="仿宋_GB2312" w:hAnsi="仿宋_GB2312" w:eastAsia="仿宋_GB2312" w:cs="仿宋_GB2312"/>
          <w:kern w:val="0"/>
          <w:sz w:val="32"/>
          <w:szCs w:val="32"/>
          <w:lang w:val="zh-CN" w:eastAsia="zh-CN"/>
        </w:rPr>
        <w:t>》</w:t>
      </w:r>
      <w:r>
        <w:rPr>
          <w:rFonts w:hint="eastAsia" w:ascii="仿宋_GB2312" w:hAnsi="仿宋_GB2312" w:eastAsia="仿宋_GB2312" w:cs="仿宋_GB2312"/>
          <w:kern w:val="0"/>
          <w:sz w:val="32"/>
          <w:szCs w:val="32"/>
          <w:lang w:val="en-US" w:eastAsia="zh-CN"/>
        </w:rPr>
        <w:t>实施完成，并已验收。</w:t>
      </w:r>
      <w:r>
        <w:rPr>
          <w:rFonts w:ascii="Times New Roman" w:hAnsi="Times New Roman" w:eastAsia="仿宋_GB2312"/>
          <w:kern w:val="0"/>
          <w:sz w:val="32"/>
          <w:szCs w:val="32"/>
        </w:rPr>
        <w:t>资金支付范围、支付标准、支付进度、支付依据等合规合法、与预算相符，无截留、挤占、挪用情况。</w:t>
      </w:r>
    </w:p>
    <w:p w14:paraId="6584C896">
      <w:pPr>
        <w:adjustRightInd w:val="0"/>
        <w:snapToGrid w:val="0"/>
        <w:spacing w:line="600" w:lineRule="exact"/>
        <w:ind w:firstLine="643" w:firstLineChars="200"/>
        <w:rPr>
          <w:rFonts w:hint="eastAsia" w:ascii="仿宋_GB2312" w:eastAsia="仿宋_GB2312" w:cs="仿宋_GB2312"/>
          <w:kern w:val="0"/>
          <w:sz w:val="32"/>
          <w:szCs w:val="32"/>
          <w:lang w:val="zh-CN" w:eastAsia="zh-CN" w:bidi="ar-SA"/>
        </w:rPr>
      </w:pPr>
      <w:r>
        <w:rPr>
          <w:rFonts w:hint="default" w:ascii="Times New Roman" w:hAnsi="Times New Roman" w:eastAsia="楷体_GB2312" w:cs="Times New Roman"/>
          <w:b/>
          <w:color w:val="auto"/>
          <w:sz w:val="32"/>
          <w:szCs w:val="32"/>
          <w:lang w:val="zh-CN"/>
        </w:rPr>
        <w:t>（三）评价选点。</w:t>
      </w:r>
      <w:bookmarkStart w:id="58" w:name="OLE_LINK27"/>
      <w:bookmarkStart w:id="59" w:name="OLE_LINK28"/>
      <w:r>
        <w:rPr>
          <w:rFonts w:hint="eastAsia" w:ascii="仿宋_GB2312" w:eastAsia="仿宋_GB2312" w:cs="仿宋_GB2312"/>
          <w:kern w:val="0"/>
          <w:sz w:val="32"/>
          <w:szCs w:val="32"/>
          <w:lang w:val="zh-CN" w:eastAsia="zh-CN" w:bidi="ar-SA"/>
        </w:rPr>
        <w:t>本年分别对1—8月及1—12月的项目完成情况进行了两次评价。</w:t>
      </w:r>
    </w:p>
    <w:bookmarkEnd w:id="58"/>
    <w:bookmarkEnd w:id="59"/>
    <w:p w14:paraId="375B24F5">
      <w:pPr>
        <w:spacing w:line="600" w:lineRule="exact"/>
        <w:ind w:firstLine="640"/>
        <w:rPr>
          <w:rFonts w:hint="eastAsia" w:ascii="仿宋_GB2312" w:eastAsia="仿宋_GB2312" w:cs="仿宋_GB2312"/>
          <w:kern w:val="0"/>
          <w:sz w:val="32"/>
          <w:szCs w:val="32"/>
          <w:lang w:val="zh-CN" w:eastAsia="zh-CN" w:bidi="ar-SA"/>
        </w:rPr>
      </w:pPr>
      <w:r>
        <w:rPr>
          <w:rFonts w:hint="default" w:ascii="Times New Roman" w:hAnsi="Times New Roman" w:eastAsia="楷体_GB2312" w:cs="Times New Roman"/>
          <w:b/>
          <w:color w:val="auto"/>
          <w:sz w:val="32"/>
          <w:szCs w:val="32"/>
          <w:lang w:val="zh-CN"/>
        </w:rPr>
        <w:t>（四）评价方法。</w:t>
      </w:r>
      <w:r>
        <w:rPr>
          <w:rFonts w:hint="eastAsia" w:ascii="仿宋_GB2312" w:eastAsia="仿宋_GB2312" w:cs="仿宋_GB2312"/>
          <w:kern w:val="0"/>
          <w:sz w:val="32"/>
          <w:szCs w:val="32"/>
          <w:lang w:bidi="ar-SA"/>
        </w:rPr>
        <w:t>主要采用单位自评法、</w:t>
      </w:r>
      <w:r>
        <w:rPr>
          <w:rFonts w:hint="eastAsia" w:ascii="仿宋_GB2312" w:eastAsia="仿宋_GB2312"/>
          <w:kern w:val="0"/>
          <w:sz w:val="32"/>
          <w:szCs w:val="32"/>
        </w:rPr>
        <w:t>查阅研究法、实地勘察法、座谈调研分析后形成绩效评估报告。</w:t>
      </w:r>
    </w:p>
    <w:p w14:paraId="4839A661">
      <w:pPr>
        <w:suppressAutoHyphens/>
        <w:adjustRightInd w:val="0"/>
        <w:snapToGrid w:val="0"/>
        <w:spacing w:line="600" w:lineRule="exact"/>
        <w:ind w:firstLine="643" w:firstLineChars="20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（五）评价组织。</w:t>
      </w:r>
      <w:r>
        <w:rPr>
          <w:rFonts w:hint="default" w:ascii="Times New Roman" w:hAnsi="Times New Roman" w:eastAsia="仿宋_GB2312" w:cs="Times New Roman"/>
          <w:color w:val="auto"/>
          <w:sz w:val="32"/>
          <w:szCs w:val="32"/>
          <w:lang w:val="zh-CN" w:eastAsia="zh-CN"/>
        </w:rPr>
        <w:t>评价组由</w:t>
      </w:r>
      <w:r>
        <w:rPr>
          <w:rFonts w:hint="eastAsia" w:eastAsia="仿宋_GB2312" w:cs="Times New Roman"/>
          <w:color w:val="auto"/>
          <w:sz w:val="32"/>
          <w:szCs w:val="32"/>
          <w:lang w:val="en-US" w:eastAsia="zh-CN"/>
        </w:rPr>
        <w:t>分管项目领导、分管财务领导、项目股室负责人、社区分管项目工作人员组成。</w:t>
      </w:r>
    </w:p>
    <w:p w14:paraId="306A1B39">
      <w:pPr>
        <w:suppressAutoHyphens/>
        <w:adjustRightInd w:val="0"/>
        <w:snapToGrid w:val="0"/>
        <w:spacing w:line="600" w:lineRule="exact"/>
        <w:ind w:firstLine="315" w:firstLineChars="98"/>
        <w:rPr>
          <w:rFonts w:hint="default" w:ascii="Times New Roman" w:hAnsi="Times New Roman" w:eastAsia="黑体" w:cs="Times New Roman"/>
          <w:b/>
          <w:sz w:val="32"/>
          <w:szCs w:val="32"/>
          <w:lang w:val="zh-CN"/>
        </w:rPr>
      </w:pPr>
      <w:r>
        <w:rPr>
          <w:rFonts w:hint="default" w:ascii="Times New Roman" w:hAnsi="Times New Roman" w:eastAsia="黑体" w:cs="Times New Roman"/>
          <w:b/>
          <w:sz w:val="32"/>
          <w:szCs w:val="32"/>
        </w:rPr>
        <w:t xml:space="preserve">  三、绩效分析</w:t>
      </w:r>
      <w:r>
        <w:rPr>
          <w:rFonts w:hint="default" w:ascii="Times New Roman" w:hAnsi="Times New Roman" w:eastAsia="黑体" w:cs="Times New Roman"/>
          <w:b/>
          <w:sz w:val="32"/>
          <w:szCs w:val="32"/>
          <w:lang w:val="zh-CN"/>
        </w:rPr>
        <w:tab/>
      </w:r>
    </w:p>
    <w:p w14:paraId="00D76DFD">
      <w:pPr>
        <w:ind w:firstLine="643" w:firstLineChars="200"/>
        <w:rPr>
          <w:rFonts w:hint="eastAsia" w:ascii="仿宋_GB2312" w:hAnsi="仿宋_GB2312" w:eastAsia="仿宋_GB2312" w:cs="仿宋_GB2312"/>
          <w:b/>
          <w:lang w:val="zh-CN"/>
        </w:rPr>
      </w:pPr>
      <w:r>
        <w:rPr>
          <w:rFonts w:hint="default" w:ascii="Times New Roman" w:hAnsi="Times New Roman" w:eastAsia="楷体_GB2312" w:cs="Times New Roman"/>
          <w:b/>
          <w:sz w:val="32"/>
          <w:szCs w:val="32"/>
          <w:lang w:val="zh-CN"/>
        </w:rPr>
        <w:t>（一）项目决策。</w:t>
      </w:r>
      <w:r>
        <w:rPr>
          <w:rFonts w:hint="eastAsia" w:ascii="仿宋_GB2312" w:hAnsi="仿宋_GB2312" w:eastAsia="仿宋_GB2312" w:cs="仿宋_GB2312"/>
          <w:sz w:val="32"/>
          <w:szCs w:val="32"/>
          <w:lang w:val="zh-CN"/>
        </w:rPr>
        <w:t>按照中央、省级的统一部署要求，</w:t>
      </w:r>
      <w:r>
        <w:rPr>
          <w:rFonts w:hint="eastAsia" w:ascii="仿宋_GB2312" w:hAnsi="仿宋_GB2312" w:eastAsia="仿宋_GB2312" w:cs="仿宋_GB2312"/>
          <w:sz w:val="32"/>
          <w:szCs w:val="32"/>
          <w:lang w:val="en-US" w:eastAsia="zh-CN"/>
        </w:rPr>
        <w:t>按照《四川省人民政府办公厅关于推进四川养老服务发展的实施意见》(川办发〔2020〕9号)文件精神大力实施居家社区养老服务提质增效工程，为满足辖区老人就近，多样化、个性化的养老服务需求，河门口街道申报实施社区养老服务综合体项目</w:t>
      </w:r>
      <w:r>
        <w:rPr>
          <w:rFonts w:hint="eastAsia" w:ascii="仿宋_GB2312" w:hAnsi="仿宋_GB2312" w:eastAsia="仿宋_GB2312" w:cs="仿宋_GB2312"/>
          <w:sz w:val="32"/>
          <w:szCs w:val="32"/>
        </w:rPr>
        <w:t>。</w:t>
      </w:r>
    </w:p>
    <w:p w14:paraId="3DCAD932">
      <w:pPr>
        <w:ind w:firstLine="643" w:firstLineChars="200"/>
        <w:rPr>
          <w:rFonts w:hint="default" w:ascii="Times New Roman" w:hAnsi="Times New Roman" w:eastAsia="仿宋_GB2312" w:cs="Times New Roman"/>
          <w:kern w:val="0"/>
          <w:sz w:val="32"/>
          <w:szCs w:val="32"/>
          <w:lang w:val="zh-CN"/>
        </w:rPr>
      </w:pPr>
      <w:r>
        <w:rPr>
          <w:rFonts w:hint="default" w:ascii="Times New Roman" w:hAnsi="Times New Roman" w:eastAsia="楷体_GB2312" w:cs="Times New Roman"/>
          <w:b/>
          <w:sz w:val="32"/>
          <w:szCs w:val="32"/>
          <w:lang w:val="zh-CN"/>
        </w:rPr>
        <w:t>（二）项目管理。</w:t>
      </w:r>
      <w:r>
        <w:rPr>
          <w:rFonts w:hint="default" w:ascii="Times New Roman" w:hAnsi="Times New Roman" w:eastAsia="仿宋_GB2312" w:cs="Times New Roman"/>
          <w:kern w:val="0"/>
          <w:sz w:val="32"/>
          <w:szCs w:val="32"/>
          <w:lang w:val="zh-CN" w:eastAsia="zh-CN"/>
        </w:rPr>
        <w:t>该</w:t>
      </w:r>
      <w:r>
        <w:rPr>
          <w:rFonts w:hint="default" w:ascii="Times New Roman" w:hAnsi="Times New Roman" w:eastAsia="仿宋_GB2312" w:cs="Times New Roman"/>
          <w:kern w:val="0"/>
          <w:sz w:val="32"/>
          <w:szCs w:val="32"/>
          <w:lang w:val="en-US" w:eastAsia="zh-CN"/>
        </w:rPr>
        <w:t>项目实施期间</w:t>
      </w:r>
      <w:r>
        <w:rPr>
          <w:rFonts w:hint="default" w:ascii="Times New Roman" w:hAnsi="Times New Roman" w:eastAsia="仿宋_GB2312" w:cs="Times New Roman"/>
          <w:kern w:val="0"/>
          <w:sz w:val="32"/>
          <w:szCs w:val="32"/>
          <w:lang w:val="zh-CN" w:eastAsia="zh-CN"/>
        </w:rPr>
        <w:t>由</w:t>
      </w:r>
      <w:r>
        <w:rPr>
          <w:rFonts w:hint="default" w:ascii="Times New Roman" w:hAnsi="Times New Roman" w:eastAsia="仿宋_GB2312" w:cs="Times New Roman"/>
          <w:kern w:val="0"/>
          <w:sz w:val="32"/>
          <w:szCs w:val="32"/>
          <w:lang w:val="en-US" w:eastAsia="zh-CN"/>
        </w:rPr>
        <w:t>街道、社区</w:t>
      </w:r>
      <w:r>
        <w:rPr>
          <w:rFonts w:hint="default" w:ascii="Times New Roman" w:hAnsi="Times New Roman" w:eastAsia="仿宋_GB2312" w:cs="Times New Roman"/>
          <w:kern w:val="0"/>
          <w:sz w:val="32"/>
          <w:szCs w:val="32"/>
          <w:lang w:val="zh-CN" w:eastAsia="zh-CN"/>
        </w:rPr>
        <w:t>进行监督管理，保障</w:t>
      </w:r>
      <w:r>
        <w:rPr>
          <w:rFonts w:hint="default" w:ascii="Times New Roman" w:hAnsi="Times New Roman" w:eastAsia="仿宋_GB2312" w:cs="Times New Roman"/>
          <w:kern w:val="0"/>
          <w:sz w:val="32"/>
          <w:szCs w:val="32"/>
          <w:lang w:val="en-US" w:eastAsia="zh-CN"/>
        </w:rPr>
        <w:t>项目的正常</w:t>
      </w:r>
      <w:r>
        <w:rPr>
          <w:rFonts w:hint="eastAsia" w:eastAsia="仿宋_GB2312" w:cs="Times New Roman"/>
          <w:kern w:val="0"/>
          <w:sz w:val="32"/>
          <w:szCs w:val="32"/>
          <w:lang w:val="en-US" w:eastAsia="zh-CN"/>
        </w:rPr>
        <w:t>实施</w:t>
      </w:r>
      <w:r>
        <w:rPr>
          <w:rFonts w:hint="default" w:ascii="Times New Roman" w:hAnsi="Times New Roman" w:eastAsia="仿宋_GB2312" w:cs="Times New Roman"/>
          <w:sz w:val="32"/>
          <w:szCs w:val="32"/>
        </w:rPr>
        <w:t>。</w:t>
      </w:r>
      <w:bookmarkStart w:id="74" w:name="_GoBack"/>
      <w:bookmarkEnd w:id="74"/>
    </w:p>
    <w:p w14:paraId="7F03A084">
      <w:pPr>
        <w:spacing w:line="578" w:lineRule="exact"/>
        <w:ind w:firstLine="643" w:firstLineChars="200"/>
        <w:rPr>
          <w:rFonts w:hint="eastAsia" w:ascii="仿宋_GB2312" w:hAnsi="仿宋_GB2312" w:eastAsia="仿宋_GB2312" w:cs="仿宋_GB2312"/>
          <w:sz w:val="32"/>
          <w:szCs w:val="32"/>
          <w:lang w:val="zh-CN"/>
        </w:rPr>
      </w:pPr>
      <w:r>
        <w:rPr>
          <w:rFonts w:hint="default" w:ascii="Times New Roman" w:hAnsi="Times New Roman" w:eastAsia="楷体_GB2312" w:cs="Times New Roman"/>
          <w:b/>
          <w:sz w:val="32"/>
          <w:szCs w:val="32"/>
          <w:lang w:val="zh-CN"/>
        </w:rPr>
        <w:t>（三）项目实施。</w:t>
      </w:r>
      <w:r>
        <w:rPr>
          <w:rStyle w:val="42"/>
          <w:rFonts w:hint="eastAsia" w:ascii="仿宋_GB2312" w:hAnsi="仿宋_GB2312" w:eastAsia="仿宋_GB2312" w:cs="仿宋_GB2312"/>
        </w:rPr>
        <w:t>按照</w:t>
      </w:r>
      <w:r>
        <w:rPr>
          <w:rStyle w:val="42"/>
          <w:rFonts w:hint="eastAsia" w:ascii="仿宋_GB2312" w:hAnsi="仿宋_GB2312" w:eastAsia="仿宋_GB2312" w:cs="仿宋_GB2312"/>
          <w:lang w:eastAsia="zh-CN"/>
        </w:rPr>
        <w:t>项目</w:t>
      </w:r>
      <w:r>
        <w:rPr>
          <w:rStyle w:val="42"/>
          <w:rFonts w:hint="eastAsia" w:ascii="仿宋_GB2312" w:hAnsi="仿宋_GB2312" w:eastAsia="仿宋_GB2312" w:cs="仿宋_GB2312"/>
        </w:rPr>
        <w:t>工作计划分步实施，根据资金预算有计划开展项目工作，有效实施进度。</w:t>
      </w:r>
      <w:r>
        <w:rPr>
          <w:rStyle w:val="42"/>
          <w:rFonts w:hint="eastAsia" w:ascii="仿宋_GB2312" w:hAnsi="仿宋_GB2312" w:eastAsia="仿宋_GB2312" w:cs="仿宋_GB2312"/>
          <w:lang w:val="en-US" w:eastAsia="zh-CN"/>
        </w:rPr>
        <w:t>2023年到位</w:t>
      </w:r>
      <w:r>
        <w:rPr>
          <w:rFonts w:hint="eastAsia" w:ascii="仿宋_GB2312" w:hAnsi="仿宋_GB2312" w:eastAsia="仿宋_GB2312" w:cs="仿宋_GB2312"/>
          <w:kern w:val="0"/>
          <w:sz w:val="32"/>
          <w:szCs w:val="32"/>
          <w:lang w:val="en-US" w:eastAsia="zh-CN"/>
        </w:rPr>
        <w:t>资金190.18万元，</w:t>
      </w:r>
      <w:r>
        <w:rPr>
          <w:rFonts w:hint="eastAsia" w:ascii="仿宋_GB2312" w:hAnsi="仿宋_GB2312" w:eastAsia="仿宋_GB2312" w:cs="仿宋_GB2312"/>
          <w:kern w:val="0"/>
          <w:sz w:val="32"/>
          <w:szCs w:val="32"/>
          <w:lang w:val="zh-CN" w:eastAsia="zh-CN"/>
        </w:rPr>
        <w:t>主要用于支出项目工程款、设备采购款等，支付进度</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lang w:val="zh-CN" w:eastAsia="zh-CN"/>
        </w:rPr>
        <w:t>支付依据合规合法，资金支付与预算相符。</w:t>
      </w:r>
    </w:p>
    <w:p w14:paraId="7976881C">
      <w:pPr>
        <w:ind w:firstLine="643" w:firstLineChars="200"/>
        <w:rPr>
          <w:rFonts w:hint="eastAsia" w:ascii="仿宋_GB2312" w:hAnsi="仿宋_GB2312" w:eastAsia="仿宋_GB2312" w:cs="仿宋_GB2312"/>
          <w:kern w:val="0"/>
          <w:sz w:val="32"/>
          <w:szCs w:val="32"/>
          <w:lang w:val="zh-CN"/>
        </w:rPr>
      </w:pPr>
      <w:r>
        <w:rPr>
          <w:rFonts w:hint="default" w:ascii="Times New Roman" w:hAnsi="Times New Roman" w:eastAsia="楷体_GB2312" w:cs="Times New Roman"/>
          <w:b/>
          <w:sz w:val="32"/>
          <w:szCs w:val="32"/>
          <w:lang w:val="zh-CN"/>
        </w:rPr>
        <w:t>（四）项目结果。</w:t>
      </w:r>
      <w:r>
        <w:rPr>
          <w:rFonts w:hint="eastAsia" w:ascii="仿宋_GB2312" w:hAnsi="仿宋_GB2312" w:eastAsia="仿宋_GB2312" w:cs="仿宋_GB2312"/>
          <w:sz w:val="32"/>
          <w:szCs w:val="32"/>
        </w:rPr>
        <w:t>建成社区养老服务综合体，开发建设“河美颐家”智慧养老服务平台，设置短期照料中心、老年活动中心、康复器械租赁中心、康复器械体验中心、智慧养老服务中心、长者餐厅等功能区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满足辖区老人就近，多样化、个性化的养老服务需求</w:t>
      </w:r>
      <w:r>
        <w:rPr>
          <w:rFonts w:hint="eastAsia" w:ascii="仿宋_GB2312" w:hAnsi="仿宋_GB2312" w:eastAsia="仿宋_GB2312" w:cs="仿宋_GB2312"/>
          <w:sz w:val="32"/>
          <w:szCs w:val="32"/>
        </w:rPr>
        <w:t>。</w:t>
      </w:r>
    </w:p>
    <w:p w14:paraId="1DE68AA2">
      <w:pPr>
        <w:tabs>
          <w:tab w:val="left" w:pos="2160"/>
        </w:tabs>
        <w:suppressAutoHyphens/>
        <w:spacing w:line="600" w:lineRule="exact"/>
        <w:ind w:firstLine="315" w:firstLineChars="98"/>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 xml:space="preserve">  四、评价结论</w:t>
      </w:r>
    </w:p>
    <w:p w14:paraId="4DA31323">
      <w:pPr>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 xml:space="preserve">    社区养老服务综合体是居家</w:t>
      </w:r>
      <w:r>
        <w:rPr>
          <w:rFonts w:hint="eastAsia" w:eastAsia="仿宋_GB2312" w:cs="Times New Roman"/>
          <w:kern w:val="0"/>
          <w:sz w:val="32"/>
          <w:szCs w:val="32"/>
          <w:lang w:val="en-US" w:eastAsia="zh-CN"/>
        </w:rPr>
        <w:t>养老</w:t>
      </w:r>
      <w:r>
        <w:rPr>
          <w:rFonts w:hint="default" w:ascii="Times New Roman" w:hAnsi="Times New Roman" w:eastAsia="仿宋_GB2312" w:cs="Times New Roman"/>
          <w:kern w:val="0"/>
          <w:sz w:val="32"/>
          <w:szCs w:val="32"/>
          <w:lang w:val="en-US" w:eastAsia="zh-CN"/>
        </w:rPr>
        <w:t>和社区养老服务</w:t>
      </w:r>
      <w:r>
        <w:rPr>
          <w:rFonts w:hint="eastAsia" w:eastAsia="仿宋_GB2312" w:cs="Times New Roman"/>
          <w:kern w:val="0"/>
          <w:sz w:val="32"/>
          <w:szCs w:val="32"/>
          <w:lang w:val="en-US" w:eastAsia="zh-CN"/>
        </w:rPr>
        <w:t>的</w:t>
      </w:r>
      <w:r>
        <w:rPr>
          <w:rFonts w:hint="default" w:ascii="Times New Roman" w:hAnsi="Times New Roman" w:eastAsia="仿宋_GB2312" w:cs="Times New Roman"/>
          <w:kern w:val="0"/>
          <w:sz w:val="32"/>
          <w:szCs w:val="32"/>
          <w:lang w:val="en-US" w:eastAsia="zh-CN"/>
        </w:rPr>
        <w:t>平台，统筹为老服务资源、完善社区养老服务网络、促进服务与需求信息对接、提升养老服务综合管理水平</w:t>
      </w:r>
      <w:r>
        <w:rPr>
          <w:rFonts w:hint="eastAsia" w:eastAsia="仿宋_GB2312" w:cs="Times New Roman"/>
          <w:kern w:val="0"/>
          <w:sz w:val="32"/>
          <w:szCs w:val="32"/>
          <w:lang w:val="en-US" w:eastAsia="zh-CN"/>
        </w:rPr>
        <w:t>，取得了良好的社会效益。</w:t>
      </w:r>
    </w:p>
    <w:p w14:paraId="1BD71EE2">
      <w:pPr>
        <w:numPr>
          <w:ilvl w:val="0"/>
          <w:numId w:val="0"/>
        </w:numPr>
        <w:tabs>
          <w:tab w:val="left" w:pos="2160"/>
        </w:tabs>
        <w:suppressAutoHyphens/>
        <w:spacing w:line="600" w:lineRule="exact"/>
        <w:ind w:left="640" w:leftChars="0"/>
        <w:rPr>
          <w:rFonts w:hint="default" w:ascii="Times New Roman" w:hAnsi="Times New Roman" w:eastAsia="黑体" w:cs="Times New Roman"/>
          <w:b/>
          <w:color w:val="auto"/>
          <w:sz w:val="32"/>
          <w:szCs w:val="32"/>
          <w:lang w:eastAsia="zh-CN"/>
        </w:rPr>
      </w:pPr>
      <w:r>
        <w:rPr>
          <w:rFonts w:hint="eastAsia" w:ascii="Times New Roman" w:hAnsi="Times New Roman" w:eastAsia="黑体" w:cs="Times New Roman"/>
          <w:b/>
          <w:color w:val="auto"/>
          <w:sz w:val="32"/>
          <w:szCs w:val="32"/>
          <w:lang w:val="en-US" w:eastAsia="zh-CN"/>
        </w:rPr>
        <w:t>五、</w:t>
      </w:r>
      <w:r>
        <w:rPr>
          <w:rFonts w:hint="default" w:ascii="Times New Roman" w:hAnsi="Times New Roman" w:eastAsia="黑体" w:cs="Times New Roman"/>
          <w:b/>
          <w:color w:val="auto"/>
          <w:sz w:val="32"/>
          <w:szCs w:val="32"/>
          <w:lang w:eastAsia="zh-CN"/>
        </w:rPr>
        <w:t>存在问题</w:t>
      </w:r>
    </w:p>
    <w:p w14:paraId="2A5FCAE3">
      <w:pPr>
        <w:pStyle w:val="10"/>
        <w:numPr>
          <w:ilvl w:val="0"/>
          <w:numId w:val="0"/>
        </w:numPr>
        <w:ind w:left="640" w:leftChars="0"/>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无</w:t>
      </w:r>
    </w:p>
    <w:p w14:paraId="7D20EBC0">
      <w:pPr>
        <w:pStyle w:val="10"/>
        <w:numPr>
          <w:ilvl w:val="0"/>
          <w:numId w:val="0"/>
        </w:numPr>
        <w:ind w:left="640" w:leftChars="0"/>
        <w:rPr>
          <w:rFonts w:hint="default" w:ascii="Times New Roman" w:hAnsi="Times New Roman" w:eastAsia="黑体" w:cs="Times New Roman"/>
          <w:b/>
          <w:color w:val="auto"/>
          <w:kern w:val="0"/>
          <w:position w:val="3"/>
          <w:sz w:val="32"/>
          <w:szCs w:val="32"/>
          <w:lang w:val="zh-CN"/>
        </w:rPr>
      </w:pPr>
      <w:r>
        <w:rPr>
          <w:rFonts w:hint="default" w:ascii="Times New Roman" w:hAnsi="Times New Roman" w:eastAsia="黑体" w:cs="Times New Roman"/>
          <w:b/>
          <w:color w:val="auto"/>
          <w:kern w:val="0"/>
          <w:position w:val="3"/>
          <w:sz w:val="32"/>
          <w:szCs w:val="32"/>
          <w:lang w:val="zh-CN"/>
        </w:rPr>
        <w:t>六、改进建议</w:t>
      </w:r>
    </w:p>
    <w:p w14:paraId="66EC0190">
      <w:pPr>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FF0000"/>
          <w:kern w:val="0"/>
          <w:sz w:val="32"/>
          <w:szCs w:val="32"/>
        </w:rPr>
        <w:t xml:space="preserve">   </w:t>
      </w:r>
      <w:r>
        <w:rPr>
          <w:rFonts w:hint="default" w:ascii="Times New Roman" w:hAnsi="Times New Roman" w:eastAsia="仿宋_GB2312" w:cs="Times New Roman"/>
          <w:color w:val="FF0000"/>
          <w:kern w:val="0"/>
          <w:sz w:val="32"/>
          <w:szCs w:val="32"/>
          <w:lang w:val="en-US" w:eastAsia="zh-CN"/>
        </w:rPr>
        <w:t xml:space="preserve"> </w:t>
      </w:r>
      <w:r>
        <w:rPr>
          <w:rFonts w:hint="default" w:ascii="Times New Roman" w:hAnsi="Times New Roman" w:eastAsia="仿宋_GB2312" w:cs="Times New Roman"/>
          <w:kern w:val="0"/>
          <w:sz w:val="32"/>
          <w:szCs w:val="32"/>
        </w:rPr>
        <w:t>下一步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将以社区养老服务综合体为契机</w:t>
      </w:r>
      <w:r>
        <w:rPr>
          <w:rFonts w:hint="default" w:ascii="Times New Roman" w:hAnsi="Times New Roman" w:eastAsia="仿宋_GB2312" w:cs="Times New Roman"/>
          <w:kern w:val="0"/>
          <w:sz w:val="32"/>
          <w:szCs w:val="32"/>
        </w:rPr>
        <w:t>，进一步</w:t>
      </w:r>
      <w:r>
        <w:rPr>
          <w:rFonts w:hint="default" w:ascii="Times New Roman" w:hAnsi="Times New Roman" w:eastAsia="仿宋_GB2312" w:cs="Times New Roman"/>
          <w:kern w:val="0"/>
          <w:sz w:val="32"/>
          <w:szCs w:val="32"/>
          <w:lang w:val="en-US" w:eastAsia="zh-CN"/>
        </w:rPr>
        <w:t>强化为老服务能力</w:t>
      </w:r>
      <w:r>
        <w:rPr>
          <w:rFonts w:hint="default" w:ascii="Times New Roman" w:hAnsi="Times New Roman" w:eastAsia="仿宋_GB2312" w:cs="Times New Roman"/>
          <w:kern w:val="0"/>
          <w:sz w:val="32"/>
          <w:szCs w:val="32"/>
        </w:rPr>
        <w:t>，使更多的老年人受益于</w:t>
      </w:r>
      <w:r>
        <w:rPr>
          <w:rFonts w:hint="default" w:ascii="Times New Roman" w:hAnsi="Times New Roman" w:eastAsia="仿宋_GB2312" w:cs="Times New Roman"/>
          <w:kern w:val="0"/>
          <w:sz w:val="32"/>
          <w:szCs w:val="32"/>
          <w:lang w:val="en-US" w:eastAsia="zh-CN"/>
        </w:rPr>
        <w:t>养老服务综合体</w:t>
      </w:r>
      <w:r>
        <w:rPr>
          <w:rFonts w:hint="default" w:ascii="Times New Roman" w:hAnsi="Times New Roman" w:eastAsia="仿宋_GB2312" w:cs="Times New Roman"/>
          <w:kern w:val="0"/>
          <w:sz w:val="32"/>
          <w:szCs w:val="32"/>
        </w:rPr>
        <w:t>项目</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满足社区老年人居家养老</w:t>
      </w:r>
      <w:r>
        <w:rPr>
          <w:rFonts w:hint="eastAsia" w:eastAsia="仿宋_GB2312" w:cs="Times New Roman"/>
          <w:kern w:val="0"/>
          <w:sz w:val="32"/>
          <w:szCs w:val="32"/>
          <w:lang w:val="en-US" w:eastAsia="zh-CN"/>
        </w:rPr>
        <w:t>、社区养老</w:t>
      </w:r>
      <w:r>
        <w:rPr>
          <w:rFonts w:hint="default" w:ascii="Times New Roman" w:hAnsi="Times New Roman" w:eastAsia="仿宋_GB2312" w:cs="Times New Roman"/>
          <w:kern w:val="0"/>
          <w:sz w:val="32"/>
          <w:szCs w:val="32"/>
          <w:lang w:val="en-US" w:eastAsia="zh-CN"/>
        </w:rPr>
        <w:t>服务需求。</w:t>
      </w:r>
    </w:p>
    <w:p w14:paraId="4547B70C">
      <w:pPr>
        <w:rPr>
          <w:rFonts w:hint="default" w:ascii="Times New Roman" w:hAnsi="Times New Roman" w:eastAsia="仿宋_GB2312" w:cs="Times New Roman"/>
          <w:color w:val="FF0000"/>
          <w:kern w:val="0"/>
          <w:sz w:val="32"/>
          <w:szCs w:val="32"/>
          <w:lang w:val="en-US" w:eastAsia="zh-CN"/>
        </w:rPr>
      </w:pPr>
    </w:p>
    <w:p w14:paraId="0324612E">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zh-CN"/>
        </w:rPr>
      </w:pPr>
    </w:p>
    <w:bookmarkEnd w:id="56"/>
    <w:p w14:paraId="074FCB4B">
      <w:pPr>
        <w:pageBreakBefore w:val="0"/>
        <w:tabs>
          <w:tab w:val="left" w:pos="1911"/>
        </w:tabs>
        <w:suppressAutoHyphens/>
        <w:kinsoku/>
        <w:wordWrap/>
        <w:topLinePunct w:val="0"/>
        <w:bidi w:val="0"/>
        <w:spacing w:line="560" w:lineRule="exact"/>
        <w:jc w:val="left"/>
        <w:textAlignment w:val="auto"/>
        <w:rPr>
          <w:rFonts w:hint="default" w:ascii="Times New Roman" w:hAnsi="Times New Roman" w:eastAsia="仿宋_GB2312" w:cs="Times New Roman"/>
          <w:kern w:val="0"/>
          <w:sz w:val="32"/>
          <w:szCs w:val="32"/>
        </w:rPr>
      </w:pPr>
      <w:bookmarkStart w:id="60" w:name="_Toc15396618"/>
    </w:p>
    <w:p w14:paraId="5939D9F0">
      <w:pPr>
        <w:pageBreakBefore w:val="0"/>
        <w:suppressAutoHyphens/>
        <w:kinsoku/>
        <w:wordWrap/>
        <w:topLinePunct w:val="0"/>
        <w:bidi w:val="0"/>
        <w:snapToGrid w:val="0"/>
        <w:spacing w:line="560" w:lineRule="exact"/>
        <w:ind w:firstLine="420" w:firstLineChars="200"/>
        <w:textAlignment w:val="auto"/>
        <w:rPr>
          <w:rFonts w:hint="default" w:ascii="Times New Roman" w:hAnsi="Times New Roman" w:eastAsia="仿宋_GB2312" w:cs="Times New Roman"/>
          <w:color w:val="000000"/>
          <w:kern w:val="0"/>
          <w:szCs w:val="32"/>
          <w:shd w:val="clear" w:color="auto" w:fill="FFFFFF"/>
          <w:lang w:val="zh-CN"/>
        </w:rPr>
      </w:pPr>
    </w:p>
    <w:p w14:paraId="54E1F7F0">
      <w:pPr>
        <w:pageBreakBefore w:val="0"/>
        <w:suppressAutoHyphens/>
        <w:kinsoku/>
        <w:wordWrap/>
        <w:topLinePunct w:val="0"/>
        <w:autoSpaceDE w:val="0"/>
        <w:autoSpaceDN w:val="0"/>
        <w:bidi w:val="0"/>
        <w:adjustRightInd w:val="0"/>
        <w:spacing w:line="560" w:lineRule="exact"/>
        <w:textAlignment w:val="auto"/>
        <w:rPr>
          <w:rFonts w:hint="default" w:ascii="Times New Roman" w:hAnsi="Times New Roman" w:eastAsia="仿宋_GB2312" w:cs="Times New Roman"/>
          <w:b/>
          <w:sz w:val="32"/>
          <w:szCs w:val="32"/>
        </w:rPr>
      </w:pPr>
    </w:p>
    <w:p w14:paraId="3ED19214">
      <w:pPr>
        <w:pStyle w:val="10"/>
        <w:pageBreakBefore w:val="0"/>
        <w:kinsoku/>
        <w:wordWrap/>
        <w:topLinePunct w:val="0"/>
        <w:bidi w:val="0"/>
        <w:spacing w:beforeLines="0" w:line="560" w:lineRule="exact"/>
        <w:jc w:val="left"/>
        <w:textAlignment w:val="auto"/>
        <w:rPr>
          <w:rFonts w:hint="default" w:ascii="Times New Roman" w:hAnsi="Times New Roman" w:eastAsia="黑体" w:cs="Times New Roman"/>
          <w:sz w:val="32"/>
          <w:szCs w:val="32"/>
          <w:shd w:val="clear" w:color="auto" w:fill="FFFFFF"/>
          <w:lang w:val="en-US" w:eastAsia="zh-CN"/>
        </w:rPr>
      </w:pPr>
      <w:r>
        <w:rPr>
          <w:rFonts w:hint="default" w:ascii="Times New Roman" w:hAnsi="Times New Roman" w:eastAsia="黑体" w:cs="Times New Roman"/>
          <w:sz w:val="32"/>
          <w:szCs w:val="32"/>
          <w:shd w:val="clear" w:color="auto" w:fill="FFFFFF"/>
          <w:lang w:val="zh-CN"/>
        </w:rPr>
        <w:t>附件2</w:t>
      </w:r>
      <w:r>
        <w:rPr>
          <w:rFonts w:hint="eastAsia" w:ascii="Times New Roman" w:hAnsi="Times New Roman" w:eastAsia="黑体" w:cs="Times New Roman"/>
          <w:sz w:val="32"/>
          <w:szCs w:val="32"/>
          <w:shd w:val="clear" w:color="auto" w:fill="FFFFFF"/>
          <w:lang w:val="en-US" w:eastAsia="zh-CN"/>
        </w:rPr>
        <w:t>-</w:t>
      </w:r>
      <w:r>
        <w:rPr>
          <w:rFonts w:hint="eastAsia" w:ascii="Times New Roman" w:eastAsia="黑体" w:cs="Times New Roman"/>
          <w:sz w:val="32"/>
          <w:szCs w:val="32"/>
          <w:shd w:val="clear" w:color="auto" w:fill="FFFFFF"/>
          <w:lang w:val="en-US" w:eastAsia="zh-CN"/>
        </w:rPr>
        <w:t>2</w:t>
      </w:r>
    </w:p>
    <w:p w14:paraId="41D96E28">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方正小标宋_GBK" w:hAnsi="方正小标宋_GBK" w:eastAsia="方正小标宋_GBK" w:cs="方正小标宋_GBK"/>
          <w:kern w:val="0"/>
          <w:sz w:val="44"/>
          <w:szCs w:val="44"/>
          <w:lang w:val="en-US" w:eastAsia="zh-CN"/>
        </w:rPr>
      </w:pPr>
      <w:r>
        <w:rPr>
          <w:rFonts w:hint="default" w:ascii="方正小标宋_GBK" w:hAnsi="方正小标宋_GBK" w:eastAsia="方正小标宋_GBK" w:cs="方正小标宋_GBK"/>
          <w:kern w:val="0"/>
          <w:sz w:val="44"/>
          <w:szCs w:val="44"/>
          <w:lang w:val="en-US" w:eastAsia="zh-CN"/>
        </w:rPr>
        <w:t>河门口老旧小区公共服务活动中心改造项目</w:t>
      </w:r>
    </w:p>
    <w:p w14:paraId="676DFE76">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方正小标宋_GBK" w:hAnsi="方正小标宋_GBK" w:eastAsia="方正小标宋_GBK" w:cs="方正小标宋_GBK"/>
          <w:kern w:val="0"/>
          <w:sz w:val="44"/>
          <w:szCs w:val="44"/>
          <w:lang w:eastAsia="zh-CN"/>
        </w:rPr>
      </w:pPr>
      <w:r>
        <w:rPr>
          <w:rFonts w:hint="default" w:ascii="方正小标宋_GBK" w:hAnsi="方正小标宋_GBK" w:eastAsia="方正小标宋_GBK" w:cs="方正小标宋_GBK"/>
          <w:kern w:val="0"/>
          <w:sz w:val="44"/>
          <w:szCs w:val="44"/>
          <w:lang w:val="en-US" w:eastAsia="zh-CN"/>
        </w:rPr>
        <w:t>资金</w:t>
      </w:r>
      <w:r>
        <w:rPr>
          <w:rFonts w:hint="default" w:ascii="方正小标宋_GBK" w:hAnsi="方正小标宋_GBK" w:eastAsia="方正小标宋_GBK" w:cs="方正小标宋_GBK"/>
          <w:kern w:val="0"/>
          <w:sz w:val="44"/>
          <w:szCs w:val="44"/>
          <w:lang w:eastAsia="zh-CN"/>
        </w:rPr>
        <w:t>绩效评价报告</w:t>
      </w:r>
    </w:p>
    <w:p w14:paraId="62477091">
      <w:pPr>
        <w:suppressAutoHyphens/>
        <w:spacing w:line="578" w:lineRule="exact"/>
        <w:ind w:firstLine="640"/>
        <w:jc w:val="center"/>
        <w:rPr>
          <w:rFonts w:hint="default" w:ascii="Times New Roman" w:hAnsi="Times New Roman" w:eastAsia="仿宋_GB2312" w:cs="Times New Roman"/>
          <w:sz w:val="32"/>
          <w:szCs w:val="32"/>
          <w:lang w:val="zh-CN"/>
        </w:rPr>
      </w:pPr>
    </w:p>
    <w:p w14:paraId="1A301FBD">
      <w:pPr>
        <w:suppressAutoHyphens/>
        <w:adjustRightInd w:val="0"/>
        <w:snapToGrid w:val="0"/>
        <w:spacing w:line="600" w:lineRule="exact"/>
        <w:ind w:firstLine="643" w:firstLineChars="200"/>
        <w:rPr>
          <w:rFonts w:hint="default" w:ascii="Times New Roman" w:hAnsi="Times New Roman" w:eastAsia="黑体" w:cs="Times New Roman"/>
          <w:b/>
          <w:sz w:val="32"/>
          <w:szCs w:val="32"/>
          <w:lang w:val="zh-CN"/>
        </w:rPr>
      </w:pPr>
      <w:r>
        <w:rPr>
          <w:rFonts w:hint="default" w:ascii="Times New Roman" w:hAnsi="Times New Roman" w:eastAsia="黑体" w:cs="Times New Roman"/>
          <w:b/>
          <w:sz w:val="32"/>
          <w:szCs w:val="32"/>
        </w:rPr>
        <w:t>一、</w:t>
      </w:r>
      <w:r>
        <w:rPr>
          <w:rFonts w:hint="default" w:ascii="Times New Roman" w:hAnsi="Times New Roman" w:eastAsia="黑体" w:cs="Times New Roman"/>
          <w:b/>
          <w:sz w:val="32"/>
          <w:szCs w:val="32"/>
          <w:lang w:val="zh-CN"/>
        </w:rPr>
        <w:t>项目概况</w:t>
      </w:r>
    </w:p>
    <w:p w14:paraId="4DD584E4">
      <w:pPr>
        <w:adjustRightInd w:val="0"/>
        <w:snapToGrid w:val="0"/>
        <w:spacing w:line="600" w:lineRule="exact"/>
        <w:rPr>
          <w:rFonts w:hint="default" w:ascii="Times New Roman" w:hAnsi="Times New Roman" w:eastAsia="楷体_GB2312" w:cs="Times New Roman"/>
          <w:sz w:val="32"/>
          <w:szCs w:val="32"/>
          <w:lang w:val="zh-CN"/>
        </w:rPr>
      </w:pPr>
      <w:r>
        <w:rPr>
          <w:rFonts w:hint="default" w:ascii="Times New Roman" w:hAnsi="Times New Roman" w:eastAsia="楷体_GB2312" w:cs="Times New Roman"/>
          <w:b/>
          <w:sz w:val="32"/>
          <w:szCs w:val="32"/>
          <w:lang w:val="zh-CN"/>
        </w:rPr>
        <w:t xml:space="preserve">   （一）设立背景及基本情况。</w:t>
      </w:r>
    </w:p>
    <w:p w14:paraId="24B9C5C9">
      <w:pPr>
        <w:suppressAutoHyphens/>
        <w:adjustRightInd w:val="0"/>
        <w:snapToGrid w:val="0"/>
        <w:spacing w:line="600" w:lineRule="exact"/>
        <w:ind w:firstLine="64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rPr>
        <w:t>1.</w:t>
      </w:r>
      <w:r>
        <w:rPr>
          <w:rFonts w:hint="default" w:ascii="Times New Roman" w:hAnsi="Times New Roman" w:eastAsia="仿宋_GB2312" w:cs="Times New Roman"/>
          <w:b/>
          <w:sz w:val="32"/>
          <w:szCs w:val="32"/>
          <w:lang w:val="zh-CN"/>
        </w:rPr>
        <w:t>项目主要内容</w:t>
      </w:r>
      <w:r>
        <w:rPr>
          <w:rFonts w:hint="default" w:ascii="Times New Roman" w:hAnsi="Times New Roman" w:eastAsia="仿宋_GB2312" w:cs="Times New Roman"/>
          <w:sz w:val="32"/>
          <w:szCs w:val="32"/>
          <w:lang w:val="zh-CN"/>
        </w:rPr>
        <w:t>：按照中央、省级的统一部署要求，将资金用于支持</w:t>
      </w:r>
      <w:r>
        <w:rPr>
          <w:rFonts w:hint="default" w:ascii="Times New Roman" w:hAnsi="Times New Roman" w:eastAsia="仿宋_GB2312" w:cs="Times New Roman"/>
          <w:sz w:val="32"/>
          <w:szCs w:val="32"/>
          <w:lang w:val="zh-CN" w:eastAsia="zh-CN"/>
        </w:rPr>
        <w:t>辖区老旧小区改造，利用周边广场、文化站（室）等改造集中活动场地，完善背水小道及周边人行道、绿化、照明等基础设施。</w:t>
      </w:r>
    </w:p>
    <w:p w14:paraId="3C3493CB">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zh-CN"/>
        </w:rPr>
        <w:t>2.</w:t>
      </w:r>
      <w:r>
        <w:rPr>
          <w:rFonts w:hint="default" w:ascii="Times New Roman" w:hAnsi="Times New Roman" w:eastAsia="仿宋_GB2312" w:cs="Times New Roman"/>
          <w:b/>
          <w:sz w:val="32"/>
          <w:szCs w:val="32"/>
          <w:lang w:val="zh-CN"/>
        </w:rPr>
        <w:t>资金申报依据</w:t>
      </w:r>
      <w:r>
        <w:rPr>
          <w:rFonts w:hint="default" w:ascii="Times New Roman" w:hAnsi="Times New Roman" w:eastAsia="仿宋_GB2312" w:cs="Times New Roman"/>
          <w:sz w:val="32"/>
          <w:szCs w:val="32"/>
          <w:lang w:val="zh-CN"/>
        </w:rPr>
        <w:t>：</w:t>
      </w:r>
      <w:r>
        <w:rPr>
          <w:rFonts w:hint="eastAsia" w:ascii="仿宋_GB2312" w:hAnsi="仿宋_GB2312" w:eastAsia="仿宋_GB2312" w:cs="仿宋_GB2312"/>
          <w:sz w:val="32"/>
          <w:szCs w:val="32"/>
          <w:lang w:val="zh-CN"/>
        </w:rPr>
        <w:t>根据《四川省城镇保障性安居工程专项资金管理办法》（川财综〔2019〕23号）文件</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2020年4月28日</w:t>
      </w:r>
      <w:r>
        <w:rPr>
          <w:rFonts w:hint="eastAsia" w:ascii="仿宋_GB2312" w:hAnsi="仿宋_GB2312" w:eastAsia="仿宋_GB2312" w:cs="仿宋_GB2312"/>
          <w:sz w:val="32"/>
          <w:szCs w:val="32"/>
          <w:lang w:val="zh-CN"/>
        </w:rPr>
        <w:t>经区政府十一届第65次常务会审议通过后实施</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项目实施过程严格按照程序开展，资金支付符合资金管理办法等相关规定。</w:t>
      </w:r>
    </w:p>
    <w:p w14:paraId="18A38257">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3.</w:t>
      </w:r>
      <w:r>
        <w:rPr>
          <w:rFonts w:hint="default" w:ascii="Times New Roman" w:hAnsi="Times New Roman" w:eastAsia="仿宋_GB2312" w:cs="Times New Roman"/>
          <w:b/>
          <w:sz w:val="32"/>
          <w:szCs w:val="32"/>
          <w:lang w:val="zh-CN"/>
        </w:rPr>
        <w:t>主管部门职能</w:t>
      </w:r>
      <w:r>
        <w:rPr>
          <w:rFonts w:hint="default" w:ascii="Times New Roman" w:hAnsi="Times New Roman" w:eastAsia="仿宋_GB2312" w:cs="Times New Roman"/>
          <w:sz w:val="32"/>
          <w:szCs w:val="32"/>
          <w:lang w:val="zh-CN"/>
        </w:rPr>
        <w:t>：负责监督资金使用的合规性，</w:t>
      </w:r>
      <w:r>
        <w:rPr>
          <w:rFonts w:hint="default" w:ascii="Times New Roman" w:hAnsi="Times New Roman" w:eastAsia="仿宋_GB2312" w:cs="Times New Roman"/>
          <w:kern w:val="0"/>
          <w:sz w:val="32"/>
          <w:szCs w:val="32"/>
          <w:lang w:val="zh-CN" w:eastAsia="zh-CN"/>
        </w:rPr>
        <w:t>评价</w:t>
      </w:r>
      <w:r>
        <w:rPr>
          <w:rFonts w:hint="default" w:ascii="Times New Roman" w:hAnsi="Times New Roman" w:eastAsia="仿宋_GB2312" w:cs="Times New Roman"/>
          <w:kern w:val="0"/>
          <w:sz w:val="32"/>
          <w:szCs w:val="32"/>
          <w:lang w:val="en-US" w:eastAsia="zh-CN"/>
        </w:rPr>
        <w:t>项目</w:t>
      </w:r>
      <w:r>
        <w:rPr>
          <w:rFonts w:hint="default" w:ascii="Times New Roman" w:hAnsi="Times New Roman" w:eastAsia="仿宋_GB2312" w:cs="Times New Roman"/>
          <w:kern w:val="0"/>
          <w:sz w:val="32"/>
          <w:szCs w:val="32"/>
          <w:lang w:val="zh-CN" w:eastAsia="zh-CN"/>
        </w:rPr>
        <w:t>工作的及时性和有效性。</w:t>
      </w:r>
    </w:p>
    <w:p w14:paraId="12E87FF7">
      <w:pPr>
        <w:suppressAutoHyphens/>
        <w:adjustRightInd w:val="0"/>
        <w:snapToGrid w:val="0"/>
        <w:spacing w:line="600" w:lineRule="exact"/>
        <w:ind w:firstLine="321" w:firstLineChars="100"/>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lang w:val="zh-CN"/>
        </w:rPr>
        <w:t>（二）</w:t>
      </w:r>
      <w:r>
        <w:rPr>
          <w:rFonts w:hint="default" w:ascii="Times New Roman" w:hAnsi="Times New Roman" w:eastAsia="楷体_GB2312" w:cs="Times New Roman"/>
          <w:b/>
          <w:sz w:val="32"/>
          <w:szCs w:val="32"/>
        </w:rPr>
        <w:t>实施目的及支持方向。</w:t>
      </w:r>
    </w:p>
    <w:p w14:paraId="5ED23E7F">
      <w:pPr>
        <w:suppressAutoHyphens/>
        <w:adjustRightInd w:val="0"/>
        <w:snapToGrid w:val="0"/>
        <w:spacing w:line="600" w:lineRule="exact"/>
        <w:ind w:firstLine="643"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b/>
          <w:sz w:val="32"/>
          <w:szCs w:val="32"/>
        </w:rPr>
        <w:t>1.实施的主要目的：</w:t>
      </w:r>
      <w:r>
        <w:rPr>
          <w:rFonts w:hint="default" w:ascii="Times New Roman" w:hAnsi="Times New Roman" w:eastAsia="仿宋_GB2312" w:cs="Times New Roman"/>
          <w:sz w:val="32"/>
          <w:szCs w:val="32"/>
          <w:lang w:val="zh-CN"/>
        </w:rPr>
        <w:t>打造小区居民集中活动场地，方便小区居民集中活动。</w:t>
      </w:r>
    </w:p>
    <w:p w14:paraId="41822C4A">
      <w:pPr>
        <w:suppressAutoHyphens/>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2.</w:t>
      </w:r>
      <w:r>
        <w:rPr>
          <w:rFonts w:hint="default" w:ascii="Times New Roman" w:hAnsi="Times New Roman" w:eastAsia="仿宋_GB2312" w:cs="Times New Roman"/>
          <w:b/>
          <w:sz w:val="32"/>
          <w:szCs w:val="32"/>
          <w:lang w:val="zh-CN"/>
        </w:rPr>
        <w:t>项目支持方向</w:t>
      </w:r>
      <w:r>
        <w:rPr>
          <w:rFonts w:hint="default" w:ascii="Times New Roman" w:hAnsi="Times New Roman" w:eastAsia="仿宋_GB2312" w:cs="Times New Roman"/>
          <w:sz w:val="32"/>
          <w:szCs w:val="32"/>
          <w:lang w:val="zh-CN"/>
        </w:rPr>
        <w:t>：支持城镇老旧小区改造，打造居民集中活动场地，完善基础设施，便于居民开展活动。</w:t>
      </w:r>
    </w:p>
    <w:p w14:paraId="10FF18E8">
      <w:pPr>
        <w:adjustRightInd w:val="0"/>
        <w:snapToGrid w:val="0"/>
        <w:spacing w:line="600" w:lineRule="exact"/>
        <w:rPr>
          <w:rFonts w:hint="eastAsia" w:ascii="仿宋_GB2312" w:hAnsi="仿宋_GB2312" w:eastAsia="仿宋_GB2312" w:cs="仿宋_GB2312"/>
          <w:sz w:val="32"/>
          <w:szCs w:val="32"/>
          <w:lang w:val="zh-CN"/>
        </w:rPr>
      </w:pPr>
      <w:r>
        <w:rPr>
          <w:rFonts w:hint="default" w:ascii="Times New Roman" w:hAnsi="Times New Roman" w:eastAsia="楷体_GB2312" w:cs="Times New Roman"/>
          <w:b/>
          <w:sz w:val="32"/>
          <w:szCs w:val="32"/>
          <w:lang w:val="zh-CN"/>
        </w:rPr>
        <w:t xml:space="preserve">    （三）</w:t>
      </w:r>
      <w:r>
        <w:rPr>
          <w:rFonts w:hint="default" w:ascii="Times New Roman" w:hAnsi="Times New Roman" w:eastAsia="楷体_GB2312" w:cs="Times New Roman"/>
          <w:b/>
          <w:sz w:val="32"/>
          <w:szCs w:val="32"/>
        </w:rPr>
        <w:t>预算安排及分配管理</w:t>
      </w:r>
      <w:r>
        <w:rPr>
          <w:rFonts w:hint="default" w:ascii="Times New Roman" w:hAnsi="Times New Roman" w:eastAsia="楷体_GB2312" w:cs="Times New Roman"/>
          <w:b/>
          <w:sz w:val="32"/>
          <w:szCs w:val="32"/>
          <w:lang w:val="zh-CN"/>
        </w:rPr>
        <w:t>。</w:t>
      </w:r>
      <w:r>
        <w:rPr>
          <w:rFonts w:hint="eastAsia" w:ascii="仿宋_GB2312" w:hAnsi="仿宋_GB2312" w:eastAsia="仿宋_GB2312" w:cs="仿宋_GB2312"/>
          <w:sz w:val="32"/>
          <w:szCs w:val="32"/>
          <w:lang w:val="zh-CN"/>
        </w:rPr>
        <w:t>该项目截至评价时实际到位资金</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lang w:val="zh-CN"/>
        </w:rPr>
        <w:t>万元，到位率100%。该项目截至评价时项目资金已支出</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lang w:val="zh-CN"/>
        </w:rPr>
        <w:t>万元。资金支付符合相关规定，资金支付与预算相符，不存在无预算超预算支出的情况。</w:t>
      </w:r>
    </w:p>
    <w:p w14:paraId="2BB56CD3">
      <w:pPr>
        <w:suppressAutoHyphens/>
        <w:adjustRightInd w:val="0"/>
        <w:snapToGrid w:val="0"/>
        <w:spacing w:line="600" w:lineRule="exact"/>
        <w:ind w:firstLine="643" w:firstLineChars="200"/>
        <w:rPr>
          <w:rFonts w:hint="default" w:ascii="Times New Roman" w:hAnsi="Times New Roman" w:eastAsia="仿宋_GB2312" w:cs="Times New Roman"/>
          <w:kern w:val="0"/>
          <w:sz w:val="32"/>
          <w:szCs w:val="32"/>
          <w:lang w:val="zh-CN"/>
        </w:rPr>
      </w:pPr>
      <w:r>
        <w:rPr>
          <w:rFonts w:hint="default" w:ascii="Times New Roman" w:hAnsi="Times New Roman" w:eastAsia="楷体_GB2312" w:cs="Times New Roman"/>
          <w:b/>
          <w:sz w:val="32"/>
          <w:szCs w:val="32"/>
          <w:lang w:val="zh-CN"/>
        </w:rPr>
        <w:t>（四）项目绩效目标设置。</w:t>
      </w:r>
      <w:r>
        <w:rPr>
          <w:rFonts w:hint="default" w:ascii="Times New Roman" w:hAnsi="Times New Roman" w:eastAsia="仿宋_GB2312" w:cs="Times New Roman"/>
          <w:kern w:val="0"/>
          <w:sz w:val="32"/>
          <w:szCs w:val="32"/>
          <w:lang w:val="zh-CN"/>
        </w:rPr>
        <w:t>根据老旧小区公共服务活动中心改造特点和方式，设置了产出、效益和满意度等绩效指标，并对每项绩效指标进行细化分级，开展相关绩效目标的自评工作，经自评相关绩效指标均以达到预期目标。</w:t>
      </w:r>
    </w:p>
    <w:p w14:paraId="3FA878D7">
      <w:pPr>
        <w:suppressAutoHyphens/>
        <w:adjustRightInd w:val="0"/>
        <w:snapToGrid w:val="0"/>
        <w:spacing w:line="600" w:lineRule="exact"/>
        <w:ind w:firstLine="643" w:firstLineChars="200"/>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二、评价实施</w:t>
      </w:r>
    </w:p>
    <w:p w14:paraId="79A6C455">
      <w:pPr>
        <w:suppressAutoHyphens/>
        <w:adjustRightInd w:val="0"/>
        <w:snapToGrid w:val="0"/>
        <w:spacing w:line="600" w:lineRule="exact"/>
        <w:ind w:firstLine="640"/>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color w:val="auto"/>
          <w:sz w:val="32"/>
          <w:szCs w:val="32"/>
          <w:lang w:val="zh-CN"/>
        </w:rPr>
        <w:t>（一）评价目的。</w:t>
      </w:r>
      <w:r>
        <w:rPr>
          <w:rFonts w:hint="default" w:ascii="Times New Roman" w:hAnsi="Times New Roman" w:eastAsia="仿宋_GB2312" w:cs="Times New Roman"/>
          <w:color w:val="auto"/>
          <w:spacing w:val="8"/>
          <w:sz w:val="32"/>
          <w:szCs w:val="32"/>
          <w:shd w:val="clear" w:color="auto" w:fill="FFFFFF"/>
        </w:rPr>
        <w:t>通过</w:t>
      </w:r>
      <w:r>
        <w:rPr>
          <w:rFonts w:hint="default" w:ascii="Times New Roman" w:hAnsi="Times New Roman" w:eastAsia="仿宋_GB2312" w:cs="Times New Roman"/>
          <w:sz w:val="32"/>
          <w:szCs w:val="32"/>
          <w:lang w:val="zh-CN" w:eastAsia="zh-CN"/>
        </w:rPr>
        <w:t>利用周边广场、文化站（室）等改造集中活动场地，完善背水小道及周边人行道、绿化、照明等基础设施，全面推进城镇老旧小区改造工作。</w:t>
      </w:r>
    </w:p>
    <w:p w14:paraId="4308012A">
      <w:pPr>
        <w:keepNext w:val="0"/>
        <w:keepLines w:val="0"/>
        <w:pageBreakBefore w:val="0"/>
        <w:widowControl w:val="0"/>
        <w:kinsoku/>
        <w:wordWrap/>
        <w:overflowPunct/>
        <w:topLinePunct w:val="0"/>
        <w:autoSpaceDE/>
        <w:autoSpaceDN/>
        <w:bidi w:val="0"/>
        <w:adjustRightInd/>
        <w:snapToGrid/>
        <w:spacing w:line="300" w:lineRule="auto"/>
        <w:ind w:firstLine="640"/>
        <w:jc w:val="left"/>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（二）预设问题及评价重点。</w:t>
      </w:r>
    </w:p>
    <w:p w14:paraId="025481ED">
      <w:pPr>
        <w:keepNext w:val="0"/>
        <w:keepLines w:val="0"/>
        <w:pageBreakBefore w:val="0"/>
        <w:widowControl w:val="0"/>
        <w:kinsoku/>
        <w:wordWrap/>
        <w:overflowPunct/>
        <w:topLinePunct w:val="0"/>
        <w:autoSpaceDE/>
        <w:autoSpaceDN/>
        <w:bidi w:val="0"/>
        <w:adjustRightInd/>
        <w:snapToGrid/>
        <w:spacing w:line="300" w:lineRule="auto"/>
        <w:ind w:firstLine="640"/>
        <w:jc w:val="left"/>
        <w:textAlignment w:val="auto"/>
        <w:rPr>
          <w:rFonts w:ascii="Times New Roman" w:hAnsi="Times New Roman" w:eastAsia="仿宋_GB2312"/>
          <w:kern w:val="0"/>
          <w:sz w:val="32"/>
          <w:szCs w:val="32"/>
        </w:rPr>
      </w:pPr>
      <w:r>
        <w:rPr>
          <w:rFonts w:hint="default" w:ascii="Times New Roman" w:hAnsi="Times New Roman" w:eastAsia="仿宋_GB2312" w:cs="Times New Roman"/>
          <w:color w:val="auto"/>
          <w:spacing w:val="8"/>
          <w:sz w:val="32"/>
          <w:szCs w:val="32"/>
          <w:shd w:val="clear" w:color="auto" w:fill="FFFFFF"/>
          <w:lang w:val="en-US" w:eastAsia="zh-CN"/>
        </w:rPr>
        <w:t>河门口老旧小区公共</w:t>
      </w:r>
      <w:r>
        <w:rPr>
          <w:rFonts w:hint="eastAsia" w:eastAsia="仿宋_GB2312" w:cs="Times New Roman"/>
          <w:color w:val="auto"/>
          <w:spacing w:val="8"/>
          <w:sz w:val="32"/>
          <w:szCs w:val="32"/>
          <w:shd w:val="clear" w:color="auto" w:fill="FFFFFF"/>
          <w:lang w:val="en-US" w:eastAsia="zh-CN"/>
        </w:rPr>
        <w:t>活</w:t>
      </w:r>
      <w:r>
        <w:rPr>
          <w:rFonts w:hint="default" w:ascii="Times New Roman" w:hAnsi="Times New Roman" w:eastAsia="仿宋_GB2312" w:cs="Times New Roman"/>
          <w:color w:val="auto"/>
          <w:spacing w:val="8"/>
          <w:sz w:val="32"/>
          <w:szCs w:val="32"/>
          <w:shd w:val="clear" w:color="auto" w:fill="FFFFFF"/>
          <w:lang w:val="en-US" w:eastAsia="zh-CN"/>
        </w:rPr>
        <w:t>动中心改造项目</w:t>
      </w:r>
      <w:r>
        <w:rPr>
          <w:rFonts w:hint="eastAsia" w:eastAsia="仿宋_GB2312" w:cs="Times New Roman"/>
          <w:color w:val="auto"/>
          <w:spacing w:val="8"/>
          <w:sz w:val="32"/>
          <w:szCs w:val="32"/>
          <w:shd w:val="clear" w:color="auto" w:fill="FFFFFF"/>
          <w:lang w:val="en-US" w:eastAsia="zh-CN"/>
        </w:rPr>
        <w:t>已</w:t>
      </w:r>
      <w:r>
        <w:rPr>
          <w:rFonts w:hint="eastAsia" w:ascii="仿宋_GB2312" w:hAnsi="仿宋_GB2312" w:eastAsia="仿宋_GB2312" w:cs="仿宋_GB2312"/>
          <w:kern w:val="0"/>
          <w:sz w:val="32"/>
          <w:szCs w:val="32"/>
          <w:lang w:val="en-US" w:eastAsia="zh-CN"/>
        </w:rPr>
        <w:t>实施完成，并已验收。</w:t>
      </w:r>
      <w:r>
        <w:rPr>
          <w:rFonts w:ascii="Times New Roman" w:hAnsi="Times New Roman" w:eastAsia="仿宋_GB2312"/>
          <w:kern w:val="0"/>
          <w:sz w:val="32"/>
          <w:szCs w:val="32"/>
        </w:rPr>
        <w:t>资金支付范围、支付标准、支付进度、支付依据等合规合法、与预算相符，无截留、挤占、挪用情况。</w:t>
      </w:r>
    </w:p>
    <w:p w14:paraId="69AE4CB0">
      <w:pPr>
        <w:adjustRightInd w:val="0"/>
        <w:snapToGrid w:val="0"/>
        <w:spacing w:line="600" w:lineRule="exact"/>
        <w:ind w:firstLine="643" w:firstLineChars="200"/>
        <w:rPr>
          <w:rFonts w:hint="eastAsia" w:ascii="仿宋_GB2312" w:eastAsia="仿宋_GB2312" w:cs="仿宋_GB2312"/>
          <w:kern w:val="0"/>
          <w:sz w:val="32"/>
          <w:szCs w:val="32"/>
          <w:lang w:val="zh-CN" w:eastAsia="zh-CN" w:bidi="ar-SA"/>
        </w:rPr>
      </w:pPr>
      <w:r>
        <w:rPr>
          <w:rFonts w:hint="default" w:ascii="Times New Roman" w:hAnsi="Times New Roman" w:eastAsia="楷体_GB2312" w:cs="Times New Roman"/>
          <w:b/>
          <w:color w:val="auto"/>
          <w:sz w:val="32"/>
          <w:szCs w:val="32"/>
          <w:lang w:val="zh-CN"/>
        </w:rPr>
        <w:t>（三）评价选点。</w:t>
      </w:r>
      <w:r>
        <w:rPr>
          <w:rFonts w:hint="eastAsia" w:ascii="仿宋_GB2312" w:eastAsia="仿宋_GB2312" w:cs="仿宋_GB2312"/>
          <w:kern w:val="0"/>
          <w:sz w:val="32"/>
          <w:szCs w:val="32"/>
          <w:lang w:val="zh-CN" w:eastAsia="zh-CN" w:bidi="ar-SA"/>
        </w:rPr>
        <w:t>本年分别对1—8月及1—12月的项目完成情况进行了两次评价。</w:t>
      </w:r>
    </w:p>
    <w:p w14:paraId="08B24AEA">
      <w:pPr>
        <w:spacing w:line="600" w:lineRule="exact"/>
        <w:ind w:firstLine="640"/>
        <w:rPr>
          <w:rFonts w:hint="eastAsia" w:ascii="仿宋_GB2312" w:eastAsia="仿宋_GB2312" w:cs="仿宋_GB2312"/>
          <w:kern w:val="0"/>
          <w:sz w:val="32"/>
          <w:szCs w:val="32"/>
          <w:lang w:val="zh-CN" w:eastAsia="zh-CN" w:bidi="ar-SA"/>
        </w:rPr>
      </w:pPr>
      <w:r>
        <w:rPr>
          <w:rFonts w:hint="default" w:ascii="Times New Roman" w:hAnsi="Times New Roman" w:eastAsia="楷体_GB2312" w:cs="Times New Roman"/>
          <w:b/>
          <w:color w:val="auto"/>
          <w:sz w:val="32"/>
          <w:szCs w:val="32"/>
          <w:lang w:val="zh-CN"/>
        </w:rPr>
        <w:t>（四）评价方法。</w:t>
      </w:r>
      <w:r>
        <w:rPr>
          <w:rFonts w:hint="eastAsia" w:ascii="仿宋_GB2312" w:eastAsia="仿宋_GB2312" w:cs="仿宋_GB2312"/>
          <w:kern w:val="0"/>
          <w:sz w:val="32"/>
          <w:szCs w:val="32"/>
          <w:lang w:bidi="ar-SA"/>
        </w:rPr>
        <w:t>主要采用单位自评法、</w:t>
      </w:r>
      <w:r>
        <w:rPr>
          <w:rFonts w:hint="eastAsia" w:ascii="仿宋_GB2312" w:eastAsia="仿宋_GB2312"/>
          <w:kern w:val="0"/>
          <w:sz w:val="32"/>
          <w:szCs w:val="32"/>
        </w:rPr>
        <w:t>查阅研究法、实地勘察法、座谈调研分析后形成绩效评估报告。</w:t>
      </w:r>
    </w:p>
    <w:p w14:paraId="3705904A">
      <w:pPr>
        <w:suppressAutoHyphens/>
        <w:adjustRightInd w:val="0"/>
        <w:snapToGrid w:val="0"/>
        <w:spacing w:line="600" w:lineRule="exact"/>
        <w:ind w:firstLine="643" w:firstLineChars="20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（五）评价组织。</w:t>
      </w:r>
      <w:r>
        <w:rPr>
          <w:rFonts w:hint="default" w:ascii="Times New Roman" w:hAnsi="Times New Roman" w:eastAsia="仿宋_GB2312" w:cs="Times New Roman"/>
          <w:color w:val="auto"/>
          <w:sz w:val="32"/>
          <w:szCs w:val="32"/>
          <w:lang w:val="zh-CN" w:eastAsia="zh-CN"/>
        </w:rPr>
        <w:t>评价组由</w:t>
      </w:r>
      <w:r>
        <w:rPr>
          <w:rFonts w:hint="eastAsia" w:eastAsia="仿宋_GB2312" w:cs="Times New Roman"/>
          <w:color w:val="auto"/>
          <w:sz w:val="32"/>
          <w:szCs w:val="32"/>
          <w:lang w:val="en-US" w:eastAsia="zh-CN"/>
        </w:rPr>
        <w:t>分管项目领导、分管财务领导、项目股室负责人、社区分管项目工作人员组成。</w:t>
      </w:r>
    </w:p>
    <w:p w14:paraId="44D2C589">
      <w:pPr>
        <w:suppressAutoHyphens/>
        <w:adjustRightInd w:val="0"/>
        <w:snapToGrid w:val="0"/>
        <w:spacing w:line="600" w:lineRule="exact"/>
        <w:ind w:firstLine="315" w:firstLineChars="98"/>
        <w:rPr>
          <w:rFonts w:hint="default" w:ascii="Times New Roman" w:hAnsi="Times New Roman" w:eastAsia="黑体" w:cs="Times New Roman"/>
          <w:b/>
          <w:sz w:val="32"/>
          <w:szCs w:val="32"/>
          <w:lang w:val="zh-CN"/>
        </w:rPr>
      </w:pPr>
      <w:r>
        <w:rPr>
          <w:rFonts w:hint="default" w:ascii="Times New Roman" w:hAnsi="Times New Roman" w:eastAsia="黑体" w:cs="Times New Roman"/>
          <w:b/>
          <w:sz w:val="32"/>
          <w:szCs w:val="32"/>
        </w:rPr>
        <w:t xml:space="preserve">  三、绩效分析</w:t>
      </w:r>
      <w:r>
        <w:rPr>
          <w:rFonts w:hint="default" w:ascii="Times New Roman" w:hAnsi="Times New Roman" w:eastAsia="黑体" w:cs="Times New Roman"/>
          <w:b/>
          <w:sz w:val="32"/>
          <w:szCs w:val="32"/>
          <w:lang w:val="zh-CN"/>
        </w:rPr>
        <w:tab/>
      </w:r>
    </w:p>
    <w:p w14:paraId="1E61932A">
      <w:pPr>
        <w:suppressAutoHyphens/>
        <w:spacing w:line="600" w:lineRule="exact"/>
        <w:ind w:firstLine="640"/>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（一）项目决策。</w:t>
      </w:r>
      <w:r>
        <w:rPr>
          <w:rFonts w:hint="eastAsia" w:ascii="仿宋_GB2312" w:hAnsi="仿宋_GB2312" w:eastAsia="仿宋_GB2312" w:cs="仿宋_GB2312"/>
          <w:sz w:val="32"/>
          <w:szCs w:val="32"/>
          <w:lang w:val="zh-CN"/>
        </w:rPr>
        <w:t>按照中央、省级的统一部署要求，大力改造提升城镇老旧小区，</w:t>
      </w:r>
      <w:r>
        <w:rPr>
          <w:rFonts w:hint="eastAsia" w:ascii="仿宋_GB2312" w:hAnsi="仿宋_GB2312" w:eastAsia="仿宋_GB2312" w:cs="仿宋_GB2312"/>
          <w:sz w:val="32"/>
          <w:szCs w:val="32"/>
          <w:lang w:val="zh-CN" w:eastAsia="zh-CN"/>
        </w:rPr>
        <w:t>完善文化休闲设施，</w:t>
      </w:r>
      <w:r>
        <w:rPr>
          <w:rFonts w:hint="eastAsia" w:ascii="仿宋_GB2312" w:hAnsi="仿宋_GB2312" w:eastAsia="仿宋_GB2312" w:cs="仿宋_GB2312"/>
          <w:sz w:val="32"/>
          <w:szCs w:val="32"/>
          <w:lang w:val="zh-CN"/>
        </w:rPr>
        <w:t>改善居民居住条件，推动构建“纵向到底、横向到边、共建共治共享”的社区治理体系，让人民群众生活更方便、更舒心、更美好。</w:t>
      </w:r>
    </w:p>
    <w:p w14:paraId="7FD557A0">
      <w:pPr>
        <w:ind w:firstLine="643" w:firstLineChars="200"/>
        <w:rPr>
          <w:rFonts w:hint="default" w:ascii="Times New Roman" w:hAnsi="Times New Roman" w:eastAsia="仿宋_GB2312" w:cs="Times New Roman"/>
          <w:kern w:val="0"/>
          <w:sz w:val="32"/>
          <w:szCs w:val="32"/>
          <w:lang w:val="zh-CN"/>
        </w:rPr>
      </w:pPr>
      <w:r>
        <w:rPr>
          <w:rFonts w:hint="default" w:ascii="Times New Roman" w:hAnsi="Times New Roman" w:eastAsia="楷体_GB2312" w:cs="Times New Roman"/>
          <w:b/>
          <w:sz w:val="32"/>
          <w:szCs w:val="32"/>
          <w:lang w:val="zh-CN"/>
        </w:rPr>
        <w:t>（二）项目管理。</w:t>
      </w:r>
      <w:r>
        <w:rPr>
          <w:rFonts w:hint="default" w:ascii="Times New Roman" w:hAnsi="Times New Roman" w:eastAsia="仿宋_GB2312" w:cs="Times New Roman"/>
          <w:kern w:val="0"/>
          <w:sz w:val="32"/>
          <w:szCs w:val="32"/>
          <w:lang w:val="zh-CN" w:eastAsia="zh-CN"/>
        </w:rPr>
        <w:t>该</w:t>
      </w:r>
      <w:r>
        <w:rPr>
          <w:rFonts w:hint="default" w:ascii="Times New Roman" w:hAnsi="Times New Roman" w:eastAsia="仿宋_GB2312" w:cs="Times New Roman"/>
          <w:kern w:val="0"/>
          <w:sz w:val="32"/>
          <w:szCs w:val="32"/>
          <w:lang w:val="en-US" w:eastAsia="zh-CN"/>
        </w:rPr>
        <w:t>项目实施期间</w:t>
      </w:r>
      <w:r>
        <w:rPr>
          <w:rFonts w:hint="default" w:ascii="Times New Roman" w:hAnsi="Times New Roman" w:eastAsia="仿宋_GB2312" w:cs="Times New Roman"/>
          <w:kern w:val="0"/>
          <w:sz w:val="32"/>
          <w:szCs w:val="32"/>
          <w:lang w:val="zh-CN" w:eastAsia="zh-CN"/>
        </w:rPr>
        <w:t>由</w:t>
      </w:r>
      <w:r>
        <w:rPr>
          <w:rFonts w:hint="default" w:ascii="Times New Roman" w:hAnsi="Times New Roman" w:eastAsia="仿宋_GB2312" w:cs="Times New Roman"/>
          <w:kern w:val="0"/>
          <w:sz w:val="32"/>
          <w:szCs w:val="32"/>
          <w:lang w:val="en-US" w:eastAsia="zh-CN"/>
        </w:rPr>
        <w:t>街道、社区</w:t>
      </w:r>
      <w:r>
        <w:rPr>
          <w:rFonts w:hint="default" w:ascii="Times New Roman" w:hAnsi="Times New Roman" w:eastAsia="仿宋_GB2312" w:cs="Times New Roman"/>
          <w:kern w:val="0"/>
          <w:sz w:val="32"/>
          <w:szCs w:val="32"/>
          <w:lang w:val="zh-CN" w:eastAsia="zh-CN"/>
        </w:rPr>
        <w:t>进行监督管理，保障</w:t>
      </w:r>
      <w:r>
        <w:rPr>
          <w:rFonts w:hint="default" w:ascii="Times New Roman" w:hAnsi="Times New Roman" w:eastAsia="仿宋_GB2312" w:cs="Times New Roman"/>
          <w:kern w:val="0"/>
          <w:sz w:val="32"/>
          <w:szCs w:val="32"/>
          <w:lang w:val="en-US" w:eastAsia="zh-CN"/>
        </w:rPr>
        <w:t>项目的正常</w:t>
      </w:r>
      <w:r>
        <w:rPr>
          <w:rFonts w:hint="eastAsia" w:eastAsia="仿宋_GB2312" w:cs="Times New Roman"/>
          <w:kern w:val="0"/>
          <w:sz w:val="32"/>
          <w:szCs w:val="32"/>
          <w:lang w:val="en-US" w:eastAsia="zh-CN"/>
        </w:rPr>
        <w:t>实施</w:t>
      </w:r>
      <w:r>
        <w:rPr>
          <w:rFonts w:hint="default" w:ascii="Times New Roman" w:hAnsi="Times New Roman" w:eastAsia="仿宋_GB2312" w:cs="Times New Roman"/>
          <w:sz w:val="32"/>
          <w:szCs w:val="32"/>
        </w:rPr>
        <w:t>。</w:t>
      </w:r>
    </w:p>
    <w:p w14:paraId="38DDCCC6">
      <w:pPr>
        <w:adjustRightInd w:val="0"/>
        <w:snapToGrid w:val="0"/>
        <w:spacing w:line="600" w:lineRule="exact"/>
        <w:ind w:firstLine="643" w:firstLineChars="200"/>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（三）项目实施。</w:t>
      </w:r>
      <w:r>
        <w:rPr>
          <w:rFonts w:hint="default" w:ascii="Times New Roman" w:hAnsi="Times New Roman" w:eastAsia="仿宋_GB2312" w:cs="Times New Roman"/>
          <w:sz w:val="32"/>
          <w:szCs w:val="32"/>
          <w:lang w:val="zh-CN"/>
        </w:rPr>
        <w:t>利用周边广场、文化站（室）等改造集中活动场地，完善背水小道及周边人行道、绿化、照明等基础设施。</w:t>
      </w:r>
    </w:p>
    <w:p w14:paraId="3E1DF137">
      <w:pPr>
        <w:suppressAutoHyphens/>
        <w:spacing w:line="600" w:lineRule="exact"/>
        <w:ind w:firstLine="643" w:firstLineChars="200"/>
        <w:rPr>
          <w:rFonts w:hint="default" w:ascii="Times New Roman" w:hAnsi="Times New Roman" w:eastAsia="仿宋_GB2312" w:cs="Times New Roman"/>
          <w:kern w:val="0"/>
          <w:sz w:val="32"/>
          <w:szCs w:val="32"/>
          <w:lang w:val="zh-CN"/>
        </w:rPr>
      </w:pPr>
      <w:r>
        <w:rPr>
          <w:rFonts w:hint="default" w:ascii="Times New Roman" w:hAnsi="Times New Roman" w:eastAsia="楷体_GB2312" w:cs="Times New Roman"/>
          <w:b/>
          <w:sz w:val="32"/>
          <w:szCs w:val="32"/>
          <w:lang w:val="zh-CN"/>
        </w:rPr>
        <w:t>（四）项目结果。</w:t>
      </w:r>
      <w:r>
        <w:rPr>
          <w:rFonts w:hint="default" w:ascii="Times New Roman" w:hAnsi="Times New Roman" w:eastAsia="仿宋_GB2312" w:cs="Times New Roman"/>
          <w:sz w:val="32"/>
          <w:szCs w:val="32"/>
        </w:rPr>
        <w:t>已完成小区居民集中活动场地打造，</w:t>
      </w:r>
      <w:r>
        <w:rPr>
          <w:rFonts w:hint="default" w:ascii="Times New Roman" w:hAnsi="Times New Roman" w:eastAsia="仿宋_GB2312" w:cs="Times New Roman"/>
          <w:sz w:val="32"/>
          <w:szCs w:val="32"/>
          <w:lang w:eastAsia="zh-CN"/>
        </w:rPr>
        <w:t>方便</w:t>
      </w:r>
      <w:r>
        <w:rPr>
          <w:rFonts w:hint="default" w:ascii="Times New Roman" w:hAnsi="Times New Roman" w:eastAsia="仿宋_GB2312" w:cs="Times New Roman"/>
          <w:sz w:val="32"/>
          <w:szCs w:val="32"/>
        </w:rPr>
        <w:t>小区居民集中活动，丰富了三线产业发展的体验载体。项目整体完成进度较好，成本可控。</w:t>
      </w:r>
    </w:p>
    <w:p w14:paraId="52B41FF2">
      <w:pPr>
        <w:tabs>
          <w:tab w:val="left" w:pos="2160"/>
        </w:tabs>
        <w:suppressAutoHyphens/>
        <w:spacing w:line="600" w:lineRule="exact"/>
        <w:ind w:firstLine="315" w:firstLineChars="98"/>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 xml:space="preserve">  四、评价结论</w:t>
      </w:r>
    </w:p>
    <w:p w14:paraId="162414D7">
      <w:pPr>
        <w:suppressAutoHyphens/>
        <w:spacing w:line="600" w:lineRule="exact"/>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kern w:val="0"/>
          <w:sz w:val="32"/>
          <w:szCs w:val="32"/>
          <w:lang w:val="en-US" w:eastAsia="zh-CN"/>
        </w:rPr>
        <w:t>该项目实施完成后，</w:t>
      </w:r>
      <w:r>
        <w:rPr>
          <w:rFonts w:hint="eastAsia" w:ascii="仿宋_GB2312" w:hAnsi="仿宋_GB2312" w:eastAsia="仿宋_GB2312" w:cs="仿宋_GB2312"/>
          <w:sz w:val="32"/>
          <w:szCs w:val="32"/>
          <w:lang w:val="zh-CN"/>
        </w:rPr>
        <w:t>大力改造提升城镇老旧小区，</w:t>
      </w:r>
      <w:r>
        <w:rPr>
          <w:rFonts w:hint="eastAsia" w:ascii="仿宋_GB2312" w:hAnsi="仿宋_GB2312" w:eastAsia="仿宋_GB2312" w:cs="仿宋_GB2312"/>
          <w:sz w:val="32"/>
          <w:szCs w:val="32"/>
          <w:lang w:val="zh-CN" w:eastAsia="zh-CN"/>
        </w:rPr>
        <w:t>完善文化休闲设施，</w:t>
      </w:r>
      <w:r>
        <w:rPr>
          <w:rFonts w:hint="eastAsia" w:ascii="仿宋_GB2312" w:hAnsi="仿宋_GB2312" w:eastAsia="仿宋_GB2312" w:cs="仿宋_GB2312"/>
          <w:sz w:val="32"/>
          <w:szCs w:val="32"/>
          <w:lang w:val="zh-CN"/>
        </w:rPr>
        <w:t>改善居民居住条件，推动构建“纵向到底、横向到边、共建共治共享”的社区治理体系，让人民群众生活更方便、更舒心、更美好，取得了良好的社会效益。</w:t>
      </w:r>
    </w:p>
    <w:p w14:paraId="6591007B">
      <w:pPr>
        <w:numPr>
          <w:ilvl w:val="0"/>
          <w:numId w:val="0"/>
        </w:numPr>
        <w:tabs>
          <w:tab w:val="left" w:pos="2160"/>
        </w:tabs>
        <w:suppressAutoHyphens/>
        <w:spacing w:line="600" w:lineRule="exact"/>
        <w:ind w:left="640" w:leftChars="0"/>
        <w:rPr>
          <w:rFonts w:hint="default" w:ascii="Times New Roman" w:hAnsi="Times New Roman" w:eastAsia="黑体" w:cs="Times New Roman"/>
          <w:b/>
          <w:sz w:val="32"/>
          <w:szCs w:val="32"/>
          <w:lang w:eastAsia="zh-CN"/>
        </w:rPr>
      </w:pPr>
      <w:r>
        <w:rPr>
          <w:rFonts w:hint="eastAsia" w:ascii="Times New Roman" w:hAnsi="Times New Roman" w:eastAsia="黑体" w:cs="Times New Roman"/>
          <w:b/>
          <w:sz w:val="32"/>
          <w:szCs w:val="32"/>
          <w:lang w:val="en-US" w:eastAsia="zh-CN"/>
        </w:rPr>
        <w:t>五、</w:t>
      </w:r>
      <w:r>
        <w:rPr>
          <w:rFonts w:hint="default" w:ascii="Times New Roman" w:hAnsi="Times New Roman" w:eastAsia="黑体" w:cs="Times New Roman"/>
          <w:b/>
          <w:sz w:val="32"/>
          <w:szCs w:val="32"/>
          <w:lang w:eastAsia="zh-CN"/>
        </w:rPr>
        <w:t>存在问题</w:t>
      </w:r>
    </w:p>
    <w:p w14:paraId="656D0B06">
      <w:pPr>
        <w:pStyle w:val="10"/>
        <w:numPr>
          <w:ilvl w:val="0"/>
          <w:numId w:val="0"/>
        </w:numPr>
        <w:ind w:left="640" w:leftChars="0"/>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无</w:t>
      </w:r>
    </w:p>
    <w:p w14:paraId="65D7DAA1">
      <w:pPr>
        <w:pStyle w:val="10"/>
        <w:tabs>
          <w:tab w:val="left" w:pos="2160"/>
        </w:tabs>
        <w:spacing w:line="600" w:lineRule="exact"/>
        <w:ind w:firstLine="643" w:firstLineChars="200"/>
        <w:rPr>
          <w:rFonts w:hint="default" w:ascii="Times New Roman" w:hAnsi="Times New Roman" w:eastAsia="黑体" w:cs="Times New Roman"/>
          <w:b/>
          <w:kern w:val="0"/>
          <w:position w:val="3"/>
          <w:sz w:val="32"/>
          <w:szCs w:val="32"/>
          <w:lang w:val="zh-CN"/>
        </w:rPr>
      </w:pPr>
      <w:r>
        <w:rPr>
          <w:rFonts w:hint="default" w:ascii="Times New Roman" w:hAnsi="Times New Roman" w:eastAsia="黑体" w:cs="Times New Roman"/>
          <w:b/>
          <w:kern w:val="0"/>
          <w:position w:val="3"/>
          <w:sz w:val="32"/>
          <w:szCs w:val="32"/>
          <w:lang w:val="zh-CN"/>
        </w:rPr>
        <w:t>六、改进建议</w:t>
      </w:r>
    </w:p>
    <w:p w14:paraId="11E333B3">
      <w:pPr>
        <w:pStyle w:val="10"/>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cs="Times New Roman"/>
          <w:color w:val="auto"/>
          <w:kern w:val="0"/>
          <w:sz w:val="32"/>
          <w:szCs w:val="32"/>
          <w:lang w:val="en-US" w:eastAsia="zh-CN" w:bidi="ar-SA"/>
        </w:rPr>
        <w:t>加强项目管理，使项目</w:t>
      </w:r>
      <w:r>
        <w:rPr>
          <w:rFonts w:hint="default" w:ascii="Times New Roman" w:hAnsi="Times New Roman" w:eastAsia="仿宋_GB2312" w:cs="Times New Roman"/>
          <w:color w:val="auto"/>
          <w:kern w:val="0"/>
          <w:sz w:val="32"/>
          <w:szCs w:val="32"/>
          <w:lang w:val="en-US" w:eastAsia="zh-CN" w:bidi="ar-SA"/>
        </w:rPr>
        <w:t>持续影响力有</w:t>
      </w:r>
      <w:r>
        <w:rPr>
          <w:rFonts w:hint="default" w:ascii="Times New Roman" w:hAnsi="Times New Roman" w:cs="Times New Roman"/>
          <w:color w:val="auto"/>
          <w:kern w:val="0"/>
          <w:sz w:val="32"/>
          <w:szCs w:val="32"/>
          <w:lang w:val="en-US" w:eastAsia="zh-CN" w:bidi="ar-SA"/>
        </w:rPr>
        <w:t>所提升</w:t>
      </w:r>
      <w:r>
        <w:rPr>
          <w:rFonts w:hint="default" w:ascii="Times New Roman" w:hAnsi="Times New Roman" w:eastAsia="仿宋_GB2312" w:cs="Times New Roman"/>
          <w:color w:val="auto"/>
          <w:kern w:val="0"/>
          <w:sz w:val="32"/>
          <w:szCs w:val="32"/>
          <w:lang w:val="en-US" w:eastAsia="zh-CN" w:bidi="ar-SA"/>
        </w:rPr>
        <w:t>。</w:t>
      </w:r>
    </w:p>
    <w:p w14:paraId="19383F2D">
      <w:pPr>
        <w:pStyle w:val="41"/>
        <w:pageBreakBefore w:val="0"/>
        <w:kinsoku/>
        <w:wordWrap/>
        <w:topLinePunct w:val="0"/>
        <w:bidi w:val="0"/>
        <w:spacing w:line="560" w:lineRule="exact"/>
        <w:jc w:val="center"/>
        <w:textAlignment w:val="auto"/>
        <w:rPr>
          <w:rFonts w:hint="default" w:ascii="Times New Roman" w:hAnsi="Times New Roman" w:eastAsia="方正小标宋_GBK" w:cs="Times New Roman"/>
          <w:sz w:val="44"/>
          <w:szCs w:val="44"/>
          <w:lang w:val="en-US" w:eastAsia="zh-CN"/>
        </w:rPr>
      </w:pPr>
    </w:p>
    <w:p w14:paraId="51D17EDC">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394E2D3F">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685ABC29">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52899347">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41FB0ABF">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7D48BC1D">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5C123671">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6F3DAEEE">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6E0EC569">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0FB4BD0F">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3140C752">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4533D878">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2500D7AA">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5D65E5B7">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2E898477">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7DA35B9A">
      <w:pPr>
        <w:pageBreakBefore w:val="0"/>
        <w:kinsoku/>
        <w:wordWrap/>
        <w:topLinePunct w:val="0"/>
        <w:bidi w:val="0"/>
        <w:spacing w:line="560" w:lineRule="exact"/>
        <w:ind w:firstLine="2640" w:firstLineChars="600"/>
        <w:jc w:val="both"/>
        <w:textAlignment w:val="auto"/>
        <w:outlineLvl w:val="0"/>
        <w:rPr>
          <w:rFonts w:hint="default" w:ascii="Times New Roman" w:hAnsi="Times New Roman" w:eastAsia="方正小标宋_GBK" w:cs="Times New Roman"/>
          <w:sz w:val="44"/>
          <w:szCs w:val="44"/>
        </w:rPr>
      </w:pPr>
    </w:p>
    <w:p w14:paraId="57E53233">
      <w:pPr>
        <w:pStyle w:val="2"/>
        <w:rPr>
          <w:rFonts w:hint="default" w:ascii="Times New Roman" w:hAnsi="Times New Roman" w:eastAsia="方正小标宋_GBK" w:cs="Times New Roman"/>
          <w:sz w:val="44"/>
          <w:szCs w:val="44"/>
        </w:rPr>
      </w:pPr>
    </w:p>
    <w:p w14:paraId="2F93ED70">
      <w:pPr>
        <w:pStyle w:val="3"/>
        <w:rPr>
          <w:rFonts w:hint="default"/>
        </w:rPr>
      </w:pPr>
    </w:p>
    <w:p w14:paraId="50B7AD92">
      <w:pPr>
        <w:pageBreakBefore w:val="0"/>
        <w:numPr>
          <w:ilvl w:val="0"/>
          <w:numId w:val="4"/>
        </w:numPr>
        <w:kinsoku/>
        <w:wordWrap/>
        <w:topLinePunct w:val="0"/>
        <w:bidi w:val="0"/>
        <w:spacing w:line="560" w:lineRule="exact"/>
        <w:ind w:firstLine="2640" w:firstLineChars="600"/>
        <w:jc w:val="both"/>
        <w:textAlignment w:val="auto"/>
        <w:outlineLvl w:val="0"/>
        <w:rPr>
          <w:rStyle w:val="30"/>
          <w:rFonts w:hint="default" w:ascii="Times New Roman" w:hAnsi="Times New Roman" w:eastAsia="方正小标宋_GBK" w:cs="Times New Roman"/>
          <w:b w:val="0"/>
        </w:rPr>
      </w:pPr>
      <w:r>
        <w:rPr>
          <w:rStyle w:val="30"/>
          <w:rFonts w:hint="default" w:ascii="Times New Roman" w:hAnsi="Times New Roman" w:eastAsia="方正小标宋_GBK" w:cs="Times New Roman"/>
          <w:b w:val="0"/>
        </w:rPr>
        <w:t>附表</w:t>
      </w:r>
      <w:bookmarkEnd w:id="60"/>
    </w:p>
    <w:p w14:paraId="1AA26FF2">
      <w:pPr>
        <w:pStyle w:val="10"/>
        <w:numPr>
          <w:ilvl w:val="0"/>
          <w:numId w:val="0"/>
        </w:numPr>
        <w:rPr>
          <w:rFonts w:hint="default"/>
        </w:rPr>
      </w:pPr>
    </w:p>
    <w:p w14:paraId="3CD796B7">
      <w:pPr>
        <w:pStyle w:val="6"/>
        <w:pageBreakBefore w:val="0"/>
        <w:kinsoku/>
        <w:wordWrap/>
        <w:topLinePunct w:val="0"/>
        <w:bidi w:val="0"/>
        <w:spacing w:line="560" w:lineRule="exact"/>
        <w:textAlignment w:val="auto"/>
        <w:rPr>
          <w:rFonts w:hint="default" w:ascii="Times New Roman" w:hAnsi="Times New Roman" w:eastAsia="黑体" w:cs="Times New Roman"/>
        </w:rPr>
      </w:pPr>
      <w:bookmarkStart w:id="61" w:name="_Toc15396619"/>
      <w:r>
        <w:rPr>
          <w:rFonts w:hint="default" w:ascii="Times New Roman" w:hAnsi="Times New Roman" w:eastAsia="黑体" w:cs="Times New Roman"/>
          <w:b w:val="0"/>
        </w:rPr>
        <w:t>一、收</w:t>
      </w:r>
      <w:r>
        <w:rPr>
          <w:rStyle w:val="31"/>
          <w:rFonts w:hint="default" w:ascii="Times New Roman" w:hAnsi="Times New Roman" w:eastAsia="黑体" w:cs="Times New Roman"/>
          <w:b w:val="0"/>
          <w:bCs w:val="0"/>
        </w:rPr>
        <w:t>入支出决算总表</w:t>
      </w:r>
      <w:bookmarkEnd w:id="61"/>
    </w:p>
    <w:p w14:paraId="5EA7AC31">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2" w:name="_Toc15396620"/>
      <w:r>
        <w:rPr>
          <w:rFonts w:hint="default" w:ascii="Times New Roman" w:hAnsi="Times New Roman" w:eastAsia="黑体" w:cs="Times New Roman"/>
          <w:b w:val="0"/>
        </w:rPr>
        <w:t>二、收入决算表</w:t>
      </w:r>
      <w:bookmarkEnd w:id="62"/>
    </w:p>
    <w:p w14:paraId="700179AC">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3" w:name="_Toc15396621"/>
      <w:r>
        <w:rPr>
          <w:rFonts w:hint="default" w:ascii="Times New Roman" w:hAnsi="Times New Roman" w:eastAsia="黑体" w:cs="Times New Roman"/>
          <w:b w:val="0"/>
        </w:rPr>
        <w:t>三、支出决算表</w:t>
      </w:r>
      <w:bookmarkEnd w:id="63"/>
    </w:p>
    <w:p w14:paraId="0747115E">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4" w:name="_Toc15396622"/>
      <w:r>
        <w:rPr>
          <w:rFonts w:hint="default" w:ascii="Times New Roman" w:hAnsi="Times New Roman" w:eastAsia="黑体" w:cs="Times New Roman"/>
          <w:b w:val="0"/>
        </w:rPr>
        <w:t>四、财政拨款收入支出决算总表</w:t>
      </w:r>
      <w:bookmarkEnd w:id="64"/>
    </w:p>
    <w:p w14:paraId="5CFAE45F">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5" w:name="_Toc15396623"/>
      <w:r>
        <w:rPr>
          <w:rFonts w:hint="default" w:ascii="Times New Roman" w:hAnsi="Times New Roman" w:eastAsia="黑体" w:cs="Times New Roman"/>
          <w:b w:val="0"/>
        </w:rPr>
        <w:t>五、财政拨款支出决算明细表</w:t>
      </w:r>
      <w:bookmarkEnd w:id="65"/>
      <w:bookmarkStart w:id="66" w:name="_Toc15396624"/>
    </w:p>
    <w:p w14:paraId="7DE1B835">
      <w:pPr>
        <w:pStyle w:val="6"/>
        <w:pageBreakBefore w:val="0"/>
        <w:kinsoku/>
        <w:wordWrap/>
        <w:topLinePunct w:val="0"/>
        <w:bidi w:val="0"/>
        <w:spacing w:line="560" w:lineRule="exact"/>
        <w:textAlignment w:val="auto"/>
        <w:rPr>
          <w:rFonts w:hint="default" w:ascii="Times New Roman" w:hAnsi="Times New Roman" w:eastAsia="黑体" w:cs="Times New Roman"/>
          <w:b w:val="0"/>
        </w:rPr>
      </w:pPr>
      <w:r>
        <w:rPr>
          <w:rFonts w:hint="default" w:ascii="Times New Roman" w:hAnsi="Times New Roman" w:eastAsia="黑体" w:cs="Times New Roman"/>
          <w:b w:val="0"/>
        </w:rPr>
        <w:t>六、一般公共预算财政拨款支出决算表</w:t>
      </w:r>
      <w:bookmarkEnd w:id="66"/>
    </w:p>
    <w:p w14:paraId="63E46639">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7" w:name="_Toc15396625"/>
      <w:r>
        <w:rPr>
          <w:rFonts w:hint="default" w:ascii="Times New Roman" w:hAnsi="Times New Roman" w:eastAsia="黑体" w:cs="Times New Roman"/>
          <w:b w:val="0"/>
        </w:rPr>
        <w:t>七、一般公共预算财政拨款支出决算明细表</w:t>
      </w:r>
      <w:bookmarkEnd w:id="67"/>
    </w:p>
    <w:p w14:paraId="2F75EBC3">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8" w:name="_Toc15396626"/>
      <w:r>
        <w:rPr>
          <w:rFonts w:hint="default" w:ascii="Times New Roman" w:hAnsi="Times New Roman" w:eastAsia="黑体" w:cs="Times New Roman"/>
          <w:b w:val="0"/>
        </w:rPr>
        <w:t>八、一般公共预算财政拨款基本支出决算表</w:t>
      </w:r>
      <w:bookmarkEnd w:id="68"/>
    </w:p>
    <w:p w14:paraId="2EC77067">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69" w:name="_Toc15396627"/>
      <w:r>
        <w:rPr>
          <w:rFonts w:hint="default" w:ascii="Times New Roman" w:hAnsi="Times New Roman" w:eastAsia="黑体" w:cs="Times New Roman"/>
          <w:b w:val="0"/>
        </w:rPr>
        <w:t>九、一般公共预算财政拨款项目支出决算表</w:t>
      </w:r>
      <w:bookmarkEnd w:id="69"/>
    </w:p>
    <w:p w14:paraId="062AE23B">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70" w:name="_Toc15396628"/>
      <w:r>
        <w:rPr>
          <w:rFonts w:hint="default" w:ascii="Times New Roman" w:hAnsi="Times New Roman" w:eastAsia="黑体" w:cs="Times New Roman"/>
          <w:b w:val="0"/>
        </w:rPr>
        <w:t>十、</w:t>
      </w:r>
      <w:bookmarkEnd w:id="70"/>
      <w:r>
        <w:rPr>
          <w:rFonts w:hint="default" w:ascii="Times New Roman" w:hAnsi="Times New Roman" w:eastAsia="黑体" w:cs="Times New Roman"/>
          <w:b w:val="0"/>
        </w:rPr>
        <w:t>政府性基金预算财政拨款收入支出决算表</w:t>
      </w:r>
    </w:p>
    <w:p w14:paraId="3A7194B7">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71" w:name="_Toc15396629"/>
      <w:r>
        <w:rPr>
          <w:rFonts w:hint="default" w:ascii="Times New Roman" w:hAnsi="Times New Roman" w:eastAsia="黑体" w:cs="Times New Roman"/>
          <w:b w:val="0"/>
        </w:rPr>
        <w:t>十一、</w:t>
      </w:r>
      <w:bookmarkEnd w:id="71"/>
      <w:r>
        <w:rPr>
          <w:rFonts w:hint="default" w:ascii="Times New Roman" w:hAnsi="Times New Roman" w:eastAsia="黑体" w:cs="Times New Roman"/>
          <w:b w:val="0"/>
        </w:rPr>
        <w:t>国有资本经营预算财政拨款收入支出决算表</w:t>
      </w:r>
    </w:p>
    <w:p w14:paraId="3E5D751C">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72" w:name="_Toc15396630"/>
      <w:r>
        <w:rPr>
          <w:rFonts w:hint="default" w:ascii="Times New Roman" w:hAnsi="Times New Roman" w:eastAsia="黑体" w:cs="Times New Roman"/>
          <w:b w:val="0"/>
        </w:rPr>
        <w:t>十二、</w:t>
      </w:r>
      <w:bookmarkEnd w:id="72"/>
      <w:r>
        <w:rPr>
          <w:rFonts w:hint="default" w:ascii="Times New Roman" w:hAnsi="Times New Roman" w:eastAsia="黑体" w:cs="Times New Roman"/>
          <w:b w:val="0"/>
        </w:rPr>
        <w:t>国有资本经营预算财政拨款支出决算表</w:t>
      </w:r>
    </w:p>
    <w:p w14:paraId="6E38165F">
      <w:pPr>
        <w:pStyle w:val="6"/>
        <w:pageBreakBefore w:val="0"/>
        <w:kinsoku/>
        <w:wordWrap/>
        <w:topLinePunct w:val="0"/>
        <w:bidi w:val="0"/>
        <w:spacing w:line="560" w:lineRule="exact"/>
        <w:textAlignment w:val="auto"/>
        <w:rPr>
          <w:rFonts w:hint="default" w:ascii="Times New Roman" w:hAnsi="Times New Roman" w:eastAsia="黑体" w:cs="Times New Roman"/>
          <w:b w:val="0"/>
        </w:rPr>
      </w:pPr>
      <w:bookmarkStart w:id="73" w:name="_Toc15396631"/>
      <w:r>
        <w:rPr>
          <w:rFonts w:hint="default" w:ascii="Times New Roman" w:hAnsi="Times New Roman" w:eastAsia="黑体" w:cs="Times New Roman"/>
          <w:b w:val="0"/>
        </w:rPr>
        <w:t>十三、</w:t>
      </w:r>
      <w:bookmarkEnd w:id="73"/>
      <w:r>
        <w:rPr>
          <w:rFonts w:hint="default" w:ascii="Times New Roman" w:hAnsi="Times New Roman" w:eastAsia="黑体" w:cs="Times New Roman"/>
          <w:b w:val="0"/>
        </w:rPr>
        <w:t>财政拨款“三公”经费支出决算表</w:t>
      </w:r>
    </w:p>
    <w:sectPr>
      <w:headerReference r:id="rId3" w:type="default"/>
      <w:footerReference r:id="rId4" w:type="default"/>
      <w:pgSz w:w="11906" w:h="16838"/>
      <w:pgMar w:top="2098" w:right="1474" w:bottom="1985" w:left="1588"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TimesNewRoman">
    <w:altName w:val="Times New Roman"/>
    <w:panose1 w:val="00000000000000000000"/>
    <w:charset w:val="00"/>
    <w:family w:val="roman"/>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55723">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1994781956"/>
                          </w:sdtPr>
                          <w:sdtContent>
                            <w:p w14:paraId="0DDCDE56">
                              <w:pPr>
                                <w:pStyle w:val="13"/>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3</w:t>
                              </w:r>
                              <w:r>
                                <w:rPr>
                                  <w:rFonts w:hint="eastAsia" w:asciiTheme="minorEastAsia" w:hAnsiTheme="minorEastAsia" w:eastAsiaTheme="minorEastAsia" w:cstheme="minorEastAsia"/>
                                  <w:sz w:val="28"/>
                                  <w:szCs w:val="28"/>
                                  <w:lang w:val="zh-CN"/>
                                </w:rPr>
                                <w:fldChar w:fldCharType="end"/>
                              </w:r>
                            </w:p>
                          </w:sdtContent>
                        </w:sdt>
                        <w:p w14:paraId="597DDDE6">
                          <w:pPr>
                            <w:pStyle w:val="10"/>
                          </w:pP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O79+ecBAADHAwAADgAAAGRycy9lMm9Eb2MueG1srVNLbtswEN0XyB0I&#10;7mPJBhK4gukgrZGgQNEWSHsAmqIsAvyBQ1tyD9DeoKtuuu+5fI4MKckp0k0W2UhDzsybeW+Gq5ve&#10;aHKQAZSzjM5nJSXSClcru2P029e7yyUlELmtuXZWMnqUQG/WF29Wna/kwrVO1zIQBLFQdZ7RNkZf&#10;FQWIVhoOM+elRWfjguERj2FX1IF3iG50sSjL66JzofbBCQmAt5vBSUfE8BJA1zRKyI0TeyNtHFCD&#10;1DwiJWiVB7rO3TaNFPFz04CMRDOKTGP+YhG0t+lbrFe82gXuWyXGFvhLWnjGyXBlsegZasMjJ/ug&#10;/oMySgQHrokz4UwxEMmKIIt5+Uybh5Z7mbmg1ODPosPrwYpPhy+BqJpRHLvlBgd++vXz9Pvv6c8P&#10;Mk/ydB4qjHrwGBf7d67HpZnuAS8T674JJv2RD0E/ins8iyv7SERKWi6WyxJdAn3TAfGLp3QfIN5L&#10;Z0gyGA04vSwqP3yEOIROIamadXdK6zxBbUnH6NurxVVOOHsQXFuskUgMzSYr9tt+ZLZ19RGJ4XvA&#10;gq0L3ynpcBsYtbj8lOgPFsVOizMZYTK2k8GtwERGIyWD+T4OC7b3Qe3avHKpXfC3+4gtZyapjaH2&#10;2B3ON2sx7mJaoH/POerp/a0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o7v355wEAAMcD&#10;AAAOAAAAAAAAAAEAIAAAAB4BAABkcnMvZTJvRG9jLnhtbFBLBQYAAAAABgAGAFkBAAB3BQAAAAA=&#10;">
              <v:fill on="f" focussize="0,0"/>
              <v:stroke on="f"/>
              <v:imagedata o:title=""/>
              <o:lock v:ext="edit" aspectratio="f"/>
              <v:textbox inset="0mm,0mm,0mm,0mm" style="mso-fit-shape-to-text:t;">
                <w:txbxContent>
                  <w:sdt>
                    <w:sdtPr>
                      <w:id w:val="-1994781956"/>
                    </w:sdtPr>
                    <w:sdtContent>
                      <w:p w14:paraId="0DDCDE56">
                        <w:pPr>
                          <w:pStyle w:val="13"/>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3</w:t>
                        </w:r>
                        <w:r>
                          <w:rPr>
                            <w:rFonts w:hint="eastAsia" w:asciiTheme="minorEastAsia" w:hAnsiTheme="minorEastAsia" w:eastAsiaTheme="minorEastAsia" w:cstheme="minorEastAsia"/>
                            <w:sz w:val="28"/>
                            <w:szCs w:val="28"/>
                            <w:lang w:val="zh-CN"/>
                          </w:rPr>
                          <w:fldChar w:fldCharType="end"/>
                        </w:r>
                      </w:p>
                    </w:sdtContent>
                  </w:sdt>
                  <w:p w14:paraId="597DDDE6">
                    <w:pPr>
                      <w:pStyle w:val="10"/>
                    </w:pPr>
                  </w:p>
                </w:txbxContent>
              </v:textbox>
            </v:shape>
          </w:pict>
        </mc:Fallback>
      </mc:AlternateContent>
    </w:r>
  </w:p>
  <w:p w14:paraId="56BCF6C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B0E39">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0E6BE2F1"/>
    <w:multiLevelType w:val="singleLevel"/>
    <w:tmpl w:val="0E6BE2F1"/>
    <w:lvl w:ilvl="0" w:tentative="0">
      <w:start w:val="5"/>
      <w:numFmt w:val="chineseCounting"/>
      <w:suff w:val="space"/>
      <w:lvlText w:val="第%1部分"/>
      <w:lvlJc w:val="left"/>
      <w:rPr>
        <w:rFonts w:hint="eastAsia"/>
      </w:rPr>
    </w:lvl>
  </w:abstractNum>
  <w:abstractNum w:abstractNumId="2">
    <w:nsid w:val="146D3E0C"/>
    <w:multiLevelType w:val="multilevel"/>
    <w:tmpl w:val="146D3E0C"/>
    <w:lvl w:ilvl="0" w:tentative="0">
      <w:start w:val="1"/>
      <w:numFmt w:val="japaneseCounting"/>
      <w:lvlText w:val="%1、"/>
      <w:lvlJc w:val="left"/>
      <w:pPr>
        <w:ind w:left="1360" w:hanging="720"/>
      </w:pPr>
      <w:rPr>
        <w:rFonts w:hint="default" w:cs="Times New Roman"/>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2A8C2884"/>
    <w:multiLevelType w:val="singleLevel"/>
    <w:tmpl w:val="2A8C2884"/>
    <w:lvl w:ilvl="0" w:tentative="0">
      <w:start w:val="3"/>
      <w:numFmt w:val="chineseCounting"/>
      <w:suff w:val="nothing"/>
      <w:lvlText w:val="（%1）"/>
      <w:lvlJc w:val="left"/>
      <w:pPr>
        <w:ind w:left="480" w:leftChars="0" w:firstLine="0" w:firstLineChars="0"/>
      </w:pPr>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wNjk1ZDEzYWQ2MzkxYWI4OTY5MGUzMWE2M2YyYjUifQ=="/>
  </w:docVars>
  <w:rsids>
    <w:rsidRoot w:val="00F1361C"/>
    <w:rsid w:val="0000114E"/>
    <w:rsid w:val="00001B42"/>
    <w:rsid w:val="000028E9"/>
    <w:rsid w:val="000050B3"/>
    <w:rsid w:val="000055E9"/>
    <w:rsid w:val="000222C6"/>
    <w:rsid w:val="0002549F"/>
    <w:rsid w:val="00025CCE"/>
    <w:rsid w:val="000263F8"/>
    <w:rsid w:val="00026CC0"/>
    <w:rsid w:val="00034BFA"/>
    <w:rsid w:val="000369E7"/>
    <w:rsid w:val="00036FD9"/>
    <w:rsid w:val="00040FBB"/>
    <w:rsid w:val="000467F9"/>
    <w:rsid w:val="000468DB"/>
    <w:rsid w:val="0005279E"/>
    <w:rsid w:val="000552C6"/>
    <w:rsid w:val="0006487A"/>
    <w:rsid w:val="00065F8F"/>
    <w:rsid w:val="00070A43"/>
    <w:rsid w:val="000768F2"/>
    <w:rsid w:val="000804A5"/>
    <w:rsid w:val="0008657E"/>
    <w:rsid w:val="000913B5"/>
    <w:rsid w:val="0009184B"/>
    <w:rsid w:val="00094236"/>
    <w:rsid w:val="00094528"/>
    <w:rsid w:val="0009593C"/>
    <w:rsid w:val="00097177"/>
    <w:rsid w:val="00097322"/>
    <w:rsid w:val="000A6A92"/>
    <w:rsid w:val="000A7236"/>
    <w:rsid w:val="000B047F"/>
    <w:rsid w:val="000B1C18"/>
    <w:rsid w:val="000B1D2D"/>
    <w:rsid w:val="000B5923"/>
    <w:rsid w:val="000B5A48"/>
    <w:rsid w:val="000B6FF3"/>
    <w:rsid w:val="000C1B65"/>
    <w:rsid w:val="000C3467"/>
    <w:rsid w:val="000C3CA6"/>
    <w:rsid w:val="000D1128"/>
    <w:rsid w:val="000D1267"/>
    <w:rsid w:val="000D1D50"/>
    <w:rsid w:val="000D5782"/>
    <w:rsid w:val="000E3DC0"/>
    <w:rsid w:val="000E6613"/>
    <w:rsid w:val="000E7119"/>
    <w:rsid w:val="00101F71"/>
    <w:rsid w:val="001037EC"/>
    <w:rsid w:val="00107C9D"/>
    <w:rsid w:val="0011304C"/>
    <w:rsid w:val="00114E9B"/>
    <w:rsid w:val="00117BA1"/>
    <w:rsid w:val="001206C8"/>
    <w:rsid w:val="00122965"/>
    <w:rsid w:val="00123969"/>
    <w:rsid w:val="00124655"/>
    <w:rsid w:val="00142216"/>
    <w:rsid w:val="00144D6A"/>
    <w:rsid w:val="00145F75"/>
    <w:rsid w:val="0014729F"/>
    <w:rsid w:val="00157BAB"/>
    <w:rsid w:val="001654D1"/>
    <w:rsid w:val="00167067"/>
    <w:rsid w:val="00173143"/>
    <w:rsid w:val="00174518"/>
    <w:rsid w:val="00175990"/>
    <w:rsid w:val="00177342"/>
    <w:rsid w:val="0018106D"/>
    <w:rsid w:val="00182055"/>
    <w:rsid w:val="001877A7"/>
    <w:rsid w:val="00191536"/>
    <w:rsid w:val="001939C3"/>
    <w:rsid w:val="00193EBF"/>
    <w:rsid w:val="00196687"/>
    <w:rsid w:val="001A3303"/>
    <w:rsid w:val="001A387D"/>
    <w:rsid w:val="001A73CE"/>
    <w:rsid w:val="001C0962"/>
    <w:rsid w:val="001C6860"/>
    <w:rsid w:val="001D3233"/>
    <w:rsid w:val="001D5D39"/>
    <w:rsid w:val="001D7531"/>
    <w:rsid w:val="001E737D"/>
    <w:rsid w:val="001E7D4F"/>
    <w:rsid w:val="001F0592"/>
    <w:rsid w:val="001F7506"/>
    <w:rsid w:val="002006CD"/>
    <w:rsid w:val="00202B36"/>
    <w:rsid w:val="00204B7A"/>
    <w:rsid w:val="00204CDE"/>
    <w:rsid w:val="0021101A"/>
    <w:rsid w:val="00211808"/>
    <w:rsid w:val="00220536"/>
    <w:rsid w:val="00235629"/>
    <w:rsid w:val="00243E7F"/>
    <w:rsid w:val="00246314"/>
    <w:rsid w:val="00246C9A"/>
    <w:rsid w:val="00254A83"/>
    <w:rsid w:val="00260C38"/>
    <w:rsid w:val="002616C0"/>
    <w:rsid w:val="002647CD"/>
    <w:rsid w:val="00265372"/>
    <w:rsid w:val="002661B4"/>
    <w:rsid w:val="002662AA"/>
    <w:rsid w:val="00280496"/>
    <w:rsid w:val="00283A86"/>
    <w:rsid w:val="002844F2"/>
    <w:rsid w:val="00287C92"/>
    <w:rsid w:val="00294DC9"/>
    <w:rsid w:val="00295495"/>
    <w:rsid w:val="00295C34"/>
    <w:rsid w:val="002A31DE"/>
    <w:rsid w:val="002A70B5"/>
    <w:rsid w:val="002B2613"/>
    <w:rsid w:val="002B3AD5"/>
    <w:rsid w:val="002B6ACF"/>
    <w:rsid w:val="002B790E"/>
    <w:rsid w:val="002B7C7B"/>
    <w:rsid w:val="002D3FAB"/>
    <w:rsid w:val="002D4F40"/>
    <w:rsid w:val="002D6D05"/>
    <w:rsid w:val="002E0529"/>
    <w:rsid w:val="002F1818"/>
    <w:rsid w:val="002F3E38"/>
    <w:rsid w:val="002F4E4F"/>
    <w:rsid w:val="002F567B"/>
    <w:rsid w:val="002F7378"/>
    <w:rsid w:val="00311CC4"/>
    <w:rsid w:val="003161F3"/>
    <w:rsid w:val="003216A9"/>
    <w:rsid w:val="00323C08"/>
    <w:rsid w:val="00324E2B"/>
    <w:rsid w:val="00330B6C"/>
    <w:rsid w:val="00335A74"/>
    <w:rsid w:val="00341DE5"/>
    <w:rsid w:val="0035436E"/>
    <w:rsid w:val="0036561B"/>
    <w:rsid w:val="00365FEB"/>
    <w:rsid w:val="0037013F"/>
    <w:rsid w:val="00376D4B"/>
    <w:rsid w:val="0038038A"/>
    <w:rsid w:val="00380C92"/>
    <w:rsid w:val="0038415B"/>
    <w:rsid w:val="00391DCE"/>
    <w:rsid w:val="0039523D"/>
    <w:rsid w:val="003A0428"/>
    <w:rsid w:val="003A484F"/>
    <w:rsid w:val="003A4883"/>
    <w:rsid w:val="003B0BE0"/>
    <w:rsid w:val="003B0C1B"/>
    <w:rsid w:val="003B688C"/>
    <w:rsid w:val="003C0291"/>
    <w:rsid w:val="003C39AE"/>
    <w:rsid w:val="003C7B60"/>
    <w:rsid w:val="003D0C0F"/>
    <w:rsid w:val="003D1FB2"/>
    <w:rsid w:val="003D5174"/>
    <w:rsid w:val="003D66DA"/>
    <w:rsid w:val="003D6DDB"/>
    <w:rsid w:val="003E1310"/>
    <w:rsid w:val="003E4A8D"/>
    <w:rsid w:val="003E6F55"/>
    <w:rsid w:val="003F7BE4"/>
    <w:rsid w:val="00404C3C"/>
    <w:rsid w:val="00406254"/>
    <w:rsid w:val="00416C2A"/>
    <w:rsid w:val="004223DE"/>
    <w:rsid w:val="00422809"/>
    <w:rsid w:val="00434489"/>
    <w:rsid w:val="00437085"/>
    <w:rsid w:val="00443880"/>
    <w:rsid w:val="004464F4"/>
    <w:rsid w:val="004572AC"/>
    <w:rsid w:val="004630CA"/>
    <w:rsid w:val="00466BD1"/>
    <w:rsid w:val="00471401"/>
    <w:rsid w:val="00473BCF"/>
    <w:rsid w:val="00473F31"/>
    <w:rsid w:val="004748DB"/>
    <w:rsid w:val="0048263A"/>
    <w:rsid w:val="00487E5D"/>
    <w:rsid w:val="00493040"/>
    <w:rsid w:val="00495A5E"/>
    <w:rsid w:val="004A711F"/>
    <w:rsid w:val="004B199D"/>
    <w:rsid w:val="004B4690"/>
    <w:rsid w:val="004C6195"/>
    <w:rsid w:val="004E0A2D"/>
    <w:rsid w:val="004E206B"/>
    <w:rsid w:val="004E24EF"/>
    <w:rsid w:val="004E6DF7"/>
    <w:rsid w:val="004F0FBD"/>
    <w:rsid w:val="004F283C"/>
    <w:rsid w:val="00504037"/>
    <w:rsid w:val="00505A47"/>
    <w:rsid w:val="00512FDA"/>
    <w:rsid w:val="00520DA0"/>
    <w:rsid w:val="005216DE"/>
    <w:rsid w:val="00526232"/>
    <w:rsid w:val="005304A3"/>
    <w:rsid w:val="00534226"/>
    <w:rsid w:val="0053689B"/>
    <w:rsid w:val="0055214B"/>
    <w:rsid w:val="00561236"/>
    <w:rsid w:val="005664BB"/>
    <w:rsid w:val="00566FFA"/>
    <w:rsid w:val="0057481D"/>
    <w:rsid w:val="00582A64"/>
    <w:rsid w:val="0058486E"/>
    <w:rsid w:val="00585B33"/>
    <w:rsid w:val="0059014D"/>
    <w:rsid w:val="005917FF"/>
    <w:rsid w:val="00592146"/>
    <w:rsid w:val="005A0B3F"/>
    <w:rsid w:val="005A1072"/>
    <w:rsid w:val="005A7820"/>
    <w:rsid w:val="005B0CD1"/>
    <w:rsid w:val="005B16EF"/>
    <w:rsid w:val="005B5C64"/>
    <w:rsid w:val="005C1356"/>
    <w:rsid w:val="005C1AAF"/>
    <w:rsid w:val="005C5337"/>
    <w:rsid w:val="005C5531"/>
    <w:rsid w:val="005C6BD0"/>
    <w:rsid w:val="005C7555"/>
    <w:rsid w:val="005D1C8B"/>
    <w:rsid w:val="005D266F"/>
    <w:rsid w:val="005D468D"/>
    <w:rsid w:val="005D5CED"/>
    <w:rsid w:val="005D6B00"/>
    <w:rsid w:val="005E42F1"/>
    <w:rsid w:val="005F1A4C"/>
    <w:rsid w:val="005F21EA"/>
    <w:rsid w:val="00605688"/>
    <w:rsid w:val="00606D8C"/>
    <w:rsid w:val="006070AF"/>
    <w:rsid w:val="00607E6C"/>
    <w:rsid w:val="006101B1"/>
    <w:rsid w:val="006116A0"/>
    <w:rsid w:val="00611D44"/>
    <w:rsid w:val="0061415B"/>
    <w:rsid w:val="00614E44"/>
    <w:rsid w:val="006158B5"/>
    <w:rsid w:val="0062270A"/>
    <w:rsid w:val="00622830"/>
    <w:rsid w:val="00623DA0"/>
    <w:rsid w:val="00623F0C"/>
    <w:rsid w:val="00624A4F"/>
    <w:rsid w:val="00630AEF"/>
    <w:rsid w:val="006325F8"/>
    <w:rsid w:val="00633463"/>
    <w:rsid w:val="00634320"/>
    <w:rsid w:val="00634C9A"/>
    <w:rsid w:val="006440E4"/>
    <w:rsid w:val="00654F37"/>
    <w:rsid w:val="0066343B"/>
    <w:rsid w:val="00664777"/>
    <w:rsid w:val="00666936"/>
    <w:rsid w:val="00672CD8"/>
    <w:rsid w:val="006748A4"/>
    <w:rsid w:val="00677724"/>
    <w:rsid w:val="00681A31"/>
    <w:rsid w:val="00683E73"/>
    <w:rsid w:val="00697A4F"/>
    <w:rsid w:val="006A285A"/>
    <w:rsid w:val="006A3141"/>
    <w:rsid w:val="006A4AA8"/>
    <w:rsid w:val="006A5E34"/>
    <w:rsid w:val="006B08E7"/>
    <w:rsid w:val="006B2422"/>
    <w:rsid w:val="006B2B9A"/>
    <w:rsid w:val="006B456E"/>
    <w:rsid w:val="006C1937"/>
    <w:rsid w:val="006C61C6"/>
    <w:rsid w:val="006C6226"/>
    <w:rsid w:val="006D1E55"/>
    <w:rsid w:val="006E0BB4"/>
    <w:rsid w:val="006E251F"/>
    <w:rsid w:val="006E4460"/>
    <w:rsid w:val="006F020C"/>
    <w:rsid w:val="00705BFF"/>
    <w:rsid w:val="00707669"/>
    <w:rsid w:val="007127B7"/>
    <w:rsid w:val="00714485"/>
    <w:rsid w:val="00714C4D"/>
    <w:rsid w:val="0071798E"/>
    <w:rsid w:val="007401A9"/>
    <w:rsid w:val="007416B6"/>
    <w:rsid w:val="00746F48"/>
    <w:rsid w:val="00750882"/>
    <w:rsid w:val="0075404D"/>
    <w:rsid w:val="0076182A"/>
    <w:rsid w:val="00761A08"/>
    <w:rsid w:val="00763852"/>
    <w:rsid w:val="0076788D"/>
    <w:rsid w:val="00767B7E"/>
    <w:rsid w:val="007734CE"/>
    <w:rsid w:val="007770C3"/>
    <w:rsid w:val="00784D24"/>
    <w:rsid w:val="00785FBA"/>
    <w:rsid w:val="00786E4A"/>
    <w:rsid w:val="007875EB"/>
    <w:rsid w:val="00792A1A"/>
    <w:rsid w:val="0079426B"/>
    <w:rsid w:val="007B030F"/>
    <w:rsid w:val="007B49F8"/>
    <w:rsid w:val="007B52A8"/>
    <w:rsid w:val="007B674D"/>
    <w:rsid w:val="007C0776"/>
    <w:rsid w:val="007D1682"/>
    <w:rsid w:val="007D312A"/>
    <w:rsid w:val="007D3F19"/>
    <w:rsid w:val="007D7B3F"/>
    <w:rsid w:val="007E23B0"/>
    <w:rsid w:val="007E23E5"/>
    <w:rsid w:val="007F1991"/>
    <w:rsid w:val="007F2C2F"/>
    <w:rsid w:val="007F55FC"/>
    <w:rsid w:val="007F5665"/>
    <w:rsid w:val="007F5AAB"/>
    <w:rsid w:val="00800112"/>
    <w:rsid w:val="0080171F"/>
    <w:rsid w:val="008120EE"/>
    <w:rsid w:val="008122DA"/>
    <w:rsid w:val="0081283A"/>
    <w:rsid w:val="00813348"/>
    <w:rsid w:val="00820566"/>
    <w:rsid w:val="008253BB"/>
    <w:rsid w:val="00832115"/>
    <w:rsid w:val="00835E6A"/>
    <w:rsid w:val="0083706E"/>
    <w:rsid w:val="008408F6"/>
    <w:rsid w:val="008423A5"/>
    <w:rsid w:val="00850625"/>
    <w:rsid w:val="008521E9"/>
    <w:rsid w:val="00852AB6"/>
    <w:rsid w:val="00853718"/>
    <w:rsid w:val="008537D1"/>
    <w:rsid w:val="00854DC5"/>
    <w:rsid w:val="00855221"/>
    <w:rsid w:val="008577D5"/>
    <w:rsid w:val="00860645"/>
    <w:rsid w:val="00860DD0"/>
    <w:rsid w:val="00863162"/>
    <w:rsid w:val="00867AA0"/>
    <w:rsid w:val="00871F71"/>
    <w:rsid w:val="00872FD8"/>
    <w:rsid w:val="00873728"/>
    <w:rsid w:val="008815AD"/>
    <w:rsid w:val="008818DF"/>
    <w:rsid w:val="00882EBD"/>
    <w:rsid w:val="00884CEF"/>
    <w:rsid w:val="00885AF4"/>
    <w:rsid w:val="008912B4"/>
    <w:rsid w:val="008939CD"/>
    <w:rsid w:val="00893B7F"/>
    <w:rsid w:val="008A0AA1"/>
    <w:rsid w:val="008A6A5F"/>
    <w:rsid w:val="008B4F91"/>
    <w:rsid w:val="008B5A22"/>
    <w:rsid w:val="008B768C"/>
    <w:rsid w:val="008C12FB"/>
    <w:rsid w:val="008C2C06"/>
    <w:rsid w:val="008C33B5"/>
    <w:rsid w:val="008C4DB1"/>
    <w:rsid w:val="008C4EAF"/>
    <w:rsid w:val="008C5176"/>
    <w:rsid w:val="008C6F52"/>
    <w:rsid w:val="008C7FD0"/>
    <w:rsid w:val="008D4B89"/>
    <w:rsid w:val="008D6385"/>
    <w:rsid w:val="008E1903"/>
    <w:rsid w:val="008E1DE7"/>
    <w:rsid w:val="008E50CD"/>
    <w:rsid w:val="008E707C"/>
    <w:rsid w:val="008F59EF"/>
    <w:rsid w:val="00900B08"/>
    <w:rsid w:val="00901B92"/>
    <w:rsid w:val="00902155"/>
    <w:rsid w:val="00902457"/>
    <w:rsid w:val="00902FA3"/>
    <w:rsid w:val="00905BB1"/>
    <w:rsid w:val="009146E1"/>
    <w:rsid w:val="00923564"/>
    <w:rsid w:val="0092392E"/>
    <w:rsid w:val="00924CC6"/>
    <w:rsid w:val="009315F9"/>
    <w:rsid w:val="009324BF"/>
    <w:rsid w:val="00933499"/>
    <w:rsid w:val="00935C98"/>
    <w:rsid w:val="00946945"/>
    <w:rsid w:val="00946D82"/>
    <w:rsid w:val="00951248"/>
    <w:rsid w:val="0095152F"/>
    <w:rsid w:val="00954C49"/>
    <w:rsid w:val="00955CB8"/>
    <w:rsid w:val="00955E37"/>
    <w:rsid w:val="00967827"/>
    <w:rsid w:val="0097099F"/>
    <w:rsid w:val="00971997"/>
    <w:rsid w:val="00971DF8"/>
    <w:rsid w:val="00971FFC"/>
    <w:rsid w:val="0098329B"/>
    <w:rsid w:val="00985584"/>
    <w:rsid w:val="0098660A"/>
    <w:rsid w:val="00990E13"/>
    <w:rsid w:val="00992C27"/>
    <w:rsid w:val="009931C3"/>
    <w:rsid w:val="009A3F7A"/>
    <w:rsid w:val="009B1D6A"/>
    <w:rsid w:val="009B2C43"/>
    <w:rsid w:val="009B4E4C"/>
    <w:rsid w:val="009B4EAE"/>
    <w:rsid w:val="009B6074"/>
    <w:rsid w:val="009B7573"/>
    <w:rsid w:val="009C22F4"/>
    <w:rsid w:val="009C2A4B"/>
    <w:rsid w:val="009C2E98"/>
    <w:rsid w:val="009D3447"/>
    <w:rsid w:val="009D4711"/>
    <w:rsid w:val="009F1185"/>
    <w:rsid w:val="009F18CD"/>
    <w:rsid w:val="009F2A13"/>
    <w:rsid w:val="009F365F"/>
    <w:rsid w:val="009F592B"/>
    <w:rsid w:val="009F7527"/>
    <w:rsid w:val="00A03D66"/>
    <w:rsid w:val="00A04EB0"/>
    <w:rsid w:val="00A063D9"/>
    <w:rsid w:val="00A078B4"/>
    <w:rsid w:val="00A12AFA"/>
    <w:rsid w:val="00A13CC1"/>
    <w:rsid w:val="00A15B8A"/>
    <w:rsid w:val="00A15F27"/>
    <w:rsid w:val="00A16847"/>
    <w:rsid w:val="00A237D8"/>
    <w:rsid w:val="00A268C4"/>
    <w:rsid w:val="00A307CD"/>
    <w:rsid w:val="00A331C8"/>
    <w:rsid w:val="00A33ED7"/>
    <w:rsid w:val="00A34971"/>
    <w:rsid w:val="00A36301"/>
    <w:rsid w:val="00A40A00"/>
    <w:rsid w:val="00A4142F"/>
    <w:rsid w:val="00A422EB"/>
    <w:rsid w:val="00A45A48"/>
    <w:rsid w:val="00A45BB7"/>
    <w:rsid w:val="00A47943"/>
    <w:rsid w:val="00A51802"/>
    <w:rsid w:val="00A54918"/>
    <w:rsid w:val="00A56410"/>
    <w:rsid w:val="00A56DF2"/>
    <w:rsid w:val="00A56E6E"/>
    <w:rsid w:val="00A60B8F"/>
    <w:rsid w:val="00A67AB5"/>
    <w:rsid w:val="00A733B2"/>
    <w:rsid w:val="00A741C2"/>
    <w:rsid w:val="00A75560"/>
    <w:rsid w:val="00A75F05"/>
    <w:rsid w:val="00A76868"/>
    <w:rsid w:val="00A806E7"/>
    <w:rsid w:val="00A834CC"/>
    <w:rsid w:val="00A8705A"/>
    <w:rsid w:val="00A91760"/>
    <w:rsid w:val="00A924D8"/>
    <w:rsid w:val="00A93B00"/>
    <w:rsid w:val="00A93C21"/>
    <w:rsid w:val="00A97950"/>
    <w:rsid w:val="00AB1E37"/>
    <w:rsid w:val="00AB467D"/>
    <w:rsid w:val="00AB64C9"/>
    <w:rsid w:val="00AB722B"/>
    <w:rsid w:val="00AC1F8A"/>
    <w:rsid w:val="00AC3C6A"/>
    <w:rsid w:val="00AC730B"/>
    <w:rsid w:val="00AD1091"/>
    <w:rsid w:val="00AD436C"/>
    <w:rsid w:val="00AD5620"/>
    <w:rsid w:val="00AD5DBB"/>
    <w:rsid w:val="00AD656B"/>
    <w:rsid w:val="00AD7C1B"/>
    <w:rsid w:val="00AE16BA"/>
    <w:rsid w:val="00AE1EBE"/>
    <w:rsid w:val="00AF16A7"/>
    <w:rsid w:val="00AF3226"/>
    <w:rsid w:val="00AF46DC"/>
    <w:rsid w:val="00B03C9D"/>
    <w:rsid w:val="00B060AE"/>
    <w:rsid w:val="00B10517"/>
    <w:rsid w:val="00B14E76"/>
    <w:rsid w:val="00B161B8"/>
    <w:rsid w:val="00B2048C"/>
    <w:rsid w:val="00B30312"/>
    <w:rsid w:val="00B310B9"/>
    <w:rsid w:val="00B332E0"/>
    <w:rsid w:val="00B35F3F"/>
    <w:rsid w:val="00B36CBB"/>
    <w:rsid w:val="00B4249D"/>
    <w:rsid w:val="00B425E0"/>
    <w:rsid w:val="00B440AA"/>
    <w:rsid w:val="00B44B70"/>
    <w:rsid w:val="00B47366"/>
    <w:rsid w:val="00B53C56"/>
    <w:rsid w:val="00B54522"/>
    <w:rsid w:val="00B54FF7"/>
    <w:rsid w:val="00B55D98"/>
    <w:rsid w:val="00B565C8"/>
    <w:rsid w:val="00B57DAF"/>
    <w:rsid w:val="00B74349"/>
    <w:rsid w:val="00B7740E"/>
    <w:rsid w:val="00B77EA6"/>
    <w:rsid w:val="00B81210"/>
    <w:rsid w:val="00B81598"/>
    <w:rsid w:val="00B828FA"/>
    <w:rsid w:val="00B841F1"/>
    <w:rsid w:val="00B854E3"/>
    <w:rsid w:val="00B944D6"/>
    <w:rsid w:val="00B94FEC"/>
    <w:rsid w:val="00BA60E4"/>
    <w:rsid w:val="00BB4DF0"/>
    <w:rsid w:val="00BC100C"/>
    <w:rsid w:val="00BC289F"/>
    <w:rsid w:val="00BC2D50"/>
    <w:rsid w:val="00BC5361"/>
    <w:rsid w:val="00BC5460"/>
    <w:rsid w:val="00BC6B50"/>
    <w:rsid w:val="00BD0E25"/>
    <w:rsid w:val="00BD148C"/>
    <w:rsid w:val="00BD406D"/>
    <w:rsid w:val="00BD5C30"/>
    <w:rsid w:val="00BE19ED"/>
    <w:rsid w:val="00BF5BD6"/>
    <w:rsid w:val="00BF6287"/>
    <w:rsid w:val="00BF6FB6"/>
    <w:rsid w:val="00C03E31"/>
    <w:rsid w:val="00C055D9"/>
    <w:rsid w:val="00C10B52"/>
    <w:rsid w:val="00C24158"/>
    <w:rsid w:val="00C322F7"/>
    <w:rsid w:val="00C33E72"/>
    <w:rsid w:val="00C34810"/>
    <w:rsid w:val="00C354B2"/>
    <w:rsid w:val="00C35554"/>
    <w:rsid w:val="00C42709"/>
    <w:rsid w:val="00C5024C"/>
    <w:rsid w:val="00C51713"/>
    <w:rsid w:val="00C533CC"/>
    <w:rsid w:val="00C5751C"/>
    <w:rsid w:val="00C61BFC"/>
    <w:rsid w:val="00C62B85"/>
    <w:rsid w:val="00C65438"/>
    <w:rsid w:val="00C819A2"/>
    <w:rsid w:val="00C83480"/>
    <w:rsid w:val="00C850D2"/>
    <w:rsid w:val="00C87FD8"/>
    <w:rsid w:val="00C9071F"/>
    <w:rsid w:val="00C90BCD"/>
    <w:rsid w:val="00C91381"/>
    <w:rsid w:val="00C91CBB"/>
    <w:rsid w:val="00C9290B"/>
    <w:rsid w:val="00C92EC5"/>
    <w:rsid w:val="00CA78CB"/>
    <w:rsid w:val="00CB4E70"/>
    <w:rsid w:val="00CB5103"/>
    <w:rsid w:val="00CB74D6"/>
    <w:rsid w:val="00CC09B6"/>
    <w:rsid w:val="00CC666F"/>
    <w:rsid w:val="00CD1E3F"/>
    <w:rsid w:val="00CE1390"/>
    <w:rsid w:val="00CE44F6"/>
    <w:rsid w:val="00CE49DA"/>
    <w:rsid w:val="00CE7B61"/>
    <w:rsid w:val="00CE7D96"/>
    <w:rsid w:val="00CF2383"/>
    <w:rsid w:val="00D00095"/>
    <w:rsid w:val="00D02F43"/>
    <w:rsid w:val="00D114F0"/>
    <w:rsid w:val="00D12C89"/>
    <w:rsid w:val="00D17043"/>
    <w:rsid w:val="00D203FC"/>
    <w:rsid w:val="00D20620"/>
    <w:rsid w:val="00D22E6C"/>
    <w:rsid w:val="00D254F7"/>
    <w:rsid w:val="00D26091"/>
    <w:rsid w:val="00D2685C"/>
    <w:rsid w:val="00D26ED5"/>
    <w:rsid w:val="00D30B68"/>
    <w:rsid w:val="00D34E7C"/>
    <w:rsid w:val="00D35489"/>
    <w:rsid w:val="00D36AFE"/>
    <w:rsid w:val="00D51276"/>
    <w:rsid w:val="00D536CF"/>
    <w:rsid w:val="00D55283"/>
    <w:rsid w:val="00D57BEE"/>
    <w:rsid w:val="00D618E2"/>
    <w:rsid w:val="00D64988"/>
    <w:rsid w:val="00D7035F"/>
    <w:rsid w:val="00D77F80"/>
    <w:rsid w:val="00D83DF7"/>
    <w:rsid w:val="00D86E44"/>
    <w:rsid w:val="00D90F81"/>
    <w:rsid w:val="00D96D89"/>
    <w:rsid w:val="00DA4B8A"/>
    <w:rsid w:val="00DA634F"/>
    <w:rsid w:val="00DA65AC"/>
    <w:rsid w:val="00DB1913"/>
    <w:rsid w:val="00DB422E"/>
    <w:rsid w:val="00DB5094"/>
    <w:rsid w:val="00DB74FA"/>
    <w:rsid w:val="00DC410D"/>
    <w:rsid w:val="00DC510E"/>
    <w:rsid w:val="00DC5A81"/>
    <w:rsid w:val="00DC661E"/>
    <w:rsid w:val="00DC68CA"/>
    <w:rsid w:val="00DC7CBA"/>
    <w:rsid w:val="00DD73B7"/>
    <w:rsid w:val="00DE0ECE"/>
    <w:rsid w:val="00DE3164"/>
    <w:rsid w:val="00DF0941"/>
    <w:rsid w:val="00DF0E71"/>
    <w:rsid w:val="00DF19A9"/>
    <w:rsid w:val="00DF1E10"/>
    <w:rsid w:val="00DF28BC"/>
    <w:rsid w:val="00DF34B9"/>
    <w:rsid w:val="00E01053"/>
    <w:rsid w:val="00E024F7"/>
    <w:rsid w:val="00E03A58"/>
    <w:rsid w:val="00E05F70"/>
    <w:rsid w:val="00E062EC"/>
    <w:rsid w:val="00E07ACF"/>
    <w:rsid w:val="00E07CB0"/>
    <w:rsid w:val="00E124FB"/>
    <w:rsid w:val="00E16599"/>
    <w:rsid w:val="00E20F2C"/>
    <w:rsid w:val="00E2227E"/>
    <w:rsid w:val="00E2628E"/>
    <w:rsid w:val="00E331A1"/>
    <w:rsid w:val="00E33202"/>
    <w:rsid w:val="00E336A9"/>
    <w:rsid w:val="00E35438"/>
    <w:rsid w:val="00E472B1"/>
    <w:rsid w:val="00E47FB8"/>
    <w:rsid w:val="00E50624"/>
    <w:rsid w:val="00E52F67"/>
    <w:rsid w:val="00E568DF"/>
    <w:rsid w:val="00E56F1C"/>
    <w:rsid w:val="00E64269"/>
    <w:rsid w:val="00E65B2B"/>
    <w:rsid w:val="00E72FBA"/>
    <w:rsid w:val="00E82267"/>
    <w:rsid w:val="00E8280E"/>
    <w:rsid w:val="00E83D60"/>
    <w:rsid w:val="00E853CE"/>
    <w:rsid w:val="00E867B6"/>
    <w:rsid w:val="00E91E56"/>
    <w:rsid w:val="00EA00F7"/>
    <w:rsid w:val="00EA010F"/>
    <w:rsid w:val="00EA2658"/>
    <w:rsid w:val="00EB37BE"/>
    <w:rsid w:val="00EB3D86"/>
    <w:rsid w:val="00EB434E"/>
    <w:rsid w:val="00EB66B6"/>
    <w:rsid w:val="00EC072E"/>
    <w:rsid w:val="00ED1390"/>
    <w:rsid w:val="00ED1B63"/>
    <w:rsid w:val="00ED3C1F"/>
    <w:rsid w:val="00ED4085"/>
    <w:rsid w:val="00ED420E"/>
    <w:rsid w:val="00ED6FBE"/>
    <w:rsid w:val="00EE1362"/>
    <w:rsid w:val="00EE2F57"/>
    <w:rsid w:val="00EE4E21"/>
    <w:rsid w:val="00EF4C34"/>
    <w:rsid w:val="00EF77C6"/>
    <w:rsid w:val="00F00F47"/>
    <w:rsid w:val="00F02F76"/>
    <w:rsid w:val="00F04DF2"/>
    <w:rsid w:val="00F05438"/>
    <w:rsid w:val="00F064F3"/>
    <w:rsid w:val="00F12A33"/>
    <w:rsid w:val="00F1361C"/>
    <w:rsid w:val="00F156F0"/>
    <w:rsid w:val="00F160C7"/>
    <w:rsid w:val="00F2408F"/>
    <w:rsid w:val="00F240E9"/>
    <w:rsid w:val="00F24B77"/>
    <w:rsid w:val="00F27148"/>
    <w:rsid w:val="00F2722B"/>
    <w:rsid w:val="00F34B6A"/>
    <w:rsid w:val="00F34CA6"/>
    <w:rsid w:val="00F359FA"/>
    <w:rsid w:val="00F35F0F"/>
    <w:rsid w:val="00F36D8F"/>
    <w:rsid w:val="00F417B1"/>
    <w:rsid w:val="00F45853"/>
    <w:rsid w:val="00F47372"/>
    <w:rsid w:val="00F602DF"/>
    <w:rsid w:val="00F754A1"/>
    <w:rsid w:val="00F766D0"/>
    <w:rsid w:val="00F81CDC"/>
    <w:rsid w:val="00F81FD9"/>
    <w:rsid w:val="00F825C5"/>
    <w:rsid w:val="00F841AA"/>
    <w:rsid w:val="00F84A94"/>
    <w:rsid w:val="00F87E96"/>
    <w:rsid w:val="00F93AFA"/>
    <w:rsid w:val="00FA23E8"/>
    <w:rsid w:val="00FB1243"/>
    <w:rsid w:val="00FB39CA"/>
    <w:rsid w:val="00FB60F6"/>
    <w:rsid w:val="00FB6BE8"/>
    <w:rsid w:val="00FB70F1"/>
    <w:rsid w:val="00FC22B2"/>
    <w:rsid w:val="00FC32E9"/>
    <w:rsid w:val="00FC5302"/>
    <w:rsid w:val="00FC698F"/>
    <w:rsid w:val="00FD3CC1"/>
    <w:rsid w:val="00FE366A"/>
    <w:rsid w:val="00FE6E51"/>
    <w:rsid w:val="00FF0581"/>
    <w:rsid w:val="00FF1E02"/>
    <w:rsid w:val="00FF30B4"/>
    <w:rsid w:val="00FF569E"/>
    <w:rsid w:val="012A0F21"/>
    <w:rsid w:val="013242D2"/>
    <w:rsid w:val="01573157"/>
    <w:rsid w:val="017A7871"/>
    <w:rsid w:val="01B35CE6"/>
    <w:rsid w:val="01E22734"/>
    <w:rsid w:val="024646D9"/>
    <w:rsid w:val="025541A7"/>
    <w:rsid w:val="0288775B"/>
    <w:rsid w:val="029613F1"/>
    <w:rsid w:val="03673F81"/>
    <w:rsid w:val="046F66E0"/>
    <w:rsid w:val="049E30D7"/>
    <w:rsid w:val="062C2E45"/>
    <w:rsid w:val="063C7694"/>
    <w:rsid w:val="066E0107"/>
    <w:rsid w:val="067C6FD8"/>
    <w:rsid w:val="06AA6E5C"/>
    <w:rsid w:val="078E7215"/>
    <w:rsid w:val="07996F6E"/>
    <w:rsid w:val="08525C77"/>
    <w:rsid w:val="0858779B"/>
    <w:rsid w:val="08AE2D21"/>
    <w:rsid w:val="093E1BCD"/>
    <w:rsid w:val="09CB5AFA"/>
    <w:rsid w:val="0A2032A3"/>
    <w:rsid w:val="0A73325F"/>
    <w:rsid w:val="0BFF1900"/>
    <w:rsid w:val="0D9F12EA"/>
    <w:rsid w:val="0E673CB1"/>
    <w:rsid w:val="0E6A25A1"/>
    <w:rsid w:val="0F8F7250"/>
    <w:rsid w:val="0FB112E2"/>
    <w:rsid w:val="0FBF2A38"/>
    <w:rsid w:val="101860EC"/>
    <w:rsid w:val="10880083"/>
    <w:rsid w:val="10980EE7"/>
    <w:rsid w:val="10C055FF"/>
    <w:rsid w:val="11271679"/>
    <w:rsid w:val="11455C41"/>
    <w:rsid w:val="114E358E"/>
    <w:rsid w:val="118107EC"/>
    <w:rsid w:val="12730ED0"/>
    <w:rsid w:val="134233F3"/>
    <w:rsid w:val="13442FB9"/>
    <w:rsid w:val="13A17E13"/>
    <w:rsid w:val="13D50BC4"/>
    <w:rsid w:val="14E26729"/>
    <w:rsid w:val="14E5555D"/>
    <w:rsid w:val="1532618C"/>
    <w:rsid w:val="166D083A"/>
    <w:rsid w:val="167B1F4C"/>
    <w:rsid w:val="16BB723D"/>
    <w:rsid w:val="16FE7684"/>
    <w:rsid w:val="182F579A"/>
    <w:rsid w:val="183C4252"/>
    <w:rsid w:val="18594539"/>
    <w:rsid w:val="18610218"/>
    <w:rsid w:val="18913240"/>
    <w:rsid w:val="190874C8"/>
    <w:rsid w:val="191F17CF"/>
    <w:rsid w:val="19293394"/>
    <w:rsid w:val="19385962"/>
    <w:rsid w:val="198F3C5C"/>
    <w:rsid w:val="199B277C"/>
    <w:rsid w:val="19E53199"/>
    <w:rsid w:val="1A475C95"/>
    <w:rsid w:val="1A8B50F9"/>
    <w:rsid w:val="1A8D375B"/>
    <w:rsid w:val="1AAB5088"/>
    <w:rsid w:val="1B0302E1"/>
    <w:rsid w:val="1B306465"/>
    <w:rsid w:val="1B861C92"/>
    <w:rsid w:val="1B9C0D4D"/>
    <w:rsid w:val="1BE8440E"/>
    <w:rsid w:val="1CA3450A"/>
    <w:rsid w:val="1CFB0960"/>
    <w:rsid w:val="1D155CEE"/>
    <w:rsid w:val="1D1A5E1F"/>
    <w:rsid w:val="1D2F5826"/>
    <w:rsid w:val="1D975839"/>
    <w:rsid w:val="1DEF4EDA"/>
    <w:rsid w:val="1E623F3E"/>
    <w:rsid w:val="1E715983"/>
    <w:rsid w:val="1E797775"/>
    <w:rsid w:val="1EE66CE1"/>
    <w:rsid w:val="1F463D23"/>
    <w:rsid w:val="1F7061D1"/>
    <w:rsid w:val="200266EC"/>
    <w:rsid w:val="20733CCF"/>
    <w:rsid w:val="209744CE"/>
    <w:rsid w:val="209E0604"/>
    <w:rsid w:val="20F71CF0"/>
    <w:rsid w:val="21FC71E9"/>
    <w:rsid w:val="22C20B20"/>
    <w:rsid w:val="22C530E5"/>
    <w:rsid w:val="23196323"/>
    <w:rsid w:val="233B1F67"/>
    <w:rsid w:val="23651FCC"/>
    <w:rsid w:val="237701CE"/>
    <w:rsid w:val="23860B96"/>
    <w:rsid w:val="240371BF"/>
    <w:rsid w:val="242F1DAC"/>
    <w:rsid w:val="24931748"/>
    <w:rsid w:val="24A6683A"/>
    <w:rsid w:val="24C644BF"/>
    <w:rsid w:val="25173940"/>
    <w:rsid w:val="26040F09"/>
    <w:rsid w:val="26272AAA"/>
    <w:rsid w:val="263022DD"/>
    <w:rsid w:val="2699520C"/>
    <w:rsid w:val="269A0182"/>
    <w:rsid w:val="26B05873"/>
    <w:rsid w:val="26DE15EF"/>
    <w:rsid w:val="27F407CA"/>
    <w:rsid w:val="28056B88"/>
    <w:rsid w:val="282C4463"/>
    <w:rsid w:val="28A010E5"/>
    <w:rsid w:val="28AE4337"/>
    <w:rsid w:val="29217A6C"/>
    <w:rsid w:val="29CD1BD3"/>
    <w:rsid w:val="29FD04D3"/>
    <w:rsid w:val="2A6B62FE"/>
    <w:rsid w:val="2AD450F0"/>
    <w:rsid w:val="2C8A61B5"/>
    <w:rsid w:val="2CF41B1F"/>
    <w:rsid w:val="2DF04E50"/>
    <w:rsid w:val="2E994820"/>
    <w:rsid w:val="2EA83E37"/>
    <w:rsid w:val="2EDB7D28"/>
    <w:rsid w:val="2F0450B3"/>
    <w:rsid w:val="301B6D2A"/>
    <w:rsid w:val="304B2799"/>
    <w:rsid w:val="30785B40"/>
    <w:rsid w:val="309649CB"/>
    <w:rsid w:val="30FF3626"/>
    <w:rsid w:val="319F7F4E"/>
    <w:rsid w:val="31D937AE"/>
    <w:rsid w:val="330F70BA"/>
    <w:rsid w:val="33B67607"/>
    <w:rsid w:val="33E95C31"/>
    <w:rsid w:val="34523D38"/>
    <w:rsid w:val="34C44463"/>
    <w:rsid w:val="36321C0C"/>
    <w:rsid w:val="36AA5135"/>
    <w:rsid w:val="36F43493"/>
    <w:rsid w:val="377B78CF"/>
    <w:rsid w:val="37A6428C"/>
    <w:rsid w:val="37E16F03"/>
    <w:rsid w:val="383C281B"/>
    <w:rsid w:val="388E79D8"/>
    <w:rsid w:val="38A65A5B"/>
    <w:rsid w:val="38AA562B"/>
    <w:rsid w:val="390F2633"/>
    <w:rsid w:val="39E24217"/>
    <w:rsid w:val="3AC47CC0"/>
    <w:rsid w:val="3ADD023E"/>
    <w:rsid w:val="3B9334DB"/>
    <w:rsid w:val="3BB5095E"/>
    <w:rsid w:val="3BC76DC5"/>
    <w:rsid w:val="3BC91436"/>
    <w:rsid w:val="3BE564E7"/>
    <w:rsid w:val="3BF82E42"/>
    <w:rsid w:val="3C4319E5"/>
    <w:rsid w:val="3C6F05BC"/>
    <w:rsid w:val="3D15073F"/>
    <w:rsid w:val="3D6F22E0"/>
    <w:rsid w:val="3D98207C"/>
    <w:rsid w:val="3D9B2E58"/>
    <w:rsid w:val="3F3F515E"/>
    <w:rsid w:val="3FA622B7"/>
    <w:rsid w:val="4049314A"/>
    <w:rsid w:val="4133243C"/>
    <w:rsid w:val="41CA53BB"/>
    <w:rsid w:val="4207185F"/>
    <w:rsid w:val="42CD0259"/>
    <w:rsid w:val="43B40507"/>
    <w:rsid w:val="442778A3"/>
    <w:rsid w:val="444C09F2"/>
    <w:rsid w:val="448E09C4"/>
    <w:rsid w:val="44E268DA"/>
    <w:rsid w:val="44F835E3"/>
    <w:rsid w:val="45F909CA"/>
    <w:rsid w:val="45FC031F"/>
    <w:rsid w:val="46C8179D"/>
    <w:rsid w:val="46EA5247"/>
    <w:rsid w:val="47513B53"/>
    <w:rsid w:val="47BF6018"/>
    <w:rsid w:val="4863090E"/>
    <w:rsid w:val="48AA753B"/>
    <w:rsid w:val="4A25606C"/>
    <w:rsid w:val="4A627F82"/>
    <w:rsid w:val="4AA46DA8"/>
    <w:rsid w:val="4AB30551"/>
    <w:rsid w:val="4B4B0A6C"/>
    <w:rsid w:val="4B4F25DA"/>
    <w:rsid w:val="4BE068DB"/>
    <w:rsid w:val="4BE94A30"/>
    <w:rsid w:val="4C6035A7"/>
    <w:rsid w:val="4CB152E7"/>
    <w:rsid w:val="4D25677F"/>
    <w:rsid w:val="4D4641E6"/>
    <w:rsid w:val="4D577224"/>
    <w:rsid w:val="4EAB630A"/>
    <w:rsid w:val="4ECE2238"/>
    <w:rsid w:val="4F427150"/>
    <w:rsid w:val="5209327C"/>
    <w:rsid w:val="523122FE"/>
    <w:rsid w:val="52894844"/>
    <w:rsid w:val="53A2053F"/>
    <w:rsid w:val="542346AB"/>
    <w:rsid w:val="54313BD3"/>
    <w:rsid w:val="544D4E38"/>
    <w:rsid w:val="55904B13"/>
    <w:rsid w:val="559C3DA2"/>
    <w:rsid w:val="55AC1849"/>
    <w:rsid w:val="56FC1B61"/>
    <w:rsid w:val="575D7469"/>
    <w:rsid w:val="57850F55"/>
    <w:rsid w:val="57C74280"/>
    <w:rsid w:val="59061727"/>
    <w:rsid w:val="597E5FB2"/>
    <w:rsid w:val="59BB5620"/>
    <w:rsid w:val="5AF92295"/>
    <w:rsid w:val="5B6118AB"/>
    <w:rsid w:val="5CD71FC4"/>
    <w:rsid w:val="5CDC7F3C"/>
    <w:rsid w:val="5D752800"/>
    <w:rsid w:val="5DC945EB"/>
    <w:rsid w:val="5E5555DF"/>
    <w:rsid w:val="5F4D3EDA"/>
    <w:rsid w:val="608B3490"/>
    <w:rsid w:val="60E13988"/>
    <w:rsid w:val="614B0850"/>
    <w:rsid w:val="62E737AA"/>
    <w:rsid w:val="638C3383"/>
    <w:rsid w:val="645F0B55"/>
    <w:rsid w:val="64984114"/>
    <w:rsid w:val="64B842F7"/>
    <w:rsid w:val="64DC7231"/>
    <w:rsid w:val="65455D95"/>
    <w:rsid w:val="65515C50"/>
    <w:rsid w:val="65AF3316"/>
    <w:rsid w:val="65FF43DA"/>
    <w:rsid w:val="664624B3"/>
    <w:rsid w:val="665D75A0"/>
    <w:rsid w:val="680D46C8"/>
    <w:rsid w:val="68AC0096"/>
    <w:rsid w:val="68ED014C"/>
    <w:rsid w:val="69DC3734"/>
    <w:rsid w:val="6A6913E5"/>
    <w:rsid w:val="6B780CF7"/>
    <w:rsid w:val="6BAD07D0"/>
    <w:rsid w:val="6BE7787D"/>
    <w:rsid w:val="6C4A05C8"/>
    <w:rsid w:val="6D11378F"/>
    <w:rsid w:val="6D365FE1"/>
    <w:rsid w:val="6D47280C"/>
    <w:rsid w:val="6E2B5D07"/>
    <w:rsid w:val="6E7E3605"/>
    <w:rsid w:val="6FF5CC65"/>
    <w:rsid w:val="705E10B2"/>
    <w:rsid w:val="70D4681B"/>
    <w:rsid w:val="715C0E4B"/>
    <w:rsid w:val="71BE6568"/>
    <w:rsid w:val="72600663"/>
    <w:rsid w:val="72734D90"/>
    <w:rsid w:val="7349515D"/>
    <w:rsid w:val="73AD73D5"/>
    <w:rsid w:val="73B6EB34"/>
    <w:rsid w:val="74A7522D"/>
    <w:rsid w:val="751D3276"/>
    <w:rsid w:val="75792677"/>
    <w:rsid w:val="75992C43"/>
    <w:rsid w:val="75A91E61"/>
    <w:rsid w:val="76067C70"/>
    <w:rsid w:val="76E07E3C"/>
    <w:rsid w:val="78F17723"/>
    <w:rsid w:val="79A13862"/>
    <w:rsid w:val="79EE5BA4"/>
    <w:rsid w:val="79F80A2B"/>
    <w:rsid w:val="79FD408F"/>
    <w:rsid w:val="7A2734CE"/>
    <w:rsid w:val="7A4D75DB"/>
    <w:rsid w:val="7A894339"/>
    <w:rsid w:val="7B4C79F4"/>
    <w:rsid w:val="7BDD3B9F"/>
    <w:rsid w:val="7D881D9C"/>
    <w:rsid w:val="7E2A1902"/>
    <w:rsid w:val="7ECF414D"/>
    <w:rsid w:val="7EEF11D3"/>
    <w:rsid w:val="7F7C3D10"/>
    <w:rsid w:val="7FA30C79"/>
    <w:rsid w:val="7FC96657"/>
    <w:rsid w:val="7FD049A5"/>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qFormat="1" w:uiPriority="99" w:semiHidden="0"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link w:val="39"/>
    <w:semiHidden/>
    <w:unhideWhenUsed/>
    <w:qFormat/>
    <w:uiPriority w:val="0"/>
    <w:pPr>
      <w:ind w:firstLine="420" w:firstLineChars="200"/>
    </w:pPr>
    <w:rPr>
      <w:rFonts w:eastAsia="Times New Roman"/>
    </w:rPr>
  </w:style>
  <w:style w:type="paragraph" w:styleId="4">
    <w:name w:val="Body Text Indent"/>
    <w:basedOn w:val="1"/>
    <w:next w:val="3"/>
    <w:link w:val="38"/>
    <w:semiHidden/>
    <w:unhideWhenUsed/>
    <w:qFormat/>
    <w:uiPriority w:val="99"/>
    <w:pPr>
      <w:spacing w:after="120"/>
      <w:ind w:left="420" w:leftChars="200"/>
    </w:pPr>
  </w:style>
  <w:style w:type="paragraph" w:styleId="8">
    <w:name w:val="Normal Indent"/>
    <w:basedOn w:val="1"/>
    <w:qFormat/>
    <w:uiPriority w:val="0"/>
    <w:pPr>
      <w:ind w:firstLine="200" w:firstLineChars="200"/>
    </w:pPr>
  </w:style>
  <w:style w:type="paragraph" w:styleId="9">
    <w:name w:val="Salutation"/>
    <w:basedOn w:val="1"/>
    <w:next w:val="1"/>
    <w:unhideWhenUsed/>
    <w:qFormat/>
    <w:uiPriority w:val="99"/>
  </w:style>
  <w:style w:type="paragraph" w:styleId="10">
    <w:name w:val="Body Text"/>
    <w:basedOn w:val="1"/>
    <w:next w:val="1"/>
    <w:link w:val="27"/>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3"/>
    <w:semiHidden/>
    <w:unhideWhenUsed/>
    <w:qFormat/>
    <w:uiPriority w:val="99"/>
    <w:rPr>
      <w:sz w:val="18"/>
      <w:szCs w:val="18"/>
    </w:rPr>
  </w:style>
  <w:style w:type="paragraph" w:styleId="13">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paragraph" w:styleId="17">
    <w:name w:val="Body Text First Indent"/>
    <w:basedOn w:val="10"/>
    <w:link w:val="37"/>
    <w:unhideWhenUsed/>
    <w:qFormat/>
    <w:uiPriority w:val="99"/>
    <w:pPr>
      <w:spacing w:beforeLines="0" w:after="120"/>
      <w:ind w:firstLine="420" w:firstLineChars="100"/>
    </w:pPr>
    <w:rPr>
      <w:rFonts w:ascii="Times New Roman" w:eastAsia="宋体"/>
      <w:kern w:val="2"/>
      <w:sz w:val="21"/>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4"/>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3"/>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10"/>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5"/>
    <w:qFormat/>
    <w:uiPriority w:val="9"/>
    <w:rPr>
      <w:rFonts w:ascii="Times New Roman" w:hAnsi="Times New Roman"/>
      <w:b/>
      <w:bCs/>
      <w:kern w:val="44"/>
      <w:sz w:val="44"/>
      <w:szCs w:val="44"/>
    </w:rPr>
  </w:style>
  <w:style w:type="character" w:customStyle="1" w:styleId="31">
    <w:name w:val="标题 2 Char"/>
    <w:basedOn w:val="19"/>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2"/>
    <w:semiHidden/>
    <w:qFormat/>
    <w:uiPriority w:val="99"/>
    <w:rPr>
      <w:rFonts w:ascii="Times New Roman" w:hAnsi="Times New Roman"/>
      <w:kern w:val="2"/>
      <w:sz w:val="18"/>
      <w:szCs w:val="18"/>
    </w:rPr>
  </w:style>
  <w:style w:type="character" w:customStyle="1" w:styleId="34">
    <w:name w:val="标题 3 Char"/>
    <w:basedOn w:val="19"/>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无间隔1"/>
    <w:qFormat/>
    <w:uiPriority w:val="1"/>
    <w:pPr>
      <w:widowControl w:val="0"/>
      <w:jc w:val="both"/>
    </w:pPr>
    <w:rPr>
      <w:rFonts w:ascii="Calibri" w:hAnsi="Calibri" w:eastAsia="宋体" w:cs="Times New Roman"/>
      <w:kern w:val="2"/>
      <w:sz w:val="21"/>
      <w:szCs w:val="24"/>
      <w:lang w:val="en-US" w:eastAsia="zh-CN" w:bidi="ar-SA"/>
    </w:rPr>
  </w:style>
  <w:style w:type="character" w:customStyle="1" w:styleId="37">
    <w:name w:val="正文首行缩进 Char"/>
    <w:basedOn w:val="27"/>
    <w:link w:val="17"/>
    <w:qFormat/>
    <w:uiPriority w:val="99"/>
    <w:rPr>
      <w:rFonts w:ascii="Times New Roman" w:hAnsi="Times New Roman" w:eastAsia="宋体" w:cs="Times New Roman"/>
      <w:kern w:val="2"/>
      <w:sz w:val="21"/>
      <w:szCs w:val="24"/>
    </w:rPr>
  </w:style>
  <w:style w:type="character" w:customStyle="1" w:styleId="38">
    <w:name w:val="正文文本缩进 Char"/>
    <w:basedOn w:val="19"/>
    <w:link w:val="4"/>
    <w:semiHidden/>
    <w:qFormat/>
    <w:uiPriority w:val="99"/>
    <w:rPr>
      <w:rFonts w:ascii="Times New Roman" w:hAnsi="Times New Roman" w:eastAsia="宋体" w:cs="Times New Roman"/>
      <w:kern w:val="2"/>
      <w:sz w:val="21"/>
      <w:szCs w:val="24"/>
    </w:rPr>
  </w:style>
  <w:style w:type="character" w:customStyle="1" w:styleId="39">
    <w:name w:val="正文首行缩进 2 Char"/>
    <w:basedOn w:val="38"/>
    <w:link w:val="3"/>
    <w:semiHidden/>
    <w:qFormat/>
    <w:uiPriority w:val="0"/>
    <w:rPr>
      <w:rFonts w:ascii="Times New Roman" w:hAnsi="Times New Roman" w:eastAsia="Times New Roman" w:cs="Times New Roman"/>
      <w:kern w:val="2"/>
      <w:sz w:val="21"/>
      <w:szCs w:val="24"/>
    </w:rPr>
  </w:style>
  <w:style w:type="paragraph" w:customStyle="1" w:styleId="40">
    <w:name w:val="样式1"/>
    <w:basedOn w:val="1"/>
    <w:qFormat/>
    <w:uiPriority w:val="0"/>
    <w:rPr>
      <w:b/>
      <w:color w:val="538135"/>
      <w:sz w:val="28"/>
    </w:rPr>
  </w:style>
  <w:style w:type="paragraph" w:customStyle="1" w:styleId="41">
    <w:name w:val="四号正文"/>
    <w:basedOn w:val="1"/>
    <w:qFormat/>
    <w:uiPriority w:val="0"/>
    <w:pPr>
      <w:spacing w:line="360" w:lineRule="auto"/>
    </w:pPr>
    <w:rPr>
      <w:rFonts w:ascii="??" w:hAnsi="??"/>
      <w:color w:val="000000"/>
      <w:kern w:val="0"/>
      <w:sz w:val="28"/>
      <w:szCs w:val="21"/>
      <w:lang w:val="zh-CN"/>
    </w:rPr>
  </w:style>
  <w:style w:type="character" w:customStyle="1" w:styleId="42">
    <w:name w:val="fontstyle01"/>
    <w:basedOn w:val="19"/>
    <w:qFormat/>
    <w:uiPriority w:val="0"/>
    <w:rPr>
      <w:rFonts w:hint="eastAsia" w:ascii="仿宋_GB2312" w:eastAsia="仿宋_GB2312"/>
      <w:color w:val="000000"/>
      <w:sz w:val="32"/>
      <w:szCs w:val="32"/>
    </w:rPr>
  </w:style>
  <w:style w:type="character" w:customStyle="1" w:styleId="43">
    <w:name w:val="fontstyle11"/>
    <w:basedOn w:val="19"/>
    <w:qFormat/>
    <w:uiPriority w:val="0"/>
    <w:rPr>
      <w:rFonts w:hint="default" w:ascii="TimesNewRoman" w:hAnsi="TimesNewRoman"/>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收入总计</c:v>
                </c:pt>
                <c:pt idx="1">
                  <c:v>支出总计</c:v>
                </c:pt>
              </c:strCache>
            </c:strRef>
          </c:cat>
          <c:val>
            <c:numRef>
              <c:f>Sheet1!$B$2:$B$3</c:f>
              <c:numCache>
                <c:formatCode>General</c:formatCode>
                <c:ptCount val="2"/>
                <c:pt idx="0">
                  <c:v>742.38</c:v>
                </c:pt>
                <c:pt idx="1">
                  <c:v>1047.2</c:v>
                </c:pt>
              </c:numCache>
            </c:numRef>
          </c:val>
        </c:ser>
        <c:ser>
          <c:idx val="1"/>
          <c:order val="1"/>
          <c:tx>
            <c:strRef>
              <c:f>Sheet1!$C$1</c:f>
              <c:strCache>
                <c:ptCount val="1"/>
                <c:pt idx="0">
                  <c:v>2022</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收入总计</c:v>
                </c:pt>
                <c:pt idx="1">
                  <c:v>支出总计</c:v>
                </c:pt>
              </c:strCache>
            </c:strRef>
          </c:cat>
          <c:val>
            <c:numRef>
              <c:f>Sheet1!$C$2:$C$3</c:f>
              <c:numCache>
                <c:formatCode>General</c:formatCode>
                <c:ptCount val="2"/>
                <c:pt idx="0">
                  <c:v>834.12</c:v>
                </c:pt>
                <c:pt idx="1">
                  <c:v>991.94</c:v>
                </c:pt>
              </c:numCache>
            </c:numRef>
          </c:val>
        </c:ser>
        <c:dLbls>
          <c:showLegendKey val="0"/>
          <c:showVal val="1"/>
          <c:showCatName val="0"/>
          <c:showSerName val="0"/>
          <c:showPercent val="0"/>
          <c:showBubbleSize val="0"/>
        </c:dLbls>
        <c:gapWidth val="150"/>
        <c:axId val="172369792"/>
        <c:axId val="172373120"/>
      </c:barChart>
      <c:catAx>
        <c:axId val="17236979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2373120"/>
        <c:crosses val="autoZero"/>
        <c:auto val="1"/>
        <c:lblAlgn val="ctr"/>
        <c:lblOffset val="100"/>
        <c:noMultiLvlLbl val="0"/>
      </c:catAx>
      <c:valAx>
        <c:axId val="17237312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236979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273a178-3a45-4c5a-8444-3f1ca32f2216}"/>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explosion val="0"/>
          <c:dPt>
            <c:idx val="0"/>
            <c:bubble3D val="0"/>
          </c:dPt>
          <c:dPt>
            <c:idx val="1"/>
            <c:bubble3D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714.92</c:v>
                </c:pt>
                <c:pt idx="1">
                  <c:v>27.46</c:v>
                </c:pt>
              </c:numCache>
            </c:numRef>
          </c:val>
        </c:ser>
        <c:dLbls>
          <c:showLegendKey val="0"/>
          <c:showVal val="0"/>
          <c:showCatName val="1"/>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e6540c86-b07b-4787-a90f-09f907a1f093}"/>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explosion val="0"/>
          <c:dPt>
            <c:idx val="0"/>
            <c:bubble3D val="0"/>
          </c:dPt>
          <c:dPt>
            <c:idx val="1"/>
            <c:bubble3D val="0"/>
          </c:dPt>
          <c:dLbls>
            <c:dLbl>
              <c:idx val="0"/>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557.3</c:v>
                </c:pt>
                <c:pt idx="1">
                  <c:v>489.9</c:v>
                </c:pt>
              </c:numCache>
            </c:numRef>
          </c:val>
        </c:ser>
        <c:dLbls>
          <c:showLegendKey val="0"/>
          <c:showVal val="0"/>
          <c:showCatName val="1"/>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6c7c7ad0-f769-457c-ac02-e15e9cafd7f8}"/>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政拨款收入总计</c:v>
                </c:pt>
                <c:pt idx="1">
                  <c:v>财政拨款支出总计</c:v>
                </c:pt>
              </c:strCache>
            </c:strRef>
          </c:cat>
          <c:val>
            <c:numRef>
              <c:f>Sheet1!$B$2:$B$3</c:f>
              <c:numCache>
                <c:formatCode>General</c:formatCode>
                <c:ptCount val="2"/>
                <c:pt idx="0">
                  <c:v>742.38</c:v>
                </c:pt>
                <c:pt idx="1">
                  <c:v>1047.2</c:v>
                </c:pt>
              </c:numCache>
            </c:numRef>
          </c:val>
        </c:ser>
        <c:ser>
          <c:idx val="1"/>
          <c:order val="1"/>
          <c:tx>
            <c:strRef>
              <c:f>Sheet1!$C$1</c:f>
              <c:strCache>
                <c:ptCount val="1"/>
                <c:pt idx="0">
                  <c:v>2022</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政拨款收入总计</c:v>
                </c:pt>
                <c:pt idx="1">
                  <c:v>财政拨款支出总计</c:v>
                </c:pt>
              </c:strCache>
            </c:strRef>
          </c:cat>
          <c:val>
            <c:numRef>
              <c:f>Sheet1!$C$2:$C$3</c:f>
              <c:numCache>
                <c:formatCode>General</c:formatCode>
                <c:ptCount val="2"/>
                <c:pt idx="0">
                  <c:v>834.12</c:v>
                </c:pt>
                <c:pt idx="1">
                  <c:v>991.94</c:v>
                </c:pt>
              </c:numCache>
            </c:numRef>
          </c:val>
        </c:ser>
        <c:dLbls>
          <c:showLegendKey val="0"/>
          <c:showVal val="1"/>
          <c:showCatName val="0"/>
          <c:showSerName val="0"/>
          <c:showPercent val="0"/>
          <c:showBubbleSize val="0"/>
        </c:dLbls>
        <c:gapWidth val="150"/>
        <c:axId val="221755648"/>
        <c:axId val="218292224"/>
      </c:barChart>
      <c:catAx>
        <c:axId val="22175564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8292224"/>
        <c:crosses val="autoZero"/>
        <c:auto val="1"/>
        <c:lblAlgn val="ctr"/>
        <c:lblOffset val="100"/>
        <c:noMultiLvlLbl val="0"/>
      </c:catAx>
      <c:valAx>
        <c:axId val="21829222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2175564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f53f565-7b83-4efa-b1e5-46ad2aee5f00}"/>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989.09</c:v>
                </c:pt>
              </c:numCache>
            </c:numRef>
          </c:val>
        </c:ser>
        <c:ser>
          <c:idx val="1"/>
          <c:order val="1"/>
          <c:tx>
            <c:strRef>
              <c:f>Sheet1!$C$1</c:f>
              <c:strCache>
                <c:ptCount val="1"/>
                <c:pt idx="0">
                  <c:v>2022</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910.07</c:v>
                </c:pt>
              </c:numCache>
            </c:numRef>
          </c:val>
        </c:ser>
        <c:dLbls>
          <c:showLegendKey val="0"/>
          <c:showVal val="1"/>
          <c:showCatName val="0"/>
          <c:showSerName val="0"/>
          <c:showPercent val="0"/>
          <c:showBubbleSize val="0"/>
        </c:dLbls>
        <c:gapWidth val="150"/>
        <c:axId val="220578560"/>
        <c:axId val="220580096"/>
      </c:barChart>
      <c:catAx>
        <c:axId val="22057856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20580096"/>
        <c:crosses val="autoZero"/>
        <c:auto val="1"/>
        <c:lblAlgn val="ctr"/>
        <c:lblOffset val="100"/>
        <c:noMultiLvlLbl val="0"/>
      </c:catAx>
      <c:valAx>
        <c:axId val="22058009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2057856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4a8c69b-5f07-41c9-a5cc-f11481b301be}"/>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Lbls>
            <c:dLbl>
              <c:idx val="4"/>
              <c:layout>
                <c:manualLayout>
                  <c:x val="-0.100303157765358"/>
                  <c:y val="-0.052533450209785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4.55215403605284e-5"/>
                  <c:y val="-0.022347142013475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98410787382615"/>
                      <c:h val="0.0881294964028777"/>
                    </c:manualLayout>
                  </c15:layout>
                </c:ext>
              </c:extLst>
            </c:dLbl>
            <c:dLbl>
              <c:idx val="6"/>
              <c:layout>
                <c:manualLayout>
                  <c:x val="-0.0784803467183891"/>
                  <c:y val="-0.083500245116711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7"/>
              <c:layout>
                <c:manualLayout>
                  <c:x val="0.0683320108416103"/>
                  <c:y val="-0.049811686754973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Sheet1!$A$2:$A$9</c:f>
              <c:strCache>
                <c:ptCount val="8"/>
                <c:pt idx="0">
                  <c:v>一般公共服务支出</c:v>
                </c:pt>
                <c:pt idx="1">
                  <c:v>文化旅游体育与传媒支出</c:v>
                </c:pt>
                <c:pt idx="2">
                  <c:v>社会保障和就业支出</c:v>
                </c:pt>
                <c:pt idx="3">
                  <c:v>卫生健康支出</c:v>
                </c:pt>
                <c:pt idx="4">
                  <c:v>住房保障支出</c:v>
                </c:pt>
                <c:pt idx="5">
                  <c:v>农林水支出</c:v>
                </c:pt>
                <c:pt idx="6">
                  <c:v>城乡社区支出</c:v>
                </c:pt>
                <c:pt idx="7">
                  <c:v>资源勘探工业信息等支出</c:v>
                </c:pt>
              </c:strCache>
            </c:strRef>
          </c:cat>
          <c:val>
            <c:numRef>
              <c:f>Sheet1!$B$2:$B$9</c:f>
              <c:numCache>
                <c:formatCode>General</c:formatCode>
                <c:ptCount val="8"/>
                <c:pt idx="0">
                  <c:v>778.06</c:v>
                </c:pt>
                <c:pt idx="1">
                  <c:v>45.3</c:v>
                </c:pt>
                <c:pt idx="2">
                  <c:v>80.75</c:v>
                </c:pt>
                <c:pt idx="3">
                  <c:v>28.64</c:v>
                </c:pt>
                <c:pt idx="4">
                  <c:v>24.61</c:v>
                </c:pt>
                <c:pt idx="5">
                  <c:v>12.47</c:v>
                </c:pt>
                <c:pt idx="6">
                  <c:v>16.26</c:v>
                </c:pt>
                <c:pt idx="7">
                  <c:v>3</c:v>
                </c:pt>
              </c:numCache>
            </c:numRef>
          </c:val>
        </c:ser>
        <c:ser>
          <c:idx val="1"/>
          <c:order val="1"/>
          <c:tx>
            <c:strRef>
              <c:f>Sheet1!$C$1</c:f>
              <c:strCache>
                <c:ptCount val="1"/>
                <c:pt idx="0">
                  <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Sheet1!$A$2:$A$9</c:f>
              <c:strCache>
                <c:ptCount val="8"/>
                <c:pt idx="0">
                  <c:v>一般公共服务支出</c:v>
                </c:pt>
                <c:pt idx="1">
                  <c:v>文化旅游体育与传媒支出</c:v>
                </c:pt>
                <c:pt idx="2">
                  <c:v>社会保障和就业支出</c:v>
                </c:pt>
                <c:pt idx="3">
                  <c:v>卫生健康支出</c:v>
                </c:pt>
                <c:pt idx="4">
                  <c:v>住房保障支出</c:v>
                </c:pt>
                <c:pt idx="5">
                  <c:v>农林水支出</c:v>
                </c:pt>
                <c:pt idx="6">
                  <c:v>城乡社区支出</c:v>
                </c:pt>
                <c:pt idx="7">
                  <c:v>资源勘探工业信息等支出</c:v>
                </c:pt>
              </c:strCache>
            </c:strRef>
          </c:cat>
          <c:val>
            <c:numRef>
              <c:f>Sheet1!$C$2:$C$9</c:f>
              <c:numCache>
                <c:formatCode>General</c:formatCode>
                <c:ptCount val="8"/>
              </c:numCache>
            </c:numRef>
          </c:val>
        </c:ser>
        <c:dLbls>
          <c:showLegendKey val="0"/>
          <c:showVal val="0"/>
          <c:showCatName val="1"/>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fae605ae-1b73-4a18-ab4c-cc3b2117eb7b}"/>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explosion val="0"/>
          <c:dPt>
            <c:idx val="0"/>
            <c:bubble3D val="0"/>
          </c:dPt>
          <c:dPt>
            <c:idx val="1"/>
            <c:bubble3D val="0"/>
          </c:dPt>
          <c:dPt>
            <c:idx val="2"/>
            <c:bubble3D val="0"/>
          </c:dPt>
          <c:dLbls>
            <c:dLbl>
              <c:idx val="2"/>
              <c:layout>
                <c:manualLayout>
                  <c:x val="0.241650294695481"/>
                  <c:y val="0.1950909090849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18.64</c:v>
                </c:pt>
                <c:pt idx="2">
                  <c:v>0</c:v>
                </c:pt>
              </c:numCache>
            </c:numRef>
          </c:val>
        </c:ser>
        <c:dLbls>
          <c:showLegendKey val="0"/>
          <c:showVal val="0"/>
          <c:showCatName val="1"/>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355881ee-fabb-4e00-8fa4-2c400f0dde99}"/>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60E708-A420-4E2E-95DD-DA0AD1EE0B2E}">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35</Pages>
  <Words>12476</Words>
  <Characters>13401</Characters>
  <Lines>130</Lines>
  <Paragraphs>36</Paragraphs>
  <TotalTime>13</TotalTime>
  <ScaleCrop>false</ScaleCrop>
  <LinksUpToDate>false</LinksUpToDate>
  <CharactersWithSpaces>13506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2022-10-09T08:20:00Z</dcterms:created>
  <dc:creator>曹颖</dc:creator>
  <cp:lastModifiedBy>河门口街道收发文</cp:lastModifiedBy>
  <cp:lastPrinted>2024-10-15T09:33:00Z</cp:lastPrinted>
  <dcterms:modified xsi:type="dcterms:W3CDTF">2026-10-20T07:01:10Z</dcterms:modified>
  <dc:title>四川省***</dc:title>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8E1769EC06014BC387136501673D42C4_13</vt:lpwstr>
  </property>
  <property fmtid="{D5CDD505-2E9C-101B-9397-08002B2CF9AE}" pid="4" name="KSOTemplateDocerSaveRecord">
    <vt:lpwstr>eyJoZGlkIjoiNTU3MzNhOTE4NWE3YmFiN2QxODViN2U2MTgyMTlhM2EiLCJ1c2VySWQiOiI2NzUwODE4MDcifQ==</vt:lpwstr>
  </property>
</Properties>
</file>