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outlineLvl w:val="0"/>
        <w:rPr>
          <w:rFonts w:hint="eastAsia" w:ascii="黑体" w:hAnsi="黑体" w:eastAsia="黑体"/>
          <w:color w:val="000000"/>
          <w:sz w:val="72"/>
          <w:szCs w:val="72"/>
        </w:rPr>
      </w:pPr>
      <w:bookmarkStart w:id="0" w:name="_Toc15377193"/>
      <w:bookmarkStart w:id="1" w:name="_Toc15378441"/>
      <w:bookmarkStart w:id="2" w:name="_Toc15396475"/>
      <w:bookmarkStart w:id="3" w:name="_Toc15396597"/>
      <w:bookmarkStart w:id="4" w:name="_Toc15377425"/>
      <w:bookmarkStart w:id="5" w:name="_Toc15306267"/>
    </w:p>
    <w:p>
      <w:pPr>
        <w:adjustRightInd w:val="0"/>
        <w:snapToGrid w:val="0"/>
        <w:spacing w:line="360" w:lineRule="auto"/>
        <w:jc w:val="center"/>
        <w:outlineLvl w:val="0"/>
        <w:rPr>
          <w:rFonts w:hint="eastAsia" w:ascii="黑体" w:hAnsi="黑体" w:eastAsia="黑体"/>
          <w:color w:val="000000"/>
          <w:sz w:val="72"/>
          <w:szCs w:val="72"/>
        </w:rPr>
      </w:pPr>
    </w:p>
    <w:p>
      <w:pPr>
        <w:adjustRightInd w:val="0"/>
        <w:snapToGrid w:val="0"/>
        <w:spacing w:line="360" w:lineRule="auto"/>
        <w:jc w:val="center"/>
        <w:outlineLvl w:val="0"/>
        <w:rPr>
          <w:rFonts w:ascii="方正小标宋简体" w:hAnsi="宋体" w:eastAsia="方正小标宋简体"/>
          <w:color w:val="000000"/>
          <w:sz w:val="72"/>
          <w:szCs w:val="72"/>
        </w:rPr>
      </w:pPr>
      <w:r>
        <w:rPr>
          <w:rFonts w:ascii="黑体" w:hAnsi="黑体" w:eastAsia="黑体"/>
          <w:color w:val="000000"/>
          <w:sz w:val="72"/>
          <w:szCs w:val="72"/>
        </w:rPr>
        <w:t>201</w:t>
      </w:r>
      <w:r>
        <w:rPr>
          <w:rFonts w:hint="eastAsia" w:ascii="黑体" w:hAnsi="黑体" w:eastAsia="黑体"/>
          <w:color w:val="000000"/>
          <w:sz w:val="72"/>
          <w:szCs w:val="72"/>
        </w:rPr>
        <w:t>9</w:t>
      </w:r>
      <w:r>
        <w:rPr>
          <w:rFonts w:hint="eastAsia" w:ascii="方正小标宋简体" w:hAnsi="宋体" w:eastAsia="方正小标宋简体"/>
          <w:color w:val="000000"/>
          <w:sz w:val="72"/>
          <w:szCs w:val="72"/>
        </w:rPr>
        <w:t>年度</w:t>
      </w:r>
      <w:bookmarkEnd w:id="0"/>
      <w:bookmarkEnd w:id="1"/>
      <w:bookmarkEnd w:id="2"/>
      <w:bookmarkEnd w:id="3"/>
      <w:bookmarkEnd w:id="4"/>
    </w:p>
    <w:p>
      <w:pPr>
        <w:adjustRightInd w:val="0"/>
        <w:snapToGrid w:val="0"/>
        <w:spacing w:line="360" w:lineRule="auto"/>
        <w:jc w:val="center"/>
        <w:outlineLvl w:val="0"/>
        <w:rPr>
          <w:rFonts w:ascii="方正小标宋简体" w:hAnsi="宋体" w:eastAsia="方正小标宋简体"/>
          <w:color w:val="000000"/>
          <w:sz w:val="72"/>
          <w:szCs w:val="72"/>
        </w:rPr>
      </w:pPr>
      <w:bookmarkStart w:id="6" w:name="_Toc15377194"/>
      <w:bookmarkStart w:id="7" w:name="_Toc15378442"/>
      <w:bookmarkStart w:id="8" w:name="_Toc15396598"/>
      <w:bookmarkStart w:id="9" w:name="_Toc15377426"/>
      <w:bookmarkStart w:id="10" w:name="_Toc15396476"/>
      <w:r>
        <w:rPr>
          <w:rFonts w:hint="eastAsia" w:ascii="方正小标宋简体" w:hAnsi="宋体" w:eastAsia="方正小标宋简体"/>
          <w:color w:val="000000"/>
          <w:sz w:val="72"/>
          <w:szCs w:val="72"/>
        </w:rPr>
        <w:t>四川省</w:t>
      </w:r>
      <w:bookmarkEnd w:id="5"/>
      <w:bookmarkStart w:id="11" w:name="_Toc15306268"/>
      <w:r>
        <w:rPr>
          <w:rFonts w:hint="eastAsia" w:ascii="方正小标宋简体" w:hAnsi="宋体" w:eastAsia="方正小标宋简体"/>
          <w:color w:val="000000"/>
          <w:sz w:val="72"/>
          <w:szCs w:val="72"/>
        </w:rPr>
        <w:t>攀枝花市西区</w:t>
      </w:r>
    </w:p>
    <w:p>
      <w:pPr>
        <w:adjustRightInd w:val="0"/>
        <w:snapToGrid w:val="0"/>
        <w:spacing w:line="360" w:lineRule="auto"/>
        <w:jc w:val="center"/>
        <w:outlineLvl w:val="0"/>
        <w:rPr>
          <w:rFonts w:ascii="方正小标宋简体" w:hAnsi="宋体" w:eastAsia="方正小标宋简体"/>
          <w:color w:val="000000"/>
          <w:sz w:val="72"/>
          <w:szCs w:val="72"/>
        </w:rPr>
      </w:pPr>
      <w:r>
        <w:rPr>
          <w:rFonts w:hint="eastAsia" w:ascii="方正小标宋简体" w:hAnsi="宋体" w:eastAsia="方正小标宋简体"/>
          <w:color w:val="000000"/>
          <w:sz w:val="72"/>
          <w:szCs w:val="72"/>
        </w:rPr>
        <w:t>发展和改革局</w:t>
      </w:r>
    </w:p>
    <w:p>
      <w:pPr>
        <w:adjustRightInd w:val="0"/>
        <w:snapToGrid w:val="0"/>
        <w:spacing w:line="360" w:lineRule="auto"/>
        <w:jc w:val="center"/>
        <w:outlineLvl w:val="0"/>
        <w:rPr>
          <w:rFonts w:ascii="方正小标宋简体" w:hAnsi="宋体" w:eastAsia="方正小标宋简体"/>
          <w:color w:val="000000"/>
          <w:sz w:val="72"/>
          <w:szCs w:val="72"/>
        </w:rPr>
      </w:pPr>
      <w:r>
        <w:rPr>
          <w:rFonts w:hint="eastAsia" w:ascii="方正小标宋简体" w:hAnsi="宋体" w:eastAsia="方正小标宋简体"/>
          <w:color w:val="000000"/>
          <w:sz w:val="72"/>
          <w:szCs w:val="72"/>
        </w:rPr>
        <w:t>部门决算</w:t>
      </w:r>
      <w:bookmarkEnd w:id="6"/>
      <w:bookmarkEnd w:id="7"/>
      <w:bookmarkEnd w:id="8"/>
      <w:bookmarkEnd w:id="9"/>
      <w:bookmarkEnd w:id="10"/>
      <w:bookmarkEnd w:id="11"/>
    </w:p>
    <w:p>
      <w:pPr>
        <w:widowControl/>
        <w:spacing w:line="360" w:lineRule="auto"/>
        <w:jc w:val="center"/>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p>
    <w:p>
      <w:pPr>
        <w:widowControl/>
        <w:spacing w:line="360" w:lineRule="auto"/>
        <w:jc w:val="center"/>
        <w:rPr>
          <w:rFonts w:ascii="黑体" w:hAnsi="黑体" w:eastAsia="黑体" w:cstheme="minorBidi"/>
          <w:sz w:val="28"/>
          <w:szCs w:val="28"/>
        </w:rPr>
      </w:pPr>
    </w:p>
    <w:p>
      <w:pPr>
        <w:pStyle w:val="11"/>
        <w:spacing w:line="360" w:lineRule="auto"/>
      </w:pPr>
      <w:r>
        <w:rPr>
          <w:rFonts w:hint="eastAsia"/>
        </w:rPr>
        <w:t>公开时间：2020年11月24日</w:t>
      </w:r>
    </w:p>
    <w:p>
      <w:pPr>
        <w:pStyle w:val="11"/>
        <w:adjustRightInd w:val="0"/>
        <w:snapToGrid w:val="0"/>
        <w:spacing w:before="0" w:line="440" w:lineRule="exact"/>
        <w:jc w:val="distribute"/>
        <w:rPr>
          <w:rFonts w:cstheme="minorBidi"/>
          <w:sz w:val="24"/>
          <w:szCs w:val="24"/>
        </w:rPr>
      </w:pPr>
      <w:r>
        <w:rPr>
          <w:rFonts w:hint="eastAsia"/>
          <w:sz w:val="24"/>
        </w:rPr>
        <w:t>第一部分部门概况.............................................  ..4</w:t>
      </w:r>
    </w:p>
    <w:p>
      <w:pPr>
        <w:pStyle w:val="12"/>
        <w:adjustRightInd w:val="0"/>
        <w:snapToGrid w:val="0"/>
        <w:spacing w:line="440" w:lineRule="exact"/>
        <w:jc w:val="distribute"/>
        <w:rPr>
          <w:rFonts w:ascii="仿宋" w:hAnsi="仿宋"/>
          <w:sz w:val="24"/>
        </w:rPr>
      </w:pPr>
      <w:r>
        <w:rPr>
          <w:rFonts w:hint="eastAsia"/>
          <w:sz w:val="24"/>
        </w:rPr>
        <w:t>一、基本职能及主要工作</w:t>
      </w:r>
      <w:r>
        <w:rPr>
          <w:rFonts w:hint="eastAsia" w:ascii="仿宋" w:hAnsi="仿宋" w:eastAsia="仿宋"/>
          <w:sz w:val="24"/>
          <w:szCs w:val="28"/>
        </w:rPr>
        <w:t>.......................................</w:t>
      </w:r>
      <w:r>
        <w:rPr>
          <w:sz w:val="24"/>
        </w:rPr>
        <w:t>.4</w:t>
      </w:r>
    </w:p>
    <w:p>
      <w:pPr>
        <w:pStyle w:val="12"/>
        <w:adjustRightInd w:val="0"/>
        <w:snapToGrid w:val="0"/>
        <w:spacing w:line="440" w:lineRule="exact"/>
        <w:jc w:val="distribute"/>
        <w:rPr>
          <w:rFonts w:ascii="仿宋" w:hAnsi="仿宋" w:cstheme="minorBidi"/>
          <w:sz w:val="24"/>
        </w:rPr>
      </w:pPr>
      <w:r>
        <w:rPr>
          <w:rFonts w:hint="eastAsia"/>
          <w:sz w:val="24"/>
        </w:rPr>
        <w:t>二、机构设置</w:t>
      </w:r>
      <w:r>
        <w:rPr>
          <w:rFonts w:hint="eastAsia" w:ascii="仿宋" w:hAnsi="仿宋" w:eastAsia="仿宋"/>
          <w:sz w:val="24"/>
          <w:szCs w:val="28"/>
        </w:rPr>
        <w:t>.................................................</w:t>
      </w:r>
      <w:r>
        <w:rPr>
          <w:sz w:val="24"/>
        </w:rPr>
        <w:t>.</w:t>
      </w:r>
      <w:r>
        <w:rPr>
          <w:rFonts w:hint="eastAsia"/>
          <w:sz w:val="24"/>
        </w:rPr>
        <w:t>9</w:t>
      </w:r>
    </w:p>
    <w:p>
      <w:pPr>
        <w:pStyle w:val="11"/>
        <w:adjustRightInd w:val="0"/>
        <w:snapToGrid w:val="0"/>
        <w:spacing w:before="0" w:line="440" w:lineRule="exact"/>
        <w:jc w:val="distribute"/>
        <w:rPr>
          <w:sz w:val="24"/>
          <w:szCs w:val="24"/>
        </w:rPr>
      </w:pPr>
      <w:r>
        <w:rPr>
          <w:rFonts w:hint="eastAsia"/>
          <w:sz w:val="24"/>
        </w:rPr>
        <w:t>第二部分部门决算情况说明....................................  ...9</w:t>
      </w:r>
    </w:p>
    <w:p>
      <w:pPr>
        <w:pStyle w:val="12"/>
        <w:adjustRightInd w:val="0"/>
        <w:snapToGrid w:val="0"/>
        <w:spacing w:line="440" w:lineRule="exact"/>
        <w:jc w:val="distribute"/>
        <w:rPr>
          <w:rFonts w:ascii="仿宋" w:hAnsi="仿宋" w:eastAsia="仿宋" w:cstheme="minorBidi"/>
          <w:sz w:val="24"/>
        </w:rPr>
      </w:pPr>
      <w:r>
        <w:rPr>
          <w:rFonts w:hint="eastAsia"/>
          <w:sz w:val="24"/>
        </w:rPr>
        <w:t>一、收入支出决算总体情况说明</w:t>
      </w:r>
      <w:r>
        <w:rPr>
          <w:rFonts w:hint="eastAsia" w:ascii="仿宋" w:hAnsi="仿宋" w:eastAsia="仿宋"/>
          <w:sz w:val="24"/>
          <w:szCs w:val="28"/>
        </w:rPr>
        <w:t>.............................. ...9</w:t>
      </w:r>
    </w:p>
    <w:p>
      <w:pPr>
        <w:pStyle w:val="12"/>
        <w:adjustRightInd w:val="0"/>
        <w:snapToGrid w:val="0"/>
        <w:spacing w:line="440" w:lineRule="exact"/>
        <w:jc w:val="distribute"/>
        <w:rPr>
          <w:rFonts w:ascii="仿宋" w:hAnsi="仿宋" w:eastAsia="仿宋" w:cstheme="minorBidi"/>
          <w:sz w:val="24"/>
        </w:rPr>
      </w:pPr>
      <w:r>
        <w:rPr>
          <w:rFonts w:hint="eastAsia"/>
          <w:sz w:val="24"/>
        </w:rPr>
        <w:t>二、收入决算情况说明</w:t>
      </w:r>
      <w:r>
        <w:rPr>
          <w:rFonts w:hint="eastAsia" w:ascii="仿宋" w:hAnsi="仿宋" w:eastAsia="仿宋"/>
          <w:sz w:val="24"/>
          <w:szCs w:val="28"/>
        </w:rPr>
        <w:t>..........................................10</w:t>
      </w:r>
    </w:p>
    <w:p>
      <w:pPr>
        <w:pStyle w:val="12"/>
        <w:adjustRightInd w:val="0"/>
        <w:snapToGrid w:val="0"/>
        <w:spacing w:line="440" w:lineRule="exact"/>
        <w:jc w:val="distribute"/>
        <w:rPr>
          <w:rFonts w:ascii="仿宋" w:hAnsi="仿宋" w:eastAsia="仿宋" w:cstheme="minorBidi"/>
          <w:sz w:val="24"/>
        </w:rPr>
      </w:pPr>
      <w:r>
        <w:rPr>
          <w:rFonts w:hint="eastAsia"/>
          <w:sz w:val="24"/>
        </w:rPr>
        <w:t>三、支出决算情况说明</w:t>
      </w:r>
      <w:r>
        <w:rPr>
          <w:rFonts w:hint="eastAsia" w:ascii="仿宋" w:hAnsi="仿宋" w:eastAsia="仿宋"/>
          <w:sz w:val="24"/>
          <w:szCs w:val="28"/>
        </w:rPr>
        <w:t>..........................................11</w:t>
      </w:r>
    </w:p>
    <w:p>
      <w:pPr>
        <w:pStyle w:val="12"/>
        <w:adjustRightInd w:val="0"/>
        <w:snapToGrid w:val="0"/>
        <w:spacing w:line="440" w:lineRule="exact"/>
        <w:jc w:val="distribute"/>
        <w:rPr>
          <w:rFonts w:ascii="仿宋" w:hAnsi="仿宋" w:eastAsia="仿宋" w:cstheme="minorBidi"/>
          <w:sz w:val="24"/>
        </w:rPr>
      </w:pPr>
      <w:r>
        <w:rPr>
          <w:rFonts w:hint="eastAsia"/>
          <w:sz w:val="24"/>
        </w:rPr>
        <w:t>四、财政拨款收入支出决算总体情况说明</w:t>
      </w:r>
      <w:r>
        <w:rPr>
          <w:rFonts w:hint="eastAsia" w:ascii="仿宋" w:hAnsi="仿宋" w:eastAsia="仿宋"/>
          <w:sz w:val="24"/>
          <w:szCs w:val="28"/>
        </w:rPr>
        <w:t>..........................11</w:t>
      </w:r>
    </w:p>
    <w:p>
      <w:pPr>
        <w:pStyle w:val="12"/>
        <w:adjustRightInd w:val="0"/>
        <w:snapToGrid w:val="0"/>
        <w:spacing w:line="440" w:lineRule="exact"/>
        <w:jc w:val="distribute"/>
        <w:rPr>
          <w:rFonts w:ascii="仿宋" w:hAnsi="仿宋" w:eastAsia="仿宋" w:cstheme="minorBidi"/>
          <w:sz w:val="24"/>
        </w:rPr>
      </w:pPr>
      <w:r>
        <w:rPr>
          <w:rFonts w:hint="eastAsia"/>
          <w:sz w:val="24"/>
        </w:rPr>
        <w:t>五、一般公共预算财政拨款支出决算情况说明</w:t>
      </w:r>
      <w:r>
        <w:rPr>
          <w:rFonts w:hint="eastAsia" w:ascii="仿宋" w:hAnsi="仿宋" w:eastAsia="仿宋"/>
          <w:sz w:val="24"/>
          <w:szCs w:val="28"/>
        </w:rPr>
        <w:t>......................12</w:t>
      </w:r>
    </w:p>
    <w:p>
      <w:pPr>
        <w:pStyle w:val="12"/>
        <w:adjustRightInd w:val="0"/>
        <w:snapToGrid w:val="0"/>
        <w:spacing w:line="440" w:lineRule="exact"/>
        <w:jc w:val="distribute"/>
        <w:rPr>
          <w:rFonts w:ascii="仿宋" w:hAnsi="仿宋" w:eastAsia="仿宋" w:cstheme="minorBidi"/>
          <w:sz w:val="24"/>
        </w:rPr>
      </w:pPr>
      <w:r>
        <w:rPr>
          <w:rFonts w:hint="eastAsia"/>
          <w:sz w:val="24"/>
        </w:rPr>
        <w:t>六、一般公共预算财政拨款基本支出决算情况说明</w:t>
      </w:r>
      <w:r>
        <w:rPr>
          <w:rFonts w:hint="eastAsia" w:ascii="仿宋" w:hAnsi="仿宋" w:eastAsia="仿宋"/>
          <w:sz w:val="24"/>
          <w:szCs w:val="28"/>
        </w:rPr>
        <w:t>.................14</w:t>
      </w:r>
    </w:p>
    <w:p>
      <w:pPr>
        <w:pStyle w:val="12"/>
        <w:adjustRightInd w:val="0"/>
        <w:snapToGrid w:val="0"/>
        <w:spacing w:line="440" w:lineRule="exact"/>
        <w:jc w:val="distribute"/>
        <w:rPr>
          <w:rFonts w:ascii="仿宋" w:hAnsi="仿宋" w:eastAsia="仿宋" w:cstheme="minorBidi"/>
          <w:sz w:val="24"/>
        </w:rPr>
      </w:pPr>
      <w:r>
        <w:rPr>
          <w:rFonts w:hint="eastAsia"/>
          <w:sz w:val="24"/>
        </w:rPr>
        <w:t>七、</w:t>
      </w:r>
      <w:r>
        <w:rPr>
          <w:sz w:val="24"/>
        </w:rPr>
        <w:t>“</w:t>
      </w:r>
      <w:r>
        <w:rPr>
          <w:rFonts w:hint="eastAsia"/>
          <w:sz w:val="24"/>
        </w:rPr>
        <w:t>三公”经费财政拨款支出决算情况说明</w:t>
      </w:r>
      <w:r>
        <w:rPr>
          <w:rFonts w:hint="eastAsia" w:ascii="仿宋" w:hAnsi="仿宋" w:eastAsia="仿宋"/>
          <w:sz w:val="24"/>
          <w:szCs w:val="28"/>
        </w:rPr>
        <w:t>......................15</w:t>
      </w:r>
    </w:p>
    <w:p>
      <w:pPr>
        <w:pStyle w:val="12"/>
        <w:adjustRightInd w:val="0"/>
        <w:snapToGrid w:val="0"/>
        <w:spacing w:line="440" w:lineRule="exact"/>
        <w:jc w:val="distribute"/>
        <w:rPr>
          <w:sz w:val="24"/>
        </w:rPr>
      </w:pPr>
      <w:r>
        <w:rPr>
          <w:rFonts w:hint="eastAsia"/>
          <w:sz w:val="24"/>
        </w:rPr>
        <w:t>八、政府性基金预算支出决算情况说明</w:t>
      </w:r>
      <w:r>
        <w:rPr>
          <w:rFonts w:hint="eastAsia" w:ascii="仿宋" w:hAnsi="仿宋" w:eastAsia="仿宋"/>
          <w:sz w:val="24"/>
          <w:szCs w:val="28"/>
        </w:rPr>
        <w:t>...........................16</w:t>
      </w:r>
    </w:p>
    <w:p>
      <w:pPr>
        <w:pStyle w:val="12"/>
        <w:adjustRightInd w:val="0"/>
        <w:snapToGrid w:val="0"/>
        <w:spacing w:line="440" w:lineRule="exact"/>
        <w:ind w:leftChars="0"/>
        <w:jc w:val="distribute"/>
        <w:rPr>
          <w:sz w:val="24"/>
        </w:rPr>
      </w:pPr>
      <w:r>
        <w:rPr>
          <w:rFonts w:hint="eastAsia"/>
          <w:sz w:val="24"/>
        </w:rPr>
        <w:t>九、国有资本经营预算支出决算情况说明</w:t>
      </w:r>
      <w:r>
        <w:rPr>
          <w:rFonts w:hint="eastAsia" w:ascii="仿宋" w:hAnsi="仿宋" w:eastAsia="仿宋"/>
          <w:sz w:val="24"/>
          <w:szCs w:val="28"/>
        </w:rPr>
        <w:t>.........................1</w:t>
      </w:r>
      <w:r>
        <w:rPr>
          <w:rFonts w:hint="eastAsia"/>
          <w:sz w:val="24"/>
        </w:rPr>
        <w:t>6</w:t>
      </w:r>
    </w:p>
    <w:p>
      <w:pPr>
        <w:adjustRightInd w:val="0"/>
        <w:snapToGrid w:val="0"/>
        <w:spacing w:line="440" w:lineRule="exact"/>
        <w:ind w:firstLine="420" w:firstLineChars="200"/>
        <w:jc w:val="distribute"/>
        <w:rPr>
          <w:rFonts w:ascii="仿宋" w:hAnsi="仿宋" w:eastAsia="仿宋" w:cstheme="minorBidi"/>
          <w:sz w:val="24"/>
        </w:rPr>
      </w:pPr>
      <w:r>
        <w:rPr>
          <w:rFonts w:hint="eastAsia"/>
        </w:rPr>
        <w:t>十、</w:t>
      </w:r>
      <w:r>
        <w:rPr>
          <w:rFonts w:hint="eastAsia"/>
          <w:sz w:val="24"/>
        </w:rPr>
        <w:t>其他重要事项的情况说明</w:t>
      </w:r>
      <w:r>
        <w:rPr>
          <w:rFonts w:hint="eastAsia" w:ascii="仿宋" w:hAnsi="仿宋" w:eastAsia="仿宋"/>
          <w:sz w:val="24"/>
          <w:szCs w:val="28"/>
        </w:rPr>
        <w:t>............................... ...16</w:t>
      </w:r>
    </w:p>
    <w:p>
      <w:pPr>
        <w:pStyle w:val="11"/>
        <w:adjustRightInd w:val="0"/>
        <w:snapToGrid w:val="0"/>
        <w:spacing w:before="0" w:line="440" w:lineRule="exact"/>
        <w:jc w:val="distribute"/>
        <w:rPr>
          <w:rFonts w:cstheme="minorBidi"/>
          <w:sz w:val="24"/>
          <w:szCs w:val="24"/>
        </w:rPr>
      </w:pPr>
      <w:r>
        <w:rPr>
          <w:rFonts w:hint="eastAsia"/>
          <w:sz w:val="24"/>
        </w:rPr>
        <w:t>第三部分名词解释................................................27</w:t>
      </w:r>
    </w:p>
    <w:p>
      <w:pPr>
        <w:pStyle w:val="11"/>
        <w:adjustRightInd w:val="0"/>
        <w:snapToGrid w:val="0"/>
        <w:spacing w:before="0" w:line="440" w:lineRule="exact"/>
        <w:jc w:val="distribute"/>
        <w:rPr>
          <w:rFonts w:cstheme="minorBidi"/>
          <w:sz w:val="24"/>
          <w:szCs w:val="24"/>
        </w:rPr>
      </w:pPr>
      <w:r>
        <w:rPr>
          <w:rFonts w:hint="eastAsia"/>
          <w:sz w:val="24"/>
        </w:rPr>
        <w:t>第四部分附件....................................................31</w:t>
      </w:r>
    </w:p>
    <w:p>
      <w:pPr>
        <w:pStyle w:val="12"/>
        <w:adjustRightInd w:val="0"/>
        <w:snapToGrid w:val="0"/>
        <w:spacing w:line="440" w:lineRule="exact"/>
        <w:jc w:val="distribute"/>
        <w:rPr>
          <w:sz w:val="24"/>
        </w:rPr>
      </w:pPr>
      <w:r>
        <w:rPr>
          <w:rFonts w:hint="eastAsia"/>
          <w:sz w:val="24"/>
        </w:rPr>
        <w:t>附件</w:t>
      </w:r>
      <w:r>
        <w:rPr>
          <w:rFonts w:ascii="仿宋" w:hAnsi="仿宋" w:eastAsia="仿宋"/>
          <w:sz w:val="24"/>
          <w:szCs w:val="28"/>
        </w:rPr>
        <w:t>1</w:t>
      </w:r>
      <w:r>
        <w:rPr>
          <w:rFonts w:hint="eastAsia" w:ascii="仿宋" w:hAnsi="仿宋" w:eastAsia="仿宋"/>
          <w:sz w:val="24"/>
          <w:szCs w:val="28"/>
        </w:rPr>
        <w:t>.......................................................3</w:t>
      </w:r>
      <w:r>
        <w:rPr>
          <w:rFonts w:hint="eastAsia"/>
          <w:sz w:val="24"/>
        </w:rPr>
        <w:t>1</w:t>
      </w:r>
    </w:p>
    <w:p>
      <w:pPr>
        <w:pStyle w:val="12"/>
        <w:adjustRightInd w:val="0"/>
        <w:snapToGrid w:val="0"/>
        <w:spacing w:line="440" w:lineRule="exact"/>
        <w:jc w:val="distribute"/>
        <w:rPr>
          <w:rFonts w:ascii="仿宋" w:hAnsi="仿宋" w:eastAsia="仿宋" w:cstheme="minorBidi"/>
          <w:sz w:val="24"/>
        </w:rPr>
      </w:pPr>
      <w:r>
        <w:rPr>
          <w:rFonts w:hint="eastAsia"/>
          <w:sz w:val="24"/>
        </w:rPr>
        <w:t>附件</w:t>
      </w:r>
      <w:r>
        <w:rPr>
          <w:sz w:val="24"/>
        </w:rPr>
        <w:t>2</w:t>
      </w:r>
      <w:r>
        <w:rPr>
          <w:rFonts w:hint="eastAsia"/>
          <w:sz w:val="24"/>
        </w:rPr>
        <w:t>...</w:t>
      </w:r>
      <w:r>
        <w:rPr>
          <w:rFonts w:hint="eastAsia" w:ascii="仿宋" w:hAnsi="仿宋" w:eastAsia="仿宋"/>
          <w:sz w:val="24"/>
          <w:szCs w:val="28"/>
        </w:rPr>
        <w:t>....................................................38</w:t>
      </w:r>
    </w:p>
    <w:p>
      <w:pPr>
        <w:pStyle w:val="11"/>
        <w:adjustRightInd w:val="0"/>
        <w:snapToGrid w:val="0"/>
        <w:spacing w:before="0" w:line="440" w:lineRule="exact"/>
        <w:jc w:val="distribute"/>
        <w:rPr>
          <w:rFonts w:cstheme="minorBidi"/>
          <w:sz w:val="24"/>
          <w:szCs w:val="24"/>
        </w:rPr>
      </w:pPr>
      <w:r>
        <w:rPr>
          <w:rFonts w:hint="eastAsia"/>
          <w:sz w:val="24"/>
        </w:rPr>
        <w:t>第五部分附表....................................................43</w:t>
      </w:r>
    </w:p>
    <w:p>
      <w:pPr>
        <w:pStyle w:val="12"/>
        <w:adjustRightInd w:val="0"/>
        <w:snapToGrid w:val="0"/>
        <w:spacing w:line="440" w:lineRule="exact"/>
        <w:jc w:val="distribute"/>
        <w:rPr>
          <w:rFonts w:ascii="仿宋" w:hAnsi="仿宋" w:eastAsia="仿宋"/>
          <w:sz w:val="24"/>
          <w:szCs w:val="28"/>
        </w:rPr>
      </w:pPr>
      <w:r>
        <w:rPr>
          <w:rFonts w:hint="eastAsia"/>
          <w:sz w:val="24"/>
        </w:rPr>
        <w:t>一、收入支出决算总表</w:t>
      </w:r>
      <w:r>
        <w:rPr>
          <w:rFonts w:hint="eastAsia" w:ascii="仿宋" w:hAnsi="仿宋" w:eastAsia="仿宋"/>
          <w:sz w:val="24"/>
          <w:szCs w:val="28"/>
        </w:rPr>
        <w:t>.................................. ......43</w:t>
      </w:r>
    </w:p>
    <w:p>
      <w:pPr>
        <w:pStyle w:val="12"/>
        <w:adjustRightInd w:val="0"/>
        <w:snapToGrid w:val="0"/>
        <w:spacing w:line="440" w:lineRule="exact"/>
        <w:jc w:val="distribute"/>
        <w:rPr>
          <w:sz w:val="24"/>
        </w:rPr>
      </w:pPr>
      <w:r>
        <w:rPr>
          <w:rFonts w:hint="eastAsia"/>
          <w:sz w:val="24"/>
        </w:rPr>
        <w:t>二、收入决算表.</w:t>
      </w:r>
      <w:r>
        <w:rPr>
          <w:rFonts w:hint="eastAsia" w:ascii="仿宋" w:hAnsi="仿宋" w:eastAsia="仿宋"/>
          <w:sz w:val="24"/>
          <w:szCs w:val="28"/>
        </w:rPr>
        <w:t>........................................ .....43</w:t>
      </w:r>
    </w:p>
    <w:p>
      <w:pPr>
        <w:pStyle w:val="12"/>
        <w:adjustRightInd w:val="0"/>
        <w:snapToGrid w:val="0"/>
        <w:spacing w:line="440" w:lineRule="exact"/>
        <w:jc w:val="distribute"/>
        <w:rPr>
          <w:rFonts w:ascii="仿宋" w:hAnsi="仿宋" w:eastAsia="仿宋" w:cstheme="minorBidi"/>
          <w:sz w:val="24"/>
        </w:rPr>
      </w:pPr>
      <w:r>
        <w:rPr>
          <w:rFonts w:hint="eastAsia"/>
          <w:sz w:val="24"/>
        </w:rPr>
        <w:t>三、支出决算表..</w:t>
      </w:r>
      <w:r>
        <w:rPr>
          <w:rFonts w:hint="eastAsia" w:ascii="仿宋" w:hAnsi="仿宋" w:eastAsia="仿宋"/>
          <w:sz w:val="24"/>
          <w:szCs w:val="28"/>
        </w:rPr>
        <w:t>...................................... ...... 43</w:t>
      </w:r>
    </w:p>
    <w:p>
      <w:pPr>
        <w:pStyle w:val="12"/>
        <w:adjustRightInd w:val="0"/>
        <w:snapToGrid w:val="0"/>
        <w:spacing w:line="440" w:lineRule="exact"/>
        <w:jc w:val="distribute"/>
        <w:rPr>
          <w:rFonts w:ascii="仿宋" w:hAnsi="仿宋" w:eastAsia="仿宋" w:cstheme="minorBidi"/>
          <w:sz w:val="24"/>
        </w:rPr>
      </w:pPr>
      <w:r>
        <w:rPr>
          <w:rFonts w:hint="eastAsia"/>
          <w:sz w:val="24"/>
        </w:rPr>
        <w:t>四、财政拨款收入支出决算总表</w:t>
      </w:r>
      <w:r>
        <w:rPr>
          <w:rFonts w:hint="eastAsia" w:ascii="仿宋" w:hAnsi="仿宋" w:eastAsia="仿宋"/>
          <w:sz w:val="24"/>
          <w:szCs w:val="28"/>
        </w:rPr>
        <w:t>........................... ..... 43</w:t>
      </w:r>
    </w:p>
    <w:p>
      <w:pPr>
        <w:pStyle w:val="12"/>
        <w:adjustRightInd w:val="0"/>
        <w:snapToGrid w:val="0"/>
        <w:spacing w:line="440" w:lineRule="exact"/>
        <w:jc w:val="distribute"/>
        <w:rPr>
          <w:rFonts w:ascii="仿宋" w:hAnsi="仿宋" w:eastAsia="仿宋"/>
          <w:sz w:val="24"/>
        </w:rPr>
      </w:pPr>
      <w:r>
        <w:rPr>
          <w:rFonts w:hint="eastAsia"/>
          <w:sz w:val="24"/>
        </w:rPr>
        <w:t>五、财政拨款支出决算明细表.</w:t>
      </w:r>
      <w:r>
        <w:rPr>
          <w:rFonts w:hint="eastAsia" w:ascii="仿宋" w:hAnsi="仿宋" w:eastAsia="仿宋"/>
          <w:sz w:val="24"/>
          <w:szCs w:val="28"/>
        </w:rPr>
        <w:t>............................. .... 43</w:t>
      </w:r>
    </w:p>
    <w:p>
      <w:pPr>
        <w:pStyle w:val="12"/>
        <w:adjustRightInd w:val="0"/>
        <w:snapToGrid w:val="0"/>
        <w:spacing w:line="440" w:lineRule="exact"/>
        <w:jc w:val="distribute"/>
        <w:rPr>
          <w:rFonts w:ascii="仿宋" w:hAnsi="仿宋" w:eastAsia="仿宋" w:cstheme="minorBidi"/>
          <w:sz w:val="24"/>
        </w:rPr>
      </w:pPr>
      <w:r>
        <w:rPr>
          <w:rFonts w:hint="eastAsia"/>
          <w:sz w:val="24"/>
        </w:rPr>
        <w:t>六、一般公共预算财政拨款支出决算表</w:t>
      </w:r>
      <w:r>
        <w:rPr>
          <w:rFonts w:hint="eastAsia" w:ascii="仿宋" w:hAnsi="仿宋" w:eastAsia="仿宋"/>
          <w:sz w:val="24"/>
          <w:szCs w:val="28"/>
        </w:rPr>
        <w:t>..................... ..... 43</w:t>
      </w:r>
    </w:p>
    <w:p>
      <w:pPr>
        <w:pStyle w:val="12"/>
        <w:adjustRightInd w:val="0"/>
        <w:snapToGrid w:val="0"/>
        <w:spacing w:line="440" w:lineRule="exact"/>
        <w:jc w:val="distribute"/>
        <w:rPr>
          <w:rFonts w:ascii="仿宋" w:hAnsi="仿宋" w:eastAsia="仿宋" w:cstheme="minorBidi"/>
          <w:sz w:val="24"/>
        </w:rPr>
      </w:pPr>
      <w:r>
        <w:rPr>
          <w:rFonts w:hint="eastAsia"/>
          <w:sz w:val="24"/>
        </w:rPr>
        <w:t>七、一般公共预算财政拨款支出决算明细表</w:t>
      </w:r>
      <w:r>
        <w:rPr>
          <w:rFonts w:hint="eastAsia" w:ascii="仿宋" w:hAnsi="仿宋" w:eastAsia="仿宋"/>
          <w:sz w:val="24"/>
          <w:szCs w:val="28"/>
        </w:rPr>
        <w:t>.................. ....43</w:t>
      </w:r>
    </w:p>
    <w:p>
      <w:pPr>
        <w:pStyle w:val="12"/>
        <w:adjustRightInd w:val="0"/>
        <w:snapToGrid w:val="0"/>
        <w:spacing w:line="440" w:lineRule="exact"/>
        <w:jc w:val="distribute"/>
        <w:rPr>
          <w:rFonts w:ascii="仿宋" w:hAnsi="仿宋" w:eastAsia="仿宋" w:cstheme="minorBidi"/>
          <w:sz w:val="24"/>
        </w:rPr>
      </w:pPr>
      <w:r>
        <w:rPr>
          <w:rFonts w:hint="eastAsia"/>
          <w:sz w:val="24"/>
        </w:rPr>
        <w:t>八、一般公共预算财政拨款基本支出决算表</w:t>
      </w:r>
      <w:r>
        <w:rPr>
          <w:rFonts w:hint="eastAsia" w:ascii="仿宋" w:hAnsi="仿宋" w:eastAsia="仿宋"/>
          <w:sz w:val="24"/>
          <w:szCs w:val="28"/>
        </w:rPr>
        <w:t>............... ....... 43</w:t>
      </w:r>
    </w:p>
    <w:p>
      <w:pPr>
        <w:pStyle w:val="12"/>
        <w:adjustRightInd w:val="0"/>
        <w:snapToGrid w:val="0"/>
        <w:spacing w:line="440" w:lineRule="exact"/>
        <w:jc w:val="distribute"/>
      </w:pPr>
      <w:r>
        <w:rPr>
          <w:rFonts w:hint="eastAsia"/>
          <w:sz w:val="24"/>
        </w:rPr>
        <w:t>九、一般公共预算财政拨款项目支出决算表</w:t>
      </w:r>
      <w:r>
        <w:rPr>
          <w:rFonts w:hint="eastAsia" w:ascii="仿宋" w:hAnsi="仿宋" w:eastAsia="仿宋"/>
          <w:sz w:val="24"/>
          <w:szCs w:val="28"/>
        </w:rPr>
        <w:t>................ ...... 43</w:t>
      </w:r>
      <w:r>
        <w:rPr>
          <w:rFonts w:hint="eastAsia"/>
          <w:sz w:val="24"/>
        </w:rPr>
        <w:t>十、一般公共预算财政拨款“三公”经费支出决算表</w:t>
      </w:r>
      <w:r>
        <w:rPr>
          <w:rFonts w:hint="eastAsia" w:ascii="仿宋" w:hAnsi="仿宋" w:eastAsia="仿宋"/>
          <w:sz w:val="24"/>
          <w:szCs w:val="28"/>
        </w:rPr>
        <w:t>.......... .... 43</w:t>
      </w:r>
      <w:r>
        <w:rPr>
          <w:rFonts w:hint="eastAsia"/>
          <w:sz w:val="24"/>
        </w:rPr>
        <w:t>十一、政府性基金预算财政拨款收入支出决算表</w:t>
      </w:r>
      <w:r>
        <w:rPr>
          <w:rFonts w:hint="eastAsia" w:ascii="仿宋" w:hAnsi="仿宋" w:eastAsia="仿宋"/>
          <w:sz w:val="24"/>
          <w:szCs w:val="28"/>
        </w:rPr>
        <w:t>............... ... 43</w:t>
      </w:r>
      <w:r>
        <w:rPr>
          <w:rFonts w:hint="eastAsia"/>
          <w:sz w:val="24"/>
        </w:rPr>
        <w:t>十二、政府性基金预算财政拨款“三公”经费支出决算表</w:t>
      </w:r>
      <w:r>
        <w:rPr>
          <w:rFonts w:hint="eastAsia" w:ascii="仿宋" w:hAnsi="仿宋" w:eastAsia="仿宋"/>
          <w:sz w:val="24"/>
          <w:szCs w:val="28"/>
        </w:rPr>
        <w:t>........ .. 43</w:t>
      </w:r>
      <w:r>
        <w:rPr>
          <w:rFonts w:hint="eastAsia"/>
          <w:sz w:val="24"/>
        </w:rPr>
        <w:t>十三、国有资本经营预算支出决算表</w:t>
      </w:r>
      <w:r>
        <w:rPr>
          <w:rFonts w:hint="eastAsia" w:ascii="仿宋" w:hAnsi="仿宋" w:eastAsia="仿宋"/>
          <w:sz w:val="24"/>
          <w:szCs w:val="28"/>
        </w:rPr>
        <w:t>.......................... .. 43</w:t>
      </w: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pStyle w:val="2"/>
        <w:jc w:val="center"/>
      </w:pPr>
      <w:bookmarkStart w:id="12" w:name="_Toc15396599"/>
      <w:bookmarkStart w:id="13" w:name="_Toc15377196"/>
      <w:r>
        <w:rPr>
          <w:rFonts w:hint="eastAsia"/>
        </w:rPr>
        <w:t xml:space="preserve">第一部分 </w:t>
      </w:r>
      <w:r>
        <w:rPr>
          <w:rStyle w:val="26"/>
          <w:rFonts w:hint="eastAsia"/>
          <w:b/>
          <w:bCs/>
        </w:rPr>
        <w:t>部门概况</w:t>
      </w:r>
      <w:bookmarkEnd w:id="12"/>
      <w:bookmarkEnd w:id="13"/>
    </w:p>
    <w:p>
      <w:pPr>
        <w:pStyle w:val="3"/>
        <w:rPr>
          <w:rStyle w:val="27"/>
          <w:b/>
          <w:bCs/>
        </w:rPr>
      </w:pPr>
      <w:bookmarkStart w:id="14" w:name="_Toc15396600"/>
      <w:bookmarkStart w:id="15" w:name="_Toc15377197"/>
      <w:r>
        <w:rPr>
          <w:rFonts w:hint="eastAsia"/>
        </w:rPr>
        <w:t>一、基</w:t>
      </w:r>
      <w:r>
        <w:rPr>
          <w:rStyle w:val="27"/>
          <w:rFonts w:hint="eastAsia"/>
          <w:b/>
          <w:bCs/>
        </w:rPr>
        <w:t>本职能及主要工作</w:t>
      </w:r>
      <w:bookmarkEnd w:id="14"/>
      <w:bookmarkEnd w:id="15"/>
    </w:p>
    <w:p>
      <w:pPr>
        <w:pStyle w:val="4"/>
        <w:ind w:firstLine="315" w:firstLineChars="98"/>
      </w:pPr>
      <w:bookmarkStart w:id="16" w:name="_Toc15377198"/>
      <w:bookmarkStart w:id="17" w:name="_Toc15378445"/>
      <w:r>
        <w:rPr>
          <w:rFonts w:hint="eastAsia"/>
        </w:rPr>
        <w:t>（一）主要职能。</w:t>
      </w:r>
      <w:bookmarkEnd w:id="16"/>
      <w:bookmarkEnd w:id="17"/>
    </w:p>
    <w:p>
      <w:pPr>
        <w:spacing w:line="360" w:lineRule="auto"/>
        <w:ind w:firstLine="640" w:firstLineChars="200"/>
        <w:rPr>
          <w:rFonts w:ascii="仿宋_GB2312" w:hAnsi="仿宋" w:eastAsia="仿宋_GB2312"/>
          <w:sz w:val="32"/>
          <w:szCs w:val="32"/>
        </w:rPr>
      </w:pPr>
      <w:bookmarkStart w:id="18" w:name="_Toc15378446"/>
      <w:bookmarkStart w:id="19" w:name="_Toc15377199"/>
      <w:r>
        <w:rPr>
          <w:rFonts w:hint="eastAsia" w:ascii="仿宋_GB2312" w:hAnsi="仿宋" w:eastAsia="仿宋_GB2312"/>
          <w:sz w:val="32"/>
          <w:szCs w:val="32"/>
        </w:rPr>
        <w:t>1.贯彻执行国家有关国民经济和社会发展战略、经济体制方针政策和法律法规，拟订并组织实施全区国民经济和社会发展中长期规划和年度计划；受区政府委托向区人大作全区经济社会发展计划报告。</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2.统筹协调全区经济社会发展。研究分析全区经济和社会发展形势，进行宏观经济预测预警和信息引导。对发展中的重大问题和热点、难点问题，提出宏观调控对策建议，综合协调财政、金融、价格和产业政策等经济杠杆，保证全区国民经济发展规划和计划的实施。</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3.承担指导推进和综合协调全区经济体制改革责任。组织拟订综合性经济体制改革方案，协调有关专项经济体制改革方案，会同有关部门搞好专项经济体制改革间的衔接，组织、指导和协调综合配套改革试点和重大专项经济体制改革试点工作。</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4.贯彻执行国家和省、市有关价格法律、法规和方针、政策，编制和执行价格改革、价格调整中长期规划和年度计划，组织实施年度价格总水平调控目标及价格调控措施，负责权限范围内价格的制定调整，承担行政事业性收费管理工作，负责全区价格成本调查监审、价格监测、价格认证等工作。</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5.负责全区投资宏观管理和协调推进重大项目建设。拟订全社会固定资产投资总规模、投资结构的调控目标和政策措施，编制年度投资计划，安排财政性建设资金，指导和监督政策性贷款的使用方向，按规定权限审批、核准、备案或转报固定资产投资项目（企业技术改革项目除外）和资源开发利用、外资、境外投资项目。</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6.推进经济结构战略性调整。组织拟订全区综合性产业政策，负责协调第一、二、三产业发展重大问题，衔接平衡相关发展规划和重大政策。拟订重大产业发展规划，引导全区重大生产力合理布局，协调推进全区重大技术装备推广应用和重大产业基地建设，会同有关部门拟订服务业、现代物流业发展战略、规划和重大政策。组织拟订高技术产业发展、产业技术进步的战略规划和重大政策，推进重大科技成果产业化。</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7.促进城乡区域协调发展。研究分析区域经济和城镇化发展情况，组织拟订区域经济协调发展战略规划和重大政策，研究提出城镇化发展战略和统筹城乡发展的政策措施。</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8.负责重要商品的总量平衡和宏观调控。研究分析区内外市场和对外贸易运行情况，编制重要农产品、工业品和原材料进出口总量计划并监督执行。提出重要商品市场、生产要素市场的发展规划、总体布局和重大调控措施。</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9.负责全区社会发展与国民经济发展的政策衔接。组织拟订社会发展战略、总体规划和年度计划，参与拟订人口和计划生育、科学技术、教育、文化、卫生、民政等发展政策，推进社会事业建设。研究提出促进就业、调整收入分配、完善社会保障与经济协调发展的政策建议。</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10.推进可持续发展战略。负责全区节能综合协调工作，组织拟订并协调实施全区发展循环经济、能源资源节约和综合利用规划及政策措施，参与编制生态建设、环境保护规划，协调生态建设、能源资源节约和综合利用的重大问题，综合协调环保产业和清洁产业促进有关工作。</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11.负责指导和协调全区招标投标工作。贯彻执行招标投标配套规定，核准必须进行招标投标项目的具体范围、规模标准。按照职责权限对重大建设项目建设过程中的招标投标活动实施监督检查。</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12.负责粮食流通行业管理。负责全区粮食（含食用植物油，下同）宏观调控、粮食流通管理工作；负责全区粮食流通统计和社会粮油供需平衡调查工作；负责落实地方储备粮食任务和储备粮油日常监管；负责全区粮食工业统计分析工作；负责全区粮食仓储设施和粮食流通基础设施的安全管理和粮食储藏安全工作；负责贯彻落实粮食行业食品安全法规及国家粮食质量标准，履行储备粮质量、粮食行业食品安全监管职责；负责监督指导辖区内粮油仓储单位备案管理工作；指导粮食部门安全生产工作；指导粮食综合行政执法；负责粮油库存检查；监督管理全区粮食专项扶持资金的使用；会同有关部门拟订区级储备粮财务管理制度，监督管理粮食风险基金、政策性粮食财务挂账、政策性粮食补贴资金；负责救灾物资储备、管理、调拨工作。</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13.</w:t>
      </w:r>
      <w:r>
        <w:rPr>
          <w:rFonts w:ascii="仿宋_GB2312" w:hAnsi="仿宋" w:eastAsia="仿宋_GB2312"/>
          <w:sz w:val="32"/>
          <w:szCs w:val="32"/>
        </w:rPr>
        <w:t>负责职责范围内的安全生产和职业健康、生态环境保护、审批服务便民化等工作。</w:t>
      </w:r>
    </w:p>
    <w:p>
      <w:pPr>
        <w:pStyle w:val="5"/>
        <w:adjustRightInd w:val="0"/>
        <w:snapToGrid w:val="0"/>
        <w:spacing w:before="93" w:line="360" w:lineRule="auto"/>
        <w:ind w:firstLine="672" w:firstLineChars="210"/>
        <w:outlineLvl w:val="2"/>
        <w:rPr>
          <w:rFonts w:hAnsi="仿宋"/>
          <w:sz w:val="32"/>
          <w:szCs w:val="32"/>
        </w:rPr>
      </w:pPr>
      <w:r>
        <w:rPr>
          <w:rFonts w:hint="eastAsia" w:hAnsi="仿宋"/>
          <w:sz w:val="32"/>
          <w:szCs w:val="32"/>
        </w:rPr>
        <w:t>14.</w:t>
      </w:r>
      <w:r>
        <w:rPr>
          <w:rFonts w:hAnsi="仿宋"/>
          <w:sz w:val="32"/>
          <w:szCs w:val="32"/>
        </w:rPr>
        <w:t>完成区委、区政府交办的其他任务。</w:t>
      </w:r>
    </w:p>
    <w:p>
      <w:pPr>
        <w:pStyle w:val="4"/>
        <w:ind w:firstLine="315" w:firstLineChars="98"/>
      </w:pPr>
      <w:r>
        <w:rPr>
          <w:rFonts w:hint="eastAsia"/>
        </w:rPr>
        <w:t>（二）</w:t>
      </w:r>
      <w:r>
        <w:t>201</w:t>
      </w:r>
      <w:r>
        <w:rPr>
          <w:rFonts w:hint="eastAsia"/>
        </w:rPr>
        <w:t>9年重点工作完成情况。</w:t>
      </w:r>
      <w:bookmarkEnd w:id="18"/>
      <w:bookmarkEnd w:id="19"/>
    </w:p>
    <w:p>
      <w:pPr>
        <w:overflowPunct w:val="0"/>
        <w:adjustRightInd w:val="0"/>
        <w:snapToGrid w:val="0"/>
        <w:spacing w:line="360" w:lineRule="auto"/>
        <w:ind w:firstLine="643" w:firstLineChars="200"/>
        <w:rPr>
          <w:rFonts w:ascii="仿宋_GB2312" w:hAnsi="仿宋" w:eastAsia="仿宋_GB2312"/>
          <w:b/>
          <w:sz w:val="32"/>
          <w:szCs w:val="32"/>
        </w:rPr>
      </w:pPr>
      <w:r>
        <w:rPr>
          <w:rFonts w:hint="eastAsia" w:ascii="仿宋_GB2312" w:hAnsi="仿宋" w:eastAsia="仿宋_GB2312"/>
          <w:b/>
          <w:sz w:val="32"/>
          <w:szCs w:val="32"/>
        </w:rPr>
        <w:t>1．目标任务的完成情况</w:t>
      </w:r>
    </w:p>
    <w:p>
      <w:pPr>
        <w:autoSpaceDE w:val="0"/>
        <w:autoSpaceDN w:val="0"/>
        <w:ind w:firstLine="640" w:firstLineChars="200"/>
        <w:rPr>
          <w:rFonts w:ascii="仿宋_GB2312" w:hAnsi="仿宋" w:eastAsia="仿宋_GB2312"/>
          <w:kern w:val="0"/>
          <w:sz w:val="32"/>
          <w:szCs w:val="32"/>
        </w:rPr>
      </w:pPr>
      <w:r>
        <w:rPr>
          <w:rFonts w:ascii="仿宋_GB2312" w:hAnsi="仿宋" w:eastAsia="仿宋_GB2312"/>
          <w:kern w:val="0"/>
          <w:sz w:val="32"/>
          <w:szCs w:val="32"/>
        </w:rPr>
        <w:t>2019年，西区实现地区生产总值82亿元</w:t>
      </w:r>
      <w:r>
        <w:rPr>
          <w:rFonts w:hint="eastAsia" w:ascii="仿宋_GB2312" w:hAnsi="仿宋" w:eastAsia="仿宋_GB2312"/>
          <w:kern w:val="0"/>
          <w:sz w:val="32"/>
          <w:szCs w:val="32"/>
        </w:rPr>
        <w:t>、</w:t>
      </w:r>
      <w:r>
        <w:rPr>
          <w:rFonts w:ascii="仿宋_GB2312" w:hAnsi="仿宋" w:eastAsia="仿宋_GB2312"/>
          <w:kern w:val="0"/>
          <w:sz w:val="32"/>
          <w:szCs w:val="32"/>
        </w:rPr>
        <w:t>增速0.2%，其中一二三产业增加值分别完成2.6亿元、58.1亿元、21.2亿元</w:t>
      </w:r>
      <w:r>
        <w:rPr>
          <w:rFonts w:hint="eastAsia" w:ascii="仿宋_GB2312" w:hAnsi="仿宋" w:eastAsia="仿宋_GB2312"/>
          <w:kern w:val="0"/>
          <w:sz w:val="32"/>
          <w:szCs w:val="32"/>
        </w:rPr>
        <w:t>；</w:t>
      </w:r>
      <w:r>
        <w:rPr>
          <w:rFonts w:ascii="仿宋_GB2312" w:hAnsi="仿宋" w:eastAsia="仿宋_GB2312"/>
          <w:kern w:val="0"/>
          <w:sz w:val="32"/>
          <w:szCs w:val="32"/>
        </w:rPr>
        <w:t>全社会固定资产投资103.58亿元、增速8.3%；</w:t>
      </w:r>
      <w:r>
        <w:rPr>
          <w:rFonts w:hint="eastAsia" w:ascii="仿宋_GB2312" w:hAnsi="仿宋" w:eastAsia="仿宋_GB2312"/>
          <w:kern w:val="0"/>
          <w:sz w:val="32"/>
          <w:szCs w:val="32"/>
        </w:rPr>
        <w:t>社会消费品零售总额21.5亿元、增长9.7%；</w:t>
      </w:r>
      <w:r>
        <w:rPr>
          <w:rFonts w:ascii="仿宋_GB2312" w:hAnsi="仿宋" w:eastAsia="仿宋_GB2312"/>
          <w:kern w:val="0"/>
          <w:sz w:val="32"/>
          <w:szCs w:val="32"/>
        </w:rPr>
        <w:t>地方一般公共预算收入1.76亿元、增长7.1%；城镇居民人均可支配收入增长8.5%；城镇登记失业率控制在4.2%以内。</w:t>
      </w:r>
    </w:p>
    <w:p>
      <w:pPr>
        <w:overflowPunct w:val="0"/>
        <w:adjustRightInd w:val="0"/>
        <w:snapToGrid w:val="0"/>
        <w:spacing w:line="360" w:lineRule="auto"/>
        <w:ind w:firstLine="643" w:firstLineChars="200"/>
        <w:rPr>
          <w:rFonts w:ascii="仿宋_GB2312" w:hAnsi="仿宋" w:eastAsia="仿宋_GB2312"/>
          <w:b/>
          <w:sz w:val="32"/>
          <w:szCs w:val="32"/>
        </w:rPr>
      </w:pPr>
      <w:r>
        <w:rPr>
          <w:rFonts w:hint="eastAsia" w:ascii="仿宋_GB2312" w:hAnsi="仿宋" w:eastAsia="仿宋_GB2312"/>
          <w:b/>
          <w:sz w:val="32"/>
          <w:szCs w:val="32"/>
        </w:rPr>
        <w:t>2．主要成绩和特色亮点</w:t>
      </w:r>
    </w:p>
    <w:p>
      <w:pPr>
        <w:ind w:firstLine="643" w:firstLineChars="200"/>
        <w:rPr>
          <w:rFonts w:ascii="仿宋_GB2312" w:hAnsi="仿宋" w:eastAsia="仿宋_GB2312"/>
          <w:sz w:val="32"/>
          <w:szCs w:val="32"/>
        </w:rPr>
      </w:pPr>
      <w:r>
        <w:rPr>
          <w:rFonts w:hint="eastAsia" w:ascii="仿宋_GB2312" w:hAnsi="仿宋" w:eastAsia="仿宋_GB2312"/>
          <w:b/>
          <w:sz w:val="32"/>
          <w:szCs w:val="32"/>
        </w:rPr>
        <w:t>（1）加强宏观经济研判，推进政策落地。</w:t>
      </w:r>
      <w:r>
        <w:rPr>
          <w:rFonts w:hint="eastAsia" w:ascii="仿宋_GB2312" w:hAnsi="仿宋" w:eastAsia="仿宋_GB2312"/>
          <w:sz w:val="32"/>
          <w:szCs w:val="32"/>
        </w:rPr>
        <w:t>密切关注宏观经济改革变化，分析国家宏观经济改革调整对我区经济社会发展的有利方面，编制完成《关于攀枝花市西区</w:t>
      </w:r>
      <w:r>
        <w:rPr>
          <w:rFonts w:ascii="仿宋_GB2312" w:hAnsi="仿宋" w:eastAsia="仿宋_GB2312"/>
          <w:sz w:val="32"/>
          <w:szCs w:val="32"/>
        </w:rPr>
        <w:t>2019</w:t>
      </w:r>
      <w:r>
        <w:rPr>
          <w:rFonts w:hint="eastAsia" w:ascii="仿宋_GB2312" w:hAnsi="仿宋" w:eastAsia="仿宋_GB2312"/>
          <w:sz w:val="32"/>
          <w:szCs w:val="32"/>
        </w:rPr>
        <w:t>年上半年国民经济和社会发展计划执行情况的报告》。</w:t>
      </w:r>
      <w:r>
        <w:rPr>
          <w:rFonts w:ascii="仿宋_GB2312" w:eastAsia="仿宋_GB2312"/>
          <w:sz w:val="32"/>
          <w:szCs w:val="32"/>
        </w:rPr>
        <w:t>结合西区实际，提出工作意见和建议，确保</w:t>
      </w:r>
      <w:r>
        <w:rPr>
          <w:rFonts w:hint="eastAsia" w:ascii="仿宋_GB2312" w:hAnsi="仿宋" w:eastAsia="仿宋_GB2312"/>
          <w:sz w:val="32"/>
          <w:szCs w:val="32"/>
        </w:rPr>
        <w:t>完成“十四五”规划《基本思路》重点内容初步考虑和“十四五”规划重大工程项目表初稿编制。深化落实经济运行调度会会议制度。统筹协调区域合作各项工作，及时跟踪推进区域合作协议的落地落实。</w:t>
      </w:r>
    </w:p>
    <w:p>
      <w:pPr>
        <w:ind w:firstLine="643" w:firstLineChars="200"/>
      </w:pPr>
      <w:r>
        <w:rPr>
          <w:rFonts w:hint="eastAsia" w:ascii="仿宋_GB2312" w:hAnsi="仿宋" w:eastAsia="仿宋_GB2312"/>
          <w:b/>
          <w:sz w:val="32"/>
          <w:szCs w:val="32"/>
        </w:rPr>
        <w:t>（2）科学谋划申报项目，积极争取资金。</w:t>
      </w:r>
      <w:r>
        <w:rPr>
          <w:rFonts w:ascii="仿宋_GB2312" w:eastAsia="仿宋_GB2312"/>
          <w:sz w:val="32"/>
          <w:szCs w:val="32"/>
        </w:rPr>
        <w:t>一是详细深入解读老工业基地调整改造、产业园区配套基础设施发展引导资金、攀西资金等资金支持方向，提前收集前期条件成熟的项目，按照时间安排，及时上报争取资金。二是结合专项债券支持方向，提出项目清单，及时录入国家重大项目库，完善项目信息，积极配合财政部门做好专项债券的申报工作。</w:t>
      </w:r>
      <w:r>
        <w:rPr>
          <w:rFonts w:hint="eastAsia" w:ascii="仿宋_GB2312" w:hAnsi="仿宋" w:eastAsia="仿宋_GB2312"/>
          <w:sz w:val="32"/>
          <w:szCs w:val="32"/>
        </w:rPr>
        <w:t>截至目前共获批3个项目，涉及市政基础设施、园区基础设施、环境污染治理、社会民生等四个类别，争取资金11684万元（中央资金8384万元，省级资金3300万元）。</w:t>
      </w:r>
    </w:p>
    <w:p>
      <w:pPr>
        <w:snapToGrid w:val="0"/>
        <w:spacing w:line="360" w:lineRule="auto"/>
        <w:ind w:firstLine="643" w:firstLineChars="200"/>
        <w:rPr>
          <w:rFonts w:ascii="仿宋_GB2312" w:hAnsi="宋体" w:eastAsia="仿宋_GB2312" w:cs="宋体"/>
          <w:color w:val="000000"/>
          <w:kern w:val="0"/>
          <w:sz w:val="32"/>
          <w:szCs w:val="32"/>
        </w:rPr>
      </w:pPr>
      <w:r>
        <w:rPr>
          <w:rFonts w:hint="eastAsia" w:ascii="仿宋_GB2312" w:hAnsi="仿宋" w:eastAsia="仿宋_GB2312"/>
          <w:b/>
          <w:sz w:val="32"/>
          <w:szCs w:val="32"/>
        </w:rPr>
        <w:t>（3）强化项目服务管理，加快项目推进。</w:t>
      </w:r>
      <w:r>
        <w:rPr>
          <w:rFonts w:ascii="仿宋_GB2312" w:hAnsi="仿宋" w:eastAsia="仿宋_GB2312"/>
          <w:sz w:val="32"/>
          <w:szCs w:val="32"/>
        </w:rPr>
        <w:t>强力推进4</w:t>
      </w:r>
      <w:r>
        <w:rPr>
          <w:rFonts w:hint="eastAsia" w:ascii="仿宋_GB2312" w:hAnsi="仿宋" w:eastAsia="仿宋_GB2312"/>
          <w:sz w:val="32"/>
          <w:szCs w:val="32"/>
        </w:rPr>
        <w:t>3</w:t>
      </w:r>
      <w:r>
        <w:rPr>
          <w:rFonts w:ascii="仿宋_GB2312" w:hAnsi="仿宋" w:eastAsia="仿宋_GB2312"/>
          <w:sz w:val="32"/>
          <w:szCs w:val="32"/>
        </w:rPr>
        <w:t>个区级重点项目，其中</w:t>
      </w:r>
      <w:r>
        <w:rPr>
          <w:rFonts w:hint="eastAsia" w:ascii="仿宋_GB2312" w:hAnsi="仿宋" w:eastAsia="仿宋_GB2312"/>
          <w:sz w:val="32"/>
          <w:szCs w:val="32"/>
        </w:rPr>
        <w:t>：省级重点项目</w:t>
      </w:r>
      <w:r>
        <w:rPr>
          <w:rFonts w:ascii="仿宋_GB2312" w:hAnsi="仿宋" w:eastAsia="仿宋_GB2312"/>
          <w:sz w:val="32"/>
          <w:szCs w:val="32"/>
        </w:rPr>
        <w:t>金沙水电站</w:t>
      </w:r>
      <w:r>
        <w:rPr>
          <w:rFonts w:hint="eastAsia" w:ascii="仿宋_GB2312" w:hAnsi="仿宋" w:eastAsia="仿宋_GB2312"/>
          <w:sz w:val="32"/>
          <w:szCs w:val="32"/>
        </w:rPr>
        <w:t>预计</w:t>
      </w:r>
      <w:r>
        <w:rPr>
          <w:rFonts w:ascii="仿宋_GB2312" w:hAnsi="仿宋" w:eastAsia="仿宋_GB2312"/>
          <w:sz w:val="32"/>
          <w:szCs w:val="32"/>
        </w:rPr>
        <w:t>全年完成投资</w:t>
      </w:r>
      <w:r>
        <w:rPr>
          <w:rFonts w:hint="eastAsia" w:ascii="仿宋_GB2312" w:hAnsi="仿宋" w:eastAsia="仿宋_GB2312"/>
          <w:sz w:val="32"/>
          <w:szCs w:val="32"/>
        </w:rPr>
        <w:t>10</w:t>
      </w:r>
      <w:r>
        <w:rPr>
          <w:rFonts w:ascii="仿宋_GB2312" w:hAnsi="仿宋" w:eastAsia="仿宋_GB2312"/>
          <w:sz w:val="32"/>
          <w:szCs w:val="32"/>
        </w:rPr>
        <w:t>亿元</w:t>
      </w:r>
      <w:r>
        <w:rPr>
          <w:rFonts w:hint="eastAsia" w:ascii="仿宋_GB2312" w:hAnsi="仿宋" w:eastAsia="仿宋_GB2312"/>
          <w:sz w:val="32"/>
          <w:szCs w:val="32"/>
        </w:rPr>
        <w:t>，完成三期截流目标；市级重点项目川能投煤焦化整合项目预计全年完成投资4亿元，完成1#-2#炉检修，处于保炉运行状态；30万吨新型绿色道路建养覆面材料及道路建养研究院分院建设项目、生物质致密燃料及甲醇燃料项目、钛金属康复器具精深加工等项目预计年底完工试生产；年产40万吨水处理剂项目、年产3万吨钒钛耐磨材料机械精加工项目等新引进项目预计年底前开工建设。完成攀枝花市路强工贸有限公司30万吨新型绿色道路建养覆面材料及道路建养研究院分院建设项目专家节能审查，实现西区年耗能1000吨标煤限额以上新建项目节能审查“零”的突破</w:t>
      </w:r>
      <w:r>
        <w:rPr>
          <w:rFonts w:ascii="仿宋_GB2312" w:hAnsi="仿宋" w:eastAsia="仿宋_GB2312"/>
          <w:sz w:val="32"/>
          <w:szCs w:val="32"/>
        </w:rPr>
        <w:t>。</w:t>
      </w:r>
    </w:p>
    <w:p>
      <w:pPr>
        <w:pStyle w:val="3"/>
        <w:ind w:firstLine="630" w:firstLineChars="196"/>
        <w:rPr>
          <w:rStyle w:val="27"/>
          <w:b/>
          <w:bCs/>
        </w:rPr>
      </w:pPr>
      <w:bookmarkStart w:id="20" w:name="_Toc15396601"/>
      <w:bookmarkStart w:id="21" w:name="_Toc15377200"/>
      <w:r>
        <w:rPr>
          <w:rFonts w:hint="eastAsia"/>
        </w:rPr>
        <w:t>二、机</w:t>
      </w:r>
      <w:r>
        <w:rPr>
          <w:rStyle w:val="27"/>
          <w:rFonts w:hint="eastAsia"/>
          <w:b/>
          <w:bCs/>
        </w:rPr>
        <w:t>构设置</w:t>
      </w:r>
      <w:bookmarkEnd w:id="20"/>
      <w:bookmarkEnd w:id="21"/>
    </w:p>
    <w:p>
      <w:pPr>
        <w:spacing w:line="360" w:lineRule="auto"/>
        <w:ind w:firstLine="800" w:firstLineChars="250"/>
        <w:rPr>
          <w:rFonts w:ascii="仿宋" w:hAnsi="仿宋" w:eastAsia="仿宋"/>
          <w:sz w:val="32"/>
          <w:szCs w:val="32"/>
        </w:rPr>
      </w:pPr>
      <w:bookmarkStart w:id="22" w:name="OLE_LINK2"/>
      <w:bookmarkStart w:id="23" w:name="OLE_LINK1"/>
      <w:bookmarkStart w:id="24" w:name="_Toc15377204"/>
      <w:bookmarkStart w:id="25" w:name="_Toc15396602"/>
      <w:r>
        <w:rPr>
          <w:rFonts w:hint="eastAsia" w:ascii="仿宋" w:hAnsi="仿宋" w:eastAsia="仿宋"/>
          <w:sz w:val="32"/>
          <w:szCs w:val="32"/>
        </w:rPr>
        <w:t>攀枝花市西区发展</w:t>
      </w:r>
      <w:r>
        <w:rPr>
          <w:rFonts w:hint="eastAsia" w:ascii="仿宋" w:hAnsi="仿宋" w:eastAsia="仿宋"/>
          <w:sz w:val="32"/>
          <w:szCs w:val="32"/>
          <w:lang w:eastAsia="zh-CN"/>
        </w:rPr>
        <w:t>和</w:t>
      </w:r>
      <w:r>
        <w:rPr>
          <w:rFonts w:hint="eastAsia" w:ascii="仿宋" w:hAnsi="仿宋" w:eastAsia="仿宋"/>
          <w:sz w:val="32"/>
          <w:szCs w:val="32"/>
        </w:rPr>
        <w:t>改革局</w:t>
      </w:r>
      <w:bookmarkEnd w:id="22"/>
      <w:bookmarkEnd w:id="23"/>
      <w:r>
        <w:rPr>
          <w:rFonts w:hint="eastAsia" w:ascii="仿宋" w:hAnsi="仿宋" w:eastAsia="仿宋"/>
          <w:sz w:val="32"/>
          <w:szCs w:val="32"/>
        </w:rPr>
        <w:t>下属二级单位2个，都是其他事业单位。</w:t>
      </w:r>
    </w:p>
    <w:p>
      <w:pPr>
        <w:pStyle w:val="5"/>
        <w:adjustRightInd w:val="0"/>
        <w:snapToGrid w:val="0"/>
        <w:spacing w:before="93" w:line="360" w:lineRule="auto"/>
        <w:ind w:firstLine="672" w:firstLineChars="210"/>
        <w:rPr>
          <w:rFonts w:ascii="仿宋" w:hAnsi="仿宋" w:eastAsia="仿宋"/>
          <w:color w:val="000000"/>
          <w:sz w:val="32"/>
          <w:szCs w:val="32"/>
        </w:rPr>
      </w:pPr>
      <w:r>
        <w:rPr>
          <w:rFonts w:hint="eastAsia" w:ascii="仿宋" w:hAnsi="仿宋" w:eastAsia="仿宋"/>
          <w:color w:val="000000"/>
          <w:sz w:val="32"/>
          <w:szCs w:val="32"/>
        </w:rPr>
        <w:t>纳入</w:t>
      </w:r>
      <w:r>
        <w:rPr>
          <w:rFonts w:hint="eastAsia" w:ascii="仿宋" w:hAnsi="仿宋" w:eastAsia="仿宋"/>
          <w:sz w:val="32"/>
          <w:szCs w:val="32"/>
        </w:rPr>
        <w:t>攀枝花市西区发展</w:t>
      </w:r>
      <w:r>
        <w:rPr>
          <w:rFonts w:hint="eastAsia" w:ascii="仿宋" w:hAnsi="仿宋" w:eastAsia="仿宋"/>
          <w:sz w:val="32"/>
          <w:szCs w:val="32"/>
          <w:lang w:eastAsia="zh-CN"/>
        </w:rPr>
        <w:t>和</w:t>
      </w:r>
      <w:r>
        <w:rPr>
          <w:rFonts w:hint="eastAsia" w:ascii="仿宋" w:hAnsi="仿宋" w:eastAsia="仿宋"/>
          <w:sz w:val="32"/>
          <w:szCs w:val="32"/>
        </w:rPr>
        <w:t>改革局</w:t>
      </w:r>
      <w:r>
        <w:rPr>
          <w:rFonts w:hint="eastAsia" w:ascii="仿宋" w:hAnsi="仿宋" w:eastAsia="仿宋"/>
          <w:color w:val="000000"/>
          <w:sz w:val="32"/>
          <w:szCs w:val="32"/>
        </w:rPr>
        <w:t>2019年度部门决算编制范围的二级预算单位包括：</w:t>
      </w:r>
    </w:p>
    <w:p>
      <w:pPr>
        <w:pStyle w:val="5"/>
        <w:numPr>
          <w:ilvl w:val="0"/>
          <w:numId w:val="1"/>
        </w:numPr>
        <w:adjustRightInd w:val="0"/>
        <w:snapToGrid w:val="0"/>
        <w:spacing w:before="93" w:line="360" w:lineRule="auto"/>
        <w:outlineLvl w:val="2"/>
        <w:rPr>
          <w:rFonts w:ascii="仿宋" w:hAnsi="仿宋" w:eastAsia="仿宋"/>
          <w:color w:val="000000"/>
          <w:sz w:val="32"/>
          <w:szCs w:val="32"/>
        </w:rPr>
      </w:pPr>
      <w:bookmarkStart w:id="26" w:name="_Toc15377433"/>
      <w:bookmarkStart w:id="27" w:name="_Toc15377202"/>
      <w:bookmarkStart w:id="28" w:name="_Toc15306276"/>
      <w:bookmarkStart w:id="29" w:name="_Toc15378449"/>
      <w:r>
        <w:rPr>
          <w:rFonts w:hint="eastAsia" w:ascii="仿宋" w:hAnsi="仿宋" w:eastAsia="仿宋"/>
          <w:sz w:val="32"/>
          <w:szCs w:val="32"/>
        </w:rPr>
        <w:t>攀枝花市西区物价局</w:t>
      </w:r>
      <w:bookmarkEnd w:id="26"/>
      <w:bookmarkEnd w:id="27"/>
      <w:bookmarkEnd w:id="28"/>
      <w:bookmarkEnd w:id="29"/>
      <w:r>
        <w:rPr>
          <w:rFonts w:hint="eastAsia" w:ascii="仿宋" w:hAnsi="仿宋" w:eastAsia="仿宋"/>
          <w:color w:val="000000"/>
          <w:sz w:val="32"/>
          <w:szCs w:val="32"/>
        </w:rPr>
        <w:t>价格认证中心</w:t>
      </w:r>
    </w:p>
    <w:p>
      <w:pPr>
        <w:pStyle w:val="5"/>
        <w:numPr>
          <w:ilvl w:val="0"/>
          <w:numId w:val="1"/>
        </w:numPr>
        <w:adjustRightInd w:val="0"/>
        <w:snapToGrid w:val="0"/>
        <w:spacing w:before="93" w:line="360" w:lineRule="auto"/>
        <w:outlineLvl w:val="2"/>
        <w:rPr>
          <w:rFonts w:ascii="仿宋" w:hAnsi="仿宋" w:eastAsia="仿宋"/>
          <w:color w:val="000000"/>
          <w:sz w:val="32"/>
          <w:szCs w:val="32"/>
        </w:rPr>
      </w:pPr>
      <w:bookmarkStart w:id="30" w:name="_Toc15377434"/>
      <w:bookmarkStart w:id="31" w:name="_Toc15306277"/>
      <w:bookmarkStart w:id="32" w:name="_Toc15378450"/>
      <w:bookmarkStart w:id="33" w:name="_Toc15377203"/>
      <w:r>
        <w:rPr>
          <w:rFonts w:hint="eastAsia" w:ascii="仿宋" w:hAnsi="仿宋" w:eastAsia="仿宋"/>
          <w:sz w:val="32"/>
          <w:szCs w:val="32"/>
        </w:rPr>
        <w:t>攀枝花市西区</w:t>
      </w:r>
      <w:bookmarkEnd w:id="30"/>
      <w:bookmarkEnd w:id="31"/>
      <w:bookmarkEnd w:id="32"/>
      <w:bookmarkEnd w:id="33"/>
      <w:r>
        <w:rPr>
          <w:rFonts w:hint="eastAsia" w:ascii="仿宋" w:hAnsi="仿宋" w:eastAsia="仿宋"/>
          <w:color w:val="000000"/>
          <w:sz w:val="32"/>
          <w:szCs w:val="32"/>
        </w:rPr>
        <w:t>项目管理办公室</w:t>
      </w:r>
    </w:p>
    <w:p>
      <w:pPr>
        <w:pStyle w:val="2"/>
        <w:jc w:val="center"/>
        <w:rPr>
          <w:rStyle w:val="26"/>
          <w:b/>
          <w:bCs/>
        </w:rPr>
      </w:pPr>
      <w:r>
        <w:rPr>
          <w:rStyle w:val="26"/>
          <w:rFonts w:hint="eastAsia"/>
          <w:b/>
          <w:bCs/>
        </w:rPr>
        <w:t>第二部分2019年度部门决算情况说明</w:t>
      </w:r>
      <w:bookmarkEnd w:id="24"/>
      <w:bookmarkEnd w:id="25"/>
    </w:p>
    <w:p>
      <w:pPr>
        <w:pStyle w:val="3"/>
        <w:ind w:firstLine="630" w:firstLineChars="196"/>
        <w:rPr>
          <w:rStyle w:val="27"/>
          <w:b/>
          <w:bCs/>
        </w:rPr>
      </w:pPr>
      <w:bookmarkStart w:id="34" w:name="_Toc15396603"/>
      <w:bookmarkStart w:id="35" w:name="_Toc15377205"/>
      <w:r>
        <w:rPr>
          <w:rFonts w:hint="eastAsia"/>
        </w:rPr>
        <w:t>一、收</w:t>
      </w:r>
      <w:r>
        <w:rPr>
          <w:rStyle w:val="27"/>
          <w:rFonts w:hint="eastAsia"/>
          <w:b/>
          <w:bCs/>
        </w:rPr>
        <w:t>入支出决算总体情况说明</w:t>
      </w:r>
      <w:bookmarkEnd w:id="34"/>
      <w:bookmarkEnd w:id="35"/>
    </w:p>
    <w:p>
      <w:pPr>
        <w:spacing w:line="360" w:lineRule="auto"/>
        <w:ind w:firstLine="640" w:firstLineChars="200"/>
        <w:rPr>
          <w:rFonts w:ascii="仿宋" w:hAnsi="仿宋" w:eastAsia="仿宋"/>
          <w:color w:val="000000"/>
          <w:sz w:val="32"/>
          <w:szCs w:val="32"/>
        </w:rPr>
      </w:pPr>
      <w:r>
        <w:rPr>
          <w:rFonts w:hint="eastAsia" w:ascii="仿宋" w:hAnsi="仿宋" w:eastAsia="仿宋"/>
          <w:color w:val="000000"/>
          <w:sz w:val="32"/>
          <w:szCs w:val="32"/>
        </w:rPr>
        <w:t>2019年度收、支总</w:t>
      </w:r>
      <w:bookmarkStart w:id="83" w:name="_GoBack"/>
      <w:bookmarkEnd w:id="83"/>
      <w:r>
        <w:rPr>
          <w:rFonts w:hint="eastAsia" w:ascii="仿宋" w:hAnsi="仿宋" w:eastAsia="仿宋"/>
          <w:color w:val="000000"/>
          <w:sz w:val="32"/>
          <w:szCs w:val="32"/>
        </w:rPr>
        <w:t>计854.97万元。与2018年相比，收、支总计各增加264.81万元，增长45</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_GB2312" w:hAnsi="仿宋" w:eastAsia="仿宋_GB2312"/>
          <w:sz w:val="32"/>
          <w:szCs w:val="32"/>
        </w:rPr>
        <w:t>机构改革职能增加而随之增加的收入、支出</w:t>
      </w:r>
      <w:r>
        <w:rPr>
          <w:rFonts w:hint="eastAsia" w:ascii="仿宋" w:hAnsi="仿宋" w:eastAsia="仿宋"/>
          <w:color w:val="000000"/>
          <w:sz w:val="32"/>
          <w:szCs w:val="32"/>
        </w:rPr>
        <w:t>。</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（图</w:t>
      </w:r>
      <w:r>
        <w:rPr>
          <w:rFonts w:ascii="仿宋" w:hAnsi="仿宋" w:eastAsia="仿宋"/>
          <w:color w:val="000000" w:themeColor="text1"/>
          <w:sz w:val="32"/>
          <w:szCs w:val="32"/>
        </w:rPr>
        <w:t>1</w:t>
      </w:r>
      <w:r>
        <w:rPr>
          <w:rFonts w:hint="eastAsia" w:ascii="仿宋" w:hAnsi="仿宋" w:eastAsia="仿宋"/>
          <w:color w:val="000000" w:themeColor="text1"/>
          <w:sz w:val="32"/>
          <w:szCs w:val="32"/>
        </w:rPr>
        <w:t>：收、支决算总计变动情况图）</w:t>
      </w:r>
    </w:p>
    <w:p>
      <w:pPr>
        <w:spacing w:line="360" w:lineRule="auto"/>
        <w:ind w:firstLine="420" w:firstLineChars="200"/>
        <w:rPr>
          <w:rFonts w:ascii="仿宋" w:hAnsi="仿宋" w:eastAsia="仿宋"/>
          <w:color w:val="000000" w:themeColor="text1"/>
          <w:sz w:val="32"/>
          <w:szCs w:val="32"/>
        </w:rPr>
      </w:pPr>
      <w:r>
        <w:drawing>
          <wp:anchor distT="0" distB="0" distL="114300" distR="114300" simplePos="0" relativeHeight="251664384" behindDoc="1" locked="0" layoutInCell="1" allowOverlap="1">
            <wp:simplePos x="0" y="0"/>
            <wp:positionH relativeFrom="column">
              <wp:posOffset>358140</wp:posOffset>
            </wp:positionH>
            <wp:positionV relativeFrom="paragraph">
              <wp:posOffset>52705</wp:posOffset>
            </wp:positionV>
            <wp:extent cx="4498975" cy="2224405"/>
            <wp:effectExtent l="0" t="0" r="12065" b="0"/>
            <wp:wrapTight wrapText="bothSides">
              <wp:wrapPolygon>
                <wp:start x="0" y="0"/>
                <wp:lineTo x="0" y="21458"/>
                <wp:lineTo x="21512" y="21458"/>
                <wp:lineTo x="21512"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4498975" cy="2224405"/>
                    </a:xfrm>
                    <a:prstGeom prst="rect">
                      <a:avLst/>
                    </a:prstGeom>
                    <a:noFill/>
                    <a:ln w="9525">
                      <a:noFill/>
                    </a:ln>
                  </pic:spPr>
                </pic:pic>
              </a:graphicData>
            </a:graphic>
          </wp:anchor>
        </w:drawing>
      </w:r>
    </w:p>
    <w:p>
      <w:pPr>
        <w:spacing w:line="360" w:lineRule="auto"/>
        <w:ind w:firstLine="640" w:firstLineChars="200"/>
        <w:rPr>
          <w:rFonts w:ascii="仿宋" w:hAnsi="仿宋" w:eastAsia="仿宋"/>
          <w:color w:val="000000" w:themeColor="text1"/>
          <w:sz w:val="32"/>
          <w:szCs w:val="32"/>
        </w:rPr>
      </w:pPr>
    </w:p>
    <w:p>
      <w:pPr>
        <w:spacing w:line="360" w:lineRule="auto"/>
        <w:ind w:firstLine="640" w:firstLineChars="200"/>
        <w:rPr>
          <w:rFonts w:ascii="仿宋" w:hAnsi="仿宋" w:eastAsia="仿宋"/>
          <w:color w:val="000000" w:themeColor="text1"/>
          <w:sz w:val="32"/>
          <w:szCs w:val="32"/>
        </w:rPr>
      </w:pPr>
    </w:p>
    <w:p>
      <w:pPr>
        <w:spacing w:line="360" w:lineRule="auto"/>
        <w:ind w:firstLine="640" w:firstLineChars="200"/>
        <w:rPr>
          <w:rFonts w:ascii="仿宋" w:hAnsi="仿宋" w:eastAsia="仿宋"/>
          <w:color w:val="000000" w:themeColor="text1"/>
          <w:sz w:val="32"/>
          <w:szCs w:val="32"/>
        </w:rPr>
      </w:pPr>
    </w:p>
    <w:p>
      <w:pPr>
        <w:spacing w:line="360" w:lineRule="auto"/>
        <w:ind w:firstLine="640" w:firstLineChars="200"/>
        <w:rPr>
          <w:rFonts w:ascii="仿宋" w:hAnsi="仿宋" w:eastAsia="仿宋"/>
          <w:color w:val="000000" w:themeColor="text1"/>
          <w:sz w:val="32"/>
          <w:szCs w:val="32"/>
        </w:rPr>
      </w:pPr>
    </w:p>
    <w:p>
      <w:pPr>
        <w:spacing w:line="360" w:lineRule="auto"/>
        <w:ind w:firstLine="640" w:firstLineChars="200"/>
        <w:rPr>
          <w:rFonts w:ascii="仿宋" w:hAnsi="仿宋" w:eastAsia="仿宋"/>
          <w:color w:val="000000" w:themeColor="text1"/>
          <w:sz w:val="32"/>
          <w:szCs w:val="32"/>
        </w:rPr>
      </w:pPr>
    </w:p>
    <w:p>
      <w:pPr>
        <w:pStyle w:val="3"/>
        <w:ind w:firstLine="630" w:firstLineChars="196"/>
        <w:rPr>
          <w:rStyle w:val="27"/>
          <w:b/>
          <w:bCs/>
        </w:rPr>
      </w:pPr>
      <w:bookmarkStart w:id="36" w:name="_Toc15377206"/>
      <w:bookmarkStart w:id="37" w:name="_Toc15396604"/>
      <w:r>
        <w:rPr>
          <w:rFonts w:hint="eastAsia"/>
        </w:rPr>
        <w:t>二、收</w:t>
      </w:r>
      <w:r>
        <w:rPr>
          <w:rStyle w:val="27"/>
          <w:rFonts w:hint="eastAsia"/>
          <w:b/>
          <w:bCs/>
        </w:rPr>
        <w:t>入决算情况说明</w:t>
      </w:r>
      <w:bookmarkEnd w:id="36"/>
      <w:bookmarkEnd w:id="37"/>
    </w:p>
    <w:p>
      <w:pPr>
        <w:spacing w:line="360" w:lineRule="auto"/>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9年本年收入合计786.30万元，其中：一般公共预算财政拨款收入361.14万元，占46</w:t>
      </w:r>
      <w:r>
        <w:rPr>
          <w:rFonts w:ascii="仿宋" w:hAnsi="仿宋" w:eastAsia="仿宋"/>
          <w:color w:val="000000"/>
          <w:sz w:val="32"/>
          <w:szCs w:val="32"/>
        </w:rPr>
        <w:t>%</w:t>
      </w:r>
      <w:r>
        <w:rPr>
          <w:rFonts w:hint="eastAsia" w:ascii="仿宋" w:hAnsi="仿宋" w:eastAsia="仿宋"/>
          <w:color w:val="000000"/>
          <w:sz w:val="32"/>
          <w:szCs w:val="32"/>
        </w:rPr>
        <w:t>；政府性基金预算财政拨款收入425.09万元，占54</w:t>
      </w:r>
      <w:r>
        <w:rPr>
          <w:rFonts w:ascii="仿宋" w:hAnsi="仿宋" w:eastAsia="仿宋"/>
          <w:color w:val="000000"/>
          <w:sz w:val="32"/>
          <w:szCs w:val="32"/>
        </w:rPr>
        <w:t>%</w:t>
      </w:r>
      <w:r>
        <w:rPr>
          <w:rFonts w:hint="eastAsia" w:ascii="仿宋" w:hAnsi="仿宋" w:eastAsia="仿宋"/>
          <w:color w:val="000000"/>
          <w:sz w:val="32"/>
          <w:szCs w:val="32"/>
        </w:rPr>
        <w:t>，其他收入0.07万元，占0</w:t>
      </w:r>
      <w:r>
        <w:rPr>
          <w:rFonts w:ascii="仿宋" w:hAnsi="仿宋" w:eastAsia="仿宋"/>
          <w:color w:val="000000"/>
          <w:sz w:val="32"/>
          <w:szCs w:val="32"/>
        </w:rPr>
        <w:t>%</w:t>
      </w:r>
      <w:r>
        <w:rPr>
          <w:rFonts w:hint="eastAsia" w:ascii="仿宋" w:hAnsi="仿宋" w:eastAsia="仿宋"/>
          <w:color w:val="000000"/>
          <w:sz w:val="32"/>
          <w:szCs w:val="32"/>
        </w:rPr>
        <w:t>。</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（图2：收入决算结构图）</w:t>
      </w:r>
    </w:p>
    <w:p>
      <w:pPr>
        <w:spacing w:line="360" w:lineRule="auto"/>
        <w:ind w:firstLine="420" w:firstLineChars="200"/>
        <w:rPr>
          <w:rFonts w:ascii="仿宋" w:hAnsi="仿宋" w:eastAsia="仿宋"/>
          <w:color w:val="000000" w:themeColor="text1"/>
          <w:sz w:val="32"/>
          <w:szCs w:val="32"/>
        </w:rPr>
      </w:pPr>
      <w:r>
        <w:drawing>
          <wp:anchor distT="0" distB="0" distL="114935" distR="114935" simplePos="0" relativeHeight="251659264" behindDoc="1" locked="0" layoutInCell="1" allowOverlap="1">
            <wp:simplePos x="0" y="0"/>
            <wp:positionH relativeFrom="column">
              <wp:posOffset>380365</wp:posOffset>
            </wp:positionH>
            <wp:positionV relativeFrom="paragraph">
              <wp:posOffset>38100</wp:posOffset>
            </wp:positionV>
            <wp:extent cx="4483100" cy="2243455"/>
            <wp:effectExtent l="0" t="0" r="12700" b="0"/>
            <wp:wrapTight wrapText="bothSides">
              <wp:wrapPolygon>
                <wp:start x="0" y="0"/>
                <wp:lineTo x="0" y="21423"/>
                <wp:lineTo x="21514" y="21423"/>
                <wp:lineTo x="21514"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4483100" cy="2243455"/>
                    </a:xfrm>
                    <a:prstGeom prst="rect">
                      <a:avLst/>
                    </a:prstGeom>
                    <a:noFill/>
                    <a:ln w="9525">
                      <a:noFill/>
                    </a:ln>
                  </pic:spPr>
                </pic:pic>
              </a:graphicData>
            </a:graphic>
          </wp:anchor>
        </w:drawing>
      </w:r>
    </w:p>
    <w:p>
      <w:pPr>
        <w:pStyle w:val="3"/>
        <w:ind w:firstLine="630" w:firstLineChars="196"/>
        <w:rPr>
          <w:rStyle w:val="27"/>
          <w:b/>
          <w:bCs/>
        </w:rPr>
      </w:pPr>
      <w:bookmarkStart w:id="38" w:name="_Toc15396605"/>
      <w:bookmarkStart w:id="39" w:name="_Toc15377207"/>
      <w:r>
        <w:rPr>
          <w:rFonts w:hint="eastAsia"/>
        </w:rPr>
        <w:t>三、支</w:t>
      </w:r>
      <w:r>
        <w:rPr>
          <w:rStyle w:val="27"/>
          <w:rFonts w:hint="eastAsia"/>
          <w:b/>
          <w:bCs/>
        </w:rPr>
        <w:t>出决算情况说明</w:t>
      </w:r>
      <w:bookmarkEnd w:id="38"/>
      <w:bookmarkEnd w:id="39"/>
    </w:p>
    <w:p>
      <w:pPr>
        <w:spacing w:line="360" w:lineRule="auto"/>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9年本年支出合计654.95万元，其中：基本支出401.84万元，占61</w:t>
      </w:r>
      <w:r>
        <w:rPr>
          <w:rFonts w:ascii="仿宋" w:hAnsi="仿宋" w:eastAsia="仿宋"/>
          <w:color w:val="000000"/>
          <w:sz w:val="32"/>
          <w:szCs w:val="32"/>
        </w:rPr>
        <w:t>%</w:t>
      </w:r>
      <w:r>
        <w:rPr>
          <w:rFonts w:hint="eastAsia" w:ascii="仿宋" w:hAnsi="仿宋" w:eastAsia="仿宋"/>
          <w:color w:val="000000"/>
          <w:sz w:val="32"/>
          <w:szCs w:val="32"/>
        </w:rPr>
        <w:t>；项目支出253.11万元，占39</w:t>
      </w:r>
      <w:r>
        <w:rPr>
          <w:rFonts w:ascii="仿宋" w:hAnsi="仿宋" w:eastAsia="仿宋"/>
          <w:color w:val="000000"/>
          <w:sz w:val="32"/>
          <w:szCs w:val="32"/>
        </w:rPr>
        <w:t>%</w:t>
      </w:r>
      <w:r>
        <w:rPr>
          <w:rFonts w:hint="eastAsia" w:ascii="仿宋" w:hAnsi="仿宋" w:eastAsia="仿宋"/>
          <w:color w:val="000000"/>
          <w:sz w:val="32"/>
          <w:szCs w:val="32"/>
        </w:rPr>
        <w:t>。</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（图3：支出决算结构图）</w:t>
      </w:r>
    </w:p>
    <w:p>
      <w:pPr>
        <w:spacing w:line="360" w:lineRule="auto"/>
        <w:ind w:firstLine="420" w:firstLineChars="200"/>
        <w:rPr>
          <w:rFonts w:ascii="仿宋_GB2312" w:eastAsia="仿宋_GB2312"/>
          <w:color w:val="FF0000"/>
          <w:sz w:val="32"/>
          <w:szCs w:val="32"/>
        </w:rPr>
      </w:pPr>
      <w:r>
        <w:drawing>
          <wp:anchor distT="0" distB="0" distL="114935" distR="114935" simplePos="0" relativeHeight="251660288" behindDoc="1" locked="0" layoutInCell="1" allowOverlap="1">
            <wp:simplePos x="0" y="0"/>
            <wp:positionH relativeFrom="column">
              <wp:posOffset>403860</wp:posOffset>
            </wp:positionH>
            <wp:positionV relativeFrom="paragraph">
              <wp:posOffset>29845</wp:posOffset>
            </wp:positionV>
            <wp:extent cx="4453255" cy="2240915"/>
            <wp:effectExtent l="0" t="0" r="12065" b="0"/>
            <wp:wrapTight wrapText="bothSides">
              <wp:wrapPolygon>
                <wp:start x="0" y="0"/>
                <wp:lineTo x="0" y="21447"/>
                <wp:lineTo x="21511" y="21447"/>
                <wp:lineTo x="21511" y="0"/>
                <wp:lineTo x="0" y="0"/>
              </wp:wrapPolygon>
            </wp:wrapTight>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4453255" cy="2240915"/>
                    </a:xfrm>
                    <a:prstGeom prst="rect">
                      <a:avLst/>
                    </a:prstGeom>
                    <a:noFill/>
                    <a:ln w="9525">
                      <a:noFill/>
                    </a:ln>
                  </pic:spPr>
                </pic:pic>
              </a:graphicData>
            </a:graphic>
          </wp:anchor>
        </w:drawing>
      </w:r>
    </w:p>
    <w:p>
      <w:pPr>
        <w:spacing w:line="360" w:lineRule="auto"/>
        <w:ind w:firstLine="640" w:firstLineChars="200"/>
        <w:rPr>
          <w:rFonts w:ascii="仿宋_GB2312" w:eastAsia="仿宋_GB2312"/>
          <w:color w:val="FF0000"/>
          <w:sz w:val="32"/>
          <w:szCs w:val="32"/>
        </w:rPr>
      </w:pPr>
    </w:p>
    <w:p>
      <w:pPr>
        <w:spacing w:line="360" w:lineRule="auto"/>
        <w:ind w:firstLine="640" w:firstLineChars="200"/>
        <w:rPr>
          <w:rFonts w:ascii="仿宋_GB2312" w:eastAsia="仿宋_GB2312"/>
          <w:color w:val="FF0000"/>
          <w:sz w:val="32"/>
          <w:szCs w:val="32"/>
        </w:rPr>
      </w:pPr>
    </w:p>
    <w:p>
      <w:pPr>
        <w:spacing w:line="360" w:lineRule="auto"/>
        <w:ind w:firstLine="640" w:firstLineChars="200"/>
        <w:rPr>
          <w:rFonts w:ascii="仿宋_GB2312" w:eastAsia="仿宋_GB2312"/>
          <w:color w:val="FF0000"/>
          <w:sz w:val="32"/>
          <w:szCs w:val="32"/>
        </w:rPr>
      </w:pPr>
    </w:p>
    <w:p>
      <w:pPr>
        <w:spacing w:line="360" w:lineRule="auto"/>
        <w:ind w:firstLine="640" w:firstLineChars="200"/>
        <w:rPr>
          <w:rFonts w:ascii="仿宋_GB2312" w:eastAsia="仿宋_GB2312"/>
          <w:color w:val="FF0000"/>
          <w:sz w:val="32"/>
          <w:szCs w:val="32"/>
        </w:rPr>
      </w:pPr>
    </w:p>
    <w:p>
      <w:pPr>
        <w:spacing w:line="360" w:lineRule="auto"/>
        <w:ind w:firstLine="640" w:firstLineChars="200"/>
        <w:rPr>
          <w:rFonts w:ascii="仿宋_GB2312" w:eastAsia="仿宋_GB2312"/>
          <w:color w:val="FF0000"/>
          <w:sz w:val="32"/>
          <w:szCs w:val="32"/>
        </w:rPr>
      </w:pPr>
    </w:p>
    <w:p>
      <w:pPr>
        <w:pStyle w:val="3"/>
        <w:ind w:firstLine="630" w:firstLineChars="196"/>
        <w:rPr>
          <w:rStyle w:val="27"/>
          <w:rFonts w:ascii="黑体" w:hAnsi="黑体" w:eastAsia="黑体"/>
          <w:b/>
          <w:bCs w:val="0"/>
        </w:rPr>
      </w:pPr>
      <w:bookmarkStart w:id="40" w:name="_Toc15377208"/>
      <w:bookmarkStart w:id="41" w:name="_Toc15396606"/>
      <w:r>
        <w:rPr>
          <w:rFonts w:hint="eastAsia"/>
          <w:color w:val="000000"/>
        </w:rPr>
        <w:t>四、财</w:t>
      </w:r>
      <w:r>
        <w:rPr>
          <w:rStyle w:val="27"/>
          <w:rFonts w:hint="eastAsia" w:ascii="黑体" w:hAnsi="黑体" w:eastAsia="黑体"/>
          <w:b w:val="0"/>
          <w:bCs w:val="0"/>
        </w:rPr>
        <w:t>政拨款收入支出决算总体情况说明</w:t>
      </w:r>
      <w:bookmarkEnd w:id="40"/>
      <w:bookmarkEnd w:id="41"/>
    </w:p>
    <w:p>
      <w:pPr>
        <w:spacing w:line="360" w:lineRule="auto"/>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9年财政拨款收、支总计852.58万元。与</w:t>
      </w:r>
      <w:r>
        <w:rPr>
          <w:rFonts w:ascii="仿宋" w:hAnsi="仿宋" w:eastAsia="仿宋"/>
          <w:color w:val="000000"/>
          <w:sz w:val="32"/>
          <w:szCs w:val="32"/>
        </w:rPr>
        <w:t>201</w:t>
      </w:r>
      <w:r>
        <w:rPr>
          <w:rFonts w:hint="eastAsia" w:ascii="仿宋" w:hAnsi="仿宋" w:eastAsia="仿宋"/>
          <w:color w:val="000000"/>
          <w:sz w:val="32"/>
          <w:szCs w:val="32"/>
        </w:rPr>
        <w:t>8年相比，财政拨款收、支总计各增加282.72万元，增长50</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_GB2312" w:hAnsi="仿宋" w:eastAsia="仿宋_GB2312"/>
          <w:sz w:val="32"/>
          <w:szCs w:val="32"/>
        </w:rPr>
        <w:t>机构改革职能增加而随之增加的收入、支出</w:t>
      </w:r>
      <w:r>
        <w:rPr>
          <w:rFonts w:hint="eastAsia" w:ascii="仿宋" w:hAnsi="仿宋" w:eastAsia="仿宋"/>
          <w:color w:val="000000"/>
          <w:sz w:val="32"/>
          <w:szCs w:val="32"/>
        </w:rPr>
        <w:t>。</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（图4：财政拨款收、支决算总计变动情况）</w:t>
      </w:r>
    </w:p>
    <w:p>
      <w:pPr>
        <w:spacing w:line="360" w:lineRule="auto"/>
        <w:ind w:firstLine="640"/>
        <w:rPr>
          <w:rFonts w:ascii="仿宋" w:hAnsi="仿宋" w:eastAsia="仿宋"/>
          <w:b/>
          <w:color w:val="00B050"/>
          <w:sz w:val="32"/>
          <w:szCs w:val="32"/>
        </w:rPr>
      </w:pPr>
      <w:r>
        <w:drawing>
          <wp:anchor distT="0" distB="0" distL="114935" distR="114935" simplePos="0" relativeHeight="251661312" behindDoc="1" locked="0" layoutInCell="1" allowOverlap="1">
            <wp:simplePos x="0" y="0"/>
            <wp:positionH relativeFrom="column">
              <wp:posOffset>405765</wp:posOffset>
            </wp:positionH>
            <wp:positionV relativeFrom="paragraph">
              <wp:posOffset>45085</wp:posOffset>
            </wp:positionV>
            <wp:extent cx="4422140" cy="2162175"/>
            <wp:effectExtent l="0" t="0" r="12700" b="1905"/>
            <wp:wrapTight wrapText="bothSides">
              <wp:wrapPolygon>
                <wp:start x="0" y="0"/>
                <wp:lineTo x="0" y="21467"/>
                <wp:lineTo x="21513" y="21467"/>
                <wp:lineTo x="21513" y="0"/>
                <wp:lineTo x="0" y="0"/>
              </wp:wrapPolygon>
            </wp:wrapTigh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4422140" cy="2162175"/>
                    </a:xfrm>
                    <a:prstGeom prst="rect">
                      <a:avLst/>
                    </a:prstGeom>
                    <a:noFill/>
                    <a:ln w="9525">
                      <a:noFill/>
                    </a:ln>
                  </pic:spPr>
                </pic:pic>
              </a:graphicData>
            </a:graphic>
          </wp:anchor>
        </w:drawing>
      </w:r>
    </w:p>
    <w:p>
      <w:pPr>
        <w:spacing w:line="360" w:lineRule="auto"/>
        <w:ind w:firstLine="640"/>
        <w:rPr>
          <w:rFonts w:ascii="仿宋" w:hAnsi="仿宋" w:eastAsia="仿宋"/>
          <w:b/>
          <w:color w:val="00B050"/>
          <w:sz w:val="32"/>
          <w:szCs w:val="32"/>
        </w:rPr>
      </w:pPr>
    </w:p>
    <w:p>
      <w:pPr>
        <w:spacing w:line="360" w:lineRule="auto"/>
        <w:ind w:firstLine="640"/>
        <w:rPr>
          <w:rFonts w:ascii="仿宋" w:hAnsi="仿宋" w:eastAsia="仿宋"/>
          <w:b/>
          <w:color w:val="00B050"/>
          <w:sz w:val="32"/>
          <w:szCs w:val="32"/>
        </w:rPr>
      </w:pPr>
    </w:p>
    <w:p>
      <w:pPr>
        <w:spacing w:line="360" w:lineRule="auto"/>
        <w:ind w:firstLine="640"/>
        <w:rPr>
          <w:rFonts w:ascii="仿宋" w:hAnsi="仿宋" w:eastAsia="仿宋"/>
          <w:b/>
          <w:color w:val="00B050"/>
          <w:sz w:val="32"/>
          <w:szCs w:val="32"/>
        </w:rPr>
      </w:pPr>
    </w:p>
    <w:p>
      <w:pPr>
        <w:spacing w:line="360" w:lineRule="auto"/>
        <w:ind w:firstLine="640"/>
        <w:rPr>
          <w:rFonts w:ascii="仿宋" w:hAnsi="仿宋" w:eastAsia="仿宋"/>
          <w:b/>
          <w:color w:val="00B050"/>
          <w:sz w:val="32"/>
          <w:szCs w:val="32"/>
        </w:rPr>
      </w:pPr>
    </w:p>
    <w:p>
      <w:pPr>
        <w:spacing w:line="360" w:lineRule="auto"/>
        <w:ind w:firstLine="640"/>
        <w:rPr>
          <w:rFonts w:ascii="仿宋" w:hAnsi="仿宋" w:eastAsia="仿宋"/>
          <w:b/>
          <w:color w:val="00B050"/>
          <w:sz w:val="32"/>
          <w:szCs w:val="32"/>
        </w:rPr>
      </w:pPr>
    </w:p>
    <w:p>
      <w:pPr>
        <w:pStyle w:val="3"/>
        <w:ind w:firstLine="630" w:firstLineChars="196"/>
        <w:rPr>
          <w:rStyle w:val="27"/>
          <w:rFonts w:ascii="黑体" w:hAnsi="黑体" w:eastAsia="黑体"/>
          <w:b/>
          <w:bCs w:val="0"/>
        </w:rPr>
      </w:pPr>
      <w:bookmarkStart w:id="42" w:name="_Toc15396607"/>
      <w:bookmarkStart w:id="43" w:name="_Toc15377209"/>
      <w:r>
        <w:rPr>
          <w:rFonts w:hint="eastAsia"/>
          <w:color w:val="000000"/>
        </w:rPr>
        <w:t>五、一</w:t>
      </w:r>
      <w:r>
        <w:rPr>
          <w:rStyle w:val="27"/>
          <w:rFonts w:hint="eastAsia" w:ascii="黑体" w:hAnsi="黑体" w:eastAsia="黑体"/>
          <w:b w:val="0"/>
          <w:bCs w:val="0"/>
        </w:rPr>
        <w:t>般公共预算财政拨款支出决算情况说明</w:t>
      </w:r>
      <w:bookmarkEnd w:id="42"/>
      <w:bookmarkEnd w:id="43"/>
    </w:p>
    <w:p>
      <w:pPr>
        <w:pStyle w:val="4"/>
        <w:ind w:firstLine="630" w:firstLineChars="196"/>
      </w:pPr>
      <w:bookmarkStart w:id="44" w:name="_Toc15377210"/>
      <w:r>
        <w:rPr>
          <w:rFonts w:hint="eastAsia"/>
        </w:rPr>
        <w:t>（一）一般公共预算财政拨款支出决算总体情况</w:t>
      </w:r>
      <w:bookmarkEnd w:id="44"/>
    </w:p>
    <w:p>
      <w:pPr>
        <w:spacing w:line="360" w:lineRule="auto"/>
        <w:ind w:firstLine="640" w:firstLineChars="20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9年一般公共预算财政拨款支出427.16万元，占本年支出合计的65</w:t>
      </w:r>
      <w:r>
        <w:rPr>
          <w:rFonts w:ascii="仿宋" w:hAnsi="仿宋" w:eastAsia="仿宋"/>
          <w:color w:val="000000"/>
          <w:sz w:val="32"/>
          <w:szCs w:val="32"/>
        </w:rPr>
        <w:t>%</w:t>
      </w:r>
      <w:r>
        <w:rPr>
          <w:rFonts w:hint="eastAsia" w:ascii="仿宋" w:hAnsi="仿宋" w:eastAsia="仿宋"/>
          <w:color w:val="000000"/>
          <w:sz w:val="32"/>
          <w:szCs w:val="32"/>
        </w:rPr>
        <w:t>。与</w:t>
      </w:r>
      <w:r>
        <w:rPr>
          <w:rFonts w:ascii="仿宋" w:hAnsi="仿宋" w:eastAsia="仿宋"/>
          <w:color w:val="000000"/>
          <w:sz w:val="32"/>
          <w:szCs w:val="32"/>
        </w:rPr>
        <w:t>201</w:t>
      </w:r>
      <w:r>
        <w:rPr>
          <w:rFonts w:hint="eastAsia" w:ascii="仿宋" w:hAnsi="仿宋" w:eastAsia="仿宋"/>
          <w:color w:val="000000"/>
          <w:sz w:val="32"/>
          <w:szCs w:val="32"/>
        </w:rPr>
        <w:t>8年相比，一般公共预算财政拨款减少76.70万元，下降15</w:t>
      </w:r>
      <w:r>
        <w:rPr>
          <w:rFonts w:ascii="仿宋" w:hAnsi="仿宋" w:eastAsia="仿宋"/>
          <w:color w:val="000000"/>
          <w:sz w:val="32"/>
          <w:szCs w:val="32"/>
        </w:rPr>
        <w:t>%</w:t>
      </w:r>
      <w:r>
        <w:rPr>
          <w:rFonts w:hint="eastAsia" w:ascii="仿宋" w:hAnsi="仿宋" w:eastAsia="仿宋"/>
          <w:color w:val="000000"/>
          <w:sz w:val="32"/>
          <w:szCs w:val="32"/>
        </w:rPr>
        <w:t>。主要变动原因是部分一般公共预算拨款调为政府性基金预算拨款。</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（图5：一般公共预算财政拨款支出决算变动情况）</w:t>
      </w:r>
    </w:p>
    <w:p>
      <w:pPr>
        <w:spacing w:line="360" w:lineRule="auto"/>
        <w:ind w:firstLine="420" w:firstLineChars="200"/>
        <w:rPr>
          <w:rFonts w:ascii="仿宋" w:hAnsi="仿宋" w:eastAsia="仿宋"/>
          <w:color w:val="000000" w:themeColor="text1"/>
          <w:sz w:val="32"/>
          <w:szCs w:val="32"/>
        </w:rPr>
      </w:pPr>
      <w:r>
        <w:drawing>
          <wp:anchor distT="0" distB="0" distL="114935" distR="114935" simplePos="0" relativeHeight="251662336" behindDoc="1" locked="0" layoutInCell="1" allowOverlap="1">
            <wp:simplePos x="0" y="0"/>
            <wp:positionH relativeFrom="column">
              <wp:posOffset>403225</wp:posOffset>
            </wp:positionH>
            <wp:positionV relativeFrom="paragraph">
              <wp:posOffset>52705</wp:posOffset>
            </wp:positionV>
            <wp:extent cx="4460240" cy="2240280"/>
            <wp:effectExtent l="0" t="0" r="5080" b="0"/>
            <wp:wrapTight wrapText="bothSides">
              <wp:wrapPolygon>
                <wp:start x="0" y="0"/>
                <wp:lineTo x="0" y="21453"/>
                <wp:lineTo x="21551" y="21453"/>
                <wp:lineTo x="21551" y="0"/>
                <wp:lineTo x="0" y="0"/>
              </wp:wrapPolygon>
            </wp:wrapTigh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4460240" cy="2240280"/>
                    </a:xfrm>
                    <a:prstGeom prst="rect">
                      <a:avLst/>
                    </a:prstGeom>
                    <a:noFill/>
                    <a:ln w="9525">
                      <a:noFill/>
                    </a:ln>
                  </pic:spPr>
                </pic:pic>
              </a:graphicData>
            </a:graphic>
          </wp:anchor>
        </w:drawing>
      </w:r>
    </w:p>
    <w:p>
      <w:pPr>
        <w:spacing w:line="360" w:lineRule="auto"/>
        <w:ind w:firstLine="640" w:firstLineChars="200"/>
        <w:rPr>
          <w:rFonts w:ascii="仿宋" w:hAnsi="仿宋" w:eastAsia="仿宋"/>
          <w:color w:val="000000" w:themeColor="text1"/>
          <w:sz w:val="32"/>
          <w:szCs w:val="32"/>
        </w:rPr>
      </w:pPr>
    </w:p>
    <w:p>
      <w:pPr>
        <w:spacing w:line="360" w:lineRule="auto"/>
        <w:ind w:firstLine="640" w:firstLineChars="200"/>
        <w:rPr>
          <w:rFonts w:ascii="仿宋" w:hAnsi="仿宋" w:eastAsia="仿宋"/>
          <w:color w:val="000000" w:themeColor="text1"/>
          <w:sz w:val="32"/>
          <w:szCs w:val="32"/>
        </w:rPr>
      </w:pPr>
    </w:p>
    <w:p>
      <w:pPr>
        <w:spacing w:line="360" w:lineRule="auto"/>
        <w:ind w:firstLine="640" w:firstLineChars="200"/>
        <w:rPr>
          <w:rFonts w:ascii="仿宋" w:hAnsi="仿宋" w:eastAsia="仿宋"/>
          <w:color w:val="000000" w:themeColor="text1"/>
          <w:sz w:val="32"/>
          <w:szCs w:val="32"/>
        </w:rPr>
      </w:pPr>
    </w:p>
    <w:p>
      <w:pPr>
        <w:spacing w:line="360" w:lineRule="auto"/>
        <w:ind w:firstLine="640" w:firstLineChars="200"/>
        <w:rPr>
          <w:rFonts w:ascii="仿宋" w:hAnsi="仿宋" w:eastAsia="仿宋"/>
          <w:color w:val="000000" w:themeColor="text1"/>
          <w:sz w:val="32"/>
          <w:szCs w:val="32"/>
        </w:rPr>
      </w:pPr>
    </w:p>
    <w:p>
      <w:pPr>
        <w:spacing w:line="360" w:lineRule="auto"/>
        <w:ind w:firstLine="640" w:firstLineChars="200"/>
        <w:rPr>
          <w:rFonts w:ascii="仿宋" w:hAnsi="仿宋" w:eastAsia="仿宋"/>
          <w:color w:val="000000" w:themeColor="text1"/>
          <w:sz w:val="32"/>
          <w:szCs w:val="32"/>
        </w:rPr>
      </w:pPr>
    </w:p>
    <w:p>
      <w:pPr>
        <w:pStyle w:val="4"/>
        <w:ind w:firstLine="630" w:firstLineChars="196"/>
      </w:pPr>
      <w:bookmarkStart w:id="45" w:name="_Toc15377211"/>
      <w:r>
        <w:rPr>
          <w:rFonts w:hint="eastAsia"/>
        </w:rPr>
        <w:t>（二）一般公共预算财政拨款支出决算结构情况</w:t>
      </w:r>
      <w:bookmarkEnd w:id="45"/>
    </w:p>
    <w:p>
      <w:pPr>
        <w:spacing w:line="360" w:lineRule="auto"/>
        <w:ind w:firstLine="640" w:firstLineChars="200"/>
        <w:rPr>
          <w:rFonts w:ascii="仿宋" w:hAnsi="仿宋" w:eastAsia="仿宋"/>
          <w:color w:val="000000" w:themeColor="text1"/>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w:t>
      </w:r>
      <w:r>
        <w:rPr>
          <w:rFonts w:hint="eastAsia" w:ascii="仿宋" w:hAnsi="仿宋" w:eastAsia="仿宋"/>
          <w:color w:val="000000" w:themeColor="text1"/>
          <w:sz w:val="32"/>
          <w:szCs w:val="32"/>
        </w:rPr>
        <w:t>政拨款支出427.16万元，主要用于以下方面</w:t>
      </w:r>
      <w:r>
        <w:rPr>
          <w:rFonts w:ascii="仿宋" w:hAnsi="仿宋" w:eastAsia="仿宋"/>
          <w:color w:val="000000" w:themeColor="text1"/>
          <w:sz w:val="32"/>
          <w:szCs w:val="32"/>
        </w:rPr>
        <w:t>:</w:t>
      </w:r>
      <w:r>
        <w:rPr>
          <w:rFonts w:hint="eastAsia" w:ascii="仿宋" w:hAnsi="仿宋" w:eastAsia="仿宋"/>
          <w:b/>
          <w:color w:val="000000" w:themeColor="text1"/>
          <w:sz w:val="32"/>
          <w:szCs w:val="32"/>
        </w:rPr>
        <w:t>一般公共服务（类）</w:t>
      </w:r>
      <w:r>
        <w:rPr>
          <w:rFonts w:hint="eastAsia" w:ascii="仿宋" w:hAnsi="仿宋" w:eastAsia="仿宋"/>
          <w:color w:val="000000" w:themeColor="text1"/>
          <w:sz w:val="32"/>
          <w:szCs w:val="32"/>
        </w:rPr>
        <w:t>支出321.48万元，占75</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r>
        <w:rPr>
          <w:rFonts w:hint="eastAsia" w:ascii="仿宋" w:hAnsi="仿宋" w:eastAsia="仿宋"/>
          <w:b/>
          <w:color w:val="000000" w:themeColor="text1"/>
          <w:sz w:val="32"/>
          <w:szCs w:val="32"/>
        </w:rPr>
        <w:t>社会保障和就业（类）</w:t>
      </w:r>
      <w:r>
        <w:rPr>
          <w:rFonts w:hint="eastAsia" w:ascii="仿宋" w:hAnsi="仿宋" w:eastAsia="仿宋"/>
          <w:color w:val="000000" w:themeColor="text1"/>
          <w:sz w:val="32"/>
          <w:szCs w:val="32"/>
        </w:rPr>
        <w:t>支出30.62万元，占7</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r>
        <w:rPr>
          <w:rFonts w:hint="eastAsia" w:ascii="仿宋" w:hAnsi="仿宋" w:eastAsia="仿宋"/>
          <w:b/>
          <w:bCs/>
          <w:color w:val="000000" w:themeColor="text1"/>
          <w:sz w:val="32"/>
          <w:szCs w:val="32"/>
        </w:rPr>
        <w:t>卫生健康支出</w:t>
      </w:r>
      <w:r>
        <w:rPr>
          <w:rFonts w:hint="eastAsia" w:ascii="仿宋" w:hAnsi="仿宋" w:eastAsia="仿宋"/>
          <w:b/>
          <w:color w:val="000000" w:themeColor="text1"/>
          <w:sz w:val="32"/>
          <w:szCs w:val="32"/>
        </w:rPr>
        <w:t>（类）</w:t>
      </w:r>
      <w:r>
        <w:rPr>
          <w:rFonts w:hint="eastAsia" w:ascii="仿宋" w:hAnsi="仿宋" w:eastAsia="仿宋"/>
          <w:color w:val="000000" w:themeColor="text1"/>
          <w:sz w:val="32"/>
          <w:szCs w:val="32"/>
        </w:rPr>
        <w:t>18.08万元，占4</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r>
        <w:rPr>
          <w:rFonts w:hint="eastAsia" w:ascii="仿宋" w:hAnsi="仿宋" w:eastAsia="仿宋"/>
          <w:b/>
          <w:bCs/>
          <w:color w:val="000000" w:themeColor="text1"/>
          <w:sz w:val="32"/>
          <w:szCs w:val="32"/>
        </w:rPr>
        <w:t>节能环保支出</w:t>
      </w:r>
      <w:r>
        <w:rPr>
          <w:rFonts w:hint="eastAsia" w:ascii="仿宋" w:hAnsi="仿宋" w:eastAsia="仿宋"/>
          <w:b/>
          <w:color w:val="000000" w:themeColor="text1"/>
          <w:sz w:val="32"/>
          <w:szCs w:val="32"/>
        </w:rPr>
        <w:t>（类）</w:t>
      </w:r>
      <w:r>
        <w:rPr>
          <w:rFonts w:hint="eastAsia" w:ascii="仿宋" w:hAnsi="仿宋" w:eastAsia="仿宋"/>
          <w:color w:val="000000" w:themeColor="text1"/>
          <w:sz w:val="32"/>
          <w:szCs w:val="32"/>
        </w:rPr>
        <w:t>4.00万元，占1</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r>
        <w:rPr>
          <w:rFonts w:hint="eastAsia" w:ascii="仿宋" w:hAnsi="仿宋" w:eastAsia="仿宋"/>
          <w:b/>
          <w:bCs/>
          <w:color w:val="000000" w:themeColor="text1"/>
          <w:sz w:val="32"/>
          <w:szCs w:val="32"/>
        </w:rPr>
        <w:t>住房保障支出</w:t>
      </w:r>
      <w:r>
        <w:rPr>
          <w:rFonts w:hint="eastAsia" w:ascii="仿宋" w:hAnsi="仿宋" w:eastAsia="仿宋"/>
          <w:b/>
          <w:color w:val="000000" w:themeColor="text1"/>
          <w:sz w:val="32"/>
          <w:szCs w:val="32"/>
        </w:rPr>
        <w:t>（类）</w:t>
      </w:r>
      <w:r>
        <w:rPr>
          <w:rFonts w:hint="eastAsia" w:ascii="仿宋" w:hAnsi="仿宋" w:eastAsia="仿宋"/>
          <w:color w:val="000000" w:themeColor="text1"/>
          <w:sz w:val="32"/>
          <w:szCs w:val="32"/>
        </w:rPr>
        <w:t>31.58万元，占8</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r>
        <w:rPr>
          <w:rFonts w:hint="eastAsia" w:ascii="仿宋" w:hAnsi="仿宋" w:eastAsia="仿宋"/>
          <w:b/>
          <w:bCs/>
          <w:color w:val="000000" w:themeColor="text1"/>
          <w:sz w:val="32"/>
          <w:szCs w:val="32"/>
        </w:rPr>
        <w:t>粮油物资储备支出</w:t>
      </w:r>
      <w:r>
        <w:rPr>
          <w:rFonts w:hint="eastAsia" w:ascii="仿宋" w:hAnsi="仿宋" w:eastAsia="仿宋"/>
          <w:b/>
          <w:color w:val="000000" w:themeColor="text1"/>
          <w:sz w:val="32"/>
          <w:szCs w:val="32"/>
        </w:rPr>
        <w:t>（类）</w:t>
      </w:r>
      <w:r>
        <w:rPr>
          <w:rFonts w:hint="eastAsia" w:ascii="仿宋" w:hAnsi="仿宋" w:eastAsia="仿宋"/>
          <w:color w:val="000000" w:themeColor="text1"/>
          <w:sz w:val="32"/>
          <w:szCs w:val="32"/>
        </w:rPr>
        <w:t>21.40万元，占5</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p>
    <w:p>
      <w:pPr>
        <w:spacing w:line="360" w:lineRule="auto"/>
        <w:ind w:firstLine="640" w:firstLineChars="200"/>
        <w:rPr>
          <w:rFonts w:ascii="仿宋" w:hAnsi="仿宋" w:eastAsia="仿宋"/>
          <w:color w:val="000000"/>
          <w:sz w:val="32"/>
          <w:szCs w:val="32"/>
        </w:rPr>
      </w:pPr>
      <w:r>
        <w:rPr>
          <w:rFonts w:hint="eastAsia" w:ascii="仿宋" w:hAnsi="仿宋" w:eastAsia="仿宋"/>
          <w:color w:val="000000"/>
          <w:sz w:val="32"/>
          <w:szCs w:val="32"/>
        </w:rPr>
        <w:t>（图6：一般公共预算财政拨款支出决算结构）</w:t>
      </w:r>
    </w:p>
    <w:p>
      <w:pPr>
        <w:spacing w:line="360" w:lineRule="auto"/>
        <w:ind w:firstLine="420" w:firstLineChars="200"/>
        <w:rPr>
          <w:rFonts w:ascii="仿宋" w:hAnsi="仿宋" w:eastAsia="仿宋"/>
          <w:color w:val="000000"/>
          <w:sz w:val="32"/>
          <w:szCs w:val="32"/>
        </w:rPr>
      </w:pPr>
      <w:r>
        <w:drawing>
          <wp:anchor distT="0" distB="0" distL="114935" distR="114935" simplePos="0" relativeHeight="251663360" behindDoc="1" locked="0" layoutInCell="1" allowOverlap="1">
            <wp:simplePos x="0" y="0"/>
            <wp:positionH relativeFrom="column">
              <wp:posOffset>380365</wp:posOffset>
            </wp:positionH>
            <wp:positionV relativeFrom="paragraph">
              <wp:posOffset>45720</wp:posOffset>
            </wp:positionV>
            <wp:extent cx="4483100" cy="2246630"/>
            <wp:effectExtent l="0" t="0" r="12700" b="8890"/>
            <wp:wrapTight wrapText="bothSides">
              <wp:wrapPolygon>
                <wp:start x="0" y="0"/>
                <wp:lineTo x="0" y="21392"/>
                <wp:lineTo x="21514" y="21392"/>
                <wp:lineTo x="21514" y="0"/>
                <wp:lineTo x="0" y="0"/>
              </wp:wrapPolygon>
            </wp:wrapTight>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4483100" cy="2246630"/>
                    </a:xfrm>
                    <a:prstGeom prst="rect">
                      <a:avLst/>
                    </a:prstGeom>
                    <a:noFill/>
                    <a:ln w="9525">
                      <a:noFill/>
                    </a:ln>
                  </pic:spPr>
                </pic:pic>
              </a:graphicData>
            </a:graphic>
          </wp:anchor>
        </w:drawing>
      </w:r>
    </w:p>
    <w:p>
      <w:pPr>
        <w:spacing w:line="360" w:lineRule="auto"/>
        <w:ind w:firstLine="640" w:firstLineChars="200"/>
        <w:rPr>
          <w:rFonts w:ascii="仿宋" w:hAnsi="仿宋" w:eastAsia="仿宋"/>
          <w:color w:val="000000"/>
          <w:sz w:val="32"/>
          <w:szCs w:val="32"/>
        </w:rPr>
      </w:pPr>
    </w:p>
    <w:p>
      <w:pPr>
        <w:spacing w:line="360" w:lineRule="auto"/>
        <w:ind w:firstLine="640" w:firstLineChars="200"/>
        <w:rPr>
          <w:rFonts w:ascii="仿宋" w:hAnsi="仿宋" w:eastAsia="仿宋"/>
          <w:color w:val="000000"/>
          <w:sz w:val="32"/>
          <w:szCs w:val="32"/>
        </w:rPr>
      </w:pPr>
    </w:p>
    <w:p>
      <w:pPr>
        <w:spacing w:line="360" w:lineRule="auto"/>
        <w:ind w:firstLine="640" w:firstLineChars="200"/>
        <w:rPr>
          <w:rFonts w:ascii="仿宋" w:hAnsi="仿宋" w:eastAsia="仿宋"/>
          <w:color w:val="000000"/>
          <w:sz w:val="32"/>
          <w:szCs w:val="32"/>
        </w:rPr>
      </w:pPr>
    </w:p>
    <w:p>
      <w:pPr>
        <w:spacing w:line="360" w:lineRule="auto"/>
        <w:ind w:firstLine="640" w:firstLineChars="200"/>
        <w:rPr>
          <w:rFonts w:ascii="仿宋" w:hAnsi="仿宋" w:eastAsia="仿宋"/>
          <w:color w:val="000000"/>
          <w:sz w:val="32"/>
          <w:szCs w:val="32"/>
        </w:rPr>
      </w:pPr>
    </w:p>
    <w:p>
      <w:pPr>
        <w:spacing w:line="360" w:lineRule="auto"/>
        <w:ind w:firstLine="640" w:firstLineChars="200"/>
        <w:rPr>
          <w:rFonts w:ascii="仿宋" w:hAnsi="仿宋" w:eastAsia="仿宋"/>
          <w:color w:val="000000"/>
          <w:sz w:val="32"/>
          <w:szCs w:val="32"/>
        </w:rPr>
      </w:pPr>
    </w:p>
    <w:p>
      <w:pPr>
        <w:pStyle w:val="4"/>
        <w:ind w:firstLine="630" w:firstLineChars="196"/>
      </w:pPr>
      <w:bookmarkStart w:id="46" w:name="_Toc15377212"/>
      <w:r>
        <w:rPr>
          <w:rFonts w:hint="eastAsia"/>
        </w:rPr>
        <w:t>（三）一般公共预算财政拨款支出决算具体情况</w:t>
      </w:r>
      <w:bookmarkEnd w:id="46"/>
    </w:p>
    <w:p>
      <w:pPr>
        <w:spacing w:line="360" w:lineRule="auto"/>
        <w:ind w:firstLine="643" w:firstLineChars="200"/>
        <w:outlineLvl w:val="2"/>
        <w:rPr>
          <w:rFonts w:ascii="仿宋" w:hAnsi="仿宋" w:eastAsia="仿宋"/>
          <w:color w:val="FF0000"/>
          <w:sz w:val="32"/>
          <w:szCs w:val="32"/>
        </w:rPr>
      </w:pPr>
      <w:bookmarkStart w:id="47" w:name="_Toc15378460"/>
      <w:bookmarkStart w:id="48" w:name="_Toc15377213"/>
      <w:bookmarkStart w:id="49" w:name="_Toc15377444"/>
      <w:r>
        <w:rPr>
          <w:rFonts w:hint="eastAsia" w:ascii="仿宋" w:hAnsi="仿宋" w:eastAsia="仿宋"/>
          <w:b/>
          <w:color w:val="000000" w:themeColor="text1"/>
          <w:sz w:val="32"/>
          <w:szCs w:val="32"/>
        </w:rPr>
        <w:t>2019年</w:t>
      </w:r>
      <w:r>
        <w:rPr>
          <w:rFonts w:hint="eastAsia" w:ascii="仿宋" w:hAnsi="仿宋" w:eastAsia="仿宋"/>
          <w:b/>
          <w:color w:val="000000"/>
          <w:sz w:val="32"/>
          <w:szCs w:val="32"/>
        </w:rPr>
        <w:t>一</w:t>
      </w:r>
      <w:r>
        <w:rPr>
          <w:rFonts w:hint="eastAsia" w:ascii="仿宋" w:hAnsi="仿宋" w:eastAsia="仿宋"/>
          <w:b/>
          <w:color w:val="000000" w:themeColor="text1"/>
          <w:sz w:val="32"/>
          <w:szCs w:val="32"/>
        </w:rPr>
        <w:t>般公共预算支出决算数为</w:t>
      </w:r>
      <w:r>
        <w:rPr>
          <w:rFonts w:hint="eastAsia" w:ascii="仿宋" w:hAnsi="仿宋" w:eastAsia="仿宋"/>
          <w:color w:val="000000" w:themeColor="text1"/>
          <w:sz w:val="32"/>
          <w:szCs w:val="32"/>
        </w:rPr>
        <w:t>427.16万元，</w:t>
      </w:r>
      <w:r>
        <w:rPr>
          <w:rStyle w:val="16"/>
          <w:rFonts w:hint="eastAsia" w:ascii="仿宋" w:hAnsi="仿宋" w:eastAsia="仿宋"/>
          <w:bCs/>
          <w:color w:val="000000" w:themeColor="text1"/>
          <w:sz w:val="32"/>
          <w:szCs w:val="32"/>
        </w:rPr>
        <w:t>完成</w:t>
      </w:r>
      <w:r>
        <w:rPr>
          <w:rStyle w:val="16"/>
          <w:rFonts w:hint="eastAsia" w:ascii="仿宋" w:hAnsi="仿宋" w:eastAsia="仿宋"/>
          <w:bCs/>
          <w:color w:val="000000"/>
          <w:sz w:val="32"/>
          <w:szCs w:val="32"/>
        </w:rPr>
        <w:t>预算118</w:t>
      </w:r>
      <w:r>
        <w:rPr>
          <w:rStyle w:val="16"/>
          <w:rFonts w:ascii="仿宋" w:hAnsi="仿宋" w:eastAsia="仿宋"/>
          <w:bCs/>
          <w:color w:val="000000"/>
          <w:sz w:val="32"/>
          <w:szCs w:val="32"/>
        </w:rPr>
        <w:t>%</w:t>
      </w:r>
      <w:r>
        <w:rPr>
          <w:rStyle w:val="16"/>
          <w:rFonts w:hint="eastAsia" w:ascii="仿宋" w:hAnsi="仿宋" w:eastAsia="仿宋"/>
          <w:bCs/>
          <w:color w:val="000000"/>
          <w:sz w:val="32"/>
          <w:szCs w:val="32"/>
        </w:rPr>
        <w:t>。其中：</w:t>
      </w:r>
      <w:bookmarkEnd w:id="47"/>
      <w:bookmarkEnd w:id="48"/>
      <w:bookmarkEnd w:id="49"/>
    </w:p>
    <w:p>
      <w:pPr>
        <w:spacing w:line="360" w:lineRule="auto"/>
        <w:ind w:firstLine="643" w:firstLineChars="200"/>
        <w:rPr>
          <w:rFonts w:ascii="仿宋" w:hAnsi="仿宋" w:eastAsia="仿宋"/>
          <w:b/>
          <w:color w:val="000000"/>
          <w:sz w:val="32"/>
          <w:szCs w:val="32"/>
        </w:rPr>
      </w:pPr>
      <w:r>
        <w:rPr>
          <w:rStyle w:val="16"/>
          <w:rFonts w:ascii="仿宋" w:hAnsi="仿宋" w:eastAsia="仿宋"/>
          <w:bCs/>
          <w:color w:val="000000"/>
          <w:sz w:val="32"/>
          <w:szCs w:val="32"/>
        </w:rPr>
        <w:t>1.</w:t>
      </w:r>
      <w:r>
        <w:rPr>
          <w:rStyle w:val="16"/>
          <w:rFonts w:hint="eastAsia" w:ascii="仿宋" w:hAnsi="仿宋" w:eastAsia="仿宋"/>
          <w:bCs/>
          <w:color w:val="000000"/>
          <w:sz w:val="32"/>
          <w:szCs w:val="32"/>
        </w:rPr>
        <w:t>一般公共服务（类）财政事务（款）行政运行（项）</w:t>
      </w:r>
      <w:r>
        <w:rPr>
          <w:rStyle w:val="16"/>
          <w:rFonts w:ascii="仿宋" w:hAnsi="仿宋" w:eastAsia="仿宋"/>
          <w:bCs/>
          <w:color w:val="000000"/>
          <w:sz w:val="32"/>
          <w:szCs w:val="32"/>
        </w:rPr>
        <w:t>:</w:t>
      </w:r>
      <w:r>
        <w:rPr>
          <w:rStyle w:val="16"/>
          <w:rFonts w:ascii="仿宋" w:hAnsi="仿宋" w:eastAsia="仿宋"/>
          <w:b w:val="0"/>
          <w:bCs/>
          <w:color w:val="000000"/>
          <w:sz w:val="32"/>
          <w:szCs w:val="32"/>
        </w:rPr>
        <w:t xml:space="preserve"> </w:t>
      </w:r>
      <w:r>
        <w:rPr>
          <w:rStyle w:val="16"/>
          <w:rFonts w:hint="eastAsia" w:ascii="仿宋" w:hAnsi="仿宋" w:eastAsia="仿宋"/>
          <w:b w:val="0"/>
          <w:bCs/>
          <w:color w:val="000000"/>
          <w:sz w:val="32"/>
          <w:szCs w:val="32"/>
        </w:rPr>
        <w:t>支出决算为175.72万元，完成预算121</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，决算数大于预算数的主要原因是今年部分预算收入调整为存量资金安排的上年结转资金形成的。</w:t>
      </w:r>
      <w:r>
        <w:rPr>
          <w:rStyle w:val="16"/>
          <w:rFonts w:hint="eastAsia" w:ascii="仿宋" w:hAnsi="仿宋" w:eastAsia="仿宋"/>
          <w:color w:val="000000"/>
          <w:sz w:val="32"/>
          <w:szCs w:val="32"/>
        </w:rPr>
        <w:t>事业运行</w:t>
      </w:r>
      <w:r>
        <w:rPr>
          <w:rStyle w:val="16"/>
          <w:rFonts w:hint="eastAsia" w:ascii="仿宋" w:hAnsi="仿宋" w:eastAsia="仿宋"/>
          <w:bCs/>
          <w:color w:val="000000"/>
          <w:sz w:val="32"/>
          <w:szCs w:val="32"/>
        </w:rPr>
        <w:t>（项）</w:t>
      </w:r>
      <w:r>
        <w:rPr>
          <w:rStyle w:val="16"/>
          <w:rFonts w:ascii="仿宋" w:hAnsi="仿宋" w:eastAsia="仿宋"/>
          <w:bCs/>
          <w:color w:val="000000"/>
          <w:sz w:val="32"/>
          <w:szCs w:val="32"/>
        </w:rPr>
        <w:t>:</w:t>
      </w:r>
      <w:r>
        <w:rPr>
          <w:rStyle w:val="16"/>
          <w:rFonts w:ascii="仿宋" w:hAnsi="仿宋" w:eastAsia="仿宋"/>
          <w:b w:val="0"/>
          <w:bCs/>
          <w:color w:val="000000"/>
          <w:sz w:val="32"/>
          <w:szCs w:val="32"/>
        </w:rPr>
        <w:t xml:space="preserve"> </w:t>
      </w:r>
      <w:r>
        <w:rPr>
          <w:rStyle w:val="16"/>
          <w:rFonts w:hint="eastAsia" w:ascii="仿宋" w:hAnsi="仿宋" w:eastAsia="仿宋"/>
          <w:b w:val="0"/>
          <w:bCs/>
          <w:color w:val="000000"/>
          <w:sz w:val="32"/>
          <w:szCs w:val="32"/>
        </w:rPr>
        <w:t>支出决算为145.76万元，完成预算107</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，决算数大于预算数的主要原因是今年部分预算收入调整为存量资金安排的上年结转资金形成的。</w:t>
      </w:r>
    </w:p>
    <w:p>
      <w:pPr>
        <w:spacing w:line="360" w:lineRule="auto"/>
        <w:ind w:firstLine="643" w:firstLineChars="200"/>
        <w:rPr>
          <w:rStyle w:val="16"/>
          <w:rFonts w:ascii="仿宋" w:hAnsi="仿宋" w:eastAsia="仿宋"/>
          <w:b w:val="0"/>
          <w:bCs/>
          <w:color w:val="000000"/>
          <w:sz w:val="32"/>
          <w:szCs w:val="32"/>
        </w:rPr>
      </w:pPr>
      <w:bookmarkStart w:id="50" w:name="_Toc15396608"/>
      <w:bookmarkStart w:id="51" w:name="_Toc15377214"/>
      <w:r>
        <w:rPr>
          <w:rStyle w:val="16"/>
          <w:rFonts w:hint="eastAsia" w:ascii="仿宋" w:hAnsi="仿宋" w:eastAsia="仿宋"/>
          <w:bCs/>
          <w:color w:val="000000"/>
          <w:sz w:val="32"/>
          <w:szCs w:val="32"/>
        </w:rPr>
        <w:t>2</w:t>
      </w:r>
      <w:r>
        <w:rPr>
          <w:rStyle w:val="16"/>
          <w:rFonts w:ascii="仿宋" w:hAnsi="仿宋" w:eastAsia="仿宋"/>
          <w:bCs/>
          <w:color w:val="000000"/>
          <w:sz w:val="32"/>
          <w:szCs w:val="32"/>
        </w:rPr>
        <w:t>.</w:t>
      </w:r>
      <w:r>
        <w:rPr>
          <w:rStyle w:val="16"/>
          <w:rFonts w:hint="eastAsia" w:ascii="仿宋" w:hAnsi="仿宋" w:eastAsia="仿宋"/>
          <w:bCs/>
          <w:color w:val="000000"/>
          <w:sz w:val="32"/>
          <w:szCs w:val="32"/>
        </w:rPr>
        <w:t>社会保障和就业（类）行政事业单位离退休（款）未归口管理的行政单位离退休（项）</w:t>
      </w:r>
      <w:r>
        <w:rPr>
          <w:rStyle w:val="16"/>
          <w:rFonts w:ascii="仿宋" w:hAnsi="仿宋" w:eastAsia="仿宋"/>
          <w:bCs/>
          <w:color w:val="000000"/>
          <w:sz w:val="32"/>
          <w:szCs w:val="32"/>
        </w:rPr>
        <w:t>:</w:t>
      </w:r>
      <w:r>
        <w:rPr>
          <w:rStyle w:val="16"/>
          <w:rFonts w:ascii="仿宋" w:hAnsi="仿宋" w:eastAsia="仿宋"/>
          <w:b w:val="0"/>
          <w:bCs/>
          <w:color w:val="000000"/>
          <w:sz w:val="32"/>
          <w:szCs w:val="32"/>
        </w:rPr>
        <w:t xml:space="preserve"> </w:t>
      </w:r>
      <w:r>
        <w:rPr>
          <w:rStyle w:val="16"/>
          <w:rFonts w:hint="eastAsia" w:ascii="仿宋" w:hAnsi="仿宋" w:eastAsia="仿宋"/>
          <w:b w:val="0"/>
          <w:bCs/>
          <w:color w:val="000000"/>
          <w:sz w:val="32"/>
          <w:szCs w:val="32"/>
        </w:rPr>
        <w:t>支出决算为5.69万元，完成预算100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Style w:val="16"/>
          <w:rFonts w:hint="eastAsia" w:ascii="仿宋" w:hAnsi="仿宋" w:eastAsia="仿宋"/>
          <w:bCs/>
          <w:color w:val="000000"/>
          <w:sz w:val="32"/>
          <w:szCs w:val="32"/>
        </w:rPr>
        <w:t>机关事业单位基本养老保险缴费支出（项）</w:t>
      </w:r>
      <w:r>
        <w:rPr>
          <w:rStyle w:val="16"/>
          <w:rFonts w:ascii="仿宋" w:hAnsi="仿宋" w:eastAsia="仿宋"/>
          <w:bCs/>
          <w:color w:val="000000"/>
          <w:sz w:val="32"/>
          <w:szCs w:val="32"/>
        </w:rPr>
        <w:t>:</w:t>
      </w:r>
      <w:r>
        <w:rPr>
          <w:rStyle w:val="16"/>
          <w:rFonts w:ascii="仿宋" w:hAnsi="仿宋" w:eastAsia="仿宋"/>
          <w:b w:val="0"/>
          <w:bCs/>
          <w:color w:val="000000"/>
          <w:sz w:val="32"/>
          <w:szCs w:val="32"/>
        </w:rPr>
        <w:t xml:space="preserve"> </w:t>
      </w:r>
      <w:r>
        <w:rPr>
          <w:rStyle w:val="16"/>
          <w:rFonts w:hint="eastAsia" w:ascii="仿宋" w:hAnsi="仿宋" w:eastAsia="仿宋"/>
          <w:b w:val="0"/>
          <w:bCs/>
          <w:color w:val="000000"/>
          <w:sz w:val="32"/>
          <w:szCs w:val="32"/>
        </w:rPr>
        <w:t>支出决算为24.93万元，完成预算100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p>
    <w:p>
      <w:pPr>
        <w:spacing w:line="360" w:lineRule="auto"/>
        <w:ind w:firstLine="643" w:firstLineChars="200"/>
        <w:rPr>
          <w:rStyle w:val="16"/>
          <w:rFonts w:ascii="仿宋" w:hAnsi="仿宋" w:eastAsia="仿宋"/>
          <w:b w:val="0"/>
          <w:bCs/>
          <w:color w:val="000000"/>
          <w:sz w:val="32"/>
          <w:szCs w:val="32"/>
        </w:rPr>
      </w:pPr>
      <w:r>
        <w:rPr>
          <w:rStyle w:val="16"/>
          <w:rFonts w:hint="eastAsia" w:ascii="仿宋" w:hAnsi="仿宋" w:eastAsia="仿宋"/>
          <w:bCs/>
          <w:color w:val="000000"/>
          <w:sz w:val="32"/>
          <w:szCs w:val="32"/>
        </w:rPr>
        <w:t>3</w:t>
      </w:r>
      <w:r>
        <w:rPr>
          <w:rStyle w:val="16"/>
          <w:rFonts w:ascii="仿宋" w:hAnsi="仿宋" w:eastAsia="仿宋"/>
          <w:bCs/>
          <w:color w:val="000000"/>
          <w:sz w:val="32"/>
          <w:szCs w:val="32"/>
        </w:rPr>
        <w:t>.</w:t>
      </w:r>
      <w:r>
        <w:rPr>
          <w:rFonts w:hint="eastAsia" w:ascii="仿宋" w:hAnsi="仿宋" w:eastAsia="仿宋"/>
          <w:b/>
          <w:bCs/>
          <w:color w:val="000000" w:themeColor="text1"/>
          <w:sz w:val="32"/>
          <w:szCs w:val="32"/>
        </w:rPr>
        <w:t>卫生健康</w:t>
      </w:r>
      <w:r>
        <w:rPr>
          <w:rStyle w:val="16"/>
          <w:rFonts w:hint="eastAsia" w:ascii="仿宋" w:hAnsi="仿宋" w:eastAsia="仿宋"/>
          <w:bCs/>
          <w:color w:val="000000"/>
          <w:sz w:val="32"/>
          <w:szCs w:val="32"/>
        </w:rPr>
        <w:t>（类）行政事业单位医疗（款）行政单位医疗（项）</w:t>
      </w:r>
      <w:r>
        <w:rPr>
          <w:rStyle w:val="16"/>
          <w:rFonts w:ascii="仿宋" w:hAnsi="仿宋" w:eastAsia="仿宋"/>
          <w:bCs/>
          <w:color w:val="000000"/>
          <w:sz w:val="32"/>
          <w:szCs w:val="32"/>
        </w:rPr>
        <w:t>:</w:t>
      </w:r>
      <w:r>
        <w:rPr>
          <w:rStyle w:val="16"/>
          <w:rFonts w:hint="eastAsia" w:ascii="仿宋" w:hAnsi="仿宋" w:eastAsia="仿宋"/>
          <w:b w:val="0"/>
          <w:bCs/>
          <w:color w:val="000000"/>
          <w:sz w:val="32"/>
          <w:szCs w:val="32"/>
        </w:rPr>
        <w:t>支出决算为7.24万元，完成预算100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Style w:val="16"/>
          <w:rFonts w:hint="eastAsia" w:ascii="仿宋" w:hAnsi="仿宋" w:eastAsia="仿宋"/>
          <w:color w:val="000000"/>
          <w:sz w:val="32"/>
          <w:szCs w:val="32"/>
        </w:rPr>
        <w:t>事业单位医疗</w:t>
      </w:r>
      <w:r>
        <w:rPr>
          <w:rStyle w:val="16"/>
          <w:rFonts w:hint="eastAsia" w:ascii="仿宋" w:hAnsi="仿宋" w:eastAsia="仿宋"/>
          <w:bCs/>
          <w:color w:val="000000"/>
          <w:sz w:val="32"/>
          <w:szCs w:val="32"/>
        </w:rPr>
        <w:t>（项）</w:t>
      </w:r>
      <w:r>
        <w:rPr>
          <w:rStyle w:val="16"/>
          <w:rFonts w:ascii="仿宋" w:hAnsi="仿宋" w:eastAsia="仿宋"/>
          <w:bCs/>
          <w:color w:val="000000"/>
          <w:sz w:val="32"/>
          <w:szCs w:val="32"/>
        </w:rPr>
        <w:t>:</w:t>
      </w:r>
      <w:r>
        <w:rPr>
          <w:rStyle w:val="16"/>
          <w:rFonts w:hint="eastAsia" w:ascii="仿宋" w:hAnsi="仿宋" w:eastAsia="仿宋"/>
          <w:b w:val="0"/>
          <w:bCs/>
          <w:color w:val="000000"/>
          <w:sz w:val="32"/>
          <w:szCs w:val="32"/>
        </w:rPr>
        <w:t>支出决算为8.69万元，完成预算100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Style w:val="16"/>
          <w:rFonts w:hint="eastAsia" w:ascii="仿宋" w:hAnsi="仿宋" w:eastAsia="仿宋"/>
          <w:color w:val="000000"/>
          <w:sz w:val="32"/>
          <w:szCs w:val="32"/>
        </w:rPr>
        <w:t>公务员医疗补助</w:t>
      </w:r>
      <w:r>
        <w:rPr>
          <w:rStyle w:val="16"/>
          <w:rFonts w:hint="eastAsia" w:ascii="仿宋" w:hAnsi="仿宋" w:eastAsia="仿宋"/>
          <w:bCs/>
          <w:color w:val="000000"/>
          <w:sz w:val="32"/>
          <w:szCs w:val="32"/>
        </w:rPr>
        <w:t>（项）</w:t>
      </w:r>
      <w:r>
        <w:rPr>
          <w:rStyle w:val="16"/>
          <w:rFonts w:ascii="仿宋" w:hAnsi="仿宋" w:eastAsia="仿宋"/>
          <w:bCs/>
          <w:color w:val="000000"/>
          <w:sz w:val="32"/>
          <w:szCs w:val="32"/>
        </w:rPr>
        <w:t>:</w:t>
      </w:r>
      <w:r>
        <w:rPr>
          <w:rStyle w:val="16"/>
          <w:rFonts w:hint="eastAsia" w:ascii="仿宋" w:hAnsi="仿宋" w:eastAsia="仿宋"/>
          <w:b w:val="0"/>
          <w:bCs/>
          <w:color w:val="000000"/>
          <w:sz w:val="32"/>
          <w:szCs w:val="32"/>
        </w:rPr>
        <w:t>支出决算为2.15万元，完成预算100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p>
    <w:p>
      <w:pPr>
        <w:spacing w:line="360" w:lineRule="auto"/>
        <w:ind w:firstLine="643" w:firstLineChars="200"/>
        <w:rPr>
          <w:rStyle w:val="16"/>
          <w:rFonts w:ascii="仿宋" w:hAnsi="仿宋" w:eastAsia="仿宋"/>
          <w:b w:val="0"/>
          <w:bCs/>
          <w:color w:val="000000"/>
          <w:sz w:val="32"/>
          <w:szCs w:val="32"/>
        </w:rPr>
      </w:pPr>
      <w:r>
        <w:rPr>
          <w:rStyle w:val="16"/>
          <w:rFonts w:hint="eastAsia" w:ascii="仿宋" w:hAnsi="仿宋" w:eastAsia="仿宋"/>
          <w:bCs/>
          <w:color w:val="000000"/>
          <w:sz w:val="32"/>
          <w:szCs w:val="32"/>
        </w:rPr>
        <w:t>4.节能环保支出（类）污染减排（款）清洁生产专项支出（项）</w:t>
      </w:r>
      <w:r>
        <w:rPr>
          <w:rStyle w:val="16"/>
          <w:rFonts w:ascii="仿宋" w:hAnsi="仿宋" w:eastAsia="仿宋"/>
          <w:bCs/>
          <w:color w:val="000000"/>
          <w:sz w:val="32"/>
          <w:szCs w:val="32"/>
        </w:rPr>
        <w:t>:</w:t>
      </w:r>
      <w:r>
        <w:rPr>
          <w:rStyle w:val="16"/>
          <w:rFonts w:ascii="仿宋" w:hAnsi="仿宋" w:eastAsia="仿宋"/>
          <w:b w:val="0"/>
          <w:bCs/>
          <w:color w:val="000000"/>
          <w:sz w:val="32"/>
          <w:szCs w:val="32"/>
        </w:rPr>
        <w:t xml:space="preserve"> </w:t>
      </w:r>
      <w:r>
        <w:rPr>
          <w:rStyle w:val="16"/>
          <w:rFonts w:hint="eastAsia" w:ascii="仿宋" w:hAnsi="仿宋" w:eastAsia="仿宋"/>
          <w:b w:val="0"/>
          <w:bCs/>
          <w:color w:val="000000"/>
          <w:sz w:val="32"/>
          <w:szCs w:val="32"/>
        </w:rPr>
        <w:t>支出决算为4万元，全部为使用上年结转资金形成的支出。</w:t>
      </w:r>
    </w:p>
    <w:p>
      <w:pPr>
        <w:spacing w:line="360" w:lineRule="auto"/>
        <w:ind w:firstLine="643" w:firstLineChars="200"/>
        <w:rPr>
          <w:rStyle w:val="16"/>
          <w:rFonts w:ascii="仿宋" w:hAnsi="仿宋" w:eastAsia="仿宋"/>
          <w:b w:val="0"/>
          <w:bCs/>
          <w:color w:val="000000"/>
          <w:sz w:val="32"/>
          <w:szCs w:val="32"/>
        </w:rPr>
      </w:pPr>
      <w:r>
        <w:rPr>
          <w:rStyle w:val="16"/>
          <w:rFonts w:hint="eastAsia" w:ascii="仿宋" w:hAnsi="仿宋" w:eastAsia="仿宋"/>
          <w:bCs/>
          <w:color w:val="000000"/>
          <w:sz w:val="32"/>
          <w:szCs w:val="32"/>
        </w:rPr>
        <w:t>5</w:t>
      </w:r>
      <w:r>
        <w:rPr>
          <w:rStyle w:val="16"/>
          <w:rFonts w:ascii="仿宋" w:hAnsi="仿宋" w:eastAsia="仿宋"/>
          <w:bCs/>
          <w:color w:val="000000"/>
          <w:sz w:val="32"/>
          <w:szCs w:val="32"/>
        </w:rPr>
        <w:t>.</w:t>
      </w:r>
      <w:r>
        <w:rPr>
          <w:rStyle w:val="16"/>
          <w:rFonts w:hint="eastAsia" w:ascii="仿宋" w:hAnsi="仿宋" w:eastAsia="仿宋"/>
          <w:bCs/>
          <w:color w:val="000000"/>
          <w:sz w:val="32"/>
          <w:szCs w:val="32"/>
        </w:rPr>
        <w:t>住房保障支出（类）住房改革支出（款）住房公积金（项）</w:t>
      </w:r>
      <w:r>
        <w:rPr>
          <w:rStyle w:val="16"/>
          <w:rFonts w:ascii="仿宋" w:hAnsi="仿宋" w:eastAsia="仿宋"/>
          <w:bCs/>
          <w:color w:val="000000"/>
          <w:sz w:val="32"/>
          <w:szCs w:val="32"/>
        </w:rPr>
        <w:t>:</w:t>
      </w:r>
      <w:r>
        <w:rPr>
          <w:rStyle w:val="16"/>
          <w:rFonts w:hint="eastAsia" w:ascii="仿宋" w:hAnsi="仿宋" w:eastAsia="仿宋"/>
          <w:b w:val="0"/>
          <w:bCs/>
          <w:color w:val="000000"/>
          <w:sz w:val="32"/>
          <w:szCs w:val="32"/>
        </w:rPr>
        <w:t>支出决算为31.58万元，完成预算100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p>
    <w:p>
      <w:pPr>
        <w:spacing w:line="360" w:lineRule="auto"/>
        <w:ind w:firstLine="643" w:firstLineChars="200"/>
        <w:rPr>
          <w:rStyle w:val="16"/>
          <w:rFonts w:ascii="仿宋" w:hAnsi="仿宋" w:eastAsia="仿宋"/>
          <w:b w:val="0"/>
          <w:bCs/>
          <w:color w:val="000000"/>
          <w:sz w:val="32"/>
          <w:szCs w:val="32"/>
        </w:rPr>
      </w:pPr>
      <w:r>
        <w:rPr>
          <w:rStyle w:val="16"/>
          <w:rFonts w:hint="eastAsia" w:ascii="仿宋" w:hAnsi="仿宋" w:eastAsia="仿宋"/>
          <w:bCs/>
          <w:color w:val="000000"/>
          <w:sz w:val="32"/>
          <w:szCs w:val="32"/>
        </w:rPr>
        <w:t>6</w:t>
      </w:r>
      <w:r>
        <w:rPr>
          <w:rStyle w:val="16"/>
          <w:rFonts w:ascii="仿宋" w:hAnsi="仿宋" w:eastAsia="仿宋"/>
          <w:bCs/>
          <w:color w:val="000000"/>
          <w:sz w:val="32"/>
          <w:szCs w:val="32"/>
        </w:rPr>
        <w:t>.</w:t>
      </w:r>
      <w:r>
        <w:rPr>
          <w:rStyle w:val="16"/>
          <w:rFonts w:hint="eastAsia" w:ascii="仿宋" w:hAnsi="仿宋" w:eastAsia="仿宋"/>
          <w:bCs/>
          <w:color w:val="000000"/>
          <w:sz w:val="32"/>
          <w:szCs w:val="32"/>
        </w:rPr>
        <w:t>粮油物资储备支出（类）粮油事务（款）其他粮油事务支出（项）</w:t>
      </w:r>
      <w:r>
        <w:rPr>
          <w:rStyle w:val="16"/>
          <w:rFonts w:ascii="仿宋" w:hAnsi="仿宋" w:eastAsia="仿宋"/>
          <w:bCs/>
          <w:color w:val="000000"/>
          <w:sz w:val="32"/>
          <w:szCs w:val="32"/>
        </w:rPr>
        <w:t>:</w:t>
      </w:r>
      <w:r>
        <w:rPr>
          <w:rStyle w:val="16"/>
          <w:rFonts w:hint="eastAsia" w:ascii="仿宋" w:hAnsi="仿宋" w:eastAsia="仿宋"/>
          <w:b w:val="0"/>
          <w:bCs/>
          <w:color w:val="000000"/>
          <w:sz w:val="32"/>
          <w:szCs w:val="32"/>
        </w:rPr>
        <w:t>支出决算为16.70万元，全部为使用上年结转资金形成的支出；</w:t>
      </w:r>
      <w:r>
        <w:rPr>
          <w:rStyle w:val="16"/>
          <w:rFonts w:hint="eastAsia" w:ascii="仿宋" w:hAnsi="仿宋" w:eastAsia="仿宋"/>
          <w:color w:val="000000"/>
          <w:sz w:val="32"/>
          <w:szCs w:val="32"/>
        </w:rPr>
        <w:t>储备粮（油）库建设</w:t>
      </w:r>
      <w:r>
        <w:rPr>
          <w:rStyle w:val="16"/>
          <w:rFonts w:hint="eastAsia" w:ascii="仿宋" w:hAnsi="仿宋" w:eastAsia="仿宋"/>
          <w:bCs/>
          <w:color w:val="000000"/>
          <w:sz w:val="32"/>
          <w:szCs w:val="32"/>
        </w:rPr>
        <w:t>（项）</w:t>
      </w:r>
      <w:r>
        <w:rPr>
          <w:rStyle w:val="16"/>
          <w:rFonts w:ascii="仿宋" w:hAnsi="仿宋" w:eastAsia="仿宋"/>
          <w:bCs/>
          <w:color w:val="000000"/>
          <w:sz w:val="32"/>
          <w:szCs w:val="32"/>
        </w:rPr>
        <w:t>:</w:t>
      </w:r>
      <w:r>
        <w:rPr>
          <w:rStyle w:val="16"/>
          <w:rFonts w:hint="eastAsia" w:ascii="仿宋" w:hAnsi="仿宋" w:eastAsia="仿宋"/>
          <w:b w:val="0"/>
          <w:bCs/>
          <w:color w:val="000000"/>
          <w:sz w:val="32"/>
          <w:szCs w:val="32"/>
        </w:rPr>
        <w:t>支出决算为4.70万元，全部为使用上年结转资金形成的支出。</w:t>
      </w:r>
    </w:p>
    <w:p>
      <w:pPr>
        <w:pStyle w:val="3"/>
        <w:ind w:firstLine="630" w:firstLineChars="196"/>
        <w:rPr>
          <w:rStyle w:val="27"/>
          <w:b w:val="0"/>
          <w:bCs w:val="0"/>
        </w:rPr>
      </w:pPr>
      <w:r>
        <w:rPr>
          <w:rFonts w:hint="eastAsia"/>
          <w:color w:val="000000"/>
        </w:rPr>
        <w:t>六、一</w:t>
      </w:r>
      <w:r>
        <w:rPr>
          <w:rStyle w:val="27"/>
          <w:rFonts w:hint="eastAsia" w:ascii="黑体" w:hAnsi="黑体" w:eastAsia="黑体"/>
          <w:b w:val="0"/>
          <w:bCs w:val="0"/>
        </w:rPr>
        <w:t>般公共预算财政拨款基本支出决算情况说明</w:t>
      </w:r>
      <w:bookmarkEnd w:id="50"/>
      <w:bookmarkEnd w:id="51"/>
      <w:r>
        <w:rPr>
          <w:rStyle w:val="27"/>
          <w:rFonts w:ascii="黑体" w:hAnsi="黑体" w:eastAsia="黑体"/>
          <w:b w:val="0"/>
          <w:bCs w:val="0"/>
        </w:rPr>
        <w:tab/>
      </w:r>
    </w:p>
    <w:p>
      <w:pPr>
        <w:spacing w:line="360" w:lineRule="auto"/>
        <w:ind w:firstLine="645"/>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9年一般公共预算财政拨款基本支出401.76万元，其中：</w:t>
      </w:r>
    </w:p>
    <w:p>
      <w:pPr>
        <w:spacing w:line="360" w:lineRule="auto"/>
        <w:ind w:firstLine="645"/>
        <w:rPr>
          <w:rFonts w:ascii="仿宋" w:hAnsi="仿宋" w:eastAsia="仿宋"/>
          <w:color w:val="000000"/>
          <w:sz w:val="32"/>
          <w:szCs w:val="32"/>
        </w:rPr>
      </w:pPr>
      <w:r>
        <w:rPr>
          <w:rFonts w:hint="eastAsia" w:ascii="仿宋" w:hAnsi="仿宋" w:eastAsia="仿宋"/>
          <w:color w:val="000000"/>
          <w:sz w:val="32"/>
          <w:szCs w:val="32"/>
        </w:rPr>
        <w:t>人员经费376.62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000000"/>
          <w:sz w:val="32"/>
          <w:szCs w:val="32"/>
        </w:rPr>
        <w:br w:type="textWrapping"/>
      </w:r>
      <w:r>
        <w:rPr>
          <w:rFonts w:hint="eastAsia" w:ascii="仿宋" w:hAnsi="仿宋" w:eastAsia="仿宋"/>
          <w:color w:val="000000"/>
          <w:sz w:val="32"/>
          <w:szCs w:val="32"/>
        </w:rPr>
        <w:t>　　日常公用经费25.14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pStyle w:val="3"/>
        <w:ind w:firstLine="630" w:firstLineChars="196"/>
        <w:rPr>
          <w:rStyle w:val="27"/>
          <w:rFonts w:ascii="黑体" w:hAnsi="黑体" w:eastAsia="黑体"/>
          <w:b/>
          <w:bCs w:val="0"/>
        </w:rPr>
      </w:pPr>
      <w:bookmarkStart w:id="52" w:name="_Toc15396609"/>
      <w:bookmarkStart w:id="53" w:name="_Toc15377215"/>
      <w:r>
        <w:rPr>
          <w:rFonts w:hint="eastAsia"/>
          <w:color w:val="000000"/>
        </w:rPr>
        <w:t>七、</w:t>
      </w:r>
      <w:r>
        <w:rPr>
          <w:rStyle w:val="27"/>
          <w:rFonts w:hint="eastAsia" w:ascii="黑体" w:hAnsi="黑体" w:eastAsia="黑体"/>
          <w:b w:val="0"/>
          <w:bCs w:val="0"/>
        </w:rPr>
        <w:t>“三公”经费财政拨款支出决算情况说明</w:t>
      </w:r>
      <w:bookmarkEnd w:id="52"/>
      <w:bookmarkEnd w:id="53"/>
    </w:p>
    <w:p>
      <w:pPr>
        <w:spacing w:line="360" w:lineRule="auto"/>
        <w:ind w:firstLine="640"/>
        <w:outlineLvl w:val="2"/>
        <w:rPr>
          <w:rFonts w:ascii="仿宋" w:hAnsi="仿宋" w:eastAsia="仿宋"/>
          <w:b/>
          <w:color w:val="000000"/>
          <w:sz w:val="32"/>
          <w:szCs w:val="32"/>
        </w:rPr>
      </w:pPr>
      <w:bookmarkStart w:id="54" w:name="_Toc15377216"/>
      <w:r>
        <w:rPr>
          <w:rFonts w:hint="eastAsia" w:ascii="仿宋" w:hAnsi="仿宋" w:eastAsia="仿宋"/>
          <w:b/>
          <w:color w:val="000000"/>
          <w:sz w:val="32"/>
          <w:szCs w:val="32"/>
        </w:rPr>
        <w:t>（一）“三公”经费财政拨款支出决算总体情况说明</w:t>
      </w:r>
      <w:bookmarkEnd w:id="54"/>
    </w:p>
    <w:p>
      <w:pPr>
        <w:spacing w:line="360" w:lineRule="auto"/>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9年“三公”经费财政拨款支出决算为0.80万元，完成预算100</w:t>
      </w:r>
      <w:r>
        <w:rPr>
          <w:rFonts w:ascii="仿宋" w:hAnsi="仿宋" w:eastAsia="仿宋"/>
          <w:color w:val="000000"/>
          <w:sz w:val="32"/>
          <w:szCs w:val="32"/>
        </w:rPr>
        <w:t>%</w:t>
      </w:r>
      <w:r>
        <w:rPr>
          <w:rFonts w:hint="eastAsia" w:ascii="仿宋" w:hAnsi="仿宋" w:eastAsia="仿宋"/>
          <w:color w:val="000000"/>
          <w:sz w:val="32"/>
          <w:szCs w:val="32"/>
        </w:rPr>
        <w:t>，决算数与预算数持平。</w:t>
      </w:r>
    </w:p>
    <w:p>
      <w:pPr>
        <w:spacing w:line="360" w:lineRule="auto"/>
        <w:ind w:firstLine="640"/>
        <w:outlineLvl w:val="2"/>
        <w:rPr>
          <w:rFonts w:ascii="仿宋" w:hAnsi="仿宋" w:eastAsia="仿宋"/>
          <w:b/>
          <w:color w:val="000000"/>
          <w:sz w:val="32"/>
          <w:szCs w:val="32"/>
        </w:rPr>
      </w:pPr>
      <w:bookmarkStart w:id="55" w:name="_Toc15377217"/>
      <w:r>
        <w:rPr>
          <w:rFonts w:hint="eastAsia" w:ascii="仿宋" w:hAnsi="仿宋" w:eastAsia="仿宋"/>
          <w:b/>
          <w:color w:val="000000"/>
          <w:sz w:val="32"/>
          <w:szCs w:val="32"/>
        </w:rPr>
        <w:t>（二）“三公”经费财政拨款支出决算具体情况说明</w:t>
      </w:r>
      <w:bookmarkEnd w:id="55"/>
    </w:p>
    <w:p>
      <w:pPr>
        <w:spacing w:line="360" w:lineRule="auto"/>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9年“三公”经费财政拨款支出决算中，因公出国（境）费支出决算0万元，占0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；公务用车购置及运行维护费支出决算0万元，占0</w:t>
      </w:r>
      <w:r>
        <w:rPr>
          <w:rFonts w:ascii="仿宋" w:hAnsi="仿宋" w:eastAsia="仿宋"/>
          <w:color w:val="000000"/>
          <w:sz w:val="32"/>
          <w:szCs w:val="32"/>
        </w:rPr>
        <w:t>%</w:t>
      </w:r>
      <w:r>
        <w:rPr>
          <w:rFonts w:hint="eastAsia" w:ascii="仿宋" w:hAnsi="仿宋" w:eastAsia="仿宋"/>
          <w:color w:val="000000"/>
          <w:sz w:val="32"/>
          <w:szCs w:val="32"/>
        </w:rPr>
        <w:t>；公务接待费支出决算0.80万元，占100</w:t>
      </w:r>
      <w:r>
        <w:rPr>
          <w:rFonts w:ascii="仿宋" w:hAnsi="仿宋" w:eastAsia="仿宋"/>
          <w:color w:val="000000"/>
          <w:sz w:val="32"/>
          <w:szCs w:val="32"/>
        </w:rPr>
        <w:t>%</w:t>
      </w:r>
      <w:r>
        <w:rPr>
          <w:rFonts w:hint="eastAsia" w:ascii="仿宋" w:hAnsi="仿宋" w:eastAsia="仿宋"/>
          <w:color w:val="000000"/>
          <w:sz w:val="32"/>
          <w:szCs w:val="32"/>
        </w:rPr>
        <w:t>。具体情况如下：</w:t>
      </w:r>
    </w:p>
    <w:p>
      <w:pPr>
        <w:spacing w:line="360" w:lineRule="auto"/>
        <w:ind w:firstLine="640"/>
        <w:rPr>
          <w:rFonts w:ascii="仿宋_GB2312" w:eastAsia="仿宋_GB2312"/>
          <w:b/>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rPr>
        <w:t>0万元，</w:t>
      </w:r>
      <w:r>
        <w:rPr>
          <w:rStyle w:val="16"/>
          <w:rFonts w:hint="eastAsia" w:ascii="仿宋" w:hAnsi="仿宋" w:eastAsia="仿宋"/>
          <w:b w:val="0"/>
          <w:bCs/>
          <w:color w:val="000000"/>
          <w:sz w:val="32"/>
          <w:szCs w:val="32"/>
        </w:rPr>
        <w:t>完成预算0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全年安排因公出国（境）团组0次，出国（境）0人。</w:t>
      </w:r>
      <w:r>
        <w:rPr>
          <w:rFonts w:hint="eastAsia" w:ascii="仿宋" w:hAnsi="仿宋" w:eastAsia="仿宋"/>
          <w:color w:val="000000"/>
          <w:sz w:val="32"/>
          <w:szCs w:val="32"/>
        </w:rPr>
        <w:t>因公出国（境）支出决算与</w:t>
      </w:r>
      <w:r>
        <w:rPr>
          <w:rFonts w:ascii="仿宋" w:hAnsi="仿宋" w:eastAsia="仿宋"/>
          <w:color w:val="000000"/>
          <w:sz w:val="32"/>
          <w:szCs w:val="32"/>
        </w:rPr>
        <w:t>201</w:t>
      </w:r>
      <w:r>
        <w:rPr>
          <w:rFonts w:hint="eastAsia" w:ascii="仿宋" w:hAnsi="仿宋" w:eastAsia="仿宋"/>
          <w:color w:val="000000"/>
          <w:sz w:val="32"/>
          <w:szCs w:val="32"/>
        </w:rPr>
        <w:t>8年一样为0万元。</w:t>
      </w:r>
    </w:p>
    <w:p>
      <w:pPr>
        <w:spacing w:line="360" w:lineRule="auto"/>
        <w:ind w:firstLine="643" w:firstLineChars="200"/>
        <w:rPr>
          <w:rFonts w:ascii="仿宋" w:hAnsi="仿宋" w:eastAsia="仿宋"/>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rPr>
        <w:t>0万元,</w:t>
      </w:r>
      <w:r>
        <w:rPr>
          <w:rStyle w:val="16"/>
          <w:rFonts w:hint="eastAsia" w:ascii="仿宋" w:hAnsi="仿宋" w:eastAsia="仿宋"/>
          <w:b w:val="0"/>
          <w:bCs/>
          <w:color w:val="000000"/>
          <w:sz w:val="32"/>
          <w:szCs w:val="32"/>
        </w:rPr>
        <w:t>完成预算0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Fonts w:hint="eastAsia" w:ascii="仿宋" w:hAnsi="仿宋" w:eastAsia="仿宋"/>
          <w:color w:val="000000"/>
          <w:sz w:val="32"/>
          <w:szCs w:val="32"/>
        </w:rPr>
        <w:t>公务用车购置及运行维护费支出与</w:t>
      </w:r>
      <w:r>
        <w:rPr>
          <w:rFonts w:ascii="仿宋" w:hAnsi="仿宋" w:eastAsia="仿宋"/>
          <w:color w:val="000000"/>
          <w:sz w:val="32"/>
          <w:szCs w:val="32"/>
        </w:rPr>
        <w:t>201</w:t>
      </w:r>
      <w:r>
        <w:rPr>
          <w:rFonts w:hint="eastAsia" w:ascii="仿宋" w:hAnsi="仿宋" w:eastAsia="仿宋"/>
          <w:color w:val="000000"/>
          <w:sz w:val="32"/>
          <w:szCs w:val="32"/>
        </w:rPr>
        <w:t>8年一样为0万元。</w:t>
      </w:r>
    </w:p>
    <w:p>
      <w:pPr>
        <w:spacing w:line="360" w:lineRule="auto"/>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rPr>
        <w:t>0.80万元，</w:t>
      </w:r>
      <w:r>
        <w:rPr>
          <w:rStyle w:val="16"/>
          <w:rFonts w:hint="eastAsia" w:ascii="仿宋" w:hAnsi="仿宋" w:eastAsia="仿宋"/>
          <w:b w:val="0"/>
          <w:bCs/>
          <w:color w:val="000000"/>
          <w:sz w:val="32"/>
          <w:szCs w:val="32"/>
        </w:rPr>
        <w:t>完成预算100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Fonts w:hint="eastAsia" w:ascii="仿宋_GB2312" w:eastAsia="仿宋_GB2312"/>
          <w:color w:val="000000"/>
          <w:sz w:val="32"/>
          <w:szCs w:val="32"/>
        </w:rPr>
        <w:t>公务接待费支出决算比</w:t>
      </w:r>
      <w:r>
        <w:rPr>
          <w:rFonts w:ascii="仿宋_GB2312" w:eastAsia="仿宋_GB2312"/>
          <w:color w:val="000000"/>
          <w:sz w:val="32"/>
          <w:szCs w:val="32"/>
        </w:rPr>
        <w:t>201</w:t>
      </w:r>
      <w:r>
        <w:rPr>
          <w:rFonts w:hint="eastAsia" w:ascii="仿宋_GB2312" w:eastAsia="仿宋_GB2312"/>
          <w:color w:val="000000"/>
          <w:sz w:val="32"/>
          <w:szCs w:val="32"/>
        </w:rPr>
        <w:t>8年减少0.10万元，下降11</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 w:hAnsi="仿宋" w:eastAsia="仿宋"/>
          <w:color w:val="000000"/>
          <w:sz w:val="32"/>
          <w:szCs w:val="32"/>
        </w:rPr>
        <w:t>主要原因是严格控制接待范围、接待人次、接待标准。</w:t>
      </w:r>
      <w:r>
        <w:rPr>
          <w:rFonts w:hint="eastAsia" w:ascii="仿宋_GB2312" w:eastAsia="仿宋_GB2312"/>
          <w:color w:val="000000"/>
          <w:sz w:val="32"/>
          <w:szCs w:val="32"/>
        </w:rPr>
        <w:t>其中：</w:t>
      </w:r>
    </w:p>
    <w:p>
      <w:pPr>
        <w:spacing w:line="360" w:lineRule="auto"/>
        <w:ind w:firstLine="640"/>
        <w:rPr>
          <w:rFonts w:ascii="仿宋_GB2312" w:eastAsia="仿宋_GB2312"/>
          <w:color w:val="000000"/>
          <w:sz w:val="32"/>
          <w:szCs w:val="32"/>
        </w:rPr>
      </w:pPr>
      <w:r>
        <w:rPr>
          <w:rFonts w:hint="eastAsia" w:ascii="仿宋" w:hAnsi="仿宋" w:eastAsia="仿宋"/>
          <w:b/>
          <w:color w:val="000000"/>
          <w:sz w:val="32"/>
          <w:szCs w:val="32"/>
        </w:rPr>
        <w:t>国内公务接待支出</w:t>
      </w:r>
      <w:r>
        <w:rPr>
          <w:rFonts w:hint="eastAsia" w:ascii="仿宋" w:hAnsi="仿宋" w:eastAsia="仿宋"/>
          <w:color w:val="000000"/>
          <w:sz w:val="32"/>
          <w:szCs w:val="32"/>
        </w:rPr>
        <w:t>0.80</w:t>
      </w:r>
      <w:r>
        <w:rPr>
          <w:rFonts w:hint="eastAsia" w:ascii="仿宋_GB2312" w:eastAsia="仿宋_GB2312"/>
          <w:color w:val="000000"/>
          <w:sz w:val="32"/>
          <w:szCs w:val="32"/>
        </w:rPr>
        <w:t>万元，</w:t>
      </w:r>
      <w:r>
        <w:rPr>
          <w:rFonts w:hint="eastAsia" w:ascii="仿宋" w:hAnsi="仿宋" w:eastAsia="仿宋"/>
          <w:color w:val="000000"/>
          <w:sz w:val="32"/>
          <w:szCs w:val="32"/>
        </w:rPr>
        <w:t>主要用于执行公务、开展业务活动开支的用餐费。国内公务接待7批次，65人次，共计支出0.80万元，具体内容包括：县域经济发展情况等调研工作0.28万元，老工业基地中央预算内投资等调研工作0.24，乡村振兴及经济运行情况调研工作0.28万元</w:t>
      </w:r>
      <w:r>
        <w:rPr>
          <w:rFonts w:hint="eastAsia" w:ascii="仿宋_GB2312" w:eastAsia="仿宋_GB2312"/>
          <w:color w:val="000000"/>
          <w:sz w:val="32"/>
          <w:szCs w:val="32"/>
        </w:rPr>
        <w:t>。</w:t>
      </w:r>
    </w:p>
    <w:p>
      <w:pPr>
        <w:spacing w:line="360" w:lineRule="auto"/>
        <w:ind w:firstLine="643" w:firstLineChars="200"/>
        <w:rPr>
          <w:rFonts w:ascii="黑体" w:eastAsia="黑体"/>
          <w:color w:val="000000"/>
          <w:sz w:val="32"/>
          <w:szCs w:val="32"/>
        </w:rPr>
      </w:pPr>
      <w:r>
        <w:rPr>
          <w:rFonts w:hint="eastAsia" w:ascii="仿宋" w:hAnsi="仿宋" w:eastAsia="仿宋"/>
          <w:b/>
          <w:color w:val="000000"/>
          <w:sz w:val="32"/>
          <w:szCs w:val="32"/>
        </w:rPr>
        <w:t>外事接待支出</w:t>
      </w:r>
      <w:r>
        <w:rPr>
          <w:rFonts w:hint="eastAsia" w:ascii="仿宋" w:hAnsi="仿宋" w:eastAsia="仿宋"/>
          <w:color w:val="000000"/>
          <w:sz w:val="32"/>
          <w:szCs w:val="32"/>
        </w:rPr>
        <w:t>0</w:t>
      </w:r>
      <w:r>
        <w:rPr>
          <w:rFonts w:hint="eastAsia" w:ascii="仿宋_GB2312" w:eastAsia="仿宋_GB2312"/>
          <w:color w:val="000000"/>
          <w:sz w:val="32"/>
          <w:szCs w:val="32"/>
        </w:rPr>
        <w:t>万元</w:t>
      </w:r>
      <w:r>
        <w:rPr>
          <w:rFonts w:hint="eastAsia" w:ascii="仿宋_GB2312" w:eastAsia="仿宋_GB2312"/>
          <w:color w:val="000000" w:themeColor="text1"/>
          <w:sz w:val="32"/>
          <w:szCs w:val="32"/>
        </w:rPr>
        <w:t>，外事接待0批次，0人</w:t>
      </w:r>
      <w:bookmarkStart w:id="56" w:name="_Toc15396610"/>
      <w:bookmarkStart w:id="57" w:name="_Toc15377218"/>
      <w:r>
        <w:rPr>
          <w:rFonts w:hint="eastAsia" w:ascii="仿宋_GB2312" w:eastAsia="仿宋_GB2312"/>
          <w:color w:val="000000"/>
          <w:sz w:val="32"/>
          <w:szCs w:val="32"/>
        </w:rPr>
        <w:t>。</w:t>
      </w:r>
    </w:p>
    <w:p>
      <w:pPr>
        <w:pStyle w:val="3"/>
        <w:ind w:firstLine="630" w:firstLineChars="196"/>
        <w:rPr>
          <w:rStyle w:val="27"/>
          <w:rFonts w:ascii="黑体" w:hAnsi="黑体" w:eastAsia="黑体"/>
          <w:b w:val="0"/>
          <w:bCs w:val="0"/>
        </w:rPr>
      </w:pPr>
      <w:r>
        <w:rPr>
          <w:rFonts w:hint="eastAsia"/>
          <w:color w:val="000000"/>
        </w:rPr>
        <w:t>八、</w:t>
      </w:r>
      <w:r>
        <w:rPr>
          <w:rStyle w:val="27"/>
          <w:rFonts w:hint="eastAsia" w:ascii="黑体" w:hAnsi="黑体" w:eastAsia="黑体"/>
          <w:b w:val="0"/>
          <w:bCs w:val="0"/>
        </w:rPr>
        <w:t>政府性基金预算支出决算情况说明</w:t>
      </w:r>
      <w:bookmarkEnd w:id="56"/>
      <w:bookmarkEnd w:id="57"/>
    </w:p>
    <w:p>
      <w:pPr>
        <w:spacing w:line="360" w:lineRule="auto"/>
        <w:ind w:firstLine="64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9年政府性基金预算拨款支出225.85万元。全部为项目支出。</w:t>
      </w:r>
    </w:p>
    <w:p>
      <w:pPr>
        <w:pStyle w:val="3"/>
        <w:ind w:firstLine="630" w:firstLineChars="196"/>
        <w:rPr>
          <w:rStyle w:val="27"/>
          <w:b/>
          <w:bCs/>
        </w:rPr>
      </w:pPr>
      <w:bookmarkStart w:id="58" w:name="_Toc15396611"/>
      <w:bookmarkStart w:id="59" w:name="_Toc15377219"/>
      <w:r>
        <w:rPr>
          <w:rStyle w:val="27"/>
          <w:rFonts w:hint="eastAsia"/>
          <w:b/>
          <w:bCs/>
        </w:rPr>
        <w:t>九、国有资本经营预算支出决算情况说明</w:t>
      </w:r>
      <w:bookmarkEnd w:id="58"/>
      <w:bookmarkEnd w:id="59"/>
    </w:p>
    <w:p>
      <w:pPr>
        <w:spacing w:line="360" w:lineRule="auto"/>
        <w:ind w:firstLine="64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9年国有资本经营预算拨款支出0万元。</w:t>
      </w:r>
    </w:p>
    <w:p>
      <w:pPr>
        <w:pStyle w:val="3"/>
        <w:ind w:firstLine="630" w:firstLineChars="196"/>
        <w:rPr>
          <w:rStyle w:val="27"/>
          <w:rFonts w:ascii="黑体" w:hAnsi="黑体" w:eastAsia="黑体"/>
          <w:b w:val="0"/>
          <w:bCs w:val="0"/>
        </w:rPr>
      </w:pPr>
      <w:bookmarkStart w:id="60" w:name="_Toc15377221"/>
      <w:bookmarkStart w:id="61" w:name="_Toc15396612"/>
      <w:r>
        <w:rPr>
          <w:rFonts w:hint="eastAsia"/>
          <w:color w:val="000000"/>
        </w:rPr>
        <w:t>十</w:t>
      </w:r>
      <w:r>
        <w:rPr>
          <w:rStyle w:val="27"/>
          <w:rFonts w:hint="eastAsia" w:ascii="黑体" w:hAnsi="黑体" w:eastAsia="黑体"/>
          <w:b w:val="0"/>
          <w:bCs w:val="0"/>
        </w:rPr>
        <w:t>、其他重要事项的情况说明</w:t>
      </w:r>
      <w:bookmarkEnd w:id="60"/>
      <w:bookmarkEnd w:id="61"/>
    </w:p>
    <w:p>
      <w:pPr>
        <w:pStyle w:val="4"/>
        <w:ind w:firstLine="630" w:firstLineChars="196"/>
      </w:pPr>
      <w:bookmarkStart w:id="62" w:name="_Toc15377222"/>
      <w:r>
        <w:rPr>
          <w:rFonts w:hint="eastAsia"/>
        </w:rPr>
        <w:t>（一）机关运行经费支出情况</w:t>
      </w:r>
      <w:bookmarkEnd w:id="62"/>
    </w:p>
    <w:p>
      <w:pPr>
        <w:spacing w:line="360" w:lineRule="auto"/>
        <w:ind w:firstLine="640" w:firstLineChars="200"/>
        <w:rPr>
          <w:rFonts w:ascii="仿宋_GB2312" w:eastAsia="仿宋_GB2312"/>
          <w:color w:val="000000" w:themeColor="text1"/>
          <w:sz w:val="32"/>
          <w:szCs w:val="32"/>
        </w:rPr>
      </w:pPr>
      <w:r>
        <w:rPr>
          <w:rFonts w:ascii="仿宋_GB2312" w:eastAsia="仿宋_GB2312"/>
          <w:color w:val="000000"/>
          <w:sz w:val="32"/>
          <w:szCs w:val="32"/>
        </w:rPr>
        <w:t>201</w:t>
      </w:r>
      <w:r>
        <w:rPr>
          <w:rFonts w:hint="eastAsia" w:ascii="仿宋_GB2312" w:eastAsia="仿宋_GB2312"/>
          <w:color w:val="000000"/>
          <w:sz w:val="32"/>
          <w:szCs w:val="32"/>
        </w:rPr>
        <w:t>9年，本单位机关运行经费支出25.14万元，与</w:t>
      </w:r>
      <w:r>
        <w:rPr>
          <w:rFonts w:ascii="仿宋_GB2312" w:eastAsia="仿宋_GB2312"/>
          <w:color w:val="000000"/>
          <w:sz w:val="32"/>
          <w:szCs w:val="32"/>
        </w:rPr>
        <w:t>201</w:t>
      </w:r>
      <w:r>
        <w:rPr>
          <w:rFonts w:hint="eastAsia" w:ascii="仿宋_GB2312" w:eastAsia="仿宋_GB2312"/>
          <w:color w:val="000000"/>
          <w:sz w:val="32"/>
          <w:szCs w:val="32"/>
        </w:rPr>
        <w:t>8年决算数持平。</w:t>
      </w:r>
    </w:p>
    <w:p>
      <w:pPr>
        <w:pStyle w:val="4"/>
        <w:ind w:firstLine="315" w:firstLineChars="98"/>
      </w:pPr>
      <w:bookmarkStart w:id="63" w:name="_Toc15377223"/>
      <w:r>
        <w:rPr>
          <w:rFonts w:hint="eastAsia"/>
        </w:rPr>
        <w:t>（二）政府采购支出情况</w:t>
      </w:r>
      <w:bookmarkEnd w:id="63"/>
    </w:p>
    <w:p>
      <w:pPr>
        <w:spacing w:line="360" w:lineRule="auto"/>
        <w:ind w:firstLine="640" w:firstLineChars="20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9年，本单位政府采购支出总额9.58万元，其中：政府采购货物支出9.58万元、政府采购工程支出0万元、政府采购服务支出0万元。主要用于</w:t>
      </w:r>
      <w:r>
        <w:rPr>
          <w:rFonts w:hint="eastAsia" w:ascii="仿宋" w:hAnsi="仿宋" w:eastAsia="仿宋"/>
          <w:color w:val="000000"/>
          <w:sz w:val="32"/>
          <w:szCs w:val="32"/>
        </w:rPr>
        <w:t>办公设备更新、补充</w:t>
      </w:r>
      <w:r>
        <w:rPr>
          <w:rFonts w:hint="eastAsia" w:ascii="仿宋_GB2312" w:eastAsia="仿宋_GB2312"/>
          <w:color w:val="000000"/>
          <w:sz w:val="32"/>
          <w:szCs w:val="32"/>
        </w:rPr>
        <w:t>。授予中小企业合同金额9.58万元，占政府采购支出总额的100</w:t>
      </w:r>
      <w:r>
        <w:rPr>
          <w:rFonts w:ascii="仿宋_GB2312" w:eastAsia="仿宋_GB2312"/>
          <w:color w:val="000000"/>
          <w:sz w:val="32"/>
          <w:szCs w:val="32"/>
        </w:rPr>
        <w:t>%</w:t>
      </w:r>
      <w:r>
        <w:rPr>
          <w:rFonts w:hint="eastAsia" w:ascii="仿宋_GB2312" w:eastAsia="仿宋_GB2312"/>
          <w:color w:val="000000"/>
          <w:sz w:val="32"/>
          <w:szCs w:val="32"/>
        </w:rPr>
        <w:t>，其中：授予小微企业合同金额9.58万元，占政府采购支出总额的100</w:t>
      </w:r>
      <w:r>
        <w:rPr>
          <w:rFonts w:ascii="仿宋_GB2312" w:eastAsia="仿宋_GB2312"/>
          <w:color w:val="000000"/>
          <w:sz w:val="32"/>
          <w:szCs w:val="32"/>
        </w:rPr>
        <w:t>%</w:t>
      </w:r>
      <w:r>
        <w:rPr>
          <w:rFonts w:hint="eastAsia" w:ascii="仿宋_GB2312" w:eastAsia="仿宋_GB2312"/>
          <w:color w:val="000000"/>
          <w:sz w:val="32"/>
          <w:szCs w:val="32"/>
        </w:rPr>
        <w:t>。</w:t>
      </w:r>
    </w:p>
    <w:p>
      <w:pPr>
        <w:pStyle w:val="4"/>
        <w:ind w:firstLine="315" w:firstLineChars="98"/>
      </w:pPr>
      <w:bookmarkStart w:id="64" w:name="_Toc15377224"/>
      <w:r>
        <w:rPr>
          <w:rFonts w:hint="eastAsia"/>
        </w:rPr>
        <w:t>（三）国有资产占有使用情况</w:t>
      </w:r>
      <w:bookmarkEnd w:id="64"/>
    </w:p>
    <w:p>
      <w:pPr>
        <w:spacing w:line="360" w:lineRule="auto"/>
        <w:ind w:firstLine="640"/>
        <w:rPr>
          <w:rFonts w:ascii="仿宋" w:hAnsi="仿宋" w:eastAsia="仿宋"/>
          <w:b/>
          <w:color w:val="FF0000"/>
          <w:sz w:val="32"/>
          <w:szCs w:val="32"/>
        </w:rPr>
      </w:pPr>
      <w:r>
        <w:rPr>
          <w:rFonts w:hint="eastAsia" w:ascii="仿宋" w:hAnsi="仿宋" w:eastAsia="仿宋"/>
          <w:color w:val="000000"/>
          <w:sz w:val="32"/>
          <w:szCs w:val="32"/>
        </w:rPr>
        <w:t>截至</w:t>
      </w:r>
      <w:r>
        <w:rPr>
          <w:rFonts w:ascii="仿宋" w:hAnsi="仿宋" w:eastAsia="仿宋"/>
          <w:color w:val="000000"/>
          <w:sz w:val="32"/>
          <w:szCs w:val="32"/>
        </w:rPr>
        <w:t>201</w:t>
      </w:r>
      <w:r>
        <w:rPr>
          <w:rFonts w:hint="eastAsia" w:ascii="仿宋" w:hAnsi="仿宋" w:eastAsia="仿宋"/>
          <w:color w:val="000000"/>
          <w:sz w:val="32"/>
          <w:szCs w:val="32"/>
        </w:rPr>
        <w:t>9年</w:t>
      </w:r>
      <w:r>
        <w:rPr>
          <w:rFonts w:ascii="仿宋" w:hAnsi="仿宋" w:eastAsia="仿宋"/>
          <w:color w:val="000000"/>
          <w:sz w:val="32"/>
          <w:szCs w:val="32"/>
        </w:rPr>
        <w:t>12</w:t>
      </w:r>
      <w:r>
        <w:rPr>
          <w:rFonts w:hint="eastAsia" w:ascii="仿宋" w:hAnsi="仿宋" w:eastAsia="仿宋"/>
          <w:color w:val="000000"/>
          <w:sz w:val="32"/>
          <w:szCs w:val="32"/>
        </w:rPr>
        <w:t>月31日，本单位没有公务车辆。也没有单价</w:t>
      </w:r>
      <w:r>
        <w:rPr>
          <w:rFonts w:ascii="仿宋" w:hAnsi="仿宋" w:eastAsia="仿宋"/>
          <w:color w:val="000000"/>
          <w:sz w:val="32"/>
          <w:szCs w:val="32"/>
        </w:rPr>
        <w:t>50</w:t>
      </w:r>
      <w:r>
        <w:rPr>
          <w:rFonts w:hint="eastAsia" w:ascii="仿宋" w:hAnsi="仿宋" w:eastAsia="仿宋"/>
          <w:color w:val="000000"/>
          <w:sz w:val="32"/>
          <w:szCs w:val="32"/>
        </w:rPr>
        <w:t>万元以上通用设备和单价</w:t>
      </w:r>
      <w:r>
        <w:rPr>
          <w:rFonts w:ascii="仿宋" w:hAnsi="仿宋" w:eastAsia="仿宋"/>
          <w:color w:val="000000"/>
          <w:sz w:val="32"/>
          <w:szCs w:val="32"/>
        </w:rPr>
        <w:t>100</w:t>
      </w:r>
      <w:r>
        <w:rPr>
          <w:rFonts w:hint="eastAsia" w:ascii="仿宋" w:hAnsi="仿宋" w:eastAsia="仿宋"/>
          <w:color w:val="000000"/>
          <w:sz w:val="32"/>
          <w:szCs w:val="32"/>
        </w:rPr>
        <w:t>万元以上专用设备。</w:t>
      </w:r>
    </w:p>
    <w:p>
      <w:pPr>
        <w:pStyle w:val="4"/>
        <w:ind w:firstLine="315" w:firstLineChars="98"/>
      </w:pPr>
      <w:r>
        <w:rPr>
          <w:rFonts w:hint="eastAsia"/>
        </w:rPr>
        <w:t>（四）预算绩效管理情况。</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根据预算绩效管理要求，本部门（单位）在年初预算编制阶段，组织对</w:t>
      </w:r>
      <w:r>
        <w:rPr>
          <w:rFonts w:eastAsia="仿宋_GB2312"/>
          <w:color w:val="000000"/>
          <w:sz w:val="32"/>
          <w:szCs w:val="32"/>
        </w:rPr>
        <w:t>“</w:t>
      </w:r>
      <w:r>
        <w:rPr>
          <w:rFonts w:hint="eastAsia" w:eastAsia="仿宋_GB2312"/>
          <w:color w:val="000000"/>
          <w:sz w:val="32"/>
          <w:szCs w:val="32"/>
        </w:rPr>
        <w:t>粮食项目</w:t>
      </w:r>
      <w:r>
        <w:rPr>
          <w:rFonts w:eastAsia="仿宋_GB2312"/>
          <w:color w:val="000000"/>
          <w:sz w:val="32"/>
          <w:szCs w:val="32"/>
        </w:rPr>
        <w:t>”“</w:t>
      </w:r>
      <w:r>
        <w:rPr>
          <w:rFonts w:hint="eastAsia" w:eastAsia="仿宋_GB2312"/>
          <w:color w:val="000000"/>
          <w:sz w:val="32"/>
          <w:szCs w:val="32"/>
        </w:rPr>
        <w:t>政府投资重点项目</w:t>
      </w:r>
      <w:r>
        <w:rPr>
          <w:rFonts w:eastAsia="仿宋_GB2312"/>
          <w:color w:val="000000"/>
          <w:sz w:val="32"/>
          <w:szCs w:val="32"/>
        </w:rPr>
        <w:t xml:space="preserve">”“金沙水电站”“龙源电力”“ </w:t>
      </w:r>
      <w:r>
        <w:rPr>
          <w:rFonts w:hint="eastAsia" w:eastAsia="仿宋_GB2312"/>
          <w:color w:val="000000"/>
          <w:sz w:val="32"/>
          <w:szCs w:val="32"/>
        </w:rPr>
        <w:t>市场</w:t>
      </w:r>
      <w:r>
        <w:rPr>
          <w:rFonts w:eastAsia="仿宋_GB2312"/>
          <w:color w:val="000000"/>
          <w:sz w:val="32"/>
          <w:szCs w:val="32"/>
        </w:rPr>
        <w:t>价格监测”5个项目</w:t>
      </w:r>
      <w:r>
        <w:rPr>
          <w:rFonts w:hint="eastAsia" w:ascii="仿宋_GB2312" w:hAnsi="仿宋_GB2312" w:eastAsia="仿宋_GB2312" w:cs="仿宋_GB2312"/>
          <w:sz w:val="32"/>
          <w:szCs w:val="32"/>
        </w:rPr>
        <w:t>开展了预算事前绩效评估，对5个项目编制了绩效目标，预算执行过程中，选取5个项目开展绩效监控，年终执行完毕后，对5个项目开展了绩效目标完成情况自评。</w:t>
      </w:r>
    </w:p>
    <w:p>
      <w:pPr>
        <w:pStyle w:val="7"/>
        <w:spacing w:line="560" w:lineRule="exact"/>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我单位按要求对2019年部门整体支出开展绩效自评，从评价情况来看，</w:t>
      </w:r>
      <w:r>
        <w:rPr>
          <w:rFonts w:ascii="Times New Roman" w:hAnsi="Times New Roman" w:eastAsia="仿宋_GB2312"/>
          <w:sz w:val="32"/>
          <w:szCs w:val="32"/>
        </w:rPr>
        <w:t>2019</w:t>
      </w:r>
      <w:r>
        <w:rPr>
          <w:rFonts w:hint="eastAsia" w:ascii="Times New Roman" w:hAnsi="Times New Roman" w:eastAsia="仿宋_GB2312"/>
          <w:sz w:val="32"/>
          <w:szCs w:val="32"/>
        </w:rPr>
        <w:t>年</w:t>
      </w:r>
      <w:r>
        <w:rPr>
          <w:rFonts w:ascii="Times New Roman" w:hAnsi="Times New Roman" w:eastAsia="仿宋_GB2312"/>
          <w:sz w:val="32"/>
          <w:szCs w:val="32"/>
        </w:rPr>
        <w:t>预算</w:t>
      </w:r>
      <w:r>
        <w:rPr>
          <w:rFonts w:hint="eastAsia" w:ascii="Times New Roman" w:hAnsi="Times New Roman" w:eastAsia="仿宋_GB2312"/>
          <w:sz w:val="32"/>
          <w:szCs w:val="32"/>
        </w:rPr>
        <w:t>资</w:t>
      </w:r>
      <w:r>
        <w:rPr>
          <w:rFonts w:ascii="Times New Roman" w:hAnsi="Times New Roman" w:eastAsia="仿宋_GB2312"/>
          <w:sz w:val="32"/>
          <w:szCs w:val="32"/>
        </w:rPr>
        <w:t>金4527256.15</w:t>
      </w:r>
      <w:r>
        <w:rPr>
          <w:rFonts w:hint="eastAsia" w:ascii="Times New Roman" w:hAnsi="Times New Roman" w:eastAsia="仿宋_GB2312"/>
          <w:sz w:val="32"/>
          <w:szCs w:val="32"/>
        </w:rPr>
        <w:t>元</w:t>
      </w:r>
      <w:r>
        <w:rPr>
          <w:rFonts w:ascii="Times New Roman" w:hAnsi="Times New Roman" w:eastAsia="仿宋_GB2312"/>
          <w:sz w:val="32"/>
          <w:szCs w:val="32"/>
        </w:rPr>
        <w:t>。</w:t>
      </w:r>
      <w:r>
        <w:rPr>
          <w:rFonts w:hint="eastAsia" w:ascii="Times New Roman" w:hAnsi="Times New Roman" w:eastAsia="仿宋_GB2312"/>
          <w:sz w:val="32"/>
          <w:szCs w:val="32"/>
        </w:rPr>
        <w:t>2</w:t>
      </w:r>
      <w:r>
        <w:rPr>
          <w:rFonts w:ascii="Times New Roman" w:hAnsi="Times New Roman" w:eastAsia="仿宋_GB2312"/>
          <w:sz w:val="32"/>
          <w:szCs w:val="32"/>
        </w:rPr>
        <w:t>019</w:t>
      </w:r>
      <w:r>
        <w:rPr>
          <w:rFonts w:hint="eastAsia" w:ascii="Times New Roman" w:hAnsi="Times New Roman" w:eastAsia="仿宋_GB2312"/>
          <w:sz w:val="32"/>
          <w:szCs w:val="32"/>
        </w:rPr>
        <w:t>年初</w:t>
      </w:r>
      <w:r>
        <w:rPr>
          <w:rFonts w:ascii="Times New Roman" w:hAnsi="Times New Roman" w:eastAsia="仿宋_GB2312"/>
          <w:sz w:val="32"/>
          <w:szCs w:val="32"/>
        </w:rPr>
        <w:t>结转和结余274401.21</w:t>
      </w:r>
      <w:r>
        <w:rPr>
          <w:rFonts w:hint="eastAsia" w:ascii="Times New Roman" w:hAnsi="Times New Roman" w:eastAsia="仿宋_GB2312"/>
          <w:sz w:val="32"/>
          <w:szCs w:val="32"/>
        </w:rPr>
        <w:t>元，</w:t>
      </w:r>
      <w:r>
        <w:rPr>
          <w:rFonts w:ascii="Times New Roman" w:hAnsi="Times New Roman" w:eastAsia="仿宋_GB2312"/>
          <w:sz w:val="32"/>
          <w:szCs w:val="32"/>
        </w:rPr>
        <w:t>其中</w:t>
      </w:r>
      <w:r>
        <w:rPr>
          <w:rFonts w:hint="eastAsia" w:ascii="Times New Roman" w:hAnsi="Times New Roman" w:eastAsia="仿宋_GB2312"/>
          <w:sz w:val="32"/>
          <w:szCs w:val="32"/>
        </w:rPr>
        <w:t>：财</w:t>
      </w:r>
      <w:r>
        <w:rPr>
          <w:rFonts w:ascii="Times New Roman" w:hAnsi="Times New Roman" w:eastAsia="仿宋_GB2312"/>
          <w:sz w:val="32"/>
          <w:szCs w:val="32"/>
        </w:rPr>
        <w:t>政拨款结转和结余253999.54</w:t>
      </w:r>
      <w:r>
        <w:rPr>
          <w:rFonts w:hint="eastAsia" w:ascii="Times New Roman" w:hAnsi="Times New Roman" w:eastAsia="仿宋_GB2312"/>
          <w:sz w:val="32"/>
          <w:szCs w:val="32"/>
        </w:rPr>
        <w:t>元。2019年</w:t>
      </w:r>
      <w:r>
        <w:rPr>
          <w:rFonts w:ascii="Times New Roman" w:hAnsi="Times New Roman" w:eastAsia="仿宋_GB2312"/>
          <w:sz w:val="32"/>
          <w:szCs w:val="32"/>
        </w:rPr>
        <w:t>度</w:t>
      </w:r>
      <w:r>
        <w:rPr>
          <w:rFonts w:hint="eastAsia" w:ascii="Times New Roman" w:hAnsi="Times New Roman" w:eastAsia="仿宋_GB2312"/>
          <w:sz w:val="32"/>
          <w:szCs w:val="32"/>
        </w:rPr>
        <w:t>财</w:t>
      </w:r>
      <w:r>
        <w:rPr>
          <w:rFonts w:ascii="Times New Roman" w:hAnsi="Times New Roman" w:eastAsia="仿宋_GB2312"/>
          <w:sz w:val="32"/>
          <w:szCs w:val="32"/>
        </w:rPr>
        <w:t>政拨款4252854.94</w:t>
      </w:r>
      <w:r>
        <w:rPr>
          <w:rFonts w:hint="eastAsia" w:ascii="Times New Roman" w:hAnsi="Times New Roman" w:eastAsia="仿宋_GB2312"/>
          <w:sz w:val="32"/>
          <w:szCs w:val="32"/>
        </w:rPr>
        <w:t>元。一</w:t>
      </w:r>
      <w:r>
        <w:rPr>
          <w:rFonts w:ascii="Times New Roman" w:hAnsi="Times New Roman" w:eastAsia="仿宋_GB2312"/>
          <w:sz w:val="32"/>
          <w:szCs w:val="32"/>
        </w:rPr>
        <w:t>般公共服务支出</w:t>
      </w:r>
      <w:r>
        <w:rPr>
          <w:rFonts w:hint="eastAsia" w:ascii="Times New Roman" w:hAnsi="Times New Roman" w:eastAsia="仿宋_GB2312"/>
          <w:sz w:val="32"/>
          <w:szCs w:val="32"/>
        </w:rPr>
        <w:t>20401.67元</w:t>
      </w:r>
      <w:r>
        <w:rPr>
          <w:rFonts w:ascii="Times New Roman" w:hAnsi="Times New Roman" w:eastAsia="仿宋_GB2312"/>
          <w:sz w:val="32"/>
          <w:szCs w:val="32"/>
        </w:rPr>
        <w:t>，</w:t>
      </w:r>
      <w:r>
        <w:rPr>
          <w:rFonts w:hint="eastAsia" w:ascii="Times New Roman" w:hAnsi="Times New Roman" w:eastAsia="仿宋_GB2312"/>
          <w:sz w:val="32"/>
          <w:szCs w:val="32"/>
        </w:rPr>
        <w:t>节</w:t>
      </w:r>
      <w:r>
        <w:rPr>
          <w:rFonts w:ascii="Times New Roman" w:hAnsi="Times New Roman" w:eastAsia="仿宋_GB2312"/>
          <w:sz w:val="32"/>
          <w:szCs w:val="32"/>
        </w:rPr>
        <w:t>能环保支出</w:t>
      </w:r>
      <w:r>
        <w:rPr>
          <w:rFonts w:hint="eastAsia" w:ascii="Times New Roman" w:hAnsi="Times New Roman" w:eastAsia="仿宋_GB2312"/>
          <w:sz w:val="32"/>
          <w:szCs w:val="32"/>
        </w:rPr>
        <w:t>40000元，</w:t>
      </w:r>
      <w:r>
        <w:rPr>
          <w:rFonts w:ascii="Times New Roman" w:hAnsi="Times New Roman" w:eastAsia="仿宋_GB2312"/>
          <w:sz w:val="32"/>
          <w:szCs w:val="32"/>
        </w:rPr>
        <w:t>城乡社区支出4250854.94</w:t>
      </w:r>
      <w:r>
        <w:rPr>
          <w:rFonts w:hint="eastAsia" w:ascii="Times New Roman" w:hAnsi="Times New Roman" w:eastAsia="仿宋_GB2312"/>
          <w:sz w:val="32"/>
          <w:szCs w:val="32"/>
        </w:rPr>
        <w:t>元</w:t>
      </w:r>
      <w:r>
        <w:rPr>
          <w:rFonts w:ascii="Times New Roman" w:hAnsi="Times New Roman" w:eastAsia="仿宋_GB2312"/>
          <w:sz w:val="32"/>
          <w:szCs w:val="32"/>
        </w:rPr>
        <w:t>，</w:t>
      </w:r>
      <w:r>
        <w:rPr>
          <w:rFonts w:hint="eastAsia" w:ascii="Times New Roman" w:hAnsi="Times New Roman" w:eastAsia="仿宋_GB2312"/>
          <w:sz w:val="32"/>
          <w:szCs w:val="32"/>
        </w:rPr>
        <w:t>粮</w:t>
      </w:r>
      <w:r>
        <w:rPr>
          <w:rFonts w:ascii="Times New Roman" w:hAnsi="Times New Roman" w:eastAsia="仿宋_GB2312"/>
          <w:sz w:val="32"/>
          <w:szCs w:val="32"/>
        </w:rPr>
        <w:t>油物资储备支出215999.54</w:t>
      </w:r>
      <w:r>
        <w:rPr>
          <w:rFonts w:hint="eastAsia" w:ascii="Times New Roman" w:hAnsi="Times New Roman" w:eastAsia="仿宋_GB2312"/>
          <w:sz w:val="32"/>
          <w:szCs w:val="32"/>
        </w:rPr>
        <w:t>元</w:t>
      </w:r>
      <w:r>
        <w:rPr>
          <w:rFonts w:ascii="Times New Roman" w:hAnsi="Times New Roman" w:eastAsia="仿宋_GB2312"/>
          <w:sz w:val="32"/>
          <w:szCs w:val="32"/>
        </w:rPr>
        <w:t>。</w:t>
      </w:r>
    </w:p>
    <w:p>
      <w:pPr>
        <w:pStyle w:val="7"/>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2019年</w:t>
      </w:r>
      <w:r>
        <w:rPr>
          <w:rFonts w:ascii="Times New Roman" w:hAnsi="Times New Roman" w:eastAsia="仿宋_GB2312"/>
          <w:sz w:val="32"/>
          <w:szCs w:val="32"/>
        </w:rPr>
        <w:t>度</w:t>
      </w:r>
      <w:r>
        <w:rPr>
          <w:rFonts w:hint="eastAsia" w:ascii="Times New Roman" w:hAnsi="Times New Roman" w:eastAsia="仿宋_GB2312"/>
          <w:sz w:val="32"/>
          <w:szCs w:val="32"/>
        </w:rPr>
        <w:t>支</w:t>
      </w:r>
      <w:r>
        <w:rPr>
          <w:rFonts w:ascii="Times New Roman" w:hAnsi="Times New Roman" w:eastAsia="仿宋_GB2312"/>
          <w:sz w:val="32"/>
          <w:szCs w:val="32"/>
        </w:rPr>
        <w:t>出2531080.98</w:t>
      </w:r>
      <w:r>
        <w:rPr>
          <w:rFonts w:hint="eastAsia" w:ascii="Times New Roman" w:hAnsi="Times New Roman" w:eastAsia="仿宋_GB2312"/>
          <w:sz w:val="32"/>
          <w:szCs w:val="32"/>
        </w:rPr>
        <w:t>元，绩</w:t>
      </w:r>
      <w:r>
        <w:rPr>
          <w:rFonts w:ascii="Times New Roman" w:hAnsi="Times New Roman" w:eastAsia="仿宋_GB2312"/>
          <w:sz w:val="32"/>
          <w:szCs w:val="32"/>
        </w:rPr>
        <w:t>效目</w:t>
      </w:r>
      <w:r>
        <w:rPr>
          <w:rFonts w:hint="eastAsia" w:ascii="Times New Roman" w:hAnsi="Times New Roman" w:eastAsia="仿宋_GB2312"/>
          <w:sz w:val="32"/>
          <w:szCs w:val="32"/>
        </w:rPr>
        <w:t>标</w:t>
      </w:r>
      <w:r>
        <w:rPr>
          <w:rFonts w:ascii="Times New Roman" w:hAnsi="Times New Roman" w:eastAsia="仿宋_GB2312"/>
          <w:sz w:val="32"/>
          <w:szCs w:val="32"/>
        </w:rPr>
        <w:t>完成</w:t>
      </w:r>
      <w:r>
        <w:rPr>
          <w:rFonts w:hint="eastAsia" w:ascii="Times New Roman" w:hAnsi="Times New Roman" w:eastAsia="仿宋_GB2312"/>
          <w:sz w:val="32"/>
          <w:szCs w:val="32"/>
        </w:rPr>
        <w:t>55.91</w:t>
      </w:r>
      <w:r>
        <w:rPr>
          <w:rFonts w:ascii="Times New Roman" w:hAnsi="Times New Roman" w:eastAsia="仿宋_GB2312"/>
          <w:sz w:val="32"/>
          <w:szCs w:val="32"/>
        </w:rPr>
        <w:t>%</w:t>
      </w:r>
      <w:r>
        <w:rPr>
          <w:rFonts w:hint="eastAsia" w:ascii="Times New Roman" w:hAnsi="Times New Roman" w:eastAsia="仿宋_GB2312"/>
          <w:sz w:val="32"/>
          <w:szCs w:val="32"/>
        </w:rPr>
        <w:t>，其</w:t>
      </w:r>
      <w:r>
        <w:rPr>
          <w:rFonts w:ascii="Times New Roman" w:hAnsi="Times New Roman" w:eastAsia="仿宋_GB2312"/>
          <w:sz w:val="32"/>
          <w:szCs w:val="32"/>
        </w:rPr>
        <w:t>中：</w:t>
      </w:r>
      <w:r>
        <w:rPr>
          <w:rFonts w:hint="eastAsia" w:ascii="Times New Roman" w:hAnsi="Times New Roman" w:eastAsia="仿宋_GB2312"/>
          <w:sz w:val="32"/>
          <w:szCs w:val="32"/>
        </w:rPr>
        <w:t>其</w:t>
      </w:r>
      <w:r>
        <w:rPr>
          <w:rFonts w:ascii="Times New Roman" w:hAnsi="Times New Roman" w:eastAsia="仿宋_GB2312"/>
          <w:sz w:val="32"/>
          <w:szCs w:val="32"/>
        </w:rPr>
        <w:t>他资金18592.8</w:t>
      </w:r>
      <w:r>
        <w:rPr>
          <w:rFonts w:hint="eastAsia" w:ascii="Times New Roman" w:hAnsi="Times New Roman" w:eastAsia="仿宋_GB2312"/>
          <w:sz w:val="32"/>
          <w:szCs w:val="32"/>
        </w:rPr>
        <w:t>元，财</w:t>
      </w:r>
      <w:r>
        <w:rPr>
          <w:rFonts w:ascii="Times New Roman" w:hAnsi="Times New Roman" w:eastAsia="仿宋_GB2312"/>
          <w:sz w:val="32"/>
          <w:szCs w:val="32"/>
        </w:rPr>
        <w:t>政</w:t>
      </w:r>
      <w:r>
        <w:rPr>
          <w:rFonts w:hint="eastAsia" w:ascii="Times New Roman" w:hAnsi="Times New Roman" w:eastAsia="仿宋_GB2312"/>
          <w:sz w:val="32"/>
          <w:szCs w:val="32"/>
        </w:rPr>
        <w:t>拨</w:t>
      </w:r>
      <w:r>
        <w:rPr>
          <w:rFonts w:ascii="Times New Roman" w:hAnsi="Times New Roman" w:eastAsia="仿宋_GB2312"/>
          <w:sz w:val="32"/>
          <w:szCs w:val="32"/>
        </w:rPr>
        <w:t>款支出2512488.18</w:t>
      </w:r>
      <w:r>
        <w:rPr>
          <w:rFonts w:hint="eastAsia" w:ascii="Times New Roman" w:hAnsi="Times New Roman" w:eastAsia="仿宋_GB2312"/>
          <w:sz w:val="32"/>
          <w:szCs w:val="32"/>
        </w:rPr>
        <w:t>元</w:t>
      </w:r>
      <w:r>
        <w:rPr>
          <w:rFonts w:ascii="Times New Roman" w:hAnsi="Times New Roman" w:eastAsia="仿宋_GB2312"/>
          <w:sz w:val="32"/>
          <w:szCs w:val="32"/>
        </w:rPr>
        <w:t>。</w:t>
      </w:r>
      <w:r>
        <w:rPr>
          <w:rFonts w:hint="eastAsia" w:ascii="Times New Roman" w:hAnsi="Times New Roman" w:eastAsia="仿宋_GB2312"/>
          <w:sz w:val="32"/>
          <w:szCs w:val="32"/>
        </w:rPr>
        <w:t>一</w:t>
      </w:r>
      <w:r>
        <w:rPr>
          <w:rFonts w:ascii="Times New Roman" w:hAnsi="Times New Roman" w:eastAsia="仿宋_GB2312"/>
          <w:sz w:val="32"/>
          <w:szCs w:val="32"/>
        </w:rPr>
        <w:t>般公共服务支出18592.8</w:t>
      </w:r>
      <w:r>
        <w:rPr>
          <w:rFonts w:hint="eastAsia" w:ascii="Times New Roman" w:hAnsi="Times New Roman" w:eastAsia="仿宋_GB2312"/>
          <w:sz w:val="32"/>
          <w:szCs w:val="32"/>
        </w:rPr>
        <w:t>元</w:t>
      </w:r>
      <w:r>
        <w:rPr>
          <w:rFonts w:ascii="Times New Roman" w:hAnsi="Times New Roman" w:eastAsia="仿宋_GB2312"/>
          <w:sz w:val="32"/>
          <w:szCs w:val="32"/>
        </w:rPr>
        <w:t>，</w:t>
      </w:r>
      <w:r>
        <w:rPr>
          <w:rFonts w:hint="eastAsia" w:ascii="Times New Roman" w:hAnsi="Times New Roman" w:eastAsia="仿宋_GB2312"/>
          <w:sz w:val="32"/>
          <w:szCs w:val="32"/>
        </w:rPr>
        <w:t>绩</w:t>
      </w:r>
      <w:r>
        <w:rPr>
          <w:rFonts w:ascii="Times New Roman" w:hAnsi="Times New Roman" w:eastAsia="仿宋_GB2312"/>
          <w:sz w:val="32"/>
          <w:szCs w:val="32"/>
        </w:rPr>
        <w:t>效目标完成</w:t>
      </w:r>
      <w:r>
        <w:rPr>
          <w:rFonts w:hint="eastAsia" w:ascii="Times New Roman" w:hAnsi="Times New Roman" w:eastAsia="仿宋_GB2312"/>
          <w:sz w:val="32"/>
          <w:szCs w:val="32"/>
        </w:rPr>
        <w:t>91.13</w:t>
      </w:r>
      <w:r>
        <w:rPr>
          <w:rFonts w:ascii="Times New Roman" w:hAnsi="Times New Roman" w:eastAsia="仿宋_GB2312"/>
          <w:sz w:val="32"/>
          <w:szCs w:val="32"/>
        </w:rPr>
        <w:t>%</w:t>
      </w:r>
      <w:r>
        <w:rPr>
          <w:rFonts w:hint="eastAsia" w:ascii="Times New Roman" w:hAnsi="Times New Roman" w:eastAsia="仿宋_GB2312"/>
          <w:sz w:val="32"/>
          <w:szCs w:val="32"/>
        </w:rPr>
        <w:t>。节</w:t>
      </w:r>
      <w:r>
        <w:rPr>
          <w:rFonts w:ascii="Times New Roman" w:hAnsi="Times New Roman" w:eastAsia="仿宋_GB2312"/>
          <w:sz w:val="32"/>
          <w:szCs w:val="32"/>
        </w:rPr>
        <w:t>能环保支出</w:t>
      </w:r>
      <w:r>
        <w:rPr>
          <w:rFonts w:hint="eastAsia" w:ascii="Times New Roman" w:hAnsi="Times New Roman" w:eastAsia="仿宋_GB2312"/>
          <w:sz w:val="32"/>
          <w:szCs w:val="32"/>
        </w:rPr>
        <w:t>40000元，绩</w:t>
      </w:r>
      <w:r>
        <w:rPr>
          <w:rFonts w:ascii="Times New Roman" w:hAnsi="Times New Roman" w:eastAsia="仿宋_GB2312"/>
          <w:sz w:val="32"/>
          <w:szCs w:val="32"/>
        </w:rPr>
        <w:t>效</w:t>
      </w:r>
      <w:r>
        <w:rPr>
          <w:rFonts w:hint="eastAsia" w:ascii="Times New Roman" w:hAnsi="Times New Roman" w:eastAsia="仿宋_GB2312"/>
          <w:sz w:val="32"/>
          <w:szCs w:val="32"/>
        </w:rPr>
        <w:t>目</w:t>
      </w:r>
      <w:r>
        <w:rPr>
          <w:rFonts w:ascii="Times New Roman" w:hAnsi="Times New Roman" w:eastAsia="仿宋_GB2312"/>
          <w:sz w:val="32"/>
          <w:szCs w:val="32"/>
        </w:rPr>
        <w:t>标完成</w:t>
      </w:r>
      <w:r>
        <w:rPr>
          <w:rFonts w:hint="eastAsia" w:ascii="Times New Roman" w:hAnsi="Times New Roman" w:eastAsia="仿宋_GB2312"/>
          <w:sz w:val="32"/>
          <w:szCs w:val="32"/>
        </w:rPr>
        <w:t>100</w:t>
      </w:r>
      <w:r>
        <w:rPr>
          <w:rFonts w:ascii="Times New Roman" w:hAnsi="Times New Roman" w:eastAsia="仿宋_GB2312"/>
          <w:sz w:val="32"/>
          <w:szCs w:val="32"/>
        </w:rPr>
        <w:t>%</w:t>
      </w:r>
      <w:r>
        <w:rPr>
          <w:rFonts w:hint="eastAsia" w:ascii="Times New Roman" w:hAnsi="Times New Roman" w:eastAsia="仿宋_GB2312"/>
          <w:sz w:val="32"/>
          <w:szCs w:val="32"/>
        </w:rPr>
        <w:t>。</w:t>
      </w:r>
      <w:r>
        <w:rPr>
          <w:rFonts w:ascii="Times New Roman" w:hAnsi="Times New Roman" w:eastAsia="仿宋_GB2312"/>
          <w:sz w:val="32"/>
          <w:szCs w:val="32"/>
        </w:rPr>
        <w:t>城乡社区支出2258488.64</w:t>
      </w:r>
      <w:r>
        <w:rPr>
          <w:rFonts w:hint="eastAsia" w:ascii="Times New Roman" w:hAnsi="Times New Roman" w:eastAsia="仿宋_GB2312"/>
          <w:sz w:val="32"/>
          <w:szCs w:val="32"/>
        </w:rPr>
        <w:t>元</w:t>
      </w:r>
      <w:r>
        <w:rPr>
          <w:rFonts w:ascii="Times New Roman" w:hAnsi="Times New Roman" w:eastAsia="仿宋_GB2312"/>
          <w:sz w:val="32"/>
          <w:szCs w:val="32"/>
        </w:rPr>
        <w:t>，</w:t>
      </w:r>
      <w:r>
        <w:rPr>
          <w:rFonts w:hint="eastAsia" w:ascii="Times New Roman" w:hAnsi="Times New Roman" w:eastAsia="仿宋_GB2312"/>
          <w:sz w:val="32"/>
          <w:szCs w:val="32"/>
        </w:rPr>
        <w:t>绩</w:t>
      </w:r>
      <w:r>
        <w:rPr>
          <w:rFonts w:ascii="Times New Roman" w:hAnsi="Times New Roman" w:eastAsia="仿宋_GB2312"/>
          <w:sz w:val="32"/>
          <w:szCs w:val="32"/>
        </w:rPr>
        <w:t>效目标完成</w:t>
      </w:r>
      <w:r>
        <w:rPr>
          <w:rFonts w:hint="eastAsia" w:ascii="Times New Roman" w:hAnsi="Times New Roman" w:eastAsia="仿宋_GB2312"/>
          <w:sz w:val="32"/>
          <w:szCs w:val="32"/>
        </w:rPr>
        <w:t>53.13</w:t>
      </w:r>
      <w:r>
        <w:rPr>
          <w:rFonts w:ascii="Times New Roman" w:hAnsi="Times New Roman" w:eastAsia="仿宋_GB2312"/>
          <w:sz w:val="32"/>
          <w:szCs w:val="32"/>
        </w:rPr>
        <w:t>%</w:t>
      </w:r>
      <w:r>
        <w:rPr>
          <w:rFonts w:hint="eastAsia" w:ascii="Times New Roman" w:hAnsi="Times New Roman" w:eastAsia="仿宋_GB2312"/>
          <w:sz w:val="32"/>
          <w:szCs w:val="32"/>
        </w:rPr>
        <w:t>。粮</w:t>
      </w:r>
      <w:r>
        <w:rPr>
          <w:rFonts w:ascii="Times New Roman" w:hAnsi="Times New Roman" w:eastAsia="仿宋_GB2312"/>
          <w:sz w:val="32"/>
          <w:szCs w:val="32"/>
        </w:rPr>
        <w:t>油物资储备支出213999.54</w:t>
      </w:r>
      <w:r>
        <w:rPr>
          <w:rFonts w:hint="eastAsia" w:ascii="Times New Roman" w:hAnsi="Times New Roman" w:eastAsia="仿宋_GB2312"/>
          <w:sz w:val="32"/>
          <w:szCs w:val="32"/>
        </w:rPr>
        <w:t>元</w:t>
      </w:r>
      <w:r>
        <w:rPr>
          <w:rFonts w:ascii="Times New Roman" w:hAnsi="Times New Roman" w:eastAsia="仿宋_GB2312"/>
          <w:sz w:val="32"/>
          <w:szCs w:val="32"/>
        </w:rPr>
        <w:t>。</w:t>
      </w:r>
      <w:r>
        <w:rPr>
          <w:rFonts w:hint="eastAsia" w:ascii="Times New Roman" w:hAnsi="Times New Roman" w:eastAsia="仿宋_GB2312"/>
          <w:sz w:val="32"/>
          <w:szCs w:val="32"/>
        </w:rPr>
        <w:t>绩</w:t>
      </w:r>
      <w:r>
        <w:rPr>
          <w:rFonts w:ascii="Times New Roman" w:hAnsi="Times New Roman" w:eastAsia="仿宋_GB2312"/>
          <w:sz w:val="32"/>
          <w:szCs w:val="32"/>
        </w:rPr>
        <w:t>效目标完成</w:t>
      </w:r>
      <w:r>
        <w:rPr>
          <w:rFonts w:hint="eastAsia" w:ascii="Times New Roman" w:hAnsi="Times New Roman" w:eastAsia="仿宋_GB2312"/>
          <w:sz w:val="32"/>
          <w:szCs w:val="32"/>
        </w:rPr>
        <w:t>99.07</w:t>
      </w:r>
      <w:r>
        <w:rPr>
          <w:rFonts w:ascii="Times New Roman" w:hAnsi="Times New Roman" w:eastAsia="仿宋_GB2312"/>
          <w:sz w:val="32"/>
          <w:szCs w:val="32"/>
        </w:rPr>
        <w:t>%。</w:t>
      </w:r>
    </w:p>
    <w:p>
      <w:pPr>
        <w:spacing w:line="560" w:lineRule="exact"/>
        <w:ind w:firstLine="640" w:firstLineChars="200"/>
        <w:rPr>
          <w:rFonts w:ascii="仿宋_GB2312" w:hAnsi="仿宋" w:eastAsia="仿宋_GB2312" w:cs="仿宋_GB2312"/>
          <w:sz w:val="32"/>
          <w:szCs w:val="32"/>
        </w:rPr>
      </w:pPr>
      <w:r>
        <w:rPr>
          <w:rFonts w:hint="eastAsia" w:eastAsia="仿宋_GB2312"/>
          <w:sz w:val="32"/>
          <w:szCs w:val="32"/>
        </w:rPr>
        <w:t>各项</w:t>
      </w:r>
      <w:r>
        <w:rPr>
          <w:rFonts w:eastAsia="仿宋_GB2312"/>
          <w:sz w:val="32"/>
          <w:szCs w:val="32"/>
        </w:rPr>
        <w:t>支出</w:t>
      </w:r>
      <w:r>
        <w:rPr>
          <w:rFonts w:hint="eastAsia" w:eastAsia="仿宋_GB2312"/>
          <w:sz w:val="32"/>
          <w:szCs w:val="32"/>
        </w:rPr>
        <w:t>绩</w:t>
      </w:r>
      <w:r>
        <w:rPr>
          <w:rFonts w:eastAsia="仿宋_GB2312"/>
          <w:sz w:val="32"/>
          <w:szCs w:val="32"/>
        </w:rPr>
        <w:t>效目标均在预算内</w:t>
      </w:r>
      <w:r>
        <w:rPr>
          <w:rFonts w:hint="eastAsia" w:eastAsia="仿宋_GB2312"/>
          <w:sz w:val="32"/>
          <w:szCs w:val="32"/>
        </w:rPr>
        <w:t>按</w:t>
      </w:r>
      <w:r>
        <w:rPr>
          <w:rFonts w:eastAsia="仿宋_GB2312"/>
          <w:sz w:val="32"/>
          <w:szCs w:val="32"/>
        </w:rPr>
        <w:t>时保质保量完成</w:t>
      </w:r>
      <w:r>
        <w:rPr>
          <w:rFonts w:hint="eastAsia" w:eastAsia="仿宋_GB2312"/>
          <w:sz w:val="32"/>
          <w:szCs w:val="32"/>
        </w:rPr>
        <w:t>，</w:t>
      </w:r>
      <w:r>
        <w:rPr>
          <w:rFonts w:hint="eastAsia" w:ascii="仿宋_GB2312" w:hAnsi="仿宋" w:eastAsia="仿宋_GB2312" w:cs="仿宋_GB2312"/>
          <w:sz w:val="32"/>
          <w:szCs w:val="32"/>
        </w:rPr>
        <w:t>财政支出规范合理，既确保了重点项目开支又保障部门正常运行，财政支出绩效良好。</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单位还自行组织了5个项目支出绩效评价，从评价情况来看，2019年度金沙水电站建设协调、龙源电力建设协调、市场价格监测和监督检查、政府投资重点项目推进、粮食储备、新冠肺炎疫情专项资金的合理利用等几大项目的全面推进工作顺利进行开展，提升了工作水平，带动就业、创业、再就业，维护市场经济秩序。2019年度各项工作的开展使得社会群众满意度显著提高，有力的促进了西区经济发展社会和谐安定。</w:t>
      </w:r>
    </w:p>
    <w:p>
      <w:pPr>
        <w:numPr>
          <w:ilvl w:val="0"/>
          <w:numId w:val="2"/>
        </w:numPr>
        <w:spacing w:line="360" w:lineRule="auto"/>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项目绩效目标完成情况。</w:t>
      </w:r>
      <w:r>
        <w:rPr>
          <w:rFonts w:hint="eastAsia" w:ascii="楷体_GB2312" w:hAnsi="楷体_GB2312" w:eastAsia="楷体_GB2312" w:cs="楷体_GB2312"/>
          <w:sz w:val="32"/>
          <w:szCs w:val="32"/>
        </w:rPr>
        <w:br w:type="textWrapping"/>
      </w:r>
      <w:r>
        <w:rPr>
          <w:rFonts w:hint="eastAsia" w:ascii="仿宋_GB2312" w:hAnsi="仿宋_GB2312" w:eastAsia="仿宋_GB2312" w:cs="仿宋_GB2312"/>
          <w:sz w:val="32"/>
          <w:szCs w:val="32"/>
        </w:rPr>
        <w:t xml:space="preserve">   我单位在2019年度部门决算中反映</w:t>
      </w:r>
      <w:r>
        <w:rPr>
          <w:rFonts w:eastAsia="仿宋_GB2312"/>
          <w:color w:val="000000"/>
          <w:sz w:val="32"/>
          <w:szCs w:val="32"/>
        </w:rPr>
        <w:t>“</w:t>
      </w:r>
      <w:r>
        <w:rPr>
          <w:rFonts w:hint="eastAsia" w:eastAsia="仿宋_GB2312"/>
          <w:color w:val="000000"/>
          <w:sz w:val="32"/>
          <w:szCs w:val="32"/>
        </w:rPr>
        <w:t>粮食项目</w:t>
      </w:r>
      <w:r>
        <w:rPr>
          <w:rFonts w:eastAsia="仿宋_GB2312"/>
          <w:color w:val="000000"/>
          <w:sz w:val="32"/>
          <w:szCs w:val="32"/>
        </w:rPr>
        <w:t>”“</w:t>
      </w:r>
      <w:r>
        <w:rPr>
          <w:rFonts w:hint="eastAsia" w:eastAsia="仿宋_GB2312"/>
          <w:color w:val="000000"/>
          <w:sz w:val="32"/>
          <w:szCs w:val="32"/>
        </w:rPr>
        <w:t>政府投资重点项目</w:t>
      </w:r>
      <w:r>
        <w:rPr>
          <w:rFonts w:eastAsia="仿宋_GB2312"/>
          <w:color w:val="000000"/>
          <w:sz w:val="32"/>
          <w:szCs w:val="32"/>
        </w:rPr>
        <w:t xml:space="preserve">”“金沙水电站”“龙源电力”“ </w:t>
      </w:r>
      <w:r>
        <w:rPr>
          <w:rFonts w:hint="eastAsia" w:eastAsia="仿宋_GB2312"/>
          <w:color w:val="000000"/>
          <w:sz w:val="32"/>
          <w:szCs w:val="32"/>
        </w:rPr>
        <w:t>市场</w:t>
      </w:r>
      <w:r>
        <w:rPr>
          <w:rFonts w:eastAsia="仿宋_GB2312"/>
          <w:color w:val="000000"/>
          <w:sz w:val="32"/>
          <w:szCs w:val="32"/>
        </w:rPr>
        <w:t>价格监测”</w:t>
      </w:r>
      <w:r>
        <w:rPr>
          <w:rFonts w:hint="eastAsia" w:ascii="仿宋_GB2312" w:hAnsi="仿宋_GB2312" w:eastAsia="仿宋_GB2312" w:cs="仿宋_GB2312"/>
          <w:sz w:val="32"/>
          <w:szCs w:val="32"/>
        </w:rPr>
        <w:t>等5个项目绩效目标实际完成情况。</w:t>
      </w:r>
    </w:p>
    <w:p>
      <w:pPr>
        <w:spacing w:line="560" w:lineRule="exact"/>
        <w:ind w:firstLine="640"/>
        <w:rPr>
          <w:rFonts w:eastAsia="仿宋_GB2312"/>
          <w:color w:val="000000"/>
          <w:sz w:val="32"/>
          <w:szCs w:val="32"/>
        </w:rPr>
      </w:pPr>
      <w:r>
        <w:rPr>
          <w:rFonts w:hint="eastAsia" w:eastAsia="仿宋_GB2312"/>
          <w:color w:val="000000"/>
          <w:sz w:val="32"/>
          <w:szCs w:val="32"/>
        </w:rPr>
        <w:t>（1）粮食</w:t>
      </w:r>
      <w:r>
        <w:rPr>
          <w:rFonts w:eastAsia="仿宋_GB2312"/>
          <w:color w:val="000000"/>
          <w:sz w:val="32"/>
          <w:szCs w:val="32"/>
        </w:rPr>
        <w:t>项目绩效目标完成情况综述。</w:t>
      </w:r>
    </w:p>
    <w:p>
      <w:pPr>
        <w:spacing w:line="560" w:lineRule="exact"/>
        <w:ind w:firstLine="640"/>
        <w:rPr>
          <w:rFonts w:eastAsia="仿宋_GB2312"/>
          <w:color w:val="000000"/>
          <w:sz w:val="32"/>
          <w:szCs w:val="32"/>
        </w:rPr>
      </w:pPr>
      <w:r>
        <w:rPr>
          <w:rFonts w:eastAsia="仿宋_GB2312"/>
          <w:color w:val="000000"/>
          <w:sz w:val="32"/>
          <w:szCs w:val="32"/>
        </w:rPr>
        <w:t>2019</w:t>
      </w:r>
      <w:r>
        <w:rPr>
          <w:rFonts w:hint="eastAsia" w:eastAsia="仿宋_GB2312"/>
          <w:color w:val="000000"/>
          <w:sz w:val="32"/>
          <w:szCs w:val="32"/>
        </w:rPr>
        <w:t>年粮</w:t>
      </w:r>
      <w:r>
        <w:rPr>
          <w:rFonts w:eastAsia="仿宋_GB2312"/>
          <w:color w:val="000000"/>
          <w:sz w:val="32"/>
          <w:szCs w:val="32"/>
        </w:rPr>
        <w:t>食项目绩效目</w:t>
      </w:r>
      <w:r>
        <w:rPr>
          <w:rFonts w:hint="eastAsia" w:eastAsia="仿宋_GB2312"/>
          <w:color w:val="000000"/>
          <w:sz w:val="32"/>
          <w:szCs w:val="32"/>
        </w:rPr>
        <w:t>标按</w:t>
      </w:r>
      <w:r>
        <w:rPr>
          <w:rFonts w:eastAsia="仿宋_GB2312"/>
          <w:color w:val="000000"/>
          <w:sz w:val="32"/>
          <w:szCs w:val="32"/>
        </w:rPr>
        <w:t>质按量</w:t>
      </w:r>
      <w:r>
        <w:rPr>
          <w:rFonts w:hint="eastAsia" w:eastAsia="仿宋_GB2312"/>
          <w:color w:val="000000"/>
          <w:sz w:val="32"/>
          <w:szCs w:val="32"/>
        </w:rPr>
        <w:t>已</w:t>
      </w:r>
      <w:r>
        <w:rPr>
          <w:rFonts w:eastAsia="仿宋_GB2312"/>
          <w:color w:val="000000"/>
          <w:sz w:val="32"/>
          <w:szCs w:val="32"/>
        </w:rPr>
        <w:t>完成，</w:t>
      </w:r>
      <w:r>
        <w:rPr>
          <w:rFonts w:hint="eastAsia" w:eastAsia="仿宋_GB2312"/>
          <w:color w:val="000000"/>
          <w:sz w:val="32"/>
          <w:szCs w:val="32"/>
        </w:rPr>
        <w:t>区</w:t>
      </w:r>
      <w:r>
        <w:rPr>
          <w:rFonts w:eastAsia="仿宋_GB2312"/>
          <w:color w:val="000000"/>
          <w:sz w:val="32"/>
          <w:szCs w:val="32"/>
        </w:rPr>
        <w:t>级资金</w:t>
      </w:r>
      <w:r>
        <w:rPr>
          <w:rFonts w:hint="eastAsia" w:eastAsia="仿宋_GB2312"/>
          <w:color w:val="000000"/>
          <w:sz w:val="32"/>
          <w:szCs w:val="32"/>
        </w:rPr>
        <w:t>预</w:t>
      </w:r>
      <w:r>
        <w:rPr>
          <w:rFonts w:eastAsia="仿宋_GB2312"/>
          <w:color w:val="000000"/>
          <w:sz w:val="32"/>
          <w:szCs w:val="32"/>
        </w:rPr>
        <w:t>算下达</w:t>
      </w:r>
      <w:r>
        <w:rPr>
          <w:rFonts w:hint="eastAsia" w:eastAsia="仿宋_GB2312"/>
          <w:color w:val="000000"/>
          <w:sz w:val="32"/>
          <w:szCs w:val="32"/>
        </w:rPr>
        <w:t>309.63万，</w:t>
      </w:r>
      <w:r>
        <w:rPr>
          <w:rFonts w:eastAsia="仿宋_GB2312"/>
          <w:color w:val="000000"/>
          <w:sz w:val="32"/>
          <w:szCs w:val="32"/>
        </w:rPr>
        <w:t>实际</w:t>
      </w:r>
      <w:r>
        <w:rPr>
          <w:rFonts w:hint="eastAsia" w:eastAsia="仿宋_GB2312"/>
          <w:color w:val="000000"/>
          <w:sz w:val="32"/>
          <w:szCs w:val="32"/>
        </w:rPr>
        <w:t>下</w:t>
      </w:r>
      <w:r>
        <w:rPr>
          <w:rFonts w:eastAsia="仿宋_GB2312"/>
          <w:color w:val="000000"/>
          <w:sz w:val="32"/>
          <w:szCs w:val="32"/>
        </w:rPr>
        <w:t>达</w:t>
      </w:r>
      <w:r>
        <w:rPr>
          <w:rFonts w:hint="eastAsia" w:eastAsia="仿宋_GB2312"/>
          <w:color w:val="000000"/>
          <w:sz w:val="32"/>
          <w:szCs w:val="32"/>
        </w:rPr>
        <w:t>110</w:t>
      </w:r>
      <w:r>
        <w:rPr>
          <w:rFonts w:eastAsia="仿宋_GB2312"/>
          <w:color w:val="000000"/>
          <w:sz w:val="32"/>
          <w:szCs w:val="32"/>
        </w:rPr>
        <w:t>.39337</w:t>
      </w:r>
      <w:r>
        <w:rPr>
          <w:rFonts w:hint="eastAsia" w:eastAsia="仿宋_GB2312"/>
          <w:color w:val="000000"/>
          <w:sz w:val="32"/>
          <w:szCs w:val="32"/>
        </w:rPr>
        <w:t>万元，结余2020年</w:t>
      </w:r>
      <w:r>
        <w:rPr>
          <w:rFonts w:eastAsia="仿宋_GB2312"/>
          <w:color w:val="000000"/>
          <w:sz w:val="32"/>
          <w:szCs w:val="32"/>
        </w:rPr>
        <w:t>预算</w:t>
      </w:r>
      <w:r>
        <w:rPr>
          <w:rFonts w:hint="eastAsia" w:eastAsia="仿宋_GB2312"/>
          <w:color w:val="000000"/>
          <w:sz w:val="32"/>
          <w:szCs w:val="32"/>
        </w:rPr>
        <w:t>199.23663万</w:t>
      </w:r>
      <w:r>
        <w:rPr>
          <w:rFonts w:eastAsia="仿宋_GB2312"/>
          <w:color w:val="000000"/>
          <w:sz w:val="32"/>
          <w:szCs w:val="32"/>
        </w:rPr>
        <w:t>元。</w:t>
      </w:r>
    </w:p>
    <w:p>
      <w:pPr>
        <w:spacing w:line="560" w:lineRule="exact"/>
        <w:ind w:firstLine="640" w:firstLineChars="200"/>
        <w:rPr>
          <w:rFonts w:eastAsia="仿宋_GB2312"/>
          <w:color w:val="000000"/>
          <w:sz w:val="32"/>
          <w:szCs w:val="32"/>
        </w:rPr>
      </w:pPr>
      <w:r>
        <w:rPr>
          <w:rFonts w:eastAsia="仿宋_GB2312"/>
          <w:color w:val="000000"/>
          <w:sz w:val="32"/>
          <w:szCs w:val="32"/>
        </w:rPr>
        <w:t>（</w:t>
      </w:r>
      <w:r>
        <w:rPr>
          <w:rFonts w:hint="eastAsia" w:eastAsia="仿宋_GB2312"/>
          <w:color w:val="000000"/>
          <w:sz w:val="32"/>
          <w:szCs w:val="32"/>
        </w:rPr>
        <w:t>2</w:t>
      </w:r>
      <w:r>
        <w:rPr>
          <w:rFonts w:eastAsia="仿宋_GB2312"/>
          <w:color w:val="000000"/>
          <w:sz w:val="32"/>
          <w:szCs w:val="32"/>
        </w:rPr>
        <w:t>）</w:t>
      </w:r>
      <w:r>
        <w:rPr>
          <w:rFonts w:hint="eastAsia" w:eastAsia="仿宋_GB2312"/>
          <w:color w:val="000000"/>
          <w:sz w:val="32"/>
          <w:szCs w:val="32"/>
        </w:rPr>
        <w:t>政府投资重点</w:t>
      </w:r>
      <w:r>
        <w:rPr>
          <w:rFonts w:eastAsia="仿宋_GB2312"/>
          <w:color w:val="000000"/>
          <w:sz w:val="32"/>
          <w:szCs w:val="32"/>
        </w:rPr>
        <w:t>项目绩效目标完成情况综述。</w:t>
      </w:r>
    </w:p>
    <w:p>
      <w:pPr>
        <w:spacing w:line="560" w:lineRule="exact"/>
        <w:ind w:firstLine="640" w:firstLineChars="200"/>
        <w:rPr>
          <w:rFonts w:eastAsia="仿宋_GB2312"/>
          <w:color w:val="000000"/>
          <w:sz w:val="32"/>
          <w:szCs w:val="32"/>
        </w:rPr>
      </w:pPr>
      <w:r>
        <w:rPr>
          <w:rFonts w:eastAsia="仿宋_GB2312"/>
          <w:color w:val="000000"/>
          <w:sz w:val="32"/>
          <w:szCs w:val="32"/>
        </w:rPr>
        <w:t>项目全年预算数</w:t>
      </w:r>
      <w:r>
        <w:rPr>
          <w:rFonts w:hint="eastAsia" w:eastAsia="仿宋_GB2312"/>
          <w:color w:val="000000"/>
          <w:sz w:val="32"/>
          <w:szCs w:val="32"/>
        </w:rPr>
        <w:t>17</w:t>
      </w:r>
      <w:r>
        <w:rPr>
          <w:rFonts w:eastAsia="仿宋_GB2312"/>
          <w:color w:val="000000"/>
          <w:sz w:val="32"/>
          <w:szCs w:val="32"/>
        </w:rPr>
        <w:t>万元，执行数为</w:t>
      </w:r>
      <w:r>
        <w:rPr>
          <w:rFonts w:hint="eastAsia" w:eastAsia="仿宋_GB2312"/>
          <w:color w:val="000000"/>
          <w:sz w:val="32"/>
          <w:szCs w:val="32"/>
        </w:rPr>
        <w:t>17</w:t>
      </w:r>
      <w:r>
        <w:rPr>
          <w:rFonts w:eastAsia="仿宋_GB2312"/>
          <w:color w:val="000000"/>
          <w:sz w:val="32"/>
          <w:szCs w:val="32"/>
        </w:rPr>
        <w:t>万元，完成预算的100%。通过项目实施，</w:t>
      </w:r>
      <w:r>
        <w:rPr>
          <w:rFonts w:hint="eastAsia" w:eastAsia="仿宋_GB2312"/>
          <w:color w:val="000000"/>
          <w:sz w:val="32"/>
          <w:szCs w:val="32"/>
        </w:rPr>
        <w:t>完成2019年度省、市、区重点项目投资推进及稽查工作（2019年因机构改革，项目稽查已移交区审计局），确保重大建设项目有序推进，按时完成年度建设任务，以项目带动地方就业、创业、再就业，拉动经济增长，提升辖区群众满意度。</w:t>
      </w:r>
    </w:p>
    <w:p>
      <w:pPr>
        <w:spacing w:line="560" w:lineRule="exact"/>
        <w:ind w:firstLine="640" w:firstLineChars="200"/>
        <w:rPr>
          <w:rFonts w:eastAsia="仿宋_GB2312"/>
          <w:color w:val="000000"/>
          <w:sz w:val="32"/>
          <w:szCs w:val="32"/>
        </w:rPr>
      </w:pPr>
      <w:r>
        <w:rPr>
          <w:rFonts w:eastAsia="仿宋_GB2312"/>
          <w:color w:val="000000"/>
          <w:sz w:val="32"/>
          <w:szCs w:val="32"/>
        </w:rPr>
        <w:t>（</w:t>
      </w:r>
      <w:r>
        <w:rPr>
          <w:rFonts w:hint="eastAsia" w:eastAsia="仿宋_GB2312"/>
          <w:color w:val="000000"/>
          <w:sz w:val="32"/>
          <w:szCs w:val="32"/>
        </w:rPr>
        <w:t>3</w:t>
      </w:r>
      <w:r>
        <w:rPr>
          <w:rFonts w:eastAsia="仿宋_GB2312"/>
          <w:color w:val="000000"/>
          <w:sz w:val="32"/>
          <w:szCs w:val="32"/>
        </w:rPr>
        <w:t>）金沙水电站建设协调项目绩效目标完成情况综述。</w:t>
      </w:r>
    </w:p>
    <w:p>
      <w:pPr>
        <w:spacing w:line="560" w:lineRule="exact"/>
        <w:ind w:firstLine="640" w:firstLineChars="200"/>
        <w:rPr>
          <w:rFonts w:ascii="仿宋_GB2312" w:eastAsia="仿宋_GB2312"/>
          <w:color w:val="000000"/>
          <w:sz w:val="32"/>
          <w:szCs w:val="32"/>
        </w:rPr>
      </w:pPr>
      <w:r>
        <w:rPr>
          <w:rFonts w:eastAsia="仿宋_GB2312"/>
          <w:color w:val="000000"/>
          <w:sz w:val="32"/>
          <w:szCs w:val="32"/>
        </w:rPr>
        <w:t>项目全年预算数2万元，执行数为2万元，完成预算的100%。通过项目实施，支持了金沙水电站按进度推进，完成年度投资额，主动作为，积极推进，协调解决建设过程存在的问题和困难</w:t>
      </w:r>
      <w:r>
        <w:rPr>
          <w:rFonts w:hint="eastAsia" w:ascii="仿宋_GB2312" w:eastAsia="仿宋_GB2312"/>
          <w:color w:val="000000"/>
          <w:sz w:val="32"/>
          <w:szCs w:val="32"/>
        </w:rPr>
        <w:t>,</w:t>
      </w:r>
      <w:r>
        <w:rPr>
          <w:rFonts w:hint="eastAsia" w:eastAsia="仿宋_GB2312"/>
          <w:color w:val="000000"/>
          <w:sz w:val="32"/>
          <w:szCs w:val="32"/>
        </w:rPr>
        <w:t>拉动就业、促进地方经济发展，提升川能投企业和群众满意度。</w:t>
      </w:r>
    </w:p>
    <w:p>
      <w:pPr>
        <w:spacing w:line="560" w:lineRule="exact"/>
        <w:ind w:firstLine="640" w:firstLineChars="200"/>
        <w:rPr>
          <w:rFonts w:eastAsia="仿宋_GB2312"/>
          <w:color w:val="000000"/>
          <w:sz w:val="32"/>
          <w:szCs w:val="32"/>
        </w:rPr>
      </w:pPr>
      <w:r>
        <w:rPr>
          <w:rFonts w:eastAsia="仿宋_GB2312"/>
          <w:color w:val="000000"/>
          <w:sz w:val="32"/>
          <w:szCs w:val="32"/>
        </w:rPr>
        <w:t>（</w:t>
      </w:r>
      <w:r>
        <w:rPr>
          <w:rFonts w:hint="eastAsia" w:eastAsia="仿宋_GB2312"/>
          <w:color w:val="000000"/>
          <w:sz w:val="32"/>
          <w:szCs w:val="32"/>
        </w:rPr>
        <w:t>4</w:t>
      </w:r>
      <w:r>
        <w:rPr>
          <w:rFonts w:eastAsia="仿宋_GB2312"/>
          <w:color w:val="000000"/>
          <w:sz w:val="32"/>
          <w:szCs w:val="32"/>
        </w:rPr>
        <w:t>）龙源电力建设协调项目绩效目标完成情况综述。</w:t>
      </w:r>
    </w:p>
    <w:p>
      <w:pPr>
        <w:spacing w:line="560" w:lineRule="exact"/>
        <w:ind w:firstLine="640" w:firstLineChars="200"/>
        <w:rPr>
          <w:rFonts w:ascii="仿宋_GB2312" w:eastAsia="仿宋_GB2312"/>
          <w:color w:val="000000"/>
          <w:sz w:val="32"/>
          <w:szCs w:val="32"/>
        </w:rPr>
      </w:pPr>
      <w:r>
        <w:rPr>
          <w:rFonts w:eastAsia="仿宋_GB2312"/>
          <w:color w:val="000000"/>
          <w:sz w:val="32"/>
          <w:szCs w:val="32"/>
        </w:rPr>
        <w:t>项目全年预算数3万元，执行数为3万元，完成预算的100%。通过项目实施，保障了年度投资额完成1000万元，推进龙源电力集团在西区注册财务独立核算的子公司，取得项目核准手续，完成测风塔建设</w:t>
      </w:r>
      <w:r>
        <w:rPr>
          <w:rFonts w:hint="eastAsia" w:eastAsia="仿宋_GB2312"/>
          <w:color w:val="000000"/>
          <w:sz w:val="32"/>
          <w:szCs w:val="32"/>
        </w:rPr>
        <w:t>，拉动就业、促进地方经济发展，提升企业满意度。</w:t>
      </w:r>
    </w:p>
    <w:p>
      <w:pPr>
        <w:spacing w:line="560" w:lineRule="exact"/>
        <w:ind w:firstLine="640" w:firstLineChars="200"/>
        <w:rPr>
          <w:rFonts w:eastAsia="仿宋_GB2312"/>
          <w:color w:val="000000"/>
          <w:sz w:val="32"/>
          <w:szCs w:val="32"/>
        </w:rPr>
      </w:pPr>
      <w:r>
        <w:rPr>
          <w:rFonts w:eastAsia="仿宋_GB2312"/>
          <w:color w:val="000000"/>
          <w:sz w:val="32"/>
          <w:szCs w:val="32"/>
        </w:rPr>
        <w:t>（5）价格监测项目绩效目标完成情况综述</w:t>
      </w:r>
      <w:r>
        <w:rPr>
          <w:rFonts w:hint="eastAsia" w:eastAsia="仿宋_GB2312"/>
          <w:color w:val="000000"/>
          <w:sz w:val="32"/>
          <w:szCs w:val="32"/>
        </w:rPr>
        <w:t>。</w:t>
      </w:r>
    </w:p>
    <w:p>
      <w:pPr>
        <w:spacing w:line="560" w:lineRule="exact"/>
        <w:ind w:firstLine="640" w:firstLineChars="200"/>
        <w:rPr>
          <w:rFonts w:eastAsia="仿宋_GB2312"/>
          <w:color w:val="000000"/>
          <w:sz w:val="32"/>
          <w:szCs w:val="32"/>
        </w:rPr>
      </w:pPr>
      <w:r>
        <w:rPr>
          <w:rFonts w:eastAsia="仿宋_GB2312"/>
          <w:color w:val="000000"/>
          <w:sz w:val="32"/>
          <w:szCs w:val="32"/>
        </w:rPr>
        <w:t>项目全年预算数1万元，执行数为1万元，完成预算的100%。通过项目实施，支持了按上级部门和区级相关部门部署开展价格监测和监督检查，加强价格宣传、监督、检查等专项活动</w:t>
      </w:r>
      <w:r>
        <w:rPr>
          <w:rFonts w:hint="eastAsia" w:eastAsia="仿宋_GB2312"/>
          <w:color w:val="000000"/>
          <w:sz w:val="32"/>
          <w:szCs w:val="32"/>
        </w:rPr>
        <w:t>，有助于维护市场经济秩序、实时监测市场价格，维护社会稳定，提升群众满意度。</w:t>
      </w:r>
    </w:p>
    <w:tbl>
      <w:tblPr>
        <w:tblStyle w:val="14"/>
        <w:tblW w:w="9585" w:type="dxa"/>
        <w:tblInd w:w="93" w:type="dxa"/>
        <w:tblLayout w:type="fixed"/>
        <w:tblCellMar>
          <w:top w:w="0" w:type="dxa"/>
          <w:left w:w="108" w:type="dxa"/>
          <w:bottom w:w="0" w:type="dxa"/>
          <w:right w:w="108" w:type="dxa"/>
        </w:tblCellMar>
      </w:tblPr>
      <w:tblGrid>
        <w:gridCol w:w="456"/>
        <w:gridCol w:w="1389"/>
        <w:gridCol w:w="1270"/>
        <w:gridCol w:w="2614"/>
        <w:gridCol w:w="2584"/>
        <w:gridCol w:w="1272"/>
      </w:tblGrid>
      <w:tr>
        <w:tblPrEx>
          <w:tblLayout w:type="fixed"/>
          <w:tblCellMar>
            <w:top w:w="0" w:type="dxa"/>
            <w:left w:w="108" w:type="dxa"/>
            <w:bottom w:w="0" w:type="dxa"/>
            <w:right w:w="108" w:type="dxa"/>
          </w:tblCellMar>
        </w:tblPrEx>
        <w:trPr>
          <w:trHeight w:val="285" w:hRule="atLeast"/>
        </w:trPr>
        <w:tc>
          <w:tcPr>
            <w:tcW w:w="9585" w:type="dxa"/>
            <w:gridSpan w:val="6"/>
            <w:tcBorders>
              <w:top w:val="nil"/>
              <w:left w:val="nil"/>
              <w:bottom w:val="nil"/>
              <w:right w:val="nil"/>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专项（项目）资金绩效自评表</w:t>
            </w:r>
          </w:p>
        </w:tc>
      </w:tr>
      <w:tr>
        <w:tblPrEx>
          <w:tblLayout w:type="fixed"/>
          <w:tblCellMar>
            <w:top w:w="0" w:type="dxa"/>
            <w:left w:w="108" w:type="dxa"/>
            <w:bottom w:w="0" w:type="dxa"/>
            <w:right w:w="108" w:type="dxa"/>
          </w:tblCellMar>
        </w:tblPrEx>
        <w:trPr>
          <w:trHeight w:val="285" w:hRule="atLeast"/>
        </w:trPr>
        <w:tc>
          <w:tcPr>
            <w:tcW w:w="9585" w:type="dxa"/>
            <w:gridSpan w:val="6"/>
            <w:tcBorders>
              <w:top w:val="nil"/>
              <w:left w:val="nil"/>
              <w:bottom w:val="nil"/>
              <w:right w:val="nil"/>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w:t>
            </w:r>
            <w:r>
              <w:rPr>
                <w:color w:val="000000"/>
                <w:kern w:val="0"/>
                <w:sz w:val="24"/>
              </w:rPr>
              <w:t>2019</w:t>
            </w:r>
            <w:r>
              <w:rPr>
                <w:rFonts w:ascii="宋体" w:hAnsi="宋体" w:cs="宋体"/>
                <w:color w:val="000000"/>
                <w:kern w:val="0"/>
                <w:sz w:val="24"/>
              </w:rPr>
              <w:t>年度）</w:t>
            </w:r>
          </w:p>
        </w:tc>
      </w:tr>
      <w:tr>
        <w:tblPrEx>
          <w:tblLayout w:type="fixed"/>
          <w:tblCellMar>
            <w:top w:w="0" w:type="dxa"/>
            <w:left w:w="108" w:type="dxa"/>
            <w:bottom w:w="0" w:type="dxa"/>
            <w:right w:w="108" w:type="dxa"/>
          </w:tblCellMar>
        </w:tblPrEx>
        <w:trPr>
          <w:trHeight w:val="285" w:hRule="atLeast"/>
        </w:trPr>
        <w:tc>
          <w:tcPr>
            <w:tcW w:w="456" w:type="dxa"/>
            <w:tcBorders>
              <w:top w:val="nil"/>
              <w:left w:val="nil"/>
              <w:bottom w:val="single" w:color="000000" w:sz="4" w:space="0"/>
              <w:right w:val="nil"/>
            </w:tcBorders>
            <w:shd w:val="clear" w:color="auto" w:fill="auto"/>
            <w:noWrap/>
            <w:vAlign w:val="center"/>
          </w:tcPr>
          <w:p>
            <w:pPr>
              <w:widowControl/>
              <w:jc w:val="left"/>
              <w:rPr>
                <w:rFonts w:ascii="宋体" w:hAnsi="宋体" w:cs="宋体"/>
                <w:color w:val="000000"/>
                <w:kern w:val="0"/>
                <w:sz w:val="24"/>
              </w:rPr>
            </w:pPr>
          </w:p>
        </w:tc>
        <w:tc>
          <w:tcPr>
            <w:tcW w:w="1389" w:type="dxa"/>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24"/>
              </w:rPr>
            </w:pPr>
          </w:p>
        </w:tc>
        <w:tc>
          <w:tcPr>
            <w:tcW w:w="1270" w:type="dxa"/>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2614" w:type="dxa"/>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2584" w:type="dxa"/>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1272" w:type="dxa"/>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285" w:hRule="atLeast"/>
        </w:trPr>
        <w:tc>
          <w:tcPr>
            <w:tcW w:w="31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专项（项目）名称</w:t>
            </w:r>
          </w:p>
        </w:tc>
        <w:tc>
          <w:tcPr>
            <w:tcW w:w="6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金沙水电站建设协调费</w:t>
            </w:r>
          </w:p>
        </w:tc>
      </w:tr>
      <w:tr>
        <w:tblPrEx>
          <w:tblLayout w:type="fixed"/>
          <w:tblCellMar>
            <w:top w:w="0" w:type="dxa"/>
            <w:left w:w="108" w:type="dxa"/>
            <w:bottom w:w="0" w:type="dxa"/>
            <w:right w:w="108" w:type="dxa"/>
          </w:tblCellMar>
        </w:tblPrEx>
        <w:trPr>
          <w:trHeight w:val="285" w:hRule="atLeast"/>
        </w:trPr>
        <w:tc>
          <w:tcPr>
            <w:tcW w:w="31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项目主管单位</w:t>
            </w:r>
          </w:p>
        </w:tc>
        <w:tc>
          <w:tcPr>
            <w:tcW w:w="6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攀枝花市西区发改局</w:t>
            </w:r>
          </w:p>
        </w:tc>
      </w:tr>
      <w:tr>
        <w:tblPrEx>
          <w:tblLayout w:type="fixed"/>
          <w:tblCellMar>
            <w:top w:w="0" w:type="dxa"/>
            <w:left w:w="108" w:type="dxa"/>
            <w:bottom w:w="0" w:type="dxa"/>
            <w:right w:w="108" w:type="dxa"/>
          </w:tblCellMar>
        </w:tblPrEx>
        <w:trPr>
          <w:trHeight w:val="285" w:hRule="atLeast"/>
        </w:trPr>
        <w:tc>
          <w:tcPr>
            <w:tcW w:w="31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项目实施单位</w:t>
            </w:r>
          </w:p>
        </w:tc>
        <w:tc>
          <w:tcPr>
            <w:tcW w:w="6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285" w:hRule="atLeast"/>
        </w:trPr>
        <w:tc>
          <w:tcPr>
            <w:tcW w:w="31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项目资金</w:t>
            </w:r>
            <w:r>
              <w:rPr>
                <w:rFonts w:hint="eastAsia" w:ascii="宋体" w:hAnsi="宋体" w:cs="宋体"/>
                <w:color w:val="000000"/>
                <w:kern w:val="0"/>
                <w:sz w:val="24"/>
              </w:rPr>
              <w:br w:type="textWrapping"/>
            </w:r>
            <w:r>
              <w:rPr>
                <w:rFonts w:hint="eastAsia" w:ascii="宋体" w:hAnsi="宋体" w:cs="宋体"/>
                <w:color w:val="000000"/>
                <w:kern w:val="0"/>
                <w:sz w:val="24"/>
              </w:rPr>
              <w:t>（万元）</w:t>
            </w: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c>
          <w:tcPr>
            <w:tcW w:w="25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全年预算数</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实际完成数</w:t>
            </w:r>
          </w:p>
        </w:tc>
      </w:tr>
      <w:tr>
        <w:tblPrEx>
          <w:tblLayout w:type="fixed"/>
          <w:tblCellMar>
            <w:top w:w="0" w:type="dxa"/>
            <w:left w:w="108" w:type="dxa"/>
            <w:bottom w:w="0" w:type="dxa"/>
            <w:right w:w="108" w:type="dxa"/>
          </w:tblCellMar>
        </w:tblPrEx>
        <w:trPr>
          <w:trHeight w:val="285" w:hRule="atLeast"/>
        </w:trPr>
        <w:tc>
          <w:tcPr>
            <w:tcW w:w="311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年度资金总额：</w:t>
            </w:r>
          </w:p>
        </w:tc>
        <w:tc>
          <w:tcPr>
            <w:tcW w:w="25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2</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2</w:t>
            </w:r>
          </w:p>
        </w:tc>
      </w:tr>
      <w:tr>
        <w:tblPrEx>
          <w:tblLayout w:type="fixed"/>
          <w:tblCellMar>
            <w:top w:w="0" w:type="dxa"/>
            <w:left w:w="108" w:type="dxa"/>
            <w:bottom w:w="0" w:type="dxa"/>
            <w:right w:w="108" w:type="dxa"/>
          </w:tblCellMar>
        </w:tblPrEx>
        <w:trPr>
          <w:trHeight w:val="285" w:hRule="atLeast"/>
        </w:trPr>
        <w:tc>
          <w:tcPr>
            <w:tcW w:w="311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其中：上级财政资金</w:t>
            </w:r>
          </w:p>
        </w:tc>
        <w:tc>
          <w:tcPr>
            <w:tcW w:w="25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285" w:hRule="atLeast"/>
        </w:trPr>
        <w:tc>
          <w:tcPr>
            <w:tcW w:w="311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本级财政资金</w:t>
            </w:r>
          </w:p>
        </w:tc>
        <w:tc>
          <w:tcPr>
            <w:tcW w:w="25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2</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2</w:t>
            </w:r>
          </w:p>
        </w:tc>
      </w:tr>
      <w:tr>
        <w:tblPrEx>
          <w:tblLayout w:type="fixed"/>
          <w:tblCellMar>
            <w:top w:w="0" w:type="dxa"/>
            <w:left w:w="108" w:type="dxa"/>
            <w:bottom w:w="0" w:type="dxa"/>
            <w:right w:w="108" w:type="dxa"/>
          </w:tblCellMar>
        </w:tblPrEx>
        <w:trPr>
          <w:trHeight w:val="285" w:hRule="atLeast"/>
        </w:trPr>
        <w:tc>
          <w:tcPr>
            <w:tcW w:w="311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其他资金</w:t>
            </w:r>
          </w:p>
        </w:tc>
        <w:tc>
          <w:tcPr>
            <w:tcW w:w="25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285" w:hRule="atLeast"/>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总</w:t>
            </w:r>
            <w:r>
              <w:rPr>
                <w:rFonts w:hint="eastAsia" w:ascii="宋体" w:hAnsi="宋体" w:cs="宋体"/>
                <w:color w:val="000000"/>
                <w:kern w:val="0"/>
                <w:sz w:val="24"/>
              </w:rPr>
              <w:br w:type="textWrapping"/>
            </w:r>
            <w:r>
              <w:rPr>
                <w:rFonts w:hint="eastAsia" w:ascii="宋体" w:hAnsi="宋体" w:cs="宋体"/>
                <w:color w:val="000000"/>
                <w:kern w:val="0"/>
                <w:sz w:val="24"/>
              </w:rPr>
              <w:t>体</w:t>
            </w:r>
            <w:r>
              <w:rPr>
                <w:rFonts w:hint="eastAsia" w:ascii="宋体" w:hAnsi="宋体" w:cs="宋体"/>
                <w:color w:val="000000"/>
                <w:kern w:val="0"/>
                <w:sz w:val="24"/>
              </w:rPr>
              <w:br w:type="textWrapping"/>
            </w:r>
            <w:r>
              <w:rPr>
                <w:rFonts w:hint="eastAsia" w:ascii="宋体" w:hAnsi="宋体" w:cs="宋体"/>
                <w:color w:val="000000"/>
                <w:kern w:val="0"/>
                <w:sz w:val="24"/>
              </w:rPr>
              <w:t>目</w:t>
            </w:r>
            <w:r>
              <w:rPr>
                <w:rFonts w:hint="eastAsia" w:ascii="宋体" w:hAnsi="宋体" w:cs="宋体"/>
                <w:color w:val="000000"/>
                <w:kern w:val="0"/>
                <w:sz w:val="24"/>
              </w:rPr>
              <w:br w:type="textWrapping"/>
            </w:r>
            <w:r>
              <w:rPr>
                <w:rFonts w:hint="eastAsia" w:ascii="宋体" w:hAnsi="宋体" w:cs="宋体"/>
                <w:color w:val="000000"/>
                <w:kern w:val="0"/>
                <w:sz w:val="24"/>
              </w:rPr>
              <w:t>标</w:t>
            </w:r>
          </w:p>
        </w:tc>
        <w:tc>
          <w:tcPr>
            <w:tcW w:w="52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年度设定目标</w:t>
            </w:r>
          </w:p>
        </w:tc>
        <w:tc>
          <w:tcPr>
            <w:tcW w:w="38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实际完成情况</w:t>
            </w:r>
          </w:p>
        </w:tc>
      </w:tr>
      <w:tr>
        <w:tblPrEx>
          <w:tblLayout w:type="fixed"/>
          <w:tblCellMar>
            <w:top w:w="0" w:type="dxa"/>
            <w:left w:w="108" w:type="dxa"/>
            <w:bottom w:w="0" w:type="dxa"/>
            <w:right w:w="108" w:type="dxa"/>
          </w:tblCellMar>
        </w:tblPrEx>
        <w:trPr>
          <w:trHeight w:val="123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5273" w:type="dxa"/>
            <w:gridSpan w:val="3"/>
            <w:tcBorders>
              <w:top w:val="single" w:color="000000" w:sz="4" w:space="0"/>
              <w:left w:val="single" w:color="000000" w:sz="4" w:space="0"/>
              <w:bottom w:val="single" w:color="000000" w:sz="4" w:space="0"/>
              <w:right w:val="single" w:color="000000" w:sz="4" w:space="0"/>
            </w:tcBorders>
            <w:shd w:val="clear" w:color="auto" w:fill="auto"/>
          </w:tcPr>
          <w:p>
            <w:pPr>
              <w:widowControl/>
              <w:jc w:val="left"/>
              <w:rPr>
                <w:rFonts w:ascii="宋体" w:hAnsi="宋体" w:cs="宋体"/>
                <w:color w:val="000000"/>
                <w:kern w:val="0"/>
                <w:sz w:val="24"/>
              </w:rPr>
            </w:pPr>
            <w:r>
              <w:rPr>
                <w:rFonts w:hint="eastAsia" w:ascii="宋体" w:hAnsi="宋体" w:cs="宋体"/>
                <w:color w:val="000000"/>
                <w:kern w:val="0"/>
                <w:sz w:val="24"/>
              </w:rPr>
              <w:br w:type="textWrapping"/>
            </w:r>
            <w:r>
              <w:rPr>
                <w:rFonts w:hint="eastAsia" w:ascii="宋体" w:hAnsi="宋体" w:cs="宋体"/>
                <w:color w:val="000000"/>
                <w:kern w:val="0"/>
                <w:sz w:val="24"/>
              </w:rPr>
              <w:t>协调解决项目推进中的重大问题，督促各相关部门为金沙水电站建设服务，确保项目建设完成年度计划。</w:t>
            </w:r>
          </w:p>
        </w:tc>
        <w:tc>
          <w:tcPr>
            <w:tcW w:w="38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w:t>
            </w:r>
          </w:p>
        </w:tc>
      </w:tr>
      <w:tr>
        <w:tblPrEx>
          <w:tblLayout w:type="fixed"/>
          <w:tblCellMar>
            <w:top w:w="0" w:type="dxa"/>
            <w:left w:w="108" w:type="dxa"/>
            <w:bottom w:w="0" w:type="dxa"/>
            <w:right w:w="108" w:type="dxa"/>
          </w:tblCellMar>
        </w:tblPrEx>
        <w:trPr>
          <w:trHeight w:val="570" w:hRule="atLeast"/>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绩</w:t>
            </w:r>
            <w:r>
              <w:rPr>
                <w:rFonts w:hint="eastAsia" w:ascii="宋体" w:hAnsi="宋体" w:cs="宋体"/>
                <w:color w:val="000000"/>
                <w:kern w:val="0"/>
                <w:sz w:val="24"/>
              </w:rPr>
              <w:br w:type="textWrapping"/>
            </w:r>
            <w:r>
              <w:rPr>
                <w:rFonts w:hint="eastAsia" w:ascii="宋体" w:hAnsi="宋体" w:cs="宋体"/>
                <w:color w:val="000000"/>
                <w:kern w:val="0"/>
                <w:sz w:val="24"/>
              </w:rPr>
              <w:t>效</w:t>
            </w:r>
            <w:r>
              <w:rPr>
                <w:rFonts w:hint="eastAsia" w:ascii="宋体" w:hAnsi="宋体" w:cs="宋体"/>
                <w:color w:val="000000"/>
                <w:kern w:val="0"/>
                <w:sz w:val="24"/>
              </w:rPr>
              <w:br w:type="textWrapping"/>
            </w:r>
            <w:r>
              <w:rPr>
                <w:rFonts w:hint="eastAsia" w:ascii="宋体" w:hAnsi="宋体" w:cs="宋体"/>
                <w:color w:val="000000"/>
                <w:kern w:val="0"/>
                <w:sz w:val="24"/>
              </w:rPr>
              <w:t>指</w:t>
            </w:r>
            <w:r>
              <w:rPr>
                <w:rFonts w:hint="eastAsia" w:ascii="宋体" w:hAnsi="宋体" w:cs="宋体"/>
                <w:color w:val="000000"/>
                <w:kern w:val="0"/>
                <w:sz w:val="24"/>
              </w:rPr>
              <w:br w:type="textWrapping"/>
            </w:r>
            <w:r>
              <w:rPr>
                <w:rFonts w:hint="eastAsia" w:ascii="宋体" w:hAnsi="宋体" w:cs="宋体"/>
                <w:color w:val="000000"/>
                <w:kern w:val="0"/>
                <w:sz w:val="24"/>
              </w:rPr>
              <w:t>标</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一级</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二级指标</w:t>
            </w: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三级指标</w:t>
            </w:r>
          </w:p>
        </w:tc>
        <w:tc>
          <w:tcPr>
            <w:tcW w:w="25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年度指标值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实际完成数</w:t>
            </w:r>
          </w:p>
        </w:tc>
      </w:tr>
      <w:tr>
        <w:tblPrEx>
          <w:tblLayout w:type="fixed"/>
          <w:tblCellMar>
            <w:top w:w="0" w:type="dxa"/>
            <w:left w:w="108" w:type="dxa"/>
            <w:bottom w:w="0" w:type="dxa"/>
            <w:right w:w="108" w:type="dxa"/>
          </w:tblCellMar>
        </w:tblPrEx>
        <w:trPr>
          <w:trHeight w:val="312"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项目完成</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数量指标</w:t>
            </w:r>
          </w:p>
        </w:tc>
        <w:tc>
          <w:tcPr>
            <w:tcW w:w="26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完成年度投资额9亿</w:t>
            </w:r>
          </w:p>
        </w:tc>
        <w:tc>
          <w:tcPr>
            <w:tcW w:w="25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312"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8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2"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285"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8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312"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质量指标</w:t>
            </w:r>
          </w:p>
        </w:tc>
        <w:tc>
          <w:tcPr>
            <w:tcW w:w="26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保质保量完成投资任务</w:t>
            </w:r>
          </w:p>
        </w:tc>
        <w:tc>
          <w:tcPr>
            <w:tcW w:w="25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312"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8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2"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285"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8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312"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时效指标</w:t>
            </w:r>
          </w:p>
        </w:tc>
        <w:tc>
          <w:tcPr>
            <w:tcW w:w="26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按建设的时间节点推进</w:t>
            </w:r>
          </w:p>
        </w:tc>
        <w:tc>
          <w:tcPr>
            <w:tcW w:w="25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312"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8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2"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285"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8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72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成本指标</w:t>
            </w: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召开领导小组大型协调会四次</w:t>
            </w:r>
          </w:p>
        </w:tc>
        <w:tc>
          <w:tcPr>
            <w:tcW w:w="25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2000元/次，全年预计约8000元</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72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平时各种协调会议</w:t>
            </w:r>
          </w:p>
        </w:tc>
        <w:tc>
          <w:tcPr>
            <w:tcW w:w="2584" w:type="dxa"/>
            <w:tcBorders>
              <w:top w:val="single" w:color="000000" w:sz="4" w:space="0"/>
              <w:left w:val="single" w:color="000000" w:sz="4" w:space="0"/>
              <w:bottom w:val="nil"/>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500元\次，每月1次，预计全年约6000元</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72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差旅费</w:t>
            </w:r>
          </w:p>
        </w:tc>
        <w:tc>
          <w:tcPr>
            <w:tcW w:w="2584" w:type="dxa"/>
            <w:tcBorders>
              <w:top w:val="single" w:color="000000" w:sz="4" w:space="0"/>
              <w:left w:val="single" w:color="000000" w:sz="4" w:space="0"/>
              <w:bottom w:val="nil"/>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省内标准480元-550元/人/天，全年6000元</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312"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项目效益</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经济效益</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26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拉动就业，促进地方经济增长</w:t>
            </w:r>
          </w:p>
        </w:tc>
        <w:tc>
          <w:tcPr>
            <w:tcW w:w="25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有效</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312"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8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2"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312"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8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2"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312"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社会效益</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26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保障电力供应</w:t>
            </w:r>
          </w:p>
        </w:tc>
        <w:tc>
          <w:tcPr>
            <w:tcW w:w="25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有效</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312"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8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2"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312"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8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2"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82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满意度指标</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满意度指标</w:t>
            </w: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对建设过程中必须由政府解决的问题</w:t>
            </w:r>
          </w:p>
        </w:tc>
        <w:tc>
          <w:tcPr>
            <w:tcW w:w="25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1272" w:type="dxa"/>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82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tcBorders>
              <w:top w:val="single" w:color="000000" w:sz="4" w:space="0"/>
              <w:left w:val="nil"/>
              <w:bottom w:val="nil"/>
              <w:right w:val="nil"/>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对建设过程中需要政府配合协调的问题</w:t>
            </w:r>
          </w:p>
        </w:tc>
        <w:tc>
          <w:tcPr>
            <w:tcW w:w="25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1272" w:type="dxa"/>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50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主动作为，积极推动</w:t>
            </w:r>
          </w:p>
        </w:tc>
        <w:tc>
          <w:tcPr>
            <w:tcW w:w="25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85%</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bl>
    <w:p>
      <w:pPr>
        <w:spacing w:line="360" w:lineRule="auto"/>
        <w:ind w:left="630"/>
        <w:rPr>
          <w:rFonts w:ascii="仿宋_GB2312" w:hAnsi="仿宋_GB2312" w:eastAsia="仿宋_GB2312" w:cs="仿宋_GB2312"/>
          <w:sz w:val="32"/>
          <w:szCs w:val="32"/>
        </w:rPr>
      </w:pPr>
    </w:p>
    <w:tbl>
      <w:tblPr>
        <w:tblStyle w:val="14"/>
        <w:tblW w:w="9780" w:type="dxa"/>
        <w:tblInd w:w="93" w:type="dxa"/>
        <w:tblLayout w:type="fixed"/>
        <w:tblCellMar>
          <w:top w:w="0" w:type="dxa"/>
          <w:left w:w="108" w:type="dxa"/>
          <w:bottom w:w="0" w:type="dxa"/>
          <w:right w:w="108" w:type="dxa"/>
        </w:tblCellMar>
      </w:tblPr>
      <w:tblGrid>
        <w:gridCol w:w="456"/>
        <w:gridCol w:w="36"/>
        <w:gridCol w:w="243"/>
        <w:gridCol w:w="35"/>
        <w:gridCol w:w="700"/>
        <w:gridCol w:w="33"/>
        <w:gridCol w:w="90"/>
        <w:gridCol w:w="284"/>
        <w:gridCol w:w="836"/>
        <w:gridCol w:w="135"/>
        <w:gridCol w:w="107"/>
        <w:gridCol w:w="307"/>
        <w:gridCol w:w="1796"/>
        <w:gridCol w:w="57"/>
        <w:gridCol w:w="391"/>
        <w:gridCol w:w="329"/>
        <w:gridCol w:w="1425"/>
        <w:gridCol w:w="517"/>
        <w:gridCol w:w="537"/>
        <w:gridCol w:w="79"/>
        <w:gridCol w:w="922"/>
        <w:gridCol w:w="196"/>
        <w:gridCol w:w="179"/>
        <w:gridCol w:w="90"/>
      </w:tblGrid>
      <w:tr>
        <w:tblPrEx>
          <w:tblLayout w:type="fixed"/>
          <w:tblCellMar>
            <w:top w:w="0" w:type="dxa"/>
            <w:left w:w="108" w:type="dxa"/>
            <w:bottom w:w="0" w:type="dxa"/>
            <w:right w:w="108" w:type="dxa"/>
          </w:tblCellMar>
        </w:tblPrEx>
        <w:trPr>
          <w:trHeight w:val="405" w:hRule="atLeast"/>
        </w:trPr>
        <w:tc>
          <w:tcPr>
            <w:tcW w:w="9780" w:type="dxa"/>
            <w:gridSpan w:val="24"/>
            <w:tcBorders>
              <w:top w:val="nil"/>
              <w:left w:val="nil"/>
              <w:bottom w:val="nil"/>
              <w:right w:val="nil"/>
            </w:tcBorders>
            <w:shd w:val="clear" w:color="auto" w:fill="auto"/>
            <w:vAlign w:val="center"/>
          </w:tcPr>
          <w:p>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专项（项目）资金绩效自评表</w:t>
            </w:r>
          </w:p>
        </w:tc>
      </w:tr>
      <w:tr>
        <w:tblPrEx>
          <w:tblLayout w:type="fixed"/>
          <w:tblCellMar>
            <w:top w:w="0" w:type="dxa"/>
            <w:left w:w="108" w:type="dxa"/>
            <w:bottom w:w="0" w:type="dxa"/>
            <w:right w:w="108" w:type="dxa"/>
          </w:tblCellMar>
        </w:tblPrEx>
        <w:trPr>
          <w:trHeight w:val="285" w:hRule="atLeast"/>
        </w:trPr>
        <w:tc>
          <w:tcPr>
            <w:tcW w:w="9780" w:type="dxa"/>
            <w:gridSpan w:val="24"/>
            <w:tcBorders>
              <w:top w:val="nil"/>
              <w:left w:val="nil"/>
              <w:bottom w:val="nil"/>
              <w:right w:val="nil"/>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w:t>
            </w:r>
            <w:r>
              <w:rPr>
                <w:color w:val="000000"/>
                <w:kern w:val="0"/>
                <w:sz w:val="24"/>
              </w:rPr>
              <w:t>2019</w:t>
            </w:r>
            <w:r>
              <w:rPr>
                <w:rFonts w:ascii="宋体" w:hAnsi="宋体" w:cs="宋体"/>
                <w:color w:val="000000"/>
                <w:kern w:val="0"/>
                <w:sz w:val="24"/>
              </w:rPr>
              <w:t>年度）</w:t>
            </w:r>
          </w:p>
        </w:tc>
      </w:tr>
      <w:tr>
        <w:tblPrEx>
          <w:tblLayout w:type="fixed"/>
          <w:tblCellMar>
            <w:top w:w="0" w:type="dxa"/>
            <w:left w:w="108" w:type="dxa"/>
            <w:bottom w:w="0" w:type="dxa"/>
            <w:right w:w="108" w:type="dxa"/>
          </w:tblCellMar>
        </w:tblPrEx>
        <w:trPr>
          <w:trHeight w:val="285" w:hRule="atLeast"/>
        </w:trPr>
        <w:tc>
          <w:tcPr>
            <w:tcW w:w="492" w:type="dxa"/>
            <w:gridSpan w:val="2"/>
            <w:tcBorders>
              <w:top w:val="nil"/>
              <w:left w:val="nil"/>
              <w:bottom w:val="single" w:color="000000" w:sz="4" w:space="0"/>
              <w:right w:val="nil"/>
            </w:tcBorders>
            <w:shd w:val="clear" w:color="auto" w:fill="auto"/>
            <w:noWrap/>
            <w:vAlign w:val="center"/>
          </w:tcPr>
          <w:p>
            <w:pPr>
              <w:widowControl/>
              <w:jc w:val="left"/>
              <w:rPr>
                <w:rFonts w:ascii="宋体" w:hAnsi="宋体" w:cs="宋体"/>
                <w:color w:val="000000"/>
                <w:kern w:val="0"/>
                <w:sz w:val="24"/>
              </w:rPr>
            </w:pPr>
          </w:p>
        </w:tc>
        <w:tc>
          <w:tcPr>
            <w:tcW w:w="1385" w:type="dxa"/>
            <w:gridSpan w:val="6"/>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24"/>
              </w:rPr>
            </w:pPr>
          </w:p>
        </w:tc>
        <w:tc>
          <w:tcPr>
            <w:tcW w:w="1385" w:type="dxa"/>
            <w:gridSpan w:val="4"/>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2573" w:type="dxa"/>
            <w:gridSpan w:val="4"/>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2558" w:type="dxa"/>
            <w:gridSpan w:val="4"/>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1387" w:type="dxa"/>
            <w:gridSpan w:val="4"/>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285" w:hRule="atLeast"/>
        </w:trPr>
        <w:tc>
          <w:tcPr>
            <w:tcW w:w="326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专项（项目）名称</w:t>
            </w:r>
          </w:p>
        </w:tc>
        <w:tc>
          <w:tcPr>
            <w:tcW w:w="6518"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龙源电力建设协调费</w:t>
            </w:r>
          </w:p>
        </w:tc>
      </w:tr>
      <w:tr>
        <w:tblPrEx>
          <w:tblLayout w:type="fixed"/>
          <w:tblCellMar>
            <w:top w:w="0" w:type="dxa"/>
            <w:left w:w="108" w:type="dxa"/>
            <w:bottom w:w="0" w:type="dxa"/>
            <w:right w:w="108" w:type="dxa"/>
          </w:tblCellMar>
        </w:tblPrEx>
        <w:trPr>
          <w:trHeight w:val="285" w:hRule="atLeast"/>
        </w:trPr>
        <w:tc>
          <w:tcPr>
            <w:tcW w:w="326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项目主管单位</w:t>
            </w:r>
          </w:p>
        </w:tc>
        <w:tc>
          <w:tcPr>
            <w:tcW w:w="6518"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攀枝花市西区发改局</w:t>
            </w:r>
          </w:p>
        </w:tc>
      </w:tr>
      <w:tr>
        <w:tblPrEx>
          <w:tblLayout w:type="fixed"/>
          <w:tblCellMar>
            <w:top w:w="0" w:type="dxa"/>
            <w:left w:w="108" w:type="dxa"/>
            <w:bottom w:w="0" w:type="dxa"/>
            <w:right w:w="108" w:type="dxa"/>
          </w:tblCellMar>
        </w:tblPrEx>
        <w:trPr>
          <w:trHeight w:val="285" w:hRule="atLeast"/>
        </w:trPr>
        <w:tc>
          <w:tcPr>
            <w:tcW w:w="326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项目实施单位</w:t>
            </w:r>
          </w:p>
        </w:tc>
        <w:tc>
          <w:tcPr>
            <w:tcW w:w="2573" w:type="dxa"/>
            <w:gridSpan w:val="4"/>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2558" w:type="dxa"/>
            <w:gridSpan w:val="4"/>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1387" w:type="dxa"/>
            <w:gridSpan w:val="4"/>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285" w:hRule="atLeast"/>
        </w:trPr>
        <w:tc>
          <w:tcPr>
            <w:tcW w:w="3262" w:type="dxa"/>
            <w:gridSpan w:val="1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项目资金</w:t>
            </w:r>
            <w:r>
              <w:rPr>
                <w:rFonts w:hint="eastAsia" w:ascii="宋体" w:hAnsi="宋体" w:cs="宋体"/>
                <w:color w:val="000000"/>
                <w:kern w:val="0"/>
                <w:sz w:val="24"/>
              </w:rPr>
              <w:br w:type="textWrapping"/>
            </w:r>
            <w:r>
              <w:rPr>
                <w:rFonts w:hint="eastAsia" w:ascii="宋体" w:hAnsi="宋体" w:cs="宋体"/>
                <w:color w:val="000000"/>
                <w:kern w:val="0"/>
                <w:sz w:val="24"/>
              </w:rPr>
              <w:t>（万元）</w:t>
            </w:r>
          </w:p>
        </w:tc>
        <w:tc>
          <w:tcPr>
            <w:tcW w:w="25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c>
          <w:tcPr>
            <w:tcW w:w="25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全年预算数</w:t>
            </w: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实际完成数</w:t>
            </w:r>
          </w:p>
        </w:tc>
      </w:tr>
      <w:tr>
        <w:tblPrEx>
          <w:tblLayout w:type="fixed"/>
          <w:tblCellMar>
            <w:top w:w="0" w:type="dxa"/>
            <w:left w:w="108" w:type="dxa"/>
            <w:bottom w:w="0" w:type="dxa"/>
            <w:right w:w="108" w:type="dxa"/>
          </w:tblCellMar>
        </w:tblPrEx>
        <w:trPr>
          <w:trHeight w:val="285" w:hRule="atLeast"/>
        </w:trPr>
        <w:tc>
          <w:tcPr>
            <w:tcW w:w="3262" w:type="dxa"/>
            <w:gridSpan w:val="1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年度资金总额：</w:t>
            </w:r>
          </w:p>
        </w:tc>
        <w:tc>
          <w:tcPr>
            <w:tcW w:w="25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3</w:t>
            </w: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3</w:t>
            </w:r>
          </w:p>
        </w:tc>
      </w:tr>
      <w:tr>
        <w:tblPrEx>
          <w:tblLayout w:type="fixed"/>
          <w:tblCellMar>
            <w:top w:w="0" w:type="dxa"/>
            <w:left w:w="108" w:type="dxa"/>
            <w:bottom w:w="0" w:type="dxa"/>
            <w:right w:w="108" w:type="dxa"/>
          </w:tblCellMar>
        </w:tblPrEx>
        <w:trPr>
          <w:trHeight w:val="285" w:hRule="atLeast"/>
        </w:trPr>
        <w:tc>
          <w:tcPr>
            <w:tcW w:w="3262" w:type="dxa"/>
            <w:gridSpan w:val="1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其中：上级财政资金</w:t>
            </w:r>
          </w:p>
        </w:tc>
        <w:tc>
          <w:tcPr>
            <w:tcW w:w="25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0</w:t>
            </w: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285" w:hRule="atLeast"/>
        </w:trPr>
        <w:tc>
          <w:tcPr>
            <w:tcW w:w="3262" w:type="dxa"/>
            <w:gridSpan w:val="1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本级财政资金</w:t>
            </w:r>
          </w:p>
        </w:tc>
        <w:tc>
          <w:tcPr>
            <w:tcW w:w="25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3</w:t>
            </w: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3</w:t>
            </w:r>
          </w:p>
        </w:tc>
      </w:tr>
      <w:tr>
        <w:tblPrEx>
          <w:tblLayout w:type="fixed"/>
          <w:tblCellMar>
            <w:top w:w="0" w:type="dxa"/>
            <w:left w:w="108" w:type="dxa"/>
            <w:bottom w:w="0" w:type="dxa"/>
            <w:right w:w="108" w:type="dxa"/>
          </w:tblCellMar>
        </w:tblPrEx>
        <w:trPr>
          <w:trHeight w:val="285" w:hRule="atLeast"/>
        </w:trPr>
        <w:tc>
          <w:tcPr>
            <w:tcW w:w="3262" w:type="dxa"/>
            <w:gridSpan w:val="1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其他资金</w:t>
            </w:r>
          </w:p>
        </w:tc>
        <w:tc>
          <w:tcPr>
            <w:tcW w:w="25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rPr>
                <w:rFonts w:ascii="宋体" w:hAnsi="宋体" w:cs="宋体"/>
                <w:color w:val="000000"/>
                <w:kern w:val="0"/>
                <w:sz w:val="24"/>
              </w:rPr>
            </w:pPr>
            <w:r>
              <w:rPr>
                <w:rFonts w:hint="eastAsia" w:ascii="宋体" w:hAnsi="宋体" w:cs="宋体"/>
                <w:color w:val="000000"/>
                <w:kern w:val="0"/>
                <w:sz w:val="24"/>
              </w:rPr>
              <w:t>0</w:t>
            </w: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285" w:hRule="atLeast"/>
        </w:trPr>
        <w:tc>
          <w:tcPr>
            <w:tcW w:w="4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总</w:t>
            </w:r>
            <w:r>
              <w:rPr>
                <w:rFonts w:hint="eastAsia" w:ascii="宋体" w:hAnsi="宋体" w:cs="宋体"/>
                <w:color w:val="000000"/>
                <w:kern w:val="0"/>
                <w:sz w:val="24"/>
              </w:rPr>
              <w:br w:type="textWrapping"/>
            </w:r>
            <w:r>
              <w:rPr>
                <w:rFonts w:hint="eastAsia" w:ascii="宋体" w:hAnsi="宋体" w:cs="宋体"/>
                <w:color w:val="000000"/>
                <w:kern w:val="0"/>
                <w:sz w:val="24"/>
              </w:rPr>
              <w:t>体</w:t>
            </w:r>
            <w:r>
              <w:rPr>
                <w:rFonts w:hint="eastAsia" w:ascii="宋体" w:hAnsi="宋体" w:cs="宋体"/>
                <w:color w:val="000000"/>
                <w:kern w:val="0"/>
                <w:sz w:val="24"/>
              </w:rPr>
              <w:br w:type="textWrapping"/>
            </w:r>
            <w:r>
              <w:rPr>
                <w:rFonts w:hint="eastAsia" w:ascii="宋体" w:hAnsi="宋体" w:cs="宋体"/>
                <w:color w:val="000000"/>
                <w:kern w:val="0"/>
                <w:sz w:val="24"/>
              </w:rPr>
              <w:t>目</w:t>
            </w:r>
            <w:r>
              <w:rPr>
                <w:rFonts w:hint="eastAsia" w:ascii="宋体" w:hAnsi="宋体" w:cs="宋体"/>
                <w:color w:val="000000"/>
                <w:kern w:val="0"/>
                <w:sz w:val="24"/>
              </w:rPr>
              <w:br w:type="textWrapping"/>
            </w:r>
            <w:r>
              <w:rPr>
                <w:rFonts w:hint="eastAsia" w:ascii="宋体" w:hAnsi="宋体" w:cs="宋体"/>
                <w:color w:val="000000"/>
                <w:kern w:val="0"/>
                <w:sz w:val="24"/>
              </w:rPr>
              <w:t>标</w:t>
            </w:r>
          </w:p>
        </w:tc>
        <w:tc>
          <w:tcPr>
            <w:tcW w:w="5343"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年度设定目标</w:t>
            </w:r>
          </w:p>
        </w:tc>
        <w:tc>
          <w:tcPr>
            <w:tcW w:w="39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实际完成情况</w:t>
            </w:r>
          </w:p>
        </w:tc>
      </w:tr>
      <w:tr>
        <w:tblPrEx>
          <w:tblLayout w:type="fixed"/>
          <w:tblCellMar>
            <w:top w:w="0" w:type="dxa"/>
            <w:left w:w="108" w:type="dxa"/>
            <w:bottom w:w="0" w:type="dxa"/>
            <w:right w:w="108" w:type="dxa"/>
          </w:tblCellMar>
        </w:tblPrEx>
        <w:trPr>
          <w:trHeight w:val="1035"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5343" w:type="dxa"/>
            <w:gridSpan w:val="14"/>
            <w:tcBorders>
              <w:top w:val="single" w:color="000000" w:sz="4" w:space="0"/>
              <w:left w:val="single" w:color="000000" w:sz="4" w:space="0"/>
              <w:bottom w:val="single" w:color="000000" w:sz="4" w:space="0"/>
              <w:right w:val="single" w:color="000000" w:sz="4" w:space="0"/>
            </w:tcBorders>
            <w:shd w:val="clear" w:color="auto" w:fill="auto"/>
          </w:tcPr>
          <w:p>
            <w:pPr>
              <w:widowControl/>
              <w:jc w:val="center"/>
              <w:rPr>
                <w:rFonts w:ascii="宋体" w:hAnsi="宋体" w:cs="宋体"/>
                <w:color w:val="000000"/>
                <w:kern w:val="0"/>
                <w:sz w:val="24"/>
              </w:rPr>
            </w:pPr>
            <w:r>
              <w:rPr>
                <w:rFonts w:hint="eastAsia" w:ascii="宋体" w:hAnsi="宋体" w:cs="宋体"/>
                <w:color w:val="000000"/>
                <w:kern w:val="0"/>
                <w:sz w:val="24"/>
              </w:rPr>
              <w:br w:type="textWrapping"/>
            </w:r>
            <w:r>
              <w:rPr>
                <w:rFonts w:hint="eastAsia" w:ascii="宋体" w:hAnsi="宋体" w:cs="宋体"/>
                <w:color w:val="000000"/>
                <w:kern w:val="0"/>
                <w:sz w:val="24"/>
              </w:rPr>
              <w:t>确保龙源电力风力发电项目建设完成年度建设计划任务</w:t>
            </w:r>
          </w:p>
        </w:tc>
        <w:tc>
          <w:tcPr>
            <w:tcW w:w="39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w:t>
            </w:r>
          </w:p>
        </w:tc>
      </w:tr>
      <w:tr>
        <w:tblPrEx>
          <w:tblLayout w:type="fixed"/>
          <w:tblCellMar>
            <w:top w:w="0" w:type="dxa"/>
            <w:left w:w="108" w:type="dxa"/>
            <w:bottom w:w="0" w:type="dxa"/>
            <w:right w:w="108" w:type="dxa"/>
          </w:tblCellMar>
        </w:tblPrEx>
        <w:trPr>
          <w:trHeight w:val="570" w:hRule="atLeast"/>
        </w:trPr>
        <w:tc>
          <w:tcPr>
            <w:tcW w:w="4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绩</w:t>
            </w:r>
            <w:r>
              <w:rPr>
                <w:rFonts w:hint="eastAsia" w:ascii="宋体" w:hAnsi="宋体" w:cs="宋体"/>
                <w:color w:val="000000"/>
                <w:kern w:val="0"/>
                <w:sz w:val="24"/>
              </w:rPr>
              <w:br w:type="textWrapping"/>
            </w:r>
            <w:r>
              <w:rPr>
                <w:rFonts w:hint="eastAsia" w:ascii="宋体" w:hAnsi="宋体" w:cs="宋体"/>
                <w:color w:val="000000"/>
                <w:kern w:val="0"/>
                <w:sz w:val="24"/>
              </w:rPr>
              <w:t>效</w:t>
            </w:r>
            <w:r>
              <w:rPr>
                <w:rFonts w:hint="eastAsia" w:ascii="宋体" w:hAnsi="宋体" w:cs="宋体"/>
                <w:color w:val="000000"/>
                <w:kern w:val="0"/>
                <w:sz w:val="24"/>
              </w:rPr>
              <w:br w:type="textWrapping"/>
            </w:r>
            <w:r>
              <w:rPr>
                <w:rFonts w:hint="eastAsia" w:ascii="宋体" w:hAnsi="宋体" w:cs="宋体"/>
                <w:color w:val="000000"/>
                <w:kern w:val="0"/>
                <w:sz w:val="24"/>
              </w:rPr>
              <w:t>指</w:t>
            </w:r>
            <w:r>
              <w:rPr>
                <w:rFonts w:hint="eastAsia" w:ascii="宋体" w:hAnsi="宋体" w:cs="宋体"/>
                <w:color w:val="000000"/>
                <w:kern w:val="0"/>
                <w:sz w:val="24"/>
              </w:rPr>
              <w:br w:type="textWrapping"/>
            </w:r>
            <w:r>
              <w:rPr>
                <w:rFonts w:hint="eastAsia" w:ascii="宋体" w:hAnsi="宋体" w:cs="宋体"/>
                <w:color w:val="000000"/>
                <w:kern w:val="0"/>
                <w:sz w:val="24"/>
              </w:rPr>
              <w:t>标</w:t>
            </w:r>
          </w:p>
        </w:tc>
        <w:tc>
          <w:tcPr>
            <w:tcW w:w="13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一级</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138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二级指标</w:t>
            </w:r>
          </w:p>
        </w:tc>
        <w:tc>
          <w:tcPr>
            <w:tcW w:w="25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三级指标</w:t>
            </w:r>
          </w:p>
        </w:tc>
        <w:tc>
          <w:tcPr>
            <w:tcW w:w="25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年度指标值</w:t>
            </w: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实际完成数</w:t>
            </w: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项目完成</w:t>
            </w:r>
          </w:p>
        </w:tc>
        <w:tc>
          <w:tcPr>
            <w:tcW w:w="138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数量指标</w:t>
            </w:r>
          </w:p>
        </w:tc>
        <w:tc>
          <w:tcPr>
            <w:tcW w:w="257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力争开工</w:t>
            </w:r>
          </w:p>
        </w:tc>
        <w:tc>
          <w:tcPr>
            <w:tcW w:w="255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年内完成投资1千万</w:t>
            </w:r>
          </w:p>
        </w:tc>
        <w:tc>
          <w:tcPr>
            <w:tcW w:w="1387"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58"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7"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58"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7"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质量指标</w:t>
            </w:r>
          </w:p>
        </w:tc>
        <w:tc>
          <w:tcPr>
            <w:tcW w:w="257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保质保量完成该项目2019年度投资任务</w:t>
            </w:r>
          </w:p>
        </w:tc>
        <w:tc>
          <w:tcPr>
            <w:tcW w:w="255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1387"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58"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7"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58"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7"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时效指标</w:t>
            </w:r>
          </w:p>
        </w:tc>
        <w:tc>
          <w:tcPr>
            <w:tcW w:w="257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按照建设时间节点推进</w:t>
            </w:r>
          </w:p>
        </w:tc>
        <w:tc>
          <w:tcPr>
            <w:tcW w:w="255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1387"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58"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7"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58"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7"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570"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成本指标</w:t>
            </w:r>
          </w:p>
        </w:tc>
        <w:tc>
          <w:tcPr>
            <w:tcW w:w="25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办公费（办公用品及耗材费、资料印刷费）</w:t>
            </w:r>
          </w:p>
        </w:tc>
        <w:tc>
          <w:tcPr>
            <w:tcW w:w="25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1.5万元</w:t>
            </w: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1820"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商务接待费</w:t>
            </w:r>
          </w:p>
        </w:tc>
        <w:tc>
          <w:tcPr>
            <w:tcW w:w="25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该项目接待预计每月1.5次，全年预计18次，国内企业标准260元/人，接待人数2-3人，配餐人数1人，全年预计：约1.5万元</w:t>
            </w: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项目效益</w:t>
            </w:r>
          </w:p>
        </w:tc>
        <w:tc>
          <w:tcPr>
            <w:tcW w:w="138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经济效益</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257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促进地方经济发展</w:t>
            </w:r>
          </w:p>
        </w:tc>
        <w:tc>
          <w:tcPr>
            <w:tcW w:w="255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有效</w:t>
            </w:r>
          </w:p>
        </w:tc>
        <w:tc>
          <w:tcPr>
            <w:tcW w:w="1387"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58"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7"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58"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7"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社会效益</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257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保障用电，带动就业</w:t>
            </w:r>
          </w:p>
        </w:tc>
        <w:tc>
          <w:tcPr>
            <w:tcW w:w="255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有效</w:t>
            </w:r>
          </w:p>
        </w:tc>
        <w:tc>
          <w:tcPr>
            <w:tcW w:w="1387"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58"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7"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312"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58"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7"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trHeight w:val="285"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满意度指标</w:t>
            </w:r>
          </w:p>
        </w:tc>
        <w:tc>
          <w:tcPr>
            <w:tcW w:w="138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满意度指标</w:t>
            </w:r>
          </w:p>
        </w:tc>
        <w:tc>
          <w:tcPr>
            <w:tcW w:w="25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必须由政府协调解决的问题</w:t>
            </w:r>
          </w:p>
        </w:tc>
        <w:tc>
          <w:tcPr>
            <w:tcW w:w="25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285"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寻求政府帮助解决的问题</w:t>
            </w:r>
          </w:p>
        </w:tc>
        <w:tc>
          <w:tcPr>
            <w:tcW w:w="25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trHeight w:val="285" w:hRule="atLeast"/>
        </w:trPr>
        <w:tc>
          <w:tcPr>
            <w:tcW w:w="49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38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5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主动作为、积极配合</w:t>
            </w:r>
          </w:p>
        </w:tc>
        <w:tc>
          <w:tcPr>
            <w:tcW w:w="25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85%</w:t>
            </w: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2"/>
          <w:wAfter w:w="269" w:type="dxa"/>
          <w:trHeight w:val="675" w:hRule="atLeast"/>
        </w:trPr>
        <w:tc>
          <w:tcPr>
            <w:tcW w:w="9511" w:type="dxa"/>
            <w:gridSpan w:val="22"/>
            <w:tcBorders>
              <w:top w:val="nil"/>
              <w:left w:val="nil"/>
              <w:bottom w:val="nil"/>
              <w:right w:val="nil"/>
            </w:tcBorders>
            <w:shd w:val="clear" w:color="auto" w:fill="auto"/>
            <w:vAlign w:val="center"/>
          </w:tcPr>
          <w:p>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专项（项目）资金绩效自评表</w:t>
            </w:r>
          </w:p>
        </w:tc>
      </w:tr>
      <w:tr>
        <w:tblPrEx>
          <w:tblLayout w:type="fixed"/>
          <w:tblCellMar>
            <w:top w:w="0" w:type="dxa"/>
            <w:left w:w="108" w:type="dxa"/>
            <w:bottom w:w="0" w:type="dxa"/>
            <w:right w:w="108" w:type="dxa"/>
          </w:tblCellMar>
        </w:tblPrEx>
        <w:trPr>
          <w:gridAfter w:val="2"/>
          <w:wAfter w:w="269" w:type="dxa"/>
          <w:trHeight w:val="285" w:hRule="atLeast"/>
        </w:trPr>
        <w:tc>
          <w:tcPr>
            <w:tcW w:w="9511" w:type="dxa"/>
            <w:gridSpan w:val="22"/>
            <w:tcBorders>
              <w:top w:val="nil"/>
              <w:left w:val="nil"/>
              <w:bottom w:val="nil"/>
              <w:right w:val="nil"/>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w:t>
            </w:r>
            <w:r>
              <w:rPr>
                <w:color w:val="000000"/>
                <w:kern w:val="0"/>
                <w:sz w:val="24"/>
              </w:rPr>
              <w:t>2019</w:t>
            </w:r>
            <w:r>
              <w:rPr>
                <w:rFonts w:ascii="宋体" w:hAnsi="宋体" w:cs="宋体"/>
                <w:color w:val="000000"/>
                <w:kern w:val="0"/>
                <w:sz w:val="24"/>
              </w:rPr>
              <w:t>年度）</w:t>
            </w:r>
          </w:p>
        </w:tc>
      </w:tr>
      <w:tr>
        <w:tblPrEx>
          <w:tblLayout w:type="fixed"/>
          <w:tblCellMar>
            <w:top w:w="0" w:type="dxa"/>
            <w:left w:w="108" w:type="dxa"/>
            <w:bottom w:w="0" w:type="dxa"/>
            <w:right w:w="108" w:type="dxa"/>
          </w:tblCellMar>
        </w:tblPrEx>
        <w:trPr>
          <w:gridAfter w:val="2"/>
          <w:wAfter w:w="269" w:type="dxa"/>
          <w:trHeight w:val="435" w:hRule="atLeast"/>
        </w:trPr>
        <w:tc>
          <w:tcPr>
            <w:tcW w:w="770" w:type="dxa"/>
            <w:gridSpan w:val="4"/>
            <w:tcBorders>
              <w:top w:val="nil"/>
              <w:left w:val="nil"/>
              <w:bottom w:val="single" w:color="000000" w:sz="4" w:space="0"/>
              <w:right w:val="nil"/>
            </w:tcBorders>
            <w:shd w:val="clear" w:color="auto" w:fill="auto"/>
            <w:noWrap/>
            <w:vAlign w:val="center"/>
          </w:tcPr>
          <w:p>
            <w:pPr>
              <w:widowControl/>
              <w:jc w:val="left"/>
              <w:rPr>
                <w:rFonts w:ascii="宋体" w:hAnsi="宋体" w:cs="宋体"/>
                <w:color w:val="000000"/>
                <w:kern w:val="0"/>
                <w:sz w:val="24"/>
              </w:rPr>
            </w:pPr>
          </w:p>
        </w:tc>
        <w:tc>
          <w:tcPr>
            <w:tcW w:w="733" w:type="dxa"/>
            <w:gridSpan w:val="2"/>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24"/>
              </w:rPr>
            </w:pPr>
          </w:p>
        </w:tc>
        <w:tc>
          <w:tcPr>
            <w:tcW w:w="1210" w:type="dxa"/>
            <w:gridSpan w:val="3"/>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2793" w:type="dxa"/>
            <w:gridSpan w:val="6"/>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2271" w:type="dxa"/>
            <w:gridSpan w:val="3"/>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1734" w:type="dxa"/>
            <w:gridSpan w:val="4"/>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2"/>
          <w:wAfter w:w="269" w:type="dxa"/>
          <w:trHeight w:val="439" w:hRule="atLeast"/>
        </w:trPr>
        <w:tc>
          <w:tcPr>
            <w:tcW w:w="271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专项（项目）名称</w:t>
            </w:r>
          </w:p>
        </w:tc>
        <w:tc>
          <w:tcPr>
            <w:tcW w:w="6798"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市场价格监测和监督检查</w:t>
            </w:r>
          </w:p>
        </w:tc>
      </w:tr>
      <w:tr>
        <w:tblPrEx>
          <w:tblLayout w:type="fixed"/>
          <w:tblCellMar>
            <w:top w:w="0" w:type="dxa"/>
            <w:left w:w="108" w:type="dxa"/>
            <w:bottom w:w="0" w:type="dxa"/>
            <w:right w:w="108" w:type="dxa"/>
          </w:tblCellMar>
        </w:tblPrEx>
        <w:trPr>
          <w:gridAfter w:val="2"/>
          <w:wAfter w:w="269" w:type="dxa"/>
          <w:trHeight w:val="439" w:hRule="atLeast"/>
        </w:trPr>
        <w:tc>
          <w:tcPr>
            <w:tcW w:w="271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项目主管单位</w:t>
            </w:r>
          </w:p>
        </w:tc>
        <w:tc>
          <w:tcPr>
            <w:tcW w:w="6798"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攀枝花市西区发改局</w:t>
            </w:r>
          </w:p>
        </w:tc>
      </w:tr>
      <w:tr>
        <w:tblPrEx>
          <w:tblLayout w:type="fixed"/>
          <w:tblCellMar>
            <w:top w:w="0" w:type="dxa"/>
            <w:left w:w="108" w:type="dxa"/>
            <w:bottom w:w="0" w:type="dxa"/>
            <w:right w:w="108" w:type="dxa"/>
          </w:tblCellMar>
        </w:tblPrEx>
        <w:trPr>
          <w:gridAfter w:val="2"/>
          <w:wAfter w:w="269" w:type="dxa"/>
          <w:trHeight w:val="439" w:hRule="atLeast"/>
        </w:trPr>
        <w:tc>
          <w:tcPr>
            <w:tcW w:w="271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项目实施单位</w:t>
            </w:r>
          </w:p>
        </w:tc>
        <w:tc>
          <w:tcPr>
            <w:tcW w:w="6798"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2"/>
          <w:wAfter w:w="269" w:type="dxa"/>
          <w:trHeight w:val="439" w:hRule="atLeast"/>
        </w:trPr>
        <w:tc>
          <w:tcPr>
            <w:tcW w:w="2713" w:type="dxa"/>
            <w:gridSpan w:val="9"/>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项目资金</w:t>
            </w:r>
            <w:r>
              <w:rPr>
                <w:rFonts w:hint="eastAsia" w:ascii="宋体" w:hAnsi="宋体" w:cs="宋体"/>
                <w:color w:val="000000"/>
                <w:kern w:val="0"/>
                <w:sz w:val="24"/>
              </w:rPr>
              <w:br w:type="textWrapping"/>
            </w:r>
            <w:r>
              <w:rPr>
                <w:rFonts w:hint="eastAsia" w:ascii="宋体" w:hAnsi="宋体" w:cs="宋体"/>
                <w:color w:val="000000"/>
                <w:kern w:val="0"/>
                <w:sz w:val="24"/>
              </w:rPr>
              <w:t>（万元）</w:t>
            </w:r>
          </w:p>
        </w:tc>
        <w:tc>
          <w:tcPr>
            <w:tcW w:w="2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全年预算数</w:t>
            </w:r>
          </w:p>
        </w:tc>
        <w:tc>
          <w:tcPr>
            <w:tcW w:w="1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实际完成数</w:t>
            </w:r>
          </w:p>
        </w:tc>
      </w:tr>
      <w:tr>
        <w:tblPrEx>
          <w:tblLayout w:type="fixed"/>
          <w:tblCellMar>
            <w:top w:w="0" w:type="dxa"/>
            <w:left w:w="108" w:type="dxa"/>
            <w:bottom w:w="0" w:type="dxa"/>
            <w:right w:w="108" w:type="dxa"/>
          </w:tblCellMar>
        </w:tblPrEx>
        <w:trPr>
          <w:gridAfter w:val="2"/>
          <w:wAfter w:w="269" w:type="dxa"/>
          <w:trHeight w:val="439" w:hRule="atLeast"/>
        </w:trPr>
        <w:tc>
          <w:tcPr>
            <w:tcW w:w="2713" w:type="dxa"/>
            <w:gridSpan w:val="9"/>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 xml:space="preserve"> 年度资金总额：</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w:t>
            </w:r>
          </w:p>
        </w:tc>
        <w:tc>
          <w:tcPr>
            <w:tcW w:w="1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w:t>
            </w:r>
          </w:p>
        </w:tc>
      </w:tr>
      <w:tr>
        <w:tblPrEx>
          <w:tblLayout w:type="fixed"/>
          <w:tblCellMar>
            <w:top w:w="0" w:type="dxa"/>
            <w:left w:w="108" w:type="dxa"/>
            <w:bottom w:w="0" w:type="dxa"/>
            <w:right w:w="108" w:type="dxa"/>
          </w:tblCellMar>
        </w:tblPrEx>
        <w:trPr>
          <w:gridAfter w:val="2"/>
          <w:wAfter w:w="269" w:type="dxa"/>
          <w:trHeight w:val="570" w:hRule="atLeast"/>
        </w:trPr>
        <w:tc>
          <w:tcPr>
            <w:tcW w:w="2713" w:type="dxa"/>
            <w:gridSpan w:val="9"/>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 xml:space="preserve">       其中：上级财政资金</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0</w:t>
            </w:r>
          </w:p>
        </w:tc>
        <w:tc>
          <w:tcPr>
            <w:tcW w:w="1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2"/>
          <w:wAfter w:w="269" w:type="dxa"/>
          <w:trHeight w:val="570" w:hRule="atLeast"/>
        </w:trPr>
        <w:tc>
          <w:tcPr>
            <w:tcW w:w="2713" w:type="dxa"/>
            <w:gridSpan w:val="9"/>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 xml:space="preserve">             本级财政资金</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w:t>
            </w:r>
          </w:p>
        </w:tc>
        <w:tc>
          <w:tcPr>
            <w:tcW w:w="1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w:t>
            </w:r>
          </w:p>
        </w:tc>
      </w:tr>
      <w:tr>
        <w:tblPrEx>
          <w:tblLayout w:type="fixed"/>
          <w:tblCellMar>
            <w:top w:w="0" w:type="dxa"/>
            <w:left w:w="108" w:type="dxa"/>
            <w:bottom w:w="0" w:type="dxa"/>
            <w:right w:w="108" w:type="dxa"/>
          </w:tblCellMar>
        </w:tblPrEx>
        <w:trPr>
          <w:gridAfter w:val="2"/>
          <w:wAfter w:w="269" w:type="dxa"/>
          <w:trHeight w:val="570" w:hRule="atLeast"/>
        </w:trPr>
        <w:tc>
          <w:tcPr>
            <w:tcW w:w="2713" w:type="dxa"/>
            <w:gridSpan w:val="9"/>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 xml:space="preserve">             其他资金</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0</w:t>
            </w:r>
          </w:p>
        </w:tc>
        <w:tc>
          <w:tcPr>
            <w:tcW w:w="1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2"/>
          <w:wAfter w:w="269" w:type="dxa"/>
          <w:trHeight w:val="439" w:hRule="atLeast"/>
        </w:trPr>
        <w:tc>
          <w:tcPr>
            <w:tcW w:w="77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总</w:t>
            </w:r>
            <w:r>
              <w:rPr>
                <w:rFonts w:hint="eastAsia" w:ascii="宋体" w:hAnsi="宋体" w:cs="宋体"/>
                <w:color w:val="000000"/>
                <w:kern w:val="0"/>
                <w:sz w:val="24"/>
              </w:rPr>
              <w:br w:type="textWrapping"/>
            </w:r>
            <w:r>
              <w:rPr>
                <w:rFonts w:hint="eastAsia" w:ascii="宋体" w:hAnsi="宋体" w:cs="宋体"/>
                <w:color w:val="000000"/>
                <w:kern w:val="0"/>
                <w:sz w:val="24"/>
              </w:rPr>
              <w:t>体</w:t>
            </w:r>
            <w:r>
              <w:rPr>
                <w:rFonts w:hint="eastAsia" w:ascii="宋体" w:hAnsi="宋体" w:cs="宋体"/>
                <w:color w:val="000000"/>
                <w:kern w:val="0"/>
                <w:sz w:val="24"/>
              </w:rPr>
              <w:br w:type="textWrapping"/>
            </w:r>
            <w:r>
              <w:rPr>
                <w:rFonts w:hint="eastAsia" w:ascii="宋体" w:hAnsi="宋体" w:cs="宋体"/>
                <w:color w:val="000000"/>
                <w:kern w:val="0"/>
                <w:sz w:val="24"/>
              </w:rPr>
              <w:t>目</w:t>
            </w:r>
            <w:r>
              <w:rPr>
                <w:rFonts w:hint="eastAsia" w:ascii="宋体" w:hAnsi="宋体" w:cs="宋体"/>
                <w:color w:val="000000"/>
                <w:kern w:val="0"/>
                <w:sz w:val="24"/>
              </w:rPr>
              <w:br w:type="textWrapping"/>
            </w:r>
            <w:r>
              <w:rPr>
                <w:rFonts w:hint="eastAsia" w:ascii="宋体" w:hAnsi="宋体" w:cs="宋体"/>
                <w:color w:val="000000"/>
                <w:kern w:val="0"/>
                <w:sz w:val="24"/>
              </w:rPr>
              <w:t>标</w:t>
            </w:r>
          </w:p>
        </w:tc>
        <w:tc>
          <w:tcPr>
            <w:tcW w:w="473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年度设定目标</w:t>
            </w:r>
          </w:p>
        </w:tc>
        <w:tc>
          <w:tcPr>
            <w:tcW w:w="400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实际完成情况</w:t>
            </w:r>
          </w:p>
        </w:tc>
      </w:tr>
      <w:tr>
        <w:tblPrEx>
          <w:tblLayout w:type="fixed"/>
          <w:tblCellMar>
            <w:top w:w="0" w:type="dxa"/>
            <w:left w:w="108" w:type="dxa"/>
            <w:bottom w:w="0" w:type="dxa"/>
            <w:right w:w="108" w:type="dxa"/>
          </w:tblCellMar>
        </w:tblPrEx>
        <w:trPr>
          <w:gridAfter w:val="2"/>
          <w:wAfter w:w="269" w:type="dxa"/>
          <w:trHeight w:val="1590" w:hRule="atLeast"/>
        </w:trPr>
        <w:tc>
          <w:tcPr>
            <w:tcW w:w="770"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4736" w:type="dxa"/>
            <w:gridSpan w:val="11"/>
            <w:tcBorders>
              <w:top w:val="single" w:color="000000" w:sz="4" w:space="0"/>
              <w:left w:val="single" w:color="000000" w:sz="4" w:space="0"/>
              <w:bottom w:val="single" w:color="000000" w:sz="4" w:space="0"/>
              <w:right w:val="single" w:color="000000" w:sz="4" w:space="0"/>
            </w:tcBorders>
            <w:shd w:val="clear" w:color="auto" w:fill="auto"/>
          </w:tcPr>
          <w:p>
            <w:pPr>
              <w:widowControl/>
              <w:jc w:val="center"/>
              <w:rPr>
                <w:rFonts w:ascii="宋体" w:hAnsi="宋体" w:cs="宋体"/>
                <w:color w:val="000000"/>
                <w:kern w:val="0"/>
                <w:sz w:val="24"/>
              </w:rPr>
            </w:pPr>
            <w:r>
              <w:rPr>
                <w:rFonts w:hint="eastAsia" w:ascii="宋体" w:hAnsi="宋体" w:cs="宋体"/>
                <w:color w:val="000000"/>
                <w:kern w:val="0"/>
                <w:sz w:val="24"/>
              </w:rPr>
              <w:br w:type="textWrapping"/>
            </w:r>
            <w:r>
              <w:rPr>
                <w:rFonts w:hint="eastAsia" w:ascii="宋体" w:hAnsi="宋体" w:cs="宋体"/>
                <w:color w:val="000000"/>
                <w:kern w:val="0"/>
                <w:sz w:val="24"/>
              </w:rPr>
              <w:t>按照《中华人民共和国价格法》、《四川省价格管理条例》规定和市发改委的工作部署完成2019年度价格监督检查目标任务</w:t>
            </w:r>
          </w:p>
        </w:tc>
        <w:tc>
          <w:tcPr>
            <w:tcW w:w="400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w:t>
            </w:r>
          </w:p>
        </w:tc>
      </w:tr>
      <w:tr>
        <w:tblPrEx>
          <w:tblLayout w:type="fixed"/>
          <w:tblCellMar>
            <w:top w:w="0" w:type="dxa"/>
            <w:left w:w="108" w:type="dxa"/>
            <w:bottom w:w="0" w:type="dxa"/>
            <w:right w:w="108" w:type="dxa"/>
          </w:tblCellMar>
        </w:tblPrEx>
        <w:trPr>
          <w:gridAfter w:val="2"/>
          <w:wAfter w:w="269" w:type="dxa"/>
          <w:trHeight w:val="570" w:hRule="atLeast"/>
        </w:trPr>
        <w:tc>
          <w:tcPr>
            <w:tcW w:w="77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绩</w:t>
            </w:r>
            <w:r>
              <w:rPr>
                <w:rFonts w:hint="eastAsia" w:ascii="宋体" w:hAnsi="宋体" w:cs="宋体"/>
                <w:color w:val="000000"/>
                <w:kern w:val="0"/>
                <w:sz w:val="24"/>
              </w:rPr>
              <w:br w:type="textWrapping"/>
            </w:r>
            <w:r>
              <w:rPr>
                <w:rFonts w:hint="eastAsia" w:ascii="宋体" w:hAnsi="宋体" w:cs="宋体"/>
                <w:color w:val="000000"/>
                <w:kern w:val="0"/>
                <w:sz w:val="24"/>
              </w:rPr>
              <w:t>效</w:t>
            </w:r>
            <w:r>
              <w:rPr>
                <w:rFonts w:hint="eastAsia" w:ascii="宋体" w:hAnsi="宋体" w:cs="宋体"/>
                <w:color w:val="000000"/>
                <w:kern w:val="0"/>
                <w:sz w:val="24"/>
              </w:rPr>
              <w:br w:type="textWrapping"/>
            </w:r>
            <w:r>
              <w:rPr>
                <w:rFonts w:hint="eastAsia" w:ascii="宋体" w:hAnsi="宋体" w:cs="宋体"/>
                <w:color w:val="000000"/>
                <w:kern w:val="0"/>
                <w:sz w:val="24"/>
              </w:rPr>
              <w:t>指</w:t>
            </w:r>
            <w:r>
              <w:rPr>
                <w:rFonts w:hint="eastAsia" w:ascii="宋体" w:hAnsi="宋体" w:cs="宋体"/>
                <w:color w:val="000000"/>
                <w:kern w:val="0"/>
                <w:sz w:val="24"/>
              </w:rPr>
              <w:br w:type="textWrapping"/>
            </w:r>
            <w:r>
              <w:rPr>
                <w:rFonts w:hint="eastAsia" w:ascii="宋体" w:hAnsi="宋体" w:cs="宋体"/>
                <w:color w:val="000000"/>
                <w:kern w:val="0"/>
                <w:sz w:val="24"/>
              </w:rPr>
              <w:t>标</w:t>
            </w:r>
          </w:p>
        </w:tc>
        <w:tc>
          <w:tcPr>
            <w:tcW w:w="7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一级</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12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二级指标</w:t>
            </w:r>
          </w:p>
        </w:tc>
        <w:tc>
          <w:tcPr>
            <w:tcW w:w="2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三级指标</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年度指标值</w:t>
            </w:r>
          </w:p>
        </w:tc>
        <w:tc>
          <w:tcPr>
            <w:tcW w:w="1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实际完成数</w:t>
            </w:r>
          </w:p>
        </w:tc>
      </w:tr>
      <w:tr>
        <w:tblPrEx>
          <w:tblLayout w:type="fixed"/>
          <w:tblCellMar>
            <w:top w:w="0" w:type="dxa"/>
            <w:left w:w="108" w:type="dxa"/>
            <w:bottom w:w="0" w:type="dxa"/>
            <w:right w:w="108" w:type="dxa"/>
          </w:tblCellMar>
        </w:tblPrEx>
        <w:trPr>
          <w:gridAfter w:val="2"/>
          <w:wAfter w:w="269" w:type="dxa"/>
          <w:trHeight w:val="855" w:hRule="atLeast"/>
        </w:trPr>
        <w:tc>
          <w:tcPr>
            <w:tcW w:w="770"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项目完成</w:t>
            </w:r>
          </w:p>
        </w:tc>
        <w:tc>
          <w:tcPr>
            <w:tcW w:w="12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数量指标</w:t>
            </w:r>
          </w:p>
        </w:tc>
        <w:tc>
          <w:tcPr>
            <w:tcW w:w="2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加强平时价格监督，配合上级开展物价大检查专项活动</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物价专项大检查4次/年</w:t>
            </w:r>
          </w:p>
        </w:tc>
        <w:tc>
          <w:tcPr>
            <w:tcW w:w="1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2"/>
          <w:wAfter w:w="269" w:type="dxa"/>
          <w:trHeight w:val="570" w:hRule="atLeast"/>
        </w:trPr>
        <w:tc>
          <w:tcPr>
            <w:tcW w:w="770"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3"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质量指标</w:t>
            </w:r>
          </w:p>
        </w:tc>
        <w:tc>
          <w:tcPr>
            <w:tcW w:w="2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按上级部门和区级相关部署开展价格监督检查</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1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2"/>
          <w:wAfter w:w="269" w:type="dxa"/>
          <w:trHeight w:val="285" w:hRule="atLeast"/>
        </w:trPr>
        <w:tc>
          <w:tcPr>
            <w:tcW w:w="770"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3"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时效指标</w:t>
            </w:r>
          </w:p>
        </w:tc>
        <w:tc>
          <w:tcPr>
            <w:tcW w:w="2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物价专项大检查</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按时</w:t>
            </w:r>
          </w:p>
        </w:tc>
        <w:tc>
          <w:tcPr>
            <w:tcW w:w="1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2"/>
          <w:wAfter w:w="269" w:type="dxa"/>
          <w:trHeight w:val="570" w:hRule="atLeast"/>
        </w:trPr>
        <w:tc>
          <w:tcPr>
            <w:tcW w:w="770"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3"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1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成本指标</w:t>
            </w:r>
          </w:p>
        </w:tc>
        <w:tc>
          <w:tcPr>
            <w:tcW w:w="2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市场价格监测和监督检查办公费</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4000元</w:t>
            </w:r>
          </w:p>
        </w:tc>
        <w:tc>
          <w:tcPr>
            <w:tcW w:w="1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2"/>
          <w:wAfter w:w="269" w:type="dxa"/>
          <w:trHeight w:val="285" w:hRule="atLeast"/>
        </w:trPr>
        <w:tc>
          <w:tcPr>
            <w:tcW w:w="770"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3"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10"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价格宣传办公费</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每月1次，全年预计6000元</w:t>
            </w:r>
          </w:p>
        </w:tc>
        <w:tc>
          <w:tcPr>
            <w:tcW w:w="1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2"/>
          <w:wAfter w:w="269" w:type="dxa"/>
          <w:trHeight w:val="570" w:hRule="atLeast"/>
        </w:trPr>
        <w:tc>
          <w:tcPr>
            <w:tcW w:w="770"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项目效益</w:t>
            </w:r>
          </w:p>
        </w:tc>
        <w:tc>
          <w:tcPr>
            <w:tcW w:w="12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经济效益</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2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维护市场经济秩序</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有效</w:t>
            </w:r>
          </w:p>
        </w:tc>
        <w:tc>
          <w:tcPr>
            <w:tcW w:w="1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2"/>
          <w:wAfter w:w="269" w:type="dxa"/>
          <w:trHeight w:val="570" w:hRule="atLeast"/>
        </w:trPr>
        <w:tc>
          <w:tcPr>
            <w:tcW w:w="770"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3"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社会效益</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2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实时监测市场价格，维护社会稳定</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100%</w:t>
            </w:r>
          </w:p>
        </w:tc>
        <w:tc>
          <w:tcPr>
            <w:tcW w:w="1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2"/>
          <w:wAfter w:w="269" w:type="dxa"/>
          <w:trHeight w:val="1170" w:hRule="atLeast"/>
        </w:trPr>
        <w:tc>
          <w:tcPr>
            <w:tcW w:w="770"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满意度指标</w:t>
            </w:r>
          </w:p>
        </w:tc>
        <w:tc>
          <w:tcPr>
            <w:tcW w:w="12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满意度指标</w:t>
            </w:r>
          </w:p>
        </w:tc>
        <w:tc>
          <w:tcPr>
            <w:tcW w:w="2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提升群众满意度</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95%</w:t>
            </w:r>
          </w:p>
        </w:tc>
        <w:tc>
          <w:tcPr>
            <w:tcW w:w="1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1"/>
          <w:wAfter w:w="90" w:type="dxa"/>
          <w:trHeight w:val="285" w:hRule="atLeast"/>
        </w:trPr>
        <w:tc>
          <w:tcPr>
            <w:tcW w:w="9690" w:type="dxa"/>
            <w:gridSpan w:val="23"/>
            <w:tcBorders>
              <w:top w:val="nil"/>
              <w:left w:val="nil"/>
              <w:bottom w:val="nil"/>
              <w:right w:val="nil"/>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专项（项目）资金绩效自评表</w:t>
            </w:r>
          </w:p>
        </w:tc>
      </w:tr>
      <w:tr>
        <w:tblPrEx>
          <w:tblLayout w:type="fixed"/>
          <w:tblCellMar>
            <w:top w:w="0" w:type="dxa"/>
            <w:left w:w="108" w:type="dxa"/>
            <w:bottom w:w="0" w:type="dxa"/>
            <w:right w:w="108" w:type="dxa"/>
          </w:tblCellMar>
        </w:tblPrEx>
        <w:trPr>
          <w:gridAfter w:val="1"/>
          <w:wAfter w:w="90" w:type="dxa"/>
          <w:trHeight w:val="285" w:hRule="atLeast"/>
        </w:trPr>
        <w:tc>
          <w:tcPr>
            <w:tcW w:w="9690" w:type="dxa"/>
            <w:gridSpan w:val="23"/>
            <w:tcBorders>
              <w:top w:val="nil"/>
              <w:left w:val="nil"/>
              <w:bottom w:val="nil"/>
              <w:right w:val="nil"/>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w:t>
            </w:r>
            <w:r>
              <w:rPr>
                <w:color w:val="000000"/>
                <w:kern w:val="0"/>
                <w:sz w:val="24"/>
              </w:rPr>
              <w:t>2019</w:t>
            </w:r>
            <w:r>
              <w:rPr>
                <w:rFonts w:ascii="宋体" w:hAnsi="宋体" w:cs="宋体"/>
                <w:color w:val="000000"/>
                <w:kern w:val="0"/>
                <w:sz w:val="24"/>
              </w:rPr>
              <w:t>年度）</w:t>
            </w:r>
          </w:p>
        </w:tc>
      </w:tr>
      <w:tr>
        <w:tblPrEx>
          <w:tblLayout w:type="fixed"/>
          <w:tblCellMar>
            <w:top w:w="0" w:type="dxa"/>
            <w:left w:w="108" w:type="dxa"/>
            <w:bottom w:w="0" w:type="dxa"/>
            <w:right w:w="108" w:type="dxa"/>
          </w:tblCellMar>
        </w:tblPrEx>
        <w:trPr>
          <w:gridAfter w:val="1"/>
          <w:wAfter w:w="90" w:type="dxa"/>
          <w:trHeight w:val="285" w:hRule="atLeast"/>
        </w:trPr>
        <w:tc>
          <w:tcPr>
            <w:tcW w:w="456" w:type="dxa"/>
            <w:tcBorders>
              <w:top w:val="nil"/>
              <w:left w:val="nil"/>
              <w:bottom w:val="single" w:color="000000" w:sz="4" w:space="0"/>
              <w:right w:val="nil"/>
            </w:tcBorders>
            <w:shd w:val="clear" w:color="auto" w:fill="auto"/>
            <w:noWrap/>
            <w:vAlign w:val="center"/>
          </w:tcPr>
          <w:p>
            <w:pPr>
              <w:widowControl/>
              <w:jc w:val="left"/>
              <w:rPr>
                <w:rFonts w:ascii="宋体" w:hAnsi="宋体" w:cs="宋体"/>
                <w:color w:val="000000"/>
                <w:kern w:val="0"/>
                <w:sz w:val="24"/>
              </w:rPr>
            </w:pPr>
          </w:p>
        </w:tc>
        <w:tc>
          <w:tcPr>
            <w:tcW w:w="1137" w:type="dxa"/>
            <w:gridSpan w:val="6"/>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24"/>
              </w:rPr>
            </w:pPr>
          </w:p>
        </w:tc>
        <w:tc>
          <w:tcPr>
            <w:tcW w:w="1255" w:type="dxa"/>
            <w:gridSpan w:val="3"/>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2210" w:type="dxa"/>
            <w:gridSpan w:val="3"/>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3256" w:type="dxa"/>
            <w:gridSpan w:val="6"/>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1376" w:type="dxa"/>
            <w:gridSpan w:val="4"/>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1"/>
          <w:wAfter w:w="90" w:type="dxa"/>
          <w:trHeight w:val="285" w:hRule="atLeast"/>
        </w:trPr>
        <w:tc>
          <w:tcPr>
            <w:tcW w:w="28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专项（项目）名称</w:t>
            </w:r>
          </w:p>
        </w:tc>
        <w:tc>
          <w:tcPr>
            <w:tcW w:w="684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政府投资重点项目推进等经费</w:t>
            </w:r>
          </w:p>
        </w:tc>
      </w:tr>
      <w:tr>
        <w:tblPrEx>
          <w:tblLayout w:type="fixed"/>
          <w:tblCellMar>
            <w:top w:w="0" w:type="dxa"/>
            <w:left w:w="108" w:type="dxa"/>
            <w:bottom w:w="0" w:type="dxa"/>
            <w:right w:w="108" w:type="dxa"/>
          </w:tblCellMar>
        </w:tblPrEx>
        <w:trPr>
          <w:gridAfter w:val="1"/>
          <w:wAfter w:w="90" w:type="dxa"/>
          <w:trHeight w:val="285" w:hRule="atLeast"/>
        </w:trPr>
        <w:tc>
          <w:tcPr>
            <w:tcW w:w="28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项目主管单位</w:t>
            </w:r>
          </w:p>
        </w:tc>
        <w:tc>
          <w:tcPr>
            <w:tcW w:w="684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攀枝花市西区发改局</w:t>
            </w:r>
          </w:p>
        </w:tc>
      </w:tr>
      <w:tr>
        <w:tblPrEx>
          <w:tblLayout w:type="fixed"/>
          <w:tblCellMar>
            <w:top w:w="0" w:type="dxa"/>
            <w:left w:w="108" w:type="dxa"/>
            <w:bottom w:w="0" w:type="dxa"/>
            <w:right w:w="108" w:type="dxa"/>
          </w:tblCellMar>
        </w:tblPrEx>
        <w:trPr>
          <w:gridAfter w:val="1"/>
          <w:wAfter w:w="90" w:type="dxa"/>
          <w:trHeight w:val="285" w:hRule="atLeast"/>
        </w:trPr>
        <w:tc>
          <w:tcPr>
            <w:tcW w:w="284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项目实施单位</w:t>
            </w:r>
          </w:p>
        </w:tc>
        <w:tc>
          <w:tcPr>
            <w:tcW w:w="684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1"/>
          <w:wAfter w:w="90" w:type="dxa"/>
          <w:trHeight w:val="285" w:hRule="atLeast"/>
        </w:trPr>
        <w:tc>
          <w:tcPr>
            <w:tcW w:w="2848"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项目资金</w:t>
            </w:r>
            <w:r>
              <w:rPr>
                <w:rFonts w:hint="eastAsia" w:ascii="宋体" w:hAnsi="宋体" w:cs="宋体"/>
                <w:color w:val="000000"/>
                <w:kern w:val="0"/>
                <w:sz w:val="24"/>
              </w:rPr>
              <w:br w:type="textWrapping"/>
            </w:r>
            <w:r>
              <w:rPr>
                <w:rFonts w:hint="eastAsia" w:ascii="宋体" w:hAnsi="宋体" w:cs="宋体"/>
                <w:color w:val="000000"/>
                <w:kern w:val="0"/>
                <w:sz w:val="24"/>
              </w:rPr>
              <w:t>（万元）</w:t>
            </w:r>
          </w:p>
        </w:tc>
        <w:tc>
          <w:tcPr>
            <w:tcW w:w="22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c>
          <w:tcPr>
            <w:tcW w:w="325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全年预算数</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实际完成数</w:t>
            </w:r>
          </w:p>
        </w:tc>
      </w:tr>
      <w:tr>
        <w:tblPrEx>
          <w:tblLayout w:type="fixed"/>
          <w:tblCellMar>
            <w:top w:w="0" w:type="dxa"/>
            <w:left w:w="108" w:type="dxa"/>
            <w:bottom w:w="0" w:type="dxa"/>
            <w:right w:w="108" w:type="dxa"/>
          </w:tblCellMar>
        </w:tblPrEx>
        <w:trPr>
          <w:gridAfter w:val="1"/>
          <w:wAfter w:w="90" w:type="dxa"/>
          <w:trHeight w:val="285" w:hRule="atLeast"/>
        </w:trPr>
        <w:tc>
          <w:tcPr>
            <w:tcW w:w="2848" w:type="dxa"/>
            <w:gridSpan w:val="10"/>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2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年度资金总额：</w:t>
            </w:r>
          </w:p>
        </w:tc>
        <w:tc>
          <w:tcPr>
            <w:tcW w:w="325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17</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17</w:t>
            </w:r>
          </w:p>
        </w:tc>
      </w:tr>
      <w:tr>
        <w:tblPrEx>
          <w:tblLayout w:type="fixed"/>
          <w:tblCellMar>
            <w:top w:w="0" w:type="dxa"/>
            <w:left w:w="108" w:type="dxa"/>
            <w:bottom w:w="0" w:type="dxa"/>
            <w:right w:w="108" w:type="dxa"/>
          </w:tblCellMar>
        </w:tblPrEx>
        <w:trPr>
          <w:gridAfter w:val="1"/>
          <w:wAfter w:w="90" w:type="dxa"/>
          <w:trHeight w:val="285" w:hRule="atLeast"/>
        </w:trPr>
        <w:tc>
          <w:tcPr>
            <w:tcW w:w="2848" w:type="dxa"/>
            <w:gridSpan w:val="10"/>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2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其中：上级财政资金</w:t>
            </w:r>
          </w:p>
        </w:tc>
        <w:tc>
          <w:tcPr>
            <w:tcW w:w="325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0</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1"/>
          <w:wAfter w:w="90" w:type="dxa"/>
          <w:trHeight w:val="285" w:hRule="atLeast"/>
        </w:trPr>
        <w:tc>
          <w:tcPr>
            <w:tcW w:w="2848" w:type="dxa"/>
            <w:gridSpan w:val="10"/>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2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本级财政资金</w:t>
            </w:r>
          </w:p>
        </w:tc>
        <w:tc>
          <w:tcPr>
            <w:tcW w:w="325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17</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17</w:t>
            </w:r>
          </w:p>
        </w:tc>
      </w:tr>
      <w:tr>
        <w:tblPrEx>
          <w:tblLayout w:type="fixed"/>
          <w:tblCellMar>
            <w:top w:w="0" w:type="dxa"/>
            <w:left w:w="108" w:type="dxa"/>
            <w:bottom w:w="0" w:type="dxa"/>
            <w:right w:w="108" w:type="dxa"/>
          </w:tblCellMar>
        </w:tblPrEx>
        <w:trPr>
          <w:gridAfter w:val="1"/>
          <w:wAfter w:w="90" w:type="dxa"/>
          <w:trHeight w:val="285" w:hRule="atLeast"/>
        </w:trPr>
        <w:tc>
          <w:tcPr>
            <w:tcW w:w="2848" w:type="dxa"/>
            <w:gridSpan w:val="10"/>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2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其他资金</w:t>
            </w:r>
          </w:p>
        </w:tc>
        <w:tc>
          <w:tcPr>
            <w:tcW w:w="325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0</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1"/>
          <w:wAfter w:w="90" w:type="dxa"/>
          <w:trHeight w:val="285" w:hRule="atLeast"/>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总</w:t>
            </w:r>
            <w:r>
              <w:rPr>
                <w:rFonts w:hint="eastAsia" w:ascii="宋体" w:hAnsi="宋体" w:cs="宋体"/>
                <w:color w:val="000000"/>
                <w:kern w:val="0"/>
                <w:sz w:val="24"/>
              </w:rPr>
              <w:br w:type="textWrapping"/>
            </w:r>
            <w:r>
              <w:rPr>
                <w:rFonts w:hint="eastAsia" w:ascii="宋体" w:hAnsi="宋体" w:cs="宋体"/>
                <w:color w:val="000000"/>
                <w:kern w:val="0"/>
                <w:sz w:val="24"/>
              </w:rPr>
              <w:t>体</w:t>
            </w:r>
            <w:r>
              <w:rPr>
                <w:rFonts w:hint="eastAsia" w:ascii="宋体" w:hAnsi="宋体" w:cs="宋体"/>
                <w:color w:val="000000"/>
                <w:kern w:val="0"/>
                <w:sz w:val="24"/>
              </w:rPr>
              <w:br w:type="textWrapping"/>
            </w:r>
            <w:r>
              <w:rPr>
                <w:rFonts w:hint="eastAsia" w:ascii="宋体" w:hAnsi="宋体" w:cs="宋体"/>
                <w:color w:val="000000"/>
                <w:kern w:val="0"/>
                <w:sz w:val="24"/>
              </w:rPr>
              <w:t>目</w:t>
            </w:r>
            <w:r>
              <w:rPr>
                <w:rFonts w:hint="eastAsia" w:ascii="宋体" w:hAnsi="宋体" w:cs="宋体"/>
                <w:color w:val="000000"/>
                <w:kern w:val="0"/>
                <w:sz w:val="24"/>
              </w:rPr>
              <w:br w:type="textWrapping"/>
            </w:r>
            <w:r>
              <w:rPr>
                <w:rFonts w:hint="eastAsia" w:ascii="宋体" w:hAnsi="宋体" w:cs="宋体"/>
                <w:color w:val="000000"/>
                <w:kern w:val="0"/>
                <w:sz w:val="24"/>
              </w:rPr>
              <w:t>标</w:t>
            </w:r>
          </w:p>
        </w:tc>
        <w:tc>
          <w:tcPr>
            <w:tcW w:w="460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年度设定目标</w:t>
            </w:r>
          </w:p>
        </w:tc>
        <w:tc>
          <w:tcPr>
            <w:tcW w:w="46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实际完成情况</w:t>
            </w:r>
          </w:p>
        </w:tc>
      </w:tr>
      <w:tr>
        <w:tblPrEx>
          <w:tblLayout w:type="fixed"/>
          <w:tblCellMar>
            <w:top w:w="0" w:type="dxa"/>
            <w:left w:w="108" w:type="dxa"/>
            <w:bottom w:w="0" w:type="dxa"/>
            <w:right w:w="108" w:type="dxa"/>
          </w:tblCellMar>
        </w:tblPrEx>
        <w:trPr>
          <w:gridAfter w:val="1"/>
          <w:wAfter w:w="90" w:type="dxa"/>
          <w:trHeight w:val="132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4602" w:type="dxa"/>
            <w:gridSpan w:val="12"/>
            <w:tcBorders>
              <w:top w:val="single" w:color="000000" w:sz="4" w:space="0"/>
              <w:left w:val="single" w:color="000000" w:sz="4" w:space="0"/>
              <w:bottom w:val="single" w:color="000000" w:sz="4" w:space="0"/>
              <w:right w:val="single" w:color="000000" w:sz="4" w:space="0"/>
            </w:tcBorders>
            <w:shd w:val="clear" w:color="auto" w:fill="auto"/>
          </w:tcPr>
          <w:p>
            <w:pPr>
              <w:widowControl/>
              <w:jc w:val="center"/>
              <w:rPr>
                <w:rFonts w:ascii="宋体" w:hAnsi="宋体" w:cs="宋体"/>
                <w:color w:val="000000"/>
                <w:kern w:val="0"/>
                <w:sz w:val="24"/>
              </w:rPr>
            </w:pPr>
            <w:r>
              <w:rPr>
                <w:rFonts w:hint="eastAsia" w:ascii="宋体" w:hAnsi="宋体" w:cs="宋体"/>
                <w:color w:val="000000"/>
                <w:kern w:val="0"/>
                <w:sz w:val="24"/>
              </w:rPr>
              <w:br w:type="textWrapping"/>
            </w:r>
            <w:r>
              <w:rPr>
                <w:rFonts w:hint="eastAsia" w:ascii="宋体" w:hAnsi="宋体" w:cs="宋体"/>
                <w:color w:val="000000"/>
                <w:kern w:val="0"/>
                <w:sz w:val="24"/>
              </w:rPr>
              <w:t>完成2019年度重大建设项目推进及稽查工作，确保重大建设项目有序推进，按时完成年度建设任务</w:t>
            </w:r>
          </w:p>
        </w:tc>
        <w:tc>
          <w:tcPr>
            <w:tcW w:w="46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w:t>
            </w:r>
          </w:p>
        </w:tc>
      </w:tr>
      <w:tr>
        <w:tblPrEx>
          <w:tblLayout w:type="fixed"/>
          <w:tblCellMar>
            <w:top w:w="0" w:type="dxa"/>
            <w:left w:w="108" w:type="dxa"/>
            <w:bottom w:w="0" w:type="dxa"/>
            <w:right w:w="108" w:type="dxa"/>
          </w:tblCellMar>
        </w:tblPrEx>
        <w:trPr>
          <w:gridAfter w:val="1"/>
          <w:wAfter w:w="90" w:type="dxa"/>
          <w:trHeight w:val="570" w:hRule="atLeast"/>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绩</w:t>
            </w:r>
            <w:r>
              <w:rPr>
                <w:rFonts w:hint="eastAsia" w:ascii="宋体" w:hAnsi="宋体" w:cs="宋体"/>
                <w:color w:val="000000"/>
                <w:kern w:val="0"/>
                <w:sz w:val="24"/>
              </w:rPr>
              <w:br w:type="textWrapping"/>
            </w:r>
            <w:r>
              <w:rPr>
                <w:rFonts w:hint="eastAsia" w:ascii="宋体" w:hAnsi="宋体" w:cs="宋体"/>
                <w:color w:val="000000"/>
                <w:kern w:val="0"/>
                <w:sz w:val="24"/>
              </w:rPr>
              <w:t>效</w:t>
            </w:r>
            <w:r>
              <w:rPr>
                <w:rFonts w:hint="eastAsia" w:ascii="宋体" w:hAnsi="宋体" w:cs="宋体"/>
                <w:color w:val="000000"/>
                <w:kern w:val="0"/>
                <w:sz w:val="24"/>
              </w:rPr>
              <w:br w:type="textWrapping"/>
            </w:r>
            <w:r>
              <w:rPr>
                <w:rFonts w:hint="eastAsia" w:ascii="宋体" w:hAnsi="宋体" w:cs="宋体"/>
                <w:color w:val="000000"/>
                <w:kern w:val="0"/>
                <w:sz w:val="24"/>
              </w:rPr>
              <w:t>指</w:t>
            </w:r>
            <w:r>
              <w:rPr>
                <w:rFonts w:hint="eastAsia" w:ascii="宋体" w:hAnsi="宋体" w:cs="宋体"/>
                <w:color w:val="000000"/>
                <w:kern w:val="0"/>
                <w:sz w:val="24"/>
              </w:rPr>
              <w:br w:type="textWrapping"/>
            </w:r>
            <w:r>
              <w:rPr>
                <w:rFonts w:hint="eastAsia" w:ascii="宋体" w:hAnsi="宋体" w:cs="宋体"/>
                <w:color w:val="000000"/>
                <w:kern w:val="0"/>
                <w:sz w:val="24"/>
              </w:rPr>
              <w:t>标</w:t>
            </w:r>
          </w:p>
        </w:tc>
        <w:tc>
          <w:tcPr>
            <w:tcW w:w="11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一级</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12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二级指标</w:t>
            </w:r>
          </w:p>
        </w:tc>
        <w:tc>
          <w:tcPr>
            <w:tcW w:w="22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三级指标</w:t>
            </w:r>
          </w:p>
        </w:tc>
        <w:tc>
          <w:tcPr>
            <w:tcW w:w="325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年度指标值</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实际完成数</w:t>
            </w:r>
          </w:p>
        </w:tc>
      </w:tr>
      <w:tr>
        <w:tblPrEx>
          <w:tblLayout w:type="fixed"/>
          <w:tblCellMar>
            <w:top w:w="0" w:type="dxa"/>
            <w:left w:w="108" w:type="dxa"/>
            <w:bottom w:w="0" w:type="dxa"/>
            <w:right w:w="108" w:type="dxa"/>
          </w:tblCellMar>
        </w:tblPrEx>
        <w:trPr>
          <w:gridAfter w:val="1"/>
          <w:wAfter w:w="90" w:type="dxa"/>
          <w:trHeight w:val="27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项目完成</w:t>
            </w:r>
          </w:p>
        </w:tc>
        <w:tc>
          <w:tcPr>
            <w:tcW w:w="12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数量指标</w:t>
            </w:r>
          </w:p>
        </w:tc>
        <w:tc>
          <w:tcPr>
            <w:tcW w:w="221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省重点项目</w:t>
            </w:r>
          </w:p>
        </w:tc>
        <w:tc>
          <w:tcPr>
            <w:tcW w:w="3256" w:type="dxa"/>
            <w:gridSpan w:val="6"/>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1"/>
          <w:wAfter w:w="90" w:type="dxa"/>
          <w:trHeight w:val="27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5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21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市重点项目</w:t>
            </w:r>
          </w:p>
        </w:tc>
        <w:tc>
          <w:tcPr>
            <w:tcW w:w="3256" w:type="dxa"/>
            <w:gridSpan w:val="6"/>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1"/>
          <w:wAfter w:w="90" w:type="dxa"/>
          <w:trHeight w:val="27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5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21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区重点项目</w:t>
            </w:r>
          </w:p>
        </w:tc>
        <w:tc>
          <w:tcPr>
            <w:tcW w:w="3256" w:type="dxa"/>
            <w:gridSpan w:val="6"/>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30</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1"/>
          <w:wAfter w:w="90" w:type="dxa"/>
          <w:trHeight w:val="54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质量指标</w:t>
            </w:r>
          </w:p>
        </w:tc>
        <w:tc>
          <w:tcPr>
            <w:tcW w:w="221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保质保量完成2019年度省重点项目投资任务</w:t>
            </w:r>
          </w:p>
        </w:tc>
        <w:tc>
          <w:tcPr>
            <w:tcW w:w="3256" w:type="dxa"/>
            <w:gridSpan w:val="6"/>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100%</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1"/>
          <w:wAfter w:w="90" w:type="dxa"/>
          <w:trHeight w:val="54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5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21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保质保量完成2019年度市重点项目投资任务</w:t>
            </w:r>
          </w:p>
        </w:tc>
        <w:tc>
          <w:tcPr>
            <w:tcW w:w="3256" w:type="dxa"/>
            <w:gridSpan w:val="6"/>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100%</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1"/>
          <w:wAfter w:w="90" w:type="dxa"/>
          <w:trHeight w:val="54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5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21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保质保量完成2019年度区重点项目投资任务</w:t>
            </w:r>
          </w:p>
        </w:tc>
        <w:tc>
          <w:tcPr>
            <w:tcW w:w="3256" w:type="dxa"/>
            <w:gridSpan w:val="6"/>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100%</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1"/>
          <w:wAfter w:w="90" w:type="dxa"/>
          <w:trHeight w:val="27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时效指标</w:t>
            </w:r>
          </w:p>
        </w:tc>
        <w:tc>
          <w:tcPr>
            <w:tcW w:w="221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完成2019年省重点项目投资</w:t>
            </w:r>
          </w:p>
        </w:tc>
        <w:tc>
          <w:tcPr>
            <w:tcW w:w="3256" w:type="dxa"/>
            <w:gridSpan w:val="6"/>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按照时序进度完成投资额</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1"/>
          <w:wAfter w:w="90" w:type="dxa"/>
          <w:trHeight w:val="27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5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21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完成2019年市重点项目投资</w:t>
            </w:r>
          </w:p>
        </w:tc>
        <w:tc>
          <w:tcPr>
            <w:tcW w:w="3256" w:type="dxa"/>
            <w:gridSpan w:val="6"/>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按照时序进度完成投资额</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1"/>
          <w:wAfter w:w="90" w:type="dxa"/>
          <w:trHeight w:val="27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5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21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完成2019年区重点项目投资</w:t>
            </w:r>
          </w:p>
        </w:tc>
        <w:tc>
          <w:tcPr>
            <w:tcW w:w="3256" w:type="dxa"/>
            <w:gridSpan w:val="6"/>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按照时序进度完成投资额</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1"/>
          <w:wAfter w:w="90" w:type="dxa"/>
          <w:trHeight w:val="54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成本指标</w:t>
            </w:r>
          </w:p>
        </w:tc>
        <w:tc>
          <w:tcPr>
            <w:tcW w:w="221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办公费（办公用品及耗材费、资料印刷费、广告宣传费）</w:t>
            </w:r>
          </w:p>
        </w:tc>
        <w:tc>
          <w:tcPr>
            <w:tcW w:w="3256" w:type="dxa"/>
            <w:gridSpan w:val="6"/>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4.5万元</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1"/>
          <w:wAfter w:w="90" w:type="dxa"/>
          <w:trHeight w:val="135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5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21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差旅费</w:t>
            </w:r>
          </w:p>
        </w:tc>
        <w:tc>
          <w:tcPr>
            <w:tcW w:w="3256" w:type="dxa"/>
            <w:gridSpan w:val="6"/>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差旅费：33个省市区重点项目，每个项目预计1次，每次预计2人出差3天，省内标准480-550元/天，全年预计：约10万元</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1"/>
          <w:wAfter w:w="90" w:type="dxa"/>
          <w:trHeight w:val="135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5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21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商务接待费</w:t>
            </w:r>
          </w:p>
        </w:tc>
        <w:tc>
          <w:tcPr>
            <w:tcW w:w="3256" w:type="dxa"/>
            <w:gridSpan w:val="6"/>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国内企业：3个省市重点项目，约13个区重点项目需接待，每个项目预计2次，国内企业标准260元/人，接待人数2-3人，全年预计：约2.5万元</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1"/>
          <w:wAfter w:w="90" w:type="dxa"/>
          <w:trHeight w:val="57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项目效益</w:t>
            </w:r>
          </w:p>
        </w:tc>
        <w:tc>
          <w:tcPr>
            <w:tcW w:w="12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经济效益</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221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促进西区国民经济和社会发展</w:t>
            </w:r>
          </w:p>
        </w:tc>
        <w:tc>
          <w:tcPr>
            <w:tcW w:w="3256" w:type="dxa"/>
            <w:gridSpan w:val="6"/>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有效</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1"/>
          <w:wAfter w:w="90" w:type="dxa"/>
          <w:trHeight w:val="57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2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社会效益</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221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带动就业、创业、再就业等</w:t>
            </w:r>
          </w:p>
        </w:tc>
        <w:tc>
          <w:tcPr>
            <w:tcW w:w="3256" w:type="dxa"/>
            <w:gridSpan w:val="6"/>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有效</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1"/>
          <w:wAfter w:w="90" w:type="dxa"/>
          <w:trHeight w:val="570" w:hRule="atLeast"/>
        </w:trPr>
        <w:tc>
          <w:tcPr>
            <w:tcW w:w="45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满意度指标</w:t>
            </w:r>
          </w:p>
        </w:tc>
        <w:tc>
          <w:tcPr>
            <w:tcW w:w="12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满意度指标</w:t>
            </w:r>
          </w:p>
        </w:tc>
        <w:tc>
          <w:tcPr>
            <w:tcW w:w="22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企业满意度</w:t>
            </w:r>
          </w:p>
        </w:tc>
        <w:tc>
          <w:tcPr>
            <w:tcW w:w="325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85%以上</w:t>
            </w:r>
          </w:p>
        </w:tc>
        <w:tc>
          <w:tcPr>
            <w:tcW w:w="13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已完成100%</w:t>
            </w:r>
          </w:p>
        </w:tc>
      </w:tr>
      <w:tr>
        <w:tblPrEx>
          <w:tblLayout w:type="fixed"/>
          <w:tblCellMar>
            <w:top w:w="0" w:type="dxa"/>
            <w:left w:w="108" w:type="dxa"/>
            <w:bottom w:w="0" w:type="dxa"/>
            <w:right w:w="108" w:type="dxa"/>
          </w:tblCellMar>
        </w:tblPrEx>
        <w:trPr>
          <w:gridAfter w:val="3"/>
          <w:wAfter w:w="465" w:type="dxa"/>
          <w:trHeight w:val="675" w:hRule="atLeast"/>
        </w:trPr>
        <w:tc>
          <w:tcPr>
            <w:tcW w:w="9315" w:type="dxa"/>
            <w:gridSpan w:val="21"/>
            <w:tcBorders>
              <w:top w:val="nil"/>
              <w:left w:val="nil"/>
              <w:bottom w:val="nil"/>
              <w:right w:val="nil"/>
            </w:tcBorders>
            <w:shd w:val="clear" w:color="auto" w:fill="auto"/>
            <w:vAlign w:val="center"/>
          </w:tcPr>
          <w:p>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专项（项目）资金绩效自评表</w:t>
            </w:r>
          </w:p>
        </w:tc>
      </w:tr>
      <w:tr>
        <w:tblPrEx>
          <w:tblLayout w:type="fixed"/>
          <w:tblCellMar>
            <w:top w:w="0" w:type="dxa"/>
            <w:left w:w="108" w:type="dxa"/>
            <w:bottom w:w="0" w:type="dxa"/>
            <w:right w:w="108" w:type="dxa"/>
          </w:tblCellMar>
        </w:tblPrEx>
        <w:trPr>
          <w:gridAfter w:val="3"/>
          <w:wAfter w:w="465" w:type="dxa"/>
          <w:trHeight w:val="285" w:hRule="atLeast"/>
        </w:trPr>
        <w:tc>
          <w:tcPr>
            <w:tcW w:w="9315" w:type="dxa"/>
            <w:gridSpan w:val="21"/>
            <w:tcBorders>
              <w:top w:val="nil"/>
              <w:left w:val="nil"/>
              <w:bottom w:val="nil"/>
              <w:right w:val="nil"/>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w:t>
            </w:r>
            <w:r>
              <w:rPr>
                <w:color w:val="000000"/>
                <w:kern w:val="0"/>
                <w:sz w:val="24"/>
              </w:rPr>
              <w:t>2019</w:t>
            </w:r>
            <w:r>
              <w:rPr>
                <w:rFonts w:ascii="宋体" w:hAnsi="宋体" w:cs="宋体"/>
                <w:color w:val="000000"/>
                <w:kern w:val="0"/>
                <w:sz w:val="24"/>
              </w:rPr>
              <w:t>年度）</w:t>
            </w:r>
          </w:p>
        </w:tc>
      </w:tr>
      <w:tr>
        <w:tblPrEx>
          <w:tblLayout w:type="fixed"/>
          <w:tblCellMar>
            <w:top w:w="0" w:type="dxa"/>
            <w:left w:w="108" w:type="dxa"/>
            <w:bottom w:w="0" w:type="dxa"/>
            <w:right w:w="108" w:type="dxa"/>
          </w:tblCellMar>
        </w:tblPrEx>
        <w:trPr>
          <w:gridAfter w:val="3"/>
          <w:wAfter w:w="465" w:type="dxa"/>
          <w:trHeight w:val="435" w:hRule="atLeast"/>
        </w:trPr>
        <w:tc>
          <w:tcPr>
            <w:tcW w:w="735" w:type="dxa"/>
            <w:gridSpan w:val="3"/>
            <w:tcBorders>
              <w:top w:val="nil"/>
              <w:left w:val="nil"/>
              <w:bottom w:val="single" w:color="000000" w:sz="4" w:space="0"/>
              <w:right w:val="nil"/>
            </w:tcBorders>
            <w:shd w:val="clear" w:color="auto" w:fill="auto"/>
            <w:noWrap/>
            <w:vAlign w:val="center"/>
          </w:tcPr>
          <w:p>
            <w:pPr>
              <w:widowControl/>
              <w:jc w:val="left"/>
              <w:rPr>
                <w:rFonts w:ascii="宋体" w:hAnsi="宋体" w:cs="宋体"/>
                <w:color w:val="000000"/>
                <w:kern w:val="0"/>
                <w:sz w:val="24"/>
              </w:rPr>
            </w:pPr>
          </w:p>
        </w:tc>
        <w:tc>
          <w:tcPr>
            <w:tcW w:w="735" w:type="dxa"/>
            <w:gridSpan w:val="2"/>
            <w:tcBorders>
              <w:top w:val="nil"/>
              <w:left w:val="nil"/>
              <w:bottom w:val="single" w:color="000000" w:sz="4" w:space="0"/>
              <w:right w:val="nil"/>
            </w:tcBorders>
            <w:shd w:val="clear" w:color="auto" w:fill="auto"/>
            <w:vAlign w:val="center"/>
          </w:tcPr>
          <w:p>
            <w:pPr>
              <w:widowControl/>
              <w:jc w:val="left"/>
              <w:rPr>
                <w:rFonts w:ascii="宋体" w:hAnsi="宋体" w:cs="宋体"/>
                <w:color w:val="000000"/>
                <w:kern w:val="0"/>
                <w:sz w:val="24"/>
              </w:rPr>
            </w:pPr>
          </w:p>
        </w:tc>
        <w:tc>
          <w:tcPr>
            <w:tcW w:w="1485" w:type="dxa"/>
            <w:gridSpan w:val="6"/>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2160" w:type="dxa"/>
            <w:gridSpan w:val="3"/>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2145" w:type="dxa"/>
            <w:gridSpan w:val="3"/>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c>
          <w:tcPr>
            <w:tcW w:w="2055" w:type="dxa"/>
            <w:gridSpan w:val="4"/>
            <w:tcBorders>
              <w:top w:val="nil"/>
              <w:left w:val="nil"/>
              <w:bottom w:val="nil"/>
              <w:right w:val="nil"/>
            </w:tcBorders>
            <w:shd w:val="clear" w:color="auto" w:fill="auto"/>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3"/>
          <w:wAfter w:w="465" w:type="dxa"/>
          <w:trHeight w:val="439" w:hRule="atLeast"/>
        </w:trPr>
        <w:tc>
          <w:tcPr>
            <w:tcW w:w="295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专项（项目）名称</w:t>
            </w:r>
          </w:p>
        </w:tc>
        <w:tc>
          <w:tcPr>
            <w:tcW w:w="63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粮食储备经费</w:t>
            </w:r>
          </w:p>
        </w:tc>
      </w:tr>
      <w:tr>
        <w:tblPrEx>
          <w:tblLayout w:type="fixed"/>
          <w:tblCellMar>
            <w:top w:w="0" w:type="dxa"/>
            <w:left w:w="108" w:type="dxa"/>
            <w:bottom w:w="0" w:type="dxa"/>
            <w:right w:w="108" w:type="dxa"/>
          </w:tblCellMar>
        </w:tblPrEx>
        <w:trPr>
          <w:gridAfter w:val="3"/>
          <w:wAfter w:w="465" w:type="dxa"/>
          <w:trHeight w:val="439" w:hRule="atLeast"/>
        </w:trPr>
        <w:tc>
          <w:tcPr>
            <w:tcW w:w="295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项目主管单位</w:t>
            </w:r>
          </w:p>
        </w:tc>
        <w:tc>
          <w:tcPr>
            <w:tcW w:w="63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攀枝花市西区发改局</w:t>
            </w:r>
          </w:p>
        </w:tc>
      </w:tr>
      <w:tr>
        <w:tblPrEx>
          <w:tblLayout w:type="fixed"/>
          <w:tblCellMar>
            <w:top w:w="0" w:type="dxa"/>
            <w:left w:w="108" w:type="dxa"/>
            <w:bottom w:w="0" w:type="dxa"/>
            <w:right w:w="108" w:type="dxa"/>
          </w:tblCellMar>
        </w:tblPrEx>
        <w:trPr>
          <w:gridAfter w:val="3"/>
          <w:wAfter w:w="465" w:type="dxa"/>
          <w:trHeight w:val="439" w:hRule="atLeast"/>
        </w:trPr>
        <w:tc>
          <w:tcPr>
            <w:tcW w:w="295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项目实施单位</w:t>
            </w:r>
          </w:p>
        </w:tc>
        <w:tc>
          <w:tcPr>
            <w:tcW w:w="63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3"/>
          <w:wAfter w:w="465" w:type="dxa"/>
          <w:trHeight w:val="439" w:hRule="atLeast"/>
        </w:trPr>
        <w:tc>
          <w:tcPr>
            <w:tcW w:w="2955"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项目资金</w:t>
            </w:r>
            <w:r>
              <w:rPr>
                <w:rFonts w:hint="eastAsia" w:ascii="宋体" w:hAnsi="宋体" w:cs="宋体"/>
                <w:color w:val="000000"/>
                <w:kern w:val="0"/>
                <w:sz w:val="24"/>
              </w:rPr>
              <w:br w:type="textWrapping"/>
            </w:r>
            <w:r>
              <w:rPr>
                <w:rFonts w:hint="eastAsia" w:ascii="宋体" w:hAnsi="宋体" w:cs="宋体"/>
                <w:color w:val="000000"/>
                <w:kern w:val="0"/>
                <w:sz w:val="24"/>
              </w:rPr>
              <w:t>（万元）</w:t>
            </w: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c>
          <w:tcPr>
            <w:tcW w:w="21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全年预算数</w:t>
            </w:r>
          </w:p>
        </w:tc>
        <w:tc>
          <w:tcPr>
            <w:tcW w:w="20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实际完成数</w:t>
            </w:r>
          </w:p>
        </w:tc>
      </w:tr>
      <w:tr>
        <w:tblPrEx>
          <w:tblLayout w:type="fixed"/>
          <w:tblCellMar>
            <w:top w:w="0" w:type="dxa"/>
            <w:left w:w="108" w:type="dxa"/>
            <w:bottom w:w="0" w:type="dxa"/>
            <w:right w:w="108" w:type="dxa"/>
          </w:tblCellMar>
        </w:tblPrEx>
        <w:trPr>
          <w:gridAfter w:val="3"/>
          <w:wAfter w:w="465" w:type="dxa"/>
          <w:trHeight w:val="285" w:hRule="atLeast"/>
        </w:trPr>
        <w:tc>
          <w:tcPr>
            <w:tcW w:w="2955" w:type="dxa"/>
            <w:gridSpan w:val="11"/>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年度资金总额：</w:t>
            </w:r>
          </w:p>
        </w:tc>
        <w:tc>
          <w:tcPr>
            <w:tcW w:w="21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309.63</w:t>
            </w:r>
          </w:p>
        </w:tc>
        <w:tc>
          <w:tcPr>
            <w:tcW w:w="20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110.39337</w:t>
            </w:r>
          </w:p>
        </w:tc>
      </w:tr>
      <w:tr>
        <w:tblPrEx>
          <w:tblLayout w:type="fixed"/>
          <w:tblCellMar>
            <w:top w:w="0" w:type="dxa"/>
            <w:left w:w="108" w:type="dxa"/>
            <w:bottom w:w="0" w:type="dxa"/>
            <w:right w:w="108" w:type="dxa"/>
          </w:tblCellMar>
        </w:tblPrEx>
        <w:trPr>
          <w:gridAfter w:val="3"/>
          <w:wAfter w:w="465" w:type="dxa"/>
          <w:trHeight w:val="570" w:hRule="atLeast"/>
        </w:trPr>
        <w:tc>
          <w:tcPr>
            <w:tcW w:w="2955" w:type="dxa"/>
            <w:gridSpan w:val="11"/>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其中：上级财政资金</w:t>
            </w:r>
          </w:p>
        </w:tc>
        <w:tc>
          <w:tcPr>
            <w:tcW w:w="21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0</w:t>
            </w:r>
          </w:p>
        </w:tc>
        <w:tc>
          <w:tcPr>
            <w:tcW w:w="20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3"/>
          <w:wAfter w:w="465" w:type="dxa"/>
          <w:trHeight w:val="570" w:hRule="atLeast"/>
        </w:trPr>
        <w:tc>
          <w:tcPr>
            <w:tcW w:w="2955" w:type="dxa"/>
            <w:gridSpan w:val="11"/>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本级财政资金</w:t>
            </w:r>
          </w:p>
        </w:tc>
        <w:tc>
          <w:tcPr>
            <w:tcW w:w="2145" w:type="dxa"/>
            <w:gridSpan w:val="3"/>
            <w:tcBorders>
              <w:top w:val="nil"/>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309.63</w:t>
            </w:r>
          </w:p>
        </w:tc>
        <w:tc>
          <w:tcPr>
            <w:tcW w:w="20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110.39337</w:t>
            </w:r>
          </w:p>
        </w:tc>
      </w:tr>
      <w:tr>
        <w:tblPrEx>
          <w:tblLayout w:type="fixed"/>
          <w:tblCellMar>
            <w:top w:w="0" w:type="dxa"/>
            <w:left w:w="108" w:type="dxa"/>
            <w:bottom w:w="0" w:type="dxa"/>
            <w:right w:w="108" w:type="dxa"/>
          </w:tblCellMar>
        </w:tblPrEx>
        <w:trPr>
          <w:gridAfter w:val="3"/>
          <w:wAfter w:w="465" w:type="dxa"/>
          <w:trHeight w:val="570" w:hRule="atLeast"/>
        </w:trPr>
        <w:tc>
          <w:tcPr>
            <w:tcW w:w="2955" w:type="dxa"/>
            <w:gridSpan w:val="11"/>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其他资金</w:t>
            </w:r>
          </w:p>
        </w:tc>
        <w:tc>
          <w:tcPr>
            <w:tcW w:w="21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0</w:t>
            </w:r>
          </w:p>
        </w:tc>
        <w:tc>
          <w:tcPr>
            <w:tcW w:w="20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0</w:t>
            </w:r>
          </w:p>
        </w:tc>
      </w:tr>
      <w:tr>
        <w:tblPrEx>
          <w:tblLayout w:type="fixed"/>
          <w:tblCellMar>
            <w:top w:w="0" w:type="dxa"/>
            <w:left w:w="108" w:type="dxa"/>
            <w:bottom w:w="0" w:type="dxa"/>
            <w:right w:w="108" w:type="dxa"/>
          </w:tblCellMar>
        </w:tblPrEx>
        <w:trPr>
          <w:gridAfter w:val="3"/>
          <w:wAfter w:w="465" w:type="dxa"/>
          <w:trHeight w:val="439" w:hRule="atLeast"/>
        </w:trPr>
        <w:tc>
          <w:tcPr>
            <w:tcW w:w="7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总</w:t>
            </w:r>
            <w:r>
              <w:rPr>
                <w:rFonts w:hint="eastAsia" w:ascii="宋体" w:hAnsi="宋体" w:cs="宋体"/>
                <w:color w:val="000000"/>
                <w:kern w:val="0"/>
                <w:sz w:val="24"/>
              </w:rPr>
              <w:br w:type="textWrapping"/>
            </w:r>
            <w:r>
              <w:rPr>
                <w:rFonts w:hint="eastAsia" w:ascii="宋体" w:hAnsi="宋体" w:cs="宋体"/>
                <w:color w:val="000000"/>
                <w:kern w:val="0"/>
                <w:sz w:val="24"/>
              </w:rPr>
              <w:t>体</w:t>
            </w:r>
            <w:r>
              <w:rPr>
                <w:rFonts w:hint="eastAsia" w:ascii="宋体" w:hAnsi="宋体" w:cs="宋体"/>
                <w:color w:val="000000"/>
                <w:kern w:val="0"/>
                <w:sz w:val="24"/>
              </w:rPr>
              <w:br w:type="textWrapping"/>
            </w:r>
            <w:r>
              <w:rPr>
                <w:rFonts w:hint="eastAsia" w:ascii="宋体" w:hAnsi="宋体" w:cs="宋体"/>
                <w:color w:val="000000"/>
                <w:kern w:val="0"/>
                <w:sz w:val="24"/>
              </w:rPr>
              <w:t>目</w:t>
            </w:r>
            <w:r>
              <w:rPr>
                <w:rFonts w:hint="eastAsia" w:ascii="宋体" w:hAnsi="宋体" w:cs="宋体"/>
                <w:color w:val="000000"/>
                <w:kern w:val="0"/>
                <w:sz w:val="24"/>
              </w:rPr>
              <w:br w:type="textWrapping"/>
            </w:r>
            <w:r>
              <w:rPr>
                <w:rFonts w:hint="eastAsia" w:ascii="宋体" w:hAnsi="宋体" w:cs="宋体"/>
                <w:color w:val="000000"/>
                <w:kern w:val="0"/>
                <w:sz w:val="24"/>
              </w:rPr>
              <w:t>标</w:t>
            </w:r>
          </w:p>
        </w:tc>
        <w:tc>
          <w:tcPr>
            <w:tcW w:w="43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年度设定目标</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实际完成情况</w:t>
            </w:r>
          </w:p>
        </w:tc>
      </w:tr>
      <w:tr>
        <w:tblPrEx>
          <w:tblLayout w:type="fixed"/>
          <w:tblCellMar>
            <w:top w:w="0" w:type="dxa"/>
            <w:left w:w="108" w:type="dxa"/>
            <w:bottom w:w="0" w:type="dxa"/>
            <w:right w:w="108" w:type="dxa"/>
          </w:tblCellMar>
        </w:tblPrEx>
        <w:trPr>
          <w:gridAfter w:val="3"/>
          <w:wAfter w:w="465" w:type="dxa"/>
          <w:trHeight w:val="1590"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4380" w:type="dxa"/>
            <w:gridSpan w:val="11"/>
            <w:tcBorders>
              <w:top w:val="single" w:color="000000" w:sz="4" w:space="0"/>
              <w:left w:val="single" w:color="000000" w:sz="4" w:space="0"/>
              <w:bottom w:val="single" w:color="000000" w:sz="4" w:space="0"/>
              <w:right w:val="single" w:color="000000" w:sz="4" w:space="0"/>
            </w:tcBorders>
            <w:shd w:val="clear" w:color="auto" w:fill="auto"/>
          </w:tcPr>
          <w:p>
            <w:pPr>
              <w:widowControl/>
              <w:jc w:val="center"/>
              <w:rPr>
                <w:rFonts w:ascii="宋体" w:hAnsi="宋体" w:cs="宋体"/>
                <w:color w:val="000000"/>
                <w:kern w:val="0"/>
                <w:sz w:val="24"/>
              </w:rPr>
            </w:pPr>
            <w:r>
              <w:rPr>
                <w:rFonts w:hint="eastAsia" w:ascii="宋体" w:hAnsi="宋体" w:cs="宋体"/>
                <w:color w:val="000000"/>
                <w:kern w:val="0"/>
                <w:sz w:val="24"/>
              </w:rPr>
              <w:br w:type="textWrapping"/>
            </w:r>
            <w:r>
              <w:rPr>
                <w:rFonts w:hint="eastAsia" w:ascii="宋体" w:hAnsi="宋体" w:cs="宋体"/>
                <w:color w:val="000000"/>
                <w:kern w:val="0"/>
                <w:sz w:val="24"/>
              </w:rPr>
              <w:t>完成粮食轮换，保证区级储备粮存储总量达到市政府下达的保底计划。</w:t>
            </w:r>
          </w:p>
        </w:tc>
        <w:tc>
          <w:tcPr>
            <w:tcW w:w="42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w:t>
            </w:r>
          </w:p>
        </w:tc>
      </w:tr>
      <w:tr>
        <w:tblPrEx>
          <w:tblLayout w:type="fixed"/>
          <w:tblCellMar>
            <w:top w:w="0" w:type="dxa"/>
            <w:left w:w="108" w:type="dxa"/>
            <w:bottom w:w="0" w:type="dxa"/>
            <w:right w:w="108" w:type="dxa"/>
          </w:tblCellMar>
        </w:tblPrEx>
        <w:trPr>
          <w:gridAfter w:val="3"/>
          <w:wAfter w:w="465" w:type="dxa"/>
          <w:trHeight w:val="570" w:hRule="atLeast"/>
        </w:trPr>
        <w:tc>
          <w:tcPr>
            <w:tcW w:w="7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绩</w:t>
            </w:r>
            <w:r>
              <w:rPr>
                <w:rFonts w:hint="eastAsia" w:ascii="宋体" w:hAnsi="宋体" w:cs="宋体"/>
                <w:color w:val="000000"/>
                <w:kern w:val="0"/>
                <w:sz w:val="24"/>
              </w:rPr>
              <w:br w:type="textWrapping"/>
            </w:r>
            <w:r>
              <w:rPr>
                <w:rFonts w:hint="eastAsia" w:ascii="宋体" w:hAnsi="宋体" w:cs="宋体"/>
                <w:color w:val="000000"/>
                <w:kern w:val="0"/>
                <w:sz w:val="24"/>
              </w:rPr>
              <w:t>效</w:t>
            </w:r>
            <w:r>
              <w:rPr>
                <w:rFonts w:hint="eastAsia" w:ascii="宋体" w:hAnsi="宋体" w:cs="宋体"/>
                <w:color w:val="000000"/>
                <w:kern w:val="0"/>
                <w:sz w:val="24"/>
              </w:rPr>
              <w:br w:type="textWrapping"/>
            </w:r>
            <w:r>
              <w:rPr>
                <w:rFonts w:hint="eastAsia" w:ascii="宋体" w:hAnsi="宋体" w:cs="宋体"/>
                <w:color w:val="000000"/>
                <w:kern w:val="0"/>
                <w:sz w:val="24"/>
              </w:rPr>
              <w:t>指</w:t>
            </w:r>
            <w:r>
              <w:rPr>
                <w:rFonts w:hint="eastAsia" w:ascii="宋体" w:hAnsi="宋体" w:cs="宋体"/>
                <w:color w:val="000000"/>
                <w:kern w:val="0"/>
                <w:sz w:val="24"/>
              </w:rPr>
              <w:br w:type="textWrapping"/>
            </w:r>
            <w:r>
              <w:rPr>
                <w:rFonts w:hint="eastAsia" w:ascii="宋体" w:hAnsi="宋体" w:cs="宋体"/>
                <w:color w:val="000000"/>
                <w:kern w:val="0"/>
                <w:sz w:val="24"/>
              </w:rPr>
              <w:t>标</w:t>
            </w:r>
          </w:p>
        </w:tc>
        <w:tc>
          <w:tcPr>
            <w:tcW w:w="735" w:type="dxa"/>
            <w:gridSpan w:val="2"/>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一级</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14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二级指标</w:t>
            </w: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三级指标</w:t>
            </w:r>
          </w:p>
        </w:tc>
        <w:tc>
          <w:tcPr>
            <w:tcW w:w="21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年度指标值</w:t>
            </w:r>
          </w:p>
        </w:tc>
        <w:tc>
          <w:tcPr>
            <w:tcW w:w="20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实际完成数</w:t>
            </w:r>
          </w:p>
        </w:tc>
      </w:tr>
      <w:tr>
        <w:tblPrEx>
          <w:tblLayout w:type="fixed"/>
          <w:tblCellMar>
            <w:top w:w="0" w:type="dxa"/>
            <w:left w:w="108" w:type="dxa"/>
            <w:bottom w:w="0" w:type="dxa"/>
            <w:right w:w="108" w:type="dxa"/>
          </w:tblCellMar>
        </w:tblPrEx>
        <w:trPr>
          <w:gridAfter w:val="3"/>
          <w:wAfter w:w="465" w:type="dxa"/>
          <w:trHeight w:val="435"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restart"/>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项目完成</w:t>
            </w:r>
          </w:p>
        </w:tc>
        <w:tc>
          <w:tcPr>
            <w:tcW w:w="1485" w:type="dxa"/>
            <w:gridSpan w:val="6"/>
            <w:vMerge w:val="restart"/>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数量指标</w:t>
            </w: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轮换入库晚籼稻谷</w:t>
            </w:r>
          </w:p>
        </w:tc>
        <w:tc>
          <w:tcPr>
            <w:tcW w:w="21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997.31吨</w:t>
            </w:r>
          </w:p>
        </w:tc>
        <w:tc>
          <w:tcPr>
            <w:tcW w:w="20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3"/>
          <w:wAfter w:w="465" w:type="dxa"/>
          <w:trHeight w:val="435"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continue"/>
            <w:tcBorders>
              <w:top w:val="single" w:color="000000" w:sz="4" w:space="0"/>
              <w:left w:val="single" w:color="000000" w:sz="4" w:space="0"/>
              <w:bottom w:val="nil"/>
              <w:right w:val="single" w:color="000000" w:sz="4" w:space="0"/>
            </w:tcBorders>
            <w:vAlign w:val="center"/>
          </w:tcPr>
          <w:p>
            <w:pPr>
              <w:widowControl/>
              <w:jc w:val="left"/>
              <w:rPr>
                <w:rFonts w:ascii="宋体" w:hAnsi="宋体" w:cs="宋体"/>
                <w:color w:val="000000"/>
                <w:kern w:val="0"/>
                <w:sz w:val="24"/>
              </w:rPr>
            </w:pPr>
          </w:p>
        </w:tc>
        <w:tc>
          <w:tcPr>
            <w:tcW w:w="1485" w:type="dxa"/>
            <w:gridSpan w:val="6"/>
            <w:vMerge w:val="continue"/>
            <w:tcBorders>
              <w:top w:val="single" w:color="000000" w:sz="4" w:space="0"/>
              <w:left w:val="single" w:color="000000" w:sz="4" w:space="0"/>
              <w:bottom w:val="nil"/>
              <w:right w:val="single" w:color="000000" w:sz="4" w:space="0"/>
            </w:tcBorders>
            <w:vAlign w:val="center"/>
          </w:tcPr>
          <w:p>
            <w:pPr>
              <w:widowControl/>
              <w:jc w:val="left"/>
              <w:rPr>
                <w:rFonts w:ascii="宋体" w:hAnsi="宋体" w:cs="宋体"/>
                <w:color w:val="000000"/>
                <w:kern w:val="0"/>
                <w:sz w:val="24"/>
              </w:rPr>
            </w:pPr>
          </w:p>
        </w:tc>
        <w:tc>
          <w:tcPr>
            <w:tcW w:w="216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轮换入库小麦</w:t>
            </w:r>
          </w:p>
        </w:tc>
        <w:tc>
          <w:tcPr>
            <w:tcW w:w="21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1206.44吨</w:t>
            </w:r>
          </w:p>
        </w:tc>
        <w:tc>
          <w:tcPr>
            <w:tcW w:w="20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3"/>
          <w:wAfter w:w="465" w:type="dxa"/>
          <w:trHeight w:val="435"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continue"/>
            <w:tcBorders>
              <w:top w:val="single" w:color="000000" w:sz="4" w:space="0"/>
              <w:left w:val="single" w:color="000000" w:sz="4" w:space="0"/>
              <w:bottom w:val="nil"/>
              <w:right w:val="single" w:color="000000" w:sz="4" w:space="0"/>
            </w:tcBorders>
            <w:vAlign w:val="center"/>
          </w:tcPr>
          <w:p>
            <w:pPr>
              <w:widowControl/>
              <w:jc w:val="left"/>
              <w:rPr>
                <w:rFonts w:ascii="宋体" w:hAnsi="宋体" w:cs="宋体"/>
                <w:color w:val="000000"/>
                <w:kern w:val="0"/>
                <w:sz w:val="24"/>
              </w:rPr>
            </w:pPr>
          </w:p>
        </w:tc>
        <w:tc>
          <w:tcPr>
            <w:tcW w:w="1485"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质量指标</w:t>
            </w:r>
          </w:p>
        </w:tc>
        <w:tc>
          <w:tcPr>
            <w:tcW w:w="21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按指标存储粮食</w:t>
            </w:r>
          </w:p>
        </w:tc>
        <w:tc>
          <w:tcPr>
            <w:tcW w:w="21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确保区级储备粮保质保量存储</w:t>
            </w:r>
          </w:p>
        </w:tc>
        <w:tc>
          <w:tcPr>
            <w:tcW w:w="205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3"/>
          <w:wAfter w:w="465" w:type="dxa"/>
          <w:trHeight w:val="435"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continue"/>
            <w:tcBorders>
              <w:top w:val="single" w:color="000000" w:sz="4" w:space="0"/>
              <w:left w:val="single" w:color="000000" w:sz="4" w:space="0"/>
              <w:bottom w:val="nil"/>
              <w:right w:val="single" w:color="000000" w:sz="4" w:space="0"/>
            </w:tcBorders>
            <w:vAlign w:val="center"/>
          </w:tcPr>
          <w:p>
            <w:pPr>
              <w:widowControl/>
              <w:jc w:val="left"/>
              <w:rPr>
                <w:rFonts w:ascii="宋体" w:hAnsi="宋体" w:cs="宋体"/>
                <w:color w:val="000000"/>
                <w:kern w:val="0"/>
                <w:sz w:val="24"/>
              </w:rPr>
            </w:pPr>
          </w:p>
        </w:tc>
        <w:tc>
          <w:tcPr>
            <w:tcW w:w="14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60"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4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05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3"/>
          <w:wAfter w:w="465" w:type="dxa"/>
          <w:trHeight w:val="435"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continue"/>
            <w:tcBorders>
              <w:top w:val="single" w:color="000000" w:sz="4" w:space="0"/>
              <w:left w:val="single" w:color="000000" w:sz="4" w:space="0"/>
              <w:bottom w:val="nil"/>
              <w:right w:val="single" w:color="000000" w:sz="4" w:space="0"/>
            </w:tcBorders>
            <w:vAlign w:val="center"/>
          </w:tcPr>
          <w:p>
            <w:pPr>
              <w:widowControl/>
              <w:jc w:val="left"/>
              <w:rPr>
                <w:rFonts w:ascii="宋体" w:hAnsi="宋体" w:cs="宋体"/>
                <w:color w:val="000000"/>
                <w:kern w:val="0"/>
                <w:sz w:val="24"/>
              </w:rPr>
            </w:pPr>
          </w:p>
        </w:tc>
        <w:tc>
          <w:tcPr>
            <w:tcW w:w="14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60"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4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05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3"/>
          <w:wAfter w:w="465" w:type="dxa"/>
          <w:trHeight w:val="435"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continue"/>
            <w:tcBorders>
              <w:top w:val="single" w:color="000000" w:sz="4" w:space="0"/>
              <w:left w:val="single" w:color="000000" w:sz="4" w:space="0"/>
              <w:bottom w:val="nil"/>
              <w:right w:val="single" w:color="000000" w:sz="4" w:space="0"/>
            </w:tcBorders>
            <w:vAlign w:val="center"/>
          </w:tcPr>
          <w:p>
            <w:pPr>
              <w:widowControl/>
              <w:jc w:val="left"/>
              <w:rPr>
                <w:rFonts w:ascii="宋体" w:hAnsi="宋体" w:cs="宋体"/>
                <w:color w:val="000000"/>
                <w:kern w:val="0"/>
                <w:sz w:val="24"/>
              </w:rPr>
            </w:pPr>
          </w:p>
        </w:tc>
        <w:tc>
          <w:tcPr>
            <w:tcW w:w="1485"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时效指标</w:t>
            </w:r>
          </w:p>
        </w:tc>
        <w:tc>
          <w:tcPr>
            <w:tcW w:w="21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完成粮食轮换</w:t>
            </w:r>
          </w:p>
        </w:tc>
        <w:tc>
          <w:tcPr>
            <w:tcW w:w="21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2019年年底以前</w:t>
            </w:r>
          </w:p>
        </w:tc>
        <w:tc>
          <w:tcPr>
            <w:tcW w:w="205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3"/>
          <w:wAfter w:w="465" w:type="dxa"/>
          <w:trHeight w:val="435"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continue"/>
            <w:tcBorders>
              <w:top w:val="single" w:color="000000" w:sz="4" w:space="0"/>
              <w:left w:val="single" w:color="000000" w:sz="4" w:space="0"/>
              <w:bottom w:val="nil"/>
              <w:right w:val="single" w:color="000000" w:sz="4" w:space="0"/>
            </w:tcBorders>
            <w:vAlign w:val="center"/>
          </w:tcPr>
          <w:p>
            <w:pPr>
              <w:widowControl/>
              <w:jc w:val="left"/>
              <w:rPr>
                <w:rFonts w:ascii="宋体" w:hAnsi="宋体" w:cs="宋体"/>
                <w:color w:val="000000"/>
                <w:kern w:val="0"/>
                <w:sz w:val="24"/>
              </w:rPr>
            </w:pPr>
          </w:p>
        </w:tc>
        <w:tc>
          <w:tcPr>
            <w:tcW w:w="14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60"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4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05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3"/>
          <w:wAfter w:w="465" w:type="dxa"/>
          <w:trHeight w:val="435"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continue"/>
            <w:tcBorders>
              <w:top w:val="single" w:color="000000" w:sz="4" w:space="0"/>
              <w:left w:val="single" w:color="000000" w:sz="4" w:space="0"/>
              <w:bottom w:val="nil"/>
              <w:right w:val="single" w:color="000000" w:sz="4" w:space="0"/>
            </w:tcBorders>
            <w:vAlign w:val="center"/>
          </w:tcPr>
          <w:p>
            <w:pPr>
              <w:widowControl/>
              <w:jc w:val="left"/>
              <w:rPr>
                <w:rFonts w:ascii="宋体" w:hAnsi="宋体" w:cs="宋体"/>
                <w:color w:val="000000"/>
                <w:kern w:val="0"/>
                <w:sz w:val="24"/>
              </w:rPr>
            </w:pPr>
          </w:p>
        </w:tc>
        <w:tc>
          <w:tcPr>
            <w:tcW w:w="14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60"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4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05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3"/>
          <w:wAfter w:w="465" w:type="dxa"/>
          <w:trHeight w:val="855"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continue"/>
            <w:tcBorders>
              <w:top w:val="single" w:color="000000" w:sz="4" w:space="0"/>
              <w:left w:val="single" w:color="000000" w:sz="4" w:space="0"/>
              <w:bottom w:val="nil"/>
              <w:right w:val="single" w:color="000000" w:sz="4" w:space="0"/>
            </w:tcBorders>
            <w:vAlign w:val="center"/>
          </w:tcPr>
          <w:p>
            <w:pPr>
              <w:widowControl/>
              <w:jc w:val="left"/>
              <w:rPr>
                <w:rFonts w:ascii="宋体" w:hAnsi="宋体" w:cs="宋体"/>
                <w:color w:val="000000"/>
                <w:kern w:val="0"/>
                <w:sz w:val="24"/>
              </w:rPr>
            </w:pPr>
          </w:p>
        </w:tc>
        <w:tc>
          <w:tcPr>
            <w:tcW w:w="1485" w:type="dxa"/>
            <w:gridSpan w:val="6"/>
            <w:vMerge w:val="restart"/>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成本指标</w:t>
            </w:r>
          </w:p>
        </w:tc>
        <w:tc>
          <w:tcPr>
            <w:tcW w:w="216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需轮换入库997.31吨晚籼稻谷、1206.44小麦。</w:t>
            </w:r>
          </w:p>
        </w:tc>
        <w:tc>
          <w:tcPr>
            <w:tcW w:w="2145" w:type="dxa"/>
            <w:gridSpan w:val="3"/>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2510000元</w:t>
            </w:r>
          </w:p>
        </w:tc>
        <w:tc>
          <w:tcPr>
            <w:tcW w:w="20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3"/>
          <w:wAfter w:w="465" w:type="dxa"/>
          <w:trHeight w:val="570"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continue"/>
            <w:tcBorders>
              <w:top w:val="single" w:color="000000" w:sz="4" w:space="0"/>
              <w:left w:val="single" w:color="000000" w:sz="4" w:space="0"/>
              <w:bottom w:val="nil"/>
              <w:right w:val="single" w:color="000000" w:sz="4" w:space="0"/>
            </w:tcBorders>
            <w:vAlign w:val="center"/>
          </w:tcPr>
          <w:p>
            <w:pPr>
              <w:widowControl/>
              <w:jc w:val="left"/>
              <w:rPr>
                <w:rFonts w:ascii="宋体" w:hAnsi="宋体" w:cs="宋体"/>
                <w:color w:val="000000"/>
                <w:kern w:val="0"/>
                <w:sz w:val="24"/>
              </w:rPr>
            </w:pPr>
          </w:p>
        </w:tc>
        <w:tc>
          <w:tcPr>
            <w:tcW w:w="1485" w:type="dxa"/>
            <w:gridSpan w:val="6"/>
            <w:vMerge w:val="continue"/>
            <w:tcBorders>
              <w:top w:val="single" w:color="000000" w:sz="4" w:space="0"/>
              <w:left w:val="single" w:color="000000" w:sz="4" w:space="0"/>
              <w:bottom w:val="nil"/>
              <w:right w:val="single" w:color="000000" w:sz="4" w:space="0"/>
            </w:tcBorders>
            <w:vAlign w:val="center"/>
          </w:tcPr>
          <w:p>
            <w:pPr>
              <w:widowControl/>
              <w:jc w:val="left"/>
              <w:rPr>
                <w:rFonts w:ascii="宋体" w:hAnsi="宋体" w:cs="宋体"/>
                <w:color w:val="000000"/>
                <w:kern w:val="0"/>
                <w:sz w:val="24"/>
              </w:rPr>
            </w:pPr>
          </w:p>
        </w:tc>
        <w:tc>
          <w:tcPr>
            <w:tcW w:w="2160" w:type="dxa"/>
            <w:gridSpan w:val="3"/>
            <w:tcBorders>
              <w:top w:val="single" w:color="000000" w:sz="4" w:space="0"/>
              <w:left w:val="nil"/>
              <w:bottom w:val="nil"/>
              <w:right w:val="nil"/>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粮食保管费</w:t>
            </w:r>
          </w:p>
        </w:tc>
        <w:tc>
          <w:tcPr>
            <w:tcW w:w="2145" w:type="dxa"/>
            <w:gridSpan w:val="3"/>
            <w:tcBorders>
              <w:top w:val="single" w:color="000000" w:sz="4" w:space="0"/>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4510吨×130元/吨=586300元</w:t>
            </w:r>
          </w:p>
        </w:tc>
        <w:tc>
          <w:tcPr>
            <w:tcW w:w="20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3"/>
          <w:wAfter w:w="465" w:type="dxa"/>
          <w:trHeight w:val="450"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restart"/>
            <w:tcBorders>
              <w:top w:val="nil"/>
              <w:left w:val="single" w:color="000000" w:sz="4" w:space="0"/>
              <w:bottom w:val="nil"/>
              <w:right w:val="single" w:color="000000" w:sz="4" w:space="0"/>
            </w:tcBorders>
            <w:shd w:val="clear" w:color="auto" w:fill="auto"/>
            <w:vAlign w:val="center"/>
          </w:tcPr>
          <w:p>
            <w:pPr>
              <w:widowControl/>
              <w:jc w:val="center"/>
              <w:rPr>
                <w:rFonts w:ascii="宋体" w:hAnsi="宋体" w:cs="宋体"/>
                <w:color w:val="000000"/>
                <w:kern w:val="0"/>
                <w:sz w:val="24"/>
              </w:rPr>
            </w:pPr>
          </w:p>
        </w:tc>
        <w:tc>
          <w:tcPr>
            <w:tcW w:w="1485"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社会效益</w:t>
            </w:r>
            <w:r>
              <w:rPr>
                <w:rFonts w:hint="eastAsia" w:ascii="宋体" w:hAnsi="宋体" w:cs="宋体"/>
                <w:color w:val="000000"/>
                <w:kern w:val="0"/>
                <w:sz w:val="24"/>
              </w:rPr>
              <w:br w:type="textWrapping"/>
            </w:r>
            <w:r>
              <w:rPr>
                <w:rFonts w:hint="eastAsia" w:ascii="宋体" w:hAnsi="宋体" w:cs="宋体"/>
                <w:color w:val="000000"/>
                <w:kern w:val="0"/>
                <w:sz w:val="24"/>
              </w:rPr>
              <w:t>指标</w:t>
            </w:r>
          </w:p>
        </w:tc>
        <w:tc>
          <w:tcPr>
            <w:tcW w:w="21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确保区级储备量存储总量</w:t>
            </w:r>
          </w:p>
        </w:tc>
        <w:tc>
          <w:tcPr>
            <w:tcW w:w="21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保证区级储备粮存储总量达到市政府下达的保底计划</w:t>
            </w:r>
          </w:p>
        </w:tc>
        <w:tc>
          <w:tcPr>
            <w:tcW w:w="205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3"/>
          <w:wAfter w:w="465" w:type="dxa"/>
          <w:trHeight w:val="312"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continue"/>
            <w:tcBorders>
              <w:top w:val="nil"/>
              <w:left w:val="single" w:color="000000" w:sz="4" w:space="0"/>
              <w:bottom w:val="nil"/>
              <w:right w:val="single" w:color="000000" w:sz="4" w:space="0"/>
            </w:tcBorders>
            <w:vAlign w:val="center"/>
          </w:tcPr>
          <w:p>
            <w:pPr>
              <w:widowControl/>
              <w:jc w:val="left"/>
              <w:rPr>
                <w:rFonts w:ascii="宋体" w:hAnsi="宋体" w:cs="宋体"/>
                <w:color w:val="000000"/>
                <w:kern w:val="0"/>
                <w:sz w:val="24"/>
              </w:rPr>
            </w:pPr>
          </w:p>
        </w:tc>
        <w:tc>
          <w:tcPr>
            <w:tcW w:w="14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60"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4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05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3"/>
          <w:wAfter w:w="465" w:type="dxa"/>
          <w:trHeight w:val="312"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continue"/>
            <w:tcBorders>
              <w:top w:val="nil"/>
              <w:left w:val="single" w:color="000000" w:sz="4" w:space="0"/>
              <w:bottom w:val="nil"/>
              <w:right w:val="single" w:color="000000" w:sz="4" w:space="0"/>
            </w:tcBorders>
            <w:vAlign w:val="center"/>
          </w:tcPr>
          <w:p>
            <w:pPr>
              <w:widowControl/>
              <w:jc w:val="left"/>
              <w:rPr>
                <w:rFonts w:ascii="宋体" w:hAnsi="宋体" w:cs="宋体"/>
                <w:color w:val="000000"/>
                <w:kern w:val="0"/>
                <w:sz w:val="24"/>
              </w:rPr>
            </w:pPr>
          </w:p>
        </w:tc>
        <w:tc>
          <w:tcPr>
            <w:tcW w:w="14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60"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4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05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3"/>
          <w:wAfter w:w="465" w:type="dxa"/>
          <w:trHeight w:val="312"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满意度指标</w:t>
            </w:r>
          </w:p>
        </w:tc>
        <w:tc>
          <w:tcPr>
            <w:tcW w:w="1485"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满意度指标</w:t>
            </w:r>
          </w:p>
        </w:tc>
        <w:tc>
          <w:tcPr>
            <w:tcW w:w="21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群众满意度</w:t>
            </w:r>
          </w:p>
        </w:tc>
        <w:tc>
          <w:tcPr>
            <w:tcW w:w="21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抽样调查达到基本满意及以上</w:t>
            </w:r>
          </w:p>
        </w:tc>
        <w:tc>
          <w:tcPr>
            <w:tcW w:w="205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已完成100%</w:t>
            </w:r>
          </w:p>
        </w:tc>
      </w:tr>
      <w:tr>
        <w:tblPrEx>
          <w:tblLayout w:type="fixed"/>
          <w:tblCellMar>
            <w:top w:w="0" w:type="dxa"/>
            <w:left w:w="108" w:type="dxa"/>
            <w:bottom w:w="0" w:type="dxa"/>
            <w:right w:w="108" w:type="dxa"/>
          </w:tblCellMar>
        </w:tblPrEx>
        <w:trPr>
          <w:gridAfter w:val="3"/>
          <w:wAfter w:w="465" w:type="dxa"/>
          <w:trHeight w:val="312"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4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60"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4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05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3"/>
          <w:wAfter w:w="465" w:type="dxa"/>
          <w:trHeight w:val="312"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4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60"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4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05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0" w:type="dxa"/>
            <w:left w:w="108" w:type="dxa"/>
            <w:bottom w:w="0" w:type="dxa"/>
            <w:right w:w="108" w:type="dxa"/>
          </w:tblCellMar>
        </w:tblPrEx>
        <w:trPr>
          <w:gridAfter w:val="3"/>
          <w:wAfter w:w="465" w:type="dxa"/>
          <w:trHeight w:val="312" w:hRule="atLeast"/>
        </w:trPr>
        <w:tc>
          <w:tcPr>
            <w:tcW w:w="7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735"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485" w:type="dxa"/>
            <w:gridSpan w:val="6"/>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60"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14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055" w:type="dxa"/>
            <w:gridSpan w:val="4"/>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bl>
    <w:p>
      <w:pPr>
        <w:spacing w:line="360" w:lineRule="auto"/>
        <w:ind w:left="630"/>
        <w:rPr>
          <w:rFonts w:ascii="仿宋_GB2312" w:hAnsi="仿宋_GB2312" w:eastAsia="仿宋_GB2312" w:cs="仿宋_GB2312"/>
          <w:sz w:val="32"/>
          <w:szCs w:val="32"/>
        </w:rPr>
      </w:pPr>
      <w:r>
        <w:rPr>
          <w:rFonts w:hint="eastAsia" w:ascii="楷体_GB2312" w:hAnsi="楷体_GB2312" w:eastAsia="楷体_GB2312" w:cs="楷体_GB2312"/>
          <w:sz w:val="32"/>
          <w:szCs w:val="32"/>
        </w:rPr>
        <w:t>2.部门绩效评价结果。</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本部门按要求对2019年部门整体支出绩效评价情况开展自评，《攀枝花市西区发展和改革局2019年部门整体支出绩效评价报告》见附件（附件1）。</w:t>
      </w:r>
    </w:p>
    <w:p>
      <w:pPr>
        <w:spacing w:line="360" w:lineRule="auto"/>
        <w:ind w:firstLine="640" w:firstLineChars="200"/>
        <w:rPr>
          <w:rFonts w:ascii="仿宋_GB2312" w:eastAsia="仿宋_GB2312"/>
          <w:b/>
          <w:color w:val="000000"/>
          <w:sz w:val="32"/>
          <w:szCs w:val="32"/>
        </w:rPr>
      </w:pPr>
      <w:r>
        <w:rPr>
          <w:rFonts w:hint="eastAsia" w:ascii="仿宋_GB2312" w:hAnsi="仿宋_GB2312" w:eastAsia="仿宋_GB2312" w:cs="仿宋_GB2312"/>
          <w:sz w:val="32"/>
          <w:szCs w:val="32"/>
        </w:rPr>
        <w:t>本部门自行组织对5个项目开展了绩效评价，《专项项目2019年绩效评价报告》见附件（附件2）。</w:t>
      </w:r>
    </w:p>
    <w:p>
      <w:pPr>
        <w:widowControl/>
        <w:spacing w:line="360" w:lineRule="auto"/>
        <w:jc w:val="left"/>
        <w:rPr>
          <w:rFonts w:ascii="仿宋_GB2312" w:eastAsia="仿宋_GB2312"/>
          <w:b/>
          <w:color w:val="000000"/>
          <w:sz w:val="32"/>
          <w:szCs w:val="32"/>
        </w:rPr>
      </w:pPr>
      <w:r>
        <w:rPr>
          <w:rFonts w:ascii="仿宋_GB2312" w:eastAsia="仿宋_GB2312"/>
          <w:b/>
          <w:color w:val="000000"/>
          <w:sz w:val="32"/>
          <w:szCs w:val="32"/>
        </w:rPr>
        <w:br w:type="page"/>
      </w:r>
    </w:p>
    <w:p>
      <w:pPr>
        <w:pStyle w:val="2"/>
        <w:jc w:val="center"/>
        <w:rPr>
          <w:rStyle w:val="26"/>
          <w:rFonts w:ascii="黑体" w:hAnsi="黑体" w:eastAsia="黑体"/>
          <w:b/>
          <w:bCs w:val="0"/>
        </w:rPr>
      </w:pPr>
      <w:bookmarkStart w:id="65" w:name="_Toc15377225"/>
      <w:bookmarkStart w:id="66" w:name="_Toc15396613"/>
      <w:r>
        <w:rPr>
          <w:rFonts w:hint="eastAsia"/>
        </w:rPr>
        <w:t>第三部分 名</w:t>
      </w:r>
      <w:r>
        <w:rPr>
          <w:rStyle w:val="26"/>
          <w:rFonts w:hint="eastAsia" w:ascii="黑体" w:hAnsi="黑体" w:eastAsia="黑体"/>
          <w:b w:val="0"/>
          <w:bCs w:val="0"/>
        </w:rPr>
        <w:t>词解释</w:t>
      </w:r>
      <w:bookmarkEnd w:id="65"/>
      <w:bookmarkEnd w:id="66"/>
    </w:p>
    <w:p>
      <w:pPr>
        <w:spacing w:line="360" w:lineRule="auto"/>
        <w:jc w:val="left"/>
        <w:rPr>
          <w:rFonts w:ascii="宋体"/>
          <w:b/>
          <w:color w:val="000000"/>
          <w:sz w:val="44"/>
          <w:szCs w:val="44"/>
        </w:rPr>
      </w:pPr>
    </w:p>
    <w:p>
      <w:pPr>
        <w:pStyle w:val="24"/>
        <w:spacing w:line="360" w:lineRule="auto"/>
        <w:ind w:firstLine="640" w:firstLineChars="200"/>
        <w:rPr>
          <w:rFonts w:ascii="仿宋_GB2312" w:eastAsia="仿宋_GB2312"/>
          <w:sz w:val="32"/>
          <w:szCs w:val="32"/>
        </w:rPr>
      </w:pPr>
      <w:bookmarkStart w:id="67" w:name="_Toc15377226"/>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pPr>
        <w:pStyle w:val="24"/>
        <w:spacing w:line="360" w:lineRule="auto"/>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pPr>
        <w:pStyle w:val="24"/>
        <w:spacing w:line="360" w:lineRule="auto"/>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pPr>
        <w:pStyle w:val="24"/>
        <w:spacing w:line="360" w:lineRule="auto"/>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其他收入：指单位取得的除上述收入以外的各项收入。主要是利息收入。</w:t>
      </w:r>
    </w:p>
    <w:p>
      <w:pPr>
        <w:pStyle w:val="24"/>
        <w:spacing w:line="360" w:lineRule="auto"/>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pPr>
        <w:pStyle w:val="24"/>
        <w:spacing w:line="360" w:lineRule="auto"/>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p>
    <w:p>
      <w:pPr>
        <w:pStyle w:val="24"/>
        <w:spacing w:line="360" w:lineRule="auto"/>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pPr>
        <w:pStyle w:val="24"/>
        <w:spacing w:line="360" w:lineRule="auto"/>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pPr>
        <w:spacing w:line="360" w:lineRule="auto"/>
        <w:ind w:firstLine="640" w:firstLineChars="200"/>
        <w:rPr>
          <w:rFonts w:ascii="仿宋" w:hAnsi="仿宋" w:eastAsia="仿宋"/>
          <w:color w:val="000000"/>
          <w:sz w:val="32"/>
          <w:szCs w:val="32"/>
        </w:rPr>
      </w:pPr>
      <w:r>
        <w:rPr>
          <w:rFonts w:ascii="仿宋_GB2312" w:eastAsia="仿宋_GB2312"/>
          <w:color w:val="000000"/>
          <w:sz w:val="32"/>
          <w:szCs w:val="32"/>
        </w:rPr>
        <w:t>9.</w:t>
      </w:r>
      <w:r>
        <w:rPr>
          <w:rFonts w:hint="eastAsia" w:ascii="仿宋_GB2312" w:eastAsia="仿宋_GB2312"/>
          <w:color w:val="000000"/>
          <w:sz w:val="32"/>
          <w:szCs w:val="32"/>
        </w:rPr>
        <w:t xml:space="preserve"> 一般公共服务（类）发展与改革事务（款）行政运行（项）：反映行政单位（包括实行公务员管理的事业单位）的基本支出；一般行政管理事务（项）：反映行政单位（包括实行公务员管理的事业单位）未单独设置项级科目的其他项目支出；</w:t>
      </w:r>
      <w:r>
        <w:rPr>
          <w:rFonts w:hint="eastAsia" w:ascii="仿宋" w:hAnsi="仿宋" w:eastAsia="仿宋"/>
          <w:color w:val="000000"/>
          <w:sz w:val="32"/>
          <w:szCs w:val="32"/>
        </w:rPr>
        <w:t>事业运行（项）：反映事业单位的基本支出，不包括行政单位（包括实行公务员管理的事业单位）后勤服务中心、医务室等附属事业单位。</w:t>
      </w:r>
    </w:p>
    <w:p>
      <w:pPr>
        <w:spacing w:line="360" w:lineRule="auto"/>
        <w:ind w:firstLine="640" w:firstLineChars="200"/>
        <w:rPr>
          <w:rFonts w:ascii="仿宋" w:hAnsi="仿宋" w:eastAsia="仿宋"/>
          <w:color w:val="000000"/>
          <w:sz w:val="32"/>
          <w:szCs w:val="32"/>
        </w:rPr>
      </w:pPr>
      <w:r>
        <w:rPr>
          <w:rFonts w:hint="eastAsia" w:ascii="仿宋_GB2312" w:eastAsia="仿宋_GB2312"/>
          <w:color w:val="000000"/>
          <w:sz w:val="32"/>
          <w:szCs w:val="32"/>
        </w:rPr>
        <w:t>10.社会保障和就业（类）行政事业单位离退休（款）</w:t>
      </w:r>
      <w:r>
        <w:rPr>
          <w:rFonts w:hint="eastAsia" w:ascii="仿宋" w:hAnsi="仿宋" w:eastAsia="仿宋"/>
          <w:color w:val="000000"/>
          <w:sz w:val="32"/>
          <w:szCs w:val="32"/>
        </w:rPr>
        <w:t>未归口管理的行政单位离退休（项）：反映未实行归口管理的行政单位（包括实行公务员管理的事业单位）开支的离退休支出；</w:t>
      </w:r>
      <w:r>
        <w:rPr>
          <w:rFonts w:hint="eastAsia" w:ascii="仿宋_GB2312" w:eastAsia="仿宋_GB2312"/>
          <w:color w:val="000000"/>
          <w:sz w:val="32"/>
          <w:szCs w:val="32"/>
        </w:rPr>
        <w:t>机关事业单位基本养老保险缴费支出（项）：反映单位为职工缴纳的基本养老保险费。</w:t>
      </w:r>
    </w:p>
    <w:p>
      <w:pPr>
        <w:spacing w:line="360" w:lineRule="auto"/>
        <w:ind w:firstLine="640" w:firstLineChars="200"/>
        <w:rPr>
          <w:rFonts w:ascii="仿宋_GB2312" w:eastAsia="仿宋_GB2312"/>
          <w:color w:val="000000"/>
          <w:sz w:val="32"/>
          <w:szCs w:val="32"/>
        </w:rPr>
      </w:pPr>
      <w:r>
        <w:rPr>
          <w:rFonts w:hint="eastAsia" w:ascii="仿宋_GB2312" w:eastAsia="仿宋_GB2312"/>
          <w:color w:val="000000"/>
          <w:sz w:val="32"/>
          <w:szCs w:val="32"/>
        </w:rPr>
        <w:t>11. 医疗卫生与计划生育支出（类）行政事业单位医疗（款）行政单位医疗（项）：反映财政部门集中安排的行政单位基本医疗保险缴费经费，未参加医疗保险的行政单位的公费医疗保险经费，按国家规定享受离休人员和红军老战士待遇人员的医疗经费；</w:t>
      </w:r>
      <w:r>
        <w:rPr>
          <w:rFonts w:hint="eastAsia" w:ascii="仿宋" w:hAnsi="仿宋" w:eastAsia="仿宋"/>
          <w:color w:val="000000"/>
          <w:sz w:val="32"/>
          <w:szCs w:val="32"/>
        </w:rPr>
        <w:t>事业单位医疗（项）：反映财政部门集中安排的事业单位基本医疗保险缴费经费，未参加医疗保险的事业单位公费医疗经费，按国家规定享受离休人员待遇人员的医疗经费；</w:t>
      </w:r>
      <w:r>
        <w:rPr>
          <w:rFonts w:hint="eastAsia" w:ascii="仿宋_GB2312" w:eastAsia="仿宋_GB2312"/>
          <w:color w:val="000000"/>
          <w:sz w:val="32"/>
          <w:szCs w:val="32"/>
        </w:rPr>
        <w:t>公务员医疗补助（项）：反映财政部门集中安排的公务员医疗补助经费。</w:t>
      </w:r>
    </w:p>
    <w:p>
      <w:pPr>
        <w:spacing w:line="360" w:lineRule="auto"/>
        <w:ind w:firstLine="640" w:firstLineChars="200"/>
        <w:rPr>
          <w:rFonts w:ascii="仿宋_GB2312" w:eastAsia="仿宋"/>
          <w:color w:val="000000"/>
          <w:sz w:val="32"/>
          <w:szCs w:val="32"/>
        </w:rPr>
      </w:pPr>
      <w:r>
        <w:rPr>
          <w:rFonts w:hint="eastAsia" w:ascii="仿宋" w:hAnsi="仿宋" w:eastAsia="仿宋"/>
          <w:color w:val="000000"/>
          <w:sz w:val="32"/>
          <w:szCs w:val="32"/>
        </w:rPr>
        <w:t>12.节能环保支出（类）污染减排（款）清洁生产专项支出（项）反映支持清洁生产方面的支出。</w:t>
      </w:r>
    </w:p>
    <w:p>
      <w:pPr>
        <w:spacing w:line="360" w:lineRule="auto"/>
        <w:ind w:firstLine="640" w:firstLineChars="200"/>
        <w:rPr>
          <w:rFonts w:ascii="仿宋" w:hAnsi="仿宋" w:eastAsia="仿宋"/>
          <w:color w:val="000000"/>
          <w:sz w:val="32"/>
          <w:szCs w:val="32"/>
        </w:rPr>
      </w:pPr>
      <w:r>
        <w:rPr>
          <w:rFonts w:hint="eastAsia" w:ascii="仿宋" w:hAnsi="仿宋" w:eastAsia="仿宋"/>
          <w:color w:val="000000"/>
          <w:sz w:val="32"/>
          <w:szCs w:val="32"/>
        </w:rPr>
        <w:t>13. 城乡社区支出（类）国有土地使用权出让收入及对应专项债务收入安排的支出（款）土地开发支出（项）：反映新疆生产建设兵团和地方政府用于前期土地开发性支出以及与前期土地开发相关的费用等支出。</w:t>
      </w:r>
    </w:p>
    <w:p>
      <w:pPr>
        <w:spacing w:line="360" w:lineRule="auto"/>
        <w:ind w:firstLine="640" w:firstLineChars="200"/>
        <w:rPr>
          <w:rFonts w:ascii="仿宋_GB2312" w:eastAsia="仿宋_GB2312"/>
          <w:color w:val="000000"/>
          <w:sz w:val="32"/>
          <w:szCs w:val="32"/>
        </w:rPr>
      </w:pPr>
      <w:r>
        <w:rPr>
          <w:rFonts w:hint="eastAsia" w:ascii="仿宋_GB2312" w:eastAsia="仿宋_GB2312"/>
          <w:color w:val="000000"/>
          <w:sz w:val="32"/>
          <w:szCs w:val="32"/>
        </w:rPr>
        <w:t>14.住房保障支出（类）住房改革支出（款）住房公积金（项）：指行政事业单位按人力资源和社会保障部、财政部规定的基本工资和津贴补贴以及规定比例为职工缴纳的住房公积金。</w:t>
      </w:r>
    </w:p>
    <w:p>
      <w:pPr>
        <w:spacing w:line="360" w:lineRule="auto"/>
        <w:ind w:firstLine="640" w:firstLineChars="200"/>
        <w:rPr>
          <w:rFonts w:ascii="仿宋_GB2312" w:eastAsia="仿宋_GB2312"/>
          <w:color w:val="000000"/>
          <w:sz w:val="32"/>
          <w:szCs w:val="32"/>
        </w:rPr>
      </w:pPr>
      <w:r>
        <w:rPr>
          <w:rFonts w:hint="eastAsia" w:ascii="仿宋_GB2312" w:eastAsia="仿宋_GB2312"/>
          <w:color w:val="000000"/>
          <w:sz w:val="32"/>
          <w:szCs w:val="32"/>
        </w:rPr>
        <w:t>15.粮油物资储备支出（类）粮油事务（款）其他粮油事务支出（项）反映其他用于粮油和物资事务方面的支出；储备粮（油）库建设（项）反映储备粮油仓储设施建设方面的支出。</w:t>
      </w:r>
    </w:p>
    <w:p>
      <w:pPr>
        <w:spacing w:line="360" w:lineRule="auto"/>
        <w:ind w:firstLine="640" w:firstLineChars="200"/>
        <w:rPr>
          <w:rFonts w:ascii="仿宋_GB2312" w:eastAsia="仿宋_GB2312"/>
          <w:color w:val="000000"/>
          <w:sz w:val="32"/>
          <w:szCs w:val="32"/>
        </w:rPr>
      </w:pPr>
      <w:r>
        <w:rPr>
          <w:rFonts w:hint="eastAsia" w:ascii="仿宋_GB2312" w:eastAsia="仿宋_GB2312"/>
          <w:color w:val="000000"/>
          <w:sz w:val="32"/>
          <w:szCs w:val="32"/>
        </w:rPr>
        <w:t>16</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pPr>
        <w:spacing w:line="360" w:lineRule="auto"/>
        <w:ind w:firstLine="640" w:firstLineChars="200"/>
        <w:rPr>
          <w:rFonts w:ascii="仿宋_GB2312" w:eastAsia="仿宋_GB2312"/>
          <w:color w:val="000000"/>
          <w:sz w:val="32"/>
          <w:szCs w:val="32"/>
        </w:rPr>
      </w:pPr>
      <w:r>
        <w:rPr>
          <w:rFonts w:hint="eastAsia" w:ascii="仿宋_GB2312" w:eastAsia="仿宋_GB2312"/>
          <w:color w:val="000000"/>
          <w:sz w:val="32"/>
          <w:szCs w:val="32"/>
        </w:rPr>
        <w:t>17</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p>
    <w:p>
      <w:pPr>
        <w:spacing w:line="360" w:lineRule="auto"/>
        <w:ind w:firstLine="640" w:firstLineChars="200"/>
        <w:rPr>
          <w:rFonts w:ascii="仿宋_GB2312" w:eastAsia="仿宋_GB2312"/>
          <w:color w:val="000000"/>
          <w:sz w:val="32"/>
          <w:szCs w:val="32"/>
        </w:rPr>
      </w:pPr>
      <w:r>
        <w:rPr>
          <w:rFonts w:hint="eastAsia" w:ascii="仿宋_GB2312" w:eastAsia="仿宋_GB2312"/>
          <w:color w:val="000000"/>
          <w:sz w:val="32"/>
          <w:szCs w:val="32"/>
        </w:rPr>
        <w:t>18</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pPr>
        <w:pStyle w:val="24"/>
        <w:spacing w:line="360" w:lineRule="auto"/>
        <w:ind w:firstLine="640" w:firstLineChars="200"/>
        <w:rPr>
          <w:rFonts w:ascii="仿宋_GB2312" w:eastAsia="仿宋_GB2312"/>
          <w:sz w:val="32"/>
          <w:szCs w:val="32"/>
        </w:rPr>
      </w:pPr>
      <w:r>
        <w:rPr>
          <w:rFonts w:hint="eastAsia" w:ascii="仿宋_GB2312" w:eastAsia="仿宋_GB2312"/>
          <w:sz w:val="32"/>
          <w:szCs w:val="32"/>
        </w:rPr>
        <w:t>19</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4"/>
        <w:spacing w:line="360" w:lineRule="auto"/>
        <w:ind w:firstLine="640" w:firstLineChars="200"/>
        <w:rPr>
          <w:rFonts w:ascii="仿宋_GB2312" w:eastAsia="仿宋_GB2312"/>
          <w:sz w:val="32"/>
          <w:szCs w:val="32"/>
        </w:rPr>
      </w:pPr>
      <w:r>
        <w:rPr>
          <w:rFonts w:hint="eastAsia" w:ascii="仿宋_GB2312" w:eastAsia="仿宋_GB2312"/>
          <w:sz w:val="32"/>
          <w:szCs w:val="32"/>
        </w:rPr>
        <w:t>20</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360" w:lineRule="auto"/>
        <w:ind w:firstLine="643" w:firstLineChars="200"/>
        <w:rPr>
          <w:rFonts w:ascii="仿宋" w:hAnsi="仿宋" w:eastAsia="仿宋"/>
          <w:b/>
          <w:color w:val="000000"/>
          <w:sz w:val="32"/>
          <w:szCs w:val="32"/>
        </w:rPr>
      </w:pPr>
    </w:p>
    <w:p>
      <w:pPr>
        <w:pStyle w:val="2"/>
        <w:jc w:val="center"/>
        <w:rPr>
          <w:rStyle w:val="26"/>
          <w:rFonts w:ascii="黑体" w:hAnsi="黑体" w:eastAsia="黑体"/>
          <w:b/>
          <w:bCs w:val="0"/>
        </w:rPr>
      </w:pPr>
      <w:r>
        <w:rPr>
          <w:rFonts w:ascii="宋体"/>
          <w:color w:val="000000"/>
        </w:rPr>
        <w:br w:type="page"/>
      </w:r>
      <w:bookmarkStart w:id="68" w:name="_Toc15396614"/>
      <w:r>
        <w:rPr>
          <w:rFonts w:hint="eastAsia"/>
          <w:color w:val="000000"/>
        </w:rPr>
        <w:t>第</w:t>
      </w:r>
      <w:r>
        <w:rPr>
          <w:rStyle w:val="26"/>
          <w:rFonts w:hint="eastAsia" w:ascii="黑体" w:hAnsi="黑体" w:eastAsia="黑体"/>
          <w:b w:val="0"/>
          <w:bCs w:val="0"/>
        </w:rPr>
        <w:t>四部分 附件</w:t>
      </w:r>
      <w:bookmarkEnd w:id="68"/>
    </w:p>
    <w:p>
      <w:pPr>
        <w:pStyle w:val="3"/>
        <w:rPr>
          <w:rFonts w:ascii="方正小标宋简体" w:hAnsi="方正小标宋简体" w:eastAsia="方正小标宋简体" w:cs="方正小标宋简体"/>
        </w:rPr>
      </w:pPr>
      <w:r>
        <w:rPr>
          <w:rFonts w:hint="eastAsia"/>
        </w:rPr>
        <w:t>附件1</w:t>
      </w:r>
    </w:p>
    <w:p>
      <w:pPr>
        <w:jc w:val="center"/>
        <w:rPr>
          <w:rFonts w:hint="eastAsia" w:eastAsia="方正小标宋简体" w:asciiTheme="minorHAnsi" w:hAnsiTheme="minorHAnsi"/>
          <w:color w:val="000000"/>
          <w:kern w:val="0"/>
          <w:sz w:val="44"/>
          <w:szCs w:val="44"/>
        </w:rPr>
      </w:pPr>
      <w:r>
        <w:rPr>
          <w:rFonts w:hint="eastAsia" w:eastAsia="方正小标宋简体" w:asciiTheme="minorHAnsi" w:hAnsiTheme="minorHAnsi"/>
          <w:color w:val="000000"/>
          <w:kern w:val="0"/>
          <w:sz w:val="44"/>
          <w:szCs w:val="44"/>
        </w:rPr>
        <w:t>攀枝花市西区发展和改革局</w:t>
      </w:r>
    </w:p>
    <w:p>
      <w:pPr>
        <w:jc w:val="center"/>
        <w:rPr>
          <w:rFonts w:hint="eastAsia" w:eastAsia="方正小标宋简体" w:asciiTheme="minorHAnsi" w:hAnsiTheme="minorHAnsi"/>
          <w:color w:val="000000"/>
          <w:kern w:val="0"/>
          <w:sz w:val="44"/>
          <w:szCs w:val="44"/>
        </w:rPr>
      </w:pPr>
      <w:r>
        <w:rPr>
          <w:rFonts w:hint="eastAsia" w:eastAsia="方正小标宋简体" w:asciiTheme="minorHAnsi" w:hAnsiTheme="minorHAnsi"/>
          <w:color w:val="000000"/>
          <w:kern w:val="0"/>
          <w:sz w:val="44"/>
          <w:szCs w:val="44"/>
        </w:rPr>
        <w:t>2019年部门整体支出绩效评价报告</w:t>
      </w:r>
    </w:p>
    <w:p>
      <w:pPr>
        <w:spacing w:line="360" w:lineRule="auto"/>
        <w:jc w:val="center"/>
        <w:rPr>
          <w:rFonts w:ascii="方正小标宋简体" w:hAnsi="宋体" w:eastAsia="方正小标宋简体"/>
          <w:color w:val="000000"/>
          <w:kern w:val="0"/>
          <w:sz w:val="40"/>
          <w:szCs w:val="44"/>
          <w:lang w:val="zh-CN"/>
        </w:rPr>
      </w:pPr>
    </w:p>
    <w:p>
      <w:pPr>
        <w:widowControl/>
        <w:adjustRightInd w:val="0"/>
        <w:snapToGrid w:val="0"/>
        <w:spacing w:line="360" w:lineRule="auto"/>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部门（单位）概况</w:t>
      </w:r>
    </w:p>
    <w:p>
      <w:pPr>
        <w:widowControl/>
        <w:adjustRightInd w:val="0"/>
        <w:snapToGrid w:val="0"/>
        <w:spacing w:line="360" w:lineRule="auto"/>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（一）机构组成。</w:t>
      </w:r>
    </w:p>
    <w:p>
      <w:pPr>
        <w:snapToGrid w:val="0"/>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西区发展和改革局机关设办公室、综合股、行政审批股、体改股、物价股五个内设机构，下设：攀枝花市西区项目管理办公室和攀枝花市西区物价局价格认证中心两个二级单位。</w:t>
      </w:r>
    </w:p>
    <w:p>
      <w:pPr>
        <w:widowControl/>
        <w:numPr>
          <w:ilvl w:val="0"/>
          <w:numId w:val="3"/>
        </w:numPr>
        <w:adjustRightInd w:val="0"/>
        <w:snapToGrid w:val="0"/>
        <w:spacing w:line="360" w:lineRule="auto"/>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机构职能。</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1.贯彻执行国家有关国民经济和社会发展战略、经济体制方针政策和法律法规，拟订并组织实施全区国民经济和社会发展中长期规划和年度计划；受区政府委托向区人大作全区经济社会发展计划报告。</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2.统筹协调全区经济社会发展。研究分析全区经济和社会发展形势，进行宏观经济预测预警和信息引导。对发展中的重大问题和热点、难点问题，提出宏观调控对策建议，综合协调财政、金融、价格和产业政策等经济杠杆，保证全区国民经济发展规划和计划的实施。</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3.承担指导推进和综合协调全区经济体制改革责任。组织拟订综合性经济体制改革方案，协调有关专项经济体制改革方案，会同有关部门搞好专项经济体制改革间的衔接，组织、指导和协调综合配套改革试点和重大专项经济体制改革试点工作。</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4.贯彻执行国家和省、市有关价格法律、法规和方针、政策，编制和执行价格改革、价格调整中长期规划和年度计划，组织实施年度价格总水平调控目标及价格调控措施，负责权限范围内价格的制定调整，承担行政事业性收费管理工作，负责全区价格成本调查监审、价格监测、价格认证等工作。</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5.负责全区投资宏观管理和协调推进重大项目建设。拟订全社会固定资产投资总规模、投资结构的调控目标和政策措施，编制年度投资计划，安排财政性建设资金，指导和监督政策性贷款的使用方向，按规定权限审批、核准、备案或转报固定资产投资项目（企业技术改革项目除外）和资源开发利用、外资、境外投资项目。</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6.推进经济结构战略性调整。组织拟订全区综合性产业政策，负责协调第一、二、三产业发展重大问题，衔接平衡相关发展规划和重大政策。拟订重大产业发展规划，引导全区重大生产力合理布局，协调推进全区重大技术装备推广应用和重大产业基地建设，会同有关部门拟订服务业、现代物流业发展战略、规划和重大政策。组织拟订高技术产业发展、产业技术进步的战略规划和重大政策，推进重大科技成果产业化。</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7.促进城乡区域协调发展。研究分析区域经济和城镇化发展情况，组织拟订区域经济协调发展战略规划和重大政策，研究提出城镇化发展战略和统筹城乡发展的政策措施。</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8.负责重要商品的总量平衡和宏观调控。研究分析区内外市场和对外贸易运行情况，编制重要农产品、工业品和原材料进出口总量计划并监督执行。提出重要商品市场、生产要素市场的发展规划、总体布局和重大调控措施。</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9.负责全区社会发展与国民经济发展的政策衔接。组织拟订社会发展战略、总体规划和年度计划，参与拟订人口和计划生育、科学技术、教育、文化、卫生、民政等发展政策，推进社会事业建设。研究提出促进就业、调整收入分配、完善社会保障与经济协调发展的政策建议。</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10.推进可持续发展战略。负责全区节能综合协调工作，组织拟订并协调实施全区发展循环经济、能源资源节约和综合利用规划及政策措施，参与编制生态建设、环境保护规划，协调生态建设、能源资源节约和综合利用的重大问题，综合协调环保产业和清洁产业促进有关工作。</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11.负责指导和协调全区招标投标工作。贯彻执行招标投标配套规定，核准必须进行招标投标项目的具体范围、规模标准。按照职责权限对重大建设项目建设过程中的招标投标活动实施监督检查。</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12.负责粮食流通行业管理。负责全区粮食（含食用植物油，下同）宏观调控、粮食流通管理工作；负责全区粮食流通统计和社会粮油供需平衡调查工作；负责落实地方储备粮食任务和储备粮油日常监管；负责全区粮食工业统计分析工作；负责全区粮食仓储设施和粮食流通基础设施的安全管理和粮食储藏安全工作；负责贯彻落实粮食行业食品安全法规及国家粮食质量标准，履行储备粮质量、粮食行业食品安全监管职责；负责监督指导辖区内粮油仓储单位备案管理工作；指导粮食部门安全生产工作；指导粮食综合行政执法；负责粮油库存检查；监督管理全区粮食专项扶持资金的使用；会同有关部门拟订区级储备粮财务管理制度，监督管理粮食风险基金、政策性粮食财务挂账、政策性粮食补贴资金；负责救灾物资储备、管理、调拨工作。</w:t>
      </w: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13.</w:t>
      </w:r>
      <w:r>
        <w:rPr>
          <w:rFonts w:ascii="仿宋_GB2312" w:hAnsi="仿宋" w:eastAsia="仿宋_GB2312"/>
          <w:sz w:val="32"/>
          <w:szCs w:val="32"/>
        </w:rPr>
        <w:t>负责职责范围内的安全生产和职业健康、生态环境保护、审批服务便民化等工作。</w:t>
      </w:r>
    </w:p>
    <w:p>
      <w:pPr>
        <w:widowControl/>
        <w:adjustRightInd w:val="0"/>
        <w:snapToGrid w:val="0"/>
        <w:spacing w:line="360" w:lineRule="auto"/>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hAnsi="仿宋"/>
          <w:sz w:val="32"/>
          <w:szCs w:val="32"/>
        </w:rPr>
        <w:t>14.</w:t>
      </w:r>
      <w:r>
        <w:rPr>
          <w:rFonts w:ascii="仿宋_GB2312" w:hAnsi="仿宋" w:eastAsia="仿宋_GB2312"/>
          <w:sz w:val="32"/>
          <w:szCs w:val="32"/>
        </w:rPr>
        <w:t>完成区委、区政府交办的其他任务。</w:t>
      </w:r>
    </w:p>
    <w:p>
      <w:pPr>
        <w:widowControl/>
        <w:adjustRightInd w:val="0"/>
        <w:snapToGrid w:val="0"/>
        <w:spacing w:line="360" w:lineRule="auto"/>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（三）人员概况。</w:t>
      </w:r>
    </w:p>
    <w:p>
      <w:pPr>
        <w:spacing w:line="360" w:lineRule="auto"/>
        <w:ind w:firstLine="630"/>
        <w:rPr>
          <w:rFonts w:ascii="宋体" w:cs="宋体"/>
          <w:kern w:val="0"/>
          <w:sz w:val="32"/>
          <w:szCs w:val="32"/>
        </w:rPr>
      </w:pPr>
      <w:r>
        <w:rPr>
          <w:rFonts w:hint="eastAsia" w:ascii="仿宋_GB2312" w:hAnsi="仿宋" w:eastAsia="仿宋_GB2312"/>
          <w:sz w:val="32"/>
          <w:szCs w:val="32"/>
        </w:rPr>
        <w:t>三定方案核定：行政人员编制</w:t>
      </w:r>
      <w:r>
        <w:rPr>
          <w:rFonts w:ascii="仿宋_GB2312" w:hAnsi="仿宋" w:eastAsia="仿宋_GB2312"/>
          <w:sz w:val="32"/>
          <w:szCs w:val="32"/>
        </w:rPr>
        <w:t>8</w:t>
      </w:r>
      <w:r>
        <w:rPr>
          <w:rFonts w:hint="eastAsia" w:ascii="仿宋_GB2312" w:hAnsi="仿宋" w:eastAsia="仿宋_GB2312"/>
          <w:sz w:val="32"/>
          <w:szCs w:val="32"/>
        </w:rPr>
        <w:t>人，事业人员编制</w:t>
      </w:r>
      <w:r>
        <w:rPr>
          <w:rFonts w:ascii="仿宋_GB2312" w:hAnsi="仿宋" w:eastAsia="仿宋_GB2312"/>
          <w:sz w:val="32"/>
          <w:szCs w:val="32"/>
        </w:rPr>
        <w:t>12</w:t>
      </w:r>
      <w:r>
        <w:rPr>
          <w:rFonts w:hint="eastAsia" w:ascii="仿宋_GB2312" w:hAnsi="仿宋" w:eastAsia="仿宋_GB2312"/>
          <w:sz w:val="32"/>
          <w:szCs w:val="32"/>
        </w:rPr>
        <w:t>人，编内聘用人员编制</w:t>
      </w:r>
      <w:r>
        <w:rPr>
          <w:rFonts w:ascii="仿宋_GB2312" w:hAnsi="仿宋" w:eastAsia="仿宋_GB2312"/>
          <w:sz w:val="32"/>
          <w:szCs w:val="32"/>
        </w:rPr>
        <w:t>12</w:t>
      </w:r>
      <w:r>
        <w:rPr>
          <w:rFonts w:hint="eastAsia" w:ascii="仿宋_GB2312" w:hAnsi="仿宋" w:eastAsia="仿宋_GB2312"/>
          <w:sz w:val="32"/>
          <w:szCs w:val="32"/>
        </w:rPr>
        <w:t>人。年末实有行政人员7人，事业人员</w:t>
      </w:r>
      <w:r>
        <w:rPr>
          <w:rFonts w:ascii="仿宋_GB2312" w:hAnsi="仿宋" w:eastAsia="仿宋_GB2312"/>
          <w:sz w:val="32"/>
          <w:szCs w:val="32"/>
        </w:rPr>
        <w:t>11</w:t>
      </w:r>
      <w:r>
        <w:rPr>
          <w:rFonts w:hint="eastAsia" w:ascii="仿宋_GB2312" w:hAnsi="仿宋" w:eastAsia="仿宋_GB2312"/>
          <w:sz w:val="32"/>
          <w:szCs w:val="32"/>
        </w:rPr>
        <w:t>人，聘用人员</w:t>
      </w:r>
      <w:r>
        <w:rPr>
          <w:rFonts w:ascii="仿宋_GB2312" w:hAnsi="仿宋" w:eastAsia="仿宋_GB2312"/>
          <w:sz w:val="32"/>
          <w:szCs w:val="32"/>
        </w:rPr>
        <w:t>10</w:t>
      </w:r>
      <w:r>
        <w:rPr>
          <w:rFonts w:hint="eastAsia" w:ascii="仿宋_GB2312" w:hAnsi="仿宋" w:eastAsia="仿宋_GB2312"/>
          <w:sz w:val="32"/>
          <w:szCs w:val="32"/>
        </w:rPr>
        <w:t>人。与去年同期相比实有人数没有变化。</w:t>
      </w:r>
    </w:p>
    <w:p>
      <w:pPr>
        <w:widowControl/>
        <w:adjustRightInd w:val="0"/>
        <w:snapToGrid w:val="0"/>
        <w:spacing w:line="360" w:lineRule="auto"/>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二、部门财政资金收支情况</w:t>
      </w:r>
    </w:p>
    <w:p>
      <w:pPr>
        <w:widowControl/>
        <w:adjustRightInd w:val="0"/>
        <w:snapToGrid w:val="0"/>
        <w:spacing w:line="360" w:lineRule="auto"/>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（一）部门财政资金收入情况。</w:t>
      </w:r>
    </w:p>
    <w:p>
      <w:pPr>
        <w:widowControl/>
        <w:adjustRightInd w:val="0"/>
        <w:snapToGrid w:val="0"/>
        <w:spacing w:line="360" w:lineRule="auto"/>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rPr>
        <w:t>2019年</w:t>
      </w:r>
      <w:r>
        <w:rPr>
          <w:rFonts w:hint="eastAsia" w:ascii="仿宋_GB2312" w:hAnsi="宋体" w:eastAsia="仿宋_GB2312" w:cs="宋体"/>
          <w:color w:val="000000"/>
          <w:kern w:val="0"/>
          <w:sz w:val="32"/>
          <w:szCs w:val="32"/>
          <w:shd w:val="clear" w:color="auto" w:fill="FFFFFF"/>
          <w:lang w:val="zh-CN"/>
        </w:rPr>
        <w:t>财政拨款收入</w:t>
      </w:r>
      <w:r>
        <w:rPr>
          <w:rFonts w:hint="eastAsia" w:ascii="仿宋_GB2312" w:hAnsi="宋体" w:eastAsia="仿宋_GB2312" w:cs="宋体"/>
          <w:color w:val="000000"/>
          <w:kern w:val="0"/>
          <w:sz w:val="32"/>
          <w:szCs w:val="32"/>
          <w:shd w:val="clear" w:color="auto" w:fill="FFFFFF"/>
        </w:rPr>
        <w:t>786.23万元，其中：一般公共预算财政拨款收入361.14万元，政府性基金预算财政拨款收入425.09万元。</w:t>
      </w:r>
    </w:p>
    <w:p>
      <w:pPr>
        <w:widowControl/>
        <w:numPr>
          <w:ilvl w:val="0"/>
          <w:numId w:val="3"/>
        </w:numPr>
        <w:adjustRightInd w:val="0"/>
        <w:snapToGrid w:val="0"/>
        <w:spacing w:line="360" w:lineRule="auto"/>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部门财政资金支出情况。</w:t>
      </w:r>
    </w:p>
    <w:p>
      <w:pPr>
        <w:widowControl/>
        <w:adjustRightInd w:val="0"/>
        <w:snapToGrid w:val="0"/>
        <w:spacing w:line="360" w:lineRule="auto"/>
        <w:ind w:left="420" w:leftChars="200"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rPr>
        <w:t>2019年</w:t>
      </w:r>
      <w:r>
        <w:rPr>
          <w:rFonts w:hint="eastAsia" w:ascii="仿宋_GB2312" w:hAnsi="宋体" w:eastAsia="仿宋_GB2312" w:cs="宋体"/>
          <w:color w:val="000000"/>
          <w:kern w:val="0"/>
          <w:sz w:val="32"/>
          <w:szCs w:val="32"/>
          <w:shd w:val="clear" w:color="auto" w:fill="FFFFFF"/>
          <w:lang w:val="zh-CN"/>
        </w:rPr>
        <w:t>财政拨款支出</w:t>
      </w:r>
      <w:r>
        <w:rPr>
          <w:rFonts w:hint="eastAsia" w:ascii="仿宋_GB2312" w:hAnsi="宋体" w:eastAsia="仿宋_GB2312" w:cs="宋体"/>
          <w:color w:val="000000"/>
          <w:kern w:val="0"/>
          <w:sz w:val="32"/>
          <w:szCs w:val="32"/>
          <w:shd w:val="clear" w:color="auto" w:fill="FFFFFF"/>
        </w:rPr>
        <w:t>653.01万元，其中：一般公共预算财政拨款支出427.16万元，政府性基金预算财政拨款支出225.85万元。</w:t>
      </w:r>
    </w:p>
    <w:p>
      <w:pPr>
        <w:widowControl/>
        <w:adjustRightInd w:val="0"/>
        <w:snapToGrid w:val="0"/>
        <w:spacing w:line="360" w:lineRule="auto"/>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三、部门整体预算绩效管理情况</w:t>
      </w:r>
    </w:p>
    <w:p>
      <w:pPr>
        <w:widowControl/>
        <w:adjustRightInd w:val="0"/>
        <w:snapToGrid w:val="0"/>
        <w:spacing w:line="360" w:lineRule="auto"/>
        <w:ind w:firstLine="640" w:firstLineChars="200"/>
        <w:contextualSpacing/>
        <w:jc w:val="left"/>
        <w:rPr>
          <w:rFonts w:ascii="仿宋_GB2312" w:hAnsi="宋体" w:eastAsia="仿宋_GB2312" w:cs="宋体"/>
          <w:color w:val="000000"/>
          <w:kern w:val="0"/>
          <w:sz w:val="32"/>
          <w:szCs w:val="32"/>
          <w:shd w:val="clear" w:color="auto" w:fill="FFFFFF"/>
        </w:rPr>
      </w:pPr>
      <w:r>
        <w:rPr>
          <w:rFonts w:hint="eastAsia" w:ascii="仿宋_GB2312" w:hAnsi="宋体" w:eastAsia="仿宋_GB2312" w:cs="宋体"/>
          <w:color w:val="000000"/>
          <w:kern w:val="0"/>
          <w:sz w:val="32"/>
          <w:szCs w:val="32"/>
          <w:shd w:val="clear" w:color="auto" w:fill="FFFFFF"/>
          <w:lang w:val="zh-CN"/>
        </w:rPr>
        <w:t>（</w:t>
      </w:r>
      <w:r>
        <w:rPr>
          <w:rFonts w:hint="eastAsia" w:ascii="仿宋_GB2312" w:hAnsi="宋体" w:eastAsia="仿宋_GB2312" w:cs="宋体"/>
          <w:color w:val="000000"/>
          <w:kern w:val="0"/>
          <w:sz w:val="32"/>
          <w:szCs w:val="32"/>
          <w:shd w:val="clear" w:color="auto" w:fill="FFFFFF"/>
        </w:rPr>
        <w:t>一）部门预算管理。</w:t>
      </w:r>
    </w:p>
    <w:p>
      <w:pPr>
        <w:widowControl/>
        <w:adjustRightInd w:val="0"/>
        <w:snapToGrid w:val="0"/>
        <w:spacing w:line="360" w:lineRule="auto"/>
        <w:ind w:firstLine="640" w:firstLineChars="200"/>
        <w:contextualSpacing/>
        <w:jc w:val="left"/>
        <w:rPr>
          <w:rFonts w:ascii="仿宋_GB2312" w:hAnsi="宋体" w:eastAsia="仿宋_GB2312" w:cs="宋体"/>
          <w:color w:val="000000"/>
          <w:kern w:val="0"/>
          <w:sz w:val="32"/>
          <w:szCs w:val="32"/>
          <w:shd w:val="clear" w:color="auto" w:fill="FFFFFF"/>
        </w:rPr>
      </w:pPr>
      <w:r>
        <w:rPr>
          <w:rFonts w:ascii="仿宋_GB2312" w:hAnsi="宋体" w:eastAsia="仿宋_GB2312" w:cs="宋体"/>
          <w:color w:val="000000"/>
          <w:kern w:val="0"/>
          <w:sz w:val="32"/>
          <w:szCs w:val="32"/>
          <w:shd w:val="clear" w:color="auto" w:fill="FFFFFF"/>
        </w:rPr>
        <w:t>1.年初部门预算绩效目标完成情况</w:t>
      </w:r>
    </w:p>
    <w:p>
      <w:pPr>
        <w:widowControl/>
        <w:adjustRightInd w:val="0"/>
        <w:snapToGrid w:val="0"/>
        <w:spacing w:line="360" w:lineRule="auto"/>
        <w:ind w:firstLine="640" w:firstLineChars="200"/>
        <w:contextualSpacing/>
        <w:jc w:val="left"/>
        <w:rPr>
          <w:rFonts w:eastAsia="仿宋_GB2312"/>
          <w:sz w:val="32"/>
          <w:szCs w:val="32"/>
        </w:rPr>
      </w:pPr>
      <w:r>
        <w:rPr>
          <w:rFonts w:ascii="仿宋_GB2312" w:hAnsi="宋体" w:eastAsia="仿宋_GB2312" w:cs="宋体"/>
          <w:color w:val="000000"/>
          <w:kern w:val="0"/>
          <w:sz w:val="32"/>
          <w:szCs w:val="32"/>
          <w:shd w:val="clear" w:color="auto" w:fill="FFFFFF"/>
        </w:rPr>
        <w:t>（1）2019</w:t>
      </w:r>
      <w:r>
        <w:rPr>
          <w:rFonts w:hint="eastAsia" w:ascii="仿宋_GB2312" w:hAnsi="宋体" w:eastAsia="仿宋_GB2312" w:cs="宋体"/>
          <w:color w:val="000000"/>
          <w:kern w:val="0"/>
          <w:sz w:val="32"/>
          <w:szCs w:val="32"/>
          <w:shd w:val="clear" w:color="auto" w:fill="FFFFFF"/>
        </w:rPr>
        <w:t>年</w:t>
      </w:r>
      <w:r>
        <w:rPr>
          <w:rFonts w:ascii="仿宋_GB2312" w:hAnsi="宋体" w:eastAsia="仿宋_GB2312" w:cs="宋体"/>
          <w:color w:val="000000"/>
          <w:kern w:val="0"/>
          <w:sz w:val="32"/>
          <w:szCs w:val="32"/>
          <w:shd w:val="clear" w:color="auto" w:fill="FFFFFF"/>
        </w:rPr>
        <w:t>预算</w:t>
      </w:r>
      <w:r>
        <w:rPr>
          <w:rFonts w:hint="eastAsia" w:ascii="仿宋_GB2312" w:hAnsi="宋体" w:eastAsia="仿宋_GB2312" w:cs="宋体"/>
          <w:color w:val="000000"/>
          <w:kern w:val="0"/>
          <w:sz w:val="32"/>
          <w:szCs w:val="32"/>
          <w:shd w:val="clear" w:color="auto" w:fill="FFFFFF"/>
        </w:rPr>
        <w:t>资</w:t>
      </w:r>
      <w:r>
        <w:rPr>
          <w:rFonts w:ascii="仿宋_GB2312" w:hAnsi="宋体" w:eastAsia="仿宋_GB2312" w:cs="宋体"/>
          <w:color w:val="000000"/>
          <w:kern w:val="0"/>
          <w:sz w:val="32"/>
          <w:szCs w:val="32"/>
          <w:shd w:val="clear" w:color="auto" w:fill="FFFFFF"/>
        </w:rPr>
        <w:t>金4527256.15</w:t>
      </w:r>
      <w:r>
        <w:rPr>
          <w:rFonts w:hint="eastAsia" w:ascii="仿宋_GB2312" w:hAnsi="宋体" w:eastAsia="仿宋_GB2312" w:cs="宋体"/>
          <w:color w:val="000000"/>
          <w:kern w:val="0"/>
          <w:sz w:val="32"/>
          <w:szCs w:val="32"/>
          <w:shd w:val="clear" w:color="auto" w:fill="FFFFFF"/>
        </w:rPr>
        <w:t>元</w:t>
      </w:r>
      <w:r>
        <w:rPr>
          <w:rFonts w:ascii="仿宋_GB2312" w:hAnsi="宋体" w:eastAsia="仿宋_GB2312" w:cs="宋体"/>
          <w:color w:val="000000"/>
          <w:kern w:val="0"/>
          <w:sz w:val="32"/>
          <w:szCs w:val="32"/>
          <w:shd w:val="clear" w:color="auto" w:fill="FFFFFF"/>
        </w:rPr>
        <w:t>。</w:t>
      </w:r>
      <w:r>
        <w:rPr>
          <w:rFonts w:hint="eastAsia" w:ascii="仿宋_GB2312" w:hAnsi="宋体" w:eastAsia="仿宋_GB2312" w:cs="宋体"/>
          <w:color w:val="000000"/>
          <w:kern w:val="0"/>
          <w:sz w:val="32"/>
          <w:szCs w:val="32"/>
          <w:shd w:val="clear" w:color="auto" w:fill="FFFFFF"/>
        </w:rPr>
        <w:t>2</w:t>
      </w:r>
      <w:r>
        <w:rPr>
          <w:rFonts w:ascii="仿宋_GB2312" w:hAnsi="宋体" w:eastAsia="仿宋_GB2312" w:cs="宋体"/>
          <w:color w:val="000000"/>
          <w:kern w:val="0"/>
          <w:sz w:val="32"/>
          <w:szCs w:val="32"/>
          <w:shd w:val="clear" w:color="auto" w:fill="FFFFFF"/>
        </w:rPr>
        <w:t>019</w:t>
      </w:r>
      <w:r>
        <w:rPr>
          <w:rFonts w:hint="eastAsia" w:ascii="仿宋_GB2312" w:hAnsi="宋体" w:eastAsia="仿宋_GB2312" w:cs="宋体"/>
          <w:color w:val="000000"/>
          <w:kern w:val="0"/>
          <w:sz w:val="32"/>
          <w:szCs w:val="32"/>
          <w:shd w:val="clear" w:color="auto" w:fill="FFFFFF"/>
        </w:rPr>
        <w:t>年初</w:t>
      </w:r>
      <w:r>
        <w:rPr>
          <w:rFonts w:ascii="仿宋_GB2312" w:hAnsi="宋体" w:eastAsia="仿宋_GB2312" w:cs="宋体"/>
          <w:color w:val="000000"/>
          <w:kern w:val="0"/>
          <w:sz w:val="32"/>
          <w:szCs w:val="32"/>
          <w:shd w:val="clear" w:color="auto" w:fill="FFFFFF"/>
        </w:rPr>
        <w:t>结转和结余274401.21</w:t>
      </w:r>
      <w:r>
        <w:rPr>
          <w:rFonts w:hint="eastAsia" w:ascii="仿宋_GB2312" w:hAnsi="宋体" w:eastAsia="仿宋_GB2312" w:cs="宋体"/>
          <w:color w:val="000000"/>
          <w:kern w:val="0"/>
          <w:sz w:val="32"/>
          <w:szCs w:val="32"/>
          <w:shd w:val="clear" w:color="auto" w:fill="FFFFFF"/>
        </w:rPr>
        <w:t>元，</w:t>
      </w:r>
      <w:r>
        <w:rPr>
          <w:rFonts w:ascii="仿宋_GB2312" w:hAnsi="宋体" w:eastAsia="仿宋_GB2312" w:cs="宋体"/>
          <w:color w:val="000000"/>
          <w:kern w:val="0"/>
          <w:sz w:val="32"/>
          <w:szCs w:val="32"/>
          <w:shd w:val="clear" w:color="auto" w:fill="FFFFFF"/>
        </w:rPr>
        <w:t>其中</w:t>
      </w:r>
      <w:r>
        <w:rPr>
          <w:rFonts w:hint="eastAsia" w:ascii="仿宋_GB2312" w:hAnsi="宋体" w:eastAsia="仿宋_GB2312" w:cs="宋体"/>
          <w:color w:val="000000"/>
          <w:kern w:val="0"/>
          <w:sz w:val="32"/>
          <w:szCs w:val="32"/>
          <w:shd w:val="clear" w:color="auto" w:fill="FFFFFF"/>
        </w:rPr>
        <w:t>：财</w:t>
      </w:r>
      <w:r>
        <w:rPr>
          <w:rFonts w:ascii="仿宋_GB2312" w:hAnsi="宋体" w:eastAsia="仿宋_GB2312" w:cs="宋体"/>
          <w:color w:val="000000"/>
          <w:kern w:val="0"/>
          <w:sz w:val="32"/>
          <w:szCs w:val="32"/>
          <w:shd w:val="clear" w:color="auto" w:fill="FFFFFF"/>
        </w:rPr>
        <w:t>政拨款结转</w:t>
      </w:r>
      <w:r>
        <w:rPr>
          <w:rFonts w:ascii="仿宋_GB2312" w:eastAsia="仿宋_GB2312"/>
          <w:sz w:val="32"/>
          <w:szCs w:val="32"/>
        </w:rPr>
        <w:t>和结余</w:t>
      </w:r>
      <w:r>
        <w:rPr>
          <w:rFonts w:eastAsia="仿宋_GB2312"/>
          <w:sz w:val="32"/>
          <w:szCs w:val="32"/>
        </w:rPr>
        <w:t>253999.54</w:t>
      </w:r>
      <w:r>
        <w:rPr>
          <w:rFonts w:hint="eastAsia" w:ascii="仿宋_GB2312" w:eastAsia="仿宋_GB2312"/>
          <w:sz w:val="32"/>
          <w:szCs w:val="32"/>
        </w:rPr>
        <w:t>元。</w:t>
      </w:r>
      <w:r>
        <w:rPr>
          <w:rFonts w:hint="eastAsia" w:eastAsia="仿宋_GB2312"/>
          <w:sz w:val="32"/>
          <w:szCs w:val="32"/>
        </w:rPr>
        <w:t>2019</w:t>
      </w:r>
      <w:r>
        <w:rPr>
          <w:rFonts w:hint="eastAsia" w:ascii="仿宋_GB2312" w:eastAsia="仿宋_GB2312"/>
          <w:sz w:val="32"/>
          <w:szCs w:val="32"/>
        </w:rPr>
        <w:t>年</w:t>
      </w:r>
      <w:r>
        <w:rPr>
          <w:rFonts w:ascii="仿宋_GB2312" w:eastAsia="仿宋_GB2312"/>
          <w:sz w:val="32"/>
          <w:szCs w:val="32"/>
        </w:rPr>
        <w:t>度</w:t>
      </w:r>
      <w:r>
        <w:rPr>
          <w:rFonts w:hint="eastAsia" w:ascii="仿宋_GB2312" w:eastAsia="仿宋_GB2312"/>
          <w:sz w:val="32"/>
          <w:szCs w:val="32"/>
        </w:rPr>
        <w:t>财</w:t>
      </w:r>
      <w:r>
        <w:rPr>
          <w:rFonts w:ascii="仿宋_GB2312" w:eastAsia="仿宋_GB2312"/>
          <w:sz w:val="32"/>
          <w:szCs w:val="32"/>
        </w:rPr>
        <w:t>政拨款</w:t>
      </w:r>
      <w:r>
        <w:rPr>
          <w:rFonts w:eastAsia="仿宋_GB2312"/>
          <w:sz w:val="32"/>
          <w:szCs w:val="32"/>
        </w:rPr>
        <w:t>4252854.94</w:t>
      </w:r>
      <w:r>
        <w:rPr>
          <w:rFonts w:hint="eastAsia" w:ascii="仿宋_GB2312" w:eastAsia="仿宋_GB2312"/>
          <w:sz w:val="32"/>
          <w:szCs w:val="32"/>
        </w:rPr>
        <w:t>元。一</w:t>
      </w:r>
      <w:r>
        <w:rPr>
          <w:rFonts w:ascii="仿宋_GB2312" w:eastAsia="仿宋_GB2312"/>
          <w:sz w:val="32"/>
          <w:szCs w:val="32"/>
        </w:rPr>
        <w:t>般公共服务支出</w:t>
      </w:r>
      <w:r>
        <w:rPr>
          <w:rFonts w:hint="eastAsia" w:eastAsia="仿宋_GB2312"/>
          <w:sz w:val="32"/>
          <w:szCs w:val="32"/>
        </w:rPr>
        <w:t>20401.67</w:t>
      </w:r>
      <w:r>
        <w:rPr>
          <w:rFonts w:hint="eastAsia" w:ascii="仿宋_GB2312" w:eastAsia="仿宋_GB2312"/>
          <w:sz w:val="32"/>
          <w:szCs w:val="32"/>
        </w:rPr>
        <w:t>元</w:t>
      </w:r>
      <w:r>
        <w:rPr>
          <w:rFonts w:ascii="仿宋_GB2312" w:eastAsia="仿宋_GB2312"/>
          <w:sz w:val="32"/>
          <w:szCs w:val="32"/>
        </w:rPr>
        <w:t>，</w:t>
      </w:r>
      <w:r>
        <w:rPr>
          <w:rFonts w:hint="eastAsia" w:ascii="仿宋_GB2312" w:eastAsia="仿宋_GB2312"/>
          <w:sz w:val="32"/>
          <w:szCs w:val="32"/>
        </w:rPr>
        <w:t>节</w:t>
      </w:r>
      <w:r>
        <w:rPr>
          <w:rFonts w:ascii="仿宋_GB2312" w:eastAsia="仿宋_GB2312"/>
          <w:sz w:val="32"/>
          <w:szCs w:val="32"/>
        </w:rPr>
        <w:t>能环保支出</w:t>
      </w:r>
      <w:r>
        <w:rPr>
          <w:rFonts w:hint="eastAsia" w:eastAsia="仿宋_GB2312"/>
          <w:sz w:val="32"/>
          <w:szCs w:val="32"/>
        </w:rPr>
        <w:t>40000</w:t>
      </w:r>
      <w:r>
        <w:rPr>
          <w:rFonts w:hint="eastAsia" w:ascii="仿宋_GB2312" w:eastAsia="仿宋_GB2312"/>
          <w:sz w:val="32"/>
          <w:szCs w:val="32"/>
        </w:rPr>
        <w:t>元，</w:t>
      </w:r>
      <w:r>
        <w:rPr>
          <w:rFonts w:ascii="仿宋_GB2312" w:eastAsia="仿宋_GB2312"/>
          <w:sz w:val="32"/>
          <w:szCs w:val="32"/>
        </w:rPr>
        <w:t>城乡社区支出</w:t>
      </w:r>
      <w:r>
        <w:rPr>
          <w:rFonts w:eastAsia="仿宋_GB2312"/>
          <w:sz w:val="32"/>
          <w:szCs w:val="32"/>
        </w:rPr>
        <w:t>4250854.94</w:t>
      </w:r>
      <w:r>
        <w:rPr>
          <w:rFonts w:hint="eastAsia" w:ascii="仿宋_GB2312" w:eastAsia="仿宋_GB2312"/>
          <w:sz w:val="32"/>
          <w:szCs w:val="32"/>
        </w:rPr>
        <w:t>元</w:t>
      </w:r>
      <w:r>
        <w:rPr>
          <w:rFonts w:ascii="仿宋_GB2312" w:eastAsia="仿宋_GB2312"/>
          <w:sz w:val="32"/>
          <w:szCs w:val="32"/>
        </w:rPr>
        <w:t>，</w:t>
      </w:r>
      <w:r>
        <w:rPr>
          <w:rFonts w:hint="eastAsia" w:ascii="仿宋_GB2312" w:eastAsia="仿宋_GB2312"/>
          <w:sz w:val="32"/>
          <w:szCs w:val="32"/>
        </w:rPr>
        <w:t>粮</w:t>
      </w:r>
      <w:r>
        <w:rPr>
          <w:rFonts w:ascii="仿宋_GB2312" w:eastAsia="仿宋_GB2312"/>
          <w:sz w:val="32"/>
          <w:szCs w:val="32"/>
        </w:rPr>
        <w:t>油物资储备支出</w:t>
      </w:r>
      <w:r>
        <w:rPr>
          <w:rFonts w:eastAsia="仿宋_GB2312"/>
          <w:sz w:val="32"/>
          <w:szCs w:val="32"/>
        </w:rPr>
        <w:t>215999.54</w:t>
      </w:r>
      <w:r>
        <w:rPr>
          <w:rFonts w:hint="eastAsia" w:ascii="仿宋_GB2312" w:eastAsia="仿宋_GB2312"/>
          <w:sz w:val="32"/>
          <w:szCs w:val="32"/>
        </w:rPr>
        <w:t>元</w:t>
      </w:r>
      <w:r>
        <w:rPr>
          <w:rFonts w:ascii="仿宋_GB2312" w:eastAsia="仿宋_GB2312"/>
          <w:sz w:val="32"/>
          <w:szCs w:val="32"/>
        </w:rPr>
        <w:t>。</w:t>
      </w:r>
    </w:p>
    <w:p>
      <w:pPr>
        <w:pStyle w:val="7"/>
        <w:autoSpaceDE w:val="0"/>
        <w:spacing w:before="93"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2019</w:t>
      </w:r>
      <w:r>
        <w:rPr>
          <w:rFonts w:hint="eastAsia" w:ascii="仿宋_GB2312" w:hAnsi="Times New Roman" w:eastAsia="仿宋_GB2312"/>
          <w:sz w:val="32"/>
          <w:szCs w:val="32"/>
        </w:rPr>
        <w:t>年</w:t>
      </w:r>
      <w:r>
        <w:rPr>
          <w:rFonts w:ascii="仿宋_GB2312" w:hAnsi="Times New Roman" w:eastAsia="仿宋_GB2312"/>
          <w:sz w:val="32"/>
          <w:szCs w:val="32"/>
        </w:rPr>
        <w:t>度</w:t>
      </w:r>
      <w:r>
        <w:rPr>
          <w:rFonts w:hint="eastAsia" w:ascii="仿宋_GB2312" w:hAnsi="Times New Roman" w:eastAsia="仿宋_GB2312"/>
          <w:sz w:val="32"/>
          <w:szCs w:val="32"/>
        </w:rPr>
        <w:t>支</w:t>
      </w:r>
      <w:r>
        <w:rPr>
          <w:rFonts w:ascii="仿宋_GB2312" w:hAnsi="Times New Roman" w:eastAsia="仿宋_GB2312"/>
          <w:sz w:val="32"/>
          <w:szCs w:val="32"/>
        </w:rPr>
        <w:t>出</w:t>
      </w:r>
      <w:r>
        <w:rPr>
          <w:rFonts w:ascii="Times New Roman" w:hAnsi="Times New Roman" w:eastAsia="仿宋_GB2312"/>
          <w:sz w:val="32"/>
          <w:szCs w:val="32"/>
        </w:rPr>
        <w:t>2531080.98</w:t>
      </w:r>
      <w:r>
        <w:rPr>
          <w:rFonts w:hint="eastAsia" w:ascii="仿宋_GB2312" w:hAnsi="Times New Roman" w:eastAsia="仿宋_GB2312"/>
          <w:sz w:val="32"/>
          <w:szCs w:val="32"/>
        </w:rPr>
        <w:t>元，绩</w:t>
      </w:r>
      <w:r>
        <w:rPr>
          <w:rFonts w:ascii="仿宋_GB2312" w:hAnsi="Times New Roman" w:eastAsia="仿宋_GB2312"/>
          <w:sz w:val="32"/>
          <w:szCs w:val="32"/>
        </w:rPr>
        <w:t>效目</w:t>
      </w:r>
      <w:r>
        <w:rPr>
          <w:rFonts w:hint="eastAsia" w:ascii="仿宋_GB2312" w:hAnsi="Times New Roman" w:eastAsia="仿宋_GB2312"/>
          <w:sz w:val="32"/>
          <w:szCs w:val="32"/>
        </w:rPr>
        <w:t>标</w:t>
      </w:r>
      <w:r>
        <w:rPr>
          <w:rFonts w:ascii="仿宋_GB2312" w:hAnsi="Times New Roman" w:eastAsia="仿宋_GB2312"/>
          <w:sz w:val="32"/>
          <w:szCs w:val="32"/>
        </w:rPr>
        <w:t>完成</w:t>
      </w:r>
      <w:r>
        <w:rPr>
          <w:rFonts w:hint="eastAsia" w:ascii="Times New Roman" w:hAnsi="Times New Roman" w:eastAsia="仿宋_GB2312"/>
          <w:sz w:val="32"/>
          <w:szCs w:val="32"/>
        </w:rPr>
        <w:t>55.91</w:t>
      </w:r>
      <w:r>
        <w:rPr>
          <w:rFonts w:ascii="Times New Roman" w:hAnsi="Times New Roman" w:eastAsia="仿宋_GB2312"/>
          <w:sz w:val="32"/>
          <w:szCs w:val="32"/>
        </w:rPr>
        <w:t>%</w:t>
      </w:r>
      <w:r>
        <w:rPr>
          <w:rFonts w:hint="eastAsia" w:ascii="仿宋_GB2312" w:hAnsi="Times New Roman" w:eastAsia="仿宋_GB2312"/>
          <w:sz w:val="32"/>
          <w:szCs w:val="32"/>
        </w:rPr>
        <w:t>，其</w:t>
      </w:r>
      <w:r>
        <w:rPr>
          <w:rFonts w:ascii="仿宋_GB2312" w:hAnsi="Times New Roman" w:eastAsia="仿宋_GB2312"/>
          <w:sz w:val="32"/>
          <w:szCs w:val="32"/>
        </w:rPr>
        <w:t>中：</w:t>
      </w:r>
      <w:r>
        <w:rPr>
          <w:rFonts w:hint="eastAsia" w:ascii="仿宋_GB2312" w:hAnsi="Times New Roman" w:eastAsia="仿宋_GB2312"/>
          <w:sz w:val="32"/>
          <w:szCs w:val="32"/>
        </w:rPr>
        <w:t>其</w:t>
      </w:r>
      <w:r>
        <w:rPr>
          <w:rFonts w:ascii="仿宋_GB2312" w:hAnsi="Times New Roman" w:eastAsia="仿宋_GB2312"/>
          <w:sz w:val="32"/>
          <w:szCs w:val="32"/>
        </w:rPr>
        <w:t>他资金</w:t>
      </w:r>
      <w:r>
        <w:rPr>
          <w:rFonts w:ascii="Times New Roman" w:hAnsi="Times New Roman" w:eastAsia="仿宋_GB2312"/>
          <w:sz w:val="32"/>
          <w:szCs w:val="32"/>
        </w:rPr>
        <w:t>18592.8</w:t>
      </w:r>
      <w:r>
        <w:rPr>
          <w:rFonts w:hint="eastAsia" w:ascii="仿宋_GB2312" w:hAnsi="Times New Roman" w:eastAsia="仿宋_GB2312"/>
          <w:sz w:val="32"/>
          <w:szCs w:val="32"/>
        </w:rPr>
        <w:t>元，财</w:t>
      </w:r>
      <w:r>
        <w:rPr>
          <w:rFonts w:ascii="仿宋_GB2312" w:hAnsi="Times New Roman" w:eastAsia="仿宋_GB2312"/>
          <w:sz w:val="32"/>
          <w:szCs w:val="32"/>
        </w:rPr>
        <w:t>政</w:t>
      </w:r>
      <w:r>
        <w:rPr>
          <w:rFonts w:hint="eastAsia" w:ascii="仿宋_GB2312" w:hAnsi="Times New Roman" w:eastAsia="仿宋_GB2312"/>
          <w:sz w:val="32"/>
          <w:szCs w:val="32"/>
        </w:rPr>
        <w:t>拨</w:t>
      </w:r>
      <w:r>
        <w:rPr>
          <w:rFonts w:ascii="仿宋_GB2312" w:hAnsi="Times New Roman" w:eastAsia="仿宋_GB2312"/>
          <w:sz w:val="32"/>
          <w:szCs w:val="32"/>
        </w:rPr>
        <w:t>款支出</w:t>
      </w:r>
      <w:r>
        <w:rPr>
          <w:rFonts w:ascii="Times New Roman" w:hAnsi="Times New Roman" w:eastAsia="仿宋_GB2312"/>
          <w:sz w:val="32"/>
          <w:szCs w:val="32"/>
        </w:rPr>
        <w:t>2512488.18</w:t>
      </w:r>
      <w:r>
        <w:rPr>
          <w:rFonts w:hint="eastAsia" w:ascii="仿宋_GB2312" w:hAnsi="Times New Roman" w:eastAsia="仿宋_GB2312"/>
          <w:sz w:val="32"/>
          <w:szCs w:val="32"/>
        </w:rPr>
        <w:t>元</w:t>
      </w:r>
      <w:r>
        <w:rPr>
          <w:rFonts w:ascii="仿宋_GB2312" w:hAnsi="Times New Roman" w:eastAsia="仿宋_GB2312"/>
          <w:sz w:val="32"/>
          <w:szCs w:val="32"/>
        </w:rPr>
        <w:t>。</w:t>
      </w:r>
      <w:r>
        <w:rPr>
          <w:rFonts w:hint="eastAsia" w:ascii="仿宋_GB2312" w:hAnsi="Times New Roman" w:eastAsia="仿宋_GB2312"/>
          <w:sz w:val="32"/>
          <w:szCs w:val="32"/>
        </w:rPr>
        <w:t>一</w:t>
      </w:r>
      <w:r>
        <w:rPr>
          <w:rFonts w:ascii="仿宋_GB2312" w:hAnsi="Times New Roman" w:eastAsia="仿宋_GB2312"/>
          <w:sz w:val="32"/>
          <w:szCs w:val="32"/>
        </w:rPr>
        <w:t>般公共服务支出</w:t>
      </w:r>
      <w:r>
        <w:rPr>
          <w:rFonts w:ascii="Times New Roman" w:hAnsi="Times New Roman" w:eastAsia="仿宋_GB2312"/>
          <w:sz w:val="32"/>
          <w:szCs w:val="32"/>
        </w:rPr>
        <w:t>18592.8</w:t>
      </w:r>
      <w:r>
        <w:rPr>
          <w:rFonts w:hint="eastAsia" w:ascii="仿宋_GB2312" w:hAnsi="Times New Roman" w:eastAsia="仿宋_GB2312"/>
          <w:sz w:val="32"/>
          <w:szCs w:val="32"/>
        </w:rPr>
        <w:t>元</w:t>
      </w:r>
      <w:r>
        <w:rPr>
          <w:rFonts w:ascii="仿宋_GB2312" w:hAnsi="Times New Roman" w:eastAsia="仿宋_GB2312"/>
          <w:sz w:val="32"/>
          <w:szCs w:val="32"/>
        </w:rPr>
        <w:t>，</w:t>
      </w:r>
      <w:r>
        <w:rPr>
          <w:rFonts w:hint="eastAsia" w:ascii="仿宋_GB2312" w:hAnsi="Times New Roman" w:eastAsia="仿宋_GB2312"/>
          <w:sz w:val="32"/>
          <w:szCs w:val="32"/>
        </w:rPr>
        <w:t>绩</w:t>
      </w:r>
      <w:r>
        <w:rPr>
          <w:rFonts w:ascii="仿宋_GB2312" w:hAnsi="Times New Roman" w:eastAsia="仿宋_GB2312"/>
          <w:sz w:val="32"/>
          <w:szCs w:val="32"/>
        </w:rPr>
        <w:t>效目标完成</w:t>
      </w:r>
      <w:r>
        <w:rPr>
          <w:rFonts w:hint="eastAsia" w:ascii="Times New Roman" w:hAnsi="Times New Roman" w:eastAsia="仿宋_GB2312"/>
          <w:sz w:val="32"/>
          <w:szCs w:val="32"/>
        </w:rPr>
        <w:t>91.13</w:t>
      </w:r>
      <w:r>
        <w:rPr>
          <w:rFonts w:ascii="Times New Roman" w:hAnsi="Times New Roman" w:eastAsia="仿宋_GB2312"/>
          <w:sz w:val="32"/>
          <w:szCs w:val="32"/>
        </w:rPr>
        <w:t>%</w:t>
      </w:r>
      <w:r>
        <w:rPr>
          <w:rFonts w:hint="eastAsia" w:ascii="仿宋_GB2312" w:hAnsi="Times New Roman" w:eastAsia="仿宋_GB2312"/>
          <w:sz w:val="32"/>
          <w:szCs w:val="32"/>
        </w:rPr>
        <w:t>。节</w:t>
      </w:r>
      <w:r>
        <w:rPr>
          <w:rFonts w:ascii="仿宋_GB2312" w:hAnsi="Times New Roman" w:eastAsia="仿宋_GB2312"/>
          <w:sz w:val="32"/>
          <w:szCs w:val="32"/>
        </w:rPr>
        <w:t>能环保支出</w:t>
      </w:r>
      <w:r>
        <w:rPr>
          <w:rFonts w:hint="eastAsia" w:ascii="Times New Roman" w:hAnsi="Times New Roman" w:eastAsia="仿宋_GB2312"/>
          <w:sz w:val="32"/>
          <w:szCs w:val="32"/>
        </w:rPr>
        <w:t>40000</w:t>
      </w:r>
      <w:r>
        <w:rPr>
          <w:rFonts w:hint="eastAsia" w:ascii="仿宋_GB2312" w:hAnsi="Times New Roman" w:eastAsia="仿宋_GB2312"/>
          <w:sz w:val="32"/>
          <w:szCs w:val="32"/>
        </w:rPr>
        <w:t>元，绩</w:t>
      </w:r>
      <w:r>
        <w:rPr>
          <w:rFonts w:ascii="仿宋_GB2312" w:hAnsi="Times New Roman" w:eastAsia="仿宋_GB2312"/>
          <w:sz w:val="32"/>
          <w:szCs w:val="32"/>
        </w:rPr>
        <w:t>效</w:t>
      </w:r>
      <w:r>
        <w:rPr>
          <w:rFonts w:hint="eastAsia" w:ascii="仿宋_GB2312" w:hAnsi="Times New Roman" w:eastAsia="仿宋_GB2312"/>
          <w:sz w:val="32"/>
          <w:szCs w:val="32"/>
        </w:rPr>
        <w:t>目</w:t>
      </w:r>
      <w:r>
        <w:rPr>
          <w:rFonts w:ascii="仿宋_GB2312" w:hAnsi="Times New Roman" w:eastAsia="仿宋_GB2312"/>
          <w:sz w:val="32"/>
          <w:szCs w:val="32"/>
        </w:rPr>
        <w:t>标完成</w:t>
      </w:r>
      <w:r>
        <w:rPr>
          <w:rFonts w:hint="eastAsia" w:ascii="Times New Roman" w:hAnsi="Times New Roman" w:eastAsia="仿宋_GB2312"/>
          <w:sz w:val="32"/>
          <w:szCs w:val="32"/>
        </w:rPr>
        <w:t>100</w:t>
      </w:r>
      <w:r>
        <w:rPr>
          <w:rFonts w:ascii="Times New Roman" w:hAnsi="Times New Roman" w:eastAsia="仿宋_GB2312"/>
          <w:sz w:val="32"/>
          <w:szCs w:val="32"/>
        </w:rPr>
        <w:t>%</w:t>
      </w:r>
      <w:r>
        <w:rPr>
          <w:rFonts w:hint="eastAsia" w:ascii="仿宋_GB2312" w:hAnsi="Times New Roman" w:eastAsia="仿宋_GB2312"/>
          <w:sz w:val="32"/>
          <w:szCs w:val="32"/>
        </w:rPr>
        <w:t>。</w:t>
      </w:r>
      <w:r>
        <w:rPr>
          <w:rFonts w:ascii="仿宋_GB2312" w:hAnsi="Times New Roman" w:eastAsia="仿宋_GB2312"/>
          <w:sz w:val="32"/>
          <w:szCs w:val="32"/>
        </w:rPr>
        <w:t>城乡社区支出</w:t>
      </w:r>
      <w:r>
        <w:rPr>
          <w:rFonts w:ascii="Times New Roman" w:hAnsi="Times New Roman" w:eastAsia="仿宋_GB2312"/>
          <w:sz w:val="32"/>
          <w:szCs w:val="32"/>
        </w:rPr>
        <w:t>2258488.64</w:t>
      </w:r>
      <w:r>
        <w:rPr>
          <w:rFonts w:hint="eastAsia" w:ascii="Times New Roman" w:hAnsi="Times New Roman" w:eastAsia="仿宋_GB2312"/>
          <w:sz w:val="32"/>
          <w:szCs w:val="32"/>
        </w:rPr>
        <w:t>元</w:t>
      </w:r>
      <w:r>
        <w:rPr>
          <w:rFonts w:ascii="Times New Roman" w:hAnsi="Times New Roman" w:eastAsia="仿宋_GB2312"/>
          <w:sz w:val="32"/>
          <w:szCs w:val="32"/>
        </w:rPr>
        <w:t>，</w:t>
      </w:r>
      <w:r>
        <w:rPr>
          <w:rFonts w:hint="eastAsia" w:ascii="Times New Roman" w:hAnsi="Times New Roman" w:eastAsia="仿宋_GB2312"/>
          <w:sz w:val="32"/>
          <w:szCs w:val="32"/>
        </w:rPr>
        <w:t>绩</w:t>
      </w:r>
      <w:r>
        <w:rPr>
          <w:rFonts w:ascii="Times New Roman" w:hAnsi="Times New Roman" w:eastAsia="仿宋_GB2312"/>
          <w:sz w:val="32"/>
          <w:szCs w:val="32"/>
        </w:rPr>
        <w:t>效目标完成</w:t>
      </w:r>
      <w:r>
        <w:rPr>
          <w:rFonts w:hint="eastAsia" w:ascii="Times New Roman" w:hAnsi="Times New Roman" w:eastAsia="仿宋_GB2312"/>
          <w:sz w:val="32"/>
          <w:szCs w:val="32"/>
        </w:rPr>
        <w:t>53.13</w:t>
      </w:r>
      <w:r>
        <w:rPr>
          <w:rFonts w:ascii="Times New Roman" w:hAnsi="Times New Roman" w:eastAsia="仿宋_GB2312"/>
          <w:sz w:val="32"/>
          <w:szCs w:val="32"/>
        </w:rPr>
        <w:t>%</w:t>
      </w:r>
      <w:r>
        <w:rPr>
          <w:rFonts w:hint="eastAsia" w:ascii="Times New Roman" w:hAnsi="Times New Roman" w:eastAsia="仿宋_GB2312"/>
          <w:sz w:val="32"/>
          <w:szCs w:val="32"/>
        </w:rPr>
        <w:t>。粮</w:t>
      </w:r>
      <w:r>
        <w:rPr>
          <w:rFonts w:ascii="Times New Roman" w:hAnsi="Times New Roman" w:eastAsia="仿宋_GB2312"/>
          <w:sz w:val="32"/>
          <w:szCs w:val="32"/>
        </w:rPr>
        <w:t>油物资储备支出213999.54</w:t>
      </w:r>
      <w:r>
        <w:rPr>
          <w:rFonts w:hint="eastAsia" w:ascii="Times New Roman" w:hAnsi="Times New Roman" w:eastAsia="仿宋_GB2312"/>
          <w:sz w:val="32"/>
          <w:szCs w:val="32"/>
        </w:rPr>
        <w:t>元</w:t>
      </w:r>
      <w:r>
        <w:rPr>
          <w:rFonts w:ascii="Times New Roman" w:hAnsi="Times New Roman" w:eastAsia="仿宋_GB2312"/>
          <w:sz w:val="32"/>
          <w:szCs w:val="32"/>
        </w:rPr>
        <w:t>。</w:t>
      </w:r>
      <w:r>
        <w:rPr>
          <w:rFonts w:hint="eastAsia" w:ascii="Times New Roman" w:hAnsi="Times New Roman" w:eastAsia="仿宋_GB2312"/>
          <w:sz w:val="32"/>
          <w:szCs w:val="32"/>
        </w:rPr>
        <w:t>绩</w:t>
      </w:r>
      <w:r>
        <w:rPr>
          <w:rFonts w:ascii="Times New Roman" w:hAnsi="Times New Roman" w:eastAsia="仿宋_GB2312"/>
          <w:sz w:val="32"/>
          <w:szCs w:val="32"/>
        </w:rPr>
        <w:t>效目标完成</w:t>
      </w:r>
      <w:r>
        <w:rPr>
          <w:rFonts w:hint="eastAsia" w:ascii="Times New Roman" w:hAnsi="Times New Roman" w:eastAsia="仿宋_GB2312"/>
          <w:sz w:val="32"/>
          <w:szCs w:val="32"/>
        </w:rPr>
        <w:t>99.07</w:t>
      </w:r>
      <w:r>
        <w:rPr>
          <w:rFonts w:ascii="Times New Roman" w:hAnsi="Times New Roman" w:eastAsia="仿宋_GB2312"/>
          <w:sz w:val="32"/>
          <w:szCs w:val="32"/>
        </w:rPr>
        <w:t>%。</w:t>
      </w:r>
    </w:p>
    <w:p>
      <w:pPr>
        <w:widowControl/>
        <w:adjustRightInd w:val="0"/>
        <w:snapToGrid w:val="0"/>
        <w:spacing w:line="360" w:lineRule="auto"/>
        <w:ind w:firstLine="640" w:firstLineChars="200"/>
        <w:contextualSpacing/>
        <w:jc w:val="left"/>
        <w:rPr>
          <w:rFonts w:eastAsia="仿宋_GB2312"/>
          <w:sz w:val="32"/>
          <w:szCs w:val="32"/>
        </w:rPr>
      </w:pPr>
      <w:r>
        <w:rPr>
          <w:rFonts w:hint="eastAsia" w:eastAsia="仿宋_GB2312"/>
          <w:sz w:val="32"/>
          <w:szCs w:val="32"/>
        </w:rPr>
        <w:t>（二）结果应用情况。</w:t>
      </w:r>
    </w:p>
    <w:p>
      <w:pPr>
        <w:autoSpaceDE w:val="0"/>
        <w:spacing w:line="360" w:lineRule="auto"/>
        <w:ind w:firstLine="640" w:firstLineChars="200"/>
        <w:rPr>
          <w:rFonts w:eastAsia="仿宋_GB2312"/>
          <w:sz w:val="32"/>
          <w:szCs w:val="32"/>
        </w:rPr>
      </w:pPr>
      <w:r>
        <w:rPr>
          <w:rFonts w:hint="eastAsia" w:eastAsia="仿宋_GB2312"/>
          <w:sz w:val="32"/>
          <w:szCs w:val="32"/>
        </w:rPr>
        <w:t>各项</w:t>
      </w:r>
      <w:r>
        <w:rPr>
          <w:rFonts w:eastAsia="仿宋_GB2312"/>
          <w:sz w:val="32"/>
          <w:szCs w:val="32"/>
        </w:rPr>
        <w:t>支出</w:t>
      </w:r>
      <w:r>
        <w:rPr>
          <w:rFonts w:hint="eastAsia" w:eastAsia="仿宋_GB2312"/>
          <w:sz w:val="32"/>
          <w:szCs w:val="32"/>
        </w:rPr>
        <w:t>绩</w:t>
      </w:r>
      <w:r>
        <w:rPr>
          <w:rFonts w:eastAsia="仿宋_GB2312"/>
          <w:sz w:val="32"/>
          <w:szCs w:val="32"/>
        </w:rPr>
        <w:t>效目标均在预算内</w:t>
      </w:r>
      <w:r>
        <w:rPr>
          <w:rFonts w:hint="eastAsia" w:eastAsia="仿宋_GB2312"/>
          <w:sz w:val="32"/>
          <w:szCs w:val="32"/>
        </w:rPr>
        <w:t>按</w:t>
      </w:r>
      <w:r>
        <w:rPr>
          <w:rFonts w:eastAsia="仿宋_GB2312"/>
          <w:sz w:val="32"/>
          <w:szCs w:val="32"/>
        </w:rPr>
        <w:t>时保质保量完成</w:t>
      </w:r>
      <w:r>
        <w:rPr>
          <w:rFonts w:hint="eastAsia" w:eastAsia="仿宋_GB2312"/>
          <w:sz w:val="32"/>
          <w:szCs w:val="32"/>
        </w:rPr>
        <w:t>，财政支出规范合理，既确保了重点项目开支，取得了一定的社会效益，获得企业及群众的满意，又保障部门正常运行，财政支出绩效良好。</w:t>
      </w:r>
    </w:p>
    <w:p>
      <w:pPr>
        <w:widowControl/>
        <w:adjustRightInd w:val="0"/>
        <w:snapToGrid w:val="0"/>
        <w:spacing w:line="360" w:lineRule="auto"/>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pPr>
        <w:widowControl/>
        <w:adjustRightInd w:val="0"/>
        <w:snapToGrid w:val="0"/>
        <w:spacing w:line="360" w:lineRule="auto"/>
        <w:ind w:firstLine="640" w:firstLineChars="200"/>
        <w:contextualSpacing/>
        <w:jc w:val="left"/>
        <w:rPr>
          <w:rFonts w:eastAsia="仿宋_GB2312"/>
          <w:sz w:val="32"/>
          <w:szCs w:val="32"/>
        </w:rPr>
      </w:pPr>
      <w:r>
        <w:rPr>
          <w:rFonts w:hint="eastAsia" w:eastAsia="仿宋_GB2312"/>
          <w:sz w:val="32"/>
          <w:szCs w:val="32"/>
        </w:rPr>
        <w:t>（一）评价结论。</w:t>
      </w:r>
    </w:p>
    <w:p>
      <w:pPr>
        <w:widowControl/>
        <w:adjustRightInd w:val="0"/>
        <w:snapToGrid w:val="0"/>
        <w:spacing w:line="360" w:lineRule="auto"/>
        <w:ind w:firstLine="640" w:firstLineChars="200"/>
        <w:contextualSpacing/>
        <w:jc w:val="left"/>
        <w:rPr>
          <w:rFonts w:eastAsia="仿宋_GB2312"/>
          <w:sz w:val="32"/>
          <w:szCs w:val="32"/>
        </w:rPr>
      </w:pPr>
      <w:r>
        <w:rPr>
          <w:rFonts w:hint="eastAsia" w:eastAsia="仿宋_GB2312"/>
          <w:sz w:val="32"/>
          <w:szCs w:val="32"/>
        </w:rPr>
        <w:t>区发展改革局按要求对</w:t>
      </w:r>
      <w:r>
        <w:rPr>
          <w:rFonts w:eastAsia="仿宋_GB2312"/>
          <w:sz w:val="32"/>
          <w:szCs w:val="32"/>
        </w:rPr>
        <w:t>2019</w:t>
      </w:r>
      <w:r>
        <w:rPr>
          <w:rFonts w:hint="eastAsia" w:eastAsia="仿宋_GB2312"/>
          <w:sz w:val="32"/>
          <w:szCs w:val="32"/>
        </w:rPr>
        <w:t>年度部门预算整体绩效和财政项目支出绩效开展自评，自评结果显示，区发展改革局基本按照预算事前绩效评估安排项目支出，全部完成年初绩效目标，财政支出规范合理，既确保了重点项目开支又保障部门正常运行，财政支出绩效良好。</w:t>
      </w:r>
    </w:p>
    <w:p>
      <w:pPr>
        <w:widowControl/>
        <w:adjustRightInd w:val="0"/>
        <w:snapToGrid w:val="0"/>
        <w:spacing w:line="360" w:lineRule="auto"/>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（二）存在问题。</w:t>
      </w:r>
    </w:p>
    <w:p>
      <w:pPr>
        <w:pStyle w:val="7"/>
        <w:autoSpaceDE w:val="0"/>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2019年机构改革造成项目衔接未及时更新状态，后期已跟进。</w:t>
      </w:r>
    </w:p>
    <w:p>
      <w:pPr>
        <w:pStyle w:val="7"/>
        <w:autoSpaceDE w:val="0"/>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另外绩效的监控不够完善、内控制度不够细化、评价结果应用不够充分，整体离预期目标还存在一定差距。</w:t>
      </w:r>
    </w:p>
    <w:p>
      <w:pPr>
        <w:pStyle w:val="7"/>
        <w:autoSpaceDE w:val="0"/>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（三）改进建议。</w:t>
      </w:r>
    </w:p>
    <w:p>
      <w:pPr>
        <w:pStyle w:val="7"/>
        <w:autoSpaceDE w:val="0"/>
        <w:spacing w:line="560" w:lineRule="exact"/>
        <w:ind w:firstLine="640" w:firstLineChars="200"/>
        <w:rPr>
          <w:rFonts w:ascii="仿宋_GB2312" w:hAnsi="Times New Roman" w:eastAsia="仿宋_GB2312"/>
          <w:sz w:val="32"/>
          <w:szCs w:val="32"/>
        </w:rPr>
      </w:pPr>
      <w:r>
        <w:rPr>
          <w:rFonts w:ascii="仿宋_GB2312" w:hAnsi="Times New Roman" w:eastAsia="仿宋_GB2312"/>
          <w:sz w:val="32"/>
          <w:szCs w:val="32"/>
        </w:rPr>
        <w:t>1.加强单位预算编制工作，根据人员情况、业务开展需要，逐项做出预算计划，预算合理、不留缺口、不留空项。</w:t>
      </w:r>
    </w:p>
    <w:p>
      <w:pPr>
        <w:pStyle w:val="7"/>
        <w:autoSpaceDE w:val="0"/>
        <w:spacing w:line="560" w:lineRule="exact"/>
        <w:ind w:firstLine="640" w:firstLineChars="200"/>
        <w:rPr>
          <w:rFonts w:ascii="仿宋_GB2312" w:hAnsi="Times New Roman" w:eastAsia="仿宋_GB2312"/>
          <w:sz w:val="32"/>
          <w:szCs w:val="32"/>
        </w:rPr>
      </w:pPr>
      <w:r>
        <w:rPr>
          <w:rFonts w:ascii="仿宋_GB2312" w:hAnsi="Times New Roman" w:eastAsia="仿宋_GB2312"/>
          <w:sz w:val="32"/>
          <w:szCs w:val="32"/>
        </w:rPr>
        <w:t>2.加强业务培训，提高评价水平。部门整体绩效评价工作是一项长期性的工作，专业性强，工作量大，建议财政部门进一步加强开展部门领导及经办人员相关的政策、业务工作培训，组织开展部门之间、单位之间的经验交流，切实推进绩效评价工作的开展。</w:t>
      </w:r>
    </w:p>
    <w:p>
      <w:pPr>
        <w:pStyle w:val="7"/>
        <w:autoSpaceDE w:val="0"/>
        <w:spacing w:line="560" w:lineRule="exact"/>
        <w:ind w:firstLine="640" w:firstLineChars="200"/>
        <w:rPr>
          <w:rFonts w:ascii="仿宋_GB2312" w:hAnsi="Times New Roman" w:eastAsia="仿宋_GB2312"/>
          <w:sz w:val="32"/>
          <w:szCs w:val="32"/>
        </w:rPr>
      </w:pPr>
      <w:r>
        <w:rPr>
          <w:rFonts w:ascii="仿宋_GB2312" w:hAnsi="Times New Roman" w:eastAsia="仿宋_GB2312"/>
          <w:sz w:val="32"/>
          <w:szCs w:val="32"/>
        </w:rPr>
        <w:t>3.进一步健全和完善财务管理制度及内部控制制度，创新管理手段，用新思路、新方法，改进完善财务管理方法。</w:t>
      </w: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pStyle w:val="7"/>
        <w:autoSpaceDE w:val="0"/>
        <w:spacing w:line="560" w:lineRule="exact"/>
        <w:ind w:firstLine="640" w:firstLineChars="200"/>
        <w:rPr>
          <w:rFonts w:ascii="仿宋_GB2312" w:hAnsi="Times New Roman" w:eastAsia="仿宋_GB2312"/>
          <w:sz w:val="32"/>
          <w:szCs w:val="32"/>
        </w:rPr>
      </w:pPr>
    </w:p>
    <w:p>
      <w:pPr>
        <w:spacing w:line="360" w:lineRule="auto"/>
        <w:rPr>
          <w:rFonts w:ascii="仿宋_GB2312" w:hAnsi="仿宋_GB2312" w:eastAsia="仿宋_GB2312" w:cs="仿宋_GB2312"/>
          <w:sz w:val="32"/>
          <w:szCs w:val="32"/>
        </w:rPr>
      </w:pPr>
      <w:r>
        <w:rPr>
          <w:rFonts w:hint="eastAsia" w:ascii="黑体" w:hAnsi="黑体" w:eastAsia="黑体" w:cs="黑体"/>
          <w:sz w:val="32"/>
          <w:szCs w:val="32"/>
        </w:rPr>
        <w:t>附件2</w:t>
      </w:r>
    </w:p>
    <w:p>
      <w:pPr>
        <w:spacing w:line="600" w:lineRule="exact"/>
        <w:jc w:val="center"/>
        <w:rPr>
          <w:rFonts w:ascii="方正小标宋简体" w:hAnsi="宋体" w:eastAsia="方正小标宋简体"/>
          <w:color w:val="000000"/>
          <w:kern w:val="0"/>
          <w:sz w:val="44"/>
          <w:szCs w:val="44"/>
          <w:lang w:val="zh-CN"/>
        </w:rPr>
      </w:pPr>
      <w:r>
        <w:rPr>
          <w:rFonts w:hint="eastAsia" w:eastAsia="方正小标宋简体" w:asciiTheme="minorHAnsi" w:hAnsiTheme="minorHAnsi"/>
          <w:color w:val="000000"/>
          <w:kern w:val="0"/>
          <w:sz w:val="44"/>
          <w:szCs w:val="44"/>
        </w:rPr>
        <w:t>专项项目</w:t>
      </w:r>
      <w:r>
        <w:rPr>
          <w:rFonts w:hint="eastAsia" w:ascii="方正小标宋简体" w:hAnsi="宋体" w:eastAsia="方正小标宋简体"/>
          <w:color w:val="000000"/>
          <w:kern w:val="0"/>
          <w:sz w:val="44"/>
          <w:szCs w:val="44"/>
        </w:rPr>
        <w:t>2019年</w:t>
      </w:r>
      <w:r>
        <w:rPr>
          <w:rFonts w:hint="eastAsia" w:ascii="方正小标宋简体" w:hAnsi="宋体" w:eastAsia="方正小标宋简体"/>
          <w:color w:val="000000"/>
          <w:kern w:val="0"/>
          <w:sz w:val="44"/>
          <w:szCs w:val="44"/>
          <w:lang w:val="zh-CN"/>
        </w:rPr>
        <w:t>绩效评价报告</w:t>
      </w:r>
    </w:p>
    <w:p>
      <w:pPr>
        <w:spacing w:line="600" w:lineRule="exact"/>
        <w:rPr>
          <w:rFonts w:ascii="宋体" w:hAnsi="宋体"/>
          <w:sz w:val="32"/>
          <w:szCs w:val="32"/>
          <w:lang w:val="zh-CN"/>
        </w:rPr>
      </w:pPr>
    </w:p>
    <w:p>
      <w:pPr>
        <w:adjustRightInd w:val="0"/>
        <w:snapToGrid w:val="0"/>
        <w:spacing w:line="600"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pPr>
        <w:ind w:firstLine="640" w:firstLineChars="200"/>
        <w:rPr>
          <w:rFonts w:ascii="仿宋_GB2312" w:hAnsi="宋体" w:eastAsia="仿宋_GB2312"/>
          <w:sz w:val="32"/>
          <w:szCs w:val="32"/>
          <w:lang w:val="zh-CN"/>
        </w:rPr>
      </w:pPr>
      <w:r>
        <w:rPr>
          <w:rFonts w:hint="eastAsia" w:ascii="仿宋_GB2312" w:hAnsi="宋体" w:eastAsia="仿宋_GB2312"/>
          <w:sz w:val="32"/>
          <w:szCs w:val="32"/>
          <w:lang w:val="zh-CN"/>
        </w:rPr>
        <w:t>1、西区发展和改革局在各项项目管理工作中的主要职责：</w:t>
      </w:r>
      <w:r>
        <w:rPr>
          <w:rFonts w:hint="eastAsia" w:ascii="方正仿宋_GBK" w:hAnsi="方正仿宋_GBK" w:eastAsia="方正仿宋_GBK" w:cs="方正仿宋_GBK"/>
          <w:kern w:val="0"/>
          <w:sz w:val="33"/>
          <w:szCs w:val="33"/>
        </w:rPr>
        <w:t>加强区域性宏观数据分析</w:t>
      </w:r>
      <w:r>
        <w:rPr>
          <w:rFonts w:hint="eastAsia" w:ascii="仿宋_GB2312" w:hAnsi="宋体" w:eastAsia="仿宋_GB2312"/>
          <w:sz w:val="32"/>
          <w:szCs w:val="32"/>
          <w:lang w:val="zh-CN"/>
        </w:rPr>
        <w:t>研究、全力做好</w:t>
      </w:r>
      <w:r>
        <w:rPr>
          <w:rFonts w:ascii="仿宋_GB2312" w:hAnsi="宋体" w:eastAsia="仿宋_GB2312"/>
          <w:sz w:val="32"/>
          <w:szCs w:val="32"/>
          <w:lang w:val="zh-CN"/>
        </w:rPr>
        <w:t>民生实事全面惠及群众</w:t>
      </w:r>
      <w:r>
        <w:rPr>
          <w:rFonts w:hint="eastAsia" w:ascii="仿宋_GB2312" w:hAnsi="宋体" w:eastAsia="仿宋_GB2312"/>
          <w:sz w:val="32"/>
          <w:szCs w:val="32"/>
          <w:lang w:val="zh-CN"/>
        </w:rPr>
        <w:t>、深入开展</w:t>
      </w:r>
      <w:r>
        <w:rPr>
          <w:rFonts w:ascii="仿宋_GB2312" w:hAnsi="宋体" w:eastAsia="仿宋_GB2312"/>
          <w:sz w:val="32"/>
          <w:szCs w:val="32"/>
          <w:lang w:val="zh-CN"/>
        </w:rPr>
        <w:t>社会治理创新</w:t>
      </w:r>
      <w:r>
        <w:rPr>
          <w:rFonts w:hint="eastAsia" w:ascii="仿宋_GB2312" w:hAnsi="宋体" w:eastAsia="仿宋_GB2312"/>
          <w:sz w:val="32"/>
          <w:szCs w:val="32"/>
          <w:lang w:val="zh-CN"/>
        </w:rPr>
        <w:t>、</w:t>
      </w:r>
      <w:r>
        <w:rPr>
          <w:rFonts w:ascii="仿宋_GB2312" w:hAnsi="宋体" w:eastAsia="仿宋_GB2312"/>
          <w:sz w:val="32"/>
          <w:szCs w:val="32"/>
          <w:lang w:val="zh-CN"/>
        </w:rPr>
        <w:t>统筹发展其他社会事业。</w:t>
      </w:r>
      <w:r>
        <w:rPr>
          <w:rFonts w:hint="eastAsia" w:ascii="仿宋_GB2312" w:hAnsi="宋体" w:eastAsia="仿宋_GB2312"/>
          <w:sz w:val="32"/>
          <w:szCs w:val="32"/>
          <w:lang w:val="zh-CN"/>
        </w:rPr>
        <w:t xml:space="preserve"> </w:t>
      </w:r>
    </w:p>
    <w:p>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2．立项依据：项目建设业主方具体工作要求、区级储备粮食的采购、储藏、保管、轮换工作要求及《攀枝花市西区区级储备粮油管理办法》；按照《中华人民共和国价格法》、《四川省价格管理条例》规定。</w:t>
      </w:r>
    </w:p>
    <w:p>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1．金沙水电站建设协调费：协调解决项目推进中的重大问题，督促各相关部门为金沙水电站建设服务，确保项目建设完成年度计划；</w:t>
      </w:r>
    </w:p>
    <w:p>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2．龙源电力建设协调费：确保龙源电力风力发电项目建设完成年度建设计划任务；</w:t>
      </w:r>
    </w:p>
    <w:p>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3．市场价格监测和监督检查：规定和市发改委的工作部署完成2019年度价格监督检查目标任务；</w:t>
      </w:r>
    </w:p>
    <w:p>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4.政府投资重点项目推进等经费：完成2019年度重大建设项目推进及稽查工作，确保重大建设项目有序推进，按时完成年度建设任务；</w:t>
      </w:r>
    </w:p>
    <w:p>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5.粮食储备经费：完成粮食轮换，保证区级储备粮存储总量达到市政府下达的保底计划。</w:t>
      </w:r>
    </w:p>
    <w:p>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pPr>
        <w:spacing w:line="600" w:lineRule="exact"/>
        <w:ind w:firstLine="640" w:firstLineChars="200"/>
        <w:outlineLvl w:val="1"/>
        <w:rPr>
          <w:rFonts w:ascii="仿宋" w:hAnsi="仿宋" w:eastAsia="仿宋"/>
          <w:color w:val="000000"/>
          <w:sz w:val="32"/>
          <w:szCs w:val="32"/>
          <w:lang w:val="zh-CN"/>
        </w:rPr>
      </w:pPr>
      <w:r>
        <w:rPr>
          <w:rFonts w:hint="eastAsia" w:ascii="仿宋" w:hAnsi="仿宋" w:eastAsia="仿宋"/>
          <w:color w:val="000000"/>
          <w:sz w:val="32"/>
          <w:szCs w:val="32"/>
          <w:lang w:val="zh-CN"/>
        </w:rPr>
        <w:t>1.现场评价抽样选点情况</w:t>
      </w:r>
    </w:p>
    <w:p>
      <w:pPr>
        <w:spacing w:line="600" w:lineRule="exact"/>
        <w:ind w:firstLine="640" w:firstLineChars="200"/>
        <w:outlineLvl w:val="1"/>
        <w:rPr>
          <w:rFonts w:ascii="仿宋" w:hAnsi="仿宋" w:eastAsia="仿宋"/>
          <w:color w:val="000000"/>
          <w:sz w:val="32"/>
          <w:szCs w:val="32"/>
          <w:lang w:val="zh-CN"/>
        </w:rPr>
      </w:pPr>
      <w:r>
        <w:rPr>
          <w:rFonts w:hint="eastAsia" w:ascii="仿宋" w:hAnsi="仿宋" w:eastAsia="仿宋"/>
          <w:color w:val="000000"/>
          <w:sz w:val="32"/>
          <w:szCs w:val="32"/>
          <w:lang w:val="zh-CN"/>
        </w:rPr>
        <w:t>2.评价指标：数量指标、质量指标、时效指标、成本指标、社会效益指标、满意度指标</w:t>
      </w:r>
    </w:p>
    <w:p>
      <w:pPr>
        <w:spacing w:line="600" w:lineRule="exact"/>
        <w:ind w:firstLine="640" w:firstLineChars="200"/>
        <w:outlineLvl w:val="1"/>
        <w:rPr>
          <w:rFonts w:ascii="仿宋" w:hAnsi="仿宋" w:eastAsia="仿宋"/>
          <w:color w:val="000000"/>
          <w:sz w:val="32"/>
          <w:szCs w:val="32"/>
          <w:lang w:val="zh-CN"/>
        </w:rPr>
      </w:pPr>
      <w:r>
        <w:rPr>
          <w:rFonts w:hint="eastAsia" w:ascii="仿宋" w:hAnsi="仿宋" w:eastAsia="仿宋"/>
          <w:color w:val="000000"/>
          <w:sz w:val="32"/>
          <w:szCs w:val="32"/>
          <w:lang w:val="zh-CN"/>
        </w:rPr>
        <w:t>3.评价方法：随机抽样调查。</w:t>
      </w:r>
    </w:p>
    <w:p>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二、项目资金申报及使用情况</w:t>
      </w:r>
    </w:p>
    <w:p>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pPr>
        <w:spacing w:line="600" w:lineRule="exact"/>
        <w:ind w:firstLine="640" w:firstLineChars="200"/>
        <w:outlineLvl w:val="1"/>
        <w:rPr>
          <w:rFonts w:ascii="仿宋_GB2312" w:hAnsi="宋体" w:eastAsia="仿宋_GB2312"/>
          <w:sz w:val="32"/>
          <w:szCs w:val="32"/>
          <w:lang w:val="zh-CN"/>
        </w:rPr>
      </w:pPr>
      <w:r>
        <w:rPr>
          <w:rFonts w:hint="eastAsia" w:ascii="仿宋" w:hAnsi="仿宋" w:eastAsia="仿宋"/>
          <w:color w:val="000000"/>
          <w:sz w:val="32"/>
          <w:szCs w:val="32"/>
          <w:lang w:val="zh-CN"/>
        </w:rPr>
        <w:t>根据各项工作实际需求，</w:t>
      </w:r>
      <w:r>
        <w:rPr>
          <w:rFonts w:hint="eastAsia" w:ascii="仿宋_GB2312" w:hAnsi="宋体" w:eastAsia="仿宋_GB2312"/>
          <w:sz w:val="32"/>
          <w:szCs w:val="32"/>
          <w:lang w:val="zh-CN"/>
        </w:rPr>
        <w:t>按照《攀枝花市西区区级储备粮油管理办法》及</w:t>
      </w:r>
      <w:r>
        <w:rPr>
          <w:rFonts w:hint="eastAsia" w:ascii="仿宋" w:hAnsi="仿宋" w:eastAsia="仿宋"/>
          <w:color w:val="000000"/>
          <w:sz w:val="32"/>
          <w:szCs w:val="32"/>
          <w:lang w:val="zh-CN"/>
        </w:rPr>
        <w:t>粮食储备实际吨数，合理预算各项工作开展资金，严格按照程序向上作</w:t>
      </w:r>
      <w:r>
        <w:rPr>
          <w:rFonts w:hint="eastAsia" w:ascii="仿宋_GB2312" w:hAnsi="宋体" w:eastAsia="仿宋_GB2312"/>
          <w:sz w:val="32"/>
          <w:szCs w:val="32"/>
          <w:lang w:val="zh-CN"/>
        </w:rPr>
        <w:t>资金申报，结合实际进行预算调整。</w:t>
      </w:r>
    </w:p>
    <w:p>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（二）资金计划、到位及使用情况（可用表格形式反映）。</w:t>
      </w:r>
    </w:p>
    <w:p>
      <w:pPr>
        <w:autoSpaceDE w:val="0"/>
        <w:spacing w:line="560" w:lineRule="exact"/>
        <w:ind w:firstLine="640"/>
        <w:rPr>
          <w:rFonts w:ascii="仿宋_GB2312" w:eastAsia="仿宋_GB2312"/>
          <w:color w:val="000000"/>
          <w:sz w:val="32"/>
          <w:szCs w:val="32"/>
        </w:rPr>
      </w:pPr>
      <w:r>
        <w:rPr>
          <w:rFonts w:hint="eastAsia" w:ascii="楷体_GB2312" w:hAnsi="宋体" w:eastAsia="楷体_GB2312"/>
          <w:sz w:val="32"/>
          <w:szCs w:val="32"/>
          <w:lang w:val="zh-CN"/>
        </w:rPr>
        <w:t>1．资金计划。</w:t>
      </w:r>
      <w:r>
        <w:rPr>
          <w:rFonts w:hint="eastAsia" w:ascii="仿宋_GB2312" w:eastAsia="仿宋_GB2312"/>
          <w:color w:val="000000"/>
          <w:sz w:val="32"/>
          <w:szCs w:val="32"/>
        </w:rPr>
        <w:t>粮食</w:t>
      </w:r>
      <w:r>
        <w:rPr>
          <w:rFonts w:ascii="仿宋_GB2312" w:eastAsia="仿宋_GB2312"/>
          <w:color w:val="000000"/>
          <w:sz w:val="32"/>
          <w:szCs w:val="32"/>
        </w:rPr>
        <w:t>项目</w:t>
      </w:r>
      <w:r>
        <w:rPr>
          <w:rFonts w:hint="eastAsia" w:ascii="仿宋_GB2312" w:eastAsia="仿宋_GB2312"/>
          <w:color w:val="000000"/>
          <w:sz w:val="32"/>
          <w:szCs w:val="32"/>
        </w:rPr>
        <w:t>区</w:t>
      </w:r>
      <w:r>
        <w:rPr>
          <w:rFonts w:ascii="仿宋_GB2312" w:eastAsia="仿宋_GB2312"/>
          <w:color w:val="000000"/>
          <w:sz w:val="32"/>
          <w:szCs w:val="32"/>
        </w:rPr>
        <w:t>级资金</w:t>
      </w:r>
      <w:r>
        <w:rPr>
          <w:rFonts w:hint="eastAsia" w:ascii="仿宋_GB2312" w:eastAsia="仿宋_GB2312"/>
          <w:color w:val="000000"/>
          <w:sz w:val="32"/>
          <w:szCs w:val="32"/>
        </w:rPr>
        <w:t>预</w:t>
      </w:r>
      <w:r>
        <w:rPr>
          <w:rFonts w:ascii="仿宋_GB2312" w:eastAsia="仿宋_GB2312"/>
          <w:color w:val="000000"/>
          <w:sz w:val="32"/>
          <w:szCs w:val="32"/>
        </w:rPr>
        <w:t>算下达</w:t>
      </w:r>
      <w:r>
        <w:rPr>
          <w:rFonts w:hint="eastAsia" w:eastAsia="仿宋_GB2312"/>
          <w:color w:val="000000"/>
          <w:sz w:val="32"/>
          <w:szCs w:val="32"/>
        </w:rPr>
        <w:t>309.63</w:t>
      </w:r>
      <w:r>
        <w:rPr>
          <w:rFonts w:hint="eastAsia" w:ascii="仿宋_GB2312" w:eastAsia="仿宋_GB2312"/>
          <w:color w:val="000000"/>
          <w:sz w:val="32"/>
          <w:szCs w:val="32"/>
        </w:rPr>
        <w:t>万；政府投资重点</w:t>
      </w:r>
      <w:r>
        <w:rPr>
          <w:rFonts w:ascii="仿宋_GB2312" w:eastAsia="仿宋_GB2312"/>
          <w:color w:val="000000"/>
          <w:sz w:val="32"/>
          <w:szCs w:val="32"/>
        </w:rPr>
        <w:t>项目全年预算数</w:t>
      </w:r>
      <w:r>
        <w:rPr>
          <w:rFonts w:hint="eastAsia" w:eastAsia="仿宋_GB2312"/>
          <w:color w:val="000000"/>
          <w:sz w:val="32"/>
          <w:szCs w:val="32"/>
        </w:rPr>
        <w:t>17</w:t>
      </w:r>
      <w:r>
        <w:rPr>
          <w:rFonts w:ascii="仿宋_GB2312" w:eastAsia="仿宋_GB2312"/>
          <w:color w:val="000000"/>
          <w:sz w:val="32"/>
          <w:szCs w:val="32"/>
        </w:rPr>
        <w:t>万元</w:t>
      </w:r>
      <w:r>
        <w:rPr>
          <w:rFonts w:hint="eastAsia" w:ascii="仿宋_GB2312" w:eastAsia="仿宋_GB2312"/>
          <w:color w:val="000000"/>
          <w:sz w:val="32"/>
          <w:szCs w:val="32"/>
        </w:rPr>
        <w:t>；</w:t>
      </w:r>
      <w:r>
        <w:rPr>
          <w:rFonts w:ascii="仿宋_GB2312" w:eastAsia="仿宋_GB2312"/>
          <w:color w:val="000000"/>
          <w:sz w:val="32"/>
          <w:szCs w:val="32"/>
        </w:rPr>
        <w:t>金沙水电站建设协调项目全年预算数</w:t>
      </w:r>
      <w:r>
        <w:rPr>
          <w:rFonts w:eastAsia="仿宋_GB2312"/>
          <w:color w:val="000000"/>
          <w:sz w:val="32"/>
          <w:szCs w:val="32"/>
        </w:rPr>
        <w:t>2</w:t>
      </w:r>
      <w:r>
        <w:rPr>
          <w:rFonts w:ascii="仿宋_GB2312" w:eastAsia="仿宋_GB2312"/>
          <w:color w:val="000000"/>
          <w:sz w:val="32"/>
          <w:szCs w:val="32"/>
        </w:rPr>
        <w:t>万元</w:t>
      </w:r>
      <w:r>
        <w:rPr>
          <w:rFonts w:hint="eastAsia" w:ascii="仿宋_GB2312" w:eastAsia="仿宋_GB2312"/>
          <w:color w:val="000000"/>
          <w:sz w:val="32"/>
          <w:szCs w:val="32"/>
        </w:rPr>
        <w:t>；</w:t>
      </w:r>
      <w:r>
        <w:rPr>
          <w:rFonts w:ascii="仿宋_GB2312" w:eastAsia="仿宋_GB2312"/>
          <w:color w:val="000000"/>
          <w:sz w:val="32"/>
          <w:szCs w:val="32"/>
        </w:rPr>
        <w:t>龙源电力建设协调项目全年预算数</w:t>
      </w:r>
      <w:r>
        <w:rPr>
          <w:rFonts w:eastAsia="仿宋_GB2312"/>
          <w:color w:val="000000"/>
          <w:sz w:val="32"/>
          <w:szCs w:val="32"/>
        </w:rPr>
        <w:t>3</w:t>
      </w:r>
      <w:r>
        <w:rPr>
          <w:rFonts w:ascii="仿宋_GB2312" w:eastAsia="仿宋_GB2312"/>
          <w:color w:val="000000"/>
          <w:sz w:val="32"/>
          <w:szCs w:val="32"/>
        </w:rPr>
        <w:t>万元</w:t>
      </w:r>
      <w:r>
        <w:rPr>
          <w:rFonts w:hint="eastAsia" w:ascii="仿宋_GB2312" w:eastAsia="仿宋_GB2312"/>
          <w:color w:val="000000"/>
          <w:sz w:val="32"/>
          <w:szCs w:val="32"/>
        </w:rPr>
        <w:t>；</w:t>
      </w:r>
      <w:r>
        <w:rPr>
          <w:rFonts w:ascii="仿宋_GB2312" w:eastAsia="仿宋_GB2312"/>
          <w:color w:val="000000"/>
          <w:sz w:val="32"/>
          <w:szCs w:val="32"/>
        </w:rPr>
        <w:t>价格监测项目</w:t>
      </w:r>
      <w:r>
        <w:rPr>
          <w:rFonts w:hint="eastAsia" w:ascii="仿宋_GB2312" w:eastAsia="仿宋_GB2312"/>
          <w:color w:val="000000"/>
          <w:sz w:val="32"/>
          <w:szCs w:val="32"/>
        </w:rPr>
        <w:t>1万元。</w:t>
      </w:r>
    </w:p>
    <w:p>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sz w:val="32"/>
          <w:szCs w:val="32"/>
          <w:lang w:val="zh-CN"/>
        </w:rPr>
        <w:t>2.资金到位。5个</w:t>
      </w:r>
      <w:r>
        <w:rPr>
          <w:rFonts w:hint="eastAsia" w:ascii="仿宋_GB2312" w:hAnsi="宋体" w:eastAsia="仿宋_GB2312"/>
          <w:sz w:val="32"/>
          <w:szCs w:val="32"/>
          <w:lang w:val="zh-CN"/>
        </w:rPr>
        <w:t>项目出粮食储备项目</w:t>
      </w:r>
      <w:r>
        <w:rPr>
          <w:rFonts w:ascii="仿宋_GB2312" w:eastAsia="仿宋_GB2312"/>
          <w:color w:val="000000"/>
          <w:sz w:val="32"/>
          <w:szCs w:val="32"/>
        </w:rPr>
        <w:t>实际</w:t>
      </w:r>
      <w:r>
        <w:rPr>
          <w:rFonts w:hint="eastAsia" w:ascii="仿宋_GB2312" w:eastAsia="仿宋_GB2312"/>
          <w:color w:val="000000"/>
          <w:sz w:val="32"/>
          <w:szCs w:val="32"/>
        </w:rPr>
        <w:t>下</w:t>
      </w:r>
      <w:r>
        <w:rPr>
          <w:rFonts w:ascii="仿宋_GB2312" w:eastAsia="仿宋_GB2312"/>
          <w:color w:val="000000"/>
          <w:sz w:val="32"/>
          <w:szCs w:val="32"/>
        </w:rPr>
        <w:t>达</w:t>
      </w:r>
      <w:r>
        <w:rPr>
          <w:rFonts w:hint="eastAsia" w:eastAsia="仿宋_GB2312"/>
          <w:color w:val="000000"/>
          <w:sz w:val="32"/>
          <w:szCs w:val="32"/>
        </w:rPr>
        <w:t>110</w:t>
      </w:r>
      <w:r>
        <w:rPr>
          <w:rFonts w:eastAsia="仿宋_GB2312"/>
          <w:color w:val="000000"/>
          <w:sz w:val="32"/>
          <w:szCs w:val="32"/>
        </w:rPr>
        <w:t>.39337</w:t>
      </w:r>
      <w:r>
        <w:rPr>
          <w:rFonts w:hint="eastAsia" w:ascii="仿宋_GB2312" w:eastAsia="仿宋_GB2312"/>
          <w:color w:val="000000"/>
          <w:sz w:val="32"/>
          <w:szCs w:val="32"/>
        </w:rPr>
        <w:t>万元，其他</w:t>
      </w:r>
      <w:r>
        <w:rPr>
          <w:rFonts w:hint="eastAsia" w:ascii="仿宋_GB2312" w:hAnsi="宋体" w:eastAsia="仿宋_GB2312"/>
          <w:sz w:val="32"/>
          <w:szCs w:val="32"/>
          <w:lang w:val="zh-CN"/>
        </w:rPr>
        <w:t>资金按照项目投资计划节点及时到位。</w:t>
      </w:r>
    </w:p>
    <w:p>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sz w:val="32"/>
          <w:szCs w:val="32"/>
          <w:lang w:val="zh-CN"/>
        </w:rPr>
        <w:t>3．资金使用。</w:t>
      </w:r>
      <w:r>
        <w:rPr>
          <w:rFonts w:hint="eastAsia" w:ascii="仿宋_GB2312" w:hAnsi="宋体" w:eastAsia="仿宋_GB2312"/>
          <w:sz w:val="32"/>
          <w:szCs w:val="32"/>
          <w:lang w:val="zh-CN"/>
        </w:rPr>
        <w:t>已下达项目资金使用安全、规范、有效，</w:t>
      </w:r>
      <w:r>
        <w:rPr>
          <w:rFonts w:ascii="仿宋_GB2312" w:eastAsia="仿宋_GB2312"/>
          <w:color w:val="000000"/>
          <w:sz w:val="32"/>
          <w:szCs w:val="32"/>
        </w:rPr>
        <w:t>目</w:t>
      </w:r>
      <w:r>
        <w:rPr>
          <w:rFonts w:hint="eastAsia" w:ascii="仿宋_GB2312" w:eastAsia="仿宋_GB2312"/>
          <w:color w:val="000000"/>
          <w:sz w:val="32"/>
          <w:szCs w:val="32"/>
        </w:rPr>
        <w:t>标按</w:t>
      </w:r>
      <w:r>
        <w:rPr>
          <w:rFonts w:ascii="仿宋_GB2312" w:eastAsia="仿宋_GB2312"/>
          <w:color w:val="000000"/>
          <w:sz w:val="32"/>
          <w:szCs w:val="32"/>
        </w:rPr>
        <w:t>质按量</w:t>
      </w:r>
      <w:r>
        <w:rPr>
          <w:rFonts w:hint="eastAsia" w:ascii="仿宋_GB2312" w:eastAsia="仿宋_GB2312"/>
          <w:color w:val="000000"/>
          <w:sz w:val="32"/>
          <w:szCs w:val="32"/>
        </w:rPr>
        <w:t>已</w:t>
      </w:r>
      <w:r>
        <w:rPr>
          <w:rFonts w:ascii="仿宋_GB2312" w:eastAsia="仿宋_GB2312"/>
          <w:color w:val="000000"/>
          <w:sz w:val="32"/>
          <w:szCs w:val="32"/>
        </w:rPr>
        <w:t>完成</w:t>
      </w:r>
      <w:r>
        <w:rPr>
          <w:rFonts w:hint="eastAsia" w:ascii="仿宋_GB2312" w:eastAsia="仿宋_GB2312"/>
          <w:color w:val="000000"/>
          <w:sz w:val="32"/>
          <w:szCs w:val="32"/>
        </w:rPr>
        <w:t>。</w:t>
      </w:r>
    </w:p>
    <w:p>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各项目建设实施单位财务管理制度健全，严格执行财务管理制度，账务处理及时，会计核算规范。</w:t>
      </w:r>
    </w:p>
    <w:p>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三、项目实施及管理情况</w:t>
      </w:r>
    </w:p>
    <w:p>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结合项目组织实施管理办法，重点围绕以下内容进行分析评价，并对自评中发现的问题分析说明。</w:t>
      </w:r>
    </w:p>
    <w:p>
      <w:pPr>
        <w:pStyle w:val="25"/>
        <w:numPr>
          <w:ilvl w:val="0"/>
          <w:numId w:val="4"/>
        </w:numPr>
        <w:adjustRightInd w:val="0"/>
        <w:snapToGrid w:val="0"/>
        <w:spacing w:line="600" w:lineRule="exact"/>
        <w:ind w:firstLineChars="0"/>
        <w:rPr>
          <w:rFonts w:ascii="楷体_GB2312" w:hAnsi="宋体" w:eastAsia="楷体_GB2312"/>
          <w:b/>
          <w:sz w:val="32"/>
          <w:szCs w:val="32"/>
          <w:lang w:val="zh-CN"/>
        </w:rPr>
      </w:pPr>
      <w:r>
        <w:rPr>
          <w:rFonts w:hint="eastAsia" w:ascii="楷体_GB2312" w:hAnsi="宋体" w:eastAsia="楷体_GB2312"/>
          <w:b/>
          <w:sz w:val="32"/>
          <w:szCs w:val="32"/>
          <w:lang w:val="zh-CN"/>
        </w:rPr>
        <w:t>项目组织架构及实施流程。</w:t>
      </w:r>
    </w:p>
    <w:p>
      <w:pPr>
        <w:spacing w:line="600" w:lineRule="exact"/>
        <w:ind w:firstLine="640" w:firstLineChars="200"/>
        <w:outlineLvl w:val="1"/>
        <w:rPr>
          <w:rFonts w:ascii="仿宋_GB2312" w:hAnsi="宋体" w:eastAsia="仿宋_GB2312"/>
          <w:sz w:val="32"/>
          <w:szCs w:val="32"/>
          <w:lang w:val="zh-CN"/>
        </w:rPr>
      </w:pPr>
      <w:r>
        <w:rPr>
          <w:rFonts w:hint="eastAsia" w:ascii="仿宋_GB2312" w:hAnsi="宋体" w:eastAsia="仿宋_GB2312"/>
          <w:sz w:val="32"/>
          <w:szCs w:val="32"/>
          <w:lang w:val="zh-CN"/>
        </w:rPr>
        <w:t>1.成立了项目管理小组。充分征求项目建设的意见和建议，论证项目建设的必要性和可行性。</w:t>
      </w:r>
    </w:p>
    <w:p>
      <w:pPr>
        <w:spacing w:line="600" w:lineRule="exact"/>
        <w:ind w:firstLine="640" w:firstLineChars="200"/>
        <w:outlineLvl w:val="1"/>
        <w:rPr>
          <w:rFonts w:ascii="仿宋_GB2312" w:hAnsi="宋体" w:eastAsia="仿宋_GB2312"/>
          <w:sz w:val="32"/>
          <w:szCs w:val="32"/>
          <w:lang w:val="zh-CN"/>
        </w:rPr>
      </w:pPr>
      <w:r>
        <w:rPr>
          <w:rFonts w:hint="eastAsia" w:ascii="仿宋_GB2312" w:hAnsi="宋体" w:eastAsia="仿宋_GB2312"/>
          <w:sz w:val="32"/>
          <w:szCs w:val="32"/>
          <w:lang w:val="zh-CN"/>
        </w:rPr>
        <w:t>2.书面形式向区政府申报项目资金。</w:t>
      </w:r>
    </w:p>
    <w:p>
      <w:pPr>
        <w:spacing w:line="600" w:lineRule="exact"/>
        <w:ind w:firstLine="640" w:firstLineChars="200"/>
        <w:outlineLvl w:val="1"/>
        <w:rPr>
          <w:rFonts w:ascii="仿宋_GB2312" w:hAnsi="宋体" w:eastAsia="仿宋_GB2312"/>
          <w:sz w:val="32"/>
          <w:szCs w:val="32"/>
          <w:lang w:val="zh-CN"/>
        </w:rPr>
      </w:pPr>
      <w:r>
        <w:rPr>
          <w:rFonts w:hint="eastAsia" w:ascii="仿宋_GB2312" w:hAnsi="宋体" w:eastAsia="仿宋_GB2312"/>
          <w:sz w:val="32"/>
          <w:szCs w:val="32"/>
          <w:lang w:val="zh-CN"/>
        </w:rPr>
        <w:t>3.严格按照《合同法》、《招投标管理办法》，订立业务合同。</w:t>
      </w:r>
    </w:p>
    <w:p>
      <w:pPr>
        <w:spacing w:line="600" w:lineRule="exact"/>
        <w:ind w:firstLine="640" w:firstLineChars="200"/>
        <w:outlineLvl w:val="1"/>
        <w:rPr>
          <w:rFonts w:ascii="仿宋_GB2312" w:hAnsi="宋体" w:eastAsia="仿宋_GB2312"/>
          <w:sz w:val="32"/>
          <w:szCs w:val="32"/>
          <w:lang w:val="zh-CN"/>
        </w:rPr>
      </w:pPr>
      <w:r>
        <w:rPr>
          <w:rFonts w:hint="eastAsia" w:ascii="仿宋_GB2312" w:hAnsi="宋体" w:eastAsia="仿宋_GB2312"/>
          <w:sz w:val="32"/>
          <w:szCs w:val="32"/>
          <w:lang w:val="zh-CN"/>
        </w:rPr>
        <w:t>4.严格按照合同条款进行项目实施及验收、交付及拨款。</w:t>
      </w:r>
    </w:p>
    <w:p>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（二）项目管理情况。</w:t>
      </w:r>
      <w:r>
        <w:rPr>
          <w:rFonts w:hint="eastAsia" w:ascii="仿宋_GB2312" w:hAnsi="宋体" w:eastAsia="仿宋_GB2312"/>
          <w:sz w:val="32"/>
          <w:szCs w:val="32"/>
          <w:lang w:val="zh-CN"/>
        </w:rPr>
        <w:t>项目实施单位严格执行相关法律法规及建设项目管理制度等情况等相关规定。</w:t>
      </w:r>
    </w:p>
    <w:p>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（三）项目监管情况。</w:t>
      </w:r>
      <w:r>
        <w:rPr>
          <w:rFonts w:hint="eastAsia" w:ascii="仿宋_GB2312" w:hAnsi="宋体" w:eastAsia="仿宋_GB2312"/>
          <w:sz w:val="32"/>
          <w:szCs w:val="32"/>
          <w:lang w:val="zh-CN"/>
        </w:rPr>
        <w:t>项目主管部门为加强项目管理所采取的定期对项目推进、项目投资进行现场督导检查。</w:t>
      </w:r>
    </w:p>
    <w:p>
      <w:pPr>
        <w:adjustRightInd w:val="0"/>
        <w:snapToGrid w:val="0"/>
        <w:spacing w:line="600" w:lineRule="exact"/>
        <w:ind w:firstLine="720"/>
        <w:rPr>
          <w:rFonts w:ascii="仿宋_GB2312" w:hAnsi="宋体" w:eastAsia="仿宋_GB2312"/>
          <w:sz w:val="32"/>
          <w:szCs w:val="32"/>
          <w:lang w:val="zh-CN"/>
        </w:rPr>
      </w:pPr>
      <w:r>
        <w:rPr>
          <w:rFonts w:hint="eastAsia" w:ascii="黑体" w:hAnsi="宋体" w:eastAsia="黑体"/>
          <w:sz w:val="32"/>
          <w:szCs w:val="32"/>
        </w:rPr>
        <w:t>四、项目绩效情况</w:t>
      </w:r>
      <w:r>
        <w:rPr>
          <w:rFonts w:hint="eastAsia" w:ascii="仿宋_GB2312" w:hAnsi="宋体" w:eastAsia="仿宋_GB2312"/>
          <w:sz w:val="32"/>
          <w:szCs w:val="32"/>
          <w:lang w:val="zh-CN"/>
        </w:rPr>
        <w:tab/>
      </w:r>
    </w:p>
    <w:p>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按照年度计划顺利完成各项项目建设工作。</w:t>
      </w:r>
    </w:p>
    <w:p>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pPr>
        <w:autoSpaceDE w:val="0"/>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1.粮食储备项目</w:t>
      </w:r>
    </w:p>
    <w:p>
      <w:pPr>
        <w:adjustRightInd w:val="0"/>
        <w:snapToGrid w:val="0"/>
        <w:spacing w:line="600" w:lineRule="exact"/>
        <w:ind w:firstLine="640" w:firstLineChars="200"/>
        <w:rPr>
          <w:rFonts w:ascii="仿宋_GB2312" w:hAnsi="宋体" w:eastAsia="仿宋_GB2312"/>
          <w:sz w:val="32"/>
          <w:szCs w:val="32"/>
          <w:lang w:val="zh-CN"/>
        </w:rPr>
      </w:pPr>
      <w:r>
        <w:rPr>
          <w:rFonts w:hint="eastAsia" w:ascii="仿宋_GB2312" w:eastAsia="仿宋_GB2312"/>
          <w:color w:val="000000"/>
          <w:sz w:val="32"/>
          <w:szCs w:val="32"/>
        </w:rPr>
        <w:t>通过项目的实施，</w:t>
      </w:r>
      <w:r>
        <w:rPr>
          <w:rFonts w:hint="eastAsia" w:ascii="仿宋_GB2312" w:hAnsi="宋体" w:eastAsia="仿宋_GB2312"/>
          <w:sz w:val="32"/>
          <w:szCs w:val="32"/>
          <w:lang w:val="zh-CN"/>
        </w:rPr>
        <w:t>全面完成2019年度区级储备粮的采购、储藏、保管、轮换工作，</w:t>
      </w:r>
      <w:r>
        <w:rPr>
          <w:rFonts w:hint="eastAsia" w:ascii="仿宋_GB2312" w:eastAsia="仿宋_GB2312"/>
          <w:color w:val="000000"/>
          <w:sz w:val="32"/>
          <w:szCs w:val="32"/>
        </w:rPr>
        <w:t>保证区级储备粮存储总量达到市政府下达的保底计划。</w:t>
      </w:r>
    </w:p>
    <w:p>
      <w:pPr>
        <w:autoSpaceDE w:val="0"/>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2. 政府投资重点</w:t>
      </w:r>
      <w:r>
        <w:rPr>
          <w:rFonts w:ascii="仿宋_GB2312" w:eastAsia="仿宋_GB2312"/>
          <w:color w:val="000000"/>
          <w:sz w:val="32"/>
          <w:szCs w:val="32"/>
        </w:rPr>
        <w:t>项目</w:t>
      </w:r>
    </w:p>
    <w:p>
      <w:pPr>
        <w:autoSpaceDE w:val="0"/>
        <w:spacing w:line="560" w:lineRule="exact"/>
        <w:ind w:firstLine="640" w:firstLineChars="200"/>
        <w:rPr>
          <w:rFonts w:eastAsia="仿宋_GB2312"/>
          <w:color w:val="000000"/>
          <w:sz w:val="32"/>
          <w:szCs w:val="32"/>
        </w:rPr>
      </w:pPr>
      <w:r>
        <w:rPr>
          <w:rFonts w:ascii="仿宋_GB2312" w:eastAsia="仿宋_GB2312"/>
          <w:color w:val="000000"/>
          <w:sz w:val="32"/>
          <w:szCs w:val="32"/>
        </w:rPr>
        <w:t>通过项目实施，</w:t>
      </w:r>
      <w:r>
        <w:rPr>
          <w:rFonts w:hint="eastAsia" w:ascii="仿宋_GB2312" w:eastAsia="仿宋_GB2312"/>
          <w:color w:val="000000"/>
          <w:sz w:val="32"/>
          <w:szCs w:val="32"/>
        </w:rPr>
        <w:t>完成</w:t>
      </w:r>
      <w:r>
        <w:rPr>
          <w:rFonts w:hint="eastAsia" w:eastAsia="仿宋_GB2312"/>
          <w:color w:val="000000"/>
          <w:sz w:val="32"/>
          <w:szCs w:val="32"/>
        </w:rPr>
        <w:t>2019</w:t>
      </w:r>
      <w:r>
        <w:rPr>
          <w:rFonts w:hint="eastAsia" w:ascii="仿宋_GB2312" w:eastAsia="仿宋_GB2312"/>
          <w:color w:val="000000"/>
          <w:sz w:val="32"/>
          <w:szCs w:val="32"/>
        </w:rPr>
        <w:t>年度省、市、区重点项目投资推进及稽查工作（</w:t>
      </w:r>
      <w:r>
        <w:rPr>
          <w:rFonts w:hint="eastAsia" w:eastAsia="仿宋_GB2312"/>
          <w:color w:val="000000"/>
          <w:sz w:val="32"/>
          <w:szCs w:val="32"/>
        </w:rPr>
        <w:t>2019</w:t>
      </w:r>
      <w:r>
        <w:rPr>
          <w:rFonts w:hint="eastAsia" w:ascii="仿宋_GB2312" w:eastAsia="仿宋_GB2312"/>
          <w:color w:val="000000"/>
          <w:sz w:val="32"/>
          <w:szCs w:val="32"/>
        </w:rPr>
        <w:t>年因机构改革，项目稽查已移交区审计局），确保重大建设项目有序推进，按时完成年度建设任务，以项目带动地方就业、创业、再就业，拉动经济增长，提升辖区群众满意度。</w:t>
      </w:r>
    </w:p>
    <w:p>
      <w:pPr>
        <w:autoSpaceDE w:val="0"/>
        <w:spacing w:line="560" w:lineRule="exact"/>
        <w:ind w:firstLine="640" w:firstLineChars="200"/>
        <w:rPr>
          <w:rFonts w:eastAsia="仿宋_GB2312"/>
          <w:color w:val="000000"/>
          <w:sz w:val="32"/>
          <w:szCs w:val="32"/>
        </w:rPr>
      </w:pPr>
      <w:r>
        <w:rPr>
          <w:rFonts w:hint="eastAsia" w:ascii="仿宋_GB2312" w:eastAsia="仿宋_GB2312"/>
          <w:color w:val="000000"/>
          <w:sz w:val="32"/>
          <w:szCs w:val="32"/>
        </w:rPr>
        <w:t>3.</w:t>
      </w:r>
      <w:r>
        <w:rPr>
          <w:rFonts w:ascii="仿宋_GB2312" w:eastAsia="仿宋_GB2312"/>
          <w:color w:val="000000"/>
          <w:sz w:val="32"/>
          <w:szCs w:val="32"/>
        </w:rPr>
        <w:t>金沙水电站建设协调项目</w:t>
      </w:r>
    </w:p>
    <w:p>
      <w:pPr>
        <w:autoSpaceDE w:val="0"/>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通过项目实施，支持了金沙水电站按进度推进，完成年度投资额，主动作为，积极推进，协调解决建设过程存在的问题和困难</w:t>
      </w:r>
      <w:r>
        <w:rPr>
          <w:rFonts w:hint="eastAsia" w:ascii="仿宋_GB2312" w:eastAsia="仿宋_GB2312"/>
          <w:color w:val="000000"/>
          <w:sz w:val="32"/>
          <w:szCs w:val="32"/>
        </w:rPr>
        <w:t>,拉动就业、促进地方经济发展，提升川能投企业和群众满意度。</w:t>
      </w:r>
    </w:p>
    <w:p>
      <w:pPr>
        <w:autoSpaceDE w:val="0"/>
        <w:spacing w:line="560" w:lineRule="exact"/>
        <w:ind w:firstLine="640" w:firstLineChars="200"/>
        <w:rPr>
          <w:rFonts w:eastAsia="仿宋_GB2312"/>
          <w:color w:val="000000"/>
          <w:sz w:val="32"/>
          <w:szCs w:val="32"/>
        </w:rPr>
      </w:pPr>
      <w:r>
        <w:rPr>
          <w:rFonts w:hint="eastAsia" w:ascii="仿宋_GB2312" w:eastAsia="仿宋_GB2312"/>
          <w:color w:val="000000"/>
          <w:sz w:val="32"/>
          <w:szCs w:val="32"/>
        </w:rPr>
        <w:t>4.</w:t>
      </w:r>
      <w:r>
        <w:rPr>
          <w:rFonts w:ascii="仿宋_GB2312" w:eastAsia="仿宋_GB2312"/>
          <w:color w:val="000000"/>
          <w:sz w:val="32"/>
          <w:szCs w:val="32"/>
        </w:rPr>
        <w:t>龙源电力建设协调项目</w:t>
      </w:r>
    </w:p>
    <w:p>
      <w:pPr>
        <w:autoSpaceDE w:val="0"/>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通过项目实施，保障了年度投资额完成</w:t>
      </w:r>
      <w:r>
        <w:rPr>
          <w:rFonts w:eastAsia="仿宋_GB2312"/>
          <w:color w:val="000000"/>
          <w:sz w:val="32"/>
          <w:szCs w:val="32"/>
        </w:rPr>
        <w:t>1000</w:t>
      </w:r>
      <w:r>
        <w:rPr>
          <w:rFonts w:ascii="仿宋_GB2312" w:eastAsia="仿宋_GB2312"/>
          <w:color w:val="000000"/>
          <w:sz w:val="32"/>
          <w:szCs w:val="32"/>
        </w:rPr>
        <w:t>万元，推进龙源电力集团在西区注册财务独立核算的子公司，取得项目核准手续，完成测风塔建设</w:t>
      </w:r>
      <w:r>
        <w:rPr>
          <w:rFonts w:hint="eastAsia" w:ascii="仿宋_GB2312" w:eastAsia="仿宋_GB2312"/>
          <w:color w:val="000000"/>
          <w:sz w:val="32"/>
          <w:szCs w:val="32"/>
        </w:rPr>
        <w:t>，拉动就业、促进地方经济发展，提升企业满意度。</w:t>
      </w:r>
    </w:p>
    <w:p>
      <w:pPr>
        <w:autoSpaceDE w:val="0"/>
        <w:spacing w:line="560" w:lineRule="exact"/>
        <w:ind w:firstLine="640" w:firstLineChars="200"/>
        <w:rPr>
          <w:rFonts w:eastAsia="仿宋_GB2312"/>
          <w:color w:val="000000"/>
          <w:sz w:val="32"/>
          <w:szCs w:val="32"/>
        </w:rPr>
      </w:pPr>
      <w:r>
        <w:rPr>
          <w:rFonts w:hint="eastAsia" w:ascii="仿宋_GB2312" w:eastAsia="仿宋_GB2312"/>
          <w:color w:val="000000"/>
          <w:sz w:val="32"/>
          <w:szCs w:val="32"/>
        </w:rPr>
        <w:t>5.</w:t>
      </w:r>
      <w:r>
        <w:rPr>
          <w:rFonts w:ascii="仿宋_GB2312" w:eastAsia="仿宋_GB2312"/>
          <w:color w:val="000000"/>
          <w:sz w:val="32"/>
          <w:szCs w:val="32"/>
        </w:rPr>
        <w:t>价格监测项目绩效目标完成情况综述</w:t>
      </w:r>
      <w:r>
        <w:rPr>
          <w:rFonts w:hint="eastAsia" w:ascii="仿宋_GB2312" w:eastAsia="仿宋_GB2312"/>
          <w:color w:val="000000"/>
          <w:sz w:val="32"/>
          <w:szCs w:val="32"/>
        </w:rPr>
        <w:t>。</w:t>
      </w:r>
    </w:p>
    <w:p>
      <w:pPr>
        <w:autoSpaceDE w:val="0"/>
        <w:spacing w:line="560" w:lineRule="exact"/>
        <w:ind w:firstLine="640" w:firstLineChars="200"/>
        <w:rPr>
          <w:rFonts w:eastAsia="仿宋_GB2312"/>
          <w:color w:val="000000"/>
          <w:sz w:val="32"/>
          <w:szCs w:val="32"/>
        </w:rPr>
      </w:pPr>
      <w:r>
        <w:rPr>
          <w:rFonts w:ascii="仿宋_GB2312" w:eastAsia="仿宋_GB2312"/>
          <w:color w:val="000000"/>
          <w:sz w:val="32"/>
          <w:szCs w:val="32"/>
        </w:rPr>
        <w:t>通过项目实施，支持了按上级部门和区级相关部门部署开展价格监测和监督检查，加强价格宣传、监督、检查等专项活动</w:t>
      </w:r>
      <w:r>
        <w:rPr>
          <w:rFonts w:hint="eastAsia" w:ascii="仿宋_GB2312" w:eastAsia="仿宋_GB2312"/>
          <w:color w:val="000000"/>
          <w:sz w:val="32"/>
          <w:szCs w:val="32"/>
        </w:rPr>
        <w:t>，有助于维护市场经济秩序、实时监测市场价格，维护社会稳定，提升群众满意度。</w:t>
      </w:r>
    </w:p>
    <w:p>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五、评价结论及建议</w:t>
      </w:r>
    </w:p>
    <w:p>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pPr>
        <w:adjustRightInd w:val="0"/>
        <w:snapToGrid w:val="0"/>
        <w:spacing w:line="60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lang w:val="zh-CN"/>
        </w:rPr>
        <w:t>市、区重点项目的顺利推进，为西区环境打造、产业转型、带动引领、防洪防汛等工作起到重大作用。</w:t>
      </w:r>
    </w:p>
    <w:p>
      <w:pPr>
        <w:autoSpaceDE w:val="0"/>
        <w:autoSpaceDN w:val="0"/>
        <w:adjustRightInd w:val="0"/>
        <w:ind w:firstLine="640" w:firstLineChars="200"/>
        <w:jc w:val="left"/>
        <w:rPr>
          <w:rFonts w:ascii="仿宋_GB2312" w:hAnsi="宋体" w:eastAsia="仿宋_GB2312"/>
          <w:sz w:val="32"/>
          <w:szCs w:val="32"/>
          <w:lang w:val="zh-CN"/>
        </w:rPr>
      </w:pPr>
      <w:r>
        <w:rPr>
          <w:rFonts w:hint="eastAsia" w:ascii="仿宋_GB2312" w:hAnsi="宋体" w:eastAsia="仿宋_GB2312"/>
          <w:sz w:val="32"/>
          <w:szCs w:val="32"/>
          <w:lang w:val="zh-CN"/>
        </w:rPr>
        <w:t>加强了区级储备粮的管理</w:t>
      </w:r>
      <w:r>
        <w:rPr>
          <w:rFonts w:ascii="仿宋_GB2312" w:hAnsi="宋体" w:eastAsia="仿宋_GB2312"/>
          <w:sz w:val="32"/>
          <w:szCs w:val="32"/>
          <w:lang w:val="zh-CN"/>
        </w:rPr>
        <w:t>,</w:t>
      </w:r>
      <w:r>
        <w:rPr>
          <w:rFonts w:hint="eastAsia" w:ascii="仿宋_GB2312" w:hAnsi="宋体" w:eastAsia="仿宋_GB2312"/>
          <w:sz w:val="32"/>
          <w:szCs w:val="32"/>
          <w:lang w:val="zh-CN"/>
        </w:rPr>
        <w:t>保障储备粮数量真实、质量良好、储存安全，有效提升区级粮食安全和保障能力。</w:t>
      </w:r>
    </w:p>
    <w:p>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pPr>
        <w:pStyle w:val="7"/>
        <w:autoSpaceDE w:val="0"/>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2019年机构改革造成项目衔接未及时更新状态，后期已跟进。</w:t>
      </w:r>
    </w:p>
    <w:p>
      <w:pPr>
        <w:adjustRightInd w:val="0"/>
        <w:snapToGrid w:val="0"/>
        <w:spacing w:line="600" w:lineRule="exact"/>
        <w:ind w:firstLine="720"/>
        <w:rPr>
          <w:rFonts w:ascii="楷体_GB2312" w:hAnsi="宋体" w:eastAsia="楷体_GB2312"/>
          <w:b/>
          <w:sz w:val="32"/>
          <w:szCs w:val="32"/>
          <w:lang w:val="zh-CN"/>
        </w:rPr>
      </w:pPr>
      <w:r>
        <w:rPr>
          <w:rFonts w:hint="eastAsia" w:ascii="仿宋_GB2312" w:hAnsi="仿宋" w:eastAsia="仿宋_GB2312"/>
          <w:sz w:val="32"/>
          <w:szCs w:val="32"/>
        </w:rPr>
        <w:t>另外绩效的监控不够完善、内控制度不够细化、评价结果</w:t>
      </w:r>
      <w:r>
        <w:rPr>
          <w:rFonts w:hint="eastAsia" w:ascii="仿宋_GB2312" w:hAnsi="仿宋" w:eastAsia="仿宋_GB2312" w:cs="宋体"/>
          <w:sz w:val="32"/>
          <w:szCs w:val="32"/>
        </w:rPr>
        <w:t>应用不够充分，整体离预期目标还存在一定差距。</w:t>
      </w:r>
    </w:p>
    <w:p>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pPr>
        <w:adjustRightInd w:val="0"/>
        <w:snapToGrid w:val="0"/>
        <w:spacing w:line="600" w:lineRule="exact"/>
        <w:ind w:firstLine="720"/>
        <w:rPr>
          <w:rFonts w:ascii="仿宋_GB2312" w:hAnsi="仿宋" w:eastAsia="仿宋_GB2312" w:cs="宋体"/>
          <w:sz w:val="32"/>
          <w:szCs w:val="32"/>
        </w:rPr>
      </w:pPr>
      <w:r>
        <w:rPr>
          <w:rFonts w:hint="eastAsia" w:ascii="仿宋_GB2312" w:hAnsi="仿宋" w:eastAsia="仿宋_GB2312" w:cs="宋体"/>
          <w:sz w:val="32"/>
          <w:szCs w:val="32"/>
        </w:rPr>
        <w:t>财务绩效评估管理工作越来越严格，希望市、区财政通过有效的平台</w:t>
      </w:r>
      <w:r>
        <w:rPr>
          <w:rFonts w:ascii="仿宋_GB2312" w:hAnsi="仿宋" w:eastAsia="仿宋_GB2312" w:cs="宋体"/>
          <w:sz w:val="32"/>
          <w:szCs w:val="32"/>
        </w:rPr>
        <w:t>加强单位预算编制相关的政策</w:t>
      </w:r>
      <w:r>
        <w:rPr>
          <w:rFonts w:hint="eastAsia" w:ascii="仿宋_GB2312" w:hAnsi="仿宋" w:eastAsia="仿宋_GB2312" w:cs="宋体"/>
          <w:sz w:val="32"/>
          <w:szCs w:val="32"/>
        </w:rPr>
        <w:t>、业务培训</w:t>
      </w:r>
      <w:r>
        <w:rPr>
          <w:rFonts w:ascii="仿宋_GB2312" w:hAnsi="仿宋" w:eastAsia="仿宋_GB2312" w:cs="宋体"/>
          <w:sz w:val="32"/>
          <w:szCs w:val="32"/>
        </w:rPr>
        <w:t>工作</w:t>
      </w:r>
      <w:r>
        <w:rPr>
          <w:rFonts w:hint="eastAsia" w:ascii="仿宋_GB2312" w:hAnsi="仿宋" w:eastAsia="仿宋_GB2312" w:cs="宋体"/>
          <w:sz w:val="32"/>
          <w:szCs w:val="32"/>
        </w:rPr>
        <w:t>，不断提高财务管理工作专业性、科学性，</w:t>
      </w:r>
      <w:r>
        <w:rPr>
          <w:rFonts w:ascii="仿宋_GB2312" w:hAnsi="仿宋" w:eastAsia="仿宋_GB2312" w:cs="宋体"/>
          <w:sz w:val="32"/>
          <w:szCs w:val="32"/>
        </w:rPr>
        <w:t>组织开展部门之间、单位之间的经验交流，切实推进绩效评价工作的开展。</w:t>
      </w:r>
    </w:p>
    <w:p>
      <w:pPr>
        <w:spacing w:line="360" w:lineRule="auto"/>
        <w:rPr>
          <w:rFonts w:ascii="仿宋_GB2312" w:hAnsi="仿宋_GB2312" w:eastAsia="仿宋_GB2312" w:cs="仿宋_GB2312"/>
          <w:sz w:val="32"/>
          <w:szCs w:val="32"/>
        </w:rPr>
      </w:pPr>
    </w:p>
    <w:p>
      <w:pPr>
        <w:spacing w:line="360" w:lineRule="auto"/>
        <w:ind w:firstLine="640"/>
        <w:rPr>
          <w:rFonts w:ascii="仿宋_GB2312" w:hAnsi="仿宋_GB2312" w:eastAsia="仿宋_GB2312" w:cs="仿宋_GB2312"/>
          <w:sz w:val="32"/>
          <w:szCs w:val="32"/>
        </w:rPr>
      </w:pPr>
    </w:p>
    <w:p>
      <w:pPr>
        <w:spacing w:line="360" w:lineRule="auto"/>
        <w:ind w:firstLine="640"/>
        <w:rPr>
          <w:rFonts w:ascii="仿宋_GB2312" w:hAnsi="仿宋_GB2312" w:eastAsia="仿宋_GB2312" w:cs="仿宋_GB2312"/>
          <w:sz w:val="32"/>
          <w:szCs w:val="32"/>
        </w:rPr>
      </w:pPr>
    </w:p>
    <w:p>
      <w:pPr>
        <w:widowControl/>
        <w:spacing w:line="360" w:lineRule="auto"/>
        <w:jc w:val="left"/>
        <w:rPr>
          <w:rStyle w:val="26"/>
          <w:rFonts w:ascii="黑体" w:hAnsi="黑体" w:eastAsia="黑体"/>
          <w:b w:val="0"/>
        </w:rPr>
      </w:pPr>
    </w:p>
    <w:p>
      <w:pPr>
        <w:widowControl/>
        <w:spacing w:line="360" w:lineRule="auto"/>
        <w:jc w:val="left"/>
        <w:rPr>
          <w:rStyle w:val="26"/>
          <w:rFonts w:ascii="黑体" w:hAnsi="黑体" w:eastAsia="黑体"/>
          <w:b w:val="0"/>
        </w:rPr>
      </w:pPr>
      <w:r>
        <w:rPr>
          <w:rStyle w:val="26"/>
          <w:rFonts w:ascii="黑体" w:hAnsi="黑体" w:eastAsia="黑体"/>
          <w:b w:val="0"/>
        </w:rPr>
        <w:br w:type="page"/>
      </w:r>
    </w:p>
    <w:p>
      <w:pPr>
        <w:spacing w:line="360" w:lineRule="auto"/>
        <w:jc w:val="center"/>
        <w:outlineLvl w:val="0"/>
        <w:rPr>
          <w:rStyle w:val="26"/>
          <w:rFonts w:ascii="黑体" w:hAnsi="黑体" w:eastAsia="黑体"/>
          <w:b w:val="0"/>
        </w:rPr>
      </w:pPr>
      <w:bookmarkStart w:id="69" w:name="_Toc15396618"/>
      <w:r>
        <w:rPr>
          <w:rFonts w:hint="eastAsia" w:ascii="黑体" w:hAnsi="黑体" w:eastAsia="黑体"/>
          <w:color w:val="000000"/>
          <w:sz w:val="44"/>
          <w:szCs w:val="44"/>
        </w:rPr>
        <w:t>第</w:t>
      </w:r>
      <w:r>
        <w:rPr>
          <w:rStyle w:val="26"/>
          <w:rFonts w:hint="eastAsia" w:ascii="黑体" w:hAnsi="黑体" w:eastAsia="黑体"/>
          <w:b w:val="0"/>
        </w:rPr>
        <w:t>五部分 附表</w:t>
      </w:r>
      <w:bookmarkEnd w:id="67"/>
      <w:bookmarkEnd w:id="69"/>
    </w:p>
    <w:p>
      <w:pPr>
        <w:spacing w:line="360" w:lineRule="auto"/>
        <w:jc w:val="center"/>
        <w:outlineLvl w:val="0"/>
        <w:rPr>
          <w:rFonts w:ascii="仿宋" w:hAnsi="仿宋" w:eastAsia="仿宋"/>
          <w:b/>
          <w:color w:val="000000"/>
          <w:sz w:val="44"/>
          <w:szCs w:val="44"/>
        </w:rPr>
      </w:pPr>
    </w:p>
    <w:p>
      <w:pPr>
        <w:pStyle w:val="3"/>
        <w:spacing w:line="360" w:lineRule="auto"/>
        <w:rPr>
          <w:rFonts w:ascii="仿宋" w:hAnsi="仿宋" w:eastAsia="仿宋"/>
          <w:color w:val="000000"/>
        </w:rPr>
      </w:pPr>
      <w:bookmarkStart w:id="70" w:name="_Toc15396619"/>
      <w:r>
        <w:rPr>
          <w:rFonts w:hint="eastAsia" w:ascii="仿宋" w:hAnsi="仿宋" w:eastAsia="仿宋"/>
          <w:b w:val="0"/>
          <w:color w:val="000000"/>
        </w:rPr>
        <w:t>一、收</w:t>
      </w:r>
      <w:r>
        <w:rPr>
          <w:rStyle w:val="27"/>
          <w:rFonts w:hint="eastAsia" w:ascii="仿宋" w:hAnsi="仿宋" w:eastAsia="仿宋"/>
          <w:b w:val="0"/>
          <w:bCs w:val="0"/>
        </w:rPr>
        <w:t>入支出决算总表</w:t>
      </w:r>
      <w:bookmarkEnd w:id="70"/>
    </w:p>
    <w:p>
      <w:pPr>
        <w:pStyle w:val="3"/>
        <w:spacing w:line="360" w:lineRule="auto"/>
        <w:rPr>
          <w:rFonts w:ascii="仿宋" w:hAnsi="仿宋" w:eastAsia="仿宋"/>
          <w:color w:val="000000"/>
        </w:rPr>
      </w:pPr>
      <w:bookmarkStart w:id="71" w:name="_Toc15396620"/>
      <w:r>
        <w:rPr>
          <w:rFonts w:hint="eastAsia" w:ascii="仿宋" w:hAnsi="仿宋" w:eastAsia="仿宋"/>
          <w:b w:val="0"/>
          <w:color w:val="000000"/>
        </w:rPr>
        <w:t>二、收</w:t>
      </w:r>
      <w:r>
        <w:rPr>
          <w:rStyle w:val="27"/>
          <w:rFonts w:hint="eastAsia" w:ascii="仿宋" w:hAnsi="仿宋" w:eastAsia="仿宋"/>
          <w:b w:val="0"/>
          <w:bCs w:val="0"/>
        </w:rPr>
        <w:t>入决算表</w:t>
      </w:r>
      <w:bookmarkEnd w:id="71"/>
    </w:p>
    <w:p>
      <w:pPr>
        <w:pStyle w:val="3"/>
        <w:spacing w:line="360" w:lineRule="auto"/>
        <w:rPr>
          <w:rFonts w:ascii="仿宋" w:hAnsi="仿宋" w:eastAsia="仿宋"/>
          <w:color w:val="000000"/>
        </w:rPr>
      </w:pPr>
      <w:bookmarkStart w:id="72" w:name="_Toc15396621"/>
      <w:r>
        <w:rPr>
          <w:rStyle w:val="27"/>
          <w:rFonts w:hint="eastAsia" w:ascii="仿宋" w:hAnsi="仿宋" w:eastAsia="仿宋"/>
          <w:b w:val="0"/>
          <w:bCs w:val="0"/>
        </w:rPr>
        <w:t>三、</w:t>
      </w:r>
      <w:r>
        <w:rPr>
          <w:rFonts w:hint="eastAsia" w:ascii="仿宋" w:hAnsi="仿宋" w:eastAsia="仿宋"/>
          <w:b w:val="0"/>
          <w:color w:val="000000"/>
        </w:rPr>
        <w:t>支</w:t>
      </w:r>
      <w:r>
        <w:rPr>
          <w:rStyle w:val="27"/>
          <w:rFonts w:hint="eastAsia" w:ascii="仿宋" w:hAnsi="仿宋" w:eastAsia="仿宋"/>
          <w:b w:val="0"/>
          <w:bCs w:val="0"/>
        </w:rPr>
        <w:t>出决算表</w:t>
      </w:r>
      <w:bookmarkEnd w:id="72"/>
    </w:p>
    <w:p>
      <w:pPr>
        <w:pStyle w:val="3"/>
        <w:spacing w:line="360" w:lineRule="auto"/>
        <w:rPr>
          <w:rFonts w:ascii="仿宋" w:hAnsi="仿宋" w:eastAsia="仿宋"/>
          <w:b w:val="0"/>
          <w:color w:val="000000"/>
        </w:rPr>
      </w:pPr>
      <w:bookmarkStart w:id="73" w:name="_Toc15396622"/>
      <w:r>
        <w:rPr>
          <w:rStyle w:val="27"/>
          <w:rFonts w:hint="eastAsia" w:ascii="仿宋" w:hAnsi="仿宋" w:eastAsia="仿宋"/>
          <w:b w:val="0"/>
          <w:bCs w:val="0"/>
        </w:rPr>
        <w:t>四、</w:t>
      </w:r>
      <w:r>
        <w:rPr>
          <w:rFonts w:hint="eastAsia" w:ascii="仿宋" w:hAnsi="仿宋" w:eastAsia="仿宋"/>
          <w:b w:val="0"/>
          <w:color w:val="000000"/>
        </w:rPr>
        <w:t>财</w:t>
      </w:r>
      <w:r>
        <w:rPr>
          <w:rStyle w:val="27"/>
          <w:rFonts w:hint="eastAsia" w:ascii="仿宋" w:hAnsi="仿宋" w:eastAsia="仿宋"/>
          <w:b w:val="0"/>
          <w:bCs w:val="0"/>
        </w:rPr>
        <w:t>政拨款收入支出决算总表</w:t>
      </w:r>
      <w:bookmarkEnd w:id="73"/>
    </w:p>
    <w:p>
      <w:pPr>
        <w:pStyle w:val="3"/>
        <w:spacing w:line="360" w:lineRule="auto"/>
        <w:rPr>
          <w:rStyle w:val="27"/>
          <w:rFonts w:ascii="仿宋" w:hAnsi="仿宋" w:eastAsia="仿宋"/>
          <w:b w:val="0"/>
          <w:bCs w:val="0"/>
        </w:rPr>
      </w:pPr>
      <w:bookmarkStart w:id="74" w:name="_Toc15396623"/>
      <w:r>
        <w:rPr>
          <w:rStyle w:val="27"/>
          <w:rFonts w:hint="eastAsia" w:ascii="仿宋" w:hAnsi="仿宋" w:eastAsia="仿宋"/>
          <w:b w:val="0"/>
          <w:bCs w:val="0"/>
        </w:rPr>
        <w:t>五、</w:t>
      </w:r>
      <w:r>
        <w:rPr>
          <w:rFonts w:hint="eastAsia" w:ascii="仿宋" w:hAnsi="仿宋" w:eastAsia="仿宋"/>
          <w:b w:val="0"/>
          <w:color w:val="000000"/>
        </w:rPr>
        <w:t>财</w:t>
      </w:r>
      <w:r>
        <w:rPr>
          <w:rStyle w:val="27"/>
          <w:rFonts w:hint="eastAsia" w:ascii="仿宋" w:hAnsi="仿宋" w:eastAsia="仿宋"/>
          <w:b w:val="0"/>
          <w:bCs w:val="0"/>
        </w:rPr>
        <w:t>政拨款支出决算明细表</w:t>
      </w:r>
      <w:bookmarkEnd w:id="74"/>
      <w:bookmarkStart w:id="75" w:name="_Toc15396624"/>
    </w:p>
    <w:p>
      <w:pPr>
        <w:pStyle w:val="3"/>
        <w:spacing w:line="360" w:lineRule="auto"/>
        <w:rPr>
          <w:rFonts w:ascii="仿宋" w:hAnsi="仿宋" w:eastAsia="仿宋"/>
          <w:color w:val="000000"/>
        </w:rPr>
      </w:pPr>
      <w:r>
        <w:rPr>
          <w:rStyle w:val="27"/>
          <w:rFonts w:hint="eastAsia" w:ascii="仿宋" w:hAnsi="仿宋" w:eastAsia="仿宋"/>
          <w:b w:val="0"/>
          <w:bCs w:val="0"/>
        </w:rPr>
        <w:t>六、</w:t>
      </w:r>
      <w:r>
        <w:rPr>
          <w:rFonts w:hint="eastAsia" w:ascii="仿宋" w:hAnsi="仿宋" w:eastAsia="仿宋"/>
          <w:b w:val="0"/>
          <w:color w:val="000000"/>
        </w:rPr>
        <w:t>一</w:t>
      </w:r>
      <w:r>
        <w:rPr>
          <w:rStyle w:val="27"/>
          <w:rFonts w:hint="eastAsia" w:ascii="仿宋" w:hAnsi="仿宋" w:eastAsia="仿宋"/>
          <w:b w:val="0"/>
          <w:bCs w:val="0"/>
        </w:rPr>
        <w:t>般公共预算财政拨款支出决算表</w:t>
      </w:r>
      <w:bookmarkEnd w:id="75"/>
    </w:p>
    <w:p>
      <w:pPr>
        <w:pStyle w:val="3"/>
        <w:spacing w:line="360" w:lineRule="auto"/>
        <w:rPr>
          <w:rFonts w:ascii="仿宋" w:hAnsi="仿宋" w:eastAsia="仿宋"/>
          <w:color w:val="000000"/>
        </w:rPr>
      </w:pPr>
      <w:bookmarkStart w:id="76" w:name="_Toc15396625"/>
      <w:r>
        <w:rPr>
          <w:rStyle w:val="27"/>
          <w:rFonts w:hint="eastAsia" w:ascii="仿宋" w:hAnsi="仿宋" w:eastAsia="仿宋"/>
          <w:b w:val="0"/>
          <w:bCs w:val="0"/>
        </w:rPr>
        <w:t>七、</w:t>
      </w:r>
      <w:r>
        <w:rPr>
          <w:rFonts w:hint="eastAsia" w:ascii="仿宋" w:hAnsi="仿宋" w:eastAsia="仿宋"/>
          <w:b w:val="0"/>
          <w:color w:val="000000"/>
        </w:rPr>
        <w:t>一</w:t>
      </w:r>
      <w:r>
        <w:rPr>
          <w:rStyle w:val="27"/>
          <w:rFonts w:hint="eastAsia" w:ascii="仿宋" w:hAnsi="仿宋" w:eastAsia="仿宋"/>
          <w:b w:val="0"/>
          <w:bCs w:val="0"/>
        </w:rPr>
        <w:t>般公共预算财政拨款支出决算明细表</w:t>
      </w:r>
      <w:bookmarkEnd w:id="76"/>
    </w:p>
    <w:p>
      <w:pPr>
        <w:pStyle w:val="3"/>
        <w:spacing w:line="360" w:lineRule="auto"/>
        <w:rPr>
          <w:rFonts w:ascii="仿宋" w:hAnsi="仿宋" w:eastAsia="仿宋"/>
          <w:color w:val="000000"/>
        </w:rPr>
      </w:pPr>
      <w:bookmarkStart w:id="77" w:name="_Toc15396626"/>
      <w:r>
        <w:rPr>
          <w:rStyle w:val="27"/>
          <w:rFonts w:hint="eastAsia" w:ascii="仿宋" w:hAnsi="仿宋" w:eastAsia="仿宋"/>
          <w:b w:val="0"/>
          <w:bCs w:val="0"/>
        </w:rPr>
        <w:t>八、</w:t>
      </w:r>
      <w:r>
        <w:rPr>
          <w:rFonts w:hint="eastAsia" w:ascii="仿宋" w:hAnsi="仿宋" w:eastAsia="仿宋"/>
          <w:b w:val="0"/>
          <w:color w:val="000000"/>
        </w:rPr>
        <w:t>一</w:t>
      </w:r>
      <w:r>
        <w:rPr>
          <w:rStyle w:val="27"/>
          <w:rFonts w:hint="eastAsia" w:ascii="仿宋" w:hAnsi="仿宋" w:eastAsia="仿宋"/>
          <w:b w:val="0"/>
          <w:bCs w:val="0"/>
        </w:rPr>
        <w:t>般公共预算财政拨款基本支出决算表</w:t>
      </w:r>
      <w:bookmarkEnd w:id="77"/>
    </w:p>
    <w:p>
      <w:pPr>
        <w:pStyle w:val="3"/>
        <w:spacing w:line="360" w:lineRule="auto"/>
        <w:rPr>
          <w:rFonts w:ascii="仿宋" w:hAnsi="仿宋" w:eastAsia="仿宋"/>
          <w:color w:val="000000"/>
        </w:rPr>
      </w:pPr>
      <w:bookmarkStart w:id="78" w:name="_Toc15396627"/>
      <w:r>
        <w:rPr>
          <w:rStyle w:val="27"/>
          <w:rFonts w:hint="eastAsia" w:ascii="仿宋" w:hAnsi="仿宋" w:eastAsia="仿宋"/>
          <w:b w:val="0"/>
          <w:bCs w:val="0"/>
        </w:rPr>
        <w:t>九、</w:t>
      </w:r>
      <w:r>
        <w:rPr>
          <w:rFonts w:hint="eastAsia" w:ascii="仿宋" w:hAnsi="仿宋" w:eastAsia="仿宋"/>
          <w:b w:val="0"/>
          <w:color w:val="000000"/>
        </w:rPr>
        <w:t>一</w:t>
      </w:r>
      <w:r>
        <w:rPr>
          <w:rStyle w:val="27"/>
          <w:rFonts w:hint="eastAsia" w:ascii="仿宋" w:hAnsi="仿宋" w:eastAsia="仿宋"/>
          <w:b w:val="0"/>
          <w:bCs w:val="0"/>
        </w:rPr>
        <w:t>般公共预算财政拨款项目支出决算表</w:t>
      </w:r>
      <w:bookmarkEnd w:id="78"/>
    </w:p>
    <w:p>
      <w:pPr>
        <w:pStyle w:val="3"/>
        <w:spacing w:line="360" w:lineRule="auto"/>
        <w:rPr>
          <w:rFonts w:ascii="仿宋" w:hAnsi="仿宋" w:eastAsia="仿宋"/>
          <w:color w:val="000000"/>
        </w:rPr>
      </w:pPr>
      <w:bookmarkStart w:id="79" w:name="_Toc15396628"/>
      <w:r>
        <w:rPr>
          <w:rStyle w:val="27"/>
          <w:rFonts w:hint="eastAsia" w:ascii="仿宋" w:hAnsi="仿宋" w:eastAsia="仿宋"/>
          <w:b w:val="0"/>
          <w:bCs w:val="0"/>
        </w:rPr>
        <w:t>十、</w:t>
      </w:r>
      <w:r>
        <w:rPr>
          <w:rFonts w:hint="eastAsia" w:ascii="仿宋" w:hAnsi="仿宋" w:eastAsia="仿宋"/>
          <w:b w:val="0"/>
          <w:color w:val="000000"/>
        </w:rPr>
        <w:t>一</w:t>
      </w:r>
      <w:r>
        <w:rPr>
          <w:rStyle w:val="27"/>
          <w:rFonts w:hint="eastAsia" w:ascii="仿宋" w:hAnsi="仿宋" w:eastAsia="仿宋"/>
          <w:b w:val="0"/>
          <w:bCs w:val="0"/>
        </w:rPr>
        <w:t>般公共预算财政拨款“三公”经费支出决算表</w:t>
      </w:r>
      <w:bookmarkEnd w:id="79"/>
    </w:p>
    <w:p>
      <w:pPr>
        <w:pStyle w:val="3"/>
        <w:spacing w:line="360" w:lineRule="auto"/>
        <w:rPr>
          <w:rFonts w:ascii="仿宋" w:hAnsi="仿宋" w:eastAsia="仿宋"/>
          <w:color w:val="000000"/>
        </w:rPr>
      </w:pPr>
      <w:bookmarkStart w:id="80" w:name="_Toc15396629"/>
      <w:r>
        <w:rPr>
          <w:rStyle w:val="27"/>
          <w:rFonts w:hint="eastAsia" w:ascii="仿宋" w:hAnsi="仿宋" w:eastAsia="仿宋"/>
          <w:b w:val="0"/>
          <w:bCs w:val="0"/>
        </w:rPr>
        <w:t>十一、</w:t>
      </w:r>
      <w:r>
        <w:rPr>
          <w:rFonts w:hint="eastAsia" w:ascii="仿宋" w:hAnsi="仿宋" w:eastAsia="仿宋"/>
          <w:b w:val="0"/>
          <w:color w:val="000000"/>
        </w:rPr>
        <w:t>政</w:t>
      </w:r>
      <w:r>
        <w:rPr>
          <w:rStyle w:val="27"/>
          <w:rFonts w:hint="eastAsia" w:ascii="仿宋" w:hAnsi="仿宋" w:eastAsia="仿宋"/>
          <w:b w:val="0"/>
          <w:bCs w:val="0"/>
        </w:rPr>
        <w:t>府性基金预算财政拨款收入支出决算表</w:t>
      </w:r>
      <w:bookmarkEnd w:id="80"/>
    </w:p>
    <w:p>
      <w:pPr>
        <w:pStyle w:val="3"/>
        <w:spacing w:line="360" w:lineRule="auto"/>
        <w:rPr>
          <w:rFonts w:ascii="仿宋" w:hAnsi="仿宋" w:eastAsia="仿宋"/>
          <w:color w:val="000000"/>
        </w:rPr>
      </w:pPr>
      <w:bookmarkStart w:id="81" w:name="_Toc15396630"/>
      <w:r>
        <w:rPr>
          <w:rStyle w:val="27"/>
          <w:rFonts w:hint="eastAsia" w:ascii="仿宋" w:hAnsi="仿宋" w:eastAsia="仿宋"/>
          <w:b w:val="0"/>
          <w:bCs w:val="0"/>
        </w:rPr>
        <w:t>十二、</w:t>
      </w:r>
      <w:r>
        <w:rPr>
          <w:rFonts w:hint="eastAsia" w:ascii="仿宋" w:hAnsi="仿宋" w:eastAsia="仿宋"/>
          <w:b w:val="0"/>
          <w:color w:val="000000"/>
        </w:rPr>
        <w:t>政</w:t>
      </w:r>
      <w:r>
        <w:rPr>
          <w:rStyle w:val="27"/>
          <w:rFonts w:hint="eastAsia" w:ascii="仿宋" w:hAnsi="仿宋" w:eastAsia="仿宋"/>
          <w:b w:val="0"/>
          <w:bCs w:val="0"/>
        </w:rPr>
        <w:t>府性基金预算财政拨款“三公”经费支出决算表</w:t>
      </w:r>
      <w:bookmarkEnd w:id="81"/>
    </w:p>
    <w:p>
      <w:pPr>
        <w:pStyle w:val="3"/>
        <w:spacing w:line="360" w:lineRule="auto"/>
        <w:rPr>
          <w:rFonts w:ascii="仿宋" w:hAnsi="仿宋" w:eastAsia="仿宋"/>
          <w:color w:val="000000" w:themeColor="text1"/>
        </w:rPr>
      </w:pPr>
      <w:bookmarkStart w:id="82" w:name="_Toc15396631"/>
      <w:r>
        <w:rPr>
          <w:rStyle w:val="27"/>
          <w:rFonts w:hint="eastAsia" w:ascii="仿宋" w:hAnsi="仿宋" w:eastAsia="仿宋"/>
          <w:b w:val="0"/>
          <w:bCs w:val="0"/>
        </w:rPr>
        <w:t>十三、</w:t>
      </w:r>
      <w:r>
        <w:rPr>
          <w:rFonts w:hint="eastAsia" w:ascii="仿宋" w:hAnsi="仿宋" w:eastAsia="仿宋"/>
          <w:b w:val="0"/>
          <w:color w:val="000000"/>
        </w:rPr>
        <w:t>国</w:t>
      </w:r>
      <w:r>
        <w:rPr>
          <w:rStyle w:val="27"/>
          <w:rFonts w:hint="eastAsia" w:ascii="仿宋" w:hAnsi="仿宋" w:eastAsia="仿宋"/>
          <w:b w:val="0"/>
          <w:bCs w:val="0"/>
        </w:rPr>
        <w:t>有资本经营预算支出决算表</w:t>
      </w:r>
      <w:bookmarkEnd w:id="82"/>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pPr>
          <w:pStyle w:val="9"/>
          <w:jc w:val="center"/>
        </w:pPr>
        <w:r>
          <w:fldChar w:fldCharType="begin"/>
        </w:r>
        <w:r>
          <w:instrText xml:space="preserve">PAGE   \* MERGEFORMAT</w:instrText>
        </w:r>
        <w:r>
          <w:fldChar w:fldCharType="separate"/>
        </w:r>
        <w:r>
          <w:rPr>
            <w:lang w:val="zh-CN"/>
          </w:rPr>
          <w:t>2</w:t>
        </w:r>
        <w:r>
          <w:fldChar w:fldCharType="end"/>
        </w:r>
      </w:p>
    </w:sdtContent>
  </w:sdt>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779EE2"/>
    <w:multiLevelType w:val="singleLevel"/>
    <w:tmpl w:val="95779EE2"/>
    <w:lvl w:ilvl="0" w:tentative="0">
      <w:start w:val="2"/>
      <w:numFmt w:val="chineseCounting"/>
      <w:suff w:val="nothing"/>
      <w:lvlText w:val="（%1）"/>
      <w:lvlJc w:val="left"/>
      <w:rPr>
        <w:rFonts w:hint="eastAsia"/>
      </w:rPr>
    </w:lvl>
  </w:abstractNum>
  <w:abstractNum w:abstractNumId="1">
    <w:nsid w:val="1A515B0A"/>
    <w:multiLevelType w:val="multilevel"/>
    <w:tmpl w:val="1A515B0A"/>
    <w:lvl w:ilvl="0" w:tentative="0">
      <w:start w:val="1"/>
      <w:numFmt w:val="japaneseCounting"/>
      <w:lvlText w:val="（%1）"/>
      <w:lvlJc w:val="left"/>
      <w:pPr>
        <w:ind w:left="1725" w:hanging="1005"/>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2">
    <w:nsid w:val="21A2298C"/>
    <w:multiLevelType w:val="singleLevel"/>
    <w:tmpl w:val="21A2298C"/>
    <w:lvl w:ilvl="0" w:tentative="0">
      <w:start w:val="1"/>
      <w:numFmt w:val="decimal"/>
      <w:lvlText w:val="%1."/>
      <w:lvlJc w:val="left"/>
      <w:pPr>
        <w:tabs>
          <w:tab w:val="left" w:pos="312"/>
        </w:tabs>
      </w:pPr>
    </w:lvl>
  </w:abstractNum>
  <w:abstractNum w:abstractNumId="3">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222C6"/>
    <w:rsid w:val="0002549F"/>
    <w:rsid w:val="000468DB"/>
    <w:rsid w:val="0006487A"/>
    <w:rsid w:val="00064F5C"/>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7256"/>
    <w:rsid w:val="00142216"/>
    <w:rsid w:val="00144D6A"/>
    <w:rsid w:val="0014729F"/>
    <w:rsid w:val="00157BAB"/>
    <w:rsid w:val="00161B35"/>
    <w:rsid w:val="001654D1"/>
    <w:rsid w:val="00172A27"/>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40914"/>
    <w:rsid w:val="00260C38"/>
    <w:rsid w:val="002616C0"/>
    <w:rsid w:val="00265372"/>
    <w:rsid w:val="002662AA"/>
    <w:rsid w:val="00280496"/>
    <w:rsid w:val="00294DC9"/>
    <w:rsid w:val="00295495"/>
    <w:rsid w:val="002A31DE"/>
    <w:rsid w:val="002B2613"/>
    <w:rsid w:val="002B6A94"/>
    <w:rsid w:val="002D19B0"/>
    <w:rsid w:val="002D6D05"/>
    <w:rsid w:val="002F1818"/>
    <w:rsid w:val="002F567B"/>
    <w:rsid w:val="003023AC"/>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16CD4"/>
    <w:rsid w:val="004223DE"/>
    <w:rsid w:val="00434489"/>
    <w:rsid w:val="00437085"/>
    <w:rsid w:val="00443880"/>
    <w:rsid w:val="004464F4"/>
    <w:rsid w:val="00471401"/>
    <w:rsid w:val="00473F31"/>
    <w:rsid w:val="0048263A"/>
    <w:rsid w:val="00484738"/>
    <w:rsid w:val="00487E5D"/>
    <w:rsid w:val="004A711F"/>
    <w:rsid w:val="004B199D"/>
    <w:rsid w:val="004B4690"/>
    <w:rsid w:val="004E0A2D"/>
    <w:rsid w:val="004E206B"/>
    <w:rsid w:val="004E6DF7"/>
    <w:rsid w:val="004F0FBD"/>
    <w:rsid w:val="004F403E"/>
    <w:rsid w:val="00505A47"/>
    <w:rsid w:val="00512FDA"/>
    <w:rsid w:val="00520DA0"/>
    <w:rsid w:val="005664BB"/>
    <w:rsid w:val="00566FFA"/>
    <w:rsid w:val="0057481D"/>
    <w:rsid w:val="005751C6"/>
    <w:rsid w:val="00575F0B"/>
    <w:rsid w:val="0058486E"/>
    <w:rsid w:val="00585B33"/>
    <w:rsid w:val="0059014D"/>
    <w:rsid w:val="005B5C64"/>
    <w:rsid w:val="005C6BD0"/>
    <w:rsid w:val="005C6C4C"/>
    <w:rsid w:val="005D1C8B"/>
    <w:rsid w:val="005D468D"/>
    <w:rsid w:val="005D5CED"/>
    <w:rsid w:val="005F1A4C"/>
    <w:rsid w:val="00605688"/>
    <w:rsid w:val="006070AF"/>
    <w:rsid w:val="00607E6C"/>
    <w:rsid w:val="006101B1"/>
    <w:rsid w:val="00614E44"/>
    <w:rsid w:val="0062270A"/>
    <w:rsid w:val="00622830"/>
    <w:rsid w:val="00623DA0"/>
    <w:rsid w:val="00630AEF"/>
    <w:rsid w:val="00631DF8"/>
    <w:rsid w:val="006325F8"/>
    <w:rsid w:val="00633463"/>
    <w:rsid w:val="00634C9A"/>
    <w:rsid w:val="006440E4"/>
    <w:rsid w:val="00644938"/>
    <w:rsid w:val="0066343B"/>
    <w:rsid w:val="00664777"/>
    <w:rsid w:val="006748A4"/>
    <w:rsid w:val="00681A31"/>
    <w:rsid w:val="00683E73"/>
    <w:rsid w:val="006A3141"/>
    <w:rsid w:val="006A5E34"/>
    <w:rsid w:val="006B2422"/>
    <w:rsid w:val="006B2B9A"/>
    <w:rsid w:val="006C1937"/>
    <w:rsid w:val="006F020C"/>
    <w:rsid w:val="007127B7"/>
    <w:rsid w:val="0071798E"/>
    <w:rsid w:val="00727533"/>
    <w:rsid w:val="007416B6"/>
    <w:rsid w:val="00746F48"/>
    <w:rsid w:val="0075404D"/>
    <w:rsid w:val="0076182A"/>
    <w:rsid w:val="00767B7E"/>
    <w:rsid w:val="007770C3"/>
    <w:rsid w:val="00784D24"/>
    <w:rsid w:val="00785FBA"/>
    <w:rsid w:val="00786E4A"/>
    <w:rsid w:val="007875EB"/>
    <w:rsid w:val="007902B2"/>
    <w:rsid w:val="0079426B"/>
    <w:rsid w:val="007D1682"/>
    <w:rsid w:val="007D312A"/>
    <w:rsid w:val="007D3F19"/>
    <w:rsid w:val="007E23B0"/>
    <w:rsid w:val="007F1991"/>
    <w:rsid w:val="007F2C2F"/>
    <w:rsid w:val="007F55FC"/>
    <w:rsid w:val="007F5665"/>
    <w:rsid w:val="00800112"/>
    <w:rsid w:val="00813348"/>
    <w:rsid w:val="008253BB"/>
    <w:rsid w:val="00833962"/>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1009B"/>
    <w:rsid w:val="00923564"/>
    <w:rsid w:val="0092392E"/>
    <w:rsid w:val="009315F9"/>
    <w:rsid w:val="00933499"/>
    <w:rsid w:val="00935C98"/>
    <w:rsid w:val="00946945"/>
    <w:rsid w:val="009470C3"/>
    <w:rsid w:val="00951248"/>
    <w:rsid w:val="0095152F"/>
    <w:rsid w:val="00954C49"/>
    <w:rsid w:val="00955E37"/>
    <w:rsid w:val="0097099F"/>
    <w:rsid w:val="00971997"/>
    <w:rsid w:val="00971FFC"/>
    <w:rsid w:val="0098660A"/>
    <w:rsid w:val="0098672C"/>
    <w:rsid w:val="009931C3"/>
    <w:rsid w:val="009B2C43"/>
    <w:rsid w:val="009B4EAE"/>
    <w:rsid w:val="009B7573"/>
    <w:rsid w:val="009C22F4"/>
    <w:rsid w:val="009C2E98"/>
    <w:rsid w:val="009C37FB"/>
    <w:rsid w:val="009D3447"/>
    <w:rsid w:val="009D4711"/>
    <w:rsid w:val="009F1185"/>
    <w:rsid w:val="009F18CD"/>
    <w:rsid w:val="009F2A13"/>
    <w:rsid w:val="009F7527"/>
    <w:rsid w:val="00A039ED"/>
    <w:rsid w:val="00A04EB0"/>
    <w:rsid w:val="00A13CC1"/>
    <w:rsid w:val="00A16847"/>
    <w:rsid w:val="00A17C0D"/>
    <w:rsid w:val="00A237D8"/>
    <w:rsid w:val="00A268C4"/>
    <w:rsid w:val="00A307CD"/>
    <w:rsid w:val="00A331C8"/>
    <w:rsid w:val="00A35117"/>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0F83"/>
    <w:rsid w:val="00AD5620"/>
    <w:rsid w:val="00AD656B"/>
    <w:rsid w:val="00AD7C1B"/>
    <w:rsid w:val="00AE16BA"/>
    <w:rsid w:val="00AE1EBE"/>
    <w:rsid w:val="00B03C9D"/>
    <w:rsid w:val="00B060AE"/>
    <w:rsid w:val="00B10517"/>
    <w:rsid w:val="00B14E76"/>
    <w:rsid w:val="00B161B8"/>
    <w:rsid w:val="00B2048C"/>
    <w:rsid w:val="00B310B9"/>
    <w:rsid w:val="00B33F8D"/>
    <w:rsid w:val="00B35F3F"/>
    <w:rsid w:val="00B36CBB"/>
    <w:rsid w:val="00B425E0"/>
    <w:rsid w:val="00B440AA"/>
    <w:rsid w:val="00B44B70"/>
    <w:rsid w:val="00B53C56"/>
    <w:rsid w:val="00B57DAF"/>
    <w:rsid w:val="00B725D1"/>
    <w:rsid w:val="00B77EA6"/>
    <w:rsid w:val="00B81598"/>
    <w:rsid w:val="00B841F1"/>
    <w:rsid w:val="00B944D6"/>
    <w:rsid w:val="00BB4DF0"/>
    <w:rsid w:val="00BC289F"/>
    <w:rsid w:val="00BC2D50"/>
    <w:rsid w:val="00BC5361"/>
    <w:rsid w:val="00BC5460"/>
    <w:rsid w:val="00BC6B50"/>
    <w:rsid w:val="00BD0E25"/>
    <w:rsid w:val="00BF5BD6"/>
    <w:rsid w:val="00C03E31"/>
    <w:rsid w:val="00C25ED4"/>
    <w:rsid w:val="00C30E69"/>
    <w:rsid w:val="00C33E72"/>
    <w:rsid w:val="00C354B2"/>
    <w:rsid w:val="00C35554"/>
    <w:rsid w:val="00C42709"/>
    <w:rsid w:val="00C533CC"/>
    <w:rsid w:val="00C5751C"/>
    <w:rsid w:val="00C61BFC"/>
    <w:rsid w:val="00C62B85"/>
    <w:rsid w:val="00C65438"/>
    <w:rsid w:val="00C86544"/>
    <w:rsid w:val="00C91CBB"/>
    <w:rsid w:val="00CB4E70"/>
    <w:rsid w:val="00CC09B6"/>
    <w:rsid w:val="00CC666F"/>
    <w:rsid w:val="00CD0469"/>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05CC"/>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66797"/>
    <w:rsid w:val="00E82267"/>
    <w:rsid w:val="00E853CE"/>
    <w:rsid w:val="00E867B6"/>
    <w:rsid w:val="00E87F08"/>
    <w:rsid w:val="00EA010F"/>
    <w:rsid w:val="00ED1B63"/>
    <w:rsid w:val="00ED3C1F"/>
    <w:rsid w:val="00ED4085"/>
    <w:rsid w:val="00ED420E"/>
    <w:rsid w:val="00ED6FBE"/>
    <w:rsid w:val="00EE2289"/>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9AA7ADD"/>
    <w:rsid w:val="0A2D21D1"/>
    <w:rsid w:val="0A591C00"/>
    <w:rsid w:val="10C055FF"/>
    <w:rsid w:val="138A0AEC"/>
    <w:rsid w:val="148D46FB"/>
    <w:rsid w:val="160674BB"/>
    <w:rsid w:val="16BB723D"/>
    <w:rsid w:val="1A9B16D0"/>
    <w:rsid w:val="240371BF"/>
    <w:rsid w:val="24EB2F02"/>
    <w:rsid w:val="261D5450"/>
    <w:rsid w:val="26E74AC7"/>
    <w:rsid w:val="29F35D10"/>
    <w:rsid w:val="29FD04D3"/>
    <w:rsid w:val="319F7F4E"/>
    <w:rsid w:val="354F7785"/>
    <w:rsid w:val="38E778EC"/>
    <w:rsid w:val="39866A6C"/>
    <w:rsid w:val="3C0F5B62"/>
    <w:rsid w:val="3E482F8E"/>
    <w:rsid w:val="3E5F47F6"/>
    <w:rsid w:val="3E877999"/>
    <w:rsid w:val="438C16BC"/>
    <w:rsid w:val="438C302A"/>
    <w:rsid w:val="4B6942D8"/>
    <w:rsid w:val="4ECE2238"/>
    <w:rsid w:val="509F112B"/>
    <w:rsid w:val="52CB3DC2"/>
    <w:rsid w:val="54C179ED"/>
    <w:rsid w:val="54FB2F77"/>
    <w:rsid w:val="576330A2"/>
    <w:rsid w:val="5D6F3DCA"/>
    <w:rsid w:val="664F7F17"/>
    <w:rsid w:val="67A94733"/>
    <w:rsid w:val="6AF83501"/>
    <w:rsid w:val="72734D90"/>
    <w:rsid w:val="77C16AB6"/>
    <w:rsid w:val="7A974C4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0"/>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5">
    <w:name w:val="Body Text"/>
    <w:basedOn w:val="1"/>
    <w:link w:val="23"/>
    <w:qFormat/>
    <w:uiPriority w:val="99"/>
    <w:pPr>
      <w:spacing w:beforeLines="30"/>
    </w:pPr>
    <w:rPr>
      <w:rFonts w:ascii="仿宋_GB2312" w:eastAsia="仿宋_GB2312"/>
      <w:kern w:val="0"/>
      <w:sz w:val="30"/>
    </w:rPr>
  </w:style>
  <w:style w:type="paragraph" w:styleId="6">
    <w:name w:val="toc 3"/>
    <w:basedOn w:val="1"/>
    <w:next w:val="1"/>
    <w:unhideWhenUsed/>
    <w:qFormat/>
    <w:uiPriority w:val="39"/>
    <w:pPr>
      <w:tabs>
        <w:tab w:val="right" w:leader="dot" w:pos="8296"/>
      </w:tabs>
      <w:ind w:left="840" w:leftChars="400"/>
    </w:pPr>
  </w:style>
  <w:style w:type="paragraph" w:styleId="7">
    <w:name w:val="Plain Text"/>
    <w:basedOn w:val="1"/>
    <w:link w:val="32"/>
    <w:uiPriority w:val="99"/>
    <w:rPr>
      <w:rFonts w:ascii="宋体" w:hAnsi="Courier New"/>
    </w:rPr>
  </w:style>
  <w:style w:type="paragraph" w:styleId="8">
    <w:name w:val="Balloon Text"/>
    <w:basedOn w:val="1"/>
    <w:link w:val="29"/>
    <w:semiHidden/>
    <w:unhideWhenUsed/>
    <w:qFormat/>
    <w:uiPriority w:val="99"/>
    <w:rPr>
      <w:sz w:val="18"/>
      <w:szCs w:val="18"/>
    </w:rPr>
  </w:style>
  <w:style w:type="paragraph" w:styleId="9">
    <w:name w:val="footer"/>
    <w:basedOn w:val="1"/>
    <w:link w:val="21"/>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19"/>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Normal (Web)"/>
    <w:basedOn w:val="1"/>
    <w:semiHidden/>
    <w:unhideWhenUsed/>
    <w:uiPriority w:val="99"/>
    <w:pPr>
      <w:spacing w:before="100" w:beforeAutospacing="1" w:after="100" w:afterAutospacing="1"/>
      <w:jc w:val="left"/>
    </w:pPr>
    <w:rPr>
      <w:kern w:val="0"/>
      <w:sz w:val="24"/>
    </w:rPr>
  </w:style>
  <w:style w:type="character" w:styleId="16">
    <w:name w:val="Strong"/>
    <w:basedOn w:val="15"/>
    <w:qFormat/>
    <w:uiPriority w:val="99"/>
    <w:rPr>
      <w:b/>
    </w:rPr>
  </w:style>
  <w:style w:type="character" w:styleId="17">
    <w:name w:val="Hyperlink"/>
    <w:basedOn w:val="15"/>
    <w:unhideWhenUsed/>
    <w:qFormat/>
    <w:uiPriority w:val="99"/>
    <w:rPr>
      <w:color w:val="0000FF" w:themeColor="hyperlink"/>
      <w:u w:val="single"/>
    </w:rPr>
  </w:style>
  <w:style w:type="character" w:customStyle="1" w:styleId="18">
    <w:name w:val="Header Char"/>
    <w:basedOn w:val="15"/>
    <w:semiHidden/>
    <w:qFormat/>
    <w:uiPriority w:val="99"/>
    <w:rPr>
      <w:rFonts w:ascii="Times New Roman" w:hAnsi="Times New Roman"/>
      <w:sz w:val="18"/>
      <w:szCs w:val="18"/>
    </w:rPr>
  </w:style>
  <w:style w:type="character" w:customStyle="1" w:styleId="19">
    <w:name w:val="页眉 Char"/>
    <w:link w:val="10"/>
    <w:semiHidden/>
    <w:qFormat/>
    <w:locked/>
    <w:uiPriority w:val="99"/>
    <w:rPr>
      <w:sz w:val="18"/>
    </w:rPr>
  </w:style>
  <w:style w:type="character" w:customStyle="1" w:styleId="20">
    <w:name w:val="Footer Char"/>
    <w:basedOn w:val="15"/>
    <w:semiHidden/>
    <w:qFormat/>
    <w:uiPriority w:val="99"/>
    <w:rPr>
      <w:rFonts w:ascii="Times New Roman" w:hAnsi="Times New Roman"/>
      <w:sz w:val="18"/>
      <w:szCs w:val="18"/>
    </w:rPr>
  </w:style>
  <w:style w:type="character" w:customStyle="1" w:styleId="21">
    <w:name w:val="页脚 Char"/>
    <w:link w:val="9"/>
    <w:qFormat/>
    <w:locked/>
    <w:uiPriority w:val="99"/>
    <w:rPr>
      <w:sz w:val="18"/>
    </w:rPr>
  </w:style>
  <w:style w:type="character" w:customStyle="1" w:styleId="22">
    <w:name w:val="Body Text Char"/>
    <w:basedOn w:val="15"/>
    <w:semiHidden/>
    <w:qFormat/>
    <w:uiPriority w:val="99"/>
    <w:rPr>
      <w:rFonts w:ascii="Times New Roman" w:hAnsi="Times New Roman"/>
      <w:szCs w:val="24"/>
    </w:rPr>
  </w:style>
  <w:style w:type="character" w:customStyle="1" w:styleId="23">
    <w:name w:val="正文文本 Char"/>
    <w:link w:val="5"/>
    <w:qFormat/>
    <w:locked/>
    <w:uiPriority w:val="99"/>
    <w:rPr>
      <w:rFonts w:ascii="仿宋_GB2312" w:hAnsi="Times New Roman" w:eastAsia="仿宋_GB2312"/>
      <w:sz w:val="24"/>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5">
    <w:name w:val="List Paragraph"/>
    <w:basedOn w:val="1"/>
    <w:qFormat/>
    <w:uiPriority w:val="34"/>
    <w:pPr>
      <w:ind w:firstLine="420" w:firstLineChars="200"/>
    </w:pPr>
  </w:style>
  <w:style w:type="character" w:customStyle="1" w:styleId="26">
    <w:name w:val="标题 1 Char"/>
    <w:basedOn w:val="15"/>
    <w:link w:val="2"/>
    <w:qFormat/>
    <w:uiPriority w:val="9"/>
    <w:rPr>
      <w:rFonts w:ascii="Times New Roman" w:hAnsi="Times New Roman"/>
      <w:b/>
      <w:bCs/>
      <w:kern w:val="44"/>
      <w:sz w:val="44"/>
      <w:szCs w:val="44"/>
    </w:rPr>
  </w:style>
  <w:style w:type="character" w:customStyle="1" w:styleId="27">
    <w:name w:val="标题 2 Char"/>
    <w:basedOn w:val="15"/>
    <w:link w:val="3"/>
    <w:qFormat/>
    <w:uiPriority w:val="9"/>
    <w:rPr>
      <w:rFonts w:asciiTheme="majorHAnsi" w:hAnsiTheme="majorHAnsi" w:eastAsiaTheme="majorEastAsia" w:cstheme="majorBidi"/>
      <w:b/>
      <w:bCs/>
      <w:kern w:val="2"/>
      <w:sz w:val="32"/>
      <w:szCs w:val="32"/>
    </w:rPr>
  </w:style>
  <w:style w:type="paragraph" w:customStyle="1" w:styleId="28">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29">
    <w:name w:val="批注框文本 Char"/>
    <w:basedOn w:val="15"/>
    <w:link w:val="8"/>
    <w:semiHidden/>
    <w:qFormat/>
    <w:uiPriority w:val="99"/>
    <w:rPr>
      <w:rFonts w:ascii="Times New Roman" w:hAnsi="Times New Roman"/>
      <w:kern w:val="2"/>
      <w:sz w:val="18"/>
      <w:szCs w:val="18"/>
    </w:rPr>
  </w:style>
  <w:style w:type="character" w:customStyle="1" w:styleId="30">
    <w:name w:val="标题 3 Char"/>
    <w:basedOn w:val="15"/>
    <w:link w:val="4"/>
    <w:qFormat/>
    <w:uiPriority w:val="9"/>
    <w:rPr>
      <w:rFonts w:ascii="Times New Roman" w:hAnsi="Times New Roman"/>
      <w:b/>
      <w:bCs/>
      <w:kern w:val="2"/>
      <w:sz w:val="32"/>
      <w:szCs w:val="32"/>
    </w:rPr>
  </w:style>
  <w:style w:type="paragraph" w:customStyle="1" w:styleId="31">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2">
    <w:name w:val="纯文本 Char"/>
    <w:basedOn w:val="15"/>
    <w:link w:val="7"/>
    <w:uiPriority w:val="99"/>
    <w:rPr>
      <w:rFonts w:ascii="宋体" w:hAnsi="Courier New"/>
      <w:kern w:val="2"/>
      <w:sz w:val="21"/>
      <w:szCs w:val="24"/>
    </w:rPr>
  </w:style>
  <w:style w:type="character" w:customStyle="1" w:styleId="33">
    <w:name w:val="font11"/>
    <w:basedOn w:val="15"/>
    <w:uiPriority w:val="0"/>
    <w:rPr>
      <w:rFonts w:hint="default" w:ascii="Times New Roman" w:hAnsi="Times New Roman" w:cs="Times New Roman"/>
      <w:color w:val="000000"/>
      <w:sz w:val="24"/>
      <w:szCs w:val="24"/>
      <w:u w:val="none"/>
    </w:rPr>
  </w:style>
  <w:style w:type="character" w:customStyle="1" w:styleId="34">
    <w:name w:val="font31"/>
    <w:basedOn w:val="15"/>
    <w:uiPriority w:val="0"/>
    <w:rPr>
      <w:rFonts w:hint="eastAsia" w:ascii="宋体" w:hAnsi="宋体" w:eastAsia="宋体"/>
      <w:color w:val="000000"/>
      <w:sz w:val="24"/>
      <w:szCs w:val="24"/>
      <w:u w:val="none"/>
    </w:rPr>
  </w:style>
  <w:style w:type="character" w:customStyle="1" w:styleId="35">
    <w:name w:val="font41"/>
    <w:basedOn w:val="15"/>
    <w:uiPriority w:val="0"/>
    <w:rPr>
      <w:rFonts w:hint="eastAsia" w:ascii="宋体" w:hAnsi="宋体" w:eastAsia="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3BC420-C112-4FB0-B86A-313EAA35C41E}">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43</Pages>
  <Words>2977</Words>
  <Characters>16971</Characters>
  <Lines>141</Lines>
  <Paragraphs>39</Paragraphs>
  <TotalTime>113</TotalTime>
  <ScaleCrop>false</ScaleCrop>
  <LinksUpToDate>false</LinksUpToDate>
  <CharactersWithSpaces>19909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办公室</cp:lastModifiedBy>
  <cp:lastPrinted>2020-07-23T02:58:00Z</cp:lastPrinted>
  <dcterms:modified xsi:type="dcterms:W3CDTF">2026-10-20T03:00:10Z</dcterms:modified>
  <dc:title>四川省***</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