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BDCEFB">
      <w:pPr>
        <w:pStyle w:val="8"/>
        <w:rPr>
          <w:rFonts w:hint="eastAsia" w:ascii="Times New Roman" w:hAnsi="Times New Roman" w:eastAsia="方正小标宋简体" w:cs="Times New Roman"/>
          <w:color w:val="auto"/>
          <w:kern w:val="2"/>
          <w:sz w:val="72"/>
          <w:szCs w:val="72"/>
          <w:highlight w:val="none"/>
          <w:lang w:val="en-US" w:eastAsia="zh-CN" w:bidi="ar-SA"/>
        </w:rPr>
      </w:pPr>
      <w:bookmarkStart w:id="0" w:name="_Toc15396597"/>
      <w:bookmarkStart w:id="1" w:name="_Toc15377425"/>
      <w:bookmarkStart w:id="2" w:name="_Toc15378441"/>
      <w:bookmarkStart w:id="3" w:name="_Toc15306267"/>
      <w:bookmarkStart w:id="4" w:name="_Toc15396475"/>
      <w:bookmarkStart w:id="5" w:name="_Toc15377193"/>
    </w:p>
    <w:p w14:paraId="1064B0EC">
      <w:pPr>
        <w:pStyle w:val="8"/>
        <w:rPr>
          <w:rFonts w:hint="eastAsia" w:ascii="Times New Roman" w:hAnsi="Times New Roman" w:eastAsia="方正小标宋简体" w:cs="Times New Roman"/>
          <w:color w:val="auto"/>
          <w:kern w:val="2"/>
          <w:sz w:val="72"/>
          <w:szCs w:val="72"/>
          <w:highlight w:val="none"/>
          <w:lang w:val="en-US" w:eastAsia="zh-CN" w:bidi="ar-SA"/>
        </w:rPr>
      </w:pPr>
    </w:p>
    <w:p w14:paraId="2F228EED">
      <w:pPr>
        <w:pStyle w:val="8"/>
        <w:rPr>
          <w:rFonts w:hint="eastAsia" w:ascii="Times New Roman" w:hAnsi="Times New Roman" w:eastAsia="方正小标宋简体" w:cs="Times New Roman"/>
          <w:color w:val="auto"/>
          <w:kern w:val="2"/>
          <w:sz w:val="72"/>
          <w:szCs w:val="72"/>
          <w:highlight w:val="none"/>
          <w:lang w:val="en-US" w:eastAsia="zh-CN" w:bidi="ar-SA"/>
        </w:rPr>
      </w:pPr>
    </w:p>
    <w:p w14:paraId="24E3C765">
      <w:pPr>
        <w:pStyle w:val="8"/>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单位决算</w:t>
      </w:r>
    </w:p>
    <w:p w14:paraId="09AA3332">
      <w:pPr>
        <w:pStyle w:val="8"/>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公开文字说明</w:t>
      </w:r>
    </w:p>
    <w:p w14:paraId="2DA74BBE">
      <w:pPr>
        <w:pStyle w:val="8"/>
        <w:jc w:val="center"/>
        <w:rPr>
          <w:rFonts w:hint="eastAsia" w:ascii="Times New Roman" w:eastAsia="方正小标宋简体" w:cs="Times New Roman"/>
          <w:color w:val="auto"/>
          <w:kern w:val="2"/>
          <w:sz w:val="44"/>
          <w:szCs w:val="44"/>
          <w:highlight w:val="none"/>
          <w:lang w:val="en-US" w:eastAsia="zh-CN" w:bidi="ar-SA"/>
        </w:rPr>
      </w:pPr>
    </w:p>
    <w:p w14:paraId="5025AFE0">
      <w:pPr>
        <w:pStyle w:val="8"/>
        <w:jc w:val="center"/>
        <w:rPr>
          <w:rFonts w:hint="eastAsia" w:ascii="Times New Roman" w:eastAsia="方正小标宋简体" w:cs="Times New Roman"/>
          <w:color w:val="auto"/>
          <w:kern w:val="2"/>
          <w:sz w:val="44"/>
          <w:szCs w:val="44"/>
          <w:highlight w:val="none"/>
          <w:lang w:val="en-US" w:eastAsia="zh-CN" w:bidi="ar-SA"/>
        </w:rPr>
      </w:pPr>
    </w:p>
    <w:p w14:paraId="4A478B3C">
      <w:pPr>
        <w:pStyle w:val="8"/>
        <w:jc w:val="center"/>
        <w:rPr>
          <w:rFonts w:hint="eastAsia" w:ascii="Times New Roman" w:eastAsia="方正小标宋简体" w:cs="Times New Roman"/>
          <w:color w:val="auto"/>
          <w:kern w:val="2"/>
          <w:sz w:val="44"/>
          <w:szCs w:val="44"/>
          <w:highlight w:val="none"/>
          <w:lang w:val="en-US" w:eastAsia="zh-CN" w:bidi="ar-SA"/>
        </w:rPr>
      </w:pPr>
    </w:p>
    <w:p w14:paraId="3CF6D2C3">
      <w:pPr>
        <w:pStyle w:val="8"/>
        <w:jc w:val="center"/>
        <w:rPr>
          <w:rFonts w:hint="eastAsia" w:ascii="Times New Roman" w:eastAsia="方正小标宋简体" w:cs="Times New Roman"/>
          <w:color w:val="auto"/>
          <w:kern w:val="2"/>
          <w:sz w:val="44"/>
          <w:szCs w:val="44"/>
          <w:highlight w:val="none"/>
          <w:lang w:val="en-US" w:eastAsia="zh-CN" w:bidi="ar-SA"/>
        </w:rPr>
      </w:pPr>
    </w:p>
    <w:p w14:paraId="32494813">
      <w:pPr>
        <w:pStyle w:val="8"/>
        <w:jc w:val="center"/>
        <w:rPr>
          <w:rFonts w:hint="eastAsia" w:ascii="Times New Roman" w:eastAsia="方正小标宋简体" w:cs="Times New Roman"/>
          <w:color w:val="auto"/>
          <w:kern w:val="2"/>
          <w:sz w:val="44"/>
          <w:szCs w:val="44"/>
          <w:highlight w:val="none"/>
          <w:lang w:val="en-US" w:eastAsia="zh-CN" w:bidi="ar-SA"/>
        </w:rPr>
      </w:pPr>
    </w:p>
    <w:p w14:paraId="1F7B060D">
      <w:pPr>
        <w:pStyle w:val="8"/>
        <w:jc w:val="center"/>
        <w:rPr>
          <w:rFonts w:hint="eastAsia" w:ascii="Times New Roman" w:eastAsia="方正小标宋简体" w:cs="Times New Roman"/>
          <w:color w:val="auto"/>
          <w:kern w:val="2"/>
          <w:sz w:val="44"/>
          <w:szCs w:val="44"/>
          <w:highlight w:val="none"/>
          <w:lang w:val="en-US" w:eastAsia="zh-CN" w:bidi="ar-SA"/>
        </w:rPr>
      </w:pPr>
    </w:p>
    <w:p w14:paraId="7D6A8FEA">
      <w:pPr>
        <w:pStyle w:val="8"/>
        <w:jc w:val="center"/>
        <w:rPr>
          <w:rFonts w:hint="eastAsia" w:ascii="Times New Roman" w:eastAsia="方正小标宋简体" w:cs="Times New Roman"/>
          <w:color w:val="auto"/>
          <w:kern w:val="2"/>
          <w:sz w:val="44"/>
          <w:szCs w:val="44"/>
          <w:highlight w:val="none"/>
          <w:lang w:val="en-US" w:eastAsia="zh-CN" w:bidi="ar-SA"/>
        </w:rPr>
      </w:pPr>
    </w:p>
    <w:p w14:paraId="59E62842">
      <w:pPr>
        <w:pStyle w:val="8"/>
        <w:jc w:val="center"/>
        <w:rPr>
          <w:rFonts w:hint="eastAsia" w:ascii="Times New Roman" w:eastAsia="方正小标宋简体" w:cs="Times New Roman"/>
          <w:color w:val="auto"/>
          <w:kern w:val="2"/>
          <w:sz w:val="44"/>
          <w:szCs w:val="44"/>
          <w:highlight w:val="none"/>
          <w:lang w:val="en-US" w:eastAsia="zh-CN" w:bidi="ar-SA"/>
        </w:rPr>
      </w:pPr>
    </w:p>
    <w:p w14:paraId="4955BE9E">
      <w:pPr>
        <w:pStyle w:val="8"/>
        <w:jc w:val="center"/>
        <w:rPr>
          <w:rFonts w:hint="eastAsia" w:ascii="Times New Roman" w:eastAsia="方正小标宋简体" w:cs="Times New Roman"/>
          <w:color w:val="auto"/>
          <w:kern w:val="2"/>
          <w:sz w:val="44"/>
          <w:szCs w:val="44"/>
          <w:highlight w:val="none"/>
          <w:lang w:val="en-US" w:eastAsia="zh-CN" w:bidi="ar-SA"/>
        </w:rPr>
      </w:pPr>
    </w:p>
    <w:p w14:paraId="5B057CFD">
      <w:pPr>
        <w:pStyle w:val="8"/>
        <w:jc w:val="center"/>
        <w:rPr>
          <w:rFonts w:hint="eastAsia" w:ascii="Times New Roman" w:eastAsia="方正小标宋简体" w:cs="Times New Roman"/>
          <w:color w:val="auto"/>
          <w:kern w:val="2"/>
          <w:sz w:val="44"/>
          <w:szCs w:val="44"/>
          <w:highlight w:val="none"/>
          <w:lang w:val="en-US" w:eastAsia="zh-CN" w:bidi="ar-SA"/>
        </w:rPr>
      </w:pPr>
    </w:p>
    <w:p w14:paraId="38B894A7">
      <w:pPr>
        <w:pStyle w:val="8"/>
        <w:jc w:val="center"/>
        <w:rPr>
          <w:rFonts w:hint="eastAsia" w:ascii="Times New Roman" w:eastAsia="方正小标宋简体" w:cs="Times New Roman"/>
          <w:color w:val="auto"/>
          <w:kern w:val="2"/>
          <w:sz w:val="44"/>
          <w:szCs w:val="44"/>
          <w:highlight w:val="none"/>
          <w:lang w:val="en-US" w:eastAsia="zh-CN" w:bidi="ar-SA"/>
        </w:rPr>
      </w:pPr>
    </w:p>
    <w:p w14:paraId="13B8B4E4">
      <w:pPr>
        <w:pStyle w:val="8"/>
        <w:jc w:val="center"/>
        <w:rPr>
          <w:rFonts w:hint="eastAsia" w:ascii="Times New Roman" w:eastAsia="方正小标宋简体" w:cs="Times New Roman"/>
          <w:color w:val="auto"/>
          <w:kern w:val="2"/>
          <w:sz w:val="44"/>
          <w:szCs w:val="44"/>
          <w:highlight w:val="none"/>
          <w:lang w:val="en-US" w:eastAsia="zh-CN" w:bidi="ar-SA"/>
        </w:rPr>
      </w:pPr>
    </w:p>
    <w:p w14:paraId="7E9C2331">
      <w:pPr>
        <w:pStyle w:val="8"/>
        <w:jc w:val="center"/>
        <w:rPr>
          <w:rFonts w:hint="eastAsia" w:ascii="Times New Roman" w:eastAsia="方正小标宋简体" w:cs="Times New Roman"/>
          <w:color w:val="auto"/>
          <w:kern w:val="2"/>
          <w:sz w:val="44"/>
          <w:szCs w:val="44"/>
          <w:highlight w:val="none"/>
          <w:lang w:val="en-US" w:eastAsia="zh-CN" w:bidi="ar-SA"/>
        </w:rPr>
      </w:pPr>
    </w:p>
    <w:p w14:paraId="6C582060">
      <w:pPr>
        <w:pStyle w:val="8"/>
        <w:jc w:val="center"/>
        <w:rPr>
          <w:rFonts w:hint="eastAsia" w:ascii="Times New Roman" w:eastAsia="方正小标宋简体" w:cs="Times New Roman"/>
          <w:color w:val="auto"/>
          <w:kern w:val="2"/>
          <w:sz w:val="44"/>
          <w:szCs w:val="44"/>
          <w:highlight w:val="none"/>
          <w:lang w:val="en-US" w:eastAsia="zh-CN" w:bidi="ar-SA"/>
        </w:rPr>
      </w:pPr>
    </w:p>
    <w:p w14:paraId="1DFE1078">
      <w:pPr>
        <w:pStyle w:val="8"/>
        <w:jc w:val="center"/>
        <w:rPr>
          <w:rFonts w:hint="eastAsia" w:ascii="Times New Roman" w:eastAsia="方正小标宋简体" w:cs="Times New Roman"/>
          <w:color w:val="auto"/>
          <w:kern w:val="2"/>
          <w:sz w:val="44"/>
          <w:szCs w:val="44"/>
          <w:highlight w:val="none"/>
          <w:lang w:val="en-US" w:eastAsia="zh-CN" w:bidi="ar-SA"/>
        </w:rPr>
      </w:pPr>
    </w:p>
    <w:p w14:paraId="6E384227">
      <w:pPr>
        <w:pStyle w:val="8"/>
        <w:jc w:val="center"/>
        <w:rPr>
          <w:rFonts w:hint="eastAsia" w:ascii="Times New Roman" w:eastAsia="方正小标宋简体" w:cs="Times New Roman"/>
          <w:color w:val="auto"/>
          <w:kern w:val="2"/>
          <w:sz w:val="44"/>
          <w:szCs w:val="44"/>
          <w:highlight w:val="none"/>
          <w:lang w:val="en-US" w:eastAsia="zh-CN" w:bidi="ar-SA"/>
        </w:rPr>
      </w:pPr>
    </w:p>
    <w:p w14:paraId="2A7C6A74">
      <w:pPr>
        <w:pStyle w:val="8"/>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攀枝花市西区文化馆</w:t>
      </w:r>
    </w:p>
    <w:p w14:paraId="3D5E6B1A">
      <w:pPr>
        <w:pStyle w:val="8"/>
        <w:jc w:val="center"/>
        <w:rPr>
          <w:rFonts w:ascii="Times New Roman" w:hAnsi="Times New Roman"/>
        </w:rPr>
        <w:sectPr>
          <w:footerReference r:id="rId5" w:type="first"/>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r>
        <w:rPr>
          <w:rFonts w:hint="eastAsia" w:ascii="Times New Roman" w:hAnsi="Times New Roman" w:eastAsia="方正小标宋简体" w:cs="Times New Roman"/>
          <w:color w:val="auto"/>
          <w:kern w:val="2"/>
          <w:sz w:val="44"/>
          <w:szCs w:val="44"/>
          <w:highlight w:val="none"/>
          <w:lang w:val="en-US" w:eastAsia="zh-CN" w:bidi="ar-SA"/>
        </w:rPr>
        <w:t>（西区文物保护中心）</w:t>
      </w:r>
      <w:r>
        <w:rPr>
          <w:rFonts w:hint="eastAsia" w:ascii="Times New Roman" w:eastAsia="方正小标宋简体" w:cs="Times New Roman"/>
          <w:color w:val="auto"/>
          <w:kern w:val="2"/>
          <w:sz w:val="44"/>
          <w:szCs w:val="44"/>
          <w:highlight w:val="none"/>
          <w:lang w:val="en-US" w:eastAsia="zh-CN" w:bidi="ar-SA"/>
        </w:rPr>
        <w:t>单位</w:t>
      </w:r>
      <w:r>
        <w:rPr>
          <w:rFonts w:hint="eastAsia" w:ascii="Times New Roman" w:hAnsi="Times New Roman" w:eastAsia="方正小标宋简体" w:cs="Times New Roman"/>
          <w:color w:val="auto"/>
          <w:kern w:val="2"/>
          <w:sz w:val="44"/>
          <w:szCs w:val="44"/>
          <w:highlight w:val="none"/>
          <w:lang w:val="en-US" w:eastAsia="zh-CN" w:bidi="ar-SA"/>
        </w:rPr>
        <w:t>决算</w:t>
      </w:r>
    </w:p>
    <w:p w14:paraId="67308C89">
      <w:pPr>
        <w:pStyle w:val="8"/>
        <w:jc w:val="both"/>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bookmarkEnd w:id="5"/>
    <w:p w14:paraId="3CF5CC31">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181A830C">
      <w:pPr>
        <w:widowControl/>
        <w:jc w:val="center"/>
        <w:rPr>
          <w:rFonts w:ascii="Times New Roman" w:hAnsi="Times New Roman" w:eastAsia="黑体" w:cstheme="minorBidi"/>
          <w:color w:val="auto"/>
          <w:sz w:val="28"/>
          <w:szCs w:val="28"/>
          <w:highlight w:val="none"/>
        </w:rPr>
      </w:pPr>
    </w:p>
    <w:p w14:paraId="43111E94">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25</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19</w:t>
      </w:r>
      <w:r>
        <w:rPr>
          <w:rFonts w:hint="eastAsia" w:ascii="Times New Roman" w:hAnsi="Times New Roman" w:eastAsia="仿宋_GB2312" w:cs="仿宋_GB2312"/>
          <w:color w:val="auto"/>
          <w:sz w:val="32"/>
          <w:szCs w:val="32"/>
          <w:highlight w:val="none"/>
        </w:rPr>
        <w:t>日</w:t>
      </w:r>
    </w:p>
    <w:p w14:paraId="2D4B326C">
      <w:pPr>
        <w:rPr>
          <w:rFonts w:ascii="Times New Roman" w:hAnsi="Times New Roman"/>
          <w:color w:val="auto"/>
          <w:highlight w:val="none"/>
        </w:rPr>
      </w:pPr>
    </w:p>
    <w:p w14:paraId="2B30C1CD">
      <w:pPr>
        <w:pStyle w:val="13"/>
        <w:adjustRightInd w:val="0"/>
        <w:snapToGrid w:val="0"/>
        <w:spacing w:before="0" w:line="440" w:lineRule="exact"/>
        <w:jc w:val="left"/>
        <w:rPr>
          <w:rFonts w:cs="Times New Roman"/>
          <w:color w:val="auto"/>
          <w:sz w:val="24"/>
          <w:szCs w:val="24"/>
          <w:highlight w:val="none"/>
        </w:rPr>
      </w:pPr>
      <w:bookmarkStart w:id="6" w:name="_Toc15396599"/>
      <w:bookmarkStart w:id="7" w:name="_Toc15377196"/>
      <w:r>
        <w:rPr>
          <w:rFonts w:hint="eastAsia"/>
          <w:color w:val="auto"/>
          <w:sz w:val="24"/>
          <w:highlight w:val="none"/>
        </w:rPr>
        <w:t>第一部分</w:t>
      </w:r>
      <w:r>
        <w:rPr>
          <w:color w:val="auto"/>
          <w:sz w:val="24"/>
          <w:highlight w:val="none"/>
        </w:rPr>
        <w:t xml:space="preserve"> </w:t>
      </w:r>
      <w:r>
        <w:rPr>
          <w:rFonts w:hint="eastAsia"/>
          <w:color w:val="auto"/>
          <w:sz w:val="24"/>
          <w:highlight w:val="none"/>
          <w:lang w:eastAsia="zh-CN"/>
        </w:rPr>
        <w:t>单位</w:t>
      </w:r>
      <w:r>
        <w:rPr>
          <w:rFonts w:hint="eastAsia"/>
          <w:color w:val="auto"/>
          <w:sz w:val="24"/>
          <w:highlight w:val="none"/>
        </w:rPr>
        <w:t>概况</w:t>
      </w:r>
    </w:p>
    <w:p w14:paraId="790E4AE4">
      <w:pPr>
        <w:pStyle w:val="14"/>
        <w:adjustRightInd w:val="0"/>
        <w:snapToGrid w:val="0"/>
        <w:spacing w:line="440" w:lineRule="exact"/>
        <w:jc w:val="left"/>
        <w:rPr>
          <w:rFonts w:hint="default" w:ascii="仿宋" w:hAnsi="仿宋" w:eastAsia="仿宋"/>
          <w:color w:val="auto"/>
          <w:sz w:val="24"/>
          <w:highlight w:val="none"/>
          <w:lang w:val="en-US"/>
        </w:rPr>
      </w:pPr>
      <w:r>
        <w:rPr>
          <w:rFonts w:hint="eastAsia"/>
          <w:color w:val="auto"/>
          <w:sz w:val="24"/>
          <w:highlight w:val="none"/>
        </w:rPr>
        <w:t>一、</w:t>
      </w:r>
      <w:r>
        <w:rPr>
          <w:rFonts w:hint="eastAsia"/>
          <w:color w:val="auto"/>
          <w:sz w:val="24"/>
          <w:highlight w:val="none"/>
          <w:lang w:eastAsia="zh-CN"/>
        </w:rPr>
        <w:t>主要职责</w:t>
      </w:r>
      <w:r>
        <w:rPr>
          <w:rFonts w:hint="eastAsia"/>
          <w:color w:val="auto"/>
          <w:sz w:val="24"/>
          <w:highlight w:val="none"/>
          <w:lang w:val="en-US" w:eastAsia="zh-CN"/>
        </w:rPr>
        <w:t>................................................................................................3</w:t>
      </w:r>
    </w:p>
    <w:p w14:paraId="2B310A19">
      <w:pPr>
        <w:pStyle w:val="14"/>
        <w:adjustRightInd w:val="0"/>
        <w:snapToGrid w:val="0"/>
        <w:spacing w:line="440" w:lineRule="exact"/>
        <w:jc w:val="left"/>
        <w:rPr>
          <w:rFonts w:hint="default" w:ascii="仿宋" w:hAnsi="仿宋" w:eastAsia="宋体" w:cs="Times New Roman"/>
          <w:color w:val="auto"/>
          <w:sz w:val="24"/>
          <w:highlight w:val="none"/>
          <w:lang w:val="en-US" w:eastAsia="zh-CN"/>
        </w:rPr>
      </w:pPr>
      <w:r>
        <w:rPr>
          <w:rFonts w:hint="eastAsia"/>
          <w:color w:val="auto"/>
          <w:sz w:val="24"/>
          <w:highlight w:val="none"/>
        </w:rPr>
        <w:t>二、机构设置</w:t>
      </w:r>
      <w:r>
        <w:rPr>
          <w:rFonts w:hint="eastAsia"/>
          <w:color w:val="auto"/>
          <w:sz w:val="24"/>
          <w:highlight w:val="none"/>
          <w:lang w:val="en-US" w:eastAsia="zh-CN"/>
        </w:rPr>
        <w:t>................................................................................................3</w:t>
      </w:r>
    </w:p>
    <w:p w14:paraId="3407BD3E">
      <w:pPr>
        <w:pStyle w:val="13"/>
        <w:adjustRightInd w:val="0"/>
        <w:snapToGrid w:val="0"/>
        <w:spacing w:before="0" w:line="440" w:lineRule="exact"/>
        <w:jc w:val="left"/>
        <w:rPr>
          <w:color w:val="auto"/>
          <w:sz w:val="24"/>
          <w:szCs w:val="24"/>
          <w:highlight w:val="none"/>
        </w:rPr>
      </w:pPr>
      <w:r>
        <w:rPr>
          <w:rFonts w:hint="eastAsia"/>
          <w:color w:val="auto"/>
          <w:sz w:val="24"/>
          <w:highlight w:val="none"/>
        </w:rPr>
        <w:t>第二部分</w:t>
      </w:r>
      <w:r>
        <w:rPr>
          <w:rFonts w:hint="eastAsia"/>
          <w:color w:val="auto"/>
          <w:sz w:val="24"/>
          <w:highlight w:val="none"/>
          <w:lang w:val="en-US" w:eastAsia="zh-CN"/>
        </w:rPr>
        <w:t xml:space="preserve"> 2025年度</w:t>
      </w:r>
      <w:r>
        <w:rPr>
          <w:rFonts w:hint="eastAsia"/>
          <w:color w:val="auto"/>
          <w:sz w:val="24"/>
          <w:highlight w:val="none"/>
          <w:lang w:eastAsia="zh-CN"/>
        </w:rPr>
        <w:t>单位</w:t>
      </w:r>
      <w:r>
        <w:rPr>
          <w:rFonts w:hint="eastAsia"/>
          <w:color w:val="auto"/>
          <w:sz w:val="24"/>
          <w:highlight w:val="none"/>
        </w:rPr>
        <w:t>决算情况说明</w:t>
      </w:r>
    </w:p>
    <w:p w14:paraId="277E8A49">
      <w:pPr>
        <w:pStyle w:val="14"/>
        <w:adjustRightInd w:val="0"/>
        <w:snapToGrid w:val="0"/>
        <w:spacing w:line="440" w:lineRule="exact"/>
        <w:jc w:val="left"/>
        <w:rPr>
          <w:rFonts w:hint="default" w:ascii="仿宋" w:hAnsi="仿宋" w:eastAsia="宋体" w:cs="Times New Roman"/>
          <w:color w:val="auto"/>
          <w:sz w:val="24"/>
          <w:highlight w:val="none"/>
          <w:lang w:val="en-US" w:eastAsia="zh-CN"/>
        </w:rPr>
      </w:pPr>
      <w:r>
        <w:rPr>
          <w:rFonts w:hint="eastAsia"/>
          <w:color w:val="auto"/>
          <w:sz w:val="24"/>
          <w:highlight w:val="none"/>
        </w:rPr>
        <w:t>一、收入支出决算总体情况说明</w:t>
      </w:r>
      <w:r>
        <w:rPr>
          <w:rFonts w:hint="eastAsia"/>
          <w:color w:val="auto"/>
          <w:sz w:val="24"/>
          <w:highlight w:val="none"/>
          <w:lang w:val="en-US" w:eastAsia="zh-CN"/>
        </w:rPr>
        <w:t>................................................................4</w:t>
      </w:r>
    </w:p>
    <w:p w14:paraId="6A21A775">
      <w:pPr>
        <w:pStyle w:val="14"/>
        <w:adjustRightInd w:val="0"/>
        <w:snapToGrid w:val="0"/>
        <w:spacing w:line="440" w:lineRule="exact"/>
        <w:jc w:val="left"/>
        <w:rPr>
          <w:rFonts w:hint="default" w:ascii="仿宋" w:hAnsi="仿宋" w:eastAsia="宋体" w:cs="Times New Roman"/>
          <w:color w:val="auto"/>
          <w:sz w:val="24"/>
          <w:highlight w:val="none"/>
          <w:lang w:val="en-US" w:eastAsia="zh-CN"/>
        </w:rPr>
      </w:pPr>
      <w:r>
        <w:rPr>
          <w:rFonts w:hint="eastAsia"/>
          <w:color w:val="auto"/>
          <w:sz w:val="24"/>
          <w:highlight w:val="none"/>
        </w:rPr>
        <w:t>二、收入决算情况说明</w:t>
      </w:r>
      <w:r>
        <w:rPr>
          <w:rFonts w:hint="eastAsia"/>
          <w:color w:val="auto"/>
          <w:sz w:val="24"/>
          <w:highlight w:val="none"/>
          <w:lang w:val="en-US" w:eastAsia="zh-CN"/>
        </w:rPr>
        <w:t>................................................................................4</w:t>
      </w:r>
    </w:p>
    <w:p w14:paraId="63F557E8">
      <w:pPr>
        <w:pStyle w:val="14"/>
        <w:adjustRightInd w:val="0"/>
        <w:snapToGrid w:val="0"/>
        <w:spacing w:line="440" w:lineRule="exact"/>
        <w:jc w:val="left"/>
        <w:rPr>
          <w:rFonts w:hint="default" w:ascii="仿宋" w:hAnsi="仿宋" w:eastAsia="宋体" w:cs="Times New Roman"/>
          <w:color w:val="auto"/>
          <w:sz w:val="24"/>
          <w:highlight w:val="none"/>
          <w:lang w:val="en-US" w:eastAsia="zh-CN"/>
        </w:rPr>
      </w:pPr>
      <w:r>
        <w:rPr>
          <w:rFonts w:hint="eastAsia"/>
          <w:color w:val="auto"/>
          <w:sz w:val="24"/>
          <w:highlight w:val="none"/>
        </w:rPr>
        <w:t>三、支出决算情况说明</w:t>
      </w:r>
      <w:r>
        <w:rPr>
          <w:rFonts w:hint="eastAsia"/>
          <w:color w:val="auto"/>
          <w:sz w:val="24"/>
          <w:highlight w:val="none"/>
          <w:lang w:val="en-US" w:eastAsia="zh-CN"/>
        </w:rPr>
        <w:t>................................................................................5</w:t>
      </w:r>
    </w:p>
    <w:p w14:paraId="626CDD74">
      <w:pPr>
        <w:pStyle w:val="14"/>
        <w:adjustRightInd w:val="0"/>
        <w:snapToGrid w:val="0"/>
        <w:spacing w:line="440" w:lineRule="exact"/>
        <w:jc w:val="left"/>
        <w:rPr>
          <w:rFonts w:hint="default" w:ascii="仿宋" w:hAnsi="仿宋" w:eastAsia="宋体" w:cs="Times New Roman"/>
          <w:color w:val="auto"/>
          <w:sz w:val="24"/>
          <w:highlight w:val="none"/>
          <w:lang w:val="en-US" w:eastAsia="zh-CN"/>
        </w:rPr>
      </w:pPr>
      <w:r>
        <w:rPr>
          <w:rFonts w:hint="eastAsia"/>
          <w:color w:val="auto"/>
          <w:sz w:val="24"/>
          <w:highlight w:val="none"/>
        </w:rPr>
        <w:t>四、财政拨款收入支出决算总体情况说明</w:t>
      </w:r>
      <w:r>
        <w:rPr>
          <w:rFonts w:hint="eastAsia"/>
          <w:color w:val="auto"/>
          <w:sz w:val="24"/>
          <w:highlight w:val="none"/>
          <w:lang w:val="en-US" w:eastAsia="zh-CN"/>
        </w:rPr>
        <w:t>................................................5</w:t>
      </w:r>
    </w:p>
    <w:p w14:paraId="2D3008F9">
      <w:pPr>
        <w:pStyle w:val="14"/>
        <w:adjustRightInd w:val="0"/>
        <w:snapToGrid w:val="0"/>
        <w:spacing w:line="440" w:lineRule="exact"/>
        <w:jc w:val="left"/>
        <w:rPr>
          <w:rFonts w:hint="default" w:ascii="仿宋" w:hAnsi="仿宋" w:eastAsia="宋体" w:cs="Times New Roman"/>
          <w:color w:val="auto"/>
          <w:sz w:val="24"/>
          <w:highlight w:val="none"/>
          <w:lang w:val="en-US" w:eastAsia="zh-CN"/>
        </w:rPr>
      </w:pPr>
      <w:r>
        <w:rPr>
          <w:rFonts w:hint="eastAsia"/>
          <w:color w:val="auto"/>
          <w:sz w:val="24"/>
          <w:highlight w:val="none"/>
        </w:rPr>
        <w:t>五、一般公共预算财政拨款支出决算情况说明</w:t>
      </w:r>
      <w:r>
        <w:rPr>
          <w:rFonts w:hint="eastAsia"/>
          <w:color w:val="auto"/>
          <w:sz w:val="24"/>
          <w:highlight w:val="none"/>
          <w:lang w:val="en-US" w:eastAsia="zh-CN"/>
        </w:rPr>
        <w:t>........................................6</w:t>
      </w:r>
    </w:p>
    <w:p w14:paraId="718FCB03">
      <w:pPr>
        <w:pStyle w:val="14"/>
        <w:adjustRightInd w:val="0"/>
        <w:snapToGrid w:val="0"/>
        <w:spacing w:line="440" w:lineRule="exact"/>
        <w:jc w:val="left"/>
        <w:rPr>
          <w:rFonts w:hint="default" w:ascii="仿宋" w:hAnsi="仿宋" w:eastAsia="宋体" w:cs="Times New Roman"/>
          <w:color w:val="auto"/>
          <w:sz w:val="24"/>
          <w:highlight w:val="none"/>
          <w:lang w:val="en-US" w:eastAsia="zh-CN"/>
        </w:rPr>
      </w:pPr>
      <w:r>
        <w:rPr>
          <w:rFonts w:hint="eastAsia"/>
          <w:color w:val="auto"/>
          <w:sz w:val="24"/>
          <w:highlight w:val="none"/>
        </w:rPr>
        <w:t>六、一般公共预算财政拨款基本支出决算情况说明</w:t>
      </w:r>
      <w:r>
        <w:rPr>
          <w:rFonts w:hint="eastAsia"/>
          <w:color w:val="auto"/>
          <w:sz w:val="24"/>
          <w:highlight w:val="none"/>
          <w:lang w:val="en-US" w:eastAsia="zh-CN"/>
        </w:rPr>
        <w:t>................................9</w:t>
      </w:r>
    </w:p>
    <w:p w14:paraId="647C0E3B">
      <w:pPr>
        <w:pStyle w:val="14"/>
        <w:adjustRightInd w:val="0"/>
        <w:snapToGrid w:val="0"/>
        <w:spacing w:line="440" w:lineRule="exact"/>
        <w:jc w:val="left"/>
        <w:rPr>
          <w:rFonts w:hint="default" w:ascii="仿宋" w:hAnsi="仿宋" w:eastAsia="宋体" w:cs="Times New Roman"/>
          <w:color w:val="auto"/>
          <w:sz w:val="24"/>
          <w:highlight w:val="none"/>
          <w:lang w:val="en-US" w:eastAsia="zh-CN"/>
        </w:rPr>
      </w:pPr>
      <w:r>
        <w:rPr>
          <w:rFonts w:hint="eastAsia"/>
          <w:color w:val="auto"/>
          <w:sz w:val="24"/>
          <w:highlight w:val="none"/>
        </w:rPr>
        <w:t>七、财政拨款</w:t>
      </w:r>
      <w:r>
        <w:rPr>
          <w:rFonts w:hint="eastAsia"/>
          <w:color w:val="auto"/>
          <w:sz w:val="24"/>
          <w:highlight w:val="none"/>
          <w:lang w:eastAsia="zh-CN"/>
        </w:rPr>
        <w:t>“</w:t>
      </w:r>
      <w:r>
        <w:rPr>
          <w:rFonts w:hint="eastAsia"/>
          <w:color w:val="auto"/>
          <w:sz w:val="24"/>
          <w:highlight w:val="none"/>
        </w:rPr>
        <w:t>三公”经费支出决算情况说明</w:t>
      </w:r>
      <w:r>
        <w:rPr>
          <w:rFonts w:hint="eastAsia"/>
          <w:color w:val="auto"/>
          <w:sz w:val="24"/>
          <w:highlight w:val="none"/>
          <w:lang w:val="en-US" w:eastAsia="zh-CN"/>
        </w:rPr>
        <w:t>........................................9</w:t>
      </w:r>
    </w:p>
    <w:p w14:paraId="44F92399">
      <w:pPr>
        <w:pStyle w:val="14"/>
        <w:adjustRightInd w:val="0"/>
        <w:snapToGrid w:val="0"/>
        <w:spacing w:line="440" w:lineRule="exact"/>
        <w:jc w:val="left"/>
        <w:rPr>
          <w:rFonts w:hint="default" w:ascii="仿宋" w:hAnsi="仿宋" w:eastAsia="宋体" w:cs="Times New Roman"/>
          <w:color w:val="auto"/>
          <w:sz w:val="24"/>
          <w:highlight w:val="none"/>
          <w:lang w:val="en-US" w:eastAsia="zh-CN"/>
        </w:rPr>
      </w:pPr>
      <w:r>
        <w:rPr>
          <w:rFonts w:hint="eastAsia"/>
          <w:color w:val="auto"/>
          <w:sz w:val="24"/>
          <w:highlight w:val="none"/>
        </w:rPr>
        <w:t>八、政府性基金预算支出决算情况说明</w:t>
      </w:r>
      <w:r>
        <w:rPr>
          <w:rFonts w:hint="eastAsia"/>
          <w:color w:val="auto"/>
          <w:sz w:val="24"/>
          <w:highlight w:val="none"/>
          <w:lang w:val="en-US" w:eastAsia="zh-CN"/>
        </w:rPr>
        <w:t>...................................................10</w:t>
      </w:r>
    </w:p>
    <w:p w14:paraId="73008884">
      <w:pPr>
        <w:pStyle w:val="14"/>
        <w:adjustRightInd w:val="0"/>
        <w:snapToGrid w:val="0"/>
        <w:spacing w:line="440" w:lineRule="exact"/>
        <w:ind w:leftChars="0"/>
        <w:jc w:val="left"/>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rPr>
        <w:t>九、</w:t>
      </w:r>
      <w:r>
        <w:rPr>
          <w:rFonts w:hint="eastAsia" w:ascii="宋体" w:hAnsi="宋体" w:eastAsia="宋体" w:cs="宋体"/>
          <w:color w:val="auto"/>
          <w:sz w:val="24"/>
          <w:highlight w:val="none"/>
          <w:lang w:eastAsia="zh-CN"/>
        </w:rPr>
        <w:t>国</w:t>
      </w:r>
      <w:r>
        <w:rPr>
          <w:rFonts w:hint="eastAsia" w:ascii="宋体" w:hAnsi="宋体" w:eastAsia="宋体" w:cs="宋体"/>
          <w:color w:val="auto"/>
          <w:sz w:val="24"/>
          <w:highlight w:val="none"/>
        </w:rPr>
        <w:t>有资本经营预算支出决算情况说明</w:t>
      </w:r>
      <w:r>
        <w:rPr>
          <w:rFonts w:hint="eastAsia" w:ascii="宋体" w:hAnsi="宋体" w:cs="宋体"/>
          <w:color w:val="auto"/>
          <w:sz w:val="24"/>
          <w:highlight w:val="none"/>
          <w:lang w:val="en-US" w:eastAsia="zh-CN"/>
        </w:rPr>
        <w:t>........................10</w:t>
      </w:r>
    </w:p>
    <w:p w14:paraId="1BBBD1FD">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420" w:firstLineChars="175"/>
        <w:jc w:val="left"/>
        <w:textAlignment w:val="auto"/>
        <w:rPr>
          <w:rFonts w:hint="default" w:ascii="宋体" w:hAnsi="宋体" w:eastAsia="宋体" w:cs="宋体"/>
          <w:color w:val="auto"/>
          <w:sz w:val="24"/>
          <w:highlight w:val="none"/>
          <w:lang w:val="en-US" w:eastAsia="zh-CN"/>
        </w:rPr>
      </w:pPr>
      <w:r>
        <w:rPr>
          <w:rStyle w:val="18"/>
          <w:rFonts w:hint="eastAsia" w:ascii="宋体" w:hAnsi="宋体" w:eastAsia="宋体" w:cs="宋体"/>
          <w:color w:val="auto"/>
          <w:sz w:val="24"/>
          <w:highlight w:val="none"/>
          <w:u w:val="none"/>
          <w:lang w:eastAsia="zh-CN"/>
        </w:rPr>
        <w:t>十</w:t>
      </w:r>
      <w:r>
        <w:rPr>
          <w:rStyle w:val="18"/>
          <w:rFonts w:hint="eastAsia" w:ascii="宋体" w:hAnsi="宋体" w:eastAsia="宋体" w:cs="宋体"/>
          <w:color w:val="auto"/>
          <w:sz w:val="24"/>
          <w:highlight w:val="none"/>
          <w:u w:val="none"/>
        </w:rPr>
        <w:t>、</w:t>
      </w:r>
      <w:r>
        <w:rPr>
          <w:rFonts w:hint="eastAsia" w:ascii="宋体" w:hAnsi="宋体" w:eastAsia="宋体" w:cs="宋体"/>
          <w:color w:val="auto"/>
          <w:sz w:val="24"/>
          <w:highlight w:val="none"/>
        </w:rPr>
        <w:t>其他重要事项的情况说明</w:t>
      </w:r>
      <w:r>
        <w:rPr>
          <w:rFonts w:hint="eastAsia" w:ascii="宋体" w:hAnsi="宋体" w:eastAsia="宋体" w:cs="宋体"/>
          <w:color w:val="auto"/>
          <w:sz w:val="24"/>
          <w:highlight w:val="none"/>
        </w:rPr>
        <w:tab/>
      </w:r>
      <w:r>
        <w:rPr>
          <w:rFonts w:hint="eastAsia" w:ascii="宋体" w:hAnsi="宋体" w:cs="宋体"/>
          <w:color w:val="auto"/>
          <w:sz w:val="24"/>
          <w:highlight w:val="none"/>
          <w:lang w:val="en-US" w:eastAsia="zh-CN"/>
        </w:rPr>
        <w:t>................................11</w:t>
      </w:r>
    </w:p>
    <w:p w14:paraId="64B6D1DE">
      <w:pPr>
        <w:pStyle w:val="13"/>
        <w:adjustRightInd w:val="0"/>
        <w:snapToGrid w:val="0"/>
        <w:spacing w:before="0" w:line="440" w:lineRule="exact"/>
        <w:jc w:val="left"/>
        <w:rPr>
          <w:rFonts w:hint="default" w:eastAsia="仿宋" w:cs="Times New Roman"/>
          <w:color w:val="auto"/>
          <w:sz w:val="24"/>
          <w:szCs w:val="24"/>
          <w:highlight w:val="none"/>
          <w:lang w:val="en-US" w:eastAsia="zh-CN"/>
        </w:rPr>
      </w:pPr>
      <w:r>
        <w:rPr>
          <w:rFonts w:hint="eastAsia"/>
          <w:color w:val="auto"/>
          <w:sz w:val="24"/>
          <w:highlight w:val="none"/>
        </w:rPr>
        <w:t>第三部分</w:t>
      </w:r>
      <w:r>
        <w:rPr>
          <w:color w:val="auto"/>
          <w:sz w:val="24"/>
          <w:highlight w:val="none"/>
        </w:rPr>
        <w:t xml:space="preserve"> </w:t>
      </w:r>
      <w:r>
        <w:rPr>
          <w:rFonts w:hint="eastAsia"/>
          <w:color w:val="auto"/>
          <w:sz w:val="24"/>
          <w:highlight w:val="none"/>
        </w:rPr>
        <w:t>名词解释</w:t>
      </w:r>
      <w:r>
        <w:rPr>
          <w:rFonts w:hint="eastAsia"/>
          <w:color w:val="auto"/>
          <w:sz w:val="24"/>
          <w:highlight w:val="none"/>
          <w:lang w:val="en-US" w:eastAsia="zh-CN"/>
        </w:rPr>
        <w:t>..............................................14</w:t>
      </w:r>
    </w:p>
    <w:p w14:paraId="1A6C5511">
      <w:pPr>
        <w:pStyle w:val="13"/>
        <w:adjustRightInd w:val="0"/>
        <w:snapToGrid w:val="0"/>
        <w:spacing w:before="0" w:line="440" w:lineRule="exact"/>
        <w:jc w:val="left"/>
        <w:rPr>
          <w:rFonts w:hint="default" w:eastAsia="仿宋" w:cs="Times New Roman"/>
          <w:color w:val="auto"/>
          <w:sz w:val="24"/>
          <w:szCs w:val="24"/>
          <w:highlight w:val="none"/>
          <w:lang w:val="en-US" w:eastAsia="zh-CN"/>
        </w:rPr>
      </w:pPr>
      <w:r>
        <w:rPr>
          <w:rFonts w:hint="eastAsia"/>
          <w:color w:val="auto"/>
          <w:sz w:val="24"/>
          <w:highlight w:val="none"/>
        </w:rPr>
        <w:t>第四部分</w:t>
      </w:r>
      <w:r>
        <w:rPr>
          <w:color w:val="auto"/>
          <w:sz w:val="24"/>
          <w:highlight w:val="none"/>
        </w:rPr>
        <w:t xml:space="preserve"> </w:t>
      </w:r>
      <w:r>
        <w:rPr>
          <w:rFonts w:hint="eastAsia"/>
          <w:color w:val="auto"/>
          <w:sz w:val="24"/>
          <w:highlight w:val="none"/>
        </w:rPr>
        <w:t>附件</w:t>
      </w:r>
      <w:r>
        <w:rPr>
          <w:rFonts w:hint="eastAsia"/>
          <w:color w:val="auto"/>
          <w:sz w:val="24"/>
          <w:highlight w:val="none"/>
          <w:lang w:val="en-US" w:eastAsia="zh-CN"/>
        </w:rPr>
        <w:t>..................................................17</w:t>
      </w:r>
    </w:p>
    <w:p w14:paraId="30EEC5B9">
      <w:pPr>
        <w:pStyle w:val="13"/>
        <w:adjustRightInd w:val="0"/>
        <w:snapToGrid w:val="0"/>
        <w:spacing w:before="0" w:line="440" w:lineRule="exact"/>
        <w:jc w:val="left"/>
        <w:rPr>
          <w:rFonts w:hint="default" w:eastAsia="仿宋" w:cs="Times New Roman"/>
          <w:color w:val="auto"/>
          <w:sz w:val="24"/>
          <w:szCs w:val="24"/>
          <w:highlight w:val="none"/>
          <w:lang w:val="en-US" w:eastAsia="zh-CN"/>
        </w:rPr>
      </w:pPr>
      <w:r>
        <w:rPr>
          <w:rFonts w:hint="eastAsia"/>
          <w:color w:val="auto"/>
          <w:sz w:val="24"/>
          <w:highlight w:val="none"/>
        </w:rPr>
        <w:t>第五部分</w:t>
      </w:r>
      <w:r>
        <w:rPr>
          <w:color w:val="auto"/>
          <w:sz w:val="24"/>
          <w:highlight w:val="none"/>
        </w:rPr>
        <w:t xml:space="preserve"> </w:t>
      </w:r>
      <w:r>
        <w:rPr>
          <w:rFonts w:hint="eastAsia"/>
          <w:color w:val="auto"/>
          <w:sz w:val="24"/>
          <w:highlight w:val="none"/>
        </w:rPr>
        <w:t>附表</w:t>
      </w:r>
      <w:r>
        <w:rPr>
          <w:rFonts w:hint="eastAsia"/>
          <w:color w:val="auto"/>
          <w:sz w:val="24"/>
          <w:highlight w:val="none"/>
          <w:lang w:val="en-US" w:eastAsia="zh-CN"/>
        </w:rPr>
        <w:t>..................................................35</w:t>
      </w:r>
      <w:bookmarkStart w:id="61" w:name="_GoBack"/>
      <w:bookmarkEnd w:id="61"/>
    </w:p>
    <w:p w14:paraId="35E71746">
      <w:pPr>
        <w:pStyle w:val="14"/>
        <w:adjustRightInd w:val="0"/>
        <w:snapToGrid w:val="0"/>
        <w:spacing w:line="440" w:lineRule="exact"/>
        <w:jc w:val="left"/>
        <w:rPr>
          <w:rFonts w:hint="eastAsia"/>
          <w:color w:val="auto"/>
          <w:sz w:val="24"/>
          <w:highlight w:val="none"/>
        </w:rPr>
      </w:pPr>
      <w:r>
        <w:rPr>
          <w:rFonts w:hint="eastAsia"/>
          <w:color w:val="auto"/>
          <w:sz w:val="24"/>
          <w:highlight w:val="none"/>
        </w:rPr>
        <w:t>一、收入支出决算总表</w:t>
      </w:r>
    </w:p>
    <w:p w14:paraId="4D82DEBF">
      <w:pPr>
        <w:pStyle w:val="14"/>
        <w:adjustRightInd w:val="0"/>
        <w:snapToGrid w:val="0"/>
        <w:spacing w:line="440" w:lineRule="exact"/>
        <w:jc w:val="left"/>
        <w:rPr>
          <w:rFonts w:hint="eastAsia"/>
          <w:color w:val="auto"/>
          <w:sz w:val="24"/>
          <w:highlight w:val="none"/>
        </w:rPr>
      </w:pPr>
      <w:r>
        <w:rPr>
          <w:rFonts w:hint="eastAsia"/>
          <w:color w:val="auto"/>
          <w:sz w:val="24"/>
          <w:highlight w:val="none"/>
        </w:rPr>
        <w:t>二、收入决算表</w:t>
      </w:r>
    </w:p>
    <w:p w14:paraId="1705C952">
      <w:pPr>
        <w:pStyle w:val="14"/>
        <w:adjustRightInd w:val="0"/>
        <w:snapToGrid w:val="0"/>
        <w:spacing w:line="440" w:lineRule="exact"/>
        <w:jc w:val="left"/>
        <w:rPr>
          <w:rFonts w:hint="eastAsia"/>
          <w:color w:val="auto"/>
          <w:sz w:val="24"/>
          <w:highlight w:val="none"/>
        </w:rPr>
      </w:pPr>
      <w:r>
        <w:rPr>
          <w:rFonts w:hint="eastAsia"/>
          <w:color w:val="auto"/>
          <w:sz w:val="24"/>
          <w:highlight w:val="none"/>
        </w:rPr>
        <w:t>三、支出决算表</w:t>
      </w:r>
    </w:p>
    <w:p w14:paraId="4CAD55E8">
      <w:pPr>
        <w:pStyle w:val="14"/>
        <w:adjustRightInd w:val="0"/>
        <w:snapToGrid w:val="0"/>
        <w:spacing w:line="440" w:lineRule="exact"/>
        <w:jc w:val="left"/>
        <w:rPr>
          <w:rFonts w:hint="eastAsia"/>
          <w:color w:val="auto"/>
          <w:sz w:val="24"/>
          <w:highlight w:val="none"/>
        </w:rPr>
      </w:pPr>
      <w:r>
        <w:rPr>
          <w:rFonts w:hint="eastAsia"/>
          <w:color w:val="auto"/>
          <w:sz w:val="24"/>
          <w:highlight w:val="none"/>
        </w:rPr>
        <w:t>四、财政拨款收入支出决算总表</w:t>
      </w:r>
    </w:p>
    <w:p w14:paraId="5D400961">
      <w:pPr>
        <w:pStyle w:val="14"/>
        <w:adjustRightInd w:val="0"/>
        <w:snapToGrid w:val="0"/>
        <w:spacing w:line="440" w:lineRule="exact"/>
        <w:jc w:val="left"/>
        <w:rPr>
          <w:rFonts w:hint="eastAsia"/>
          <w:color w:val="auto"/>
          <w:sz w:val="24"/>
          <w:highlight w:val="none"/>
        </w:rPr>
      </w:pPr>
      <w:r>
        <w:rPr>
          <w:rFonts w:hint="eastAsia"/>
          <w:color w:val="auto"/>
          <w:sz w:val="24"/>
          <w:highlight w:val="none"/>
        </w:rPr>
        <w:t>五、财政拨款支出决算明细表</w:t>
      </w:r>
    </w:p>
    <w:p w14:paraId="7771B197">
      <w:pPr>
        <w:pStyle w:val="14"/>
        <w:adjustRightInd w:val="0"/>
        <w:snapToGrid w:val="0"/>
        <w:spacing w:line="440" w:lineRule="exact"/>
        <w:jc w:val="left"/>
        <w:rPr>
          <w:rFonts w:hint="eastAsia"/>
          <w:color w:val="auto"/>
          <w:sz w:val="24"/>
          <w:highlight w:val="none"/>
        </w:rPr>
      </w:pPr>
      <w:r>
        <w:rPr>
          <w:rFonts w:hint="eastAsia"/>
          <w:color w:val="auto"/>
          <w:sz w:val="24"/>
          <w:highlight w:val="none"/>
        </w:rPr>
        <w:t>六、一般公共预算财政拨款支出决算表</w:t>
      </w:r>
    </w:p>
    <w:p w14:paraId="603C830A">
      <w:pPr>
        <w:pStyle w:val="14"/>
        <w:adjustRightInd w:val="0"/>
        <w:snapToGrid w:val="0"/>
        <w:spacing w:line="440" w:lineRule="exact"/>
        <w:jc w:val="left"/>
        <w:rPr>
          <w:rFonts w:hint="eastAsia"/>
          <w:color w:val="auto"/>
          <w:sz w:val="24"/>
          <w:highlight w:val="none"/>
        </w:rPr>
      </w:pPr>
      <w:r>
        <w:rPr>
          <w:rFonts w:hint="eastAsia"/>
          <w:color w:val="auto"/>
          <w:sz w:val="24"/>
          <w:highlight w:val="none"/>
        </w:rPr>
        <w:t>七、一般公共预算财政拨款支出决算明细表</w:t>
      </w:r>
    </w:p>
    <w:p w14:paraId="4C189241">
      <w:pPr>
        <w:pStyle w:val="14"/>
        <w:adjustRightInd w:val="0"/>
        <w:snapToGrid w:val="0"/>
        <w:spacing w:line="440" w:lineRule="exact"/>
        <w:jc w:val="left"/>
        <w:rPr>
          <w:rFonts w:hint="eastAsia"/>
          <w:color w:val="auto"/>
          <w:sz w:val="24"/>
          <w:highlight w:val="none"/>
        </w:rPr>
      </w:pPr>
      <w:r>
        <w:rPr>
          <w:rFonts w:hint="eastAsia"/>
          <w:color w:val="auto"/>
          <w:sz w:val="24"/>
          <w:highlight w:val="none"/>
        </w:rPr>
        <w:t>八、一般公共预算财政拨款基本支出决算</w:t>
      </w:r>
      <w:r>
        <w:rPr>
          <w:rFonts w:hint="eastAsia"/>
          <w:color w:val="auto"/>
          <w:sz w:val="24"/>
          <w:highlight w:val="none"/>
          <w:lang w:eastAsia="zh-CN"/>
        </w:rPr>
        <w:t>明细</w:t>
      </w:r>
      <w:r>
        <w:rPr>
          <w:rFonts w:hint="eastAsia"/>
          <w:color w:val="auto"/>
          <w:sz w:val="24"/>
          <w:highlight w:val="none"/>
        </w:rPr>
        <w:t>表</w:t>
      </w:r>
    </w:p>
    <w:p w14:paraId="54C64EC1">
      <w:pPr>
        <w:pStyle w:val="14"/>
        <w:adjustRightInd w:val="0"/>
        <w:snapToGrid w:val="0"/>
        <w:spacing w:line="440" w:lineRule="exact"/>
        <w:jc w:val="left"/>
        <w:rPr>
          <w:rFonts w:hint="eastAsia"/>
          <w:color w:val="auto"/>
          <w:sz w:val="24"/>
          <w:highlight w:val="none"/>
        </w:rPr>
      </w:pPr>
      <w:r>
        <w:rPr>
          <w:rFonts w:hint="eastAsia"/>
          <w:color w:val="auto"/>
          <w:sz w:val="24"/>
          <w:highlight w:val="none"/>
        </w:rPr>
        <w:t>九、一般公共预算财政拨款项目支出决算表</w:t>
      </w:r>
    </w:p>
    <w:p w14:paraId="6A7EB8B6">
      <w:pPr>
        <w:pStyle w:val="14"/>
        <w:adjustRightInd w:val="0"/>
        <w:snapToGrid w:val="0"/>
        <w:spacing w:line="440" w:lineRule="exact"/>
        <w:jc w:val="left"/>
        <w:rPr>
          <w:rFonts w:hint="eastAsia"/>
          <w:color w:val="auto"/>
          <w:sz w:val="24"/>
          <w:highlight w:val="none"/>
        </w:rPr>
      </w:pPr>
      <w:r>
        <w:rPr>
          <w:rFonts w:hint="eastAsia"/>
          <w:color w:val="auto"/>
          <w:sz w:val="24"/>
          <w:highlight w:val="none"/>
        </w:rPr>
        <w:t>十、政府性基金预算财政拨款收入支出决算表</w:t>
      </w:r>
    </w:p>
    <w:p w14:paraId="268AF4E7">
      <w:pPr>
        <w:pStyle w:val="14"/>
        <w:adjustRightInd w:val="0"/>
        <w:snapToGrid w:val="0"/>
        <w:spacing w:line="440" w:lineRule="exact"/>
        <w:jc w:val="left"/>
        <w:rPr>
          <w:rFonts w:hint="eastAsia"/>
          <w:color w:val="auto"/>
          <w:sz w:val="24"/>
          <w:highlight w:val="none"/>
        </w:rPr>
      </w:pPr>
      <w:r>
        <w:rPr>
          <w:rFonts w:hint="eastAsia"/>
          <w:color w:val="auto"/>
          <w:sz w:val="24"/>
          <w:highlight w:val="none"/>
        </w:rPr>
        <w:t>十一、国有资本经营预算财政拨款收入支出决算表</w:t>
      </w:r>
    </w:p>
    <w:p w14:paraId="23024BBC">
      <w:pPr>
        <w:pStyle w:val="14"/>
        <w:adjustRightInd w:val="0"/>
        <w:snapToGrid w:val="0"/>
        <w:spacing w:line="440" w:lineRule="exact"/>
        <w:jc w:val="left"/>
        <w:rPr>
          <w:rFonts w:hint="eastAsia"/>
          <w:color w:val="auto"/>
          <w:sz w:val="24"/>
          <w:highlight w:val="none"/>
        </w:rPr>
      </w:pPr>
      <w:r>
        <w:rPr>
          <w:rFonts w:hint="eastAsia"/>
          <w:color w:val="auto"/>
          <w:sz w:val="24"/>
          <w:highlight w:val="none"/>
        </w:rPr>
        <w:t>十二、</w:t>
      </w:r>
      <w:r>
        <w:rPr>
          <w:rFonts w:hint="eastAsia"/>
          <w:color w:val="auto"/>
          <w:sz w:val="24"/>
          <w:highlight w:val="none"/>
          <w:lang w:val="en-US" w:eastAsia="zh-CN"/>
        </w:rPr>
        <w:t>国有资本经营预算财政拨款支出决算表</w:t>
      </w:r>
    </w:p>
    <w:p w14:paraId="607E4E5F">
      <w:pPr>
        <w:pStyle w:val="14"/>
        <w:adjustRightInd w:val="0"/>
        <w:snapToGrid w:val="0"/>
        <w:spacing w:line="440" w:lineRule="exact"/>
        <w:jc w:val="left"/>
        <w:rPr>
          <w:rFonts w:hint="eastAsia" w:ascii="宋体" w:hAnsi="宋体" w:eastAsia="宋体" w:cs="宋体"/>
          <w:color w:val="auto"/>
          <w:sz w:val="24"/>
          <w:highlight w:val="none"/>
          <w:lang w:val="en-US" w:eastAsia="zh-CN"/>
        </w:rPr>
      </w:pPr>
      <w:r>
        <w:rPr>
          <w:rFonts w:hint="eastAsia"/>
          <w:color w:val="auto"/>
          <w:sz w:val="24"/>
          <w:highlight w:val="none"/>
        </w:rPr>
        <w:t>十三、财政拨款“三公”经费支出决算表</w:t>
      </w:r>
    </w:p>
    <w:p w14:paraId="2EB9D0B2">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r>
        <w:rPr>
          <w:rFonts w:hint="eastAsia" w:ascii="Times New Roman" w:hAnsi="Times New Roman" w:eastAsia="仿宋_GB2312" w:cs="仿宋_GB2312"/>
          <w:b/>
          <w:color w:val="auto"/>
          <w:sz w:val="32"/>
          <w:szCs w:val="32"/>
          <w:highlight w:val="none"/>
        </w:rPr>
        <w:br w:type="page"/>
      </w:r>
    </w:p>
    <w:p w14:paraId="5FAC82FD">
      <w:pPr>
        <w:pStyle w:val="5"/>
        <w:jc w:val="center"/>
        <w:rPr>
          <w:rStyle w:val="28"/>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eastAsia="方正小标宋简体" w:cs="方正小标宋简体"/>
          <w:b w:val="0"/>
          <w:bCs w:val="0"/>
          <w:color w:val="auto"/>
          <w:highlight w:val="none"/>
          <w:lang w:eastAsia="zh-CN"/>
        </w:rPr>
        <w:t>单位</w:t>
      </w:r>
      <w:r>
        <w:rPr>
          <w:rStyle w:val="28"/>
          <w:rFonts w:hint="eastAsia" w:ascii="Times New Roman" w:hAnsi="Times New Roman" w:eastAsia="方正小标宋简体" w:cs="方正小标宋简体"/>
          <w:b w:val="0"/>
          <w:bCs w:val="0"/>
          <w:color w:val="auto"/>
          <w:highlight w:val="none"/>
        </w:rPr>
        <w:t>概况</w:t>
      </w:r>
      <w:bookmarkEnd w:id="6"/>
      <w:bookmarkEnd w:id="7"/>
    </w:p>
    <w:p w14:paraId="0B2D0498">
      <w:pPr>
        <w:widowControl/>
        <w:jc w:val="left"/>
        <w:rPr>
          <w:rFonts w:ascii="Times New Roman" w:hAnsi="Times New Roman" w:eastAsia="黑体"/>
          <w:color w:val="auto"/>
          <w:sz w:val="32"/>
          <w:szCs w:val="32"/>
          <w:highlight w:val="none"/>
        </w:rPr>
      </w:pPr>
    </w:p>
    <w:p w14:paraId="2D233E46">
      <w:pPr>
        <w:pStyle w:val="6"/>
        <w:pageBreakBefore w:val="0"/>
        <w:kinsoku/>
        <w:wordWrap/>
        <w:overflowPunct/>
        <w:topLinePunct w:val="0"/>
        <w:autoSpaceDE/>
        <w:autoSpaceDN/>
        <w:bidi w:val="0"/>
        <w:spacing w:line="600" w:lineRule="exact"/>
        <w:ind w:firstLine="480" w:firstLineChars="150"/>
        <w:textAlignment w:val="auto"/>
        <w:rPr>
          <w:rStyle w:val="29"/>
          <w:rFonts w:hint="eastAsia" w:ascii="Times New Roman" w:hAnsi="Times New Roman" w:eastAsia="黑体"/>
          <w:b w:val="0"/>
          <w:bCs w:val="0"/>
          <w:color w:val="auto"/>
          <w:highlight w:val="none"/>
          <w:lang w:eastAsia="zh-CN"/>
        </w:rPr>
      </w:pPr>
      <w:bookmarkStart w:id="8" w:name="_Toc15396600"/>
      <w:bookmarkStart w:id="9" w:name="_Toc15377197"/>
      <w:r>
        <w:rPr>
          <w:rFonts w:hint="eastAsia" w:ascii="Times New Roman" w:hAnsi="Times New Roman" w:eastAsia="黑体"/>
          <w:b w:val="0"/>
          <w:color w:val="auto"/>
          <w:highlight w:val="none"/>
        </w:rPr>
        <w:t>一、</w:t>
      </w:r>
      <w:bookmarkEnd w:id="8"/>
      <w:bookmarkEnd w:id="9"/>
      <w:r>
        <w:rPr>
          <w:rFonts w:hint="eastAsia" w:ascii="Times New Roman" w:hAnsi="Times New Roman" w:eastAsia="黑体"/>
          <w:b w:val="0"/>
          <w:color w:val="auto"/>
          <w:highlight w:val="none"/>
          <w:lang w:eastAsia="zh-CN"/>
        </w:rPr>
        <w:t>单位职责</w:t>
      </w:r>
    </w:p>
    <w:p w14:paraId="64D06695">
      <w:pPr>
        <w:pStyle w:val="6"/>
        <w:pageBreakBefore w:val="0"/>
        <w:kinsoku/>
        <w:wordWrap/>
        <w:overflowPunct/>
        <w:topLinePunct w:val="0"/>
        <w:autoSpaceDE/>
        <w:autoSpaceDN/>
        <w:bidi w:val="0"/>
        <w:spacing w:line="600" w:lineRule="exact"/>
        <w:ind w:firstLine="480" w:firstLineChars="150"/>
        <w:textAlignment w:val="auto"/>
        <w:rPr>
          <w:rFonts w:hint="eastAsia" w:ascii="Times New Roman" w:hAnsi="Times New Roman" w:eastAsia="黑体"/>
          <w:b w:val="0"/>
          <w:color w:val="auto"/>
          <w:highlight w:val="none"/>
        </w:rPr>
      </w:pPr>
      <w:bookmarkStart w:id="10" w:name="_Toc15396601"/>
      <w:bookmarkStart w:id="11" w:name="_Toc15377200"/>
      <w:r>
        <w:rPr>
          <w:rFonts w:hint="eastAsia" w:ascii="仿宋" w:hAnsi="仿宋" w:eastAsia="仿宋" w:cs="Times New Roman"/>
          <w:b w:val="0"/>
          <w:bCs w:val="0"/>
          <w:color w:val="auto"/>
          <w:kern w:val="2"/>
          <w:sz w:val="32"/>
          <w:szCs w:val="32"/>
          <w:highlight w:val="none"/>
          <w:lang w:val="en-US" w:eastAsia="zh-CN" w:bidi="ar-SA"/>
        </w:rPr>
        <w:t>开展公益性文化艺术活动和社会公益培训，实行免费开放；组织指导和推广群众性文艺创作；对基层群众文化组织进行业务指导；组织开展群众文化理论研究和交流活动；收集整理、研究非物质文化遗产，开展非物质文化遗产的普查、展示、宣传活动，指导传承人开展传习活动。</w:t>
      </w:r>
    </w:p>
    <w:p w14:paraId="4D965857">
      <w:pPr>
        <w:pStyle w:val="6"/>
        <w:pageBreakBefore w:val="0"/>
        <w:kinsoku/>
        <w:wordWrap/>
        <w:overflowPunct/>
        <w:topLinePunct w:val="0"/>
        <w:autoSpaceDE/>
        <w:autoSpaceDN/>
        <w:bidi w:val="0"/>
        <w:spacing w:line="600" w:lineRule="exact"/>
        <w:ind w:firstLine="480" w:firstLineChars="150"/>
        <w:textAlignment w:val="auto"/>
        <w:rPr>
          <w:rStyle w:val="29"/>
          <w:rFonts w:ascii="Times New Roman" w:hAnsi="Times New Roman"/>
          <w:b w:val="0"/>
          <w:bCs w:val="0"/>
          <w:color w:val="auto"/>
          <w:highlight w:val="none"/>
        </w:rPr>
      </w:pPr>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10"/>
      <w:bookmarkEnd w:id="11"/>
    </w:p>
    <w:p w14:paraId="27E10A8A">
      <w:pPr>
        <w:pageBreakBefore w:val="0"/>
        <w:kinsoku/>
        <w:wordWrap/>
        <w:overflowPunct/>
        <w:topLinePunct w:val="0"/>
        <w:autoSpaceDE/>
        <w:autoSpaceDN/>
        <w:bidi w:val="0"/>
        <w:spacing w:line="600" w:lineRule="exact"/>
        <w:ind w:firstLine="480" w:firstLineChars="150"/>
        <w:textAlignment w:val="auto"/>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攀枝花市西区文化馆（西区文物保护中心）</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w:t>
      </w:r>
    </w:p>
    <w:p w14:paraId="1E9F4826">
      <w:pPr>
        <w:pStyle w:val="8"/>
        <w:pageBreakBefore w:val="0"/>
        <w:kinsoku/>
        <w:wordWrap/>
        <w:overflowPunct/>
        <w:topLinePunct w:val="0"/>
        <w:autoSpaceDE/>
        <w:autoSpaceDN/>
        <w:bidi w:val="0"/>
        <w:adjustRightInd w:val="0"/>
        <w:snapToGrid w:val="0"/>
        <w:spacing w:before="93" w:line="600" w:lineRule="exact"/>
        <w:ind w:firstLine="480" w:firstLineChars="150"/>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rPr>
        <w:t>纳入</w:t>
      </w:r>
      <w:r>
        <w:rPr>
          <w:sz w:val="32"/>
          <w:szCs w:val="32"/>
        </w:rPr>
        <w:t>攀枝花市西区文化馆（西区文物保护中心）</w:t>
      </w:r>
      <w:r>
        <w:rPr>
          <w:rFonts w:hint="eastAsia" w:ascii="Times New Roman" w:cs="仿宋_GB2312"/>
          <w:color w:val="auto"/>
          <w:sz w:val="32"/>
          <w:szCs w:val="32"/>
          <w:highlight w:val="none"/>
          <w:lang w:eastAsia="zh-CN"/>
        </w:rPr>
        <w:t>2025年度单位</w:t>
      </w:r>
      <w:r>
        <w:rPr>
          <w:rFonts w:hint="eastAsia" w:ascii="Times New Roman" w:hAnsi="Times New Roman" w:eastAsia="仿宋_GB2312" w:cs="仿宋_GB2312"/>
          <w:color w:val="auto"/>
          <w:sz w:val="32"/>
          <w:szCs w:val="32"/>
          <w:highlight w:val="none"/>
        </w:rPr>
        <w:t>决算编制范围的二级预算单位</w:t>
      </w:r>
      <w:r>
        <w:rPr>
          <w:rFonts w:hint="eastAsia" w:ascii="Times New Roman" w:cs="仿宋_GB2312"/>
          <w:color w:val="auto"/>
          <w:sz w:val="32"/>
          <w:szCs w:val="32"/>
          <w:highlight w:val="none"/>
          <w:lang w:eastAsia="zh-CN"/>
        </w:rPr>
        <w:t>无。</w:t>
      </w:r>
    </w:p>
    <w:p w14:paraId="53527A6D">
      <w:pPr>
        <w:pStyle w:val="8"/>
        <w:pageBreakBefore w:val="0"/>
        <w:numPr>
          <w:ilvl w:val="0"/>
          <w:numId w:val="0"/>
        </w:numPr>
        <w:kinsoku/>
        <w:wordWrap/>
        <w:overflowPunct/>
        <w:topLinePunct w:val="0"/>
        <w:autoSpaceDE/>
        <w:autoSpaceDN/>
        <w:bidi w:val="0"/>
        <w:adjustRightInd w:val="0"/>
        <w:snapToGrid w:val="0"/>
        <w:spacing w:before="93" w:line="600" w:lineRule="exact"/>
        <w:ind w:left="672" w:leftChars="0" w:firstLine="480" w:firstLineChars="150"/>
        <w:textAlignment w:val="auto"/>
        <w:outlineLvl w:val="2"/>
        <w:rPr>
          <w:rFonts w:hint="eastAsia" w:ascii="Times New Roman" w:hAnsi="Times New Roman" w:eastAsia="仿宋_GB2312" w:cs="仿宋_GB2312"/>
          <w:color w:val="auto"/>
          <w:sz w:val="32"/>
          <w:szCs w:val="32"/>
          <w:highlight w:val="none"/>
        </w:rPr>
      </w:pPr>
    </w:p>
    <w:p w14:paraId="24FCAC11">
      <w:pPr>
        <w:pStyle w:val="8"/>
        <w:pageBreakBefore w:val="0"/>
        <w:kinsoku/>
        <w:wordWrap/>
        <w:overflowPunct/>
        <w:topLinePunct w:val="0"/>
        <w:autoSpaceDE/>
        <w:autoSpaceDN/>
        <w:bidi w:val="0"/>
        <w:adjustRightInd w:val="0"/>
        <w:snapToGrid w:val="0"/>
        <w:spacing w:before="93" w:line="600" w:lineRule="exact"/>
        <w:ind w:firstLine="480" w:firstLineChars="150"/>
        <w:textAlignment w:val="auto"/>
        <w:rPr>
          <w:rFonts w:hint="eastAsia" w:ascii="Times New Roman" w:hAnsi="Times New Roman" w:eastAsia="仿宋_GB2312" w:cs="仿宋_GB2312"/>
          <w:color w:val="auto"/>
          <w:sz w:val="32"/>
          <w:szCs w:val="32"/>
          <w:highlight w:val="none"/>
        </w:rPr>
      </w:pPr>
    </w:p>
    <w:p w14:paraId="10FC3C32">
      <w:pPr>
        <w:pageBreakBefore w:val="0"/>
        <w:widowControl/>
        <w:kinsoku/>
        <w:wordWrap/>
        <w:overflowPunct/>
        <w:topLinePunct w:val="0"/>
        <w:autoSpaceDE/>
        <w:autoSpaceDN/>
        <w:bidi w:val="0"/>
        <w:spacing w:line="600" w:lineRule="exact"/>
        <w:ind w:firstLine="480" w:firstLineChars="150"/>
        <w:jc w:val="left"/>
        <w:textAlignment w:val="auto"/>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5515885A">
      <w:pPr>
        <w:pStyle w:val="5"/>
        <w:pageBreakBefore w:val="0"/>
        <w:kinsoku/>
        <w:wordWrap/>
        <w:overflowPunct/>
        <w:topLinePunct w:val="0"/>
        <w:autoSpaceDE/>
        <w:autoSpaceDN/>
        <w:bidi w:val="0"/>
        <w:spacing w:line="600" w:lineRule="exact"/>
        <w:ind w:firstLine="660" w:firstLineChars="150"/>
        <w:jc w:val="center"/>
        <w:textAlignment w:val="auto"/>
        <w:rPr>
          <w:rFonts w:hint="eastAsia" w:ascii="Times New Roman" w:hAnsi="Times New Roman" w:eastAsia="方正小标宋简体" w:cs="方正小标宋简体"/>
          <w:b w:val="0"/>
          <w:color w:val="auto"/>
          <w:highlight w:val="none"/>
        </w:rPr>
      </w:pPr>
      <w:bookmarkStart w:id="12" w:name="_Toc15377204"/>
      <w:bookmarkStart w:id="13"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eastAsia="方正小标宋简体" w:cs="方正小标宋简体"/>
          <w:b w:val="0"/>
          <w:color w:val="auto"/>
          <w:highlight w:val="none"/>
          <w:lang w:eastAsia="zh-CN"/>
        </w:rPr>
        <w:t>单位</w:t>
      </w:r>
      <w:r>
        <w:rPr>
          <w:rFonts w:hint="eastAsia" w:ascii="Times New Roman" w:hAnsi="Times New Roman" w:eastAsia="方正小标宋简体" w:cs="方正小标宋简体"/>
          <w:b w:val="0"/>
          <w:color w:val="auto"/>
          <w:highlight w:val="none"/>
        </w:rPr>
        <w:t>决算情况说明</w:t>
      </w:r>
      <w:bookmarkEnd w:id="12"/>
      <w:bookmarkEnd w:id="13"/>
    </w:p>
    <w:p w14:paraId="49DDBF72">
      <w:pPr>
        <w:pageBreakBefore w:val="0"/>
        <w:kinsoku/>
        <w:wordWrap/>
        <w:overflowPunct/>
        <w:topLinePunct w:val="0"/>
        <w:autoSpaceDE/>
        <w:autoSpaceDN/>
        <w:bidi w:val="0"/>
        <w:spacing w:line="600" w:lineRule="exact"/>
        <w:ind w:firstLine="315" w:firstLineChars="150"/>
        <w:textAlignment w:val="auto"/>
        <w:rPr>
          <w:rFonts w:ascii="Times New Roman" w:hAnsi="Times New Roman"/>
          <w:color w:val="auto"/>
          <w:highlight w:val="none"/>
        </w:rPr>
      </w:pPr>
    </w:p>
    <w:p w14:paraId="704543F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150"/>
        <w:textAlignment w:val="auto"/>
        <w:outlineLvl w:val="1"/>
        <w:rPr>
          <w:rStyle w:val="29"/>
          <w:rFonts w:hint="eastAsia" w:ascii="Times New Roman" w:hAnsi="Times New Roman" w:eastAsia="黑体"/>
          <w:b w:val="0"/>
          <w:color w:val="auto"/>
          <w:highlight w:val="none"/>
        </w:rPr>
      </w:pPr>
      <w:bookmarkStart w:id="14" w:name="_Toc15377205"/>
      <w:bookmarkStart w:id="15"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4"/>
      <w:bookmarkEnd w:id="15"/>
    </w:p>
    <w:p w14:paraId="363CF202">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15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2025年度收入、支出总计均为177.80万元。与2024年度相比，收入、支出总计各增加31.03万元，增长21.1%。主要变动原因是增加了中央支持地方公共文化服务体系建设补助资金。</w:t>
      </w:r>
    </w:p>
    <w:p w14:paraId="5D58AC28">
      <w:pPr>
        <w:keepNext w:val="0"/>
        <w:keepLines w:val="0"/>
        <w:pageBreakBefore w:val="0"/>
        <w:widowControl w:val="0"/>
        <w:kinsoku/>
        <w:wordWrap/>
        <w:overflowPunct/>
        <w:topLinePunct w:val="0"/>
        <w:autoSpaceDE/>
        <w:autoSpaceDN/>
        <w:bidi w:val="0"/>
        <w:adjustRightInd/>
        <w:snapToGrid/>
        <w:spacing w:line="600" w:lineRule="exact"/>
        <w:ind w:firstLine="480" w:firstLineChars="15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4836833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仿宋_GB2312" w:cs="仿宋_GB2312"/>
          <w:color w:val="auto"/>
          <w:sz w:val="32"/>
          <w:szCs w:val="32"/>
          <w:highlight w:val="none"/>
        </w:rPr>
      </w:pPr>
      <w:r>
        <w:drawing>
          <wp:inline distT="0" distB="0" distL="114300" distR="114300">
            <wp:extent cx="4486275" cy="2752725"/>
            <wp:effectExtent l="0" t="0" r="9525" b="952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9"/>
                    <a:stretch>
                      <a:fillRect/>
                    </a:stretch>
                  </pic:blipFill>
                  <pic:spPr>
                    <a:xfrm>
                      <a:off x="0" y="0"/>
                      <a:ext cx="4486275" cy="2752725"/>
                    </a:xfrm>
                    <a:prstGeom prst="rect">
                      <a:avLst/>
                    </a:prstGeom>
                    <a:noFill/>
                    <a:ln>
                      <a:noFill/>
                    </a:ln>
                  </pic:spPr>
                </pic:pic>
              </a:graphicData>
            </a:graphic>
          </wp:inline>
        </w:drawing>
      </w:r>
    </w:p>
    <w:p w14:paraId="3E02FF6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150"/>
        <w:textAlignment w:val="auto"/>
        <w:outlineLvl w:val="1"/>
        <w:rPr>
          <w:rFonts w:hint="eastAsia" w:ascii="Times New Roman" w:hAnsi="Times New Roman" w:eastAsia="黑体"/>
          <w:color w:val="auto"/>
          <w:sz w:val="32"/>
          <w:szCs w:val="32"/>
          <w:highlight w:val="none"/>
          <w:lang w:eastAsia="zh-CN"/>
        </w:rPr>
      </w:pPr>
      <w:bookmarkStart w:id="16" w:name="_Toc15377206"/>
      <w:bookmarkStart w:id="17" w:name="_Toc15396604"/>
      <w:r>
        <w:rPr>
          <w:rFonts w:hint="eastAsia" w:ascii="Times New Roman" w:hAnsi="Times New Roman" w:eastAsia="黑体"/>
          <w:color w:val="auto"/>
          <w:sz w:val="32"/>
          <w:szCs w:val="32"/>
          <w:highlight w:val="none"/>
          <w:lang w:eastAsia="zh-CN"/>
        </w:rPr>
        <w:t>二、收入决算情况说明</w:t>
      </w:r>
      <w:bookmarkEnd w:id="16"/>
      <w:bookmarkEnd w:id="17"/>
    </w:p>
    <w:p w14:paraId="5CB03F75">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150"/>
        <w:jc w:val="left"/>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2025年度本年收入合计177.80万元，其中：一般公共预算财政拨款收入177.80万元，占100%。</w:t>
      </w:r>
    </w:p>
    <w:p w14:paraId="2D383A14">
      <w:pPr>
        <w:pageBreakBefore w:val="0"/>
        <w:kinsoku/>
        <w:wordWrap/>
        <w:overflowPunct/>
        <w:topLinePunct w:val="0"/>
        <w:autoSpaceDE/>
        <w:autoSpaceDN/>
        <w:bidi w:val="0"/>
        <w:spacing w:line="600" w:lineRule="exact"/>
        <w:ind w:firstLine="480" w:firstLineChars="150"/>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31A62E56">
      <w:pPr>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仿宋_GB2312" w:cs="仿宋_GB2312"/>
          <w:color w:val="auto"/>
          <w:sz w:val="32"/>
          <w:szCs w:val="32"/>
          <w:highlight w:val="none"/>
          <w:lang w:eastAsia="zh-CN"/>
        </w:rPr>
      </w:pPr>
      <w:r>
        <w:drawing>
          <wp:inline distT="0" distB="0" distL="114300" distR="114300">
            <wp:extent cx="4067175" cy="2628900"/>
            <wp:effectExtent l="0" t="0" r="9525" b="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0"/>
                    <a:stretch>
                      <a:fillRect/>
                    </a:stretch>
                  </pic:blipFill>
                  <pic:spPr>
                    <a:xfrm>
                      <a:off x="0" y="0"/>
                      <a:ext cx="4067175" cy="2628900"/>
                    </a:xfrm>
                    <a:prstGeom prst="rect">
                      <a:avLst/>
                    </a:prstGeom>
                    <a:noFill/>
                    <a:ln>
                      <a:noFill/>
                    </a:ln>
                  </pic:spPr>
                </pic:pic>
              </a:graphicData>
            </a:graphic>
          </wp:inline>
        </w:drawing>
      </w:r>
    </w:p>
    <w:p w14:paraId="05EC298B">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150"/>
        <w:textAlignment w:val="auto"/>
        <w:outlineLvl w:val="1"/>
        <w:rPr>
          <w:rStyle w:val="29"/>
          <w:rFonts w:hint="eastAsia" w:ascii="Times New Roman" w:hAnsi="Times New Roman" w:eastAsia="黑体"/>
          <w:b w:val="0"/>
          <w:color w:val="auto"/>
          <w:highlight w:val="none"/>
        </w:rPr>
      </w:pPr>
      <w:bookmarkStart w:id="18" w:name="_Toc15377207"/>
      <w:bookmarkStart w:id="19"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18"/>
      <w:bookmarkEnd w:id="19"/>
    </w:p>
    <w:p w14:paraId="075142F9">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150"/>
        <w:jc w:val="left"/>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2025年度本年支出合计177.80万元，其中：基本支出125.75万元，占70.7%；项目支出52.05万元，占29.3%。</w:t>
      </w:r>
    </w:p>
    <w:p w14:paraId="3FFA29A1">
      <w:pPr>
        <w:pageBreakBefore w:val="0"/>
        <w:kinsoku/>
        <w:wordWrap/>
        <w:overflowPunct/>
        <w:topLinePunct w:val="0"/>
        <w:autoSpaceDE/>
        <w:autoSpaceDN/>
        <w:bidi w:val="0"/>
        <w:spacing w:line="600" w:lineRule="exact"/>
        <w:ind w:firstLine="480" w:firstLineChars="150"/>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533371A1">
      <w:pPr>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仿宋_GB2312" w:cs="仿宋_GB2312"/>
          <w:color w:val="auto"/>
          <w:sz w:val="32"/>
          <w:szCs w:val="32"/>
          <w:highlight w:val="none"/>
          <w:lang w:eastAsia="zh-CN"/>
        </w:rPr>
      </w:pPr>
      <w:r>
        <w:drawing>
          <wp:inline distT="0" distB="0" distL="114300" distR="114300">
            <wp:extent cx="3848100" cy="2724150"/>
            <wp:effectExtent l="0" t="0" r="0" b="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1"/>
                    <a:stretch>
                      <a:fillRect/>
                    </a:stretch>
                  </pic:blipFill>
                  <pic:spPr>
                    <a:xfrm>
                      <a:off x="0" y="0"/>
                      <a:ext cx="3848100" cy="2724150"/>
                    </a:xfrm>
                    <a:prstGeom prst="rect">
                      <a:avLst/>
                    </a:prstGeom>
                    <a:noFill/>
                    <a:ln>
                      <a:noFill/>
                    </a:ln>
                  </pic:spPr>
                </pic:pic>
              </a:graphicData>
            </a:graphic>
          </wp:inline>
        </w:drawing>
      </w:r>
    </w:p>
    <w:p w14:paraId="4036E632">
      <w:pPr>
        <w:pageBreakBefore w:val="0"/>
        <w:kinsoku/>
        <w:wordWrap/>
        <w:overflowPunct/>
        <w:topLinePunct w:val="0"/>
        <w:autoSpaceDE/>
        <w:autoSpaceDN/>
        <w:bidi w:val="0"/>
        <w:spacing w:line="600" w:lineRule="exact"/>
        <w:ind w:firstLine="480" w:firstLineChars="150"/>
        <w:textAlignment w:val="auto"/>
        <w:outlineLvl w:val="1"/>
        <w:rPr>
          <w:rStyle w:val="29"/>
          <w:rFonts w:ascii="Times New Roman" w:hAnsi="Times New Roman" w:eastAsia="黑体"/>
          <w:b w:val="0"/>
          <w:color w:val="auto"/>
          <w:highlight w:val="none"/>
        </w:rPr>
      </w:pPr>
      <w:bookmarkStart w:id="20" w:name="_Toc15377208"/>
      <w:bookmarkStart w:id="21" w:name="_Toc15396606"/>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20"/>
      <w:bookmarkEnd w:id="21"/>
    </w:p>
    <w:p w14:paraId="7F8A397F">
      <w:pPr>
        <w:pageBreakBefore w:val="0"/>
        <w:kinsoku/>
        <w:wordWrap/>
        <w:overflowPunct/>
        <w:topLinePunct w:val="0"/>
        <w:autoSpaceDE/>
        <w:autoSpaceDN/>
        <w:bidi w:val="0"/>
        <w:spacing w:line="600" w:lineRule="exact"/>
        <w:ind w:firstLine="480" w:firstLineChars="15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2025年度财政拨款收入、支出总计均为177.80万元。与2024年度相比，财政拨款收入、支出总计各增加31.03万元，增长21.1%。主要变动原因是增加了中央支持地方公共文化服务体系建设补助资金。</w:t>
      </w:r>
    </w:p>
    <w:p w14:paraId="79F43FFB">
      <w:pPr>
        <w:pageBreakBefore w:val="0"/>
        <w:kinsoku/>
        <w:wordWrap/>
        <w:overflowPunct/>
        <w:topLinePunct w:val="0"/>
        <w:autoSpaceDE/>
        <w:autoSpaceDN/>
        <w:bidi w:val="0"/>
        <w:spacing w:line="600" w:lineRule="exact"/>
        <w:ind w:firstLine="480" w:firstLineChars="15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7DA53F85">
      <w:pPr>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4429125" cy="2743200"/>
            <wp:effectExtent l="0" t="0" r="9525" b="0"/>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12"/>
                    <a:stretch>
                      <a:fillRect/>
                    </a:stretch>
                  </pic:blipFill>
                  <pic:spPr>
                    <a:xfrm>
                      <a:off x="0" y="0"/>
                      <a:ext cx="4429125" cy="2743200"/>
                    </a:xfrm>
                    <a:prstGeom prst="rect">
                      <a:avLst/>
                    </a:prstGeom>
                    <a:noFill/>
                    <a:ln>
                      <a:noFill/>
                    </a:ln>
                  </pic:spPr>
                </pic:pic>
              </a:graphicData>
            </a:graphic>
          </wp:inline>
        </w:drawing>
      </w:r>
    </w:p>
    <w:p w14:paraId="78BDD6EF">
      <w:pPr>
        <w:pageBreakBefore w:val="0"/>
        <w:kinsoku/>
        <w:wordWrap/>
        <w:overflowPunct/>
        <w:topLinePunct w:val="0"/>
        <w:autoSpaceDE/>
        <w:autoSpaceDN/>
        <w:bidi w:val="0"/>
        <w:spacing w:line="600" w:lineRule="exact"/>
        <w:ind w:firstLine="480" w:firstLineChars="150"/>
        <w:textAlignment w:val="auto"/>
        <w:outlineLvl w:val="1"/>
        <w:rPr>
          <w:rStyle w:val="29"/>
          <w:rFonts w:ascii="Times New Roman" w:hAnsi="Times New Roman" w:eastAsia="黑体"/>
          <w:b w:val="0"/>
          <w:color w:val="auto"/>
          <w:highlight w:val="none"/>
        </w:rPr>
      </w:pPr>
      <w:bookmarkStart w:id="22" w:name="_Toc15377209"/>
      <w:bookmarkStart w:id="23"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2"/>
      <w:bookmarkEnd w:id="23"/>
    </w:p>
    <w:p w14:paraId="22A63D86">
      <w:pPr>
        <w:pageBreakBefore w:val="0"/>
        <w:kinsoku/>
        <w:wordWrap/>
        <w:overflowPunct/>
        <w:topLinePunct w:val="0"/>
        <w:autoSpaceDE/>
        <w:autoSpaceDN/>
        <w:bidi w:val="0"/>
        <w:spacing w:line="600" w:lineRule="exact"/>
        <w:ind w:firstLine="482" w:firstLineChars="150"/>
        <w:textAlignment w:val="auto"/>
        <w:outlineLvl w:val="2"/>
        <w:rPr>
          <w:rFonts w:hint="eastAsia" w:ascii="Times New Roman" w:hAnsi="Times New Roman" w:eastAsia="楷体_GB2312" w:cs="楷体_GB2312"/>
          <w:b/>
          <w:color w:val="auto"/>
          <w:sz w:val="32"/>
          <w:szCs w:val="32"/>
          <w:highlight w:val="none"/>
        </w:rPr>
      </w:pPr>
      <w:bookmarkStart w:id="24"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4"/>
    </w:p>
    <w:p w14:paraId="77D90759">
      <w:pPr>
        <w:pageBreakBefore w:val="0"/>
        <w:kinsoku/>
        <w:wordWrap/>
        <w:overflowPunct/>
        <w:topLinePunct w:val="0"/>
        <w:autoSpaceDE/>
        <w:autoSpaceDN/>
        <w:bidi w:val="0"/>
        <w:spacing w:line="600" w:lineRule="exact"/>
        <w:ind w:firstLine="480" w:firstLineChars="150"/>
        <w:textAlignment w:val="auto"/>
        <w:rPr>
          <w:rFonts w:hint="default" w:eastAsia="仿宋_GB2312" w:cs="仿宋_GB2312"/>
          <w:color w:val="auto"/>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2025年度一般公共预算财政拨款支出177.80万元，占本年支出合计的100%。与2024年度相比，一般公共预算财政拨款支出增加31.03万元，增长21.1%。主要变动原因是增加了中央支持地方公共文化服务体系建设补助资金</w:t>
      </w:r>
      <w:r>
        <w:rPr>
          <w:rFonts w:hint="eastAsia" w:eastAsia="仿宋_GB2312" w:cs="仿宋_GB2312"/>
          <w:color w:val="auto"/>
          <w:sz w:val="32"/>
          <w:szCs w:val="32"/>
          <w:highlight w:val="none"/>
          <w:lang w:eastAsia="zh-CN"/>
        </w:rPr>
        <w:t>。</w:t>
      </w:r>
    </w:p>
    <w:p w14:paraId="6D7D1A33">
      <w:pPr>
        <w:pageBreakBefore w:val="0"/>
        <w:kinsoku/>
        <w:wordWrap/>
        <w:overflowPunct/>
        <w:topLinePunct w:val="0"/>
        <w:autoSpaceDE/>
        <w:autoSpaceDN/>
        <w:bidi w:val="0"/>
        <w:spacing w:line="600" w:lineRule="exact"/>
        <w:ind w:firstLine="480" w:firstLineChars="15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04BE900B">
      <w:pPr>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4533900" cy="2762250"/>
            <wp:effectExtent l="0" t="0" r="0" b="0"/>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13"/>
                    <a:stretch>
                      <a:fillRect/>
                    </a:stretch>
                  </pic:blipFill>
                  <pic:spPr>
                    <a:xfrm>
                      <a:off x="0" y="0"/>
                      <a:ext cx="4533900" cy="2762250"/>
                    </a:xfrm>
                    <a:prstGeom prst="rect">
                      <a:avLst/>
                    </a:prstGeom>
                    <a:noFill/>
                    <a:ln>
                      <a:noFill/>
                    </a:ln>
                  </pic:spPr>
                </pic:pic>
              </a:graphicData>
            </a:graphic>
          </wp:inline>
        </w:drawing>
      </w:r>
    </w:p>
    <w:p w14:paraId="7E78EDFC">
      <w:pPr>
        <w:pageBreakBefore w:val="0"/>
        <w:kinsoku/>
        <w:wordWrap/>
        <w:overflowPunct/>
        <w:topLinePunct w:val="0"/>
        <w:autoSpaceDE/>
        <w:autoSpaceDN/>
        <w:bidi w:val="0"/>
        <w:spacing w:line="600" w:lineRule="exact"/>
        <w:ind w:firstLine="482" w:firstLineChars="150"/>
        <w:textAlignment w:val="auto"/>
        <w:outlineLvl w:val="2"/>
        <w:rPr>
          <w:rFonts w:hint="eastAsia" w:ascii="Times New Roman" w:hAnsi="Times New Roman" w:eastAsia="楷体_GB2312" w:cs="楷体_GB2312"/>
          <w:b/>
          <w:color w:val="auto"/>
          <w:sz w:val="32"/>
          <w:szCs w:val="32"/>
          <w:highlight w:val="none"/>
        </w:rPr>
      </w:pPr>
      <w:bookmarkStart w:id="25"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5"/>
    </w:p>
    <w:p w14:paraId="6D62A3D5">
      <w:pPr>
        <w:pageBreakBefore w:val="0"/>
        <w:kinsoku/>
        <w:wordWrap/>
        <w:overflowPunct/>
        <w:topLinePunct w:val="0"/>
        <w:autoSpaceDE/>
        <w:autoSpaceDN/>
        <w:bidi w:val="0"/>
        <w:spacing w:line="600" w:lineRule="exact"/>
        <w:ind w:firstLine="480" w:firstLineChars="150"/>
        <w:textAlignment w:val="auto"/>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一般公共预算财政拨款支出177.80万元，主要用于以下方面：文化旅游体育与传媒支出145.56万元，占81.9%；社会保障和就业支出14.92万元，占8.4%；卫生健康支出10.26万元，占5.8%；住房保障支出7.06万元，占4.0%。</w:t>
      </w:r>
    </w:p>
    <w:p w14:paraId="1201872D">
      <w:pPr>
        <w:pageBreakBefore w:val="0"/>
        <w:kinsoku/>
        <w:wordWrap/>
        <w:overflowPunct/>
        <w:topLinePunct w:val="0"/>
        <w:autoSpaceDE/>
        <w:autoSpaceDN/>
        <w:bidi w:val="0"/>
        <w:spacing w:line="600" w:lineRule="exact"/>
        <w:ind w:firstLine="480" w:firstLineChars="15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12949EDB">
      <w:pPr>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4857750" cy="2590800"/>
            <wp:effectExtent l="0" t="0" r="0" b="0"/>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14"/>
                    <a:stretch>
                      <a:fillRect/>
                    </a:stretch>
                  </pic:blipFill>
                  <pic:spPr>
                    <a:xfrm>
                      <a:off x="0" y="0"/>
                      <a:ext cx="4857750" cy="2590800"/>
                    </a:xfrm>
                    <a:prstGeom prst="rect">
                      <a:avLst/>
                    </a:prstGeom>
                    <a:noFill/>
                    <a:ln>
                      <a:noFill/>
                    </a:ln>
                  </pic:spPr>
                </pic:pic>
              </a:graphicData>
            </a:graphic>
          </wp:inline>
        </w:drawing>
      </w:r>
    </w:p>
    <w:p w14:paraId="58105A11">
      <w:pPr>
        <w:pageBreakBefore w:val="0"/>
        <w:kinsoku/>
        <w:wordWrap/>
        <w:overflowPunct/>
        <w:topLinePunct w:val="0"/>
        <w:autoSpaceDE/>
        <w:autoSpaceDN/>
        <w:bidi w:val="0"/>
        <w:spacing w:line="600" w:lineRule="exact"/>
        <w:ind w:firstLine="482" w:firstLineChars="150"/>
        <w:textAlignment w:val="auto"/>
        <w:outlineLvl w:val="2"/>
        <w:rPr>
          <w:rFonts w:hint="eastAsia" w:ascii="Times New Roman" w:hAnsi="Times New Roman" w:eastAsia="楷体_GB2312" w:cs="楷体_GB2312"/>
          <w:b/>
          <w:color w:val="auto"/>
          <w:sz w:val="32"/>
          <w:szCs w:val="32"/>
          <w:highlight w:val="none"/>
        </w:rPr>
      </w:pPr>
      <w:bookmarkStart w:id="26"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6"/>
    </w:p>
    <w:p w14:paraId="505366CD">
      <w:pPr>
        <w:pageBreakBefore w:val="0"/>
        <w:kinsoku/>
        <w:wordWrap/>
        <w:overflowPunct/>
        <w:topLinePunct w:val="0"/>
        <w:autoSpaceDE/>
        <w:autoSpaceDN/>
        <w:bidi w:val="0"/>
        <w:spacing w:line="600" w:lineRule="exact"/>
        <w:ind w:firstLine="480" w:firstLineChars="150"/>
        <w:textAlignment w:val="auto"/>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2025年度一般公共预算支出决算数为177.80万元，完成预算100%。其中：</w:t>
      </w:r>
    </w:p>
    <w:p w14:paraId="4DF408FB">
      <w:pPr>
        <w:pageBreakBefore w:val="0"/>
        <w:kinsoku/>
        <w:wordWrap/>
        <w:overflowPunct/>
        <w:topLinePunct w:val="0"/>
        <w:autoSpaceDE/>
        <w:autoSpaceDN/>
        <w:bidi w:val="0"/>
        <w:spacing w:line="600" w:lineRule="exact"/>
        <w:ind w:firstLine="480" w:firstLineChars="150"/>
        <w:textAlignment w:val="auto"/>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1.文化旅游体育与传媒支出（类）文化和旅游（款）群众文化（项）：支出决算为93.51万元，完成预算100%，决算数等于预算数。</w:t>
      </w:r>
    </w:p>
    <w:p w14:paraId="305AB86B">
      <w:pPr>
        <w:pageBreakBefore w:val="0"/>
        <w:kinsoku/>
        <w:wordWrap/>
        <w:overflowPunct/>
        <w:topLinePunct w:val="0"/>
        <w:autoSpaceDE/>
        <w:autoSpaceDN/>
        <w:bidi w:val="0"/>
        <w:spacing w:line="600" w:lineRule="exact"/>
        <w:ind w:firstLine="480" w:firstLineChars="150"/>
        <w:textAlignment w:val="auto"/>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2.文化旅游体育与传媒支出（类）文化和旅游（款）其他文化和旅游支出（项）：支出决算为3.60万元，完成预算100%，决算数等于预算数。</w:t>
      </w:r>
    </w:p>
    <w:p w14:paraId="20013E5B">
      <w:pPr>
        <w:pageBreakBefore w:val="0"/>
        <w:kinsoku/>
        <w:wordWrap/>
        <w:overflowPunct/>
        <w:topLinePunct w:val="0"/>
        <w:autoSpaceDE/>
        <w:autoSpaceDN/>
        <w:bidi w:val="0"/>
        <w:spacing w:line="600" w:lineRule="exact"/>
        <w:ind w:firstLine="480" w:firstLineChars="150"/>
        <w:textAlignment w:val="auto"/>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3.文化旅游体育与传媒支出（类）其他文化旅游体育与传媒支出（款）其他文化旅游体育与传媒支出（项）：支出决算为48.45万元，完成预算100%，决算数等于预算数。</w:t>
      </w:r>
    </w:p>
    <w:p w14:paraId="5E5A0815">
      <w:pPr>
        <w:pageBreakBefore w:val="0"/>
        <w:kinsoku/>
        <w:wordWrap/>
        <w:overflowPunct/>
        <w:topLinePunct w:val="0"/>
        <w:autoSpaceDE/>
        <w:autoSpaceDN/>
        <w:bidi w:val="0"/>
        <w:spacing w:line="600" w:lineRule="exact"/>
        <w:ind w:firstLine="480" w:firstLineChars="150"/>
        <w:textAlignment w:val="auto"/>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4.社会保障和就业支出（类）行政事业单位养老支出（款）事业单位离退休（项）：支出决算为6.08万元，完成预算100%，决算数等于预算数。</w:t>
      </w:r>
    </w:p>
    <w:p w14:paraId="707FFA08">
      <w:pPr>
        <w:pageBreakBefore w:val="0"/>
        <w:kinsoku/>
        <w:wordWrap/>
        <w:overflowPunct/>
        <w:topLinePunct w:val="0"/>
        <w:autoSpaceDE/>
        <w:autoSpaceDN/>
        <w:bidi w:val="0"/>
        <w:spacing w:line="600" w:lineRule="exact"/>
        <w:ind w:firstLine="480" w:firstLineChars="150"/>
        <w:textAlignment w:val="auto"/>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5.社会保障和就业支出（类）行政事业单位养老支出（款）机关事业单位基本养老保险缴费支出（项）：支出决算为8.84万元，完成预算100%，决算数等于预算数。</w:t>
      </w:r>
    </w:p>
    <w:p w14:paraId="4071DA0F">
      <w:pPr>
        <w:pageBreakBefore w:val="0"/>
        <w:kinsoku/>
        <w:wordWrap/>
        <w:overflowPunct/>
        <w:topLinePunct w:val="0"/>
        <w:autoSpaceDE/>
        <w:autoSpaceDN/>
        <w:bidi w:val="0"/>
        <w:spacing w:line="600" w:lineRule="exact"/>
        <w:ind w:firstLine="480" w:firstLineChars="150"/>
        <w:textAlignment w:val="auto"/>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6.卫生健康支出（类）行政事业单位医疗（款）事业单位医疗（项）：支出决算为4.59万元，完成预算100%，决算数等于预算数。</w:t>
      </w:r>
    </w:p>
    <w:p w14:paraId="2EECF69F">
      <w:pPr>
        <w:pageBreakBefore w:val="0"/>
        <w:kinsoku/>
        <w:wordWrap/>
        <w:overflowPunct/>
        <w:topLinePunct w:val="0"/>
        <w:autoSpaceDE/>
        <w:autoSpaceDN/>
        <w:bidi w:val="0"/>
        <w:spacing w:line="600" w:lineRule="exact"/>
        <w:ind w:firstLine="480" w:firstLineChars="150"/>
        <w:textAlignment w:val="auto"/>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7.卫生健康支出（类）行政事业单位医疗（款）其他行政事业单位医疗支出（项）：支出决算为5.67万元，完成预算100%，决算数等于预算数。</w:t>
      </w:r>
    </w:p>
    <w:p w14:paraId="51612E04">
      <w:pPr>
        <w:pageBreakBefore w:val="0"/>
        <w:kinsoku/>
        <w:wordWrap/>
        <w:overflowPunct/>
        <w:topLinePunct w:val="0"/>
        <w:autoSpaceDE/>
        <w:autoSpaceDN/>
        <w:bidi w:val="0"/>
        <w:spacing w:line="600" w:lineRule="exact"/>
        <w:ind w:firstLine="480" w:firstLineChars="150"/>
        <w:textAlignment w:val="auto"/>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8.住房保障支出（类）住房改革支出（款）住房公积金（项）：支出决算为7.06万元，完成预算100%，决算数等于预算数</w:t>
      </w:r>
      <w:r>
        <w:rPr>
          <w:rFonts w:hint="eastAsia" w:ascii="Times New Roman" w:hAnsi="Times New Roman" w:eastAsia="仿宋_GB2312" w:cs="仿宋_GB2312"/>
          <w:color w:val="auto"/>
          <w:kern w:val="2"/>
          <w:sz w:val="32"/>
          <w:szCs w:val="32"/>
          <w:highlight w:val="none"/>
          <w:lang w:val="en-US" w:eastAsia="zh-CN" w:bidi="ar-SA"/>
        </w:rPr>
        <w:t>。</w:t>
      </w:r>
    </w:p>
    <w:p w14:paraId="2776CDA5">
      <w:pPr>
        <w:pageBreakBefore w:val="0"/>
        <w:kinsoku/>
        <w:wordWrap/>
        <w:overflowPunct/>
        <w:topLinePunct w:val="0"/>
        <w:autoSpaceDE/>
        <w:autoSpaceDN/>
        <w:bidi w:val="0"/>
        <w:spacing w:line="600" w:lineRule="exact"/>
        <w:ind w:firstLine="480" w:firstLineChars="150"/>
        <w:textAlignment w:val="auto"/>
        <w:rPr>
          <w:rFonts w:hint="eastAsia" w:ascii="Times New Roman" w:hAnsi="Times New Roman" w:eastAsia="仿宋_GB2312" w:cs="仿宋_GB2312"/>
          <w:color w:val="auto"/>
          <w:kern w:val="2"/>
          <w:sz w:val="32"/>
          <w:szCs w:val="32"/>
          <w:highlight w:val="none"/>
          <w:lang w:val="en-US" w:eastAsia="zh-CN" w:bidi="ar-SA"/>
        </w:rPr>
      </w:pPr>
    </w:p>
    <w:p w14:paraId="6824E63A">
      <w:pPr>
        <w:pageBreakBefore w:val="0"/>
        <w:tabs>
          <w:tab w:val="right" w:pos="8306"/>
        </w:tabs>
        <w:kinsoku/>
        <w:wordWrap/>
        <w:overflowPunct/>
        <w:topLinePunct w:val="0"/>
        <w:autoSpaceDE/>
        <w:autoSpaceDN/>
        <w:bidi w:val="0"/>
        <w:spacing w:line="600" w:lineRule="exact"/>
        <w:ind w:firstLine="480" w:firstLineChars="150"/>
        <w:textAlignment w:val="auto"/>
        <w:outlineLvl w:val="1"/>
        <w:rPr>
          <w:rStyle w:val="29"/>
          <w:rFonts w:ascii="Times New Roman" w:hAnsi="Times New Roman"/>
          <w:color w:val="auto"/>
          <w:highlight w:val="none"/>
        </w:rPr>
      </w:pPr>
      <w:bookmarkStart w:id="27" w:name="_Toc15377214"/>
      <w:bookmarkStart w:id="28"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27"/>
      <w:bookmarkEnd w:id="28"/>
      <w:r>
        <w:rPr>
          <w:rStyle w:val="29"/>
          <w:rFonts w:ascii="Times New Roman" w:hAnsi="Times New Roman" w:eastAsia="黑体"/>
          <w:b w:val="0"/>
          <w:color w:val="auto"/>
          <w:highlight w:val="none"/>
        </w:rPr>
        <w:tab/>
      </w:r>
    </w:p>
    <w:p w14:paraId="771146A9">
      <w:pPr>
        <w:pageBreakBefore w:val="0"/>
        <w:kinsoku/>
        <w:wordWrap/>
        <w:overflowPunct/>
        <w:topLinePunct w:val="0"/>
        <w:autoSpaceDE/>
        <w:autoSpaceDN/>
        <w:bidi w:val="0"/>
        <w:spacing w:line="600" w:lineRule="exact"/>
        <w:ind w:firstLine="480" w:firstLineChars="150"/>
        <w:textAlignment w:val="auto"/>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2025年度一般公共预算财政拨款基本支出125.75万元，其中：</w:t>
      </w:r>
    </w:p>
    <w:p w14:paraId="08F32E07">
      <w:pPr>
        <w:pageBreakBefore w:val="0"/>
        <w:kinsoku/>
        <w:wordWrap/>
        <w:overflowPunct/>
        <w:topLinePunct w:val="0"/>
        <w:autoSpaceDE/>
        <w:autoSpaceDN/>
        <w:bidi w:val="0"/>
        <w:spacing w:line="600" w:lineRule="exact"/>
        <w:ind w:firstLine="480" w:firstLineChars="150"/>
        <w:textAlignment w:val="auto"/>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人员经费121.20万元，主要包括：基本工资、津贴补贴、绩效工资、机关事业单位基本养老保险缴费、职工基本医疗保险缴费、公务员医疗补助缴费、其他社会保障缴费、住房公积金、其他工资福利支出、退休费、生活补助、奖励金等。</w:t>
      </w:r>
    </w:p>
    <w:p w14:paraId="01393B72">
      <w:pPr>
        <w:pageBreakBefore w:val="0"/>
        <w:kinsoku/>
        <w:wordWrap/>
        <w:overflowPunct/>
        <w:topLinePunct w:val="0"/>
        <w:autoSpaceDE/>
        <w:autoSpaceDN/>
        <w:bidi w:val="0"/>
        <w:spacing w:line="600" w:lineRule="exact"/>
        <w:ind w:firstLine="480" w:firstLineChars="15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公用经费4.55万元，主要包括：办公费、水费、电费、邮电费、差旅费、劳务费、工会经费、福利费等</w:t>
      </w:r>
      <w:r>
        <w:rPr>
          <w:rFonts w:hint="eastAsia" w:ascii="Times New Roman" w:hAnsi="Times New Roman" w:eastAsia="仿宋_GB2312" w:cs="仿宋_GB2312"/>
          <w:color w:val="auto"/>
          <w:kern w:val="2"/>
          <w:sz w:val="32"/>
          <w:szCs w:val="32"/>
          <w:highlight w:val="none"/>
          <w:lang w:val="en-US" w:eastAsia="zh-CN" w:bidi="ar-SA"/>
        </w:rPr>
        <w:t>。</w:t>
      </w:r>
    </w:p>
    <w:p w14:paraId="1C7D458F">
      <w:pPr>
        <w:pageBreakBefore w:val="0"/>
        <w:kinsoku/>
        <w:wordWrap/>
        <w:overflowPunct/>
        <w:topLinePunct w:val="0"/>
        <w:autoSpaceDE/>
        <w:autoSpaceDN/>
        <w:bidi w:val="0"/>
        <w:spacing w:line="600" w:lineRule="exact"/>
        <w:ind w:firstLine="480" w:firstLineChars="150"/>
        <w:textAlignment w:val="auto"/>
        <w:rPr>
          <w:rFonts w:hint="eastAsia" w:ascii="Times New Roman" w:hAnsi="Times New Roman" w:eastAsia="仿宋_GB2312" w:cs="仿宋_GB2312"/>
          <w:color w:val="auto"/>
          <w:kern w:val="2"/>
          <w:sz w:val="32"/>
          <w:szCs w:val="32"/>
          <w:highlight w:val="none"/>
          <w:lang w:val="en-US" w:eastAsia="zh-CN" w:bidi="ar-SA"/>
        </w:rPr>
      </w:pPr>
    </w:p>
    <w:p w14:paraId="36CF93FE">
      <w:pPr>
        <w:pageBreakBefore w:val="0"/>
        <w:kinsoku/>
        <w:wordWrap/>
        <w:overflowPunct/>
        <w:topLinePunct w:val="0"/>
        <w:autoSpaceDE/>
        <w:autoSpaceDN/>
        <w:bidi w:val="0"/>
        <w:spacing w:line="600" w:lineRule="exact"/>
        <w:ind w:firstLine="480" w:firstLineChars="150"/>
        <w:textAlignment w:val="auto"/>
        <w:outlineLvl w:val="1"/>
        <w:rPr>
          <w:rStyle w:val="29"/>
          <w:rFonts w:ascii="Times New Roman" w:hAnsi="Times New Roman" w:eastAsia="黑体"/>
          <w:b w:val="0"/>
          <w:color w:val="auto"/>
          <w:highlight w:val="none"/>
        </w:rPr>
      </w:pPr>
      <w:bookmarkStart w:id="29" w:name="_Toc15377215"/>
      <w:bookmarkStart w:id="30" w:name="_Toc15396609"/>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29"/>
      <w:bookmarkEnd w:id="30"/>
    </w:p>
    <w:p w14:paraId="2723C164">
      <w:pPr>
        <w:pageBreakBefore w:val="0"/>
        <w:kinsoku/>
        <w:wordWrap/>
        <w:overflowPunct/>
        <w:topLinePunct w:val="0"/>
        <w:autoSpaceDE/>
        <w:autoSpaceDN/>
        <w:bidi w:val="0"/>
        <w:spacing w:line="600" w:lineRule="exact"/>
        <w:ind w:firstLine="482" w:firstLineChars="150"/>
        <w:textAlignment w:val="auto"/>
        <w:outlineLvl w:val="2"/>
        <w:rPr>
          <w:rFonts w:hint="eastAsia" w:ascii="Times New Roman" w:hAnsi="Times New Roman" w:eastAsia="楷体_GB2312" w:cs="楷体_GB2312"/>
          <w:b/>
          <w:color w:val="auto"/>
          <w:sz w:val="32"/>
          <w:szCs w:val="32"/>
          <w:highlight w:val="none"/>
        </w:rPr>
      </w:pPr>
      <w:bookmarkStart w:id="31"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31"/>
    </w:p>
    <w:p w14:paraId="1481FDC7">
      <w:pPr>
        <w:pageBreakBefore w:val="0"/>
        <w:kinsoku/>
        <w:wordWrap/>
        <w:overflowPunct/>
        <w:topLinePunct w:val="0"/>
        <w:autoSpaceDE/>
        <w:autoSpaceDN/>
        <w:bidi w:val="0"/>
        <w:spacing w:line="600" w:lineRule="exact"/>
        <w:ind w:firstLine="480" w:firstLineChars="150"/>
        <w:textAlignment w:val="auto"/>
        <w:rPr>
          <w:rFonts w:hint="default"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“三公”经费财政拨款支出决算为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较上年度</w:t>
      </w:r>
      <w:r>
        <w:rPr>
          <w:rFonts w:hint="eastAsia" w:eastAsia="仿宋_GB2312" w:cs="仿宋_GB2312"/>
          <w:color w:val="auto"/>
          <w:kern w:val="2"/>
          <w:sz w:val="32"/>
          <w:szCs w:val="32"/>
          <w:highlight w:val="none"/>
          <w:lang w:val="en-US" w:eastAsia="zh-CN" w:bidi="ar-SA"/>
        </w:rPr>
        <w:t>无变化。</w:t>
      </w:r>
    </w:p>
    <w:p w14:paraId="770EC603">
      <w:pPr>
        <w:pageBreakBefore w:val="0"/>
        <w:kinsoku/>
        <w:wordWrap/>
        <w:overflowPunct/>
        <w:topLinePunct w:val="0"/>
        <w:autoSpaceDE/>
        <w:autoSpaceDN/>
        <w:bidi w:val="0"/>
        <w:spacing w:line="600" w:lineRule="exact"/>
        <w:ind w:firstLine="482" w:firstLineChars="150"/>
        <w:textAlignment w:val="auto"/>
        <w:outlineLvl w:val="2"/>
        <w:rPr>
          <w:rFonts w:hint="eastAsia" w:ascii="Times New Roman" w:hAnsi="Times New Roman" w:eastAsia="楷体_GB2312" w:cs="楷体_GB2312"/>
          <w:b/>
          <w:color w:val="auto"/>
          <w:sz w:val="32"/>
          <w:szCs w:val="32"/>
          <w:highlight w:val="none"/>
        </w:rPr>
      </w:pPr>
      <w:bookmarkStart w:id="32"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32"/>
    </w:p>
    <w:p w14:paraId="49783DDA">
      <w:pPr>
        <w:pageBreakBefore w:val="0"/>
        <w:kinsoku/>
        <w:wordWrap/>
        <w:overflowPunct/>
        <w:topLinePunct w:val="0"/>
        <w:autoSpaceDE/>
        <w:autoSpaceDN/>
        <w:bidi w:val="0"/>
        <w:spacing w:line="600" w:lineRule="exact"/>
        <w:ind w:firstLine="480" w:firstLineChars="15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2025年度“三公”经费财政拨款支出决算中，因公出国（境）费支出决算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万元，占0%；公务用车购置及运行维护费支出决算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万元，占0%；公务接待费支出决算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万元，占0%。具体情况如下：</w:t>
      </w:r>
    </w:p>
    <w:p w14:paraId="0149F934">
      <w:pPr>
        <w:pageBreakBefore w:val="0"/>
        <w:kinsoku/>
        <w:wordWrap/>
        <w:overflowPunct/>
        <w:topLinePunct w:val="0"/>
        <w:autoSpaceDE/>
        <w:autoSpaceDN/>
        <w:bidi w:val="0"/>
        <w:spacing w:line="600" w:lineRule="exact"/>
        <w:ind w:firstLine="480" w:firstLineChars="15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（图7：“三公”经费财政拨款支出结构）（饼状图）</w:t>
      </w:r>
    </w:p>
    <w:p w14:paraId="0C08980B">
      <w:pPr>
        <w:pageBreakBefore w:val="0"/>
        <w:kinsoku/>
        <w:wordWrap/>
        <w:overflowPunct/>
        <w:topLinePunct w:val="0"/>
        <w:autoSpaceDE/>
        <w:autoSpaceDN/>
        <w:bidi w:val="0"/>
        <w:spacing w:line="600" w:lineRule="exact"/>
        <w:ind w:firstLine="482" w:firstLineChars="15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w:t>
      </w:r>
      <w:r>
        <w:rPr>
          <w:rFonts w:hint="eastAsia" w:eastAsia="仿宋_GB2312" w:cs="仿宋_GB2312"/>
          <w:color w:val="auto"/>
          <w:kern w:val="2"/>
          <w:sz w:val="32"/>
          <w:szCs w:val="32"/>
          <w:highlight w:val="none"/>
          <w:lang w:val="en-US" w:eastAsia="zh-CN" w:bidi="ar-SA"/>
        </w:rPr>
        <w:t>与上年度持平</w:t>
      </w:r>
      <w:r>
        <w:rPr>
          <w:rFonts w:hint="eastAsia" w:ascii="Times New Roman" w:hAnsi="Times New Roman" w:eastAsia="仿宋_GB2312" w:cs="仿宋_GB2312"/>
          <w:color w:val="auto"/>
          <w:kern w:val="2"/>
          <w:sz w:val="32"/>
          <w:szCs w:val="32"/>
          <w:highlight w:val="none"/>
          <w:lang w:val="en-US" w:eastAsia="zh-CN" w:bidi="ar-SA"/>
        </w:rPr>
        <w:t>。</w:t>
      </w:r>
    </w:p>
    <w:p w14:paraId="0A686998">
      <w:pPr>
        <w:pageBreakBefore w:val="0"/>
        <w:kinsoku/>
        <w:wordWrap/>
        <w:overflowPunct/>
        <w:topLinePunct w:val="0"/>
        <w:autoSpaceDE/>
        <w:autoSpaceDN/>
        <w:bidi w:val="0"/>
        <w:spacing w:line="600" w:lineRule="exact"/>
        <w:ind w:firstLine="480" w:firstLineChars="15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开支内容包括：</w:t>
      </w:r>
      <w:r>
        <w:rPr>
          <w:rFonts w:hint="eastAsia" w:eastAsia="仿宋_GB2312" w:cs="仿宋_GB2312"/>
          <w:color w:val="auto"/>
          <w:kern w:val="2"/>
          <w:sz w:val="32"/>
          <w:szCs w:val="32"/>
          <w:highlight w:val="none"/>
          <w:lang w:val="en-US" w:eastAsia="zh-CN" w:bidi="ar-SA"/>
        </w:rPr>
        <w:t>无。</w:t>
      </w:r>
    </w:p>
    <w:p w14:paraId="2086AC57">
      <w:pPr>
        <w:pageBreakBefore w:val="0"/>
        <w:kinsoku/>
        <w:wordWrap/>
        <w:overflowPunct/>
        <w:topLinePunct w:val="0"/>
        <w:autoSpaceDE/>
        <w:autoSpaceDN/>
        <w:bidi w:val="0"/>
        <w:spacing w:line="600" w:lineRule="exact"/>
        <w:ind w:firstLine="482" w:firstLineChars="15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与上年度持平。</w:t>
      </w:r>
    </w:p>
    <w:p w14:paraId="2C0B5FB6">
      <w:pPr>
        <w:pageBreakBefore w:val="0"/>
        <w:kinsoku/>
        <w:wordWrap/>
        <w:overflowPunct/>
        <w:topLinePunct w:val="0"/>
        <w:autoSpaceDE/>
        <w:autoSpaceDN/>
        <w:bidi w:val="0"/>
        <w:spacing w:line="600" w:lineRule="exact"/>
        <w:ind w:firstLine="480" w:firstLineChars="15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68FEF19A">
      <w:pPr>
        <w:pageBreakBefore w:val="0"/>
        <w:kinsoku/>
        <w:wordWrap/>
        <w:overflowPunct/>
        <w:topLinePunct w:val="0"/>
        <w:autoSpaceDE/>
        <w:autoSpaceDN/>
        <w:bidi w:val="0"/>
        <w:spacing w:line="600" w:lineRule="exact"/>
        <w:ind w:firstLine="480" w:firstLineChars="15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3A14FA28">
      <w:pPr>
        <w:pageBreakBefore w:val="0"/>
        <w:kinsoku/>
        <w:wordWrap/>
        <w:overflowPunct/>
        <w:topLinePunct w:val="0"/>
        <w:autoSpaceDE/>
        <w:autoSpaceDN/>
        <w:bidi w:val="0"/>
        <w:spacing w:line="600" w:lineRule="exact"/>
        <w:ind w:firstLine="482" w:firstLineChars="15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与上年度持平</w:t>
      </w:r>
      <w:r>
        <w:rPr>
          <w:rFonts w:hint="eastAsia" w:ascii="Times New Roman" w:hAnsi="Times New Roman" w:eastAsia="仿宋_GB2312" w:cs="仿宋_GB2312"/>
          <w:color w:val="auto"/>
          <w:kern w:val="2"/>
          <w:sz w:val="32"/>
          <w:szCs w:val="32"/>
          <w:highlight w:val="none"/>
          <w:lang w:val="en-US" w:eastAsia="zh-CN" w:bidi="ar-SA"/>
        </w:rPr>
        <w:t>。其中：</w:t>
      </w:r>
    </w:p>
    <w:p w14:paraId="2DE3F1C9">
      <w:pPr>
        <w:pageBreakBefore w:val="0"/>
        <w:kinsoku/>
        <w:wordWrap/>
        <w:overflowPunct/>
        <w:topLinePunct w:val="0"/>
        <w:autoSpaceDE/>
        <w:autoSpaceDN/>
        <w:bidi w:val="0"/>
        <w:spacing w:line="600" w:lineRule="exact"/>
        <w:ind w:firstLine="480" w:firstLineChars="15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p>
    <w:p w14:paraId="0EE60E80">
      <w:pPr>
        <w:pageBreakBefore w:val="0"/>
        <w:kinsoku/>
        <w:wordWrap/>
        <w:overflowPunct/>
        <w:topLinePunct w:val="0"/>
        <w:autoSpaceDE/>
        <w:autoSpaceDN/>
        <w:bidi w:val="0"/>
        <w:spacing w:line="600" w:lineRule="exact"/>
        <w:ind w:firstLine="480" w:firstLineChars="15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w:t>
      </w:r>
    </w:p>
    <w:p w14:paraId="0403505E">
      <w:pPr>
        <w:pageBreakBefore w:val="0"/>
        <w:kinsoku/>
        <w:wordWrap/>
        <w:overflowPunct/>
        <w:topLinePunct w:val="0"/>
        <w:autoSpaceDE/>
        <w:autoSpaceDN/>
        <w:bidi w:val="0"/>
        <w:spacing w:line="600" w:lineRule="exact"/>
        <w:ind w:firstLine="480" w:firstLineChars="150"/>
        <w:textAlignment w:val="auto"/>
        <w:rPr>
          <w:rFonts w:hint="eastAsia" w:ascii="Times New Roman" w:hAnsi="Times New Roman" w:eastAsia="仿宋_GB2312" w:cs="仿宋_GB2312"/>
          <w:color w:val="auto"/>
          <w:kern w:val="2"/>
          <w:sz w:val="32"/>
          <w:szCs w:val="32"/>
          <w:highlight w:val="none"/>
          <w:lang w:val="en-US" w:eastAsia="zh-CN" w:bidi="ar-SA"/>
        </w:rPr>
      </w:pPr>
      <w:bookmarkStart w:id="33" w:name="_Toc15396610"/>
      <w:bookmarkStart w:id="34" w:name="_Toc15377218"/>
    </w:p>
    <w:p w14:paraId="4E97F8AD">
      <w:pPr>
        <w:pageBreakBefore w:val="0"/>
        <w:kinsoku/>
        <w:wordWrap/>
        <w:overflowPunct/>
        <w:topLinePunct w:val="0"/>
        <w:autoSpaceDE/>
        <w:autoSpaceDN/>
        <w:bidi w:val="0"/>
        <w:spacing w:line="600" w:lineRule="exact"/>
        <w:ind w:firstLine="480" w:firstLineChars="150"/>
        <w:textAlignment w:val="auto"/>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33"/>
      <w:bookmarkEnd w:id="34"/>
    </w:p>
    <w:p w14:paraId="06806BCD">
      <w:pPr>
        <w:pageBreakBefore w:val="0"/>
        <w:kinsoku/>
        <w:wordWrap/>
        <w:overflowPunct/>
        <w:topLinePunct w:val="0"/>
        <w:autoSpaceDE/>
        <w:autoSpaceDN/>
        <w:bidi w:val="0"/>
        <w:spacing w:line="600" w:lineRule="exact"/>
        <w:ind w:firstLine="480" w:firstLineChars="150"/>
        <w:textAlignment w:val="auto"/>
        <w:rPr>
          <w:rFonts w:hint="eastAsia" w:ascii="Times New Roman" w:hAnsi="Times New Roman"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与上年度持平</w:t>
      </w:r>
      <w:r>
        <w:rPr>
          <w:rFonts w:hint="eastAsia" w:ascii="Times New Roman" w:hAnsi="Times New Roman" w:eastAsia="仿宋_GB2312" w:cs="仿宋_GB2312"/>
          <w:color w:val="auto"/>
          <w:kern w:val="2"/>
          <w:sz w:val="32"/>
          <w:szCs w:val="32"/>
          <w:highlight w:val="none"/>
          <w:lang w:val="en-US" w:eastAsia="zh-CN" w:bidi="ar-SA"/>
        </w:rPr>
        <w:t>。</w:t>
      </w:r>
    </w:p>
    <w:p w14:paraId="70491E61">
      <w:pPr>
        <w:pageBreakBefore w:val="0"/>
        <w:kinsoku/>
        <w:wordWrap/>
        <w:overflowPunct/>
        <w:topLinePunct w:val="0"/>
        <w:autoSpaceDE/>
        <w:autoSpaceDN/>
        <w:bidi w:val="0"/>
        <w:spacing w:line="600" w:lineRule="exact"/>
        <w:ind w:firstLine="480" w:firstLineChars="150"/>
        <w:textAlignment w:val="auto"/>
        <w:rPr>
          <w:rFonts w:hint="eastAsia" w:ascii="Times New Roman" w:hAnsi="Times New Roman" w:eastAsia="仿宋_GB2312" w:cs="仿宋_GB2312"/>
          <w:color w:val="auto"/>
          <w:kern w:val="2"/>
          <w:sz w:val="32"/>
          <w:szCs w:val="32"/>
          <w:highlight w:val="none"/>
          <w:lang w:val="en-US" w:eastAsia="zh-CN" w:bidi="ar-SA"/>
        </w:rPr>
      </w:pPr>
    </w:p>
    <w:p w14:paraId="113A32F0">
      <w:pPr>
        <w:pageBreakBefore w:val="0"/>
        <w:numPr>
          <w:ilvl w:val="0"/>
          <w:numId w:val="0"/>
        </w:numPr>
        <w:kinsoku/>
        <w:wordWrap/>
        <w:overflowPunct/>
        <w:topLinePunct w:val="0"/>
        <w:autoSpaceDE/>
        <w:autoSpaceDN/>
        <w:bidi w:val="0"/>
        <w:spacing w:line="600" w:lineRule="exact"/>
        <w:ind w:left="630" w:leftChars="0" w:firstLine="480" w:firstLineChars="150"/>
        <w:textAlignment w:val="auto"/>
        <w:outlineLvl w:val="1"/>
        <w:rPr>
          <w:rStyle w:val="29"/>
          <w:rFonts w:ascii="Times New Roman" w:hAnsi="Times New Roman" w:eastAsia="黑体"/>
          <w:b w:val="0"/>
          <w:color w:val="auto"/>
          <w:highlight w:val="none"/>
        </w:rPr>
      </w:pPr>
      <w:bookmarkStart w:id="35" w:name="_Toc15377219"/>
      <w:bookmarkStart w:id="36" w:name="_Toc15396611"/>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35"/>
      <w:bookmarkEnd w:id="36"/>
    </w:p>
    <w:p w14:paraId="2872133A">
      <w:pPr>
        <w:pageBreakBefore w:val="0"/>
        <w:kinsoku/>
        <w:wordWrap/>
        <w:overflowPunct/>
        <w:topLinePunct w:val="0"/>
        <w:autoSpaceDE/>
        <w:autoSpaceDN/>
        <w:bidi w:val="0"/>
        <w:spacing w:line="600" w:lineRule="exact"/>
        <w:ind w:firstLine="480" w:firstLineChars="15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与上年度持平</w:t>
      </w:r>
      <w:r>
        <w:rPr>
          <w:rFonts w:hint="eastAsia" w:ascii="Times New Roman" w:hAnsi="Times New Roman" w:eastAsia="仿宋_GB2312" w:cs="仿宋_GB2312"/>
          <w:color w:val="auto"/>
          <w:kern w:val="2"/>
          <w:sz w:val="32"/>
          <w:szCs w:val="32"/>
          <w:highlight w:val="none"/>
          <w:lang w:val="en-US" w:eastAsia="zh-CN" w:bidi="ar-SA"/>
        </w:rPr>
        <w:t>。</w:t>
      </w:r>
    </w:p>
    <w:p w14:paraId="0AE872DE">
      <w:pPr>
        <w:pageBreakBefore w:val="0"/>
        <w:kinsoku/>
        <w:wordWrap/>
        <w:overflowPunct/>
        <w:topLinePunct w:val="0"/>
        <w:autoSpaceDE/>
        <w:autoSpaceDN/>
        <w:bidi w:val="0"/>
        <w:spacing w:line="600" w:lineRule="exact"/>
        <w:ind w:firstLine="480" w:firstLineChars="150"/>
        <w:textAlignment w:val="auto"/>
        <w:rPr>
          <w:rFonts w:hint="eastAsia" w:ascii="Times New Roman" w:hAnsi="Times New Roman" w:eastAsia="仿宋_GB2312" w:cs="仿宋_GB2312"/>
          <w:color w:val="auto"/>
          <w:kern w:val="2"/>
          <w:sz w:val="32"/>
          <w:szCs w:val="32"/>
          <w:highlight w:val="none"/>
          <w:lang w:val="en-US" w:eastAsia="zh-CN" w:bidi="ar-SA"/>
        </w:rPr>
      </w:pPr>
    </w:p>
    <w:p w14:paraId="0ABB1257">
      <w:pPr>
        <w:pageBreakBefore w:val="0"/>
        <w:numPr>
          <w:ilvl w:val="0"/>
          <w:numId w:val="0"/>
        </w:numPr>
        <w:kinsoku/>
        <w:wordWrap/>
        <w:overflowPunct/>
        <w:topLinePunct w:val="0"/>
        <w:autoSpaceDE/>
        <w:autoSpaceDN/>
        <w:bidi w:val="0"/>
        <w:spacing w:line="600" w:lineRule="exact"/>
        <w:ind w:left="630" w:leftChars="0" w:firstLine="480" w:firstLineChars="150"/>
        <w:textAlignment w:val="auto"/>
        <w:outlineLvl w:val="1"/>
        <w:rPr>
          <w:rStyle w:val="29"/>
          <w:rFonts w:hint="eastAsia" w:ascii="Times New Roman" w:hAnsi="Times New Roman" w:eastAsia="黑体"/>
          <w:b w:val="0"/>
          <w:color w:val="auto"/>
          <w:highlight w:val="none"/>
        </w:rPr>
      </w:pPr>
      <w:bookmarkStart w:id="37" w:name="_Toc15396612"/>
      <w:bookmarkStart w:id="38" w:name="_Toc15377221"/>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37"/>
      <w:bookmarkEnd w:id="38"/>
    </w:p>
    <w:p w14:paraId="68496F27">
      <w:pPr>
        <w:pageBreakBefore w:val="0"/>
        <w:kinsoku/>
        <w:wordWrap/>
        <w:overflowPunct/>
        <w:topLinePunct w:val="0"/>
        <w:autoSpaceDE/>
        <w:autoSpaceDN/>
        <w:bidi w:val="0"/>
        <w:spacing w:line="600" w:lineRule="exact"/>
        <w:ind w:firstLine="482" w:firstLineChars="150"/>
        <w:textAlignment w:val="auto"/>
        <w:outlineLvl w:val="2"/>
        <w:rPr>
          <w:rFonts w:hint="eastAsia" w:ascii="Times New Roman" w:hAnsi="Times New Roman" w:eastAsia="楷体_GB2312" w:cs="楷体_GB2312"/>
          <w:b/>
          <w:color w:val="auto"/>
          <w:sz w:val="32"/>
          <w:szCs w:val="32"/>
          <w:highlight w:val="none"/>
        </w:rPr>
      </w:pPr>
      <w:bookmarkStart w:id="39" w:name="_Toc15377222"/>
      <w:r>
        <w:rPr>
          <w:rFonts w:hint="eastAsia" w:ascii="Times New Roman" w:hAnsi="Times New Roman" w:eastAsia="楷体_GB2312" w:cs="楷体_GB2312"/>
          <w:b/>
          <w:color w:val="auto"/>
          <w:sz w:val="32"/>
          <w:szCs w:val="32"/>
          <w:highlight w:val="none"/>
        </w:rPr>
        <w:t>（一）机关运行经费支出情况</w:t>
      </w:r>
      <w:bookmarkEnd w:id="39"/>
    </w:p>
    <w:p w14:paraId="6B7C09E4">
      <w:pPr>
        <w:pageBreakBefore w:val="0"/>
        <w:kinsoku/>
        <w:wordWrap/>
        <w:overflowPunct/>
        <w:topLinePunct w:val="0"/>
        <w:autoSpaceDE/>
        <w:autoSpaceDN/>
        <w:bidi w:val="0"/>
        <w:spacing w:line="600" w:lineRule="exact"/>
        <w:ind w:firstLine="480" w:firstLineChars="150"/>
        <w:textAlignment w:val="auto"/>
        <w:rPr>
          <w:rFonts w:hint="eastAsia" w:ascii="Times New Roman" w:hAnsi="Times New Roman" w:eastAsia="仿宋"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攀枝花市西区文化馆（西区文物保护中心）</w:t>
      </w:r>
      <w:r>
        <w:rPr>
          <w:rFonts w:hint="eastAsia" w:ascii="仿宋" w:hAnsi="仿宋" w:eastAsia="仿宋"/>
          <w:sz w:val="32"/>
          <w:szCs w:val="32"/>
        </w:rPr>
        <w:t>无</w:t>
      </w:r>
      <w:r>
        <w:rPr>
          <w:rFonts w:hint="eastAsia" w:ascii="仿宋" w:hAnsi="仿宋" w:eastAsia="仿宋"/>
          <w:sz w:val="32"/>
          <w:szCs w:val="32"/>
          <w:lang w:eastAsia="zh-CN"/>
        </w:rPr>
        <w:t>机关</w:t>
      </w:r>
      <w:r>
        <w:rPr>
          <w:rFonts w:hint="eastAsia" w:ascii="仿宋" w:hAnsi="仿宋" w:eastAsia="仿宋"/>
          <w:sz w:val="32"/>
          <w:szCs w:val="32"/>
        </w:rPr>
        <w:t>运行经费</w:t>
      </w:r>
      <w:r>
        <w:rPr>
          <w:rFonts w:hint="eastAsia" w:ascii="仿宋" w:hAnsi="仿宋" w:eastAsia="仿宋"/>
          <w:sz w:val="32"/>
          <w:szCs w:val="32"/>
          <w:lang w:eastAsia="zh-CN"/>
        </w:rPr>
        <w:t>。</w:t>
      </w:r>
    </w:p>
    <w:p w14:paraId="039E1F4F">
      <w:pPr>
        <w:pageBreakBefore w:val="0"/>
        <w:kinsoku/>
        <w:wordWrap/>
        <w:overflowPunct/>
        <w:topLinePunct w:val="0"/>
        <w:autoSpaceDE/>
        <w:autoSpaceDN/>
        <w:bidi w:val="0"/>
        <w:spacing w:line="600" w:lineRule="exact"/>
        <w:ind w:firstLine="480" w:firstLineChars="150"/>
        <w:textAlignment w:val="auto"/>
        <w:rPr>
          <w:rFonts w:hint="eastAsia" w:ascii="Times New Roman" w:hAnsi="Times New Roman" w:eastAsia="仿宋_GB2312" w:cs="仿宋_GB2312"/>
          <w:color w:val="auto"/>
          <w:kern w:val="2"/>
          <w:sz w:val="32"/>
          <w:szCs w:val="32"/>
          <w:highlight w:val="none"/>
          <w:lang w:val="en-US" w:eastAsia="zh-CN" w:bidi="ar-SA"/>
        </w:rPr>
      </w:pPr>
    </w:p>
    <w:p w14:paraId="7389C2B4">
      <w:pPr>
        <w:pageBreakBefore w:val="0"/>
        <w:kinsoku/>
        <w:wordWrap/>
        <w:overflowPunct/>
        <w:topLinePunct w:val="0"/>
        <w:autoSpaceDE/>
        <w:autoSpaceDN/>
        <w:bidi w:val="0"/>
        <w:spacing w:line="600" w:lineRule="exact"/>
        <w:ind w:firstLine="482" w:firstLineChars="150"/>
        <w:textAlignment w:val="auto"/>
        <w:outlineLvl w:val="2"/>
        <w:rPr>
          <w:rFonts w:hint="eastAsia" w:ascii="Times New Roman" w:hAnsi="Times New Roman" w:eastAsia="楷体_GB2312" w:cs="楷体_GB2312"/>
          <w:b/>
          <w:color w:val="auto"/>
          <w:sz w:val="32"/>
          <w:szCs w:val="32"/>
          <w:highlight w:val="none"/>
        </w:rPr>
      </w:pPr>
      <w:bookmarkStart w:id="40" w:name="_Toc15377223"/>
      <w:r>
        <w:rPr>
          <w:rFonts w:hint="eastAsia" w:ascii="Times New Roman" w:hAnsi="Times New Roman" w:eastAsia="楷体_GB2312" w:cs="楷体_GB2312"/>
          <w:b/>
          <w:color w:val="auto"/>
          <w:sz w:val="32"/>
          <w:szCs w:val="32"/>
          <w:highlight w:val="none"/>
        </w:rPr>
        <w:t>（二）政府采购支出情况</w:t>
      </w:r>
      <w:bookmarkEnd w:id="40"/>
    </w:p>
    <w:p w14:paraId="30751D5B">
      <w:pPr>
        <w:pageBreakBefore w:val="0"/>
        <w:kinsoku/>
        <w:wordWrap/>
        <w:overflowPunct/>
        <w:topLinePunct w:val="0"/>
        <w:autoSpaceDE/>
        <w:autoSpaceDN/>
        <w:bidi w:val="0"/>
        <w:spacing w:line="600" w:lineRule="exact"/>
        <w:ind w:firstLine="480" w:firstLineChars="15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rPr>
        <w:t>攀枝花市西区文化馆（西区文物保护中心）</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p>
    <w:p w14:paraId="084AFCE4">
      <w:pPr>
        <w:pageBreakBefore w:val="0"/>
        <w:kinsoku/>
        <w:wordWrap/>
        <w:overflowPunct/>
        <w:topLinePunct w:val="0"/>
        <w:autoSpaceDE/>
        <w:autoSpaceDN/>
        <w:bidi w:val="0"/>
        <w:spacing w:line="600" w:lineRule="exact"/>
        <w:ind w:firstLine="480" w:firstLineChars="150"/>
        <w:textAlignment w:val="auto"/>
        <w:rPr>
          <w:rFonts w:hint="eastAsia" w:ascii="Times New Roman" w:hAnsi="Times New Roman" w:eastAsia="仿宋_GB2312" w:cs="仿宋_GB2312"/>
          <w:color w:val="auto"/>
          <w:kern w:val="2"/>
          <w:sz w:val="32"/>
          <w:szCs w:val="32"/>
          <w:highlight w:val="none"/>
          <w:lang w:val="en-US" w:eastAsia="zh-CN" w:bidi="ar-SA"/>
        </w:rPr>
      </w:pPr>
    </w:p>
    <w:p w14:paraId="576F6B90">
      <w:pPr>
        <w:pageBreakBefore w:val="0"/>
        <w:kinsoku/>
        <w:wordWrap/>
        <w:overflowPunct/>
        <w:topLinePunct w:val="0"/>
        <w:autoSpaceDE/>
        <w:autoSpaceDN/>
        <w:bidi w:val="0"/>
        <w:spacing w:line="600" w:lineRule="exact"/>
        <w:ind w:firstLine="482" w:firstLineChars="150"/>
        <w:textAlignment w:val="auto"/>
        <w:outlineLvl w:val="2"/>
        <w:rPr>
          <w:rFonts w:hint="eastAsia" w:ascii="Times New Roman" w:hAnsi="Times New Roman" w:eastAsia="楷体_GB2312" w:cs="楷体_GB2312"/>
          <w:b/>
          <w:color w:val="auto"/>
          <w:sz w:val="32"/>
          <w:szCs w:val="32"/>
          <w:highlight w:val="none"/>
        </w:rPr>
      </w:pPr>
      <w:bookmarkStart w:id="41" w:name="_Toc15377224"/>
      <w:r>
        <w:rPr>
          <w:rFonts w:hint="eastAsia" w:ascii="Times New Roman" w:hAnsi="Times New Roman" w:eastAsia="楷体_GB2312" w:cs="楷体_GB2312"/>
          <w:b/>
          <w:color w:val="auto"/>
          <w:sz w:val="32"/>
          <w:szCs w:val="32"/>
          <w:highlight w:val="none"/>
        </w:rPr>
        <w:t>（三）国有资产占有使用情况</w:t>
      </w:r>
      <w:bookmarkEnd w:id="41"/>
    </w:p>
    <w:p w14:paraId="0A2E7CAB">
      <w:pPr>
        <w:pageBreakBefore w:val="0"/>
        <w:kinsoku/>
        <w:wordWrap/>
        <w:overflowPunct/>
        <w:topLinePunct w:val="0"/>
        <w:autoSpaceDE/>
        <w:autoSpaceDN/>
        <w:bidi w:val="0"/>
        <w:spacing w:line="600" w:lineRule="exact"/>
        <w:ind w:firstLine="480" w:firstLineChars="15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rPr>
        <w:t>攀枝花市西区文化馆（西区文物保护中心）</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辆。单价100万元（含）以上设备（不含车辆）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7095E215">
      <w:pPr>
        <w:pageBreakBefore w:val="0"/>
        <w:kinsoku/>
        <w:wordWrap/>
        <w:overflowPunct/>
        <w:topLinePunct w:val="0"/>
        <w:autoSpaceDE/>
        <w:autoSpaceDN/>
        <w:bidi w:val="0"/>
        <w:spacing w:line="600" w:lineRule="exact"/>
        <w:ind w:firstLine="480" w:firstLineChars="150"/>
        <w:textAlignment w:val="auto"/>
        <w:rPr>
          <w:rFonts w:hint="eastAsia" w:ascii="Times New Roman" w:hAnsi="Times New Roman" w:eastAsia="仿宋_GB2312" w:cs="仿宋_GB2312"/>
          <w:color w:val="auto"/>
          <w:kern w:val="2"/>
          <w:sz w:val="32"/>
          <w:szCs w:val="32"/>
          <w:highlight w:val="none"/>
          <w:lang w:val="en-US" w:eastAsia="zh-CN" w:bidi="ar-SA"/>
        </w:rPr>
      </w:pPr>
    </w:p>
    <w:p w14:paraId="129E92FE">
      <w:pPr>
        <w:pageBreakBefore w:val="0"/>
        <w:kinsoku/>
        <w:wordWrap/>
        <w:overflowPunct/>
        <w:topLinePunct w:val="0"/>
        <w:autoSpaceDE/>
        <w:autoSpaceDN/>
        <w:bidi w:val="0"/>
        <w:spacing w:line="600" w:lineRule="exact"/>
        <w:ind w:firstLine="482" w:firstLineChars="150"/>
        <w:textAlignment w:val="auto"/>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74533CDC">
      <w:pPr>
        <w:pageBreakBefore w:val="0"/>
        <w:kinsoku/>
        <w:wordWrap/>
        <w:overflowPunct/>
        <w:topLinePunct w:val="0"/>
        <w:autoSpaceDE/>
        <w:autoSpaceDN/>
        <w:bidi w:val="0"/>
        <w:spacing w:line="600" w:lineRule="exact"/>
        <w:ind w:firstLine="480" w:firstLineChars="15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本单位在2025年度预算编制阶段，组织对免费开放文化培训工作经费、公共图书馆美术馆文化馆免费开放中央和省级补助资金、中央支持地方公共文化服务体系建设补助资金3个项目开展了预算事前绩效评估，对3个项目编制了绩效目标，预算执行过程中，选取3个项目开展绩效监控。</w:t>
      </w:r>
    </w:p>
    <w:p w14:paraId="7BC14E94">
      <w:pPr>
        <w:pageBreakBefore w:val="0"/>
        <w:kinsoku/>
        <w:wordWrap/>
        <w:overflowPunct/>
        <w:topLinePunct w:val="0"/>
        <w:autoSpaceDE/>
        <w:autoSpaceDN/>
        <w:bidi w:val="0"/>
        <w:spacing w:line="600" w:lineRule="exact"/>
        <w:ind w:firstLine="480" w:firstLineChars="15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全面开展绩效自评，形成攀枝花市西区文化馆（攀枝花市西区考古与文物保护中心）单位整体（含单位预算项目）绩效自评报告，其中，攀枝花市西区文化馆（攀枝花市西区考古与文物保护中心）单位整体（含单位预算项目）绩效自评得分为95分。根据《部门决算量化评价表》（财决附LH01表）评价结果，具体构成如下：</w:t>
      </w:r>
    </w:p>
    <w:p w14:paraId="1BDC807F">
      <w:pPr>
        <w:pageBreakBefore w:val="0"/>
        <w:kinsoku/>
        <w:wordWrap/>
        <w:overflowPunct/>
        <w:topLinePunct w:val="0"/>
        <w:autoSpaceDE/>
        <w:autoSpaceDN/>
        <w:bidi w:val="0"/>
        <w:spacing w:line="240" w:lineRule="auto"/>
        <w:ind w:firstLine="0" w:firstLineChars="0"/>
        <w:textAlignment w:val="auto"/>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5272405" cy="1826260"/>
            <wp:effectExtent l="0" t="0" r="4445" b="2540"/>
            <wp:docPr id="1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pic:cNvPicPr>
                      <a:picLocks noChangeAspect="1"/>
                    </pic:cNvPicPr>
                  </pic:nvPicPr>
                  <pic:blipFill>
                    <a:blip r:embed="rId15"/>
                    <a:stretch>
                      <a:fillRect/>
                    </a:stretch>
                  </pic:blipFill>
                  <pic:spPr>
                    <a:xfrm>
                      <a:off x="0" y="0"/>
                      <a:ext cx="5272405" cy="1826260"/>
                    </a:xfrm>
                    <a:prstGeom prst="rect">
                      <a:avLst/>
                    </a:prstGeom>
                    <a:noFill/>
                    <a:ln>
                      <a:noFill/>
                    </a:ln>
                  </pic:spPr>
                </pic:pic>
              </a:graphicData>
            </a:graphic>
          </wp:inline>
        </w:drawing>
      </w:r>
    </w:p>
    <w:p w14:paraId="2DA5491B">
      <w:pPr>
        <w:pageBreakBefore w:val="0"/>
        <w:kinsoku/>
        <w:wordWrap/>
        <w:overflowPunct/>
        <w:topLinePunct w:val="0"/>
        <w:autoSpaceDE/>
        <w:autoSpaceDN/>
        <w:bidi w:val="0"/>
        <w:spacing w:line="600" w:lineRule="exact"/>
        <w:ind w:firstLine="480" w:firstLineChars="15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绩效自评综述：2025年，区文化馆紧紧围绕区委、区政府“一区一城”战略目标，以推动文化服务供给优质化、文化遗产保护常态化、加强文艺精品创造力为核心，扎实推动公共文化服务高质量发展。</w:t>
      </w:r>
    </w:p>
    <w:p w14:paraId="0BAEA8F4">
      <w:pPr>
        <w:pageBreakBefore w:val="0"/>
        <w:kinsoku/>
        <w:wordWrap/>
        <w:overflowPunct/>
        <w:topLinePunct w:val="0"/>
        <w:autoSpaceDE/>
        <w:autoSpaceDN/>
        <w:bidi w:val="0"/>
        <w:spacing w:line="600" w:lineRule="exact"/>
        <w:ind w:firstLine="480" w:firstLineChars="15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是推动文化服务供给优质化。以“文旅惠民+文旅共振”为核心，持续推动公共文化场馆免费对外开放，搭建“苏铁系列”和“共富大舞台”群众文化活动平台，举办了“暖暖的花城灵秀西区”文创雪糕发布仪式、“三角梅文化艺术周”等重大文旅活动。成立“共富文艺小分队”常态化开展下基层文艺文化志愿服务进社区、进村组、进校园等“十进”活动，累计开展文艺演出24台、文艺文化服务下基层60次，线下活动惠及群众12余万人次。开展“非遗进万家视频直播家乡年”等线上宣传推广活动80余期。</w:t>
      </w:r>
    </w:p>
    <w:p w14:paraId="4210DB4F">
      <w:pPr>
        <w:pageBreakBefore w:val="0"/>
        <w:kinsoku/>
        <w:wordWrap/>
        <w:overflowPunct/>
        <w:topLinePunct w:val="0"/>
        <w:autoSpaceDE/>
        <w:autoSpaceDN/>
        <w:bidi w:val="0"/>
        <w:spacing w:line="600" w:lineRule="exact"/>
        <w:ind w:firstLine="480" w:firstLineChars="15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二是推动文化遗产保护常态化。加强非遗传承保护，开展傩傩歌舞、民间剪纸、金沙漆画技艺等非遗项目进校园传习活动80余次，惠及师生2500余人次，开展社会实践活动18次、非遗展览8次，惠及群众6000余人次，新增“友芳古法酿酒技艺”区级非遗项目、非遗工坊1个。加强文物保护利用，完成第三次文物普查39处点位复查及数据录入，完成初公园三线建设博物馆、宝鼎文化展示厅年度绩效评估并顺利通过省级复核，开展文物单位和博物馆安全专项检查8次。</w:t>
      </w:r>
    </w:p>
    <w:p w14:paraId="30B48C5C">
      <w:pPr>
        <w:pageBreakBefore w:val="0"/>
        <w:kinsoku/>
        <w:wordWrap/>
        <w:overflowPunct/>
        <w:topLinePunct w:val="0"/>
        <w:autoSpaceDE/>
        <w:autoSpaceDN/>
        <w:bidi w:val="0"/>
        <w:spacing w:line="600" w:lineRule="exact"/>
        <w:ind w:firstLine="480" w:firstLineChars="15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三是加强文艺精品创作。西区文化馆创作团队深挖本土文化内核，紧扣“三线精神”、傈僳族特色文化、攀枝花苏铁等核心元素，创编《苏铁花开时光里》《傈僳祝酒歌》《请你留下来》《傈僳情》《金沙热浪》等优秀文艺作品近十个。其中，舞蹈《苏铁花开时光里》《傈僳情》以深刻的主题内涵和精湛的艺术呈现，生动展现西区人民接续奋斗的精神风貌，成为宣传地方特色文化的标杆之作。</w:t>
      </w:r>
      <w:r>
        <w:rPr>
          <w:rFonts w:hint="eastAsia" w:ascii="仿宋_GB2312" w:hAnsi="Calibri" w:eastAsia="仿宋_GB2312" w:cs="仿宋"/>
          <w:color w:val="auto"/>
          <w:kern w:val="0"/>
          <w:sz w:val="32"/>
          <w:szCs w:val="32"/>
          <w:highlight w:val="none"/>
          <w:lang w:val="en-US" w:eastAsia="zh-CN" w:bidi="ar-SA"/>
        </w:rPr>
        <w:t>。绩效自评报告详见附件。</w:t>
      </w:r>
    </w:p>
    <w:p w14:paraId="2D67B1DC">
      <w:pPr>
        <w:pageBreakBefore w:val="0"/>
        <w:numPr>
          <w:ilvl w:val="0"/>
          <w:numId w:val="0"/>
        </w:numPr>
        <w:kinsoku/>
        <w:wordWrap/>
        <w:overflowPunct/>
        <w:topLinePunct w:val="0"/>
        <w:autoSpaceDE/>
        <w:autoSpaceDN/>
        <w:bidi w:val="0"/>
        <w:spacing w:line="600" w:lineRule="exact"/>
        <w:ind w:firstLine="660" w:firstLineChars="150"/>
        <w:jc w:val="center"/>
        <w:textAlignment w:val="auto"/>
        <w:outlineLvl w:val="0"/>
        <w:rPr>
          <w:rFonts w:hint="eastAsia" w:ascii="Times New Roman" w:hAnsi="Times New Roman" w:eastAsia="黑体"/>
          <w:color w:val="auto"/>
          <w:sz w:val="44"/>
          <w:szCs w:val="44"/>
          <w:highlight w:val="none"/>
        </w:rPr>
      </w:pPr>
      <w:bookmarkStart w:id="42" w:name="_Toc15377225"/>
      <w:bookmarkStart w:id="43"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2"/>
      <w:bookmarkEnd w:id="43"/>
    </w:p>
    <w:p w14:paraId="6A1CE2B7">
      <w:pPr>
        <w:pageBreakBefore w:val="0"/>
        <w:kinsoku/>
        <w:wordWrap/>
        <w:overflowPunct/>
        <w:topLinePunct w:val="0"/>
        <w:autoSpaceDE/>
        <w:autoSpaceDN/>
        <w:bidi w:val="0"/>
        <w:spacing w:line="600" w:lineRule="exact"/>
        <w:ind w:firstLine="663" w:firstLineChars="150"/>
        <w:jc w:val="left"/>
        <w:textAlignment w:val="auto"/>
        <w:rPr>
          <w:rFonts w:ascii="Times New Roman" w:hAnsi="Times New Roman"/>
          <w:b/>
          <w:color w:val="auto"/>
          <w:sz w:val="44"/>
          <w:szCs w:val="44"/>
          <w:highlight w:val="none"/>
        </w:rPr>
      </w:pPr>
    </w:p>
    <w:p w14:paraId="561F6231">
      <w:pPr>
        <w:pStyle w:val="19"/>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仿宋_GB2312" w:eastAsia="仿宋_GB2312"/>
          <w:color w:val="auto"/>
          <w:sz w:val="32"/>
          <w:szCs w:val="32"/>
          <w:highlight w:val="none"/>
        </w:rPr>
      </w:pPr>
      <w:bookmarkStart w:id="44" w:name="_Toc15377226"/>
      <w:r>
        <w:rPr>
          <w:rFonts w:hint="eastAsia" w:ascii="仿宋_GB2312" w:eastAsia="仿宋_GB2312"/>
          <w:color w:val="auto"/>
          <w:sz w:val="32"/>
          <w:szCs w:val="32"/>
          <w:highlight w:val="none"/>
        </w:rPr>
        <w:t>1.财政拨款收入：指单位从同级财政部门取得的财政预算资金。</w:t>
      </w:r>
    </w:p>
    <w:p w14:paraId="63E056CE">
      <w:pPr>
        <w:pStyle w:val="19"/>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2.事业收入：指事业单位开展专业业务活动及辅助活动取得的收入。</w:t>
      </w:r>
    </w:p>
    <w:p w14:paraId="51D2D99A">
      <w:pPr>
        <w:pStyle w:val="19"/>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3.经营收入：指事业单位在专业业务活动及其辅助活动之外开展非独立核算经营活动取得的收入。</w:t>
      </w:r>
    </w:p>
    <w:p w14:paraId="0093D09D">
      <w:pPr>
        <w:pStyle w:val="19"/>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4.其他收入：指单位取得的除上述收入以外的各项收入。</w:t>
      </w:r>
    </w:p>
    <w:p w14:paraId="0937BD23">
      <w:pPr>
        <w:pStyle w:val="19"/>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5.使用非财政拨款结余（含专用结余）：指事业单位使用以前年度积累的非财政拨款结余弥补当年收支差额的金额。</w:t>
      </w:r>
    </w:p>
    <w:p w14:paraId="46AADD14">
      <w:pPr>
        <w:pStyle w:val="19"/>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6.年初结转和结余：指以前年度尚未完成、结转到本年按有关规定继续使用的资金。</w:t>
      </w:r>
    </w:p>
    <w:p w14:paraId="6A7CBF57">
      <w:pPr>
        <w:pStyle w:val="19"/>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7.结余分配：指事业单位按照会计制度规定缴纳的所得税、提取的专用结余以及转入非财政拨款结余的金额等。</w:t>
      </w:r>
    </w:p>
    <w:p w14:paraId="26E50398">
      <w:pPr>
        <w:pStyle w:val="19"/>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8.年末结转和结余：指单位按有关规定结转到下年或以后年度继续使用的资金。</w:t>
      </w:r>
    </w:p>
    <w:p w14:paraId="00D656AE">
      <w:pPr>
        <w:pStyle w:val="19"/>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9.文化旅游体育与传媒支出（类）文化和旅游（款）群众文化（项）：反映群众文化方面的支出，包括基层文化馆（站）、群众艺术馆支出等。</w:t>
      </w:r>
    </w:p>
    <w:p w14:paraId="1EF8A123">
      <w:pPr>
        <w:pStyle w:val="19"/>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10.文化旅游体育与传媒支出（类）文化和旅游（款）其他文化和旅游支出（项）：反映除上述项目以外其他用于文化和旅游方面的支出。</w:t>
      </w:r>
    </w:p>
    <w:p w14:paraId="3CD58E0A">
      <w:pPr>
        <w:pStyle w:val="19"/>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11.文化旅游体育与传媒支出（类）其他文化旅游体育与传媒支出（款）其他文化旅游体育与传媒支出（项）：反映除上述项目以外其他用于文化旅游体育与传媒方面的支出。</w:t>
      </w:r>
    </w:p>
    <w:p w14:paraId="71981A40">
      <w:pPr>
        <w:pStyle w:val="19"/>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12.社会保障和就业支出（类）行政事业单位养老支出（款）事业单位离退休（项）：反映事业单位开支的离退休经费。</w:t>
      </w:r>
    </w:p>
    <w:p w14:paraId="7D931458">
      <w:pPr>
        <w:pStyle w:val="19"/>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13.社会保障和就业支出（类）行政事业单位养老支出（款）机关事业单位基本养老保险缴费支出（项）：反映机关事业单位实施养老保险制度由单位缴纳的基本养老保险费支出。</w:t>
      </w:r>
    </w:p>
    <w:p w14:paraId="65407733">
      <w:pPr>
        <w:pStyle w:val="19"/>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14.卫生健康支出（类）行政事业单位医疗（款）事业单位医疗（项）：反映财政部门安排的事业单位基本医疗保险缴费经费，未参加医疗保险的事业单位的公费医疗经费，按国家规定享受离休人员待遇的医疗经费。</w:t>
      </w:r>
    </w:p>
    <w:p w14:paraId="4FE3B74A">
      <w:pPr>
        <w:pStyle w:val="19"/>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15.卫生健康支出（类）行政事业单位医疗（款）其他行政事业单位医疗支出（项）：反映除上述项目以外的其他用于行政事业单位医疗方面的支出。</w:t>
      </w:r>
    </w:p>
    <w:p w14:paraId="7A99BB6C">
      <w:pPr>
        <w:pStyle w:val="19"/>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16.住房保障支出（类）住房改革支出（款）住房公积金（项）：指行政事业单位按人力资源和社会保障部、财政部规定的基本工资和津贴补贴以及规定比例为职工缴纳的住房公积金。</w:t>
      </w:r>
    </w:p>
    <w:p w14:paraId="55694196">
      <w:pPr>
        <w:pStyle w:val="19"/>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17.基本支出：指为保障机构正常运转、完成日常工作任务而发生的人员支出和公用支出。</w:t>
      </w:r>
    </w:p>
    <w:p w14:paraId="79B69DF2">
      <w:pPr>
        <w:pStyle w:val="19"/>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18.项目支出：指在基本支出之外为完成特定行政任务和事业发展目标所发生的支出。</w:t>
      </w:r>
    </w:p>
    <w:p w14:paraId="41D3E0F2">
      <w:pPr>
        <w:pStyle w:val="19"/>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19.经营支出：指事业单位在专业业务活动及其辅助活动之外开展非独立核算经营活动发生的支出。</w:t>
      </w:r>
    </w:p>
    <w:p w14:paraId="04E023B6">
      <w:pPr>
        <w:pStyle w:val="19"/>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20.“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85FD46A">
      <w:pPr>
        <w:pStyle w:val="19"/>
        <w:keepNext w:val="0"/>
        <w:keepLines w:val="0"/>
        <w:pageBreakBefore w:val="0"/>
        <w:widowControl w:val="0"/>
        <w:kinsoku/>
        <w:wordWrap/>
        <w:overflowPunct/>
        <w:topLinePunct w:val="0"/>
        <w:bidi w:val="0"/>
        <w:snapToGrid/>
        <w:spacing w:line="600" w:lineRule="exact"/>
        <w:ind w:firstLine="480" w:firstLineChars="150"/>
        <w:textAlignment w:val="auto"/>
        <w:rPr>
          <w:rStyle w:val="28"/>
          <w:rFonts w:hint="eastAsia" w:ascii="Times New Roman" w:hAnsi="Times New Roman" w:eastAsia="黑体"/>
          <w:b w:val="0"/>
          <w:color w:val="auto"/>
          <w:highlight w:val="none"/>
          <w:lang w:eastAsia="zh-CN"/>
        </w:rPr>
      </w:pPr>
      <w:r>
        <w:rPr>
          <w:rFonts w:hint="eastAsia" w:ascii="仿宋_GB2312" w:eastAsia="仿宋_GB2312"/>
          <w:color w:val="auto"/>
          <w:sz w:val="32"/>
          <w:szCs w:val="32"/>
          <w:highlight w:val="none"/>
        </w:rPr>
        <w:t>21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Times New Roman" w:hAnsi="Times New Roman" w:eastAsia="仿宋_GB2312" w:cs="仿宋_GB2312"/>
          <w:color w:val="auto"/>
          <w:kern w:val="2"/>
          <w:sz w:val="32"/>
          <w:szCs w:val="32"/>
          <w:highlight w:val="none"/>
          <w:lang w:val="en-US" w:eastAsia="zh-CN" w:bidi="ar-SA"/>
        </w:rPr>
        <w:br w:type="page"/>
      </w:r>
      <w:bookmarkStart w:id="45" w:name="_Toc15396614"/>
      <w:r>
        <w:rPr>
          <w:rFonts w:hint="eastAsia" w:ascii="Times New Roman" w:hAnsi="Times New Roman" w:eastAsia="仿宋_GB2312" w:cs="仿宋_GB2312"/>
          <w:color w:val="auto"/>
          <w:kern w:val="2"/>
          <w:sz w:val="32"/>
          <w:szCs w:val="32"/>
          <w:highlight w:val="none"/>
          <w:lang w:val="en-US" w:eastAsia="zh-CN" w:bidi="ar-SA"/>
        </w:rPr>
        <w:t xml:space="preserve">                </w:t>
      </w:r>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5"/>
    </w:p>
    <w:p w14:paraId="25A794B4">
      <w:pPr>
        <w:pageBreakBefore w:val="0"/>
        <w:kinsoku/>
        <w:wordWrap/>
        <w:overflowPunct/>
        <w:topLinePunct w:val="0"/>
        <w:autoSpaceDE/>
        <w:autoSpaceDN/>
        <w:bidi w:val="0"/>
        <w:spacing w:line="600" w:lineRule="exact"/>
        <w:textAlignment w:val="auto"/>
        <w:outlineLvl w:val="1"/>
        <w:rPr>
          <w:rFonts w:hint="eastAsia" w:ascii="Times New Roman" w:hAnsi="Times New Roman" w:eastAsia="黑体"/>
          <w:b w:val="0"/>
          <w:bCs w:val="0"/>
          <w:color w:val="auto"/>
          <w:sz w:val="32"/>
          <w:szCs w:val="32"/>
          <w:highlight w:val="none"/>
          <w:lang w:val="zh-CN" w:eastAsia="zh-CN"/>
        </w:rPr>
      </w:pPr>
      <w:r>
        <w:rPr>
          <w:rFonts w:hint="eastAsia" w:ascii="Times New Roman" w:hAnsi="Times New Roman" w:eastAsia="黑体"/>
          <w:b w:val="0"/>
          <w:bCs w:val="0"/>
          <w:color w:val="auto"/>
          <w:sz w:val="32"/>
          <w:szCs w:val="32"/>
          <w:highlight w:val="none"/>
          <w:lang w:val="zh-CN"/>
        </w:rPr>
        <w:t>附件</w:t>
      </w:r>
      <w:r>
        <w:rPr>
          <w:rFonts w:hint="eastAsia" w:ascii="Times New Roman" w:hAnsi="Times New Roman" w:eastAsia="黑体"/>
          <w:b w:val="0"/>
          <w:bCs w:val="0"/>
          <w:color w:val="auto"/>
          <w:sz w:val="32"/>
          <w:szCs w:val="32"/>
          <w:highlight w:val="none"/>
          <w:lang w:val="en-US" w:eastAsia="zh-CN"/>
        </w:rPr>
        <w:t>1</w:t>
      </w:r>
    </w:p>
    <w:p w14:paraId="342A248B">
      <w:pPr>
        <w:widowControl/>
        <w:spacing w:line="578" w:lineRule="exact"/>
        <w:contextualSpacing/>
        <w:rPr>
          <w:rFonts w:eastAsia="宋体"/>
          <w:b/>
          <w:sz w:val="44"/>
          <w:szCs w:val="44"/>
          <w:shd w:val="clear" w:color="auto" w:fill="FFFFFF"/>
        </w:rPr>
      </w:pPr>
    </w:p>
    <w:p w14:paraId="5BC1EEF1">
      <w:pPr>
        <w:widowControl/>
        <w:spacing w:line="578" w:lineRule="exact"/>
        <w:contextualSpacing/>
        <w:jc w:val="center"/>
        <w:rPr>
          <w:rFonts w:eastAsia="方正小标宋简体"/>
          <w:bCs/>
          <w:sz w:val="44"/>
          <w:szCs w:val="44"/>
          <w:shd w:val="clear" w:color="auto" w:fill="FFFFFF"/>
        </w:rPr>
      </w:pPr>
      <w:r>
        <w:rPr>
          <w:rFonts w:eastAsia="方正小标宋简体"/>
          <w:bCs/>
          <w:sz w:val="44"/>
          <w:szCs w:val="44"/>
          <w:shd w:val="clear" w:color="auto" w:fill="FFFFFF"/>
        </w:rPr>
        <w:t>部门预算绩效</w:t>
      </w:r>
      <w:r>
        <w:rPr>
          <w:rFonts w:hint="eastAsia" w:eastAsia="方正小标宋简体"/>
          <w:bCs/>
          <w:sz w:val="44"/>
          <w:szCs w:val="44"/>
          <w:shd w:val="clear" w:color="auto" w:fill="FFFFFF"/>
        </w:rPr>
        <w:t>自评</w:t>
      </w:r>
      <w:r>
        <w:rPr>
          <w:rFonts w:eastAsia="方正小标宋简体"/>
          <w:bCs/>
          <w:sz w:val="44"/>
          <w:szCs w:val="44"/>
          <w:shd w:val="clear" w:color="auto" w:fill="FFFFFF"/>
        </w:rPr>
        <w:t>报告</w:t>
      </w:r>
    </w:p>
    <w:p w14:paraId="445B3A62">
      <w:pPr>
        <w:widowControl/>
        <w:spacing w:line="578" w:lineRule="exact"/>
        <w:contextualSpacing/>
        <w:jc w:val="center"/>
        <w:rPr>
          <w:szCs w:val="32"/>
          <w:shd w:val="clear" w:color="auto" w:fill="FFFFFF"/>
        </w:rPr>
      </w:pPr>
      <w:r>
        <w:rPr>
          <w:szCs w:val="32"/>
          <w:shd w:val="clear" w:color="auto" w:fill="FFFFFF"/>
        </w:rPr>
        <w:t>（报告范围包括机关和下属单位）</w:t>
      </w:r>
    </w:p>
    <w:p w14:paraId="5F21BA38">
      <w:pPr>
        <w:widowControl/>
        <w:adjustRightInd w:val="0"/>
        <w:snapToGrid w:val="0"/>
        <w:spacing w:line="578" w:lineRule="exact"/>
        <w:ind w:firstLine="480" w:firstLineChars="200"/>
        <w:contextualSpacing/>
        <w:jc w:val="left"/>
        <w:rPr>
          <w:rFonts w:eastAsia="黑体"/>
          <w:color w:val="000000"/>
          <w:kern w:val="0"/>
          <w:sz w:val="24"/>
          <w:szCs w:val="32"/>
          <w:shd w:val="clear" w:color="auto" w:fill="FFFFFF"/>
        </w:rPr>
      </w:pPr>
    </w:p>
    <w:p w14:paraId="5560E68D">
      <w:pPr>
        <w:keepNext w:val="0"/>
        <w:keepLines w:val="0"/>
        <w:pageBreakBefore w:val="0"/>
        <w:widowControl w:val="0"/>
        <w:kinsoku/>
        <w:wordWrap/>
        <w:overflowPunct/>
        <w:topLinePunct w:val="0"/>
        <w:autoSpaceDE/>
        <w:autoSpaceDN/>
        <w:bidi w:val="0"/>
        <w:spacing w:line="360" w:lineRule="auto"/>
        <w:ind w:firstLine="640" w:firstLineChars="200"/>
        <w:textAlignment w:val="auto"/>
        <w:outlineLvl w:val="1"/>
        <w:rPr>
          <w:rFonts w:hint="eastAsia" w:ascii="Times New Roman" w:hAnsi="Times New Roman" w:eastAsia="黑体"/>
          <w:color w:val="auto"/>
          <w:sz w:val="32"/>
          <w:szCs w:val="32"/>
          <w:highlight w:val="none"/>
        </w:rPr>
      </w:pPr>
      <w:r>
        <w:rPr>
          <w:rFonts w:hint="eastAsia" w:ascii="Times New Roman" w:hAnsi="Times New Roman" w:eastAsia="黑体"/>
          <w:color w:val="auto"/>
          <w:sz w:val="32"/>
          <w:szCs w:val="32"/>
          <w:highlight w:val="none"/>
          <w:lang w:val="zh-CN"/>
        </w:rPr>
        <w:t>一、部门（单位）基本情况</w:t>
      </w:r>
    </w:p>
    <w:p w14:paraId="2738F983">
      <w:pPr>
        <w:keepNext w:val="0"/>
        <w:keepLines w:val="0"/>
        <w:pageBreakBefore w:val="0"/>
        <w:widowControl w:val="0"/>
        <w:kinsoku/>
        <w:wordWrap/>
        <w:overflowPunct/>
        <w:topLinePunct w:val="0"/>
        <w:autoSpaceDE/>
        <w:autoSpaceDN/>
        <w:bidi w:val="0"/>
        <w:spacing w:line="360" w:lineRule="auto"/>
        <w:ind w:firstLine="643" w:firstLineChars="200"/>
        <w:textAlignment w:val="auto"/>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lang w:val="zh-CN"/>
        </w:rPr>
        <w:t>（一）机构组成。</w:t>
      </w:r>
    </w:p>
    <w:p w14:paraId="2FBE9CF3">
      <w:pPr>
        <w:keepNext w:val="0"/>
        <w:keepLines w:val="0"/>
        <w:pageBreakBefore w:val="0"/>
        <w:widowControl w:val="0"/>
        <w:kinsoku/>
        <w:wordWrap/>
        <w:overflowPunct/>
        <w:topLinePunct w:val="0"/>
        <w:autoSpaceDE/>
        <w:autoSpaceDN/>
        <w:bidi w:val="0"/>
        <w:spacing w:line="360" w:lineRule="auto"/>
        <w:ind w:firstLine="640" w:firstLineChars="200"/>
        <w:textAlignment w:val="auto"/>
        <w:rPr>
          <w:rFonts w:hint="eastAsia" w:ascii="Calibri" w:hAnsi="Calibri" w:eastAsia="仿宋_GB2312" w:cs="Arial"/>
          <w:kern w:val="2"/>
          <w:sz w:val="32"/>
          <w:szCs w:val="32"/>
          <w:lang w:val="zh-CN" w:eastAsia="zh-CN" w:bidi="ar-SA"/>
        </w:rPr>
      </w:pPr>
      <w:r>
        <w:rPr>
          <w:rFonts w:hint="eastAsia" w:ascii="Calibri" w:hAnsi="Calibri" w:eastAsia="仿宋_GB2312" w:cs="Arial"/>
          <w:kern w:val="2"/>
          <w:sz w:val="32"/>
          <w:szCs w:val="32"/>
          <w:lang w:val="zh-CN" w:eastAsia="zh-CN" w:bidi="ar-SA"/>
        </w:rPr>
        <w:t>西区文化馆无内设机构。</w:t>
      </w:r>
    </w:p>
    <w:p w14:paraId="5921D63B">
      <w:pPr>
        <w:keepNext w:val="0"/>
        <w:keepLines w:val="0"/>
        <w:pageBreakBefore w:val="0"/>
        <w:widowControl w:val="0"/>
        <w:kinsoku/>
        <w:wordWrap/>
        <w:overflowPunct/>
        <w:topLinePunct w:val="0"/>
        <w:autoSpaceDE/>
        <w:autoSpaceDN/>
        <w:bidi w:val="0"/>
        <w:spacing w:line="360" w:lineRule="auto"/>
        <w:ind w:firstLine="643" w:firstLineChars="200"/>
        <w:textAlignment w:val="auto"/>
        <w:outlineLvl w:val="2"/>
        <w:rPr>
          <w:rFonts w:hint="eastAsia" w:ascii="Times New Roman" w:hAnsi="Times New Roman" w:eastAsia="楷体_GB2312" w:cs="楷体_GB2312"/>
          <w:b/>
          <w:color w:val="auto"/>
          <w:sz w:val="32"/>
          <w:szCs w:val="32"/>
          <w:highlight w:val="none"/>
          <w:lang w:val="zh-CN"/>
        </w:rPr>
      </w:pPr>
      <w:r>
        <w:rPr>
          <w:rFonts w:hint="eastAsia" w:ascii="Times New Roman" w:hAnsi="Times New Roman" w:eastAsia="楷体_GB2312" w:cs="楷体_GB2312"/>
          <w:b/>
          <w:color w:val="auto"/>
          <w:sz w:val="32"/>
          <w:szCs w:val="32"/>
          <w:highlight w:val="none"/>
          <w:lang w:val="zh-CN"/>
        </w:rPr>
        <w:t>（二）机构职能。</w:t>
      </w:r>
    </w:p>
    <w:p w14:paraId="73268318">
      <w:pPr>
        <w:keepNext w:val="0"/>
        <w:keepLines w:val="0"/>
        <w:pageBreakBefore w:val="0"/>
        <w:widowControl w:val="0"/>
        <w:kinsoku/>
        <w:wordWrap/>
        <w:overflowPunct/>
        <w:topLinePunct w:val="0"/>
        <w:autoSpaceDE/>
        <w:autoSpaceDN/>
        <w:bidi w:val="0"/>
        <w:spacing w:line="360" w:lineRule="auto"/>
        <w:ind w:firstLine="640" w:firstLineChars="200"/>
        <w:textAlignment w:val="auto"/>
        <w:rPr>
          <w:rFonts w:hint="eastAsia" w:eastAsia="仿宋_GB2312"/>
          <w:b/>
          <w:bCs/>
          <w:color w:val="000000"/>
          <w:kern w:val="0"/>
          <w:szCs w:val="32"/>
          <w:shd w:val="clear" w:color="auto" w:fill="FFFFFF"/>
          <w:lang w:val="zh-CN" w:eastAsia="zh-CN"/>
        </w:rPr>
      </w:pPr>
      <w:r>
        <w:rPr>
          <w:rFonts w:hint="eastAsia" w:ascii="Calibri" w:hAnsi="Calibri" w:cs="Arial"/>
          <w:kern w:val="2"/>
          <w:sz w:val="32"/>
          <w:szCs w:val="32"/>
          <w:lang w:val="en-US" w:eastAsia="zh-CN" w:bidi="ar-SA"/>
        </w:rPr>
        <w:t>西区文化馆主要职责：</w:t>
      </w:r>
      <w:r>
        <w:rPr>
          <w:rFonts w:hint="eastAsia" w:ascii="Calibri" w:hAnsi="Calibri" w:eastAsia="仿宋_GB2312" w:cs="Arial"/>
          <w:kern w:val="2"/>
          <w:sz w:val="32"/>
          <w:szCs w:val="32"/>
          <w:lang w:val="en-US" w:eastAsia="zh-CN" w:bidi="ar-SA"/>
        </w:rPr>
        <w:t>开展公益性文化艺术活动和社会公益培训，实行免费开放；组织指导和推广群众性文艺创作；对基层群众文化组织进行业务指导；组织开展群众文化理论研究和交流活动；收集整理、研究非物质文化遗产，开展非物质文化遗产的普查、展示、宣传活动，指导传承人开展传习活动</w:t>
      </w:r>
      <w:r>
        <w:rPr>
          <w:rFonts w:hint="eastAsia" w:ascii="仿宋_GB2312"/>
          <w:color w:val="000000"/>
          <w:sz w:val="32"/>
          <w:szCs w:val="32"/>
          <w:lang w:eastAsia="zh-CN"/>
        </w:rPr>
        <w:t>。</w:t>
      </w:r>
    </w:p>
    <w:p w14:paraId="44263C0B">
      <w:pPr>
        <w:keepNext w:val="0"/>
        <w:keepLines w:val="0"/>
        <w:pageBreakBefore w:val="0"/>
        <w:widowControl w:val="0"/>
        <w:kinsoku/>
        <w:wordWrap/>
        <w:overflowPunct/>
        <w:topLinePunct w:val="0"/>
        <w:autoSpaceDE/>
        <w:autoSpaceDN/>
        <w:bidi w:val="0"/>
        <w:spacing w:line="360" w:lineRule="auto"/>
        <w:ind w:firstLine="643" w:firstLineChars="200"/>
        <w:textAlignment w:val="auto"/>
        <w:outlineLvl w:val="2"/>
        <w:rPr>
          <w:rFonts w:hint="eastAsia" w:ascii="Times New Roman" w:hAnsi="Times New Roman" w:eastAsia="楷体_GB2312" w:cs="楷体_GB2312"/>
          <w:b/>
          <w:color w:val="auto"/>
          <w:sz w:val="32"/>
          <w:szCs w:val="32"/>
          <w:highlight w:val="none"/>
          <w:lang w:val="zh-CN"/>
        </w:rPr>
      </w:pPr>
      <w:r>
        <w:rPr>
          <w:rFonts w:hint="eastAsia" w:ascii="Times New Roman" w:hAnsi="Times New Roman" w:eastAsia="楷体_GB2312" w:cs="楷体_GB2312"/>
          <w:b/>
          <w:color w:val="auto"/>
          <w:sz w:val="32"/>
          <w:szCs w:val="32"/>
          <w:highlight w:val="none"/>
          <w:lang w:val="zh-CN"/>
        </w:rPr>
        <w:t>（三）人员概况。</w:t>
      </w:r>
    </w:p>
    <w:p w14:paraId="44FF4997">
      <w:pPr>
        <w:keepNext w:val="0"/>
        <w:keepLines w:val="0"/>
        <w:pageBreakBefore w:val="0"/>
        <w:widowControl w:val="0"/>
        <w:numPr>
          <w:ilvl w:val="0"/>
          <w:numId w:val="0"/>
        </w:numPr>
        <w:kinsoku/>
        <w:wordWrap/>
        <w:overflowPunct/>
        <w:topLinePunct w:val="0"/>
        <w:autoSpaceDE/>
        <w:autoSpaceDN/>
        <w:bidi w:val="0"/>
        <w:spacing w:line="360" w:lineRule="auto"/>
        <w:ind w:firstLine="640" w:firstLineChars="200"/>
        <w:textAlignment w:val="auto"/>
        <w:rPr>
          <w:rFonts w:eastAsia="黑体"/>
          <w:color w:val="000000"/>
          <w:kern w:val="0"/>
          <w:szCs w:val="32"/>
          <w:shd w:val="clear" w:color="auto" w:fill="FFFFFF"/>
        </w:rPr>
      </w:pPr>
      <w:r>
        <w:rPr>
          <w:rFonts w:hint="eastAsia" w:ascii="Times New Roman" w:hAnsi="Times New Roman" w:eastAsia="仿宋_GB2312"/>
          <w:sz w:val="32"/>
          <w:szCs w:val="32"/>
        </w:rPr>
        <w:t>根据2025年度部门决算数据，截至2025年末，我单位编制内实有人员5人（均为事业管理人员和专业技术人员），其他人员4人。与上年相比，人员无变动</w:t>
      </w:r>
      <w:r>
        <w:rPr>
          <w:szCs w:val="32"/>
        </w:rPr>
        <w:t>。</w:t>
      </w:r>
    </w:p>
    <w:p w14:paraId="77359196">
      <w:pPr>
        <w:keepNext w:val="0"/>
        <w:keepLines w:val="0"/>
        <w:pageBreakBefore w:val="0"/>
        <w:widowControl w:val="0"/>
        <w:kinsoku/>
        <w:wordWrap/>
        <w:overflowPunct/>
        <w:topLinePunct w:val="0"/>
        <w:autoSpaceDE/>
        <w:autoSpaceDN/>
        <w:bidi w:val="0"/>
        <w:spacing w:line="360" w:lineRule="auto"/>
        <w:ind w:firstLine="640" w:firstLineChars="200"/>
        <w:textAlignment w:val="auto"/>
        <w:outlineLvl w:val="1"/>
        <w:rPr>
          <w:rFonts w:hint="eastAsia" w:ascii="Times New Roman" w:hAnsi="Times New Roman" w:eastAsia="黑体"/>
          <w:color w:val="auto"/>
          <w:sz w:val="32"/>
          <w:szCs w:val="32"/>
          <w:highlight w:val="none"/>
          <w:lang w:val="zh-CN"/>
        </w:rPr>
      </w:pPr>
      <w:r>
        <w:rPr>
          <w:rFonts w:hint="eastAsia" w:ascii="Times New Roman" w:hAnsi="Times New Roman" w:eastAsia="黑体"/>
          <w:color w:val="auto"/>
          <w:sz w:val="32"/>
          <w:szCs w:val="32"/>
          <w:highlight w:val="none"/>
          <w:lang w:val="zh-CN"/>
        </w:rPr>
        <w:t>二、部门资金收支情况</w:t>
      </w:r>
    </w:p>
    <w:p w14:paraId="3B32A6AD">
      <w:pPr>
        <w:keepNext w:val="0"/>
        <w:keepLines w:val="0"/>
        <w:pageBreakBefore w:val="0"/>
        <w:widowControl w:val="0"/>
        <w:kinsoku/>
        <w:wordWrap/>
        <w:overflowPunct/>
        <w:topLinePunct w:val="0"/>
        <w:autoSpaceDE/>
        <w:autoSpaceDN/>
        <w:bidi w:val="0"/>
        <w:spacing w:line="360" w:lineRule="auto"/>
        <w:ind w:firstLine="643" w:firstLineChars="200"/>
        <w:textAlignment w:val="auto"/>
        <w:outlineLvl w:val="2"/>
        <w:rPr>
          <w:rFonts w:hint="eastAsia" w:ascii="Times New Roman" w:hAnsi="Times New Roman" w:eastAsia="楷体_GB2312" w:cs="楷体_GB2312"/>
          <w:b/>
          <w:color w:val="auto"/>
          <w:sz w:val="32"/>
          <w:szCs w:val="32"/>
          <w:highlight w:val="none"/>
          <w:lang w:val="zh-CN"/>
        </w:rPr>
      </w:pPr>
      <w:r>
        <w:rPr>
          <w:rFonts w:hint="eastAsia" w:ascii="Times New Roman" w:hAnsi="Times New Roman" w:eastAsia="楷体_GB2312" w:cs="楷体_GB2312"/>
          <w:b/>
          <w:color w:val="auto"/>
          <w:sz w:val="32"/>
          <w:szCs w:val="32"/>
          <w:highlight w:val="none"/>
          <w:lang w:val="zh-CN"/>
        </w:rPr>
        <w:t>（一）收入情况。</w:t>
      </w:r>
    </w:p>
    <w:p w14:paraId="2BD3FBD4">
      <w:pPr>
        <w:keepNext w:val="0"/>
        <w:keepLines w:val="0"/>
        <w:pageBreakBefore w:val="0"/>
        <w:widowControl w:val="0"/>
        <w:kinsoku/>
        <w:wordWrap/>
        <w:overflowPunct/>
        <w:topLinePunct w:val="0"/>
        <w:autoSpaceDE/>
        <w:autoSpaceDN/>
        <w:bidi w:val="0"/>
        <w:spacing w:line="360" w:lineRule="auto"/>
        <w:ind w:firstLine="640" w:firstLineChars="200"/>
        <w:textAlignment w:val="auto"/>
        <w:outlineLvl w:val="2"/>
        <w:rPr>
          <w:rFonts w:hint="eastAsia" w:ascii="Times New Roman" w:hAnsi="Times New Roman" w:eastAsia="楷体_GB2312" w:cs="楷体_GB2312"/>
          <w:b/>
          <w:color w:val="auto"/>
          <w:sz w:val="32"/>
          <w:szCs w:val="32"/>
          <w:highlight w:val="none"/>
          <w:lang w:val="zh-CN" w:eastAsia="zh-CN"/>
        </w:rPr>
      </w:pPr>
      <w:r>
        <w:rPr>
          <w:rFonts w:hint="eastAsia" w:ascii="仿宋_GB2312" w:hAnsi="仿宋_GB2312" w:eastAsia="仿宋_GB2312" w:cs="仿宋_GB2312"/>
          <w:b w:val="0"/>
          <w:bCs w:val="0"/>
          <w:kern w:val="2"/>
          <w:sz w:val="32"/>
          <w:szCs w:val="32"/>
          <w:lang w:val="en-US" w:eastAsia="zh-CN" w:bidi="ar-SA"/>
        </w:rPr>
        <w:t>区文化馆2025年度全年决算收入177.80万元，均为一般公共预算财政拨款收入。本年收入较上年度增加31.03万元，增长21.14%，主要原因是增加了中央支持地方公共文化服务体系建设补助资金</w:t>
      </w:r>
      <w:r>
        <w:rPr>
          <w:rFonts w:hint="eastAsia" w:ascii="仿宋_GB2312" w:hAnsi="仿宋_GB2312" w:eastAsia="仿宋_GB2312" w:cs="仿宋_GB2312"/>
          <w:b w:val="0"/>
          <w:bCs w:val="0"/>
          <w:kern w:val="2"/>
          <w:sz w:val="32"/>
          <w:szCs w:val="32"/>
          <w:lang w:val="zh-CN" w:eastAsia="zh-CN" w:bidi="ar-SA"/>
        </w:rPr>
        <w:t>。</w:t>
      </w:r>
    </w:p>
    <w:p w14:paraId="4807D744">
      <w:pPr>
        <w:keepNext w:val="0"/>
        <w:keepLines w:val="0"/>
        <w:pageBreakBefore w:val="0"/>
        <w:widowControl w:val="0"/>
        <w:kinsoku/>
        <w:wordWrap/>
        <w:overflowPunct/>
        <w:topLinePunct w:val="0"/>
        <w:autoSpaceDE/>
        <w:autoSpaceDN/>
        <w:bidi w:val="0"/>
        <w:spacing w:line="360" w:lineRule="auto"/>
        <w:ind w:firstLine="643" w:firstLineChars="200"/>
        <w:textAlignment w:val="auto"/>
        <w:outlineLvl w:val="2"/>
        <w:rPr>
          <w:rFonts w:hint="eastAsia" w:ascii="Times New Roman" w:hAnsi="Times New Roman" w:eastAsia="楷体_GB2312" w:cs="楷体_GB2312"/>
          <w:b/>
          <w:color w:val="auto"/>
          <w:sz w:val="32"/>
          <w:szCs w:val="32"/>
          <w:highlight w:val="none"/>
          <w:lang w:val="zh-CN"/>
        </w:rPr>
      </w:pPr>
      <w:r>
        <w:rPr>
          <w:rFonts w:hint="eastAsia" w:ascii="Times New Roman" w:hAnsi="Times New Roman" w:eastAsia="楷体_GB2312" w:cs="楷体_GB2312"/>
          <w:b/>
          <w:color w:val="auto"/>
          <w:sz w:val="32"/>
          <w:szCs w:val="32"/>
          <w:highlight w:val="none"/>
          <w:lang w:val="zh-CN"/>
        </w:rPr>
        <w:t>（二）支出情况。</w:t>
      </w:r>
    </w:p>
    <w:p w14:paraId="0F6BADBA">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仿宋_GB2312" w:hAnsi="仿宋_GB2312" w:eastAsia="仿宋_GB2312" w:cs="仿宋_GB2312"/>
          <w:b w:val="0"/>
          <w:bCs w:val="0"/>
          <w:kern w:val="2"/>
          <w:sz w:val="32"/>
          <w:szCs w:val="32"/>
          <w:lang w:val="zh-CN" w:eastAsia="zh-CN" w:bidi="ar-SA"/>
        </w:rPr>
      </w:pPr>
      <w:r>
        <w:rPr>
          <w:rFonts w:hint="eastAsia" w:ascii="仿宋_GB2312" w:hAnsi="仿宋_GB2312" w:eastAsia="仿宋_GB2312" w:cs="仿宋_GB2312"/>
          <w:b w:val="0"/>
          <w:bCs w:val="0"/>
          <w:kern w:val="2"/>
          <w:sz w:val="32"/>
          <w:szCs w:val="32"/>
          <w:lang w:val="zh-CN" w:eastAsia="zh-CN" w:bidi="ar-SA"/>
        </w:rPr>
        <w:t>2025年度决算支出177.80万元，其中：基本支出125.75万元，占比70.73%（人员经费121.20万元，公用经费4.55万元）；项目支出52.05万元，占比29.27%。按经济分类：工资福利支出114.39万元，商品和服务支出53.40万元，对个人和家庭的补助8.91万元，资本性支出1.11万元。</w:t>
      </w:r>
    </w:p>
    <w:p w14:paraId="2B40115E">
      <w:pPr>
        <w:keepNext w:val="0"/>
        <w:keepLines w:val="0"/>
        <w:pageBreakBefore w:val="0"/>
        <w:widowControl w:val="0"/>
        <w:kinsoku/>
        <w:wordWrap/>
        <w:overflowPunct/>
        <w:topLinePunct w:val="0"/>
        <w:autoSpaceDE/>
        <w:autoSpaceDN/>
        <w:bidi w:val="0"/>
        <w:spacing w:line="360" w:lineRule="auto"/>
        <w:ind w:firstLine="643" w:firstLineChars="200"/>
        <w:textAlignment w:val="auto"/>
        <w:outlineLvl w:val="2"/>
        <w:rPr>
          <w:rFonts w:hint="eastAsia" w:ascii="Times New Roman" w:hAnsi="Times New Roman" w:eastAsia="楷体_GB2312" w:cs="楷体_GB2312"/>
          <w:b/>
          <w:color w:val="auto"/>
          <w:sz w:val="32"/>
          <w:szCs w:val="32"/>
          <w:highlight w:val="none"/>
          <w:lang w:val="zh-CN"/>
        </w:rPr>
      </w:pPr>
      <w:r>
        <w:rPr>
          <w:rFonts w:hint="eastAsia" w:ascii="Times New Roman" w:hAnsi="Times New Roman" w:eastAsia="楷体_GB2312" w:cs="楷体_GB2312"/>
          <w:b/>
          <w:color w:val="auto"/>
          <w:sz w:val="32"/>
          <w:szCs w:val="32"/>
          <w:highlight w:val="none"/>
          <w:lang w:val="zh-CN"/>
        </w:rPr>
        <w:t>（三）结余分配和结转结余情况。</w:t>
      </w:r>
    </w:p>
    <w:p w14:paraId="1015A3A5">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仿宋_GB2312" w:hAnsi="仿宋_GB2312" w:eastAsia="仿宋_GB2312" w:cs="仿宋_GB2312"/>
          <w:b w:val="0"/>
          <w:bCs w:val="0"/>
          <w:kern w:val="2"/>
          <w:sz w:val="32"/>
          <w:szCs w:val="32"/>
          <w:lang w:val="zh-CN" w:eastAsia="zh-CN" w:bidi="ar-SA"/>
        </w:rPr>
      </w:pPr>
      <w:r>
        <w:rPr>
          <w:rFonts w:hint="eastAsia" w:ascii="仿宋_GB2312" w:hAnsi="仿宋_GB2312" w:eastAsia="仿宋_GB2312" w:cs="仿宋_GB2312"/>
          <w:b w:val="0"/>
          <w:bCs w:val="0"/>
          <w:kern w:val="2"/>
          <w:sz w:val="32"/>
          <w:szCs w:val="32"/>
          <w:lang w:val="en-US" w:eastAsia="zh-CN" w:bidi="ar-SA"/>
        </w:rPr>
        <w:t>区文化馆2025年度决算无年末结转结余资金</w:t>
      </w:r>
      <w:r>
        <w:rPr>
          <w:rFonts w:hint="eastAsia" w:ascii="仿宋_GB2312" w:hAnsi="仿宋_GB2312" w:eastAsia="仿宋_GB2312" w:cs="仿宋_GB2312"/>
          <w:b w:val="0"/>
          <w:bCs w:val="0"/>
          <w:kern w:val="2"/>
          <w:sz w:val="32"/>
          <w:szCs w:val="32"/>
          <w:lang w:val="zh-CN" w:eastAsia="zh-CN" w:bidi="ar-SA"/>
        </w:rPr>
        <w:t>。</w:t>
      </w:r>
    </w:p>
    <w:p w14:paraId="70366D21">
      <w:pPr>
        <w:keepNext w:val="0"/>
        <w:keepLines w:val="0"/>
        <w:pageBreakBefore w:val="0"/>
        <w:widowControl w:val="0"/>
        <w:kinsoku/>
        <w:wordWrap/>
        <w:overflowPunct/>
        <w:topLinePunct w:val="0"/>
        <w:autoSpaceDE/>
        <w:autoSpaceDN/>
        <w:bidi w:val="0"/>
        <w:spacing w:line="360" w:lineRule="auto"/>
        <w:ind w:firstLine="640" w:firstLineChars="200"/>
        <w:textAlignment w:val="auto"/>
        <w:outlineLvl w:val="1"/>
        <w:rPr>
          <w:rFonts w:hint="eastAsia" w:ascii="Times New Roman" w:hAnsi="Times New Roman" w:eastAsia="黑体"/>
          <w:color w:val="auto"/>
          <w:sz w:val="32"/>
          <w:szCs w:val="32"/>
          <w:highlight w:val="none"/>
          <w:lang w:val="zh-CN"/>
        </w:rPr>
      </w:pPr>
      <w:r>
        <w:rPr>
          <w:rFonts w:hint="eastAsia" w:ascii="Times New Roman" w:hAnsi="Times New Roman" w:eastAsia="黑体"/>
          <w:color w:val="auto"/>
          <w:sz w:val="32"/>
          <w:szCs w:val="32"/>
          <w:highlight w:val="none"/>
          <w:lang w:val="zh-CN"/>
        </w:rPr>
        <w:t>三、部门预算绩效分析</w:t>
      </w:r>
    </w:p>
    <w:p w14:paraId="3B384326">
      <w:pPr>
        <w:keepNext w:val="0"/>
        <w:keepLines w:val="0"/>
        <w:pageBreakBefore w:val="0"/>
        <w:widowControl w:val="0"/>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b w:val="0"/>
          <w:bCs w:val="0"/>
          <w:kern w:val="2"/>
          <w:sz w:val="32"/>
          <w:szCs w:val="32"/>
          <w:lang w:val="zh-CN" w:eastAsia="zh-CN" w:bidi="ar-SA"/>
        </w:rPr>
      </w:pPr>
      <w:r>
        <w:rPr>
          <w:rFonts w:hint="eastAsia" w:ascii="Times New Roman" w:hAnsi="Times New Roman" w:eastAsia="楷体_GB2312" w:cs="楷体_GB2312"/>
          <w:b/>
          <w:color w:val="auto"/>
          <w:sz w:val="32"/>
          <w:szCs w:val="32"/>
          <w:highlight w:val="none"/>
          <w:lang w:val="zh-CN"/>
        </w:rPr>
        <w:t>（一）部门预算总体绩效分析。</w:t>
      </w:r>
      <w:r>
        <w:rPr>
          <w:rFonts w:hint="eastAsia" w:ascii="仿宋_GB2312" w:hAnsi="仿宋_GB2312" w:eastAsia="仿宋_GB2312" w:cs="仿宋_GB2312"/>
          <w:b w:val="0"/>
          <w:bCs w:val="0"/>
          <w:kern w:val="2"/>
          <w:sz w:val="32"/>
          <w:szCs w:val="32"/>
          <w:lang w:val="zh-CN" w:eastAsia="zh-CN" w:bidi="ar-SA"/>
        </w:rPr>
        <w:t>根据部门预算绩效评价指标体系“总体绩效”涉及二、三级指标进行逐项绩效分析并评分，依次包括履职效能、预算管理、财务管理、资产管理、采购管理等情况。</w:t>
      </w:r>
    </w:p>
    <w:p w14:paraId="543EE063">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 w:val="0"/>
          <w:bCs w:val="0"/>
          <w:kern w:val="2"/>
          <w:sz w:val="32"/>
          <w:szCs w:val="32"/>
          <w:lang w:val="zh-CN" w:eastAsia="zh-CN" w:bidi="ar-SA"/>
        </w:rPr>
      </w:pPr>
      <w:r>
        <w:rPr>
          <w:rFonts w:hint="eastAsia" w:ascii="仿宋_GB2312" w:hAnsi="仿宋_GB2312" w:eastAsia="仿宋_GB2312" w:cs="仿宋_GB2312"/>
          <w:b w:val="0"/>
          <w:bCs w:val="0"/>
          <w:kern w:val="2"/>
          <w:sz w:val="32"/>
          <w:szCs w:val="32"/>
          <w:lang w:val="en-US" w:eastAsia="zh-CN" w:bidi="ar-SA"/>
        </w:rPr>
        <w:t>1.</w:t>
      </w:r>
      <w:r>
        <w:rPr>
          <w:rFonts w:hint="eastAsia" w:ascii="仿宋_GB2312" w:hAnsi="仿宋_GB2312" w:eastAsia="仿宋_GB2312" w:cs="仿宋_GB2312"/>
          <w:b w:val="0"/>
          <w:bCs w:val="0"/>
          <w:kern w:val="2"/>
          <w:sz w:val="32"/>
          <w:szCs w:val="32"/>
          <w:lang w:val="zh-CN" w:eastAsia="zh-CN" w:bidi="ar-SA"/>
        </w:rPr>
        <w:t>履职效能。</w:t>
      </w:r>
    </w:p>
    <w:p w14:paraId="1AC7B2E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_GB2312" w:cs="Times New Roman"/>
          <w:sz w:val="32"/>
          <w:szCs w:val="32"/>
          <w:lang w:val="en-US" w:eastAsia="zh-CN"/>
        </w:rPr>
      </w:pPr>
      <w:r>
        <w:rPr>
          <w:rFonts w:hint="eastAsia" w:ascii="仿宋_GB2312" w:hAnsi="仿宋_GB2312" w:eastAsia="仿宋_GB2312" w:cs="仿宋_GB2312"/>
          <w:b w:val="0"/>
          <w:bCs w:val="0"/>
          <w:kern w:val="2"/>
          <w:sz w:val="32"/>
          <w:szCs w:val="32"/>
          <w:lang w:val="en-US" w:eastAsia="zh-CN" w:bidi="ar-SA"/>
        </w:rPr>
        <w:t>2025年，区文化馆紧紧围绕区委、区政府“一区一城”战略目标，以推动文化服务供给优质化、文化遗产保护常态化、加强文艺精品创造力为核心，扎实推动公共文化服务高质量发展</w:t>
      </w:r>
      <w:r>
        <w:rPr>
          <w:rFonts w:hint="default" w:ascii="Times New Roman" w:hAnsi="Times New Roman" w:eastAsia="仿宋_GB2312" w:cs="Times New Roman"/>
          <w:sz w:val="32"/>
          <w:szCs w:val="32"/>
          <w:lang w:val="en-US" w:eastAsia="zh-CN"/>
        </w:rPr>
        <w:t>。</w:t>
      </w:r>
    </w:p>
    <w:p w14:paraId="756181C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（1）推动文化服务供给优质化。 以“文旅惠民+文旅共振”为核心，持续推动公共文化场馆免费对外开放，搭建“苏铁系列”和“共富大舞台”群众文化活动平台，举办了“暖暖的花城 灵秀西区”文创雪糕发布仪式、“三角梅文化艺术周”等重大文旅活动。成立“共富文艺小分队”常态化开展下基层文艺文化志愿服务进社区、进村组、进校园等“十进”活动，累计开展文艺演出24台、文艺文化服务下基层60次，线下活动惠及群众12余万人次。开展“非遗进万家 视频直播家乡年”等线上宣传推广活动80余期</w:t>
      </w:r>
      <w:r>
        <w:rPr>
          <w:rFonts w:hint="default" w:ascii="仿宋_GB2312" w:hAnsi="仿宋_GB2312" w:eastAsia="仿宋_GB2312" w:cs="仿宋_GB2312"/>
          <w:b w:val="0"/>
          <w:bCs w:val="0"/>
          <w:kern w:val="2"/>
          <w:sz w:val="32"/>
          <w:szCs w:val="32"/>
          <w:lang w:val="en-US" w:eastAsia="zh-CN" w:bidi="ar-SA"/>
        </w:rPr>
        <w:t>。</w:t>
      </w:r>
    </w:p>
    <w:p w14:paraId="7C9D5381">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（2）推动文化遗产保护常态化。 加强非遗传承保护，开展傈僳歌舞、民间剪纸、金沙漆画技艺等非遗项目进校园传习活动80余次，惠及师生2500余人次，开展社会实践活动18次、非遗展览8次，惠及群众6000余人次，新增“友芳古法酿酒技艺”区级非遗项目、非遗工坊1个。加强文物保护利用，完成第三次文物普查39处点位复查及数据录</w:t>
      </w:r>
      <w:r>
        <w:rPr>
          <w:rFonts w:hint="eastAsia"/>
          <w:lang w:val="en-US" w:eastAsia="zh-CN"/>
        </w:rPr>
        <w:t>入，</w:t>
      </w:r>
      <w:r>
        <w:rPr>
          <w:rFonts w:hint="eastAsia" w:ascii="仿宋_GB2312" w:hAnsi="仿宋_GB2312" w:eastAsia="仿宋_GB2312" w:cs="仿宋_GB2312"/>
          <w:b w:val="0"/>
          <w:bCs w:val="0"/>
          <w:kern w:val="2"/>
          <w:sz w:val="32"/>
          <w:szCs w:val="32"/>
          <w:lang w:val="en-US" w:eastAsia="zh-CN" w:bidi="ar-SA"/>
        </w:rPr>
        <w:t>完成初心园三线建设博物馆、宝鼎文化展示厅年度绩效评估并顺利通过省级复核，开展文物单位和博物馆安全专项检查8次。</w:t>
      </w:r>
    </w:p>
    <w:p w14:paraId="2E297C4E">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（3）推动文化遗产保护常态化。 加强非遗传承保护，开展傈僳歌舞、民间剪纸、金沙漆画技艺等非遗项目进校园传习活动80余次，惠及师生2500余人次，开展社会实践活动18次、非遗展览8次，惠及群众6000余人次，新增“友芳古法酿酒技艺”区级非遗项目、非遗工坊1个。加强文物保护利用，完成第三次文物普查39处点位复查及数据录入，完成初心园三线建设博物馆、宝鼎文化展示厅年度绩效评估并顺利通过省级复核，开展文物单位和博物馆安全专项检查8次。</w:t>
      </w:r>
    </w:p>
    <w:p w14:paraId="6983C261">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 w:val="0"/>
          <w:bCs w:val="0"/>
          <w:kern w:val="2"/>
          <w:sz w:val="32"/>
          <w:szCs w:val="32"/>
          <w:lang w:val="zh-CN" w:eastAsia="zh-CN" w:bidi="ar-SA"/>
        </w:rPr>
      </w:pPr>
      <w:r>
        <w:rPr>
          <w:rFonts w:hint="eastAsia" w:ascii="仿宋_GB2312" w:hAnsi="仿宋_GB2312" w:eastAsia="仿宋_GB2312" w:cs="仿宋_GB2312"/>
          <w:b w:val="0"/>
          <w:bCs w:val="0"/>
          <w:kern w:val="2"/>
          <w:sz w:val="32"/>
          <w:szCs w:val="32"/>
          <w:lang w:val="en-US" w:eastAsia="zh-CN" w:bidi="ar-SA"/>
        </w:rPr>
        <w:t>2.</w:t>
      </w:r>
      <w:r>
        <w:rPr>
          <w:rFonts w:hint="eastAsia" w:ascii="仿宋_GB2312" w:hAnsi="仿宋_GB2312" w:eastAsia="仿宋_GB2312" w:cs="仿宋_GB2312"/>
          <w:b w:val="0"/>
          <w:bCs w:val="0"/>
          <w:kern w:val="2"/>
          <w:sz w:val="32"/>
          <w:szCs w:val="32"/>
          <w:lang w:val="zh-CN" w:eastAsia="zh-CN" w:bidi="ar-SA"/>
        </w:rPr>
        <w:t>预算编制情况。</w:t>
      </w:r>
    </w:p>
    <w:p w14:paraId="686D181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 w:val="0"/>
          <w:bCs w:val="0"/>
          <w:kern w:val="2"/>
          <w:sz w:val="32"/>
          <w:szCs w:val="32"/>
          <w:lang w:val="zh-CN" w:eastAsia="zh-CN" w:bidi="ar-SA"/>
        </w:rPr>
      </w:pPr>
      <w:r>
        <w:rPr>
          <w:rFonts w:hint="eastAsia" w:ascii="仿宋_GB2312" w:hAnsi="仿宋_GB2312" w:eastAsia="仿宋_GB2312" w:cs="仿宋_GB2312"/>
          <w:b w:val="0"/>
          <w:bCs w:val="0"/>
          <w:kern w:val="2"/>
          <w:sz w:val="32"/>
          <w:szCs w:val="32"/>
          <w:lang w:val="en-US" w:eastAsia="zh-CN" w:bidi="ar-SA"/>
        </w:rPr>
        <w:t>2025年，区文化馆严格按照“二上二下”流程编制预算。年初预算收入117.48万元，全年预算调整为177.80万元，决算收入177.80万元。预决算差异率51.35%，主要原因是年中追加了中央支持地方公共文化服务体系建设补助资金。预算编制做到了应编尽编，但在项目支出的精细化测算方面仍有提升空间。</w:t>
      </w:r>
    </w:p>
    <w:p w14:paraId="7C64217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 w:val="0"/>
          <w:bCs w:val="0"/>
          <w:kern w:val="2"/>
          <w:sz w:val="32"/>
          <w:szCs w:val="32"/>
          <w:lang w:val="zh-CN" w:eastAsia="zh-CN" w:bidi="ar-SA"/>
        </w:rPr>
      </w:pPr>
      <w:r>
        <w:rPr>
          <w:rFonts w:hint="eastAsia" w:ascii="仿宋_GB2312" w:hAnsi="仿宋_GB2312" w:eastAsia="仿宋_GB2312" w:cs="仿宋_GB2312"/>
          <w:b w:val="0"/>
          <w:bCs w:val="0"/>
          <w:kern w:val="2"/>
          <w:sz w:val="32"/>
          <w:szCs w:val="32"/>
          <w:lang w:val="en-US" w:eastAsia="zh-CN" w:bidi="ar-SA"/>
        </w:rPr>
        <w:t>3.</w:t>
      </w:r>
      <w:r>
        <w:rPr>
          <w:rFonts w:hint="eastAsia" w:ascii="仿宋_GB2312" w:hAnsi="仿宋_GB2312" w:eastAsia="仿宋_GB2312" w:cs="仿宋_GB2312"/>
          <w:b w:val="0"/>
          <w:bCs w:val="0"/>
          <w:kern w:val="2"/>
          <w:sz w:val="32"/>
          <w:szCs w:val="32"/>
          <w:lang w:val="zh-CN" w:eastAsia="zh-CN" w:bidi="ar-SA"/>
        </w:rPr>
        <w:t>财务管理。</w:t>
      </w:r>
    </w:p>
    <w:p w14:paraId="5C69A45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 w:val="0"/>
          <w:bCs w:val="0"/>
          <w:kern w:val="2"/>
          <w:sz w:val="32"/>
          <w:szCs w:val="32"/>
          <w:lang w:val="zh-CN" w:eastAsia="zh-CN" w:bidi="ar-SA"/>
        </w:rPr>
      </w:pPr>
      <w:r>
        <w:rPr>
          <w:rFonts w:hint="default" w:ascii="仿宋_GB2312" w:hAnsi="仿宋_GB2312" w:eastAsia="仿宋_GB2312" w:cs="仿宋_GB2312"/>
          <w:b w:val="0"/>
          <w:bCs w:val="0"/>
          <w:kern w:val="2"/>
          <w:sz w:val="32"/>
          <w:szCs w:val="32"/>
          <w:lang w:val="zh-CN" w:eastAsia="zh-CN" w:bidi="ar-SA"/>
        </w:rPr>
        <w:t>我单位建立了较为完善的财务管理制度体系，涵盖预算、收支、资产、采购等方面。在岗位设置上，严格做到不相容岗位相互分离，分别设置会计、出纳、资产管理员等岗位，重大资金支出经馆务会集体研究决定。在资金使用上，严格执行“先审批、后支出”程序，所有支出均需逐级审批。在会计核算上，严格执行政府会计准则制度，做到日清月结、账实相符。在内部监督上，定期开展财务自查，每年接受审计部门审计。2025年度无违规违纪现象</w:t>
      </w:r>
      <w:r>
        <w:rPr>
          <w:rFonts w:hint="eastAsia" w:ascii="仿宋_GB2312" w:hAnsi="仿宋_GB2312" w:eastAsia="仿宋_GB2312" w:cs="仿宋_GB2312"/>
          <w:b w:val="0"/>
          <w:bCs w:val="0"/>
          <w:kern w:val="2"/>
          <w:sz w:val="32"/>
          <w:szCs w:val="32"/>
          <w:lang w:val="zh-CN" w:eastAsia="zh-CN" w:bidi="ar-SA"/>
        </w:rPr>
        <w:t>。</w:t>
      </w:r>
    </w:p>
    <w:p w14:paraId="1430B0EE">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 w:val="0"/>
          <w:bCs w:val="0"/>
          <w:kern w:val="2"/>
          <w:sz w:val="32"/>
          <w:szCs w:val="32"/>
          <w:lang w:val="zh-CN" w:eastAsia="zh-CN" w:bidi="ar-SA"/>
        </w:rPr>
      </w:pPr>
      <w:r>
        <w:rPr>
          <w:rFonts w:hint="eastAsia" w:ascii="仿宋_GB2312" w:hAnsi="仿宋_GB2312" w:eastAsia="仿宋_GB2312" w:cs="仿宋_GB2312"/>
          <w:b w:val="0"/>
          <w:bCs w:val="0"/>
          <w:kern w:val="2"/>
          <w:sz w:val="32"/>
          <w:szCs w:val="32"/>
          <w:lang w:val="en-US" w:eastAsia="zh-CN" w:bidi="ar-SA"/>
        </w:rPr>
        <w:t>4.</w:t>
      </w:r>
      <w:r>
        <w:rPr>
          <w:rFonts w:hint="eastAsia" w:ascii="仿宋_GB2312" w:hAnsi="仿宋_GB2312" w:eastAsia="仿宋_GB2312" w:cs="仿宋_GB2312"/>
          <w:b w:val="0"/>
          <w:bCs w:val="0"/>
          <w:kern w:val="2"/>
          <w:sz w:val="32"/>
          <w:szCs w:val="32"/>
          <w:lang w:val="zh-CN" w:eastAsia="zh-CN" w:bidi="ar-SA"/>
        </w:rPr>
        <w:t>资产管理。</w:t>
      </w:r>
    </w:p>
    <w:p w14:paraId="65EC51AA">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 w:val="0"/>
          <w:bCs w:val="0"/>
          <w:kern w:val="2"/>
          <w:sz w:val="32"/>
          <w:szCs w:val="32"/>
          <w:lang w:val="zh-CN" w:eastAsia="zh-CN" w:bidi="ar-SA"/>
        </w:rPr>
      </w:pPr>
      <w:r>
        <w:rPr>
          <w:rFonts w:hint="default" w:ascii="仿宋_GB2312" w:hAnsi="仿宋_GB2312" w:eastAsia="仿宋_GB2312" w:cs="仿宋_GB2312"/>
          <w:b w:val="0"/>
          <w:bCs w:val="0"/>
          <w:kern w:val="2"/>
          <w:sz w:val="32"/>
          <w:szCs w:val="32"/>
          <w:lang w:val="zh-CN" w:eastAsia="zh-CN" w:bidi="ar-SA"/>
        </w:rPr>
        <w:t>我单位按照国有资产管理规定，建立了“统一领导、归口管理、专人负责”的资产管理机制。办公室为归口管理部门，指定专人担任资产管理员，负责资产的全流程管理。在资产购置环节，坚持“先调剂、后配置”原则。在资产使用环节，建立领用台账，做到“一物一卡”，每半年开展一次全面盘点。在资产处置环节，严格按规定履行评估、报批、处置程序。截至2025年末，我单位无房屋及车辆资产，银行存款年末余额1.61万元，资产账实相符，管理规范。</w:t>
      </w:r>
    </w:p>
    <w:p w14:paraId="2CE7D1CE">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 w:val="0"/>
          <w:bCs w:val="0"/>
          <w:kern w:val="2"/>
          <w:sz w:val="32"/>
          <w:szCs w:val="32"/>
          <w:lang w:val="zh-CN" w:eastAsia="zh-CN" w:bidi="ar-SA"/>
        </w:rPr>
      </w:pPr>
      <w:r>
        <w:rPr>
          <w:rFonts w:hint="eastAsia" w:ascii="仿宋_GB2312" w:hAnsi="仿宋_GB2312" w:eastAsia="仿宋_GB2312" w:cs="仿宋_GB2312"/>
          <w:b w:val="0"/>
          <w:bCs w:val="0"/>
          <w:kern w:val="2"/>
          <w:sz w:val="32"/>
          <w:szCs w:val="32"/>
          <w:lang w:val="en-US" w:eastAsia="zh-CN" w:bidi="ar-SA"/>
        </w:rPr>
        <w:t>5.</w:t>
      </w:r>
      <w:r>
        <w:rPr>
          <w:rFonts w:hint="eastAsia" w:ascii="仿宋_GB2312" w:hAnsi="仿宋_GB2312" w:eastAsia="仿宋_GB2312" w:cs="仿宋_GB2312"/>
          <w:b w:val="0"/>
          <w:bCs w:val="0"/>
          <w:kern w:val="2"/>
          <w:sz w:val="32"/>
          <w:szCs w:val="32"/>
          <w:lang w:val="zh-CN" w:eastAsia="zh-CN" w:bidi="ar-SA"/>
        </w:rPr>
        <w:t>采购管理。</w:t>
      </w:r>
    </w:p>
    <w:p w14:paraId="14DDAA2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 w:val="0"/>
          <w:bCs w:val="0"/>
          <w:kern w:val="2"/>
          <w:sz w:val="32"/>
          <w:szCs w:val="32"/>
          <w:lang w:val="zh-CN" w:eastAsia="zh-CN" w:bidi="ar-SA"/>
        </w:rPr>
      </w:pPr>
      <w:r>
        <w:rPr>
          <w:rFonts w:hint="default" w:ascii="仿宋_GB2312" w:hAnsi="仿宋_GB2312" w:eastAsia="仿宋_GB2312" w:cs="仿宋_GB2312"/>
          <w:b w:val="0"/>
          <w:bCs w:val="0"/>
          <w:kern w:val="2"/>
          <w:sz w:val="32"/>
          <w:szCs w:val="32"/>
          <w:lang w:val="zh-CN" w:eastAsia="zh-CN" w:bidi="ar-SA"/>
        </w:rPr>
        <w:t>我单位严格按照政府采购法及相关规定开展采购工作。预算编制阶段，各业务股室申报需求，财务室审核后编制政府采购预算，确保“无预算不采购”。采购实施阶段，按规定方式和程序组织采购。合同管理阶段，及时签订合同并公示。验收结算阶段，成立验收小组对采购标的逐项核对，验收合格后方可支付。2025年，我单位无政府采购支出</w:t>
      </w:r>
      <w:r>
        <w:rPr>
          <w:rFonts w:hint="eastAsia" w:ascii="仿宋_GB2312" w:hAnsi="仿宋_GB2312" w:eastAsia="仿宋_GB2312" w:cs="仿宋_GB2312"/>
          <w:b w:val="0"/>
          <w:bCs w:val="0"/>
          <w:kern w:val="2"/>
          <w:sz w:val="32"/>
          <w:szCs w:val="32"/>
          <w:lang w:val="zh-CN" w:eastAsia="zh-CN" w:bidi="ar-SA"/>
        </w:rPr>
        <w:t>。</w:t>
      </w:r>
    </w:p>
    <w:p w14:paraId="072B663A">
      <w:pPr>
        <w:keepNext w:val="0"/>
        <w:keepLines w:val="0"/>
        <w:pageBreakBefore w:val="0"/>
        <w:widowControl w:val="0"/>
        <w:kinsoku/>
        <w:wordWrap/>
        <w:overflowPunct/>
        <w:topLinePunct w:val="0"/>
        <w:autoSpaceDE/>
        <w:autoSpaceDN/>
        <w:bidi w:val="0"/>
        <w:adjustRightInd w:val="0"/>
        <w:snapToGrid w:val="0"/>
        <w:spacing w:line="360" w:lineRule="auto"/>
        <w:ind w:firstLine="643" w:firstLineChars="200"/>
        <w:contextualSpacing/>
        <w:jc w:val="left"/>
        <w:textAlignment w:val="auto"/>
        <w:rPr>
          <w:rFonts w:hint="eastAsia" w:ascii="Times New Roman" w:hAnsi="Times New Roman" w:eastAsia="楷体_GB2312" w:cs="楷体_GB2312"/>
          <w:b/>
          <w:color w:val="auto"/>
          <w:sz w:val="32"/>
          <w:szCs w:val="32"/>
          <w:highlight w:val="none"/>
          <w:lang w:val="zh-CN"/>
        </w:rPr>
      </w:pPr>
      <w:r>
        <w:rPr>
          <w:rFonts w:hint="eastAsia" w:ascii="Times New Roman" w:hAnsi="Times New Roman" w:eastAsia="楷体_GB2312" w:cs="楷体_GB2312"/>
          <w:b/>
          <w:color w:val="auto"/>
          <w:sz w:val="32"/>
          <w:szCs w:val="32"/>
          <w:highlight w:val="none"/>
          <w:lang w:val="zh-CN"/>
        </w:rPr>
        <w:t>（二）部门预算项目绩效分析。</w:t>
      </w:r>
    </w:p>
    <w:p w14:paraId="197EFA8F">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 w:val="0"/>
          <w:bCs w:val="0"/>
          <w:kern w:val="2"/>
          <w:sz w:val="32"/>
          <w:szCs w:val="32"/>
          <w:lang w:val="zh-CN" w:eastAsia="zh-CN" w:bidi="ar-SA"/>
        </w:rPr>
      </w:pPr>
      <w:r>
        <w:rPr>
          <w:rFonts w:hint="eastAsia" w:ascii="仿宋_GB2312" w:hAnsi="仿宋_GB2312" w:eastAsia="仿宋_GB2312" w:cs="仿宋_GB2312"/>
          <w:b w:val="0"/>
          <w:bCs w:val="0"/>
          <w:kern w:val="2"/>
          <w:sz w:val="32"/>
          <w:szCs w:val="32"/>
          <w:lang w:val="zh-CN" w:eastAsia="zh-CN" w:bidi="ar-SA"/>
        </w:rPr>
        <w:t>2025年，我单位共有运转类—其他运转类和特定目标类项目3个，涉及项目支出决算总额52.05万元。所有项目均已完成，无年末结转结余。</w:t>
      </w:r>
    </w:p>
    <w:p w14:paraId="3DEE5F31">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仿宋_GB2312" w:hAnsi="仿宋_GB2312" w:eastAsia="仿宋_GB2312" w:cs="仿宋_GB2312"/>
          <w:b w:val="0"/>
          <w:bCs w:val="0"/>
          <w:kern w:val="2"/>
          <w:sz w:val="32"/>
          <w:szCs w:val="32"/>
          <w:lang w:val="zh-CN" w:eastAsia="zh-CN" w:bidi="ar-SA"/>
        </w:rPr>
      </w:pPr>
      <w:r>
        <w:rPr>
          <w:rFonts w:hint="eastAsia" w:ascii="仿宋_GB2312" w:hAnsi="仿宋_GB2312" w:eastAsia="仿宋_GB2312" w:cs="仿宋_GB2312"/>
          <w:b w:val="0"/>
          <w:bCs w:val="0"/>
          <w:kern w:val="2"/>
          <w:sz w:val="32"/>
          <w:szCs w:val="32"/>
          <w:lang w:val="zh-CN" w:eastAsia="zh-CN" w:bidi="ar-SA"/>
        </w:rPr>
        <w:t>常年项目绩效分析。该类项目指预算年度内持续实施的常态化工作。2025年，我单位常年项目共计1个，涉及预算总金额3.60万元，具体为：免费开放文化培训工作经费3.60万元。1至12月预算执行总体进度为100%，项目按计划完成支出，无预算结余</w:t>
      </w:r>
      <w:r>
        <w:rPr>
          <w:rFonts w:hint="default" w:ascii="仿宋_GB2312" w:hAnsi="仿宋_GB2312" w:eastAsia="仿宋_GB2312" w:cs="仿宋_GB2312"/>
          <w:b w:val="0"/>
          <w:bCs w:val="0"/>
          <w:kern w:val="2"/>
          <w:sz w:val="32"/>
          <w:szCs w:val="32"/>
          <w:lang w:val="zh-CN" w:eastAsia="zh-CN" w:bidi="ar-SA"/>
        </w:rPr>
        <w:t>。</w:t>
      </w:r>
    </w:p>
    <w:p w14:paraId="6B80709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仿宋_GB2312" w:hAnsi="仿宋_GB2312" w:eastAsia="仿宋_GB2312" w:cs="仿宋_GB2312"/>
          <w:b w:val="0"/>
          <w:bCs w:val="0"/>
          <w:kern w:val="2"/>
          <w:sz w:val="32"/>
          <w:szCs w:val="32"/>
          <w:lang w:val="zh-CN" w:eastAsia="zh-CN" w:bidi="ar-SA"/>
        </w:rPr>
      </w:pPr>
      <w:r>
        <w:rPr>
          <w:rFonts w:hint="default" w:ascii="仿宋_GB2312" w:hAnsi="仿宋_GB2312" w:eastAsia="仿宋_GB2312" w:cs="仿宋_GB2312"/>
          <w:b w:val="0"/>
          <w:bCs w:val="0"/>
          <w:kern w:val="2"/>
          <w:sz w:val="32"/>
          <w:szCs w:val="32"/>
          <w:lang w:val="zh-CN" w:eastAsia="zh-CN" w:bidi="ar-SA"/>
        </w:rPr>
        <w:t>阶段（</w:t>
      </w:r>
      <w:r>
        <w:rPr>
          <w:rFonts w:hint="eastAsia" w:ascii="仿宋_GB2312" w:hAnsi="仿宋_GB2312" w:eastAsia="仿宋_GB2312" w:cs="仿宋_GB2312"/>
          <w:b w:val="0"/>
          <w:bCs w:val="0"/>
          <w:kern w:val="2"/>
          <w:sz w:val="32"/>
          <w:szCs w:val="32"/>
          <w:lang w:val="zh-CN" w:eastAsia="zh-CN" w:bidi="ar-SA"/>
        </w:rPr>
        <w:t>含</w:t>
      </w:r>
      <w:r>
        <w:rPr>
          <w:rFonts w:hint="default" w:ascii="仿宋_GB2312" w:hAnsi="仿宋_GB2312" w:eastAsia="仿宋_GB2312" w:cs="仿宋_GB2312"/>
          <w:b w:val="0"/>
          <w:bCs w:val="0"/>
          <w:kern w:val="2"/>
          <w:sz w:val="32"/>
          <w:szCs w:val="32"/>
          <w:lang w:val="zh-CN" w:eastAsia="zh-CN" w:bidi="ar-SA"/>
        </w:rPr>
        <w:t>一次性）项目绩效分析。</w:t>
      </w:r>
      <w:r>
        <w:rPr>
          <w:rFonts w:hint="eastAsia" w:ascii="仿宋_GB2312" w:hAnsi="仿宋_GB2312" w:eastAsia="仿宋_GB2312" w:cs="仿宋_GB2312"/>
          <w:b w:val="0"/>
          <w:bCs w:val="0"/>
          <w:kern w:val="2"/>
          <w:sz w:val="32"/>
          <w:szCs w:val="32"/>
          <w:lang w:val="zh-CN" w:eastAsia="zh-CN" w:bidi="ar-SA"/>
        </w:rPr>
        <w:t>该类项目指有明确实施期限或一次性完成的工作任务。2025年，我单位阶段及一次性项目共计2个，涉及预算总金额48.45万元，具体包括：公共图书馆、美术馆、文化馆免费开放中央和省级补助资金17.40万元、中央支持地方公共文化服务体系建设补助资金31.05万元。1至12月预算执行总体进度为100%，所有项目均按计划完成支出，无预算结余</w:t>
      </w:r>
      <w:r>
        <w:rPr>
          <w:rFonts w:hint="default" w:ascii="仿宋_GB2312" w:hAnsi="仿宋_GB2312" w:eastAsia="仿宋_GB2312" w:cs="仿宋_GB2312"/>
          <w:b w:val="0"/>
          <w:bCs w:val="0"/>
          <w:kern w:val="2"/>
          <w:sz w:val="32"/>
          <w:szCs w:val="32"/>
          <w:lang w:val="zh-CN" w:eastAsia="zh-CN" w:bidi="ar-SA"/>
        </w:rPr>
        <w:t>。</w:t>
      </w:r>
    </w:p>
    <w:p w14:paraId="6C3E37DD">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仿宋_GB2312" w:hAnsi="仿宋_GB2312" w:eastAsia="仿宋_GB2312" w:cs="仿宋_GB2312"/>
          <w:b w:val="0"/>
          <w:bCs w:val="0"/>
          <w:kern w:val="2"/>
          <w:sz w:val="32"/>
          <w:szCs w:val="32"/>
          <w:lang w:val="zh-CN" w:eastAsia="zh-CN" w:bidi="ar-SA"/>
        </w:rPr>
      </w:pPr>
      <w:r>
        <w:rPr>
          <w:rFonts w:hint="default" w:ascii="仿宋_GB2312" w:hAnsi="仿宋_GB2312" w:eastAsia="仿宋_GB2312" w:cs="仿宋_GB2312"/>
          <w:b w:val="0"/>
          <w:bCs w:val="0"/>
          <w:kern w:val="2"/>
          <w:sz w:val="32"/>
          <w:szCs w:val="32"/>
          <w:lang w:val="zh-CN" w:eastAsia="zh-CN" w:bidi="ar-SA"/>
        </w:rPr>
        <w:t>1.项目决策。</w:t>
      </w:r>
    </w:p>
    <w:p w14:paraId="764DA81F">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 w:val="0"/>
          <w:bCs w:val="0"/>
          <w:kern w:val="2"/>
          <w:sz w:val="32"/>
          <w:szCs w:val="32"/>
          <w:lang w:val="zh-CN" w:eastAsia="zh-CN" w:bidi="ar-SA"/>
        </w:rPr>
      </w:pPr>
      <w:r>
        <w:rPr>
          <w:rFonts w:hint="eastAsia" w:ascii="仿宋_GB2312" w:hAnsi="仿宋_GB2312" w:eastAsia="仿宋_GB2312" w:cs="仿宋_GB2312"/>
          <w:b w:val="0"/>
          <w:bCs w:val="0"/>
          <w:kern w:val="2"/>
          <w:sz w:val="32"/>
          <w:szCs w:val="32"/>
          <w:lang w:val="zh-CN" w:eastAsia="zh-CN" w:bidi="ar-SA"/>
        </w:rPr>
        <w:t>上述项目依据年度公共文化服务重点工作任务设立。免费开放文化培训工作经费主要用于文化馆免费开放期间的公益培训活动、场馆运行维护等；公共图书馆、美术馆、文化馆免费开放中央和省级补助资金主要用于免费开放场馆运行及公共文化服务活动；中央支持地方公共文化服务体系建设补助资金主要用于公共文化服务设施建设及活动开展。所有项目设立均履行了评估论证程序，绩效目标与预算资金匹配，决策程序规范。</w:t>
      </w:r>
    </w:p>
    <w:p w14:paraId="57687CA1">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仿宋_GB2312" w:hAnsi="仿宋_GB2312" w:eastAsia="仿宋_GB2312" w:cs="仿宋_GB2312"/>
          <w:b w:val="0"/>
          <w:bCs w:val="0"/>
          <w:kern w:val="2"/>
          <w:sz w:val="32"/>
          <w:szCs w:val="32"/>
          <w:lang w:val="zh-CN" w:eastAsia="zh-CN" w:bidi="ar-SA"/>
        </w:rPr>
      </w:pPr>
      <w:r>
        <w:rPr>
          <w:rFonts w:hint="default" w:ascii="仿宋_GB2312" w:hAnsi="仿宋_GB2312" w:eastAsia="仿宋_GB2312" w:cs="仿宋_GB2312"/>
          <w:b w:val="0"/>
          <w:bCs w:val="0"/>
          <w:kern w:val="2"/>
          <w:sz w:val="32"/>
          <w:szCs w:val="32"/>
          <w:lang w:val="zh-CN" w:eastAsia="zh-CN" w:bidi="ar-SA"/>
        </w:rPr>
        <w:t>2.项目执行。</w:t>
      </w:r>
    </w:p>
    <w:p w14:paraId="69DBC4C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 w:val="0"/>
          <w:bCs w:val="0"/>
          <w:kern w:val="2"/>
          <w:sz w:val="32"/>
          <w:szCs w:val="32"/>
          <w:lang w:val="zh-CN" w:eastAsia="zh-CN" w:bidi="ar-SA"/>
        </w:rPr>
      </w:pPr>
      <w:r>
        <w:rPr>
          <w:rFonts w:hint="eastAsia" w:ascii="仿宋_GB2312" w:hAnsi="仿宋_GB2312" w:eastAsia="仿宋_GB2312" w:cs="仿宋_GB2312"/>
          <w:b w:val="0"/>
          <w:bCs w:val="0"/>
          <w:kern w:val="2"/>
          <w:sz w:val="32"/>
          <w:szCs w:val="32"/>
          <w:lang w:val="zh-CN" w:eastAsia="zh-CN" w:bidi="ar-SA"/>
        </w:rPr>
        <w:t>所有项目均按计划在2025年1至12月实施完毕，资金拨付严格执行审批程序，专款专用，使用规范。项目支出决算总额52.05万元，预算执行率达到100%，无结转结余资金。</w:t>
      </w:r>
    </w:p>
    <w:p w14:paraId="6AD4655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仿宋_GB2312" w:hAnsi="仿宋_GB2312" w:eastAsia="仿宋_GB2312" w:cs="仿宋_GB2312"/>
          <w:b w:val="0"/>
          <w:bCs w:val="0"/>
          <w:kern w:val="2"/>
          <w:sz w:val="32"/>
          <w:szCs w:val="32"/>
          <w:lang w:val="zh-CN" w:eastAsia="zh-CN" w:bidi="ar-SA"/>
        </w:rPr>
      </w:pPr>
      <w:r>
        <w:rPr>
          <w:rFonts w:hint="eastAsia" w:ascii="仿宋_GB2312" w:hAnsi="仿宋_GB2312" w:eastAsia="仿宋_GB2312" w:cs="仿宋_GB2312"/>
          <w:b w:val="0"/>
          <w:bCs w:val="0"/>
          <w:kern w:val="2"/>
          <w:sz w:val="32"/>
          <w:szCs w:val="32"/>
          <w:lang w:val="zh-CN" w:eastAsia="zh-CN" w:bidi="ar-SA"/>
        </w:rPr>
        <w:t>免费开放文化培训工作经费3.60万元用于文化馆免费开放期间的公益培训、场馆运维等；公共图书馆、美术馆、文化馆免费开放中央和省级补助资金17.40万元用于免费开放场馆运行及公共文化服务活动；中央支持地方公共文化服务体系建设补助资金31.05万元用于公共文化服务设施建设及活动开展。</w:t>
      </w:r>
    </w:p>
    <w:p w14:paraId="3502C083">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仿宋_GB2312" w:hAnsi="仿宋_GB2312" w:eastAsia="仿宋_GB2312" w:cs="仿宋_GB2312"/>
          <w:b w:val="0"/>
          <w:bCs w:val="0"/>
          <w:kern w:val="2"/>
          <w:sz w:val="32"/>
          <w:szCs w:val="32"/>
          <w:lang w:val="zh-CN" w:eastAsia="zh-CN" w:bidi="ar-SA"/>
        </w:rPr>
      </w:pPr>
      <w:r>
        <w:rPr>
          <w:rFonts w:hint="default" w:ascii="仿宋_GB2312" w:hAnsi="仿宋_GB2312" w:eastAsia="仿宋_GB2312" w:cs="仿宋_GB2312"/>
          <w:b w:val="0"/>
          <w:bCs w:val="0"/>
          <w:kern w:val="2"/>
          <w:sz w:val="32"/>
          <w:szCs w:val="32"/>
          <w:lang w:val="zh-CN" w:eastAsia="zh-CN" w:bidi="ar-SA"/>
        </w:rPr>
        <w:t>3.目标实现。</w:t>
      </w:r>
    </w:p>
    <w:p w14:paraId="2B535A67">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 w:val="0"/>
          <w:bCs w:val="0"/>
          <w:kern w:val="2"/>
          <w:sz w:val="32"/>
          <w:szCs w:val="32"/>
          <w:lang w:val="zh-CN" w:eastAsia="zh-CN" w:bidi="ar-SA"/>
        </w:rPr>
      </w:pPr>
      <w:r>
        <w:rPr>
          <w:rFonts w:hint="eastAsia" w:ascii="仿宋_GB2312" w:hAnsi="仿宋_GB2312" w:eastAsia="仿宋_GB2312" w:cs="仿宋_GB2312"/>
          <w:b w:val="0"/>
          <w:bCs w:val="0"/>
          <w:kern w:val="2"/>
          <w:sz w:val="32"/>
          <w:szCs w:val="32"/>
          <w:lang w:val="en-US" w:eastAsia="zh-CN" w:bidi="ar-SA"/>
        </w:rPr>
        <w:t>2025年，区文化馆各项目均按计划完成年度工作任务，项目资金使用规范，绩效目标基本实现。具体分析如下：</w:t>
      </w:r>
      <w:r>
        <w:rPr>
          <w:rFonts w:hint="eastAsia" w:ascii="仿宋_GB2312" w:hAnsi="仿宋_GB2312" w:eastAsia="仿宋_GB2312" w:cs="仿宋_GB2312"/>
          <w:b w:val="0"/>
          <w:bCs w:val="0"/>
          <w:kern w:val="2"/>
          <w:sz w:val="32"/>
          <w:szCs w:val="32"/>
          <w:lang w:val="zh-CN" w:eastAsia="zh-CN" w:bidi="ar-SA"/>
        </w:rPr>
        <w:t>。</w:t>
      </w:r>
    </w:p>
    <w:p w14:paraId="67DCEFC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 w:val="0"/>
          <w:bCs w:val="0"/>
          <w:kern w:val="2"/>
          <w:sz w:val="32"/>
          <w:szCs w:val="32"/>
          <w:lang w:val="zh-CN" w:eastAsia="zh-CN" w:bidi="ar-SA"/>
        </w:rPr>
      </w:pPr>
      <w:r>
        <w:rPr>
          <w:rFonts w:hint="eastAsia" w:ascii="仿宋_GB2312" w:hAnsi="仿宋_GB2312" w:eastAsia="仿宋_GB2312" w:cs="仿宋_GB2312"/>
          <w:b w:val="0"/>
          <w:bCs w:val="0"/>
          <w:kern w:val="2"/>
          <w:sz w:val="32"/>
          <w:szCs w:val="32"/>
          <w:lang w:val="zh-CN" w:eastAsia="zh-CN" w:bidi="ar-SA"/>
        </w:rPr>
        <w:t>（</w:t>
      </w:r>
      <w:r>
        <w:rPr>
          <w:rFonts w:hint="eastAsia" w:ascii="仿宋_GB2312" w:hAnsi="仿宋_GB2312" w:eastAsia="仿宋_GB2312" w:cs="仿宋_GB2312"/>
          <w:b w:val="0"/>
          <w:bCs w:val="0"/>
          <w:kern w:val="2"/>
          <w:sz w:val="32"/>
          <w:szCs w:val="32"/>
          <w:lang w:val="en-US" w:eastAsia="zh-CN" w:bidi="ar-SA"/>
        </w:rPr>
        <w:t>1）</w:t>
      </w:r>
      <w:r>
        <w:rPr>
          <w:rFonts w:hint="eastAsia" w:ascii="仿宋_GB2312" w:hAnsi="仿宋_GB2312" w:eastAsia="仿宋_GB2312" w:cs="仿宋_GB2312"/>
          <w:b w:val="0"/>
          <w:bCs w:val="0"/>
          <w:kern w:val="2"/>
          <w:sz w:val="32"/>
          <w:szCs w:val="32"/>
          <w:lang w:val="zh-CN" w:eastAsia="zh-CN" w:bidi="ar-SA"/>
        </w:rPr>
        <w:t>项目的经济效益分析。</w:t>
      </w:r>
    </w:p>
    <w:p w14:paraId="64CB90B3">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 w:val="0"/>
          <w:bCs w:val="0"/>
          <w:kern w:val="2"/>
          <w:sz w:val="32"/>
          <w:szCs w:val="32"/>
          <w:lang w:val="zh-CN" w:eastAsia="zh-CN" w:bidi="ar-SA"/>
        </w:rPr>
      </w:pPr>
      <w:r>
        <w:rPr>
          <w:rFonts w:hint="eastAsia" w:ascii="仿宋_GB2312" w:hAnsi="仿宋_GB2312" w:eastAsia="仿宋_GB2312" w:cs="仿宋_GB2312"/>
          <w:b w:val="0"/>
          <w:bCs w:val="0"/>
          <w:kern w:val="2"/>
          <w:sz w:val="32"/>
          <w:szCs w:val="32"/>
          <w:lang w:val="zh-CN" w:eastAsia="zh-CN" w:bidi="ar-SA"/>
        </w:rPr>
        <w:t>2025年，我单位各项目支出均严格按照预算批复执行，资金使用规范，未出现超预算情况。通过免费开放及公共文化服务项目的实施，提升了公共文化服务效能，为辖区群众提供了优质文化服务，间接促进了文化消费和地方经济发展。</w:t>
      </w:r>
    </w:p>
    <w:p w14:paraId="02280CB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 w:val="0"/>
          <w:bCs w:val="0"/>
          <w:kern w:val="2"/>
          <w:sz w:val="32"/>
          <w:szCs w:val="32"/>
          <w:lang w:val="zh-CN" w:eastAsia="zh-CN" w:bidi="ar-SA"/>
        </w:rPr>
      </w:pPr>
      <w:r>
        <w:rPr>
          <w:rFonts w:hint="eastAsia" w:ascii="仿宋_GB2312" w:hAnsi="仿宋_GB2312" w:eastAsia="仿宋_GB2312" w:cs="仿宋_GB2312"/>
          <w:b w:val="0"/>
          <w:bCs w:val="0"/>
          <w:kern w:val="2"/>
          <w:sz w:val="32"/>
          <w:szCs w:val="32"/>
          <w:lang w:val="zh-CN" w:eastAsia="zh-CN" w:bidi="ar-SA"/>
        </w:rPr>
        <w:t>（</w:t>
      </w:r>
      <w:r>
        <w:rPr>
          <w:rFonts w:hint="eastAsia" w:ascii="仿宋_GB2312" w:hAnsi="仿宋_GB2312" w:eastAsia="仿宋_GB2312" w:cs="仿宋_GB2312"/>
          <w:b w:val="0"/>
          <w:bCs w:val="0"/>
          <w:kern w:val="2"/>
          <w:sz w:val="32"/>
          <w:szCs w:val="32"/>
          <w:lang w:val="en-US" w:eastAsia="zh-CN" w:bidi="ar-SA"/>
        </w:rPr>
        <w:t>2）</w:t>
      </w:r>
      <w:r>
        <w:rPr>
          <w:rFonts w:hint="eastAsia" w:ascii="仿宋_GB2312" w:hAnsi="仿宋_GB2312" w:eastAsia="仿宋_GB2312" w:cs="仿宋_GB2312"/>
          <w:b w:val="0"/>
          <w:bCs w:val="0"/>
          <w:kern w:val="2"/>
          <w:sz w:val="32"/>
          <w:szCs w:val="32"/>
          <w:lang w:val="zh-CN" w:eastAsia="zh-CN" w:bidi="ar-SA"/>
        </w:rPr>
        <w:t>项目的社会效益分析。</w:t>
      </w:r>
    </w:p>
    <w:p w14:paraId="15BEBB9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 w:val="0"/>
          <w:bCs w:val="0"/>
          <w:kern w:val="2"/>
          <w:sz w:val="32"/>
          <w:szCs w:val="32"/>
          <w:lang w:val="zh-CN" w:eastAsia="zh-CN" w:bidi="ar-SA"/>
        </w:rPr>
      </w:pPr>
      <w:r>
        <w:rPr>
          <w:rFonts w:hint="eastAsia" w:ascii="仿宋_GB2312" w:hAnsi="仿宋_GB2312" w:eastAsia="仿宋_GB2312" w:cs="仿宋_GB2312"/>
          <w:b w:val="0"/>
          <w:bCs w:val="0"/>
          <w:kern w:val="2"/>
          <w:sz w:val="32"/>
          <w:szCs w:val="32"/>
          <w:lang w:val="zh-CN" w:eastAsia="zh-CN" w:bidi="ar-SA"/>
        </w:rPr>
        <w:t xml:space="preserve"> 通过推动文化服务供给优质化，累计开展文艺演出24台、文艺文化服务下基层60次，线下活动惠及群众12余万人次，线上活动80余期，有效提升了群众文化获得感。通过推动文化遗产保护常态化，开展非遗进校园活动80余次，惠及师生2500余人次，新增区级非遗项目1个，弘扬了优秀传统文化。通过加强文艺精品创造，多部原创作品参加省级展演，展示了西区文化魅力。</w:t>
      </w:r>
    </w:p>
    <w:p w14:paraId="0441024D">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 w:val="0"/>
          <w:bCs w:val="0"/>
          <w:kern w:val="2"/>
          <w:sz w:val="32"/>
          <w:szCs w:val="32"/>
          <w:lang w:val="zh-CN" w:eastAsia="zh-CN" w:bidi="ar-SA"/>
        </w:rPr>
      </w:pPr>
      <w:r>
        <w:rPr>
          <w:rFonts w:hint="eastAsia" w:ascii="仿宋_GB2312" w:hAnsi="仿宋_GB2312" w:eastAsia="仿宋_GB2312" w:cs="仿宋_GB2312"/>
          <w:b w:val="0"/>
          <w:bCs w:val="0"/>
          <w:kern w:val="2"/>
          <w:sz w:val="32"/>
          <w:szCs w:val="32"/>
          <w:lang w:val="zh-CN" w:eastAsia="zh-CN" w:bidi="ar-SA"/>
        </w:rPr>
        <w:t>（</w:t>
      </w:r>
      <w:r>
        <w:rPr>
          <w:rFonts w:hint="eastAsia" w:ascii="仿宋_GB2312" w:hAnsi="仿宋_GB2312" w:eastAsia="仿宋_GB2312" w:cs="仿宋_GB2312"/>
          <w:b w:val="0"/>
          <w:bCs w:val="0"/>
          <w:kern w:val="2"/>
          <w:sz w:val="32"/>
          <w:szCs w:val="32"/>
          <w:lang w:val="en-US" w:eastAsia="zh-CN" w:bidi="ar-SA"/>
        </w:rPr>
        <w:t>3）</w:t>
      </w:r>
      <w:r>
        <w:rPr>
          <w:rFonts w:hint="eastAsia" w:ascii="仿宋_GB2312" w:hAnsi="仿宋_GB2312" w:eastAsia="仿宋_GB2312" w:cs="仿宋_GB2312"/>
          <w:b w:val="0"/>
          <w:bCs w:val="0"/>
          <w:kern w:val="2"/>
          <w:sz w:val="32"/>
          <w:szCs w:val="32"/>
          <w:lang w:val="zh-CN" w:eastAsia="zh-CN" w:bidi="ar-SA"/>
        </w:rPr>
        <w:t>项目的可持续性分析。</w:t>
      </w:r>
    </w:p>
    <w:p w14:paraId="36C147FC">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仿宋_GB2312" w:hAnsi="仿宋_GB2312" w:eastAsia="仿宋_GB2312" w:cs="仿宋_GB2312"/>
          <w:b w:val="0"/>
          <w:bCs w:val="0"/>
          <w:kern w:val="2"/>
          <w:sz w:val="32"/>
          <w:szCs w:val="32"/>
          <w:lang w:val="zh-CN" w:eastAsia="zh-CN" w:bidi="ar-SA"/>
        </w:rPr>
      </w:pPr>
      <w:r>
        <w:rPr>
          <w:rFonts w:hint="eastAsia" w:ascii="仿宋_GB2312" w:hAnsi="仿宋_GB2312" w:eastAsia="仿宋_GB2312" w:cs="仿宋_GB2312"/>
          <w:b w:val="0"/>
          <w:bCs w:val="0"/>
          <w:kern w:val="2"/>
          <w:sz w:val="32"/>
          <w:szCs w:val="32"/>
          <w:lang w:val="zh-CN" w:eastAsia="zh-CN" w:bidi="ar-SA"/>
        </w:rPr>
        <w:t xml:space="preserve"> 2025年度各项目有序开展，整体支出平稳，较好地实现了社会效益和可持续效益目标。公共文化场馆免费开放长效机制、非遗传承保护机制等已建立健全，为后续工作奠定了基础。项目资金投入形成的文化服务阵地和活动品牌，将在今后较长时间内持续发挥作用</w:t>
      </w:r>
      <w:r>
        <w:rPr>
          <w:rFonts w:hint="default" w:ascii="仿宋_GB2312" w:hAnsi="仿宋_GB2312" w:eastAsia="仿宋_GB2312" w:cs="仿宋_GB2312"/>
          <w:b w:val="0"/>
          <w:bCs w:val="0"/>
          <w:kern w:val="2"/>
          <w:sz w:val="32"/>
          <w:szCs w:val="32"/>
          <w:lang w:val="zh-CN" w:eastAsia="zh-CN" w:bidi="ar-SA"/>
        </w:rPr>
        <w:t>。</w:t>
      </w:r>
    </w:p>
    <w:p w14:paraId="6622DAD1">
      <w:pPr>
        <w:keepNext w:val="0"/>
        <w:keepLines w:val="0"/>
        <w:pageBreakBefore w:val="0"/>
        <w:widowControl w:val="0"/>
        <w:kinsoku/>
        <w:wordWrap/>
        <w:overflowPunct/>
        <w:topLinePunct w:val="0"/>
        <w:autoSpaceDE/>
        <w:autoSpaceDN/>
        <w:bidi w:val="0"/>
        <w:adjustRightInd w:val="0"/>
        <w:snapToGrid w:val="0"/>
        <w:spacing w:line="360" w:lineRule="auto"/>
        <w:ind w:firstLine="643" w:firstLineChars="200"/>
        <w:contextualSpacing/>
        <w:jc w:val="left"/>
        <w:textAlignment w:val="auto"/>
        <w:rPr>
          <w:rFonts w:hint="eastAsia" w:ascii="Times New Roman" w:hAnsi="Times New Roman" w:eastAsia="楷体_GB2312" w:cs="楷体_GB2312"/>
          <w:b/>
          <w:color w:val="auto"/>
          <w:sz w:val="32"/>
          <w:szCs w:val="32"/>
          <w:highlight w:val="none"/>
          <w:lang w:val="zh-CN"/>
        </w:rPr>
      </w:pPr>
      <w:r>
        <w:rPr>
          <w:rFonts w:hint="eastAsia" w:ascii="Times New Roman" w:hAnsi="Times New Roman" w:eastAsia="楷体_GB2312" w:cs="楷体_GB2312"/>
          <w:b/>
          <w:color w:val="auto"/>
          <w:sz w:val="32"/>
          <w:szCs w:val="32"/>
          <w:highlight w:val="none"/>
          <w:lang w:val="zh-CN"/>
        </w:rPr>
        <w:t>（三）绩效结果应用情况。</w:t>
      </w:r>
    </w:p>
    <w:p w14:paraId="4166CC2A">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zh-CN" w:eastAsia="zh-CN" w:bidi="ar-SA"/>
        </w:rPr>
        <w:t>我单位将绩效自评结果作为下一年度预算安排和完善管理的重要依据。对评价中发现的问题，及时调整资金分配策略，优化项目设置。同时，按照政务公开要求，将绩效自评报告在攀枝花市西区人民政府网站进行公开，自觉接受社会监督。</w:t>
      </w:r>
    </w:p>
    <w:p w14:paraId="64A17210">
      <w:pPr>
        <w:keepNext w:val="0"/>
        <w:keepLines w:val="0"/>
        <w:pageBreakBefore w:val="0"/>
        <w:widowControl w:val="0"/>
        <w:kinsoku/>
        <w:wordWrap/>
        <w:overflowPunct/>
        <w:topLinePunct w:val="0"/>
        <w:autoSpaceDE/>
        <w:autoSpaceDN/>
        <w:bidi w:val="0"/>
        <w:spacing w:line="360" w:lineRule="auto"/>
        <w:ind w:firstLine="640" w:firstLineChars="200"/>
        <w:textAlignment w:val="auto"/>
        <w:outlineLvl w:val="1"/>
        <w:rPr>
          <w:rFonts w:hint="eastAsia" w:ascii="Times New Roman" w:hAnsi="Times New Roman" w:eastAsia="黑体"/>
          <w:color w:val="auto"/>
          <w:sz w:val="32"/>
          <w:szCs w:val="32"/>
          <w:highlight w:val="none"/>
          <w:lang w:val="zh-CN"/>
        </w:rPr>
      </w:pPr>
      <w:r>
        <w:rPr>
          <w:rFonts w:hint="eastAsia" w:ascii="Times New Roman" w:hAnsi="Times New Roman" w:eastAsia="黑体"/>
          <w:color w:val="auto"/>
          <w:sz w:val="32"/>
          <w:szCs w:val="32"/>
          <w:highlight w:val="none"/>
          <w:lang w:val="zh-CN"/>
        </w:rPr>
        <w:t>四、评价结论及建议</w:t>
      </w:r>
    </w:p>
    <w:p w14:paraId="26B3F4E0">
      <w:pPr>
        <w:keepNext w:val="0"/>
        <w:keepLines w:val="0"/>
        <w:pageBreakBefore w:val="0"/>
        <w:widowControl w:val="0"/>
        <w:kinsoku/>
        <w:wordWrap/>
        <w:overflowPunct/>
        <w:topLinePunct w:val="0"/>
        <w:autoSpaceDE/>
        <w:autoSpaceDN/>
        <w:bidi w:val="0"/>
        <w:adjustRightInd w:val="0"/>
        <w:snapToGrid w:val="0"/>
        <w:spacing w:line="360" w:lineRule="auto"/>
        <w:ind w:firstLine="643" w:firstLineChars="200"/>
        <w:contextualSpacing/>
        <w:jc w:val="left"/>
        <w:textAlignment w:val="auto"/>
        <w:rPr>
          <w:rFonts w:hint="eastAsia" w:ascii="Times New Roman" w:hAnsi="Times New Roman" w:eastAsia="楷体_GB2312" w:cs="楷体_GB2312"/>
          <w:b/>
          <w:color w:val="auto"/>
          <w:sz w:val="32"/>
          <w:szCs w:val="32"/>
          <w:highlight w:val="none"/>
          <w:lang w:val="zh-CN"/>
        </w:rPr>
      </w:pPr>
      <w:r>
        <w:rPr>
          <w:rFonts w:hint="eastAsia" w:ascii="Times New Roman" w:hAnsi="Times New Roman" w:eastAsia="楷体_GB2312" w:cs="楷体_GB2312"/>
          <w:b/>
          <w:color w:val="auto"/>
          <w:sz w:val="32"/>
          <w:szCs w:val="32"/>
          <w:highlight w:val="none"/>
          <w:lang w:val="zh-CN"/>
        </w:rPr>
        <w:t>（一）评价结论。</w:t>
      </w:r>
    </w:p>
    <w:p w14:paraId="62C47AC1">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2025年，区文化馆预算执行进度符合要求，资金使用规范，履职效能显著，较好地完成了年初设定的各项绩效目标。根据决算量化评价表得分95分，自评等级为“优秀”。</w:t>
      </w:r>
    </w:p>
    <w:p w14:paraId="7D2ECCC8">
      <w:pPr>
        <w:keepNext w:val="0"/>
        <w:keepLines w:val="0"/>
        <w:pageBreakBefore w:val="0"/>
        <w:widowControl w:val="0"/>
        <w:kinsoku/>
        <w:wordWrap/>
        <w:overflowPunct/>
        <w:topLinePunct w:val="0"/>
        <w:autoSpaceDE/>
        <w:autoSpaceDN/>
        <w:bidi w:val="0"/>
        <w:adjustRightInd w:val="0"/>
        <w:snapToGrid w:val="0"/>
        <w:spacing w:line="360" w:lineRule="auto"/>
        <w:ind w:firstLine="643" w:firstLineChars="200"/>
        <w:contextualSpacing/>
        <w:jc w:val="left"/>
        <w:textAlignment w:val="auto"/>
        <w:rPr>
          <w:rFonts w:hint="eastAsia" w:ascii="Times New Roman" w:hAnsi="Times New Roman" w:eastAsia="楷体_GB2312" w:cs="楷体_GB2312"/>
          <w:b/>
          <w:color w:val="auto"/>
          <w:sz w:val="32"/>
          <w:szCs w:val="32"/>
          <w:highlight w:val="none"/>
          <w:lang w:val="zh-CN" w:eastAsia="zh-CN"/>
        </w:rPr>
      </w:pPr>
      <w:r>
        <w:rPr>
          <w:rFonts w:hint="eastAsia" w:ascii="Times New Roman" w:hAnsi="Times New Roman" w:eastAsia="楷体_GB2312" w:cs="楷体_GB2312"/>
          <w:b/>
          <w:color w:val="auto"/>
          <w:sz w:val="32"/>
          <w:szCs w:val="32"/>
          <w:highlight w:val="none"/>
          <w:lang w:val="zh-CN"/>
        </w:rPr>
        <w:t>（二）存在问题。</w:t>
      </w:r>
    </w:p>
    <w:p w14:paraId="4E3266B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仿宋_GB2312" w:hAnsi="仿宋_GB2312" w:eastAsia="仿宋_GB2312" w:cs="仿宋_GB2312"/>
          <w:b w:val="0"/>
          <w:bCs w:val="0"/>
          <w:kern w:val="2"/>
          <w:sz w:val="32"/>
          <w:szCs w:val="32"/>
          <w:lang w:val="en-US" w:eastAsia="zh-CN" w:bidi="ar-SA"/>
        </w:rPr>
      </w:pPr>
      <w:r>
        <w:rPr>
          <w:rFonts w:hint="default" w:ascii="仿宋_GB2312" w:hAnsi="仿宋_GB2312" w:eastAsia="仿宋_GB2312" w:cs="仿宋_GB2312"/>
          <w:b w:val="0"/>
          <w:bCs w:val="0"/>
          <w:kern w:val="2"/>
          <w:sz w:val="32"/>
          <w:szCs w:val="32"/>
          <w:lang w:val="en-US" w:eastAsia="zh-CN" w:bidi="ar-SA"/>
        </w:rPr>
        <w:t>一是预算编制精准度有待提高。年初预算与年终决算存在较大差异，主要由于部分上级转移支付资金无法在年初准确预计，如中央支持地方公共文化服务体系建设补助资金31.05万元为年中追加。二是公用经费压减空间需进一步挖掘。本年公用经费决算数4.55万元，较年初预算6.85万元有所压减，但部分科目支出仍可进一步厉行节约</w:t>
      </w:r>
      <w:r>
        <w:rPr>
          <w:rFonts w:hint="eastAsia" w:ascii="仿宋_GB2312" w:hAnsi="仿宋_GB2312" w:eastAsia="仿宋_GB2312" w:cs="仿宋_GB2312"/>
          <w:b w:val="0"/>
          <w:bCs w:val="0"/>
          <w:kern w:val="2"/>
          <w:sz w:val="32"/>
          <w:szCs w:val="32"/>
          <w:lang w:val="en-US" w:eastAsia="zh-CN" w:bidi="ar-SA"/>
        </w:rPr>
        <w:t>。</w:t>
      </w:r>
    </w:p>
    <w:p w14:paraId="0617E3D6">
      <w:pPr>
        <w:keepNext w:val="0"/>
        <w:keepLines w:val="0"/>
        <w:pageBreakBefore w:val="0"/>
        <w:widowControl w:val="0"/>
        <w:kinsoku/>
        <w:wordWrap/>
        <w:overflowPunct/>
        <w:topLinePunct w:val="0"/>
        <w:autoSpaceDE/>
        <w:autoSpaceDN/>
        <w:bidi w:val="0"/>
        <w:adjustRightInd w:val="0"/>
        <w:snapToGrid w:val="0"/>
        <w:spacing w:line="360" w:lineRule="auto"/>
        <w:ind w:firstLine="643" w:firstLineChars="200"/>
        <w:contextualSpacing/>
        <w:jc w:val="left"/>
        <w:textAlignment w:val="auto"/>
        <w:rPr>
          <w:rFonts w:hint="eastAsia" w:ascii="Times New Roman" w:hAnsi="Times New Roman" w:eastAsia="楷体_GB2312" w:cs="楷体_GB2312"/>
          <w:b/>
          <w:color w:val="auto"/>
          <w:sz w:val="32"/>
          <w:szCs w:val="32"/>
          <w:highlight w:val="none"/>
          <w:lang w:val="en" w:eastAsia="zh-CN"/>
        </w:rPr>
      </w:pPr>
      <w:r>
        <w:rPr>
          <w:rFonts w:hint="eastAsia" w:ascii="Times New Roman" w:hAnsi="Times New Roman" w:eastAsia="楷体_GB2312" w:cs="楷体_GB2312"/>
          <w:b/>
          <w:color w:val="auto"/>
          <w:sz w:val="32"/>
          <w:szCs w:val="32"/>
          <w:highlight w:val="none"/>
          <w:lang w:val="zh-CN"/>
        </w:rPr>
        <w:t>（三）改进建议。</w:t>
      </w:r>
      <w:bookmarkStart w:id="46" w:name="_Hlk110546638"/>
    </w:p>
    <w:bookmarkEnd w:id="46"/>
    <w:p w14:paraId="150CDDE5">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 w:val="0"/>
          <w:bCs w:val="0"/>
          <w:kern w:val="2"/>
          <w:sz w:val="32"/>
          <w:szCs w:val="32"/>
          <w:lang w:val="zh-CN" w:eastAsia="zh-CN" w:bidi="ar-SA"/>
        </w:rPr>
      </w:pPr>
      <w:r>
        <w:rPr>
          <w:rFonts w:hint="eastAsia" w:ascii="仿宋_GB2312" w:hAnsi="仿宋_GB2312" w:eastAsia="仿宋_GB2312" w:cs="仿宋_GB2312"/>
          <w:b w:val="0"/>
          <w:bCs w:val="0"/>
          <w:kern w:val="2"/>
          <w:sz w:val="32"/>
          <w:szCs w:val="32"/>
          <w:lang w:val="en-US" w:eastAsia="zh-CN" w:bidi="ar-SA"/>
        </w:rPr>
        <w:t>一是强化预算编制科学性。加强对各项支出需求的测算，提高年初预算到位率，减少预算执行中的调整。二是深化绩效管理。将绩效评价结果与预算安排挂钩，形成反馈机制，切实提高财政资金使用效益。三是持续厉行节约。严格控制“三公”经费及会议费、培训费等一般性支出，降低行政运行成本。</w:t>
      </w:r>
    </w:p>
    <w:p w14:paraId="1F230BC4">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hAnsi="Times New Roman" w:cs="Times New Roman"/>
          <w:color w:val="auto"/>
          <w:sz w:val="32"/>
          <w:szCs w:val="32"/>
          <w:highlight w:val="none"/>
          <w:lang w:val="zh-CN" w:eastAsia="zh-CN"/>
        </w:rPr>
      </w:pPr>
    </w:p>
    <w:p w14:paraId="008A4A99">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hAnsi="Times New Roman" w:cs="Times New Roman"/>
          <w:color w:val="auto"/>
          <w:sz w:val="32"/>
          <w:szCs w:val="32"/>
          <w:highlight w:val="none"/>
          <w:lang w:val="zh-CN" w:eastAsia="zh-CN"/>
        </w:rPr>
      </w:pPr>
    </w:p>
    <w:p w14:paraId="089BD192">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hAnsi="Times New Roman" w:cs="Times New Roman"/>
          <w:color w:val="auto"/>
          <w:sz w:val="32"/>
          <w:szCs w:val="32"/>
          <w:highlight w:val="none"/>
          <w:lang w:val="zh-CN" w:eastAsia="zh-CN"/>
        </w:rPr>
      </w:pPr>
    </w:p>
    <w:p w14:paraId="7F517960">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hAnsi="Times New Roman" w:cs="Times New Roman"/>
          <w:color w:val="auto"/>
          <w:sz w:val="32"/>
          <w:szCs w:val="32"/>
          <w:highlight w:val="none"/>
          <w:lang w:val="zh-CN" w:eastAsia="zh-CN"/>
        </w:rPr>
      </w:pPr>
    </w:p>
    <w:p w14:paraId="15744D02">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hAnsi="Times New Roman" w:cs="Times New Roman"/>
          <w:color w:val="auto"/>
          <w:sz w:val="32"/>
          <w:szCs w:val="32"/>
          <w:highlight w:val="none"/>
          <w:lang w:val="zh-CN" w:eastAsia="zh-CN"/>
        </w:rPr>
      </w:pPr>
    </w:p>
    <w:p w14:paraId="544D1D75">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hAnsi="Times New Roman" w:cs="Times New Roman"/>
          <w:color w:val="auto"/>
          <w:sz w:val="32"/>
          <w:szCs w:val="32"/>
          <w:highlight w:val="none"/>
          <w:lang w:val="zh-CN" w:eastAsia="zh-CN"/>
        </w:rPr>
      </w:pPr>
    </w:p>
    <w:p w14:paraId="2AB33592">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hAnsi="Times New Roman" w:cs="Times New Roman"/>
          <w:color w:val="auto"/>
          <w:sz w:val="32"/>
          <w:szCs w:val="32"/>
          <w:highlight w:val="none"/>
          <w:lang w:val="zh-CN" w:eastAsia="zh-CN"/>
        </w:rPr>
      </w:pPr>
    </w:p>
    <w:p w14:paraId="2033B781">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hAnsi="Times New Roman" w:cs="Times New Roman"/>
          <w:color w:val="auto"/>
          <w:sz w:val="32"/>
          <w:szCs w:val="32"/>
          <w:highlight w:val="none"/>
          <w:lang w:val="zh-CN" w:eastAsia="zh-CN"/>
        </w:rPr>
      </w:pPr>
    </w:p>
    <w:p w14:paraId="55269BDB">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hAnsi="Times New Roman" w:cs="Times New Roman"/>
          <w:color w:val="auto"/>
          <w:sz w:val="32"/>
          <w:szCs w:val="32"/>
          <w:highlight w:val="none"/>
          <w:lang w:val="zh-CN" w:eastAsia="zh-CN"/>
        </w:rPr>
      </w:pPr>
    </w:p>
    <w:p w14:paraId="6D45CD5E">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hAnsi="Times New Roman" w:cs="Times New Roman"/>
          <w:color w:val="auto"/>
          <w:sz w:val="32"/>
          <w:szCs w:val="32"/>
          <w:highlight w:val="none"/>
          <w:lang w:val="zh-CN" w:eastAsia="zh-CN"/>
        </w:rPr>
      </w:pPr>
    </w:p>
    <w:p w14:paraId="2D3FC15C">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hAnsi="Times New Roman" w:cs="Times New Roman"/>
          <w:color w:val="auto"/>
          <w:sz w:val="32"/>
          <w:szCs w:val="32"/>
          <w:highlight w:val="none"/>
          <w:lang w:val="zh-CN" w:eastAsia="zh-CN"/>
        </w:rPr>
      </w:pPr>
    </w:p>
    <w:p w14:paraId="1E076963">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hAnsi="Times New Roman" w:cs="Times New Roman"/>
          <w:color w:val="auto"/>
          <w:sz w:val="32"/>
          <w:szCs w:val="32"/>
          <w:highlight w:val="none"/>
          <w:lang w:val="zh-CN" w:eastAsia="zh-CN"/>
        </w:rPr>
      </w:pPr>
    </w:p>
    <w:p w14:paraId="24595195">
      <w:pPr>
        <w:pStyle w:val="8"/>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27118700">
      <w:pPr>
        <w:widowControl w:val="0"/>
        <w:spacing w:line="600" w:lineRule="exact"/>
        <w:jc w:val="center"/>
        <w:rPr>
          <w:rFonts w:hint="eastAsia" w:ascii="Times New Roman" w:hAnsi="Times New Roman" w:eastAsia="方正小标宋简体" w:cs="Times New Roman"/>
          <w:color w:val="auto"/>
          <w:kern w:val="2"/>
          <w:sz w:val="40"/>
          <w:szCs w:val="40"/>
          <w:lang w:val="zh-CN" w:eastAsia="zh-CN" w:bidi="ar-SA"/>
        </w:rPr>
      </w:pPr>
      <w:r>
        <w:rPr>
          <w:rFonts w:hint="eastAsia" w:ascii="Times New Roman" w:hAnsi="Times New Roman" w:eastAsia="方正小标宋简体" w:cs="Times New Roman"/>
          <w:color w:val="auto"/>
          <w:kern w:val="2"/>
          <w:sz w:val="40"/>
          <w:szCs w:val="40"/>
          <w:lang w:val="zh-CN" w:eastAsia="zh-CN" w:bidi="ar-SA"/>
        </w:rPr>
        <w:t>中央支持地方公共文化服务体系建设补助</w:t>
      </w:r>
    </w:p>
    <w:p w14:paraId="6B2E06BF">
      <w:pPr>
        <w:widowControl w:val="0"/>
        <w:spacing w:line="600" w:lineRule="exact"/>
        <w:jc w:val="center"/>
        <w:rPr>
          <w:rFonts w:ascii="Times New Roman" w:hAnsi="Times New Roman" w:eastAsia="方正小标宋简体" w:cs="Times New Roman"/>
          <w:color w:val="auto"/>
          <w:kern w:val="2"/>
          <w:sz w:val="40"/>
          <w:szCs w:val="40"/>
          <w:lang w:val="zh-CN" w:eastAsia="zh-CN" w:bidi="ar-SA"/>
        </w:rPr>
      </w:pPr>
      <w:r>
        <w:rPr>
          <w:rFonts w:ascii="Times New Roman" w:hAnsi="Times New Roman" w:eastAsia="方正小标宋简体" w:cs="Times New Roman"/>
          <w:color w:val="auto"/>
          <w:kern w:val="2"/>
          <w:sz w:val="40"/>
          <w:szCs w:val="40"/>
          <w:lang w:val="zh-CN" w:eastAsia="zh-CN" w:bidi="ar-SA"/>
        </w:rPr>
        <w:t>专项预算项目支出绩效自评报告</w:t>
      </w:r>
    </w:p>
    <w:p w14:paraId="10B2E277">
      <w:pPr>
        <w:widowControl w:val="0"/>
        <w:spacing w:line="600" w:lineRule="exact"/>
        <w:ind w:firstLine="640"/>
        <w:jc w:val="center"/>
        <w:rPr>
          <w:rFonts w:ascii="Times New Roman" w:hAnsi="Times New Roman" w:eastAsia="宋体" w:cs="Times New Roman"/>
          <w:color w:val="auto"/>
          <w:kern w:val="2"/>
          <w:sz w:val="32"/>
          <w:szCs w:val="32"/>
          <w:lang w:val="zh-CN" w:eastAsia="zh-CN" w:bidi="ar-SA"/>
        </w:rPr>
      </w:pPr>
    </w:p>
    <w:p w14:paraId="1F5C9428">
      <w:pPr>
        <w:adjustRightInd w:val="0"/>
        <w:snapToGrid w:val="0"/>
        <w:spacing w:line="600" w:lineRule="exact"/>
        <w:ind w:firstLine="720"/>
        <w:rPr>
          <w:rFonts w:ascii="Times New Roman" w:hAnsi="Times New Roman" w:eastAsia="黑体" w:cs="Times New Roman"/>
          <w:sz w:val="32"/>
          <w:szCs w:val="32"/>
          <w:lang w:val="zh-CN"/>
        </w:rPr>
      </w:pPr>
      <w:r>
        <w:rPr>
          <w:rFonts w:ascii="Times New Roman" w:hAnsi="Times New Roman" w:eastAsia="黑体" w:cs="Times New Roman"/>
          <w:sz w:val="32"/>
          <w:szCs w:val="32"/>
        </w:rPr>
        <w:t>一、</w:t>
      </w:r>
      <w:r>
        <w:rPr>
          <w:rFonts w:ascii="Times New Roman" w:hAnsi="Times New Roman" w:eastAsia="黑体" w:cs="Times New Roman"/>
          <w:sz w:val="32"/>
          <w:szCs w:val="32"/>
          <w:lang w:val="zh-CN"/>
        </w:rPr>
        <w:t>项目概况</w:t>
      </w:r>
    </w:p>
    <w:p w14:paraId="57EB8FB4">
      <w:pPr>
        <w:adjustRightInd w:val="0"/>
        <w:snapToGrid w:val="0"/>
        <w:spacing w:line="600" w:lineRule="exact"/>
        <w:ind w:firstLine="720"/>
        <w:rPr>
          <w:rFonts w:ascii="Times New Roman" w:hAnsi="Times New Roman" w:eastAsia="楷体_GB2312" w:cs="Times New Roman"/>
          <w:b/>
          <w:sz w:val="32"/>
          <w:szCs w:val="32"/>
          <w:lang w:val="zh-CN"/>
        </w:rPr>
      </w:pPr>
      <w:r>
        <w:rPr>
          <w:rFonts w:ascii="Times New Roman" w:hAnsi="Times New Roman" w:eastAsia="楷体_GB2312" w:cs="Times New Roman"/>
          <w:b/>
          <w:sz w:val="32"/>
          <w:szCs w:val="32"/>
          <w:lang w:val="zh-CN"/>
        </w:rPr>
        <w:t>（一）项目基本情况。</w:t>
      </w:r>
    </w:p>
    <w:p w14:paraId="1BAB8226">
      <w:pPr>
        <w:adjustRightInd w:val="0"/>
        <w:snapToGrid w:val="0"/>
        <w:spacing w:line="600" w:lineRule="exact"/>
        <w:ind w:firstLine="72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1</w:t>
      </w:r>
      <w:r>
        <w:rPr>
          <w:rFonts w:hint="eastAsia" w:ascii="Times New Roman" w:hAnsi="Times New Roman" w:eastAsia="仿宋_GB2312" w:cs="Times New Roman"/>
          <w:sz w:val="32"/>
          <w:szCs w:val="32"/>
          <w:lang w:val="zh-CN"/>
        </w:rPr>
        <w:t>.</w:t>
      </w:r>
      <w:r>
        <w:rPr>
          <w:rFonts w:ascii="Times New Roman" w:hAnsi="Times New Roman" w:eastAsia="仿宋_GB2312" w:cs="Times New Roman"/>
          <w:sz w:val="32"/>
          <w:szCs w:val="32"/>
          <w:lang w:val="zh-CN"/>
        </w:rPr>
        <w:t>说明项目主管部门（单位）在该项目管理中的职能。</w:t>
      </w:r>
    </w:p>
    <w:p w14:paraId="19805EB1">
      <w:pPr>
        <w:adjustRightInd w:val="0"/>
        <w:snapToGrid w:val="0"/>
        <w:spacing w:line="600" w:lineRule="exact"/>
        <w:ind w:firstLine="720"/>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zh-CN"/>
        </w:rPr>
        <w:t>该项目实施单位为攀枝花市西区文化馆（攀枝花市西区考古与文物保护中心），由我馆统一编制预算、统一制定绩效目标、统一项目资金管理、统一资金安排使用，按照相关资金管理办法对资金使用进行监督管理与审核、审批。主要职能包括：制定项目实施计划、组织设施设备采购与更新、开展各类文化活动、推进数字文化服务建设、优化公共文化服务流程，并按要求进行资金管理和绩效自评</w:t>
      </w:r>
      <w:r>
        <w:rPr>
          <w:rFonts w:hint="eastAsia" w:ascii="Times New Roman" w:hAnsi="Times New Roman" w:eastAsia="仿宋_GB2312" w:cs="Times New Roman"/>
          <w:sz w:val="32"/>
          <w:szCs w:val="32"/>
          <w:lang w:val="zh-CN" w:eastAsia="zh-CN"/>
        </w:rPr>
        <w:t>。</w:t>
      </w:r>
    </w:p>
    <w:p w14:paraId="4096892A">
      <w:pPr>
        <w:adjustRightInd w:val="0"/>
        <w:snapToGrid w:val="0"/>
        <w:spacing w:line="600" w:lineRule="exact"/>
        <w:ind w:firstLine="72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2.项目立项、资金申报的依据。</w:t>
      </w:r>
    </w:p>
    <w:p w14:paraId="1D0C86EF">
      <w:pPr>
        <w:adjustRightInd w:val="0"/>
        <w:snapToGrid w:val="0"/>
        <w:spacing w:line="600" w:lineRule="exact"/>
        <w:ind w:firstLine="72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该项目的设立依据充分，符合《中央支持地方公共文化服务体系建设补助资金管理办法》等政策文件有关要求，立项程序合规，目标设定切实可行，经费安排与工作相适应，资金用途明确。主要依据包括：年度公共文化服务工作计划、文化馆设施设备提升需求、群众文化活动开展计划等</w:t>
      </w:r>
      <w:r>
        <w:rPr>
          <w:rFonts w:hint="eastAsia" w:ascii="Times New Roman" w:hAnsi="Times New Roman" w:eastAsia="仿宋_GB2312" w:cs="Times New Roman"/>
          <w:sz w:val="32"/>
          <w:szCs w:val="32"/>
          <w:lang w:val="zh-CN"/>
        </w:rPr>
        <w:t>。</w:t>
      </w:r>
    </w:p>
    <w:p w14:paraId="3A5C1EA7">
      <w:pPr>
        <w:adjustRightInd w:val="0"/>
        <w:snapToGrid w:val="0"/>
        <w:spacing w:line="600" w:lineRule="exact"/>
        <w:ind w:firstLine="72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3</w:t>
      </w:r>
      <w:r>
        <w:rPr>
          <w:rFonts w:hint="eastAsia" w:ascii="Times New Roman" w:hAnsi="Times New Roman" w:eastAsia="仿宋_GB2312" w:cs="Times New Roman"/>
          <w:sz w:val="32"/>
          <w:szCs w:val="32"/>
          <w:lang w:val="zh-CN"/>
        </w:rPr>
        <w:t>.</w:t>
      </w:r>
      <w:r>
        <w:rPr>
          <w:rFonts w:ascii="Times New Roman" w:hAnsi="Times New Roman" w:eastAsia="仿宋_GB2312" w:cs="Times New Roman"/>
          <w:sz w:val="32"/>
          <w:szCs w:val="32"/>
          <w:lang w:val="zh-CN"/>
        </w:rPr>
        <w:t>资金管理办法制定情况，资金支持具体项目的条件、范围与支持方式概况。</w:t>
      </w:r>
    </w:p>
    <w:p w14:paraId="6987076E">
      <w:pPr>
        <w:adjustRightInd w:val="0"/>
        <w:snapToGrid w:val="0"/>
        <w:spacing w:line="600" w:lineRule="exact"/>
        <w:ind w:firstLine="72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本项目资金严格执行专项资金管理办法，坚持“专款专用、注重绩效”原则，主要用于以下支出：</w:t>
      </w:r>
    </w:p>
    <w:p w14:paraId="5302F318">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设</w:t>
      </w:r>
      <w:r>
        <w:rPr>
          <w:rFonts w:ascii="Times New Roman" w:hAnsi="Times New Roman" w:eastAsia="仿宋_GB2312" w:cs="Times New Roman"/>
          <w:sz w:val="32"/>
          <w:szCs w:val="32"/>
          <w:lang w:val="zh-CN"/>
        </w:rPr>
        <w:t>施设备提升：购置文化活动器材、音响设备、灯光设备等</w:t>
      </w:r>
      <w:r>
        <w:rPr>
          <w:rFonts w:hint="eastAsia" w:ascii="Times New Roman" w:hAnsi="Times New Roman" w:eastAsia="仿宋_GB2312" w:cs="Times New Roman"/>
          <w:sz w:val="32"/>
          <w:szCs w:val="32"/>
          <w:lang w:val="zh-CN"/>
        </w:rPr>
        <w:t>；</w:t>
      </w:r>
    </w:p>
    <w:p w14:paraId="3E242934">
      <w:pPr>
        <w:adjustRightInd w:val="0"/>
        <w:snapToGrid w:val="0"/>
        <w:spacing w:line="600" w:lineRule="exact"/>
        <w:ind w:firstLine="720"/>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文</w:t>
      </w:r>
      <w:r>
        <w:rPr>
          <w:rFonts w:ascii="Times New Roman" w:hAnsi="Times New Roman" w:eastAsia="仿宋_GB2312" w:cs="Times New Roman"/>
          <w:sz w:val="32"/>
          <w:szCs w:val="32"/>
          <w:lang w:val="zh-CN"/>
        </w:rPr>
        <w:t>化活动开展：组织文艺演出、展览展示、艺术培训等文化活动</w:t>
      </w:r>
      <w:r>
        <w:rPr>
          <w:rFonts w:hint="eastAsia" w:ascii="Times New Roman" w:hAnsi="Times New Roman" w:eastAsia="仿宋_GB2312" w:cs="Times New Roman"/>
          <w:sz w:val="32"/>
          <w:szCs w:val="32"/>
          <w:lang w:val="zh-CN"/>
        </w:rPr>
        <w:t>；</w:t>
      </w:r>
    </w:p>
    <w:p w14:paraId="07D2FA37">
      <w:pPr>
        <w:adjustRightInd w:val="0"/>
        <w:snapToGrid w:val="0"/>
        <w:spacing w:line="600" w:lineRule="exact"/>
        <w:ind w:firstLine="720"/>
        <w:rPr>
          <w:rFonts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数</w:t>
      </w:r>
      <w:r>
        <w:rPr>
          <w:rFonts w:ascii="Times New Roman" w:hAnsi="Times New Roman" w:eastAsia="仿宋_GB2312" w:cs="Times New Roman"/>
          <w:sz w:val="32"/>
          <w:szCs w:val="32"/>
          <w:lang w:val="zh-CN"/>
        </w:rPr>
        <w:t>字文化服务：推进文化馆数字化建设，丰富线上文化资源</w:t>
      </w:r>
      <w:r>
        <w:rPr>
          <w:rFonts w:hint="eastAsia" w:ascii="Times New Roman" w:hAnsi="Times New Roman" w:eastAsia="仿宋_GB2312" w:cs="Times New Roman"/>
          <w:sz w:val="32"/>
          <w:szCs w:val="32"/>
          <w:lang w:val="zh-CN"/>
        </w:rPr>
        <w:t>；</w:t>
      </w:r>
    </w:p>
    <w:p w14:paraId="5EDED06F">
      <w:pPr>
        <w:adjustRightInd w:val="0"/>
        <w:snapToGrid w:val="0"/>
        <w:spacing w:line="600" w:lineRule="exact"/>
        <w:ind w:firstLine="720"/>
        <w:rPr>
          <w:rFonts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服</w:t>
      </w:r>
      <w:r>
        <w:rPr>
          <w:rFonts w:ascii="Times New Roman" w:hAnsi="Times New Roman" w:eastAsia="仿宋_GB2312" w:cs="Times New Roman"/>
          <w:sz w:val="32"/>
          <w:szCs w:val="32"/>
          <w:lang w:val="zh-CN"/>
        </w:rPr>
        <w:t>务效能提升：优化服务流程，延长开放时间，拓展服务项目</w:t>
      </w:r>
      <w:r>
        <w:rPr>
          <w:rFonts w:hint="eastAsia" w:ascii="Times New Roman" w:hAnsi="Times New Roman" w:eastAsia="仿宋_GB2312" w:cs="Times New Roman"/>
          <w:sz w:val="32"/>
          <w:szCs w:val="32"/>
          <w:lang w:val="zh-CN"/>
        </w:rPr>
        <w:t>；</w:t>
      </w:r>
    </w:p>
    <w:p w14:paraId="0B95FF81">
      <w:pPr>
        <w:adjustRightInd w:val="0"/>
        <w:snapToGrid w:val="0"/>
        <w:spacing w:line="600" w:lineRule="exact"/>
        <w:ind w:firstLine="72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区财政部门根据项目进度及时拨付专项资金，达到项目资金设立目的，及时足额支付了相关费用</w:t>
      </w:r>
      <w:r>
        <w:rPr>
          <w:rFonts w:hint="eastAsia" w:ascii="Times New Roman" w:hAnsi="Times New Roman" w:eastAsia="仿宋_GB2312" w:cs="Times New Roman"/>
          <w:sz w:val="32"/>
          <w:szCs w:val="32"/>
          <w:lang w:val="zh-CN"/>
        </w:rPr>
        <w:t>。</w:t>
      </w:r>
    </w:p>
    <w:p w14:paraId="08CF5399">
      <w:pPr>
        <w:adjustRightInd w:val="0"/>
        <w:snapToGrid w:val="0"/>
        <w:spacing w:line="600" w:lineRule="exact"/>
        <w:ind w:firstLine="72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4.资金分配的原则及考虑因素。</w:t>
      </w:r>
    </w:p>
    <w:p w14:paraId="1869C5EE">
      <w:pPr>
        <w:adjustRightInd w:val="0"/>
        <w:snapToGrid w:val="0"/>
        <w:spacing w:line="600" w:lineRule="exact"/>
        <w:ind w:firstLine="72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严格执行专项资金专款专用，按照资金分配文件所规定的执行范围使用支付资金。2025年度，项目年初预算0万元，调整后预算53.62万元，具体分配如下：设施设备提升费用约25万元、文化活动开展费用约15万元、数字文化服务建设费用约8万元、服务效能提升及其他费用约5.62万元</w:t>
      </w:r>
      <w:r>
        <w:rPr>
          <w:rFonts w:hint="eastAsia" w:ascii="Times New Roman" w:hAnsi="Times New Roman" w:eastAsia="仿宋_GB2312" w:cs="Times New Roman"/>
          <w:sz w:val="32"/>
          <w:szCs w:val="32"/>
          <w:lang w:val="zh-CN"/>
        </w:rPr>
        <w:t>。</w:t>
      </w:r>
    </w:p>
    <w:p w14:paraId="4B7996E3">
      <w:pPr>
        <w:adjustRightInd w:val="0"/>
        <w:snapToGrid w:val="0"/>
        <w:spacing w:line="600" w:lineRule="exact"/>
        <w:ind w:firstLine="720"/>
        <w:rPr>
          <w:rFonts w:ascii="Times New Roman" w:hAnsi="Times New Roman" w:eastAsia="楷体_GB2312" w:cs="Times New Roman"/>
          <w:b/>
          <w:sz w:val="32"/>
          <w:szCs w:val="32"/>
          <w:lang w:val="zh-CN"/>
        </w:rPr>
      </w:pPr>
      <w:r>
        <w:rPr>
          <w:rFonts w:ascii="Times New Roman" w:hAnsi="Times New Roman" w:eastAsia="楷体_GB2312" w:cs="Times New Roman"/>
          <w:b/>
          <w:sz w:val="32"/>
          <w:szCs w:val="32"/>
          <w:lang w:val="zh-CN"/>
        </w:rPr>
        <w:t>（二）项目绩效目标。</w:t>
      </w:r>
    </w:p>
    <w:p w14:paraId="4FB7AFED">
      <w:pPr>
        <w:adjustRightInd w:val="0"/>
        <w:snapToGrid w:val="0"/>
        <w:spacing w:line="600" w:lineRule="exact"/>
        <w:ind w:firstLine="72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1.项目主要内容。</w:t>
      </w:r>
    </w:p>
    <w:p w14:paraId="58159019">
      <w:pPr>
        <w:adjustRightInd w:val="0"/>
        <w:snapToGrid w:val="0"/>
        <w:spacing w:line="600" w:lineRule="exact"/>
        <w:ind w:firstLine="720"/>
        <w:rPr>
          <w:rFonts w:hint="eastAsia"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主要用于支持文化馆公共文化服务体系建设，提升公共文化服务效能，丰富群众精神文化生活。具体包括：</w:t>
      </w:r>
    </w:p>
    <w:p w14:paraId="37104254">
      <w:pPr>
        <w:adjustRightInd w:val="0"/>
        <w:snapToGrid w:val="0"/>
        <w:spacing w:line="600" w:lineRule="exact"/>
        <w:ind w:firstLine="720"/>
        <w:rPr>
          <w:rFonts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设</w:t>
      </w:r>
      <w:r>
        <w:rPr>
          <w:rFonts w:ascii="Times New Roman" w:hAnsi="Times New Roman" w:eastAsia="仿宋_GB2312" w:cs="Times New Roman"/>
          <w:sz w:val="32"/>
          <w:szCs w:val="32"/>
          <w:lang w:val="zh-CN"/>
        </w:rPr>
        <w:t>施设备提升：购置文化活动器材、音响、灯光等设备</w:t>
      </w:r>
    </w:p>
    <w:p w14:paraId="411A660D">
      <w:pPr>
        <w:adjustRightInd w:val="0"/>
        <w:snapToGrid w:val="0"/>
        <w:spacing w:line="600" w:lineRule="exact"/>
        <w:ind w:firstLine="720"/>
        <w:rPr>
          <w:rFonts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文</w:t>
      </w:r>
      <w:r>
        <w:rPr>
          <w:rFonts w:ascii="Times New Roman" w:hAnsi="Times New Roman" w:eastAsia="仿宋_GB2312" w:cs="Times New Roman"/>
          <w:sz w:val="32"/>
          <w:szCs w:val="32"/>
          <w:lang w:val="zh-CN"/>
        </w:rPr>
        <w:t>化活动开展：组织文艺演出、展览展示、艺术培训等</w:t>
      </w:r>
    </w:p>
    <w:p w14:paraId="0B8E85D2">
      <w:pPr>
        <w:adjustRightInd w:val="0"/>
        <w:snapToGrid w:val="0"/>
        <w:spacing w:line="600" w:lineRule="exact"/>
        <w:ind w:firstLine="720"/>
        <w:rPr>
          <w:rFonts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数</w:t>
      </w:r>
      <w:r>
        <w:rPr>
          <w:rFonts w:ascii="Times New Roman" w:hAnsi="Times New Roman" w:eastAsia="仿宋_GB2312" w:cs="Times New Roman"/>
          <w:sz w:val="32"/>
          <w:szCs w:val="32"/>
          <w:lang w:val="zh-CN"/>
        </w:rPr>
        <w:t>字文化服务：推进数字化建设，丰富线上文化资源</w:t>
      </w:r>
    </w:p>
    <w:p w14:paraId="266903AD">
      <w:pPr>
        <w:adjustRightInd w:val="0"/>
        <w:snapToGrid w:val="0"/>
        <w:spacing w:line="600" w:lineRule="exact"/>
        <w:ind w:firstLine="720"/>
        <w:rPr>
          <w:rFonts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服</w:t>
      </w:r>
      <w:r>
        <w:rPr>
          <w:rFonts w:ascii="Times New Roman" w:hAnsi="Times New Roman" w:eastAsia="仿宋_GB2312" w:cs="Times New Roman"/>
          <w:sz w:val="32"/>
          <w:szCs w:val="32"/>
          <w:lang w:val="zh-CN"/>
        </w:rPr>
        <w:t>务效能提升：优化流程、延长开放时间、拓展服务项目</w:t>
      </w:r>
    </w:p>
    <w:p w14:paraId="2774FAFE">
      <w:pPr>
        <w:adjustRightInd w:val="0"/>
        <w:snapToGrid w:val="0"/>
        <w:spacing w:line="600" w:lineRule="exact"/>
        <w:ind w:firstLine="72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2.项目应实现的具体绩效目标，包括目标的量化、细化情况以及项目实施进度计划等。</w:t>
      </w:r>
    </w:p>
    <w:p w14:paraId="69B57ACE">
      <w:pPr>
        <w:adjustRightInd w:val="0"/>
        <w:snapToGrid w:val="0"/>
        <w:spacing w:line="600" w:lineRule="exact"/>
        <w:ind w:firstLine="720"/>
        <w:rPr>
          <w:rFonts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eastAsia="zh-CN"/>
        </w:rPr>
        <w:t>（</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lang w:val="zh-CN"/>
        </w:rPr>
        <w:t>产出目标：</w:t>
      </w:r>
    </w:p>
    <w:p w14:paraId="410F2B39">
      <w:pPr>
        <w:adjustRightInd w:val="0"/>
        <w:snapToGrid w:val="0"/>
        <w:spacing w:line="600" w:lineRule="exact"/>
        <w:ind w:firstLine="720"/>
        <w:rPr>
          <w:rFonts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eastAsia="zh-CN"/>
        </w:rPr>
        <w:t>数</w:t>
      </w:r>
      <w:r>
        <w:rPr>
          <w:rFonts w:ascii="Times New Roman" w:hAnsi="Times New Roman" w:eastAsia="仿宋_GB2312" w:cs="Times New Roman"/>
          <w:sz w:val="32"/>
          <w:szCs w:val="32"/>
          <w:lang w:val="zh-CN"/>
        </w:rPr>
        <w:t>量指标：全年组织开展文化活动不少于1场；</w:t>
      </w:r>
    </w:p>
    <w:p w14:paraId="2906994E">
      <w:pPr>
        <w:adjustRightInd w:val="0"/>
        <w:snapToGrid w:val="0"/>
        <w:spacing w:line="600" w:lineRule="exact"/>
        <w:ind w:firstLine="720"/>
        <w:rPr>
          <w:rFonts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eastAsia="zh-CN"/>
        </w:rPr>
        <w:t>质</w:t>
      </w:r>
      <w:r>
        <w:rPr>
          <w:rFonts w:ascii="Times New Roman" w:hAnsi="Times New Roman" w:eastAsia="仿宋_GB2312" w:cs="Times New Roman"/>
          <w:sz w:val="32"/>
          <w:szCs w:val="32"/>
          <w:lang w:val="zh-CN"/>
        </w:rPr>
        <w:t>量指标：设备采购验收合格率达到100%；</w:t>
      </w:r>
    </w:p>
    <w:p w14:paraId="6852A482">
      <w:pPr>
        <w:adjustRightInd w:val="0"/>
        <w:snapToGrid w:val="0"/>
        <w:spacing w:line="600" w:lineRule="exact"/>
        <w:ind w:firstLine="720"/>
        <w:rPr>
          <w:rFonts w:hint="eastAsia" w:ascii="Times New Roman" w:hAnsi="Times New Roman" w:eastAsia="仿宋_GB2312" w:cs="Times New Roman"/>
          <w:sz w:val="32"/>
          <w:szCs w:val="32"/>
          <w:lang w:val="zh-CN" w:eastAsia="zh-CN"/>
        </w:rPr>
      </w:pPr>
      <w:r>
        <w:rPr>
          <w:rFonts w:hint="eastAsia" w:ascii="Times New Roman" w:hAnsi="Times New Roman" w:eastAsia="仿宋_GB2312" w:cs="Times New Roman"/>
          <w:sz w:val="32"/>
          <w:szCs w:val="32"/>
          <w:lang w:val="zh-CN" w:eastAsia="zh-CN"/>
        </w:rPr>
        <w:t>时</w:t>
      </w:r>
      <w:r>
        <w:rPr>
          <w:rFonts w:ascii="Times New Roman" w:hAnsi="Times New Roman" w:eastAsia="仿宋_GB2312" w:cs="Times New Roman"/>
          <w:sz w:val="32"/>
          <w:szCs w:val="32"/>
          <w:lang w:val="zh-CN"/>
        </w:rPr>
        <w:t>效指标：项目按计划及时完成率达到100%。</w:t>
      </w:r>
    </w:p>
    <w:p w14:paraId="5AABC056">
      <w:pPr>
        <w:adjustRightInd w:val="0"/>
        <w:snapToGrid w:val="0"/>
        <w:spacing w:line="600" w:lineRule="exact"/>
        <w:ind w:firstLine="72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zh-CN"/>
        </w:rPr>
        <w:t>（</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lang w:val="zh-CN"/>
        </w:rPr>
        <w:t>效益目标：</w:t>
      </w:r>
    </w:p>
    <w:p w14:paraId="542D9A83">
      <w:pPr>
        <w:adjustRightInd w:val="0"/>
        <w:snapToGrid w:val="0"/>
        <w:spacing w:line="600" w:lineRule="exact"/>
        <w:ind w:firstLine="720"/>
        <w:rPr>
          <w:rFonts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公</w:t>
      </w:r>
      <w:r>
        <w:rPr>
          <w:rFonts w:ascii="Times New Roman" w:hAnsi="Times New Roman" w:eastAsia="仿宋_GB2312" w:cs="Times New Roman"/>
          <w:sz w:val="32"/>
          <w:szCs w:val="32"/>
          <w:lang w:val="zh-CN"/>
        </w:rPr>
        <w:t>共文化服务效能得到有效提升；</w:t>
      </w:r>
    </w:p>
    <w:p w14:paraId="6C9A78EE">
      <w:pPr>
        <w:adjustRightInd w:val="0"/>
        <w:snapToGrid w:val="0"/>
        <w:spacing w:line="600" w:lineRule="exact"/>
        <w:ind w:firstLine="720"/>
        <w:rPr>
          <w:rFonts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eastAsia="zh-CN"/>
        </w:rPr>
        <w:t>群</w:t>
      </w:r>
      <w:r>
        <w:rPr>
          <w:rFonts w:ascii="Times New Roman" w:hAnsi="Times New Roman" w:eastAsia="仿宋_GB2312" w:cs="Times New Roman"/>
          <w:sz w:val="32"/>
          <w:szCs w:val="32"/>
          <w:lang w:val="zh-CN"/>
        </w:rPr>
        <w:t>众文化获得感显著增强。</w:t>
      </w:r>
    </w:p>
    <w:p w14:paraId="5EB5F4EE">
      <w:pPr>
        <w:adjustRightInd w:val="0"/>
        <w:snapToGrid w:val="0"/>
        <w:spacing w:line="600" w:lineRule="exact"/>
        <w:ind w:firstLine="720"/>
        <w:rPr>
          <w:rFonts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eastAsia="zh-CN"/>
        </w:rPr>
        <w:t>（</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lang w:val="zh-CN"/>
        </w:rPr>
        <w:t>满意度目标：</w:t>
      </w:r>
    </w:p>
    <w:p w14:paraId="245D3FBB">
      <w:pPr>
        <w:adjustRightInd w:val="0"/>
        <w:snapToGrid w:val="0"/>
        <w:spacing w:line="600" w:lineRule="exact"/>
        <w:ind w:firstLine="720"/>
        <w:rPr>
          <w:rFonts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群</w:t>
      </w:r>
      <w:r>
        <w:rPr>
          <w:rFonts w:ascii="Times New Roman" w:hAnsi="Times New Roman" w:eastAsia="仿宋_GB2312" w:cs="Times New Roman"/>
          <w:sz w:val="32"/>
          <w:szCs w:val="32"/>
          <w:lang w:val="zh-CN"/>
        </w:rPr>
        <w:t>众满意度达到92%以上。</w:t>
      </w:r>
    </w:p>
    <w:p w14:paraId="3A31F371">
      <w:pPr>
        <w:adjustRightInd w:val="0"/>
        <w:snapToGrid w:val="0"/>
        <w:spacing w:line="600" w:lineRule="exact"/>
        <w:ind w:firstLine="72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lang w:val="zh-CN"/>
        </w:rPr>
        <w:t>成本目标：</w:t>
      </w:r>
    </w:p>
    <w:p w14:paraId="500017D7">
      <w:pPr>
        <w:adjustRightInd w:val="0"/>
        <w:snapToGrid w:val="0"/>
        <w:spacing w:line="600" w:lineRule="exact"/>
        <w:ind w:firstLine="720"/>
        <w:rPr>
          <w:rFonts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严</w:t>
      </w:r>
      <w:r>
        <w:rPr>
          <w:rFonts w:ascii="Times New Roman" w:hAnsi="Times New Roman" w:eastAsia="仿宋_GB2312" w:cs="Times New Roman"/>
          <w:sz w:val="32"/>
          <w:szCs w:val="32"/>
          <w:lang w:val="zh-CN"/>
        </w:rPr>
        <w:t>格控制在调整后预算53.62万元以内。</w:t>
      </w:r>
    </w:p>
    <w:p w14:paraId="2A5C92B1">
      <w:pPr>
        <w:adjustRightInd w:val="0"/>
        <w:snapToGrid w:val="0"/>
        <w:spacing w:line="600" w:lineRule="exact"/>
        <w:ind w:firstLine="720"/>
        <w:rPr>
          <w:rFonts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eastAsia="zh-CN"/>
        </w:rPr>
        <w:t>（</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lang w:val="zh-CN"/>
        </w:rPr>
        <w:t>进度计划：一季度完成设备采购前期准备，二季度推进设备购置及文化活动开展，三季度深化数字文化服务建设，四季度完成项目总结及绩效自评。</w:t>
      </w:r>
    </w:p>
    <w:p w14:paraId="4A25DC37">
      <w:pPr>
        <w:adjustRightInd w:val="0"/>
        <w:snapToGrid w:val="0"/>
        <w:spacing w:line="600" w:lineRule="exact"/>
        <w:ind w:firstLine="72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3.分析评价申报内容是否与实际相符，申报目标是否合理可行。</w:t>
      </w:r>
    </w:p>
    <w:p w14:paraId="053ABB10">
      <w:pPr>
        <w:adjustRightInd w:val="0"/>
        <w:snapToGrid w:val="0"/>
        <w:spacing w:line="600" w:lineRule="exact"/>
        <w:ind w:firstLine="72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该项目的设立依据充分，符合政策文件有关要求，立项程序合规，目标设定切实可行，经费安排与工作相适应，资金用途明确。申报内容与年度公共文化服务工作计划高度契合，绩效目标量化细化程度较高，具有合理性和可行性。</w:t>
      </w:r>
    </w:p>
    <w:p w14:paraId="53189AFC">
      <w:pPr>
        <w:adjustRightInd w:val="0"/>
        <w:snapToGrid w:val="0"/>
        <w:spacing w:line="600" w:lineRule="exact"/>
        <w:ind w:firstLine="720"/>
        <w:rPr>
          <w:rFonts w:ascii="Times New Roman" w:hAnsi="Times New Roman" w:eastAsia="楷体_GB2312" w:cs="Times New Roman"/>
          <w:b/>
          <w:sz w:val="32"/>
          <w:szCs w:val="32"/>
          <w:lang w:val="zh-CN"/>
        </w:rPr>
      </w:pPr>
      <w:r>
        <w:rPr>
          <w:rFonts w:ascii="Times New Roman" w:hAnsi="Times New Roman" w:eastAsia="楷体_GB2312" w:cs="Times New Roman"/>
          <w:b/>
          <w:sz w:val="32"/>
          <w:szCs w:val="32"/>
          <w:lang w:val="zh-CN"/>
        </w:rPr>
        <w:t>（三）项目自评步骤及方法。</w:t>
      </w:r>
    </w:p>
    <w:p w14:paraId="11F3D0E3">
      <w:pPr>
        <w:adjustRightInd w:val="0"/>
        <w:snapToGrid w:val="0"/>
        <w:spacing w:line="600" w:lineRule="exact"/>
        <w:ind w:firstLine="72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一是组建评价工作小组，由文化馆主要负责人任组长，办公室、业务股室相关人员为成员。二是制定项目评价工作方案，了解项目基本情况，明确评价指标和评分标准。三是现场勘察，听取项目汇报、收集项目资料，了解绩效目标设立、完成情况以及项目效益实现情况。四是资料信息汇总、评价分析，形成自评报告。</w:t>
      </w:r>
    </w:p>
    <w:p w14:paraId="1A6D2099">
      <w:pPr>
        <w:adjustRightInd w:val="0"/>
        <w:snapToGrid w:val="0"/>
        <w:spacing w:line="600" w:lineRule="exact"/>
        <w:ind w:firstLine="720"/>
        <w:rPr>
          <w:rFonts w:ascii="Times New Roman" w:hAnsi="Times New Roman" w:eastAsia="黑体" w:cs="Times New Roman"/>
          <w:sz w:val="32"/>
          <w:szCs w:val="32"/>
        </w:rPr>
      </w:pPr>
      <w:r>
        <w:rPr>
          <w:rFonts w:ascii="Times New Roman" w:hAnsi="Times New Roman" w:eastAsia="黑体" w:cs="Times New Roman"/>
          <w:sz w:val="32"/>
          <w:szCs w:val="32"/>
        </w:rPr>
        <w:t>二、项目资金申报及使用情况</w:t>
      </w:r>
    </w:p>
    <w:p w14:paraId="5B0D5904">
      <w:pPr>
        <w:adjustRightInd w:val="0"/>
        <w:snapToGrid w:val="0"/>
        <w:spacing w:line="600" w:lineRule="exact"/>
        <w:ind w:firstLine="720"/>
        <w:rPr>
          <w:rFonts w:ascii="Times New Roman" w:hAnsi="Times New Roman" w:eastAsia="楷体_GB2312" w:cs="Times New Roman"/>
          <w:b/>
          <w:sz w:val="32"/>
          <w:szCs w:val="32"/>
          <w:lang w:val="zh-CN"/>
        </w:rPr>
      </w:pPr>
      <w:r>
        <w:rPr>
          <w:rFonts w:ascii="Times New Roman" w:hAnsi="Times New Roman" w:eastAsia="楷体_GB2312" w:cs="Times New Roman"/>
          <w:b/>
          <w:sz w:val="32"/>
          <w:szCs w:val="32"/>
          <w:lang w:val="zh-CN"/>
        </w:rPr>
        <w:t>（一）项目资金申报及批复情况。</w:t>
      </w:r>
    </w:p>
    <w:p w14:paraId="7FE51952">
      <w:pPr>
        <w:adjustRightInd w:val="0"/>
        <w:snapToGrid w:val="0"/>
        <w:spacing w:line="600" w:lineRule="exact"/>
        <w:ind w:firstLine="72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本项目申报中央支持地方公共文化服务体系建设补助资金53.62万元，通过财政部门批复2025年项目经费53.62万元，资金批复率为100%。</w:t>
      </w:r>
    </w:p>
    <w:p w14:paraId="71F9E049">
      <w:pPr>
        <w:adjustRightInd w:val="0"/>
        <w:snapToGrid w:val="0"/>
        <w:spacing w:line="600" w:lineRule="exact"/>
        <w:ind w:firstLine="720"/>
        <w:rPr>
          <w:rFonts w:ascii="Times New Roman" w:hAnsi="Times New Roman" w:eastAsia="仿宋_GB2312" w:cs="Times New Roman"/>
          <w:sz w:val="32"/>
          <w:szCs w:val="32"/>
          <w:lang w:val="zh-CN"/>
        </w:rPr>
      </w:pPr>
      <w:r>
        <w:rPr>
          <w:rFonts w:ascii="Times New Roman" w:hAnsi="Times New Roman" w:eastAsia="楷体_GB2312" w:cs="Times New Roman"/>
          <w:b/>
          <w:sz w:val="32"/>
          <w:szCs w:val="32"/>
          <w:lang w:val="zh-CN"/>
        </w:rPr>
        <w:t>（二）资金计划、到位及使用情况（可用表格形式反映）。</w:t>
      </w:r>
    </w:p>
    <w:p w14:paraId="1CC07B4E">
      <w:pPr>
        <w:adjustRightInd w:val="0"/>
        <w:snapToGrid w:val="0"/>
        <w:spacing w:line="600" w:lineRule="exact"/>
        <w:ind w:firstLine="720"/>
        <w:rPr>
          <w:rFonts w:ascii="Times New Roman" w:hAnsi="Times New Roman" w:eastAsia="仿宋_GB2312" w:cs="Times New Roman"/>
          <w:sz w:val="32"/>
          <w:szCs w:val="32"/>
          <w:lang w:val="zh-CN"/>
        </w:rPr>
      </w:pPr>
      <w:r>
        <w:rPr>
          <w:rFonts w:ascii="Times New Roman" w:hAnsi="Times New Roman" w:eastAsia="楷体_GB2312" w:cs="Times New Roman"/>
          <w:sz w:val="32"/>
          <w:szCs w:val="32"/>
          <w:lang w:val="zh-CN"/>
        </w:rPr>
        <w:t>1</w:t>
      </w:r>
      <w:r>
        <w:rPr>
          <w:rFonts w:hint="eastAsia" w:ascii="Times New Roman" w:hAnsi="Times New Roman" w:eastAsia="楷体_GB2312" w:cs="Times New Roman"/>
          <w:sz w:val="32"/>
          <w:szCs w:val="32"/>
          <w:lang w:val="zh-CN"/>
        </w:rPr>
        <w:t>.</w:t>
      </w:r>
      <w:r>
        <w:rPr>
          <w:rFonts w:ascii="Times New Roman" w:hAnsi="Times New Roman" w:eastAsia="楷体_GB2312" w:cs="Times New Roman"/>
          <w:sz w:val="32"/>
          <w:szCs w:val="32"/>
          <w:lang w:val="zh-CN"/>
        </w:rPr>
        <w:t>资金计划。</w:t>
      </w:r>
    </w:p>
    <w:p w14:paraId="6FA7275C">
      <w:pPr>
        <w:adjustRightInd w:val="0"/>
        <w:snapToGrid w:val="0"/>
        <w:spacing w:line="600" w:lineRule="exact"/>
        <w:ind w:firstLine="72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区文化馆根据年度公共文化服务工作计划安排，申请2025年中央支持地方公共文化服务体系建设补助资金53.62万元，其中：设施设备提升费用25万元、文化活动开展费用15万元、数字文化服务建设费用8万元、服务效能提升及其他费用5.62万元。</w:t>
      </w:r>
    </w:p>
    <w:p w14:paraId="5B719654">
      <w:pPr>
        <w:adjustRightInd w:val="0"/>
        <w:snapToGrid w:val="0"/>
        <w:spacing w:line="600" w:lineRule="exact"/>
        <w:ind w:firstLine="720"/>
        <w:rPr>
          <w:rFonts w:ascii="Times New Roman" w:hAnsi="Times New Roman" w:eastAsia="仿宋_GB2312" w:cs="Times New Roman"/>
          <w:sz w:val="32"/>
          <w:szCs w:val="32"/>
          <w:lang w:val="zh-CN"/>
        </w:rPr>
      </w:pPr>
      <w:r>
        <w:rPr>
          <w:rFonts w:ascii="Times New Roman" w:hAnsi="Times New Roman" w:eastAsia="楷体_GB2312" w:cs="Times New Roman"/>
          <w:sz w:val="32"/>
          <w:szCs w:val="32"/>
          <w:lang w:val="zh-CN"/>
        </w:rPr>
        <w:t>2</w:t>
      </w:r>
      <w:r>
        <w:rPr>
          <w:rFonts w:hint="eastAsia" w:ascii="Times New Roman" w:hAnsi="Times New Roman" w:eastAsia="楷体_GB2312" w:cs="Times New Roman"/>
          <w:sz w:val="32"/>
          <w:szCs w:val="32"/>
          <w:lang w:val="zh-CN"/>
        </w:rPr>
        <w:t>.</w:t>
      </w:r>
      <w:r>
        <w:rPr>
          <w:rFonts w:ascii="Times New Roman" w:hAnsi="Times New Roman" w:eastAsia="楷体_GB2312" w:cs="Times New Roman"/>
          <w:sz w:val="32"/>
          <w:szCs w:val="32"/>
          <w:lang w:val="zh-CN"/>
        </w:rPr>
        <w:t>资金到位</w:t>
      </w:r>
      <w:r>
        <w:rPr>
          <w:rFonts w:ascii="Times New Roman" w:hAnsi="Times New Roman" w:eastAsia="仿宋_GB2312" w:cs="Times New Roman"/>
          <w:sz w:val="32"/>
          <w:szCs w:val="32"/>
          <w:lang w:val="zh-CN"/>
        </w:rPr>
        <w:t>。</w:t>
      </w:r>
    </w:p>
    <w:p w14:paraId="3333D6B8">
      <w:pPr>
        <w:adjustRightInd w:val="0"/>
        <w:snapToGrid w:val="0"/>
        <w:spacing w:line="600" w:lineRule="exact"/>
        <w:ind w:firstLine="720"/>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zh-CN"/>
        </w:rPr>
        <w:t>2025年实际到位资金53.62万元，为中央财政资金，资金到位率100%，资金到位及时，为项目实施提供了有力的资金保障</w:t>
      </w:r>
      <w:r>
        <w:rPr>
          <w:rFonts w:hint="eastAsia" w:ascii="Times New Roman" w:hAnsi="Times New Roman" w:eastAsia="仿宋_GB2312" w:cs="Times New Roman"/>
          <w:sz w:val="32"/>
          <w:szCs w:val="32"/>
          <w:lang w:val="zh-CN"/>
        </w:rPr>
        <w:t>。</w:t>
      </w:r>
    </w:p>
    <w:p w14:paraId="6D70B3F5">
      <w:pPr>
        <w:adjustRightInd w:val="0"/>
        <w:snapToGrid w:val="0"/>
        <w:spacing w:line="600" w:lineRule="exact"/>
        <w:ind w:firstLine="720"/>
        <w:rPr>
          <w:rFonts w:ascii="Times New Roman" w:hAnsi="Times New Roman" w:eastAsia="仿宋_GB2312" w:cs="Times New Roman"/>
          <w:sz w:val="32"/>
          <w:szCs w:val="32"/>
          <w:lang w:val="zh-CN"/>
        </w:rPr>
      </w:pPr>
      <w:r>
        <w:rPr>
          <w:rFonts w:ascii="Times New Roman" w:hAnsi="Times New Roman" w:eastAsia="楷体_GB2312" w:cs="Times New Roman"/>
          <w:sz w:val="32"/>
          <w:szCs w:val="32"/>
          <w:lang w:val="zh-CN"/>
        </w:rPr>
        <w:t>3</w:t>
      </w:r>
      <w:r>
        <w:rPr>
          <w:rFonts w:hint="eastAsia" w:ascii="Times New Roman" w:hAnsi="Times New Roman" w:eastAsia="楷体_GB2312" w:cs="Times New Roman"/>
          <w:sz w:val="32"/>
          <w:szCs w:val="32"/>
          <w:lang w:val="zh-CN"/>
        </w:rPr>
        <w:t>.</w:t>
      </w:r>
      <w:r>
        <w:rPr>
          <w:rFonts w:ascii="Times New Roman" w:hAnsi="Times New Roman" w:eastAsia="楷体_GB2312" w:cs="Times New Roman"/>
          <w:sz w:val="32"/>
          <w:szCs w:val="32"/>
          <w:lang w:val="zh-CN"/>
        </w:rPr>
        <w:t>资金使用。</w:t>
      </w:r>
    </w:p>
    <w:p w14:paraId="1486ADE5">
      <w:pPr>
        <w:adjustRightInd w:val="0"/>
        <w:snapToGrid w:val="0"/>
        <w:spacing w:line="600" w:lineRule="exact"/>
        <w:ind w:firstLine="72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截至评价时点，2025年共支出31.05万元，预算执行率57.91%。在资金使用方面，我馆严格按照预算和计划执行，确保了资金的合理使用。各项支出均符合相关规定，未发现挪用、浪费等现象。资金支出明细如下：</w:t>
      </w:r>
    </w:p>
    <w:p w14:paraId="4DEB2D98">
      <w:pPr>
        <w:adjustRightInd w:val="0"/>
        <w:snapToGrid w:val="0"/>
        <w:spacing w:line="240" w:lineRule="auto"/>
        <w:ind w:firstLine="0"/>
        <w:rPr>
          <w:rFonts w:ascii="Times New Roman" w:hAnsi="Times New Roman" w:eastAsia="楷体_GB2312" w:cs="Times New Roman"/>
          <w:b/>
          <w:sz w:val="32"/>
          <w:szCs w:val="32"/>
          <w:lang w:val="zh-CN"/>
        </w:rPr>
      </w:pPr>
      <w:r>
        <w:rPr>
          <w:rFonts w:ascii="Times New Roman" w:hAnsi="Times New Roman" w:eastAsia="楷体_GB2312" w:cs="Times New Roman"/>
          <w:b/>
          <w:sz w:val="32"/>
          <w:szCs w:val="32"/>
          <w:lang w:val="zh-CN"/>
        </w:rPr>
        <w:drawing>
          <wp:inline distT="0" distB="0" distL="114300" distR="114300">
            <wp:extent cx="5614035" cy="1866900"/>
            <wp:effectExtent l="0" t="0" r="5715" b="0"/>
            <wp:docPr id="12" name="图片 12" descr="2b67e951-f077-4fe6-8554-ddcf4c18c1b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2b67e951-f077-4fe6-8554-ddcf4c18c1b9"/>
                    <pic:cNvPicPr>
                      <a:picLocks noChangeAspect="1"/>
                    </pic:cNvPicPr>
                  </pic:nvPicPr>
                  <pic:blipFill>
                    <a:blip r:embed="rId16"/>
                    <a:stretch>
                      <a:fillRect/>
                    </a:stretch>
                  </pic:blipFill>
                  <pic:spPr>
                    <a:xfrm>
                      <a:off x="0" y="0"/>
                      <a:ext cx="5614035" cy="1866900"/>
                    </a:xfrm>
                    <a:prstGeom prst="rect">
                      <a:avLst/>
                    </a:prstGeom>
                  </pic:spPr>
                </pic:pic>
              </a:graphicData>
            </a:graphic>
          </wp:inline>
        </w:drawing>
      </w:r>
    </w:p>
    <w:p w14:paraId="57AD39A6">
      <w:pPr>
        <w:adjustRightInd w:val="0"/>
        <w:snapToGrid w:val="0"/>
        <w:spacing w:line="600" w:lineRule="exact"/>
        <w:ind w:firstLine="720"/>
        <w:rPr>
          <w:rFonts w:ascii="Times New Roman" w:hAnsi="Times New Roman" w:eastAsia="楷体_GB2312" w:cs="Times New Roman"/>
          <w:b/>
          <w:sz w:val="32"/>
          <w:szCs w:val="32"/>
          <w:lang w:val="zh-CN"/>
        </w:rPr>
      </w:pPr>
      <w:r>
        <w:rPr>
          <w:rFonts w:ascii="Times New Roman" w:hAnsi="Times New Roman" w:eastAsia="楷体_GB2312" w:cs="Times New Roman"/>
          <w:b/>
          <w:sz w:val="32"/>
          <w:szCs w:val="32"/>
          <w:lang w:val="zh-CN"/>
        </w:rPr>
        <w:t>（三）项目财务管理情况。</w:t>
      </w:r>
    </w:p>
    <w:p w14:paraId="086F1BAF">
      <w:pPr>
        <w:adjustRightInd w:val="0"/>
        <w:snapToGrid w:val="0"/>
        <w:spacing w:line="600" w:lineRule="exact"/>
        <w:ind w:firstLine="72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依据国家法令法规进行管理，项目实行的政府采购程序符合国家政府采购政策和要求，及时按程序和要求进行。按合同约定的条款，经财务审核、分管领导和项目负责人签字后拨付款项。项目资金均通过预算管理一体化系统支出，建立财务会审制度，严格按支出标准和范围执行，确保专款专用。</w:t>
      </w:r>
    </w:p>
    <w:p w14:paraId="2692CBD3">
      <w:pPr>
        <w:adjustRightInd w:val="0"/>
        <w:snapToGrid w:val="0"/>
        <w:spacing w:line="600" w:lineRule="exact"/>
        <w:ind w:firstLine="720"/>
        <w:rPr>
          <w:rFonts w:ascii="Times New Roman" w:hAnsi="Times New Roman" w:eastAsia="黑体" w:cs="Times New Roman"/>
          <w:sz w:val="32"/>
          <w:szCs w:val="32"/>
        </w:rPr>
      </w:pPr>
      <w:r>
        <w:rPr>
          <w:rFonts w:ascii="Times New Roman" w:hAnsi="Times New Roman" w:eastAsia="黑体" w:cs="Times New Roman"/>
          <w:sz w:val="32"/>
          <w:szCs w:val="32"/>
        </w:rPr>
        <w:t>三、项目实施及管理情况</w:t>
      </w:r>
    </w:p>
    <w:p w14:paraId="7B930FBA">
      <w:pPr>
        <w:adjustRightInd w:val="0"/>
        <w:snapToGrid w:val="0"/>
        <w:spacing w:line="600" w:lineRule="exact"/>
        <w:ind w:firstLine="72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结合项目组织实施管理办法，重点围绕以下内容进行分析评价，并对自评中发现的问题分析说明。</w:t>
      </w:r>
    </w:p>
    <w:p w14:paraId="69BC5116">
      <w:pPr>
        <w:adjustRightInd w:val="0"/>
        <w:snapToGrid w:val="0"/>
        <w:spacing w:line="600" w:lineRule="exact"/>
        <w:ind w:firstLine="720"/>
        <w:rPr>
          <w:rFonts w:ascii="Times New Roman" w:hAnsi="Times New Roman" w:eastAsia="楷体_GB2312" w:cs="Times New Roman"/>
          <w:b/>
          <w:sz w:val="32"/>
          <w:szCs w:val="32"/>
          <w:lang w:val="zh-CN"/>
        </w:rPr>
      </w:pPr>
      <w:r>
        <w:rPr>
          <w:rFonts w:ascii="Times New Roman" w:hAnsi="Times New Roman" w:eastAsia="楷体_GB2312" w:cs="Times New Roman"/>
          <w:b/>
          <w:sz w:val="32"/>
          <w:szCs w:val="32"/>
          <w:lang w:val="zh-CN"/>
        </w:rPr>
        <w:t>（一）项目组织架构及实施流程。</w:t>
      </w:r>
    </w:p>
    <w:p w14:paraId="040AF8A5">
      <w:pPr>
        <w:adjustRightInd w:val="0"/>
        <w:snapToGrid w:val="0"/>
        <w:spacing w:line="600" w:lineRule="exact"/>
        <w:ind w:firstLine="72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该项目组织架构与内控管理组织架构基本一致：</w:t>
      </w:r>
    </w:p>
    <w:p w14:paraId="25B6B9C1">
      <w:pPr>
        <w:adjustRightInd w:val="0"/>
        <w:snapToGrid w:val="0"/>
        <w:spacing w:line="600" w:lineRule="exact"/>
        <w:ind w:firstLine="72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主</w:t>
      </w:r>
      <w:r>
        <w:rPr>
          <w:rFonts w:ascii="Times New Roman" w:hAnsi="Times New Roman" w:eastAsia="仿宋_GB2312" w:cs="Times New Roman"/>
          <w:sz w:val="32"/>
          <w:szCs w:val="32"/>
          <w:lang w:val="zh-CN"/>
        </w:rPr>
        <w:t>要责任人：单位主要负责人</w:t>
      </w:r>
    </w:p>
    <w:p w14:paraId="4E1E2F72">
      <w:pPr>
        <w:adjustRightInd w:val="0"/>
        <w:snapToGrid w:val="0"/>
        <w:spacing w:line="600" w:lineRule="exact"/>
        <w:ind w:firstLine="720"/>
        <w:rPr>
          <w:rFonts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分</w:t>
      </w:r>
      <w:r>
        <w:rPr>
          <w:rFonts w:ascii="Times New Roman" w:hAnsi="Times New Roman" w:eastAsia="仿宋_GB2312" w:cs="Times New Roman"/>
          <w:sz w:val="32"/>
          <w:szCs w:val="32"/>
          <w:lang w:val="zh-CN"/>
        </w:rPr>
        <w:t>管责任人：财务分管领导和业务分管领导</w:t>
      </w:r>
    </w:p>
    <w:p w14:paraId="509CF356">
      <w:pPr>
        <w:adjustRightInd w:val="0"/>
        <w:snapToGrid w:val="0"/>
        <w:spacing w:line="600" w:lineRule="exact"/>
        <w:ind w:firstLine="720"/>
        <w:rPr>
          <w:rFonts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项</w:t>
      </w:r>
      <w:r>
        <w:rPr>
          <w:rFonts w:ascii="Times New Roman" w:hAnsi="Times New Roman" w:eastAsia="仿宋_GB2312" w:cs="Times New Roman"/>
          <w:sz w:val="32"/>
          <w:szCs w:val="32"/>
          <w:lang w:val="zh-CN"/>
        </w:rPr>
        <w:t>目实施责任人：业务股室同志</w:t>
      </w:r>
    </w:p>
    <w:p w14:paraId="3096AF75">
      <w:pPr>
        <w:adjustRightInd w:val="0"/>
        <w:snapToGrid w:val="0"/>
        <w:spacing w:line="600" w:lineRule="exact"/>
        <w:ind w:firstLine="72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实施流程：业务股室进行相关资料收集审核→分管领导复核→单位主要负责人终审→报主管部门审阅→财务股室按程序支付</w:t>
      </w:r>
      <w:r>
        <w:rPr>
          <w:rFonts w:hint="eastAsia" w:ascii="Times New Roman" w:hAnsi="Times New Roman" w:eastAsia="仿宋_GB2312" w:cs="Times New Roman"/>
          <w:sz w:val="32"/>
          <w:szCs w:val="32"/>
          <w:lang w:val="zh-CN"/>
        </w:rPr>
        <w:t>。</w:t>
      </w:r>
    </w:p>
    <w:p w14:paraId="6A9D9F82">
      <w:pPr>
        <w:adjustRightInd w:val="0"/>
        <w:snapToGrid w:val="0"/>
        <w:spacing w:line="600" w:lineRule="exact"/>
        <w:ind w:firstLine="720"/>
        <w:rPr>
          <w:rFonts w:ascii="Times New Roman" w:hAnsi="Times New Roman" w:eastAsia="仿宋_GB2312" w:cs="Times New Roman"/>
          <w:sz w:val="32"/>
          <w:szCs w:val="32"/>
          <w:lang w:val="zh-CN"/>
        </w:rPr>
      </w:pPr>
      <w:r>
        <w:rPr>
          <w:rFonts w:ascii="Times New Roman" w:hAnsi="Times New Roman" w:eastAsia="楷体_GB2312" w:cs="Times New Roman"/>
          <w:b/>
          <w:sz w:val="32"/>
          <w:szCs w:val="32"/>
          <w:lang w:val="zh-CN"/>
        </w:rPr>
        <w:t>（二）项目管理情况。</w:t>
      </w:r>
    </w:p>
    <w:p w14:paraId="3D7F0EE6">
      <w:pPr>
        <w:adjustRightInd w:val="0"/>
        <w:snapToGrid w:val="0"/>
        <w:spacing w:line="600" w:lineRule="exact"/>
        <w:ind w:firstLine="72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制定了严格的资金管理制度，明确资金使用范围、审批程序和监管要求。资金实行专款专用、专账核算，确保资金安全、规范、高效使用。定期对资金使用情况进行监督检查，未发现截留、挪用、虚报冒领等违规行为</w:t>
      </w:r>
      <w:r>
        <w:rPr>
          <w:rFonts w:hint="eastAsia" w:ascii="Times New Roman" w:hAnsi="Times New Roman" w:eastAsia="仿宋_GB2312" w:cs="Times New Roman"/>
          <w:sz w:val="32"/>
          <w:szCs w:val="32"/>
          <w:lang w:val="zh-CN"/>
        </w:rPr>
        <w:t>。</w:t>
      </w:r>
    </w:p>
    <w:p w14:paraId="238D2898">
      <w:pPr>
        <w:adjustRightInd w:val="0"/>
        <w:snapToGrid w:val="0"/>
        <w:spacing w:line="600" w:lineRule="exact"/>
        <w:ind w:firstLine="720"/>
        <w:rPr>
          <w:rFonts w:ascii="Times New Roman" w:hAnsi="Times New Roman" w:eastAsia="仿宋_GB2312" w:cs="Times New Roman"/>
          <w:sz w:val="32"/>
          <w:szCs w:val="32"/>
          <w:lang w:val="zh-CN"/>
        </w:rPr>
      </w:pPr>
      <w:r>
        <w:rPr>
          <w:rFonts w:ascii="Times New Roman" w:hAnsi="Times New Roman" w:eastAsia="楷体_GB2312" w:cs="Times New Roman"/>
          <w:b/>
          <w:sz w:val="32"/>
          <w:szCs w:val="32"/>
          <w:lang w:val="zh-CN"/>
        </w:rPr>
        <w:t>（三）项目监管情</w:t>
      </w:r>
      <w:r>
        <w:rPr>
          <w:rFonts w:hint="eastAsia" w:ascii="Times New Roman" w:hAnsi="Times New Roman" w:eastAsia="楷体_GB2312" w:cs="Times New Roman"/>
          <w:b/>
          <w:sz w:val="32"/>
          <w:szCs w:val="32"/>
          <w:lang w:val="zh-CN"/>
        </w:rPr>
        <w:t>况。</w:t>
      </w:r>
    </w:p>
    <w:p w14:paraId="559FA4E3">
      <w:pPr>
        <w:adjustRightInd w:val="0"/>
        <w:snapToGrid w:val="0"/>
        <w:spacing w:line="600" w:lineRule="exact"/>
        <w:ind w:firstLine="72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严格按照专项资金管理办法规定的范围和标准使用资金，将资金预算监督管理工作规范化、制度化。明确监督管理目标，落实管理责任，通过自查、抽查等方式接受监督，强化专项资金预算监督，确保资金支出使用合法依规、公开透明</w:t>
      </w:r>
      <w:r>
        <w:rPr>
          <w:rFonts w:hint="eastAsia" w:ascii="Times New Roman" w:hAnsi="Times New Roman" w:eastAsia="仿宋_GB2312" w:cs="Times New Roman"/>
          <w:sz w:val="32"/>
          <w:szCs w:val="32"/>
          <w:lang w:val="zh-CN"/>
        </w:rPr>
        <w:t>。</w:t>
      </w:r>
    </w:p>
    <w:p w14:paraId="3197FBCA">
      <w:pPr>
        <w:adjustRightInd w:val="0"/>
        <w:snapToGrid w:val="0"/>
        <w:spacing w:line="600" w:lineRule="exact"/>
        <w:ind w:firstLine="720"/>
        <w:rPr>
          <w:rFonts w:ascii="Times New Roman" w:hAnsi="Times New Roman" w:eastAsia="仿宋_GB2312" w:cs="Times New Roman"/>
          <w:sz w:val="32"/>
          <w:szCs w:val="32"/>
          <w:lang w:val="zh-CN"/>
        </w:rPr>
      </w:pPr>
      <w:r>
        <w:rPr>
          <w:rFonts w:ascii="Times New Roman" w:hAnsi="Times New Roman" w:eastAsia="黑体" w:cs="Times New Roman"/>
          <w:sz w:val="32"/>
          <w:szCs w:val="32"/>
        </w:rPr>
        <w:t>四、项目绩效情况</w:t>
      </w:r>
      <w:r>
        <w:rPr>
          <w:rFonts w:ascii="Times New Roman" w:hAnsi="Times New Roman" w:eastAsia="仿宋_GB2312" w:cs="Times New Roman"/>
          <w:sz w:val="32"/>
          <w:szCs w:val="32"/>
          <w:lang w:val="zh-CN"/>
        </w:rPr>
        <w:tab/>
      </w:r>
    </w:p>
    <w:p w14:paraId="17D91484">
      <w:pPr>
        <w:adjustRightInd w:val="0"/>
        <w:snapToGrid w:val="0"/>
        <w:spacing w:line="600" w:lineRule="exact"/>
        <w:ind w:firstLine="720"/>
        <w:rPr>
          <w:rFonts w:ascii="Times New Roman" w:hAnsi="Times New Roman" w:eastAsia="楷体_GB2312" w:cs="Times New Roman"/>
          <w:b/>
          <w:sz w:val="32"/>
          <w:szCs w:val="32"/>
          <w:lang w:val="zh-CN"/>
        </w:rPr>
      </w:pPr>
      <w:r>
        <w:rPr>
          <w:rFonts w:ascii="Times New Roman" w:hAnsi="Times New Roman" w:eastAsia="楷体_GB2312" w:cs="Times New Roman"/>
          <w:b/>
          <w:sz w:val="32"/>
          <w:szCs w:val="32"/>
          <w:lang w:val="zh-CN"/>
        </w:rPr>
        <w:t>（一）项目完成情况。</w:t>
      </w:r>
    </w:p>
    <w:p w14:paraId="680363D1">
      <w:pPr>
        <w:adjustRightInd w:val="0"/>
        <w:snapToGrid w:val="0"/>
        <w:spacing w:line="600" w:lineRule="exact"/>
        <w:ind w:firstLine="640" w:firstLineChars="200"/>
        <w:rPr>
          <w:rFonts w:hint="default"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en-US" w:eastAsia="zh-CN"/>
        </w:rPr>
        <w:t>1.设</w:t>
      </w:r>
      <w:r>
        <w:rPr>
          <w:rFonts w:ascii="Times New Roman" w:hAnsi="Times New Roman" w:eastAsia="仿宋_GB2312" w:cs="Times New Roman"/>
          <w:sz w:val="32"/>
          <w:szCs w:val="32"/>
          <w:lang w:val="zh-CN"/>
        </w:rPr>
        <w:t>施设备提升：</w:t>
      </w:r>
      <w:r>
        <w:rPr>
          <w:rFonts w:hint="default" w:ascii="Times New Roman" w:hAnsi="Times New Roman" w:eastAsia="仿宋_GB2312" w:cs="Times New Roman"/>
          <w:sz w:val="32"/>
          <w:szCs w:val="32"/>
          <w:lang w:val="zh-CN"/>
        </w:rPr>
        <w:t> 完成文化活动器材、音响设备、灯光设备等采购工作，设备验收合格率100%，有效改善了文化馆硬件条件；</w:t>
      </w:r>
    </w:p>
    <w:p w14:paraId="6308C09C">
      <w:pPr>
        <w:adjustRightInd w:val="0"/>
        <w:snapToGrid w:val="0"/>
        <w:spacing w:line="600" w:lineRule="exact"/>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2.文</w:t>
      </w:r>
      <w:r>
        <w:rPr>
          <w:rFonts w:ascii="Times New Roman" w:hAnsi="Times New Roman" w:eastAsia="仿宋_GB2312" w:cs="Times New Roman"/>
          <w:sz w:val="32"/>
          <w:szCs w:val="32"/>
          <w:lang w:val="zh-CN"/>
        </w:rPr>
        <w:t>化活动开展：</w:t>
      </w:r>
      <w:r>
        <w:rPr>
          <w:rFonts w:hint="default" w:ascii="Times New Roman" w:hAnsi="Times New Roman" w:eastAsia="仿宋_GB2312" w:cs="Times New Roman"/>
          <w:sz w:val="32"/>
          <w:szCs w:val="32"/>
          <w:lang w:val="zh-CN"/>
        </w:rPr>
        <w:t> 组织文艺演出、展览展示、艺术培训等文化活动，全年完成1场以上重点文化活动，群众参与踊跃；</w:t>
      </w:r>
    </w:p>
    <w:p w14:paraId="3CFD8668">
      <w:pPr>
        <w:adjustRightInd w:val="0"/>
        <w:snapToGrid w:val="0"/>
        <w:spacing w:line="600" w:lineRule="exact"/>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3.数</w:t>
      </w:r>
      <w:r>
        <w:rPr>
          <w:rFonts w:ascii="Times New Roman" w:hAnsi="Times New Roman" w:eastAsia="仿宋_GB2312" w:cs="Times New Roman"/>
          <w:sz w:val="32"/>
          <w:szCs w:val="32"/>
          <w:lang w:val="zh-CN"/>
        </w:rPr>
        <w:t>字文化服务：</w:t>
      </w:r>
      <w:r>
        <w:rPr>
          <w:rFonts w:hint="default" w:ascii="Times New Roman" w:hAnsi="Times New Roman" w:eastAsia="仿宋_GB2312" w:cs="Times New Roman"/>
          <w:sz w:val="32"/>
          <w:szCs w:val="32"/>
          <w:lang w:val="zh-CN"/>
        </w:rPr>
        <w:t> 推进文化馆数字化建设，初步搭建线上文化资源平台，丰富线上文化内容；</w:t>
      </w:r>
    </w:p>
    <w:p w14:paraId="206E9454">
      <w:pPr>
        <w:adjustRightInd w:val="0"/>
        <w:snapToGrid w:val="0"/>
        <w:spacing w:line="600" w:lineRule="exact"/>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4.服</w:t>
      </w:r>
      <w:r>
        <w:rPr>
          <w:rFonts w:ascii="Times New Roman" w:hAnsi="Times New Roman" w:eastAsia="仿宋_GB2312" w:cs="Times New Roman"/>
          <w:sz w:val="32"/>
          <w:szCs w:val="32"/>
          <w:lang w:val="zh-CN"/>
        </w:rPr>
        <w:t>务效能提升：</w:t>
      </w:r>
      <w:r>
        <w:rPr>
          <w:rFonts w:hint="default" w:ascii="Times New Roman" w:hAnsi="Times New Roman" w:eastAsia="仿宋_GB2312" w:cs="Times New Roman"/>
          <w:sz w:val="32"/>
          <w:szCs w:val="32"/>
          <w:lang w:val="zh-CN"/>
        </w:rPr>
        <w:t> 优化服务流程，延长开放时间，拓展服务项目，公共文化服务能力明显增强；</w:t>
      </w:r>
    </w:p>
    <w:p w14:paraId="1265F411">
      <w:pPr>
        <w:adjustRightInd w:val="0"/>
        <w:snapToGrid w:val="0"/>
        <w:spacing w:line="600" w:lineRule="exact"/>
        <w:ind w:firstLine="640" w:firstLineChars="200"/>
        <w:rPr>
          <w:rFonts w:ascii="Times New Roman" w:hAnsi="Times New Roman" w:eastAsia="楷体_GB2312" w:cs="Times New Roman"/>
          <w:b/>
          <w:sz w:val="32"/>
          <w:szCs w:val="32"/>
          <w:lang w:val="zh-CN"/>
        </w:rPr>
      </w:pPr>
      <w:r>
        <w:rPr>
          <w:rFonts w:hint="eastAsia" w:ascii="Times New Roman" w:hAnsi="Times New Roman" w:eastAsia="仿宋_GB2312" w:cs="Times New Roman"/>
          <w:sz w:val="32"/>
          <w:szCs w:val="32"/>
          <w:lang w:val="en-US" w:eastAsia="zh-CN"/>
        </w:rPr>
        <w:t>5.群</w:t>
      </w:r>
      <w:r>
        <w:rPr>
          <w:rFonts w:ascii="Times New Roman" w:hAnsi="Times New Roman" w:eastAsia="仿宋_GB2312" w:cs="Times New Roman"/>
          <w:sz w:val="32"/>
          <w:szCs w:val="32"/>
          <w:lang w:val="zh-CN"/>
        </w:rPr>
        <w:t>众满意度：</w:t>
      </w:r>
      <w:r>
        <w:rPr>
          <w:rFonts w:hint="default" w:ascii="Times New Roman" w:hAnsi="Times New Roman" w:eastAsia="仿宋_GB2312" w:cs="Times New Roman"/>
          <w:sz w:val="32"/>
          <w:szCs w:val="32"/>
          <w:lang w:val="zh-CN"/>
        </w:rPr>
        <w:t> 经问卷调查，群众综合满意度达92%以上。</w:t>
      </w:r>
    </w:p>
    <w:p w14:paraId="60B6C297">
      <w:pPr>
        <w:adjustRightInd w:val="0"/>
        <w:snapToGrid w:val="0"/>
        <w:spacing w:line="600" w:lineRule="exact"/>
        <w:ind w:firstLine="720"/>
        <w:rPr>
          <w:rFonts w:ascii="Times New Roman" w:hAnsi="Times New Roman" w:eastAsia="楷体_GB2312" w:cs="Times New Roman"/>
          <w:b/>
          <w:sz w:val="32"/>
          <w:szCs w:val="32"/>
          <w:lang w:val="zh-CN"/>
        </w:rPr>
      </w:pPr>
      <w:r>
        <w:rPr>
          <w:rFonts w:ascii="Times New Roman" w:hAnsi="Times New Roman" w:eastAsia="楷体_GB2312" w:cs="Times New Roman"/>
          <w:b/>
          <w:sz w:val="32"/>
          <w:szCs w:val="32"/>
          <w:lang w:val="zh-CN"/>
        </w:rPr>
        <w:t>（二）项目效益情况。</w:t>
      </w:r>
    </w:p>
    <w:p w14:paraId="538BD155">
      <w:pPr>
        <w:adjustRightInd w:val="0"/>
        <w:snapToGrid w:val="0"/>
        <w:spacing w:line="60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1.社</w:t>
      </w:r>
      <w:r>
        <w:rPr>
          <w:rFonts w:ascii="Times New Roman" w:hAnsi="Times New Roman" w:eastAsia="仿宋_GB2312" w:cs="Times New Roman"/>
          <w:sz w:val="32"/>
          <w:szCs w:val="32"/>
          <w:lang w:val="zh-CN"/>
        </w:rPr>
        <w:t>会效益：</w:t>
      </w:r>
      <w:r>
        <w:rPr>
          <w:rFonts w:hint="default" w:ascii="Times New Roman" w:hAnsi="Times New Roman" w:eastAsia="仿宋_GB2312" w:cs="Times New Roman"/>
          <w:sz w:val="32"/>
          <w:szCs w:val="32"/>
          <w:lang w:val="zh-CN"/>
        </w:rPr>
        <w:t> 通过项目实施，文化馆设施设备得到明显提升，文化活动丰富多样，有效提升了公共文化服务效能，丰富了群众精神文化生活，群众文化获得感显著增强</w:t>
      </w:r>
      <w:r>
        <w:rPr>
          <w:rFonts w:hint="eastAsia" w:ascii="Times New Roman" w:hAnsi="Times New Roman" w:eastAsia="仿宋_GB2312" w:cs="Times New Roman"/>
          <w:sz w:val="32"/>
          <w:szCs w:val="32"/>
          <w:lang w:val="zh-CN" w:eastAsia="zh-CN"/>
        </w:rPr>
        <w:t>。</w:t>
      </w:r>
    </w:p>
    <w:p w14:paraId="0878E964">
      <w:pPr>
        <w:adjustRightInd w:val="0"/>
        <w:snapToGrid w:val="0"/>
        <w:spacing w:line="600" w:lineRule="exact"/>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2.服</w:t>
      </w:r>
      <w:r>
        <w:rPr>
          <w:rFonts w:ascii="Times New Roman" w:hAnsi="Times New Roman" w:eastAsia="仿宋_GB2312" w:cs="Times New Roman"/>
          <w:sz w:val="32"/>
          <w:szCs w:val="32"/>
          <w:lang w:val="zh-CN"/>
        </w:rPr>
        <w:t>务效能：</w:t>
      </w:r>
      <w:r>
        <w:rPr>
          <w:rFonts w:hint="default" w:ascii="Times New Roman" w:hAnsi="Times New Roman" w:eastAsia="仿宋_GB2312" w:cs="Times New Roman"/>
          <w:sz w:val="32"/>
          <w:szCs w:val="32"/>
          <w:lang w:val="zh-CN"/>
        </w:rPr>
        <w:t> 服务流程优化、开放时间延长、服务项目拓展，文化馆服务能力和水平得到全面提升，为后续公共文化服务持续发展奠定良好基础。</w:t>
      </w:r>
    </w:p>
    <w:p w14:paraId="2307B6CC">
      <w:pPr>
        <w:adjustRightInd w:val="0"/>
        <w:snapToGrid w:val="0"/>
        <w:spacing w:line="600" w:lineRule="exact"/>
        <w:ind w:firstLine="640" w:firstLineChars="200"/>
        <w:rPr>
          <w:rFonts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en-US" w:eastAsia="zh-CN"/>
        </w:rPr>
        <w:t>3.可</w:t>
      </w:r>
      <w:r>
        <w:rPr>
          <w:rFonts w:ascii="Times New Roman" w:hAnsi="Times New Roman" w:eastAsia="仿宋_GB2312" w:cs="Times New Roman"/>
          <w:sz w:val="32"/>
          <w:szCs w:val="32"/>
          <w:lang w:val="zh-CN"/>
        </w:rPr>
        <w:t>持续影响：</w:t>
      </w:r>
      <w:r>
        <w:rPr>
          <w:rFonts w:hint="default" w:ascii="Times New Roman" w:hAnsi="Times New Roman" w:eastAsia="仿宋_GB2312" w:cs="Times New Roman"/>
          <w:sz w:val="32"/>
          <w:szCs w:val="32"/>
          <w:lang w:val="zh-CN"/>
        </w:rPr>
        <w:t> 通过设施设备更新和服务机制优化，形成了可持续的公共文化服务能力，为西区文化事业长远发展奠定了良好基础。</w:t>
      </w:r>
    </w:p>
    <w:p w14:paraId="31D2A2B6">
      <w:pPr>
        <w:adjustRightInd w:val="0"/>
        <w:snapToGrid w:val="0"/>
        <w:spacing w:line="600" w:lineRule="exact"/>
        <w:ind w:firstLine="720"/>
        <w:rPr>
          <w:rFonts w:ascii="Times New Roman" w:hAnsi="Times New Roman" w:eastAsia="黑体" w:cs="Times New Roman"/>
          <w:sz w:val="32"/>
          <w:szCs w:val="32"/>
        </w:rPr>
      </w:pPr>
      <w:r>
        <w:rPr>
          <w:rFonts w:ascii="Times New Roman" w:hAnsi="Times New Roman" w:eastAsia="黑体" w:cs="Times New Roman"/>
          <w:sz w:val="32"/>
          <w:szCs w:val="32"/>
        </w:rPr>
        <w:t>五、评价结论及建议</w:t>
      </w:r>
    </w:p>
    <w:p w14:paraId="280D707D">
      <w:pPr>
        <w:adjustRightInd w:val="0"/>
        <w:snapToGrid w:val="0"/>
        <w:spacing w:line="600" w:lineRule="exact"/>
        <w:ind w:firstLine="720"/>
        <w:rPr>
          <w:rFonts w:ascii="Times New Roman" w:hAnsi="Times New Roman" w:eastAsia="楷体_GB2312" w:cs="Times New Roman"/>
          <w:b/>
          <w:sz w:val="32"/>
          <w:szCs w:val="32"/>
          <w:lang w:val="zh-CN"/>
        </w:rPr>
      </w:pPr>
      <w:r>
        <w:rPr>
          <w:rFonts w:ascii="Times New Roman" w:hAnsi="Times New Roman" w:eastAsia="楷体_GB2312" w:cs="Times New Roman"/>
          <w:b/>
          <w:sz w:val="32"/>
          <w:szCs w:val="32"/>
          <w:lang w:val="zh-CN"/>
        </w:rPr>
        <w:t>（一）评价结论。</w:t>
      </w:r>
    </w:p>
    <w:p w14:paraId="534FE4C4">
      <w:pPr>
        <w:adjustRightInd w:val="0"/>
        <w:snapToGrid w:val="0"/>
        <w:spacing w:line="600" w:lineRule="exact"/>
        <w:ind w:firstLine="640" w:firstLineChars="20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2025年度中央支持地方公共文化服务体系建设补助资金项目总体评价良好。通过项目实施，文化馆设施设备得到有效提升，文化活动丰富多样，数字文化服务逐步推进，服务效能明显增强。项目群众满意度达92%以上，各项绩效指标基本完成，自评总分100分。</w:t>
      </w:r>
    </w:p>
    <w:p w14:paraId="1197C65A">
      <w:pPr>
        <w:adjustRightInd w:val="0"/>
        <w:snapToGrid w:val="0"/>
        <w:spacing w:line="600" w:lineRule="exact"/>
        <w:ind w:firstLine="720"/>
        <w:rPr>
          <w:rFonts w:ascii="Times New Roman" w:hAnsi="Times New Roman" w:eastAsia="楷体_GB2312" w:cs="Times New Roman"/>
          <w:b/>
          <w:sz w:val="32"/>
          <w:szCs w:val="32"/>
          <w:lang w:val="zh-CN"/>
        </w:rPr>
      </w:pPr>
      <w:r>
        <w:rPr>
          <w:rFonts w:ascii="Times New Roman" w:hAnsi="Times New Roman" w:eastAsia="楷体_GB2312" w:cs="Times New Roman"/>
          <w:b/>
          <w:sz w:val="32"/>
          <w:szCs w:val="32"/>
          <w:lang w:val="zh-CN"/>
        </w:rPr>
        <w:t>（二）存在的问题。</w:t>
      </w:r>
    </w:p>
    <w:p w14:paraId="626B5C65">
      <w:pPr>
        <w:adjustRightInd w:val="0"/>
        <w:snapToGrid w:val="0"/>
        <w:spacing w:line="600" w:lineRule="exact"/>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1.预</w:t>
      </w:r>
      <w:r>
        <w:rPr>
          <w:rFonts w:ascii="Times New Roman" w:hAnsi="Times New Roman" w:eastAsia="仿宋_GB2312" w:cs="Times New Roman"/>
          <w:sz w:val="32"/>
          <w:szCs w:val="32"/>
          <w:lang w:val="zh-CN"/>
        </w:rPr>
        <w:t>算执行进度偏慢：</w:t>
      </w:r>
      <w:r>
        <w:rPr>
          <w:rFonts w:hint="default" w:ascii="Times New Roman" w:hAnsi="Times New Roman" w:eastAsia="仿宋_GB2312" w:cs="Times New Roman"/>
          <w:sz w:val="32"/>
          <w:szCs w:val="32"/>
          <w:lang w:val="zh-CN"/>
        </w:rPr>
        <w:t> 项目预算执行率为57.91%，主要受设备采购流程较长、部分活动集中在下半年等因素影响，资金使用效率有待提高。</w:t>
      </w:r>
    </w:p>
    <w:p w14:paraId="4B821B77">
      <w:pPr>
        <w:adjustRightInd w:val="0"/>
        <w:snapToGrid w:val="0"/>
        <w:spacing w:line="600" w:lineRule="exact"/>
        <w:ind w:firstLine="640" w:firstLineChars="200"/>
        <w:rPr>
          <w:rFonts w:hint="default"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en-US" w:eastAsia="zh-CN"/>
        </w:rPr>
        <w:t>2.数</w:t>
      </w:r>
      <w:r>
        <w:rPr>
          <w:rFonts w:ascii="Times New Roman" w:hAnsi="Times New Roman" w:eastAsia="仿宋_GB2312" w:cs="Times New Roman"/>
          <w:sz w:val="32"/>
          <w:szCs w:val="32"/>
          <w:lang w:val="zh-CN"/>
        </w:rPr>
        <w:t>字文化服务能力不足：</w:t>
      </w:r>
      <w:r>
        <w:rPr>
          <w:rFonts w:hint="default" w:ascii="Times New Roman" w:hAnsi="Times New Roman" w:eastAsia="仿宋_GB2312" w:cs="Times New Roman"/>
          <w:sz w:val="32"/>
          <w:szCs w:val="32"/>
          <w:lang w:val="zh-CN"/>
        </w:rPr>
        <w:t> 线上文化资源建设和数字文化服务能力需进一步加强，数字化平台内容不够丰富，线上服务覆盖面有待拓展。</w:t>
      </w:r>
    </w:p>
    <w:p w14:paraId="73D51019">
      <w:pPr>
        <w:adjustRightInd w:val="0"/>
        <w:snapToGrid w:val="0"/>
        <w:spacing w:line="600" w:lineRule="exact"/>
        <w:ind w:firstLine="640" w:firstLineChars="200"/>
        <w:rPr>
          <w:rFonts w:hint="default"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en-US" w:eastAsia="zh-CN"/>
        </w:rPr>
        <w:t>3.绩</w:t>
      </w:r>
      <w:r>
        <w:rPr>
          <w:rFonts w:ascii="Times New Roman" w:hAnsi="Times New Roman" w:eastAsia="仿宋_GB2312" w:cs="Times New Roman"/>
          <w:sz w:val="32"/>
          <w:szCs w:val="32"/>
          <w:lang w:val="zh-CN"/>
        </w:rPr>
        <w:t>效管理基础薄弱：</w:t>
      </w:r>
      <w:r>
        <w:rPr>
          <w:rFonts w:hint="default" w:ascii="Times New Roman" w:hAnsi="Times New Roman" w:eastAsia="仿宋_GB2312" w:cs="Times New Roman"/>
          <w:sz w:val="32"/>
          <w:szCs w:val="32"/>
          <w:lang w:val="zh-CN"/>
        </w:rPr>
        <w:t> 缺乏专业的预算绩效管理人员，绩效目标设置和评价能力有待提升。</w:t>
      </w:r>
    </w:p>
    <w:p w14:paraId="1CBCC6B8">
      <w:pPr>
        <w:adjustRightInd w:val="0"/>
        <w:snapToGrid w:val="0"/>
        <w:spacing w:line="600" w:lineRule="exact"/>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4.文</w:t>
      </w:r>
      <w:r>
        <w:rPr>
          <w:rFonts w:ascii="Times New Roman" w:hAnsi="Times New Roman" w:eastAsia="仿宋_GB2312" w:cs="Times New Roman"/>
          <w:sz w:val="32"/>
          <w:szCs w:val="32"/>
          <w:lang w:val="zh-CN"/>
        </w:rPr>
        <w:t>化活动品牌影响力不够：</w:t>
      </w:r>
      <w:r>
        <w:rPr>
          <w:rFonts w:hint="default" w:ascii="Times New Roman" w:hAnsi="Times New Roman" w:eastAsia="仿宋_GB2312" w:cs="Times New Roman"/>
          <w:sz w:val="32"/>
          <w:szCs w:val="32"/>
          <w:lang w:val="zh-CN"/>
        </w:rPr>
        <w:t> 虽然完成了活动场次指标，但文化活动品牌建设和精品打造力度不够，区域影响力有待提升。</w:t>
      </w:r>
    </w:p>
    <w:p w14:paraId="261FDE2E">
      <w:pPr>
        <w:adjustRightInd w:val="0"/>
        <w:snapToGrid w:val="0"/>
        <w:spacing w:line="600" w:lineRule="exact"/>
        <w:ind w:firstLine="720"/>
        <w:rPr>
          <w:rFonts w:ascii="Times New Roman" w:hAnsi="Times New Roman" w:eastAsia="楷体_GB2312" w:cs="Times New Roman"/>
          <w:b/>
          <w:sz w:val="32"/>
          <w:szCs w:val="32"/>
          <w:lang w:val="zh-CN"/>
        </w:rPr>
      </w:pPr>
      <w:r>
        <w:rPr>
          <w:rFonts w:ascii="Times New Roman" w:hAnsi="Times New Roman" w:eastAsia="楷体_GB2312" w:cs="Times New Roman"/>
          <w:b/>
          <w:sz w:val="32"/>
          <w:szCs w:val="32"/>
          <w:lang w:val="zh-CN"/>
        </w:rPr>
        <w:t>（三）相关建议。</w:t>
      </w:r>
    </w:p>
    <w:p w14:paraId="4FAC04DB">
      <w:pPr>
        <w:adjustRightInd w:val="0"/>
        <w:snapToGrid w:val="0"/>
        <w:spacing w:line="600" w:lineRule="exact"/>
        <w:ind w:firstLine="640" w:firstLineChars="200"/>
        <w:rPr>
          <w:rFonts w:hint="default"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en-US" w:eastAsia="zh-CN"/>
        </w:rPr>
        <w:t>1.加</w:t>
      </w:r>
      <w:r>
        <w:rPr>
          <w:rFonts w:ascii="Times New Roman" w:hAnsi="Times New Roman" w:eastAsia="仿宋_GB2312" w:cs="Times New Roman"/>
          <w:sz w:val="32"/>
          <w:szCs w:val="32"/>
          <w:lang w:val="zh-CN"/>
        </w:rPr>
        <w:t>快预算执行进度：</w:t>
      </w:r>
      <w:r>
        <w:rPr>
          <w:rFonts w:hint="default" w:ascii="Times New Roman" w:hAnsi="Times New Roman" w:eastAsia="仿宋_GB2312" w:cs="Times New Roman"/>
          <w:sz w:val="32"/>
          <w:szCs w:val="32"/>
          <w:lang w:val="zh-CN"/>
        </w:rPr>
        <w:t> 优化项目实施方案，提前谋划设备采购流程，合理安排活动时间节点，确保资金及时、高效使用。</w:t>
      </w:r>
    </w:p>
    <w:p w14:paraId="27C2529C">
      <w:pPr>
        <w:adjustRightInd w:val="0"/>
        <w:snapToGrid w:val="0"/>
        <w:spacing w:line="600" w:lineRule="exact"/>
        <w:ind w:firstLine="640" w:firstLineChars="200"/>
        <w:rPr>
          <w:rFonts w:hint="default"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en-US" w:eastAsia="zh-CN"/>
        </w:rPr>
        <w:t>2.加</w:t>
      </w:r>
      <w:r>
        <w:rPr>
          <w:rFonts w:ascii="Times New Roman" w:hAnsi="Times New Roman" w:eastAsia="仿宋_GB2312" w:cs="Times New Roman"/>
          <w:sz w:val="32"/>
          <w:szCs w:val="32"/>
          <w:lang w:val="zh-CN"/>
        </w:rPr>
        <w:t>强数字文化建设：</w:t>
      </w:r>
      <w:r>
        <w:rPr>
          <w:rFonts w:hint="default" w:ascii="Times New Roman" w:hAnsi="Times New Roman" w:eastAsia="仿宋_GB2312" w:cs="Times New Roman"/>
          <w:sz w:val="32"/>
          <w:szCs w:val="32"/>
          <w:lang w:val="zh-CN"/>
        </w:rPr>
        <w:t> 加大线上文化资源投入，推进文化馆数字化平台建设，丰富线上文化内容，提升数字文化服务能力。</w:t>
      </w:r>
    </w:p>
    <w:p w14:paraId="72191648">
      <w:pPr>
        <w:adjustRightInd w:val="0"/>
        <w:snapToGrid w:val="0"/>
        <w:spacing w:line="600" w:lineRule="exact"/>
        <w:ind w:firstLine="640" w:firstLineChars="200"/>
        <w:rPr>
          <w:rFonts w:hint="default"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en-US" w:eastAsia="zh-CN"/>
        </w:rPr>
        <w:t>3.强</w:t>
      </w:r>
      <w:r>
        <w:rPr>
          <w:rFonts w:ascii="Times New Roman" w:hAnsi="Times New Roman" w:eastAsia="仿宋_GB2312" w:cs="Times New Roman"/>
          <w:sz w:val="32"/>
          <w:szCs w:val="32"/>
          <w:lang w:val="zh-CN"/>
        </w:rPr>
        <w:t>化绩效管理：</w:t>
      </w:r>
      <w:r>
        <w:rPr>
          <w:rFonts w:hint="default" w:ascii="Times New Roman" w:hAnsi="Times New Roman" w:eastAsia="仿宋_GB2312" w:cs="Times New Roman"/>
          <w:sz w:val="32"/>
          <w:szCs w:val="32"/>
          <w:lang w:val="zh-CN"/>
        </w:rPr>
        <w:t> 加强预算绩效管理培训，提升绩效目标设置和评价能力，建立健全绩效管理长效机制。</w:t>
      </w:r>
    </w:p>
    <w:p w14:paraId="05AB262B">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hAnsi="Times New Roman" w:cs="Times New Roman"/>
          <w:color w:val="auto"/>
          <w:sz w:val="32"/>
          <w:szCs w:val="32"/>
          <w:highlight w:val="none"/>
          <w:lang w:val="zh-CN" w:eastAsia="zh-CN"/>
        </w:rPr>
      </w:pPr>
      <w:r>
        <w:rPr>
          <w:rFonts w:hint="eastAsia" w:ascii="Times New Roman" w:hAnsi="Times New Roman" w:eastAsia="仿宋_GB2312" w:cs="Times New Roman"/>
          <w:sz w:val="32"/>
          <w:szCs w:val="32"/>
          <w:lang w:val="en-US" w:eastAsia="zh-CN"/>
        </w:rPr>
        <w:t>4.打</w:t>
      </w:r>
      <w:r>
        <w:rPr>
          <w:rFonts w:ascii="Times New Roman" w:hAnsi="Times New Roman" w:eastAsia="仿宋_GB2312" w:cs="Times New Roman"/>
          <w:sz w:val="32"/>
          <w:szCs w:val="32"/>
          <w:lang w:val="zh-CN"/>
        </w:rPr>
        <w:t>造文化活动品牌：</w:t>
      </w:r>
      <w:r>
        <w:rPr>
          <w:rFonts w:hint="default" w:ascii="Times New Roman" w:hAnsi="Times New Roman" w:eastAsia="仿宋_GB2312" w:cs="Times New Roman"/>
          <w:sz w:val="32"/>
          <w:szCs w:val="32"/>
          <w:lang w:val="zh-CN"/>
        </w:rPr>
        <w:t> 结合西区特色文化资源，策划打造一批有影响力的文化活动品牌，提升公共文化服务的社会影响力。</w:t>
      </w:r>
    </w:p>
    <w:p w14:paraId="4686869A">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hAnsi="Times New Roman" w:cs="Times New Roman"/>
          <w:color w:val="auto"/>
          <w:sz w:val="32"/>
          <w:szCs w:val="32"/>
          <w:highlight w:val="none"/>
          <w:lang w:val="zh-CN" w:eastAsia="zh-CN"/>
        </w:rPr>
      </w:pPr>
      <w:r>
        <w:rPr>
          <w:rFonts w:hint="eastAsia" w:hAnsi="Times New Roman" w:cs="Times New Roman"/>
          <w:color w:val="auto"/>
          <w:sz w:val="32"/>
          <w:szCs w:val="32"/>
          <w:highlight w:val="none"/>
          <w:lang w:val="zh-CN" w:eastAsia="zh-CN"/>
        </w:rPr>
        <w:t>附表：</w:t>
      </w:r>
      <w:r>
        <w:rPr>
          <w:rFonts w:hint="eastAsia" w:cs="Times New Roman"/>
          <w:color w:val="auto"/>
          <w:sz w:val="32"/>
          <w:szCs w:val="32"/>
          <w:highlight w:val="none"/>
          <w:lang w:val="en-US" w:eastAsia="zh-CN"/>
        </w:rPr>
        <w:t>单位</w:t>
      </w:r>
      <w:r>
        <w:rPr>
          <w:rFonts w:hint="eastAsia" w:hAnsi="Times New Roman" w:cs="Times New Roman"/>
          <w:color w:val="auto"/>
          <w:sz w:val="32"/>
          <w:szCs w:val="32"/>
          <w:highlight w:val="none"/>
          <w:lang w:val="en-US" w:eastAsia="zh-CN"/>
        </w:rPr>
        <w:t>预算项目支出绩效自评表（</w:t>
      </w:r>
      <w:r>
        <w:rPr>
          <w:rFonts w:hint="eastAsia" w:cs="Times New Roman"/>
          <w:color w:val="auto"/>
          <w:sz w:val="32"/>
          <w:szCs w:val="32"/>
          <w:highlight w:val="none"/>
          <w:lang w:val="en-US" w:eastAsia="zh-CN"/>
        </w:rPr>
        <w:t>2025年度</w:t>
      </w:r>
      <w:r>
        <w:rPr>
          <w:rFonts w:hint="eastAsia" w:hAnsi="Times New Roman" w:cs="Times New Roman"/>
          <w:color w:val="auto"/>
          <w:sz w:val="32"/>
          <w:szCs w:val="32"/>
          <w:highlight w:val="none"/>
          <w:lang w:val="en-US" w:eastAsia="zh-CN"/>
        </w:rPr>
        <w:t>）</w:t>
      </w:r>
    </w:p>
    <w:p w14:paraId="25C279CC">
      <w:pPr>
        <w:keepNext w:val="0"/>
        <w:keepLines w:val="0"/>
        <w:pageBreakBefore w:val="0"/>
        <w:widowControl w:val="0"/>
        <w:kinsoku/>
        <w:wordWrap/>
        <w:overflowPunct/>
        <w:topLinePunct w:val="0"/>
        <w:autoSpaceDE/>
        <w:autoSpaceDN/>
        <w:bidi w:val="0"/>
        <w:spacing w:line="600" w:lineRule="exact"/>
        <w:ind w:firstLine="480" w:firstLineChars="15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5DDF5370">
      <w:pPr>
        <w:keepNext w:val="0"/>
        <w:keepLines w:val="0"/>
        <w:pageBreakBefore w:val="0"/>
        <w:widowControl w:val="0"/>
        <w:kinsoku/>
        <w:wordWrap/>
        <w:overflowPunct/>
        <w:topLinePunct w:val="0"/>
        <w:autoSpaceDE/>
        <w:autoSpaceDN/>
        <w:bidi w:val="0"/>
        <w:spacing w:line="600" w:lineRule="exact"/>
        <w:ind w:firstLine="480" w:firstLineChars="15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47"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082C5242">
      <w:pPr>
        <w:pageBreakBefore w:val="0"/>
        <w:widowControl/>
        <w:kinsoku/>
        <w:wordWrap/>
        <w:overflowPunct/>
        <w:topLinePunct w:val="0"/>
        <w:autoSpaceDE/>
        <w:autoSpaceDN/>
        <w:bidi w:val="0"/>
        <w:spacing w:line="600" w:lineRule="exact"/>
        <w:ind w:firstLine="660" w:firstLineChars="150"/>
        <w:jc w:val="center"/>
        <w:textAlignment w:val="auto"/>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44"/>
      <w:bookmarkEnd w:id="47"/>
      <w:bookmarkStart w:id="48" w:name="_Toc15396619"/>
    </w:p>
    <w:p w14:paraId="09EDE55D">
      <w:pPr>
        <w:pStyle w:val="14"/>
        <w:keepNext w:val="0"/>
        <w:keepLines w:val="0"/>
        <w:pageBreakBefore w:val="0"/>
        <w:kinsoku/>
        <w:wordWrap/>
        <w:overflowPunct/>
        <w:topLinePunct w:val="0"/>
        <w:autoSpaceDE/>
        <w:autoSpaceDN/>
        <w:bidi w:val="0"/>
        <w:adjustRightInd w:val="0"/>
        <w:snapToGrid w:val="0"/>
        <w:spacing w:line="600" w:lineRule="exact"/>
        <w:ind w:firstLine="480" w:firstLineChars="150"/>
        <w:jc w:val="left"/>
        <w:textAlignment w:val="auto"/>
        <w:rPr>
          <w:rFonts w:hint="eastAsia" w:ascii="Times New Roman" w:hAnsi="Times New Roman" w:eastAsia="仿宋_GB2312" w:cs="仿宋_GB2312"/>
          <w:color w:val="auto"/>
          <w:sz w:val="32"/>
          <w:szCs w:val="32"/>
          <w:highlight w:val="none"/>
        </w:rPr>
      </w:pPr>
    </w:p>
    <w:p w14:paraId="33F475E1">
      <w:pPr>
        <w:pStyle w:val="14"/>
        <w:keepNext w:val="0"/>
        <w:keepLines w:val="0"/>
        <w:pageBreakBefore w:val="0"/>
        <w:kinsoku/>
        <w:wordWrap/>
        <w:overflowPunct/>
        <w:topLinePunct w:val="0"/>
        <w:autoSpaceDE/>
        <w:autoSpaceDN/>
        <w:bidi w:val="0"/>
        <w:adjustRightInd w:val="0"/>
        <w:snapToGrid w:val="0"/>
        <w:spacing w:line="600" w:lineRule="exact"/>
        <w:ind w:firstLine="480" w:firstLineChars="15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8"/>
    </w:p>
    <w:p w14:paraId="4B0CACC1">
      <w:pPr>
        <w:pStyle w:val="14"/>
        <w:keepNext w:val="0"/>
        <w:keepLines w:val="0"/>
        <w:pageBreakBefore w:val="0"/>
        <w:kinsoku/>
        <w:wordWrap/>
        <w:overflowPunct/>
        <w:topLinePunct w:val="0"/>
        <w:autoSpaceDE/>
        <w:autoSpaceDN/>
        <w:bidi w:val="0"/>
        <w:adjustRightInd w:val="0"/>
        <w:snapToGrid w:val="0"/>
        <w:spacing w:line="600" w:lineRule="exact"/>
        <w:ind w:firstLine="480" w:firstLineChars="150"/>
        <w:jc w:val="left"/>
        <w:textAlignment w:val="auto"/>
        <w:rPr>
          <w:rFonts w:hint="eastAsia" w:ascii="Times New Roman" w:hAnsi="Times New Roman" w:eastAsia="仿宋_GB2312" w:cs="仿宋_GB2312"/>
          <w:color w:val="auto"/>
          <w:sz w:val="32"/>
          <w:szCs w:val="32"/>
          <w:highlight w:val="none"/>
        </w:rPr>
      </w:pPr>
      <w:bookmarkStart w:id="49" w:name="_Toc15396620"/>
      <w:r>
        <w:rPr>
          <w:rFonts w:hint="eastAsia" w:ascii="Times New Roman" w:hAnsi="Times New Roman" w:eastAsia="仿宋_GB2312" w:cs="仿宋_GB2312"/>
          <w:color w:val="auto"/>
          <w:sz w:val="32"/>
          <w:szCs w:val="32"/>
          <w:highlight w:val="none"/>
        </w:rPr>
        <w:t>二、收入决算表</w:t>
      </w:r>
      <w:bookmarkEnd w:id="49"/>
    </w:p>
    <w:p w14:paraId="00BAA8EC">
      <w:pPr>
        <w:pStyle w:val="14"/>
        <w:keepNext w:val="0"/>
        <w:keepLines w:val="0"/>
        <w:pageBreakBefore w:val="0"/>
        <w:kinsoku/>
        <w:wordWrap/>
        <w:overflowPunct/>
        <w:topLinePunct w:val="0"/>
        <w:autoSpaceDE/>
        <w:autoSpaceDN/>
        <w:bidi w:val="0"/>
        <w:adjustRightInd w:val="0"/>
        <w:snapToGrid w:val="0"/>
        <w:spacing w:line="600" w:lineRule="exact"/>
        <w:ind w:firstLine="480" w:firstLineChars="150"/>
        <w:jc w:val="left"/>
        <w:textAlignment w:val="auto"/>
        <w:rPr>
          <w:rFonts w:hint="eastAsia" w:ascii="Times New Roman" w:hAnsi="Times New Roman" w:eastAsia="仿宋_GB2312" w:cs="仿宋_GB2312"/>
          <w:color w:val="auto"/>
          <w:sz w:val="32"/>
          <w:szCs w:val="32"/>
          <w:highlight w:val="none"/>
        </w:rPr>
      </w:pPr>
      <w:bookmarkStart w:id="50" w:name="_Toc15396621"/>
      <w:r>
        <w:rPr>
          <w:rFonts w:hint="eastAsia" w:ascii="Times New Roman" w:hAnsi="Times New Roman" w:eastAsia="仿宋_GB2312" w:cs="仿宋_GB2312"/>
          <w:color w:val="auto"/>
          <w:sz w:val="32"/>
          <w:szCs w:val="32"/>
          <w:highlight w:val="none"/>
        </w:rPr>
        <w:t>三、支出决算表</w:t>
      </w:r>
      <w:bookmarkEnd w:id="50"/>
    </w:p>
    <w:p w14:paraId="6AC65480">
      <w:pPr>
        <w:pStyle w:val="14"/>
        <w:keepNext w:val="0"/>
        <w:keepLines w:val="0"/>
        <w:pageBreakBefore w:val="0"/>
        <w:kinsoku/>
        <w:wordWrap/>
        <w:overflowPunct/>
        <w:topLinePunct w:val="0"/>
        <w:autoSpaceDE/>
        <w:autoSpaceDN/>
        <w:bidi w:val="0"/>
        <w:adjustRightInd w:val="0"/>
        <w:snapToGrid w:val="0"/>
        <w:spacing w:line="600" w:lineRule="exact"/>
        <w:ind w:firstLine="480" w:firstLineChars="150"/>
        <w:jc w:val="left"/>
        <w:textAlignment w:val="auto"/>
        <w:rPr>
          <w:rFonts w:hint="eastAsia" w:ascii="Times New Roman" w:hAnsi="Times New Roman" w:eastAsia="仿宋_GB2312" w:cs="仿宋_GB2312"/>
          <w:color w:val="auto"/>
          <w:sz w:val="32"/>
          <w:szCs w:val="32"/>
          <w:highlight w:val="none"/>
        </w:rPr>
      </w:pPr>
      <w:bookmarkStart w:id="51" w:name="_Toc15396622"/>
      <w:r>
        <w:rPr>
          <w:rFonts w:hint="eastAsia" w:ascii="Times New Roman" w:hAnsi="Times New Roman" w:eastAsia="仿宋_GB2312" w:cs="仿宋_GB2312"/>
          <w:color w:val="auto"/>
          <w:sz w:val="32"/>
          <w:szCs w:val="32"/>
          <w:highlight w:val="none"/>
        </w:rPr>
        <w:t>四、财政拨款收入支出决算总表</w:t>
      </w:r>
      <w:bookmarkEnd w:id="51"/>
    </w:p>
    <w:p w14:paraId="2A9302C5">
      <w:pPr>
        <w:pStyle w:val="14"/>
        <w:keepNext w:val="0"/>
        <w:keepLines w:val="0"/>
        <w:pageBreakBefore w:val="0"/>
        <w:kinsoku/>
        <w:wordWrap/>
        <w:overflowPunct/>
        <w:topLinePunct w:val="0"/>
        <w:autoSpaceDE/>
        <w:autoSpaceDN/>
        <w:bidi w:val="0"/>
        <w:adjustRightInd w:val="0"/>
        <w:snapToGrid w:val="0"/>
        <w:spacing w:line="600" w:lineRule="exact"/>
        <w:ind w:firstLine="480" w:firstLineChars="150"/>
        <w:jc w:val="left"/>
        <w:textAlignment w:val="auto"/>
        <w:rPr>
          <w:rFonts w:hint="eastAsia" w:ascii="Times New Roman" w:hAnsi="Times New Roman" w:eastAsia="仿宋_GB2312" w:cs="仿宋_GB2312"/>
          <w:color w:val="auto"/>
          <w:sz w:val="32"/>
          <w:szCs w:val="32"/>
          <w:highlight w:val="none"/>
        </w:rPr>
      </w:pPr>
      <w:bookmarkStart w:id="52" w:name="_Toc15396623"/>
      <w:r>
        <w:rPr>
          <w:rFonts w:hint="eastAsia" w:ascii="Times New Roman" w:hAnsi="Times New Roman" w:eastAsia="仿宋_GB2312" w:cs="仿宋_GB2312"/>
          <w:color w:val="auto"/>
          <w:sz w:val="32"/>
          <w:szCs w:val="32"/>
          <w:highlight w:val="none"/>
        </w:rPr>
        <w:t>五、财政拨款支出决算明细表</w:t>
      </w:r>
      <w:bookmarkEnd w:id="52"/>
      <w:bookmarkStart w:id="53" w:name="_Toc15396624"/>
    </w:p>
    <w:p w14:paraId="063E5D84">
      <w:pPr>
        <w:pStyle w:val="14"/>
        <w:keepNext w:val="0"/>
        <w:keepLines w:val="0"/>
        <w:pageBreakBefore w:val="0"/>
        <w:kinsoku/>
        <w:wordWrap/>
        <w:overflowPunct/>
        <w:topLinePunct w:val="0"/>
        <w:autoSpaceDE/>
        <w:autoSpaceDN/>
        <w:bidi w:val="0"/>
        <w:adjustRightInd w:val="0"/>
        <w:snapToGrid w:val="0"/>
        <w:spacing w:line="600" w:lineRule="exact"/>
        <w:ind w:firstLine="480" w:firstLineChars="15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3"/>
    </w:p>
    <w:p w14:paraId="30EE2FDE">
      <w:pPr>
        <w:pStyle w:val="14"/>
        <w:keepNext w:val="0"/>
        <w:keepLines w:val="0"/>
        <w:pageBreakBefore w:val="0"/>
        <w:kinsoku/>
        <w:wordWrap/>
        <w:overflowPunct/>
        <w:topLinePunct w:val="0"/>
        <w:autoSpaceDE/>
        <w:autoSpaceDN/>
        <w:bidi w:val="0"/>
        <w:adjustRightInd w:val="0"/>
        <w:snapToGrid w:val="0"/>
        <w:spacing w:line="600" w:lineRule="exact"/>
        <w:ind w:firstLine="480" w:firstLineChars="150"/>
        <w:jc w:val="left"/>
        <w:textAlignment w:val="auto"/>
        <w:rPr>
          <w:rFonts w:hint="eastAsia" w:ascii="Times New Roman" w:hAnsi="Times New Roman" w:eastAsia="仿宋_GB2312" w:cs="仿宋_GB2312"/>
          <w:color w:val="auto"/>
          <w:sz w:val="32"/>
          <w:szCs w:val="32"/>
          <w:highlight w:val="none"/>
        </w:rPr>
      </w:pPr>
      <w:bookmarkStart w:id="54" w:name="_Toc15396625"/>
      <w:r>
        <w:rPr>
          <w:rFonts w:hint="eastAsia" w:ascii="Times New Roman" w:hAnsi="Times New Roman" w:eastAsia="仿宋_GB2312" w:cs="仿宋_GB2312"/>
          <w:color w:val="auto"/>
          <w:sz w:val="32"/>
          <w:szCs w:val="32"/>
          <w:highlight w:val="none"/>
        </w:rPr>
        <w:t>七、一般公共预算财政拨款支出决算明细表</w:t>
      </w:r>
      <w:bookmarkEnd w:id="54"/>
    </w:p>
    <w:p w14:paraId="5C345ADF">
      <w:pPr>
        <w:pStyle w:val="14"/>
        <w:keepNext w:val="0"/>
        <w:keepLines w:val="0"/>
        <w:pageBreakBefore w:val="0"/>
        <w:kinsoku/>
        <w:wordWrap/>
        <w:overflowPunct/>
        <w:topLinePunct w:val="0"/>
        <w:autoSpaceDE/>
        <w:autoSpaceDN/>
        <w:bidi w:val="0"/>
        <w:adjustRightInd w:val="0"/>
        <w:snapToGrid w:val="0"/>
        <w:spacing w:line="600" w:lineRule="exact"/>
        <w:ind w:firstLine="480" w:firstLineChars="150"/>
        <w:jc w:val="left"/>
        <w:textAlignment w:val="auto"/>
        <w:rPr>
          <w:rFonts w:hint="eastAsia" w:ascii="Times New Roman" w:hAnsi="Times New Roman" w:eastAsia="仿宋_GB2312" w:cs="仿宋_GB2312"/>
          <w:color w:val="auto"/>
          <w:sz w:val="32"/>
          <w:szCs w:val="32"/>
          <w:highlight w:val="none"/>
        </w:rPr>
      </w:pPr>
      <w:bookmarkStart w:id="55" w:name="_Toc15396626"/>
      <w:r>
        <w:rPr>
          <w:rFonts w:hint="eastAsia" w:ascii="Times New Roman" w:hAnsi="Times New Roman" w:eastAsia="仿宋_GB2312" w:cs="仿宋_GB2312"/>
          <w:color w:val="auto"/>
          <w:sz w:val="32"/>
          <w:szCs w:val="32"/>
          <w:highlight w:val="none"/>
        </w:rPr>
        <w:t>八、一般公共预算财政拨款基本支出决算表</w:t>
      </w:r>
      <w:bookmarkEnd w:id="55"/>
    </w:p>
    <w:p w14:paraId="0957C36D">
      <w:pPr>
        <w:pStyle w:val="14"/>
        <w:keepNext w:val="0"/>
        <w:keepLines w:val="0"/>
        <w:pageBreakBefore w:val="0"/>
        <w:kinsoku/>
        <w:wordWrap/>
        <w:overflowPunct/>
        <w:topLinePunct w:val="0"/>
        <w:autoSpaceDE/>
        <w:autoSpaceDN/>
        <w:bidi w:val="0"/>
        <w:adjustRightInd w:val="0"/>
        <w:snapToGrid w:val="0"/>
        <w:spacing w:line="600" w:lineRule="exact"/>
        <w:ind w:firstLine="480" w:firstLineChars="150"/>
        <w:jc w:val="left"/>
        <w:textAlignment w:val="auto"/>
        <w:rPr>
          <w:rFonts w:hint="eastAsia" w:ascii="Times New Roman" w:hAnsi="Times New Roman" w:eastAsia="仿宋_GB2312" w:cs="仿宋_GB2312"/>
          <w:color w:val="auto"/>
          <w:sz w:val="32"/>
          <w:szCs w:val="32"/>
          <w:highlight w:val="none"/>
        </w:rPr>
      </w:pPr>
      <w:bookmarkStart w:id="56" w:name="_Toc15396627"/>
      <w:r>
        <w:rPr>
          <w:rFonts w:hint="eastAsia" w:ascii="Times New Roman" w:hAnsi="Times New Roman" w:eastAsia="仿宋_GB2312" w:cs="仿宋_GB2312"/>
          <w:color w:val="auto"/>
          <w:sz w:val="32"/>
          <w:szCs w:val="32"/>
          <w:highlight w:val="none"/>
        </w:rPr>
        <w:t>九、一般公共预算财政拨款项目支出决算表</w:t>
      </w:r>
      <w:bookmarkEnd w:id="56"/>
    </w:p>
    <w:p w14:paraId="16EF71C7">
      <w:pPr>
        <w:pStyle w:val="14"/>
        <w:keepNext w:val="0"/>
        <w:keepLines w:val="0"/>
        <w:pageBreakBefore w:val="0"/>
        <w:kinsoku/>
        <w:wordWrap/>
        <w:overflowPunct/>
        <w:topLinePunct w:val="0"/>
        <w:autoSpaceDE/>
        <w:autoSpaceDN/>
        <w:bidi w:val="0"/>
        <w:adjustRightInd w:val="0"/>
        <w:snapToGrid w:val="0"/>
        <w:spacing w:line="600" w:lineRule="exact"/>
        <w:ind w:firstLine="480" w:firstLineChars="150"/>
        <w:jc w:val="left"/>
        <w:textAlignment w:val="auto"/>
        <w:rPr>
          <w:rFonts w:hint="eastAsia" w:ascii="Times New Roman" w:hAnsi="Times New Roman" w:eastAsia="仿宋_GB2312" w:cs="仿宋_GB2312"/>
          <w:color w:val="auto"/>
          <w:sz w:val="32"/>
          <w:szCs w:val="32"/>
          <w:highlight w:val="none"/>
        </w:rPr>
      </w:pPr>
      <w:bookmarkStart w:id="57" w:name="_Toc15396628"/>
      <w:r>
        <w:rPr>
          <w:rFonts w:hint="eastAsia" w:ascii="Times New Roman" w:hAnsi="Times New Roman" w:eastAsia="仿宋_GB2312" w:cs="仿宋_GB2312"/>
          <w:color w:val="auto"/>
          <w:sz w:val="32"/>
          <w:szCs w:val="32"/>
          <w:highlight w:val="none"/>
        </w:rPr>
        <w:t>十、</w:t>
      </w:r>
      <w:bookmarkEnd w:id="57"/>
      <w:r>
        <w:rPr>
          <w:rFonts w:hint="eastAsia" w:ascii="Times New Roman" w:hAnsi="Times New Roman" w:eastAsia="仿宋_GB2312" w:cs="仿宋_GB2312"/>
          <w:color w:val="auto"/>
          <w:sz w:val="32"/>
          <w:szCs w:val="32"/>
          <w:highlight w:val="none"/>
        </w:rPr>
        <w:t>政府性基金预算财政拨款收入支出决算表</w:t>
      </w:r>
    </w:p>
    <w:p w14:paraId="2D34EB31">
      <w:pPr>
        <w:pStyle w:val="14"/>
        <w:keepNext w:val="0"/>
        <w:keepLines w:val="0"/>
        <w:pageBreakBefore w:val="0"/>
        <w:kinsoku/>
        <w:wordWrap/>
        <w:overflowPunct/>
        <w:topLinePunct w:val="0"/>
        <w:autoSpaceDE/>
        <w:autoSpaceDN/>
        <w:bidi w:val="0"/>
        <w:adjustRightInd w:val="0"/>
        <w:snapToGrid w:val="0"/>
        <w:spacing w:line="600" w:lineRule="exact"/>
        <w:ind w:firstLine="480" w:firstLineChars="150"/>
        <w:jc w:val="left"/>
        <w:textAlignment w:val="auto"/>
        <w:rPr>
          <w:rFonts w:hint="eastAsia" w:ascii="Times New Roman" w:hAnsi="Times New Roman" w:eastAsia="仿宋_GB2312" w:cs="仿宋_GB2312"/>
          <w:color w:val="auto"/>
          <w:sz w:val="32"/>
          <w:szCs w:val="32"/>
          <w:highlight w:val="none"/>
        </w:rPr>
      </w:pPr>
      <w:bookmarkStart w:id="58" w:name="_Toc15396629"/>
      <w:r>
        <w:rPr>
          <w:rFonts w:hint="eastAsia" w:ascii="Times New Roman" w:hAnsi="Times New Roman" w:eastAsia="仿宋_GB2312" w:cs="仿宋_GB2312"/>
          <w:color w:val="auto"/>
          <w:sz w:val="32"/>
          <w:szCs w:val="32"/>
          <w:highlight w:val="none"/>
        </w:rPr>
        <w:t>十一、</w:t>
      </w:r>
      <w:bookmarkEnd w:id="58"/>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6E10E214">
      <w:pPr>
        <w:pStyle w:val="14"/>
        <w:keepNext w:val="0"/>
        <w:keepLines w:val="0"/>
        <w:pageBreakBefore w:val="0"/>
        <w:kinsoku/>
        <w:wordWrap/>
        <w:overflowPunct/>
        <w:topLinePunct w:val="0"/>
        <w:autoSpaceDE/>
        <w:autoSpaceDN/>
        <w:bidi w:val="0"/>
        <w:adjustRightInd w:val="0"/>
        <w:snapToGrid w:val="0"/>
        <w:spacing w:line="600" w:lineRule="exact"/>
        <w:ind w:firstLine="480" w:firstLineChars="150"/>
        <w:jc w:val="left"/>
        <w:textAlignment w:val="auto"/>
        <w:rPr>
          <w:rFonts w:hint="eastAsia" w:ascii="Times New Roman" w:hAnsi="Times New Roman" w:eastAsia="仿宋_GB2312" w:cs="仿宋_GB2312"/>
          <w:color w:val="auto"/>
          <w:sz w:val="32"/>
          <w:szCs w:val="32"/>
          <w:highlight w:val="none"/>
        </w:rPr>
      </w:pPr>
      <w:bookmarkStart w:id="59" w:name="_Toc15396630"/>
      <w:r>
        <w:rPr>
          <w:rFonts w:hint="eastAsia" w:ascii="Times New Roman" w:hAnsi="Times New Roman" w:eastAsia="仿宋_GB2312" w:cs="仿宋_GB2312"/>
          <w:color w:val="auto"/>
          <w:sz w:val="32"/>
          <w:szCs w:val="32"/>
          <w:highlight w:val="none"/>
        </w:rPr>
        <w:t>十二、</w:t>
      </w:r>
      <w:bookmarkEnd w:id="59"/>
      <w:r>
        <w:rPr>
          <w:rFonts w:hint="eastAsia" w:ascii="Times New Roman" w:hAnsi="Times New Roman" w:eastAsia="仿宋_GB2312" w:cs="仿宋_GB2312"/>
          <w:color w:val="auto"/>
          <w:sz w:val="32"/>
          <w:szCs w:val="32"/>
          <w:highlight w:val="none"/>
          <w:lang w:eastAsia="zh-CN"/>
        </w:rPr>
        <w:t>国有资本经营预算财政拨款支出决算表</w:t>
      </w:r>
    </w:p>
    <w:p w14:paraId="7D6331DF">
      <w:pPr>
        <w:pStyle w:val="14"/>
        <w:keepNext w:val="0"/>
        <w:keepLines w:val="0"/>
        <w:pageBreakBefore w:val="0"/>
        <w:kinsoku/>
        <w:wordWrap/>
        <w:overflowPunct/>
        <w:topLinePunct w:val="0"/>
        <w:autoSpaceDE/>
        <w:autoSpaceDN/>
        <w:bidi w:val="0"/>
        <w:adjustRightInd w:val="0"/>
        <w:snapToGrid w:val="0"/>
        <w:spacing w:line="600" w:lineRule="exact"/>
        <w:ind w:firstLine="480" w:firstLineChars="150"/>
        <w:jc w:val="left"/>
        <w:textAlignment w:val="auto"/>
        <w:rPr>
          <w:rFonts w:hint="eastAsia" w:ascii="Times New Roman" w:hAnsi="Times New Roman" w:eastAsia="仿宋_GB2312" w:cs="仿宋_GB2312"/>
          <w:color w:val="auto"/>
          <w:sz w:val="32"/>
          <w:szCs w:val="32"/>
          <w:highlight w:val="none"/>
          <w:lang w:eastAsia="zh-CN"/>
        </w:rPr>
      </w:pPr>
      <w:bookmarkStart w:id="60" w:name="_Toc15396631"/>
      <w:r>
        <w:rPr>
          <w:rFonts w:hint="eastAsia" w:ascii="Times New Roman" w:hAnsi="Times New Roman" w:eastAsia="仿宋_GB2312" w:cs="仿宋_GB2312"/>
          <w:color w:val="auto"/>
          <w:sz w:val="32"/>
          <w:szCs w:val="32"/>
          <w:highlight w:val="none"/>
        </w:rPr>
        <w:t>十三、</w:t>
      </w:r>
      <w:bookmarkEnd w:id="60"/>
      <w:r>
        <w:rPr>
          <w:rFonts w:hint="eastAsia" w:ascii="Times New Roman" w:hAnsi="Times New Roman" w:eastAsia="仿宋_GB2312" w:cs="仿宋_GB2312"/>
          <w:color w:val="auto"/>
          <w:sz w:val="32"/>
          <w:szCs w:val="32"/>
          <w:highlight w:val="none"/>
          <w:lang w:eastAsia="zh-CN"/>
        </w:rPr>
        <w:t>财政拨款“三公”经费支出决算表</w:t>
      </w:r>
    </w:p>
    <w:p w14:paraId="1CD2C12F">
      <w:pPr>
        <w:rPr>
          <w:rFonts w:hint="eastAsia" w:ascii="Times New Roman" w:hAnsi="Times New Roman"/>
          <w:lang w:eastAsia="zh-CN"/>
        </w:rPr>
      </w:pPr>
    </w:p>
    <w:sectPr>
      <w:footerReference r:id="rId7" w:type="first"/>
      <w:footerReference r:id="rId6" w:type="default"/>
      <w:pgSz w:w="11906" w:h="16838"/>
      <w:pgMar w:top="1440" w:right="1800" w:bottom="1440" w:left="1800" w:header="851" w:footer="992" w:gutter="0"/>
      <w:pgNumType w:fmt="numberInDash"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altName w:val="Arial Unicode MS"/>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0121E">
    <w:pPr>
      <w:pStyle w:val="11"/>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AFE0CE">
                          <w:pPr>
                            <w:pStyle w:val="11"/>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EAFE0CE">
                    <w:pPr>
                      <w:pStyle w:val="11"/>
                    </w:pPr>
                    <w:r>
                      <w:fldChar w:fldCharType="begin"/>
                    </w:r>
                    <w:r>
                      <w:instrText xml:space="preserve"> PAGE  \* MERGEFORMAT </w:instrText>
                    </w:r>
                    <w:r>
                      <w:fldChar w:fldCharType="separate"/>
                    </w:r>
                    <w:r>
                      <w:t>- 1 -</w:t>
                    </w:r>
                    <w:r>
                      <w:fldChar w:fldCharType="end"/>
                    </w:r>
                  </w:p>
                </w:txbxContent>
              </v:textbox>
            </v:shape>
          </w:pict>
        </mc:Fallback>
      </mc:AlternateContent>
    </w:r>
  </w:p>
  <w:p w14:paraId="6C35B6B4">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FE0F3">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48EDF7">
                          <w:pPr>
                            <w:pStyle w:val="11"/>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548EDF7">
                    <w:pPr>
                      <w:pStyle w:val="11"/>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C3B241">
    <w:pPr>
      <w:pStyle w:val="11"/>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98C8BF">
                          <w:pPr>
                            <w:pStyle w:val="11"/>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898C8BF">
                    <w:pPr>
                      <w:pStyle w:val="11"/>
                    </w:pPr>
                    <w:r>
                      <w:fldChar w:fldCharType="begin"/>
                    </w:r>
                    <w:r>
                      <w:instrText xml:space="preserve"> PAGE  \* MERGEFORMAT </w:instrText>
                    </w:r>
                    <w:r>
                      <w:fldChar w:fldCharType="separate"/>
                    </w:r>
                    <w:r>
                      <w:t>- 2 -</w:t>
                    </w:r>
                    <w:r>
                      <w:fldChar w:fldCharType="end"/>
                    </w:r>
                  </w:p>
                </w:txbxContent>
              </v:textbox>
            </v:shape>
          </w:pict>
        </mc:Fallback>
      </mc:AlternateContent>
    </w:r>
  </w:p>
  <w:p w14:paraId="38C9D07B">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F78A25">
    <w:pPr>
      <w:pStyle w:val="11"/>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AAC9A4">
                          <w:pPr>
                            <w:pStyle w:val="11"/>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FAAC9A4">
                    <w:pPr>
                      <w:pStyle w:val="11"/>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9035B">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FEBE30"/>
    <w:rsid w:val="04916F1E"/>
    <w:rsid w:val="061E35DE"/>
    <w:rsid w:val="066E0107"/>
    <w:rsid w:val="077122A1"/>
    <w:rsid w:val="07996F6E"/>
    <w:rsid w:val="07DFD8BA"/>
    <w:rsid w:val="09867E8F"/>
    <w:rsid w:val="0A2032A3"/>
    <w:rsid w:val="0CA8290A"/>
    <w:rsid w:val="0D35B1ED"/>
    <w:rsid w:val="0D6A5DA6"/>
    <w:rsid w:val="0E254B6B"/>
    <w:rsid w:val="0F98263C"/>
    <w:rsid w:val="101860EC"/>
    <w:rsid w:val="101F47CC"/>
    <w:rsid w:val="10C055FF"/>
    <w:rsid w:val="11694EBD"/>
    <w:rsid w:val="11772AA4"/>
    <w:rsid w:val="118107EC"/>
    <w:rsid w:val="12E24EE2"/>
    <w:rsid w:val="13D50BC4"/>
    <w:rsid w:val="14B17F78"/>
    <w:rsid w:val="165E0673"/>
    <w:rsid w:val="16B831D5"/>
    <w:rsid w:val="16BB723D"/>
    <w:rsid w:val="17E50567"/>
    <w:rsid w:val="186504BB"/>
    <w:rsid w:val="19A445FC"/>
    <w:rsid w:val="1BE8440E"/>
    <w:rsid w:val="1D155CEE"/>
    <w:rsid w:val="1D1638FE"/>
    <w:rsid w:val="1E312DEB"/>
    <w:rsid w:val="1E740ACF"/>
    <w:rsid w:val="1FF35744"/>
    <w:rsid w:val="1FF6BC77"/>
    <w:rsid w:val="2186353C"/>
    <w:rsid w:val="23860B96"/>
    <w:rsid w:val="240371BF"/>
    <w:rsid w:val="244F3473"/>
    <w:rsid w:val="24C97D99"/>
    <w:rsid w:val="25A718F0"/>
    <w:rsid w:val="25BB59F6"/>
    <w:rsid w:val="260F557C"/>
    <w:rsid w:val="26970054"/>
    <w:rsid w:val="281408E2"/>
    <w:rsid w:val="29FD04D3"/>
    <w:rsid w:val="2BFF7BC6"/>
    <w:rsid w:val="2C8A61B5"/>
    <w:rsid w:val="2DF04E50"/>
    <w:rsid w:val="2E586DFA"/>
    <w:rsid w:val="2F040D46"/>
    <w:rsid w:val="2F6B035B"/>
    <w:rsid w:val="2FAE5751"/>
    <w:rsid w:val="2FB1A395"/>
    <w:rsid w:val="2FD9A7D8"/>
    <w:rsid w:val="2FDBF714"/>
    <w:rsid w:val="304C32A5"/>
    <w:rsid w:val="30AB6865"/>
    <w:rsid w:val="319F7F4E"/>
    <w:rsid w:val="32BD1EF1"/>
    <w:rsid w:val="3304709D"/>
    <w:rsid w:val="33A773CB"/>
    <w:rsid w:val="349D6851"/>
    <w:rsid w:val="36AA5135"/>
    <w:rsid w:val="36BE0DA7"/>
    <w:rsid w:val="376B6AA6"/>
    <w:rsid w:val="376D39B2"/>
    <w:rsid w:val="37E16F03"/>
    <w:rsid w:val="37F53A3B"/>
    <w:rsid w:val="389B6C89"/>
    <w:rsid w:val="38D469F0"/>
    <w:rsid w:val="39627CCD"/>
    <w:rsid w:val="397BAF1F"/>
    <w:rsid w:val="3AB79AF3"/>
    <w:rsid w:val="3AE834C0"/>
    <w:rsid w:val="3B7EF35A"/>
    <w:rsid w:val="3B9FDB6C"/>
    <w:rsid w:val="3BF5BC2F"/>
    <w:rsid w:val="3CEBA265"/>
    <w:rsid w:val="3D98207C"/>
    <w:rsid w:val="3DEE7CF3"/>
    <w:rsid w:val="3E740A63"/>
    <w:rsid w:val="3E78745D"/>
    <w:rsid w:val="3EE17838"/>
    <w:rsid w:val="3F55381A"/>
    <w:rsid w:val="3F7F7599"/>
    <w:rsid w:val="3FF4CAE0"/>
    <w:rsid w:val="3FF7B227"/>
    <w:rsid w:val="44E268DA"/>
    <w:rsid w:val="450D13D7"/>
    <w:rsid w:val="45506656"/>
    <w:rsid w:val="486A6C7A"/>
    <w:rsid w:val="4A627F82"/>
    <w:rsid w:val="4B0E749A"/>
    <w:rsid w:val="4B2477C4"/>
    <w:rsid w:val="4B4F25DA"/>
    <w:rsid w:val="4BE068DB"/>
    <w:rsid w:val="4D577224"/>
    <w:rsid w:val="4DBF1CEB"/>
    <w:rsid w:val="4DF0007C"/>
    <w:rsid w:val="4EAB630A"/>
    <w:rsid w:val="4ECE2238"/>
    <w:rsid w:val="4F833267"/>
    <w:rsid w:val="4FE9BD67"/>
    <w:rsid w:val="4FFB052F"/>
    <w:rsid w:val="537E6D0A"/>
    <w:rsid w:val="53F74C96"/>
    <w:rsid w:val="55170BA8"/>
    <w:rsid w:val="553218C9"/>
    <w:rsid w:val="55D729DB"/>
    <w:rsid w:val="567E1AA5"/>
    <w:rsid w:val="56E47B74"/>
    <w:rsid w:val="57175D52"/>
    <w:rsid w:val="57890360"/>
    <w:rsid w:val="57BD3DD4"/>
    <w:rsid w:val="5AF92295"/>
    <w:rsid w:val="5B250254"/>
    <w:rsid w:val="5B653E6E"/>
    <w:rsid w:val="5BDD79E6"/>
    <w:rsid w:val="5BF561CA"/>
    <w:rsid w:val="5BFF5DFC"/>
    <w:rsid w:val="5CD71FC4"/>
    <w:rsid w:val="5D1F11B5"/>
    <w:rsid w:val="5D695134"/>
    <w:rsid w:val="5DAE1B18"/>
    <w:rsid w:val="5DE7D9E5"/>
    <w:rsid w:val="5ECEC941"/>
    <w:rsid w:val="5FBF9FF3"/>
    <w:rsid w:val="5FCD4E2C"/>
    <w:rsid w:val="5FEF394A"/>
    <w:rsid w:val="5FF67715"/>
    <w:rsid w:val="62BF3928"/>
    <w:rsid w:val="63B3701E"/>
    <w:rsid w:val="647F5392"/>
    <w:rsid w:val="65E66580"/>
    <w:rsid w:val="664B1D71"/>
    <w:rsid w:val="664B4E8E"/>
    <w:rsid w:val="67277B67"/>
    <w:rsid w:val="67AA3209"/>
    <w:rsid w:val="698D0931"/>
    <w:rsid w:val="6A7FE5F3"/>
    <w:rsid w:val="6B053271"/>
    <w:rsid w:val="6BDD78B3"/>
    <w:rsid w:val="6C4A05C8"/>
    <w:rsid w:val="6C8742B8"/>
    <w:rsid w:val="6DBF5E93"/>
    <w:rsid w:val="6DFF077E"/>
    <w:rsid w:val="6E714EF0"/>
    <w:rsid w:val="6E7E3605"/>
    <w:rsid w:val="6E7FDCC7"/>
    <w:rsid w:val="6ED6A62E"/>
    <w:rsid w:val="6EE00B15"/>
    <w:rsid w:val="6F6FB3EB"/>
    <w:rsid w:val="6F8731EA"/>
    <w:rsid w:val="6FCE6052"/>
    <w:rsid w:val="6FD57C00"/>
    <w:rsid w:val="6FEFFFD8"/>
    <w:rsid w:val="6FF5CC65"/>
    <w:rsid w:val="6FFB47EC"/>
    <w:rsid w:val="6FFF034A"/>
    <w:rsid w:val="70484440"/>
    <w:rsid w:val="712A28F1"/>
    <w:rsid w:val="715C0E4B"/>
    <w:rsid w:val="71992E7C"/>
    <w:rsid w:val="72233669"/>
    <w:rsid w:val="72734D90"/>
    <w:rsid w:val="73160E6D"/>
    <w:rsid w:val="7332FE48"/>
    <w:rsid w:val="73AB61DA"/>
    <w:rsid w:val="73AD73D5"/>
    <w:rsid w:val="73B6EB34"/>
    <w:rsid w:val="73FA497D"/>
    <w:rsid w:val="740172BD"/>
    <w:rsid w:val="744731E5"/>
    <w:rsid w:val="74BBD01D"/>
    <w:rsid w:val="74ED5379"/>
    <w:rsid w:val="75DEEEC2"/>
    <w:rsid w:val="75E32345"/>
    <w:rsid w:val="76E3355F"/>
    <w:rsid w:val="76FF5125"/>
    <w:rsid w:val="776F6FFA"/>
    <w:rsid w:val="778769C8"/>
    <w:rsid w:val="77A75DCA"/>
    <w:rsid w:val="77DC22F5"/>
    <w:rsid w:val="783E271A"/>
    <w:rsid w:val="78616DE9"/>
    <w:rsid w:val="78E875D7"/>
    <w:rsid w:val="79086DAD"/>
    <w:rsid w:val="79D32323"/>
    <w:rsid w:val="79D7FD79"/>
    <w:rsid w:val="79EE5BA4"/>
    <w:rsid w:val="7A894339"/>
    <w:rsid w:val="7AD284E8"/>
    <w:rsid w:val="7AFF7572"/>
    <w:rsid w:val="7B6C7DFB"/>
    <w:rsid w:val="7BBFBED0"/>
    <w:rsid w:val="7BC3E394"/>
    <w:rsid w:val="7C1F3737"/>
    <w:rsid w:val="7CBFC87B"/>
    <w:rsid w:val="7CFE0F48"/>
    <w:rsid w:val="7D272ABC"/>
    <w:rsid w:val="7D7EC23E"/>
    <w:rsid w:val="7E7C75DC"/>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6"/>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6"/>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6"/>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6"/>
    <w:semiHidden/>
    <w:qFormat/>
    <w:uiPriority w:val="99"/>
    <w:rPr>
      <w:rFonts w:ascii="Times New Roman" w:hAnsi="Times New Roman"/>
      <w:szCs w:val="24"/>
    </w:rPr>
  </w:style>
  <w:style w:type="character" w:customStyle="1" w:styleId="26">
    <w:name w:val="正文文本 Char"/>
    <w:link w:val="8"/>
    <w:qFormat/>
    <w:locked/>
    <w:uiPriority w:val="99"/>
    <w:rPr>
      <w:rFonts w:ascii="仿宋_GB2312" w:hAnsi="Times New Roman" w:eastAsia="仿宋_GB2312"/>
      <w:sz w:val="24"/>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37</Pages>
  <Words>9372</Words>
  <Characters>10789</Characters>
  <Lines>61</Lines>
  <Paragraphs>17</Paragraphs>
  <TotalTime>0</TotalTime>
  <ScaleCrop>false</ScaleCrop>
  <LinksUpToDate>false</LinksUpToDate>
  <CharactersWithSpaces>10828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从头再来</cp:lastModifiedBy>
  <cp:lastPrinted>2025-08-06T17:34:00Z</cp:lastPrinted>
  <dcterms:modified xsi:type="dcterms:W3CDTF">2026-10-17T13:40:43Z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04787F2533EB45DC91BCDE4AB213247F</vt:lpwstr>
  </property>
  <property fmtid="{D5CDD505-2E9C-101B-9397-08002B2CF9AE}" pid="4" name="KSOTemplateDocerSaveRecord">
    <vt:lpwstr>eyJoZGlkIjoiNmFjYjIzMjc3NzgwMDBhMDQ5MWE4NDg4YzVlOGNmMTAiLCJ1c2VySWQiOiI1NjY2NzMwMjAifQ==</vt:lpwstr>
  </property>
</Properties>
</file>