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0" w:lineRule="atLeast"/>
        <w:jc w:val="center"/>
        <w:rPr>
          <w:rFonts w:hint="eastAsia" w:ascii="Times New Roman" w:hAnsi="Times New Roman" w:eastAsia="方正小标宋_GBK" w:cs="Times New Roman"/>
          <w:w w:val="95"/>
          <w:sz w:val="44"/>
          <w:szCs w:val="44"/>
        </w:rPr>
      </w:pPr>
      <w:r>
        <w:rPr>
          <w:rFonts w:hint="eastAsia" w:ascii="Times New Roman" w:hAnsi="Times New Roman" w:eastAsia="方正小标宋_GBK" w:cs="Times New Roman"/>
          <w:w w:val="95"/>
          <w:sz w:val="44"/>
          <w:szCs w:val="44"/>
        </w:rPr>
        <w:t>攀枝花市西区202</w:t>
      </w:r>
      <w:r>
        <w:rPr>
          <w:rFonts w:hint="eastAsia" w:ascii="Times New Roman" w:hAnsi="Times New Roman" w:eastAsia="方正小标宋_GBK" w:cs="Times New Roman"/>
          <w:w w:val="95"/>
          <w:sz w:val="44"/>
          <w:szCs w:val="44"/>
          <w:lang w:val="en-US" w:eastAsia="zh-CN"/>
        </w:rPr>
        <w:t>5</w:t>
      </w:r>
      <w:r>
        <w:rPr>
          <w:rFonts w:hint="eastAsia" w:ascii="Times New Roman" w:hAnsi="Times New Roman" w:eastAsia="方正小标宋_GBK" w:cs="Times New Roman"/>
          <w:w w:val="95"/>
          <w:sz w:val="44"/>
          <w:szCs w:val="44"/>
        </w:rPr>
        <w:t>年“三公”经费执行情况说明</w:t>
      </w:r>
    </w:p>
    <w:p>
      <w:pPr>
        <w:spacing w:line="0" w:lineRule="atLeast"/>
        <w:jc w:val="center"/>
        <w:rPr>
          <w:rFonts w:ascii="Times New Roman" w:hAnsi="Times New Roman" w:eastAsia="方正小标宋_GBK" w:cs="Times New Roman"/>
          <w:w w:val="95"/>
          <w:sz w:val="44"/>
          <w:szCs w:val="44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640" w:firstLineChars="200"/>
        <w:textAlignment w:val="auto"/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</w:pPr>
      <w:r>
        <w:rPr>
          <w:rFonts w:ascii="Times New Roman" w:hAnsi="Times New Roman" w:eastAsia="仿宋_GB2312" w:cs="Times New Roman"/>
          <w:sz w:val="32"/>
          <w:szCs w:val="32"/>
        </w:rPr>
        <w:t>根据《中华人民共和国预算法》和《国务院关于深化预算管理制度改革的决定》（国发〔2014〕45号）的有关规定，为进一步规范“三公”经费的管理，严控“三公”经费开支，根据中央八项规定要求，</w:t>
      </w:r>
      <w:r>
        <w:rPr>
          <w:rFonts w:hint="eastAsia" w:ascii="Times New Roman" w:hAnsi="Times New Roman" w:eastAsia="仿宋_GB2312" w:cs="Times New Roman"/>
          <w:sz w:val="32"/>
          <w:szCs w:val="32"/>
        </w:rPr>
        <w:t>严格实行总额控制</w:t>
      </w:r>
      <w:r>
        <w:rPr>
          <w:rFonts w:hint="eastAsia" w:ascii="Times New Roman" w:hAnsi="Times New Roman" w:eastAsia="仿宋_GB2312" w:cs="Times New Roman"/>
          <w:sz w:val="32"/>
          <w:szCs w:val="32"/>
          <w:lang w:eastAsia="zh-CN"/>
        </w:rPr>
        <w:t>，</w:t>
      </w:r>
      <w:r>
        <w:rPr>
          <w:rFonts w:ascii="Times New Roman" w:hAnsi="Times New Roman" w:eastAsia="仿宋_GB2312" w:cs="Times New Roman"/>
          <w:sz w:val="32"/>
          <w:szCs w:val="32"/>
        </w:rPr>
        <w:t>202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5</w:t>
      </w:r>
      <w:r>
        <w:rPr>
          <w:rFonts w:ascii="Times New Roman" w:hAnsi="Times New Roman" w:eastAsia="仿宋_GB2312" w:cs="Times New Roman"/>
          <w:sz w:val="32"/>
          <w:szCs w:val="32"/>
        </w:rPr>
        <w:t>年我区“三公”经费支出总额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385.18</w:t>
      </w:r>
      <w:r>
        <w:rPr>
          <w:rFonts w:ascii="Times New Roman" w:hAnsi="Times New Roman" w:eastAsia="仿宋_GB2312" w:cs="Times New Roman"/>
          <w:sz w:val="32"/>
          <w:szCs w:val="32"/>
        </w:rPr>
        <w:t>万元</w:t>
      </w:r>
      <w:r>
        <w:rPr>
          <w:rFonts w:hint="eastAsia" w:ascii="Times New Roman" w:hAnsi="Times New Roman" w:eastAsia="仿宋_GB2312" w:cs="Times New Roman"/>
          <w:sz w:val="32"/>
          <w:szCs w:val="32"/>
          <w:lang w:eastAsia="zh-CN"/>
        </w:rPr>
        <w:t>，同</w:t>
      </w:r>
      <w:r>
        <w:rPr>
          <w:rFonts w:hint="eastAsia" w:ascii="Times New Roman" w:hAnsi="Times New Roman" w:eastAsia="方正仿宋_GBK" w:cs="Times New Roman"/>
          <w:color w:val="000000"/>
          <w:sz w:val="33"/>
          <w:szCs w:val="33"/>
          <w:lang w:val="en-US" w:eastAsia="zh-CN"/>
        </w:rPr>
        <w:t>比下降5.46%</w:t>
      </w:r>
      <w:r>
        <w:rPr>
          <w:rFonts w:hint="eastAsia" w:ascii="Times New Roman" w:hAnsi="Times New Roman" w:eastAsia="仿宋_GB2312" w:cs="Times New Roman"/>
          <w:sz w:val="32"/>
          <w:szCs w:val="32"/>
          <w:lang w:eastAsia="zh-CN"/>
        </w:rPr>
        <w:t>。</w:t>
      </w:r>
      <w:r>
        <w:rPr>
          <w:rFonts w:ascii="Times New Roman" w:hAnsi="Times New Roman" w:eastAsia="仿宋_GB2312" w:cs="Times New Roman"/>
          <w:sz w:val="32"/>
          <w:szCs w:val="32"/>
        </w:rPr>
        <w:t>其中：</w:t>
      </w:r>
      <w:r>
        <w:rPr>
          <w:rFonts w:hint="eastAsia" w:ascii="Times New Roman" w:hAnsi="Times New Roman" w:eastAsia="仿宋_GB2312" w:cs="Times New Roman"/>
          <w:sz w:val="32"/>
          <w:szCs w:val="32"/>
        </w:rPr>
        <w:t>未产生因公出国（境）费用</w:t>
      </w:r>
      <w:r>
        <w:rPr>
          <w:rFonts w:hint="eastAsia" w:ascii="Times New Roman" w:hAnsi="Times New Roman" w:eastAsia="仿宋_GB2312" w:cs="Times New Roman"/>
          <w:sz w:val="32"/>
          <w:szCs w:val="32"/>
          <w:lang w:eastAsia="zh-CN"/>
        </w:rPr>
        <w:t>，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较上年减少3.49万元</w:t>
      </w:r>
      <w:r>
        <w:rPr>
          <w:rFonts w:ascii="Times New Roman" w:hAnsi="Times New Roman" w:eastAsia="仿宋_GB2312" w:cs="Times New Roman"/>
          <w:sz w:val="32"/>
          <w:szCs w:val="32"/>
        </w:rPr>
        <w:t>；公务用车购置及运行维护支出</w:t>
      </w:r>
      <w:r>
        <w:rPr>
          <w:rFonts w:hint="eastAsia" w:ascii="Times New Roman" w:hAnsi="Times New Roman" w:eastAsia="方正仿宋_GBK" w:cs="Times New Roman"/>
          <w:color w:val="000000"/>
          <w:sz w:val="33"/>
          <w:szCs w:val="33"/>
          <w:lang w:val="en-US" w:eastAsia="zh-CN"/>
        </w:rPr>
        <w:t>378.63</w:t>
      </w:r>
      <w:r>
        <w:rPr>
          <w:rFonts w:ascii="Times New Roman" w:hAnsi="Times New Roman" w:eastAsia="仿宋_GB2312" w:cs="Times New Roman"/>
          <w:sz w:val="32"/>
          <w:szCs w:val="32"/>
        </w:rPr>
        <w:t>万元，</w:t>
      </w:r>
      <w:r>
        <w:rPr>
          <w:rFonts w:hint="eastAsia" w:ascii="Times New Roman" w:hAnsi="Times New Roman" w:eastAsia="方正仿宋_GBK" w:cs="Times New Roman"/>
          <w:color w:val="000000"/>
          <w:sz w:val="33"/>
          <w:szCs w:val="33"/>
          <w:lang w:val="en-US" w:eastAsia="zh-CN"/>
        </w:rPr>
        <w:t>较上年增加</w:t>
      </w:r>
      <w:r>
        <w:rPr>
          <w:rFonts w:hint="eastAsia" w:ascii="Times New Roman" w:hAnsi="Times New Roman" w:eastAsia="方正仿宋_GBK" w:cs="Times New Roman"/>
          <w:color w:val="auto"/>
          <w:sz w:val="33"/>
          <w:szCs w:val="33"/>
          <w:lang w:val="en-US" w:eastAsia="zh-CN"/>
        </w:rPr>
        <w:t>14.45万元，增长3.97%</w:t>
      </w:r>
      <w:r>
        <w:rPr>
          <w:rFonts w:ascii="Times New Roman" w:hAnsi="Times New Roman" w:eastAsia="仿宋_GB2312" w:cs="Times New Roman"/>
          <w:color w:val="auto"/>
          <w:sz w:val="32"/>
          <w:szCs w:val="32"/>
        </w:rPr>
        <w:t>；公务接待</w:t>
      </w: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lang w:val="en-US" w:eastAsia="zh-CN"/>
        </w:rPr>
        <w:t>支出</w:t>
      </w:r>
      <w:r>
        <w:rPr>
          <w:rFonts w:hint="eastAsia" w:ascii="Times New Roman" w:hAnsi="Times New Roman" w:eastAsia="方正仿宋_GBK" w:cs="Times New Roman"/>
          <w:color w:val="auto"/>
          <w:sz w:val="33"/>
          <w:szCs w:val="33"/>
          <w:lang w:val="en-US" w:eastAsia="zh-CN"/>
        </w:rPr>
        <w:t>6.55万</w:t>
      </w:r>
      <w:r>
        <w:rPr>
          <w:rFonts w:ascii="Times New Roman" w:hAnsi="Times New Roman" w:eastAsia="仿宋_GB2312" w:cs="Times New Roman"/>
          <w:color w:val="auto"/>
          <w:sz w:val="32"/>
          <w:szCs w:val="32"/>
        </w:rPr>
        <w:t>元，</w:t>
      </w:r>
      <w:r>
        <w:rPr>
          <w:rFonts w:hint="eastAsia" w:ascii="Times New Roman" w:hAnsi="Times New Roman" w:eastAsia="方正仿宋_GBK" w:cs="Times New Roman"/>
          <w:color w:val="auto"/>
          <w:sz w:val="33"/>
          <w:szCs w:val="33"/>
          <w:lang w:val="en-US" w:eastAsia="zh-CN"/>
        </w:rPr>
        <w:t>较上年减少33.2万元</w:t>
      </w:r>
      <w:r>
        <w:rPr>
          <w:rFonts w:ascii="Times New Roman" w:hAnsi="Times New Roman" w:eastAsia="仿宋_GB2312" w:cs="Times New Roman"/>
          <w:color w:val="auto"/>
          <w:sz w:val="32"/>
          <w:szCs w:val="32"/>
        </w:rPr>
        <w:t>，</w:t>
      </w: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lang w:val="en-US" w:eastAsia="zh-CN"/>
        </w:rPr>
        <w:t>下降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83.5</w:t>
      </w:r>
      <w:bookmarkStart w:id="0" w:name="_GoBack"/>
      <w:bookmarkEnd w:id="0"/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2</w:t>
      </w:r>
      <w:r>
        <w:rPr>
          <w:rFonts w:ascii="Times New Roman" w:hAnsi="Times New Roman" w:eastAsia="仿宋_GB2312" w:cs="Times New Roman"/>
          <w:sz w:val="32"/>
          <w:szCs w:val="32"/>
        </w:rPr>
        <w:t>%。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 xml:space="preserve"> 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jc w:val="center"/>
        <w:textAlignment w:val="auto"/>
        <w:rPr>
          <w:rFonts w:ascii="Times New Roman" w:hAnsi="Times New Roman" w:eastAsia="方正小标宋_GBK" w:cs="Times New Roman"/>
          <w:sz w:val="32"/>
          <w:szCs w:val="32"/>
        </w:rPr>
      </w:pPr>
      <w:r>
        <w:rPr>
          <w:rFonts w:ascii="Times New Roman" w:hAnsi="Times New Roman" w:eastAsia="方正小标宋_GBK" w:cs="Times New Roman"/>
          <w:sz w:val="32"/>
          <w:szCs w:val="32"/>
        </w:rPr>
        <w:t>202</w:t>
      </w:r>
      <w:r>
        <w:rPr>
          <w:rFonts w:hint="eastAsia" w:ascii="Times New Roman" w:hAnsi="Times New Roman" w:eastAsia="方正小标宋_GBK" w:cs="Times New Roman"/>
          <w:sz w:val="32"/>
          <w:szCs w:val="32"/>
          <w:lang w:val="en-US" w:eastAsia="zh-CN"/>
        </w:rPr>
        <w:t>5</w:t>
      </w:r>
      <w:r>
        <w:rPr>
          <w:rFonts w:ascii="Times New Roman" w:hAnsi="Times New Roman" w:eastAsia="方正小标宋_GBK" w:cs="Times New Roman"/>
          <w:sz w:val="32"/>
          <w:szCs w:val="32"/>
        </w:rPr>
        <w:t>年“三公”经费增长情况表</w:t>
      </w:r>
    </w:p>
    <w:p>
      <w:pPr>
        <w:widowControl/>
        <w:jc w:val="right"/>
        <w:rPr>
          <w:rFonts w:hint="default" w:ascii="Times New Roman" w:hAnsi="Times New Roman" w:eastAsia="仿宋_GB2312" w:cs="Times New Roman"/>
          <w:color w:val="000000"/>
          <w:kern w:val="0"/>
          <w:sz w:val="22"/>
          <w:lang w:val="en-US" w:eastAsia="zh-CN"/>
        </w:rPr>
      </w:pPr>
      <w:r>
        <w:rPr>
          <w:rFonts w:hint="eastAsia" w:ascii="Times New Roman" w:hAnsi="Times New Roman" w:eastAsia="仿宋_GB2312" w:cs="Times New Roman"/>
          <w:color w:val="000000"/>
          <w:kern w:val="0"/>
          <w:sz w:val="22"/>
          <w:lang w:eastAsia="zh-CN"/>
        </w:rPr>
        <w:t>单位：万元、</w:t>
      </w:r>
      <w:r>
        <w:rPr>
          <w:rFonts w:hint="eastAsia" w:ascii="Times New Roman" w:hAnsi="Times New Roman" w:eastAsia="仿宋_GB2312" w:cs="Times New Roman"/>
          <w:color w:val="000000"/>
          <w:kern w:val="0"/>
          <w:sz w:val="22"/>
          <w:lang w:val="en-US" w:eastAsia="zh-CN"/>
        </w:rPr>
        <w:t>%</w:t>
      </w:r>
    </w:p>
    <w:tbl>
      <w:tblPr>
        <w:tblStyle w:val="4"/>
        <w:tblW w:w="8946" w:type="dxa"/>
        <w:tblInd w:w="93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740"/>
        <w:gridCol w:w="1662"/>
        <w:gridCol w:w="1843"/>
        <w:gridCol w:w="1701"/>
      </w:tblGrid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37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eastAsia="黑体" w:cs="Times New Roman"/>
                <w:color w:val="000000"/>
                <w:kern w:val="0"/>
                <w:sz w:val="22"/>
              </w:rPr>
            </w:pPr>
            <w:r>
              <w:rPr>
                <w:rFonts w:hint="default" w:ascii="Times New Roman" w:hAnsi="Times New Roman" w:eastAsia="黑体" w:cs="Times New Roman"/>
                <w:color w:val="000000"/>
                <w:kern w:val="0"/>
                <w:sz w:val="22"/>
              </w:rPr>
              <w:t>项  目</w:t>
            </w:r>
          </w:p>
        </w:tc>
        <w:tc>
          <w:tcPr>
            <w:tcW w:w="1662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eastAsia="黑体" w:cs="Times New Roman"/>
                <w:color w:val="000000"/>
                <w:kern w:val="0"/>
                <w:sz w:val="22"/>
              </w:rPr>
            </w:pPr>
            <w:r>
              <w:rPr>
                <w:rFonts w:hint="default" w:ascii="Times New Roman" w:hAnsi="Times New Roman" w:eastAsia="黑体" w:cs="Times New Roman"/>
                <w:color w:val="000000"/>
                <w:kern w:val="0"/>
                <w:sz w:val="22"/>
              </w:rPr>
              <w:t>202</w:t>
            </w:r>
            <w:r>
              <w:rPr>
                <w:rFonts w:hint="eastAsia" w:ascii="Times New Roman" w:hAnsi="Times New Roman" w:eastAsia="黑体" w:cs="Times New Roman"/>
                <w:color w:val="000000"/>
                <w:kern w:val="0"/>
                <w:sz w:val="22"/>
                <w:lang w:val="en-US" w:eastAsia="zh-CN"/>
              </w:rPr>
              <w:t>4</w:t>
            </w:r>
            <w:r>
              <w:rPr>
                <w:rFonts w:hint="default" w:ascii="Times New Roman" w:hAnsi="Times New Roman" w:eastAsia="黑体" w:cs="Times New Roman"/>
                <w:color w:val="000000"/>
                <w:kern w:val="0"/>
                <w:sz w:val="22"/>
              </w:rPr>
              <w:t>年度</w:t>
            </w:r>
          </w:p>
        </w:tc>
        <w:tc>
          <w:tcPr>
            <w:tcW w:w="1843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eastAsia="黑体" w:cs="Times New Roman"/>
                <w:color w:val="000000"/>
                <w:kern w:val="0"/>
                <w:sz w:val="22"/>
              </w:rPr>
            </w:pPr>
            <w:r>
              <w:rPr>
                <w:rFonts w:hint="default" w:ascii="Times New Roman" w:hAnsi="Times New Roman" w:eastAsia="黑体" w:cs="Times New Roman"/>
                <w:color w:val="000000"/>
                <w:kern w:val="0"/>
                <w:sz w:val="22"/>
              </w:rPr>
              <w:t>202</w:t>
            </w:r>
            <w:r>
              <w:rPr>
                <w:rFonts w:hint="eastAsia" w:ascii="Times New Roman" w:hAnsi="Times New Roman" w:eastAsia="黑体" w:cs="Times New Roman"/>
                <w:color w:val="000000"/>
                <w:kern w:val="0"/>
                <w:sz w:val="22"/>
                <w:lang w:val="en-US" w:eastAsia="zh-CN"/>
              </w:rPr>
              <w:t>5</w:t>
            </w:r>
            <w:r>
              <w:rPr>
                <w:rFonts w:hint="default" w:ascii="Times New Roman" w:hAnsi="Times New Roman" w:eastAsia="黑体" w:cs="Times New Roman"/>
                <w:color w:val="000000"/>
                <w:kern w:val="0"/>
                <w:sz w:val="22"/>
              </w:rPr>
              <w:t>年度</w:t>
            </w:r>
          </w:p>
        </w:tc>
        <w:tc>
          <w:tcPr>
            <w:tcW w:w="1701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eastAsia="黑体" w:cs="Times New Roman"/>
                <w:color w:val="000000"/>
                <w:kern w:val="0"/>
                <w:sz w:val="22"/>
              </w:rPr>
            </w:pPr>
            <w:r>
              <w:rPr>
                <w:rFonts w:hint="default" w:ascii="Times New Roman" w:hAnsi="Times New Roman" w:eastAsia="黑体" w:cs="Times New Roman"/>
                <w:color w:val="000000"/>
                <w:kern w:val="0"/>
                <w:sz w:val="22"/>
              </w:rPr>
              <w:t>增长率（%）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3740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2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2"/>
              </w:rPr>
              <w:t>“三公”经费支出</w:t>
            </w:r>
          </w:p>
        </w:tc>
        <w:tc>
          <w:tcPr>
            <w:tcW w:w="1662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Times New Roman" w:hAnsi="Times New Roman" w:eastAsia="仿宋_GB2312" w:cs="Times New Roman"/>
                <w:color w:val="000000"/>
                <w:kern w:val="0"/>
                <w:sz w:val="22"/>
                <w:lang w:val="en-US" w:eastAsia="zh-CN"/>
              </w:rPr>
              <w:t>407.42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2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color w:val="000000"/>
                <w:kern w:val="0"/>
                <w:sz w:val="22"/>
                <w:lang w:val="en-US" w:eastAsia="zh-CN"/>
              </w:rPr>
              <w:t>385.18</w:t>
            </w:r>
          </w:p>
        </w:tc>
        <w:tc>
          <w:tcPr>
            <w:tcW w:w="1701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2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color w:val="000000"/>
                <w:kern w:val="0"/>
                <w:sz w:val="22"/>
                <w:lang w:val="en-US" w:eastAsia="zh-CN"/>
              </w:rPr>
              <w:t>-5.46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3740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2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2"/>
              </w:rPr>
              <w:t xml:space="preserve">     </w:t>
            </w:r>
            <w:r>
              <w:rPr>
                <w:rFonts w:hint="eastAsia" w:ascii="Times New Roman" w:hAnsi="Times New Roman" w:eastAsia="仿宋_GB2312" w:cs="Times New Roman"/>
                <w:color w:val="000000"/>
                <w:kern w:val="0"/>
                <w:sz w:val="22"/>
                <w:lang w:eastAsia="zh-CN"/>
              </w:rPr>
              <w:t>1.</w:t>
            </w: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2"/>
              </w:rPr>
              <w:t>因公出国（境）费</w:t>
            </w:r>
          </w:p>
        </w:tc>
        <w:tc>
          <w:tcPr>
            <w:tcW w:w="1662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Times New Roman" w:hAnsi="Times New Roman" w:eastAsia="仿宋_GB2312" w:cs="Times New Roman"/>
                <w:color w:val="000000"/>
                <w:kern w:val="0"/>
                <w:sz w:val="22"/>
                <w:lang w:val="en-US" w:eastAsia="zh-CN"/>
              </w:rPr>
              <w:t>3.49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2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color w:val="000000"/>
                <w:kern w:val="0"/>
                <w:sz w:val="22"/>
                <w:lang w:val="en-US" w:eastAsia="zh-CN"/>
              </w:rPr>
              <w:t>0</w:t>
            </w:r>
          </w:p>
        </w:tc>
        <w:tc>
          <w:tcPr>
            <w:tcW w:w="1701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2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color w:val="000000"/>
                <w:kern w:val="0"/>
                <w:sz w:val="22"/>
                <w:lang w:val="en-US" w:eastAsia="zh-CN"/>
              </w:rPr>
              <w:t>-100.00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3740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2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2"/>
              </w:rPr>
              <w:t xml:space="preserve">     </w:t>
            </w:r>
            <w:r>
              <w:rPr>
                <w:rFonts w:hint="eastAsia" w:ascii="Times New Roman" w:hAnsi="Times New Roman" w:eastAsia="仿宋_GB2312" w:cs="Times New Roman"/>
                <w:color w:val="000000"/>
                <w:kern w:val="0"/>
                <w:sz w:val="22"/>
                <w:lang w:eastAsia="zh-CN"/>
              </w:rPr>
              <w:t>2.</w:t>
            </w: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2"/>
              </w:rPr>
              <w:t>公务用车购置及运行维护费</w:t>
            </w:r>
          </w:p>
        </w:tc>
        <w:tc>
          <w:tcPr>
            <w:tcW w:w="1662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Times New Roman" w:hAnsi="Times New Roman" w:eastAsia="仿宋_GB2312" w:cs="Times New Roman"/>
                <w:color w:val="000000"/>
                <w:kern w:val="0"/>
                <w:sz w:val="22"/>
                <w:lang w:val="en-US" w:eastAsia="zh-CN"/>
              </w:rPr>
              <w:t>364.18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2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color w:val="000000"/>
                <w:kern w:val="0"/>
                <w:sz w:val="22"/>
                <w:lang w:val="en-US" w:eastAsia="zh-CN"/>
              </w:rPr>
              <w:t>378.63</w:t>
            </w:r>
          </w:p>
        </w:tc>
        <w:tc>
          <w:tcPr>
            <w:tcW w:w="1701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2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color w:val="000000"/>
                <w:kern w:val="0"/>
                <w:sz w:val="22"/>
                <w:lang w:val="en-US" w:eastAsia="zh-CN"/>
              </w:rPr>
              <w:t>3.97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3740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2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2"/>
              </w:rPr>
              <w:t xml:space="preserve">     </w:t>
            </w:r>
            <w:r>
              <w:rPr>
                <w:rFonts w:hint="eastAsia" w:ascii="Times New Roman" w:hAnsi="Times New Roman" w:eastAsia="仿宋_GB2312" w:cs="Times New Roman"/>
                <w:color w:val="000000"/>
                <w:kern w:val="0"/>
                <w:sz w:val="22"/>
                <w:lang w:eastAsia="zh-CN"/>
              </w:rPr>
              <w:t>3.</w:t>
            </w: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2"/>
              </w:rPr>
              <w:t>公务接待费</w:t>
            </w:r>
          </w:p>
        </w:tc>
        <w:tc>
          <w:tcPr>
            <w:tcW w:w="1662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Times New Roman" w:hAnsi="Times New Roman" w:eastAsia="仿宋_GB2312" w:cs="Times New Roman"/>
                <w:color w:val="000000"/>
                <w:kern w:val="0"/>
                <w:sz w:val="22"/>
                <w:lang w:val="en-US" w:eastAsia="zh-CN"/>
              </w:rPr>
              <w:t>39.75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2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color w:val="000000"/>
                <w:kern w:val="0"/>
                <w:sz w:val="22"/>
                <w:lang w:val="en-US" w:eastAsia="zh-CN"/>
              </w:rPr>
              <w:t>6.55</w:t>
            </w:r>
          </w:p>
        </w:tc>
        <w:tc>
          <w:tcPr>
            <w:tcW w:w="1701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2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color w:val="000000"/>
                <w:kern w:val="0"/>
                <w:sz w:val="22"/>
                <w:lang w:val="en-US" w:eastAsia="zh-CN"/>
              </w:rPr>
              <w:t>-83.52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3740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2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2"/>
              </w:rPr>
              <w:t xml:space="preserve">      （1）国内接待费</w:t>
            </w:r>
          </w:p>
        </w:tc>
        <w:tc>
          <w:tcPr>
            <w:tcW w:w="1662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Times New Roman" w:hAnsi="Times New Roman" w:eastAsia="仿宋_GB2312" w:cs="Times New Roman"/>
                <w:color w:val="000000"/>
                <w:kern w:val="0"/>
                <w:sz w:val="22"/>
                <w:lang w:val="en-US" w:eastAsia="zh-CN"/>
              </w:rPr>
              <w:t>39.75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2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color w:val="000000"/>
                <w:kern w:val="0"/>
                <w:sz w:val="22"/>
                <w:lang w:val="en-US" w:eastAsia="zh-CN"/>
              </w:rPr>
              <w:t>6.55</w:t>
            </w:r>
          </w:p>
        </w:tc>
        <w:tc>
          <w:tcPr>
            <w:tcW w:w="1701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2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color w:val="000000"/>
                <w:kern w:val="0"/>
                <w:sz w:val="22"/>
                <w:lang w:val="en-US" w:eastAsia="zh-CN"/>
              </w:rPr>
              <w:t>-83.52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3740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2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2"/>
              </w:rPr>
              <w:t xml:space="preserve">           其中：外事接待费</w:t>
            </w:r>
          </w:p>
        </w:tc>
        <w:tc>
          <w:tcPr>
            <w:tcW w:w="1662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2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2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2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3740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2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2"/>
              </w:rPr>
              <w:t xml:space="preserve">      （2）国（境）外接待费</w:t>
            </w:r>
          </w:p>
        </w:tc>
        <w:tc>
          <w:tcPr>
            <w:tcW w:w="1662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2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2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2"/>
              </w:rPr>
            </w:pPr>
          </w:p>
        </w:tc>
      </w:tr>
    </w:tbl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53" w:lineRule="auto"/>
        <w:ind w:firstLine="440" w:firstLineChars="200"/>
        <w:textAlignment w:val="auto"/>
        <w:rPr>
          <w:rFonts w:ascii="仿宋_GB2312" w:eastAsia="仿宋_GB2312"/>
          <w:sz w:val="22"/>
          <w:szCs w:val="22"/>
        </w:rPr>
      </w:pPr>
    </w:p>
    <w:sectPr>
      <w:footerReference r:id="rId3" w:type="default"/>
      <w:pgSz w:w="11906" w:h="16838"/>
      <w:pgMar w:top="2098" w:right="1474" w:bottom="1985" w:left="1588" w:header="851" w:footer="992" w:gutter="0"/>
      <w:pgNumType w:fmt="numberInDash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仿宋_GBK">
    <w:panose1 w:val="03000509000000000000"/>
    <w:charset w:val="86"/>
    <w:family w:val="script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sdt>
    <w:sdtPr>
      <w:id w:val="397560086"/>
      <w:docPartObj>
        <w:docPartGallery w:val="autotext"/>
      </w:docPartObj>
    </w:sdtPr>
    <w:sdtEndPr>
      <w:rPr>
        <w:rFonts w:ascii="宋体" w:hAnsi="宋体" w:eastAsia="宋体"/>
        <w:sz w:val="28"/>
        <w:szCs w:val="28"/>
      </w:rPr>
    </w:sdtEndPr>
    <w:sdtContent>
      <w:p>
        <w:pPr>
          <w:pStyle w:val="2"/>
          <w:jc w:val="right"/>
          <w:rPr>
            <w:rFonts w:ascii="宋体" w:hAnsi="宋体" w:eastAsia="宋体"/>
            <w:sz w:val="28"/>
            <w:szCs w:val="28"/>
          </w:rPr>
        </w:pPr>
        <w:r>
          <w:rPr>
            <w:rFonts w:ascii="宋体" w:hAnsi="宋体" w:eastAsia="宋体"/>
            <w:sz w:val="28"/>
            <w:szCs w:val="28"/>
          </w:rPr>
          <w:fldChar w:fldCharType="begin"/>
        </w:r>
        <w:r>
          <w:rPr>
            <w:rFonts w:ascii="宋体" w:hAnsi="宋体" w:eastAsia="宋体"/>
            <w:sz w:val="28"/>
            <w:szCs w:val="28"/>
          </w:rPr>
          <w:instrText xml:space="preserve">PAGE   \* MERGEFORMAT</w:instrText>
        </w:r>
        <w:r>
          <w:rPr>
            <w:rFonts w:ascii="宋体" w:hAnsi="宋体" w:eastAsia="宋体"/>
            <w:sz w:val="28"/>
            <w:szCs w:val="28"/>
          </w:rPr>
          <w:fldChar w:fldCharType="separate"/>
        </w:r>
        <w:r>
          <w:rPr>
            <w:rFonts w:ascii="宋体" w:hAnsi="宋体" w:eastAsia="宋体"/>
            <w:sz w:val="28"/>
            <w:szCs w:val="28"/>
            <w:lang w:val="zh-CN"/>
          </w:rPr>
          <w:t>-</w:t>
        </w:r>
        <w:r>
          <w:rPr>
            <w:rFonts w:ascii="宋体" w:hAnsi="宋体" w:eastAsia="宋体"/>
            <w:sz w:val="28"/>
            <w:szCs w:val="28"/>
          </w:rPr>
          <w:t xml:space="preserve"> 1 -</w:t>
        </w:r>
        <w:r>
          <w:rPr>
            <w:rFonts w:ascii="宋体" w:hAnsi="宋体" w:eastAsia="宋体"/>
            <w:sz w:val="28"/>
            <w:szCs w:val="28"/>
          </w:rPr>
          <w:fldChar w:fldCharType="end"/>
        </w:r>
      </w:p>
    </w:sdtContent>
  </w:sdt>
  <w:p>
    <w:pPr>
      <w:pStyle w:val="2"/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WYxZGM4YjlhYTBiYjFhZjI3ZTlmMDY0NjgxMjI0MDQifQ=="/>
  </w:docVars>
  <w:rsids>
    <w:rsidRoot w:val="006312C6"/>
    <w:rsid w:val="00373267"/>
    <w:rsid w:val="006312C6"/>
    <w:rsid w:val="006801AC"/>
    <w:rsid w:val="008D6096"/>
    <w:rsid w:val="00B04FC4"/>
    <w:rsid w:val="00F1124D"/>
    <w:rsid w:val="112B61D9"/>
    <w:rsid w:val="1E8F0832"/>
    <w:rsid w:val="1F254665"/>
    <w:rsid w:val="21F507ED"/>
    <w:rsid w:val="25BF1B44"/>
    <w:rsid w:val="27181100"/>
    <w:rsid w:val="28E00F54"/>
    <w:rsid w:val="3A51615B"/>
    <w:rsid w:val="55717AA9"/>
    <w:rsid w:val="5B1A7BCE"/>
    <w:rsid w:val="637A3808"/>
    <w:rsid w:val="73835D4A"/>
    <w:rsid w:val="7C034B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7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6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6">
    <w:name w:val="页眉 Char"/>
    <w:basedOn w:val="5"/>
    <w:link w:val="3"/>
    <w:qFormat/>
    <w:uiPriority w:val="99"/>
    <w:rPr>
      <w:sz w:val="18"/>
      <w:szCs w:val="18"/>
    </w:rPr>
  </w:style>
  <w:style w:type="character" w:customStyle="1" w:styleId="7">
    <w:name w:val="页脚 Char"/>
    <w:basedOn w:val="5"/>
    <w:link w:val="2"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Microsoft</Company>
  <Pages>1</Pages>
  <Words>322</Words>
  <Characters>424</Characters>
  <Lines>4</Lines>
  <Paragraphs>1</Paragraphs>
  <TotalTime>93</TotalTime>
  <ScaleCrop>false</ScaleCrop>
  <LinksUpToDate>false</LinksUpToDate>
  <CharactersWithSpaces>465</CharactersWithSpaces>
  <Application>WPS Office_11.8.2.8506_F1E327BC-269C-435d-A152-05C5408002CA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2021-12-05T08:28:00Z</dcterms:created>
  <dc:creator>林珍宇</dc:creator>
  <cp:lastModifiedBy>THTF</cp:lastModifiedBy>
  <dcterms:modified xsi:type="dcterms:W3CDTF">2026-10-15T02:47:53Z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2052-11.8.2.8506</vt:lpwstr>
  </property>
  <property fmtid="{D5CDD505-2E9C-101B-9397-08002B2CF9AE}" pid="3" name="ICV">
    <vt:lpwstr>9736AC61A8C047A38CD17C0DF4748F18_13</vt:lpwstr>
  </property>
  <property fmtid="{D5CDD505-2E9C-101B-9397-08002B2CF9AE}" pid="4" name="KSOTemplateDocerSaveRecord">
    <vt:lpwstr>eyJoZGlkIjoiMTIxYWI2ZjcyNTlmMWVhMmY4YjU3MGFjYWRhMmJjMGYiLCJ1c2VySWQiOiIxNjM2NzcxNDUxIn0=</vt:lpwstr>
  </property>
</Properties>
</file>