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DA5FB">
      <w:pPr>
        <w:spacing w:line="600" w:lineRule="exact"/>
        <w:jc w:val="center"/>
        <w:outlineLvl w:val="0"/>
        <w:rPr>
          <w:rFonts w:ascii="方正小标宋简体" w:hAnsi="宋体" w:eastAsia="方正小标宋简体"/>
          <w:color w:val="000000"/>
          <w:sz w:val="72"/>
          <w:szCs w:val="72"/>
        </w:rPr>
      </w:pPr>
      <w:bookmarkStart w:id="0" w:name="_Toc15306267"/>
    </w:p>
    <w:p w14:paraId="24881B27">
      <w:pPr>
        <w:spacing w:line="600" w:lineRule="exact"/>
        <w:jc w:val="center"/>
        <w:outlineLvl w:val="0"/>
        <w:rPr>
          <w:rFonts w:ascii="方正小标宋简体" w:hAnsi="宋体" w:eastAsia="方正小标宋简体"/>
          <w:color w:val="000000"/>
          <w:sz w:val="72"/>
          <w:szCs w:val="72"/>
        </w:rPr>
      </w:pPr>
    </w:p>
    <w:p w14:paraId="09073806">
      <w:pPr>
        <w:spacing w:line="600" w:lineRule="exact"/>
        <w:jc w:val="center"/>
        <w:outlineLvl w:val="0"/>
        <w:rPr>
          <w:rFonts w:ascii="方正小标宋简体" w:hAnsi="宋体" w:eastAsia="方正小标宋简体"/>
          <w:color w:val="000000"/>
          <w:sz w:val="72"/>
          <w:szCs w:val="72"/>
        </w:rPr>
      </w:pPr>
    </w:p>
    <w:p w14:paraId="489998F3">
      <w:pPr>
        <w:spacing w:line="600" w:lineRule="exact"/>
        <w:jc w:val="center"/>
        <w:outlineLvl w:val="0"/>
        <w:rPr>
          <w:rFonts w:ascii="方正小标宋简体" w:hAnsi="宋体" w:eastAsia="方正小标宋简体"/>
          <w:color w:val="000000"/>
          <w:sz w:val="72"/>
          <w:szCs w:val="72"/>
        </w:rPr>
      </w:pPr>
    </w:p>
    <w:p w14:paraId="4C7235BE">
      <w:pPr>
        <w:adjustRightInd w:val="0"/>
        <w:snapToGrid w:val="0"/>
        <w:spacing w:line="360" w:lineRule="auto"/>
        <w:jc w:val="center"/>
        <w:outlineLvl w:val="0"/>
        <w:rPr>
          <w:rFonts w:ascii="黑体" w:hAnsi="黑体" w:eastAsia="黑体"/>
          <w:color w:val="000000"/>
          <w:sz w:val="52"/>
          <w:szCs w:val="52"/>
        </w:rPr>
      </w:pPr>
      <w:bookmarkStart w:id="1" w:name="_Toc15396597"/>
      <w:bookmarkStart w:id="2" w:name="_Toc15377193"/>
      <w:bookmarkStart w:id="3" w:name="_Toc15377425"/>
      <w:bookmarkStart w:id="4" w:name="_Toc15396475"/>
      <w:bookmarkStart w:id="5" w:name="_Toc15378441"/>
      <w:r>
        <w:rPr>
          <w:rFonts w:ascii="黑体" w:hAnsi="黑体" w:eastAsia="黑体"/>
          <w:color w:val="000000"/>
          <w:sz w:val="52"/>
          <w:szCs w:val="52"/>
        </w:rPr>
        <w:t>201</w:t>
      </w:r>
      <w:r>
        <w:rPr>
          <w:rFonts w:hint="eastAsia" w:ascii="黑体" w:hAnsi="黑体" w:eastAsia="黑体"/>
          <w:color w:val="000000"/>
          <w:sz w:val="52"/>
          <w:szCs w:val="52"/>
        </w:rPr>
        <w:t>9年度</w:t>
      </w:r>
      <w:bookmarkEnd w:id="1"/>
      <w:bookmarkEnd w:id="2"/>
      <w:bookmarkEnd w:id="3"/>
      <w:bookmarkEnd w:id="4"/>
      <w:bookmarkEnd w:id="5"/>
    </w:p>
    <w:p w14:paraId="0EAE60DC">
      <w:pPr>
        <w:adjustRightInd w:val="0"/>
        <w:snapToGrid w:val="0"/>
        <w:spacing w:line="360" w:lineRule="auto"/>
        <w:jc w:val="center"/>
        <w:outlineLvl w:val="0"/>
        <w:rPr>
          <w:rFonts w:ascii="黑体" w:hAnsi="黑体" w:eastAsia="黑体"/>
          <w:color w:val="000000"/>
          <w:sz w:val="52"/>
          <w:szCs w:val="52"/>
        </w:rPr>
      </w:pPr>
      <w:bookmarkStart w:id="6" w:name="_Toc15396598"/>
      <w:bookmarkStart w:id="7" w:name="_Toc15378442"/>
      <w:bookmarkStart w:id="8" w:name="_Toc15396476"/>
      <w:bookmarkStart w:id="9" w:name="_Toc15377194"/>
      <w:bookmarkStart w:id="10" w:name="_Toc15377426"/>
      <w:r>
        <w:rPr>
          <w:rFonts w:hint="eastAsia" w:ascii="黑体" w:hAnsi="黑体" w:eastAsia="黑体"/>
          <w:color w:val="000000"/>
          <w:sz w:val="52"/>
          <w:szCs w:val="52"/>
        </w:rPr>
        <w:t>四川省</w:t>
      </w:r>
      <w:bookmarkEnd w:id="0"/>
      <w:bookmarkStart w:id="11" w:name="_Toc15306268"/>
      <w:r>
        <w:rPr>
          <w:rFonts w:hint="eastAsia" w:ascii="黑体" w:hAnsi="黑体" w:eastAsia="黑体"/>
          <w:color w:val="000000"/>
          <w:sz w:val="52"/>
          <w:szCs w:val="52"/>
        </w:rPr>
        <w:t>攀枝花市西区市容环境卫生管理服务中心部门决算</w:t>
      </w:r>
      <w:bookmarkEnd w:id="6"/>
      <w:bookmarkEnd w:id="7"/>
      <w:bookmarkEnd w:id="8"/>
      <w:bookmarkEnd w:id="9"/>
      <w:bookmarkEnd w:id="10"/>
      <w:bookmarkEnd w:id="11"/>
    </w:p>
    <w:p w14:paraId="78AA071D">
      <w:pPr>
        <w:adjustRightInd w:val="0"/>
        <w:snapToGrid w:val="0"/>
        <w:spacing w:line="360" w:lineRule="auto"/>
        <w:jc w:val="center"/>
        <w:outlineLvl w:val="0"/>
        <w:rPr>
          <w:rFonts w:ascii="方正小标宋简体" w:hAnsi="宋体" w:eastAsia="方正小标宋简体"/>
          <w:color w:val="000000"/>
          <w:sz w:val="52"/>
          <w:szCs w:val="52"/>
        </w:rPr>
      </w:pPr>
    </w:p>
    <w:p w14:paraId="3F7F5A73">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14:paraId="1B8A8A22">
      <w:pPr>
        <w:widowControl/>
        <w:jc w:val="center"/>
        <w:rPr>
          <w:rFonts w:ascii="黑体" w:hAnsi="黑体" w:eastAsia="黑体" w:cstheme="minorBidi"/>
          <w:sz w:val="28"/>
          <w:szCs w:val="28"/>
        </w:rPr>
      </w:pPr>
    </w:p>
    <w:p w14:paraId="3ABBEEF3">
      <w:pPr>
        <w:pStyle w:val="11"/>
      </w:pPr>
      <w:r>
        <w:rPr>
          <w:rFonts w:hint="eastAsia"/>
        </w:rPr>
        <w:t>公开时间：2020年11月24日</w:t>
      </w:r>
    </w:p>
    <w:p w14:paraId="4F6007E4"/>
    <w:p w14:paraId="35040933">
      <w:pPr>
        <w:pStyle w:val="11"/>
        <w:adjustRightInd w:val="0"/>
        <w:snapToGrid w:val="0"/>
        <w:spacing w:before="0" w:line="440" w:lineRule="exact"/>
        <w:jc w:val="both"/>
        <w:rPr>
          <w:rFonts w:cstheme="minorBidi"/>
          <w:sz w:val="24"/>
          <w:szCs w:val="24"/>
        </w:rPr>
      </w:pPr>
      <w:r>
        <w:rPr>
          <w:rFonts w:hint="eastAsia"/>
          <w:sz w:val="24"/>
        </w:rPr>
        <w:t>第一部分部门概况</w:t>
      </w:r>
    </w:p>
    <w:p w14:paraId="35869BDB">
      <w:pPr>
        <w:pStyle w:val="12"/>
        <w:adjustRightInd w:val="0"/>
        <w:snapToGrid w:val="0"/>
        <w:spacing w:line="440" w:lineRule="exact"/>
        <w:jc w:val="right"/>
        <w:rPr>
          <w:rFonts w:ascii="仿宋" w:hAnsi="仿宋"/>
          <w:sz w:val="24"/>
        </w:rPr>
      </w:pPr>
      <w:r>
        <w:rPr>
          <w:rFonts w:hint="eastAsia"/>
          <w:sz w:val="24"/>
        </w:rPr>
        <w:t>一、基本职能及主要工作.................................................................................4页</w:t>
      </w:r>
    </w:p>
    <w:p w14:paraId="18CBA898">
      <w:pPr>
        <w:pStyle w:val="12"/>
        <w:adjustRightInd w:val="0"/>
        <w:snapToGrid w:val="0"/>
        <w:spacing w:line="440" w:lineRule="exact"/>
        <w:jc w:val="right"/>
        <w:rPr>
          <w:rFonts w:ascii="仿宋" w:hAnsi="仿宋" w:cstheme="minorBidi"/>
          <w:sz w:val="24"/>
        </w:rPr>
      </w:pPr>
      <w:r>
        <w:rPr>
          <w:rFonts w:hint="eastAsia"/>
          <w:sz w:val="24"/>
        </w:rPr>
        <w:t>二、机构设置.....................................................................................................4页</w:t>
      </w:r>
    </w:p>
    <w:p w14:paraId="74CEBAC5">
      <w:pPr>
        <w:pStyle w:val="11"/>
        <w:adjustRightInd w:val="0"/>
        <w:snapToGrid w:val="0"/>
        <w:spacing w:before="0" w:line="440" w:lineRule="exact"/>
        <w:jc w:val="right"/>
        <w:rPr>
          <w:sz w:val="24"/>
          <w:szCs w:val="24"/>
        </w:rPr>
      </w:pPr>
      <w:r>
        <w:rPr>
          <w:rFonts w:hint="eastAsia"/>
          <w:sz w:val="24"/>
        </w:rPr>
        <w:t>第二部分度部门决算情况说明.......................................5页</w:t>
      </w:r>
    </w:p>
    <w:p w14:paraId="66EA2802">
      <w:pPr>
        <w:pStyle w:val="12"/>
        <w:adjustRightInd w:val="0"/>
        <w:snapToGrid w:val="0"/>
        <w:spacing w:line="440" w:lineRule="exact"/>
        <w:jc w:val="right"/>
        <w:rPr>
          <w:rFonts w:ascii="仿宋" w:hAnsi="仿宋" w:cstheme="minorBidi"/>
          <w:sz w:val="24"/>
        </w:rPr>
      </w:pPr>
      <w:r>
        <w:rPr>
          <w:rFonts w:hint="eastAsia"/>
          <w:sz w:val="24"/>
        </w:rPr>
        <w:t>一、收入支出决算总体情况说明....................................................................5页</w:t>
      </w:r>
    </w:p>
    <w:p w14:paraId="48E12DBF">
      <w:pPr>
        <w:pStyle w:val="12"/>
        <w:adjustRightInd w:val="0"/>
        <w:snapToGrid w:val="0"/>
        <w:spacing w:line="440" w:lineRule="exact"/>
        <w:jc w:val="right"/>
        <w:rPr>
          <w:rFonts w:ascii="仿宋" w:hAnsi="仿宋" w:cstheme="minorBidi"/>
          <w:sz w:val="24"/>
        </w:rPr>
      </w:pPr>
      <w:r>
        <w:rPr>
          <w:rFonts w:hint="eastAsia"/>
          <w:sz w:val="24"/>
        </w:rPr>
        <w:t>二、收入决算情况说明.....................................................................................5页</w:t>
      </w:r>
    </w:p>
    <w:p w14:paraId="5C47B8B2">
      <w:pPr>
        <w:pStyle w:val="12"/>
        <w:adjustRightInd w:val="0"/>
        <w:snapToGrid w:val="0"/>
        <w:spacing w:line="440" w:lineRule="exact"/>
        <w:jc w:val="right"/>
        <w:rPr>
          <w:rFonts w:ascii="仿宋" w:hAnsi="仿宋" w:cstheme="minorBidi"/>
          <w:sz w:val="24"/>
        </w:rPr>
      </w:pPr>
      <w:r>
        <w:rPr>
          <w:rFonts w:hint="eastAsia"/>
          <w:sz w:val="24"/>
        </w:rPr>
        <w:t>三、支出决算情况说明....................................................................................6页</w:t>
      </w:r>
    </w:p>
    <w:p w14:paraId="6CFCAE16">
      <w:pPr>
        <w:pStyle w:val="12"/>
        <w:adjustRightInd w:val="0"/>
        <w:snapToGrid w:val="0"/>
        <w:spacing w:line="440" w:lineRule="exact"/>
        <w:jc w:val="right"/>
        <w:rPr>
          <w:rFonts w:ascii="仿宋" w:hAnsi="仿宋" w:cstheme="minorBidi"/>
          <w:sz w:val="24"/>
        </w:rPr>
      </w:pPr>
      <w:r>
        <w:rPr>
          <w:rFonts w:hint="eastAsia"/>
          <w:sz w:val="24"/>
        </w:rPr>
        <w:t>四、财政拨款收入支出决算总体情况说明....................................................7页</w:t>
      </w:r>
    </w:p>
    <w:p w14:paraId="5290DC41">
      <w:pPr>
        <w:pStyle w:val="12"/>
        <w:adjustRightInd w:val="0"/>
        <w:snapToGrid w:val="0"/>
        <w:spacing w:line="440" w:lineRule="exact"/>
        <w:jc w:val="right"/>
        <w:rPr>
          <w:rFonts w:ascii="仿宋" w:hAnsi="仿宋" w:cstheme="minorBidi"/>
          <w:sz w:val="24"/>
        </w:rPr>
      </w:pPr>
      <w:r>
        <w:rPr>
          <w:rFonts w:hint="eastAsia"/>
          <w:sz w:val="24"/>
        </w:rPr>
        <w:t>五、一般公共预算财政拨款支出决算情况说明............................................7页</w:t>
      </w:r>
    </w:p>
    <w:p w14:paraId="3D8B901E">
      <w:pPr>
        <w:pStyle w:val="12"/>
        <w:adjustRightInd w:val="0"/>
        <w:snapToGrid w:val="0"/>
        <w:spacing w:line="440" w:lineRule="exact"/>
        <w:jc w:val="right"/>
        <w:rPr>
          <w:rFonts w:ascii="仿宋" w:hAnsi="仿宋" w:cstheme="minorBidi"/>
          <w:sz w:val="24"/>
        </w:rPr>
      </w:pPr>
      <w:r>
        <w:rPr>
          <w:rFonts w:hint="eastAsia"/>
          <w:sz w:val="24"/>
        </w:rPr>
        <w:t>六、一般公共预算财政拨款基本支出决算情况说明....................................9页</w:t>
      </w:r>
    </w:p>
    <w:p w14:paraId="56B55FEF">
      <w:pPr>
        <w:pStyle w:val="12"/>
        <w:adjustRightInd w:val="0"/>
        <w:snapToGrid w:val="0"/>
        <w:spacing w:line="440" w:lineRule="exact"/>
        <w:jc w:val="right"/>
        <w:rPr>
          <w:rFonts w:ascii="仿宋" w:hAnsi="仿宋" w:cstheme="minorBidi"/>
          <w:sz w:val="24"/>
        </w:rPr>
      </w:pPr>
      <w:r>
        <w:rPr>
          <w:rFonts w:hint="eastAsia"/>
          <w:sz w:val="24"/>
        </w:rPr>
        <w:t>七、</w:t>
      </w:r>
      <w:r>
        <w:rPr>
          <w:sz w:val="24"/>
        </w:rPr>
        <w:t>“</w:t>
      </w:r>
      <w:r>
        <w:rPr>
          <w:rFonts w:hint="eastAsia"/>
          <w:sz w:val="24"/>
        </w:rPr>
        <w:t>三公”经费财政拨款支出决算情况说明.............................................10页</w:t>
      </w:r>
    </w:p>
    <w:p w14:paraId="7319E4AF">
      <w:pPr>
        <w:pStyle w:val="12"/>
        <w:adjustRightInd w:val="0"/>
        <w:snapToGrid w:val="0"/>
        <w:spacing w:line="440" w:lineRule="exact"/>
        <w:jc w:val="right"/>
        <w:rPr>
          <w:rFonts w:ascii="仿宋" w:hAnsi="仿宋" w:cstheme="minorBidi"/>
          <w:sz w:val="24"/>
        </w:rPr>
      </w:pPr>
      <w:r>
        <w:rPr>
          <w:rFonts w:hint="eastAsia"/>
          <w:sz w:val="24"/>
        </w:rPr>
        <w:t>八、政府性基金预算支出决算情况说明......................................................11页</w:t>
      </w:r>
    </w:p>
    <w:p w14:paraId="02822B02">
      <w:pPr>
        <w:pStyle w:val="12"/>
        <w:adjustRightInd w:val="0"/>
        <w:snapToGrid w:val="0"/>
        <w:spacing w:line="440" w:lineRule="exact"/>
        <w:ind w:leftChars="0"/>
        <w:jc w:val="right"/>
        <w:rPr>
          <w:rFonts w:ascii="仿宋" w:hAnsi="仿宋"/>
          <w:sz w:val="24"/>
        </w:rPr>
      </w:pPr>
      <w:r>
        <w:rPr>
          <w:rFonts w:hint="eastAsia" w:ascii="仿宋" w:hAnsi="仿宋" w:eastAsia="仿宋"/>
          <w:sz w:val="24"/>
        </w:rPr>
        <w:t>九、</w:t>
      </w:r>
      <w:r>
        <w:rPr>
          <w:sz w:val="24"/>
        </w:rPr>
        <w:t xml:space="preserve"> 国</w:t>
      </w:r>
      <w:r>
        <w:rPr>
          <w:rFonts w:hint="eastAsia"/>
          <w:sz w:val="24"/>
        </w:rPr>
        <w:t>有资本经营预算支出决算情况说明................................................11页</w:t>
      </w:r>
    </w:p>
    <w:p w14:paraId="1D959FBA">
      <w:pPr>
        <w:adjustRightInd w:val="0"/>
        <w:snapToGrid w:val="0"/>
        <w:spacing w:line="440" w:lineRule="exact"/>
        <w:ind w:firstLine="480" w:firstLineChars="200"/>
        <w:jc w:val="right"/>
        <w:rPr>
          <w:rFonts w:cstheme="minorBidi"/>
          <w:sz w:val="24"/>
        </w:rPr>
      </w:pPr>
      <w:r>
        <w:rPr>
          <w:rStyle w:val="16"/>
          <w:rFonts w:hint="eastAsia" w:ascii="仿宋" w:hAnsi="仿宋" w:eastAsia="仿宋"/>
          <w:color w:val="000000" w:themeColor="text1"/>
          <w:sz w:val="24"/>
          <w:u w:val="none"/>
        </w:rPr>
        <w:t>十、</w:t>
      </w:r>
      <w:r>
        <w:rPr>
          <w:rFonts w:hint="eastAsia"/>
          <w:sz w:val="24"/>
        </w:rPr>
        <w:t>其他重要事项的情况说明....................................................................11页</w:t>
      </w:r>
      <w:r>
        <w:rPr>
          <w:rFonts w:ascii="仿宋" w:hAnsi="仿宋" w:eastAsia="仿宋"/>
          <w:sz w:val="24"/>
        </w:rPr>
        <w:tab/>
      </w:r>
      <w:r>
        <w:rPr>
          <w:rFonts w:hint="eastAsia"/>
          <w:sz w:val="24"/>
        </w:rPr>
        <w:t>第三部分名词解释.......................................................................................17页</w:t>
      </w:r>
    </w:p>
    <w:p w14:paraId="119A56B3">
      <w:pPr>
        <w:pStyle w:val="11"/>
        <w:adjustRightInd w:val="0"/>
        <w:snapToGrid w:val="0"/>
        <w:spacing w:before="0" w:line="440" w:lineRule="exact"/>
        <w:jc w:val="right"/>
        <w:rPr>
          <w:rFonts w:cstheme="minorBidi"/>
          <w:sz w:val="24"/>
          <w:szCs w:val="24"/>
        </w:rPr>
      </w:pPr>
      <w:r>
        <w:rPr>
          <w:rFonts w:hint="eastAsia"/>
          <w:sz w:val="24"/>
        </w:rPr>
        <w:t>第四部分附件...................................................20页</w:t>
      </w:r>
    </w:p>
    <w:p w14:paraId="09DCDF69">
      <w:pPr>
        <w:pStyle w:val="12"/>
        <w:adjustRightInd w:val="0"/>
        <w:snapToGrid w:val="0"/>
        <w:spacing w:line="440" w:lineRule="exact"/>
        <w:jc w:val="right"/>
        <w:rPr>
          <w:rFonts w:ascii="仿宋" w:hAnsi="仿宋" w:cstheme="minorBidi"/>
          <w:sz w:val="24"/>
        </w:rPr>
      </w:pPr>
      <w:r>
        <w:rPr>
          <w:rFonts w:hint="eastAsia"/>
          <w:sz w:val="24"/>
        </w:rPr>
        <w:t>附件</w:t>
      </w:r>
      <w:r>
        <w:rPr>
          <w:sz w:val="24"/>
        </w:rPr>
        <w:t>1</w:t>
      </w:r>
      <w:r>
        <w:rPr>
          <w:rFonts w:hint="eastAsia"/>
          <w:sz w:val="24"/>
        </w:rPr>
        <w:t>..............................................................................................................20页</w:t>
      </w:r>
    </w:p>
    <w:p w14:paraId="2D9EA5A4">
      <w:pPr>
        <w:pStyle w:val="12"/>
        <w:adjustRightInd w:val="0"/>
        <w:snapToGrid w:val="0"/>
        <w:spacing w:line="440" w:lineRule="exact"/>
        <w:jc w:val="right"/>
        <w:rPr>
          <w:rFonts w:ascii="仿宋" w:hAnsi="仿宋" w:cstheme="minorBidi"/>
          <w:sz w:val="24"/>
        </w:rPr>
      </w:pPr>
      <w:r>
        <w:rPr>
          <w:rFonts w:hint="eastAsia"/>
          <w:sz w:val="24"/>
        </w:rPr>
        <w:t>附件</w:t>
      </w:r>
      <w:r>
        <w:rPr>
          <w:sz w:val="24"/>
        </w:rPr>
        <w:t>2</w:t>
      </w:r>
      <w:r>
        <w:rPr>
          <w:rFonts w:hint="eastAsia"/>
          <w:sz w:val="24"/>
        </w:rPr>
        <w:t>.............................................................................................................23页</w:t>
      </w:r>
    </w:p>
    <w:p w14:paraId="22C14C8C">
      <w:pPr>
        <w:pStyle w:val="11"/>
        <w:adjustRightInd w:val="0"/>
        <w:snapToGrid w:val="0"/>
        <w:spacing w:before="0" w:line="440" w:lineRule="exact"/>
        <w:jc w:val="right"/>
        <w:rPr>
          <w:rFonts w:cstheme="minorBidi"/>
          <w:sz w:val="24"/>
          <w:szCs w:val="24"/>
        </w:rPr>
      </w:pPr>
      <w:r>
        <w:rPr>
          <w:rFonts w:hint="eastAsia"/>
          <w:sz w:val="24"/>
        </w:rPr>
        <w:t>第五部分附表...................................................30页</w:t>
      </w:r>
    </w:p>
    <w:p w14:paraId="42980FC7">
      <w:pPr>
        <w:pStyle w:val="12"/>
        <w:adjustRightInd w:val="0"/>
        <w:snapToGrid w:val="0"/>
        <w:spacing w:line="440" w:lineRule="exact"/>
        <w:jc w:val="right"/>
        <w:rPr>
          <w:rFonts w:ascii="仿宋" w:hAnsi="仿宋" w:cstheme="minorBidi"/>
          <w:sz w:val="24"/>
        </w:rPr>
      </w:pPr>
      <w:r>
        <w:rPr>
          <w:rFonts w:hint="eastAsia" w:ascii="仿宋" w:hAnsi="仿宋" w:eastAsia="仿宋"/>
          <w:sz w:val="24"/>
        </w:rPr>
        <w:t>一、</w:t>
      </w:r>
      <w:r>
        <w:rPr>
          <w:rFonts w:hint="eastAsia"/>
          <w:sz w:val="24"/>
        </w:rPr>
        <w:t>收入支出决算总表................................................................................30页</w:t>
      </w:r>
    </w:p>
    <w:p w14:paraId="088051B2">
      <w:pPr>
        <w:pStyle w:val="12"/>
        <w:adjustRightInd w:val="0"/>
        <w:snapToGrid w:val="0"/>
        <w:spacing w:line="440" w:lineRule="exact"/>
        <w:jc w:val="right"/>
        <w:rPr>
          <w:rFonts w:ascii="仿宋" w:hAnsi="仿宋" w:cstheme="minorBidi"/>
          <w:sz w:val="24"/>
        </w:rPr>
      </w:pPr>
      <w:r>
        <w:rPr>
          <w:rFonts w:hint="eastAsia" w:ascii="仿宋" w:hAnsi="仿宋" w:eastAsia="仿宋"/>
          <w:sz w:val="24"/>
        </w:rPr>
        <w:t>二、</w:t>
      </w:r>
      <w:r>
        <w:rPr>
          <w:rFonts w:hint="eastAsia"/>
          <w:sz w:val="24"/>
        </w:rPr>
        <w:t>收入</w:t>
      </w:r>
      <w:r>
        <w:rPr>
          <w:rFonts w:hint="eastAsia" w:ascii="仿宋" w:hAnsi="仿宋" w:eastAsia="仿宋"/>
          <w:sz w:val="24"/>
        </w:rPr>
        <w:t>决算</w:t>
      </w:r>
      <w:r>
        <w:rPr>
          <w:rFonts w:hint="eastAsia"/>
          <w:sz w:val="24"/>
        </w:rPr>
        <w:t>表.............................................................................................30页</w:t>
      </w:r>
    </w:p>
    <w:p w14:paraId="26B45A1E">
      <w:pPr>
        <w:pStyle w:val="12"/>
        <w:adjustRightInd w:val="0"/>
        <w:snapToGrid w:val="0"/>
        <w:spacing w:line="440" w:lineRule="exact"/>
        <w:jc w:val="right"/>
        <w:rPr>
          <w:rFonts w:ascii="仿宋" w:hAnsi="仿宋" w:cstheme="minorBidi"/>
          <w:sz w:val="24"/>
        </w:rPr>
      </w:pPr>
      <w:r>
        <w:rPr>
          <w:rFonts w:hint="eastAsia" w:ascii="仿宋" w:hAnsi="仿宋" w:eastAsia="仿宋"/>
          <w:sz w:val="24"/>
        </w:rPr>
        <w:t>三、</w:t>
      </w:r>
      <w:r>
        <w:rPr>
          <w:rFonts w:hint="eastAsia"/>
          <w:sz w:val="24"/>
        </w:rPr>
        <w:t>支出</w:t>
      </w:r>
      <w:r>
        <w:rPr>
          <w:rFonts w:hint="eastAsia" w:ascii="仿宋" w:hAnsi="仿宋" w:eastAsia="仿宋"/>
          <w:sz w:val="24"/>
        </w:rPr>
        <w:t>决算</w:t>
      </w:r>
      <w:r>
        <w:rPr>
          <w:rFonts w:hint="eastAsia"/>
          <w:sz w:val="24"/>
        </w:rPr>
        <w:t>表............................................................................................30页</w:t>
      </w:r>
    </w:p>
    <w:p w14:paraId="38D5E4A3">
      <w:pPr>
        <w:pStyle w:val="12"/>
        <w:adjustRightInd w:val="0"/>
        <w:snapToGrid w:val="0"/>
        <w:spacing w:line="440" w:lineRule="exact"/>
        <w:jc w:val="right"/>
        <w:rPr>
          <w:rFonts w:ascii="仿宋" w:hAnsi="仿宋" w:cstheme="minorBidi"/>
          <w:sz w:val="24"/>
        </w:rPr>
      </w:pPr>
      <w:r>
        <w:rPr>
          <w:rFonts w:hint="eastAsia" w:ascii="仿宋" w:hAnsi="仿宋" w:eastAsia="仿宋"/>
          <w:sz w:val="24"/>
        </w:rPr>
        <w:t>四、</w:t>
      </w:r>
      <w:r>
        <w:rPr>
          <w:rFonts w:hint="eastAsia"/>
          <w:sz w:val="24"/>
        </w:rPr>
        <w:t>财政拨款收入支出决算总表................................................................30页</w:t>
      </w:r>
    </w:p>
    <w:p w14:paraId="7DBE9187">
      <w:pPr>
        <w:pStyle w:val="12"/>
        <w:adjustRightInd w:val="0"/>
        <w:snapToGrid w:val="0"/>
        <w:spacing w:line="440" w:lineRule="exact"/>
        <w:jc w:val="right"/>
        <w:rPr>
          <w:rFonts w:ascii="仿宋" w:hAnsi="仿宋" w:eastAsia="仿宋"/>
          <w:sz w:val="24"/>
        </w:rPr>
      </w:pPr>
      <w:r>
        <w:rPr>
          <w:rFonts w:hint="eastAsia" w:ascii="仿宋" w:hAnsi="仿宋" w:eastAsia="仿宋"/>
          <w:sz w:val="24"/>
        </w:rPr>
        <w:t>五、财政拨款支出决算明细表..................................</w:t>
      </w:r>
      <w:r>
        <w:rPr>
          <w:rFonts w:hint="eastAsia"/>
          <w:sz w:val="24"/>
        </w:rPr>
        <w:t>30</w:t>
      </w:r>
      <w:r>
        <w:rPr>
          <w:rFonts w:hint="eastAsia" w:ascii="仿宋" w:hAnsi="仿宋" w:eastAsia="仿宋"/>
          <w:sz w:val="24"/>
        </w:rPr>
        <w:t>页</w:t>
      </w:r>
    </w:p>
    <w:p w14:paraId="790FE52E">
      <w:pPr>
        <w:pStyle w:val="12"/>
        <w:adjustRightInd w:val="0"/>
        <w:snapToGrid w:val="0"/>
        <w:spacing w:line="440" w:lineRule="exact"/>
        <w:jc w:val="right"/>
        <w:rPr>
          <w:rFonts w:ascii="仿宋" w:hAnsi="仿宋" w:cstheme="minorBidi"/>
          <w:sz w:val="24"/>
        </w:rPr>
      </w:pPr>
      <w:r>
        <w:rPr>
          <w:rFonts w:hint="eastAsia" w:ascii="仿宋" w:hAnsi="仿宋" w:eastAsia="仿宋"/>
          <w:sz w:val="24"/>
        </w:rPr>
        <w:t>六、</w:t>
      </w:r>
      <w:r>
        <w:rPr>
          <w:rFonts w:hint="eastAsia"/>
          <w:sz w:val="24"/>
        </w:rPr>
        <w:t>一般公共预算财政拨款支出决算表....................................................30页</w:t>
      </w:r>
    </w:p>
    <w:p w14:paraId="40B93BD1">
      <w:pPr>
        <w:pStyle w:val="12"/>
        <w:adjustRightInd w:val="0"/>
        <w:snapToGrid w:val="0"/>
        <w:spacing w:line="440" w:lineRule="exact"/>
        <w:jc w:val="right"/>
        <w:rPr>
          <w:rFonts w:ascii="仿宋" w:hAnsi="仿宋" w:cstheme="minorBidi"/>
          <w:sz w:val="24"/>
        </w:rPr>
      </w:pPr>
      <w:r>
        <w:rPr>
          <w:rFonts w:hint="eastAsia" w:ascii="仿宋" w:hAnsi="仿宋" w:eastAsia="仿宋"/>
          <w:sz w:val="24"/>
        </w:rPr>
        <w:t>七、</w:t>
      </w:r>
      <w:r>
        <w:rPr>
          <w:rFonts w:hint="eastAsia"/>
          <w:sz w:val="24"/>
        </w:rPr>
        <w:t>一般公共预算财政拨款支出决算明细表............................................30页</w:t>
      </w:r>
    </w:p>
    <w:p w14:paraId="7C34A6D6">
      <w:pPr>
        <w:pStyle w:val="12"/>
        <w:adjustRightInd w:val="0"/>
        <w:snapToGrid w:val="0"/>
        <w:spacing w:line="440" w:lineRule="exact"/>
        <w:jc w:val="right"/>
        <w:rPr>
          <w:rFonts w:ascii="仿宋" w:hAnsi="仿宋" w:cstheme="minorBidi"/>
          <w:sz w:val="24"/>
        </w:rPr>
      </w:pPr>
      <w:r>
        <w:rPr>
          <w:rFonts w:hint="eastAsia" w:ascii="仿宋" w:hAnsi="仿宋" w:eastAsia="仿宋"/>
          <w:sz w:val="24"/>
        </w:rPr>
        <w:t>八、</w:t>
      </w:r>
      <w:r>
        <w:rPr>
          <w:rFonts w:hint="eastAsia"/>
          <w:sz w:val="24"/>
        </w:rPr>
        <w:t>一般公共预算财政拨款基本支出决算表...............................................30页</w:t>
      </w:r>
    </w:p>
    <w:p w14:paraId="179BF5ED">
      <w:pPr>
        <w:pStyle w:val="12"/>
        <w:adjustRightInd w:val="0"/>
        <w:snapToGrid w:val="0"/>
        <w:spacing w:line="440" w:lineRule="exact"/>
        <w:jc w:val="right"/>
        <w:rPr>
          <w:rFonts w:ascii="仿宋" w:hAnsi="仿宋" w:cstheme="minorBidi"/>
          <w:sz w:val="24"/>
        </w:rPr>
      </w:pPr>
      <w:r>
        <w:rPr>
          <w:rFonts w:hint="eastAsia" w:ascii="仿宋" w:hAnsi="仿宋" w:eastAsia="仿宋"/>
          <w:sz w:val="24"/>
        </w:rPr>
        <w:t>九、</w:t>
      </w:r>
      <w:r>
        <w:rPr>
          <w:rFonts w:hint="eastAsia"/>
          <w:sz w:val="24"/>
        </w:rPr>
        <w:t>一般公共预算财政拨款项目支出决算表...............................................30页</w:t>
      </w:r>
    </w:p>
    <w:p w14:paraId="1E6E5A47">
      <w:pPr>
        <w:pStyle w:val="12"/>
        <w:adjustRightInd w:val="0"/>
        <w:snapToGrid w:val="0"/>
        <w:spacing w:line="440" w:lineRule="exact"/>
        <w:jc w:val="right"/>
        <w:rPr>
          <w:rFonts w:ascii="仿宋" w:hAnsi="仿宋" w:cstheme="minorBidi"/>
          <w:sz w:val="24"/>
        </w:rPr>
      </w:pPr>
      <w:r>
        <w:rPr>
          <w:rFonts w:hint="eastAsia" w:ascii="仿宋" w:hAnsi="仿宋" w:eastAsia="仿宋"/>
          <w:sz w:val="24"/>
        </w:rPr>
        <w:t>十、</w:t>
      </w:r>
      <w:r>
        <w:rPr>
          <w:rFonts w:hint="eastAsia"/>
          <w:sz w:val="24"/>
        </w:rPr>
        <w:t>一般公共预算财政拨款“三公”经费支出决算表..............................30页</w:t>
      </w:r>
    </w:p>
    <w:p w14:paraId="48748308">
      <w:pPr>
        <w:pStyle w:val="12"/>
        <w:adjustRightInd w:val="0"/>
        <w:snapToGrid w:val="0"/>
        <w:spacing w:line="440" w:lineRule="exact"/>
        <w:jc w:val="right"/>
        <w:rPr>
          <w:rFonts w:hint="eastAsia"/>
          <w:sz w:val="24"/>
        </w:rPr>
      </w:pPr>
      <w:r>
        <w:rPr>
          <w:rFonts w:hint="eastAsia" w:ascii="仿宋" w:hAnsi="仿宋" w:eastAsia="仿宋"/>
          <w:sz w:val="24"/>
        </w:rPr>
        <w:t>十一、</w:t>
      </w:r>
      <w:r>
        <w:rPr>
          <w:rFonts w:hint="eastAsia"/>
          <w:sz w:val="24"/>
        </w:rPr>
        <w:t>政府性基金预算财政拨款收入支出决算表.......................................30页</w:t>
      </w:r>
      <w:r>
        <w:rPr>
          <w:rFonts w:hint="eastAsia" w:ascii="仿宋" w:hAnsi="仿宋" w:eastAsia="仿宋"/>
          <w:sz w:val="24"/>
        </w:rPr>
        <w:t>十二、</w:t>
      </w:r>
      <w:r>
        <w:rPr>
          <w:rFonts w:hint="eastAsia"/>
          <w:sz w:val="24"/>
        </w:rPr>
        <w:t>政府性基金预算财政拨款“三公”经费支出决算表......................30页</w:t>
      </w:r>
      <w:r>
        <w:rPr>
          <w:rFonts w:hint="eastAsia" w:ascii="仿宋" w:hAnsi="仿宋" w:eastAsia="仿宋"/>
          <w:sz w:val="24"/>
        </w:rPr>
        <w:t>十三、</w:t>
      </w:r>
      <w:r>
        <w:rPr>
          <w:rFonts w:hint="eastAsia"/>
          <w:sz w:val="24"/>
        </w:rPr>
        <w:t>国有资本经营预算支出决算表..........................................................30页</w:t>
      </w:r>
      <w:bookmarkStart w:id="12" w:name="_Toc15396599"/>
      <w:bookmarkStart w:id="13" w:name="_Toc15377196"/>
    </w:p>
    <w:p w14:paraId="72B78462">
      <w:pPr>
        <w:rPr>
          <w:rFonts w:hint="eastAsia"/>
          <w:sz w:val="24"/>
        </w:rPr>
      </w:pPr>
    </w:p>
    <w:p w14:paraId="06D5B31C">
      <w:pPr>
        <w:rPr>
          <w:rFonts w:hint="eastAsia"/>
          <w:sz w:val="24"/>
        </w:rPr>
      </w:pPr>
    </w:p>
    <w:p w14:paraId="5EF65F4C">
      <w:pPr>
        <w:rPr>
          <w:rFonts w:hint="eastAsia"/>
          <w:sz w:val="24"/>
        </w:rPr>
      </w:pPr>
    </w:p>
    <w:p w14:paraId="31561CD5">
      <w:pPr>
        <w:rPr>
          <w:rFonts w:hint="eastAsia"/>
          <w:sz w:val="24"/>
        </w:rPr>
      </w:pPr>
    </w:p>
    <w:p w14:paraId="341F9A16">
      <w:pPr>
        <w:rPr>
          <w:rFonts w:hint="eastAsia"/>
          <w:sz w:val="24"/>
        </w:rPr>
      </w:pPr>
    </w:p>
    <w:p w14:paraId="23EDAF42">
      <w:pPr>
        <w:rPr>
          <w:rFonts w:hint="eastAsia"/>
          <w:sz w:val="24"/>
        </w:rPr>
      </w:pPr>
    </w:p>
    <w:p w14:paraId="6CBE6CEF">
      <w:pPr>
        <w:rPr>
          <w:rFonts w:hint="eastAsia"/>
          <w:sz w:val="24"/>
        </w:rPr>
      </w:pPr>
    </w:p>
    <w:p w14:paraId="2112BDCF">
      <w:pPr>
        <w:rPr>
          <w:rFonts w:hint="eastAsia"/>
          <w:sz w:val="24"/>
        </w:rPr>
      </w:pPr>
    </w:p>
    <w:p w14:paraId="39581030">
      <w:pPr>
        <w:rPr>
          <w:rFonts w:hint="eastAsia"/>
          <w:sz w:val="24"/>
        </w:rPr>
      </w:pPr>
    </w:p>
    <w:p w14:paraId="436F0EF8">
      <w:pPr>
        <w:rPr>
          <w:rFonts w:hint="eastAsia"/>
          <w:sz w:val="24"/>
        </w:rPr>
      </w:pPr>
    </w:p>
    <w:p w14:paraId="1C16B71F">
      <w:pPr>
        <w:rPr>
          <w:rFonts w:hint="eastAsia"/>
          <w:sz w:val="24"/>
        </w:rPr>
      </w:pPr>
    </w:p>
    <w:p w14:paraId="2F2F114A">
      <w:pPr>
        <w:rPr>
          <w:rFonts w:hint="eastAsia"/>
          <w:sz w:val="24"/>
        </w:rPr>
      </w:pPr>
    </w:p>
    <w:p w14:paraId="38830CB0">
      <w:pPr>
        <w:rPr>
          <w:rFonts w:hint="eastAsia"/>
          <w:sz w:val="24"/>
        </w:rPr>
      </w:pPr>
    </w:p>
    <w:p w14:paraId="443840A9">
      <w:pPr>
        <w:rPr>
          <w:rFonts w:hint="eastAsia"/>
          <w:sz w:val="24"/>
        </w:rPr>
      </w:pPr>
    </w:p>
    <w:p w14:paraId="10400A5E">
      <w:pPr>
        <w:rPr>
          <w:rFonts w:hint="eastAsia"/>
          <w:sz w:val="24"/>
        </w:rPr>
      </w:pPr>
    </w:p>
    <w:p w14:paraId="68C9F17C">
      <w:pPr>
        <w:rPr>
          <w:rFonts w:hint="eastAsia"/>
          <w:sz w:val="24"/>
        </w:rPr>
      </w:pPr>
    </w:p>
    <w:p w14:paraId="7BE990C4">
      <w:pPr>
        <w:rPr>
          <w:rFonts w:hint="eastAsia"/>
          <w:sz w:val="24"/>
        </w:rPr>
      </w:pPr>
    </w:p>
    <w:p w14:paraId="24EFD077">
      <w:pPr>
        <w:rPr>
          <w:rFonts w:hint="eastAsia"/>
          <w:sz w:val="24"/>
        </w:rPr>
      </w:pPr>
    </w:p>
    <w:p w14:paraId="67BD350C">
      <w:pPr>
        <w:rPr>
          <w:rFonts w:hint="eastAsia"/>
          <w:sz w:val="24"/>
        </w:rPr>
      </w:pPr>
    </w:p>
    <w:p w14:paraId="3DDDEE11">
      <w:pPr>
        <w:rPr>
          <w:rFonts w:hint="eastAsia"/>
          <w:sz w:val="24"/>
        </w:rPr>
      </w:pPr>
    </w:p>
    <w:p w14:paraId="78F9E632">
      <w:pPr>
        <w:rPr>
          <w:rFonts w:hint="eastAsia"/>
          <w:sz w:val="24"/>
        </w:rPr>
      </w:pPr>
    </w:p>
    <w:p w14:paraId="7FE82EF9">
      <w:pPr>
        <w:rPr>
          <w:rFonts w:hint="eastAsia"/>
          <w:sz w:val="24"/>
        </w:rPr>
      </w:pPr>
    </w:p>
    <w:p w14:paraId="31133A3F">
      <w:pPr>
        <w:rPr>
          <w:rFonts w:hint="eastAsia"/>
          <w:sz w:val="24"/>
        </w:rPr>
      </w:pPr>
    </w:p>
    <w:p w14:paraId="0D72E3B0">
      <w:pPr>
        <w:rPr>
          <w:rFonts w:hint="eastAsia"/>
          <w:sz w:val="24"/>
        </w:rPr>
      </w:pPr>
    </w:p>
    <w:p w14:paraId="207074B2">
      <w:pPr>
        <w:rPr>
          <w:rFonts w:hint="eastAsia"/>
          <w:sz w:val="24"/>
        </w:rPr>
      </w:pPr>
    </w:p>
    <w:p w14:paraId="4ADF6B8A">
      <w:pPr>
        <w:rPr>
          <w:rFonts w:hint="eastAsia"/>
          <w:sz w:val="24"/>
        </w:rPr>
      </w:pPr>
    </w:p>
    <w:p w14:paraId="4B348E3B">
      <w:pPr>
        <w:rPr>
          <w:rFonts w:hint="eastAsia"/>
          <w:sz w:val="24"/>
        </w:rPr>
      </w:pPr>
    </w:p>
    <w:p w14:paraId="700AF05C">
      <w:pPr>
        <w:rPr>
          <w:rFonts w:hint="eastAsia"/>
          <w:sz w:val="24"/>
        </w:rPr>
      </w:pPr>
    </w:p>
    <w:p w14:paraId="6F7914C5">
      <w:pPr>
        <w:rPr>
          <w:rFonts w:hint="eastAsia"/>
          <w:sz w:val="24"/>
        </w:rPr>
      </w:pPr>
    </w:p>
    <w:p w14:paraId="73B574ED">
      <w:pPr>
        <w:rPr>
          <w:rFonts w:hint="eastAsia"/>
          <w:sz w:val="24"/>
        </w:rPr>
      </w:pPr>
    </w:p>
    <w:p w14:paraId="62DE6CFC">
      <w:pPr>
        <w:pStyle w:val="2"/>
        <w:jc w:val="center"/>
        <w:rPr>
          <w:rFonts w:ascii="黑体" w:eastAsia="黑体"/>
          <w:color w:val="000000"/>
          <w:sz w:val="32"/>
          <w:szCs w:val="32"/>
        </w:rPr>
      </w:pPr>
      <w:r>
        <w:rPr>
          <w:rFonts w:hint="eastAsia" w:ascii="黑体" w:hAnsi="黑体" w:eastAsia="黑体"/>
          <w:b w:val="0"/>
        </w:rPr>
        <w:t xml:space="preserve">第一部分 </w:t>
      </w:r>
      <w:r>
        <w:rPr>
          <w:rStyle w:val="25"/>
          <w:rFonts w:hint="eastAsia" w:ascii="黑体" w:hAnsi="黑体" w:eastAsia="黑体"/>
          <w:b w:val="0"/>
          <w:bCs w:val="0"/>
        </w:rPr>
        <w:t>部门概况</w:t>
      </w:r>
      <w:bookmarkEnd w:id="12"/>
      <w:bookmarkEnd w:id="13"/>
    </w:p>
    <w:p w14:paraId="56BE02A9">
      <w:pPr>
        <w:pStyle w:val="3"/>
        <w:rPr>
          <w:rStyle w:val="26"/>
          <w:rFonts w:ascii="仿宋" w:hAnsi="仿宋" w:eastAsia="仿宋"/>
          <w:b w:val="0"/>
          <w:bCs w:val="0"/>
        </w:rPr>
      </w:pPr>
      <w:bookmarkStart w:id="14" w:name="_Toc15396600"/>
      <w:bookmarkStart w:id="15" w:name="_Toc15377197"/>
      <w:r>
        <w:rPr>
          <w:rFonts w:hint="eastAsia" w:ascii="黑体" w:hAnsi="黑体" w:eastAsia="黑体"/>
          <w:b w:val="0"/>
          <w:color w:val="000000"/>
        </w:rPr>
        <w:t>一、基</w:t>
      </w:r>
      <w:r>
        <w:rPr>
          <w:rStyle w:val="26"/>
          <w:rFonts w:hint="eastAsia" w:ascii="黑体" w:hAnsi="黑体" w:eastAsia="黑体"/>
          <w:b w:val="0"/>
          <w:bCs w:val="0"/>
        </w:rPr>
        <w:t>本职能及主要工作</w:t>
      </w:r>
      <w:bookmarkEnd w:id="14"/>
      <w:bookmarkEnd w:id="15"/>
    </w:p>
    <w:p w14:paraId="414F06E2">
      <w:pPr>
        <w:spacing w:line="360" w:lineRule="auto"/>
        <w:rPr>
          <w:rFonts w:ascii="仿宋" w:hAnsi="仿宋" w:eastAsia="仿宋"/>
          <w:sz w:val="32"/>
          <w:szCs w:val="32"/>
        </w:rPr>
      </w:pPr>
      <w:bookmarkStart w:id="16" w:name="_Toc15377198"/>
      <w:bookmarkStart w:id="17" w:name="_Toc15378445"/>
      <w:r>
        <w:rPr>
          <w:rFonts w:hint="eastAsia" w:ascii="仿宋" w:hAnsi="仿宋" w:eastAsia="仿宋"/>
          <w:bCs/>
          <w:color w:val="000000"/>
          <w:sz w:val="32"/>
          <w:szCs w:val="32"/>
        </w:rPr>
        <w:t>（一）</w:t>
      </w:r>
      <w:bookmarkEnd w:id="16"/>
      <w:bookmarkEnd w:id="17"/>
      <w:bookmarkStart w:id="18" w:name="_Toc15378446"/>
      <w:bookmarkStart w:id="19" w:name="_Toc15377199"/>
      <w:r>
        <w:rPr>
          <w:rFonts w:hint="eastAsia" w:ascii="仿宋" w:hAnsi="仿宋" w:eastAsia="仿宋"/>
          <w:sz w:val="32"/>
          <w:szCs w:val="32"/>
        </w:rPr>
        <w:t>主要职责：</w:t>
      </w:r>
    </w:p>
    <w:p w14:paraId="270FC091">
      <w:pPr>
        <w:spacing w:line="360" w:lineRule="auto"/>
        <w:ind w:firstLine="787" w:firstLineChars="246"/>
        <w:rPr>
          <w:rFonts w:ascii="仿宋" w:hAnsi="仿宋" w:eastAsia="仿宋"/>
          <w:sz w:val="32"/>
          <w:szCs w:val="32"/>
        </w:rPr>
      </w:pPr>
      <w:r>
        <w:rPr>
          <w:rFonts w:hint="eastAsia" w:ascii="仿宋" w:hAnsi="仿宋" w:eastAsia="仿宋"/>
          <w:sz w:val="32"/>
          <w:szCs w:val="32"/>
        </w:rPr>
        <w:t>1、为维护城市环境卫生提供管理保障和为城市美化提供市容管理保障；</w:t>
      </w:r>
    </w:p>
    <w:p w14:paraId="3EF47E9B">
      <w:pPr>
        <w:spacing w:line="360" w:lineRule="auto"/>
        <w:ind w:firstLine="787" w:firstLineChars="246"/>
        <w:rPr>
          <w:rFonts w:ascii="仿宋" w:hAnsi="仿宋" w:eastAsia="仿宋"/>
          <w:sz w:val="32"/>
          <w:szCs w:val="32"/>
        </w:rPr>
      </w:pPr>
      <w:r>
        <w:rPr>
          <w:rFonts w:hint="eastAsia" w:ascii="仿宋" w:hAnsi="仿宋" w:eastAsia="仿宋"/>
          <w:sz w:val="32"/>
          <w:szCs w:val="32"/>
        </w:rPr>
        <w:t>2、城市环境卫生设施建设；</w:t>
      </w:r>
    </w:p>
    <w:p w14:paraId="2AF282A5">
      <w:pPr>
        <w:spacing w:line="360" w:lineRule="auto"/>
        <w:ind w:firstLine="787" w:firstLineChars="246"/>
        <w:rPr>
          <w:rFonts w:ascii="仿宋" w:hAnsi="仿宋" w:eastAsia="仿宋"/>
          <w:sz w:val="32"/>
          <w:szCs w:val="32"/>
        </w:rPr>
      </w:pPr>
      <w:r>
        <w:rPr>
          <w:rFonts w:hint="eastAsia" w:ascii="仿宋" w:hAnsi="仿宋" w:eastAsia="仿宋"/>
          <w:sz w:val="32"/>
          <w:szCs w:val="32"/>
        </w:rPr>
        <w:t>3、城市环境卫生设施运营与维护；</w:t>
      </w:r>
    </w:p>
    <w:p w14:paraId="6F8ECD5F">
      <w:pPr>
        <w:spacing w:line="360" w:lineRule="auto"/>
        <w:ind w:firstLine="787" w:firstLineChars="246"/>
        <w:rPr>
          <w:rFonts w:ascii="仿宋" w:hAnsi="仿宋" w:eastAsia="仿宋"/>
          <w:sz w:val="32"/>
          <w:szCs w:val="32"/>
        </w:rPr>
      </w:pPr>
      <w:r>
        <w:rPr>
          <w:rFonts w:hint="eastAsia" w:ascii="仿宋" w:hAnsi="仿宋" w:eastAsia="仿宋"/>
          <w:sz w:val="32"/>
          <w:szCs w:val="32"/>
        </w:rPr>
        <w:t>4、城市环境卫生监督；</w:t>
      </w:r>
    </w:p>
    <w:p w14:paraId="050CB005">
      <w:pPr>
        <w:spacing w:line="360" w:lineRule="auto"/>
        <w:ind w:firstLine="787" w:firstLineChars="246"/>
        <w:rPr>
          <w:rFonts w:ascii="仿宋" w:hAnsi="仿宋" w:eastAsia="仿宋"/>
          <w:sz w:val="32"/>
          <w:szCs w:val="32"/>
        </w:rPr>
      </w:pPr>
      <w:r>
        <w:rPr>
          <w:rFonts w:hint="eastAsia" w:ascii="仿宋" w:hAnsi="仿宋" w:eastAsia="仿宋"/>
          <w:sz w:val="32"/>
          <w:szCs w:val="32"/>
        </w:rPr>
        <w:t>5、城市环境卫生作业管理。</w:t>
      </w:r>
    </w:p>
    <w:p w14:paraId="3A041A98">
      <w:pPr>
        <w:spacing w:line="360" w:lineRule="auto"/>
        <w:rPr>
          <w:rFonts w:ascii="仿宋" w:hAnsi="仿宋" w:eastAsia="仿宋"/>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201</w:t>
      </w:r>
      <w:r>
        <w:rPr>
          <w:rFonts w:hint="eastAsia" w:ascii="仿宋" w:hAnsi="仿宋" w:eastAsia="仿宋"/>
          <w:bCs/>
          <w:color w:val="000000"/>
          <w:sz w:val="32"/>
          <w:szCs w:val="32"/>
        </w:rPr>
        <w:t>9年重点工作完成情况。</w:t>
      </w:r>
      <w:bookmarkEnd w:id="18"/>
      <w:bookmarkEnd w:id="19"/>
    </w:p>
    <w:p w14:paraId="0B119B0D">
      <w:pPr>
        <w:spacing w:line="360" w:lineRule="auto"/>
        <w:ind w:firstLine="944" w:firstLineChars="295"/>
        <w:rPr>
          <w:rFonts w:ascii="仿宋" w:hAnsi="仿宋" w:eastAsia="仿宋"/>
          <w:sz w:val="32"/>
          <w:szCs w:val="32"/>
        </w:rPr>
      </w:pPr>
      <w:bookmarkStart w:id="20" w:name="_Toc15396601"/>
      <w:bookmarkStart w:id="21" w:name="_Toc15377200"/>
      <w:r>
        <w:rPr>
          <w:rFonts w:hint="eastAsia" w:ascii="仿宋" w:hAnsi="仿宋" w:eastAsia="仿宋"/>
          <w:sz w:val="32"/>
          <w:szCs w:val="32"/>
        </w:rPr>
        <w:t>2019年重点工作任务：</w:t>
      </w:r>
    </w:p>
    <w:p w14:paraId="2E591FA6">
      <w:pPr>
        <w:spacing w:line="360" w:lineRule="auto"/>
        <w:ind w:firstLine="630"/>
        <w:rPr>
          <w:rFonts w:ascii="仿宋" w:hAnsi="仿宋" w:eastAsia="仿宋"/>
          <w:sz w:val="32"/>
          <w:szCs w:val="32"/>
        </w:rPr>
      </w:pPr>
      <w:r>
        <w:rPr>
          <w:rFonts w:hint="eastAsia" w:ascii="仿宋" w:hAnsi="仿宋" w:eastAsia="仿宋"/>
          <w:sz w:val="32"/>
          <w:szCs w:val="32"/>
        </w:rPr>
        <w:t>洒水降尘、垃圾清运；辖区内的市容环境卫生监督、检查及管理。做好“创建文明城市”复检工作。</w:t>
      </w:r>
    </w:p>
    <w:p w14:paraId="66E02AFF">
      <w:pPr>
        <w:pStyle w:val="3"/>
        <w:numPr>
          <w:ilvl w:val="0"/>
          <w:numId w:val="1"/>
        </w:numPr>
        <w:rPr>
          <w:rStyle w:val="26"/>
          <w:b w:val="0"/>
          <w:bCs w:val="0"/>
        </w:rPr>
      </w:pPr>
      <w:r>
        <w:rPr>
          <w:rFonts w:hint="eastAsia" w:ascii="黑体" w:hAnsi="黑体" w:eastAsia="黑体"/>
          <w:b w:val="0"/>
          <w:color w:val="000000"/>
        </w:rPr>
        <w:t>机</w:t>
      </w:r>
      <w:r>
        <w:rPr>
          <w:rStyle w:val="26"/>
          <w:rFonts w:hint="eastAsia" w:ascii="黑体" w:hAnsi="黑体" w:eastAsia="黑体"/>
          <w:b w:val="0"/>
          <w:bCs w:val="0"/>
        </w:rPr>
        <w:t>构设置</w:t>
      </w:r>
      <w:bookmarkEnd w:id="20"/>
      <w:bookmarkEnd w:id="21"/>
    </w:p>
    <w:p w14:paraId="72A94D57">
      <w:pPr>
        <w:adjustRightInd w:val="0"/>
        <w:snapToGrid w:val="0"/>
        <w:spacing w:before="72" w:line="600" w:lineRule="exact"/>
        <w:ind w:firstLine="1120" w:firstLineChars="350"/>
        <w:rPr>
          <w:rFonts w:ascii="仿宋" w:hAnsi="仿宋" w:eastAsia="仿宋"/>
          <w:color w:val="000000"/>
          <w:sz w:val="32"/>
          <w:szCs w:val="32"/>
        </w:rPr>
      </w:pPr>
      <w:bookmarkStart w:id="22" w:name="_Toc15377201"/>
      <w:bookmarkStart w:id="23" w:name="_Toc15377432"/>
      <w:bookmarkStart w:id="24" w:name="_Toc15378448"/>
      <w:bookmarkStart w:id="25" w:name="_Toc15306275"/>
      <w:r>
        <w:rPr>
          <w:rFonts w:hint="eastAsia" w:ascii="仿宋" w:hAnsi="仿宋" w:eastAsia="仿宋"/>
          <w:sz w:val="32"/>
          <w:szCs w:val="32"/>
        </w:rPr>
        <w:t>西区市容环境卫生管理服务中心属参照公务员法管理的事业单位</w:t>
      </w:r>
      <w:r>
        <w:rPr>
          <w:rFonts w:hint="eastAsia" w:ascii="仿宋" w:hAnsi="仿宋" w:eastAsia="仿宋"/>
          <w:bCs/>
          <w:sz w:val="32"/>
          <w:szCs w:val="32"/>
        </w:rPr>
        <w:t>1</w:t>
      </w:r>
      <w:r>
        <w:rPr>
          <w:rFonts w:hint="eastAsia" w:ascii="仿宋" w:hAnsi="仿宋" w:eastAsia="仿宋"/>
          <w:sz w:val="32"/>
          <w:szCs w:val="32"/>
        </w:rPr>
        <w:t>个，无其他事业单位</w:t>
      </w:r>
      <w:bookmarkEnd w:id="22"/>
      <w:bookmarkEnd w:id="23"/>
      <w:bookmarkEnd w:id="24"/>
      <w:bookmarkEnd w:id="25"/>
      <w:r>
        <w:rPr>
          <w:rFonts w:hint="eastAsia" w:ascii="仿宋" w:hAnsi="仿宋" w:eastAsia="仿宋"/>
          <w:color w:val="000000"/>
          <w:sz w:val="32"/>
          <w:szCs w:val="32"/>
        </w:rPr>
        <w:t>。</w:t>
      </w:r>
    </w:p>
    <w:p w14:paraId="1F094135">
      <w:pPr>
        <w:widowControl/>
        <w:jc w:val="left"/>
        <w:rPr>
          <w:rFonts w:ascii="仿宋" w:hAnsi="仿宋" w:eastAsia="仿宋"/>
          <w:color w:val="000000"/>
          <w:kern w:val="0"/>
          <w:sz w:val="32"/>
          <w:szCs w:val="32"/>
        </w:rPr>
      </w:pPr>
      <w:r>
        <w:rPr>
          <w:rFonts w:ascii="仿宋" w:hAnsi="仿宋" w:eastAsia="仿宋"/>
          <w:color w:val="000000"/>
          <w:sz w:val="32"/>
          <w:szCs w:val="32"/>
        </w:rPr>
        <w:br w:type="page"/>
      </w:r>
    </w:p>
    <w:p w14:paraId="4C03016F">
      <w:pPr>
        <w:pStyle w:val="2"/>
        <w:ind w:right="440"/>
        <w:jc w:val="right"/>
        <w:rPr>
          <w:rStyle w:val="25"/>
          <w:rFonts w:ascii="黑体" w:hAnsi="黑体" w:eastAsia="黑体"/>
          <w:b w:val="0"/>
          <w:bCs w:val="0"/>
        </w:rPr>
      </w:pPr>
      <w:bookmarkStart w:id="26" w:name="_Toc15377204"/>
      <w:bookmarkStart w:id="27" w:name="_Toc15396602"/>
      <w:r>
        <w:rPr>
          <w:rFonts w:hint="eastAsia" w:ascii="黑体" w:hAnsi="黑体" w:eastAsia="黑体"/>
          <w:b w:val="0"/>
          <w:color w:val="000000"/>
        </w:rPr>
        <w:t>第二部分</w:t>
      </w:r>
      <w:r>
        <w:rPr>
          <w:rStyle w:val="25"/>
          <w:rFonts w:hint="eastAsia" w:ascii="黑体" w:hAnsi="黑体" w:eastAsia="黑体"/>
          <w:b w:val="0"/>
          <w:bCs w:val="0"/>
        </w:rPr>
        <w:t>2019年度部门决算情况说明</w:t>
      </w:r>
      <w:bookmarkEnd w:id="26"/>
      <w:bookmarkEnd w:id="27"/>
    </w:p>
    <w:p w14:paraId="7091B09E"/>
    <w:p w14:paraId="3BEC5B6D">
      <w:pPr>
        <w:pStyle w:val="24"/>
        <w:numPr>
          <w:ilvl w:val="0"/>
          <w:numId w:val="2"/>
        </w:numPr>
        <w:spacing w:line="600" w:lineRule="exact"/>
        <w:ind w:firstLineChars="0"/>
        <w:outlineLvl w:val="1"/>
        <w:rPr>
          <w:rStyle w:val="26"/>
          <w:rFonts w:ascii="黑体" w:hAnsi="黑体" w:eastAsia="黑体"/>
          <w:b w:val="0"/>
        </w:rPr>
      </w:pPr>
      <w:bookmarkStart w:id="28" w:name="_Toc15377205"/>
      <w:bookmarkStart w:id="29" w:name="_Toc15396603"/>
      <w:r>
        <w:rPr>
          <w:rFonts w:hint="eastAsia" w:ascii="黑体" w:hAnsi="黑体" w:eastAsia="黑体"/>
          <w:color w:val="000000"/>
          <w:sz w:val="32"/>
          <w:szCs w:val="32"/>
        </w:rPr>
        <w:t>收</w:t>
      </w:r>
      <w:r>
        <w:rPr>
          <w:rStyle w:val="26"/>
          <w:rFonts w:hint="eastAsia" w:ascii="黑体" w:hAnsi="黑体" w:eastAsia="黑体"/>
          <w:b w:val="0"/>
        </w:rPr>
        <w:t>入支出决算总体情况说明</w:t>
      </w:r>
      <w:bookmarkEnd w:id="28"/>
      <w:bookmarkEnd w:id="29"/>
    </w:p>
    <w:p w14:paraId="5E589024">
      <w:pPr>
        <w:spacing w:line="600" w:lineRule="exact"/>
        <w:ind w:firstLine="1120" w:firstLineChars="350"/>
        <w:rPr>
          <w:rFonts w:ascii="仿宋" w:hAnsi="仿宋" w:eastAsia="仿宋"/>
          <w:color w:val="000000"/>
          <w:sz w:val="32"/>
          <w:szCs w:val="32"/>
        </w:rPr>
      </w:pPr>
      <w:r>
        <w:rPr>
          <w:rFonts w:hint="eastAsia" w:ascii="仿宋" w:hAnsi="仿宋" w:eastAsia="仿宋"/>
          <w:color w:val="000000"/>
          <w:sz w:val="32"/>
          <w:szCs w:val="32"/>
        </w:rPr>
        <w:t>2019年度收入支出总计897.58万元。与2018年相比，收、支总计增加14.09万元，</w:t>
      </w:r>
      <w:r>
        <w:rPr>
          <w:rFonts w:hint="eastAsia" w:ascii="仿宋" w:hAnsi="仿宋" w:eastAsia="仿宋"/>
          <w:sz w:val="32"/>
          <w:szCs w:val="32"/>
        </w:rPr>
        <w:t>增长1.6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color w:val="000000"/>
          <w:sz w:val="32"/>
          <w:szCs w:val="32"/>
        </w:rPr>
        <w:t>主要变动原因是临聘人员、办公费及环卫经费增加。</w:t>
      </w:r>
    </w:p>
    <w:p w14:paraId="77787828">
      <w:pPr>
        <w:spacing w:line="600" w:lineRule="exact"/>
        <w:ind w:firstLine="640" w:firstLineChars="200"/>
        <w:rPr>
          <w:rFonts w:ascii="仿宋" w:hAnsi="仿宋" w:eastAsia="仿宋"/>
          <w:color w:val="000000" w:themeColor="text1"/>
          <w:sz w:val="32"/>
          <w:szCs w:val="32"/>
        </w:rPr>
      </w:pPr>
    </w:p>
    <w:p w14:paraId="16BC25FF">
      <w:pPr>
        <w:spacing w:line="600" w:lineRule="exact"/>
        <w:rPr>
          <w:rFonts w:ascii="仿宋" w:hAnsi="仿宋" w:eastAsia="仿宋"/>
          <w:color w:val="000000"/>
          <w:sz w:val="32"/>
          <w:szCs w:val="32"/>
        </w:rPr>
      </w:pPr>
      <w:bookmarkStart w:id="30" w:name="_Toc15396604"/>
      <w:bookmarkStart w:id="31" w:name="_Toc15377206"/>
      <w:r>
        <w:rPr>
          <w:rFonts w:hint="eastAsia" w:ascii="仿宋" w:hAnsi="仿宋" w:eastAsia="仿宋"/>
          <w:color w:val="000000"/>
          <w:sz w:val="32"/>
          <w:szCs w:val="32"/>
        </w:rPr>
        <w:drawing>
          <wp:anchor distT="0" distB="0" distL="114300" distR="114300" simplePos="0" relativeHeight="251660288" behindDoc="1" locked="0" layoutInCell="1" allowOverlap="1">
            <wp:simplePos x="0" y="0"/>
            <wp:positionH relativeFrom="column">
              <wp:posOffset>113030</wp:posOffset>
            </wp:positionH>
            <wp:positionV relativeFrom="paragraph">
              <wp:posOffset>1270</wp:posOffset>
            </wp:positionV>
            <wp:extent cx="3665855" cy="2440940"/>
            <wp:effectExtent l="0" t="0" r="0" b="0"/>
            <wp:wrapNone/>
            <wp:docPr id="2" name="对象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31192C05">
      <w:pPr>
        <w:spacing w:line="600" w:lineRule="exact"/>
        <w:rPr>
          <w:rFonts w:ascii="仿宋" w:hAnsi="仿宋" w:eastAsia="仿宋"/>
          <w:color w:val="000000"/>
          <w:sz w:val="32"/>
          <w:szCs w:val="32"/>
        </w:rPr>
      </w:pPr>
    </w:p>
    <w:p w14:paraId="34D5B02D">
      <w:pPr>
        <w:spacing w:line="600" w:lineRule="exact"/>
        <w:rPr>
          <w:rFonts w:ascii="仿宋" w:hAnsi="仿宋" w:eastAsia="仿宋"/>
          <w:color w:val="000000"/>
          <w:sz w:val="32"/>
          <w:szCs w:val="32"/>
        </w:rPr>
      </w:pPr>
    </w:p>
    <w:p w14:paraId="7189B26F">
      <w:pPr>
        <w:spacing w:line="600" w:lineRule="exact"/>
        <w:rPr>
          <w:rFonts w:ascii="仿宋" w:hAnsi="仿宋" w:eastAsia="仿宋"/>
          <w:color w:val="000000"/>
          <w:sz w:val="32"/>
          <w:szCs w:val="32"/>
        </w:rPr>
      </w:pPr>
    </w:p>
    <w:p w14:paraId="4FAB8B53">
      <w:pPr>
        <w:spacing w:line="600" w:lineRule="exact"/>
        <w:rPr>
          <w:rFonts w:ascii="仿宋" w:hAnsi="仿宋" w:eastAsia="仿宋"/>
          <w:color w:val="000000"/>
          <w:sz w:val="32"/>
          <w:szCs w:val="32"/>
        </w:rPr>
      </w:pPr>
    </w:p>
    <w:p w14:paraId="2FC9AAAF">
      <w:pPr>
        <w:spacing w:line="600" w:lineRule="exact"/>
        <w:rPr>
          <w:rFonts w:ascii="仿宋" w:hAnsi="仿宋" w:eastAsia="仿宋"/>
          <w:color w:val="000000"/>
          <w:sz w:val="32"/>
          <w:szCs w:val="32"/>
        </w:rPr>
      </w:pPr>
    </w:p>
    <w:p w14:paraId="1CE480F2">
      <w:pPr>
        <w:spacing w:line="600" w:lineRule="exact"/>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w:t>
      </w:r>
    </w:p>
    <w:p w14:paraId="5F67DC07">
      <w:pPr>
        <w:pStyle w:val="24"/>
        <w:numPr>
          <w:ilvl w:val="0"/>
          <w:numId w:val="2"/>
        </w:numPr>
        <w:spacing w:line="600" w:lineRule="exact"/>
        <w:ind w:firstLineChars="0"/>
        <w:outlineLvl w:val="1"/>
        <w:rPr>
          <w:rStyle w:val="26"/>
          <w:rFonts w:ascii="黑体" w:hAnsi="黑体" w:eastAsia="黑体"/>
          <w:b w:val="0"/>
        </w:rPr>
      </w:pPr>
      <w:r>
        <w:rPr>
          <w:rFonts w:hint="eastAsia" w:ascii="黑体" w:hAnsi="黑体" w:eastAsia="黑体"/>
          <w:color w:val="000000"/>
          <w:sz w:val="32"/>
          <w:szCs w:val="32"/>
        </w:rPr>
        <w:t>收</w:t>
      </w:r>
      <w:r>
        <w:rPr>
          <w:rStyle w:val="26"/>
          <w:rFonts w:hint="eastAsia" w:ascii="黑体" w:hAnsi="黑体" w:eastAsia="黑体"/>
          <w:b w:val="0"/>
        </w:rPr>
        <w:t>入决算情况说明</w:t>
      </w:r>
      <w:bookmarkEnd w:id="30"/>
      <w:bookmarkEnd w:id="31"/>
    </w:p>
    <w:p w14:paraId="2FF1F513">
      <w:pPr>
        <w:spacing w:line="600" w:lineRule="exact"/>
        <w:ind w:firstLine="640" w:firstLineChars="200"/>
        <w:outlineLvl w:val="1"/>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9年本年收入合计811.44万元，其中：一般公共预算财政拨款收入544.66万元，占67</w:t>
      </w:r>
      <w:r>
        <w:rPr>
          <w:rFonts w:ascii="仿宋" w:hAnsi="仿宋" w:eastAsia="仿宋"/>
          <w:color w:val="000000"/>
          <w:sz w:val="32"/>
          <w:szCs w:val="32"/>
        </w:rPr>
        <w:t>%</w:t>
      </w:r>
      <w:r>
        <w:rPr>
          <w:rFonts w:hint="eastAsia" w:ascii="仿宋" w:hAnsi="仿宋" w:eastAsia="仿宋"/>
          <w:color w:val="000000"/>
          <w:sz w:val="32"/>
          <w:szCs w:val="32"/>
        </w:rPr>
        <w:t>；政府性基金预算财政拨款收入266.6万元，占32</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themeColor="text1"/>
          <w:sz w:val="32"/>
          <w:szCs w:val="32"/>
        </w:rPr>
        <w:t>上级补助收入0</w:t>
      </w:r>
      <w:r>
        <w:rPr>
          <w:rFonts w:hint="eastAsia" w:ascii="仿宋" w:hAnsi="仿宋" w:eastAsia="仿宋"/>
          <w:color w:val="000000"/>
          <w:sz w:val="32"/>
          <w:szCs w:val="32"/>
        </w:rPr>
        <w:t>万元，占0</w:t>
      </w:r>
      <w:r>
        <w:rPr>
          <w:rFonts w:ascii="仿宋" w:hAnsi="仿宋" w:eastAsia="仿宋"/>
          <w:color w:val="000000"/>
          <w:sz w:val="32"/>
          <w:szCs w:val="32"/>
        </w:rPr>
        <w:t>%</w:t>
      </w:r>
      <w:r>
        <w:rPr>
          <w:rFonts w:hint="eastAsia" w:ascii="仿宋" w:hAnsi="仿宋" w:eastAsia="仿宋"/>
          <w:color w:val="000000"/>
          <w:sz w:val="32"/>
          <w:szCs w:val="32"/>
        </w:rPr>
        <w:t>；事业收入0万元，占0</w:t>
      </w:r>
      <w:r>
        <w:rPr>
          <w:rFonts w:ascii="仿宋" w:hAnsi="仿宋" w:eastAsia="仿宋"/>
          <w:color w:val="000000"/>
          <w:sz w:val="32"/>
          <w:szCs w:val="32"/>
        </w:rPr>
        <w:t>%</w:t>
      </w:r>
      <w:r>
        <w:rPr>
          <w:rFonts w:hint="eastAsia" w:ascii="仿宋" w:hAnsi="仿宋" w:eastAsia="仿宋"/>
          <w:color w:val="000000"/>
          <w:sz w:val="32"/>
          <w:szCs w:val="32"/>
        </w:rPr>
        <w:t>；经营收入0万元，占0</w:t>
      </w:r>
      <w:r>
        <w:rPr>
          <w:rFonts w:ascii="仿宋" w:hAnsi="仿宋" w:eastAsia="仿宋"/>
          <w:color w:val="000000"/>
          <w:sz w:val="32"/>
          <w:szCs w:val="32"/>
        </w:rPr>
        <w:t>%</w:t>
      </w:r>
      <w:r>
        <w:rPr>
          <w:rFonts w:hint="eastAsia" w:ascii="仿宋" w:hAnsi="仿宋" w:eastAsia="仿宋"/>
          <w:color w:val="000000"/>
          <w:sz w:val="32"/>
          <w:szCs w:val="32"/>
        </w:rPr>
        <w:t>；附属单位上缴收入0万元，占0</w:t>
      </w:r>
      <w:r>
        <w:rPr>
          <w:rFonts w:ascii="仿宋" w:hAnsi="仿宋" w:eastAsia="仿宋"/>
          <w:color w:val="000000"/>
          <w:sz w:val="32"/>
          <w:szCs w:val="32"/>
        </w:rPr>
        <w:t>%</w:t>
      </w:r>
      <w:r>
        <w:rPr>
          <w:rFonts w:hint="eastAsia" w:ascii="仿宋" w:hAnsi="仿宋" w:eastAsia="仿宋"/>
          <w:color w:val="000000"/>
          <w:sz w:val="32"/>
          <w:szCs w:val="32"/>
        </w:rPr>
        <w:t>；其他收入0.17万元，占1</w:t>
      </w:r>
      <w:r>
        <w:rPr>
          <w:rFonts w:ascii="仿宋" w:hAnsi="仿宋" w:eastAsia="仿宋"/>
          <w:color w:val="000000"/>
          <w:sz w:val="32"/>
          <w:szCs w:val="32"/>
        </w:rPr>
        <w:t>%</w:t>
      </w:r>
      <w:r>
        <w:rPr>
          <w:rFonts w:hint="eastAsia" w:ascii="仿宋" w:hAnsi="仿宋" w:eastAsia="仿宋"/>
          <w:color w:val="000000"/>
          <w:sz w:val="32"/>
          <w:szCs w:val="32"/>
        </w:rPr>
        <w:t>。</w:t>
      </w:r>
    </w:p>
    <w:p w14:paraId="4135131A">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drawing>
          <wp:anchor distT="0" distB="0" distL="114300" distR="114300" simplePos="0" relativeHeight="251659264" behindDoc="0" locked="0" layoutInCell="1" allowOverlap="1">
            <wp:simplePos x="0" y="0"/>
            <wp:positionH relativeFrom="column">
              <wp:posOffset>709295</wp:posOffset>
            </wp:positionH>
            <wp:positionV relativeFrom="paragraph">
              <wp:posOffset>635</wp:posOffset>
            </wp:positionV>
            <wp:extent cx="2559685" cy="1709420"/>
            <wp:effectExtent l="0" t="0" r="0" b="0"/>
            <wp:wrapNone/>
            <wp:docPr id="6" name="对象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363CB7F7">
      <w:pPr>
        <w:spacing w:line="600" w:lineRule="exact"/>
        <w:ind w:firstLine="640" w:firstLineChars="200"/>
        <w:rPr>
          <w:rFonts w:ascii="仿宋" w:hAnsi="仿宋" w:eastAsia="仿宋"/>
          <w:color w:val="000000" w:themeColor="text1"/>
          <w:sz w:val="32"/>
          <w:szCs w:val="32"/>
        </w:rPr>
      </w:pPr>
    </w:p>
    <w:p w14:paraId="441BFF98">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（图2：收入决算结构图）</w:t>
      </w:r>
    </w:p>
    <w:p w14:paraId="1B98F801">
      <w:pPr>
        <w:pStyle w:val="24"/>
        <w:numPr>
          <w:ilvl w:val="0"/>
          <w:numId w:val="2"/>
        </w:numPr>
        <w:spacing w:line="600" w:lineRule="exact"/>
        <w:ind w:firstLineChars="0"/>
        <w:outlineLvl w:val="1"/>
        <w:rPr>
          <w:rStyle w:val="26"/>
          <w:rFonts w:ascii="黑体" w:hAnsi="黑体" w:eastAsia="黑体"/>
          <w:b w:val="0"/>
        </w:rPr>
      </w:pPr>
      <w:bookmarkStart w:id="32" w:name="_Toc15377207"/>
      <w:bookmarkStart w:id="33" w:name="_Toc15396605"/>
      <w:r>
        <w:rPr>
          <w:rFonts w:hint="eastAsia" w:ascii="黑体" w:hAnsi="黑体" w:eastAsia="黑体"/>
          <w:color w:val="000000"/>
          <w:sz w:val="32"/>
          <w:szCs w:val="32"/>
        </w:rPr>
        <w:t>支</w:t>
      </w:r>
      <w:r>
        <w:rPr>
          <w:rStyle w:val="26"/>
          <w:rFonts w:hint="eastAsia" w:ascii="黑体" w:hAnsi="黑体" w:eastAsia="黑体"/>
          <w:b w:val="0"/>
        </w:rPr>
        <w:t>出决算情况说明</w:t>
      </w:r>
      <w:bookmarkEnd w:id="32"/>
      <w:bookmarkEnd w:id="33"/>
    </w:p>
    <w:p w14:paraId="7E65D020">
      <w:pPr>
        <w:spacing w:line="600" w:lineRule="exact"/>
        <w:ind w:firstLine="640" w:firstLineChars="200"/>
        <w:outlineLvl w:val="1"/>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9年本年支出合计897.41万元，其中：基本支出559.67万元，占62</w:t>
      </w:r>
      <w:r>
        <w:rPr>
          <w:rFonts w:ascii="仿宋" w:hAnsi="仿宋" w:eastAsia="仿宋"/>
          <w:color w:val="000000"/>
          <w:sz w:val="32"/>
          <w:szCs w:val="32"/>
        </w:rPr>
        <w:t>%</w:t>
      </w:r>
      <w:r>
        <w:rPr>
          <w:rFonts w:hint="eastAsia" w:ascii="仿宋" w:hAnsi="仿宋" w:eastAsia="仿宋"/>
          <w:color w:val="000000"/>
          <w:sz w:val="32"/>
          <w:szCs w:val="32"/>
        </w:rPr>
        <w:t>；项目支出337.74万元，占38</w:t>
      </w:r>
      <w:r>
        <w:rPr>
          <w:rFonts w:ascii="仿宋" w:hAnsi="仿宋" w:eastAsia="仿宋"/>
          <w:color w:val="000000"/>
          <w:sz w:val="32"/>
          <w:szCs w:val="32"/>
        </w:rPr>
        <w:t>%</w:t>
      </w:r>
      <w:r>
        <w:rPr>
          <w:rFonts w:hint="eastAsia" w:ascii="仿宋" w:hAnsi="仿宋" w:eastAsia="仿宋"/>
          <w:color w:val="000000"/>
          <w:sz w:val="32"/>
          <w:szCs w:val="32"/>
        </w:rPr>
        <w:t>；上缴上级支出0万元，占0</w:t>
      </w:r>
      <w:r>
        <w:rPr>
          <w:rFonts w:ascii="仿宋" w:hAnsi="仿宋" w:eastAsia="仿宋"/>
          <w:color w:val="000000"/>
          <w:sz w:val="32"/>
          <w:szCs w:val="32"/>
        </w:rPr>
        <w:t>%</w:t>
      </w:r>
      <w:r>
        <w:rPr>
          <w:rFonts w:hint="eastAsia" w:ascii="仿宋" w:hAnsi="仿宋" w:eastAsia="仿宋"/>
          <w:color w:val="000000"/>
          <w:sz w:val="32"/>
          <w:szCs w:val="32"/>
        </w:rPr>
        <w:t>；经营支出0万元，占0</w:t>
      </w:r>
      <w:r>
        <w:rPr>
          <w:rFonts w:ascii="仿宋" w:hAnsi="仿宋" w:eastAsia="仿宋"/>
          <w:color w:val="000000"/>
          <w:sz w:val="32"/>
          <w:szCs w:val="32"/>
        </w:rPr>
        <w:t>%</w:t>
      </w:r>
      <w:r>
        <w:rPr>
          <w:rFonts w:hint="eastAsia" w:ascii="仿宋" w:hAnsi="仿宋" w:eastAsia="仿宋"/>
          <w:color w:val="000000"/>
          <w:sz w:val="32"/>
          <w:szCs w:val="32"/>
        </w:rPr>
        <w:t>；对附属单位补助支出0万元，占0%</w:t>
      </w:r>
    </w:p>
    <w:p w14:paraId="5AAD8697">
      <w:pPr>
        <w:spacing w:line="600" w:lineRule="exact"/>
        <w:ind w:firstLine="640" w:firstLineChars="200"/>
        <w:outlineLvl w:val="1"/>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251661312" behindDoc="1" locked="0" layoutInCell="1" allowOverlap="1">
            <wp:simplePos x="0" y="0"/>
            <wp:positionH relativeFrom="column">
              <wp:posOffset>502920</wp:posOffset>
            </wp:positionH>
            <wp:positionV relativeFrom="paragraph">
              <wp:posOffset>290195</wp:posOffset>
            </wp:positionV>
            <wp:extent cx="2742565" cy="1828800"/>
            <wp:effectExtent l="0" t="0" r="635" b="0"/>
            <wp:wrapNone/>
            <wp:docPr id="1" name="对象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3D98D68A">
      <w:pPr>
        <w:spacing w:line="600" w:lineRule="exact"/>
        <w:ind w:firstLine="640" w:firstLineChars="200"/>
        <w:outlineLvl w:val="1"/>
        <w:rPr>
          <w:rFonts w:ascii="仿宋" w:hAnsi="仿宋" w:eastAsia="仿宋"/>
          <w:color w:val="000000"/>
          <w:sz w:val="32"/>
          <w:szCs w:val="32"/>
        </w:rPr>
      </w:pPr>
    </w:p>
    <w:p w14:paraId="6BAE17E1">
      <w:pPr>
        <w:spacing w:line="600" w:lineRule="exact"/>
        <w:ind w:firstLine="640" w:firstLineChars="200"/>
        <w:outlineLvl w:val="1"/>
        <w:rPr>
          <w:rFonts w:ascii="仿宋" w:hAnsi="仿宋" w:eastAsia="仿宋"/>
          <w:color w:val="000000"/>
          <w:sz w:val="32"/>
          <w:szCs w:val="32"/>
        </w:rPr>
      </w:pPr>
    </w:p>
    <w:p w14:paraId="2ECA7E1F">
      <w:pPr>
        <w:spacing w:line="600" w:lineRule="exact"/>
        <w:ind w:firstLine="640" w:firstLineChars="200"/>
        <w:outlineLvl w:val="1"/>
        <w:rPr>
          <w:rFonts w:ascii="仿宋" w:hAnsi="仿宋" w:eastAsia="仿宋"/>
          <w:color w:val="000000"/>
          <w:sz w:val="32"/>
          <w:szCs w:val="32"/>
        </w:rPr>
      </w:pPr>
    </w:p>
    <w:p w14:paraId="76717328">
      <w:pPr>
        <w:spacing w:line="600" w:lineRule="exact"/>
        <w:ind w:firstLine="640" w:firstLineChars="200"/>
        <w:outlineLvl w:val="1"/>
        <w:rPr>
          <w:rFonts w:ascii="仿宋" w:hAnsi="仿宋" w:eastAsia="仿宋"/>
          <w:color w:val="000000"/>
          <w:sz w:val="32"/>
          <w:szCs w:val="32"/>
        </w:rPr>
      </w:pPr>
    </w:p>
    <w:p w14:paraId="7132B9E5">
      <w:pPr>
        <w:spacing w:line="600" w:lineRule="exact"/>
        <w:ind w:firstLine="640" w:firstLineChars="200"/>
        <w:outlineLvl w:val="1"/>
        <w:rPr>
          <w:rFonts w:ascii="仿宋" w:hAnsi="仿宋" w:eastAsia="仿宋"/>
          <w:color w:val="000000"/>
          <w:sz w:val="32"/>
          <w:szCs w:val="32"/>
        </w:rPr>
      </w:pPr>
    </w:p>
    <w:p w14:paraId="158364BA">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（图3：支出决算结构图）</w:t>
      </w:r>
    </w:p>
    <w:p w14:paraId="12757D13">
      <w:pPr>
        <w:spacing w:line="600" w:lineRule="exact"/>
        <w:ind w:firstLine="640" w:firstLineChars="200"/>
        <w:outlineLvl w:val="1"/>
        <w:rPr>
          <w:rStyle w:val="26"/>
          <w:rFonts w:ascii="黑体" w:hAnsi="黑体" w:eastAsia="黑体"/>
          <w:b w:val="0"/>
        </w:rPr>
      </w:pPr>
      <w:bookmarkStart w:id="34" w:name="_Toc15396606"/>
      <w:bookmarkStart w:id="35" w:name="_Toc15377208"/>
      <w:r>
        <w:rPr>
          <w:rFonts w:hint="eastAsia" w:ascii="黑体" w:hAnsi="黑体" w:eastAsia="黑体"/>
          <w:color w:val="000000"/>
          <w:sz w:val="32"/>
          <w:szCs w:val="32"/>
        </w:rPr>
        <w:t>四、财</w:t>
      </w:r>
      <w:r>
        <w:rPr>
          <w:rStyle w:val="26"/>
          <w:rFonts w:hint="eastAsia" w:ascii="黑体" w:hAnsi="黑体" w:eastAsia="黑体"/>
          <w:b w:val="0"/>
        </w:rPr>
        <w:t>政拨款收入支出决算总体情况说明</w:t>
      </w:r>
      <w:bookmarkEnd w:id="34"/>
      <w:bookmarkEnd w:id="35"/>
    </w:p>
    <w:p w14:paraId="58C661CB">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9年财政拨款收、支总计897.58万元。与</w:t>
      </w:r>
      <w:r>
        <w:rPr>
          <w:rFonts w:ascii="仿宋" w:hAnsi="仿宋" w:eastAsia="仿宋"/>
          <w:color w:val="000000"/>
          <w:sz w:val="32"/>
          <w:szCs w:val="32"/>
        </w:rPr>
        <w:t>201</w:t>
      </w:r>
      <w:r>
        <w:rPr>
          <w:rFonts w:hint="eastAsia" w:ascii="仿宋" w:hAnsi="仿宋" w:eastAsia="仿宋"/>
          <w:color w:val="000000"/>
          <w:sz w:val="32"/>
          <w:szCs w:val="32"/>
        </w:rPr>
        <w:t>8年相比，财政拨款收、支总计均增加14.09万元，增长1.6</w:t>
      </w:r>
      <w:r>
        <w:rPr>
          <w:rFonts w:ascii="仿宋" w:hAnsi="仿宋" w:eastAsia="仿宋"/>
          <w:color w:val="000000"/>
          <w:sz w:val="32"/>
          <w:szCs w:val="32"/>
        </w:rPr>
        <w:t>%</w:t>
      </w:r>
      <w:r>
        <w:rPr>
          <w:rFonts w:hint="eastAsia" w:ascii="仿宋" w:hAnsi="仿宋" w:eastAsia="仿宋"/>
          <w:color w:val="000000"/>
          <w:sz w:val="32"/>
          <w:szCs w:val="32"/>
        </w:rPr>
        <w:t>。主要变动原因是临聘人员、办公费及环卫经费增加。</w:t>
      </w:r>
    </w:p>
    <w:p w14:paraId="3302EACB">
      <w:pPr>
        <w:spacing w:line="600" w:lineRule="exact"/>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251662336" behindDoc="1" locked="0" layoutInCell="1" allowOverlap="1">
            <wp:simplePos x="0" y="0"/>
            <wp:positionH relativeFrom="column">
              <wp:posOffset>264160</wp:posOffset>
            </wp:positionH>
            <wp:positionV relativeFrom="paragraph">
              <wp:posOffset>161925</wp:posOffset>
            </wp:positionV>
            <wp:extent cx="3665220" cy="2440940"/>
            <wp:effectExtent l="0" t="0" r="0" b="0"/>
            <wp:wrapNone/>
            <wp:docPr id="4" name="对象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41925A70">
      <w:pPr>
        <w:spacing w:line="600" w:lineRule="exact"/>
        <w:rPr>
          <w:rFonts w:ascii="仿宋" w:hAnsi="仿宋" w:eastAsia="仿宋"/>
          <w:color w:val="000000"/>
          <w:sz w:val="32"/>
          <w:szCs w:val="32"/>
        </w:rPr>
      </w:pPr>
    </w:p>
    <w:p w14:paraId="3B8A7F91">
      <w:pPr>
        <w:spacing w:line="600" w:lineRule="exact"/>
        <w:rPr>
          <w:rFonts w:ascii="仿宋" w:hAnsi="仿宋" w:eastAsia="仿宋"/>
          <w:color w:val="000000"/>
          <w:sz w:val="32"/>
          <w:szCs w:val="32"/>
        </w:rPr>
      </w:pPr>
    </w:p>
    <w:p w14:paraId="0BF1EDCF">
      <w:pPr>
        <w:spacing w:line="600" w:lineRule="exact"/>
        <w:rPr>
          <w:rFonts w:ascii="仿宋" w:hAnsi="仿宋" w:eastAsia="仿宋"/>
          <w:color w:val="000000"/>
          <w:sz w:val="32"/>
          <w:szCs w:val="32"/>
        </w:rPr>
      </w:pPr>
    </w:p>
    <w:p w14:paraId="65234B66">
      <w:pPr>
        <w:spacing w:line="600" w:lineRule="exact"/>
        <w:rPr>
          <w:rFonts w:ascii="仿宋" w:hAnsi="仿宋" w:eastAsia="仿宋"/>
          <w:color w:val="000000"/>
          <w:sz w:val="32"/>
          <w:szCs w:val="32"/>
        </w:rPr>
      </w:pPr>
    </w:p>
    <w:p w14:paraId="4F3BCA46">
      <w:pPr>
        <w:spacing w:line="600" w:lineRule="exact"/>
        <w:rPr>
          <w:rFonts w:ascii="仿宋" w:hAnsi="仿宋" w:eastAsia="仿宋"/>
          <w:color w:val="000000"/>
          <w:sz w:val="32"/>
          <w:szCs w:val="32"/>
        </w:rPr>
      </w:pPr>
    </w:p>
    <w:p w14:paraId="56972BB8">
      <w:pPr>
        <w:spacing w:line="600" w:lineRule="exact"/>
        <w:ind w:firstLine="640" w:firstLineChars="200"/>
        <w:rPr>
          <w:rFonts w:ascii="仿宋" w:hAnsi="仿宋" w:eastAsia="仿宋"/>
          <w:b/>
          <w:color w:val="00B050"/>
          <w:sz w:val="32"/>
          <w:szCs w:val="32"/>
        </w:rPr>
      </w:pPr>
      <w:r>
        <w:rPr>
          <w:rFonts w:hint="eastAsia" w:ascii="仿宋" w:hAnsi="仿宋" w:eastAsia="仿宋"/>
          <w:color w:val="000000" w:themeColor="text1"/>
          <w:sz w:val="32"/>
          <w:szCs w:val="32"/>
        </w:rPr>
        <w:t>（图4：财政拨款收、支决算总计变动情况）</w:t>
      </w:r>
    </w:p>
    <w:p w14:paraId="6D62718E">
      <w:pPr>
        <w:spacing w:line="600" w:lineRule="exact"/>
        <w:ind w:firstLine="640" w:firstLineChars="200"/>
        <w:outlineLvl w:val="1"/>
        <w:rPr>
          <w:rStyle w:val="26"/>
          <w:rFonts w:ascii="黑体" w:hAnsi="黑体" w:eastAsia="黑体"/>
          <w:b w:val="0"/>
        </w:rPr>
      </w:pPr>
      <w:bookmarkStart w:id="36" w:name="_Toc15377209"/>
      <w:bookmarkStart w:id="37" w:name="_Toc1539660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6"/>
          <w:rFonts w:hint="eastAsia" w:ascii="黑体" w:hAnsi="黑体" w:eastAsia="黑体"/>
          <w:b w:val="0"/>
        </w:rPr>
        <w:t>般公共预算财政拨款支出决算情况说明</w:t>
      </w:r>
      <w:bookmarkEnd w:id="36"/>
      <w:bookmarkEnd w:id="37"/>
    </w:p>
    <w:p w14:paraId="0F335B5C">
      <w:pPr>
        <w:spacing w:line="600" w:lineRule="exact"/>
        <w:ind w:firstLine="643" w:firstLineChars="200"/>
        <w:outlineLvl w:val="2"/>
        <w:rPr>
          <w:rFonts w:ascii="仿宋" w:hAnsi="仿宋" w:eastAsia="仿宋"/>
          <w:b/>
          <w:color w:val="000000"/>
          <w:sz w:val="32"/>
          <w:szCs w:val="32"/>
        </w:rPr>
      </w:pPr>
      <w:bookmarkStart w:id="38" w:name="_Toc15377210"/>
      <w:r>
        <w:rPr>
          <w:rFonts w:hint="eastAsia" w:ascii="仿宋" w:hAnsi="仿宋" w:eastAsia="仿宋"/>
          <w:b/>
          <w:color w:val="000000"/>
          <w:sz w:val="32"/>
          <w:szCs w:val="32"/>
        </w:rPr>
        <w:t>（一）一般公共预算财政拨款支出决算总体情况</w:t>
      </w:r>
      <w:bookmarkEnd w:id="38"/>
    </w:p>
    <w:p w14:paraId="1D094BCE">
      <w:pPr>
        <w:spacing w:line="600" w:lineRule="exact"/>
        <w:ind w:firstLine="640" w:firstLineChars="20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9年一般公共预算财政拨款支出559.67万元，占本年支出合计的62.37</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rPr>
        <w:t>8年相比，一般公共预算财政拨款支出</w:t>
      </w:r>
      <w:r>
        <w:rPr>
          <w:rFonts w:hint="eastAsia" w:ascii="仿宋" w:hAnsi="仿宋" w:eastAsia="仿宋"/>
          <w:color w:val="000000"/>
          <w:sz w:val="32"/>
          <w:szCs w:val="32"/>
          <w:lang w:eastAsia="zh-CN"/>
        </w:rPr>
        <w:t>减少</w:t>
      </w:r>
      <w:r>
        <w:rPr>
          <w:rFonts w:hint="eastAsia" w:ascii="仿宋" w:hAnsi="仿宋" w:eastAsia="仿宋"/>
          <w:color w:val="000000"/>
          <w:sz w:val="32"/>
          <w:szCs w:val="32"/>
        </w:rPr>
        <w:t>261.47万元，</w:t>
      </w:r>
      <w:r>
        <w:rPr>
          <w:rFonts w:hint="eastAsia" w:ascii="仿宋" w:hAnsi="仿宋" w:eastAsia="仿宋"/>
          <w:color w:val="000000"/>
          <w:sz w:val="32"/>
          <w:szCs w:val="32"/>
          <w:lang w:eastAsia="zh-CN"/>
        </w:rPr>
        <w:t>降低</w:t>
      </w:r>
      <w:r>
        <w:rPr>
          <w:rFonts w:hint="eastAsia" w:ascii="仿宋" w:hAnsi="仿宋" w:eastAsia="仿宋"/>
          <w:color w:val="000000"/>
          <w:sz w:val="32"/>
          <w:szCs w:val="32"/>
          <w:lang w:val="en-US" w:eastAsia="zh-CN"/>
        </w:rPr>
        <w:t>32.21</w:t>
      </w:r>
      <w:r>
        <w:rPr>
          <w:rFonts w:ascii="仿宋" w:hAnsi="仿宋" w:eastAsia="仿宋"/>
          <w:color w:val="000000"/>
          <w:sz w:val="32"/>
          <w:szCs w:val="32"/>
        </w:rPr>
        <w:t>%</w:t>
      </w:r>
      <w:r>
        <w:rPr>
          <w:rFonts w:hint="eastAsia" w:ascii="仿宋" w:hAnsi="仿宋" w:eastAsia="仿宋"/>
          <w:color w:val="000000"/>
          <w:sz w:val="32"/>
          <w:szCs w:val="32"/>
        </w:rPr>
        <w:t xml:space="preserve">。主要变动原因是2019年增加政府性基金预算及临聘人员、办公费增加。 </w:t>
      </w:r>
    </w:p>
    <w:p w14:paraId="6E29CDE8">
      <w:pPr>
        <w:spacing w:line="600" w:lineRule="exact"/>
        <w:ind w:firstLine="420" w:firstLineChars="200"/>
        <w:rPr>
          <w:rFonts w:ascii="仿宋" w:hAnsi="仿宋" w:eastAsia="仿宋"/>
          <w:color w:val="000000"/>
          <w:sz w:val="24"/>
        </w:rPr>
      </w:pPr>
      <w:r>
        <w:rPr>
          <w:rFonts w:ascii="仿宋" w:hAnsi="仿宋" w:eastAsia="仿宋"/>
          <w:color w:val="000000"/>
          <w:szCs w:val="21"/>
        </w:rPr>
        <w:pict>
          <v:roundrect id="_x0000_s1036" o:spid="_x0000_s1036" o:spt="2" style="position:absolute;left:0pt;margin-left:176.25pt;margin-top:24.75pt;height:95.25pt;width:32.25pt;z-index:251665408;mso-width-relative:page;mso-height-relative:page;" fillcolor="#C0504D" filled="t" stroked="t" coordsize="21600,21600" arcsize="0.166666666666667">
            <v:path/>
            <v:fill on="t" focussize="0,0"/>
            <v:stroke weight="3pt" color="#F2F2F2"/>
            <v:imagedata o:title=""/>
            <o:lock v:ext="edit"/>
            <v:shadow on="t" type="perspective" color="#622423" opacity="32768f" offset="1pt,2pt" offset2="-1pt,-2pt"/>
          </v:roundrect>
        </w:pict>
      </w:r>
      <w:r>
        <w:rPr>
          <w:rFonts w:hint="eastAsia" w:ascii="仿宋" w:hAnsi="仿宋" w:eastAsia="仿宋"/>
          <w:color w:val="000000"/>
          <w:sz w:val="32"/>
          <w:szCs w:val="32"/>
        </w:rPr>
        <w:t xml:space="preserve">                    </w:t>
      </w:r>
      <w:r>
        <w:rPr>
          <w:rFonts w:hint="eastAsia" w:ascii="仿宋" w:hAnsi="仿宋" w:eastAsia="仿宋"/>
          <w:color w:val="000000"/>
          <w:sz w:val="24"/>
        </w:rPr>
        <w:t xml:space="preserve">821.14  </w:t>
      </w:r>
    </w:p>
    <w:p w14:paraId="73C8FE40">
      <w:pPr>
        <w:spacing w:line="600" w:lineRule="exact"/>
        <w:rPr>
          <w:rFonts w:ascii="仿宋" w:hAnsi="仿宋" w:eastAsia="仿宋"/>
          <w:color w:val="000000"/>
          <w:szCs w:val="21"/>
        </w:rPr>
      </w:pPr>
      <w:r>
        <w:rPr>
          <w:rFonts w:ascii="仿宋" w:hAnsi="仿宋" w:eastAsia="仿宋"/>
          <w:color w:val="000000"/>
          <w:szCs w:val="21"/>
        </w:rPr>
        <w:pict>
          <v:roundrect id="_x0000_s1035" o:spid="_x0000_s1035" o:spt="2" style="position:absolute;left:0pt;margin-left:117.75pt;margin-top:24.75pt;height:69.75pt;width:33pt;z-index:251664384;mso-width-relative:page;mso-height-relative:page;" fillcolor="#9BBB59" filled="t" stroked="t" coordsize="21600,21600" arcsize="0.166666666666667">
            <v:path/>
            <v:fill on="t" focussize="0,0"/>
            <v:stroke weight="3pt" color="#F2F2F2"/>
            <v:imagedata o:title=""/>
            <o:lock v:ext="edit"/>
            <v:shadow on="t" type="perspective" color="#4E6128" opacity="32768f" offset="1pt,2pt" offset2="-1pt,-2pt"/>
          </v:roundrect>
        </w:pict>
      </w:r>
      <w:r>
        <w:rPr>
          <w:rFonts w:hint="eastAsia" w:ascii="仿宋" w:hAnsi="仿宋" w:eastAsia="仿宋"/>
          <w:color w:val="000000"/>
          <w:szCs w:val="21"/>
        </w:rPr>
        <w:t xml:space="preserve">                     559.67</w:t>
      </w:r>
    </w:p>
    <w:p w14:paraId="3791C169">
      <w:pPr>
        <w:spacing w:line="600" w:lineRule="exact"/>
        <w:rPr>
          <w:rFonts w:ascii="仿宋" w:hAnsi="仿宋" w:eastAsia="仿宋"/>
          <w:color w:val="000000"/>
          <w:szCs w:val="21"/>
        </w:rPr>
      </w:pPr>
    </w:p>
    <w:p w14:paraId="02671551">
      <w:pPr>
        <w:spacing w:line="600" w:lineRule="exact"/>
        <w:rPr>
          <w:rFonts w:ascii="仿宋" w:hAnsi="仿宋" w:eastAsia="仿宋"/>
          <w:color w:val="000000"/>
          <w:szCs w:val="21"/>
        </w:rPr>
      </w:pPr>
    </w:p>
    <w:p w14:paraId="0D15A7E0">
      <w:pPr>
        <w:spacing w:line="600" w:lineRule="exact"/>
        <w:rPr>
          <w:rFonts w:ascii="仿宋" w:hAnsi="仿宋" w:eastAsia="仿宋"/>
          <w:color w:val="000000"/>
          <w:szCs w:val="21"/>
        </w:rPr>
      </w:pPr>
    </w:p>
    <w:p w14:paraId="055B6FA2">
      <w:pPr>
        <w:spacing w:line="600" w:lineRule="exact"/>
        <w:ind w:firstLine="315" w:firstLineChars="150"/>
        <w:rPr>
          <w:rFonts w:ascii="仿宋" w:hAnsi="仿宋" w:eastAsia="仿宋"/>
          <w:color w:val="000000"/>
          <w:szCs w:val="21"/>
        </w:rPr>
      </w:pPr>
      <w:r>
        <w:rPr>
          <w:rFonts w:hint="eastAsia" w:ascii="仿宋" w:hAnsi="仿宋" w:eastAsia="仿宋"/>
          <w:color w:val="000000"/>
          <w:szCs w:val="21"/>
        </w:rPr>
        <w:t xml:space="preserve">                       2019年     2018年</w:t>
      </w:r>
    </w:p>
    <w:p w14:paraId="28FE8DCB">
      <w:pPr>
        <w:spacing w:line="600" w:lineRule="exact"/>
        <w:rPr>
          <w:rFonts w:ascii="仿宋" w:hAnsi="仿宋" w:eastAsia="仿宋"/>
          <w:color w:val="000000" w:themeColor="text1"/>
          <w:sz w:val="32"/>
          <w:szCs w:val="32"/>
        </w:rPr>
      </w:pPr>
      <w:r>
        <w:rPr>
          <w:rFonts w:hint="eastAsia" w:ascii="仿宋" w:hAnsi="仿宋" w:eastAsia="仿宋"/>
          <w:color w:val="000000" w:themeColor="text1"/>
          <w:sz w:val="32"/>
          <w:szCs w:val="32"/>
        </w:rPr>
        <w:t>（图5：一般公共预算财政拨款支出决算变动情况）</w:t>
      </w:r>
    </w:p>
    <w:p w14:paraId="17D98737">
      <w:pPr>
        <w:spacing w:line="600" w:lineRule="exact"/>
        <w:ind w:firstLine="643" w:firstLineChars="200"/>
        <w:outlineLvl w:val="2"/>
        <w:rPr>
          <w:rFonts w:ascii="仿宋" w:hAnsi="仿宋" w:eastAsia="仿宋"/>
          <w:b/>
          <w:color w:val="000000"/>
          <w:sz w:val="32"/>
          <w:szCs w:val="32"/>
        </w:rPr>
      </w:pPr>
      <w:bookmarkStart w:id="39" w:name="_Toc15377211"/>
      <w:r>
        <w:rPr>
          <w:rFonts w:hint="eastAsia" w:ascii="仿宋" w:hAnsi="仿宋" w:eastAsia="仿宋"/>
          <w:b/>
          <w:color w:val="000000"/>
          <w:sz w:val="32"/>
          <w:szCs w:val="32"/>
        </w:rPr>
        <w:t>（二）一般公共预算财政拨款支出决算结构情况</w:t>
      </w:r>
      <w:bookmarkEnd w:id="39"/>
    </w:p>
    <w:p w14:paraId="6E751B84">
      <w:pPr>
        <w:spacing w:line="600" w:lineRule="exact"/>
        <w:ind w:firstLine="640"/>
        <w:rPr>
          <w:rFonts w:ascii="仿宋" w:hAnsi="仿宋" w:eastAsia="仿宋"/>
          <w:color w:val="000000" w:themeColor="text1"/>
          <w:sz w:val="32"/>
          <w:szCs w:val="32"/>
        </w:rPr>
      </w:pPr>
      <w:r>
        <w:rPr>
          <w:rFonts w:ascii="仿宋" w:hAnsi="仿宋" w:eastAsia="仿宋"/>
          <w:color w:val="000000"/>
          <w:sz w:val="32"/>
          <w:szCs w:val="32"/>
        </w:rPr>
        <w:t>201</w:t>
      </w:r>
      <w:r>
        <w:rPr>
          <w:rFonts w:hint="eastAsia" w:ascii="仿宋" w:hAnsi="仿宋" w:eastAsia="仿宋"/>
          <w:color w:val="000000"/>
          <w:sz w:val="32"/>
          <w:szCs w:val="32"/>
        </w:rPr>
        <w:t>9年一般公共预算财</w:t>
      </w:r>
      <w:r>
        <w:rPr>
          <w:rFonts w:hint="eastAsia" w:ascii="仿宋" w:hAnsi="仿宋" w:eastAsia="仿宋"/>
          <w:color w:val="000000" w:themeColor="text1"/>
          <w:sz w:val="32"/>
          <w:szCs w:val="32"/>
        </w:rPr>
        <w:t>政拨款支出559.67万元，主要用于以下方面</w:t>
      </w:r>
      <w:r>
        <w:rPr>
          <w:rFonts w:ascii="仿宋" w:hAnsi="仿宋" w:eastAsia="仿宋"/>
          <w:color w:val="000000" w:themeColor="text1"/>
          <w:sz w:val="32"/>
          <w:szCs w:val="32"/>
        </w:rPr>
        <w:t>:</w:t>
      </w:r>
      <w:r>
        <w:rPr>
          <w:rFonts w:hint="eastAsia" w:ascii="仿宋" w:hAnsi="仿宋" w:eastAsia="仿宋"/>
          <w:b/>
          <w:color w:val="000000" w:themeColor="text1"/>
          <w:sz w:val="32"/>
          <w:szCs w:val="32"/>
        </w:rPr>
        <w:t>城乡社区支出（类）</w:t>
      </w:r>
      <w:r>
        <w:rPr>
          <w:rFonts w:hint="eastAsia" w:ascii="仿宋" w:hAnsi="仿宋" w:eastAsia="仿宋"/>
          <w:color w:val="000000" w:themeColor="text1"/>
          <w:sz w:val="32"/>
          <w:szCs w:val="32"/>
        </w:rPr>
        <w:t>支出480.09万元，占86</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社会保障和就业（类）</w:t>
      </w:r>
      <w:r>
        <w:rPr>
          <w:rFonts w:hint="eastAsia" w:ascii="仿宋" w:hAnsi="仿宋" w:eastAsia="仿宋"/>
          <w:color w:val="000000" w:themeColor="text1"/>
          <w:sz w:val="32"/>
          <w:szCs w:val="32"/>
        </w:rPr>
        <w:t>支出31.43万元，占6</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bCs/>
          <w:color w:val="000000" w:themeColor="text1"/>
          <w:sz w:val="32"/>
          <w:szCs w:val="32"/>
        </w:rPr>
        <w:t>卫生健康支出</w:t>
      </w:r>
      <w:r>
        <w:rPr>
          <w:rFonts w:hint="eastAsia" w:ascii="仿宋" w:hAnsi="仿宋" w:eastAsia="仿宋"/>
          <w:color w:val="000000" w:themeColor="text1"/>
          <w:sz w:val="32"/>
          <w:szCs w:val="32"/>
        </w:rPr>
        <w:t>18.15万元，占3</w:t>
      </w:r>
      <w:r>
        <w:rPr>
          <w:rFonts w:ascii="仿宋" w:hAnsi="仿宋" w:eastAsia="仿宋"/>
          <w:color w:val="000000" w:themeColor="text1"/>
          <w:sz w:val="32"/>
          <w:szCs w:val="32"/>
        </w:rPr>
        <w:t>%</w:t>
      </w:r>
      <w:r>
        <w:rPr>
          <w:rFonts w:hint="eastAsia" w:ascii="仿宋" w:hAnsi="仿宋" w:eastAsia="仿宋"/>
          <w:color w:val="000000" w:themeColor="text1"/>
          <w:sz w:val="32"/>
          <w:szCs w:val="32"/>
        </w:rPr>
        <w:t>；住房保障支出30万元，占5</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p>
    <w:p w14:paraId="17DF638F">
      <w:pPr>
        <w:spacing w:line="600" w:lineRule="exact"/>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drawing>
          <wp:anchor distT="0" distB="0" distL="114300" distR="114300" simplePos="0" relativeHeight="251663360" behindDoc="0" locked="0" layoutInCell="1" allowOverlap="1">
            <wp:simplePos x="0" y="0"/>
            <wp:positionH relativeFrom="column">
              <wp:posOffset>637540</wp:posOffset>
            </wp:positionH>
            <wp:positionV relativeFrom="paragraph">
              <wp:posOffset>8890</wp:posOffset>
            </wp:positionV>
            <wp:extent cx="3776345" cy="2313305"/>
            <wp:effectExtent l="0" t="0" r="0" b="0"/>
            <wp:wrapSquare wrapText="right"/>
            <wp:docPr id="3" name="对象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6B1F0F07">
      <w:pPr>
        <w:spacing w:line="600" w:lineRule="exact"/>
        <w:ind w:firstLine="640"/>
        <w:rPr>
          <w:rFonts w:ascii="仿宋" w:hAnsi="仿宋" w:eastAsia="仿宋"/>
          <w:color w:val="000000" w:themeColor="text1"/>
          <w:sz w:val="32"/>
          <w:szCs w:val="32"/>
        </w:rPr>
      </w:pPr>
    </w:p>
    <w:p w14:paraId="76D634A2">
      <w:pPr>
        <w:spacing w:line="600" w:lineRule="exact"/>
        <w:ind w:firstLine="640"/>
        <w:rPr>
          <w:rFonts w:ascii="仿宋" w:hAnsi="仿宋" w:eastAsia="仿宋"/>
          <w:color w:val="000000" w:themeColor="text1"/>
          <w:sz w:val="32"/>
          <w:szCs w:val="32"/>
        </w:rPr>
      </w:pPr>
    </w:p>
    <w:p w14:paraId="019E7755">
      <w:pPr>
        <w:spacing w:line="600" w:lineRule="exact"/>
        <w:ind w:firstLine="640"/>
        <w:rPr>
          <w:rFonts w:ascii="仿宋" w:hAnsi="仿宋" w:eastAsia="仿宋"/>
          <w:color w:val="000000" w:themeColor="text1"/>
          <w:sz w:val="32"/>
          <w:szCs w:val="32"/>
        </w:rPr>
      </w:pPr>
    </w:p>
    <w:p w14:paraId="02818E51">
      <w:pPr>
        <w:spacing w:line="600" w:lineRule="exact"/>
        <w:ind w:firstLine="640"/>
        <w:rPr>
          <w:rFonts w:ascii="仿宋" w:hAnsi="仿宋" w:eastAsia="仿宋"/>
          <w:color w:val="000000" w:themeColor="text1"/>
          <w:sz w:val="32"/>
          <w:szCs w:val="32"/>
        </w:rPr>
      </w:pPr>
    </w:p>
    <w:p w14:paraId="14F23867">
      <w:pPr>
        <w:spacing w:line="600" w:lineRule="exact"/>
        <w:ind w:firstLine="640" w:firstLineChars="200"/>
        <w:rPr>
          <w:rFonts w:ascii="仿宋" w:hAnsi="仿宋" w:eastAsia="仿宋"/>
          <w:color w:val="000000"/>
          <w:sz w:val="32"/>
          <w:szCs w:val="32"/>
        </w:rPr>
      </w:pPr>
    </w:p>
    <w:p w14:paraId="5BAB256A">
      <w:pPr>
        <w:spacing w:line="600" w:lineRule="exact"/>
        <w:ind w:firstLine="640" w:firstLineChars="200"/>
        <w:rPr>
          <w:rFonts w:ascii="仿宋" w:hAnsi="仿宋" w:eastAsia="仿宋"/>
          <w:color w:val="000000"/>
          <w:sz w:val="32"/>
          <w:szCs w:val="32"/>
        </w:rPr>
      </w:pPr>
    </w:p>
    <w:p w14:paraId="2B68A2F0">
      <w:pPr>
        <w:spacing w:line="600" w:lineRule="exact"/>
        <w:ind w:firstLine="643" w:firstLineChars="200"/>
        <w:outlineLvl w:val="2"/>
        <w:rPr>
          <w:rFonts w:ascii="仿宋" w:hAnsi="仿宋" w:eastAsia="仿宋"/>
          <w:b/>
          <w:color w:val="000000"/>
          <w:sz w:val="32"/>
          <w:szCs w:val="32"/>
        </w:rPr>
      </w:pPr>
      <w:bookmarkStart w:id="40" w:name="_Toc15377212"/>
      <w:r>
        <w:rPr>
          <w:rFonts w:hint="eastAsia" w:ascii="仿宋" w:hAnsi="仿宋" w:eastAsia="仿宋"/>
          <w:b/>
          <w:color w:val="000000"/>
          <w:sz w:val="32"/>
          <w:szCs w:val="32"/>
        </w:rPr>
        <w:t>（三）一般公共预算财政拨款支出决算具体情况</w:t>
      </w:r>
      <w:bookmarkEnd w:id="40"/>
    </w:p>
    <w:p w14:paraId="0558919B">
      <w:pPr>
        <w:spacing w:line="600" w:lineRule="exact"/>
        <w:ind w:firstLine="643" w:firstLineChars="200"/>
        <w:outlineLvl w:val="2"/>
        <w:rPr>
          <w:rFonts w:ascii="仿宋" w:hAnsi="仿宋" w:eastAsia="仿宋"/>
          <w:color w:val="FF0000"/>
          <w:sz w:val="32"/>
          <w:szCs w:val="32"/>
        </w:rPr>
      </w:pPr>
      <w:bookmarkStart w:id="41" w:name="_Toc15377444"/>
      <w:bookmarkStart w:id="42" w:name="_Toc15377213"/>
      <w:bookmarkStart w:id="43" w:name="_Toc15378460"/>
      <w:r>
        <w:rPr>
          <w:rFonts w:hint="eastAsia" w:ascii="仿宋" w:hAnsi="仿宋" w:eastAsia="仿宋"/>
          <w:b/>
          <w:color w:val="000000" w:themeColor="text1"/>
          <w:sz w:val="32"/>
          <w:szCs w:val="32"/>
        </w:rPr>
        <w:t>2019年般公共预算支出决算数为559.67万元</w:t>
      </w:r>
      <w:r>
        <w:rPr>
          <w:rFonts w:hint="eastAsia" w:ascii="仿宋" w:hAnsi="仿宋" w:eastAsia="仿宋"/>
          <w:color w:val="000000" w:themeColor="text1"/>
          <w:sz w:val="32"/>
          <w:szCs w:val="32"/>
        </w:rPr>
        <w:t>，</w:t>
      </w:r>
      <w:r>
        <w:rPr>
          <w:rStyle w:val="15"/>
          <w:rFonts w:hint="eastAsia" w:ascii="仿宋" w:hAnsi="仿宋" w:eastAsia="仿宋"/>
          <w:bCs/>
          <w:color w:val="000000" w:themeColor="text1"/>
          <w:sz w:val="32"/>
          <w:szCs w:val="32"/>
        </w:rPr>
        <w:t>完成</w:t>
      </w:r>
      <w:r>
        <w:rPr>
          <w:rStyle w:val="15"/>
          <w:rFonts w:hint="eastAsia" w:ascii="仿宋" w:hAnsi="仿宋" w:eastAsia="仿宋"/>
          <w:bCs/>
          <w:color w:val="000000"/>
          <w:sz w:val="32"/>
          <w:szCs w:val="32"/>
        </w:rPr>
        <w:t>预算100</w:t>
      </w:r>
      <w:r>
        <w:rPr>
          <w:rStyle w:val="15"/>
          <w:rFonts w:ascii="仿宋" w:hAnsi="仿宋" w:eastAsia="仿宋"/>
          <w:bCs/>
          <w:color w:val="000000"/>
          <w:sz w:val="32"/>
          <w:szCs w:val="32"/>
        </w:rPr>
        <w:t>%</w:t>
      </w:r>
      <w:r>
        <w:rPr>
          <w:rStyle w:val="15"/>
          <w:rFonts w:hint="eastAsia" w:ascii="仿宋" w:hAnsi="仿宋" w:eastAsia="仿宋"/>
          <w:bCs/>
          <w:color w:val="000000"/>
          <w:sz w:val="32"/>
          <w:szCs w:val="32"/>
        </w:rPr>
        <w:t>。其中：</w:t>
      </w:r>
      <w:bookmarkEnd w:id="41"/>
      <w:bookmarkEnd w:id="42"/>
      <w:bookmarkEnd w:id="43"/>
    </w:p>
    <w:p w14:paraId="6BE25DAF">
      <w:pPr>
        <w:spacing w:line="600" w:lineRule="exact"/>
        <w:ind w:firstLine="643" w:firstLineChars="200"/>
        <w:rPr>
          <w:rStyle w:val="15"/>
          <w:rFonts w:ascii="仿宋" w:hAnsi="仿宋" w:eastAsia="仿宋"/>
          <w:b w:val="0"/>
          <w:color w:val="000000"/>
          <w:sz w:val="32"/>
          <w:szCs w:val="32"/>
        </w:rPr>
      </w:pPr>
      <w:r>
        <w:rPr>
          <w:rStyle w:val="15"/>
          <w:rFonts w:hint="eastAsia" w:ascii="仿宋" w:hAnsi="仿宋" w:eastAsia="仿宋"/>
          <w:color w:val="000000"/>
          <w:sz w:val="32"/>
          <w:szCs w:val="32"/>
        </w:rPr>
        <w:t>1.社会保障和就业（2080504）未归口管理的行政单位离退休:2019年</w:t>
      </w:r>
      <w:r>
        <w:rPr>
          <w:rStyle w:val="15"/>
          <w:rFonts w:hint="eastAsia" w:ascii="仿宋" w:hAnsi="仿宋" w:eastAsia="仿宋"/>
          <w:b w:val="0"/>
          <w:color w:val="000000"/>
          <w:sz w:val="32"/>
          <w:szCs w:val="32"/>
        </w:rPr>
        <w:t>支出决算为</w:t>
      </w:r>
      <w:r>
        <w:rPr>
          <w:rFonts w:hint="eastAsia" w:ascii="仿宋" w:hAnsi="仿宋" w:eastAsia="仿宋"/>
          <w:color w:val="000000"/>
          <w:sz w:val="32"/>
          <w:szCs w:val="32"/>
        </w:rPr>
        <w:t>7.31</w:t>
      </w:r>
      <w:r>
        <w:rPr>
          <w:rStyle w:val="15"/>
          <w:rFonts w:hint="eastAsia" w:ascii="仿宋" w:hAnsi="仿宋" w:eastAsia="仿宋"/>
          <w:b w:val="0"/>
          <w:color w:val="000000"/>
          <w:sz w:val="32"/>
          <w:szCs w:val="32"/>
        </w:rPr>
        <w:t>万元，完成预算100%。</w:t>
      </w:r>
    </w:p>
    <w:p w14:paraId="513CF629">
      <w:pPr>
        <w:spacing w:line="600" w:lineRule="exact"/>
        <w:ind w:firstLine="643" w:firstLineChars="200"/>
        <w:rPr>
          <w:rStyle w:val="15"/>
          <w:rFonts w:ascii="仿宋" w:hAnsi="仿宋" w:eastAsia="仿宋"/>
          <w:b w:val="0"/>
          <w:color w:val="000000"/>
          <w:sz w:val="32"/>
          <w:szCs w:val="32"/>
        </w:rPr>
      </w:pPr>
      <w:r>
        <w:rPr>
          <w:rStyle w:val="15"/>
          <w:rFonts w:hint="eastAsia" w:ascii="仿宋" w:hAnsi="仿宋" w:eastAsia="仿宋"/>
          <w:color w:val="000000"/>
          <w:sz w:val="32"/>
          <w:szCs w:val="32"/>
        </w:rPr>
        <w:t>2.社会保障和就业（2080505）机关事业单位基本养老保险缴费支出:2019年</w:t>
      </w:r>
      <w:r>
        <w:rPr>
          <w:rStyle w:val="15"/>
          <w:rFonts w:hint="eastAsia" w:ascii="仿宋" w:hAnsi="仿宋" w:eastAsia="仿宋"/>
          <w:b w:val="0"/>
          <w:color w:val="000000"/>
          <w:sz w:val="32"/>
          <w:szCs w:val="32"/>
        </w:rPr>
        <w:t>支出决算为</w:t>
      </w:r>
      <w:r>
        <w:rPr>
          <w:rFonts w:hint="eastAsia" w:ascii="仿宋" w:hAnsi="仿宋" w:eastAsia="仿宋"/>
          <w:color w:val="000000"/>
          <w:sz w:val="32"/>
          <w:szCs w:val="32"/>
        </w:rPr>
        <w:t>24.12</w:t>
      </w:r>
      <w:r>
        <w:rPr>
          <w:rStyle w:val="15"/>
          <w:rFonts w:hint="eastAsia" w:ascii="仿宋" w:hAnsi="仿宋" w:eastAsia="仿宋"/>
          <w:b w:val="0"/>
          <w:color w:val="000000"/>
          <w:sz w:val="32"/>
          <w:szCs w:val="32"/>
        </w:rPr>
        <w:t>万元，完成预算100%。</w:t>
      </w:r>
    </w:p>
    <w:p w14:paraId="3DB28927">
      <w:pPr>
        <w:spacing w:line="600" w:lineRule="exact"/>
        <w:ind w:firstLine="643" w:firstLineChars="200"/>
        <w:rPr>
          <w:rStyle w:val="15"/>
          <w:rFonts w:ascii="仿宋" w:hAnsi="仿宋" w:eastAsia="仿宋"/>
          <w:b w:val="0"/>
          <w:color w:val="000000"/>
          <w:sz w:val="32"/>
          <w:szCs w:val="32"/>
        </w:rPr>
      </w:pPr>
      <w:r>
        <w:rPr>
          <w:rFonts w:hint="eastAsia" w:ascii="仿宋" w:hAnsi="仿宋" w:eastAsia="仿宋"/>
          <w:b/>
          <w:color w:val="000000"/>
          <w:sz w:val="32"/>
          <w:szCs w:val="32"/>
        </w:rPr>
        <w:t>3.医疗卫生与计划生育（2101101）行政单位医疗：</w:t>
      </w:r>
      <w:r>
        <w:rPr>
          <w:rStyle w:val="15"/>
          <w:rFonts w:hint="eastAsia" w:ascii="仿宋" w:hAnsi="仿宋" w:eastAsia="仿宋"/>
          <w:color w:val="000000"/>
          <w:sz w:val="32"/>
          <w:szCs w:val="32"/>
        </w:rPr>
        <w:t>2019年</w:t>
      </w:r>
      <w:r>
        <w:rPr>
          <w:rStyle w:val="15"/>
          <w:rFonts w:hint="eastAsia" w:ascii="仿宋" w:hAnsi="仿宋" w:eastAsia="仿宋"/>
          <w:b w:val="0"/>
          <w:color w:val="000000"/>
          <w:sz w:val="32"/>
          <w:szCs w:val="32"/>
        </w:rPr>
        <w:t>支出决算为15.81万元，完成预算100%。</w:t>
      </w:r>
    </w:p>
    <w:p w14:paraId="5774E51B">
      <w:pPr>
        <w:spacing w:line="600" w:lineRule="exact"/>
        <w:ind w:firstLine="643" w:firstLineChars="200"/>
        <w:rPr>
          <w:rStyle w:val="15"/>
          <w:rFonts w:ascii="仿宋" w:hAnsi="仿宋" w:eastAsia="仿宋"/>
          <w:b w:val="0"/>
          <w:color w:val="000000"/>
          <w:sz w:val="32"/>
          <w:szCs w:val="32"/>
        </w:rPr>
      </w:pPr>
      <w:r>
        <w:rPr>
          <w:rFonts w:hint="eastAsia" w:ascii="仿宋" w:hAnsi="仿宋" w:eastAsia="仿宋"/>
          <w:b/>
          <w:color w:val="000000"/>
          <w:sz w:val="32"/>
          <w:szCs w:val="32"/>
        </w:rPr>
        <w:t>4.医疗卫生与计划生育（2101103）公务员医疗补助：</w:t>
      </w:r>
      <w:r>
        <w:rPr>
          <w:rStyle w:val="15"/>
          <w:rFonts w:hint="eastAsia" w:ascii="仿宋" w:hAnsi="仿宋" w:eastAsia="仿宋"/>
          <w:color w:val="000000"/>
          <w:sz w:val="32"/>
          <w:szCs w:val="32"/>
        </w:rPr>
        <w:t>2019年</w:t>
      </w:r>
      <w:r>
        <w:rPr>
          <w:rStyle w:val="15"/>
          <w:rFonts w:hint="eastAsia" w:ascii="仿宋" w:hAnsi="仿宋" w:eastAsia="仿宋"/>
          <w:b w:val="0"/>
          <w:color w:val="000000"/>
          <w:sz w:val="32"/>
          <w:szCs w:val="32"/>
        </w:rPr>
        <w:t>支出决算为2.34万元，完成预算100%。</w:t>
      </w:r>
    </w:p>
    <w:p w14:paraId="27EB9A22">
      <w:pPr>
        <w:spacing w:line="600" w:lineRule="exact"/>
        <w:ind w:firstLine="643" w:firstLineChars="200"/>
        <w:rPr>
          <w:rFonts w:ascii="仿宋" w:hAnsi="仿宋" w:eastAsia="仿宋"/>
          <w:b/>
          <w:color w:val="000000"/>
          <w:sz w:val="32"/>
          <w:szCs w:val="32"/>
        </w:rPr>
      </w:pPr>
      <w:r>
        <w:rPr>
          <w:rStyle w:val="15"/>
          <w:rFonts w:hint="eastAsia" w:ascii="仿宋" w:hAnsi="仿宋" w:eastAsia="仿宋"/>
          <w:color w:val="000000"/>
          <w:sz w:val="32"/>
          <w:szCs w:val="32"/>
        </w:rPr>
        <w:t>5.城乡社区支出（2120101）行政运行:2019年</w:t>
      </w:r>
      <w:r>
        <w:rPr>
          <w:rStyle w:val="15"/>
          <w:rFonts w:hint="eastAsia" w:ascii="仿宋" w:hAnsi="仿宋" w:eastAsia="仿宋"/>
          <w:b w:val="0"/>
          <w:color w:val="000000"/>
          <w:sz w:val="32"/>
          <w:szCs w:val="32"/>
        </w:rPr>
        <w:t>支出决算为480.09万元，完成预算100%。</w:t>
      </w:r>
    </w:p>
    <w:p w14:paraId="0B6A4278">
      <w:pPr>
        <w:spacing w:line="600" w:lineRule="exact"/>
        <w:ind w:firstLine="643" w:firstLineChars="200"/>
        <w:rPr>
          <w:rStyle w:val="15"/>
          <w:rFonts w:ascii="仿宋" w:hAnsi="仿宋" w:eastAsia="仿宋"/>
          <w:color w:val="000000"/>
          <w:sz w:val="32"/>
          <w:szCs w:val="32"/>
        </w:rPr>
      </w:pPr>
      <w:r>
        <w:rPr>
          <w:rStyle w:val="15"/>
          <w:rFonts w:hint="eastAsia" w:ascii="仿宋" w:hAnsi="仿宋" w:eastAsia="仿宋"/>
          <w:color w:val="000000"/>
          <w:sz w:val="32"/>
          <w:szCs w:val="32"/>
        </w:rPr>
        <w:t>6.住房保障(2210201)住房公积金: 2019年</w:t>
      </w:r>
      <w:r>
        <w:rPr>
          <w:rStyle w:val="15"/>
          <w:rFonts w:hint="eastAsia" w:ascii="仿宋" w:hAnsi="仿宋" w:eastAsia="仿宋"/>
          <w:b w:val="0"/>
          <w:color w:val="000000"/>
          <w:sz w:val="32"/>
          <w:szCs w:val="32"/>
        </w:rPr>
        <w:t>支出决算为30万元，完成预算100%</w:t>
      </w:r>
      <w:r>
        <w:rPr>
          <w:rStyle w:val="15"/>
          <w:rFonts w:hint="eastAsia" w:ascii="仿宋" w:hAnsi="仿宋" w:eastAsia="仿宋"/>
          <w:color w:val="000000"/>
          <w:sz w:val="32"/>
          <w:szCs w:val="32"/>
        </w:rPr>
        <w:t>。</w:t>
      </w:r>
    </w:p>
    <w:p w14:paraId="63E1660E">
      <w:pPr>
        <w:spacing w:line="600" w:lineRule="exact"/>
        <w:ind w:firstLine="640"/>
        <w:rPr>
          <w:rFonts w:ascii="仿宋" w:hAnsi="仿宋" w:eastAsia="仿宋"/>
          <w:b/>
          <w:color w:val="000000"/>
          <w:sz w:val="32"/>
          <w:szCs w:val="32"/>
        </w:rPr>
      </w:pPr>
    </w:p>
    <w:p w14:paraId="7B0C2220">
      <w:pPr>
        <w:tabs>
          <w:tab w:val="right" w:pos="8306"/>
        </w:tabs>
        <w:spacing w:line="600" w:lineRule="exact"/>
        <w:ind w:firstLine="640"/>
        <w:outlineLvl w:val="1"/>
        <w:rPr>
          <w:rStyle w:val="26"/>
        </w:rPr>
      </w:pPr>
      <w:bookmarkStart w:id="44" w:name="_Toc15377214"/>
      <w:bookmarkStart w:id="45" w:name="_Toc15396608"/>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6"/>
          <w:rFonts w:hint="eastAsia" w:ascii="黑体" w:hAnsi="黑体" w:eastAsia="黑体"/>
          <w:b w:val="0"/>
        </w:rPr>
        <w:t>般公共预算财政拨款基本支出决算情况说明</w:t>
      </w:r>
      <w:bookmarkEnd w:id="44"/>
      <w:bookmarkEnd w:id="45"/>
      <w:r>
        <w:rPr>
          <w:rStyle w:val="26"/>
          <w:rFonts w:ascii="黑体" w:hAnsi="黑体" w:eastAsia="黑体"/>
          <w:b w:val="0"/>
        </w:rPr>
        <w:tab/>
      </w:r>
    </w:p>
    <w:p w14:paraId="5D6EA963">
      <w:pPr>
        <w:spacing w:line="600" w:lineRule="exact"/>
        <w:ind w:firstLine="645"/>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9年一般公共预算财政拨款基本支出559.67万元，其中：</w:t>
      </w:r>
    </w:p>
    <w:p w14:paraId="2BA88761">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人员经费531.22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color w:val="000000"/>
          <w:sz w:val="32"/>
          <w:szCs w:val="32"/>
        </w:rPr>
        <w:br w:type="textWrapping"/>
      </w:r>
      <w:r>
        <w:rPr>
          <w:rFonts w:hint="eastAsia" w:ascii="仿宋" w:hAnsi="仿宋" w:eastAsia="仿宋"/>
          <w:color w:val="000000"/>
          <w:sz w:val="32"/>
          <w:szCs w:val="32"/>
        </w:rPr>
        <w:t>　　日常公用经费28.45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3249B600">
      <w:pPr>
        <w:spacing w:line="600" w:lineRule="exact"/>
        <w:ind w:firstLine="640"/>
        <w:outlineLvl w:val="1"/>
        <w:rPr>
          <w:rStyle w:val="26"/>
          <w:rFonts w:ascii="黑体" w:hAnsi="黑体" w:eastAsia="黑体"/>
          <w:b w:val="0"/>
        </w:rPr>
      </w:pPr>
      <w:bookmarkStart w:id="46" w:name="_Toc15377215"/>
      <w:bookmarkStart w:id="47" w:name="_Toc15396609"/>
      <w:r>
        <w:rPr>
          <w:rFonts w:hint="eastAsia" w:ascii="黑体" w:eastAsia="黑体"/>
          <w:color w:val="000000"/>
          <w:sz w:val="32"/>
          <w:szCs w:val="32"/>
        </w:rPr>
        <w:t>七、</w:t>
      </w:r>
      <w:r>
        <w:rPr>
          <w:rStyle w:val="26"/>
          <w:rFonts w:hint="eastAsia" w:ascii="黑体" w:hAnsi="黑体" w:eastAsia="黑体"/>
        </w:rPr>
        <w:t>“</w:t>
      </w:r>
      <w:r>
        <w:rPr>
          <w:rStyle w:val="26"/>
          <w:rFonts w:hint="eastAsia" w:ascii="黑体" w:hAnsi="黑体" w:eastAsia="黑体"/>
          <w:b w:val="0"/>
        </w:rPr>
        <w:t>三公”经费财政拨款支出决算情况说明</w:t>
      </w:r>
      <w:bookmarkEnd w:id="46"/>
      <w:bookmarkEnd w:id="47"/>
    </w:p>
    <w:p w14:paraId="75D3E4E3">
      <w:pPr>
        <w:spacing w:line="600" w:lineRule="exact"/>
        <w:ind w:firstLine="640"/>
        <w:outlineLvl w:val="2"/>
        <w:rPr>
          <w:rFonts w:ascii="仿宋" w:hAnsi="仿宋" w:eastAsia="仿宋"/>
          <w:b/>
          <w:color w:val="000000"/>
          <w:sz w:val="32"/>
          <w:szCs w:val="32"/>
        </w:rPr>
      </w:pPr>
      <w:bookmarkStart w:id="48" w:name="_Toc15377216"/>
      <w:r>
        <w:rPr>
          <w:rFonts w:hint="eastAsia" w:ascii="仿宋" w:hAnsi="仿宋" w:eastAsia="仿宋"/>
          <w:b/>
          <w:color w:val="000000"/>
          <w:sz w:val="32"/>
          <w:szCs w:val="32"/>
        </w:rPr>
        <w:t>（一）“三公”经费财政拨款支出决算总体情况说明</w:t>
      </w:r>
      <w:bookmarkEnd w:id="48"/>
    </w:p>
    <w:p w14:paraId="37A0C5B5">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9年本单位“三公”经费财政拨款支出决算为0万元，完成预算0</w:t>
      </w:r>
      <w:r>
        <w:rPr>
          <w:rFonts w:ascii="仿宋" w:hAnsi="仿宋" w:eastAsia="仿宋"/>
          <w:color w:val="000000"/>
          <w:sz w:val="32"/>
          <w:szCs w:val="32"/>
        </w:rPr>
        <w:t>%</w:t>
      </w:r>
      <w:r>
        <w:rPr>
          <w:rFonts w:hint="eastAsia" w:ascii="仿宋" w:hAnsi="仿宋" w:eastAsia="仿宋"/>
          <w:color w:val="000000"/>
          <w:sz w:val="32"/>
          <w:szCs w:val="32"/>
        </w:rPr>
        <w:t>。</w:t>
      </w:r>
      <w:r>
        <w:rPr>
          <w:rFonts w:ascii="仿宋" w:hAnsi="仿宋" w:eastAsia="仿宋"/>
          <w:color w:val="000000"/>
          <w:sz w:val="32"/>
          <w:szCs w:val="32"/>
        </w:rPr>
        <w:t xml:space="preserve"> </w:t>
      </w:r>
    </w:p>
    <w:p w14:paraId="27C8D0EE">
      <w:pPr>
        <w:spacing w:line="600" w:lineRule="exact"/>
        <w:ind w:firstLine="640"/>
        <w:outlineLvl w:val="2"/>
        <w:rPr>
          <w:rFonts w:ascii="仿宋" w:hAnsi="仿宋" w:eastAsia="仿宋"/>
          <w:b/>
          <w:color w:val="000000"/>
          <w:sz w:val="32"/>
          <w:szCs w:val="32"/>
        </w:rPr>
      </w:pPr>
      <w:bookmarkStart w:id="49" w:name="_Toc15377217"/>
      <w:r>
        <w:rPr>
          <w:rFonts w:hint="eastAsia" w:ascii="仿宋" w:hAnsi="仿宋" w:eastAsia="仿宋"/>
          <w:b/>
          <w:color w:val="000000"/>
          <w:sz w:val="32"/>
          <w:szCs w:val="32"/>
        </w:rPr>
        <w:t>（二）“三公”经费财政拨款支出决算具体情况说明</w:t>
      </w:r>
      <w:bookmarkEnd w:id="49"/>
    </w:p>
    <w:p w14:paraId="346237D2">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9年本单位未产生“三公”经费。财政拨款支出决算中因公出国（境）费支出决算0万元，占0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；公务用车购置及运行维护费支出决算0万元，占0</w:t>
      </w:r>
      <w:r>
        <w:rPr>
          <w:rFonts w:ascii="仿宋" w:hAnsi="仿宋" w:eastAsia="仿宋"/>
          <w:color w:val="000000"/>
          <w:sz w:val="32"/>
          <w:szCs w:val="32"/>
        </w:rPr>
        <w:t>%</w:t>
      </w:r>
      <w:r>
        <w:rPr>
          <w:rFonts w:hint="eastAsia" w:ascii="仿宋" w:hAnsi="仿宋" w:eastAsia="仿宋"/>
          <w:color w:val="000000"/>
          <w:sz w:val="32"/>
          <w:szCs w:val="32"/>
        </w:rPr>
        <w:t>；公务接待费支出决算0万元，占0</w:t>
      </w:r>
      <w:r>
        <w:rPr>
          <w:rFonts w:ascii="仿宋" w:hAnsi="仿宋" w:eastAsia="仿宋"/>
          <w:color w:val="000000"/>
          <w:sz w:val="32"/>
          <w:szCs w:val="32"/>
        </w:rPr>
        <w:t>%</w:t>
      </w:r>
      <w:r>
        <w:rPr>
          <w:rFonts w:hint="eastAsia" w:ascii="仿宋" w:hAnsi="仿宋" w:eastAsia="仿宋"/>
          <w:color w:val="000000"/>
          <w:sz w:val="32"/>
          <w:szCs w:val="32"/>
        </w:rPr>
        <w:t>。具体情况如下：</w:t>
      </w:r>
    </w:p>
    <w:p w14:paraId="6870D34A">
      <w:pPr>
        <w:spacing w:line="600" w:lineRule="exact"/>
        <w:ind w:firstLine="640"/>
        <w:rPr>
          <w:rFonts w:ascii="仿宋" w:hAnsi="仿宋" w:eastAsia="仿宋"/>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因公出国（境）经费支出</w:t>
      </w:r>
      <w:r>
        <w:rPr>
          <w:rFonts w:hint="eastAsia" w:ascii="仿宋" w:hAnsi="仿宋" w:eastAsia="仿宋"/>
          <w:color w:val="000000"/>
          <w:sz w:val="32"/>
          <w:szCs w:val="32"/>
        </w:rPr>
        <w:t>0万元，</w:t>
      </w:r>
      <w:r>
        <w:rPr>
          <w:rStyle w:val="15"/>
          <w:rFonts w:hint="eastAsia" w:ascii="仿宋" w:hAnsi="仿宋" w:eastAsia="仿宋"/>
          <w:b w:val="0"/>
          <w:bCs/>
          <w:color w:val="000000"/>
          <w:sz w:val="32"/>
          <w:szCs w:val="32"/>
        </w:rPr>
        <w:t>完成预算0</w:t>
      </w:r>
      <w:r>
        <w:rPr>
          <w:rStyle w:val="15"/>
          <w:rFonts w:ascii="仿宋" w:hAnsi="仿宋" w:eastAsia="仿宋"/>
          <w:b w:val="0"/>
          <w:bCs/>
          <w:color w:val="000000"/>
          <w:sz w:val="32"/>
          <w:szCs w:val="32"/>
        </w:rPr>
        <w:t>%</w:t>
      </w:r>
      <w:r>
        <w:rPr>
          <w:rStyle w:val="15"/>
          <w:rFonts w:hint="eastAsia" w:ascii="仿宋" w:hAnsi="仿宋" w:eastAsia="仿宋"/>
          <w:b w:val="0"/>
          <w:bCs/>
          <w:color w:val="000000"/>
          <w:sz w:val="32"/>
          <w:szCs w:val="32"/>
        </w:rPr>
        <w:t>。</w:t>
      </w:r>
      <w:r>
        <w:rPr>
          <w:rFonts w:hint="eastAsia" w:ascii="仿宋" w:hAnsi="仿宋" w:eastAsia="仿宋"/>
          <w:color w:val="000000"/>
          <w:sz w:val="32"/>
          <w:szCs w:val="32"/>
        </w:rPr>
        <w:t>全年安排因公出国（境）团组0次，出国（境）0人。因公出国（境）支出决算比</w:t>
      </w:r>
      <w:r>
        <w:rPr>
          <w:rFonts w:ascii="仿宋" w:hAnsi="仿宋" w:eastAsia="仿宋"/>
          <w:color w:val="000000"/>
          <w:sz w:val="32"/>
          <w:szCs w:val="32"/>
        </w:rPr>
        <w:t>201</w:t>
      </w:r>
      <w:r>
        <w:rPr>
          <w:rFonts w:hint="eastAsia" w:ascii="仿宋" w:hAnsi="仿宋" w:eastAsia="仿宋"/>
          <w:color w:val="000000"/>
          <w:sz w:val="32"/>
          <w:szCs w:val="32"/>
        </w:rPr>
        <w:t>8年增加</w:t>
      </w:r>
      <w:r>
        <w:rPr>
          <w:rFonts w:ascii="仿宋" w:hAnsi="仿宋" w:eastAsia="仿宋"/>
          <w:color w:val="000000"/>
          <w:sz w:val="32"/>
          <w:szCs w:val="32"/>
        </w:rPr>
        <w:t>/</w:t>
      </w:r>
      <w:r>
        <w:rPr>
          <w:rFonts w:hint="eastAsia" w:ascii="仿宋" w:hAnsi="仿宋" w:eastAsia="仿宋"/>
          <w:color w:val="000000"/>
          <w:sz w:val="32"/>
          <w:szCs w:val="32"/>
        </w:rPr>
        <w:t>减少0万元，增长</w:t>
      </w:r>
      <w:r>
        <w:rPr>
          <w:rFonts w:ascii="仿宋" w:hAnsi="仿宋" w:eastAsia="仿宋"/>
          <w:color w:val="000000"/>
          <w:sz w:val="32"/>
          <w:szCs w:val="32"/>
        </w:rPr>
        <w:t>/</w:t>
      </w:r>
      <w:r>
        <w:rPr>
          <w:rFonts w:hint="eastAsia" w:ascii="仿宋" w:hAnsi="仿宋" w:eastAsia="仿宋"/>
          <w:color w:val="000000"/>
          <w:sz w:val="32"/>
          <w:szCs w:val="32"/>
        </w:rPr>
        <w:t>下降0</w:t>
      </w:r>
      <w:r>
        <w:rPr>
          <w:rFonts w:ascii="仿宋" w:hAnsi="仿宋" w:eastAsia="仿宋"/>
          <w:color w:val="000000"/>
          <w:sz w:val="32"/>
          <w:szCs w:val="32"/>
        </w:rPr>
        <w:t>%</w:t>
      </w:r>
      <w:r>
        <w:rPr>
          <w:rFonts w:hint="eastAsia" w:ascii="仿宋" w:hAnsi="仿宋" w:eastAsia="仿宋"/>
          <w:color w:val="000000"/>
          <w:sz w:val="32"/>
          <w:szCs w:val="32"/>
        </w:rPr>
        <w:t>。</w:t>
      </w:r>
    </w:p>
    <w:p w14:paraId="740D60E7">
      <w:pPr>
        <w:spacing w:line="600" w:lineRule="exact"/>
        <w:ind w:firstLine="64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公务用车购置及运行维护费支出</w:t>
      </w:r>
      <w:r>
        <w:rPr>
          <w:rFonts w:hint="eastAsia" w:ascii="仿宋" w:hAnsi="仿宋" w:eastAsia="仿宋"/>
          <w:color w:val="000000"/>
          <w:sz w:val="32"/>
          <w:szCs w:val="32"/>
        </w:rPr>
        <w:t>0万元,</w:t>
      </w:r>
      <w:r>
        <w:rPr>
          <w:rStyle w:val="15"/>
          <w:rFonts w:hint="eastAsia" w:ascii="仿宋" w:hAnsi="仿宋" w:eastAsia="仿宋"/>
          <w:b w:val="0"/>
          <w:bCs/>
          <w:color w:val="000000"/>
          <w:sz w:val="32"/>
          <w:szCs w:val="32"/>
        </w:rPr>
        <w:t>完成预算0</w:t>
      </w:r>
      <w:r>
        <w:rPr>
          <w:rStyle w:val="15"/>
          <w:rFonts w:ascii="仿宋" w:hAnsi="仿宋" w:eastAsia="仿宋"/>
          <w:b w:val="0"/>
          <w:bCs/>
          <w:color w:val="000000"/>
          <w:sz w:val="32"/>
          <w:szCs w:val="32"/>
        </w:rPr>
        <w:t>%</w:t>
      </w:r>
      <w:r>
        <w:rPr>
          <w:rStyle w:val="15"/>
          <w:rFonts w:hint="eastAsia" w:ascii="仿宋" w:hAnsi="仿宋" w:eastAsia="仿宋"/>
          <w:b w:val="0"/>
          <w:bCs/>
          <w:color w:val="000000"/>
          <w:sz w:val="32"/>
          <w:szCs w:val="32"/>
        </w:rPr>
        <w:t>。</w:t>
      </w:r>
      <w:r>
        <w:rPr>
          <w:rFonts w:hint="eastAsia" w:ascii="仿宋" w:hAnsi="仿宋" w:eastAsia="仿宋"/>
          <w:color w:val="000000"/>
          <w:sz w:val="32"/>
          <w:szCs w:val="32"/>
        </w:rPr>
        <w:t>公务用车购置及运行维护费支出决算比</w:t>
      </w:r>
      <w:r>
        <w:rPr>
          <w:rFonts w:ascii="仿宋" w:hAnsi="仿宋" w:eastAsia="仿宋"/>
          <w:color w:val="000000"/>
          <w:sz w:val="32"/>
          <w:szCs w:val="32"/>
        </w:rPr>
        <w:t>201</w:t>
      </w:r>
      <w:r>
        <w:rPr>
          <w:rFonts w:hint="eastAsia" w:ascii="仿宋" w:hAnsi="仿宋" w:eastAsia="仿宋"/>
          <w:color w:val="000000"/>
          <w:sz w:val="32"/>
          <w:szCs w:val="32"/>
        </w:rPr>
        <w:t>8年增加</w:t>
      </w:r>
      <w:r>
        <w:rPr>
          <w:rFonts w:ascii="仿宋" w:hAnsi="仿宋" w:eastAsia="仿宋"/>
          <w:color w:val="000000"/>
          <w:sz w:val="32"/>
          <w:szCs w:val="32"/>
        </w:rPr>
        <w:t>/</w:t>
      </w:r>
      <w:r>
        <w:rPr>
          <w:rFonts w:hint="eastAsia" w:ascii="仿宋" w:hAnsi="仿宋" w:eastAsia="仿宋"/>
          <w:color w:val="000000"/>
          <w:sz w:val="32"/>
          <w:szCs w:val="32"/>
        </w:rPr>
        <w:t>减少0万元，增长</w:t>
      </w:r>
      <w:r>
        <w:rPr>
          <w:rFonts w:ascii="仿宋" w:hAnsi="仿宋" w:eastAsia="仿宋"/>
          <w:color w:val="000000"/>
          <w:sz w:val="32"/>
          <w:szCs w:val="32"/>
        </w:rPr>
        <w:t>/</w:t>
      </w:r>
      <w:r>
        <w:rPr>
          <w:rFonts w:hint="eastAsia" w:ascii="仿宋" w:hAnsi="仿宋" w:eastAsia="仿宋"/>
          <w:color w:val="000000"/>
          <w:sz w:val="32"/>
          <w:szCs w:val="32"/>
        </w:rPr>
        <w:t>下降0</w:t>
      </w:r>
      <w:r>
        <w:rPr>
          <w:rFonts w:ascii="仿宋" w:hAnsi="仿宋" w:eastAsia="仿宋"/>
          <w:color w:val="000000"/>
          <w:sz w:val="32"/>
          <w:szCs w:val="32"/>
        </w:rPr>
        <w:t>%</w:t>
      </w:r>
      <w:r>
        <w:rPr>
          <w:rFonts w:hint="eastAsia" w:ascii="仿宋" w:hAnsi="仿宋" w:eastAsia="仿宋"/>
          <w:color w:val="000000"/>
          <w:sz w:val="32"/>
          <w:szCs w:val="32"/>
        </w:rPr>
        <w:t>。</w:t>
      </w:r>
    </w:p>
    <w:p w14:paraId="7D91774D">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其中：</w:t>
      </w:r>
      <w:r>
        <w:rPr>
          <w:rFonts w:hint="eastAsia" w:ascii="仿宋" w:hAnsi="仿宋" w:eastAsia="仿宋"/>
          <w:b/>
          <w:color w:val="000000"/>
          <w:sz w:val="32"/>
          <w:szCs w:val="32"/>
        </w:rPr>
        <w:t>公务用车购置支出</w:t>
      </w:r>
      <w:r>
        <w:rPr>
          <w:rFonts w:hint="eastAsia" w:ascii="仿宋" w:hAnsi="仿宋" w:eastAsia="仿宋"/>
          <w:color w:val="000000"/>
          <w:sz w:val="32"/>
          <w:szCs w:val="32"/>
        </w:rPr>
        <w:t>0万元。全年按规定更新购置公务用车0辆，金额0</w:t>
      </w:r>
      <w:r>
        <w:rPr>
          <w:rFonts w:ascii="仿宋" w:hAnsi="仿宋" w:eastAsia="仿宋"/>
          <w:color w:val="000000"/>
          <w:sz w:val="32"/>
          <w:szCs w:val="32"/>
        </w:rPr>
        <w:t>元。</w:t>
      </w:r>
      <w:r>
        <w:rPr>
          <w:rFonts w:hint="eastAsia" w:ascii="仿宋" w:hAnsi="仿宋" w:eastAsia="仿宋"/>
          <w:color w:val="000000"/>
          <w:sz w:val="32"/>
          <w:szCs w:val="32"/>
        </w:rPr>
        <w:t>截至</w:t>
      </w:r>
      <w:r>
        <w:rPr>
          <w:rFonts w:ascii="仿宋" w:hAnsi="仿宋" w:eastAsia="仿宋"/>
          <w:color w:val="000000"/>
          <w:sz w:val="32"/>
          <w:szCs w:val="32"/>
        </w:rPr>
        <w:t>201</w:t>
      </w:r>
      <w:r>
        <w:rPr>
          <w:rFonts w:hint="eastAsia" w:ascii="仿宋" w:hAnsi="仿宋" w:eastAsia="仿宋"/>
          <w:color w:val="000000"/>
          <w:sz w:val="32"/>
          <w:szCs w:val="32"/>
        </w:rPr>
        <w:t>9年</w:t>
      </w:r>
      <w:r>
        <w:rPr>
          <w:rFonts w:ascii="仿宋" w:hAnsi="仿宋" w:eastAsia="仿宋"/>
          <w:color w:val="000000"/>
          <w:sz w:val="32"/>
          <w:szCs w:val="32"/>
        </w:rPr>
        <w:t>12</w:t>
      </w:r>
      <w:r>
        <w:rPr>
          <w:rFonts w:hint="eastAsia" w:ascii="仿宋" w:hAnsi="仿宋" w:eastAsia="仿宋"/>
          <w:color w:val="000000"/>
          <w:sz w:val="32"/>
          <w:szCs w:val="32"/>
        </w:rPr>
        <w:t>月底，单位共有公务用车0辆，其中：主要领导干部用车0辆、机要通信用车0辆、应急保障用车0辆、 执法执勤用车0辆</w:t>
      </w:r>
    </w:p>
    <w:p w14:paraId="181674E1">
      <w:pPr>
        <w:spacing w:line="600" w:lineRule="exact"/>
        <w:ind w:firstLine="640"/>
        <w:rPr>
          <w:rFonts w:ascii="仿宋" w:hAnsi="仿宋" w:eastAsia="仿宋"/>
          <w:color w:val="000000"/>
          <w:sz w:val="32"/>
          <w:szCs w:val="32"/>
        </w:rPr>
      </w:pPr>
      <w:r>
        <w:rPr>
          <w:rFonts w:hint="eastAsia" w:ascii="仿宋" w:hAnsi="仿宋" w:eastAsia="仿宋"/>
          <w:b/>
          <w:color w:val="000000"/>
          <w:sz w:val="32"/>
          <w:szCs w:val="32"/>
        </w:rPr>
        <w:t>公务用车运行维护费支出</w:t>
      </w:r>
      <w:r>
        <w:rPr>
          <w:rFonts w:hint="eastAsia" w:ascii="仿宋" w:hAnsi="仿宋" w:eastAsia="仿宋"/>
          <w:color w:val="000000"/>
          <w:sz w:val="32"/>
          <w:szCs w:val="32"/>
        </w:rPr>
        <w:t>0万元。</w:t>
      </w:r>
    </w:p>
    <w:p w14:paraId="723CFBF3">
      <w:pPr>
        <w:spacing w:line="600" w:lineRule="exact"/>
        <w:ind w:firstLine="640"/>
        <w:rPr>
          <w:rFonts w:ascii="仿宋" w:hAnsi="仿宋" w:eastAsia="仿宋"/>
          <w:color w:val="000000"/>
          <w:sz w:val="32"/>
          <w:szCs w:val="32"/>
        </w:rPr>
      </w:pPr>
      <w:r>
        <w:rPr>
          <w:rFonts w:ascii="仿宋" w:hAnsi="仿宋" w:eastAsia="仿宋"/>
          <w:b/>
          <w:color w:val="000000"/>
          <w:sz w:val="32"/>
          <w:szCs w:val="32"/>
        </w:rPr>
        <w:t>3.</w:t>
      </w:r>
      <w:r>
        <w:rPr>
          <w:rFonts w:hint="eastAsia" w:ascii="仿宋" w:hAnsi="仿宋" w:eastAsia="仿宋"/>
          <w:b/>
          <w:color w:val="000000"/>
          <w:sz w:val="32"/>
          <w:szCs w:val="32"/>
        </w:rPr>
        <w:t>公务接待费支出</w:t>
      </w:r>
      <w:r>
        <w:rPr>
          <w:rFonts w:hint="eastAsia" w:ascii="仿宋" w:hAnsi="仿宋" w:eastAsia="仿宋"/>
          <w:color w:val="000000"/>
          <w:sz w:val="32"/>
          <w:szCs w:val="32"/>
        </w:rPr>
        <w:t>0万元，</w:t>
      </w:r>
      <w:r>
        <w:rPr>
          <w:rStyle w:val="15"/>
          <w:rFonts w:hint="eastAsia" w:ascii="仿宋" w:hAnsi="仿宋" w:eastAsia="仿宋"/>
          <w:b w:val="0"/>
          <w:bCs/>
          <w:color w:val="000000"/>
          <w:sz w:val="32"/>
          <w:szCs w:val="32"/>
        </w:rPr>
        <w:t>完成预算0</w:t>
      </w:r>
      <w:r>
        <w:rPr>
          <w:rStyle w:val="15"/>
          <w:rFonts w:ascii="仿宋" w:hAnsi="仿宋" w:eastAsia="仿宋"/>
          <w:b w:val="0"/>
          <w:bCs/>
          <w:color w:val="000000"/>
          <w:sz w:val="32"/>
          <w:szCs w:val="32"/>
        </w:rPr>
        <w:t>%</w:t>
      </w:r>
      <w:r>
        <w:rPr>
          <w:rStyle w:val="15"/>
          <w:rFonts w:hint="eastAsia" w:ascii="仿宋" w:hAnsi="仿宋" w:eastAsia="仿宋"/>
          <w:b w:val="0"/>
          <w:bCs/>
          <w:color w:val="000000"/>
          <w:sz w:val="32"/>
          <w:szCs w:val="32"/>
        </w:rPr>
        <w:t>。</w:t>
      </w:r>
      <w:r>
        <w:rPr>
          <w:rFonts w:hint="eastAsia" w:ascii="仿宋" w:hAnsi="仿宋" w:eastAsia="仿宋"/>
          <w:color w:val="000000"/>
          <w:sz w:val="32"/>
          <w:szCs w:val="32"/>
        </w:rPr>
        <w:t>公务接待费支出决算比</w:t>
      </w:r>
      <w:r>
        <w:rPr>
          <w:rFonts w:ascii="仿宋" w:hAnsi="仿宋" w:eastAsia="仿宋"/>
          <w:color w:val="000000"/>
          <w:sz w:val="32"/>
          <w:szCs w:val="32"/>
        </w:rPr>
        <w:t>201</w:t>
      </w:r>
      <w:r>
        <w:rPr>
          <w:rFonts w:hint="eastAsia" w:ascii="仿宋" w:hAnsi="仿宋" w:eastAsia="仿宋"/>
          <w:color w:val="000000"/>
          <w:sz w:val="32"/>
          <w:szCs w:val="32"/>
        </w:rPr>
        <w:t>8年增加</w:t>
      </w:r>
      <w:r>
        <w:rPr>
          <w:rFonts w:ascii="仿宋" w:hAnsi="仿宋" w:eastAsia="仿宋"/>
          <w:color w:val="000000"/>
          <w:sz w:val="32"/>
          <w:szCs w:val="32"/>
        </w:rPr>
        <w:t>/</w:t>
      </w:r>
      <w:r>
        <w:rPr>
          <w:rFonts w:hint="eastAsia" w:ascii="仿宋" w:hAnsi="仿宋" w:eastAsia="仿宋"/>
          <w:color w:val="000000"/>
          <w:sz w:val="32"/>
          <w:szCs w:val="32"/>
        </w:rPr>
        <w:t>减少0万元，增长</w:t>
      </w:r>
      <w:r>
        <w:rPr>
          <w:rFonts w:ascii="仿宋" w:hAnsi="仿宋" w:eastAsia="仿宋"/>
          <w:color w:val="000000"/>
          <w:sz w:val="32"/>
          <w:szCs w:val="32"/>
        </w:rPr>
        <w:t>/</w:t>
      </w:r>
      <w:r>
        <w:rPr>
          <w:rFonts w:hint="eastAsia" w:ascii="仿宋" w:hAnsi="仿宋" w:eastAsia="仿宋"/>
          <w:color w:val="000000"/>
          <w:sz w:val="32"/>
          <w:szCs w:val="32"/>
        </w:rPr>
        <w:t>下降0</w:t>
      </w:r>
      <w:r>
        <w:rPr>
          <w:rFonts w:ascii="仿宋" w:hAnsi="仿宋" w:eastAsia="仿宋"/>
          <w:color w:val="000000"/>
          <w:sz w:val="32"/>
          <w:szCs w:val="32"/>
        </w:rPr>
        <w:t>%</w:t>
      </w:r>
      <w:r>
        <w:rPr>
          <w:rFonts w:hint="eastAsia" w:ascii="仿宋" w:hAnsi="仿宋" w:eastAsia="仿宋"/>
          <w:color w:val="000000"/>
          <w:sz w:val="32"/>
          <w:szCs w:val="32"/>
        </w:rPr>
        <w:t>。其中：</w:t>
      </w:r>
    </w:p>
    <w:p w14:paraId="2DBA1105">
      <w:pPr>
        <w:spacing w:line="600" w:lineRule="exact"/>
        <w:ind w:firstLine="640"/>
        <w:rPr>
          <w:rFonts w:ascii="仿宋" w:hAnsi="仿宋" w:eastAsia="仿宋"/>
          <w:color w:val="000000"/>
          <w:sz w:val="32"/>
          <w:szCs w:val="32"/>
        </w:rPr>
      </w:pPr>
      <w:r>
        <w:rPr>
          <w:rFonts w:hint="eastAsia" w:ascii="仿宋" w:hAnsi="仿宋" w:eastAsia="仿宋"/>
          <w:b/>
          <w:color w:val="000000"/>
          <w:sz w:val="32"/>
          <w:szCs w:val="32"/>
        </w:rPr>
        <w:t>国内公务接待支出</w:t>
      </w:r>
      <w:r>
        <w:rPr>
          <w:rFonts w:hint="eastAsia" w:ascii="仿宋" w:hAnsi="仿宋" w:eastAsia="仿宋"/>
          <w:color w:val="000000"/>
          <w:sz w:val="32"/>
          <w:szCs w:val="32"/>
        </w:rPr>
        <w:t>0万元。国内公务接待0批次，0人次（不包括陪同人员），共计支出0万元。</w:t>
      </w:r>
    </w:p>
    <w:p w14:paraId="36A2273A">
      <w:pPr>
        <w:spacing w:line="600" w:lineRule="exact"/>
        <w:ind w:firstLine="643" w:firstLineChars="200"/>
        <w:rPr>
          <w:rFonts w:ascii="仿宋" w:hAnsi="仿宋" w:eastAsia="仿宋"/>
          <w:color w:val="000000" w:themeColor="text1"/>
          <w:sz w:val="32"/>
          <w:szCs w:val="32"/>
        </w:rPr>
      </w:pPr>
      <w:r>
        <w:rPr>
          <w:rFonts w:hint="eastAsia" w:ascii="仿宋" w:hAnsi="仿宋" w:eastAsia="仿宋"/>
          <w:b/>
          <w:color w:val="000000"/>
          <w:sz w:val="32"/>
          <w:szCs w:val="32"/>
        </w:rPr>
        <w:t>外事接待支出</w:t>
      </w:r>
      <w:r>
        <w:rPr>
          <w:rFonts w:hint="eastAsia" w:ascii="仿宋" w:hAnsi="仿宋" w:eastAsia="仿宋"/>
          <w:color w:val="000000"/>
          <w:sz w:val="32"/>
          <w:szCs w:val="32"/>
        </w:rPr>
        <w:t>0万元</w:t>
      </w:r>
      <w:r>
        <w:rPr>
          <w:rFonts w:hint="eastAsia" w:ascii="仿宋" w:hAnsi="仿宋" w:eastAsia="仿宋"/>
          <w:color w:val="000000" w:themeColor="text1"/>
          <w:sz w:val="32"/>
          <w:szCs w:val="32"/>
        </w:rPr>
        <w:t>，外事接待0批次，0人，共计支出0万元。</w:t>
      </w:r>
      <w:r>
        <w:rPr>
          <w:rFonts w:ascii="仿宋" w:hAnsi="仿宋" w:eastAsia="仿宋"/>
          <w:color w:val="000000" w:themeColor="text1"/>
          <w:sz w:val="32"/>
          <w:szCs w:val="32"/>
        </w:rPr>
        <w:t xml:space="preserve"> </w:t>
      </w:r>
    </w:p>
    <w:p w14:paraId="678CB793">
      <w:pPr>
        <w:spacing w:line="600" w:lineRule="exact"/>
        <w:ind w:firstLine="643" w:firstLineChars="200"/>
        <w:outlineLvl w:val="1"/>
        <w:rPr>
          <w:rStyle w:val="26"/>
          <w:rFonts w:ascii="仿宋" w:hAnsi="仿宋" w:eastAsia="仿宋"/>
          <w:b/>
          <w:bCs/>
        </w:rPr>
      </w:pPr>
      <w:bookmarkStart w:id="50" w:name="_Toc15396610"/>
      <w:bookmarkStart w:id="51" w:name="_Toc15377218"/>
      <w:r>
        <w:rPr>
          <w:rFonts w:hint="eastAsia" w:ascii="仿宋" w:hAnsi="仿宋" w:eastAsia="仿宋"/>
          <w:b/>
          <w:bCs/>
          <w:color w:val="000000"/>
          <w:sz w:val="32"/>
          <w:szCs w:val="32"/>
        </w:rPr>
        <w:t>八、</w:t>
      </w:r>
      <w:r>
        <w:rPr>
          <w:rStyle w:val="26"/>
          <w:rFonts w:hint="eastAsia" w:ascii="仿宋" w:hAnsi="仿宋" w:eastAsia="仿宋"/>
          <w:b/>
          <w:bCs/>
        </w:rPr>
        <w:t>政府性基金预算支出决算情况说明</w:t>
      </w:r>
      <w:bookmarkEnd w:id="50"/>
      <w:bookmarkEnd w:id="51"/>
    </w:p>
    <w:p w14:paraId="040C5AD1">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9年政府性基金预算拨款支出337.74万元。</w:t>
      </w:r>
    </w:p>
    <w:p w14:paraId="482AEEE3">
      <w:pPr>
        <w:spacing w:line="600" w:lineRule="exact"/>
        <w:ind w:firstLine="643" w:firstLineChars="200"/>
        <w:outlineLvl w:val="1"/>
        <w:rPr>
          <w:rStyle w:val="26"/>
          <w:rFonts w:ascii="仿宋" w:hAnsi="仿宋" w:eastAsia="仿宋"/>
          <w:b/>
          <w:bCs w:val="0"/>
        </w:rPr>
      </w:pPr>
      <w:bookmarkStart w:id="52" w:name="_Toc15377219"/>
      <w:bookmarkStart w:id="53" w:name="_Toc15396611"/>
      <w:r>
        <w:rPr>
          <w:rStyle w:val="26"/>
          <w:rFonts w:hint="eastAsia" w:ascii="仿宋" w:hAnsi="仿宋" w:eastAsia="仿宋"/>
          <w:b/>
          <w:bCs w:val="0"/>
        </w:rPr>
        <w:t>九、国有资本经营预算支出决算情况说明</w:t>
      </w:r>
      <w:bookmarkEnd w:id="52"/>
      <w:bookmarkEnd w:id="53"/>
    </w:p>
    <w:p w14:paraId="2D4E0A94">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9年国有资本经营预算拨款支出0万元。</w:t>
      </w:r>
    </w:p>
    <w:p w14:paraId="3358F00A">
      <w:pPr>
        <w:spacing w:line="600" w:lineRule="exact"/>
        <w:ind w:firstLine="643" w:firstLineChars="200"/>
        <w:outlineLvl w:val="1"/>
        <w:rPr>
          <w:rStyle w:val="26"/>
          <w:rFonts w:ascii="仿宋" w:hAnsi="仿宋" w:eastAsia="仿宋"/>
          <w:b/>
          <w:bCs/>
        </w:rPr>
      </w:pPr>
      <w:bookmarkStart w:id="54" w:name="_Toc15396612"/>
      <w:bookmarkStart w:id="55" w:name="_Toc15377221"/>
      <w:r>
        <w:rPr>
          <w:rFonts w:hint="eastAsia" w:ascii="仿宋" w:hAnsi="仿宋" w:eastAsia="仿宋"/>
          <w:b/>
          <w:bCs/>
          <w:color w:val="000000"/>
          <w:sz w:val="32"/>
          <w:szCs w:val="32"/>
        </w:rPr>
        <w:t>十</w:t>
      </w:r>
      <w:r>
        <w:rPr>
          <w:rStyle w:val="26"/>
          <w:rFonts w:hint="eastAsia" w:ascii="仿宋" w:hAnsi="仿宋" w:eastAsia="仿宋"/>
          <w:b/>
          <w:bCs/>
        </w:rPr>
        <w:t>、其他重要事项的情况说明</w:t>
      </w:r>
      <w:bookmarkEnd w:id="54"/>
      <w:bookmarkEnd w:id="55"/>
    </w:p>
    <w:p w14:paraId="7A5EA5B6">
      <w:pPr>
        <w:spacing w:line="600" w:lineRule="exact"/>
        <w:ind w:firstLine="321" w:firstLineChars="100"/>
        <w:outlineLvl w:val="2"/>
        <w:rPr>
          <w:rFonts w:ascii="仿宋" w:hAnsi="仿宋" w:eastAsia="仿宋"/>
          <w:color w:val="000000"/>
          <w:sz w:val="32"/>
          <w:szCs w:val="32"/>
        </w:rPr>
      </w:pPr>
      <w:bookmarkStart w:id="56" w:name="_Toc15377222"/>
      <w:r>
        <w:rPr>
          <w:rFonts w:hint="eastAsia" w:ascii="仿宋" w:hAnsi="仿宋" w:eastAsia="仿宋"/>
          <w:b/>
          <w:color w:val="000000"/>
          <w:sz w:val="32"/>
          <w:szCs w:val="32"/>
        </w:rPr>
        <w:t>（一）机关运行经费支出情况</w:t>
      </w:r>
      <w:bookmarkEnd w:id="56"/>
    </w:p>
    <w:p w14:paraId="201F51E3">
      <w:pPr>
        <w:spacing w:line="600" w:lineRule="exact"/>
        <w:ind w:firstLine="640" w:firstLineChars="200"/>
        <w:rPr>
          <w:rFonts w:ascii="仿宋" w:hAnsi="仿宋" w:eastAsia="仿宋"/>
          <w:color w:val="000000" w:themeColor="text1"/>
          <w:sz w:val="32"/>
          <w:szCs w:val="32"/>
        </w:rPr>
      </w:pPr>
      <w:r>
        <w:rPr>
          <w:rFonts w:ascii="仿宋" w:hAnsi="仿宋" w:eastAsia="仿宋"/>
          <w:color w:val="000000"/>
          <w:sz w:val="32"/>
          <w:szCs w:val="32"/>
        </w:rPr>
        <w:t>201</w:t>
      </w:r>
      <w:r>
        <w:rPr>
          <w:rFonts w:hint="eastAsia" w:ascii="仿宋" w:hAnsi="仿宋" w:eastAsia="仿宋"/>
          <w:color w:val="000000"/>
          <w:sz w:val="32"/>
          <w:szCs w:val="32"/>
        </w:rPr>
        <w:t>9年，西区市容环境卫生管理服务中心机关运行经费支出28.45万元，比</w:t>
      </w:r>
      <w:r>
        <w:rPr>
          <w:rFonts w:ascii="仿宋" w:hAnsi="仿宋" w:eastAsia="仿宋"/>
          <w:color w:val="000000"/>
          <w:sz w:val="32"/>
          <w:szCs w:val="32"/>
        </w:rPr>
        <w:t>201</w:t>
      </w:r>
      <w:r>
        <w:rPr>
          <w:rFonts w:hint="eastAsia" w:ascii="仿宋" w:hAnsi="仿宋" w:eastAsia="仿宋"/>
          <w:color w:val="000000"/>
          <w:sz w:val="32"/>
          <w:szCs w:val="32"/>
        </w:rPr>
        <w:t>8年减少0.25万元，下降0.89</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themeColor="text1"/>
          <w:sz w:val="32"/>
          <w:szCs w:val="32"/>
        </w:rPr>
        <w:t>主要原因是办公经费减少。</w:t>
      </w:r>
    </w:p>
    <w:p w14:paraId="0511363B">
      <w:pPr>
        <w:autoSpaceDE w:val="0"/>
        <w:autoSpaceDN w:val="0"/>
        <w:adjustRightInd w:val="0"/>
        <w:spacing w:line="600" w:lineRule="exact"/>
        <w:ind w:firstLine="321" w:firstLineChars="100"/>
        <w:jc w:val="left"/>
        <w:outlineLvl w:val="2"/>
        <w:rPr>
          <w:rFonts w:ascii="仿宋" w:hAnsi="仿宋" w:eastAsia="仿宋"/>
          <w:b/>
          <w:color w:val="000000"/>
          <w:sz w:val="32"/>
          <w:szCs w:val="32"/>
        </w:rPr>
      </w:pPr>
      <w:bookmarkStart w:id="57" w:name="_Toc15377223"/>
      <w:r>
        <w:rPr>
          <w:rFonts w:hint="eastAsia" w:ascii="仿宋" w:hAnsi="仿宋" w:eastAsia="仿宋"/>
          <w:b/>
          <w:color w:val="000000"/>
          <w:sz w:val="32"/>
          <w:szCs w:val="32"/>
        </w:rPr>
        <w:t>（二）政府采购支出情况</w:t>
      </w:r>
      <w:bookmarkEnd w:id="57"/>
    </w:p>
    <w:p w14:paraId="7B62779D">
      <w:pPr>
        <w:spacing w:line="600" w:lineRule="exact"/>
        <w:ind w:firstLine="640" w:firstLineChars="20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9年，西区市容环境卫生管理服务中心未产生政府采购支出。总额0万元，其中：政府采购货物支出0万元、政府采购工程支出0万元、政府采购服务支出0万元。授予中小企业合同金额0万元，占政府采购支出总额的0</w:t>
      </w:r>
      <w:r>
        <w:rPr>
          <w:rFonts w:ascii="仿宋" w:hAnsi="仿宋" w:eastAsia="仿宋"/>
          <w:color w:val="000000"/>
          <w:sz w:val="32"/>
          <w:szCs w:val="32"/>
        </w:rPr>
        <w:t>%</w:t>
      </w:r>
      <w:r>
        <w:rPr>
          <w:rFonts w:hint="eastAsia" w:ascii="仿宋" w:hAnsi="仿宋" w:eastAsia="仿宋"/>
          <w:color w:val="000000"/>
          <w:sz w:val="32"/>
          <w:szCs w:val="32"/>
        </w:rPr>
        <w:t>，其中：授予小微企业合同金额0万元，占政府采购支出总额的0</w:t>
      </w:r>
      <w:r>
        <w:rPr>
          <w:rFonts w:ascii="仿宋" w:hAnsi="仿宋" w:eastAsia="仿宋"/>
          <w:color w:val="000000"/>
          <w:sz w:val="32"/>
          <w:szCs w:val="32"/>
        </w:rPr>
        <w:t>%</w:t>
      </w:r>
      <w:r>
        <w:rPr>
          <w:rFonts w:hint="eastAsia" w:ascii="仿宋" w:hAnsi="仿宋" w:eastAsia="仿宋"/>
          <w:color w:val="000000"/>
          <w:sz w:val="32"/>
          <w:szCs w:val="32"/>
        </w:rPr>
        <w:t>。</w:t>
      </w:r>
    </w:p>
    <w:p w14:paraId="2B477362">
      <w:pPr>
        <w:autoSpaceDE w:val="0"/>
        <w:autoSpaceDN w:val="0"/>
        <w:adjustRightInd w:val="0"/>
        <w:spacing w:line="600" w:lineRule="exact"/>
        <w:jc w:val="left"/>
        <w:outlineLvl w:val="2"/>
        <w:rPr>
          <w:rFonts w:ascii="仿宋" w:hAnsi="仿宋" w:eastAsia="仿宋"/>
          <w:b/>
          <w:color w:val="000000"/>
          <w:sz w:val="32"/>
          <w:szCs w:val="32"/>
        </w:rPr>
      </w:pPr>
      <w:bookmarkStart w:id="58" w:name="_Toc15377224"/>
      <w:r>
        <w:rPr>
          <w:rFonts w:hint="eastAsia" w:ascii="仿宋" w:hAnsi="仿宋" w:eastAsia="仿宋"/>
          <w:b/>
          <w:color w:val="000000"/>
          <w:sz w:val="32"/>
          <w:szCs w:val="32"/>
        </w:rPr>
        <w:t>（三）国有资产占有使用情况</w:t>
      </w:r>
      <w:bookmarkEnd w:id="58"/>
    </w:p>
    <w:p w14:paraId="5C7EB3EF">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 w:hAnsi="仿宋" w:eastAsia="仿宋"/>
          <w:color w:val="000000"/>
          <w:sz w:val="32"/>
          <w:szCs w:val="32"/>
        </w:rPr>
        <w:t>截至</w:t>
      </w:r>
      <w:r>
        <w:rPr>
          <w:rFonts w:ascii="仿宋" w:hAnsi="仿宋" w:eastAsia="仿宋"/>
          <w:color w:val="000000"/>
          <w:sz w:val="32"/>
          <w:szCs w:val="32"/>
        </w:rPr>
        <w:t>201</w:t>
      </w:r>
      <w:r>
        <w:rPr>
          <w:rFonts w:hint="eastAsia" w:ascii="仿宋" w:hAnsi="仿宋" w:eastAsia="仿宋"/>
          <w:color w:val="000000"/>
          <w:sz w:val="32"/>
          <w:szCs w:val="32"/>
        </w:rPr>
        <w:t>9年</w:t>
      </w:r>
      <w:r>
        <w:rPr>
          <w:rFonts w:ascii="仿宋" w:hAnsi="仿宋" w:eastAsia="仿宋"/>
          <w:color w:val="000000"/>
          <w:sz w:val="32"/>
          <w:szCs w:val="32"/>
        </w:rPr>
        <w:t>12</w:t>
      </w:r>
      <w:r>
        <w:rPr>
          <w:rFonts w:hint="eastAsia" w:ascii="仿宋" w:hAnsi="仿宋" w:eastAsia="仿宋"/>
          <w:color w:val="000000"/>
          <w:sz w:val="32"/>
          <w:szCs w:val="32"/>
        </w:rPr>
        <w:t>月</w:t>
      </w:r>
      <w:r>
        <w:rPr>
          <w:rFonts w:ascii="仿宋" w:hAnsi="仿宋" w:eastAsia="仿宋"/>
          <w:color w:val="000000"/>
          <w:sz w:val="32"/>
          <w:szCs w:val="32"/>
        </w:rPr>
        <w:t>31</w:t>
      </w:r>
      <w:r>
        <w:rPr>
          <w:rFonts w:hint="eastAsia" w:ascii="仿宋" w:hAnsi="仿宋" w:eastAsia="仿宋"/>
          <w:color w:val="000000"/>
          <w:sz w:val="32"/>
          <w:szCs w:val="32"/>
        </w:rPr>
        <w:t>日，西区市容环境卫生管理服务中心共有车辆24辆，其中：主要领导干部用车0辆、机要通信用车0辆、应急保障用车0辆、其他用车0辆、特种专业技术用车24辆。</w:t>
      </w:r>
      <w:r>
        <w:rPr>
          <w:rFonts w:hint="eastAsia" w:ascii="仿宋" w:hAnsi="仿宋" w:eastAsia="仿宋"/>
          <w:color w:val="000000" w:themeColor="text1"/>
          <w:sz w:val="32"/>
          <w:szCs w:val="32"/>
        </w:rPr>
        <w:t>其他用车主要是用于，单价</w:t>
      </w:r>
      <w:r>
        <w:rPr>
          <w:rFonts w:ascii="仿宋" w:hAnsi="仿宋" w:eastAsia="仿宋"/>
          <w:color w:val="000000" w:themeColor="text1"/>
          <w:sz w:val="32"/>
          <w:szCs w:val="32"/>
        </w:rPr>
        <w:t>50</w:t>
      </w:r>
      <w:r>
        <w:rPr>
          <w:rFonts w:hint="eastAsia" w:ascii="仿宋" w:hAnsi="仿宋" w:eastAsia="仿宋"/>
          <w:color w:val="000000" w:themeColor="text1"/>
          <w:sz w:val="32"/>
          <w:szCs w:val="32"/>
        </w:rPr>
        <w:t>万元以上通用设备0台（套），单价</w:t>
      </w:r>
      <w:r>
        <w:rPr>
          <w:rFonts w:ascii="仿宋" w:hAnsi="仿宋" w:eastAsia="仿宋"/>
          <w:color w:val="000000" w:themeColor="text1"/>
          <w:sz w:val="32"/>
          <w:szCs w:val="32"/>
        </w:rPr>
        <w:t>100</w:t>
      </w:r>
      <w:r>
        <w:rPr>
          <w:rFonts w:hint="eastAsia" w:ascii="仿宋" w:hAnsi="仿宋" w:eastAsia="仿宋"/>
          <w:color w:val="000000"/>
          <w:sz w:val="32"/>
          <w:szCs w:val="32"/>
        </w:rPr>
        <w:t>万元以上专用设备0台（套）。</w:t>
      </w:r>
    </w:p>
    <w:p w14:paraId="278BF09D">
      <w:pPr>
        <w:autoSpaceDE w:val="0"/>
        <w:autoSpaceDN w:val="0"/>
        <w:adjustRightInd w:val="0"/>
        <w:spacing w:line="600" w:lineRule="exact"/>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14:paraId="2EC4404F">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根据预算绩效管理要求，</w:t>
      </w:r>
      <w:r>
        <w:rPr>
          <w:rFonts w:hint="eastAsia" w:ascii="仿宋" w:hAnsi="仿宋" w:eastAsia="仿宋"/>
          <w:color w:val="000000"/>
          <w:sz w:val="32"/>
          <w:szCs w:val="32"/>
        </w:rPr>
        <w:t>西区市容环境卫生管理服务中心</w:t>
      </w:r>
      <w:r>
        <w:rPr>
          <w:rFonts w:hint="eastAsia" w:ascii="仿宋" w:hAnsi="仿宋" w:eastAsia="仿宋" w:cs="仿宋_GB2312"/>
          <w:sz w:val="32"/>
          <w:szCs w:val="32"/>
        </w:rPr>
        <w:t>在年初预算编制阶段，组织对环卫生产作业经费项目开展了预算事前绩效评估，对1个项目编制了绩效目标，预算执行过程中，选取1个项目开展绩效监控，年终执行完毕后，对1个项目开展了绩效目标完成情况自评。</w:t>
      </w:r>
    </w:p>
    <w:p w14:paraId="4FBEFDAF">
      <w:pPr>
        <w:pStyle w:val="7"/>
        <w:spacing w:line="353" w:lineRule="auto"/>
        <w:ind w:firstLine="640" w:firstLineChars="200"/>
        <w:rPr>
          <w:rFonts w:ascii="Times New Roman" w:hAnsi="Times New Roman" w:eastAsia="仿宋_GB2312"/>
          <w:sz w:val="32"/>
          <w:szCs w:val="32"/>
        </w:rPr>
      </w:pPr>
      <w:r>
        <w:rPr>
          <w:rFonts w:hint="eastAsia" w:ascii="仿宋" w:hAnsi="仿宋" w:eastAsia="仿宋" w:cs="仿宋_GB2312"/>
          <w:sz w:val="32"/>
          <w:szCs w:val="32"/>
        </w:rPr>
        <w:t>本部门按要求对2019年部门整体支出开展绩效自评，从评价情况来看</w:t>
      </w:r>
      <w:r>
        <w:rPr>
          <w:rFonts w:hint="eastAsia" w:ascii="仿宋" w:hAnsi="仿宋" w:eastAsia="仿宋"/>
          <w:sz w:val="32"/>
          <w:szCs w:val="32"/>
        </w:rPr>
        <w:t>本单位项目经费337.74万元，占项目计划支出总额的100%，年初及追加项目由区级财政预算支出。主要用于完善城市功能</w:t>
      </w:r>
      <w:r>
        <w:rPr>
          <w:rFonts w:hint="eastAsia" w:ascii="Times New Roman" w:hAnsi="Times New Roman" w:eastAsia="仿宋_GB2312"/>
          <w:sz w:val="32"/>
          <w:szCs w:val="32"/>
        </w:rPr>
        <w:t>，</w:t>
      </w:r>
      <w:r>
        <w:rPr>
          <w:rFonts w:hint="eastAsia" w:ascii="仿宋" w:hAnsi="仿宋" w:eastAsia="仿宋" w:cs="仿宋"/>
          <w:kern w:val="0"/>
          <w:sz w:val="32"/>
          <w:szCs w:val="32"/>
        </w:rPr>
        <w:t>城乡环境整洁行动，垃圾清运、洒水降尘严格按部颁标准执行，生活垃圾确保日产日清，环卫作业车辆保证车容整洁</w:t>
      </w:r>
      <w:r>
        <w:rPr>
          <w:rFonts w:hint="eastAsia" w:ascii="Times New Roman" w:hAnsi="Times New Roman" w:eastAsia="仿宋_GB2312"/>
          <w:sz w:val="32"/>
          <w:szCs w:val="32"/>
        </w:rPr>
        <w:t>。</w:t>
      </w:r>
    </w:p>
    <w:p w14:paraId="03DB223C">
      <w:pPr>
        <w:pStyle w:val="7"/>
        <w:spacing w:line="353" w:lineRule="auto"/>
        <w:ind w:firstLine="640" w:firstLineChars="200"/>
        <w:rPr>
          <w:rFonts w:ascii="仿宋" w:hAnsi="仿宋" w:eastAsia="仿宋"/>
          <w:sz w:val="32"/>
          <w:szCs w:val="32"/>
        </w:rPr>
      </w:pPr>
      <w:r>
        <w:rPr>
          <w:rFonts w:hint="eastAsia" w:ascii="仿宋" w:hAnsi="仿宋" w:eastAsia="仿宋" w:cs="仿宋_GB2312"/>
          <w:sz w:val="32"/>
          <w:szCs w:val="32"/>
        </w:rPr>
        <w:t>本部门还自行组织了1个项目支出绩效评价，从评价情况来看</w:t>
      </w:r>
      <w:r>
        <w:rPr>
          <w:rFonts w:hint="eastAsia" w:ascii="Times New Roman" w:hAnsi="Times New Roman" w:eastAsia="仿宋_GB2312"/>
          <w:sz w:val="32"/>
          <w:szCs w:val="32"/>
        </w:rPr>
        <w:t>：</w:t>
      </w:r>
      <w:r>
        <w:rPr>
          <w:rFonts w:hint="eastAsia" w:ascii="仿宋" w:hAnsi="仿宋" w:eastAsia="仿宋"/>
          <w:sz w:val="32"/>
          <w:szCs w:val="32"/>
        </w:rPr>
        <w:t>基本支出保证人员经费基本待遇。提升了城市管理整体水平，改善了城市环境，提高了城市形象，为市民提供更加舒适的生活环境，使市民获得更多的幸福感。</w:t>
      </w:r>
    </w:p>
    <w:p w14:paraId="3AC4D706">
      <w:pPr>
        <w:numPr>
          <w:ilvl w:val="0"/>
          <w:numId w:val="3"/>
        </w:numPr>
        <w:spacing w:line="58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项目绩效目标完成情况。</w:t>
      </w:r>
    </w:p>
    <w:p w14:paraId="547EBFC9">
      <w:pPr>
        <w:spacing w:line="580" w:lineRule="exact"/>
        <w:rPr>
          <w:rFonts w:ascii="仿宋" w:hAnsi="仿宋" w:eastAsia="仿宋" w:cs="仿宋_GB2312"/>
          <w:sz w:val="32"/>
          <w:szCs w:val="32"/>
        </w:rPr>
      </w:pPr>
      <w:r>
        <w:rPr>
          <w:rFonts w:hint="eastAsia" w:ascii="仿宋" w:hAnsi="仿宋" w:eastAsia="仿宋" w:cs="仿宋_GB2312"/>
          <w:sz w:val="32"/>
          <w:szCs w:val="32"/>
        </w:rPr>
        <w:t xml:space="preserve">  本部门在2019年度部门决算中反映“环卫生产作业经费</w:t>
      </w:r>
      <w:r>
        <w:rPr>
          <w:rFonts w:ascii="仿宋" w:hAnsi="仿宋" w:eastAsia="仿宋" w:cs="仿宋_GB2312"/>
          <w:sz w:val="32"/>
          <w:szCs w:val="32"/>
        </w:rPr>
        <w:t>”</w:t>
      </w:r>
      <w:r>
        <w:rPr>
          <w:rFonts w:hint="eastAsia" w:ascii="仿宋" w:hAnsi="仿宋" w:eastAsia="仿宋" w:cs="仿宋_GB2312"/>
          <w:sz w:val="32"/>
          <w:szCs w:val="32"/>
        </w:rPr>
        <w:t>等1个项目绩效目标实际完成情况。</w:t>
      </w:r>
    </w:p>
    <w:p w14:paraId="5769C291">
      <w:pPr>
        <w:pStyle w:val="7"/>
        <w:spacing w:line="353" w:lineRule="auto"/>
        <w:ind w:firstLine="640" w:firstLineChars="200"/>
        <w:rPr>
          <w:rFonts w:ascii="仿宋" w:hAnsi="仿宋" w:eastAsia="仿宋"/>
          <w:sz w:val="32"/>
          <w:szCs w:val="32"/>
        </w:rPr>
      </w:pPr>
      <w:r>
        <w:rPr>
          <w:rFonts w:hint="eastAsia" w:ascii="仿宋" w:hAnsi="仿宋" w:eastAsia="仿宋" w:cs="仿宋_GB2312"/>
          <w:sz w:val="32"/>
          <w:szCs w:val="32"/>
        </w:rPr>
        <w:t>（1）环卫生产作业经费项目绩效目标完成情况综述。项目全年预算数337.74万元，执行数为337.74万元，完成预算的100%。通过项目实施，保障</w:t>
      </w:r>
      <w:r>
        <w:rPr>
          <w:rFonts w:hint="eastAsia" w:ascii="仿宋" w:hAnsi="仿宋" w:eastAsia="仿宋"/>
          <w:sz w:val="32"/>
          <w:szCs w:val="32"/>
        </w:rPr>
        <w:t>完善城市功能，</w:t>
      </w:r>
      <w:r>
        <w:rPr>
          <w:rFonts w:hint="eastAsia" w:ascii="仿宋" w:hAnsi="仿宋" w:eastAsia="仿宋" w:cs="仿宋"/>
          <w:kern w:val="0"/>
          <w:sz w:val="32"/>
          <w:szCs w:val="32"/>
        </w:rPr>
        <w:t>城乡环境整洁行动，垃圾清运、洒水降尘严格按部颁标准执行，生活垃圾确保日产日清，环卫作业车辆保证车容整洁</w:t>
      </w:r>
      <w:r>
        <w:rPr>
          <w:rFonts w:hint="eastAsia" w:ascii="仿宋" w:hAnsi="仿宋" w:eastAsia="仿宋"/>
          <w:sz w:val="32"/>
          <w:szCs w:val="32"/>
        </w:rPr>
        <w:t>不断提升人居环境，体现城市文明程度。减少扬尘危害，改善空气质量，无恶臭。项目实施对人、自然、资源是否带来可持续影，实现人与自然和谐相处、资源为人类带来福利。</w:t>
      </w:r>
    </w:p>
    <w:p w14:paraId="25A3AD55">
      <w:pPr>
        <w:pStyle w:val="7"/>
        <w:spacing w:line="353" w:lineRule="auto"/>
        <w:ind w:firstLine="640" w:firstLineChars="200"/>
        <w:rPr>
          <w:rFonts w:ascii="仿宋" w:hAnsi="仿宋" w:eastAsia="仿宋"/>
          <w:sz w:val="32"/>
          <w:szCs w:val="32"/>
        </w:rPr>
      </w:pPr>
    </w:p>
    <w:p w14:paraId="50F2CEC2">
      <w:pPr>
        <w:pStyle w:val="7"/>
        <w:spacing w:line="353" w:lineRule="auto"/>
        <w:ind w:firstLine="640" w:firstLineChars="200"/>
        <w:rPr>
          <w:rFonts w:hint="eastAsia" w:ascii="仿宋" w:hAnsi="仿宋" w:eastAsia="仿宋" w:cs="仿宋_GB2312"/>
          <w:sz w:val="32"/>
          <w:szCs w:val="32"/>
        </w:rPr>
      </w:pPr>
    </w:p>
    <w:p w14:paraId="46922B9C">
      <w:pPr>
        <w:pStyle w:val="7"/>
        <w:spacing w:line="353" w:lineRule="auto"/>
        <w:ind w:firstLine="640" w:firstLineChars="200"/>
        <w:rPr>
          <w:rFonts w:ascii="仿宋" w:hAnsi="仿宋" w:eastAsia="仿宋" w:cs="仿宋_GB2312"/>
          <w:sz w:val="32"/>
          <w:szCs w:val="32"/>
        </w:rPr>
      </w:pPr>
    </w:p>
    <w:tbl>
      <w:tblPr>
        <w:tblStyle w:val="13"/>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299"/>
        <w:gridCol w:w="1458"/>
        <w:gridCol w:w="1025"/>
        <w:gridCol w:w="2392"/>
        <w:gridCol w:w="2394"/>
        <w:gridCol w:w="2392"/>
      </w:tblGrid>
      <w:tr w14:paraId="5A98EA68">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14:paraId="743EA693">
            <w:pPr>
              <w:widowControl/>
              <w:jc w:val="center"/>
              <w:textAlignment w:val="center"/>
              <w:rPr>
                <w:rFonts w:ascii="宋体" w:hAnsi="宋体" w:cs="宋体"/>
                <w:color w:val="000000"/>
                <w:sz w:val="36"/>
                <w:szCs w:val="36"/>
              </w:rPr>
            </w:pPr>
            <w:r>
              <w:rPr>
                <w:rFonts w:hint="eastAsia" w:ascii="宋体" w:hAnsi="宋体" w:cs="宋体"/>
                <w:b/>
                <w:bCs/>
                <w:color w:val="000000"/>
                <w:kern w:val="0"/>
                <w:sz w:val="36"/>
                <w:szCs w:val="36"/>
              </w:rPr>
              <w:t>项目绩效目标完成情况表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(2019 年度)</w:t>
            </w:r>
          </w:p>
        </w:tc>
      </w:tr>
      <w:tr w14:paraId="7438A752">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BF9250">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D2B5CC">
            <w:pPr>
              <w:widowControl/>
              <w:jc w:val="center"/>
              <w:textAlignment w:val="center"/>
              <w:rPr>
                <w:rFonts w:ascii="宋体" w:hAnsi="宋体" w:cs="宋体"/>
                <w:color w:val="000000"/>
                <w:sz w:val="24"/>
              </w:rPr>
            </w:pPr>
            <w:r>
              <w:rPr>
                <w:rFonts w:ascii="宋体" w:hAnsi="宋体" w:cs="宋体"/>
                <w:color w:val="000000"/>
                <w:sz w:val="24"/>
              </w:rPr>
              <w:t>环卫生产作业经费</w:t>
            </w:r>
          </w:p>
        </w:tc>
      </w:tr>
      <w:tr w14:paraId="11261C61">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7A7237">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68C8EE">
            <w:pPr>
              <w:widowControl/>
              <w:jc w:val="center"/>
              <w:textAlignment w:val="center"/>
              <w:rPr>
                <w:rFonts w:ascii="宋体" w:hAnsi="宋体" w:cs="宋体"/>
                <w:color w:val="000000"/>
                <w:sz w:val="24"/>
              </w:rPr>
            </w:pPr>
            <w:r>
              <w:rPr>
                <w:rFonts w:ascii="宋体" w:hAnsi="宋体" w:cs="宋体"/>
                <w:color w:val="000000"/>
                <w:sz w:val="24"/>
              </w:rPr>
              <w:t>西区市容环境卫生管理服务中心</w:t>
            </w:r>
          </w:p>
        </w:tc>
      </w:tr>
      <w:tr w14:paraId="683E41D8">
        <w:tblPrEx>
          <w:tblCellMar>
            <w:top w:w="0" w:type="dxa"/>
            <w:left w:w="0" w:type="dxa"/>
            <w:bottom w:w="0" w:type="dxa"/>
            <w:right w:w="0" w:type="dxa"/>
          </w:tblCellMar>
        </w:tblPrEx>
        <w:trPr>
          <w:trHeight w:val="276" w:hRule="atLeast"/>
          <w:jc w:val="center"/>
        </w:trPr>
        <w:tc>
          <w:tcPr>
            <w:tcW w:w="29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00D215">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48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FF1AC3">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E37594">
            <w:pPr>
              <w:widowControl/>
              <w:jc w:val="center"/>
              <w:textAlignment w:val="center"/>
              <w:rPr>
                <w:rFonts w:ascii="宋体" w:hAnsi="宋体" w:cs="宋体"/>
                <w:color w:val="000000"/>
                <w:sz w:val="24"/>
              </w:rPr>
            </w:pPr>
            <w:r>
              <w:rPr>
                <w:rFonts w:hint="eastAsia" w:ascii="宋体" w:hAnsi="宋体" w:cs="宋体"/>
                <w:color w:val="000000"/>
                <w:sz w:val="24"/>
              </w:rPr>
              <w:t>337.74</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824100">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D3907C">
            <w:pPr>
              <w:widowControl/>
              <w:jc w:val="center"/>
              <w:textAlignment w:val="center"/>
              <w:rPr>
                <w:rFonts w:ascii="宋体" w:hAnsi="宋体" w:cs="宋体"/>
                <w:color w:val="000000"/>
                <w:sz w:val="24"/>
              </w:rPr>
            </w:pPr>
            <w:r>
              <w:rPr>
                <w:rFonts w:hint="eastAsia" w:ascii="宋体" w:hAnsi="宋体" w:cs="宋体"/>
                <w:color w:val="000000"/>
                <w:sz w:val="24"/>
              </w:rPr>
              <w:t>337.74</w:t>
            </w:r>
          </w:p>
        </w:tc>
      </w:tr>
      <w:tr w14:paraId="499DC0D6">
        <w:tblPrEx>
          <w:tblCellMar>
            <w:top w:w="0" w:type="dxa"/>
            <w:left w:w="0" w:type="dxa"/>
            <w:bottom w:w="0" w:type="dxa"/>
            <w:right w:w="0" w:type="dxa"/>
          </w:tblCellMar>
        </w:tblPrEx>
        <w:trPr>
          <w:trHeight w:val="276" w:hRule="atLeast"/>
          <w:jc w:val="center"/>
        </w:trPr>
        <w:tc>
          <w:tcPr>
            <w:tcW w:w="29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AD0A5A">
            <w:pPr>
              <w:jc w:val="center"/>
              <w:rPr>
                <w:rFonts w:ascii="宋体" w:hAnsi="宋体" w:cs="宋体"/>
                <w:color w:val="000000"/>
                <w:sz w:val="24"/>
              </w:rPr>
            </w:pPr>
          </w:p>
        </w:tc>
        <w:tc>
          <w:tcPr>
            <w:tcW w:w="248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895E8C">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7106B6">
            <w:pPr>
              <w:widowControl/>
              <w:jc w:val="center"/>
              <w:textAlignment w:val="center"/>
              <w:rPr>
                <w:rFonts w:ascii="宋体" w:hAnsi="宋体" w:cs="宋体"/>
                <w:color w:val="000000"/>
                <w:sz w:val="24"/>
              </w:rPr>
            </w:pPr>
            <w:r>
              <w:rPr>
                <w:rFonts w:hint="eastAsia" w:ascii="宋体" w:hAnsi="宋体" w:cs="宋体"/>
                <w:color w:val="000000"/>
                <w:sz w:val="24"/>
              </w:rPr>
              <w:t>337.74</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36F595">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990AC8">
            <w:pPr>
              <w:widowControl/>
              <w:jc w:val="center"/>
              <w:textAlignment w:val="center"/>
              <w:rPr>
                <w:rFonts w:ascii="宋体" w:hAnsi="宋体" w:cs="宋体"/>
                <w:color w:val="000000"/>
                <w:sz w:val="24"/>
              </w:rPr>
            </w:pPr>
            <w:r>
              <w:rPr>
                <w:rFonts w:hint="eastAsia" w:ascii="宋体" w:hAnsi="宋体" w:cs="宋体"/>
                <w:color w:val="000000"/>
                <w:sz w:val="24"/>
              </w:rPr>
              <w:t>337.74</w:t>
            </w:r>
          </w:p>
        </w:tc>
      </w:tr>
      <w:tr w14:paraId="33D02D4C">
        <w:tblPrEx>
          <w:tblCellMar>
            <w:top w:w="0" w:type="dxa"/>
            <w:left w:w="0" w:type="dxa"/>
            <w:bottom w:w="0" w:type="dxa"/>
            <w:right w:w="0" w:type="dxa"/>
          </w:tblCellMar>
        </w:tblPrEx>
        <w:trPr>
          <w:trHeight w:val="1484" w:hRule="atLeast"/>
          <w:jc w:val="center"/>
        </w:trPr>
        <w:tc>
          <w:tcPr>
            <w:tcW w:w="29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636EF9">
            <w:pPr>
              <w:jc w:val="center"/>
              <w:rPr>
                <w:rFonts w:ascii="宋体" w:hAnsi="宋体" w:cs="宋体"/>
                <w:color w:val="000000"/>
                <w:sz w:val="24"/>
              </w:rPr>
            </w:pPr>
          </w:p>
        </w:tc>
        <w:tc>
          <w:tcPr>
            <w:tcW w:w="248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1AA730">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EBBBF8">
            <w:pPr>
              <w:widowControl/>
              <w:jc w:val="center"/>
              <w:textAlignment w:val="center"/>
              <w:rPr>
                <w:rFonts w:ascii="宋体" w:hAnsi="宋体" w:cs="宋体"/>
                <w:color w:val="000000"/>
                <w:sz w:val="24"/>
              </w:rPr>
            </w:pPr>
            <w:r>
              <w:rPr>
                <w:rFonts w:ascii="宋体" w:hAnsi="宋体" w:cs="宋体"/>
                <w:color w:val="000000"/>
                <w:sz w:val="24"/>
              </w:rPr>
              <w:t>无</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DC6F0B">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6E5642">
            <w:pPr>
              <w:jc w:val="center"/>
              <w:rPr>
                <w:rFonts w:ascii="宋体" w:hAnsi="宋体" w:cs="宋体"/>
                <w:color w:val="000000"/>
                <w:sz w:val="24"/>
              </w:rPr>
            </w:pPr>
            <w:r>
              <w:rPr>
                <w:rFonts w:ascii="宋体" w:hAnsi="宋体" w:cs="宋体"/>
                <w:color w:val="000000"/>
                <w:sz w:val="24"/>
              </w:rPr>
              <w:t>无</w:t>
            </w:r>
          </w:p>
        </w:tc>
      </w:tr>
      <w:tr w14:paraId="2976812C">
        <w:tblPrEx>
          <w:tblCellMar>
            <w:top w:w="0" w:type="dxa"/>
            <w:left w:w="0" w:type="dxa"/>
            <w:bottom w:w="0" w:type="dxa"/>
            <w:right w:w="0" w:type="dxa"/>
          </w:tblCellMar>
        </w:tblPrEx>
        <w:trPr>
          <w:trHeight w:val="276" w:hRule="atLeast"/>
          <w:jc w:val="center"/>
        </w:trPr>
        <w:tc>
          <w:tcPr>
            <w:tcW w:w="29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849189">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87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B1EA6F">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B4C637">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14:paraId="199DAC61">
        <w:tblPrEx>
          <w:tblCellMar>
            <w:top w:w="0" w:type="dxa"/>
            <w:left w:w="0" w:type="dxa"/>
            <w:bottom w:w="0" w:type="dxa"/>
            <w:right w:w="0" w:type="dxa"/>
          </w:tblCellMar>
        </w:tblPrEx>
        <w:trPr>
          <w:trHeight w:val="1159" w:hRule="atLeast"/>
          <w:jc w:val="center"/>
        </w:trPr>
        <w:tc>
          <w:tcPr>
            <w:tcW w:w="29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A74B87">
            <w:pPr>
              <w:jc w:val="center"/>
              <w:rPr>
                <w:rFonts w:ascii="宋体" w:hAnsi="宋体" w:cs="宋体"/>
                <w:color w:val="000000"/>
                <w:sz w:val="24"/>
              </w:rPr>
            </w:pPr>
          </w:p>
        </w:tc>
        <w:tc>
          <w:tcPr>
            <w:tcW w:w="487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A676F1">
            <w:pPr>
              <w:jc w:val="center"/>
              <w:rPr>
                <w:rFonts w:ascii="仿宋" w:hAnsi="仿宋" w:eastAsia="仿宋" w:cs="宋体"/>
                <w:sz w:val="30"/>
                <w:szCs w:val="30"/>
              </w:rPr>
            </w:pPr>
            <w:r>
              <w:rPr>
                <w:rFonts w:hint="eastAsia" w:ascii="仿宋" w:hAnsi="仿宋" w:eastAsia="仿宋"/>
                <w:sz w:val="30"/>
                <w:szCs w:val="30"/>
              </w:rPr>
              <w:t>按照2019年预算，确保人员费用支出，项目费用支出。做好辖区内洒水降尘，垃圾清运工作。</w:t>
            </w:r>
          </w:p>
          <w:p w14:paraId="042F8BEE">
            <w:pPr>
              <w:widowControl/>
              <w:jc w:val="center"/>
              <w:textAlignment w:val="center"/>
              <w:rPr>
                <w:rFonts w:ascii="宋体" w:hAnsi="宋体" w:cs="宋体"/>
                <w:color w:val="000000"/>
                <w:sz w:val="24"/>
              </w:rPr>
            </w:pP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CBD277">
            <w:pPr>
              <w:widowControl/>
              <w:jc w:val="center"/>
              <w:textAlignment w:val="center"/>
              <w:rPr>
                <w:rFonts w:ascii="宋体" w:hAnsi="宋体" w:cs="宋体"/>
                <w:color w:val="000000"/>
                <w:sz w:val="24"/>
              </w:rPr>
            </w:pPr>
            <w:r>
              <w:rPr>
                <w:rFonts w:hint="eastAsia" w:ascii="宋体" w:hAnsi="宋体" w:cs="宋体"/>
                <w:color w:val="000000"/>
                <w:sz w:val="24"/>
              </w:rPr>
              <w:t>完成2019年预算。保障职工权益。垃圾清运、洒水降尘严格按部颁标准执行，为市民创建了一个干净、卫生的生活环境。</w:t>
            </w:r>
          </w:p>
        </w:tc>
      </w:tr>
      <w:tr w14:paraId="10D7A987">
        <w:tblPrEx>
          <w:tblCellMar>
            <w:top w:w="0" w:type="dxa"/>
            <w:left w:w="0" w:type="dxa"/>
            <w:bottom w:w="0" w:type="dxa"/>
            <w:right w:w="0" w:type="dxa"/>
          </w:tblCellMar>
        </w:tblPrEx>
        <w:trPr>
          <w:trHeight w:val="1042" w:hRule="atLeast"/>
          <w:jc w:val="center"/>
        </w:trPr>
        <w:tc>
          <w:tcPr>
            <w:tcW w:w="29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A7EC19D">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A993B5">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9CECB4">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72FF5C">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83ACE0">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D17790">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14:paraId="287286EE">
        <w:tblPrEx>
          <w:tblCellMar>
            <w:top w:w="0" w:type="dxa"/>
            <w:left w:w="0" w:type="dxa"/>
            <w:bottom w:w="0" w:type="dxa"/>
            <w:right w:w="0" w:type="dxa"/>
          </w:tblCellMar>
        </w:tblPrEx>
        <w:trPr>
          <w:trHeight w:val="953" w:hRule="atLeast"/>
          <w:jc w:val="center"/>
        </w:trPr>
        <w:tc>
          <w:tcPr>
            <w:tcW w:w="299" w:type="dxa"/>
            <w:vMerge w:val="continue"/>
            <w:tcBorders>
              <w:left w:val="single" w:color="000000" w:sz="4" w:space="0"/>
              <w:right w:val="single" w:color="000000" w:sz="4" w:space="0"/>
            </w:tcBorders>
            <w:tcMar>
              <w:top w:w="15" w:type="dxa"/>
              <w:left w:w="15" w:type="dxa"/>
              <w:right w:w="15" w:type="dxa"/>
            </w:tcMar>
            <w:vAlign w:val="center"/>
          </w:tcPr>
          <w:p w14:paraId="4661C641">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0F164A">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A98BE3">
            <w:pPr>
              <w:widowControl/>
              <w:jc w:val="center"/>
              <w:textAlignment w:val="center"/>
              <w:rPr>
                <w:rFonts w:ascii="宋体" w:hAnsi="宋体" w:cs="宋体"/>
                <w:color w:val="000000"/>
                <w:sz w:val="24"/>
              </w:rPr>
            </w:pPr>
            <w:r>
              <w:rPr>
                <w:rFonts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640AA0">
            <w:pPr>
              <w:widowControl/>
              <w:jc w:val="center"/>
              <w:textAlignment w:val="center"/>
              <w:rPr>
                <w:rFonts w:ascii="宋体" w:hAnsi="宋体" w:cs="宋体"/>
                <w:color w:val="000000"/>
                <w:sz w:val="24"/>
              </w:rPr>
            </w:pPr>
            <w:r>
              <w:rPr>
                <w:rFonts w:ascii="宋体" w:hAnsi="宋体" w:cs="宋体"/>
                <w:color w:val="000000"/>
                <w:sz w:val="24"/>
              </w:rPr>
              <w:t>环卫作业</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0E290B">
            <w:pPr>
              <w:jc w:val="center"/>
              <w:rPr>
                <w:rFonts w:ascii="宋体" w:hAnsi="宋体" w:cs="宋体"/>
                <w:sz w:val="18"/>
                <w:szCs w:val="18"/>
              </w:rPr>
            </w:pPr>
            <w:r>
              <w:rPr>
                <w:rFonts w:hint="eastAsia"/>
                <w:sz w:val="18"/>
                <w:szCs w:val="18"/>
              </w:rPr>
              <w:t>全区（江北）主干道每天洒水4次，冲洗2次；垃圾房79座、垃圾桶294个、垃圾投放点165个、垃圾池48个的日产日清</w:t>
            </w:r>
          </w:p>
          <w:p w14:paraId="7E8F222B">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42DFA4">
            <w:pPr>
              <w:widowControl/>
              <w:jc w:val="center"/>
              <w:textAlignment w:val="center"/>
              <w:rPr>
                <w:rFonts w:ascii="宋体" w:hAnsi="宋体" w:cs="宋体"/>
                <w:color w:val="000000"/>
                <w:sz w:val="24"/>
              </w:rPr>
            </w:pPr>
            <w:r>
              <w:rPr>
                <w:rFonts w:ascii="宋体" w:hAnsi="宋体" w:cs="宋体"/>
                <w:color w:val="000000"/>
                <w:sz w:val="24"/>
              </w:rPr>
              <w:t>完成</w:t>
            </w:r>
          </w:p>
        </w:tc>
      </w:tr>
      <w:tr w14:paraId="7652AC09">
        <w:tblPrEx>
          <w:tblCellMar>
            <w:top w:w="0" w:type="dxa"/>
            <w:left w:w="0" w:type="dxa"/>
            <w:bottom w:w="0" w:type="dxa"/>
            <w:right w:w="0" w:type="dxa"/>
          </w:tblCellMar>
        </w:tblPrEx>
        <w:trPr>
          <w:trHeight w:val="1297" w:hRule="atLeast"/>
          <w:jc w:val="center"/>
        </w:trPr>
        <w:tc>
          <w:tcPr>
            <w:tcW w:w="299" w:type="dxa"/>
            <w:vMerge w:val="continue"/>
            <w:tcBorders>
              <w:left w:val="single" w:color="000000" w:sz="4" w:space="0"/>
              <w:right w:val="single" w:color="000000" w:sz="4" w:space="0"/>
            </w:tcBorders>
            <w:tcMar>
              <w:top w:w="15" w:type="dxa"/>
              <w:left w:w="15" w:type="dxa"/>
              <w:right w:w="15" w:type="dxa"/>
            </w:tcMar>
            <w:vAlign w:val="center"/>
          </w:tcPr>
          <w:p w14:paraId="23100665">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54B437">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FCB371">
            <w:pPr>
              <w:widowControl/>
              <w:jc w:val="center"/>
              <w:textAlignment w:val="center"/>
              <w:rPr>
                <w:rFonts w:ascii="宋体" w:hAnsi="宋体" w:cs="宋体"/>
                <w:color w:val="000000"/>
                <w:sz w:val="24"/>
              </w:rPr>
            </w:pPr>
            <w:r>
              <w:rPr>
                <w:rFonts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2EC22C">
            <w:pPr>
              <w:widowControl/>
              <w:jc w:val="center"/>
              <w:textAlignment w:val="center"/>
              <w:rPr>
                <w:rFonts w:ascii="宋体" w:hAnsi="宋体" w:cs="宋体"/>
                <w:color w:val="000000"/>
                <w:sz w:val="24"/>
              </w:rPr>
            </w:pPr>
            <w:r>
              <w:rPr>
                <w:rFonts w:ascii="宋体" w:hAnsi="宋体" w:cs="宋体"/>
                <w:color w:val="000000"/>
                <w:sz w:val="24"/>
              </w:rPr>
              <w:t>大集体退休人员工资发放</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B12D96">
            <w:pPr>
              <w:widowControl/>
              <w:jc w:val="center"/>
              <w:textAlignment w:val="center"/>
              <w:rPr>
                <w:rFonts w:ascii="宋体" w:hAnsi="宋体" w:cs="宋体"/>
                <w:color w:val="000000"/>
                <w:sz w:val="24"/>
              </w:rPr>
            </w:pPr>
            <w:r>
              <w:rPr>
                <w:rFonts w:hint="eastAsia" w:ascii="宋体" w:hAnsi="宋体" w:cs="宋体"/>
                <w:color w:val="000000"/>
                <w:sz w:val="24"/>
              </w:rPr>
              <w:t>51</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4C2F16">
            <w:pPr>
              <w:widowControl/>
              <w:jc w:val="center"/>
              <w:textAlignment w:val="center"/>
              <w:rPr>
                <w:rFonts w:ascii="宋体" w:hAnsi="宋体" w:cs="宋体"/>
                <w:color w:val="000000"/>
                <w:sz w:val="24"/>
              </w:rPr>
            </w:pPr>
            <w:r>
              <w:rPr>
                <w:rFonts w:hint="eastAsia" w:ascii="宋体" w:hAnsi="宋体" w:cs="宋体"/>
                <w:color w:val="000000"/>
                <w:sz w:val="24"/>
              </w:rPr>
              <w:t>51</w:t>
            </w:r>
          </w:p>
        </w:tc>
      </w:tr>
      <w:tr w14:paraId="3A8E4E8D">
        <w:tblPrEx>
          <w:tblCellMar>
            <w:top w:w="0" w:type="dxa"/>
            <w:left w:w="0" w:type="dxa"/>
            <w:bottom w:w="0" w:type="dxa"/>
            <w:right w:w="0" w:type="dxa"/>
          </w:tblCellMar>
        </w:tblPrEx>
        <w:trPr>
          <w:trHeight w:val="1042" w:hRule="atLeast"/>
          <w:jc w:val="center"/>
        </w:trPr>
        <w:tc>
          <w:tcPr>
            <w:tcW w:w="299" w:type="dxa"/>
            <w:vMerge w:val="continue"/>
            <w:tcBorders>
              <w:left w:val="single" w:color="000000" w:sz="4" w:space="0"/>
              <w:right w:val="single" w:color="000000" w:sz="4" w:space="0"/>
            </w:tcBorders>
            <w:tcMar>
              <w:top w:w="15" w:type="dxa"/>
              <w:left w:w="15" w:type="dxa"/>
              <w:right w:w="15" w:type="dxa"/>
            </w:tcMar>
            <w:vAlign w:val="center"/>
          </w:tcPr>
          <w:p w14:paraId="25F122E1">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15B66D">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963BDD">
            <w:pPr>
              <w:widowControl/>
              <w:jc w:val="center"/>
              <w:textAlignment w:val="center"/>
              <w:rPr>
                <w:rFonts w:ascii="宋体" w:hAnsi="宋体" w:cs="宋体"/>
                <w:color w:val="000000"/>
                <w:sz w:val="24"/>
              </w:rPr>
            </w:pPr>
            <w:r>
              <w:rPr>
                <w:rFonts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55CB73">
            <w:pPr>
              <w:jc w:val="center"/>
              <w:rPr>
                <w:rFonts w:ascii="宋体" w:hAnsi="宋体" w:cs="宋体"/>
                <w:sz w:val="24"/>
              </w:rPr>
            </w:pPr>
            <w:r>
              <w:rPr>
                <w:rFonts w:hint="eastAsia"/>
              </w:rPr>
              <w:t>确保环卫作业经费落实到位</w:t>
            </w:r>
          </w:p>
          <w:p w14:paraId="0869197B">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911F63">
            <w:pPr>
              <w:jc w:val="center"/>
              <w:rPr>
                <w:rFonts w:ascii="宋体" w:hAnsi="宋体" w:cs="宋体"/>
                <w:sz w:val="24"/>
              </w:rPr>
            </w:pPr>
            <w:r>
              <w:rPr>
                <w:rFonts w:hint="eastAsia"/>
              </w:rPr>
              <w:t>生活垃圾日产日清，垃圾收集设施附近无散落垃圾，无恶臭。改善辖区空气质量，降低路面扬尘</w:t>
            </w:r>
          </w:p>
          <w:p w14:paraId="3E35D8DB">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63B956">
            <w:pPr>
              <w:jc w:val="center"/>
              <w:rPr>
                <w:rFonts w:ascii="宋体" w:hAnsi="宋体" w:cs="宋体"/>
                <w:sz w:val="24"/>
              </w:rPr>
            </w:pPr>
            <w:r>
              <w:rPr>
                <w:rFonts w:hint="eastAsia"/>
              </w:rPr>
              <w:t>完成</w:t>
            </w:r>
          </w:p>
          <w:p w14:paraId="78D70F23">
            <w:pPr>
              <w:widowControl/>
              <w:jc w:val="center"/>
              <w:textAlignment w:val="center"/>
              <w:rPr>
                <w:rFonts w:ascii="宋体" w:hAnsi="宋体" w:cs="宋体"/>
                <w:color w:val="000000"/>
                <w:sz w:val="24"/>
              </w:rPr>
            </w:pPr>
          </w:p>
        </w:tc>
      </w:tr>
      <w:tr w14:paraId="7B8A693B">
        <w:tblPrEx>
          <w:tblCellMar>
            <w:top w:w="0" w:type="dxa"/>
            <w:left w:w="0" w:type="dxa"/>
            <w:bottom w:w="0" w:type="dxa"/>
            <w:right w:w="0" w:type="dxa"/>
          </w:tblCellMar>
        </w:tblPrEx>
        <w:trPr>
          <w:trHeight w:val="1042" w:hRule="atLeast"/>
          <w:jc w:val="center"/>
        </w:trPr>
        <w:tc>
          <w:tcPr>
            <w:tcW w:w="299" w:type="dxa"/>
            <w:vMerge w:val="continue"/>
            <w:tcBorders>
              <w:left w:val="single" w:color="000000" w:sz="4" w:space="0"/>
              <w:right w:val="single" w:color="000000" w:sz="4" w:space="0"/>
            </w:tcBorders>
            <w:tcMar>
              <w:top w:w="15" w:type="dxa"/>
              <w:left w:w="15" w:type="dxa"/>
              <w:right w:w="15" w:type="dxa"/>
            </w:tcMar>
            <w:vAlign w:val="center"/>
          </w:tcPr>
          <w:p w14:paraId="6E2C7EA9">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28C397">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2918E1">
            <w:pPr>
              <w:widowControl/>
              <w:jc w:val="center"/>
              <w:textAlignment w:val="center"/>
              <w:rPr>
                <w:rFonts w:ascii="宋体" w:hAnsi="宋体" w:cs="宋体"/>
                <w:color w:val="000000"/>
                <w:sz w:val="24"/>
              </w:rPr>
            </w:pPr>
            <w:r>
              <w:rPr>
                <w:rFonts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DD0CF3">
            <w:pPr>
              <w:jc w:val="center"/>
              <w:rPr>
                <w:rFonts w:ascii="宋体" w:hAnsi="宋体" w:cs="宋体"/>
                <w:sz w:val="24"/>
              </w:rPr>
            </w:pPr>
            <w:r>
              <w:rPr>
                <w:rFonts w:hint="eastAsia"/>
              </w:rPr>
              <w:t>确保人员经费落实到位</w:t>
            </w:r>
          </w:p>
          <w:p w14:paraId="2921B661">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F72768">
            <w:pPr>
              <w:jc w:val="center"/>
              <w:rPr>
                <w:rFonts w:ascii="宋体" w:hAnsi="宋体" w:cs="宋体"/>
                <w:sz w:val="24"/>
              </w:rPr>
            </w:pPr>
            <w:r>
              <w:rPr>
                <w:rFonts w:hint="eastAsia"/>
              </w:rPr>
              <w:t>保证单位日常正常运行</w:t>
            </w:r>
          </w:p>
          <w:p w14:paraId="2D29CDB9">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AFC133">
            <w:pPr>
              <w:jc w:val="center"/>
              <w:rPr>
                <w:rFonts w:ascii="宋体" w:hAnsi="宋体" w:cs="宋体"/>
                <w:sz w:val="24"/>
              </w:rPr>
            </w:pPr>
            <w:r>
              <w:rPr>
                <w:rFonts w:hint="eastAsia"/>
              </w:rPr>
              <w:t>完成</w:t>
            </w:r>
          </w:p>
          <w:p w14:paraId="38D6947F">
            <w:pPr>
              <w:widowControl/>
              <w:jc w:val="center"/>
              <w:textAlignment w:val="center"/>
              <w:rPr>
                <w:rFonts w:ascii="宋体" w:hAnsi="宋体" w:cs="宋体"/>
                <w:color w:val="000000"/>
                <w:sz w:val="24"/>
              </w:rPr>
            </w:pPr>
          </w:p>
        </w:tc>
      </w:tr>
      <w:tr w14:paraId="3F77C4C8">
        <w:tblPrEx>
          <w:tblCellMar>
            <w:top w:w="0" w:type="dxa"/>
            <w:left w:w="0" w:type="dxa"/>
            <w:bottom w:w="0" w:type="dxa"/>
            <w:right w:w="0" w:type="dxa"/>
          </w:tblCellMar>
        </w:tblPrEx>
        <w:trPr>
          <w:trHeight w:val="1042" w:hRule="atLeast"/>
          <w:jc w:val="center"/>
        </w:trPr>
        <w:tc>
          <w:tcPr>
            <w:tcW w:w="299" w:type="dxa"/>
            <w:vMerge w:val="continue"/>
            <w:tcBorders>
              <w:left w:val="single" w:color="000000" w:sz="4" w:space="0"/>
              <w:right w:val="single" w:color="000000" w:sz="4" w:space="0"/>
            </w:tcBorders>
            <w:tcMar>
              <w:top w:w="15" w:type="dxa"/>
              <w:left w:w="15" w:type="dxa"/>
              <w:right w:w="15" w:type="dxa"/>
            </w:tcMar>
            <w:vAlign w:val="center"/>
          </w:tcPr>
          <w:p w14:paraId="796783C8">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0043A8">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C731CF">
            <w:pPr>
              <w:widowControl/>
              <w:jc w:val="center"/>
              <w:textAlignment w:val="center"/>
              <w:rPr>
                <w:rFonts w:ascii="宋体" w:hAnsi="宋体" w:cs="宋体"/>
                <w:color w:val="000000"/>
                <w:sz w:val="24"/>
              </w:rPr>
            </w:pPr>
            <w:r>
              <w:rPr>
                <w:rFonts w:ascii="宋体" w:hAns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91B278">
            <w:pPr>
              <w:jc w:val="center"/>
              <w:rPr>
                <w:rFonts w:ascii="宋体" w:hAnsi="宋体" w:cs="宋体"/>
                <w:sz w:val="24"/>
              </w:rPr>
            </w:pPr>
            <w:r>
              <w:rPr>
                <w:rFonts w:hint="eastAsia"/>
              </w:rPr>
              <w:t>完成时间</w:t>
            </w:r>
          </w:p>
          <w:p w14:paraId="43A00326">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58FE35">
            <w:pPr>
              <w:jc w:val="center"/>
              <w:rPr>
                <w:rFonts w:ascii="宋体" w:hAnsi="宋体" w:cs="宋体"/>
                <w:sz w:val="24"/>
              </w:rPr>
            </w:pPr>
            <w:r>
              <w:rPr>
                <w:rFonts w:hint="eastAsia"/>
              </w:rPr>
              <w:t>2019年12月</w:t>
            </w:r>
          </w:p>
          <w:p w14:paraId="3D6CDBE6">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F8B328">
            <w:pPr>
              <w:jc w:val="center"/>
              <w:rPr>
                <w:rFonts w:ascii="宋体" w:hAnsi="宋体" w:cs="宋体"/>
                <w:sz w:val="24"/>
              </w:rPr>
            </w:pPr>
            <w:r>
              <w:rPr>
                <w:rFonts w:hint="eastAsia"/>
              </w:rPr>
              <w:t>完成</w:t>
            </w:r>
          </w:p>
          <w:p w14:paraId="76979C78">
            <w:pPr>
              <w:widowControl/>
              <w:jc w:val="center"/>
              <w:textAlignment w:val="center"/>
              <w:rPr>
                <w:rFonts w:ascii="宋体" w:hAnsi="宋体" w:cs="宋体"/>
                <w:color w:val="000000"/>
                <w:sz w:val="24"/>
              </w:rPr>
            </w:pPr>
          </w:p>
        </w:tc>
      </w:tr>
      <w:tr w14:paraId="2DC0D1DA">
        <w:tblPrEx>
          <w:tblCellMar>
            <w:top w:w="0" w:type="dxa"/>
            <w:left w:w="0" w:type="dxa"/>
            <w:bottom w:w="0" w:type="dxa"/>
            <w:right w:w="0" w:type="dxa"/>
          </w:tblCellMar>
        </w:tblPrEx>
        <w:trPr>
          <w:trHeight w:val="1042" w:hRule="atLeast"/>
          <w:jc w:val="center"/>
        </w:trPr>
        <w:tc>
          <w:tcPr>
            <w:tcW w:w="299" w:type="dxa"/>
            <w:vMerge w:val="continue"/>
            <w:tcBorders>
              <w:left w:val="single" w:color="000000" w:sz="4" w:space="0"/>
              <w:right w:val="single" w:color="000000" w:sz="4" w:space="0"/>
            </w:tcBorders>
            <w:tcMar>
              <w:top w:w="15" w:type="dxa"/>
              <w:left w:w="15" w:type="dxa"/>
              <w:right w:w="15" w:type="dxa"/>
            </w:tcMar>
            <w:vAlign w:val="center"/>
          </w:tcPr>
          <w:p w14:paraId="0F2680B7">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EE465E">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A2761D">
            <w:pPr>
              <w:widowControl/>
              <w:jc w:val="center"/>
              <w:textAlignment w:val="center"/>
              <w:rPr>
                <w:rFonts w:ascii="宋体" w:hAnsi="宋体" w:cs="宋体"/>
                <w:color w:val="000000"/>
                <w:sz w:val="24"/>
              </w:rPr>
            </w:pPr>
            <w:r>
              <w:rPr>
                <w:rFonts w:ascii="宋体" w:hAns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26E71C">
            <w:pPr>
              <w:jc w:val="center"/>
              <w:rPr>
                <w:rFonts w:ascii="宋体" w:hAnsi="宋体" w:cs="宋体"/>
                <w:sz w:val="24"/>
              </w:rPr>
            </w:pPr>
            <w:r>
              <w:rPr>
                <w:rFonts w:hint="eastAsia"/>
              </w:rPr>
              <w:t>环龄工资</w:t>
            </w:r>
          </w:p>
          <w:p w14:paraId="7BC89EE5">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8F43D8">
            <w:pPr>
              <w:jc w:val="center"/>
              <w:rPr>
                <w:rFonts w:ascii="宋体" w:hAnsi="宋体" w:cs="宋体"/>
                <w:sz w:val="24"/>
              </w:rPr>
            </w:pPr>
            <w:r>
              <w:rPr>
                <w:rFonts w:hint="eastAsia"/>
              </w:rPr>
              <w:t>约每月每人93元，共5.7万元</w:t>
            </w:r>
          </w:p>
          <w:p w14:paraId="09EACFB8">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C13236">
            <w:pPr>
              <w:jc w:val="center"/>
              <w:rPr>
                <w:rFonts w:ascii="宋体" w:hAnsi="宋体" w:cs="宋体"/>
                <w:sz w:val="24"/>
              </w:rPr>
            </w:pPr>
            <w:r>
              <w:rPr>
                <w:rFonts w:hint="eastAsia"/>
              </w:rPr>
              <w:t>完成。支出5.7万元</w:t>
            </w:r>
          </w:p>
          <w:p w14:paraId="5467F6ED">
            <w:pPr>
              <w:widowControl/>
              <w:jc w:val="center"/>
              <w:textAlignment w:val="center"/>
              <w:rPr>
                <w:rFonts w:ascii="宋体" w:hAnsi="宋体" w:cs="宋体"/>
                <w:color w:val="000000"/>
                <w:sz w:val="24"/>
              </w:rPr>
            </w:pPr>
          </w:p>
        </w:tc>
      </w:tr>
      <w:tr w14:paraId="22EE3CDB">
        <w:tblPrEx>
          <w:tblCellMar>
            <w:top w:w="0" w:type="dxa"/>
            <w:left w:w="108" w:type="dxa"/>
            <w:bottom w:w="0" w:type="dxa"/>
            <w:right w:w="108" w:type="dxa"/>
          </w:tblCellMar>
        </w:tblPrEx>
        <w:trPr>
          <w:trHeight w:val="1042" w:hRule="atLeast"/>
          <w:jc w:val="center"/>
        </w:trPr>
        <w:tc>
          <w:tcPr>
            <w:tcW w:w="299" w:type="dxa"/>
            <w:vMerge w:val="continue"/>
            <w:tcBorders>
              <w:left w:val="single" w:color="000000" w:sz="4" w:space="0"/>
              <w:right w:val="single" w:color="000000" w:sz="4" w:space="0"/>
            </w:tcBorders>
            <w:vAlign w:val="center"/>
          </w:tcPr>
          <w:p w14:paraId="4BB5D824">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vAlign w:val="center"/>
          </w:tcPr>
          <w:p w14:paraId="10508BE7">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vAlign w:val="center"/>
          </w:tcPr>
          <w:p w14:paraId="081E803F">
            <w:pPr>
              <w:widowControl/>
              <w:jc w:val="center"/>
              <w:textAlignment w:val="center"/>
              <w:rPr>
                <w:rFonts w:ascii="宋体" w:hAnsi="宋体" w:cs="宋体"/>
                <w:color w:val="000000"/>
                <w:sz w:val="24"/>
              </w:rPr>
            </w:pPr>
            <w:r>
              <w:rPr>
                <w:rFonts w:ascii="宋体" w:hAns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vAlign w:val="center"/>
          </w:tcPr>
          <w:p w14:paraId="19DA1970">
            <w:pPr>
              <w:widowControl/>
              <w:jc w:val="center"/>
              <w:textAlignment w:val="center"/>
              <w:rPr>
                <w:rFonts w:ascii="宋体" w:hAnsi="宋体" w:cs="宋体"/>
                <w:color w:val="000000"/>
                <w:sz w:val="24"/>
              </w:rPr>
            </w:pPr>
            <w:r>
              <w:rPr>
                <w:rFonts w:ascii="宋体" w:hAnsi="宋体" w:cs="宋体"/>
                <w:color w:val="000000"/>
                <w:sz w:val="24"/>
              </w:rPr>
              <w:t xml:space="preserve">环卫作业经费支出 </w:t>
            </w:r>
          </w:p>
        </w:tc>
        <w:tc>
          <w:tcPr>
            <w:tcW w:w="2394" w:type="dxa"/>
            <w:tcBorders>
              <w:top w:val="single" w:color="000000" w:sz="4" w:space="0"/>
              <w:left w:val="single" w:color="000000" w:sz="4" w:space="0"/>
              <w:bottom w:val="single" w:color="000000" w:sz="4" w:space="0"/>
              <w:right w:val="single" w:color="000000" w:sz="4" w:space="0"/>
            </w:tcBorders>
            <w:vAlign w:val="center"/>
          </w:tcPr>
          <w:p w14:paraId="4697A153">
            <w:pPr>
              <w:jc w:val="center"/>
              <w:rPr>
                <w:rFonts w:ascii="宋体" w:hAnsi="宋体" w:cs="宋体"/>
                <w:sz w:val="24"/>
              </w:rPr>
            </w:pPr>
            <w:r>
              <w:rPr>
                <w:rFonts w:hint="eastAsia"/>
              </w:rPr>
              <w:t>保障职工权益，日常工作正常运行</w:t>
            </w:r>
          </w:p>
          <w:p w14:paraId="6872E194">
            <w:pPr>
              <w:jc w:val="center"/>
              <w:rPr>
                <w:rFonts w:ascii="宋体" w:hAnsi="宋体" w:cs="宋体"/>
                <w:sz w:val="24"/>
              </w:rPr>
            </w:pPr>
            <w:r>
              <w:rPr>
                <w:rFonts w:hint="eastAsia"/>
              </w:rPr>
              <w:t>作业车辆油料、维修、保险年审费，水费、人员工资、垃圾房管理费用约332.04万元</w:t>
            </w:r>
          </w:p>
          <w:p w14:paraId="5118A963">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vAlign w:val="center"/>
          </w:tcPr>
          <w:p w14:paraId="3CD99E4B">
            <w:pPr>
              <w:jc w:val="center"/>
              <w:rPr>
                <w:rFonts w:ascii="宋体" w:hAnsi="宋体" w:cs="宋体"/>
                <w:sz w:val="24"/>
              </w:rPr>
            </w:pPr>
            <w:r>
              <w:rPr>
                <w:rFonts w:hint="eastAsia"/>
              </w:rPr>
              <w:t>完成。支出为 332.04万元</w:t>
            </w:r>
          </w:p>
          <w:p w14:paraId="406CA65D">
            <w:pPr>
              <w:widowControl/>
              <w:jc w:val="center"/>
              <w:textAlignment w:val="center"/>
              <w:rPr>
                <w:rFonts w:ascii="宋体" w:hAnsi="宋体" w:cs="宋体"/>
                <w:color w:val="000000"/>
                <w:sz w:val="24"/>
              </w:rPr>
            </w:pPr>
          </w:p>
        </w:tc>
      </w:tr>
      <w:tr w14:paraId="65FB020B">
        <w:tblPrEx>
          <w:tblCellMar>
            <w:top w:w="0" w:type="dxa"/>
            <w:left w:w="0" w:type="dxa"/>
            <w:bottom w:w="0" w:type="dxa"/>
            <w:right w:w="0" w:type="dxa"/>
          </w:tblCellMar>
        </w:tblPrEx>
        <w:trPr>
          <w:trHeight w:val="1042" w:hRule="atLeast"/>
          <w:jc w:val="center"/>
        </w:trPr>
        <w:tc>
          <w:tcPr>
            <w:tcW w:w="299" w:type="dxa"/>
            <w:vMerge w:val="continue"/>
            <w:tcBorders>
              <w:left w:val="single" w:color="000000" w:sz="4" w:space="0"/>
              <w:right w:val="single" w:color="000000" w:sz="4" w:space="0"/>
            </w:tcBorders>
            <w:tcMar>
              <w:top w:w="15" w:type="dxa"/>
              <w:left w:w="15" w:type="dxa"/>
              <w:right w:w="15" w:type="dxa"/>
            </w:tcMar>
            <w:vAlign w:val="center"/>
          </w:tcPr>
          <w:p w14:paraId="112488E8">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CE1585">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4EA50F">
            <w:pPr>
              <w:widowControl/>
              <w:jc w:val="center"/>
              <w:textAlignment w:val="center"/>
              <w:rPr>
                <w:rFonts w:ascii="宋体" w:hAnsi="宋体" w:cs="宋体"/>
                <w:color w:val="000000"/>
                <w:sz w:val="24"/>
              </w:rPr>
            </w:pPr>
            <w:r>
              <w:rPr>
                <w:rFonts w:ascii="宋体" w:hAnsi="宋体" w:cs="宋体"/>
                <w:color w:val="000000"/>
                <w:sz w:val="24"/>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7B3887">
            <w:pPr>
              <w:widowControl/>
              <w:jc w:val="center"/>
              <w:textAlignment w:val="center"/>
              <w:rPr>
                <w:rFonts w:ascii="宋体" w:hAnsi="宋体" w:cs="宋体"/>
                <w:color w:val="000000"/>
                <w:sz w:val="24"/>
              </w:rPr>
            </w:pPr>
            <w:r>
              <w:rPr>
                <w:rFonts w:ascii="宋体" w:hAnsi="宋体" w:cs="宋体"/>
                <w:color w:val="000000"/>
                <w:sz w:val="24"/>
              </w:rPr>
              <w:t>社会稳定</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430C4C">
            <w:pPr>
              <w:widowControl/>
              <w:jc w:val="center"/>
              <w:textAlignment w:val="center"/>
              <w:rPr>
                <w:rFonts w:ascii="宋体" w:hAnsi="宋体" w:cs="宋体"/>
                <w:color w:val="000000"/>
                <w:sz w:val="24"/>
              </w:rPr>
            </w:pPr>
            <w:r>
              <w:rPr>
                <w:rFonts w:ascii="宋体" w:hAnsi="宋体" w:cs="宋体"/>
                <w:color w:val="000000"/>
                <w:sz w:val="24"/>
              </w:rPr>
              <w:t>安定民心</w:t>
            </w:r>
            <w:r>
              <w:rPr>
                <w:rFonts w:hint="eastAsia" w:ascii="宋体" w:hAnsi="宋体" w:cs="宋体"/>
                <w:color w:val="000000"/>
                <w:sz w:val="24"/>
              </w:rPr>
              <w:t>，</w:t>
            </w:r>
            <w:r>
              <w:rPr>
                <w:rFonts w:ascii="宋体" w:hAnsi="宋体" w:cs="宋体"/>
                <w:color w:val="000000"/>
                <w:sz w:val="24"/>
              </w:rPr>
              <w:t>维护社会稳定</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D2182C">
            <w:pPr>
              <w:widowControl/>
              <w:jc w:val="center"/>
              <w:textAlignment w:val="center"/>
              <w:rPr>
                <w:rFonts w:ascii="宋体" w:hAnsi="宋体" w:cs="宋体"/>
                <w:color w:val="000000"/>
                <w:sz w:val="24"/>
              </w:rPr>
            </w:pPr>
            <w:r>
              <w:rPr>
                <w:rFonts w:ascii="宋体" w:hAnsi="宋体" w:cs="宋体"/>
                <w:color w:val="000000"/>
                <w:sz w:val="24"/>
              </w:rPr>
              <w:t>较好</w:t>
            </w:r>
          </w:p>
        </w:tc>
      </w:tr>
      <w:tr w14:paraId="6EFF59EE">
        <w:tblPrEx>
          <w:tblCellMar>
            <w:top w:w="0" w:type="dxa"/>
            <w:left w:w="0" w:type="dxa"/>
            <w:bottom w:w="0" w:type="dxa"/>
            <w:right w:w="0" w:type="dxa"/>
          </w:tblCellMar>
        </w:tblPrEx>
        <w:trPr>
          <w:trHeight w:val="1297" w:hRule="atLeast"/>
          <w:jc w:val="center"/>
        </w:trPr>
        <w:tc>
          <w:tcPr>
            <w:tcW w:w="299" w:type="dxa"/>
            <w:vMerge w:val="continue"/>
            <w:tcBorders>
              <w:left w:val="single" w:color="000000" w:sz="4" w:space="0"/>
              <w:right w:val="single" w:color="000000" w:sz="4" w:space="0"/>
            </w:tcBorders>
            <w:tcMar>
              <w:top w:w="15" w:type="dxa"/>
              <w:left w:w="15" w:type="dxa"/>
              <w:right w:w="15" w:type="dxa"/>
            </w:tcMar>
            <w:vAlign w:val="center"/>
          </w:tcPr>
          <w:p w14:paraId="011FD4B7">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AFA541">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5D1485">
            <w:pPr>
              <w:widowControl/>
              <w:jc w:val="center"/>
              <w:textAlignment w:val="center"/>
              <w:rPr>
                <w:rFonts w:ascii="宋体" w:hAnsi="宋体" w:cs="宋体"/>
                <w:color w:val="000000"/>
                <w:sz w:val="24"/>
              </w:rPr>
            </w:pPr>
            <w:r>
              <w:rPr>
                <w:rFonts w:ascii="宋体" w:hAnsi="宋体" w:cs="宋体"/>
                <w:color w:val="000000"/>
                <w:sz w:val="24"/>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BE7DC6">
            <w:pPr>
              <w:jc w:val="center"/>
              <w:rPr>
                <w:rFonts w:ascii="宋体" w:hAnsi="宋体" w:cs="宋体"/>
                <w:sz w:val="24"/>
              </w:rPr>
            </w:pPr>
            <w:r>
              <w:rPr>
                <w:rFonts w:hint="eastAsia"/>
              </w:rPr>
              <w:t>环卫作业</w:t>
            </w:r>
          </w:p>
          <w:p w14:paraId="35ADD879">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8F2A2E">
            <w:pPr>
              <w:jc w:val="center"/>
              <w:rPr>
                <w:rFonts w:ascii="宋体" w:hAnsi="宋体" w:cs="宋体"/>
                <w:sz w:val="24"/>
              </w:rPr>
            </w:pPr>
            <w:r>
              <w:rPr>
                <w:rFonts w:hint="eastAsia"/>
              </w:rPr>
              <w:t>不断提升辖区人居环境，体现城市文明程度</w:t>
            </w:r>
          </w:p>
          <w:p w14:paraId="540D11F9">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226C5E">
            <w:pPr>
              <w:widowControl/>
              <w:jc w:val="center"/>
              <w:textAlignment w:val="center"/>
              <w:rPr>
                <w:rFonts w:ascii="宋体" w:hAnsi="宋体" w:cs="宋体"/>
                <w:color w:val="000000"/>
                <w:sz w:val="24"/>
              </w:rPr>
            </w:pPr>
            <w:r>
              <w:rPr>
                <w:rFonts w:ascii="宋体" w:hAnsi="宋体" w:cs="宋体"/>
                <w:color w:val="000000"/>
                <w:sz w:val="24"/>
              </w:rPr>
              <w:t>较好</w:t>
            </w:r>
          </w:p>
        </w:tc>
      </w:tr>
      <w:tr w14:paraId="2ECF9506">
        <w:tblPrEx>
          <w:tblCellMar>
            <w:top w:w="0" w:type="dxa"/>
            <w:left w:w="0" w:type="dxa"/>
            <w:bottom w:w="0" w:type="dxa"/>
            <w:right w:w="0" w:type="dxa"/>
          </w:tblCellMar>
        </w:tblPrEx>
        <w:trPr>
          <w:trHeight w:val="1297" w:hRule="atLeast"/>
          <w:jc w:val="center"/>
        </w:trPr>
        <w:tc>
          <w:tcPr>
            <w:tcW w:w="299" w:type="dxa"/>
            <w:vMerge w:val="continue"/>
            <w:tcBorders>
              <w:left w:val="single" w:color="000000" w:sz="4" w:space="0"/>
              <w:right w:val="single" w:color="000000" w:sz="4" w:space="0"/>
            </w:tcBorders>
            <w:tcMar>
              <w:top w:w="15" w:type="dxa"/>
              <w:left w:w="15" w:type="dxa"/>
              <w:right w:w="15" w:type="dxa"/>
            </w:tcMar>
            <w:vAlign w:val="center"/>
          </w:tcPr>
          <w:p w14:paraId="1ADAA9CF">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50F012">
            <w:pPr>
              <w:widowControl/>
              <w:jc w:val="center"/>
              <w:textAlignment w:val="center"/>
              <w:rPr>
                <w:rFonts w:ascii="宋体" w:hAnsi="宋体" w:cs="宋体"/>
                <w:color w:val="000000"/>
                <w:kern w:val="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C6456C">
            <w:pPr>
              <w:widowControl/>
              <w:jc w:val="center"/>
              <w:textAlignment w:val="center"/>
              <w:rPr>
                <w:rFonts w:ascii="宋体" w:hAnsi="宋体" w:cs="宋体"/>
                <w:color w:val="000000"/>
                <w:sz w:val="24"/>
              </w:rPr>
            </w:pPr>
            <w:r>
              <w:rPr>
                <w:rFonts w:ascii="宋体" w:hAnsi="宋体" w:cs="宋体"/>
                <w:color w:val="000000"/>
                <w:sz w:val="24"/>
              </w:rPr>
              <w:t>生态效益指标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5281CB">
            <w:pPr>
              <w:jc w:val="center"/>
              <w:rPr>
                <w:rFonts w:ascii="宋体" w:hAnsi="宋体" w:cs="宋体"/>
                <w:sz w:val="24"/>
              </w:rPr>
            </w:pPr>
            <w:r>
              <w:rPr>
                <w:rFonts w:hint="eastAsia"/>
              </w:rPr>
              <w:t>环卫作业</w:t>
            </w:r>
          </w:p>
          <w:p w14:paraId="363C7410">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E2F58D">
            <w:pPr>
              <w:jc w:val="center"/>
              <w:rPr>
                <w:rFonts w:ascii="宋体" w:hAnsi="宋体" w:cs="宋体"/>
                <w:sz w:val="24"/>
              </w:rPr>
            </w:pPr>
            <w:r>
              <w:rPr>
                <w:rFonts w:hint="eastAsia"/>
              </w:rPr>
              <w:t>减少扬尘危害，改善空气质量</w:t>
            </w:r>
          </w:p>
          <w:p w14:paraId="3DB50221">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C46019">
            <w:pPr>
              <w:widowControl/>
              <w:jc w:val="center"/>
              <w:textAlignment w:val="center"/>
              <w:rPr>
                <w:rFonts w:ascii="宋体" w:hAnsi="宋体" w:cs="宋体"/>
                <w:color w:val="000000"/>
                <w:sz w:val="24"/>
              </w:rPr>
            </w:pPr>
            <w:r>
              <w:rPr>
                <w:rFonts w:ascii="宋体" w:hAnsi="宋体" w:cs="宋体"/>
                <w:color w:val="000000"/>
                <w:sz w:val="24"/>
              </w:rPr>
              <w:t>较好</w:t>
            </w:r>
          </w:p>
        </w:tc>
      </w:tr>
      <w:tr w14:paraId="75B0573E">
        <w:tblPrEx>
          <w:tblCellMar>
            <w:top w:w="0" w:type="dxa"/>
            <w:left w:w="0" w:type="dxa"/>
            <w:bottom w:w="0" w:type="dxa"/>
            <w:right w:w="0" w:type="dxa"/>
          </w:tblCellMar>
        </w:tblPrEx>
        <w:trPr>
          <w:trHeight w:val="1050" w:hRule="atLeast"/>
          <w:jc w:val="center"/>
        </w:trPr>
        <w:tc>
          <w:tcPr>
            <w:tcW w:w="299"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53460F89">
            <w:pPr>
              <w:widowControl/>
              <w:jc w:val="center"/>
              <w:textAlignment w:val="center"/>
              <w:rPr>
                <w:rFonts w:ascii="宋体" w:hAnsi="宋体" w:cs="宋体"/>
                <w:color w:val="000000"/>
                <w:sz w:val="24"/>
              </w:rPr>
            </w:pPr>
          </w:p>
        </w:tc>
        <w:tc>
          <w:tcPr>
            <w:tcW w:w="14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1DAD51">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3B7950">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4BAC96">
            <w:pPr>
              <w:rPr>
                <w:rFonts w:ascii="宋体" w:hAnsi="宋体" w:cs="宋体"/>
                <w:sz w:val="24"/>
              </w:rPr>
            </w:pPr>
            <w:r>
              <w:rPr>
                <w:rFonts w:hint="eastAsia"/>
              </w:rPr>
              <w:t>服务对象满意度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BB73B9">
            <w:pPr>
              <w:jc w:val="center"/>
              <w:rPr>
                <w:rFonts w:ascii="宋体" w:hAnsi="宋体" w:cs="宋体"/>
                <w:sz w:val="24"/>
              </w:rPr>
            </w:pPr>
            <w:r>
              <w:rPr>
                <w:rFonts w:hint="eastAsia"/>
              </w:rPr>
              <w:t>满意度达到基本满意以上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A48AAC">
            <w:pPr>
              <w:widowControl/>
              <w:jc w:val="center"/>
              <w:textAlignment w:val="center"/>
              <w:rPr>
                <w:rFonts w:ascii="宋体" w:hAnsi="宋体" w:cs="宋体"/>
                <w:color w:val="000000"/>
                <w:sz w:val="24"/>
              </w:rPr>
            </w:pPr>
            <w:r>
              <w:rPr>
                <w:rFonts w:ascii="宋体" w:hAnsi="宋体" w:cs="宋体"/>
                <w:color w:val="000000"/>
                <w:sz w:val="24"/>
              </w:rPr>
              <w:t>满意</w:t>
            </w:r>
          </w:p>
        </w:tc>
      </w:tr>
    </w:tbl>
    <w:p w14:paraId="2F63FBFC">
      <w:pPr>
        <w:spacing w:line="580" w:lineRule="exact"/>
        <w:ind w:left="630"/>
        <w:rPr>
          <w:rFonts w:ascii="仿宋_GB2312" w:hAnsi="仿宋_GB2312" w:eastAsia="仿宋_GB2312" w:cs="仿宋_GB2312"/>
          <w:sz w:val="32"/>
          <w:szCs w:val="32"/>
        </w:rPr>
      </w:pPr>
    </w:p>
    <w:p w14:paraId="6785BFAA">
      <w:pPr>
        <w:spacing w:line="580" w:lineRule="exact"/>
        <w:ind w:left="630"/>
        <w:rPr>
          <w:rFonts w:ascii="仿宋_GB2312" w:hAnsi="仿宋_GB2312" w:eastAsia="仿宋_GB2312" w:cs="仿宋_GB2312"/>
          <w:sz w:val="32"/>
          <w:szCs w:val="32"/>
        </w:rPr>
      </w:pPr>
    </w:p>
    <w:p w14:paraId="6380A20D">
      <w:pPr>
        <w:spacing w:line="580" w:lineRule="exact"/>
        <w:ind w:left="630"/>
        <w:rPr>
          <w:rFonts w:ascii="仿宋_GB2312" w:hAnsi="仿宋_GB2312" w:eastAsia="仿宋_GB2312" w:cs="仿宋_GB2312"/>
          <w:sz w:val="32"/>
          <w:szCs w:val="32"/>
        </w:rPr>
      </w:pPr>
      <w:r>
        <w:rPr>
          <w:rFonts w:hint="eastAsia" w:ascii="楷体_GB2312" w:hAnsi="楷体_GB2312" w:eastAsia="楷体_GB2312" w:cs="楷体_GB2312"/>
          <w:sz w:val="32"/>
          <w:szCs w:val="32"/>
        </w:rPr>
        <w:t>2.部门绩效评价结果。</w:t>
      </w:r>
    </w:p>
    <w:p w14:paraId="6F7BD8D9">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本部门按要求对2019年部门整体支出绩效评价情况开展自评，《西区市容环境卫生管理服务中心2019年部门整体支出绩效评价报告》见附件（附件1）。</w:t>
      </w:r>
    </w:p>
    <w:p w14:paraId="3F9BFE06">
      <w:pPr>
        <w:spacing w:line="580" w:lineRule="exact"/>
        <w:ind w:firstLine="640" w:firstLineChars="200"/>
        <w:rPr>
          <w:rFonts w:ascii="仿宋" w:hAnsi="仿宋" w:eastAsia="仿宋"/>
          <w:b/>
          <w:color w:val="000000"/>
          <w:sz w:val="32"/>
          <w:szCs w:val="32"/>
        </w:rPr>
      </w:pPr>
      <w:r>
        <w:rPr>
          <w:rFonts w:hint="eastAsia" w:ascii="仿宋" w:hAnsi="仿宋" w:eastAsia="仿宋" w:cs="仿宋_GB2312"/>
          <w:sz w:val="32"/>
          <w:szCs w:val="32"/>
        </w:rPr>
        <w:t>本部门自行组织对环卫生产作业经费项目开展了绩效评价，《环卫生产作业经费项目2019年绩效报告》见附件（附件2）。（非涉密部门均需公开部门整体支出评价报告，部门自行组织的绩效评价情况根据部门实际公开，若未组织项目绩效评价，则只需说明部门整体支出绩效评价情况）</w:t>
      </w:r>
    </w:p>
    <w:p w14:paraId="38C77B39">
      <w:pPr>
        <w:widowControl/>
        <w:jc w:val="left"/>
        <w:rPr>
          <w:rFonts w:ascii="仿宋_GB2312" w:eastAsia="仿宋_GB2312"/>
          <w:b/>
          <w:color w:val="000000"/>
          <w:sz w:val="32"/>
          <w:szCs w:val="32"/>
        </w:rPr>
      </w:pPr>
      <w:r>
        <w:rPr>
          <w:rFonts w:ascii="仿宋_GB2312" w:eastAsia="仿宋_GB2312"/>
          <w:b/>
          <w:color w:val="000000"/>
          <w:sz w:val="32"/>
          <w:szCs w:val="32"/>
        </w:rPr>
        <w:br w:type="page"/>
      </w:r>
    </w:p>
    <w:p w14:paraId="53243398">
      <w:pPr>
        <w:numPr>
          <w:ilvl w:val="0"/>
          <w:numId w:val="4"/>
        </w:numPr>
        <w:spacing w:line="600" w:lineRule="exact"/>
        <w:ind w:firstLine="660" w:firstLineChars="150"/>
        <w:jc w:val="center"/>
        <w:outlineLvl w:val="0"/>
        <w:rPr>
          <w:rStyle w:val="25"/>
          <w:rFonts w:ascii="黑体" w:hAnsi="黑体" w:eastAsia="黑体"/>
          <w:b w:val="0"/>
        </w:rPr>
      </w:pPr>
      <w:bookmarkStart w:id="59" w:name="_Toc15396613"/>
      <w:bookmarkStart w:id="60" w:name="_Toc15377225"/>
      <w:r>
        <w:rPr>
          <w:rFonts w:hint="eastAsia" w:ascii="黑体" w:hAnsi="黑体" w:eastAsia="黑体"/>
          <w:color w:val="000000"/>
          <w:sz w:val="44"/>
          <w:szCs w:val="44"/>
        </w:rPr>
        <w:t>名</w:t>
      </w:r>
      <w:r>
        <w:rPr>
          <w:rStyle w:val="25"/>
          <w:rFonts w:hint="eastAsia" w:ascii="黑体" w:hAnsi="黑体" w:eastAsia="黑体"/>
          <w:b w:val="0"/>
        </w:rPr>
        <w:t>词解释</w:t>
      </w:r>
      <w:bookmarkEnd w:id="59"/>
      <w:bookmarkEnd w:id="60"/>
    </w:p>
    <w:p w14:paraId="7A218526">
      <w:pPr>
        <w:spacing w:line="600" w:lineRule="exact"/>
        <w:jc w:val="left"/>
        <w:rPr>
          <w:rFonts w:ascii="宋体"/>
          <w:b/>
          <w:color w:val="000000"/>
          <w:sz w:val="44"/>
          <w:szCs w:val="44"/>
        </w:rPr>
      </w:pPr>
    </w:p>
    <w:p w14:paraId="57DCDAA9">
      <w:pPr>
        <w:pStyle w:val="23"/>
        <w:spacing w:line="560" w:lineRule="exact"/>
        <w:ind w:firstLine="640" w:firstLineChars="200"/>
        <w:rPr>
          <w:rFonts w:hAnsi="仿宋"/>
          <w:sz w:val="32"/>
          <w:szCs w:val="32"/>
        </w:rPr>
      </w:pPr>
      <w:r>
        <w:rPr>
          <w:rFonts w:hAnsi="仿宋"/>
          <w:sz w:val="32"/>
          <w:szCs w:val="32"/>
        </w:rPr>
        <w:t>1.</w:t>
      </w:r>
      <w:r>
        <w:rPr>
          <w:rFonts w:hint="eastAsia" w:hAnsi="仿宋"/>
          <w:sz w:val="32"/>
          <w:szCs w:val="32"/>
        </w:rPr>
        <w:t>财政拨款收入：指单位从同级财政部门取得的财政预算资金。</w:t>
      </w:r>
    </w:p>
    <w:p w14:paraId="3BD12B6C">
      <w:pPr>
        <w:pStyle w:val="23"/>
        <w:spacing w:line="560" w:lineRule="exact"/>
        <w:ind w:firstLine="640" w:firstLineChars="200"/>
        <w:rPr>
          <w:rFonts w:hAnsi="仿宋"/>
          <w:sz w:val="32"/>
          <w:szCs w:val="32"/>
        </w:rPr>
      </w:pPr>
      <w:r>
        <w:rPr>
          <w:rFonts w:hAnsi="仿宋"/>
          <w:sz w:val="32"/>
          <w:szCs w:val="32"/>
        </w:rPr>
        <w:t>2.</w:t>
      </w:r>
      <w:r>
        <w:rPr>
          <w:rFonts w:hint="eastAsia" w:hAnsi="仿宋"/>
          <w:sz w:val="32"/>
          <w:szCs w:val="32"/>
        </w:rPr>
        <w:t>事业收入：指事业单位开展专业业务活动及辅助活动取得的收入。</w:t>
      </w:r>
    </w:p>
    <w:p w14:paraId="1EB4C4C8">
      <w:pPr>
        <w:pStyle w:val="23"/>
        <w:spacing w:line="560" w:lineRule="exact"/>
        <w:ind w:firstLine="640" w:firstLineChars="200"/>
        <w:rPr>
          <w:rFonts w:hAnsi="仿宋"/>
          <w:sz w:val="32"/>
          <w:szCs w:val="32"/>
        </w:rPr>
      </w:pPr>
      <w:r>
        <w:rPr>
          <w:rFonts w:hAnsi="仿宋"/>
          <w:sz w:val="32"/>
          <w:szCs w:val="32"/>
        </w:rPr>
        <w:t>3.</w:t>
      </w:r>
      <w:r>
        <w:rPr>
          <w:rFonts w:hint="eastAsia" w:hAnsi="仿宋"/>
          <w:sz w:val="32"/>
          <w:szCs w:val="32"/>
        </w:rPr>
        <w:t>经营收入：指事业单位在专业业务活动及其辅助活动之外开展非独立核算经营活动取得的收入。</w:t>
      </w:r>
    </w:p>
    <w:p w14:paraId="7195038A">
      <w:pPr>
        <w:pStyle w:val="23"/>
        <w:spacing w:line="560" w:lineRule="exact"/>
        <w:ind w:firstLine="640" w:firstLineChars="200"/>
        <w:rPr>
          <w:rFonts w:hAnsi="仿宋"/>
          <w:sz w:val="32"/>
          <w:szCs w:val="32"/>
        </w:rPr>
      </w:pPr>
      <w:r>
        <w:rPr>
          <w:rFonts w:hAnsi="仿宋"/>
          <w:sz w:val="32"/>
          <w:szCs w:val="32"/>
        </w:rPr>
        <w:t>4.</w:t>
      </w:r>
      <w:r>
        <w:rPr>
          <w:rFonts w:hint="eastAsia" w:hAnsi="仿宋"/>
          <w:sz w:val="32"/>
          <w:szCs w:val="32"/>
        </w:rPr>
        <w:t>其他收入：指单位取得的除上述收入以外的各项收入。主要是银行利息收入。</w:t>
      </w:r>
    </w:p>
    <w:p w14:paraId="263E8033">
      <w:pPr>
        <w:pStyle w:val="23"/>
        <w:spacing w:line="560" w:lineRule="exact"/>
        <w:ind w:firstLine="640" w:firstLineChars="200"/>
        <w:rPr>
          <w:rFonts w:hAnsi="仿宋"/>
          <w:sz w:val="32"/>
          <w:szCs w:val="32"/>
        </w:rPr>
      </w:pPr>
      <w:r>
        <w:rPr>
          <w:rFonts w:hAnsi="仿宋"/>
          <w:sz w:val="32"/>
          <w:szCs w:val="32"/>
        </w:rPr>
        <w:t>5.</w:t>
      </w:r>
      <w:r>
        <w:rPr>
          <w:rFonts w:hint="eastAsia" w:hAnsi="仿宋"/>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14:paraId="6C171343">
      <w:pPr>
        <w:pStyle w:val="23"/>
        <w:spacing w:line="560" w:lineRule="exact"/>
        <w:ind w:firstLine="640" w:firstLineChars="200"/>
        <w:rPr>
          <w:rFonts w:hAnsi="仿宋"/>
          <w:sz w:val="32"/>
          <w:szCs w:val="32"/>
        </w:rPr>
      </w:pPr>
      <w:r>
        <w:rPr>
          <w:rFonts w:hAnsi="仿宋"/>
          <w:sz w:val="32"/>
          <w:szCs w:val="32"/>
        </w:rPr>
        <w:t>6.</w:t>
      </w:r>
      <w:r>
        <w:rPr>
          <w:rFonts w:hint="eastAsia" w:hAnsi="仿宋"/>
          <w:sz w:val="32"/>
          <w:szCs w:val="32"/>
        </w:rPr>
        <w:t>年初结转和结余：指以前年度尚未完成、结转到本年按有关规定继续使用的资金。</w:t>
      </w:r>
    </w:p>
    <w:p w14:paraId="6BBC4291">
      <w:pPr>
        <w:pStyle w:val="23"/>
        <w:spacing w:line="560" w:lineRule="exact"/>
        <w:ind w:firstLine="640" w:firstLineChars="200"/>
        <w:rPr>
          <w:rFonts w:hAnsi="仿宋"/>
          <w:sz w:val="32"/>
          <w:szCs w:val="32"/>
        </w:rPr>
      </w:pPr>
      <w:r>
        <w:rPr>
          <w:rFonts w:hAnsi="仿宋"/>
          <w:sz w:val="32"/>
          <w:szCs w:val="32"/>
        </w:rPr>
        <w:t>7.</w:t>
      </w:r>
      <w:r>
        <w:rPr>
          <w:rFonts w:hint="eastAsia" w:hAnsi="仿宋"/>
          <w:sz w:val="32"/>
          <w:szCs w:val="32"/>
        </w:rPr>
        <w:t>结余分配：指事业单位按照事业单位会计制度的规定从非财政补助结余中分配的事业基金和职工福利基金等。</w:t>
      </w:r>
    </w:p>
    <w:p w14:paraId="336A5438">
      <w:pPr>
        <w:pStyle w:val="23"/>
        <w:spacing w:line="560" w:lineRule="exact"/>
        <w:ind w:firstLine="640" w:firstLineChars="200"/>
        <w:rPr>
          <w:rFonts w:hAnsi="仿宋"/>
          <w:sz w:val="32"/>
          <w:szCs w:val="32"/>
        </w:rPr>
      </w:pPr>
      <w:r>
        <w:rPr>
          <w:rFonts w:hAnsi="仿宋"/>
          <w:sz w:val="32"/>
          <w:szCs w:val="32"/>
        </w:rPr>
        <w:t>8</w:t>
      </w:r>
      <w:r>
        <w:rPr>
          <w:rFonts w:hint="eastAsia" w:hAnsi="仿宋"/>
          <w:sz w:val="32"/>
          <w:szCs w:val="32"/>
        </w:rPr>
        <w:t>、年末结转和结余：指单位按有关规定结转到下年或以后年度继续使用的资金。</w:t>
      </w:r>
    </w:p>
    <w:p w14:paraId="6F72F0DE">
      <w:pPr>
        <w:ind w:firstLine="640" w:firstLineChars="200"/>
        <w:rPr>
          <w:rFonts w:ascii="仿宋" w:hAnsi="仿宋" w:eastAsia="仿宋"/>
          <w:color w:val="000000"/>
          <w:sz w:val="32"/>
          <w:szCs w:val="32"/>
        </w:rPr>
      </w:pPr>
      <w:r>
        <w:rPr>
          <w:rFonts w:ascii="仿宋" w:hAnsi="仿宋" w:eastAsia="仿宋"/>
          <w:color w:val="000000"/>
          <w:sz w:val="32"/>
          <w:szCs w:val="32"/>
        </w:rPr>
        <w:t>9.</w:t>
      </w:r>
      <w:r>
        <w:rPr>
          <w:rFonts w:hint="eastAsia" w:ascii="仿宋" w:hAnsi="仿宋" w:eastAsia="仿宋"/>
          <w:color w:val="000000"/>
          <w:sz w:val="32"/>
          <w:szCs w:val="32"/>
        </w:rPr>
        <w:t xml:space="preserve"> 城乡社区支出（类）城乡社区管理事务（款）行政运行（项）：指行政单位（包括实行公务员管理的事业单位）的基本支出。</w:t>
      </w:r>
    </w:p>
    <w:p w14:paraId="4A1F6AF3">
      <w:pPr>
        <w:ind w:firstLine="640" w:firstLineChars="200"/>
        <w:rPr>
          <w:rFonts w:ascii="仿宋" w:hAnsi="仿宋" w:eastAsia="仿宋"/>
          <w:color w:val="000000"/>
          <w:sz w:val="32"/>
          <w:szCs w:val="32"/>
        </w:rPr>
      </w:pPr>
      <w:r>
        <w:rPr>
          <w:rFonts w:ascii="仿宋" w:hAnsi="仿宋" w:eastAsia="仿宋"/>
          <w:color w:val="000000"/>
          <w:sz w:val="32"/>
          <w:szCs w:val="32"/>
        </w:rPr>
        <w:t>10.</w:t>
      </w:r>
      <w:r>
        <w:rPr>
          <w:rFonts w:hint="eastAsia" w:ascii="仿宋" w:hAnsi="仿宋" w:eastAsia="仿宋"/>
          <w:color w:val="000000"/>
          <w:sz w:val="32"/>
          <w:szCs w:val="32"/>
        </w:rPr>
        <w:t xml:space="preserve"> 城乡社区支出（类）国有土地使用权出让收入及对应专项债务收入安排的支出（款）土地开发支出（项）：指项目以外其他用于城乡社区管理事务方面的支出。</w:t>
      </w:r>
    </w:p>
    <w:p w14:paraId="56619BA5">
      <w:pPr>
        <w:ind w:firstLine="640" w:firstLineChars="200"/>
        <w:rPr>
          <w:rFonts w:ascii="仿宋" w:hAnsi="仿宋" w:eastAsia="仿宋"/>
          <w:color w:val="000000"/>
          <w:sz w:val="32"/>
          <w:szCs w:val="32"/>
        </w:rPr>
      </w:pPr>
      <w:r>
        <w:rPr>
          <w:rFonts w:ascii="仿宋" w:hAnsi="仿宋" w:eastAsia="仿宋"/>
          <w:color w:val="000000"/>
          <w:sz w:val="32"/>
          <w:szCs w:val="32"/>
        </w:rPr>
        <w:t>11.</w:t>
      </w:r>
      <w:r>
        <w:rPr>
          <w:rFonts w:hint="eastAsia" w:ascii="仿宋" w:hAnsi="仿宋" w:eastAsia="仿宋"/>
          <w:color w:val="000000"/>
          <w:sz w:val="32"/>
          <w:szCs w:val="32"/>
        </w:rPr>
        <w:t xml:space="preserve"> 社会保障和就业（类）行政事业单位离退休（款）未归口管理的行政单位离退休（项）：指未实行归口管理的行政单位（包括实行公务员管理的事业单位）开支的离退休支出。</w:t>
      </w:r>
    </w:p>
    <w:p w14:paraId="18D56639">
      <w:pPr>
        <w:ind w:firstLine="640" w:firstLineChars="200"/>
        <w:rPr>
          <w:rFonts w:ascii="仿宋" w:hAnsi="仿宋" w:eastAsia="仿宋"/>
          <w:color w:val="000000"/>
          <w:sz w:val="32"/>
          <w:szCs w:val="32"/>
        </w:rPr>
      </w:pPr>
      <w:r>
        <w:rPr>
          <w:rFonts w:ascii="仿宋" w:hAnsi="仿宋" w:eastAsia="仿宋"/>
          <w:color w:val="000000"/>
          <w:sz w:val="32"/>
          <w:szCs w:val="32"/>
        </w:rPr>
        <w:t>12.</w:t>
      </w:r>
      <w:r>
        <w:rPr>
          <w:rFonts w:hint="eastAsia" w:ascii="仿宋" w:hAnsi="仿宋" w:eastAsia="仿宋"/>
          <w:color w:val="000000"/>
          <w:sz w:val="32"/>
          <w:szCs w:val="32"/>
        </w:rPr>
        <w:t xml:space="preserve"> 社会保障和就业（类）行政事业单位离退休（款）机关事业单位基本养老保险缴费支出（项）：指机关事业单位实施养老保险制度由单位缴纳的基本养老保险支出。</w:t>
      </w:r>
    </w:p>
    <w:p w14:paraId="64CF4708">
      <w:pPr>
        <w:ind w:firstLine="640" w:firstLineChars="200"/>
        <w:rPr>
          <w:rFonts w:ascii="仿宋" w:hAnsi="仿宋" w:eastAsia="仿宋"/>
          <w:color w:val="000000"/>
          <w:sz w:val="32"/>
          <w:szCs w:val="32"/>
        </w:rPr>
      </w:pPr>
      <w:r>
        <w:rPr>
          <w:rFonts w:ascii="仿宋" w:hAnsi="仿宋" w:eastAsia="仿宋"/>
          <w:color w:val="000000"/>
          <w:sz w:val="32"/>
          <w:szCs w:val="32"/>
        </w:rPr>
        <w:t>13.</w:t>
      </w:r>
      <w:r>
        <w:rPr>
          <w:rFonts w:hint="eastAsia" w:ascii="仿宋" w:hAnsi="仿宋" w:eastAsia="仿宋"/>
          <w:color w:val="000000"/>
          <w:sz w:val="32"/>
          <w:szCs w:val="32"/>
        </w:rPr>
        <w:t xml:space="preserve"> 住房保障支出（类）住房改革支出（款）住房公积金（项）：指行政事业单位按人力资源和社会保障部、财政部规定的基本工资和津贴补贴以及规定比例为职工缴纳的住房公积金。</w:t>
      </w:r>
    </w:p>
    <w:p w14:paraId="754EB515">
      <w:pPr>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4</w:t>
      </w:r>
      <w:r>
        <w:rPr>
          <w:rFonts w:ascii="仿宋" w:hAnsi="仿宋" w:eastAsia="仿宋"/>
          <w:color w:val="000000"/>
          <w:sz w:val="32"/>
          <w:szCs w:val="32"/>
        </w:rPr>
        <w:t>.</w:t>
      </w:r>
      <w:r>
        <w:rPr>
          <w:rFonts w:hint="eastAsia" w:ascii="仿宋" w:hAnsi="仿宋" w:eastAsia="仿宋"/>
          <w:color w:val="000000"/>
          <w:sz w:val="32"/>
          <w:szCs w:val="32"/>
        </w:rPr>
        <w:t>医疗卫生与计划生育（类）行政事业单位医疗（款）行政单位医疗（项）：指单位为职工缴纳的基本医疗保险。</w:t>
      </w:r>
    </w:p>
    <w:p w14:paraId="275B1B7C">
      <w:pPr>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5</w:t>
      </w:r>
      <w:r>
        <w:rPr>
          <w:rFonts w:ascii="仿宋" w:hAnsi="仿宋" w:eastAsia="仿宋"/>
          <w:color w:val="000000"/>
          <w:sz w:val="32"/>
          <w:szCs w:val="32"/>
        </w:rPr>
        <w:t>.</w:t>
      </w:r>
      <w:r>
        <w:rPr>
          <w:rFonts w:hint="eastAsia" w:ascii="仿宋" w:hAnsi="仿宋" w:eastAsia="仿宋"/>
          <w:color w:val="000000"/>
          <w:sz w:val="32"/>
          <w:szCs w:val="32"/>
        </w:rPr>
        <w:t>医疗卫生与计划生育（类）行政事业单位医疗（款）公务员医疗补助（项）：指单位为职工缴纳的公务员医疗补助费。</w:t>
      </w:r>
    </w:p>
    <w:p w14:paraId="7F6FB8DB">
      <w:pPr>
        <w:ind w:firstLine="640" w:firstLineChars="200"/>
        <w:rPr>
          <w:rFonts w:ascii="仿宋" w:hAnsi="仿宋" w:eastAsia="仿宋"/>
          <w:color w:val="000000"/>
          <w:sz w:val="32"/>
          <w:szCs w:val="32"/>
        </w:rPr>
      </w:pPr>
      <w:r>
        <w:rPr>
          <w:rFonts w:hint="eastAsia" w:ascii="仿宋" w:hAnsi="仿宋" w:eastAsia="仿宋"/>
          <w:color w:val="000000"/>
          <w:sz w:val="32"/>
          <w:szCs w:val="32"/>
        </w:rPr>
        <w:t>16</w:t>
      </w:r>
      <w:r>
        <w:rPr>
          <w:rFonts w:ascii="仿宋" w:hAnsi="仿宋" w:eastAsia="仿宋"/>
          <w:color w:val="000000"/>
          <w:sz w:val="32"/>
          <w:szCs w:val="32"/>
        </w:rPr>
        <w:t>.</w:t>
      </w:r>
      <w:r>
        <w:rPr>
          <w:rFonts w:hint="eastAsia" w:ascii="仿宋" w:hAnsi="仿宋" w:eastAsia="仿宋"/>
          <w:color w:val="000000"/>
          <w:sz w:val="32"/>
          <w:szCs w:val="32"/>
        </w:rPr>
        <w:t>基本支出：指为保障机构正常运转、完成日常工作任务而发生的人员支出和公用支出。</w:t>
      </w:r>
    </w:p>
    <w:p w14:paraId="2B808767">
      <w:pPr>
        <w:ind w:firstLine="640" w:firstLineChars="200"/>
        <w:rPr>
          <w:rFonts w:ascii="仿宋" w:hAnsi="仿宋" w:eastAsia="仿宋"/>
          <w:color w:val="000000"/>
          <w:sz w:val="32"/>
          <w:szCs w:val="32"/>
        </w:rPr>
      </w:pPr>
      <w:r>
        <w:rPr>
          <w:rFonts w:hint="eastAsia" w:ascii="仿宋" w:hAnsi="仿宋" w:eastAsia="仿宋"/>
          <w:color w:val="000000"/>
          <w:sz w:val="32"/>
          <w:szCs w:val="32"/>
        </w:rPr>
        <w:t>17</w:t>
      </w:r>
      <w:r>
        <w:rPr>
          <w:rFonts w:ascii="仿宋" w:hAnsi="仿宋" w:eastAsia="仿宋"/>
          <w:color w:val="000000"/>
          <w:sz w:val="32"/>
          <w:szCs w:val="32"/>
        </w:rPr>
        <w:t>.</w:t>
      </w:r>
      <w:r>
        <w:rPr>
          <w:rFonts w:hint="eastAsia" w:ascii="仿宋" w:hAnsi="仿宋" w:eastAsia="仿宋"/>
          <w:color w:val="000000"/>
          <w:sz w:val="32"/>
          <w:szCs w:val="32"/>
        </w:rPr>
        <w:t>项目支出：指在基本支出之外为完成特定行政任务和事业发展目标所发生的支出。</w:t>
      </w:r>
    </w:p>
    <w:p w14:paraId="1678A667">
      <w:pPr>
        <w:ind w:firstLine="640" w:firstLineChars="200"/>
        <w:rPr>
          <w:rFonts w:ascii="仿宋" w:hAnsi="仿宋" w:eastAsia="仿宋"/>
          <w:color w:val="000000"/>
          <w:sz w:val="32"/>
          <w:szCs w:val="32"/>
        </w:rPr>
      </w:pPr>
      <w:r>
        <w:rPr>
          <w:rFonts w:hint="eastAsia" w:ascii="仿宋" w:hAnsi="仿宋" w:eastAsia="仿宋"/>
          <w:color w:val="000000"/>
          <w:sz w:val="32"/>
          <w:szCs w:val="32"/>
        </w:rPr>
        <w:t>18</w:t>
      </w:r>
      <w:r>
        <w:rPr>
          <w:rFonts w:ascii="仿宋" w:hAnsi="仿宋" w:eastAsia="仿宋"/>
          <w:color w:val="000000"/>
          <w:sz w:val="32"/>
          <w:szCs w:val="32"/>
        </w:rPr>
        <w:t>.</w:t>
      </w:r>
      <w:r>
        <w:rPr>
          <w:rFonts w:hint="eastAsia" w:ascii="仿宋" w:hAnsi="仿宋" w:eastAsia="仿宋"/>
          <w:color w:val="000000"/>
          <w:sz w:val="32"/>
          <w:szCs w:val="32"/>
        </w:rPr>
        <w:t>经营支出：指事业单位在专业业务活动及其辅助活动之外开展非独立核算经营活动发生的支出。</w:t>
      </w:r>
    </w:p>
    <w:p w14:paraId="6478F7F6">
      <w:pPr>
        <w:pStyle w:val="23"/>
        <w:spacing w:line="560" w:lineRule="exact"/>
        <w:ind w:firstLine="640" w:firstLineChars="200"/>
        <w:rPr>
          <w:rFonts w:hAnsi="仿宋"/>
          <w:sz w:val="32"/>
          <w:szCs w:val="32"/>
        </w:rPr>
      </w:pPr>
      <w:r>
        <w:rPr>
          <w:rFonts w:hint="eastAsia" w:hAnsi="仿宋"/>
          <w:sz w:val="32"/>
          <w:szCs w:val="32"/>
        </w:rPr>
        <w:t>19</w:t>
      </w:r>
      <w:r>
        <w:rPr>
          <w:rFonts w:hAnsi="仿宋"/>
          <w:sz w:val="32"/>
          <w:szCs w:val="32"/>
        </w:rPr>
        <w:t>.</w:t>
      </w:r>
      <w:r>
        <w:rPr>
          <w:rFonts w:hint="eastAsia" w:hAnsi="仿宋"/>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7C35DD3">
      <w:pPr>
        <w:pStyle w:val="23"/>
        <w:spacing w:line="560" w:lineRule="exact"/>
        <w:ind w:firstLine="640" w:firstLineChars="200"/>
        <w:rPr>
          <w:rFonts w:hAnsi="仿宋"/>
          <w:sz w:val="32"/>
          <w:szCs w:val="32"/>
        </w:rPr>
      </w:pPr>
      <w:r>
        <w:rPr>
          <w:rFonts w:hint="eastAsia" w:hAnsi="仿宋"/>
          <w:sz w:val="32"/>
          <w:szCs w:val="32"/>
        </w:rPr>
        <w:t>20</w:t>
      </w:r>
      <w:r>
        <w:rPr>
          <w:rFonts w:hAnsi="仿宋"/>
          <w:sz w:val="32"/>
          <w:szCs w:val="32"/>
        </w:rPr>
        <w:t>.</w:t>
      </w:r>
      <w:r>
        <w:rPr>
          <w:rFonts w:hint="eastAsia" w:hAnsi="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772A1A3">
      <w:pPr>
        <w:pStyle w:val="23"/>
        <w:spacing w:line="560" w:lineRule="exact"/>
        <w:ind w:firstLine="640" w:firstLineChars="200"/>
        <w:rPr>
          <w:rFonts w:hAnsi="仿宋"/>
          <w:sz w:val="32"/>
          <w:szCs w:val="32"/>
        </w:rPr>
      </w:pPr>
    </w:p>
    <w:p w14:paraId="1075ABE1">
      <w:pPr>
        <w:pStyle w:val="23"/>
        <w:spacing w:line="560" w:lineRule="exact"/>
        <w:ind w:firstLine="640" w:firstLineChars="200"/>
        <w:rPr>
          <w:rFonts w:hAnsi="仿宋" w:cs="黑体"/>
          <w:sz w:val="32"/>
          <w:szCs w:val="32"/>
        </w:rPr>
      </w:pPr>
    </w:p>
    <w:p w14:paraId="4D935969">
      <w:pPr>
        <w:spacing w:line="600" w:lineRule="exact"/>
        <w:jc w:val="center"/>
        <w:outlineLvl w:val="0"/>
        <w:rPr>
          <w:rStyle w:val="25"/>
          <w:rFonts w:ascii="仿宋" w:hAnsi="仿宋" w:eastAsia="仿宋"/>
          <w:b w:val="0"/>
          <w:sz w:val="32"/>
          <w:szCs w:val="32"/>
        </w:rPr>
      </w:pPr>
      <w:bookmarkStart w:id="61" w:name="_Toc15377226"/>
      <w:r>
        <w:rPr>
          <w:rFonts w:ascii="仿宋" w:hAnsi="仿宋" w:eastAsia="仿宋"/>
          <w:b/>
          <w:color w:val="000000"/>
          <w:sz w:val="32"/>
          <w:szCs w:val="32"/>
        </w:rPr>
        <w:br w:type="page"/>
      </w:r>
      <w:bookmarkStart w:id="62" w:name="_Toc15396614"/>
      <w:r>
        <w:rPr>
          <w:rFonts w:hint="eastAsia" w:ascii="仿宋" w:hAnsi="仿宋" w:eastAsia="仿宋"/>
          <w:color w:val="000000"/>
          <w:sz w:val="32"/>
          <w:szCs w:val="32"/>
        </w:rPr>
        <w:t>第</w:t>
      </w:r>
      <w:r>
        <w:rPr>
          <w:rStyle w:val="25"/>
          <w:rFonts w:hint="eastAsia" w:ascii="仿宋" w:hAnsi="仿宋" w:eastAsia="仿宋"/>
          <w:b w:val="0"/>
          <w:sz w:val="32"/>
          <w:szCs w:val="32"/>
        </w:rPr>
        <w:t>四部分 附件</w:t>
      </w:r>
      <w:bookmarkEnd w:id="62"/>
    </w:p>
    <w:p w14:paraId="68C5B586">
      <w:pPr>
        <w:spacing w:line="600" w:lineRule="exact"/>
        <w:jc w:val="left"/>
        <w:outlineLvl w:val="0"/>
        <w:rPr>
          <w:rFonts w:ascii="仿宋" w:hAnsi="仿宋" w:eastAsia="仿宋" w:cs="方正小标宋简体"/>
          <w:sz w:val="32"/>
          <w:szCs w:val="32"/>
        </w:rPr>
      </w:pPr>
      <w:r>
        <w:rPr>
          <w:rFonts w:hint="eastAsia" w:ascii="仿宋" w:hAnsi="仿宋" w:eastAsia="仿宋" w:cs="黑体"/>
          <w:sz w:val="32"/>
          <w:szCs w:val="32"/>
        </w:rPr>
        <w:t>附件1</w:t>
      </w:r>
    </w:p>
    <w:p w14:paraId="7123923A">
      <w:pPr>
        <w:spacing w:line="580" w:lineRule="exact"/>
        <w:jc w:val="center"/>
        <w:rPr>
          <w:rFonts w:ascii="仿宋" w:hAnsi="仿宋" w:eastAsia="仿宋" w:cs="方正小标宋简体"/>
          <w:sz w:val="32"/>
          <w:szCs w:val="32"/>
        </w:rPr>
      </w:pPr>
    </w:p>
    <w:p w14:paraId="100EE9E8">
      <w:pPr>
        <w:spacing w:line="600" w:lineRule="exact"/>
        <w:jc w:val="center"/>
        <w:rPr>
          <w:rFonts w:ascii="仿宋" w:hAnsi="仿宋" w:eastAsia="仿宋"/>
          <w:color w:val="000000"/>
          <w:kern w:val="0"/>
          <w:sz w:val="36"/>
          <w:szCs w:val="36"/>
        </w:rPr>
      </w:pPr>
      <w:r>
        <w:rPr>
          <w:rFonts w:hint="eastAsia" w:ascii="仿宋" w:hAnsi="仿宋" w:eastAsia="仿宋"/>
          <w:color w:val="000000"/>
          <w:kern w:val="0"/>
          <w:sz w:val="36"/>
          <w:szCs w:val="36"/>
        </w:rPr>
        <w:t>西区市容环境卫生管理服务中心</w:t>
      </w:r>
    </w:p>
    <w:p w14:paraId="1A44FF42">
      <w:pPr>
        <w:spacing w:line="600" w:lineRule="exact"/>
        <w:jc w:val="center"/>
        <w:rPr>
          <w:rFonts w:ascii="仿宋" w:hAnsi="仿宋" w:eastAsia="仿宋"/>
          <w:color w:val="000000"/>
          <w:kern w:val="0"/>
          <w:sz w:val="36"/>
          <w:szCs w:val="36"/>
          <w:lang w:val="zh-CN"/>
        </w:rPr>
      </w:pPr>
      <w:r>
        <w:rPr>
          <w:rFonts w:ascii="仿宋" w:hAnsi="仿宋" w:eastAsia="仿宋"/>
          <w:color w:val="000000"/>
          <w:kern w:val="0"/>
          <w:sz w:val="36"/>
          <w:szCs w:val="36"/>
        </w:rPr>
        <w:t>2019年部门</w:t>
      </w:r>
      <w:r>
        <w:rPr>
          <w:rFonts w:hint="eastAsia" w:ascii="仿宋" w:hAnsi="仿宋" w:eastAsia="仿宋"/>
          <w:color w:val="000000"/>
          <w:kern w:val="0"/>
          <w:sz w:val="36"/>
          <w:szCs w:val="36"/>
          <w:lang w:val="zh-CN"/>
        </w:rPr>
        <w:t>整体支出绩效评价报告</w:t>
      </w:r>
    </w:p>
    <w:p w14:paraId="0CE138E4">
      <w:pPr>
        <w:widowControl/>
        <w:spacing w:line="580" w:lineRule="exact"/>
        <w:ind w:firstLine="640" w:firstLineChars="200"/>
        <w:contextualSpacing/>
        <w:jc w:val="center"/>
        <w:rPr>
          <w:rFonts w:ascii="仿宋" w:hAnsi="仿宋" w:eastAsia="仿宋"/>
          <w:sz w:val="32"/>
          <w:szCs w:val="32"/>
          <w:shd w:val="clear" w:color="auto" w:fill="FFFFFF"/>
        </w:rPr>
      </w:pPr>
    </w:p>
    <w:p w14:paraId="3B66D9B9">
      <w:pPr>
        <w:widowControl/>
        <w:adjustRightInd w:val="0"/>
        <w:snapToGrid w:val="0"/>
        <w:spacing w:line="580" w:lineRule="exact"/>
        <w:contextualSpacing/>
        <w:jc w:val="left"/>
        <w:rPr>
          <w:rFonts w:ascii="仿宋" w:hAnsi="仿宋" w:eastAsia="仿宋" w:cs="宋体"/>
          <w:color w:val="000000"/>
          <w:kern w:val="0"/>
          <w:sz w:val="32"/>
          <w:szCs w:val="32"/>
          <w:shd w:val="clear" w:color="auto" w:fill="FFFFFF"/>
          <w:lang w:val="zh-CN"/>
        </w:rPr>
      </w:pPr>
      <w:r>
        <w:rPr>
          <w:rFonts w:hint="eastAsia" w:ascii="仿宋" w:hAnsi="仿宋" w:eastAsia="仿宋" w:cs="宋体"/>
          <w:color w:val="000000"/>
          <w:kern w:val="0"/>
          <w:sz w:val="32"/>
          <w:szCs w:val="32"/>
          <w:shd w:val="clear" w:color="auto" w:fill="FFFFFF"/>
        </w:rPr>
        <w:t>一、</w:t>
      </w:r>
      <w:r>
        <w:rPr>
          <w:rFonts w:hint="eastAsia" w:ascii="仿宋" w:hAnsi="仿宋" w:eastAsia="仿宋" w:cs="宋体"/>
          <w:color w:val="000000"/>
          <w:kern w:val="0"/>
          <w:sz w:val="32"/>
          <w:szCs w:val="32"/>
          <w:shd w:val="clear" w:color="auto" w:fill="FFFFFF"/>
          <w:lang w:val="zh-CN"/>
        </w:rPr>
        <w:t>部门（单位）概况</w:t>
      </w:r>
    </w:p>
    <w:p w14:paraId="5A3271C5">
      <w:pPr>
        <w:pStyle w:val="7"/>
        <w:spacing w:line="353" w:lineRule="auto"/>
        <w:ind w:firstLine="1120" w:firstLineChars="350"/>
        <w:rPr>
          <w:rFonts w:ascii="仿宋" w:hAnsi="仿宋" w:eastAsia="仿宋" w:cs="仿宋_GB2312"/>
          <w:sz w:val="32"/>
          <w:szCs w:val="32"/>
        </w:rPr>
      </w:pPr>
      <w:r>
        <w:rPr>
          <w:rFonts w:ascii="仿宋" w:hAnsi="仿宋" w:eastAsia="仿宋"/>
          <w:sz w:val="32"/>
          <w:szCs w:val="32"/>
        </w:rPr>
        <w:t>简要阐述本部门的基本职能、人员构成和固定资产等情况</w:t>
      </w:r>
      <w:r>
        <w:rPr>
          <w:rFonts w:hint="eastAsia" w:ascii="仿宋" w:hAnsi="仿宋" w:eastAsia="仿宋"/>
          <w:sz w:val="32"/>
          <w:szCs w:val="32"/>
        </w:rPr>
        <w:t>。</w:t>
      </w:r>
      <w:r>
        <w:rPr>
          <w:rFonts w:hint="eastAsia" w:ascii="仿宋" w:hAnsi="仿宋" w:eastAsia="仿宋" w:cs="仿宋_GB2312"/>
          <w:kern w:val="0"/>
          <w:sz w:val="32"/>
          <w:szCs w:val="32"/>
        </w:rPr>
        <w:t>主要职能职责：</w:t>
      </w:r>
      <w:r>
        <w:rPr>
          <w:rFonts w:hint="eastAsia" w:ascii="仿宋" w:hAnsi="仿宋" w:eastAsia="仿宋" w:cs="仿宋_GB2312"/>
          <w:bCs/>
          <w:sz w:val="32"/>
          <w:szCs w:val="32"/>
        </w:rPr>
        <w:t>（1）</w:t>
      </w:r>
      <w:r>
        <w:rPr>
          <w:rFonts w:hint="eastAsia" w:ascii="仿宋" w:hAnsi="仿宋" w:eastAsia="仿宋" w:cs="仿宋_GB2312"/>
          <w:sz w:val="32"/>
          <w:szCs w:val="32"/>
        </w:rPr>
        <w:t>宣传、贯彻执行国家、省、市有关市容环境卫生管理工作的法律、法规和方针、政策，参与编制西区市容环境卫生事业发展规划，并负责组织实施。（2）负责落实执行相关行政部门单位制订的攀枝花市城市西区市容和环境卫生管理工作标准；负责协助相关行政部门单位对西区市容环境卫生的综合整治、日常管理、监督检查；负责辖区内各居民小区的市容环境卫生工作的业务指导和监督。（3）负责市容环境卫生科学技术的引进、推广、应用等工作。（4）负责责权范围内西区市容环境卫生公共设备设施（含环卫车辆、垃圾桶、果皮箱等）的日常维护、维修和管理。（5）负责西区城市主干道、街道、人行道责权范围内的垃圾清运及洒水防尘等工作。（6）完成上级交办的其他工作任务。</w:t>
      </w:r>
    </w:p>
    <w:p w14:paraId="736A1857">
      <w:pPr>
        <w:ind w:firstLine="630"/>
        <w:rPr>
          <w:rFonts w:ascii="仿宋" w:hAnsi="仿宋" w:eastAsia="仿宋" w:cs="仿宋"/>
          <w:kern w:val="0"/>
          <w:sz w:val="32"/>
          <w:szCs w:val="32"/>
        </w:rPr>
      </w:pPr>
      <w:r>
        <w:rPr>
          <w:rFonts w:hint="eastAsia" w:ascii="仿宋" w:hAnsi="仿宋" w:eastAsia="仿宋" w:cs="仿宋"/>
          <w:kern w:val="0"/>
          <w:sz w:val="32"/>
          <w:szCs w:val="32"/>
        </w:rPr>
        <w:t>人员构成：截</w:t>
      </w:r>
      <w:r>
        <w:rPr>
          <w:rFonts w:hint="eastAsia" w:ascii="仿宋" w:hAnsi="仿宋" w:eastAsia="仿宋" w:cs="仿宋"/>
          <w:kern w:val="0"/>
          <w:sz w:val="32"/>
          <w:szCs w:val="32"/>
          <w:lang w:eastAsia="zh-CN"/>
        </w:rPr>
        <w:t>至</w:t>
      </w:r>
      <w:bookmarkStart w:id="77" w:name="_GoBack"/>
      <w:bookmarkEnd w:id="77"/>
      <w:r>
        <w:rPr>
          <w:rFonts w:ascii="仿宋" w:hAnsi="仿宋" w:eastAsia="仿宋" w:cs="仿宋"/>
          <w:kern w:val="0"/>
          <w:sz w:val="32"/>
          <w:szCs w:val="32"/>
        </w:rPr>
        <w:t>2019</w:t>
      </w:r>
      <w:r>
        <w:rPr>
          <w:rFonts w:hint="eastAsia" w:ascii="仿宋" w:hAnsi="仿宋" w:eastAsia="仿宋" w:cs="仿宋"/>
          <w:kern w:val="0"/>
          <w:sz w:val="32"/>
          <w:szCs w:val="32"/>
        </w:rPr>
        <w:t>年12月统计，我部门基本情况如下：行政人员编制25人，实有</w:t>
      </w:r>
      <w:r>
        <w:rPr>
          <w:rFonts w:ascii="仿宋" w:hAnsi="仿宋" w:eastAsia="仿宋" w:cs="仿宋"/>
          <w:kern w:val="0"/>
          <w:sz w:val="32"/>
          <w:szCs w:val="32"/>
        </w:rPr>
        <w:t>19</w:t>
      </w:r>
      <w:r>
        <w:rPr>
          <w:rFonts w:hint="eastAsia" w:ascii="仿宋" w:hAnsi="仿宋" w:eastAsia="仿宋" w:cs="仿宋"/>
          <w:kern w:val="0"/>
          <w:sz w:val="32"/>
          <w:szCs w:val="32"/>
        </w:rPr>
        <w:t>人。</w:t>
      </w:r>
    </w:p>
    <w:p w14:paraId="2C8A9E3A">
      <w:pPr>
        <w:ind w:firstLine="630"/>
        <w:rPr>
          <w:rFonts w:ascii="仿宋" w:hAnsi="仿宋" w:eastAsia="仿宋" w:cs="仿宋"/>
          <w:kern w:val="0"/>
          <w:sz w:val="32"/>
          <w:szCs w:val="32"/>
        </w:rPr>
      </w:pPr>
      <w:r>
        <w:rPr>
          <w:rFonts w:hint="eastAsia" w:ascii="仿宋" w:hAnsi="仿宋" w:eastAsia="仿宋" w:cs="仿宋"/>
          <w:kern w:val="0"/>
          <w:sz w:val="32"/>
          <w:szCs w:val="32"/>
        </w:rPr>
        <w:t>编内聘用人员编制</w:t>
      </w:r>
      <w:r>
        <w:rPr>
          <w:rFonts w:ascii="仿宋" w:hAnsi="仿宋" w:eastAsia="仿宋" w:cs="仿宋"/>
          <w:kern w:val="0"/>
          <w:sz w:val="32"/>
          <w:szCs w:val="32"/>
        </w:rPr>
        <w:t>64</w:t>
      </w:r>
      <w:r>
        <w:rPr>
          <w:rFonts w:hint="eastAsia" w:ascii="仿宋" w:hAnsi="仿宋" w:eastAsia="仿宋" w:cs="仿宋"/>
          <w:kern w:val="0"/>
          <w:sz w:val="32"/>
          <w:szCs w:val="32"/>
        </w:rPr>
        <w:t>人，实有59人，退休人员9人。</w:t>
      </w:r>
    </w:p>
    <w:p w14:paraId="5EB65040">
      <w:pPr>
        <w:widowControl/>
        <w:adjustRightInd w:val="0"/>
        <w:snapToGrid w:val="0"/>
        <w:spacing w:line="580" w:lineRule="exact"/>
        <w:contextualSpacing/>
        <w:jc w:val="left"/>
        <w:rPr>
          <w:rFonts w:ascii="仿宋" w:hAnsi="仿宋" w:eastAsia="仿宋" w:cs="宋体"/>
          <w:color w:val="000000"/>
          <w:kern w:val="0"/>
          <w:sz w:val="32"/>
          <w:szCs w:val="32"/>
          <w:shd w:val="clear" w:color="auto" w:fill="FFFFFF"/>
        </w:rPr>
      </w:pPr>
      <w:r>
        <w:rPr>
          <w:rFonts w:hint="eastAsia" w:ascii="仿宋" w:hAnsi="仿宋" w:eastAsia="仿宋" w:cs="宋体"/>
          <w:color w:val="000000"/>
          <w:kern w:val="0"/>
          <w:sz w:val="32"/>
          <w:szCs w:val="32"/>
          <w:shd w:val="clear" w:color="auto" w:fill="FFFFFF"/>
        </w:rPr>
        <w:t>二、部门财政资金收支情况</w:t>
      </w:r>
    </w:p>
    <w:p w14:paraId="0A9022B4">
      <w:pPr>
        <w:widowControl/>
        <w:adjustRightInd w:val="0"/>
        <w:snapToGrid w:val="0"/>
        <w:spacing w:line="580" w:lineRule="exact"/>
        <w:contextualSpacing/>
        <w:jc w:val="left"/>
        <w:rPr>
          <w:rFonts w:ascii="仿宋" w:hAnsi="仿宋" w:eastAsia="仿宋" w:cs="宋体"/>
          <w:color w:val="000000"/>
          <w:kern w:val="0"/>
          <w:sz w:val="32"/>
          <w:szCs w:val="32"/>
          <w:shd w:val="clear" w:color="auto" w:fill="FFFFFF"/>
          <w:lang w:val="zh-CN"/>
        </w:rPr>
      </w:pPr>
      <w:r>
        <w:rPr>
          <w:rFonts w:hint="eastAsia" w:ascii="仿宋" w:hAnsi="仿宋" w:eastAsia="仿宋" w:cs="宋体"/>
          <w:color w:val="000000"/>
          <w:kern w:val="0"/>
          <w:sz w:val="32"/>
          <w:szCs w:val="32"/>
          <w:shd w:val="clear" w:color="auto" w:fill="FFFFFF"/>
          <w:lang w:val="zh-CN"/>
        </w:rPr>
        <w:t>（一）部门财政资金收入情况。</w:t>
      </w:r>
    </w:p>
    <w:p w14:paraId="4B46EF8E">
      <w:pPr>
        <w:widowControl/>
        <w:adjustRightInd w:val="0"/>
        <w:snapToGrid w:val="0"/>
        <w:spacing w:line="580" w:lineRule="exact"/>
        <w:ind w:firstLine="640" w:firstLineChars="200"/>
        <w:contextualSpacing/>
        <w:jc w:val="left"/>
        <w:rPr>
          <w:rFonts w:ascii="仿宋" w:hAnsi="仿宋" w:eastAsia="仿宋"/>
          <w:sz w:val="32"/>
          <w:szCs w:val="32"/>
        </w:rPr>
      </w:pPr>
      <w:r>
        <w:rPr>
          <w:rFonts w:hint="eastAsia" w:ascii="仿宋" w:hAnsi="仿宋" w:eastAsia="仿宋"/>
          <w:sz w:val="32"/>
          <w:szCs w:val="32"/>
        </w:rPr>
        <w:t>我单位2019年年初预算总收入514.14万元，决算收入897.41万元。</w:t>
      </w:r>
    </w:p>
    <w:p w14:paraId="244D1559">
      <w:pPr>
        <w:widowControl/>
        <w:adjustRightInd w:val="0"/>
        <w:snapToGrid w:val="0"/>
        <w:spacing w:line="580" w:lineRule="exact"/>
        <w:contextualSpacing/>
        <w:jc w:val="left"/>
        <w:rPr>
          <w:rFonts w:ascii="仿宋" w:hAnsi="仿宋" w:eastAsia="仿宋" w:cs="宋体"/>
          <w:color w:val="000000"/>
          <w:kern w:val="0"/>
          <w:sz w:val="32"/>
          <w:szCs w:val="32"/>
          <w:shd w:val="clear" w:color="auto" w:fill="FFFFFF"/>
          <w:lang w:val="zh-CN"/>
        </w:rPr>
      </w:pPr>
      <w:r>
        <w:rPr>
          <w:rFonts w:hint="eastAsia" w:ascii="仿宋" w:hAnsi="仿宋" w:eastAsia="仿宋" w:cs="宋体"/>
          <w:color w:val="000000"/>
          <w:kern w:val="0"/>
          <w:sz w:val="32"/>
          <w:szCs w:val="32"/>
          <w:shd w:val="clear" w:color="auto" w:fill="FFFFFF"/>
          <w:lang w:val="zh-CN"/>
        </w:rPr>
        <w:t>（二）部门财政资金支出情况。</w:t>
      </w:r>
    </w:p>
    <w:p w14:paraId="6C0B9593">
      <w:pPr>
        <w:widowControl/>
        <w:adjustRightInd w:val="0"/>
        <w:snapToGrid w:val="0"/>
        <w:spacing w:line="580" w:lineRule="exact"/>
        <w:ind w:firstLine="640" w:firstLineChars="200"/>
        <w:contextualSpacing/>
        <w:jc w:val="left"/>
        <w:rPr>
          <w:rFonts w:ascii="仿宋" w:hAnsi="仿宋" w:eastAsia="仿宋"/>
          <w:sz w:val="32"/>
          <w:szCs w:val="32"/>
        </w:rPr>
      </w:pPr>
      <w:r>
        <w:rPr>
          <w:rFonts w:hint="eastAsia" w:ascii="仿宋" w:hAnsi="仿宋" w:eastAsia="仿宋"/>
          <w:sz w:val="32"/>
          <w:szCs w:val="32"/>
        </w:rPr>
        <w:t>我单位本年支出年初预算514.14万元，决算支出897.41万元，其中基本支出：年初预算508.44万元，决算559.67万元；项目支出：年初预算5.7万元，决算337.74万。</w:t>
      </w:r>
    </w:p>
    <w:p w14:paraId="3D8AA661">
      <w:pPr>
        <w:widowControl/>
        <w:adjustRightInd w:val="0"/>
        <w:snapToGrid w:val="0"/>
        <w:spacing w:line="580" w:lineRule="exact"/>
        <w:contextualSpacing/>
        <w:jc w:val="left"/>
        <w:rPr>
          <w:rFonts w:ascii="仿宋" w:hAnsi="仿宋" w:eastAsia="仿宋" w:cs="宋体"/>
          <w:color w:val="000000"/>
          <w:kern w:val="0"/>
          <w:sz w:val="32"/>
          <w:szCs w:val="32"/>
          <w:shd w:val="clear" w:color="auto" w:fill="FFFFFF"/>
        </w:rPr>
      </w:pPr>
      <w:r>
        <w:rPr>
          <w:rFonts w:hint="eastAsia" w:ascii="仿宋" w:hAnsi="仿宋" w:eastAsia="仿宋" w:cs="宋体"/>
          <w:color w:val="000000"/>
          <w:kern w:val="0"/>
          <w:sz w:val="32"/>
          <w:szCs w:val="32"/>
          <w:shd w:val="clear" w:color="auto" w:fill="FFFFFF"/>
        </w:rPr>
        <w:t>三、部门整体预算绩效管理情况</w:t>
      </w:r>
    </w:p>
    <w:p w14:paraId="0CFE4353">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2019年，根据本单位年初工作规划和重点性工作，积极履职，强化管理，较好的完成了年度工作目标。通过加强预算收支管理，不断建立健全内部管理制度，梳理内部管理流程，部门整体支出管理情况得到提升。根据2019年度部门整体支出状况的概述和分析，部门整体支出绩效情况如下：</w:t>
      </w:r>
    </w:p>
    <w:p w14:paraId="5F9DE25E">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数量指标：基本支出保证人员经费基本待遇。全系统在职在编及退休87人，其中：在职19人，在编59人，退休9人。</w:t>
      </w:r>
    </w:p>
    <w:p w14:paraId="3E3C2EDA">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质量指标：提升了城市管理整体水平，改善了城市环境，提高了城市形象，为市民提供更加舒适的生活环境，使市民获得更多的幸福感。</w:t>
      </w:r>
    </w:p>
    <w:p w14:paraId="56D7CE43">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成本指标：年度项目经费支出337.74万元。用于环卫作业车辆油料、维修、保险年审费，水费、人员工资、垃圾房清运管理费约332.04万元，</w:t>
      </w:r>
      <w:r>
        <w:rPr>
          <w:rFonts w:hint="eastAsia" w:ascii="仿宋" w:hAnsi="仿宋" w:eastAsia="仿宋" w:cs="仿宋"/>
          <w:kern w:val="0"/>
          <w:sz w:val="32"/>
          <w:szCs w:val="32"/>
        </w:rPr>
        <w:t>环卫大集体所有制企业退休职工的环卫工龄工资</w:t>
      </w:r>
      <w:r>
        <w:rPr>
          <w:rFonts w:hint="eastAsia" w:ascii="仿宋" w:hAnsi="仿宋" w:eastAsia="仿宋"/>
          <w:sz w:val="32"/>
          <w:szCs w:val="32"/>
        </w:rPr>
        <w:t>5.7万元。</w:t>
      </w:r>
    </w:p>
    <w:p w14:paraId="3349B113">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时效指标：年度内按预定时间完成。</w:t>
      </w:r>
    </w:p>
    <w:p w14:paraId="6633CD46">
      <w:pPr>
        <w:pStyle w:val="7"/>
        <w:numPr>
          <w:ilvl w:val="0"/>
          <w:numId w:val="5"/>
        </w:numPr>
        <w:spacing w:line="353" w:lineRule="auto"/>
        <w:ind w:firstLine="640" w:firstLineChars="200"/>
        <w:rPr>
          <w:rFonts w:ascii="仿宋" w:hAnsi="仿宋" w:eastAsia="仿宋" w:cs="仿宋"/>
          <w:sz w:val="32"/>
          <w:szCs w:val="32"/>
        </w:rPr>
      </w:pPr>
      <w:r>
        <w:rPr>
          <w:rFonts w:hint="eastAsia" w:ascii="仿宋" w:hAnsi="仿宋" w:eastAsia="仿宋" w:cs="仿宋"/>
          <w:sz w:val="32"/>
          <w:szCs w:val="32"/>
        </w:rPr>
        <w:t>效益指标完成情况分析。包括经济效益、社会效益、生态效益和可持续影响。</w:t>
      </w:r>
    </w:p>
    <w:p w14:paraId="18A3D801">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经济效益指标：本单位项目经费337.74万元，占项目计划支出总额的100%，年初及追加项目由区级财政预算支出。主要用于完善城市功能，</w:t>
      </w:r>
      <w:r>
        <w:rPr>
          <w:rFonts w:hint="eastAsia" w:ascii="仿宋" w:hAnsi="仿宋" w:eastAsia="仿宋" w:cs="仿宋"/>
          <w:kern w:val="0"/>
          <w:sz w:val="32"/>
          <w:szCs w:val="32"/>
        </w:rPr>
        <w:t>城乡环境整洁行动，垃圾清运、洒水降尘严格按部颁标准执行，生活垃圾确保日产日清，环卫作业车辆保证车容整洁</w:t>
      </w:r>
      <w:r>
        <w:rPr>
          <w:rFonts w:hint="eastAsia" w:ascii="仿宋" w:hAnsi="仿宋" w:eastAsia="仿宋"/>
          <w:sz w:val="32"/>
          <w:szCs w:val="32"/>
        </w:rPr>
        <w:t>。</w:t>
      </w:r>
    </w:p>
    <w:p w14:paraId="6770EE83">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社会效益指标：不断提升人居环境，体现城市文明程度。</w:t>
      </w:r>
    </w:p>
    <w:p w14:paraId="40369B7A">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生态效益指标：减少扬尘危害，改善空气质量，无恶臭。</w:t>
      </w:r>
    </w:p>
    <w:p w14:paraId="0AB3F4B0">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可持续影响指标：项目实施对人、自然、资源是否带来可持续影，实现人与自然和谐相处、资源为人类带来福利。</w:t>
      </w:r>
    </w:p>
    <w:p w14:paraId="2BE797B0">
      <w:pPr>
        <w:widowControl/>
        <w:adjustRightInd w:val="0"/>
        <w:snapToGrid w:val="0"/>
        <w:spacing w:line="580" w:lineRule="exact"/>
        <w:contextualSpacing/>
        <w:jc w:val="left"/>
        <w:rPr>
          <w:rFonts w:ascii="仿宋" w:hAnsi="仿宋" w:eastAsia="仿宋" w:cs="宋体"/>
          <w:color w:val="000000"/>
          <w:kern w:val="0"/>
          <w:sz w:val="32"/>
          <w:szCs w:val="32"/>
          <w:shd w:val="clear" w:color="auto" w:fill="FFFFFF"/>
        </w:rPr>
      </w:pPr>
      <w:r>
        <w:rPr>
          <w:rFonts w:hint="eastAsia" w:ascii="仿宋" w:hAnsi="仿宋" w:eastAsia="仿宋" w:cs="宋体"/>
          <w:color w:val="000000"/>
          <w:kern w:val="0"/>
          <w:sz w:val="32"/>
          <w:szCs w:val="32"/>
          <w:shd w:val="clear" w:color="auto" w:fill="FFFFFF"/>
        </w:rPr>
        <w:t>四、评价结论及建议</w:t>
      </w:r>
    </w:p>
    <w:p w14:paraId="34297636">
      <w:pPr>
        <w:spacing w:line="353" w:lineRule="auto"/>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本单位持续开展城乡环境整洁行动，垃圾清运、洒水降尘严格按部颁标准执行，生活垃圾确保日产日清，环卫作业车辆保证车容整洁。开展辖区环境卫生整治行动，包括对积存垃圾的清理、商业城区、背街小巷、老旧社区环境卫生的整治，深入扬尘源头，对道路扬尘及抛撒现象清理控制。组织人员对积存垃圾进行彻底清理清运，加强主次干道、市政设施的清扫保洁力度。特别针对晨光巷积尘、扬尘现象，由区综合行政执法局牵头对该地段道路、围墙进行修复、重建，在公路两边实施立体绿化工程，联合其他部门对此路段的重型车辆抛撒现象进行管理整治。上半年共开展环境卫生巡查约80余次，清运垃圾约8000吨，洒水降尘用水约21000吨。</w:t>
      </w:r>
    </w:p>
    <w:p w14:paraId="46A8E340">
      <w:pPr>
        <w:tabs>
          <w:tab w:val="left" w:pos="3626"/>
        </w:tabs>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我单位存在的问题及不足：环卫特种作业设备部分车辆老化严重，车况差，存在安全隐患，维修频次高，维修成本投入大。垃圾转运运力不足，无法达到每日垃圾转运标准。城市垃圾收储点餐厨垃圾混合、收转运车渗滤液严重。垃圾分类工作需政府主导，全体动员，资金缺口大。</w:t>
      </w:r>
    </w:p>
    <w:p w14:paraId="1C2A8CF0">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偏离绩效目标原因：资金紧缺且存在支付不及时，还存在预算执行不够完整的问题。</w:t>
      </w:r>
    </w:p>
    <w:p w14:paraId="4811DB7E">
      <w:pPr>
        <w:pStyle w:val="7"/>
        <w:spacing w:line="353" w:lineRule="auto"/>
        <w:ind w:firstLine="640" w:firstLineChars="200"/>
        <w:rPr>
          <w:rFonts w:ascii="仿宋" w:hAnsi="仿宋" w:eastAsia="仿宋"/>
          <w:sz w:val="32"/>
          <w:szCs w:val="32"/>
        </w:rPr>
      </w:pPr>
      <w:r>
        <w:rPr>
          <w:rFonts w:hint="eastAsia" w:ascii="仿宋" w:hAnsi="仿宋" w:eastAsia="仿宋"/>
          <w:sz w:val="32"/>
          <w:szCs w:val="32"/>
        </w:rPr>
        <w:t>改进措施：进一步加强预算管理意识，严格按照预算编制的相关规定要求进行预算编制，优先保障固定性的、相对刚性的费用支出项目，尽量压缩变动性的、有控制空间的费用项目，进一步提高预算编制的科学性、严谨性和可控性。加强内部预算编制的审核和预算控制指标的下达，提高预算的合理性和准确性。</w:t>
      </w:r>
    </w:p>
    <w:p w14:paraId="7B7DC25F">
      <w:pPr>
        <w:pStyle w:val="7"/>
        <w:spacing w:line="353" w:lineRule="auto"/>
        <w:rPr>
          <w:rFonts w:hint="eastAsia" w:ascii="仿宋" w:hAnsi="仿宋" w:eastAsia="仿宋"/>
          <w:sz w:val="32"/>
          <w:szCs w:val="32"/>
        </w:rPr>
      </w:pPr>
    </w:p>
    <w:p w14:paraId="19810086">
      <w:pPr>
        <w:pStyle w:val="7"/>
        <w:spacing w:line="353" w:lineRule="auto"/>
        <w:rPr>
          <w:rFonts w:hint="eastAsia" w:ascii="仿宋" w:hAnsi="仿宋" w:eastAsia="仿宋"/>
          <w:sz w:val="32"/>
          <w:szCs w:val="32"/>
        </w:rPr>
      </w:pPr>
    </w:p>
    <w:p w14:paraId="6E74C27A">
      <w:pPr>
        <w:pStyle w:val="7"/>
        <w:spacing w:line="353" w:lineRule="auto"/>
        <w:rPr>
          <w:rFonts w:hint="eastAsia" w:ascii="仿宋" w:hAnsi="仿宋" w:eastAsia="仿宋"/>
          <w:sz w:val="32"/>
          <w:szCs w:val="32"/>
        </w:rPr>
      </w:pPr>
    </w:p>
    <w:p w14:paraId="71BA5F9F">
      <w:pPr>
        <w:pStyle w:val="7"/>
        <w:spacing w:line="353" w:lineRule="auto"/>
        <w:rPr>
          <w:rFonts w:ascii="仿宋" w:hAnsi="仿宋" w:eastAsia="仿宋"/>
          <w:sz w:val="32"/>
          <w:szCs w:val="32"/>
        </w:rPr>
      </w:pPr>
    </w:p>
    <w:p w14:paraId="7C512C14">
      <w:pPr>
        <w:spacing w:line="580" w:lineRule="exact"/>
        <w:rPr>
          <w:rFonts w:ascii="仿宋" w:hAnsi="仿宋" w:eastAsia="仿宋" w:cs="仿宋_GB2312"/>
          <w:sz w:val="32"/>
          <w:szCs w:val="32"/>
        </w:rPr>
      </w:pPr>
      <w:r>
        <w:rPr>
          <w:rFonts w:hint="eastAsia" w:ascii="仿宋" w:hAnsi="仿宋" w:eastAsia="仿宋" w:cs="黑体"/>
          <w:sz w:val="32"/>
          <w:szCs w:val="32"/>
        </w:rPr>
        <w:t>附件2</w:t>
      </w:r>
    </w:p>
    <w:p w14:paraId="6275039A">
      <w:pPr>
        <w:spacing w:line="580" w:lineRule="exact"/>
        <w:ind w:firstLine="640" w:firstLineChars="200"/>
        <w:rPr>
          <w:rFonts w:ascii="仿宋" w:hAnsi="仿宋" w:eastAsia="仿宋" w:cs="仿宋_GB2312"/>
          <w:sz w:val="32"/>
          <w:szCs w:val="32"/>
        </w:rPr>
      </w:pPr>
    </w:p>
    <w:p w14:paraId="3019BA32">
      <w:pPr>
        <w:spacing w:line="600" w:lineRule="exact"/>
        <w:jc w:val="center"/>
        <w:rPr>
          <w:rFonts w:ascii="仿宋" w:hAnsi="仿宋" w:eastAsia="仿宋"/>
          <w:color w:val="000000"/>
          <w:kern w:val="0"/>
          <w:sz w:val="36"/>
          <w:szCs w:val="36"/>
          <w:lang w:val="zh-CN"/>
        </w:rPr>
      </w:pPr>
      <w:r>
        <w:rPr>
          <w:rFonts w:hint="eastAsia" w:ascii="仿宋" w:hAnsi="仿宋" w:eastAsia="仿宋"/>
          <w:color w:val="000000"/>
          <w:kern w:val="0"/>
          <w:sz w:val="36"/>
          <w:szCs w:val="36"/>
        </w:rPr>
        <w:t>环卫生产作业经费</w:t>
      </w:r>
      <w:r>
        <w:rPr>
          <w:rFonts w:hint="eastAsia" w:ascii="仿宋" w:hAnsi="仿宋" w:eastAsia="仿宋"/>
          <w:color w:val="000000"/>
          <w:kern w:val="0"/>
          <w:sz w:val="36"/>
          <w:szCs w:val="36"/>
          <w:lang w:val="zh-CN"/>
        </w:rPr>
        <w:t>项目</w:t>
      </w:r>
    </w:p>
    <w:p w14:paraId="7E61BB7D">
      <w:pPr>
        <w:spacing w:line="600" w:lineRule="exact"/>
        <w:jc w:val="center"/>
        <w:rPr>
          <w:rFonts w:ascii="仿宋" w:hAnsi="仿宋" w:eastAsia="仿宋"/>
          <w:color w:val="000000"/>
          <w:kern w:val="0"/>
          <w:sz w:val="36"/>
          <w:szCs w:val="36"/>
          <w:lang w:val="zh-CN"/>
        </w:rPr>
      </w:pPr>
      <w:r>
        <w:rPr>
          <w:rFonts w:hint="eastAsia" w:ascii="仿宋" w:hAnsi="仿宋" w:eastAsia="仿宋"/>
          <w:color w:val="000000"/>
          <w:kern w:val="0"/>
          <w:sz w:val="36"/>
          <w:szCs w:val="36"/>
        </w:rPr>
        <w:t>2019年</w:t>
      </w:r>
      <w:r>
        <w:rPr>
          <w:rFonts w:hint="eastAsia" w:ascii="仿宋" w:hAnsi="仿宋" w:eastAsia="仿宋"/>
          <w:color w:val="000000"/>
          <w:kern w:val="0"/>
          <w:sz w:val="36"/>
          <w:szCs w:val="36"/>
          <w:lang w:val="zh-CN"/>
        </w:rPr>
        <w:t>绩效评价报告</w:t>
      </w:r>
    </w:p>
    <w:p w14:paraId="69142C25">
      <w:pPr>
        <w:spacing w:line="600" w:lineRule="exact"/>
        <w:rPr>
          <w:rFonts w:ascii="仿宋" w:hAnsi="仿宋" w:eastAsia="仿宋"/>
          <w:sz w:val="32"/>
          <w:szCs w:val="32"/>
          <w:lang w:val="zh-CN"/>
        </w:rPr>
      </w:pPr>
    </w:p>
    <w:p w14:paraId="5D3B9E13">
      <w:pPr>
        <w:adjustRightInd w:val="0"/>
        <w:snapToGrid w:val="0"/>
        <w:spacing w:line="600" w:lineRule="exact"/>
        <w:rPr>
          <w:rFonts w:ascii="仿宋" w:hAnsi="仿宋" w:eastAsia="仿宋"/>
          <w:sz w:val="32"/>
          <w:szCs w:val="32"/>
          <w:lang w:val="zh-CN"/>
        </w:rPr>
      </w:pPr>
      <w:r>
        <w:rPr>
          <w:rFonts w:hint="eastAsia" w:ascii="仿宋" w:hAnsi="仿宋" w:eastAsia="仿宋"/>
          <w:sz w:val="32"/>
          <w:szCs w:val="32"/>
        </w:rPr>
        <w:t>一、</w:t>
      </w:r>
      <w:r>
        <w:rPr>
          <w:rFonts w:hint="eastAsia" w:ascii="仿宋" w:hAnsi="仿宋" w:eastAsia="仿宋"/>
          <w:sz w:val="32"/>
          <w:szCs w:val="32"/>
          <w:lang w:val="zh-CN"/>
        </w:rPr>
        <w:t>项目概况</w:t>
      </w:r>
    </w:p>
    <w:p w14:paraId="0F24AC14">
      <w:pPr>
        <w:adjustRightInd w:val="0"/>
        <w:snapToGrid w:val="0"/>
        <w:spacing w:line="600" w:lineRule="exact"/>
        <w:rPr>
          <w:rFonts w:ascii="仿宋" w:hAnsi="仿宋" w:eastAsia="仿宋"/>
          <w:b/>
          <w:sz w:val="32"/>
          <w:szCs w:val="32"/>
          <w:lang w:val="zh-CN"/>
        </w:rPr>
      </w:pPr>
      <w:r>
        <w:rPr>
          <w:rFonts w:hint="eastAsia" w:ascii="仿宋" w:hAnsi="仿宋" w:eastAsia="仿宋"/>
          <w:b/>
          <w:sz w:val="32"/>
          <w:szCs w:val="32"/>
          <w:lang w:val="zh-CN"/>
        </w:rPr>
        <w:t>（一）项目基本情况。</w:t>
      </w:r>
    </w:p>
    <w:p w14:paraId="6DB4BC6D">
      <w:pPr>
        <w:spacing w:line="360" w:lineRule="auto"/>
        <w:ind w:firstLine="640" w:firstLineChars="200"/>
        <w:rPr>
          <w:rFonts w:ascii="仿宋" w:hAnsi="仿宋" w:eastAsia="仿宋" w:cs="华文仿宋"/>
          <w:kern w:val="0"/>
          <w:sz w:val="32"/>
          <w:szCs w:val="32"/>
        </w:rPr>
      </w:pPr>
      <w:r>
        <w:rPr>
          <w:rFonts w:hint="eastAsia" w:ascii="仿宋" w:hAnsi="仿宋" w:eastAsia="仿宋" w:cs="华文仿宋"/>
          <w:kern w:val="0"/>
          <w:sz w:val="32"/>
          <w:szCs w:val="32"/>
        </w:rPr>
        <w:t>1.根据攀枝花市西区人民政府办公室关于印发《西区环卫作业实施方案》的通知（攀西府办函〔2012〕87号）主要职能职责：</w:t>
      </w:r>
    </w:p>
    <w:p w14:paraId="50CE5304">
      <w:pPr>
        <w:spacing w:line="360" w:lineRule="auto"/>
        <w:ind w:firstLine="640" w:firstLineChars="200"/>
        <w:rPr>
          <w:rFonts w:ascii="仿宋" w:hAnsi="仿宋" w:eastAsia="仿宋" w:cs="华文仿宋"/>
          <w:sz w:val="32"/>
          <w:szCs w:val="32"/>
        </w:rPr>
      </w:pPr>
      <w:r>
        <w:rPr>
          <w:rFonts w:hint="eastAsia" w:ascii="仿宋" w:hAnsi="仿宋" w:eastAsia="仿宋" w:cs="华文仿宋"/>
          <w:sz w:val="32"/>
          <w:szCs w:val="32"/>
        </w:rPr>
        <w:t>（1）负责落实执行相关行政</w:t>
      </w:r>
      <w:r>
        <w:rPr>
          <w:rFonts w:hint="eastAsia" w:ascii="仿宋" w:hAnsi="仿宋" w:eastAsia="仿宋" w:cs="仿宋_GB2312"/>
          <w:sz w:val="32"/>
          <w:szCs w:val="32"/>
        </w:rPr>
        <w:t>部门单位</w:t>
      </w:r>
      <w:r>
        <w:rPr>
          <w:rFonts w:hint="eastAsia" w:ascii="仿宋" w:hAnsi="仿宋" w:eastAsia="仿宋" w:cs="华文仿宋"/>
          <w:sz w:val="32"/>
          <w:szCs w:val="32"/>
        </w:rPr>
        <w:t>制订的攀枝花市城市西区市容和环境卫生管理工作标准；负责协助相关行政</w:t>
      </w:r>
      <w:r>
        <w:rPr>
          <w:rFonts w:hint="eastAsia" w:ascii="仿宋" w:hAnsi="仿宋" w:eastAsia="仿宋" w:cs="仿宋_GB2312"/>
          <w:sz w:val="32"/>
          <w:szCs w:val="32"/>
        </w:rPr>
        <w:t>部门单位</w:t>
      </w:r>
      <w:r>
        <w:rPr>
          <w:rFonts w:hint="eastAsia" w:ascii="仿宋" w:hAnsi="仿宋" w:eastAsia="仿宋" w:cs="华文仿宋"/>
          <w:sz w:val="32"/>
          <w:szCs w:val="32"/>
        </w:rPr>
        <w:t>对西区市容环境卫生的综合整治、日常管理、监督检查；负责辖区内各居民小区的市容环境卫生工作的业务指导和监督。</w:t>
      </w:r>
    </w:p>
    <w:p w14:paraId="2D8EF5EA">
      <w:pPr>
        <w:spacing w:line="360" w:lineRule="auto"/>
        <w:ind w:firstLine="640" w:firstLineChars="200"/>
        <w:rPr>
          <w:rFonts w:ascii="仿宋" w:hAnsi="仿宋" w:eastAsia="仿宋" w:cs="华文仿宋"/>
          <w:sz w:val="32"/>
          <w:szCs w:val="32"/>
        </w:rPr>
      </w:pPr>
      <w:r>
        <w:rPr>
          <w:rFonts w:hint="eastAsia" w:ascii="仿宋" w:hAnsi="仿宋" w:eastAsia="仿宋" w:cs="华文仿宋"/>
          <w:sz w:val="32"/>
          <w:szCs w:val="32"/>
        </w:rPr>
        <w:t>（2）负责市容环境卫生科学技术的引进、推广、应用等工作。</w:t>
      </w:r>
    </w:p>
    <w:p w14:paraId="24AAD320">
      <w:pPr>
        <w:spacing w:line="360" w:lineRule="auto"/>
        <w:ind w:firstLine="640" w:firstLineChars="200"/>
        <w:rPr>
          <w:rFonts w:ascii="仿宋" w:hAnsi="仿宋" w:eastAsia="仿宋" w:cs="华文仿宋"/>
          <w:sz w:val="32"/>
          <w:szCs w:val="32"/>
        </w:rPr>
      </w:pPr>
      <w:r>
        <w:rPr>
          <w:rFonts w:hint="eastAsia" w:ascii="仿宋" w:hAnsi="仿宋" w:eastAsia="仿宋" w:cs="华文仿宋"/>
          <w:sz w:val="32"/>
          <w:szCs w:val="32"/>
        </w:rPr>
        <w:t>（3）负责责权范围内西区市容环境卫生公共设备设施（含环卫车辆、垃圾桶、果皮箱等）的日常维护、维修和管理。</w:t>
      </w:r>
    </w:p>
    <w:p w14:paraId="627A3312">
      <w:pPr>
        <w:spacing w:line="360" w:lineRule="auto"/>
        <w:ind w:firstLine="640" w:firstLineChars="200"/>
        <w:rPr>
          <w:rFonts w:hint="eastAsia" w:ascii="仿宋" w:hAnsi="仿宋" w:eastAsia="仿宋" w:cs="华文仿宋"/>
          <w:sz w:val="32"/>
          <w:szCs w:val="32"/>
        </w:rPr>
      </w:pPr>
      <w:r>
        <w:rPr>
          <w:rFonts w:hint="eastAsia" w:ascii="仿宋" w:hAnsi="仿宋" w:eastAsia="仿宋" w:cs="华文仿宋"/>
          <w:sz w:val="32"/>
          <w:szCs w:val="32"/>
        </w:rPr>
        <w:t>（4）负责西区城市主干道、街道、人行道责权范围内的垃圾清运及洒水防尘等工作。</w:t>
      </w:r>
    </w:p>
    <w:p w14:paraId="0CF01587">
      <w:pPr>
        <w:spacing w:line="360" w:lineRule="auto"/>
        <w:rPr>
          <w:rFonts w:ascii="仿宋" w:hAnsi="仿宋" w:eastAsia="仿宋" w:cs="华文仿宋"/>
          <w:sz w:val="32"/>
          <w:szCs w:val="32"/>
        </w:rPr>
      </w:pPr>
      <w:r>
        <w:rPr>
          <w:rFonts w:hint="eastAsia" w:ascii="仿宋" w:hAnsi="仿宋" w:eastAsia="仿宋"/>
          <w:sz w:val="32"/>
          <w:szCs w:val="32"/>
          <w:lang w:val="zh-CN"/>
        </w:rPr>
        <w:t>2.项目立项、资金申报的依据。</w:t>
      </w:r>
    </w:p>
    <w:p w14:paraId="22735159">
      <w:pPr>
        <w:spacing w:line="360" w:lineRule="auto"/>
        <w:ind w:firstLine="960" w:firstLineChars="300"/>
        <w:rPr>
          <w:rFonts w:ascii="仿宋" w:hAnsi="仿宋" w:eastAsia="仿宋" w:cs="华文仿宋"/>
          <w:sz w:val="32"/>
          <w:szCs w:val="32"/>
        </w:rPr>
      </w:pPr>
      <w:r>
        <w:rPr>
          <w:rFonts w:hint="eastAsia" w:ascii="仿宋" w:hAnsi="仿宋" w:eastAsia="仿宋" w:cs="华文仿宋"/>
          <w:kern w:val="0"/>
          <w:sz w:val="32"/>
          <w:szCs w:val="32"/>
        </w:rPr>
        <w:t>根据攀枝花市西区人民政府办公室关于印发《西区环卫作业实施方案》的通知（攀西府办函〔2012〕87号）、《关于进一步理顺西区市政设施管理职责的请示》（攀西城管〔2014〕25号）文件。</w:t>
      </w:r>
    </w:p>
    <w:p w14:paraId="1AD9E187">
      <w:pPr>
        <w:adjustRightInd w:val="0"/>
        <w:snapToGrid w:val="0"/>
        <w:spacing w:line="600" w:lineRule="exact"/>
        <w:rPr>
          <w:rFonts w:ascii="仿宋" w:hAnsi="仿宋" w:eastAsia="仿宋"/>
          <w:sz w:val="32"/>
          <w:szCs w:val="32"/>
          <w:lang w:val="zh-CN"/>
        </w:rPr>
      </w:pPr>
      <w:r>
        <w:rPr>
          <w:rFonts w:hint="eastAsia" w:ascii="仿宋" w:hAnsi="仿宋" w:eastAsia="仿宋"/>
          <w:sz w:val="32"/>
          <w:szCs w:val="32"/>
          <w:lang w:val="zh-CN"/>
        </w:rPr>
        <w:t>3．资金管理办法制定情况，资金支持具体项目的条件、范围与支持方式概况。</w:t>
      </w:r>
    </w:p>
    <w:p w14:paraId="738FAA57">
      <w:pPr>
        <w:adjustRightInd w:val="0"/>
        <w:snapToGrid w:val="0"/>
        <w:spacing w:line="600" w:lineRule="exact"/>
        <w:rPr>
          <w:rFonts w:ascii="仿宋" w:hAnsi="仿宋" w:eastAsia="仿宋"/>
          <w:sz w:val="32"/>
          <w:szCs w:val="32"/>
          <w:lang w:val="zh-CN"/>
        </w:rPr>
      </w:pPr>
      <w:r>
        <w:rPr>
          <w:rFonts w:hint="eastAsia" w:ascii="仿宋" w:hAnsi="仿宋" w:eastAsia="仿宋"/>
          <w:sz w:val="32"/>
          <w:szCs w:val="32"/>
          <w:lang w:val="zh-CN"/>
        </w:rPr>
        <w:t>4．资金分配的原则及考虑因素。</w:t>
      </w:r>
    </w:p>
    <w:p w14:paraId="181C98E4">
      <w:pPr>
        <w:spacing w:line="353" w:lineRule="auto"/>
        <w:ind w:firstLine="960" w:firstLineChars="300"/>
        <w:rPr>
          <w:rFonts w:hint="eastAsia" w:ascii="仿宋" w:hAnsi="仿宋" w:eastAsia="仿宋" w:cs="华文仿宋"/>
          <w:sz w:val="32"/>
          <w:szCs w:val="32"/>
        </w:rPr>
      </w:pPr>
      <w:r>
        <w:rPr>
          <w:rFonts w:hint="eastAsia" w:ascii="仿宋" w:hAnsi="仿宋" w:eastAsia="仿宋" w:cs="华文仿宋"/>
          <w:sz w:val="32"/>
          <w:szCs w:val="32"/>
        </w:rPr>
        <w:t>为加快城市管理长效机制建设，巩固“双创”和城乡环境综合治理阶段成果，促进辖区人居环境的不断提升，根据《</w:t>
      </w:r>
      <w:r>
        <w:rPr>
          <w:rFonts w:hint="eastAsia" w:ascii="仿宋" w:hAnsi="仿宋" w:eastAsia="仿宋" w:cs="华文仿宋"/>
          <w:kern w:val="0"/>
          <w:sz w:val="32"/>
          <w:szCs w:val="32"/>
        </w:rPr>
        <w:t>攀西府办函〔2012〕87号》文精神的原则及考虑因素，资金分配如下：格里坪镇经费拨款237.94万元；清香坪街办拨款193.78万元；玉泉街办拨款221.38万元；河门口街办拨款94.83万元；陶家渡街办拨款36.65万元；大宝鼎街办拨款2.16万元；摩梭河街办拨款0.72万元；河门口公园拨款11.36万元；城管局拨款6.44万元；西区环卫局拨款332.04万元。</w:t>
      </w:r>
    </w:p>
    <w:p w14:paraId="3183A61B">
      <w:pPr>
        <w:spacing w:line="353" w:lineRule="auto"/>
        <w:rPr>
          <w:rFonts w:ascii="仿宋" w:hAnsi="仿宋" w:eastAsia="仿宋" w:cs="华文仿宋"/>
          <w:sz w:val="32"/>
          <w:szCs w:val="32"/>
        </w:rPr>
      </w:pPr>
      <w:r>
        <w:rPr>
          <w:rFonts w:hint="eastAsia" w:ascii="仿宋" w:hAnsi="仿宋" w:eastAsia="仿宋"/>
          <w:b/>
          <w:sz w:val="32"/>
          <w:szCs w:val="32"/>
          <w:lang w:val="zh-CN"/>
        </w:rPr>
        <w:t>（二）项目绩效目标。</w:t>
      </w:r>
    </w:p>
    <w:p w14:paraId="5B9E131D">
      <w:pPr>
        <w:adjustRightInd w:val="0"/>
        <w:snapToGrid w:val="0"/>
        <w:spacing w:line="600" w:lineRule="exact"/>
        <w:rPr>
          <w:rFonts w:ascii="仿宋" w:hAnsi="仿宋" w:eastAsia="仿宋"/>
          <w:sz w:val="32"/>
          <w:szCs w:val="32"/>
          <w:lang w:val="zh-CN"/>
        </w:rPr>
      </w:pPr>
      <w:r>
        <w:rPr>
          <w:rFonts w:hint="eastAsia" w:ascii="仿宋" w:hAnsi="仿宋" w:eastAsia="仿宋"/>
          <w:sz w:val="32"/>
          <w:szCs w:val="32"/>
          <w:lang w:val="zh-CN"/>
        </w:rPr>
        <w:t>1．项目主要内容。</w:t>
      </w:r>
    </w:p>
    <w:p w14:paraId="154D85F1">
      <w:pPr>
        <w:spacing w:line="353" w:lineRule="auto"/>
        <w:ind w:firstLine="960" w:firstLineChars="300"/>
        <w:rPr>
          <w:rFonts w:ascii="仿宋" w:hAnsi="仿宋" w:eastAsia="仿宋" w:cs="华文仿宋"/>
          <w:sz w:val="32"/>
          <w:szCs w:val="32"/>
        </w:rPr>
      </w:pPr>
      <w:r>
        <w:rPr>
          <w:rFonts w:hint="eastAsia" w:ascii="仿宋" w:hAnsi="仿宋" w:eastAsia="仿宋" w:cs="华文仿宋"/>
          <w:sz w:val="32"/>
          <w:szCs w:val="32"/>
        </w:rPr>
        <w:t>本单位重点项目主要内容是</w:t>
      </w:r>
      <w:r>
        <w:rPr>
          <w:rFonts w:hint="eastAsia" w:ascii="仿宋" w:hAnsi="仿宋" w:eastAsia="仿宋" w:cs="华文仿宋"/>
          <w:kern w:val="0"/>
          <w:sz w:val="32"/>
          <w:szCs w:val="32"/>
        </w:rPr>
        <w:t>格里坪镇、清香坪街办等各街办负责</w:t>
      </w:r>
      <w:r>
        <w:rPr>
          <w:rFonts w:hint="eastAsia" w:ascii="仿宋" w:hAnsi="仿宋" w:eastAsia="仿宋" w:cs="华文仿宋"/>
          <w:sz w:val="32"/>
          <w:szCs w:val="32"/>
        </w:rPr>
        <w:t>辖区主次干道、繁华商业区、广场路段及背街小巷的清扫保洁，和全区一二三类公测（66座）管理；区环卫局负责辖区主次干道居民生活区、城乡结合部的生活垃圾清运。涉及垃圾房79座、垃圾桶294个、垃圾投放点165个、垃圾池48个。及主要干道和街道洒水降尘冲洗工作。包括苏铁大道、格萨拉大道、宁化路等。</w:t>
      </w:r>
    </w:p>
    <w:p w14:paraId="47E10D11">
      <w:pPr>
        <w:numPr>
          <w:ilvl w:val="0"/>
          <w:numId w:val="6"/>
        </w:numPr>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项目应实现的具体绩效目标，包括目标的量化、细化情况以及项目实施进度计划等。</w:t>
      </w:r>
    </w:p>
    <w:p w14:paraId="46DEF551">
      <w:pPr>
        <w:spacing w:line="353" w:lineRule="auto"/>
        <w:rPr>
          <w:rFonts w:ascii="仿宋" w:hAnsi="仿宋" w:eastAsia="仿宋" w:cs="华文仿宋"/>
          <w:sz w:val="32"/>
          <w:szCs w:val="32"/>
        </w:rPr>
      </w:pPr>
      <w:r>
        <w:rPr>
          <w:rFonts w:hint="eastAsia" w:ascii="仿宋" w:hAnsi="仿宋" w:eastAsia="仿宋" w:cs="华文仿宋"/>
          <w:sz w:val="32"/>
          <w:szCs w:val="32"/>
        </w:rPr>
        <w:t>结合2019年的工作计划，在进行研究、论证的基础发展趋势等，制定了切合实际，可量化、可考评的年度目标。资金覆盖率符合年度预算实施进度计划要求。</w:t>
      </w:r>
    </w:p>
    <w:p w14:paraId="727BC11E">
      <w:pPr>
        <w:spacing w:line="353" w:lineRule="auto"/>
        <w:rPr>
          <w:rFonts w:ascii="仿宋" w:hAnsi="仿宋" w:eastAsia="仿宋" w:cs="华文仿宋"/>
          <w:sz w:val="32"/>
          <w:szCs w:val="32"/>
        </w:rPr>
      </w:pPr>
      <w:r>
        <w:rPr>
          <w:rFonts w:hint="eastAsia" w:ascii="仿宋" w:hAnsi="仿宋" w:eastAsia="仿宋" w:cs="华文仿宋"/>
          <w:sz w:val="32"/>
          <w:szCs w:val="32"/>
        </w:rPr>
        <w:t>（一）项目资金申报及批复情况。</w:t>
      </w:r>
    </w:p>
    <w:p w14:paraId="7083E809">
      <w:pPr>
        <w:spacing w:line="353" w:lineRule="auto"/>
        <w:ind w:firstLine="640" w:firstLineChars="200"/>
        <w:rPr>
          <w:rFonts w:ascii="仿宋" w:hAnsi="仿宋" w:eastAsia="仿宋" w:cs="华文仿宋"/>
          <w:kern w:val="0"/>
          <w:sz w:val="32"/>
          <w:szCs w:val="32"/>
        </w:rPr>
      </w:pPr>
      <w:r>
        <w:rPr>
          <w:rFonts w:hint="eastAsia" w:ascii="仿宋" w:hAnsi="仿宋" w:eastAsia="仿宋" w:cs="华文仿宋"/>
          <w:kern w:val="0"/>
          <w:sz w:val="32"/>
          <w:szCs w:val="32"/>
        </w:rPr>
        <w:t>按照《西区环卫作业实施方案》的通知（攀西府办函〔2012〕87号）文件内容各项作业经费进行申报。</w:t>
      </w:r>
    </w:p>
    <w:p w14:paraId="1BCE50AD">
      <w:pPr>
        <w:spacing w:line="353" w:lineRule="auto"/>
        <w:rPr>
          <w:rFonts w:ascii="仿宋" w:hAnsi="仿宋" w:eastAsia="仿宋" w:cs="华文仿宋"/>
          <w:sz w:val="32"/>
          <w:szCs w:val="32"/>
        </w:rPr>
      </w:pPr>
      <w:r>
        <w:rPr>
          <w:rFonts w:hint="eastAsia" w:ascii="仿宋" w:hAnsi="仿宋" w:eastAsia="仿宋" w:cs="华文仿宋"/>
          <w:sz w:val="32"/>
          <w:szCs w:val="32"/>
        </w:rPr>
        <w:t>（二）资金计划、到位及使用情况。</w:t>
      </w:r>
    </w:p>
    <w:p w14:paraId="7EEC112D">
      <w:pPr>
        <w:spacing w:line="353" w:lineRule="auto"/>
        <w:ind w:firstLine="960" w:firstLineChars="300"/>
        <w:rPr>
          <w:rFonts w:ascii="仿宋" w:hAnsi="仿宋" w:eastAsia="仿宋" w:cs="华文仿宋"/>
          <w:sz w:val="32"/>
          <w:szCs w:val="32"/>
        </w:rPr>
      </w:pPr>
      <w:r>
        <w:rPr>
          <w:rFonts w:hint="eastAsia" w:ascii="仿宋" w:hAnsi="仿宋" w:eastAsia="仿宋" w:cs="华文仿宋"/>
          <w:sz w:val="32"/>
          <w:szCs w:val="32"/>
        </w:rPr>
        <w:t>2019年度财政预算下拨环卫经费1083.36万元，其中环卫局278.09万元，支付278.09万元。</w:t>
      </w:r>
      <w:r>
        <w:rPr>
          <w:rFonts w:hint="eastAsia" w:ascii="仿宋" w:hAnsi="仿宋" w:eastAsia="仿宋" w:cs="华文仿宋"/>
          <w:kern w:val="0"/>
          <w:sz w:val="32"/>
          <w:szCs w:val="32"/>
        </w:rPr>
        <w:t>格里坪镇拨款237.94万元，</w:t>
      </w:r>
      <w:r>
        <w:rPr>
          <w:rFonts w:hint="eastAsia" w:ascii="仿宋" w:hAnsi="仿宋" w:eastAsia="仿宋" w:cs="华文仿宋"/>
          <w:sz w:val="32"/>
          <w:szCs w:val="32"/>
        </w:rPr>
        <w:t>支付</w:t>
      </w:r>
      <w:r>
        <w:rPr>
          <w:rFonts w:hint="eastAsia" w:ascii="仿宋" w:hAnsi="仿宋" w:eastAsia="仿宋" w:cs="华文仿宋"/>
          <w:kern w:val="0"/>
          <w:sz w:val="32"/>
          <w:szCs w:val="32"/>
        </w:rPr>
        <w:t>237.94</w:t>
      </w:r>
      <w:r>
        <w:rPr>
          <w:rFonts w:hint="eastAsia" w:ascii="仿宋" w:hAnsi="仿宋" w:eastAsia="仿宋" w:cs="华文仿宋"/>
          <w:sz w:val="32"/>
          <w:szCs w:val="32"/>
        </w:rPr>
        <w:t>万元</w:t>
      </w:r>
      <w:r>
        <w:rPr>
          <w:rFonts w:hint="eastAsia" w:ascii="仿宋" w:hAnsi="仿宋" w:eastAsia="仿宋" w:cs="华文仿宋"/>
          <w:kern w:val="0"/>
          <w:sz w:val="32"/>
          <w:szCs w:val="32"/>
        </w:rPr>
        <w:t>；清香坪街拨款193.78万元，</w:t>
      </w:r>
      <w:r>
        <w:rPr>
          <w:rFonts w:hint="eastAsia" w:ascii="仿宋" w:hAnsi="仿宋" w:eastAsia="仿宋" w:cs="华文仿宋"/>
          <w:sz w:val="32"/>
          <w:szCs w:val="32"/>
        </w:rPr>
        <w:t>支付</w:t>
      </w:r>
      <w:r>
        <w:rPr>
          <w:rFonts w:hint="eastAsia" w:ascii="仿宋" w:hAnsi="仿宋" w:eastAsia="仿宋" w:cs="华文仿宋"/>
          <w:kern w:val="0"/>
          <w:sz w:val="32"/>
          <w:szCs w:val="32"/>
        </w:rPr>
        <w:t>193.78</w:t>
      </w:r>
      <w:r>
        <w:rPr>
          <w:rFonts w:hint="eastAsia" w:ascii="仿宋" w:hAnsi="仿宋" w:eastAsia="仿宋" w:cs="华文仿宋"/>
          <w:sz w:val="32"/>
          <w:szCs w:val="32"/>
        </w:rPr>
        <w:t>万元</w:t>
      </w:r>
      <w:r>
        <w:rPr>
          <w:rFonts w:hint="eastAsia" w:ascii="仿宋" w:hAnsi="仿宋" w:eastAsia="仿宋" w:cs="华文仿宋"/>
          <w:kern w:val="0"/>
          <w:sz w:val="32"/>
          <w:szCs w:val="32"/>
        </w:rPr>
        <w:t>；玉泉街办拨款221.38万元，支付221.38万元，；河门口街办拨款94.83万元，支付94.83万元；陶家渡街办拨款36.65万元，支付36.65万元；大宝鼎街办拨款2.16万元，支付2.16万元；摩梭河街办拨款0.72万元，支付0.72万元；河门口公园拨款11.36万元，支付11.36万元；城管局拨款6.44万元，支付6.44万元。资金到位率100%。</w:t>
      </w:r>
    </w:p>
    <w:p w14:paraId="66C7AFD3">
      <w:pPr>
        <w:spacing w:line="353" w:lineRule="auto"/>
        <w:rPr>
          <w:rFonts w:ascii="仿宋" w:hAnsi="仿宋" w:eastAsia="仿宋" w:cs="华文仿宋"/>
          <w:sz w:val="32"/>
          <w:szCs w:val="32"/>
        </w:rPr>
      </w:pPr>
      <w:r>
        <w:rPr>
          <w:rFonts w:hint="eastAsia" w:ascii="仿宋" w:hAnsi="仿宋" w:eastAsia="仿宋" w:cs="华文仿宋"/>
          <w:sz w:val="32"/>
          <w:szCs w:val="32"/>
        </w:rPr>
        <w:t>（三）项目财务管理情况。</w:t>
      </w:r>
    </w:p>
    <w:p w14:paraId="2A2668FA">
      <w:pPr>
        <w:ind w:firstLine="640" w:firstLineChars="200"/>
        <w:rPr>
          <w:rFonts w:ascii="仿宋" w:hAnsi="仿宋" w:eastAsia="仿宋" w:cs="华文仿宋"/>
          <w:sz w:val="32"/>
          <w:szCs w:val="32"/>
        </w:rPr>
      </w:pPr>
      <w:r>
        <w:rPr>
          <w:rFonts w:hint="eastAsia" w:ascii="仿宋" w:hAnsi="仿宋" w:eastAsia="仿宋" w:cs="华文仿宋"/>
          <w:kern w:val="0"/>
          <w:sz w:val="32"/>
          <w:szCs w:val="32"/>
        </w:rPr>
        <w:t>该项目</w:t>
      </w:r>
      <w:r>
        <w:rPr>
          <w:rFonts w:hint="eastAsia" w:ascii="仿宋" w:hAnsi="仿宋" w:eastAsia="仿宋" w:cs="华文仿宋"/>
          <w:color w:val="000000"/>
          <w:sz w:val="32"/>
          <w:szCs w:val="32"/>
        </w:rPr>
        <w:t>财务管理制度健全，严格执行财务管理制度，财务处理及时，会计核算规范。</w:t>
      </w:r>
      <w:r>
        <w:rPr>
          <w:rFonts w:hint="eastAsia" w:ascii="仿宋" w:hAnsi="仿宋" w:eastAsia="仿宋" w:cs="华文仿宋"/>
          <w:kern w:val="0"/>
          <w:sz w:val="32"/>
          <w:szCs w:val="32"/>
        </w:rPr>
        <w:t>资金使用范围符合要求，项目资金能在核定的预算额度内专款专用，未发现扩大开支范围，挤占、挪用、转移项目经费的现象，</w:t>
      </w:r>
      <w:r>
        <w:rPr>
          <w:rFonts w:hint="eastAsia" w:ascii="仿宋" w:hAnsi="仿宋" w:eastAsia="仿宋" w:cs="华文仿宋"/>
          <w:sz w:val="32"/>
          <w:szCs w:val="32"/>
        </w:rPr>
        <w:t>账务处理和会计核算较为规范。</w:t>
      </w:r>
    </w:p>
    <w:p w14:paraId="4DB9A8C4">
      <w:pPr>
        <w:numPr>
          <w:ilvl w:val="0"/>
          <w:numId w:val="7"/>
        </w:numPr>
        <w:spacing w:line="353" w:lineRule="auto"/>
        <w:rPr>
          <w:rFonts w:ascii="仿宋" w:hAnsi="仿宋" w:eastAsia="仿宋" w:cs="华文仿宋"/>
          <w:sz w:val="32"/>
          <w:szCs w:val="32"/>
        </w:rPr>
      </w:pPr>
      <w:r>
        <w:rPr>
          <w:rFonts w:hint="eastAsia" w:ascii="仿宋" w:hAnsi="仿宋" w:eastAsia="仿宋" w:cs="华文仿宋"/>
          <w:sz w:val="32"/>
          <w:szCs w:val="32"/>
        </w:rPr>
        <w:t>项目实施及管理情况</w:t>
      </w:r>
    </w:p>
    <w:p w14:paraId="3DB20987">
      <w:pPr>
        <w:numPr>
          <w:ilvl w:val="0"/>
          <w:numId w:val="8"/>
        </w:numPr>
        <w:spacing w:line="353" w:lineRule="auto"/>
        <w:rPr>
          <w:rFonts w:ascii="仿宋" w:hAnsi="仿宋" w:eastAsia="仿宋" w:cs="华文仿宋"/>
          <w:sz w:val="32"/>
          <w:szCs w:val="32"/>
        </w:rPr>
      </w:pPr>
      <w:r>
        <w:rPr>
          <w:rFonts w:hint="eastAsia" w:ascii="仿宋" w:hAnsi="仿宋" w:eastAsia="仿宋" w:cs="华文仿宋"/>
          <w:sz w:val="32"/>
          <w:szCs w:val="32"/>
        </w:rPr>
        <w:t>项目组织架构及实施流程。</w:t>
      </w:r>
    </w:p>
    <w:p w14:paraId="00AB0C17">
      <w:pPr>
        <w:spacing w:line="353" w:lineRule="auto"/>
        <w:ind w:firstLine="960" w:firstLineChars="300"/>
        <w:rPr>
          <w:rFonts w:ascii="仿宋" w:hAnsi="仿宋" w:eastAsia="仿宋" w:cs="华文仿宋"/>
          <w:sz w:val="32"/>
          <w:szCs w:val="32"/>
        </w:rPr>
      </w:pPr>
      <w:r>
        <w:rPr>
          <w:rFonts w:hint="eastAsia" w:ascii="仿宋" w:hAnsi="仿宋" w:eastAsia="仿宋" w:cs="华文仿宋"/>
          <w:kern w:val="0"/>
          <w:sz w:val="32"/>
          <w:szCs w:val="32"/>
        </w:rPr>
        <w:t>根据攀枝花市西区人民政府办公室关于印发《西区环卫作业实施方案》的通知（攀西府办函〔2012〕87号）及《攀枝花市人民政府关于加强城市管理工作的意见》（攀府发〔2008〕45号）文精神，结合市区相关变化的实际情况，制定实施管理方案。</w:t>
      </w:r>
    </w:p>
    <w:p w14:paraId="4797C560">
      <w:pPr>
        <w:spacing w:line="353" w:lineRule="auto"/>
        <w:rPr>
          <w:rFonts w:ascii="仿宋" w:hAnsi="仿宋" w:eastAsia="仿宋" w:cs="华文仿宋"/>
          <w:sz w:val="32"/>
          <w:szCs w:val="32"/>
        </w:rPr>
      </w:pPr>
      <w:r>
        <w:rPr>
          <w:rFonts w:hint="eastAsia" w:ascii="仿宋" w:hAnsi="仿宋" w:eastAsia="仿宋" w:cs="华文仿宋"/>
          <w:sz w:val="32"/>
          <w:szCs w:val="32"/>
        </w:rPr>
        <w:t>（二）项目管理情况</w:t>
      </w:r>
    </w:p>
    <w:p w14:paraId="585F97AA">
      <w:pPr>
        <w:spacing w:line="353" w:lineRule="auto"/>
        <w:ind w:firstLine="960" w:firstLineChars="300"/>
        <w:rPr>
          <w:rFonts w:ascii="仿宋" w:hAnsi="仿宋" w:eastAsia="仿宋" w:cs="华文仿宋"/>
          <w:sz w:val="32"/>
          <w:szCs w:val="32"/>
        </w:rPr>
      </w:pPr>
      <w:r>
        <w:rPr>
          <w:rFonts w:hint="eastAsia" w:ascii="仿宋" w:hAnsi="仿宋" w:eastAsia="仿宋" w:cs="华文仿宋"/>
          <w:sz w:val="32"/>
          <w:szCs w:val="32"/>
        </w:rPr>
        <w:t>2019年西区环卫作业生产经费实行平时考核和年终考核相结合的方式，由财政预留总经费的20%作为奖罚经费。</w:t>
      </w:r>
    </w:p>
    <w:p w14:paraId="213B393F">
      <w:pPr>
        <w:spacing w:line="353" w:lineRule="auto"/>
        <w:rPr>
          <w:rFonts w:ascii="仿宋" w:hAnsi="仿宋" w:eastAsia="仿宋" w:cs="华文仿宋"/>
          <w:sz w:val="32"/>
          <w:szCs w:val="32"/>
        </w:rPr>
      </w:pPr>
      <w:r>
        <w:rPr>
          <w:rFonts w:hint="eastAsia" w:ascii="仿宋" w:hAnsi="仿宋" w:eastAsia="仿宋" w:cs="华文仿宋"/>
          <w:sz w:val="32"/>
          <w:szCs w:val="32"/>
        </w:rPr>
        <w:t>（三）项目监管情况。</w:t>
      </w:r>
    </w:p>
    <w:p w14:paraId="4A8905B5">
      <w:pPr>
        <w:spacing w:line="353" w:lineRule="auto"/>
        <w:rPr>
          <w:rFonts w:ascii="仿宋" w:hAnsi="仿宋" w:eastAsia="仿宋" w:cs="华文仿宋"/>
          <w:sz w:val="32"/>
          <w:szCs w:val="32"/>
        </w:rPr>
      </w:pPr>
      <w:r>
        <w:rPr>
          <w:rFonts w:hint="eastAsia" w:ascii="仿宋" w:hAnsi="仿宋" w:eastAsia="仿宋" w:cs="华文仿宋"/>
          <w:sz w:val="32"/>
          <w:szCs w:val="32"/>
        </w:rPr>
        <w:t xml:space="preserve">       我单位按季度开展项目支出绩效监控工作，及时收集汇总季度目标完成情况，发现严重偏差，及时反馈，采取有效措施，重点跟踪，及时纠偏，阶段性任务能够按计划完成。</w:t>
      </w:r>
    </w:p>
    <w:p w14:paraId="00164CC5">
      <w:pPr>
        <w:spacing w:line="353" w:lineRule="auto"/>
        <w:rPr>
          <w:rFonts w:ascii="仿宋" w:hAnsi="仿宋" w:eastAsia="仿宋" w:cs="华文仿宋"/>
          <w:sz w:val="32"/>
          <w:szCs w:val="32"/>
        </w:rPr>
      </w:pPr>
      <w:r>
        <w:rPr>
          <w:rFonts w:hint="eastAsia" w:ascii="仿宋" w:hAnsi="仿宋" w:eastAsia="仿宋" w:cs="华文仿宋"/>
          <w:sz w:val="32"/>
          <w:szCs w:val="32"/>
        </w:rPr>
        <w:t>四、项目绩效情况</w:t>
      </w:r>
    </w:p>
    <w:p w14:paraId="07864F8E">
      <w:pPr>
        <w:spacing w:line="353" w:lineRule="auto"/>
        <w:rPr>
          <w:rFonts w:ascii="仿宋" w:hAnsi="仿宋" w:eastAsia="仿宋" w:cs="华文仿宋"/>
          <w:sz w:val="32"/>
          <w:szCs w:val="32"/>
        </w:rPr>
      </w:pPr>
      <w:r>
        <w:rPr>
          <w:rFonts w:hint="eastAsia" w:ascii="仿宋" w:hAnsi="仿宋" w:eastAsia="仿宋" w:cs="华文仿宋"/>
          <w:sz w:val="32"/>
          <w:szCs w:val="32"/>
        </w:rPr>
        <w:t>（一）项目完成情况。</w:t>
      </w:r>
    </w:p>
    <w:p w14:paraId="5CAE74C4">
      <w:pPr>
        <w:pStyle w:val="7"/>
        <w:spacing w:line="353" w:lineRule="auto"/>
        <w:rPr>
          <w:rFonts w:ascii="仿宋" w:hAnsi="仿宋" w:eastAsia="仿宋" w:cs="华文仿宋"/>
          <w:sz w:val="32"/>
          <w:szCs w:val="32"/>
        </w:rPr>
      </w:pPr>
      <w:r>
        <w:rPr>
          <w:rFonts w:hint="eastAsia" w:ascii="仿宋" w:hAnsi="仿宋" w:eastAsia="仿宋" w:cs="华文仿宋"/>
          <w:sz w:val="32"/>
          <w:szCs w:val="32"/>
        </w:rPr>
        <w:t>（1）产出指标完成情况分析。</w:t>
      </w:r>
    </w:p>
    <w:p w14:paraId="61DD88C1">
      <w:pPr>
        <w:pStyle w:val="7"/>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2019年，根据本单位年初工作规划和重点性工作，积极履职，强化管理，较好的完成了年度工作目标。通过加强预算收支管理，不断建立健全内部管理制度，梳理内部管理流程，部门整体支出管理情况得到提升。根据2019年度部门整体支出状况的概述和分析，部门整体支出绩效情况如下：</w:t>
      </w:r>
    </w:p>
    <w:p w14:paraId="7D7A9993">
      <w:pPr>
        <w:pStyle w:val="7"/>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数量指标：基本支出保证人员经费基本待遇。全系统在职在编及退休87人，其中：在职19人，在编59人，退休9人。</w:t>
      </w:r>
    </w:p>
    <w:p w14:paraId="0AED448B">
      <w:pPr>
        <w:pStyle w:val="7"/>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质量指标：提升了城市管理整体水平，改善了城市环境，提高了城市形象，为市民提供更加舒适的生活环境，使市民获得更多的幸福感。</w:t>
      </w:r>
    </w:p>
    <w:p w14:paraId="4A8F5CA0">
      <w:pPr>
        <w:pStyle w:val="7"/>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成本指标：年度项目经费支出337.74万元。</w:t>
      </w:r>
    </w:p>
    <w:p w14:paraId="04F2F744">
      <w:pPr>
        <w:pStyle w:val="7"/>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时效指标：2019年度内按预定时间完成。</w:t>
      </w:r>
    </w:p>
    <w:p w14:paraId="5704D3FD">
      <w:pPr>
        <w:pStyle w:val="7"/>
        <w:spacing w:line="353" w:lineRule="auto"/>
        <w:rPr>
          <w:rFonts w:ascii="仿宋" w:hAnsi="仿宋" w:eastAsia="仿宋" w:cs="华文仿宋"/>
          <w:sz w:val="32"/>
          <w:szCs w:val="32"/>
        </w:rPr>
      </w:pPr>
      <w:r>
        <w:rPr>
          <w:rFonts w:hint="eastAsia" w:ascii="仿宋" w:hAnsi="仿宋" w:eastAsia="仿宋" w:cs="华文仿宋"/>
          <w:sz w:val="32"/>
          <w:szCs w:val="32"/>
        </w:rPr>
        <w:t>（二）项目效益情况。</w:t>
      </w:r>
    </w:p>
    <w:p w14:paraId="1D276851">
      <w:pPr>
        <w:pStyle w:val="7"/>
        <w:spacing w:line="353" w:lineRule="auto"/>
        <w:ind w:firstLine="800" w:firstLineChars="250"/>
        <w:rPr>
          <w:rFonts w:ascii="仿宋" w:hAnsi="仿宋" w:eastAsia="仿宋" w:cs="华文仿宋"/>
          <w:sz w:val="32"/>
          <w:szCs w:val="32"/>
        </w:rPr>
      </w:pPr>
      <w:r>
        <w:rPr>
          <w:rFonts w:hint="eastAsia" w:ascii="仿宋" w:hAnsi="仿宋" w:eastAsia="仿宋" w:cs="华文仿宋"/>
          <w:sz w:val="32"/>
          <w:szCs w:val="32"/>
        </w:rPr>
        <w:t>经济效益指标：本单位项目经费1083.36元，占项目计划支出总额的100%，年初及追加项目由区级财政预算支出。主要用于完善城市功能，</w:t>
      </w:r>
      <w:r>
        <w:rPr>
          <w:rFonts w:hint="eastAsia" w:ascii="仿宋" w:hAnsi="仿宋" w:eastAsia="仿宋" w:cs="华文仿宋"/>
          <w:kern w:val="0"/>
          <w:sz w:val="32"/>
          <w:szCs w:val="32"/>
        </w:rPr>
        <w:t>城乡环境整洁行动，垃圾清运、洒水降尘严格按部颁标准执行，生活垃圾确保日产日清，环卫作业车辆保证车容整洁</w:t>
      </w:r>
      <w:r>
        <w:rPr>
          <w:rFonts w:hint="eastAsia" w:ascii="仿宋" w:hAnsi="仿宋" w:eastAsia="仿宋" w:cs="华文仿宋"/>
          <w:sz w:val="32"/>
          <w:szCs w:val="32"/>
        </w:rPr>
        <w:t>。</w:t>
      </w:r>
    </w:p>
    <w:p w14:paraId="72066D19">
      <w:pPr>
        <w:pStyle w:val="7"/>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社会效益指标：不断提升人居环境，体现城市文明程度。</w:t>
      </w:r>
    </w:p>
    <w:p w14:paraId="6E6E6683">
      <w:pPr>
        <w:pStyle w:val="7"/>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生态效益指标：减少扬尘危害，改善空气质量，无恶臭。</w:t>
      </w:r>
    </w:p>
    <w:p w14:paraId="61A0F667">
      <w:pPr>
        <w:pStyle w:val="7"/>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可持续影响指标：项目实施对人、自然、资源是否带来可持续影，实现人与自然和谐相处、资源为人类带来福利。</w:t>
      </w:r>
    </w:p>
    <w:p w14:paraId="1B7AE924">
      <w:pPr>
        <w:pStyle w:val="7"/>
        <w:numPr>
          <w:ilvl w:val="0"/>
          <w:numId w:val="5"/>
        </w:numPr>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满意度指标完成情况分析。</w:t>
      </w:r>
    </w:p>
    <w:p w14:paraId="1FFD1C0C">
      <w:pPr>
        <w:pStyle w:val="7"/>
        <w:spacing w:line="353" w:lineRule="auto"/>
        <w:ind w:firstLine="640" w:firstLineChars="200"/>
        <w:rPr>
          <w:rFonts w:ascii="仿宋" w:hAnsi="仿宋" w:eastAsia="仿宋" w:cs="华文仿宋"/>
          <w:sz w:val="32"/>
          <w:szCs w:val="32"/>
        </w:rPr>
      </w:pPr>
      <w:r>
        <w:rPr>
          <w:rFonts w:hint="eastAsia" w:ascii="仿宋" w:hAnsi="仿宋" w:eastAsia="仿宋" w:cs="华文仿宋"/>
          <w:sz w:val="32"/>
          <w:szCs w:val="32"/>
        </w:rPr>
        <w:t>群众满意度较高。</w:t>
      </w:r>
    </w:p>
    <w:p w14:paraId="6DFA9669">
      <w:pPr>
        <w:spacing w:line="353" w:lineRule="auto"/>
        <w:rPr>
          <w:rFonts w:ascii="仿宋" w:hAnsi="仿宋" w:eastAsia="仿宋" w:cs="华文仿宋"/>
          <w:sz w:val="32"/>
          <w:szCs w:val="32"/>
        </w:rPr>
      </w:pPr>
      <w:r>
        <w:rPr>
          <w:rFonts w:hint="eastAsia" w:ascii="仿宋" w:hAnsi="仿宋" w:eastAsia="仿宋" w:cs="华文仿宋"/>
          <w:sz w:val="32"/>
          <w:szCs w:val="32"/>
        </w:rPr>
        <w:t>五、评价结论及建议</w:t>
      </w:r>
    </w:p>
    <w:p w14:paraId="18A35C80">
      <w:pPr>
        <w:spacing w:line="353" w:lineRule="auto"/>
        <w:rPr>
          <w:rFonts w:ascii="仿宋" w:hAnsi="仿宋" w:eastAsia="仿宋" w:cs="华文仿宋"/>
          <w:sz w:val="32"/>
          <w:szCs w:val="32"/>
        </w:rPr>
      </w:pPr>
      <w:r>
        <w:rPr>
          <w:rFonts w:hint="eastAsia" w:ascii="仿宋" w:hAnsi="仿宋" w:eastAsia="仿宋" w:cs="华文仿宋"/>
          <w:sz w:val="32"/>
          <w:szCs w:val="32"/>
        </w:rPr>
        <w:t>（一）评价结论。</w:t>
      </w:r>
    </w:p>
    <w:p w14:paraId="5E006168">
      <w:pPr>
        <w:spacing w:line="360" w:lineRule="auto"/>
        <w:ind w:firstLine="960" w:firstLineChars="300"/>
        <w:rPr>
          <w:rFonts w:ascii="仿宋" w:hAnsi="仿宋" w:eastAsia="仿宋" w:cs="华文仿宋"/>
          <w:sz w:val="32"/>
          <w:szCs w:val="32"/>
          <w:shd w:val="clear" w:color="auto" w:fill="FFFFFF"/>
        </w:rPr>
      </w:pPr>
      <w:r>
        <w:rPr>
          <w:rFonts w:hint="eastAsia" w:ascii="仿宋" w:hAnsi="仿宋" w:eastAsia="仿宋" w:cs="华文仿宋"/>
          <w:kern w:val="0"/>
          <w:sz w:val="32"/>
          <w:szCs w:val="32"/>
        </w:rPr>
        <w:t>持续开展城乡环境整洁行动，垃圾清运、洒水降尘严格按部颁标准执行，生活垃圾确保日产日清，环卫作业车辆保证车容整洁。开展辖区环境卫生整治行动，组织人员对积存垃圾进行彻底清理清运，加强主次干道、市政设施的清扫保洁力度，深入扬尘源头，对道路扬尘及抛撒现象清理控制。</w:t>
      </w:r>
      <w:r>
        <w:rPr>
          <w:rFonts w:hint="eastAsia" w:ascii="仿宋" w:hAnsi="仿宋" w:eastAsia="仿宋" w:cs="华文仿宋"/>
          <w:bCs/>
          <w:color w:val="000000"/>
          <w:sz w:val="32"/>
          <w:szCs w:val="32"/>
        </w:rPr>
        <w:t>2019年共开展环境卫生巡查约150余次，</w:t>
      </w:r>
      <w:r>
        <w:rPr>
          <w:rFonts w:hint="eastAsia" w:ascii="仿宋" w:hAnsi="仿宋" w:eastAsia="仿宋" w:cs="华文仿宋"/>
          <w:sz w:val="32"/>
          <w:szCs w:val="32"/>
          <w:shd w:val="clear" w:color="auto" w:fill="FFFFFF"/>
        </w:rPr>
        <w:t>环卫清运垃圾约1.2万吨；环卫作业用水9万吨。</w:t>
      </w:r>
    </w:p>
    <w:p w14:paraId="31C5306E">
      <w:pPr>
        <w:spacing w:line="353" w:lineRule="auto"/>
        <w:rPr>
          <w:rFonts w:ascii="仿宋" w:hAnsi="仿宋" w:eastAsia="仿宋" w:cs="华文仿宋"/>
          <w:sz w:val="32"/>
          <w:szCs w:val="32"/>
        </w:rPr>
      </w:pPr>
      <w:r>
        <w:rPr>
          <w:rFonts w:hint="eastAsia" w:ascii="仿宋" w:hAnsi="仿宋" w:eastAsia="仿宋" w:cs="华文仿宋"/>
          <w:sz w:val="32"/>
          <w:szCs w:val="32"/>
        </w:rPr>
        <w:t>（二）存在的问题。</w:t>
      </w:r>
    </w:p>
    <w:p w14:paraId="3F6B6C98">
      <w:pPr>
        <w:spacing w:line="360" w:lineRule="auto"/>
        <w:ind w:firstLine="960" w:firstLineChars="300"/>
        <w:rPr>
          <w:rFonts w:ascii="仿宋" w:hAnsi="仿宋" w:eastAsia="仿宋" w:cs="华文仿宋"/>
          <w:sz w:val="32"/>
          <w:szCs w:val="32"/>
          <w:shd w:val="clear" w:color="auto" w:fill="FFFFFF"/>
        </w:rPr>
      </w:pPr>
      <w:r>
        <w:rPr>
          <w:rFonts w:hint="eastAsia" w:ascii="仿宋" w:hAnsi="仿宋" w:eastAsia="仿宋" w:cs="华文仿宋"/>
          <w:kern w:val="0"/>
          <w:sz w:val="32"/>
          <w:szCs w:val="32"/>
        </w:rPr>
        <w:t>环境卫生主管部门肩负着辖区生活垃圾清运、转运以及洒水降尘工作，面临机构、人员、设备不足、老化，职能职责不明确诸多问题。城市垃圾收储点餐厨垃圾混装问题仍然存在，</w:t>
      </w:r>
      <w:r>
        <w:rPr>
          <w:rFonts w:hint="eastAsia" w:ascii="仿宋" w:hAnsi="仿宋" w:eastAsia="仿宋" w:cs="华文仿宋"/>
          <w:sz w:val="32"/>
          <w:szCs w:val="32"/>
          <w:shd w:val="clear" w:color="auto" w:fill="FFFFFF"/>
        </w:rPr>
        <w:t>“三推”工作需政府主导，全体动员，目前资金缺口大。</w:t>
      </w:r>
    </w:p>
    <w:p w14:paraId="12BE226C">
      <w:pPr>
        <w:spacing w:line="353" w:lineRule="auto"/>
        <w:rPr>
          <w:rFonts w:ascii="仿宋" w:hAnsi="仿宋" w:eastAsia="仿宋" w:cs="华文仿宋"/>
          <w:sz w:val="32"/>
          <w:szCs w:val="32"/>
        </w:rPr>
      </w:pPr>
      <w:r>
        <w:rPr>
          <w:rFonts w:hint="eastAsia" w:ascii="仿宋" w:hAnsi="仿宋" w:eastAsia="仿宋" w:cs="华文仿宋"/>
          <w:sz w:val="32"/>
          <w:szCs w:val="32"/>
        </w:rPr>
        <w:t>（三）相关建议。</w:t>
      </w:r>
    </w:p>
    <w:p w14:paraId="45F10CDB">
      <w:pPr>
        <w:spacing w:line="560" w:lineRule="exact"/>
        <w:ind w:firstLine="160" w:firstLineChars="50"/>
        <w:rPr>
          <w:rFonts w:ascii="仿宋" w:hAnsi="仿宋" w:eastAsia="仿宋" w:cs="华文仿宋"/>
          <w:sz w:val="32"/>
          <w:szCs w:val="32"/>
          <w:shd w:val="clear" w:color="auto" w:fill="FFFFFF"/>
        </w:rPr>
      </w:pPr>
      <w:r>
        <w:rPr>
          <w:rFonts w:hint="eastAsia" w:ascii="仿宋" w:hAnsi="仿宋" w:eastAsia="仿宋" w:cs="华文仿宋"/>
          <w:sz w:val="32"/>
          <w:szCs w:val="32"/>
          <w:shd w:val="clear" w:color="auto" w:fill="FFFFFF"/>
        </w:rPr>
        <w:t>（一）加强清扫保洁频次，对重点路段增派清扫保洁人员，采取人力与机械结合的作业模式，对环境卫生容易反弹的地点加强重视，及时清理道路撒漏情况。增加垃圾清运频率，在保证日产日清的前提下，实行错峰和循环清运，确保环卫基础设施周边无零散垃圾。加大洒水降尘力度，对容易附着灰尘的行道树、隔离栏杆等加强冲洗，喷雾和洒水结合的方式抑制扬尘。</w:t>
      </w:r>
    </w:p>
    <w:p w14:paraId="1B94A7AE">
      <w:pPr>
        <w:spacing w:line="560" w:lineRule="exact"/>
        <w:ind w:firstLine="640" w:firstLineChars="200"/>
        <w:rPr>
          <w:rFonts w:ascii="仿宋" w:hAnsi="仿宋" w:eastAsia="仿宋" w:cs="华文仿宋"/>
          <w:sz w:val="32"/>
          <w:szCs w:val="32"/>
          <w:shd w:val="clear" w:color="auto" w:fill="FFFFFF"/>
        </w:rPr>
      </w:pPr>
      <w:r>
        <w:rPr>
          <w:rFonts w:hint="eastAsia" w:ascii="仿宋" w:hAnsi="仿宋" w:eastAsia="仿宋" w:cs="华文仿宋"/>
          <w:sz w:val="32"/>
          <w:szCs w:val="32"/>
          <w:shd w:val="clear" w:color="auto" w:fill="FFFFFF"/>
        </w:rPr>
        <w:t>（二）垃圾分类继续有序推进，通过增加垃圾分类环卫基础设施投放，争取资金购置垃圾分类专用清运车辆。强化安全教育，加大安全巡查力度，力争环卫生产作业零事故，并做好信访维稳排查和化解工作。进一步规范环卫行业管理，加强督促检查，提高作业生产能动性。坚持廉政建设不放松，净化工作环境，增强服务意识，改进职工思想作风和工作作风。</w:t>
      </w:r>
    </w:p>
    <w:p w14:paraId="2E3A704D">
      <w:pPr>
        <w:spacing w:line="560" w:lineRule="exact"/>
        <w:ind w:firstLine="640" w:firstLineChars="200"/>
        <w:rPr>
          <w:rFonts w:ascii="仿宋" w:hAnsi="仿宋" w:eastAsia="仿宋" w:cs="华文仿宋"/>
          <w:sz w:val="32"/>
          <w:szCs w:val="32"/>
          <w:shd w:val="clear" w:color="auto" w:fill="FFFFFF"/>
        </w:rPr>
      </w:pPr>
      <w:r>
        <w:rPr>
          <w:rFonts w:hint="eastAsia" w:ascii="仿宋" w:hAnsi="仿宋" w:eastAsia="仿宋" w:cs="华文仿宋"/>
          <w:sz w:val="32"/>
          <w:szCs w:val="32"/>
          <w:shd w:val="clear" w:color="auto" w:fill="FFFFFF"/>
        </w:rPr>
        <w:t>（三）坚持引入社会资源投入环卫行业，继续推动清扫保洁市场化运作，借鉴环卫行业社会介入的优良经验，以“放管结合”和“管干分离”为导向，紧紧把握市、区政策，提前部署、提前规划。逐步建立横向到边、纵向到底的环卫管理体系，按照“属地管理”原则，强化督导落实。</w:t>
      </w:r>
    </w:p>
    <w:p w14:paraId="2487387D">
      <w:pPr>
        <w:tabs>
          <w:tab w:val="left" w:pos="2295"/>
        </w:tabs>
        <w:spacing w:line="560" w:lineRule="exact"/>
        <w:rPr>
          <w:rFonts w:ascii="仿宋" w:hAnsi="仿宋" w:eastAsia="仿宋" w:cs="华文仿宋"/>
          <w:kern w:val="0"/>
          <w:sz w:val="32"/>
          <w:szCs w:val="32"/>
        </w:rPr>
      </w:pPr>
    </w:p>
    <w:p w14:paraId="7917C967">
      <w:pPr>
        <w:tabs>
          <w:tab w:val="left" w:pos="3626"/>
        </w:tabs>
        <w:spacing w:line="560" w:lineRule="exact"/>
        <w:rPr>
          <w:rFonts w:ascii="仿宋" w:hAnsi="仿宋" w:eastAsia="仿宋" w:cs="华文仿宋"/>
          <w:kern w:val="0"/>
          <w:sz w:val="32"/>
          <w:szCs w:val="32"/>
        </w:rPr>
      </w:pPr>
    </w:p>
    <w:p w14:paraId="1E2EB0B5">
      <w:pPr>
        <w:spacing w:line="353" w:lineRule="auto"/>
        <w:ind w:firstLine="640" w:firstLineChars="200"/>
        <w:rPr>
          <w:rFonts w:ascii="仿宋" w:hAnsi="仿宋" w:eastAsia="仿宋" w:cs="华文仿宋"/>
          <w:sz w:val="32"/>
          <w:szCs w:val="32"/>
        </w:rPr>
      </w:pPr>
    </w:p>
    <w:p w14:paraId="4E3EC1A5">
      <w:pPr>
        <w:widowControl/>
        <w:jc w:val="left"/>
        <w:rPr>
          <w:rStyle w:val="25"/>
          <w:rFonts w:ascii="仿宋" w:hAnsi="仿宋" w:eastAsia="仿宋"/>
          <w:b w:val="0"/>
          <w:sz w:val="32"/>
          <w:szCs w:val="32"/>
        </w:rPr>
      </w:pPr>
    </w:p>
    <w:p w14:paraId="2BE3C754">
      <w:pPr>
        <w:widowControl/>
        <w:jc w:val="left"/>
        <w:rPr>
          <w:rStyle w:val="25"/>
          <w:rFonts w:ascii="仿宋" w:hAnsi="仿宋" w:eastAsia="仿宋"/>
          <w:b w:val="0"/>
          <w:sz w:val="32"/>
          <w:szCs w:val="32"/>
        </w:rPr>
      </w:pPr>
      <w:r>
        <w:rPr>
          <w:rStyle w:val="25"/>
          <w:rFonts w:ascii="仿宋" w:hAnsi="仿宋" w:eastAsia="仿宋"/>
          <w:b w:val="0"/>
          <w:sz w:val="32"/>
          <w:szCs w:val="32"/>
        </w:rPr>
        <w:br w:type="page"/>
      </w:r>
    </w:p>
    <w:p w14:paraId="1AE8B438">
      <w:pPr>
        <w:spacing w:line="600" w:lineRule="exact"/>
        <w:jc w:val="center"/>
        <w:outlineLvl w:val="0"/>
        <w:rPr>
          <w:rStyle w:val="25"/>
          <w:rFonts w:ascii="黑体" w:hAnsi="黑体" w:eastAsia="黑体"/>
          <w:b w:val="0"/>
        </w:rPr>
      </w:pPr>
    </w:p>
    <w:p w14:paraId="2748EA88">
      <w:pPr>
        <w:spacing w:line="600" w:lineRule="exact"/>
        <w:jc w:val="center"/>
        <w:outlineLvl w:val="0"/>
        <w:rPr>
          <w:rStyle w:val="25"/>
          <w:rFonts w:ascii="黑体" w:hAnsi="黑体" w:eastAsia="黑体"/>
          <w:b w:val="0"/>
        </w:rPr>
      </w:pPr>
      <w:bookmarkStart w:id="63" w:name="_Toc15396618"/>
      <w:r>
        <w:rPr>
          <w:rFonts w:hint="eastAsia" w:ascii="黑体" w:hAnsi="黑体" w:eastAsia="黑体"/>
          <w:color w:val="000000"/>
          <w:sz w:val="44"/>
          <w:szCs w:val="44"/>
        </w:rPr>
        <w:t>第</w:t>
      </w:r>
      <w:r>
        <w:rPr>
          <w:rStyle w:val="25"/>
          <w:rFonts w:hint="eastAsia" w:ascii="黑体" w:hAnsi="黑体" w:eastAsia="黑体"/>
          <w:b w:val="0"/>
        </w:rPr>
        <w:t>五部分 附表</w:t>
      </w:r>
      <w:bookmarkEnd w:id="61"/>
      <w:bookmarkEnd w:id="63"/>
    </w:p>
    <w:p w14:paraId="28561AB7">
      <w:pPr>
        <w:spacing w:line="600" w:lineRule="exact"/>
        <w:jc w:val="center"/>
        <w:outlineLvl w:val="0"/>
        <w:rPr>
          <w:rFonts w:ascii="仿宋" w:hAnsi="仿宋" w:eastAsia="仿宋"/>
          <w:b/>
          <w:color w:val="000000"/>
          <w:sz w:val="44"/>
          <w:szCs w:val="44"/>
        </w:rPr>
      </w:pPr>
    </w:p>
    <w:p w14:paraId="66C0C76F">
      <w:pPr>
        <w:pStyle w:val="3"/>
        <w:rPr>
          <w:rFonts w:ascii="仿宋" w:hAnsi="仿宋" w:eastAsia="仿宋"/>
          <w:color w:val="000000"/>
        </w:rPr>
      </w:pPr>
      <w:bookmarkStart w:id="64" w:name="_Toc15396619"/>
      <w:r>
        <w:rPr>
          <w:rFonts w:hint="eastAsia" w:ascii="仿宋" w:hAnsi="仿宋" w:eastAsia="仿宋"/>
          <w:b w:val="0"/>
          <w:color w:val="000000"/>
        </w:rPr>
        <w:t>一、收</w:t>
      </w:r>
      <w:r>
        <w:rPr>
          <w:rStyle w:val="26"/>
          <w:rFonts w:hint="eastAsia" w:ascii="仿宋" w:hAnsi="仿宋" w:eastAsia="仿宋"/>
          <w:b w:val="0"/>
          <w:bCs w:val="0"/>
        </w:rPr>
        <w:t>入支出决算总表</w:t>
      </w:r>
      <w:bookmarkEnd w:id="64"/>
    </w:p>
    <w:p w14:paraId="2DFCB28B">
      <w:pPr>
        <w:pStyle w:val="3"/>
        <w:rPr>
          <w:rFonts w:ascii="仿宋" w:hAnsi="仿宋" w:eastAsia="仿宋"/>
          <w:color w:val="000000"/>
        </w:rPr>
      </w:pPr>
      <w:bookmarkStart w:id="65" w:name="_Toc15396620"/>
      <w:r>
        <w:rPr>
          <w:rFonts w:hint="eastAsia" w:ascii="仿宋" w:hAnsi="仿宋" w:eastAsia="仿宋"/>
          <w:b w:val="0"/>
          <w:color w:val="000000"/>
        </w:rPr>
        <w:t>二、收</w:t>
      </w:r>
      <w:r>
        <w:rPr>
          <w:rStyle w:val="26"/>
          <w:rFonts w:hint="eastAsia" w:ascii="仿宋" w:hAnsi="仿宋" w:eastAsia="仿宋"/>
          <w:b w:val="0"/>
          <w:bCs w:val="0"/>
        </w:rPr>
        <w:t>入决算表</w:t>
      </w:r>
      <w:bookmarkEnd w:id="65"/>
    </w:p>
    <w:p w14:paraId="31650433">
      <w:pPr>
        <w:pStyle w:val="3"/>
        <w:rPr>
          <w:rFonts w:ascii="仿宋" w:hAnsi="仿宋" w:eastAsia="仿宋"/>
          <w:color w:val="000000"/>
        </w:rPr>
      </w:pPr>
      <w:bookmarkStart w:id="66" w:name="_Toc15396621"/>
      <w:r>
        <w:rPr>
          <w:rStyle w:val="26"/>
          <w:rFonts w:hint="eastAsia" w:ascii="仿宋" w:hAnsi="仿宋" w:eastAsia="仿宋"/>
          <w:b w:val="0"/>
          <w:bCs w:val="0"/>
        </w:rPr>
        <w:t>三、</w:t>
      </w:r>
      <w:r>
        <w:rPr>
          <w:rFonts w:hint="eastAsia" w:ascii="仿宋" w:hAnsi="仿宋" w:eastAsia="仿宋"/>
          <w:b w:val="0"/>
          <w:color w:val="000000"/>
        </w:rPr>
        <w:t>支</w:t>
      </w:r>
      <w:r>
        <w:rPr>
          <w:rStyle w:val="26"/>
          <w:rFonts w:hint="eastAsia" w:ascii="仿宋" w:hAnsi="仿宋" w:eastAsia="仿宋"/>
          <w:b w:val="0"/>
          <w:bCs w:val="0"/>
        </w:rPr>
        <w:t>出决算表</w:t>
      </w:r>
      <w:bookmarkEnd w:id="66"/>
    </w:p>
    <w:p w14:paraId="1B24ED73">
      <w:pPr>
        <w:pStyle w:val="3"/>
        <w:rPr>
          <w:rFonts w:ascii="仿宋" w:hAnsi="仿宋" w:eastAsia="仿宋"/>
          <w:b w:val="0"/>
          <w:color w:val="000000"/>
        </w:rPr>
      </w:pPr>
      <w:bookmarkStart w:id="67" w:name="_Toc15396622"/>
      <w:r>
        <w:rPr>
          <w:rStyle w:val="26"/>
          <w:rFonts w:hint="eastAsia" w:ascii="仿宋" w:hAnsi="仿宋" w:eastAsia="仿宋"/>
          <w:b w:val="0"/>
          <w:bCs w:val="0"/>
        </w:rPr>
        <w:t>四、</w:t>
      </w:r>
      <w:r>
        <w:rPr>
          <w:rFonts w:hint="eastAsia" w:ascii="仿宋" w:hAnsi="仿宋" w:eastAsia="仿宋"/>
          <w:b w:val="0"/>
          <w:color w:val="000000"/>
        </w:rPr>
        <w:t>财</w:t>
      </w:r>
      <w:r>
        <w:rPr>
          <w:rStyle w:val="26"/>
          <w:rFonts w:hint="eastAsia" w:ascii="仿宋" w:hAnsi="仿宋" w:eastAsia="仿宋"/>
          <w:b w:val="0"/>
          <w:bCs w:val="0"/>
        </w:rPr>
        <w:t>政拨款收入支出决算总表</w:t>
      </w:r>
      <w:bookmarkEnd w:id="67"/>
    </w:p>
    <w:p w14:paraId="351B4DAF">
      <w:pPr>
        <w:pStyle w:val="3"/>
        <w:rPr>
          <w:rStyle w:val="26"/>
          <w:rFonts w:ascii="仿宋" w:hAnsi="仿宋" w:eastAsia="仿宋"/>
          <w:b w:val="0"/>
          <w:bCs w:val="0"/>
        </w:rPr>
      </w:pPr>
      <w:bookmarkStart w:id="68" w:name="_Toc15396623"/>
      <w:r>
        <w:rPr>
          <w:rStyle w:val="26"/>
          <w:rFonts w:hint="eastAsia" w:ascii="仿宋" w:hAnsi="仿宋" w:eastAsia="仿宋"/>
          <w:b w:val="0"/>
          <w:bCs w:val="0"/>
        </w:rPr>
        <w:t>五、</w:t>
      </w:r>
      <w:r>
        <w:rPr>
          <w:rFonts w:hint="eastAsia" w:ascii="仿宋" w:hAnsi="仿宋" w:eastAsia="仿宋"/>
          <w:b w:val="0"/>
          <w:color w:val="000000"/>
        </w:rPr>
        <w:t>财</w:t>
      </w:r>
      <w:r>
        <w:rPr>
          <w:rStyle w:val="26"/>
          <w:rFonts w:hint="eastAsia" w:ascii="仿宋" w:hAnsi="仿宋" w:eastAsia="仿宋"/>
          <w:b w:val="0"/>
          <w:bCs w:val="0"/>
        </w:rPr>
        <w:t>政拨款支出决算明细表</w:t>
      </w:r>
      <w:bookmarkEnd w:id="68"/>
      <w:bookmarkStart w:id="69" w:name="_Toc15396624"/>
    </w:p>
    <w:p w14:paraId="55E871C4">
      <w:pPr>
        <w:pStyle w:val="3"/>
        <w:rPr>
          <w:rFonts w:ascii="仿宋" w:hAnsi="仿宋" w:eastAsia="仿宋"/>
          <w:color w:val="000000"/>
        </w:rPr>
      </w:pPr>
      <w:r>
        <w:rPr>
          <w:rStyle w:val="26"/>
          <w:rFonts w:hint="eastAsia" w:ascii="仿宋" w:hAnsi="仿宋" w:eastAsia="仿宋"/>
          <w:b w:val="0"/>
          <w:bCs w:val="0"/>
        </w:rPr>
        <w:t>六、</w:t>
      </w:r>
      <w:r>
        <w:rPr>
          <w:rFonts w:hint="eastAsia" w:ascii="仿宋" w:hAnsi="仿宋" w:eastAsia="仿宋"/>
          <w:b w:val="0"/>
          <w:color w:val="000000"/>
        </w:rPr>
        <w:t>一</w:t>
      </w:r>
      <w:r>
        <w:rPr>
          <w:rStyle w:val="26"/>
          <w:rFonts w:hint="eastAsia" w:ascii="仿宋" w:hAnsi="仿宋" w:eastAsia="仿宋"/>
          <w:b w:val="0"/>
          <w:bCs w:val="0"/>
        </w:rPr>
        <w:t>般公共预算财政拨款支出决算表</w:t>
      </w:r>
      <w:bookmarkEnd w:id="69"/>
    </w:p>
    <w:p w14:paraId="4B9746D4">
      <w:pPr>
        <w:pStyle w:val="3"/>
        <w:rPr>
          <w:rFonts w:ascii="仿宋" w:hAnsi="仿宋" w:eastAsia="仿宋"/>
          <w:color w:val="000000"/>
        </w:rPr>
      </w:pPr>
      <w:bookmarkStart w:id="70" w:name="_Toc15396625"/>
      <w:r>
        <w:rPr>
          <w:rStyle w:val="26"/>
          <w:rFonts w:hint="eastAsia" w:ascii="仿宋" w:hAnsi="仿宋" w:eastAsia="仿宋"/>
          <w:b w:val="0"/>
          <w:bCs w:val="0"/>
        </w:rPr>
        <w:t>七、</w:t>
      </w:r>
      <w:r>
        <w:rPr>
          <w:rFonts w:hint="eastAsia" w:ascii="仿宋" w:hAnsi="仿宋" w:eastAsia="仿宋"/>
          <w:b w:val="0"/>
          <w:color w:val="000000"/>
        </w:rPr>
        <w:t>一</w:t>
      </w:r>
      <w:r>
        <w:rPr>
          <w:rStyle w:val="26"/>
          <w:rFonts w:hint="eastAsia" w:ascii="仿宋" w:hAnsi="仿宋" w:eastAsia="仿宋"/>
          <w:b w:val="0"/>
          <w:bCs w:val="0"/>
        </w:rPr>
        <w:t>般公共预算财政拨款支出决算明细表</w:t>
      </w:r>
      <w:bookmarkEnd w:id="70"/>
    </w:p>
    <w:p w14:paraId="4DA85822">
      <w:pPr>
        <w:pStyle w:val="3"/>
        <w:rPr>
          <w:rFonts w:ascii="仿宋" w:hAnsi="仿宋" w:eastAsia="仿宋"/>
          <w:color w:val="000000"/>
        </w:rPr>
      </w:pPr>
      <w:bookmarkStart w:id="71" w:name="_Toc15396626"/>
      <w:r>
        <w:rPr>
          <w:rStyle w:val="26"/>
          <w:rFonts w:hint="eastAsia" w:ascii="仿宋" w:hAnsi="仿宋" w:eastAsia="仿宋"/>
          <w:b w:val="0"/>
          <w:bCs w:val="0"/>
        </w:rPr>
        <w:t>八、</w:t>
      </w:r>
      <w:r>
        <w:rPr>
          <w:rFonts w:hint="eastAsia" w:ascii="仿宋" w:hAnsi="仿宋" w:eastAsia="仿宋"/>
          <w:b w:val="0"/>
          <w:color w:val="000000"/>
        </w:rPr>
        <w:t>一</w:t>
      </w:r>
      <w:r>
        <w:rPr>
          <w:rStyle w:val="26"/>
          <w:rFonts w:hint="eastAsia" w:ascii="仿宋" w:hAnsi="仿宋" w:eastAsia="仿宋"/>
          <w:b w:val="0"/>
          <w:bCs w:val="0"/>
        </w:rPr>
        <w:t>般公共预算财政拨款基本支出决算表</w:t>
      </w:r>
      <w:bookmarkEnd w:id="71"/>
    </w:p>
    <w:p w14:paraId="1C93549F">
      <w:pPr>
        <w:pStyle w:val="3"/>
        <w:rPr>
          <w:rFonts w:ascii="仿宋" w:hAnsi="仿宋" w:eastAsia="仿宋"/>
          <w:color w:val="000000"/>
        </w:rPr>
      </w:pPr>
      <w:bookmarkStart w:id="72" w:name="_Toc15396627"/>
      <w:r>
        <w:rPr>
          <w:rStyle w:val="26"/>
          <w:rFonts w:hint="eastAsia" w:ascii="仿宋" w:hAnsi="仿宋" w:eastAsia="仿宋"/>
          <w:b w:val="0"/>
          <w:bCs w:val="0"/>
        </w:rPr>
        <w:t>九、</w:t>
      </w:r>
      <w:r>
        <w:rPr>
          <w:rFonts w:hint="eastAsia" w:ascii="仿宋" w:hAnsi="仿宋" w:eastAsia="仿宋"/>
          <w:b w:val="0"/>
          <w:color w:val="000000"/>
        </w:rPr>
        <w:t>一</w:t>
      </w:r>
      <w:r>
        <w:rPr>
          <w:rStyle w:val="26"/>
          <w:rFonts w:hint="eastAsia" w:ascii="仿宋" w:hAnsi="仿宋" w:eastAsia="仿宋"/>
          <w:b w:val="0"/>
          <w:bCs w:val="0"/>
        </w:rPr>
        <w:t>般公共预算财政拨款项目支出决算表</w:t>
      </w:r>
      <w:bookmarkEnd w:id="72"/>
    </w:p>
    <w:p w14:paraId="0D110F07">
      <w:pPr>
        <w:pStyle w:val="3"/>
        <w:rPr>
          <w:rFonts w:ascii="仿宋" w:hAnsi="仿宋" w:eastAsia="仿宋"/>
          <w:color w:val="000000"/>
        </w:rPr>
      </w:pPr>
      <w:bookmarkStart w:id="73" w:name="_Toc15396628"/>
      <w:r>
        <w:rPr>
          <w:rStyle w:val="26"/>
          <w:rFonts w:hint="eastAsia" w:ascii="仿宋" w:hAnsi="仿宋" w:eastAsia="仿宋"/>
          <w:b w:val="0"/>
          <w:bCs w:val="0"/>
        </w:rPr>
        <w:t>十、</w:t>
      </w:r>
      <w:r>
        <w:rPr>
          <w:rFonts w:hint="eastAsia" w:ascii="仿宋" w:hAnsi="仿宋" w:eastAsia="仿宋"/>
          <w:b w:val="0"/>
          <w:color w:val="000000"/>
        </w:rPr>
        <w:t>一</w:t>
      </w:r>
      <w:r>
        <w:rPr>
          <w:rStyle w:val="26"/>
          <w:rFonts w:hint="eastAsia" w:ascii="仿宋" w:hAnsi="仿宋" w:eastAsia="仿宋"/>
          <w:b w:val="0"/>
          <w:bCs w:val="0"/>
        </w:rPr>
        <w:t>般公共预算财政拨款“三公”经费支出决算表</w:t>
      </w:r>
      <w:bookmarkEnd w:id="73"/>
    </w:p>
    <w:p w14:paraId="11CF25F5">
      <w:pPr>
        <w:pStyle w:val="3"/>
        <w:rPr>
          <w:rFonts w:ascii="仿宋" w:hAnsi="仿宋" w:eastAsia="仿宋"/>
          <w:color w:val="000000"/>
        </w:rPr>
      </w:pPr>
      <w:bookmarkStart w:id="74" w:name="_Toc15396629"/>
      <w:r>
        <w:rPr>
          <w:rStyle w:val="26"/>
          <w:rFonts w:hint="eastAsia" w:ascii="仿宋" w:hAnsi="仿宋" w:eastAsia="仿宋"/>
          <w:b w:val="0"/>
          <w:bCs w:val="0"/>
        </w:rPr>
        <w:t>十一、</w:t>
      </w:r>
      <w:r>
        <w:rPr>
          <w:rFonts w:hint="eastAsia" w:ascii="仿宋" w:hAnsi="仿宋" w:eastAsia="仿宋"/>
          <w:b w:val="0"/>
          <w:color w:val="000000"/>
        </w:rPr>
        <w:t>政</w:t>
      </w:r>
      <w:r>
        <w:rPr>
          <w:rStyle w:val="26"/>
          <w:rFonts w:hint="eastAsia" w:ascii="仿宋" w:hAnsi="仿宋" w:eastAsia="仿宋"/>
          <w:b w:val="0"/>
          <w:bCs w:val="0"/>
        </w:rPr>
        <w:t>府性基金预算财政拨款收入支出决算表</w:t>
      </w:r>
      <w:bookmarkEnd w:id="74"/>
    </w:p>
    <w:p w14:paraId="25A90A8F">
      <w:pPr>
        <w:pStyle w:val="3"/>
        <w:rPr>
          <w:rFonts w:ascii="仿宋" w:hAnsi="仿宋" w:eastAsia="仿宋"/>
          <w:color w:val="000000"/>
        </w:rPr>
      </w:pPr>
      <w:bookmarkStart w:id="75" w:name="_Toc15396630"/>
      <w:r>
        <w:rPr>
          <w:rStyle w:val="26"/>
          <w:rFonts w:hint="eastAsia" w:ascii="仿宋" w:hAnsi="仿宋" w:eastAsia="仿宋"/>
          <w:b w:val="0"/>
          <w:bCs w:val="0"/>
        </w:rPr>
        <w:t>十二、</w:t>
      </w:r>
      <w:r>
        <w:rPr>
          <w:rFonts w:hint="eastAsia" w:ascii="仿宋" w:hAnsi="仿宋" w:eastAsia="仿宋"/>
          <w:b w:val="0"/>
          <w:color w:val="000000"/>
        </w:rPr>
        <w:t>政</w:t>
      </w:r>
      <w:r>
        <w:rPr>
          <w:rStyle w:val="26"/>
          <w:rFonts w:hint="eastAsia" w:ascii="仿宋" w:hAnsi="仿宋" w:eastAsia="仿宋"/>
          <w:b w:val="0"/>
          <w:bCs w:val="0"/>
        </w:rPr>
        <w:t>府性基金预算财政拨款“三公”经费支出决算表</w:t>
      </w:r>
      <w:bookmarkEnd w:id="75"/>
    </w:p>
    <w:p w14:paraId="01557677">
      <w:pPr>
        <w:pStyle w:val="3"/>
        <w:rPr>
          <w:rFonts w:ascii="仿宋" w:hAnsi="仿宋" w:eastAsia="仿宋"/>
          <w:color w:val="000000" w:themeColor="text1"/>
        </w:rPr>
      </w:pPr>
      <w:bookmarkStart w:id="76" w:name="_Toc15396631"/>
      <w:r>
        <w:rPr>
          <w:rStyle w:val="26"/>
          <w:rFonts w:hint="eastAsia" w:ascii="仿宋" w:hAnsi="仿宋" w:eastAsia="仿宋"/>
          <w:b w:val="0"/>
          <w:bCs w:val="0"/>
        </w:rPr>
        <w:t>十三、</w:t>
      </w:r>
      <w:r>
        <w:rPr>
          <w:rFonts w:hint="eastAsia" w:ascii="仿宋" w:hAnsi="仿宋" w:eastAsia="仿宋"/>
          <w:b w:val="0"/>
          <w:color w:val="000000"/>
        </w:rPr>
        <w:t>国</w:t>
      </w:r>
      <w:r>
        <w:rPr>
          <w:rStyle w:val="26"/>
          <w:rFonts w:hint="eastAsia" w:ascii="仿宋" w:hAnsi="仿宋" w:eastAsia="仿宋"/>
          <w:b w:val="0"/>
          <w:bCs w:val="0"/>
        </w:rPr>
        <w:t>有资本经营预算支出决算表</w:t>
      </w:r>
      <w:bookmarkEnd w:id="76"/>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_GBK">
    <w:panose1 w:val="02000000000000000000"/>
    <w:charset w:val="86"/>
    <w:family w:val="auto"/>
    <w:pitch w:val="default"/>
    <w:sig w:usb0="00000001" w:usb1="08000000" w:usb2="00000000" w:usb3="00000000" w:csb0="00040000" w:csb1="00000000"/>
  </w:font>
  <w:font w:name="Cambria">
    <w:panose1 w:val="02040803050406030204"/>
    <w:charset w:val="00"/>
    <w:family w:val="roman"/>
    <w:pitch w:val="default"/>
    <w:sig w:usb0="E00002FF" w:usb1="4000045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1C6DECC7">
        <w:pPr>
          <w:pStyle w:val="9"/>
          <w:jc w:val="center"/>
        </w:pPr>
        <w:r>
          <w:fldChar w:fldCharType="begin"/>
        </w:r>
        <w:r>
          <w:instrText xml:space="preserve">PAGE   \* MERGEFORMAT</w:instrText>
        </w:r>
        <w:r>
          <w:fldChar w:fldCharType="separate"/>
        </w:r>
        <w:r>
          <w:rPr>
            <w:lang w:val="zh-CN"/>
          </w:rPr>
          <w:t>31</w:t>
        </w:r>
        <w:r>
          <w:rPr>
            <w:lang w:val="zh-CN"/>
          </w:rPr>
          <w:fldChar w:fldCharType="end"/>
        </w:r>
      </w:p>
    </w:sdtContent>
  </w:sdt>
  <w:p w14:paraId="79D0A8A0">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0AEE6">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7F9938"/>
    <w:multiLevelType w:val="singleLevel"/>
    <w:tmpl w:val="D07F9938"/>
    <w:lvl w:ilvl="0" w:tentative="0">
      <w:start w:val="1"/>
      <w:numFmt w:val="decimal"/>
      <w:lvlText w:val="%1."/>
      <w:lvlJc w:val="left"/>
      <w:pPr>
        <w:tabs>
          <w:tab w:val="left" w:pos="312"/>
        </w:tabs>
      </w:p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0F465AF8"/>
    <w:multiLevelType w:val="singleLevel"/>
    <w:tmpl w:val="0F465AF8"/>
    <w:lvl w:ilvl="0" w:tentative="0">
      <w:start w:val="2"/>
      <w:numFmt w:val="decimal"/>
      <w:suff w:val="nothing"/>
      <w:lvlText w:val="（%1）"/>
      <w:lvlJc w:val="left"/>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1F658578"/>
    <w:multiLevelType w:val="singleLevel"/>
    <w:tmpl w:val="1F658578"/>
    <w:lvl w:ilvl="0" w:tentative="0">
      <w:start w:val="1"/>
      <w:numFmt w:val="chineseCounting"/>
      <w:suff w:val="nothing"/>
      <w:lvlText w:val="（%1）"/>
      <w:lvlJc w:val="left"/>
      <w:rPr>
        <w:rFonts w:hint="eastAsia"/>
      </w:rPr>
    </w:lvl>
  </w:abstractNum>
  <w:abstractNum w:abstractNumId="5">
    <w:nsid w:val="40C8706B"/>
    <w:multiLevelType w:val="singleLevel"/>
    <w:tmpl w:val="40C8706B"/>
    <w:lvl w:ilvl="0" w:tentative="0">
      <w:start w:val="2"/>
      <w:numFmt w:val="decimal"/>
      <w:suff w:val="nothing"/>
      <w:lvlText w:val="%1．"/>
      <w:lvlJc w:val="left"/>
    </w:lvl>
  </w:abstractNum>
  <w:abstractNum w:abstractNumId="6">
    <w:nsid w:val="5934491E"/>
    <w:multiLevelType w:val="singleLevel"/>
    <w:tmpl w:val="5934491E"/>
    <w:lvl w:ilvl="0" w:tentative="0">
      <w:start w:val="3"/>
      <w:numFmt w:val="chineseCounting"/>
      <w:suff w:val="nothing"/>
      <w:lvlText w:val="%1、"/>
      <w:lvlJc w:val="left"/>
      <w:rPr>
        <w:rFonts w:hint="eastAsia"/>
      </w:rPr>
    </w:lvl>
  </w:abstractNum>
  <w:abstractNum w:abstractNumId="7">
    <w:nsid w:val="72CA0F47"/>
    <w:multiLevelType w:val="multilevel"/>
    <w:tmpl w:val="72CA0F47"/>
    <w:lvl w:ilvl="0" w:tentative="0">
      <w:start w:val="2"/>
      <w:numFmt w:val="japaneseCounting"/>
      <w:lvlText w:val="%1、"/>
      <w:lvlJc w:val="left"/>
      <w:pPr>
        <w:ind w:left="720" w:hanging="720"/>
      </w:pPr>
      <w:rPr>
        <w:rFonts w:hint="default" w:ascii="黑体" w:eastAsia="黑体"/>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3"/>
  </w:num>
  <w:num w:numId="3">
    <w:abstractNumId w:val="0"/>
  </w:num>
  <w:num w:numId="4">
    <w:abstractNumId w:val="1"/>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1361C"/>
    <w:rsid w:val="000222C6"/>
    <w:rsid w:val="0002549F"/>
    <w:rsid w:val="00026000"/>
    <w:rsid w:val="00033AE0"/>
    <w:rsid w:val="000468DB"/>
    <w:rsid w:val="0006487A"/>
    <w:rsid w:val="00065F8F"/>
    <w:rsid w:val="00070A43"/>
    <w:rsid w:val="000768F2"/>
    <w:rsid w:val="00076F03"/>
    <w:rsid w:val="000771EF"/>
    <w:rsid w:val="000801C3"/>
    <w:rsid w:val="0008647E"/>
    <w:rsid w:val="0009184B"/>
    <w:rsid w:val="00094236"/>
    <w:rsid w:val="0009593C"/>
    <w:rsid w:val="00097322"/>
    <w:rsid w:val="000A01B5"/>
    <w:rsid w:val="000A6A92"/>
    <w:rsid w:val="000B047F"/>
    <w:rsid w:val="000B5923"/>
    <w:rsid w:val="000B5A48"/>
    <w:rsid w:val="000B6FF3"/>
    <w:rsid w:val="000C3467"/>
    <w:rsid w:val="000C3CA6"/>
    <w:rsid w:val="000D1267"/>
    <w:rsid w:val="000D1D50"/>
    <w:rsid w:val="000D5782"/>
    <w:rsid w:val="000D757D"/>
    <w:rsid w:val="000E06B6"/>
    <w:rsid w:val="000E6613"/>
    <w:rsid w:val="000E7119"/>
    <w:rsid w:val="00103EE0"/>
    <w:rsid w:val="00114E9B"/>
    <w:rsid w:val="001246CC"/>
    <w:rsid w:val="001335DC"/>
    <w:rsid w:val="00142216"/>
    <w:rsid w:val="00144D6A"/>
    <w:rsid w:val="00145433"/>
    <w:rsid w:val="0014729F"/>
    <w:rsid w:val="001564BB"/>
    <w:rsid w:val="00157BAB"/>
    <w:rsid w:val="001654D1"/>
    <w:rsid w:val="00174518"/>
    <w:rsid w:val="0017729B"/>
    <w:rsid w:val="0018106D"/>
    <w:rsid w:val="001877A7"/>
    <w:rsid w:val="00191536"/>
    <w:rsid w:val="00196687"/>
    <w:rsid w:val="001A0EC3"/>
    <w:rsid w:val="001C0962"/>
    <w:rsid w:val="001D1EFC"/>
    <w:rsid w:val="001D5B79"/>
    <w:rsid w:val="001D7531"/>
    <w:rsid w:val="001E737D"/>
    <w:rsid w:val="001F0592"/>
    <w:rsid w:val="001F7506"/>
    <w:rsid w:val="002006CD"/>
    <w:rsid w:val="00202B36"/>
    <w:rsid w:val="00204B7A"/>
    <w:rsid w:val="00204CDE"/>
    <w:rsid w:val="0021101A"/>
    <w:rsid w:val="00220536"/>
    <w:rsid w:val="00235629"/>
    <w:rsid w:val="00260C38"/>
    <w:rsid w:val="002616C0"/>
    <w:rsid w:val="00265230"/>
    <w:rsid w:val="00265372"/>
    <w:rsid w:val="002662AA"/>
    <w:rsid w:val="0027394C"/>
    <w:rsid w:val="00280496"/>
    <w:rsid w:val="002932FE"/>
    <w:rsid w:val="00294DC9"/>
    <w:rsid w:val="00295495"/>
    <w:rsid w:val="002A31DE"/>
    <w:rsid w:val="002B2613"/>
    <w:rsid w:val="002B67AC"/>
    <w:rsid w:val="002D19B0"/>
    <w:rsid w:val="002D6D05"/>
    <w:rsid w:val="002F1818"/>
    <w:rsid w:val="002F567B"/>
    <w:rsid w:val="002F6947"/>
    <w:rsid w:val="003216A9"/>
    <w:rsid w:val="00335A74"/>
    <w:rsid w:val="0036561B"/>
    <w:rsid w:val="0037013F"/>
    <w:rsid w:val="00375EC5"/>
    <w:rsid w:val="00380C92"/>
    <w:rsid w:val="00392925"/>
    <w:rsid w:val="003A484F"/>
    <w:rsid w:val="003A4883"/>
    <w:rsid w:val="003B0BE0"/>
    <w:rsid w:val="003B0C1B"/>
    <w:rsid w:val="003B688C"/>
    <w:rsid w:val="003C0291"/>
    <w:rsid w:val="003C39AE"/>
    <w:rsid w:val="003C7B60"/>
    <w:rsid w:val="003D0C0F"/>
    <w:rsid w:val="003D1741"/>
    <w:rsid w:val="003D1FB2"/>
    <w:rsid w:val="003D22B9"/>
    <w:rsid w:val="003D66DA"/>
    <w:rsid w:val="003E1310"/>
    <w:rsid w:val="003E6F55"/>
    <w:rsid w:val="00406254"/>
    <w:rsid w:val="00416CD4"/>
    <w:rsid w:val="004223DE"/>
    <w:rsid w:val="00427932"/>
    <w:rsid w:val="00434489"/>
    <w:rsid w:val="00437085"/>
    <w:rsid w:val="00440F1C"/>
    <w:rsid w:val="004420E8"/>
    <w:rsid w:val="00443880"/>
    <w:rsid w:val="004464F4"/>
    <w:rsid w:val="0046335E"/>
    <w:rsid w:val="00471401"/>
    <w:rsid w:val="00473F31"/>
    <w:rsid w:val="00480E6A"/>
    <w:rsid w:val="00481973"/>
    <w:rsid w:val="0048263A"/>
    <w:rsid w:val="00487E5D"/>
    <w:rsid w:val="00491A29"/>
    <w:rsid w:val="00497903"/>
    <w:rsid w:val="004A682F"/>
    <w:rsid w:val="004A711F"/>
    <w:rsid w:val="004B199D"/>
    <w:rsid w:val="004B4690"/>
    <w:rsid w:val="004C344E"/>
    <w:rsid w:val="004E0A2D"/>
    <w:rsid w:val="004E206B"/>
    <w:rsid w:val="004E6DF7"/>
    <w:rsid w:val="004F0FBD"/>
    <w:rsid w:val="004F3362"/>
    <w:rsid w:val="004F403E"/>
    <w:rsid w:val="00505A47"/>
    <w:rsid w:val="005102A6"/>
    <w:rsid w:val="00512FDA"/>
    <w:rsid w:val="00520DA0"/>
    <w:rsid w:val="00536767"/>
    <w:rsid w:val="005664BB"/>
    <w:rsid w:val="00566FFA"/>
    <w:rsid w:val="0057481D"/>
    <w:rsid w:val="00575F0B"/>
    <w:rsid w:val="0058486E"/>
    <w:rsid w:val="00585B33"/>
    <w:rsid w:val="0059014D"/>
    <w:rsid w:val="005B5C64"/>
    <w:rsid w:val="005C6BD0"/>
    <w:rsid w:val="005C6C4C"/>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48"/>
    <w:rsid w:val="0066343B"/>
    <w:rsid w:val="00664777"/>
    <w:rsid w:val="00671A74"/>
    <w:rsid w:val="006748A4"/>
    <w:rsid w:val="00681A31"/>
    <w:rsid w:val="00683E73"/>
    <w:rsid w:val="0069443F"/>
    <w:rsid w:val="00696AFC"/>
    <w:rsid w:val="006A3141"/>
    <w:rsid w:val="006A5E34"/>
    <w:rsid w:val="006B2422"/>
    <w:rsid w:val="006B2B9A"/>
    <w:rsid w:val="006B4967"/>
    <w:rsid w:val="006C1937"/>
    <w:rsid w:val="006D262D"/>
    <w:rsid w:val="006D5D10"/>
    <w:rsid w:val="006D61B9"/>
    <w:rsid w:val="006F020C"/>
    <w:rsid w:val="00711DAE"/>
    <w:rsid w:val="007127B7"/>
    <w:rsid w:val="0071798E"/>
    <w:rsid w:val="00727533"/>
    <w:rsid w:val="007416B6"/>
    <w:rsid w:val="00746540"/>
    <w:rsid w:val="00746F48"/>
    <w:rsid w:val="00750B03"/>
    <w:rsid w:val="0075404D"/>
    <w:rsid w:val="0076182A"/>
    <w:rsid w:val="00765019"/>
    <w:rsid w:val="00767B7E"/>
    <w:rsid w:val="007748AC"/>
    <w:rsid w:val="00775FEB"/>
    <w:rsid w:val="007770C3"/>
    <w:rsid w:val="00784D24"/>
    <w:rsid w:val="00785FBA"/>
    <w:rsid w:val="00786E4A"/>
    <w:rsid w:val="007875EB"/>
    <w:rsid w:val="0079426B"/>
    <w:rsid w:val="007D1682"/>
    <w:rsid w:val="007D312A"/>
    <w:rsid w:val="007D3F19"/>
    <w:rsid w:val="007E1B17"/>
    <w:rsid w:val="007E23B0"/>
    <w:rsid w:val="007E3BB3"/>
    <w:rsid w:val="007E430E"/>
    <w:rsid w:val="007E57BA"/>
    <w:rsid w:val="007F1991"/>
    <w:rsid w:val="007F25EC"/>
    <w:rsid w:val="007F2C2F"/>
    <w:rsid w:val="007F55FC"/>
    <w:rsid w:val="007F5665"/>
    <w:rsid w:val="007F6F1B"/>
    <w:rsid w:val="00800112"/>
    <w:rsid w:val="008050A7"/>
    <w:rsid w:val="00813348"/>
    <w:rsid w:val="008253BB"/>
    <w:rsid w:val="00832E84"/>
    <w:rsid w:val="00833962"/>
    <w:rsid w:val="0083706E"/>
    <w:rsid w:val="008408F6"/>
    <w:rsid w:val="008423A5"/>
    <w:rsid w:val="00850625"/>
    <w:rsid w:val="00853718"/>
    <w:rsid w:val="00855221"/>
    <w:rsid w:val="00860645"/>
    <w:rsid w:val="00871F71"/>
    <w:rsid w:val="00872FD8"/>
    <w:rsid w:val="00885AF4"/>
    <w:rsid w:val="008939CD"/>
    <w:rsid w:val="008952BB"/>
    <w:rsid w:val="008965D0"/>
    <w:rsid w:val="008A4189"/>
    <w:rsid w:val="008B768C"/>
    <w:rsid w:val="008C4DB1"/>
    <w:rsid w:val="008C4EAF"/>
    <w:rsid w:val="008C5176"/>
    <w:rsid w:val="008C6CA7"/>
    <w:rsid w:val="008C7FD0"/>
    <w:rsid w:val="008E1DE7"/>
    <w:rsid w:val="008E488D"/>
    <w:rsid w:val="008E707C"/>
    <w:rsid w:val="008F3813"/>
    <w:rsid w:val="00900B08"/>
    <w:rsid w:val="00902155"/>
    <w:rsid w:val="00902FA3"/>
    <w:rsid w:val="00923564"/>
    <w:rsid w:val="0092392E"/>
    <w:rsid w:val="00926C4F"/>
    <w:rsid w:val="009315F9"/>
    <w:rsid w:val="00933499"/>
    <w:rsid w:val="009348C3"/>
    <w:rsid w:val="00935C98"/>
    <w:rsid w:val="00946945"/>
    <w:rsid w:val="00951248"/>
    <w:rsid w:val="0095152F"/>
    <w:rsid w:val="00954C49"/>
    <w:rsid w:val="00955E37"/>
    <w:rsid w:val="0097099F"/>
    <w:rsid w:val="00971997"/>
    <w:rsid w:val="00971FFC"/>
    <w:rsid w:val="00985D4C"/>
    <w:rsid w:val="0098660A"/>
    <w:rsid w:val="00987BE5"/>
    <w:rsid w:val="00991F58"/>
    <w:rsid w:val="009931C3"/>
    <w:rsid w:val="009B2C43"/>
    <w:rsid w:val="009B4EAE"/>
    <w:rsid w:val="009B7573"/>
    <w:rsid w:val="009C22F4"/>
    <w:rsid w:val="009C2E98"/>
    <w:rsid w:val="009C37FB"/>
    <w:rsid w:val="009C430E"/>
    <w:rsid w:val="009D3447"/>
    <w:rsid w:val="009D4711"/>
    <w:rsid w:val="009F1185"/>
    <w:rsid w:val="009F18CD"/>
    <w:rsid w:val="009F2A13"/>
    <w:rsid w:val="009F7527"/>
    <w:rsid w:val="00A011C5"/>
    <w:rsid w:val="00A02488"/>
    <w:rsid w:val="00A039ED"/>
    <w:rsid w:val="00A04EB0"/>
    <w:rsid w:val="00A052C8"/>
    <w:rsid w:val="00A13CC1"/>
    <w:rsid w:val="00A16847"/>
    <w:rsid w:val="00A237D8"/>
    <w:rsid w:val="00A268C4"/>
    <w:rsid w:val="00A307CD"/>
    <w:rsid w:val="00A331C8"/>
    <w:rsid w:val="00A35117"/>
    <w:rsid w:val="00A40A00"/>
    <w:rsid w:val="00A4142F"/>
    <w:rsid w:val="00A422EB"/>
    <w:rsid w:val="00A45BB7"/>
    <w:rsid w:val="00A52CD1"/>
    <w:rsid w:val="00A56DF2"/>
    <w:rsid w:val="00A56E6E"/>
    <w:rsid w:val="00A67AB5"/>
    <w:rsid w:val="00A733B2"/>
    <w:rsid w:val="00A741C2"/>
    <w:rsid w:val="00A8418F"/>
    <w:rsid w:val="00A91760"/>
    <w:rsid w:val="00A93B00"/>
    <w:rsid w:val="00A93C21"/>
    <w:rsid w:val="00A95AC1"/>
    <w:rsid w:val="00AB64C9"/>
    <w:rsid w:val="00AC3C6A"/>
    <w:rsid w:val="00AC66C0"/>
    <w:rsid w:val="00AD0F83"/>
    <w:rsid w:val="00AD5620"/>
    <w:rsid w:val="00AD656B"/>
    <w:rsid w:val="00AD7C1B"/>
    <w:rsid w:val="00AE16BA"/>
    <w:rsid w:val="00AE1EBE"/>
    <w:rsid w:val="00AE2BEB"/>
    <w:rsid w:val="00AF0C36"/>
    <w:rsid w:val="00AF71C8"/>
    <w:rsid w:val="00AF77F8"/>
    <w:rsid w:val="00B03C9D"/>
    <w:rsid w:val="00B04BFE"/>
    <w:rsid w:val="00B060AE"/>
    <w:rsid w:val="00B10517"/>
    <w:rsid w:val="00B14E76"/>
    <w:rsid w:val="00B161B8"/>
    <w:rsid w:val="00B171F7"/>
    <w:rsid w:val="00B2048C"/>
    <w:rsid w:val="00B24F3E"/>
    <w:rsid w:val="00B310B9"/>
    <w:rsid w:val="00B31171"/>
    <w:rsid w:val="00B35899"/>
    <w:rsid w:val="00B35F3F"/>
    <w:rsid w:val="00B36CBB"/>
    <w:rsid w:val="00B425E0"/>
    <w:rsid w:val="00B440AA"/>
    <w:rsid w:val="00B44B70"/>
    <w:rsid w:val="00B53C56"/>
    <w:rsid w:val="00B57DAF"/>
    <w:rsid w:val="00B77EA6"/>
    <w:rsid w:val="00B81598"/>
    <w:rsid w:val="00B841F1"/>
    <w:rsid w:val="00B944D6"/>
    <w:rsid w:val="00BB4DF0"/>
    <w:rsid w:val="00BB6655"/>
    <w:rsid w:val="00BC289F"/>
    <w:rsid w:val="00BC2D50"/>
    <w:rsid w:val="00BC5361"/>
    <w:rsid w:val="00BC5460"/>
    <w:rsid w:val="00BC6B50"/>
    <w:rsid w:val="00BD0E25"/>
    <w:rsid w:val="00BF5BD6"/>
    <w:rsid w:val="00C03E31"/>
    <w:rsid w:val="00C25CC4"/>
    <w:rsid w:val="00C30E69"/>
    <w:rsid w:val="00C33E72"/>
    <w:rsid w:val="00C354B2"/>
    <w:rsid w:val="00C35554"/>
    <w:rsid w:val="00C36BE3"/>
    <w:rsid w:val="00C42709"/>
    <w:rsid w:val="00C533CC"/>
    <w:rsid w:val="00C5751C"/>
    <w:rsid w:val="00C61BFC"/>
    <w:rsid w:val="00C62B85"/>
    <w:rsid w:val="00C65438"/>
    <w:rsid w:val="00C65D4C"/>
    <w:rsid w:val="00C71F69"/>
    <w:rsid w:val="00C84100"/>
    <w:rsid w:val="00C91CBB"/>
    <w:rsid w:val="00CA3D79"/>
    <w:rsid w:val="00CB4E70"/>
    <w:rsid w:val="00CB75B2"/>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46252"/>
    <w:rsid w:val="00D47D47"/>
    <w:rsid w:val="00D51276"/>
    <w:rsid w:val="00D7035F"/>
    <w:rsid w:val="00D83B60"/>
    <w:rsid w:val="00DA3215"/>
    <w:rsid w:val="00DA634F"/>
    <w:rsid w:val="00DA65AC"/>
    <w:rsid w:val="00DB1913"/>
    <w:rsid w:val="00DC410D"/>
    <w:rsid w:val="00DC5A81"/>
    <w:rsid w:val="00DC68CA"/>
    <w:rsid w:val="00DC7CBA"/>
    <w:rsid w:val="00DD73B7"/>
    <w:rsid w:val="00DF1AC4"/>
    <w:rsid w:val="00DF28BC"/>
    <w:rsid w:val="00DF34B9"/>
    <w:rsid w:val="00E01053"/>
    <w:rsid w:val="00E07ACF"/>
    <w:rsid w:val="00E14670"/>
    <w:rsid w:val="00E32B64"/>
    <w:rsid w:val="00E331A1"/>
    <w:rsid w:val="00E33202"/>
    <w:rsid w:val="00E336A9"/>
    <w:rsid w:val="00E472B1"/>
    <w:rsid w:val="00E50624"/>
    <w:rsid w:val="00E568DF"/>
    <w:rsid w:val="00E64269"/>
    <w:rsid w:val="00E66797"/>
    <w:rsid w:val="00E82267"/>
    <w:rsid w:val="00E853CE"/>
    <w:rsid w:val="00E867B6"/>
    <w:rsid w:val="00E86E6B"/>
    <w:rsid w:val="00E87F08"/>
    <w:rsid w:val="00EA010F"/>
    <w:rsid w:val="00ED1B63"/>
    <w:rsid w:val="00ED3C1F"/>
    <w:rsid w:val="00ED4085"/>
    <w:rsid w:val="00ED420E"/>
    <w:rsid w:val="00ED6FBE"/>
    <w:rsid w:val="00EE2F57"/>
    <w:rsid w:val="00EF4C34"/>
    <w:rsid w:val="00EF64FD"/>
    <w:rsid w:val="00EF77C6"/>
    <w:rsid w:val="00F05438"/>
    <w:rsid w:val="00F1361C"/>
    <w:rsid w:val="00F156F0"/>
    <w:rsid w:val="00F160C7"/>
    <w:rsid w:val="00F2408F"/>
    <w:rsid w:val="00F240E9"/>
    <w:rsid w:val="00F36D8F"/>
    <w:rsid w:val="00F40B11"/>
    <w:rsid w:val="00F417B1"/>
    <w:rsid w:val="00F45853"/>
    <w:rsid w:val="00F602DF"/>
    <w:rsid w:val="00F64586"/>
    <w:rsid w:val="00F754A1"/>
    <w:rsid w:val="00F77F1F"/>
    <w:rsid w:val="00F81FD9"/>
    <w:rsid w:val="00F841AA"/>
    <w:rsid w:val="00F84A94"/>
    <w:rsid w:val="00F87E96"/>
    <w:rsid w:val="00F93D58"/>
    <w:rsid w:val="00F96AA4"/>
    <w:rsid w:val="00FA23E8"/>
    <w:rsid w:val="00FC7042"/>
    <w:rsid w:val="00FD2BFC"/>
    <w:rsid w:val="00FD3CC1"/>
    <w:rsid w:val="00FF0349"/>
    <w:rsid w:val="00FF1E02"/>
    <w:rsid w:val="00FF30B4"/>
    <w:rsid w:val="02B9194B"/>
    <w:rsid w:val="076623C6"/>
    <w:rsid w:val="10C055FF"/>
    <w:rsid w:val="142D145A"/>
    <w:rsid w:val="152E5599"/>
    <w:rsid w:val="16BB723D"/>
    <w:rsid w:val="1848166A"/>
    <w:rsid w:val="19F830DA"/>
    <w:rsid w:val="1E4E5602"/>
    <w:rsid w:val="240371BF"/>
    <w:rsid w:val="29FD04D3"/>
    <w:rsid w:val="319F7F4E"/>
    <w:rsid w:val="31B873B7"/>
    <w:rsid w:val="363308C3"/>
    <w:rsid w:val="3FA6559A"/>
    <w:rsid w:val="40F15BCB"/>
    <w:rsid w:val="423C7582"/>
    <w:rsid w:val="4ECE2238"/>
    <w:rsid w:val="4F8F5143"/>
    <w:rsid w:val="532E2580"/>
    <w:rsid w:val="5A471765"/>
    <w:rsid w:val="5EC567B2"/>
    <w:rsid w:val="62840AB6"/>
    <w:rsid w:val="63220841"/>
    <w:rsid w:val="6DDC7443"/>
    <w:rsid w:val="72734D90"/>
    <w:rsid w:val="7278285E"/>
    <w:rsid w:val="76485AE5"/>
    <w:rsid w:val="7C407E8E"/>
    <w:rsid w:val="7DC814B6"/>
    <w:rsid w:val="7E1C054A"/>
    <w:rsid w:val="EF7D04B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Plain Text"/>
    <w:basedOn w:val="1"/>
    <w:link w:val="31"/>
    <w:qFormat/>
    <w:uiPriority w:val="0"/>
    <w:rPr>
      <w:rFonts w:ascii="宋体" w:hAnsi="Courier New"/>
    </w:rPr>
  </w:style>
  <w:style w:type="paragraph" w:styleId="8">
    <w:name w:val="Balloon Text"/>
    <w:basedOn w:val="1"/>
    <w:link w:val="28"/>
    <w:semiHidden/>
    <w:unhideWhenUsed/>
    <w:qFormat/>
    <w:uiPriority w:val="99"/>
    <w:rPr>
      <w:sz w:val="18"/>
      <w:szCs w:val="18"/>
    </w:rPr>
  </w:style>
  <w:style w:type="paragraph" w:styleId="9">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Char"/>
    <w:link w:val="10"/>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Char"/>
    <w:link w:val="9"/>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Char"/>
    <w:link w:val="5"/>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4"/>
    <w:link w:val="2"/>
    <w:qFormat/>
    <w:uiPriority w:val="9"/>
    <w:rPr>
      <w:rFonts w:ascii="Times New Roman" w:hAnsi="Times New Roman"/>
      <w:b/>
      <w:bCs/>
      <w:kern w:val="44"/>
      <w:sz w:val="44"/>
      <w:szCs w:val="44"/>
    </w:rPr>
  </w:style>
  <w:style w:type="character" w:customStyle="1" w:styleId="26">
    <w:name w:val="标题 2 Char"/>
    <w:basedOn w:val="14"/>
    <w:link w:val="3"/>
    <w:qFormat/>
    <w:uiPriority w:val="9"/>
    <w:rPr>
      <w:rFonts w:asciiTheme="majorHAnsi" w:hAnsiTheme="majorHAnsi" w:eastAsiaTheme="majorEastAsia" w:cstheme="majorBidi"/>
      <w:b/>
      <w:bCs/>
      <w:kern w:val="2"/>
      <w:sz w:val="32"/>
      <w:szCs w:val="32"/>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8">
    <w:name w:val="批注框文本 Char"/>
    <w:basedOn w:val="14"/>
    <w:link w:val="8"/>
    <w:semiHidden/>
    <w:qFormat/>
    <w:uiPriority w:val="99"/>
    <w:rPr>
      <w:rFonts w:ascii="Times New Roman" w:hAnsi="Times New Roman"/>
      <w:kern w:val="2"/>
      <w:sz w:val="18"/>
      <w:szCs w:val="18"/>
    </w:rPr>
  </w:style>
  <w:style w:type="character" w:customStyle="1" w:styleId="29">
    <w:name w:val="标题 3 Char"/>
    <w:basedOn w:val="14"/>
    <w:link w:val="4"/>
    <w:qFormat/>
    <w:uiPriority w:val="9"/>
    <w:rPr>
      <w:rFonts w:ascii="Times New Roman" w:hAnsi="Times New Roman"/>
      <w:b/>
      <w:bCs/>
      <w:kern w:val="2"/>
      <w:sz w:val="32"/>
      <w:szCs w:val="32"/>
    </w:rPr>
  </w:style>
  <w:style w:type="paragraph" w:customStyle="1" w:styleId="30">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1">
    <w:name w:val="纯文本 Char"/>
    <w:basedOn w:val="14"/>
    <w:link w:val="7"/>
    <w:qFormat/>
    <w:uiPriority w:val="0"/>
    <w:rPr>
      <w:rFonts w:ascii="宋体" w:hAnsi="Courier New"/>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89304812834227"/>
          <c:y val="0.0653061224489796"/>
          <c:w val="0.668449197860963"/>
          <c:h val="0.787755102040818"/>
        </c:manualLayout>
      </c:layout>
      <c:barChart>
        <c:barDir val="col"/>
        <c:grouping val="clustered"/>
        <c:varyColors val="0"/>
        <c:ser>
          <c:idx val="0"/>
          <c:order val="0"/>
          <c:tx>
            <c:strRef>
              <c:f>Sheet1!$A$2</c:f>
              <c:strCache>
                <c:ptCount val="1"/>
                <c:pt idx="0">
                  <c:v>2018年</c:v>
                </c:pt>
              </c:strCache>
            </c:strRef>
          </c:tx>
          <c:spPr>
            <a:solidFill>
              <a:srgbClr val="9999FF"/>
            </a:solidFill>
            <a:ln w="12733">
              <a:solidFill>
                <a:srgbClr val="000000"/>
              </a:solidFill>
              <a:prstDash val="solid"/>
            </a:ln>
          </c:spPr>
          <c:invertIfNegative val="0"/>
          <c:dLbls>
            <c:delete val="1"/>
          </c:dLbls>
          <c:cat>
            <c:strRef>
              <c:f>Sheet1!$B$1:$E$1</c:f>
              <c:strCache>
                <c:ptCount val="2"/>
                <c:pt idx="0">
                  <c:v>收入</c:v>
                </c:pt>
                <c:pt idx="1">
                  <c:v>支出</c:v>
                </c:pt>
              </c:strCache>
            </c:strRef>
          </c:cat>
          <c:val>
            <c:numRef>
              <c:f>Sheet1!$B$2:$E$2</c:f>
              <c:numCache>
                <c:formatCode>General</c:formatCode>
                <c:ptCount val="4"/>
                <c:pt idx="0">
                  <c:v>545.23</c:v>
                </c:pt>
                <c:pt idx="1">
                  <c:v>821.14</c:v>
                </c:pt>
              </c:numCache>
            </c:numRef>
          </c:val>
        </c:ser>
        <c:ser>
          <c:idx val="1"/>
          <c:order val="1"/>
          <c:tx>
            <c:strRef>
              <c:f>Sheet1!$A$3</c:f>
              <c:strCache>
                <c:ptCount val="1"/>
                <c:pt idx="0">
                  <c:v>2019年</c:v>
                </c:pt>
              </c:strCache>
            </c:strRef>
          </c:tx>
          <c:spPr>
            <a:solidFill>
              <a:srgbClr val="993366"/>
            </a:solidFill>
            <a:ln w="12733">
              <a:solidFill>
                <a:srgbClr val="000000"/>
              </a:solidFill>
              <a:prstDash val="solid"/>
            </a:ln>
          </c:spPr>
          <c:invertIfNegative val="0"/>
          <c:dLbls>
            <c:delete val="1"/>
          </c:dLbls>
          <c:cat>
            <c:strRef>
              <c:f>Sheet1!$B$1:$E$1</c:f>
              <c:strCache>
                <c:ptCount val="2"/>
                <c:pt idx="0">
                  <c:v>收入</c:v>
                </c:pt>
                <c:pt idx="1">
                  <c:v>支出</c:v>
                </c:pt>
              </c:strCache>
            </c:strRef>
          </c:cat>
          <c:val>
            <c:numRef>
              <c:f>Sheet1!$B$3:$E$3</c:f>
              <c:numCache>
                <c:formatCode>General</c:formatCode>
                <c:ptCount val="4"/>
                <c:pt idx="0">
                  <c:v>544.66</c:v>
                </c:pt>
                <c:pt idx="1">
                  <c:v>897.58</c:v>
                </c:pt>
              </c:numCache>
            </c:numRef>
          </c:val>
        </c:ser>
        <c:dLbls>
          <c:showLegendKey val="0"/>
          <c:showVal val="0"/>
          <c:showCatName val="0"/>
          <c:showSerName val="0"/>
          <c:showPercent val="0"/>
          <c:showBubbleSize val="0"/>
        </c:dLbls>
        <c:gapWidth val="150"/>
        <c:axId val="194891776"/>
        <c:axId val="194893312"/>
      </c:barChart>
      <c:catAx>
        <c:axId val="194891776"/>
        <c:scaling>
          <c:orientation val="minMax"/>
        </c:scaling>
        <c:delete val="0"/>
        <c:axPos val="b"/>
        <c:numFmt formatCode="General" sourceLinked="1"/>
        <c:majorTickMark val="in"/>
        <c:minorTickMark val="none"/>
        <c:tickLblPos val="low"/>
        <c:spPr>
          <a:ln w="3183" cap="flat" cmpd="sng" algn="ctr">
            <a:solidFill>
              <a:srgbClr val="000000"/>
            </a:solidFill>
            <a:prstDash val="solid"/>
            <a:round/>
          </a:ln>
        </c:spPr>
        <c:txPr>
          <a:bodyPr rot="0" spcFirstLastPara="0" vertOverflow="ellipsis" vert="horz" wrap="square" anchor="ctr" anchorCtr="1"/>
          <a:lstStyle/>
          <a:p>
            <a:pPr>
              <a:defRPr lang="zh-CN" sz="1205" b="0" i="0" u="none" strike="noStrike" kern="1200" baseline="0">
                <a:solidFill>
                  <a:srgbClr val="000000"/>
                </a:solidFill>
                <a:latin typeface="宋体" charset="-122"/>
                <a:ea typeface="宋体" charset="-122"/>
                <a:cs typeface="宋体" charset="-122"/>
              </a:defRPr>
            </a:pPr>
          </a:p>
        </c:txPr>
        <c:crossAx val="194893312"/>
        <c:crosses val="autoZero"/>
        <c:auto val="1"/>
        <c:lblAlgn val="ctr"/>
        <c:lblOffset val="100"/>
        <c:tickLblSkip val="1"/>
        <c:noMultiLvlLbl val="0"/>
      </c:catAx>
      <c:valAx>
        <c:axId val="194893312"/>
        <c:scaling>
          <c:orientation val="minMax"/>
        </c:scaling>
        <c:delete val="0"/>
        <c:axPos val="l"/>
        <c:majorGridlines>
          <c:spPr>
            <a:ln w="3183" cap="flat" cmpd="sng" algn="ctr">
              <a:solidFill>
                <a:srgbClr val="000000"/>
              </a:solidFill>
              <a:prstDash val="solid"/>
              <a:round/>
            </a:ln>
          </c:spPr>
        </c:majorGridlines>
        <c:numFmt formatCode="General" sourceLinked="1"/>
        <c:majorTickMark val="in"/>
        <c:minorTickMark val="none"/>
        <c:tickLblPos val="nextTo"/>
        <c:spPr>
          <a:ln w="3183" cap="flat" cmpd="sng" algn="ctr">
            <a:solidFill>
              <a:srgbClr val="000000"/>
            </a:solidFill>
            <a:prstDash val="solid"/>
            <a:round/>
          </a:ln>
        </c:spPr>
        <c:txPr>
          <a:bodyPr rot="0" spcFirstLastPara="0" vertOverflow="ellipsis" vert="horz" wrap="square" anchor="ctr" anchorCtr="1"/>
          <a:lstStyle/>
          <a:p>
            <a:pPr>
              <a:defRPr lang="zh-CN" sz="1205" b="0" i="0" u="none" strike="noStrike" kern="1200" baseline="0">
                <a:solidFill>
                  <a:srgbClr val="000000"/>
                </a:solidFill>
                <a:latin typeface="宋体" charset="-122"/>
                <a:ea typeface="宋体" charset="-122"/>
                <a:cs typeface="宋体" charset="-122"/>
              </a:defRPr>
            </a:pPr>
          </a:p>
        </c:txPr>
        <c:crossAx val="194891776"/>
        <c:crosses val="autoZero"/>
        <c:crossBetween val="between"/>
      </c:valAx>
      <c:spPr>
        <a:solidFill>
          <a:srgbClr val="C0C0C0"/>
        </a:solidFill>
        <a:ln w="12700">
          <a:solidFill>
            <a:srgbClr val="808080"/>
          </a:solidFill>
          <a:prstDash val="solid"/>
        </a:ln>
        <a:effectLst/>
      </c:spPr>
    </c:plotArea>
    <c:legend>
      <c:legendPos val="r"/>
      <c:layout>
        <c:manualLayout>
          <c:xMode val="edge"/>
          <c:yMode val="edge"/>
          <c:x val="0.796791443850267"/>
          <c:y val="0.412244897959184"/>
          <c:w val="0.192513368983957"/>
          <c:h val="0.175510204081633"/>
        </c:manualLayout>
      </c:layout>
      <c:overlay val="0"/>
      <c:spPr>
        <a:noFill/>
        <a:ln w="3183">
          <a:solidFill>
            <a:srgbClr val="000000"/>
          </a:solidFill>
          <a:prstDash val="solid"/>
        </a:ln>
      </c:spPr>
      <c:txPr>
        <a:bodyPr rot="0" spcFirstLastPara="0" vertOverflow="ellipsis" vert="horz" wrap="square" anchor="ctr" anchorCtr="1"/>
        <a:lstStyle/>
        <a:p>
          <a:pPr>
            <a:defRPr lang="zh-CN" sz="1105" b="0" i="0" u="none" strike="noStrike" kern="1200" baseline="0">
              <a:solidFill>
                <a:srgbClr val="000000"/>
              </a:solidFill>
              <a:latin typeface="宋体" charset="-122"/>
              <a:ea typeface="宋体" charset="-122"/>
              <a:cs typeface="宋体" charset="-122"/>
            </a:defRPr>
          </a:pPr>
        </a:p>
      </c:txPr>
    </c:legend>
    <c:plotVisOnly val="1"/>
    <c:dispBlanksAs val="gap"/>
    <c:showDLblsOverMax val="0"/>
    <c:extLst>
      <c:ext uri="{0b15fc19-7d7d-44ad-8c2d-2c3a37ce22c3}">
        <chartProps xmlns="https://web.wps.cn/et/2018/main" chartId="{8af522d6-7841-48a6-814a-bf808d7b7d54}"/>
      </c:ext>
    </c:extLst>
  </c:chart>
  <c:spPr>
    <a:noFill/>
    <a:ln w="9525" cap="flat" cmpd="sng" algn="ctr">
      <a:noFill/>
      <a:prstDash val="solid"/>
      <a:round/>
    </a:ln>
  </c:spPr>
  <c:txPr>
    <a:bodyPr/>
    <a:lstStyle/>
    <a:p>
      <a:pPr>
        <a:defRPr lang="zh-CN" sz="1205" b="0" i="0" u="none" strike="noStrike" baseline="0">
          <a:solidFill>
            <a:srgbClr val="000000"/>
          </a:solidFill>
          <a:latin typeface="宋体" charset="-122"/>
          <a:ea typeface="宋体" charset="-122"/>
          <a:cs typeface="宋体"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10810810810811"/>
          <c:y val="0.112426035502959"/>
          <c:w val="0.505791505791506"/>
          <c:h val="0.775147928994085"/>
        </c:manualLayout>
      </c:layout>
      <c:pieChart>
        <c:varyColors val="1"/>
        <c:ser>
          <c:idx val="0"/>
          <c:order val="0"/>
          <c:tx>
            <c:strRef>
              <c:f>Sheet1!$A$2</c:f>
              <c:strCache>
                <c:ptCount val="1"/>
                <c:pt idx="0">
                  <c:v>2019年</c:v>
                </c:pt>
              </c:strCache>
            </c:strRef>
          </c:tx>
          <c:spPr>
            <a:solidFill>
              <a:srgbClr val="9999FF"/>
            </a:solidFill>
            <a:ln w="12697">
              <a:solidFill>
                <a:srgbClr val="000000"/>
              </a:solidFill>
              <a:prstDash val="solid"/>
            </a:ln>
          </c:spPr>
          <c:explosion val="0"/>
          <c:dPt>
            <c:idx val="0"/>
            <c:bubble3D val="0"/>
            <c:spPr>
              <a:solidFill>
                <a:srgbClr val="9999FF"/>
              </a:solidFill>
              <a:ln w="12697">
                <a:solidFill>
                  <a:srgbClr val="000000"/>
                </a:solidFill>
                <a:prstDash val="solid"/>
              </a:ln>
            </c:spPr>
          </c:dPt>
          <c:dPt>
            <c:idx val="1"/>
            <c:bubble3D val="0"/>
            <c:spPr>
              <a:solidFill>
                <a:srgbClr val="993366"/>
              </a:solidFill>
              <a:ln w="12697">
                <a:solidFill>
                  <a:srgbClr val="000000"/>
                </a:solidFill>
                <a:prstDash val="solid"/>
              </a:ln>
            </c:spPr>
          </c:dPt>
          <c:dPt>
            <c:idx val="2"/>
            <c:bubble3D val="0"/>
            <c:spPr>
              <a:solidFill>
                <a:srgbClr val="FFFFCC"/>
              </a:solidFill>
              <a:ln w="12697">
                <a:solidFill>
                  <a:srgbClr val="000000"/>
                </a:solidFill>
                <a:prstDash val="solid"/>
              </a:ln>
            </c:spPr>
          </c:dPt>
          <c:dLbls>
            <c:delete val="1"/>
          </c:dLbls>
          <c:cat>
            <c:strRef>
              <c:f>Sheet1!$B$1:$D$1</c:f>
              <c:strCache>
                <c:ptCount val="3"/>
                <c:pt idx="0">
                  <c:v>一般公共预算财政拨款收入544.66万元</c:v>
                </c:pt>
                <c:pt idx="1">
                  <c:v>政府性基金预算财政拨款收入266.6</c:v>
                </c:pt>
                <c:pt idx="2">
                  <c:v>其他收入0.17万元</c:v>
                </c:pt>
              </c:strCache>
            </c:strRef>
          </c:cat>
          <c:val>
            <c:numRef>
              <c:f>Sheet1!$B$2:$D$2</c:f>
              <c:numCache>
                <c:formatCode>General</c:formatCode>
                <c:ptCount val="3"/>
                <c:pt idx="0">
                  <c:v>544.66</c:v>
                </c:pt>
                <c:pt idx="1">
                  <c:v>266.6</c:v>
                </c:pt>
                <c:pt idx="2">
                  <c:v>0.17</c:v>
                </c:pt>
              </c:numCache>
            </c:numRef>
          </c:val>
        </c:ser>
        <c:ser>
          <c:idx val="1"/>
          <c:order val="1"/>
          <c:tx>
            <c:strRef>
              <c:f>Sheet1!$A$3</c:f>
              <c:strCache>
                <c:ptCount val="1"/>
                <c:pt idx="0">
                  <c:v/>
                </c:pt>
              </c:strCache>
            </c:strRef>
          </c:tx>
          <c:spPr>
            <a:solidFill>
              <a:srgbClr val="993366"/>
            </a:solidFill>
            <a:ln w="12697">
              <a:solidFill>
                <a:srgbClr val="000000"/>
              </a:solidFill>
              <a:prstDash val="solid"/>
            </a:ln>
          </c:spPr>
          <c:explosion val="0"/>
          <c:dPt>
            <c:idx val="0"/>
            <c:bubble3D val="0"/>
            <c:spPr>
              <a:solidFill>
                <a:srgbClr val="9999FF"/>
              </a:solidFill>
              <a:ln w="12697">
                <a:solidFill>
                  <a:srgbClr val="000000"/>
                </a:solidFill>
                <a:prstDash val="solid"/>
              </a:ln>
            </c:spPr>
          </c:dPt>
          <c:dPt>
            <c:idx val="1"/>
            <c:bubble3D val="0"/>
            <c:spPr>
              <a:solidFill>
                <a:srgbClr val="993366"/>
              </a:solidFill>
              <a:ln w="12697">
                <a:solidFill>
                  <a:srgbClr val="000000"/>
                </a:solidFill>
                <a:prstDash val="solid"/>
              </a:ln>
            </c:spPr>
          </c:dPt>
          <c:dPt>
            <c:idx val="2"/>
            <c:bubble3D val="0"/>
            <c:spPr>
              <a:solidFill>
                <a:srgbClr val="FFFFCC"/>
              </a:solidFill>
              <a:ln w="12697">
                <a:solidFill>
                  <a:srgbClr val="000000"/>
                </a:solidFill>
                <a:prstDash val="solid"/>
              </a:ln>
            </c:spPr>
          </c:dPt>
          <c:dLbls>
            <c:delete val="1"/>
          </c:dLbls>
          <c:cat>
            <c:strRef>
              <c:f>Sheet1!$B$1:$D$1</c:f>
              <c:strCache>
                <c:ptCount val="3"/>
                <c:pt idx="0">
                  <c:v>一般公共预算财政拨款收入544.66万元</c:v>
                </c:pt>
                <c:pt idx="1">
                  <c:v>政府性基金预算财政拨款收入266.6</c:v>
                </c:pt>
                <c:pt idx="2">
                  <c:v>其他收入0.17万元</c:v>
                </c:pt>
              </c:strCache>
            </c:strRef>
          </c:cat>
          <c:val>
            <c:numRef>
              <c:f>Sheet1!$B$3:$D$3</c:f>
              <c:numCache>
                <c:formatCode>General</c:formatCode>
                <c:ptCount val="3"/>
              </c:numCache>
            </c:numRef>
          </c:val>
        </c:ser>
        <c:ser>
          <c:idx val="2"/>
          <c:order val="2"/>
          <c:tx>
            <c:strRef>
              <c:f>Sheet1!$A$4</c:f>
              <c:strCache>
                <c:ptCount val="1"/>
                <c:pt idx="0">
                  <c:v/>
                </c:pt>
              </c:strCache>
            </c:strRef>
          </c:tx>
          <c:spPr>
            <a:solidFill>
              <a:srgbClr val="FFFFCC"/>
            </a:solidFill>
            <a:ln w="12697">
              <a:solidFill>
                <a:srgbClr val="000000"/>
              </a:solidFill>
              <a:prstDash val="solid"/>
            </a:ln>
          </c:spPr>
          <c:explosion val="0"/>
          <c:dPt>
            <c:idx val="0"/>
            <c:bubble3D val="0"/>
            <c:spPr>
              <a:solidFill>
                <a:srgbClr val="9999FF"/>
              </a:solidFill>
              <a:ln w="12697">
                <a:solidFill>
                  <a:srgbClr val="000000"/>
                </a:solidFill>
                <a:prstDash val="solid"/>
              </a:ln>
            </c:spPr>
          </c:dPt>
          <c:dPt>
            <c:idx val="1"/>
            <c:bubble3D val="0"/>
            <c:spPr>
              <a:solidFill>
                <a:srgbClr val="993366"/>
              </a:solidFill>
              <a:ln w="12697">
                <a:solidFill>
                  <a:srgbClr val="000000"/>
                </a:solidFill>
                <a:prstDash val="solid"/>
              </a:ln>
            </c:spPr>
          </c:dPt>
          <c:dPt>
            <c:idx val="2"/>
            <c:bubble3D val="0"/>
            <c:spPr>
              <a:solidFill>
                <a:srgbClr val="FFFFCC"/>
              </a:solidFill>
              <a:ln w="12697">
                <a:solidFill>
                  <a:srgbClr val="000000"/>
                </a:solidFill>
                <a:prstDash val="solid"/>
              </a:ln>
            </c:spPr>
          </c:dPt>
          <c:dLbls>
            <c:delete val="1"/>
          </c:dLbls>
          <c:cat>
            <c:strRef>
              <c:f>Sheet1!$B$1:$D$1</c:f>
              <c:strCache>
                <c:ptCount val="3"/>
                <c:pt idx="0">
                  <c:v>一般公共预算财政拨款收入544.66万元</c:v>
                </c:pt>
                <c:pt idx="1">
                  <c:v>政府性基金预算财政拨款收入266.6</c:v>
                </c:pt>
                <c:pt idx="2">
                  <c:v>其他收入0.17万元</c:v>
                </c:pt>
              </c:strCache>
            </c:strRef>
          </c:cat>
          <c:val>
            <c:numRef>
              <c:f>Sheet1!$B$4:$D$4</c:f>
              <c:numCache>
                <c:formatCode>General</c:formatCode>
                <c:ptCount val="3"/>
              </c:numCache>
            </c:numRef>
          </c:val>
        </c:ser>
        <c:dLbls>
          <c:showLegendKey val="0"/>
          <c:showVal val="0"/>
          <c:showCatName val="0"/>
          <c:showSerName val="0"/>
          <c:showPercent val="0"/>
          <c:showBubbleSize val="0"/>
          <c:showLeaderLines val="1"/>
        </c:dLbls>
        <c:firstSliceAng val="0"/>
      </c:pieChart>
      <c:spPr>
        <a:solidFill>
          <a:srgbClr val="C0C0C0"/>
        </a:solidFill>
        <a:ln w="12697">
          <a:solidFill>
            <a:srgbClr val="808080"/>
          </a:solidFill>
          <a:prstDash val="solid"/>
        </a:ln>
      </c:spPr>
    </c:plotArea>
    <c:legend>
      <c:legendPos val="r"/>
      <c:layout>
        <c:manualLayout>
          <c:xMode val="edge"/>
          <c:yMode val="edge"/>
          <c:x val="0.675675675675681"/>
          <c:y val="0.0946745562130179"/>
          <c:w val="0.308880308880311"/>
          <c:h val="0.804733727810651"/>
        </c:manualLayout>
      </c:layout>
      <c:overlay val="0"/>
      <c:spPr>
        <a:noFill/>
        <a:ln w="3174">
          <a:solidFill>
            <a:srgbClr val="000000"/>
          </a:solidFill>
          <a:prstDash val="solid"/>
        </a:ln>
      </c:spPr>
      <c:txPr>
        <a:bodyPr rot="0" spcFirstLastPara="0" vertOverflow="ellipsis" vert="horz" wrap="square" anchor="ctr" anchorCtr="1"/>
        <a:lstStyle/>
        <a:p>
          <a:pPr>
            <a:defRPr lang="zh-CN" sz="850" b="0" i="0" u="none" strike="noStrike" kern="1200" baseline="0">
              <a:solidFill>
                <a:srgbClr val="000000"/>
              </a:solidFill>
              <a:latin typeface="宋体" charset="-122"/>
              <a:ea typeface="宋体" charset="-122"/>
              <a:cs typeface="宋体" charset="-122"/>
            </a:defRPr>
          </a:pPr>
        </a:p>
      </c:txPr>
    </c:legend>
    <c:plotVisOnly val="1"/>
    <c:dispBlanksAs val="zero"/>
    <c:showDLblsOverMax val="0"/>
    <c:extLst>
      <c:ext uri="{0b15fc19-7d7d-44ad-8c2d-2c3a37ce22c3}">
        <chartProps xmlns="https://web.wps.cn/et/2018/main" chartId="{a4bf393a-bdd4-4248-8ba5-89a5b040e5f7}"/>
      </c:ext>
    </c:extLst>
  </c:chart>
  <c:spPr>
    <a:noFill/>
    <a:ln w="9525" cap="flat" cmpd="sng" algn="ctr">
      <a:noFill/>
      <a:prstDash val="solid"/>
      <a:round/>
    </a:ln>
  </c:spPr>
  <c:txPr>
    <a:bodyPr/>
    <a:lstStyle/>
    <a:p>
      <a:pPr>
        <a:defRPr lang="zh-CN" sz="925" b="0" i="0" u="none" strike="noStrike" baseline="0">
          <a:solidFill>
            <a:srgbClr val="000000"/>
          </a:solidFill>
          <a:latin typeface="宋体" charset="-122"/>
          <a:ea typeface="宋体" charset="-122"/>
          <a:cs typeface="宋体"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19424460431655"/>
          <c:y val="0.10989010989011"/>
          <c:w val="0.507194244604318"/>
          <c:h val="0.774725274725278"/>
        </c:manualLayout>
      </c:layout>
      <c:pieChart>
        <c:varyColors val="1"/>
        <c:ser>
          <c:idx val="0"/>
          <c:order val="0"/>
          <c:tx>
            <c:strRef>
              <c:f>Sheet1!$A$2</c:f>
              <c:strCache>
                <c:ptCount val="1"/>
                <c:pt idx="0">
                  <c:v>2019年支出</c:v>
                </c:pt>
              </c:strCache>
            </c:strRef>
          </c:tx>
          <c:spPr>
            <a:solidFill>
              <a:srgbClr val="9999FF"/>
            </a:solidFill>
            <a:ln w="12700">
              <a:solidFill>
                <a:srgbClr val="000000"/>
              </a:solidFill>
              <a:prstDash val="solid"/>
            </a:ln>
          </c:spPr>
          <c:explosion val="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delete val="1"/>
          </c:dLbls>
          <c:cat>
            <c:strRef>
              <c:f>Sheet1!$B$1:$D$1</c:f>
              <c:strCache>
                <c:ptCount val="3"/>
                <c:pt idx="0">
                  <c:v>总支出897.41万元</c:v>
                </c:pt>
                <c:pt idx="1">
                  <c:v>基本支出559.67万元</c:v>
                </c:pt>
                <c:pt idx="2">
                  <c:v>项目支出337.74万元</c:v>
                </c:pt>
              </c:strCache>
            </c:strRef>
          </c:cat>
          <c:val>
            <c:numRef>
              <c:f>Sheet1!$B$2:$D$2</c:f>
              <c:numCache>
                <c:formatCode>General</c:formatCode>
                <c:ptCount val="3"/>
                <c:pt idx="0">
                  <c:v>897.41</c:v>
                </c:pt>
                <c:pt idx="1">
                  <c:v>559.670000000001</c:v>
                </c:pt>
                <c:pt idx="2">
                  <c:v>337.74</c:v>
                </c:pt>
              </c:numCache>
            </c:numRef>
          </c:val>
        </c:ser>
        <c:ser>
          <c:idx val="1"/>
          <c:order val="1"/>
          <c:tx>
            <c:strRef>
              <c:f>Sheet1!$A$3</c:f>
              <c:strCache>
                <c:ptCount val="1"/>
                <c:pt idx="0">
                  <c:v/>
                </c:pt>
              </c:strCache>
            </c:strRef>
          </c:tx>
          <c:spPr>
            <a:solidFill>
              <a:srgbClr val="993366"/>
            </a:solidFill>
            <a:ln w="12700">
              <a:solidFill>
                <a:srgbClr val="000000"/>
              </a:solidFill>
              <a:prstDash val="solid"/>
            </a:ln>
          </c:spPr>
          <c:explosion val="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delete val="1"/>
          </c:dLbls>
          <c:cat>
            <c:strRef>
              <c:f>Sheet1!$B$1:$D$1</c:f>
              <c:strCache>
                <c:ptCount val="3"/>
                <c:pt idx="0">
                  <c:v>总支出897.41万元</c:v>
                </c:pt>
                <c:pt idx="1">
                  <c:v>基本支出559.67万元</c:v>
                </c:pt>
                <c:pt idx="2">
                  <c:v>项目支出337.74万元</c:v>
                </c:pt>
              </c:strCache>
            </c:strRef>
          </c:cat>
          <c:val>
            <c:numRef>
              <c:f>Sheet1!$B$3:$D$3</c:f>
              <c:numCache>
                <c:formatCode>General</c:formatCode>
                <c:ptCount val="3"/>
              </c:numCache>
            </c:numRef>
          </c:val>
        </c:ser>
        <c:ser>
          <c:idx val="2"/>
          <c:order val="2"/>
          <c:tx>
            <c:strRef>
              <c:f>Sheet1!$A$4</c:f>
              <c:strCache>
                <c:ptCount val="1"/>
                <c:pt idx="0">
                  <c:v/>
                </c:pt>
              </c:strCache>
            </c:strRef>
          </c:tx>
          <c:spPr>
            <a:solidFill>
              <a:srgbClr val="FFFFCC"/>
            </a:solidFill>
            <a:ln w="12700">
              <a:solidFill>
                <a:srgbClr val="000000"/>
              </a:solidFill>
              <a:prstDash val="solid"/>
            </a:ln>
          </c:spPr>
          <c:explosion val="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delete val="1"/>
          </c:dLbls>
          <c:cat>
            <c:strRef>
              <c:f>Sheet1!$B$1:$D$1</c:f>
              <c:strCache>
                <c:ptCount val="3"/>
                <c:pt idx="0">
                  <c:v>总支出897.41万元</c:v>
                </c:pt>
                <c:pt idx="1">
                  <c:v>基本支出559.67万元</c:v>
                </c:pt>
                <c:pt idx="2">
                  <c:v>项目支出337.74万元</c:v>
                </c:pt>
              </c:strCache>
            </c:strRef>
          </c:cat>
          <c:val>
            <c:numRef>
              <c:f>Sheet1!$B$4:$D$4</c:f>
              <c:numCache>
                <c:formatCode>General</c:formatCode>
                <c:ptCount val="3"/>
              </c:numCache>
            </c:numRef>
          </c:val>
        </c:ser>
        <c:dLbls>
          <c:showLegendKey val="0"/>
          <c:showVal val="0"/>
          <c:showCatName val="0"/>
          <c:showSerName val="0"/>
          <c:showPercent val="0"/>
          <c:showBubbleSize val="0"/>
          <c:showLeaderLines val="1"/>
        </c:dLbls>
        <c:firstSliceAng val="0"/>
      </c:pieChart>
      <c:spPr>
        <a:solidFill>
          <a:srgbClr val="C0C0C0"/>
        </a:solidFill>
        <a:ln w="12700">
          <a:solidFill>
            <a:srgbClr val="808080"/>
          </a:solidFill>
          <a:prstDash val="solid"/>
        </a:ln>
      </c:spPr>
    </c:plotArea>
    <c:legend>
      <c:legendPos val="r"/>
      <c:layout>
        <c:manualLayout>
          <c:xMode val="edge"/>
          <c:yMode val="edge"/>
          <c:x val="0.654676258992808"/>
          <c:y val="0.241758241758242"/>
          <c:w val="0.330935251798561"/>
          <c:h val="0.516483516483518"/>
        </c:manualLayout>
      </c:layout>
      <c:overlay val="0"/>
      <c:spPr>
        <a:noFill/>
        <a:ln w="3175">
          <a:solidFill>
            <a:srgbClr val="000000"/>
          </a:solidFill>
          <a:prstDash val="solid"/>
        </a:ln>
      </c:spPr>
      <c:txPr>
        <a:bodyPr rot="0" spcFirstLastPara="0" vertOverflow="ellipsis" vert="horz" wrap="square" anchor="ctr" anchorCtr="1"/>
        <a:lstStyle/>
        <a:p>
          <a:pPr>
            <a:defRPr lang="zh-CN" sz="825" b="0" i="0" u="none" strike="noStrike" kern="1200" baseline="0">
              <a:solidFill>
                <a:srgbClr val="000000"/>
              </a:solidFill>
              <a:latin typeface="宋体" charset="-122"/>
              <a:ea typeface="宋体" charset="-122"/>
              <a:cs typeface="宋体" charset="-122"/>
            </a:defRPr>
          </a:pPr>
        </a:p>
      </c:txPr>
    </c:legend>
    <c:plotVisOnly val="1"/>
    <c:dispBlanksAs val="zero"/>
    <c:showDLblsOverMax val="0"/>
    <c:extLst>
      <c:ext uri="{0b15fc19-7d7d-44ad-8c2d-2c3a37ce22c3}">
        <chartProps xmlns="https://web.wps.cn/et/2018/main" chartId="{7d8e5691-804d-4f77-bfb3-9f0f1d5be08d}"/>
      </c:ext>
    </c:extLst>
  </c:chart>
  <c:spPr>
    <a:noFill/>
    <a:ln w="9525" cap="flat" cmpd="sng" algn="ctr">
      <a:noFill/>
      <a:prstDash val="solid"/>
      <a:round/>
    </a:ln>
  </c:spPr>
  <c:txPr>
    <a:bodyPr/>
    <a:lstStyle/>
    <a:p>
      <a:pPr>
        <a:defRPr lang="zh-CN" sz="900" b="0" i="0" u="none" strike="noStrike" baseline="0">
          <a:solidFill>
            <a:srgbClr val="000000"/>
          </a:solidFill>
          <a:latin typeface="宋体" charset="-122"/>
          <a:ea typeface="宋体" charset="-122"/>
          <a:cs typeface="宋体" charset="-12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89304812834227"/>
          <c:y val="0.0653061224489796"/>
          <c:w val="0.668449197860963"/>
          <c:h val="0.787755102040819"/>
        </c:manualLayout>
      </c:layout>
      <c:barChart>
        <c:barDir val="col"/>
        <c:grouping val="clustered"/>
        <c:varyColors val="0"/>
        <c:ser>
          <c:idx val="0"/>
          <c:order val="0"/>
          <c:tx>
            <c:strRef>
              <c:f>Sheet1!$A$2</c:f>
              <c:strCache>
                <c:ptCount val="1"/>
                <c:pt idx="0">
                  <c:v>2018年</c:v>
                </c:pt>
              </c:strCache>
            </c:strRef>
          </c:tx>
          <c:spPr>
            <a:solidFill>
              <a:srgbClr val="9999FF"/>
            </a:solidFill>
            <a:ln w="12733">
              <a:solidFill>
                <a:srgbClr val="000000"/>
              </a:solidFill>
              <a:prstDash val="solid"/>
            </a:ln>
          </c:spPr>
          <c:invertIfNegative val="0"/>
          <c:dLbls>
            <c:delete val="1"/>
          </c:dLbls>
          <c:cat>
            <c:strRef>
              <c:f>Sheet1!$B$1:$E$1</c:f>
              <c:strCache>
                <c:ptCount val="2"/>
                <c:pt idx="0">
                  <c:v>收入</c:v>
                </c:pt>
                <c:pt idx="1">
                  <c:v>支出</c:v>
                </c:pt>
              </c:strCache>
            </c:strRef>
          </c:cat>
          <c:val>
            <c:numRef>
              <c:f>Sheet1!$B$2:$E$2</c:f>
              <c:numCache>
                <c:formatCode>General</c:formatCode>
                <c:ptCount val="4"/>
                <c:pt idx="0">
                  <c:v>545.23</c:v>
                </c:pt>
                <c:pt idx="1">
                  <c:v>821.14</c:v>
                </c:pt>
              </c:numCache>
            </c:numRef>
          </c:val>
        </c:ser>
        <c:ser>
          <c:idx val="1"/>
          <c:order val="1"/>
          <c:tx>
            <c:strRef>
              <c:f>Sheet1!$A$3</c:f>
              <c:strCache>
                <c:ptCount val="1"/>
                <c:pt idx="0">
                  <c:v>2019年</c:v>
                </c:pt>
              </c:strCache>
            </c:strRef>
          </c:tx>
          <c:spPr>
            <a:solidFill>
              <a:srgbClr val="993366"/>
            </a:solidFill>
            <a:ln w="12733">
              <a:solidFill>
                <a:srgbClr val="000000"/>
              </a:solidFill>
              <a:prstDash val="solid"/>
            </a:ln>
          </c:spPr>
          <c:invertIfNegative val="0"/>
          <c:dLbls>
            <c:delete val="1"/>
          </c:dLbls>
          <c:cat>
            <c:strRef>
              <c:f>Sheet1!$B$1:$E$1</c:f>
              <c:strCache>
                <c:ptCount val="2"/>
                <c:pt idx="0">
                  <c:v>收入</c:v>
                </c:pt>
                <c:pt idx="1">
                  <c:v>支出</c:v>
                </c:pt>
              </c:strCache>
            </c:strRef>
          </c:cat>
          <c:val>
            <c:numRef>
              <c:f>Sheet1!$B$3:$E$3</c:f>
              <c:numCache>
                <c:formatCode>General</c:formatCode>
                <c:ptCount val="4"/>
                <c:pt idx="0">
                  <c:v>544.66</c:v>
                </c:pt>
                <c:pt idx="1">
                  <c:v>897.58</c:v>
                </c:pt>
              </c:numCache>
            </c:numRef>
          </c:val>
        </c:ser>
        <c:dLbls>
          <c:showLegendKey val="0"/>
          <c:showVal val="0"/>
          <c:showCatName val="0"/>
          <c:showSerName val="0"/>
          <c:showPercent val="0"/>
          <c:showBubbleSize val="0"/>
        </c:dLbls>
        <c:gapWidth val="150"/>
        <c:axId val="196601344"/>
        <c:axId val="196602880"/>
      </c:barChart>
      <c:catAx>
        <c:axId val="196601344"/>
        <c:scaling>
          <c:orientation val="minMax"/>
        </c:scaling>
        <c:delete val="0"/>
        <c:axPos val="b"/>
        <c:numFmt formatCode="General" sourceLinked="1"/>
        <c:majorTickMark val="in"/>
        <c:minorTickMark val="none"/>
        <c:tickLblPos val="low"/>
        <c:spPr>
          <a:ln w="3183" cap="flat" cmpd="sng" algn="ctr">
            <a:solidFill>
              <a:srgbClr val="000000"/>
            </a:solidFill>
            <a:prstDash val="solid"/>
            <a:round/>
          </a:ln>
        </c:spPr>
        <c:txPr>
          <a:bodyPr rot="0" spcFirstLastPara="0" vertOverflow="ellipsis" vert="horz" wrap="square" anchor="ctr" anchorCtr="1"/>
          <a:lstStyle/>
          <a:p>
            <a:pPr>
              <a:defRPr lang="zh-CN" sz="1205" b="0" i="0" u="none" strike="noStrike" kern="1200" baseline="0">
                <a:solidFill>
                  <a:srgbClr val="000000"/>
                </a:solidFill>
                <a:latin typeface="宋体" charset="-122"/>
                <a:ea typeface="宋体" charset="-122"/>
                <a:cs typeface="宋体" charset="-122"/>
              </a:defRPr>
            </a:pPr>
          </a:p>
        </c:txPr>
        <c:crossAx val="196602880"/>
        <c:crosses val="autoZero"/>
        <c:auto val="1"/>
        <c:lblAlgn val="ctr"/>
        <c:lblOffset val="100"/>
        <c:tickLblSkip val="1"/>
        <c:noMultiLvlLbl val="0"/>
      </c:catAx>
      <c:valAx>
        <c:axId val="196602880"/>
        <c:scaling>
          <c:orientation val="minMax"/>
        </c:scaling>
        <c:delete val="0"/>
        <c:axPos val="l"/>
        <c:majorGridlines>
          <c:spPr>
            <a:ln w="3183" cap="flat" cmpd="sng" algn="ctr">
              <a:solidFill>
                <a:srgbClr val="000000"/>
              </a:solidFill>
              <a:prstDash val="solid"/>
              <a:round/>
            </a:ln>
          </c:spPr>
        </c:majorGridlines>
        <c:numFmt formatCode="General" sourceLinked="1"/>
        <c:majorTickMark val="in"/>
        <c:minorTickMark val="none"/>
        <c:tickLblPos val="nextTo"/>
        <c:spPr>
          <a:ln w="3183" cap="flat" cmpd="sng" algn="ctr">
            <a:solidFill>
              <a:srgbClr val="000000"/>
            </a:solidFill>
            <a:prstDash val="solid"/>
            <a:round/>
          </a:ln>
        </c:spPr>
        <c:txPr>
          <a:bodyPr rot="0" spcFirstLastPara="0" vertOverflow="ellipsis" vert="horz" wrap="square" anchor="ctr" anchorCtr="1"/>
          <a:lstStyle/>
          <a:p>
            <a:pPr>
              <a:defRPr lang="zh-CN" sz="1205" b="0" i="0" u="none" strike="noStrike" kern="1200" baseline="0">
                <a:solidFill>
                  <a:srgbClr val="000000"/>
                </a:solidFill>
                <a:latin typeface="宋体" charset="-122"/>
                <a:ea typeface="宋体" charset="-122"/>
                <a:cs typeface="宋体" charset="-122"/>
              </a:defRPr>
            </a:pPr>
          </a:p>
        </c:txPr>
        <c:crossAx val="196601344"/>
        <c:crosses val="autoZero"/>
        <c:crossBetween val="between"/>
      </c:valAx>
      <c:spPr>
        <a:solidFill>
          <a:srgbClr val="C0C0C0"/>
        </a:solidFill>
        <a:ln w="12700">
          <a:solidFill>
            <a:srgbClr val="808080"/>
          </a:solidFill>
          <a:prstDash val="solid"/>
        </a:ln>
        <a:effectLst/>
      </c:spPr>
    </c:plotArea>
    <c:legend>
      <c:legendPos val="r"/>
      <c:layout>
        <c:manualLayout>
          <c:xMode val="edge"/>
          <c:yMode val="edge"/>
          <c:x val="0.796791443850267"/>
          <c:y val="0.412244897959184"/>
          <c:w val="0.192513368983957"/>
          <c:h val="0.175510204081633"/>
        </c:manualLayout>
      </c:layout>
      <c:overlay val="0"/>
      <c:spPr>
        <a:noFill/>
        <a:ln w="3183">
          <a:solidFill>
            <a:srgbClr val="000000"/>
          </a:solidFill>
          <a:prstDash val="solid"/>
        </a:ln>
      </c:spPr>
      <c:txPr>
        <a:bodyPr rot="0" spcFirstLastPara="0" vertOverflow="ellipsis" vert="horz" wrap="square" anchor="ctr" anchorCtr="1"/>
        <a:lstStyle/>
        <a:p>
          <a:pPr>
            <a:defRPr lang="zh-CN" sz="1105" b="0" i="0" u="none" strike="noStrike" kern="1200" baseline="0">
              <a:solidFill>
                <a:srgbClr val="000000"/>
              </a:solidFill>
              <a:latin typeface="宋体" charset="-122"/>
              <a:ea typeface="宋体" charset="-122"/>
              <a:cs typeface="宋体" charset="-122"/>
            </a:defRPr>
          </a:pPr>
        </a:p>
      </c:txPr>
    </c:legend>
    <c:plotVisOnly val="1"/>
    <c:dispBlanksAs val="gap"/>
    <c:showDLblsOverMax val="0"/>
    <c:extLst>
      <c:ext uri="{0b15fc19-7d7d-44ad-8c2d-2c3a37ce22c3}">
        <chartProps xmlns="https://web.wps.cn/et/2018/main" chartId="{e13d09fd-cd0b-4c5d-a4e0-1dbccfe17482}"/>
      </c:ext>
    </c:extLst>
  </c:chart>
  <c:spPr>
    <a:noFill/>
    <a:ln w="9525" cap="flat" cmpd="sng" algn="ctr">
      <a:noFill/>
      <a:prstDash val="solid"/>
      <a:round/>
    </a:ln>
  </c:spPr>
  <c:txPr>
    <a:bodyPr/>
    <a:lstStyle/>
    <a:p>
      <a:pPr>
        <a:defRPr lang="zh-CN" sz="1205" b="0" i="0" u="none" strike="noStrike" baseline="0">
          <a:solidFill>
            <a:srgbClr val="000000"/>
          </a:solidFill>
          <a:latin typeface="宋体" charset="-122"/>
          <a:ea typeface="宋体" charset="-122"/>
          <a:cs typeface="宋体" charset="-12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
          <c:y val="0.0934065934065935"/>
          <c:w val="0.687050359712228"/>
          <c:h val="0.648351648351649"/>
        </c:manualLayout>
      </c:layout>
      <c:ofPieChart>
        <c:ofPieType val="bar"/>
        <c:varyColors val="1"/>
        <c:ser>
          <c:idx val="0"/>
          <c:order val="0"/>
          <c:tx>
            <c:strRef>
              <c:f>Sheet1!$A$2</c:f>
              <c:strCache>
                <c:ptCount val="1"/>
                <c:pt idx="0">
                  <c:v>2019年</c:v>
                </c:pt>
              </c:strCache>
            </c:strRef>
          </c:tx>
          <c:spPr>
            <a:solidFill>
              <a:srgbClr val="9999FF"/>
            </a:solidFill>
            <a:ln w="12675">
              <a:solidFill>
                <a:srgbClr val="000000"/>
              </a:solidFill>
              <a:prstDash val="solid"/>
            </a:ln>
          </c:spPr>
          <c:explosion val="0"/>
          <c:dPt>
            <c:idx val="0"/>
            <c:bubble3D val="0"/>
            <c:spPr>
              <a:solidFill>
                <a:srgbClr val="9999FF"/>
              </a:solidFill>
              <a:ln w="12675">
                <a:solidFill>
                  <a:srgbClr val="000000"/>
                </a:solidFill>
                <a:prstDash val="solid"/>
              </a:ln>
            </c:spPr>
          </c:dPt>
          <c:dPt>
            <c:idx val="1"/>
            <c:bubble3D val="0"/>
            <c:spPr>
              <a:solidFill>
                <a:srgbClr val="993366"/>
              </a:solidFill>
              <a:ln w="12675">
                <a:solidFill>
                  <a:srgbClr val="000000"/>
                </a:solidFill>
                <a:prstDash val="solid"/>
              </a:ln>
            </c:spPr>
          </c:dPt>
          <c:dPt>
            <c:idx val="2"/>
            <c:bubble3D val="0"/>
            <c:spPr>
              <a:solidFill>
                <a:srgbClr val="FFFFCC"/>
              </a:solidFill>
              <a:ln w="12675">
                <a:solidFill>
                  <a:srgbClr val="000000"/>
                </a:solidFill>
                <a:prstDash val="solid"/>
              </a:ln>
            </c:spPr>
          </c:dPt>
          <c:dPt>
            <c:idx val="3"/>
            <c:bubble3D val="0"/>
            <c:spPr>
              <a:solidFill>
                <a:srgbClr val="CCFFFF"/>
              </a:solidFill>
              <a:ln w="12675">
                <a:solidFill>
                  <a:srgbClr val="000000"/>
                </a:solidFill>
                <a:prstDash val="solid"/>
              </a:ln>
            </c:spPr>
          </c:dPt>
          <c:dPt>
            <c:idx val="4"/>
            <c:bubble3D val="0"/>
            <c:spPr>
              <a:solidFill>
                <a:srgbClr val="660066"/>
              </a:solidFill>
              <a:ln w="12675">
                <a:solidFill>
                  <a:srgbClr val="000000"/>
                </a:solidFill>
                <a:prstDash val="solid"/>
              </a:ln>
            </c:spPr>
          </c:dPt>
          <c:dPt>
            <c:idx val="5"/>
            <c:bubble3D val="0"/>
            <c:spPr>
              <a:solidFill>
                <a:srgbClr val="FF8080"/>
              </a:solidFill>
              <a:ln w="12675">
                <a:solidFill>
                  <a:srgbClr val="000000"/>
                </a:solidFill>
                <a:prstDash val="solid"/>
              </a:ln>
            </c:spPr>
          </c:dPt>
          <c:dLbls>
            <c:delete val="1"/>
          </c:dLbls>
          <c:cat>
            <c:strRef>
              <c:f>Sheet1!$B$1:$F$1</c:f>
              <c:strCache>
                <c:ptCount val="5"/>
                <c:pt idx="0">
                  <c:v>一般公共预算财政拨款支出559.67万元</c:v>
                </c:pt>
                <c:pt idx="1">
                  <c:v>城乡社区支出480.09万元</c:v>
                </c:pt>
                <c:pt idx="2">
                  <c:v>社会保障和就业支出31.43万元</c:v>
                </c:pt>
                <c:pt idx="3">
                  <c:v>医疗卫生与计划生育支出18.15万元</c:v>
                </c:pt>
                <c:pt idx="4">
                  <c:v>住房保障支出30万元</c:v>
                </c:pt>
              </c:strCache>
            </c:strRef>
          </c:cat>
          <c:val>
            <c:numRef>
              <c:f>Sheet1!$B$2:$F$2</c:f>
              <c:numCache>
                <c:formatCode>General</c:formatCode>
                <c:ptCount val="5"/>
                <c:pt idx="0">
                  <c:v>559.67</c:v>
                </c:pt>
                <c:pt idx="1">
                  <c:v>480.09</c:v>
                </c:pt>
                <c:pt idx="2">
                  <c:v>31.43</c:v>
                </c:pt>
                <c:pt idx="3">
                  <c:v>18.15</c:v>
                </c:pt>
                <c:pt idx="4">
                  <c:v>30</c:v>
                </c:pt>
              </c:numCache>
            </c:numRef>
          </c:val>
        </c:ser>
        <c:ser>
          <c:idx val="1"/>
          <c:order val="1"/>
          <c:tx>
            <c:strRef>
              <c:f>Sheet1!$A$3</c:f>
              <c:strCache>
                <c:ptCount val="1"/>
                <c:pt idx="0">
                  <c:v/>
                </c:pt>
              </c:strCache>
            </c:strRef>
          </c:tx>
          <c:spPr>
            <a:solidFill>
              <a:srgbClr val="993366"/>
            </a:solidFill>
            <a:ln w="12675">
              <a:solidFill>
                <a:srgbClr val="000000"/>
              </a:solidFill>
              <a:prstDash val="solid"/>
            </a:ln>
          </c:spPr>
          <c:explosion val="0"/>
          <c:dPt>
            <c:idx val="0"/>
            <c:bubble3D val="0"/>
            <c:spPr>
              <a:solidFill>
                <a:srgbClr val="9999FF"/>
              </a:solidFill>
              <a:ln w="12675">
                <a:solidFill>
                  <a:srgbClr val="000000"/>
                </a:solidFill>
                <a:prstDash val="solid"/>
              </a:ln>
            </c:spPr>
          </c:dPt>
          <c:dPt>
            <c:idx val="1"/>
            <c:bubble3D val="0"/>
            <c:spPr>
              <a:solidFill>
                <a:srgbClr val="993366"/>
              </a:solidFill>
              <a:ln w="12675">
                <a:solidFill>
                  <a:srgbClr val="000000"/>
                </a:solidFill>
                <a:prstDash val="solid"/>
              </a:ln>
            </c:spPr>
          </c:dPt>
          <c:dPt>
            <c:idx val="2"/>
            <c:bubble3D val="0"/>
            <c:spPr>
              <a:solidFill>
                <a:srgbClr val="FFFFCC"/>
              </a:solidFill>
              <a:ln w="12675">
                <a:solidFill>
                  <a:srgbClr val="000000"/>
                </a:solidFill>
                <a:prstDash val="solid"/>
              </a:ln>
            </c:spPr>
          </c:dPt>
          <c:dPt>
            <c:idx val="3"/>
            <c:bubble3D val="0"/>
            <c:spPr>
              <a:solidFill>
                <a:srgbClr val="CCFFFF"/>
              </a:solidFill>
              <a:ln w="12675">
                <a:solidFill>
                  <a:srgbClr val="000000"/>
                </a:solidFill>
                <a:prstDash val="solid"/>
              </a:ln>
            </c:spPr>
          </c:dPt>
          <c:dPt>
            <c:idx val="4"/>
            <c:bubble3D val="0"/>
            <c:spPr>
              <a:solidFill>
                <a:srgbClr val="660066"/>
              </a:solidFill>
              <a:ln w="12675">
                <a:solidFill>
                  <a:srgbClr val="000000"/>
                </a:solidFill>
                <a:prstDash val="solid"/>
              </a:ln>
            </c:spPr>
          </c:dPt>
          <c:dPt>
            <c:idx val="5"/>
            <c:bubble3D val="0"/>
            <c:spPr>
              <a:solidFill>
                <a:srgbClr val="FF8080"/>
              </a:solidFill>
              <a:ln w="12675">
                <a:solidFill>
                  <a:srgbClr val="000000"/>
                </a:solidFill>
                <a:prstDash val="solid"/>
              </a:ln>
            </c:spPr>
          </c:dPt>
          <c:dLbls>
            <c:delete val="1"/>
          </c:dLbls>
          <c:cat>
            <c:strRef>
              <c:f>Sheet1!$B$1:$F$1</c:f>
              <c:strCache>
                <c:ptCount val="5"/>
                <c:pt idx="0">
                  <c:v>一般公共预算财政拨款支出559.67万元</c:v>
                </c:pt>
                <c:pt idx="1">
                  <c:v>城乡社区支出480.09万元</c:v>
                </c:pt>
                <c:pt idx="2">
                  <c:v>社会保障和就业支出31.43万元</c:v>
                </c:pt>
                <c:pt idx="3">
                  <c:v>医疗卫生与计划生育支出18.15万元</c:v>
                </c:pt>
                <c:pt idx="4">
                  <c:v>住房保障支出30万元</c:v>
                </c:pt>
              </c:strCache>
            </c:strRef>
          </c:cat>
          <c:val>
            <c:numRef>
              <c:f>Sheet1!$B$3:$F$3</c:f>
              <c:numCache>
                <c:formatCode>General</c:formatCode>
                <c:ptCount val="5"/>
              </c:numCache>
            </c:numRef>
          </c:val>
        </c:ser>
        <c:ser>
          <c:idx val="2"/>
          <c:order val="2"/>
          <c:tx>
            <c:strRef>
              <c:f>Sheet1!$A$4</c:f>
              <c:strCache>
                <c:ptCount val="1"/>
                <c:pt idx="0">
                  <c:v/>
                </c:pt>
              </c:strCache>
            </c:strRef>
          </c:tx>
          <c:spPr>
            <a:solidFill>
              <a:srgbClr val="FFFFCC"/>
            </a:solidFill>
            <a:ln w="12675">
              <a:solidFill>
                <a:srgbClr val="000000"/>
              </a:solidFill>
              <a:prstDash val="solid"/>
            </a:ln>
          </c:spPr>
          <c:explosion val="0"/>
          <c:dPt>
            <c:idx val="0"/>
            <c:bubble3D val="0"/>
            <c:spPr>
              <a:solidFill>
                <a:srgbClr val="9999FF"/>
              </a:solidFill>
              <a:ln w="12675">
                <a:solidFill>
                  <a:srgbClr val="000000"/>
                </a:solidFill>
                <a:prstDash val="solid"/>
              </a:ln>
            </c:spPr>
          </c:dPt>
          <c:dPt>
            <c:idx val="1"/>
            <c:bubble3D val="0"/>
            <c:spPr>
              <a:solidFill>
                <a:srgbClr val="993366"/>
              </a:solidFill>
              <a:ln w="12675">
                <a:solidFill>
                  <a:srgbClr val="000000"/>
                </a:solidFill>
                <a:prstDash val="solid"/>
              </a:ln>
            </c:spPr>
          </c:dPt>
          <c:dPt>
            <c:idx val="2"/>
            <c:bubble3D val="0"/>
            <c:spPr>
              <a:solidFill>
                <a:srgbClr val="FFFFCC"/>
              </a:solidFill>
              <a:ln w="12675">
                <a:solidFill>
                  <a:srgbClr val="000000"/>
                </a:solidFill>
                <a:prstDash val="solid"/>
              </a:ln>
            </c:spPr>
          </c:dPt>
          <c:dPt>
            <c:idx val="3"/>
            <c:bubble3D val="0"/>
            <c:spPr>
              <a:solidFill>
                <a:srgbClr val="CCFFFF"/>
              </a:solidFill>
              <a:ln w="12675">
                <a:solidFill>
                  <a:srgbClr val="000000"/>
                </a:solidFill>
                <a:prstDash val="solid"/>
              </a:ln>
            </c:spPr>
          </c:dPt>
          <c:dPt>
            <c:idx val="4"/>
            <c:bubble3D val="0"/>
            <c:spPr>
              <a:solidFill>
                <a:srgbClr val="660066"/>
              </a:solidFill>
              <a:ln w="12675">
                <a:solidFill>
                  <a:srgbClr val="000000"/>
                </a:solidFill>
                <a:prstDash val="solid"/>
              </a:ln>
            </c:spPr>
          </c:dPt>
          <c:dPt>
            <c:idx val="5"/>
            <c:bubble3D val="0"/>
            <c:spPr>
              <a:solidFill>
                <a:srgbClr val="FF8080"/>
              </a:solidFill>
              <a:ln w="12675">
                <a:solidFill>
                  <a:srgbClr val="000000"/>
                </a:solidFill>
                <a:prstDash val="solid"/>
              </a:ln>
            </c:spPr>
          </c:dPt>
          <c:dLbls>
            <c:delete val="1"/>
          </c:dLbls>
          <c:cat>
            <c:strRef>
              <c:f>Sheet1!$B$1:$F$1</c:f>
              <c:strCache>
                <c:ptCount val="5"/>
                <c:pt idx="0">
                  <c:v>一般公共预算财政拨款支出559.67万元</c:v>
                </c:pt>
                <c:pt idx="1">
                  <c:v>城乡社区支出480.09万元</c:v>
                </c:pt>
                <c:pt idx="2">
                  <c:v>社会保障和就业支出31.43万元</c:v>
                </c:pt>
                <c:pt idx="3">
                  <c:v>医疗卫生与计划生育支出18.15万元</c:v>
                </c:pt>
                <c:pt idx="4">
                  <c:v>住房保障支出30万元</c:v>
                </c:pt>
              </c:strCache>
            </c:strRef>
          </c:cat>
          <c:val>
            <c:numRef>
              <c:f>Sheet1!$B$4:$F$4</c:f>
              <c:numCache>
                <c:formatCode>General</c:formatCode>
                <c:ptCount val="5"/>
              </c:numCache>
            </c:numRef>
          </c:val>
        </c:ser>
        <c:dLbls>
          <c:showLegendKey val="0"/>
          <c:showVal val="0"/>
          <c:showCatName val="0"/>
          <c:showSerName val="0"/>
          <c:showPercent val="0"/>
          <c:showBubbleSize val="0"/>
          <c:showLeaderLines val="1"/>
        </c:dLbls>
        <c:gapWidth val="100"/>
        <c:secondPieSize val="75"/>
        <c:serLines>
          <c:spPr>
            <a:ln w="12675" cap="flat" cmpd="sng" algn="ctr">
              <a:solidFill>
                <a:srgbClr val="000000"/>
              </a:solidFill>
              <a:prstDash val="solid"/>
              <a:round/>
            </a:ln>
          </c:spPr>
        </c:serLines>
      </c:ofPieChart>
      <c:spPr>
        <a:solidFill>
          <a:srgbClr val="C0C0C0"/>
        </a:solidFill>
        <a:ln w="12675">
          <a:solidFill>
            <a:srgbClr val="808080"/>
          </a:solidFill>
          <a:prstDash val="solid"/>
        </a:ln>
      </c:spPr>
    </c:plotArea>
    <c:legend>
      <c:legendPos val="r"/>
      <c:layout>
        <c:manualLayout>
          <c:xMode val="edge"/>
          <c:yMode val="edge"/>
          <c:x val="0.679597070712554"/>
          <c:y val="0.127807184958317"/>
          <c:w val="0.296861647969135"/>
          <c:h val="0.712896051320515"/>
        </c:manualLayout>
      </c:layout>
      <c:overlay val="0"/>
      <c:spPr>
        <a:noFill/>
        <a:ln w="3169">
          <a:solidFill>
            <a:srgbClr val="000000"/>
          </a:solidFill>
          <a:prstDash val="solid"/>
        </a:ln>
      </c:spPr>
      <c:txPr>
        <a:bodyPr rot="0" spcFirstLastPara="0" vertOverflow="ellipsis" vert="horz" wrap="square" anchor="ctr" anchorCtr="1"/>
        <a:lstStyle/>
        <a:p>
          <a:pPr>
            <a:defRPr lang="zh-CN" sz="825" b="0" i="0" u="none" strike="noStrike" kern="1200" baseline="0">
              <a:solidFill>
                <a:srgbClr val="000000"/>
              </a:solidFill>
              <a:latin typeface="宋体" charset="-122"/>
              <a:ea typeface="宋体" charset="-122"/>
              <a:cs typeface="宋体" charset="-122"/>
            </a:defRPr>
          </a:pPr>
        </a:p>
      </c:txPr>
    </c:legend>
    <c:plotVisOnly val="1"/>
    <c:dispBlanksAs val="zero"/>
    <c:showDLblsOverMax val="0"/>
    <c:extLst>
      <c:ext uri="{0b15fc19-7d7d-44ad-8c2d-2c3a37ce22c3}">
        <chartProps xmlns="https://web.wps.cn/et/2018/main" chartId="{be0feb79-e52d-4e39-8fc7-5b46bb562c96}"/>
      </c:ext>
    </c:extLst>
  </c:chart>
  <c:spPr>
    <a:noFill/>
    <a:ln w="9525" cap="flat" cmpd="sng" algn="ctr">
      <a:noFill/>
      <a:prstDash val="solid"/>
      <a:round/>
    </a:ln>
  </c:spPr>
  <c:txPr>
    <a:bodyPr/>
    <a:lstStyle/>
    <a:p>
      <a:pPr>
        <a:defRPr lang="zh-CN" sz="900" b="0" i="0" u="none" strike="noStrike" baseline="0">
          <a:solidFill>
            <a:srgbClr val="000000"/>
          </a:solidFill>
          <a:latin typeface="宋体" charset="-122"/>
          <a:ea typeface="宋体" charset="-122"/>
          <a:cs typeface="宋体" charset="-122"/>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6"/>
    <customShpInfo spid="_x0000_s1035"/>
  </customShpExts>
</s:customData>
</file>

<file path=customXml/item2.xml><b:Sources xmlns:b="http://schemas.openxmlformats.org/officeDocument/2006/bibliography" SelectedStyle="\APA.XSL" StyleName="APA" xmlns:b="http://schemas.openxmlformats.org/officeDocument/2006/bibliography"/>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B3604E-FEED-4C07-9B7E-296D9FAEE0C6}">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30</Pages>
  <Words>10764</Words>
  <Characters>3303</Characters>
  <Lines>27</Lines>
  <Paragraphs>28</Paragraphs>
  <TotalTime>0</TotalTime>
  <ScaleCrop>false</ScaleCrop>
  <LinksUpToDate>false</LinksUpToDate>
  <CharactersWithSpaces>14039</CharactersWithSpaces>
  <Application>WPS Office_12.8.2.19831_F1E327BC-269C-435d-A152-05C5408002CA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2020-08-04T09:49:00Z</dcterms:created>
  <dc:creator>曹颖</dc:creator>
  <cp:lastModifiedBy>罗旭</cp:lastModifiedBy>
  <cp:lastPrinted>2020-07-23T10:58:00Z</cp:lastPrinted>
  <dcterms:modified xsi:type="dcterms:W3CDTF">2026-08-03T11:18:22Z</dcterms:modified>
  <dc:title>四川省***</dc:title>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2052-12.8.2.19831</vt:lpwstr>
  </property>
  <property fmtid="{D5CDD505-2E9C-101B-9397-08002B2CF9AE}" pid="3" name="ICV">
    <vt:lpwstr>302308C042A08BFC7E08706A7B285BAA_42</vt:lpwstr>
  </property>
</Properties>
</file>