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/>
          <w:lang w:eastAsia="zh-CN"/>
        </w:rPr>
      </w:pPr>
      <w:bookmarkStart w:id="0" w:name="_GoBack"/>
      <w:bookmarkEnd w:id="0"/>
      <w:r>
        <w:rPr>
          <w:rFonts w:hint="eastAsia" w:ascii="黑体" w:hAnsi="黑体" w:eastAsia="黑体"/>
        </w:rPr>
        <w:t>附件</w:t>
      </w:r>
      <w:r>
        <w:rPr>
          <w:rFonts w:hint="eastAsia" w:ascii="黑体" w:hAnsi="黑体" w:eastAsia="黑体"/>
          <w:lang w:val="en-US" w:eastAsia="zh-CN"/>
        </w:rPr>
        <w:t>5</w:t>
      </w:r>
    </w:p>
    <w:p>
      <w:pPr>
        <w:tabs>
          <w:tab w:val="left" w:pos="1440"/>
        </w:tabs>
        <w:spacing w:line="560" w:lineRule="exact"/>
        <w:rPr>
          <w:rFonts w:ascii="宋体" w:hAnsi="宋体" w:eastAsia="宋体"/>
          <w:sz w:val="30"/>
          <w:szCs w:val="30"/>
        </w:rPr>
      </w:pPr>
    </w:p>
    <w:p>
      <w:pPr>
        <w:pStyle w:val="4"/>
        <w:spacing w:line="56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项目支出绩效自评报告范本</w:t>
      </w:r>
    </w:p>
    <w:p>
      <w:pPr>
        <w:pStyle w:val="4"/>
        <w:spacing w:line="560" w:lineRule="exact"/>
        <w:jc w:val="center"/>
        <w:rPr>
          <w:rFonts w:ascii="仿宋_GB2312" w:hAnsi="宋体" w:eastAsia="仿宋_GB2312"/>
          <w:color w:val="auto"/>
          <w:kern w:val="2"/>
          <w:sz w:val="32"/>
          <w:szCs w:val="32"/>
        </w:rPr>
      </w:pPr>
      <w:r>
        <w:rPr>
          <w:rFonts w:hint="eastAsia" w:ascii="仿宋_GB2312" w:hAnsi="宋体" w:eastAsia="仿宋_GB2312"/>
          <w:color w:val="auto"/>
          <w:kern w:val="2"/>
          <w:sz w:val="32"/>
          <w:szCs w:val="32"/>
        </w:rPr>
        <w:t>（项目单位自评）</w:t>
      </w:r>
    </w:p>
    <w:p>
      <w:pPr>
        <w:pStyle w:val="4"/>
        <w:spacing w:line="560" w:lineRule="exact"/>
        <w:ind w:firstLine="640"/>
        <w:jc w:val="center"/>
        <w:rPr>
          <w:rFonts w:ascii="宋体" w:hAnsi="宋体"/>
          <w:color w:val="auto"/>
          <w:kern w:val="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  <w:lang w:val="zh-CN"/>
        </w:rPr>
      </w:pPr>
      <w:r>
        <w:rPr>
          <w:rFonts w:hint="eastAsia" w:ascii="黑体" w:hAnsi="宋体" w:eastAsia="黑体"/>
        </w:rPr>
        <w:t>一、</w:t>
      </w:r>
      <w:r>
        <w:rPr>
          <w:rFonts w:hint="eastAsia" w:ascii="黑体" w:hAnsi="宋体" w:eastAsia="黑体"/>
          <w:lang w:val="zh-CN"/>
        </w:rPr>
        <w:t>项目概况</w:t>
      </w:r>
    </w:p>
    <w:p>
      <w:pPr>
        <w:adjustRightInd w:val="0"/>
        <w:snapToGrid w:val="0"/>
        <w:spacing w:line="560" w:lineRule="exact"/>
        <w:ind w:firstLine="720"/>
        <w:rPr>
          <w:rFonts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介绍项目基本情况，重点说明以下内容：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项目资金申报及批复情况。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 w:ascii="仿宋_GB2312" w:hAnsi="宋体"/>
          <w:lang w:val="zh-CN"/>
        </w:rPr>
      </w:pPr>
      <w:r>
        <w:rPr>
          <w:rFonts w:hint="eastAsia"/>
          <w:color w:val="auto"/>
          <w:kern w:val="0"/>
          <w:sz w:val="32"/>
          <w:szCs w:val="32"/>
          <w:lang w:val="en-US" w:eastAsia="zh-CN"/>
        </w:rPr>
        <w:t>创建全国文明城市专项补助资金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费用预算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546669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元，按年度进行申报。资金及时批复到位，符合资金管理办法等相关规定。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leftChars="0" w:firstLine="720" w:firstLineChars="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项目绩效目标。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ascii="仿宋_GB2312" w:hAnsi="宋体"/>
          <w:lang w:val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农贸市场改造主要针对市场的基础设施进行改造。如：大门改造，彩钢瓦更换，钢结构刷漆，农贸市场公厕改造，家禽、水产区改造，卷帘门维修及刷漆，三防设施维修，增设公示牌、增设微型消防站，规范划线等。此项工作纳入街道重点工作之一，项目实施都将进行全程的参与和监督。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leftChars="0" w:firstLine="720" w:firstLineChars="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项目资金申报相符性。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640" w:firstLineChars="200"/>
        <w:jc w:val="both"/>
        <w:textAlignment w:val="auto"/>
        <w:outlineLvl w:val="9"/>
        <w:rPr>
          <w:lang w:val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该项目资金主要用于改造陶家渡农贸市场。使市场环境更加优美，基础设施更加完善。该项目资金使用与实际相符，合理可行。</w:t>
      </w: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</w:rPr>
      </w:pPr>
      <w:r>
        <w:rPr>
          <w:rFonts w:hint="eastAsia" w:ascii="黑体" w:hAnsi="宋体" w:eastAsia="黑体"/>
        </w:rPr>
        <w:t>二、项目实施及管理情况</w:t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仿宋_GB2312" w:hAnsi="宋体"/>
          <w:lang w:val="zh-CN"/>
        </w:rPr>
        <w:tab/>
      </w:r>
      <w:r>
        <w:rPr>
          <w:rFonts w:hint="eastAsia" w:ascii="楷体_GB2312" w:hAnsi="宋体" w:eastAsia="楷体_GB2312"/>
          <w:b/>
          <w:lang w:val="zh-CN"/>
        </w:rPr>
        <w:t>（一）资金计划、到位及使用情况。</w:t>
      </w:r>
    </w:p>
    <w:p>
      <w:p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lang w:val="zh-CN"/>
        </w:rPr>
      </w:pPr>
      <w:r>
        <w:rPr>
          <w:rFonts w:hint="eastAsia" w:ascii="楷体_GB2312" w:hAnsi="宋体" w:eastAsia="楷体_GB2312"/>
          <w:lang w:val="zh-CN"/>
        </w:rPr>
        <w:t>1．资金计划及到位。</w:t>
      </w:r>
    </w:p>
    <w:p>
      <w:pPr>
        <w:adjustRightInd w:val="0"/>
        <w:snapToGrid w:val="0"/>
        <w:spacing w:line="560" w:lineRule="exact"/>
        <w:ind w:firstLine="720"/>
        <w:rPr>
          <w:lang w:val="zh-CN"/>
        </w:rPr>
      </w:pPr>
      <w:r>
        <w:rPr>
          <w:rFonts w:hint="eastAsia"/>
          <w:color w:val="auto"/>
          <w:kern w:val="0"/>
          <w:sz w:val="32"/>
          <w:szCs w:val="32"/>
          <w:lang w:eastAsia="zh-CN"/>
        </w:rPr>
        <w:t>截至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202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年12月底，所有计划资金全部到位，共计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546669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元。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到位率100%，到位及时。</w:t>
      </w:r>
    </w:p>
    <w:p>
      <w:pPr>
        <w:numPr>
          <w:ilvl w:val="0"/>
          <w:numId w:val="2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lang w:val="zh-CN"/>
        </w:rPr>
      </w:pPr>
      <w:r>
        <w:rPr>
          <w:rFonts w:hint="eastAsia" w:ascii="楷体_GB2312" w:hAnsi="宋体" w:eastAsia="楷体_GB2312"/>
          <w:lang w:val="zh-CN"/>
        </w:rPr>
        <w:t>资金使用。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lang w:val="zh-CN"/>
        </w:rPr>
      </w:pPr>
      <w:r>
        <w:rPr>
          <w:rFonts w:hint="eastAsia" w:ascii="仿宋_GB2312" w:hAnsi="宋体"/>
          <w:lang w:val="zh-CN"/>
        </w:rPr>
        <w:t>截至评价时点项目资金的实际支出</w:t>
      </w:r>
      <w:r>
        <w:rPr>
          <w:rFonts w:hint="eastAsia" w:ascii="仿宋_GB2312" w:hAnsi="宋体"/>
          <w:lang w:val="en-US" w:eastAsia="zh-CN"/>
        </w:rPr>
        <w:t>546387元</w:t>
      </w:r>
      <w:r>
        <w:rPr>
          <w:rFonts w:hint="eastAsia" w:ascii="仿宋_GB2312" w:hAnsi="宋体"/>
          <w:lang w:val="zh-CN"/>
        </w:rPr>
        <w:t>，</w:t>
      </w:r>
      <w:r>
        <w:rPr>
          <w:rFonts w:hint="eastAsia" w:ascii="仿宋_GB2312" w:hAnsi="宋体"/>
          <w:lang w:val="en-US" w:eastAsia="zh-CN"/>
        </w:rPr>
        <w:t>使用率99.95%，资金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主要用于</w:t>
      </w:r>
      <w:r>
        <w:rPr>
          <w:rFonts w:hint="eastAsia" w:ascii="Times New Roman" w:hAnsi="Times New Roman" w:eastAsia="仿宋_GB2312" w:cs="仿宋_GB2312"/>
          <w:sz w:val="32"/>
          <w:szCs w:val="32"/>
        </w:rPr>
        <w:t>市场的基础设施进行改造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。</w:t>
      </w:r>
      <w:r>
        <w:rPr>
          <w:rFonts w:hint="eastAsia" w:ascii="仿宋_GB2312" w:hAnsi="宋体"/>
          <w:lang w:val="zh-CN"/>
        </w:rPr>
        <w:t>支付依据合规合法，资金支付</w:t>
      </w:r>
      <w:r>
        <w:rPr>
          <w:rFonts w:hint="eastAsia" w:ascii="仿宋_GB2312" w:hAnsi="宋体"/>
          <w:lang w:val="en-US" w:eastAsia="zh-CN"/>
        </w:rPr>
        <w:t>低于</w:t>
      </w:r>
      <w:r>
        <w:rPr>
          <w:rFonts w:hint="eastAsia" w:ascii="仿宋_GB2312" w:hAnsi="宋体"/>
          <w:lang w:val="zh-CN"/>
        </w:rPr>
        <w:t>预算，</w:t>
      </w:r>
      <w:r>
        <w:rPr>
          <w:rFonts w:hint="eastAsia" w:ascii="仿宋_GB2312" w:hAnsi="宋体"/>
          <w:lang w:val="en-US" w:eastAsia="zh-CN"/>
        </w:rPr>
        <w:t>原因是广告费用未及时报账导致</w:t>
      </w:r>
      <w:r>
        <w:rPr>
          <w:rFonts w:hint="eastAsia" w:ascii="仿宋_GB2312" w:hAnsi="宋体"/>
          <w:lang w:val="zh-CN"/>
        </w:rPr>
        <w:t>。</w:t>
      </w:r>
    </w:p>
    <w:p>
      <w:pPr>
        <w:adjustRightInd w:val="0"/>
        <w:snapToGrid w:val="0"/>
        <w:spacing w:line="560" w:lineRule="exact"/>
        <w:ind w:firstLine="643" w:firstLineChars="20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（二）项目财务管理情况。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ascii="仿宋_GB2312" w:hAnsi="宋体"/>
          <w:lang w:val="zh-CN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陶家渡街道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创建全国文明城市专项补助资金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采取授权支付形式，有财政所年初拟定用款计划，分期严格按照项目资金管理办法对资金进行计划申请、划拨、使用，及时、规范对收支进行财务处理和会计核算。</w:t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（三）项目组织实施情况。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宋体"/>
          <w:lang w:val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农贸市场改造主要针对市场的基础设施进行改造。如：大门改造，彩钢瓦更换，钢结构刷漆，农贸市场公厕改造，家禽、水产区改造，卷帘门维修及刷漆，三防设施维修，增设公示牌、增设微型消防站，规范划线等。此项工作纳入街道重点工作之一，项目实施都将进行全程的参与和监督。</w:t>
      </w:r>
    </w:p>
    <w:p>
      <w:pPr>
        <w:adjustRightInd w:val="0"/>
        <w:snapToGrid w:val="0"/>
        <w:spacing w:line="560" w:lineRule="exact"/>
        <w:ind w:firstLine="720"/>
        <w:rPr>
          <w:rFonts w:ascii="仿宋_GB2312" w:hAnsi="宋体"/>
          <w:lang w:val="zh-CN"/>
        </w:rPr>
      </w:pPr>
      <w:r>
        <w:rPr>
          <w:rFonts w:hint="eastAsia" w:ascii="黑体" w:hAnsi="宋体" w:eastAsia="黑体"/>
        </w:rPr>
        <w:t>三、项目绩效情况</w:t>
      </w:r>
      <w:r>
        <w:rPr>
          <w:rFonts w:hint="eastAsia" w:ascii="仿宋_GB2312" w:hAnsi="宋体"/>
          <w:lang w:val="zh-CN"/>
        </w:rPr>
        <w:tab/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（一）项目完成情况。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left="0" w:firstLine="640" w:firstLineChars="200"/>
        <w:textAlignment w:val="auto"/>
        <w:outlineLvl w:val="9"/>
        <w:rPr>
          <w:rFonts w:hint="eastAsia" w:eastAsia="仿宋_GB231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街道高度重视此项工作，定期召开相关工作会议，做好工作总结及下一步工作计划，使项目有序推进。</w:t>
      </w:r>
      <w:r>
        <w:rPr>
          <w:rFonts w:hint="eastAsia" w:ascii="Times New Roman" w:eastAsia="仿宋_GB2312" w:cs="仿宋_GB2312"/>
          <w:sz w:val="32"/>
          <w:szCs w:val="32"/>
          <w:lang w:val="en-US" w:eastAsia="zh-CN"/>
        </w:rPr>
        <w:t>截至23年底完成</w:t>
      </w:r>
      <w:r>
        <w:rPr>
          <w:rFonts w:hint="eastAsia" w:ascii="Times New Roman" w:hAnsi="Times New Roman" w:eastAsia="仿宋_GB2312" w:cs="仿宋_GB2312"/>
          <w:sz w:val="32"/>
          <w:szCs w:val="32"/>
        </w:rPr>
        <w:t>市场的基础设施进行改造</w:t>
      </w:r>
      <w:r>
        <w:rPr>
          <w:rFonts w:hint="eastAsia" w:ascii="Times New Roman" w:eastAsia="仿宋_GB2312" w:cs="仿宋_GB2312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仿宋_GB2312"/>
          <w:sz w:val="32"/>
          <w:szCs w:val="32"/>
        </w:rPr>
        <w:t>大门改造</w:t>
      </w:r>
      <w:r>
        <w:rPr>
          <w:rFonts w:hint="eastAsia" w:asci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钢结构刷漆</w:t>
      </w:r>
      <w:r>
        <w:rPr>
          <w:rFonts w:hint="eastAsia" w:asci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增设公示牌、增设微型消防站，规范划线</w:t>
      </w:r>
      <w:r>
        <w:rPr>
          <w:rFonts w:hint="eastAsia" w:ascii="Times New Roman" w:eastAsia="仿宋_GB2312" w:cs="仿宋_GB2312"/>
          <w:sz w:val="32"/>
          <w:szCs w:val="32"/>
          <w:lang w:eastAsia="zh-CN"/>
        </w:rPr>
        <w:t>。</w:t>
      </w:r>
    </w:p>
    <w:p>
      <w:pPr>
        <w:numPr>
          <w:ilvl w:val="0"/>
          <w:numId w:val="3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项目效益情况。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640" w:firstLineChars="200"/>
        <w:textAlignment w:val="auto"/>
        <w:outlineLvl w:val="9"/>
        <w:rPr>
          <w:lang w:val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农贸市场的改造将有效改善市场内的基础设施，有利于市场的管理和维护，有利于推动辖区经济建设、社会稳定、基层治理等持续发展。</w:t>
      </w: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</w:rPr>
      </w:pPr>
      <w:r>
        <w:rPr>
          <w:rFonts w:hint="eastAsia" w:ascii="黑体" w:hAnsi="宋体" w:eastAsia="黑体"/>
        </w:rPr>
        <w:t>四、问题及建议</w:t>
      </w:r>
    </w:p>
    <w:p>
      <w:p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（一）存在的问题。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left="720" w:leftChars="0"/>
        <w:rPr>
          <w:rFonts w:hint="eastAsia" w:ascii="仿宋_GB2312" w:hAnsi="宋体"/>
          <w:lang w:val="en-US" w:eastAsia="zh-CN"/>
        </w:rPr>
      </w:pPr>
      <w:r>
        <w:rPr>
          <w:rFonts w:hint="eastAsia" w:ascii="仿宋_GB2312" w:hAnsi="宋体"/>
          <w:lang w:val="en-US" w:eastAsia="zh-CN"/>
        </w:rPr>
        <w:t>无。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firstLine="643" w:firstLineChars="20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（二）相关建议。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left="720" w:leftChars="0"/>
      </w:pPr>
      <w:r>
        <w:rPr>
          <w:rFonts w:hint="eastAsia" w:ascii="仿宋_GB2312" w:hAnsi="宋体"/>
          <w:lang w:val="en-US" w:eastAsia="zh-CN"/>
        </w:rPr>
        <w:t>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楷体à.ā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9427C38"/>
    <w:multiLevelType w:val="singleLevel"/>
    <w:tmpl w:val="F9427C38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AA18DEF"/>
    <w:multiLevelType w:val="singleLevel"/>
    <w:tmpl w:val="FAA18DEF"/>
    <w:lvl w:ilvl="0" w:tentative="0">
      <w:start w:val="2"/>
      <w:numFmt w:val="decimal"/>
      <w:suff w:val="nothing"/>
      <w:lvlText w:val="%1．"/>
      <w:lvlJc w:val="left"/>
    </w:lvl>
  </w:abstractNum>
  <w:abstractNum w:abstractNumId="2">
    <w:nsid w:val="4CC9280D"/>
    <w:multiLevelType w:val="singleLevel"/>
    <w:tmpl w:val="4CC9280D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4YzQ1YTI5ZjY3NjlmMzVjMGEyMTE5NDkxMmViNTEifQ=="/>
  </w:docVars>
  <w:rsids>
    <w:rsidRoot w:val="291C455A"/>
    <w:rsid w:val="003414A3"/>
    <w:rsid w:val="00515A0C"/>
    <w:rsid w:val="00866E99"/>
    <w:rsid w:val="0C0F34AD"/>
    <w:rsid w:val="0EDB478C"/>
    <w:rsid w:val="168B05D6"/>
    <w:rsid w:val="1D9A0018"/>
    <w:rsid w:val="1DA35E8D"/>
    <w:rsid w:val="274D3E1C"/>
    <w:rsid w:val="291C455A"/>
    <w:rsid w:val="35EF6FCF"/>
    <w:rsid w:val="36926D0C"/>
    <w:rsid w:val="38FE2ABF"/>
    <w:rsid w:val="4A091ED0"/>
    <w:rsid w:val="4DAF2BCF"/>
    <w:rsid w:val="4DDB6F66"/>
    <w:rsid w:val="68002C12"/>
    <w:rsid w:val="75AB0A33"/>
    <w:rsid w:val="792F2AEE"/>
    <w:rsid w:val="7ECB2604"/>
    <w:rsid w:val="BFFE83F2"/>
    <w:rsid w:val="D7FDD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/>
    </w:rPr>
  </w:style>
  <w:style w:type="paragraph" w:customStyle="1" w:styleId="5">
    <w:name w:val="Default"/>
    <w:qFormat/>
    <w:uiPriority w:val="99"/>
    <w:pPr>
      <w:widowControl w:val="0"/>
      <w:autoSpaceDE w:val="0"/>
      <w:autoSpaceDN w:val="0"/>
      <w:adjustRightInd w:val="0"/>
    </w:pPr>
    <w:rPr>
      <w:rFonts w:ascii="楷体à.ā" w:hAnsi="Times New Roman" w:eastAsia="楷体à.ā" w:cs="楷体à.ā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907</Words>
  <Characters>935</Characters>
  <Lines>6</Lines>
  <Paragraphs>1</Paragraphs>
  <TotalTime>2</TotalTime>
  <ScaleCrop>false</ScaleCrop>
  <LinksUpToDate>false</LinksUpToDate>
  <CharactersWithSpaces>937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2020-07-01T00:19:00Z</dcterms:created>
  <dc:creator>Administrator</dc:creator>
  <cp:lastModifiedBy>收发员</cp:lastModifiedBy>
  <dcterms:modified xsi:type="dcterms:W3CDTF">2026-08-03T02:46:49Z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A67A0F40A37E44B3BEDEC024FCC26567_12</vt:lpwstr>
  </property>
</Properties>
</file>