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rPr>
      </w:pPr>
    </w:p>
    <w:p>
      <w:pPr>
        <w:jc w:val="center"/>
        <w:rPr>
          <w:rFonts w:hint="default" w:ascii="Times New Roman" w:hAnsi="Times New Roman" w:cs="Times New Roman"/>
        </w:rPr>
      </w:pPr>
    </w:p>
    <w:p>
      <w:pPr>
        <w:rPr>
          <w:rFonts w:hint="default" w:ascii="Times New Roman" w:hAnsi="Times New Roman" w:cs="Times New Roman"/>
          <w:b/>
          <w:spacing w:val="-4"/>
          <w:sz w:val="36"/>
          <w:szCs w:val="36"/>
        </w:rPr>
      </w:pPr>
    </w:p>
    <w:p>
      <w:pPr>
        <w:spacing w:line="480" w:lineRule="auto"/>
        <w:jc w:val="center"/>
        <w:rPr>
          <w:rFonts w:hint="default" w:ascii="Times New Roman" w:hAnsi="Times New Roman" w:cs="Times New Roman"/>
        </w:rPr>
      </w:pPr>
      <w:r>
        <w:rPr>
          <w:rFonts w:hint="default" w:ascii="Times New Roman" w:hAnsi="Times New Roman" w:cs="Times New Roman"/>
        </w:rPr>
        <mc:AlternateContent>
          <mc:Choice Requires="wps">
            <w:drawing>
              <wp:anchor distT="0" distB="0" distL="114300" distR="114300" simplePos="0" relativeHeight="251660288" behindDoc="1" locked="1" layoutInCell="1" allowOverlap="1">
                <wp:simplePos x="0" y="0"/>
                <wp:positionH relativeFrom="column">
                  <wp:posOffset>-114300</wp:posOffset>
                </wp:positionH>
                <wp:positionV relativeFrom="page">
                  <wp:posOffset>2124710</wp:posOffset>
                </wp:positionV>
                <wp:extent cx="5715000" cy="792480"/>
                <wp:effectExtent l="4445" t="5080" r="14605" b="21590"/>
                <wp:wrapNone/>
                <wp:docPr id="5" name="文本框 5"/>
                <wp:cNvGraphicFramePr/>
                <a:graphic xmlns:a="http://schemas.openxmlformats.org/drawingml/2006/main">
                  <a:graphicData uri="http://schemas.microsoft.com/office/word/2010/wordprocessingShape">
                    <wps:wsp>
                      <wps:cNvSpPr txBox="1"/>
                      <wps:spPr>
                        <a:xfrm>
                          <a:off x="0" y="0"/>
                          <a:ext cx="5715000" cy="79248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rFonts w:hint="eastAsia"/>
                              </w:rPr>
                            </w:pPr>
                          </w:p>
                        </w:txbxContent>
                      </wps:txbx>
                      <wps:bodyPr upright="1"/>
                    </wps:wsp>
                  </a:graphicData>
                </a:graphic>
              </wp:anchor>
            </w:drawing>
          </mc:Choice>
          <mc:Fallback>
            <w:pict>
              <v:shape id="_x0000_s1026" o:spid="_x0000_s1026" o:spt="202" type="#_x0000_t202" style="position:absolute;left:0pt;margin-left:-9pt;margin-top:167.3pt;height:62.4pt;width:450pt;mso-position-vertical-relative:page;z-index:-251656192;mso-width-relative:page;mso-height-relative:page;" fillcolor="#FFFFFF" filled="t" stroked="t" coordsize="21600,21600" o:gfxdata="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">
                <v:fill on="t" focussize="0,0"/>
                <v:stroke color="#FFFFFF" joinstyle="miter"/>
                <v:imagedata o:title=""/>
                <o:lock v:ext="edit" aspectratio="f"/>
                <v:textbox>
                  <w:txbxContent>
                    <w:p>
                      <w:pPr>
                        <w:rPr>
                          <w:rFonts w:hint="eastAsia"/>
                        </w:rPr>
                      </w:pPr>
                    </w:p>
                  </w:txbxContent>
                </v:textbox>
                <w10:anchorlock/>
              </v:shape>
            </w:pict>
          </mc:Fallback>
        </mc:AlternateContent>
      </w:r>
    </w:p>
    <w:p>
      <w:pPr>
        <w:spacing w:line="240" w:lineRule="exact"/>
        <w:rPr>
          <w:rFonts w:hint="default" w:ascii="Times New Roman" w:hAnsi="Times New Roman" w:eastAsia="仿宋_GB2312" w:cs="Times New Roman"/>
          <w:spacing w:val="-4"/>
          <w:sz w:val="32"/>
          <w:szCs w:val="32"/>
        </w:rPr>
      </w:pPr>
    </w:p>
    <w:p>
      <w:pPr>
        <w:spacing w:line="240" w:lineRule="exact"/>
        <w:rPr>
          <w:rFonts w:hint="default" w:ascii="Times New Roman" w:hAnsi="Times New Roman" w:eastAsia="仿宋_GB2312" w:cs="Times New Roman"/>
          <w:spacing w:val="-4"/>
          <w:sz w:val="32"/>
          <w:szCs w:val="32"/>
        </w:rPr>
      </w:pPr>
    </w:p>
    <w:p>
      <w:pPr>
        <w:spacing w:line="660" w:lineRule="exact"/>
        <w:jc w:val="center"/>
        <w:rPr>
          <w:rFonts w:hint="default" w:ascii="Times New Roman" w:hAnsi="Times New Roman" w:eastAsia="仿宋_GB2312" w:cs="Times New Roman"/>
          <w:spacing w:val="-4"/>
          <w:sz w:val="32"/>
          <w:szCs w:val="32"/>
        </w:rPr>
      </w:pPr>
      <w:bookmarkStart w:id="0" w:name="_GoBack"/>
      <w:bookmarkEnd w:id="0"/>
    </w:p>
    <w:p>
      <w:pPr>
        <w:spacing w:line="600" w:lineRule="exact"/>
        <w:ind w:firstLine="880"/>
        <w:jc w:val="center"/>
        <w:rPr>
          <w:rFonts w:hint="default" w:ascii="Times New Roman" w:hAnsi="Times New Roman" w:eastAsia="方正小标宋_GBK" w:cs="Times New Roman"/>
          <w:spacing w:val="-4"/>
          <w:sz w:val="44"/>
          <w:szCs w:val="44"/>
        </w:rPr>
      </w:pPr>
    </w:p>
    <w:p>
      <w:pPr>
        <w:widowControl/>
        <w:spacing w:line="300" w:lineRule="auto"/>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攀枝花市西区</w:t>
      </w:r>
      <w:r>
        <w:rPr>
          <w:rFonts w:hint="eastAsia" w:ascii="Times New Roman" w:hAnsi="Times New Roman" w:eastAsia="方正小标宋_GBK" w:cs="Times New Roman"/>
          <w:sz w:val="44"/>
          <w:szCs w:val="44"/>
        </w:rPr>
        <w:t>人民政府办公室</w:t>
      </w:r>
    </w:p>
    <w:p>
      <w:pPr>
        <w:widowControl/>
        <w:spacing w:line="300" w:lineRule="auto"/>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关于</w:t>
      </w:r>
      <w:r>
        <w:rPr>
          <w:rFonts w:hint="eastAsia" w:ascii="Times New Roman" w:hAnsi="Times New Roman" w:eastAsia="方正小标宋_GBK" w:cs="Times New Roman"/>
          <w:sz w:val="44"/>
          <w:szCs w:val="44"/>
        </w:rPr>
        <w:t>印发攀枝花市西区</w:t>
      </w:r>
      <w:r>
        <w:rPr>
          <w:rFonts w:ascii="Times New Roman" w:hAnsi="Times New Roman" w:eastAsia="方正小标宋_GBK" w:cs="Times New Roman"/>
          <w:sz w:val="44"/>
          <w:szCs w:val="44"/>
        </w:rPr>
        <w:t>公共服务事项</w:t>
      </w:r>
      <w:r>
        <w:rPr>
          <w:rFonts w:hint="eastAsia" w:ascii="Times New Roman" w:hAnsi="Times New Roman" w:eastAsia="方正小标宋_GBK" w:cs="Times New Roman"/>
          <w:sz w:val="44"/>
          <w:szCs w:val="44"/>
        </w:rPr>
        <w:t>基本目录（2021年版）</w:t>
      </w:r>
      <w:r>
        <w:rPr>
          <w:rFonts w:ascii="Times New Roman" w:hAnsi="Times New Roman" w:eastAsia="方正小标宋_GBK" w:cs="Times New Roman"/>
          <w:sz w:val="44"/>
          <w:szCs w:val="44"/>
        </w:rPr>
        <w:t>的通知</w:t>
      </w:r>
    </w:p>
    <w:p>
      <w:pPr>
        <w:widowControl/>
        <w:spacing w:line="300" w:lineRule="auto"/>
        <w:jc w:val="center"/>
        <w:rPr>
          <w:rFonts w:ascii="Times New Roman" w:hAnsi="Times New Roman" w:eastAsia="方正小标宋_GBK" w:cs="Times New Roman"/>
          <w:sz w:val="32"/>
          <w:szCs w:val="32"/>
        </w:rPr>
      </w:pPr>
    </w:p>
    <w:p>
      <w:pPr>
        <w:keepNext w:val="0"/>
        <w:keepLines w:val="0"/>
        <w:pageBreakBefore w:val="0"/>
        <w:widowControl/>
        <w:kinsoku/>
        <w:overflowPunct/>
        <w:topLinePunct w:val="0"/>
        <w:autoSpaceDE/>
        <w:autoSpaceDN/>
        <w:bidi w:val="0"/>
        <w:adjustRightInd/>
        <w:snapToGrid/>
        <w:spacing w:line="353" w:lineRule="auto"/>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格里坪镇人民政府、各街道办事处，区级各部门</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w:t>
      </w:r>
    </w:p>
    <w:p>
      <w:pPr>
        <w:keepNext w:val="0"/>
        <w:keepLines w:val="0"/>
        <w:pageBreakBefore w:val="0"/>
        <w:widowControl/>
        <w:kinsoku/>
        <w:overflowPunct/>
        <w:topLinePunct w:val="0"/>
        <w:autoSpaceDE/>
        <w:autoSpaceDN/>
        <w:bidi w:val="0"/>
        <w:adjustRightInd/>
        <w:snapToGrid/>
        <w:spacing w:line="353"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《攀枝花市西区公共服务事项基本目录（2021年版）》（以下简称《目录（2021年版）》）。</w:t>
      </w:r>
      <w:r>
        <w:rPr>
          <w:rFonts w:hint="eastAsia" w:ascii="Times New Roman" w:hAnsi="Times New Roman" w:eastAsia="仿宋_GB2312" w:cs="Times New Roman"/>
          <w:sz w:val="32"/>
          <w:szCs w:val="32"/>
          <w:lang w:eastAsia="zh-CN"/>
        </w:rPr>
        <w:t>已</w:t>
      </w:r>
      <w:r>
        <w:rPr>
          <w:rFonts w:hint="default" w:ascii="Times New Roman" w:hAnsi="Times New Roman" w:eastAsia="仿宋_GB2312" w:cs="Times New Roman"/>
          <w:sz w:val="32"/>
          <w:szCs w:val="32"/>
        </w:rPr>
        <w:t>经区政府同意，现印发你们，并就有关事项通知如下。</w:t>
      </w:r>
    </w:p>
    <w:p>
      <w:pPr>
        <w:keepNext w:val="0"/>
        <w:keepLines w:val="0"/>
        <w:pageBreakBefore w:val="0"/>
        <w:widowControl w:val="0"/>
        <w:numPr>
          <w:ilvl w:val="0"/>
          <w:numId w:val="0"/>
        </w:numPr>
        <w:kinsoku/>
        <w:wordWrap/>
        <w:overflowPunct/>
        <w:topLinePunct w:val="0"/>
        <w:autoSpaceDE/>
        <w:autoSpaceDN/>
        <w:bidi w:val="0"/>
        <w:adjustRightInd/>
        <w:snapToGrid/>
        <w:spacing w:line="353" w:lineRule="auto"/>
        <w:ind w:firstLine="640" w:firstLineChars="200"/>
        <w:jc w:val="both"/>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eastAsia="zh-CN"/>
        </w:rPr>
        <w:t>一、</w:t>
      </w:r>
      <w:r>
        <w:rPr>
          <w:rFonts w:hint="default" w:ascii="Times New Roman" w:hAnsi="Times New Roman" w:eastAsia="仿宋_GB2312" w:cs="Times New Roman"/>
          <w:sz w:val="32"/>
          <w:szCs w:val="32"/>
        </w:rPr>
        <w:t>《目录（2021年版）》要通过省一体化政务服务平台、政府门户网站和区政务服务大厅、镇（街道）</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村（社区）便民服务机构向社会公开，主动接受社会监督。</w:t>
      </w:r>
    </w:p>
    <w:p>
      <w:pPr>
        <w:keepNext w:val="0"/>
        <w:keepLines w:val="0"/>
        <w:pageBreakBefore w:val="0"/>
        <w:widowControl w:val="0"/>
        <w:numPr>
          <w:ilvl w:val="0"/>
          <w:numId w:val="0"/>
        </w:numPr>
        <w:kinsoku/>
        <w:wordWrap/>
        <w:overflowPunct/>
        <w:topLinePunct w:val="0"/>
        <w:autoSpaceDE/>
        <w:autoSpaceDN/>
        <w:bidi w:val="0"/>
        <w:adjustRightInd/>
        <w:snapToGrid/>
        <w:spacing w:line="353" w:lineRule="auto"/>
        <w:ind w:firstLine="640" w:firstLineChars="200"/>
        <w:jc w:val="both"/>
        <w:textAlignment w:val="auto"/>
        <w:rPr>
          <w:rFonts w:hint="default" w:ascii="Times New Roman" w:hAnsi="Times New Roman" w:eastAsia="仿宋_GB2312" w:cs="Times New Roman"/>
          <w:sz w:val="32"/>
          <w:szCs w:val="32"/>
        </w:rPr>
      </w:pPr>
      <w:r>
        <w:rPr>
          <w:rFonts w:hint="default" w:ascii="黑体" w:hAnsi="黑体" w:eastAsia="黑体" w:cs="黑体"/>
          <w:sz w:val="32"/>
          <w:szCs w:val="32"/>
        </w:rPr>
        <w:t>二、</w:t>
      </w:r>
      <w:r>
        <w:rPr>
          <w:rFonts w:hint="default" w:ascii="Times New Roman" w:hAnsi="Times New Roman" w:eastAsia="仿宋_GB2312" w:cs="Times New Roman"/>
          <w:sz w:val="32"/>
          <w:szCs w:val="32"/>
        </w:rPr>
        <w:t>列入《目录（2021年版）》中依申请办理的公共服务事项，除涉密事项外，原则上必须纳入相应层级政务服务（便民服务）大厅和省一体化政务服务平台办理，最大限度优化服务流程，缩短办理时限，减低办事成本，纵深推进“一网通办”前提下的“最多跑一次”改革。</w:t>
      </w:r>
    </w:p>
    <w:p>
      <w:pPr>
        <w:keepNext w:val="0"/>
        <w:keepLines w:val="0"/>
        <w:pageBreakBefore w:val="0"/>
        <w:widowControl/>
        <w:kinsoku/>
        <w:overflowPunct/>
        <w:topLinePunct w:val="0"/>
        <w:autoSpaceDE/>
        <w:autoSpaceDN/>
        <w:bidi w:val="0"/>
        <w:adjustRightInd/>
        <w:snapToGrid/>
        <w:spacing w:line="353" w:lineRule="auto"/>
        <w:ind w:firstLine="640" w:firstLineChars="200"/>
        <w:jc w:val="both"/>
        <w:textAlignment w:val="auto"/>
        <w:rPr>
          <w:rFonts w:hint="default" w:ascii="Times New Roman" w:hAnsi="Times New Roman" w:eastAsia="仿宋_GB2312" w:cs="Times New Roman"/>
          <w:sz w:val="32"/>
          <w:szCs w:val="32"/>
        </w:rPr>
      </w:pPr>
      <w:r>
        <w:rPr>
          <w:rFonts w:hint="default" w:ascii="黑体" w:hAnsi="黑体" w:eastAsia="黑体" w:cs="黑体"/>
          <w:sz w:val="32"/>
          <w:szCs w:val="32"/>
        </w:rPr>
        <w:t>三、</w:t>
      </w:r>
      <w:r>
        <w:rPr>
          <w:rFonts w:hint="default" w:ascii="Times New Roman" w:hAnsi="Times New Roman" w:eastAsia="仿宋_GB2312" w:cs="Times New Roman"/>
          <w:sz w:val="32"/>
          <w:szCs w:val="32"/>
        </w:rPr>
        <w:t>《目录（2021年版）》中的公共服务事项需要取消、变更、新增的，区级有关部门（单位）要及时</w:t>
      </w:r>
      <w:r>
        <w:rPr>
          <w:rFonts w:hint="eastAsia" w:ascii="Times New Roman" w:hAnsi="Times New Roman" w:eastAsia="仿宋_GB2312" w:cs="Times New Roman"/>
          <w:sz w:val="32"/>
          <w:szCs w:val="32"/>
          <w:lang w:eastAsia="zh-CN"/>
        </w:rPr>
        <w:t>报区行政审批局汇总，并由</w:t>
      </w:r>
      <w:r>
        <w:rPr>
          <w:rFonts w:hint="default" w:ascii="Times New Roman" w:hAnsi="Times New Roman" w:eastAsia="仿宋_GB2312" w:cs="Times New Roman"/>
          <w:sz w:val="32"/>
          <w:szCs w:val="32"/>
        </w:rPr>
        <w:t>区政府办公室</w:t>
      </w:r>
      <w:r>
        <w:rPr>
          <w:rFonts w:hint="default" w:ascii="Times New Roman" w:hAnsi="Times New Roman" w:eastAsia="仿宋_GB2312" w:cs="Times New Roman"/>
          <w:sz w:val="32"/>
          <w:szCs w:val="32"/>
          <w:lang w:val="en"/>
        </w:rPr>
        <w:t>会同区行政审批局</w:t>
      </w:r>
      <w:r>
        <w:rPr>
          <w:rFonts w:hint="default" w:ascii="Times New Roman" w:hAnsi="Times New Roman" w:eastAsia="仿宋_GB2312" w:cs="Times New Roman"/>
          <w:sz w:val="32"/>
          <w:szCs w:val="32"/>
        </w:rPr>
        <w:t>审核、确认。国家、省级</w:t>
      </w:r>
      <w:r>
        <w:rPr>
          <w:rFonts w:hint="default" w:ascii="Times New Roman" w:hAnsi="Times New Roman" w:eastAsia="仿宋_GB2312" w:cs="Times New Roman"/>
          <w:spacing w:val="-6"/>
          <w:sz w:val="32"/>
          <w:szCs w:val="32"/>
        </w:rPr>
        <w:t>、市级对公共服务事项有调整的，按国家、省、市调整要求执行。</w:t>
      </w:r>
    </w:p>
    <w:p>
      <w:pPr>
        <w:keepNext w:val="0"/>
        <w:keepLines w:val="0"/>
        <w:pageBreakBefore w:val="0"/>
        <w:widowControl/>
        <w:kinsoku/>
        <w:overflowPunct/>
        <w:topLinePunct w:val="0"/>
        <w:autoSpaceDE/>
        <w:autoSpaceDN/>
        <w:bidi w:val="0"/>
        <w:adjustRightInd/>
        <w:snapToGrid/>
        <w:spacing w:line="353"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《攀枝花市西区公共服务事项基本目录（2019年版）》同时废止。</w:t>
      </w:r>
    </w:p>
    <w:p>
      <w:pPr>
        <w:keepNext w:val="0"/>
        <w:keepLines w:val="0"/>
        <w:pageBreakBefore w:val="0"/>
        <w:kinsoku/>
        <w:overflowPunct/>
        <w:topLinePunct w:val="0"/>
        <w:autoSpaceDE/>
        <w:autoSpaceDN/>
        <w:bidi w:val="0"/>
        <w:adjustRightInd/>
        <w:snapToGrid/>
        <w:spacing w:line="353" w:lineRule="auto"/>
        <w:jc w:val="center"/>
        <w:textAlignment w:val="auto"/>
        <w:rPr>
          <w:rFonts w:hint="default" w:ascii="Times New Roman" w:hAnsi="Times New Roman" w:cs="Times New Roman"/>
          <w:sz w:val="32"/>
          <w:szCs w:val="32"/>
        </w:rPr>
      </w:pPr>
    </w:p>
    <w:p>
      <w:pPr>
        <w:keepNext w:val="0"/>
        <w:keepLines w:val="0"/>
        <w:pageBreakBefore w:val="0"/>
        <w:kinsoku/>
        <w:overflowPunct/>
        <w:topLinePunct w:val="0"/>
        <w:autoSpaceDE/>
        <w:autoSpaceDN/>
        <w:bidi w:val="0"/>
        <w:adjustRightInd/>
        <w:snapToGrid/>
        <w:spacing w:line="353" w:lineRule="auto"/>
        <w:jc w:val="center"/>
        <w:textAlignment w:val="auto"/>
        <w:rPr>
          <w:rFonts w:hint="default" w:ascii="Times New Roman" w:hAnsi="Times New Roman" w:cs="Times New Roman"/>
          <w:sz w:val="32"/>
          <w:szCs w:val="32"/>
        </w:rPr>
      </w:pPr>
    </w:p>
    <w:p>
      <w:pPr>
        <w:keepNext w:val="0"/>
        <w:keepLines w:val="0"/>
        <w:pageBreakBefore w:val="0"/>
        <w:kinsoku/>
        <w:overflowPunct/>
        <w:topLinePunct w:val="0"/>
        <w:autoSpaceDE/>
        <w:autoSpaceDN/>
        <w:bidi w:val="0"/>
        <w:adjustRightInd/>
        <w:snapToGrid/>
        <w:spacing w:line="353" w:lineRule="auto"/>
        <w:ind w:firstLine="4320" w:firstLineChars="135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攀枝花市西区人民政府办公室</w:t>
      </w:r>
    </w:p>
    <w:p>
      <w:pPr>
        <w:keepNext w:val="0"/>
        <w:keepLines w:val="0"/>
        <w:pageBreakBefore w:val="0"/>
        <w:kinsoku/>
        <w:wordWrap w:val="0"/>
        <w:overflowPunct/>
        <w:topLinePunct w:val="0"/>
        <w:autoSpaceDE/>
        <w:autoSpaceDN/>
        <w:bidi w:val="0"/>
        <w:adjustRightInd/>
        <w:snapToGrid/>
        <w:spacing w:line="353" w:lineRule="auto"/>
        <w:ind w:right="1218" w:rightChars="58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2022年4月</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日</w:t>
      </w:r>
    </w:p>
    <w:p>
      <w:pPr>
        <w:keepNext w:val="0"/>
        <w:keepLines w:val="0"/>
        <w:pageBreakBefore w:val="0"/>
        <w:kinsoku/>
        <w:overflowPunct/>
        <w:topLinePunct w:val="0"/>
        <w:autoSpaceDE/>
        <w:autoSpaceDN/>
        <w:bidi w:val="0"/>
        <w:adjustRightInd/>
        <w:snapToGrid/>
        <w:spacing w:line="353" w:lineRule="auto"/>
        <w:textAlignment w:val="auto"/>
        <w:rPr>
          <w:rFonts w:hint="default" w:ascii="Times New Roman" w:hAnsi="Times New Roman" w:eastAsia="仿宋_GB2312" w:cs="Times New Roman"/>
          <w:sz w:val="32"/>
          <w:szCs w:val="32"/>
        </w:rPr>
        <w:sectPr>
          <w:footerReference r:id="rId3" w:type="default"/>
          <w:pgSz w:w="11906" w:h="16838"/>
          <w:pgMar w:top="2098" w:right="1474" w:bottom="1984" w:left="1587" w:header="851" w:footer="1417" w:gutter="0"/>
          <w:pgNumType w:fmt="numberInDash"/>
          <w:cols w:space="425" w:num="1"/>
          <w:docGrid w:type="lines" w:linePitch="312" w:charSpace="0"/>
        </w:sectPr>
      </w:pPr>
    </w:p>
    <w:p>
      <w:pPr>
        <w:jc w:val="center"/>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color w:val="000000"/>
          <w:kern w:val="0"/>
          <w:sz w:val="44"/>
          <w:szCs w:val="44"/>
        </w:rPr>
        <w:t>攀枝花市西区公共服务事项基本目录（2021版）</w:t>
      </w:r>
    </w:p>
    <w:p>
      <w:pPr>
        <w:widowControl/>
        <w:jc w:val="center"/>
        <w:textAlignment w:val="center"/>
        <w:rPr>
          <w:rFonts w:ascii="黑体" w:hAnsi="宋体" w:eastAsia="黑体" w:cs="黑体"/>
          <w:color w:val="000000"/>
          <w:kern w:val="0"/>
          <w:szCs w:val="21"/>
        </w:rPr>
      </w:pPr>
    </w:p>
    <w:tbl>
      <w:tblPr>
        <w:tblStyle w:val="5"/>
        <w:tblW w:w="14499" w:type="dxa"/>
        <w:jc w:val="center"/>
        <w:tblLayout w:type="fixed"/>
        <w:tblCellMar>
          <w:top w:w="0" w:type="dxa"/>
          <w:left w:w="108" w:type="dxa"/>
          <w:bottom w:w="0" w:type="dxa"/>
          <w:right w:w="108" w:type="dxa"/>
        </w:tblCellMar>
      </w:tblPr>
      <w:tblGrid>
        <w:gridCol w:w="1420"/>
        <w:gridCol w:w="652"/>
        <w:gridCol w:w="1553"/>
        <w:gridCol w:w="757"/>
        <w:gridCol w:w="1854"/>
        <w:gridCol w:w="708"/>
        <w:gridCol w:w="83"/>
        <w:gridCol w:w="708"/>
        <w:gridCol w:w="3469"/>
        <w:gridCol w:w="708"/>
        <w:gridCol w:w="1063"/>
        <w:gridCol w:w="708"/>
        <w:gridCol w:w="108"/>
        <w:gridCol w:w="708"/>
      </w:tblGrid>
      <w:tr>
        <w:tblPrEx>
          <w:tblCellMar>
            <w:top w:w="0" w:type="dxa"/>
            <w:left w:w="108" w:type="dxa"/>
            <w:bottom w:w="0" w:type="dxa"/>
            <w:right w:w="108" w:type="dxa"/>
          </w:tblCellMar>
        </w:tblPrEx>
        <w:trPr>
          <w:trHeight w:val="468" w:hRule="atLeast"/>
          <w:tblHeader/>
          <w:jc w:val="center"/>
        </w:trPr>
        <w:tc>
          <w:tcPr>
            <w:tcW w:w="1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rPr>
              <w:t>业务部门</w:t>
            </w:r>
          </w:p>
        </w:tc>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rPr>
              <w:t>项号</w:t>
            </w:r>
          </w:p>
        </w:tc>
        <w:tc>
          <w:tcPr>
            <w:tcW w:w="41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rPr>
              <w:t>事项名称</w:t>
            </w:r>
          </w:p>
        </w:tc>
        <w:tc>
          <w:tcPr>
            <w:tcW w:w="14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rPr>
              <w:t>服务类型</w:t>
            </w:r>
          </w:p>
        </w:tc>
        <w:tc>
          <w:tcPr>
            <w:tcW w:w="417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rPr>
              <w:t>设定依据</w:t>
            </w:r>
          </w:p>
        </w:tc>
        <w:tc>
          <w:tcPr>
            <w:tcW w:w="17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rPr>
              <w:t>服务对象</w:t>
            </w:r>
          </w:p>
        </w:tc>
        <w:tc>
          <w:tcPr>
            <w:tcW w:w="81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rPr>
              <w:t>办理层级</w:t>
            </w:r>
          </w:p>
        </w:tc>
      </w:tr>
      <w:tr>
        <w:tblPrEx>
          <w:tblCellMar>
            <w:top w:w="0" w:type="dxa"/>
            <w:left w:w="108" w:type="dxa"/>
            <w:bottom w:w="0" w:type="dxa"/>
            <w:right w:w="108" w:type="dxa"/>
          </w:tblCellMar>
        </w:tblPrEx>
        <w:trPr>
          <w:trHeight w:val="942" w:hRule="atLeast"/>
          <w:tblHeader/>
          <w:jc w:val="center"/>
        </w:trPr>
        <w:tc>
          <w:tcPr>
            <w:tcW w:w="142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ascii="黑体" w:hAnsi="宋体" w:eastAsia="黑体" w:cs="黑体"/>
                <w:color w:val="000000"/>
                <w:szCs w:val="21"/>
              </w:rPr>
            </w:pPr>
          </w:p>
        </w:tc>
        <w:tc>
          <w:tcPr>
            <w:tcW w:w="652"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ascii="黑体" w:hAnsi="宋体" w:eastAsia="黑体" w:cs="黑体"/>
                <w:color w:val="000000"/>
                <w:szCs w:val="21"/>
              </w:rPr>
            </w:pP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rPr>
              <w:t>主项名称</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rPr>
              <w:t>子项项号</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rPr>
              <w:t>子项名称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rPr>
              <w:t>依申请类</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rPr>
              <w:t>主动行使类</w:t>
            </w:r>
          </w:p>
        </w:tc>
        <w:tc>
          <w:tcPr>
            <w:tcW w:w="41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宋体" w:eastAsia="黑体" w:cs="黑体"/>
                <w:color w:val="000000"/>
                <w:szCs w:val="21"/>
              </w:rPr>
            </w:pPr>
          </w:p>
        </w:tc>
        <w:tc>
          <w:tcPr>
            <w:tcW w:w="1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宋体" w:eastAsia="黑体" w:cs="黑体"/>
                <w:color w:val="000000"/>
                <w:szCs w:val="21"/>
              </w:rPr>
            </w:pPr>
          </w:p>
        </w:tc>
        <w:tc>
          <w:tcPr>
            <w:tcW w:w="8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宋体" w:eastAsia="黑体" w:cs="黑体"/>
                <w:color w:val="000000"/>
                <w:szCs w:val="21"/>
              </w:rPr>
            </w:pPr>
          </w:p>
        </w:tc>
      </w:tr>
      <w:tr>
        <w:tblPrEx>
          <w:tblCellMar>
            <w:top w:w="0" w:type="dxa"/>
            <w:left w:w="108" w:type="dxa"/>
            <w:bottom w:w="0" w:type="dxa"/>
            <w:right w:w="108" w:type="dxa"/>
          </w:tblCellMar>
        </w:tblPrEx>
        <w:trPr>
          <w:trHeight w:val="1616"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区教育和体育局</w:t>
            </w:r>
          </w:p>
        </w:tc>
        <w:tc>
          <w:tcPr>
            <w:tcW w:w="652"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1</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教育资助</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义务教育家庭经济困难学生生活补助查询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b/>
                <w:bCs/>
                <w:color w:val="00000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《四川省人民政府办公厅关于印发〈四川省教育领域省与市县财政事权和支出责任划分改革方案〉的通知》（川办发〔2020〕64号）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color w:val="00000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color w:val="00000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普通高中国家助学金、免学费查询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b/>
                <w:bCs/>
                <w:color w:val="00000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《四川省财政厅 四川省教育厅关于建立普通高中家庭经济困难学生国家资助制度的实施意见》（川财教〔2010〕330号）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color w:val="00000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color w:val="00000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学前教育减免保教费查询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b/>
                <w:bCs/>
                <w:color w:val="00000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《四川省财政厅 四川省教育厅关于加大财政投入支持学前教育发展的通知》（川财教〔2011〕224号）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81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中等职业学校学生国家助学金查询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《四川省财政厅 四川省发展和改革委员会 四川省教育厅 四川省人力资源和社会保障厅关于全面实行中等职业教育免学费政策进一步完善国家助学金制度的通知》（川财教〔2012〕298号）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restart"/>
            <w:tcBorders>
              <w:top w:val="single" w:color="auto" w:sz="4" w:space="0"/>
              <w:left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区教育和体育局</w:t>
            </w:r>
          </w:p>
        </w:tc>
        <w:tc>
          <w:tcPr>
            <w:tcW w:w="652"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1</w:t>
            </w:r>
          </w:p>
        </w:tc>
        <w:tc>
          <w:tcPr>
            <w:tcW w:w="155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教育资助</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学生资助政策咨询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b/>
                <w:bCs/>
                <w:color w:val="00000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《中华人民共和国政府信息公开条例》（国务院令第711号）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left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2</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教育考试服务</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招生考试政策咨询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b/>
                <w:bCs/>
                <w:color w:val="00000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《中华人民共和国政府信息公开条例》（国务院令第711号）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left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color w:val="00000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b/>
                <w:bCs/>
                <w:color w:val="00000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普通话培训</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b/>
                <w:bCs/>
                <w:color w:val="00000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《中华人民共和国国家通用语言文字法》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vMerge w:val="continue"/>
            <w:tcBorders>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color w:val="00000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b/>
                <w:bCs/>
                <w:color w:val="00000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普通话证书查询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b/>
                <w:bCs/>
                <w:color w:val="00000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《普通话水平测试管理规定》（教育部令第16号）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2"/>
                <w:szCs w:val="22"/>
              </w:rPr>
            </w:pP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tcBorders>
              <w:top w:val="single" w:color="auto"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教师资格相关政策咨询</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教师资格相关政策咨询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《教师资格条例》（国务院令第188号）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《〈教师资格条例〉实施办法》（教育部令第10号）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eastAsia="宋体" w:cs="宋体"/>
                <w:color w:val="000000"/>
                <w:sz w:val="22"/>
                <w:szCs w:val="22"/>
              </w:rPr>
            </w:pPr>
          </w:p>
        </w:tc>
        <w:tc>
          <w:tcPr>
            <w:tcW w:w="652" w:type="dxa"/>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tcBorders>
              <w:top w:val="single" w:color="000000"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中小学教师职称评聘政策咨询</w:t>
            </w: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10</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中小学教师职称评聘政策咨询</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《四川省中小学教师职称申报评审基本条件》（川教〔2020〕85号）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Times New Roman" w:hAnsi="Times New Roman" w:eastAsia="仿宋_GB2312" w:cs="Times New Roman"/>
                <w:color w:val="000000"/>
                <w:kern w:val="0"/>
                <w:sz w:val="21"/>
                <w:szCs w:val="21"/>
              </w:rPr>
              <w:t>区教育和体育局</w:t>
            </w:r>
          </w:p>
        </w:tc>
        <w:tc>
          <w:tcPr>
            <w:tcW w:w="652" w:type="dxa"/>
            <w:vMerge w:val="restart"/>
            <w:tcBorders>
              <w:top w:val="single" w:color="auto" w:sz="4" w:space="0"/>
              <w:left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5</w:t>
            </w:r>
          </w:p>
        </w:tc>
        <w:tc>
          <w:tcPr>
            <w:tcW w:w="1553" w:type="dxa"/>
            <w:vMerge w:val="restart"/>
            <w:tcBorders>
              <w:top w:val="single" w:color="auto" w:sz="4" w:space="0"/>
              <w:left w:val="single" w:color="000000"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学生入学、学籍异动政策咨询及办理</w:t>
            </w: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11</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学前教育、义务教育阶段入学政策咨询及办理</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《中华人民共和国义务教育法》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eastAsia="宋体" w:cs="宋体"/>
                <w:color w:val="000000"/>
                <w:sz w:val="22"/>
                <w:szCs w:val="22"/>
              </w:rPr>
            </w:pPr>
          </w:p>
        </w:tc>
        <w:tc>
          <w:tcPr>
            <w:tcW w:w="652" w:type="dxa"/>
            <w:vMerge w:val="continue"/>
            <w:tcBorders>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12</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辖区学校中小学学生学籍管理服务（注册、毕业、学历认证等）</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 xml:space="preserve">《中华人民共和国义务教育法》   </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《教育部关于印发〈中小学生学籍管理办法〉的通知》（教基一〔2013〕7号）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eastAsia="宋体" w:cs="宋体"/>
                <w:color w:val="000000"/>
                <w:sz w:val="22"/>
                <w:szCs w:val="22"/>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ascii="宋体" w:hAnsi="宋体" w:eastAsia="宋体" w:cs="宋体"/>
                <w:color w:val="000000"/>
                <w:sz w:val="22"/>
                <w:szCs w:val="22"/>
              </w:rPr>
            </w:pP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13</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义务教育阶段学生学籍异动政策咨询及办理</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《中华人民共和国义务教育法》                          《教育部关于印发〈中小学生学籍管理办法〉的通知》（教基一〔2013〕7号）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eastAsia="宋体" w:cs="宋体"/>
                <w:color w:val="000000"/>
                <w:sz w:val="22"/>
                <w:szCs w:val="22"/>
              </w:rPr>
            </w:pPr>
          </w:p>
        </w:tc>
        <w:tc>
          <w:tcPr>
            <w:tcW w:w="652" w:type="dxa"/>
            <w:tcBorders>
              <w:top w:val="single" w:color="auto"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6</w:t>
            </w:r>
          </w:p>
        </w:tc>
        <w:tc>
          <w:tcPr>
            <w:tcW w:w="1553" w:type="dxa"/>
            <w:tcBorders>
              <w:top w:val="single" w:color="auto"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学校办学基本情况咨询</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14</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学校办学基本情况咨询</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《中华人民共和国教育法》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98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eastAsia="宋体" w:cs="宋体"/>
                <w:color w:val="000000"/>
                <w:sz w:val="22"/>
                <w:szCs w:val="22"/>
              </w:rPr>
            </w:pPr>
          </w:p>
        </w:tc>
        <w:tc>
          <w:tcPr>
            <w:tcW w:w="6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7</w:t>
            </w:r>
          </w:p>
        </w:tc>
        <w:tc>
          <w:tcPr>
            <w:tcW w:w="15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进城务工人员随迁子女接受义务教育入学申请办理</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15</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进城务工人员随迁子女接受义务教育入学申请办理</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《四川省〈中华人民共和国义务教育法〉实施办法》（四川省第十二届人民代表大会常务委员会公告第19号）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区教育和体育局</w:t>
            </w:r>
          </w:p>
        </w:tc>
        <w:tc>
          <w:tcPr>
            <w:tcW w:w="6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8</w:t>
            </w:r>
          </w:p>
        </w:tc>
        <w:tc>
          <w:tcPr>
            <w:tcW w:w="15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教师资格证补发、换发</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16</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教师资格证补发、换发</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《〈教师资格条例〉实施办法》（教育部令第10号）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区科技局</w:t>
            </w:r>
          </w:p>
        </w:tc>
        <w:tc>
          <w:tcPr>
            <w:tcW w:w="652" w:type="dxa"/>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科技政策咨询服务</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17</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科技政策咨询服务</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《四川省科学技术进步条例》（四川省第十二届人民代表大会常务委员会公告第69号）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市公安局西区分局</w:t>
            </w:r>
          </w:p>
        </w:tc>
        <w:tc>
          <w:tcPr>
            <w:tcW w:w="652" w:type="dxa"/>
            <w:vMerge w:val="restart"/>
            <w:tcBorders>
              <w:top w:val="single" w:color="auto" w:sz="4" w:space="0"/>
              <w:left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vMerge w:val="restart"/>
            <w:tcBorders>
              <w:top w:val="single" w:color="auto" w:sz="4" w:space="0"/>
              <w:left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户政业务办理</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居民身份证办理（包括临时身份证）</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《中华人民共和国居民身份证法》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居民身份证省内异地办理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《公安部关于建立〈居民身份证异地受理挂失申报和丢失招领制度的意见〉的通知》（公通字〔2015〕34号）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居民身份证跨省异地办理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《公安部关于建立〈居民身份证异地受理挂失申报和丢失招领制度的意见〉的通知》（公通字〔2015〕34号）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居民身份证挂失申报、丢失招领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《公安部关于建立〈居民身份证异地受理挂失申报和丢失招领制度的意见〉的通知》（公通字〔2015〕34号）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市公安局西区分局</w:t>
            </w:r>
          </w:p>
        </w:tc>
        <w:tc>
          <w:tcPr>
            <w:tcW w:w="652"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派出所出具证明</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户口登记项目内容变更更正证明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《公安部等部委关于印发〈关于改进和规范公安派出所出具证明工作的意见〉的通知》（公通字〔2016〕21号）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注销户口证明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《公安部等部委关于印发〈关于改进和规范公安派出所出具证明工作的意见〉的通知》（公通字〔2016〕21号）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亲属关系证明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《公安部等部委关于印发〈关于改进和规范公安派出所出具证明工作的意见〉的通知》（公通字〔2016〕21号）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被拐儿童身份证明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《公安部等部委关于印发〈关于改进和规范公安派出所出具证明工作的意见〉的通知》（公通字〔2016〕21号）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652"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捡拾弃婴（儿童）报案证明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《公安部等部委关于印发〈关于改进和规范公安派出所出具证明工作的意见〉的通知》（公通字〔2016〕21号）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市公安局西区分局</w:t>
            </w:r>
          </w:p>
        </w:tc>
        <w:tc>
          <w:tcPr>
            <w:tcW w:w="652"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派出所出具证明</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非正常死亡证明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《公安部等部委关于印发〈关于改进和规范公安派出所出具证明工作的意见〉的通知》（公通字〔2016〕21号）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52"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临时身份证明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《公安部等部委关于印发〈关于改进和规范公安派出所出具证明工作的意见〉的通知》（公通字〔2016〕21号）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52"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无犯罪记录证明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《公安部等部委关于印发〈关于改进和规范公安派出所出具证明工作的意见〉的通知》（公通字〔2016〕21号）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652"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tcBorders>
              <w:top w:val="single" w:color="auto"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居住证办理</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居住证办理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《居住证暂行条例》（国务院令第663号）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381"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65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tcBorders>
              <w:top w:val="single" w:color="000000"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交通记录证明</w:t>
            </w:r>
          </w:p>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由当地公安机关核发的机动车驾驶证并有3年以上驾龄、并安全行车、无重大交通事故责任记录</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《出租汽车驾驶员从业资格管理规定》（交通运输部令2016年第63号）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w:t>
            </w:r>
          </w:p>
        </w:tc>
      </w:tr>
      <w:tr>
        <w:tblPrEx>
          <w:tblCellMar>
            <w:top w:w="0" w:type="dxa"/>
            <w:left w:w="108" w:type="dxa"/>
            <w:bottom w:w="0" w:type="dxa"/>
            <w:right w:w="108" w:type="dxa"/>
          </w:tblCellMar>
        </w:tblPrEx>
        <w:trPr>
          <w:trHeight w:val="198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2"/>
                <w:szCs w:val="22"/>
              </w:rPr>
            </w:pPr>
            <w:r>
              <w:rPr>
                <w:rFonts w:hint="eastAsia" w:ascii="Times New Roman" w:hAnsi="Times New Roman" w:eastAsia="仿宋_GB2312" w:cs="Times New Roman"/>
                <w:color w:val="000000"/>
                <w:kern w:val="0"/>
                <w:sz w:val="21"/>
                <w:szCs w:val="21"/>
              </w:rPr>
              <w:t>市公安局西区分局</w:t>
            </w:r>
          </w:p>
        </w:tc>
        <w:tc>
          <w:tcPr>
            <w:tcW w:w="652" w:type="dxa"/>
            <w:vMerge w:val="restart"/>
            <w:tcBorders>
              <w:top w:val="single" w:color="auto" w:sz="4" w:space="0"/>
              <w:left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vMerge w:val="restart"/>
            <w:tcBorders>
              <w:top w:val="single" w:color="auto" w:sz="4" w:space="0"/>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交通记录证明</w:t>
            </w:r>
          </w:p>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出具已聘用或者拟聘用驾驶人员的3年内无重大以上交通责任事故的证明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《道路旅客运输及客运站管理规定》（交通运输部令2020年第17号）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2"/>
                <w:szCs w:val="22"/>
              </w:rPr>
            </w:pPr>
          </w:p>
        </w:tc>
        <w:tc>
          <w:tcPr>
            <w:tcW w:w="652" w:type="dxa"/>
            <w:vMerge w:val="continue"/>
            <w:tcBorders>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出具的相关人员安全驾驶经历证明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《机动车驾驶员培训管理规定》（交通运输部令2016年第51号）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2"/>
                <w:szCs w:val="22"/>
              </w:rPr>
            </w:pPr>
          </w:p>
        </w:tc>
        <w:tc>
          <w:tcPr>
            <w:tcW w:w="652" w:type="dxa"/>
            <w:vMerge w:val="restart"/>
            <w:tcBorders>
              <w:top w:val="single" w:color="000000"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5</w:t>
            </w:r>
          </w:p>
        </w:tc>
        <w:tc>
          <w:tcPr>
            <w:tcW w:w="1553" w:type="dxa"/>
            <w:vMerge w:val="restart"/>
            <w:tcBorders>
              <w:top w:val="single" w:color="000000" w:sz="4" w:space="0"/>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特种行业备案</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旧货业备案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《公安部关于深化娱乐服务场所和特种行业治安管理改革进一步依法加强事中事后监管的工作意见》（公治〔2017〕529号）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2"/>
                <w:szCs w:val="22"/>
              </w:rPr>
            </w:pPr>
          </w:p>
        </w:tc>
        <w:tc>
          <w:tcPr>
            <w:tcW w:w="652"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旧手机交易业备案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《公安部关于深化娱乐服务场所和特种行业治安管理改革进一步依法加强事中事后监管的工作意见》（公治〔2017〕529号）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2"/>
                <w:szCs w:val="22"/>
              </w:rPr>
            </w:pPr>
          </w:p>
        </w:tc>
        <w:tc>
          <w:tcPr>
            <w:tcW w:w="652"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开锁业备案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《公安部关于深化娱乐服务场所和特种行业治安管理改革进一步依法加强事中事后监管的工作意见》（公治〔2017〕529号）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区民政局</w:t>
            </w:r>
          </w:p>
          <w:p>
            <w:pPr>
              <w:jc w:val="center"/>
              <w:rPr>
                <w:rFonts w:ascii="宋体" w:hAnsi="宋体" w:eastAsia="宋体" w:cs="宋体"/>
                <w:color w:val="000000"/>
                <w:sz w:val="22"/>
                <w:szCs w:val="22"/>
              </w:rPr>
            </w:pPr>
          </w:p>
        </w:tc>
        <w:tc>
          <w:tcPr>
            <w:tcW w:w="652"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出具社会组织开立验资账户通知书</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出具社会团体开立验资账户通知书</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《中国人民银行成都分行 四川省民政厅关于规范社会组织开立临时存款账户有关事项的通知》（成银发〔2016〕79号）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出具民办非企业单位开立验资账户通知书</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《中国人民银行成都分行 四川省民政厅关于规范社会组织开立临时存款账户有关事项的通知》（成银发〔2016〕79号）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2"/>
                <w:szCs w:val="22"/>
              </w:rPr>
            </w:pPr>
          </w:p>
        </w:tc>
        <w:tc>
          <w:tcPr>
            <w:tcW w:w="652"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w:t>
            </w:r>
          </w:p>
        </w:tc>
        <w:tc>
          <w:tcPr>
            <w:tcW w:w="1553" w:type="dxa"/>
            <w:tcBorders>
              <w:top w:val="single" w:color="auto"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社会组织档案查询</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社会组织档案查询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《民政部 国家档案局关于印发〈社会组织登记档案管理办法〉的通知》（民发〔2010〕101号）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65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社会组织评估</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社会组织评估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《社会组织评估管理办法》（民政部令第39号）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非营利法人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2"/>
                <w:szCs w:val="22"/>
              </w:rPr>
            </w:pPr>
          </w:p>
        </w:tc>
        <w:tc>
          <w:tcPr>
            <w:tcW w:w="652" w:type="dxa"/>
            <w:vMerge w:val="restart"/>
            <w:tcBorders>
              <w:top w:val="single" w:color="000000" w:sz="4" w:space="0"/>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vMerge w:val="restart"/>
            <w:tcBorders>
              <w:top w:val="single" w:color="000000" w:sz="4" w:space="0"/>
              <w:left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婚姻登记预约</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结婚登记预约</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《四川省〈婚姻登记工作规范〉实施细则》（川民发〔2019〕44号）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845"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2"/>
                <w:szCs w:val="22"/>
              </w:rPr>
            </w:pPr>
          </w:p>
        </w:tc>
        <w:tc>
          <w:tcPr>
            <w:tcW w:w="652" w:type="dxa"/>
            <w:vMerge w:val="continue"/>
            <w:tcBorders>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1553" w:type="dxa"/>
            <w:vMerge w:val="continue"/>
            <w:tcBorders>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离婚登记预约</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《四川省〈婚姻登记工作规范〉实施细则》（川民发〔2019〕44号）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区民政局</w:t>
            </w:r>
          </w:p>
          <w:p>
            <w:pPr>
              <w:jc w:val="center"/>
              <w:rPr>
                <w:rFonts w:ascii="宋体" w:hAnsi="宋体" w:eastAsia="宋体" w:cs="宋体"/>
                <w:color w:val="000000"/>
                <w:sz w:val="22"/>
                <w:szCs w:val="22"/>
              </w:rPr>
            </w:pPr>
          </w:p>
        </w:tc>
        <w:tc>
          <w:tcPr>
            <w:tcW w:w="65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5</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养老机构等级评定和划分</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养老机构等级评定和划分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《中华人民共和国老年人权益保障法》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《国务院办公厅关于推进养老服务发展的意见》（国办发〔2019〕5号）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2"/>
                <w:szCs w:val="22"/>
              </w:rPr>
            </w:pPr>
          </w:p>
        </w:tc>
        <w:tc>
          <w:tcPr>
            <w:tcW w:w="65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6</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80周岁以上老年人高龄津贴发放</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80周岁以上老年人高龄津贴发放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《省老龄办 省民政厅 省财政厅〈关于建立80周岁以上老年人高龄津贴制度的通知〉》（川老龄办〔2017〕45号）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652" w:type="dxa"/>
            <w:tcBorders>
              <w:top w:val="single" w:color="000000"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7</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城市生活无着流浪乞讨人员救助</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城市生活无着流浪乞讨人员救助</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《城市生活无着的流浪乞讨人员救助管理办法》（国务院令第381号）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2"/>
                <w:szCs w:val="22"/>
              </w:rPr>
            </w:pPr>
          </w:p>
        </w:tc>
        <w:tc>
          <w:tcPr>
            <w:tcW w:w="652" w:type="dxa"/>
            <w:vMerge w:val="restart"/>
            <w:tcBorders>
              <w:top w:val="single" w:color="auto" w:sz="4" w:space="0"/>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8</w:t>
            </w:r>
          </w:p>
        </w:tc>
        <w:tc>
          <w:tcPr>
            <w:tcW w:w="1553" w:type="dxa"/>
            <w:vMerge w:val="restart"/>
            <w:tcBorders>
              <w:top w:val="single" w:color="auto" w:sz="4" w:space="0"/>
              <w:left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社会救助管理服务</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最低生活保障</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《社会救助暂行办法》（国务院令第649号）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652" w:type="dxa"/>
            <w:vMerge w:val="continue"/>
            <w:tcBorders>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临时救助</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《社会救助暂行办法》（国务院令第649号）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2"/>
                <w:szCs w:val="22"/>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2"/>
                <w:szCs w:val="22"/>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特困人员救助供养</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《社会救助暂行办法》（国务院令第649号）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2"/>
                <w:szCs w:val="22"/>
              </w:rPr>
            </w:pPr>
            <w:r>
              <w:rPr>
                <w:rFonts w:hint="eastAsia" w:ascii="Times New Roman" w:hAnsi="Times New Roman" w:eastAsia="仿宋_GB2312" w:cs="Times New Roman"/>
                <w:color w:val="000000"/>
                <w:kern w:val="0"/>
                <w:sz w:val="21"/>
                <w:szCs w:val="21"/>
              </w:rPr>
              <w:t>区民政局</w:t>
            </w: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9</w:t>
            </w:r>
          </w:p>
        </w:tc>
        <w:tc>
          <w:tcPr>
            <w:tcW w:w="1553"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养老机构设立备案</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养老机构设立备案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《养老机构管理办法》（民政部令第66号）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2"/>
                <w:szCs w:val="22"/>
              </w:rPr>
            </w:pPr>
          </w:p>
        </w:tc>
        <w:tc>
          <w:tcPr>
            <w:tcW w:w="652" w:type="dxa"/>
            <w:vMerge w:val="restart"/>
            <w:tcBorders>
              <w:top w:val="single" w:color="auto" w:sz="4" w:space="0"/>
              <w:left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10</w:t>
            </w:r>
          </w:p>
        </w:tc>
        <w:tc>
          <w:tcPr>
            <w:tcW w:w="1553" w:type="dxa"/>
            <w:vMerge w:val="restart"/>
            <w:tcBorders>
              <w:top w:val="single" w:color="auto" w:sz="4" w:space="0"/>
              <w:left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残疾人两项补贴</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50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困难残疾人生活补贴</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《国务院关于全面建立困难残疾人生活补贴和重度残疾人护理补贴制度的意见》（国发〔2015〕52号）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2"/>
                <w:szCs w:val="22"/>
              </w:rPr>
            </w:pPr>
          </w:p>
        </w:tc>
        <w:tc>
          <w:tcPr>
            <w:tcW w:w="652" w:type="dxa"/>
            <w:vMerge w:val="continue"/>
            <w:tcBorders>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51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重度残疾人护理补贴</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《国务院关于全面建立困难残疾人生活补贴和重度残疾人护理补贴制度的意见》（国发〔2015〕52号）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2"/>
                <w:szCs w:val="22"/>
              </w:rPr>
            </w:pP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11</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儿童福利</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52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孤儿救助资格认定及基本生活费发放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《国务院办公厅关于加强孤儿保障工作的意见》（国办发〔2010〕54号）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《民政部 财政部关于发放孤儿基本生活费的通知》（民发〔2010〕161号）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53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艾滋病病毒感染儿童基本生活费发放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《民政部 财政部关于发放艾滋病病毒感染儿童基本生活费的通知》（民发〔2012〕179号）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98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区民政局</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11</w:t>
            </w:r>
          </w:p>
        </w:tc>
        <w:tc>
          <w:tcPr>
            <w:tcW w:w="1553"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儿童福利</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54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事实无人抚养儿童认定及基本生活补贴发放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《民政部 最高人民法院 最高人民检察院 发展改革委 教育部 公安部 司法部 财政部 国家医保局 共青团中央 全国妇联 中国残联关于进一步加强事实无人抚养儿童保障工作的意见》（民发〔2019〕62号）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自然人、特别法人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55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家庭经济困难儿童提供最低生活保障</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《国务院关于加强困境儿童保障工作的意见》（国发〔2016〕36号）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12</w:t>
            </w:r>
          </w:p>
        </w:tc>
        <w:tc>
          <w:tcPr>
            <w:tcW w:w="155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儿童服务</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56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农村留守儿童关爱保护</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《国务院关于加强农村留守儿童关爱保护工作的意见》（国发〔2016〕13号）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乡（镇）</w:t>
            </w:r>
          </w:p>
        </w:tc>
      </w:tr>
      <w:tr>
        <w:tblPrEx>
          <w:tblCellMar>
            <w:top w:w="0" w:type="dxa"/>
            <w:left w:w="108" w:type="dxa"/>
            <w:bottom w:w="0" w:type="dxa"/>
            <w:right w:w="108" w:type="dxa"/>
          </w:tblCellMar>
        </w:tblPrEx>
        <w:trPr>
          <w:trHeight w:val="2381"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13</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惠民殡葬救助</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57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惠民殡葬救助</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 xml:space="preserve">《 攀枝花市民政局 攀枝花市财政局关于印发 〈攀枝花市惠民殡葬政策实施办法的通知》（攀民政〔2021〕97号 ）                            </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《攀枝花市民政局 攀枝花市财政局关于印发〈攀枝花市惠民殡葬政策实施办法补充规定〉的通知》（攀民政〔2021〕6号）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区司法局</w:t>
            </w: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tcBorders>
              <w:top w:val="single" w:color="auto"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村（社区）法律顾问基本信息查询</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58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村（社区）法律顾问基本信息查询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《司法部关于推进公共法律服务平台建设的意见》（司发〔2017〕9号）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自然人、营利法人、非营利法人、非法人组织、特别法人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乡（镇）</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w:t>
            </w:r>
          </w:p>
        </w:tc>
        <w:tc>
          <w:tcPr>
            <w:tcW w:w="1553" w:type="dxa"/>
            <w:vMerge w:val="restart"/>
            <w:tcBorders>
              <w:top w:val="single" w:color="000000"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公证服务</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59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公证机构及公证员信息查询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《司法部关于推进公共法律服务平台建设的意见》（司发〔2017〕9号）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自然人、营利法人、非营利法人、非法人组织、特别法人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60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公证业务预约办理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《司法部关于推进公共法律服务平台建设的意见》（司发〔2017〕9号）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自然人、营利法人、非营利法人、非法人组织、特别法人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律师及律所业务</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61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律师及律所信息查询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《司法部关于推进公共法律服务平台建设的意见》（司发〔2017〕9号）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自然人、营利法人、非营利法人、非法人组织、特别法人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区司法局</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律师及律所业务</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62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律师及律所业务咨询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《司法部关于推进公共法律服务平台建设的意见》（司发〔2017〕9号）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自然人、营利法人、非营利法人、非法人组织、特别法人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63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律师及律所投诉指引</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《司法部关于推进公共法律服务平台建设的意见》（司发〔2017〕9号）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自然人、营利法人、非营利法人、非法人组织、特别法人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司法鉴定服务</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64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司法鉴定机构及司法鉴定人信息查询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《司法部关于推进公共法律服务平台建设的意见》（司发〔2017〕9号）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自然人、营利法人、非营利法人、非法人组织、特别法人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65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司法鉴定咨询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《司法部关于推进公共法律服务平台建设的意见》（司发〔2017〕9号）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自然人、营利法人、非营利法人、非法人组织、特别法人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区司法局</w:t>
            </w:r>
          </w:p>
        </w:tc>
        <w:tc>
          <w:tcPr>
            <w:tcW w:w="652"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司法鉴定服务</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66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司法鉴定投诉指引</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《司法部关于推进公共法律服务平台建设的意见》（司发〔2017〕9号）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自然人、营利法人、非营利法人、非法人组织、特别法人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98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5</w:t>
            </w:r>
          </w:p>
        </w:tc>
        <w:tc>
          <w:tcPr>
            <w:tcW w:w="155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基层法律服务所及基层法律服务工作者信息查询</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67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基层法律服务所及基层法律服务工作者信息查询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《司法部关于推进公共法律服务平台建设的意见》（司发〔2017〕9号）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自然人、营利法人、非营利法人、非法人组织、特别法人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6</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人民调解业务信息查询</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68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人民调解业务信息查询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《司法部关于推进公共法律服务平台建设的意见》（司发〔2017〕9号）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自然人、营利法人、非营利法人、非法人组织、特别法人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304" w:hRule="atLeast"/>
          <w:jc w:val="center"/>
        </w:trPr>
        <w:tc>
          <w:tcPr>
            <w:tcW w:w="1420"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区财政局</w:t>
            </w:r>
          </w:p>
        </w:tc>
        <w:tc>
          <w:tcPr>
            <w:tcW w:w="652"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会计专业技术人员继续教育服务</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69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会计专业技术人员继续教育办理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《财政部 人力资源社会保障部关于印发〈会计专业技术人员继续教育规定〉的通知》（财会〔2018〕10号）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区财政局</w:t>
            </w:r>
          </w:p>
        </w:tc>
        <w:tc>
          <w:tcPr>
            <w:tcW w:w="652"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会计专业技术人员继续教育服务</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70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会计专业技术人员继续教育信息查询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《财政部 人力资源社会保障部关于印发〈会计专业技术人员继续教育规定〉的通知》（财会〔2018〕10号）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社会保险登记</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71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企业社会保险登记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72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机关事业单位社会保险登记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73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工程建设项目办理工伤保险参保登记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《工伤保险条例》（国务院令第586号）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74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参保单位注销</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社会保险登记</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75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职工参保登记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76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城乡居民养老保险参保登记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77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灵活就业人员企业职工基本养老保险参保登记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78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缴费人员减少</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w:t>
            </w:r>
          </w:p>
        </w:tc>
        <w:tc>
          <w:tcPr>
            <w:tcW w:w="1553"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社会保险参保信息维护</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79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单位基本信息变更</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w:t>
            </w:r>
          </w:p>
        </w:tc>
        <w:tc>
          <w:tcPr>
            <w:tcW w:w="1553" w:type="dxa"/>
            <w:vMerge w:val="restart"/>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社会保险参保信息维护</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80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个人基本信息变更</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81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定期待遇发放账户维护申请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vMerge w:val="restart"/>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社会保险缴费申报</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82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社会保险缴费申报与变更</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《社会保险费征缴暂行条例》（国务院令第259号）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83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社会保险费断缴补缴申报</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《社会保险费征缴暂行条例》（国务院令第259号）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社会保险缴费申报</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84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社会保险费欠费补缴申报</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《社会保险费征缴暂行条例》（国务院令第259号）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社会保险费缴纳</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85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机关事业单位职业年金缴纳</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《国务院办公厅关于印发机关事业单位职业年金办法的通知》（国办发〔2015〕18号）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非营利法人、特别法人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5</w:t>
            </w:r>
          </w:p>
        </w:tc>
        <w:tc>
          <w:tcPr>
            <w:tcW w:w="1553"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社会保险参保缴费记录查询</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86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单位社保参保证明查询打印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87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个人权益记录查询打印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6</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养老保险服务</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88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达到法定退休年龄缴费不满15年社保权益申请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《实施〈中华人民共和国社会保险法〉若干规定》（人力资源社会保障部令第13号）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6</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养老保险服务</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89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职工退休申请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90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城乡居民养老保险待遇申领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县（区）、乡（镇）</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91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暂停养老保险待遇申请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92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恢复养老保险待遇申请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8" w:hRule="atLeast"/>
          <w:jc w:val="center"/>
        </w:trPr>
        <w:tc>
          <w:tcPr>
            <w:tcW w:w="142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6</w:t>
            </w:r>
          </w:p>
        </w:tc>
        <w:tc>
          <w:tcPr>
            <w:tcW w:w="1553"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养老保险服务</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93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养老保险个人账户储存额一次性申领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94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参保人员养老保险死亡待遇申领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《实施〈中华人民共和国社会保险法〉若干规定》（人力资源和社会保障部令第13号）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95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企业职工养老保险病残津贴申领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96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企业职工基本养老保险关系转移接续</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6</w:t>
            </w:r>
          </w:p>
        </w:tc>
        <w:tc>
          <w:tcPr>
            <w:tcW w:w="1553" w:type="dxa"/>
            <w:vMerge w:val="restart"/>
            <w:tcBorders>
              <w:top w:val="single" w:color="auto" w:sz="4" w:space="0"/>
              <w:left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养老保险服务</w:t>
            </w:r>
          </w:p>
        </w:tc>
        <w:tc>
          <w:tcPr>
            <w:tcW w:w="757" w:type="dxa"/>
            <w:tcBorders>
              <w:top w:val="single" w:color="000000"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97</w:t>
            </w:r>
          </w:p>
        </w:tc>
        <w:tc>
          <w:tcPr>
            <w:tcW w:w="1854"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机关事业单位基本养老保险关系转移接续（含职业年金）</w:t>
            </w:r>
          </w:p>
        </w:tc>
        <w:tc>
          <w:tcPr>
            <w:tcW w:w="708"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自然人、非营利法人、特别法人</w:t>
            </w:r>
          </w:p>
        </w:tc>
        <w:tc>
          <w:tcPr>
            <w:tcW w:w="816"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98</w:t>
            </w:r>
          </w:p>
        </w:tc>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城乡居民基本养老保险关系转移接续申请</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《人力资源社会保障部关于印发〈城乡居民基本养老保险经办规程〉的通知》（人社部发〔2014〕23号）</w:t>
            </w:r>
          </w:p>
        </w:tc>
        <w:tc>
          <w:tcPr>
            <w:tcW w:w="17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99</w:t>
            </w:r>
          </w:p>
        </w:tc>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机关事业单位基本养老保险与企业职工基本养老保险互转</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100</w:t>
            </w:r>
          </w:p>
        </w:tc>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企业职工基本养老保险与城乡居民基本养老保险互转</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6</w:t>
            </w:r>
          </w:p>
        </w:tc>
        <w:tc>
          <w:tcPr>
            <w:tcW w:w="1553" w:type="dxa"/>
            <w:vMerge w:val="restart"/>
            <w:tcBorders>
              <w:top w:val="single" w:color="auto" w:sz="4" w:space="0"/>
              <w:left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养老保险服务</w:t>
            </w:r>
          </w:p>
        </w:tc>
        <w:tc>
          <w:tcPr>
            <w:tcW w:w="757"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101</w:t>
            </w:r>
          </w:p>
        </w:tc>
        <w:tc>
          <w:tcPr>
            <w:tcW w:w="1854"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军地养老保险关系转移接续申请</w:t>
            </w:r>
          </w:p>
        </w:tc>
        <w:tc>
          <w:tcPr>
            <w:tcW w:w="708"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《人力资源社会保障部等部委〈关于军人退役基本养老保险关系转移接续有关问题的通知〉》（后财〔2015〕1726号）</w:t>
            </w:r>
          </w:p>
        </w:tc>
        <w:tc>
          <w:tcPr>
            <w:tcW w:w="1771"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102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领取养老金人员待遇资格认证</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《劳动和社会保障部办公厅〈关于进一步规范基本养老金社会化发放工作的通知〉》（劳社厅发〔2001〕8号）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103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养老保险供养亲属领取待遇资格认证</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《中共中央办公厅 国务院办公厅转发劳动和社会保障部等部门〈关于积极推进企业退休人员社会化管理服务工作的意见〉的通知》（中办发〔2003〕16号）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7</w:t>
            </w:r>
          </w:p>
        </w:tc>
        <w:tc>
          <w:tcPr>
            <w:tcW w:w="155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工伤保险服务</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104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工伤事故备案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《人力资源社会保障部关于印发工伤保险经办规程的通知》（人社部发〔2012〕11号）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7</w:t>
            </w:r>
          </w:p>
        </w:tc>
        <w:tc>
          <w:tcPr>
            <w:tcW w:w="1553"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工伤保险服务</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105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工伤认定申请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106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劳动能力鉴定申请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107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工伤预防项目申报</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《工伤保险条例》（国务院令第586号）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108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协议医疗机构的申请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《工伤保险条例》（国务院令第586号）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109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协议康复机构的申请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《工伤保险条例》（国务院令第586号）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7</w:t>
            </w:r>
          </w:p>
        </w:tc>
        <w:tc>
          <w:tcPr>
            <w:tcW w:w="1553"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工伤保险服务</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110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辅助器具配置协议机构的申请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《工伤保险条例》（国务院令第586号）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111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工伤异地居住（就医）申请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《人力资源社会保障部关于印发工伤保险经办规程的通知》（人社部发〔2012〕11号）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112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旧伤复发申请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《人力资源社会保障部关于印发工伤保险经办规程的通知》（人社部发〔2012〕11号）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113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转诊转院到异地就医申请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《人力资源社会保障部关于印发工伤保险经办规程的通知》（人社部发〔2012〕11号）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7</w:t>
            </w:r>
          </w:p>
        </w:tc>
        <w:tc>
          <w:tcPr>
            <w:tcW w:w="1553"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工伤保险服务</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114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工伤康复申请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《工伤保险条例》（国务院令第586号）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115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工伤康复治疗期延长申请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《人力资源社会保障部关于印发工伤保险经办规程的通知》（人社部发〔2012〕11号）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116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辅助器具配置更换申请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《工伤保险条例》（国务院令第586号）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117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停工留薪期确认和延长确认</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《工伤保险条例》（国务院令第586号）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7</w:t>
            </w:r>
          </w:p>
        </w:tc>
        <w:tc>
          <w:tcPr>
            <w:tcW w:w="1553"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工伤保险服务</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118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工伤医疗（康复）费用申报</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《工伤保险条例》（国务院令第586号）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119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住院伙食补助费申领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《工伤保险条例》（国务院令第586号）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120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转诊转院到异地就医待遇申领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《工伤保险条例》（国务院令第586号）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121</w:t>
            </w:r>
          </w:p>
        </w:tc>
        <w:tc>
          <w:tcPr>
            <w:tcW w:w="1854"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劳动能力鉴定费用申报</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7</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工伤保险服务</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122</w:t>
            </w:r>
          </w:p>
        </w:tc>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一次性工伤医疗补助金申请</w:t>
            </w:r>
          </w:p>
        </w:tc>
        <w:tc>
          <w:tcPr>
            <w:tcW w:w="7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《工伤保险条例》（国务院令第586号）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123</w:t>
            </w:r>
          </w:p>
        </w:tc>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辅助器具配置（更换）费用申报</w:t>
            </w:r>
          </w:p>
        </w:tc>
        <w:tc>
          <w:tcPr>
            <w:tcW w:w="7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《工伤保险条例》（国务院令第586号）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124</w:t>
            </w:r>
          </w:p>
        </w:tc>
        <w:tc>
          <w:tcPr>
            <w:tcW w:w="1854"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伤残待遇申领（一次性伤残补助金、伤残津贴和生活护理费）</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125</w:t>
            </w:r>
          </w:p>
        </w:tc>
        <w:tc>
          <w:tcPr>
            <w:tcW w:w="1854"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一次性工亡补助金（含生活困难，预支50%确认）、丧葬补助金申领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7</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工伤保险服务</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126</w:t>
            </w:r>
          </w:p>
        </w:tc>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供养亲属抚恤金申领</w:t>
            </w:r>
          </w:p>
        </w:tc>
        <w:tc>
          <w:tcPr>
            <w:tcW w:w="7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127</w:t>
            </w:r>
          </w:p>
        </w:tc>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工伤保险待遇变更</w:t>
            </w:r>
          </w:p>
        </w:tc>
        <w:tc>
          <w:tcPr>
            <w:tcW w:w="7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128</w:t>
            </w:r>
          </w:p>
        </w:tc>
        <w:tc>
          <w:tcPr>
            <w:tcW w:w="1854"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领取一级至四级伤残职工工伤保险长期待遇资格认证</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《人力资源社会保障部办公厅关于印发〈领取社会保险待遇资格确认经办规程（暂行）〉的通知》（人社厅发〔2018〕107号）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129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领取因工死亡职工供养亲属待遇资格认证</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《人力资源社会保障部办公厅关于印发〈领取社会保险待遇资格确认经办规程（暂行）〉的通知》（人社厅发〔2018〕107号）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8</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失业保险服务</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130</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失业保险金申领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131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丧葬补助金和抚恤金申领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132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职业培训补贴申领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《失业保险条例》（国务院令第258号）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133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职业介绍补贴申领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《失业保险条例》（国务院令第258号）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134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失业保险关系转移接续</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《失业保险条例》（国务院令第258号）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8</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失业保险服务</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135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稳岗返还申领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《国务院关于进一步做好新形势下就业创业工作的意见》（国发〔2015〕23号）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136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技能提升补贴申领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《国务院关于做好当前和今后一段时期就业创业工作的意见》（国发〔2017〕28号）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137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领取失业保险待遇期间生育补助金申请和发放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《四川省失业保险条例》（四川省第九届人民代表大会常务委员会第53号）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138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失业保险待遇发放账户维护申请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《失业保险金申领发放办法》（劳动和社会保障部令第8号）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9</w:t>
            </w:r>
          </w:p>
        </w:tc>
        <w:tc>
          <w:tcPr>
            <w:tcW w:w="1553"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企业年金方案备案</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139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企业年金方案备案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《企业年金办法》（人力资源社会保障部 财政部令第36号）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9</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企业年金方案备案</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140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企业年金方案重要条款变更备案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《企业年金办法》（人力资源社会保障部 财政部令第36号）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141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企业年金方案终止备案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《企业年金办法》（人力资源社会保障部 财政部令第36号）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10</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社会保障卡服务</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142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社会保障卡申领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《人力资源社会保障部关于印发〈“中华人民共和国社会保障卡”管理办法〉的通知》（人社部发〔2011〕47号）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143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社会保障卡启用</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《人力资源社会保障部关于印发〈“中华人民共和国社会保障卡”管理办法〉的通知》（人社部发〔2011〕47号）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144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社会保障卡应用状态查询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《人力资源社会保障部关于印发〈“中华人民共和国社会保障卡”管理办法〉的通知》（人社部发〔2011〕47号）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10</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社会保障卡服务</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145</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社会保障卡信息变更</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《人力资源社会保障部关于印发〈“中华人民共和国社会保障卡”管理办法〉的通知》（人社部发〔2011〕47号）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146</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社会保障卡密码修改与重置</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《人力资源社会保障部关于印发〈“中华人民共和国社会保障卡”管理办法〉的通知》（人社部发〔2011〕47号）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147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社会保障卡挂失与解挂</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《人力资源社会保障部关于印发〈“中华人民共和国社会保障卡”管理办法〉的通知》（人社部发〔2011〕47号）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148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社会保障卡补领、换领、换发</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《人力资源社会保障部关于印发〈“中华人民共和国社会保障卡”管理办法〉的通知》（人社部发〔2011〕47号）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149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社会保障卡注销</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《人力资源社会保障部关于印发〈“中华人民共和国社会保障卡”管理办法〉的通知》（人社部发〔2011〕47号）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11</w:t>
            </w:r>
          </w:p>
        </w:tc>
        <w:tc>
          <w:tcPr>
            <w:tcW w:w="1553"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职业介绍、职业指导和创业开业指导</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150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职业介绍</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《中华人民共和国就业促进法》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151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职业指导</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《中华人民共和国就业促进法》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12</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公共就业服务专项活动</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152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公共就业服务专项活动</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《就业服务与就业管理规定》（劳动社会保障部令第28号）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153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职业供求信息、市场工资指导价位信息和职业培训信息发布</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《中华人民共和国就业促进法》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13</w:t>
            </w:r>
          </w:p>
        </w:tc>
        <w:tc>
          <w:tcPr>
            <w:tcW w:w="155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就业失业登记</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154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失业登记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《中华人民共和国就业促进法》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13</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就业失业登记</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155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就业登记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《中华人民共和国就业促进法》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14</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创业服务</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156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《就业创业证》申领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《国务院关于进一步做好新形势下就业创业工作的意见》（国发〔2015〕23号）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157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创业补贴申领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《国务院关于做好当前和今后一段时期就业创业工作的意见》（国发〔2017〕28号）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158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创业担保贷款申请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《国务院关于进一步做好新形势下就业创业工作的意见》（国发〔2015〕23号）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159</w:t>
            </w:r>
          </w:p>
        </w:tc>
        <w:tc>
          <w:tcPr>
            <w:tcW w:w="1854"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创业专家咨询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《四川省人民政府关于做好当前和今后一段时期就业创业工作的实施意见》（川府发〔2017〕53号）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14</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创业服务</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160</w:t>
            </w:r>
          </w:p>
        </w:tc>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创业项目查询</w:t>
            </w:r>
          </w:p>
        </w:tc>
        <w:tc>
          <w:tcPr>
            <w:tcW w:w="7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《四川省人民政府关于进一步做好新形势下就业创业工作的意见》（川府发〔2015〕38号）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161</w:t>
            </w:r>
          </w:p>
        </w:tc>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大学生创业吸纳就业奖励申请</w:t>
            </w:r>
          </w:p>
        </w:tc>
        <w:tc>
          <w:tcPr>
            <w:tcW w:w="7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《四川省人力资源和社会保障厅等部门关于进一步促进大学生就业创业的意见》（川人社发〔2016〕50号）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162</w:t>
            </w:r>
          </w:p>
        </w:tc>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在校大学生创业担保贷款贴息申请</w:t>
            </w:r>
          </w:p>
        </w:tc>
        <w:tc>
          <w:tcPr>
            <w:tcW w:w="7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《四川省人民政府办公厅关于加大力度促进高校毕业生就业创业的意见》（川办发〔2014〕26号）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15</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对就业困难人员（含建档立卡贫困劳动力）实施就业援助</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163</w:t>
            </w:r>
          </w:p>
        </w:tc>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就业困难人员认定</w:t>
            </w:r>
          </w:p>
        </w:tc>
        <w:tc>
          <w:tcPr>
            <w:tcW w:w="7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《中华人民共和国就业促进法》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164</w:t>
            </w:r>
          </w:p>
        </w:tc>
        <w:tc>
          <w:tcPr>
            <w:tcW w:w="1854"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就业困难人员社会保险补贴申领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《国务院关于做好当前和今后一段时期就业创业工作的意见》（国发〔2017〕28号）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15</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对就业困难人员（含建档立卡贫困劳动力）实施就业援助</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165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公益性岗位补贴申领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《国务院关于做好当前和今后一段时期就业创业工作的意见》（国发〔2017〕28号）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166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求职创业补贴申领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《财政部 人力资源社会保障部关于印发〈就业补助资金管理办法〉的通知》（财社〔2019〕38号）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167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吸纳贫困劳动力就业奖补申领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《国务院关于做好当前和今后一段时期就业创业工作的意见》（国发〔2017〕28号）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168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零就业家庭认定申请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《国务院关于做好当前和今后一段时期就业创业工作的意见》（国发〔2017〕28号）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16</w:t>
            </w:r>
          </w:p>
        </w:tc>
        <w:tc>
          <w:tcPr>
            <w:tcW w:w="1553"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高校毕业生就业服务</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169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高校毕业生接收手续办理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《人力资源市场暂行条例》（国务院令第700号）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16</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高校毕业生就业服务</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170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就业见习补贴申领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《国务院关于进一步做好新形势下就业创业工作的意见》（国发〔2015〕23号）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171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求职创业补贴申领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《国务院关于进一步做好新形势下就业创业工作的意见》（国发〔2015〕23号）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172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高校毕业生社保补贴申领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《国务院关于进一步做好新形势下就业创业工作的意见》（国发〔2015〕23号）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17</w:t>
            </w:r>
          </w:p>
        </w:tc>
        <w:tc>
          <w:tcPr>
            <w:tcW w:w="155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职业培训</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173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职业培训补贴申领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《关于进一步做好职业技能提升行动专账资金使用管理工作的通知》（川人社办发〔2020〕30号）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17</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职业培训</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174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就业重点群体生活费（含交通费）补贴申请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《关于进一步做好职业技能提升行动专账资金使用管理工作的通知》（川人社办发〔2020〕30号）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18</w:t>
            </w:r>
          </w:p>
        </w:tc>
        <w:tc>
          <w:tcPr>
            <w:tcW w:w="1553"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职业技能鉴定补贴</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175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职业技能鉴定补贴</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《关于进一步做好职业技能提升行动专账资金使用管理工作的通知》（川人社办发〔2020〕30号）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auto" w:sz="4" w:space="0"/>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19</w:t>
            </w:r>
          </w:p>
        </w:tc>
        <w:tc>
          <w:tcPr>
            <w:tcW w:w="1553" w:type="dxa"/>
            <w:vMerge w:val="restart"/>
            <w:tcBorders>
              <w:top w:val="single" w:color="auto" w:sz="4" w:space="0"/>
              <w:left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事业单位人事管理服务</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176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事业单位拟聘人员备案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《事业单位人事管理条例》（国务院令第652号）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非营利法人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177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事业单位工作人员申诉、再申诉办理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《事业单位人事管理条例》（国务院令第652号）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20</w:t>
            </w:r>
          </w:p>
        </w:tc>
        <w:tc>
          <w:tcPr>
            <w:tcW w:w="155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流动人员人事档案管理服务</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178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档案的接收和转递</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《人力资源市场暂行条例》（国务院令第700号）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20</w:t>
            </w:r>
          </w:p>
        </w:tc>
        <w:tc>
          <w:tcPr>
            <w:tcW w:w="1553" w:type="dxa"/>
            <w:vMerge w:val="restart"/>
            <w:tcBorders>
              <w:top w:val="single" w:color="auto" w:sz="4" w:space="0"/>
              <w:left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流动人员人事档案管理服务</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179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档案材料的收集、鉴别和归档</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《人力资源市场暂行条例》（国务院令第700号）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180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提供档案查（借）阅服务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《人力资源市场暂行条例》（国务院令第700号）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181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依据档案记载出具相关证明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《人力资源市场暂行条例》（国务院令第700号）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182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提供政审（考察）服务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《人力资源市场暂行条例》（国务院令第700号）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20</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流动人员人事档案管理服务</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183</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档案的整理和保管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《人力资源市场暂行条例》（国务院令第700号）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21</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高技能人才服务</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184</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高技能领军人才窗口服务申请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《中共中央办公厅 国务院办公厅印发关于提高技术工人待遇的意见的通知》（中办发〔2018〕16号）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22</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专业技术人员管理服务</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185</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职称评审委员会备案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《职称评审管理暂行规定》（人力资源社会保障部令第40号）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23</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劳动关系协调</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186</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集体合同审查</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《中华人民共和国劳动法》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187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劳动用工备案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《中共中央 国务院关于构建和谐劳动关系的意见》（中发〔2015〕10号）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vMerge w:val="restart"/>
            <w:tcBorders>
              <w:top w:val="single" w:color="auto" w:sz="4" w:space="0"/>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23</w:t>
            </w:r>
          </w:p>
        </w:tc>
        <w:tc>
          <w:tcPr>
            <w:tcW w:w="1553" w:type="dxa"/>
            <w:vMerge w:val="restart"/>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劳动关系协调</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188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企业经济性裁员报告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《中华人民共和国劳动法》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189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录用未成年工登记备案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《中华人民共和国劳动法》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24</w:t>
            </w:r>
          </w:p>
        </w:tc>
        <w:tc>
          <w:tcPr>
            <w:tcW w:w="155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劳动人事争议调解仲裁</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190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劳动人事争议调解申请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《中华人民共和国劳动争议调解仲裁法》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24</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劳动人事争议调解仲裁</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191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劳动人事争议仲裁申请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《中华人民共和国劳动争议调解仲裁法》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区人力资源社会保障局</w:t>
            </w:r>
          </w:p>
        </w:tc>
        <w:tc>
          <w:tcPr>
            <w:tcW w:w="652"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25</w:t>
            </w:r>
          </w:p>
        </w:tc>
        <w:tc>
          <w:tcPr>
            <w:tcW w:w="155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创业服务</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192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市级创业孵化基地认定申请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《攀枝花市人力资源和社会保障局等五部门关于印发&lt;攀枝花市市级创业孵化基地认定管理暂行办法&gt;的通知》（攀人社发〔2021〕114号）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市自然资源和规划局西区分局</w:t>
            </w: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不动产登记资料查询</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193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不动产登记资料查询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《不动产登记暂行条例》（国务院令第656号）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自然人、营利法人、非营利法人、非法人组织、特别法人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w:t>
            </w:r>
          </w:p>
        </w:tc>
      </w:tr>
      <w:tr>
        <w:tblPrEx>
          <w:tblCellMar>
            <w:top w:w="0" w:type="dxa"/>
            <w:left w:w="108" w:type="dxa"/>
            <w:bottom w:w="0" w:type="dxa"/>
            <w:right w:w="108" w:type="dxa"/>
          </w:tblCellMar>
        </w:tblPrEx>
        <w:trPr>
          <w:trHeight w:val="2381" w:hRule="atLeast"/>
          <w:jc w:val="center"/>
        </w:trPr>
        <w:tc>
          <w:tcPr>
            <w:tcW w:w="1420" w:type="dxa"/>
            <w:vMerge w:val="continue"/>
            <w:tcBorders>
              <w:top w:val="single" w:color="auto" w:sz="4" w:space="0"/>
              <w:left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w:t>
            </w:r>
          </w:p>
        </w:tc>
        <w:tc>
          <w:tcPr>
            <w:tcW w:w="155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拟建项目压覆重要矿产资源查询</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194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拟建项目范围内重要矿产资源分布和重要矿产资源矿业权设置情况查询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《中华人民共和国矿产资源法》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《中华人民共和国矿产资源法实施细则》（国务院令第152号）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《四川省自然资源厅关于建设项目压覆重要矿产资源自助查询的公告》（川自然资公告﹝2021﹞26号）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营利法人、非营利法人、非法人组织、特别法人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采矿权抵押备案</w:t>
            </w:r>
          </w:p>
        </w:tc>
        <w:tc>
          <w:tcPr>
            <w:tcW w:w="757"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195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采矿权抵押备案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《国土资源部关于印发〈矿业权出让转让管理暂行规定〉的通知》（国土资发〔2000〕309号）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营利法人、非营利法人、非法人组织、特别法人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区住房城乡建设局</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公共租赁住房服务</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196</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公共租赁住房申请资格认定</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《公共租赁住房管理办法》（住房城乡建设部令第11号）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197</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公共租赁住房申请资格取消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《公共租赁住房管理办法》（住房城乡建设部令第11号）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198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住房保障家庭租赁补贴发放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《公共租赁住房管理办法》（住房城乡建设部令第11号）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vMerge w:val="continue"/>
            <w:tcBorders>
              <w:left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199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公租房租金缴纳</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《公共租赁住房管理办法》（住房城乡建设部令第11号）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left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危旧房棚户区改造信息查询</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200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危旧房棚户区改造信息查询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《国务院办公厅关于进一步加强棚户区改造工作的通知》（国办发〔2014〕36号）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农村危房改造农户档案信息查询</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201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农村危房改造农户档案信息查询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《住房和城乡建设部 财政部 民政部 国家乡村振兴局关于做好农村低收入群体等重点对象住房安全保障工作的实施意见》（建村〔2021〕35号）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市公积金中心西区管理部</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住房公积金服务</w:t>
            </w:r>
          </w:p>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202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住房公积金汇缴</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《住房公积金管理条例》（国务院令第262号）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自然人、营利法人、非营利法人、非法人组织、特别法人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203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住房公积金提取</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《住房公积金管理条例》（国务院令第262号）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自然人、营利法人、非营利法人、非法人组织、特别法人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204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住房公积金贷款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《住房公积金管理条例》（国务院令第262号）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区农业农村和交通运输局</w:t>
            </w: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公路行业政策法规标准查询</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205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普通公路行业政策制度查询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《中华人民共和国公路法》                                《中华人民共和国政府信息公开条例》（国务院令第711号）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206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普通公路行业技术标准查询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《中华人民共和国公路法》                                《中华人民共和国政府信息公开条例》（国务院令第711号）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区农业农村和交通运输局</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公路项目及参建单位信息查询</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207</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普通公路项目信息（进度、资金补助政策等）查询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《中华人民共和国公路法》                                《中华人民共和国政府信息公开条例》（国务院令第711号）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98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208</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普通公路参建单位（设计、施工、监理等）相关资质、信用等级查询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《中华人民共和国公路法》                                《中华人民共和国政府信息公开条例》（国务院令第711号）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航道维护尺度发布</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209</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航道维护尺度发布</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《中华人民共和国航道法》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拖拉机/联合收割机档案解除封存</w:t>
            </w:r>
          </w:p>
        </w:tc>
        <w:tc>
          <w:tcPr>
            <w:tcW w:w="757"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210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拖拉机/联合收割机档案解除封存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《拖拉机联合收割机登记规定》（农业部令2018年第2号）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5</w:t>
            </w:r>
          </w:p>
        </w:tc>
        <w:tc>
          <w:tcPr>
            <w:tcW w:w="155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农村能源工程报废</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211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农村能源工程报废</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《农业部办公厅关于规范户用沼气报废管理的通知》（农办科〔2013〕11号）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vMerge w:val="restart"/>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区农业农村和交通运输局</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6</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养蜂证申领</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212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养蜂证申领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《养蜂管理办法（试行）》（农业部公告第1692号）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7</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受理农村土地承包经营纠纷仲裁申请</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213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受理农村土地承包经营纠纷仲裁申请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《中华人民共和国农村土地承包经营纠纷调解仲裁法》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区文广旅局</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公共图书馆服务</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214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公共图书馆查询服务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《中华人民共和国公共图书馆法》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215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公共图书馆借阅服务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《中华人民共和国公共图书馆法》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216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公共图书馆举办</w:t>
            </w:r>
          </w:p>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公益性讲座服务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《中华人民共和国公共图书馆法》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217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公共图书馆举办展览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《中华人民共和国公共图书馆法》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218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公共图书馆全民阅读推广活动</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《中华人民共和国公共图书馆法》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区文广旅局</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文化馆服务</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219</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文化馆娱乐活动室等公共空间设施场地的免费开放服务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《文化部 财政部关于推进全国美术馆、公共图书馆、文化馆（站）免费开放工作的意见》（文财务发〔2011〕5号）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220</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文化馆文化艺术辅导培训服务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《文化部 财政部关于推进全国美术馆、公共图书馆、文化馆（站）免费开放工作的意见》（文财务发〔2011〕5号）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221</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文化馆公益性群众文化活动服务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《文化部 财政部关于推进全国美术馆、公共图书馆、文化馆（站）免费开放工作的意见》（文财务发〔2011〕5号）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222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文化馆举办陈列展览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《文化部 财政部关于推进全国美术馆、公共图书馆、文化馆（站）免费开放工作的意见》（文财务发〔2011〕5号）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博物院提供公共文化服务</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223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场馆免费开放服务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《关于全国博物馆、纪念馆免费开放的通知》（中宣发〔2008〕2号）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区文广旅局</w:t>
            </w: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博物院提供公共文化服务</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224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博物馆举办陈列展览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《中华人民共和国公共文化服务保障法》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《中华人民共和国文物保护法》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225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博物馆开展文化活动</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《中华人民共和国公共文化服务保障法》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226</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博物馆举办教育活动</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《中华人民共和国公共文化服务保障法》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《新时代公民道德建设实施纲要》</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区卫生健康局</w:t>
            </w:r>
          </w:p>
        </w:tc>
        <w:tc>
          <w:tcPr>
            <w:tcW w:w="65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放射工作人员证办理</w:t>
            </w: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227</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放射工作人员证办理</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《放射工作人员职业健康管理办法》（卫生部令第55号）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w:t>
            </w:r>
          </w:p>
        </w:tc>
        <w:tc>
          <w:tcPr>
            <w:tcW w:w="1553"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生育登记服务</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228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生育登记服务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《四川省人口与计划生育条例》（四川省第十三届人民代表大会常务委员会公告第96号）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乡（镇）</w:t>
            </w:r>
          </w:p>
        </w:tc>
      </w:tr>
      <w:tr>
        <w:tblPrEx>
          <w:tblCellMar>
            <w:top w:w="0" w:type="dxa"/>
            <w:left w:w="108" w:type="dxa"/>
            <w:bottom w:w="0" w:type="dxa"/>
            <w:right w:w="108" w:type="dxa"/>
          </w:tblCellMar>
        </w:tblPrEx>
        <w:trPr>
          <w:trHeight w:val="1304" w:hRule="atLeast"/>
          <w:jc w:val="center"/>
        </w:trPr>
        <w:tc>
          <w:tcPr>
            <w:tcW w:w="1420" w:type="dxa"/>
            <w:vMerge w:val="continue"/>
            <w:tcBorders>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从业人员健康检查</w:t>
            </w:r>
          </w:p>
        </w:tc>
        <w:tc>
          <w:tcPr>
            <w:tcW w:w="757" w:type="dxa"/>
            <w:tcBorders>
              <w:top w:val="single" w:color="000000"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229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公共场所直接为顾客服务人员健康检查</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《国务院关于发布〈公共场所卫生管理条例〉的通知》（国发〔1987〕24号）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区卫生健康局</w:t>
            </w: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从业人员健康检查</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230</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供水单位直接从事管、供水人员健康检查</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《生活饮用水卫生监督管理办法》（住房和城乡建设部 国家卫生和计划生育委员会令第31号）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外出健康体检备案</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231</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外出健康体检备案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《卫生部关于印发〈健康体检管理暂行规定〉的通知》（卫医政发〔2009〕77号）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5</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义诊活动备案</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232</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义诊活动备案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《卫生部关于组织义诊活动实行备案管理的通知》（卫医发〔2001〕365号）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6</w:t>
            </w:r>
          </w:p>
        </w:tc>
        <w:tc>
          <w:tcPr>
            <w:tcW w:w="155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医师定期考核结果备案</w:t>
            </w:r>
          </w:p>
        </w:tc>
        <w:tc>
          <w:tcPr>
            <w:tcW w:w="757"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233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医师定期考核结果备案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《卫生部关于印发〈医师定期考核管理办法〉的通知》（卫医发〔2007〕66号）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7</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乙类公共场所备案</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234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乙类公共场所备案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《四川省公共场所卫生管理办法》（四川省人民政府令第322号）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8</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申领《四川省老年人优待证》</w:t>
            </w:r>
          </w:p>
        </w:tc>
        <w:tc>
          <w:tcPr>
            <w:tcW w:w="757"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235</w:t>
            </w:r>
          </w:p>
        </w:tc>
        <w:tc>
          <w:tcPr>
            <w:tcW w:w="1854"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申领《四川省老年人优待证》</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《四川省老年人权益保障条例》（四川省第十三届人民代表大会常务委员会公告第9号）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区卫生健康局</w:t>
            </w: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9</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限制类医疗技术临床应用备案管理</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236</w:t>
            </w:r>
          </w:p>
        </w:tc>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限制类医疗技术临床应用备案管理</w:t>
            </w:r>
          </w:p>
        </w:tc>
        <w:tc>
          <w:tcPr>
            <w:tcW w:w="7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《医疗技术临床应用管理办法》（国家卫生健康委令第1号）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10</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《出生医学证明》首次签发</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237</w:t>
            </w:r>
          </w:p>
        </w:tc>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《出生医学证明》首次签发</w:t>
            </w:r>
          </w:p>
        </w:tc>
        <w:tc>
          <w:tcPr>
            <w:tcW w:w="7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《中华人民共和国母婴保健法》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11</w:t>
            </w:r>
          </w:p>
        </w:tc>
        <w:tc>
          <w:tcPr>
            <w:tcW w:w="155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《预防接种证》办理</w:t>
            </w:r>
          </w:p>
        </w:tc>
        <w:tc>
          <w:tcPr>
            <w:tcW w:w="757"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238</w:t>
            </w:r>
          </w:p>
        </w:tc>
        <w:tc>
          <w:tcPr>
            <w:tcW w:w="1854"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《预防接种证》办理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《中华人民共和国疫苗管理法》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市、县（区）、乡（镇）</w:t>
            </w:r>
          </w:p>
        </w:tc>
      </w:tr>
      <w:tr>
        <w:tblPrEx>
          <w:tblCellMar>
            <w:top w:w="0" w:type="dxa"/>
            <w:left w:w="108" w:type="dxa"/>
            <w:bottom w:w="0" w:type="dxa"/>
            <w:right w:w="108" w:type="dxa"/>
          </w:tblCellMar>
        </w:tblPrEx>
        <w:trPr>
          <w:trHeight w:val="1587" w:hRule="atLeast"/>
          <w:jc w:val="center"/>
        </w:trPr>
        <w:tc>
          <w:tcPr>
            <w:tcW w:w="1420" w:type="dxa"/>
            <w:vMerge w:val="continue"/>
            <w:tcBorders>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12</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中医医疗机构医师定期考核结果备案</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239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中医医疗机构医师定期考核结果备案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《卫生部关于印发〈医师定期考核管理办法〉的通知》（卫医发〔2007〕66号）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区卫生健康局</w:t>
            </w: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13</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中医医疗机构限制类医疗技术临床应用备案</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240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中医医疗机构限制类医疗技术临床应用备案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《医疗技术临床应用管理办法》（国家卫生健康委令第1号）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14</w:t>
            </w:r>
          </w:p>
        </w:tc>
        <w:tc>
          <w:tcPr>
            <w:tcW w:w="155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中医医疗机构开展外出健康体检备案</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241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中医医疗机构开展外出健康体检备案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《卫生部关于印发〈健康体检管理暂行规定〉的通知》（卫医政发〔2009〕77号）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15</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中医医疗机构义诊活动备案</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242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中医医疗机构义诊活动备案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《卫生部关于组织义诊活动实行备案管理的通知》（卫医发〔2001〕365号）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2381" w:hRule="atLeast"/>
          <w:jc w:val="center"/>
        </w:trPr>
        <w:tc>
          <w:tcPr>
            <w:tcW w:w="1420" w:type="dxa"/>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区退役军人局</w:t>
            </w:r>
          </w:p>
        </w:tc>
        <w:tc>
          <w:tcPr>
            <w:tcW w:w="652" w:type="dxa"/>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部分军队退役人员参加社保证明</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243</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部分军队退役人员参加社保证明</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《关于进一步落实部分军队退役人员劳动保障政策的实施意见》（川劳社办〔2007〕61号）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《关于落实优抚对象和部分军队退役人员有关政策的实施意见》（川民发〔2007〕309号）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区退役军人局</w:t>
            </w:r>
          </w:p>
        </w:tc>
        <w:tc>
          <w:tcPr>
            <w:tcW w:w="652"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2★</w:t>
            </w:r>
          </w:p>
        </w:tc>
        <w:tc>
          <w:tcPr>
            <w:tcW w:w="1553" w:type="dxa"/>
            <w:tcBorders>
              <w:top w:val="single" w:color="auto"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军队无军籍退休退职职工接收安置</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244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军队无军籍退休退职职工接收安置</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98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3★</w:t>
            </w:r>
          </w:p>
        </w:tc>
        <w:tc>
          <w:tcPr>
            <w:tcW w:w="1553"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军队离退休干部、退休士官牺牲、病故后6个月工资给付</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245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军队离退休干部、退休士官牺牲、病故后6个月工资给付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81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tcBorders>
              <w:top w:val="single" w:color="000000" w:sz="4" w:space="0"/>
              <w:left w:val="single" w:color="000000" w:sz="4" w:space="0"/>
              <w:bottom w:val="single" w:color="000000"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退役军人教育培训</w:t>
            </w: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246</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退役军人教育培训</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《中华人民共和国退役军人保障法》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《军队转业干部安置暂行办法》（中发〔2001〕3号）《关于促进新时代退役军人就业创业工作的意见》（退役军人部发〔2018〕26号）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000000"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5</w:t>
            </w:r>
          </w:p>
        </w:tc>
        <w:tc>
          <w:tcPr>
            <w:tcW w:w="1553" w:type="dxa"/>
            <w:vMerge w:val="restart"/>
            <w:tcBorders>
              <w:top w:val="single" w:color="000000"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烈士证明书、军人因公牺牲证明书、病故军人证明书发放</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247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烈士证明书发放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《烈士褒扬条例》（国务院令第718号）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248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军人因公牺牲证明书、病故军人证明书发放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《军人抚恤优待条例》（国务院 中央军委令第602号发布，2019年国务院令第709号修订）</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区退役军人局</w:t>
            </w: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6</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伤残证件换发、补发、变更</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249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伤残证件换发、补发、变更</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《伤残抚恤管理办法》（退役军人事务部令第1号）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7</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伤残抚恤关系接收、转移办理</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250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伤残抚恤关系接收、转移办理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《伤残抚恤管理办法》（退役军人事务部令第1号）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98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8★</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部分参战和参加核试验军队退役人员定期生活补助发放</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251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部分参战和参加核试验军队退役人员定期生活补助发放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9★</w:t>
            </w:r>
          </w:p>
        </w:tc>
        <w:tc>
          <w:tcPr>
            <w:tcW w:w="155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部分农村籍退役士兵老年生活补助发放</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252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部分农村籍退役士兵老年生活补助发放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984" w:hRule="atLeast"/>
          <w:jc w:val="center"/>
        </w:trPr>
        <w:tc>
          <w:tcPr>
            <w:tcW w:w="1420" w:type="dxa"/>
            <w:vMerge w:val="restart"/>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区退役军人局</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10★</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部分烈士（含错杀后被平反人员）子女生活补助发放</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253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部分烈士（含错杀后被平反人员）子女生活补助发放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《民政部 财政部〈关于给部分烈士子女发放定期生活补助的通知〉》（民发〔2012〕27号）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11</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困难退役军人关爱帮扶专项基金资金帮扶</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254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困难退役军人关爱帮扶专项基金资金帮扶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《关于建立困难退役军人关爱帮扶专项基金的指导意见》（川退役军人发〔2019〕18号）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区应急管理局</w:t>
            </w: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tcBorders>
              <w:top w:val="single" w:color="auto"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应急管理信息查询</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255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应急管理信息查询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《中华人民共和国政府信息公开条例》（国务院令第711号）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w:t>
            </w:r>
          </w:p>
        </w:tc>
        <w:tc>
          <w:tcPr>
            <w:tcW w:w="1553" w:type="dxa"/>
            <w:tcBorders>
              <w:top w:val="single" w:color="000000"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地震信息服务</w:t>
            </w:r>
          </w:p>
        </w:tc>
        <w:tc>
          <w:tcPr>
            <w:tcW w:w="757" w:type="dxa"/>
            <w:tcBorders>
              <w:top w:val="single" w:color="000000"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256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地震速报信息</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《中华人民共和国防震减灾法》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区应急管理局</w:t>
            </w: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地震信息服务</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257</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地震烈度信息</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《中华人民共和国防震减灾法》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p>
            <w:pPr>
              <w:widowControl/>
              <w:jc w:val="center"/>
              <w:textAlignment w:val="center"/>
              <w:rPr>
                <w:rFonts w:hint="default" w:ascii="Times New Roman" w:hAnsi="Times New Roman" w:eastAsia="仿宋_GB2312" w:cs="Times New Roman"/>
                <w:color w:val="000000"/>
                <w:kern w:val="0"/>
                <w:sz w:val="21"/>
                <w:szCs w:val="21"/>
              </w:rPr>
            </w:pPr>
          </w:p>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地震灾害风险信息服务</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258</w:t>
            </w:r>
          </w:p>
        </w:tc>
        <w:tc>
          <w:tcPr>
            <w:tcW w:w="185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历史地震信息</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《中华人民共和国防震减灾法》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259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地震活动断层信息服务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《中华人民共和国防震减灾法》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特别法人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260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地震风险区划基础信息</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《中华人民共和国防震减灾法》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防震减灾科学普及服务</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261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防震减灾科学普及服务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《中华人民共和国防震减灾法》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区市场监管局</w:t>
            </w:r>
          </w:p>
        </w:tc>
        <w:tc>
          <w:tcPr>
            <w:tcW w:w="65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企业登记档案资料查询</w:t>
            </w: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262</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企业登记档案资料查询</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《市场监管总局登记注册局关于进一步做好企业登记档案资料工作的通知》（登注函字〔2020〕157号）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w:t>
            </w:r>
          </w:p>
        </w:tc>
        <w:tc>
          <w:tcPr>
            <w:tcW w:w="155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企业信息联络员备案</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263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企业信息联络员备案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《四川省工商行政管理局关于印发〈四川省企业年度报告暂行办法〉、〈四川省企业信息联络员备案办法〉的通知》（川工商发〔2014〕182号）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24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区市场监管局</w:t>
            </w:r>
          </w:p>
        </w:tc>
        <w:tc>
          <w:tcPr>
            <w:tcW w:w="652" w:type="dxa"/>
            <w:vMerge w:val="restart"/>
            <w:tcBorders>
              <w:top w:val="single" w:color="000000" w:sz="4" w:space="0"/>
              <w:left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vMerge w:val="restart"/>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“守合同重信用企业”公示</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264</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省级“守合同重信用企业”公示</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《四川省合同监督条例》（四川省第十一届人民代表大会常务委员会公告第45号）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265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市级“守合同重信用企业”公示</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《四川省合同监督条例》（四川省第十一届人民代表大会常务委员会公告第45号）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266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县级“守合同重信用企业”公示</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《四川省合同监督条例》（四川省第十一届人民代表大会常务委员会公告第45号）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区市场监管局</w:t>
            </w: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消费纠纷调解</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267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消费纠纷调解</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《中华人民共和国消费者权益保护法》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区林业局</w:t>
            </w: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草原政策咨询</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268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草原政策咨询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《中华人民共和国草原法》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w:t>
            </w:r>
          </w:p>
        </w:tc>
        <w:tc>
          <w:tcPr>
            <w:tcW w:w="155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野生动植物政策咨询</w:t>
            </w: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269</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野生动植物政策咨询</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《中华人民共和国陆生野生动物保护实施条例》（国务院令第666号修订）</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《中华人民共和国野生植物保护条例》（国务院令第204号）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林业有害生物防治和检疫政策咨询</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270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林业有害生物防治和检疫政策咨询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《森林病虫害防治条例》（国务院令第46号）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自然保护地政策咨询</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271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自然保护地政策咨询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《中华人民共和国自然保护区条例》（国务院令第167号发布，国务院令第687号修订）</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区林业局</w:t>
            </w: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5</w:t>
            </w:r>
          </w:p>
        </w:tc>
        <w:tc>
          <w:tcPr>
            <w:tcW w:w="1553" w:type="dxa"/>
            <w:tcBorders>
              <w:top w:val="single" w:color="auto"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国土绿化政策咨询</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272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国土绿化政策咨询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《国务院关于开展全民义务植树运动的实施办法》（国发〔1982〕36号）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6</w:t>
            </w:r>
          </w:p>
        </w:tc>
        <w:tc>
          <w:tcPr>
            <w:tcW w:w="1553" w:type="dxa"/>
            <w:tcBorders>
              <w:top w:val="single" w:color="000000"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森林资源政策咨询</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273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森林资源政策咨询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《中华人民共和国森林法》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7</w:t>
            </w:r>
          </w:p>
        </w:tc>
        <w:tc>
          <w:tcPr>
            <w:tcW w:w="155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林木种苗技术指导及政策咨询</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274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林木种苗技术指导及政策咨询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《四川省林木种子管理条例》（四川省第十一届人民代表大会常务委员会公告第11号）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8</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森林草原防火宣传及咨询</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275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森林草原防火宣传及咨询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《中华人民共和国森林法》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区林业局</w:t>
            </w:r>
          </w:p>
        </w:tc>
        <w:tc>
          <w:tcPr>
            <w:tcW w:w="65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9</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防沙治沙政策咨询</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276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防沙治沙政策咨询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《中华人民共和国防沙治沙法》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区医保局</w:t>
            </w:r>
          </w:p>
        </w:tc>
        <w:tc>
          <w:tcPr>
            <w:tcW w:w="652"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基本医疗保险参保和变更登记</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277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单位参保登记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510"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278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职工参保登记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279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城乡居民参保登记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280</w:t>
            </w:r>
          </w:p>
        </w:tc>
        <w:tc>
          <w:tcPr>
            <w:tcW w:w="1854" w:type="dxa"/>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单位参保信息变更登记</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《社会保险费征缴暂行条例》（国务院令第259号）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281</w:t>
            </w:r>
          </w:p>
        </w:tc>
        <w:tc>
          <w:tcPr>
            <w:tcW w:w="1854" w:type="dxa"/>
            <w:tcBorders>
              <w:top w:val="single" w:color="auto"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职工参保信息变更登记</w:t>
            </w:r>
          </w:p>
        </w:tc>
        <w:tc>
          <w:tcPr>
            <w:tcW w:w="7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区医保局</w:t>
            </w:r>
          </w:p>
        </w:tc>
        <w:tc>
          <w:tcPr>
            <w:tcW w:w="652" w:type="dxa"/>
            <w:vMerge w:val="restart"/>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基本医疗保险参保和变更登记</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282</w:t>
            </w:r>
          </w:p>
        </w:tc>
        <w:tc>
          <w:tcPr>
            <w:tcW w:w="1854" w:type="dxa"/>
            <w:tcBorders>
              <w:top w:val="single" w:color="000000" w:sz="4" w:space="0"/>
              <w:left w:val="single" w:color="000000" w:sz="4" w:space="0"/>
              <w:bottom w:val="single" w:color="000000"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城乡居民参保信息变更登记</w:t>
            </w:r>
          </w:p>
        </w:tc>
        <w:tc>
          <w:tcPr>
            <w:tcW w:w="708"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《四川省人力资源和社会保障厅关于印发〈四川省城乡居民基本医疗保险经办规程〉的通知》（川人社办发〔2017〕974号）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283</w:t>
            </w:r>
          </w:p>
        </w:tc>
        <w:tc>
          <w:tcPr>
            <w:tcW w:w="1854"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参保人员电话号码新增和更改</w:t>
            </w:r>
          </w:p>
        </w:tc>
        <w:tc>
          <w:tcPr>
            <w:tcW w:w="70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2381"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284</w:t>
            </w:r>
          </w:p>
        </w:tc>
        <w:tc>
          <w:tcPr>
            <w:tcW w:w="1854" w:type="dxa"/>
            <w:tcBorders>
              <w:top w:val="single" w:color="000000"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医保电子凭证申领</w:t>
            </w:r>
          </w:p>
        </w:tc>
        <w:tc>
          <w:tcPr>
            <w:tcW w:w="708" w:type="dxa"/>
            <w:tcBorders>
              <w:top w:val="single" w:color="000000"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《国家医疗保障局办公室关于全面推广应用医保电子凭证的通知》（医保办发〔2020〕10号）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《国务院办公厅关于加快推进政务服务“跨省通办”的指导意见》（国办发〔2020〕35号）</w:t>
            </w:r>
          </w:p>
        </w:tc>
        <w:tc>
          <w:tcPr>
            <w:tcW w:w="1771" w:type="dxa"/>
            <w:gridSpan w:val="2"/>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w:t>
            </w:r>
          </w:p>
        </w:tc>
        <w:tc>
          <w:tcPr>
            <w:tcW w:w="1553"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基本医疗保险费征缴</w:t>
            </w:r>
          </w:p>
        </w:tc>
        <w:tc>
          <w:tcPr>
            <w:tcW w:w="757" w:type="dxa"/>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285</w:t>
            </w:r>
          </w:p>
        </w:tc>
        <w:tc>
          <w:tcPr>
            <w:tcW w:w="1854" w:type="dxa"/>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参保单位缴费基数申报</w:t>
            </w:r>
          </w:p>
        </w:tc>
        <w:tc>
          <w:tcPr>
            <w:tcW w:w="708" w:type="dxa"/>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《社会保险费征缴暂行条例》（国务院令第259号）</w:t>
            </w:r>
          </w:p>
        </w:tc>
        <w:tc>
          <w:tcPr>
            <w:tcW w:w="1771" w:type="dxa"/>
            <w:gridSpan w:val="2"/>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286</w:t>
            </w:r>
          </w:p>
        </w:tc>
        <w:tc>
          <w:tcPr>
            <w:tcW w:w="1854"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职工基本医疗保险费趸缴清算</w:t>
            </w:r>
          </w:p>
        </w:tc>
        <w:tc>
          <w:tcPr>
            <w:tcW w:w="708"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区医保局</w:t>
            </w: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基本医疗保险参保信息查询和个人账户资金支取、划转</w:t>
            </w: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287</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参保单位参保信息查询</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《社会保险费征缴暂行条例》（国务院令第259号）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288</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参保人员参保信息查询</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《社会保险费征缴暂行条例》（国务院令第259号）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2835"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289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参保人员个人账户资金一次性支取</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《国务院关于建立城镇职工基本医疗保险制度的决定》（国发〔1998〕44号）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《香港澳门台湾居民在内地（大陆）参加社会保险暂行办法》（人力资源社会保障部 国家医保局令第41号）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《在中国境内就业的外国人参加社会保险暂行办法》（人力资源社会保障部令第16号）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984"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区医保局</w:t>
            </w:r>
          </w:p>
        </w:tc>
        <w:tc>
          <w:tcPr>
            <w:tcW w:w="652"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基本医疗保险参保信息查询和个人账户资金支取、划转</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290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跨省异地长期备案人员个人账户资金划转</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《四川省医疗保障局等四部门关于完善城镇职工基本医疗保险个人账户使用有关政策的通知》（川医保发〔2018〕7号）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基本医疗保险关系转移接续</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291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出具《参保凭证》</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292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转移接续手续办理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5</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基本医疗保险参保人员异地就医备案</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293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异地安置退休人员备案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《四川省医疗保障局 四川省财政厅关于印发〈四川省医疗保险异地就医管理办法〉的通知》（川医保发〔2019〕16号）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294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异地长期居住人员备案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《四川省医疗保障局 四川省财政厅关于印发〈四川省医疗保险异地就医管理办法〉的通知》（川医保发〔2019〕16号）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246"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区医保局</w:t>
            </w:r>
          </w:p>
        </w:tc>
        <w:tc>
          <w:tcPr>
            <w:tcW w:w="652"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5</w:t>
            </w:r>
          </w:p>
        </w:tc>
        <w:tc>
          <w:tcPr>
            <w:tcW w:w="1553"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基本医疗保险参保人员异地就医备案</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295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常驻异地工作人员备案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《四川省医疗保障局 四川省财政厅关于印发〈四川省医疗保险异地就医管理办法〉的通知》（川医保发〔2019〕16号）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246"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296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异地转诊人员备案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《四川省医疗保障局 四川省财政厅关于印发〈四川省医疗保险异地就医管理办法〉的通知》（川医保发〔2019〕16号）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246"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297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异地急诊、抢救住院登记备案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《四川省医疗保障局 四川省财政厅关于印发〈四川省医疗保险异地就医管理办法〉的通知》（川医保发〔2019〕16号）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2381"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6</w:t>
            </w:r>
          </w:p>
        </w:tc>
        <w:tc>
          <w:tcPr>
            <w:tcW w:w="1553" w:type="dxa"/>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基本医疗保险参保人员享受门诊慢特病病种待遇认定</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298</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基本医疗保险参保人员享受门诊慢特病病种待遇认定</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《劳动和社会保障部办公厅〈关于妥善解决医疗保险制度改革有关问题的指导意见〉》（劳社厅发〔2002〕8号）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《国家医疗保障局 财政部 国家税务总局〈关于做好2020年城乡居民基本医疗保障工作的通知〉》（医保发〔2020〕24号）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区医保局</w:t>
            </w: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6</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基本医疗保险参保人员享受门诊慢特病病种待遇认定</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299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城乡居民医保参保人员高血压、糖尿病病种待遇认定</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《国家医保局 财政部 国家卫生健康委 国家药监局〈关于完善城乡居民高血压糖尿病门诊用药保障机制的指导意见〉》（医保发〔2019〕54号）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835"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300</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单行支付药品、高值药品支付管理病种待遇认定</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《人力资源社会保障部关于将36种药品纳入国家基本医疗保险、工伤保险和生育保险药品目录乙类范围的通知》（人社部发〔2017〕54号）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《国家医疗保障局关于将17种抗癌药纳入国家基本医疗保险、工伤保险和生育保险药品目录乙类范围的通知》（医保发〔2018〕17号）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7</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基本医疗保险参保人员医疗费用手工（零星）报销</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301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门诊费用报销</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302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住院费用报销</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8</w:t>
            </w:r>
          </w:p>
        </w:tc>
        <w:tc>
          <w:tcPr>
            <w:tcW w:w="155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生育保险待遇核准支付</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303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产前检查费支付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区医保局</w:t>
            </w: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8</w:t>
            </w:r>
          </w:p>
        </w:tc>
        <w:tc>
          <w:tcPr>
            <w:tcW w:w="1553"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生育保险待遇核准支付</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304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生育医疗费支付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305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计划生育医疗费支付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306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生育津贴支付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984"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9</w:t>
            </w:r>
          </w:p>
        </w:tc>
        <w:tc>
          <w:tcPr>
            <w:tcW w:w="1553"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医疗救助对象待遇核准支付</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307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符合资助条件的救助对象参加城乡居民基本医疗保险个人缴费补贴</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《社会救助暂行办法》（国务院令第649号）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308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医疗救助对象手工（零星）报销</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《城乡医疗救助基金管理办法》（财社〔2013〕217号）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10</w:t>
            </w:r>
          </w:p>
        </w:tc>
        <w:tc>
          <w:tcPr>
            <w:tcW w:w="1553" w:type="dxa"/>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医药机构申请定点协议管理</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309</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医疗机构申请定点协议管理</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《医疗机构医疗保障定点管理暂行办法》（国家医疗保障局令第2号）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区医保局</w:t>
            </w: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10</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医药机构申请定点协议管理</w:t>
            </w: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310</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零售药店申请定点协议管理</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《零售药店医疗保障定点管理暂行办法》（国家医疗保障局令第3号）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311</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定点医药机构信息变更</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《医疗机构医疗保障定点管理暂行办法》（国家医疗保障局令第2号）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《零售药店医疗保障定点管理暂行办法》（国家医疗保障局令第3号）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312</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定点医药机构申请暂停（终止）协议管理</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《医疗机构医疗保障定点管理暂行办法》（国家医疗保障局令第2号）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《零售药店医疗保障定点管理暂行办法》（国家医疗保障局令第3号）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313</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定点医药机构申请恢复协议管理</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《医疗机构医疗保障定点管理暂行办法》（国家医疗保障局令第2号）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《零售药店医疗保障定点管理暂行办法》（国家医疗保障局令第3号）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区医保局</w:t>
            </w: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10</w:t>
            </w:r>
          </w:p>
        </w:tc>
        <w:tc>
          <w:tcPr>
            <w:tcW w:w="1553" w:type="dxa"/>
            <w:tcBorders>
              <w:top w:val="single" w:color="auto"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医药机构申请定点协议管理</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314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定点医药机构开通异地就医直接结算业务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《国家医保局 财政部关于切实做好2019年跨省异地就医住院费用直接结算工作的通知》（医保发〔2019〕33号）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11</w:t>
            </w:r>
          </w:p>
        </w:tc>
        <w:tc>
          <w:tcPr>
            <w:tcW w:w="1553" w:type="dxa"/>
            <w:vMerge w:val="restart"/>
            <w:tcBorders>
              <w:top w:val="single" w:color="000000"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定点医药机构费用结算</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315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基本医疗保险定点医疗机构费用结算</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316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基本医疗保险定点零售药店费用结算</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《中华人民共和国社会保险法》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12</w:t>
            </w:r>
          </w:p>
        </w:tc>
        <w:tc>
          <w:tcPr>
            <w:tcW w:w="155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门诊费用跨省直接结算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317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门诊费用跨省直接结算</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《国务院办公厅关于加快推进政务服务“跨省通办”的指导意见》（国办发〔2020〕35号）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区行政审批局（区采购服务中心）</w:t>
            </w:r>
          </w:p>
        </w:tc>
        <w:tc>
          <w:tcPr>
            <w:tcW w:w="65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公共资源交易信息发布</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318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政府采购信息发布</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《中华人民共和国政府采购法》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西区税务局</w:t>
            </w:r>
          </w:p>
        </w:tc>
        <w:tc>
          <w:tcPr>
            <w:tcW w:w="652" w:type="dxa"/>
            <w:vMerge w:val="restart"/>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基础信息报告</w:t>
            </w: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319</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自然人自主报告身份信息</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《中华人民共和国税收征收管理法》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《中华人民共和国个人所得税法》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608"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320</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扣缴义务人报告自然人身份信息</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《中华人民共和国税收征收管理法》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《中华人民共和国个人所得税法》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《股权转让所得个人所得税管理办法（试行）》（国家税务总局公告2014年第67号）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《个人所得税扣缴申报管理办法（试行）》（国家税务总局公告2018年第61号）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321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解除相关人员关联关系</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《中华人民共和国税收征收管理法》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322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税务证件增补发</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《中华人民共和国发票管理办法》（国务院令第709号）《税务登记管理办法》（国家税务总局令第7号、第36号、第44号、第48号修改）</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西区税务局</w:t>
            </w: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w:t>
            </w:r>
          </w:p>
        </w:tc>
        <w:tc>
          <w:tcPr>
            <w:tcW w:w="1553"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制度信息报告</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323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存款账户账号报告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《中华人民共和国税收征收管理法》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324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财务会计制度及核算软件备案报告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《中华人民共和国税收征收管理法》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325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银税三方（委托）划缴协议</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《中华人民共和国税收征收管理法实施细则》（国务院令第362号）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984"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资格信息报告</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326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选择按小规模纳税人纳税的情况说明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《中华人民共和国增值税暂行条例实施细则》（财政部 国家税务总局令第50号公布，财政部 国家税务总局令第65号修订）《增值税一般纳税人登记管理办法》（国家税务总局令第43号公布）</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西区税务局</w:t>
            </w: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tcBorders>
              <w:top w:val="single" w:color="auto"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资格信息报告</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327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软件和集成电路产业企业所得税优惠事项资料报告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《企业所得税优惠政策事项办理办法》（国家税务总局公告2015年第76号公布，国家税务总局公告2018年第23号修改）</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vMerge w:val="restart"/>
            <w:tcBorders>
              <w:top w:val="single" w:color="000000"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特殊事项报告</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328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软件产品增值税即征即退进项分摊方式资料报送与信息报告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《财政部 国家税务总局关于软件产品增值税政策的通知》（财税〔2011〕100号）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329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欠税人处置不动产或大额资产报告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《中华人民共和国税收征收管理法》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330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纳税人合并分立情况报告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《中华人民共和国税收征收管理法》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608" w:hRule="atLeast"/>
          <w:jc w:val="center"/>
        </w:trPr>
        <w:tc>
          <w:tcPr>
            <w:tcW w:w="142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西区税务局</w:t>
            </w: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特殊事项报告</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331</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个人所得税递延纳税报告</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《财政部 人力资源社会保障部 国家税务总局〈关于企业年金 职业年金个人所得税有关问题的通知〉》（财税〔2013〕103号）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《国家税务总局关于股权激励和技术入股所得税征管问题的公告》（国家税务总局公告2016年第62号）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332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科技成果转化暂不征收个人所得税备案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《国家税务总局关于3项个人所得税事项取消审批实施后续管理的公告》（国家税务总局公告2016年第5号）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3118"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333</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个人所得税分期缴纳报告</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 xml:space="preserve">《财政部 国家税务总局关于个人非货币性资产投资有关个人所得税政策的通知》（财税〔2015〕41号）  </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 xml:space="preserve">《财政部 国家税务总局关于将国家自主创新示范区有关税收试点政策推广到全国范围实施的通知》（财税〔2015〕116号）   </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《国家税务总局关于股权奖励和转增股本个人所得税征管问题的公告》（国家税务总局公告2015年第80号）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西区税务局</w:t>
            </w: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特殊事项报告</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334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个人所得税抵扣情况报告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《国家税务总局关于创业投资企业和天使投资个人税收政策有关问题的公告》（国家税务总局公告2018年第43号）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335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合伙制创业投资企业单一投资基金核算方式报告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《财政部 税务总局 发展改革委 证监会关于创业投资企业个人合伙人所得税政策问题的通知》（财税〔2019〕8号）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32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336</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综合税源信息报告</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《中华人民共和国税收征收管理法》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《国家税务总局关于修订城镇土地使用税和房产税申报表单的公告》（国家税务总局公告2019年第32号）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《国家税务总局关于修订土地增值税纳税申报表的通知》（税总函〔2016〕309号）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381"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337</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建筑业项目报告</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《财政部 国家税务总局关于全面推开营业税改征增值税试点的通知》（财税〔2016〕36号）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《不动产、建筑业营业税项目管理及发票使用管理暂行办法》（国税发〔2006〕128号）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381" w:hRule="atLeast"/>
          <w:jc w:val="center"/>
        </w:trPr>
        <w:tc>
          <w:tcPr>
            <w:tcW w:w="1420" w:type="dxa"/>
            <w:vMerge w:val="restart"/>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西区税务局</w:t>
            </w:r>
          </w:p>
        </w:tc>
        <w:tc>
          <w:tcPr>
            <w:tcW w:w="652" w:type="dxa"/>
            <w:vMerge w:val="restart"/>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特殊事项报告</w:t>
            </w: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338</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注销建筑业项目报告</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《财政部 国家税务总局关于全面推开营业税改征增值税试点的通知》（财税〔2016〕36号）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《不动产、建筑业营业税项目管理及发票使用管理暂行办法》（国税发〔2006〕128号）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381" w:hRule="atLeast"/>
          <w:jc w:val="center"/>
        </w:trPr>
        <w:tc>
          <w:tcPr>
            <w:tcW w:w="1420" w:type="dxa"/>
            <w:vMerge w:val="continue"/>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339</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不动产项目报告</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《财政部 国家税务总局关于全面推开营业税改征增值税试点的通知》（财税〔2016〕36号）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《不动产、建筑业营业税项目管理及发票使用管理暂行办法》（国税发〔2006〕128号）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381" w:hRule="atLeast"/>
          <w:jc w:val="center"/>
        </w:trPr>
        <w:tc>
          <w:tcPr>
            <w:tcW w:w="1420" w:type="dxa"/>
            <w:vMerge w:val="continue"/>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340</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注销不动产项目报告</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《财政部 国家税务总局关于全面推开营业税改征增值税试点的通知》（财税〔2016〕36号）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《国家税务总局关于印发〈不动产、建筑业营业税项目管理及发票使用管理暂行办法〉的通知》（国税发〔2006〕128号）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西区税务局</w:t>
            </w: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特殊事项报告</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341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房地产税收一体化信息报告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《房地产税收一体化管理业务规程》（国税发〔2007〕114号）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342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税收统计调查数据采集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《中华人民共和国税收征收管理法》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5</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发票领用</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343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发票领用</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《中华人民共和国发票管理办法》（国务院令第587号）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381"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344</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发票验（交）旧</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《中华人民共和国发票管理办法》（国务院令第587号）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《中华人民共和国发票管理办法实施细则》（国家税务总局令第25号公布，国家税务总局令第37号、第44号、第48号修改）</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835" w:hRule="atLeast"/>
          <w:jc w:val="center"/>
        </w:trPr>
        <w:tc>
          <w:tcPr>
            <w:tcW w:w="142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西区税务局</w:t>
            </w: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5</w:t>
            </w:r>
          </w:p>
        </w:tc>
        <w:tc>
          <w:tcPr>
            <w:tcW w:w="1553"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发票领用</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345</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发票缴销</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《中华人民共和国发票管理办法》（国务院令第587号）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《国家税务总局关于修订〈增值税专用发票使用规定〉的通知》（国税发〔2006〕156号）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《税务登记管理办法》（国家税务总局令第7号公布，国家税务总局令第36号、第44号、第48号修改）</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608"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346</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增值税税控系统专用设备初始发行</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《中华人民共和国税收征收管理法》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《国家税务总局关于修订〈增值税专用发票使用规定〉的通知》（国税发〔2006〕156号）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《国家税务总局关于全面推行增值税发票系统升级版有关问题的公告》（国家税务总局公告2015年第19号）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347</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增值税税控系统专用设备变更发行</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《中华人民共和国税收征收管理法》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《国家税务总局关于修订〈增值税专用发票使用规定〉的通知》（国税发〔2006〕156号）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608" w:hRule="atLeast"/>
          <w:jc w:val="center"/>
        </w:trPr>
        <w:tc>
          <w:tcPr>
            <w:tcW w:w="1420" w:type="dxa"/>
            <w:vMerge w:val="restart"/>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西区税务局</w:t>
            </w:r>
          </w:p>
        </w:tc>
        <w:tc>
          <w:tcPr>
            <w:tcW w:w="652" w:type="dxa"/>
            <w:tcBorders>
              <w:top w:val="single" w:color="auto"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5</w:t>
            </w:r>
          </w:p>
        </w:tc>
        <w:tc>
          <w:tcPr>
            <w:tcW w:w="1553" w:type="dxa"/>
            <w:tcBorders>
              <w:top w:val="single" w:color="auto" w:sz="4" w:space="0"/>
              <w:left w:val="single" w:color="000000" w:sz="4" w:space="0"/>
              <w:bottom w:val="single" w:color="000000"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发票领用</w:t>
            </w: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348</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增值税税控系统专用设备注销发行</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《中华人民共和国税收征收管理法》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《国家税务总局关于修订〈增值税专用发票使用规定〉的通知》（国税发〔2006〕156号）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《国家税务总局关于统一小规模纳税人标准等若干增值税问题的公告》（国家税务总局公告2018年第18号）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835"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6</w:t>
            </w:r>
          </w:p>
        </w:tc>
        <w:tc>
          <w:tcPr>
            <w:tcW w:w="1553" w:type="dxa"/>
            <w:tcBorders>
              <w:top w:val="single" w:color="000000"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发票开具和保管</w:t>
            </w: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349</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存根联数据采集</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《中华人民共和国发票管理办法》（国务院令第587号）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《国家税务总局关于全面推行增值税发票系统升级版有关问题的公告》（国家税务总局公告2015年第19号）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《国家税务总局关于印发〈增值税防伪税控系统管理办法〉的通知》（国税发〔1999〕221号）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608" w:hRule="atLeast"/>
          <w:jc w:val="center"/>
        </w:trPr>
        <w:tc>
          <w:tcPr>
            <w:tcW w:w="142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西区税务局</w:t>
            </w: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6</w:t>
            </w:r>
          </w:p>
        </w:tc>
        <w:tc>
          <w:tcPr>
            <w:tcW w:w="1553"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发票开具和保管</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350</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红字增值税专用发票开具申请</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《中华人民共和国发票管理办法实施细则》（国家税务总局令第25号公布，国家税务总局令第37号、第44号、第48号修改）</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《国家税务总局关于红字增值税发票开具有关问题的公告》（国家税务总局公告2016年第47号）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381"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351</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发票遗失、损毁报告</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《中华人民共和国发票管理办法》（国务院令第587号）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《中华人民共和国发票管理办法实施细则》（国家税务总局令第25号公布，国家税务总局令第37号、第44号、第48号修改）</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352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临时开票权限办理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《国家税务总局关于国内旅客运输服务进项税抵扣等增值税征管问题的公告》（国家税务总局公告2019年第31号）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西区税务局</w:t>
            </w: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7</w:t>
            </w:r>
          </w:p>
        </w:tc>
        <w:tc>
          <w:tcPr>
            <w:tcW w:w="1553" w:type="dxa"/>
            <w:tcBorders>
              <w:top w:val="single" w:color="auto"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财务会计报告报送</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353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财务会计报告报送</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《中华人民共和国税收征收管理法》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8</w:t>
            </w:r>
          </w:p>
        </w:tc>
        <w:tc>
          <w:tcPr>
            <w:tcW w:w="1553"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申报错误更正</w:t>
            </w: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354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申报错误更正</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《中华人民共和国税收征收管理法》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381"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9</w:t>
            </w:r>
          </w:p>
        </w:tc>
        <w:tc>
          <w:tcPr>
            <w:tcW w:w="1553" w:type="dxa"/>
            <w:vMerge w:val="restart"/>
            <w:tcBorders>
              <w:top w:val="single" w:color="000000"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证明开具</w:t>
            </w: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355</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开具税收完税证明</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《中华人民共和国税收征收管理法》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 xml:space="preserve">《中华人民共和国税收征收管理法实施细则》（国务院令第362号） </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《税收票证管理办法》（国家税务总局令第28号公布，国家税务总局令第48号修改）</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356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开具个人所得税纳税记录</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《国家税务总局关于将个人所得税〈税收完税证明〉（文书式）调整为〈纳税记录〉有关事项的公告》（国家税务总局公告2018年第55号）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608" w:hRule="atLeast"/>
          <w:jc w:val="center"/>
        </w:trPr>
        <w:tc>
          <w:tcPr>
            <w:tcW w:w="142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西区税务局</w:t>
            </w:r>
          </w:p>
        </w:tc>
        <w:tc>
          <w:tcPr>
            <w:tcW w:w="652" w:type="dxa"/>
            <w:tcBorders>
              <w:top w:val="single" w:color="auto"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9</w:t>
            </w:r>
          </w:p>
        </w:tc>
        <w:tc>
          <w:tcPr>
            <w:tcW w:w="1553" w:type="dxa"/>
            <w:tcBorders>
              <w:top w:val="single" w:color="auto"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证明开具</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357</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转开印花税票销售凭证</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《中华人民共和国印花税暂行条例》</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《税收票证管理办法》（国家税务总局令第28号公布，国家税务总局令第48号修改）</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《国家税务总局关于实施〈税收票证管理办法〉若干问题的公告》（国家税务总局公告2013年第34号）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10</w:t>
            </w:r>
          </w:p>
        </w:tc>
        <w:tc>
          <w:tcPr>
            <w:tcW w:w="1553"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涉税情况报告</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358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境内机构和个人发包工程作业或劳务项目备案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《非居民承包工程作业和提供劳务税收管理暂行办法》（国家税务总局令第19号公布）</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984"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359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服务贸易等项目对外支付税务备案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《国家税务总局 国家外汇管理局关于服务贸易等项目对外支付税务备案有关问题的公告》（国家税务总局 国家外汇管理局公告2013年第40号发布，国家税务总局公告2018年第31号修改）</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381" w:hRule="atLeast"/>
          <w:jc w:val="center"/>
        </w:trPr>
        <w:tc>
          <w:tcPr>
            <w:tcW w:w="1420" w:type="dxa"/>
            <w:vMerge w:val="restart"/>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西区税务局</w:t>
            </w:r>
          </w:p>
        </w:tc>
        <w:tc>
          <w:tcPr>
            <w:tcW w:w="652"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10</w:t>
            </w:r>
          </w:p>
        </w:tc>
        <w:tc>
          <w:tcPr>
            <w:tcW w:w="1553" w:type="dxa"/>
            <w:vMerge w:val="restart"/>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涉税情况报告</w:t>
            </w: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360</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同期资料报告</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《中华人民共和国企业所得税法》</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《中华人民共和国企业所得税法实施条例》</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《国家税务总局关于完善关联申报和同期资料管理有关事项的公告》（国家税务总局公告2016年第42号）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361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非居民企业间接转让财产事项报告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《国家税务总局关于非居民企业间接转让财产企业所得税若干问题的公告》（国家税务总局公告2015年第7号）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2608" w:hRule="atLeast"/>
          <w:jc w:val="center"/>
        </w:trPr>
        <w:tc>
          <w:tcPr>
            <w:tcW w:w="1420" w:type="dxa"/>
            <w:vMerge w:val="continue"/>
            <w:tcBorders>
              <w:top w:val="single" w:color="auto" w:sz="4" w:space="0"/>
              <w:left w:val="single" w:color="auto"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auto"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auto"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362</w:t>
            </w:r>
          </w:p>
        </w:tc>
        <w:tc>
          <w:tcPr>
            <w:tcW w:w="1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非居民企业股权转让适用特殊性税务处理的备案</w:t>
            </w:r>
          </w:p>
        </w:tc>
        <w:tc>
          <w:tcPr>
            <w:tcW w:w="7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《财政部 国家税务总局关于企业重组业务企业所得税处理若干问题的通知》（财税〔2009〕59号）</w:t>
            </w:r>
            <w:r>
              <w:rPr>
                <w:rFonts w:hint="eastAsia" w:ascii="Times New Roman" w:hAnsi="Times New Roman" w:eastAsia="仿宋_GB2312" w:cs="Times New Roman"/>
                <w:color w:val="000000"/>
                <w:kern w:val="0"/>
                <w:sz w:val="21"/>
                <w:szCs w:val="21"/>
              </w:rPr>
              <w:br w:type="textWrapping"/>
            </w:r>
            <w:r>
              <w:rPr>
                <w:rFonts w:hint="eastAsia" w:ascii="Times New Roman" w:hAnsi="Times New Roman" w:eastAsia="仿宋_GB2312" w:cs="Times New Roman"/>
                <w:color w:val="000000"/>
                <w:kern w:val="0"/>
                <w:sz w:val="21"/>
                <w:szCs w:val="21"/>
              </w:rPr>
              <w:t>《国家税务总局关于非居民企业股权转让适用特殊性税务处理有关问题的公告》（国家税务总局公告2013年第72号发布，国家税务总局公告2015年第22号修改）</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西区税务局</w:t>
            </w: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11</w:t>
            </w:r>
          </w:p>
        </w:tc>
        <w:tc>
          <w:tcPr>
            <w:tcW w:w="155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相互协商程序</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363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中国居民（国民）申请启动税务相互协商程序</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《国家税务总局关于发布〈税收协定相互协商程序实施办法〉的公告》（国家税务总局公告2013年第56号发布，国家税务总局公告2018年第31号修改）</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restar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12</w:t>
            </w:r>
          </w:p>
        </w:tc>
        <w:tc>
          <w:tcPr>
            <w:tcW w:w="1553" w:type="dxa"/>
            <w:vMerge w:val="restar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涉税（费）咨询</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364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电话咨询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《中华人民共和国税收征收管理法》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365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面对面咨询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《中华人民共和国税收征收管理法》</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13</w:t>
            </w:r>
          </w:p>
        </w:tc>
        <w:tc>
          <w:tcPr>
            <w:tcW w:w="155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涉税信息查询</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366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社会公众涉税公开信息查询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《国家税务总局关于发布〈涉税信息查询管理办法〉的公告》（国家税务总局公告2016年第41号）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西区税务局</w:t>
            </w:r>
          </w:p>
        </w:tc>
        <w:tc>
          <w:tcPr>
            <w:tcW w:w="652" w:type="dxa"/>
            <w:vMerge w:val="restar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13</w:t>
            </w:r>
          </w:p>
        </w:tc>
        <w:tc>
          <w:tcPr>
            <w:tcW w:w="1553" w:type="dxa"/>
            <w:vMerge w:val="restar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涉税信息查询</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367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纳税人涉税信息查询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《国家税务总局关于发布〈涉税信息查询管理办法〉的公告》（国家税务总局公告2016年第41号）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368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第三方涉税保密信息查询</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《国家税务总局关于印发〈纳税人涉税保密信息管理暂行办法〉的通知》（国税发〔2008〕93号）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14</w:t>
            </w:r>
          </w:p>
        </w:tc>
        <w:tc>
          <w:tcPr>
            <w:tcW w:w="155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纳税服务投诉</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369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纳税服务投诉处理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《国家税务总局关于修订〈纳税服务投诉管理办法〉的公告》（国家税务总局公告2019年第27号）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自然人、营利法人、非营利法人、特别法人、非法人组织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1304" w:hRule="atLeast"/>
          <w:jc w:val="center"/>
        </w:trPr>
        <w:tc>
          <w:tcPr>
            <w:tcW w:w="142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区残联</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残疾人基本型辅助器具适配申请</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370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残疾人基本型辅助器具适配申请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《辅助器具适配服务规范》（T/CARD 002.1-2020）</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87" w:hRule="atLeast"/>
          <w:jc w:val="center"/>
        </w:trPr>
        <w:tc>
          <w:tcPr>
            <w:tcW w:w="1420" w:type="dxa"/>
            <w:vMerge w:val="restar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区残联</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困难重度残疾人家庭无障碍改造申请</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371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困难重度残疾人家庭无障碍改造申请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《无障碍环境建设条例》（国务院令第622号）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残疾儿童康复训练申请</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372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残疾儿童康复训练申请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《四川省人民政府关于建立残疾儿童康复救助制度的实施意见》（川府发〔2018〕40号）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残疾人教育资助申请</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373</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残疾人教育资助申请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《国务院关于印发〈“十四五”残疾人保障和发展规划〉的通知》（国发〔2021〕10号）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5</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残疾人托养服务申请</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374</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残疾人托养服务申请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《就业年龄段智力、精神及重度肢体残疾人托养服务规范》（GB/T 37516-2019）</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6</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盲人保健按摩培训申请</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375</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盲人保健按摩培训申请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《国务院关于印发〈“十四五”残疾人保障和发展规划〉的通知》（国发〔2021〕10号）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市、县（区）</w:t>
            </w:r>
          </w:p>
        </w:tc>
      </w:tr>
      <w:tr>
        <w:tblPrEx>
          <w:tblCellMar>
            <w:top w:w="0" w:type="dxa"/>
            <w:left w:w="108" w:type="dxa"/>
            <w:bottom w:w="0" w:type="dxa"/>
            <w:right w:w="108" w:type="dxa"/>
          </w:tblCellMar>
        </w:tblPrEx>
        <w:trPr>
          <w:trHeight w:val="907" w:hRule="atLeast"/>
          <w:jc w:val="center"/>
        </w:trPr>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区总工会</w:t>
            </w:r>
          </w:p>
        </w:tc>
        <w:tc>
          <w:tcPr>
            <w:tcW w:w="65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1</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女职工大病互助保障</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376</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《关于印发四川省职工保障互助会五个保障计划的通知》川工办发[2020]39号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31" w:hRule="atLeast"/>
          <w:jc w:val="center"/>
        </w:trPr>
        <w:tc>
          <w:tcPr>
            <w:tcW w:w="142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区总工会</w:t>
            </w:r>
          </w:p>
        </w:tc>
        <w:tc>
          <w:tcPr>
            <w:tcW w:w="652"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2</w:t>
            </w:r>
          </w:p>
        </w:tc>
        <w:tc>
          <w:tcPr>
            <w:tcW w:w="1553"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困难职工家庭低收入申报</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377</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生活救助</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全总《困难职工档案管理办法》总工办发 〔2016〕36号、《四川省总工会困难职工档案管理暂行办法的通知》川工保字〔2018〕31号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31"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378</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医疗救助</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全总《困难职工档案管理办法》总工办发 〔2016〕36号、《四川省总工会困难职工档案管理暂行办法的通知》川工保字〔2018〕31号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531"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1553"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379</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助学救助</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全总《困难职工档案管理办法》总工办发 〔2016〕36号、《四川省总工会困难职工档案管理暂行办法的通知》川工保字〔2018〕31号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1304"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3</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工会统一社会信用代码证</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380</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《关于启用新版工会法人资格证书的通知》攀总工发[2016]58号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自然人、特别法人、非法人组织</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4</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职业介绍、就业培训</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381</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《关于做好2021年四川工会就业服务工作的通知》川工办字[2021]36号</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trHeight w:val="907" w:hRule="atLeast"/>
          <w:jc w:val="center"/>
        </w:trPr>
        <w:tc>
          <w:tcPr>
            <w:tcW w:w="1420"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区总工会</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5</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川工之家会员信息认证</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382</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花惠卡办理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w:t>
            </w:r>
          </w:p>
        </w:tc>
        <w:tc>
          <w:tcPr>
            <w:tcW w:w="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p>
        </w:tc>
        <w:tc>
          <w:tcPr>
            <w:tcW w:w="4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《四川省工会网上工作平台使用推广三年工作安排》</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自然人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rPr>
              <w:t>县（区）</w:t>
            </w:r>
          </w:p>
        </w:tc>
      </w:tr>
      <w:tr>
        <w:tblPrEx>
          <w:tblCellMar>
            <w:top w:w="0" w:type="dxa"/>
            <w:left w:w="108" w:type="dxa"/>
            <w:bottom w:w="0" w:type="dxa"/>
            <w:right w:w="108" w:type="dxa"/>
          </w:tblCellMar>
        </w:tblPrEx>
        <w:trPr>
          <w:gridAfter w:val="1"/>
          <w:wAfter w:w="708" w:type="dxa"/>
          <w:trHeight w:val="297" w:hRule="atLeast"/>
          <w:jc w:val="center"/>
        </w:trPr>
        <w:tc>
          <w:tcPr>
            <w:tcW w:w="3625" w:type="dxa"/>
            <w:gridSpan w:val="3"/>
            <w:tcBorders>
              <w:top w:val="nil"/>
              <w:left w:val="nil"/>
              <w:bottom w:val="nil"/>
              <w:right w:val="nil"/>
            </w:tcBorders>
            <w:shd w:val="clear" w:color="auto" w:fill="auto"/>
            <w:vAlign w:val="center"/>
          </w:tcPr>
          <w:p>
            <w:pPr>
              <w:widowControl/>
              <w:jc w:val="center"/>
              <w:textAlignment w:val="center"/>
              <w:rPr>
                <w:rFonts w:ascii="宋体" w:hAnsi="宋体" w:eastAsia="宋体" w:cs="宋体"/>
                <w:color w:val="000000"/>
                <w:kern w:val="0"/>
                <w:sz w:val="22"/>
                <w:szCs w:val="22"/>
              </w:rPr>
            </w:pPr>
          </w:p>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注：标“★”为涉密。</w:t>
            </w:r>
          </w:p>
        </w:tc>
        <w:tc>
          <w:tcPr>
            <w:tcW w:w="757" w:type="dxa"/>
            <w:tcBorders>
              <w:top w:val="nil"/>
              <w:left w:val="nil"/>
              <w:bottom w:val="nil"/>
              <w:right w:val="nil"/>
            </w:tcBorders>
            <w:shd w:val="clear" w:color="auto" w:fill="auto"/>
            <w:vAlign w:val="center"/>
          </w:tcPr>
          <w:p>
            <w:pPr>
              <w:jc w:val="center"/>
              <w:rPr>
                <w:rFonts w:ascii="宋体" w:hAnsi="宋体" w:eastAsia="宋体" w:cs="宋体"/>
                <w:color w:val="000000"/>
                <w:sz w:val="22"/>
                <w:szCs w:val="22"/>
              </w:rPr>
            </w:pPr>
          </w:p>
        </w:tc>
        <w:tc>
          <w:tcPr>
            <w:tcW w:w="1854" w:type="dxa"/>
            <w:tcBorders>
              <w:top w:val="nil"/>
              <w:left w:val="nil"/>
              <w:bottom w:val="nil"/>
              <w:right w:val="nil"/>
            </w:tcBorders>
            <w:shd w:val="clear" w:color="auto" w:fill="auto"/>
            <w:vAlign w:val="center"/>
          </w:tcPr>
          <w:p>
            <w:pPr>
              <w:jc w:val="center"/>
              <w:rPr>
                <w:rFonts w:ascii="宋体" w:hAnsi="宋体" w:eastAsia="宋体" w:cs="宋体"/>
                <w:color w:val="000000"/>
                <w:sz w:val="22"/>
                <w:szCs w:val="22"/>
              </w:rPr>
            </w:pPr>
          </w:p>
        </w:tc>
        <w:tc>
          <w:tcPr>
            <w:tcW w:w="791" w:type="dxa"/>
            <w:gridSpan w:val="2"/>
            <w:tcBorders>
              <w:top w:val="nil"/>
              <w:left w:val="nil"/>
              <w:bottom w:val="nil"/>
              <w:right w:val="nil"/>
            </w:tcBorders>
            <w:shd w:val="clear" w:color="auto" w:fill="auto"/>
            <w:vAlign w:val="center"/>
          </w:tcPr>
          <w:p>
            <w:pPr>
              <w:jc w:val="center"/>
              <w:rPr>
                <w:rFonts w:ascii="宋体" w:hAnsi="宋体" w:eastAsia="宋体" w:cs="宋体"/>
                <w:color w:val="000000"/>
                <w:sz w:val="22"/>
                <w:szCs w:val="22"/>
              </w:rPr>
            </w:pPr>
          </w:p>
        </w:tc>
        <w:tc>
          <w:tcPr>
            <w:tcW w:w="4177" w:type="dxa"/>
            <w:gridSpan w:val="2"/>
            <w:tcBorders>
              <w:top w:val="nil"/>
              <w:left w:val="nil"/>
              <w:bottom w:val="nil"/>
              <w:right w:val="nil"/>
            </w:tcBorders>
            <w:shd w:val="clear" w:color="auto" w:fill="auto"/>
            <w:vAlign w:val="center"/>
          </w:tcPr>
          <w:p>
            <w:pPr>
              <w:jc w:val="center"/>
              <w:rPr>
                <w:rFonts w:ascii="宋体" w:hAnsi="宋体" w:eastAsia="宋体" w:cs="宋体"/>
                <w:color w:val="000000"/>
                <w:sz w:val="22"/>
                <w:szCs w:val="22"/>
              </w:rPr>
            </w:pPr>
          </w:p>
        </w:tc>
        <w:tc>
          <w:tcPr>
            <w:tcW w:w="1771" w:type="dxa"/>
            <w:gridSpan w:val="2"/>
            <w:tcBorders>
              <w:top w:val="nil"/>
              <w:left w:val="nil"/>
              <w:bottom w:val="nil"/>
              <w:right w:val="nil"/>
            </w:tcBorders>
            <w:shd w:val="clear" w:color="auto" w:fill="auto"/>
            <w:vAlign w:val="center"/>
          </w:tcPr>
          <w:p>
            <w:pPr>
              <w:jc w:val="center"/>
              <w:rPr>
                <w:rFonts w:ascii="宋体" w:hAnsi="宋体" w:eastAsia="宋体" w:cs="宋体"/>
                <w:color w:val="000000"/>
                <w:sz w:val="22"/>
                <w:szCs w:val="22"/>
              </w:rPr>
            </w:pPr>
          </w:p>
        </w:tc>
        <w:tc>
          <w:tcPr>
            <w:tcW w:w="816" w:type="dxa"/>
            <w:gridSpan w:val="2"/>
            <w:tcBorders>
              <w:top w:val="nil"/>
              <w:left w:val="nil"/>
              <w:bottom w:val="nil"/>
              <w:right w:val="nil"/>
            </w:tcBorders>
            <w:shd w:val="clear" w:color="auto" w:fill="auto"/>
            <w:vAlign w:val="center"/>
          </w:tcPr>
          <w:p>
            <w:pPr>
              <w:jc w:val="center"/>
              <w:rPr>
                <w:rFonts w:ascii="宋体" w:hAnsi="宋体" w:eastAsia="宋体" w:cs="宋体"/>
                <w:color w:val="000000"/>
                <w:sz w:val="22"/>
                <w:szCs w:val="22"/>
              </w:rPr>
            </w:pPr>
          </w:p>
        </w:tc>
      </w:tr>
      <w:tr>
        <w:tblPrEx>
          <w:tblCellMar>
            <w:top w:w="0" w:type="dxa"/>
            <w:left w:w="108" w:type="dxa"/>
            <w:bottom w:w="0" w:type="dxa"/>
            <w:right w:w="108" w:type="dxa"/>
          </w:tblCellMar>
        </w:tblPrEx>
        <w:trPr>
          <w:gridAfter w:val="1"/>
          <w:wAfter w:w="708" w:type="dxa"/>
          <w:trHeight w:val="297" w:hRule="atLeast"/>
          <w:jc w:val="center"/>
        </w:trPr>
        <w:tc>
          <w:tcPr>
            <w:tcW w:w="3625" w:type="dxa"/>
            <w:gridSpan w:val="3"/>
          </w:tcPr>
          <w:p>
            <w:pPr>
              <w:widowControl/>
              <w:jc w:val="center"/>
              <w:textAlignment w:val="center"/>
              <w:rPr>
                <w:rFonts w:ascii="宋体" w:hAnsi="宋体" w:eastAsia="宋体" w:cs="宋体"/>
                <w:color w:val="000000"/>
                <w:sz w:val="22"/>
                <w:szCs w:val="22"/>
              </w:rPr>
            </w:pPr>
          </w:p>
        </w:tc>
        <w:tc>
          <w:tcPr>
            <w:tcW w:w="757" w:type="dxa"/>
          </w:tcPr>
          <w:p>
            <w:pPr>
              <w:jc w:val="center"/>
              <w:rPr>
                <w:rFonts w:ascii="宋体" w:hAnsi="宋体" w:eastAsia="宋体" w:cs="宋体"/>
                <w:color w:val="000000"/>
                <w:sz w:val="22"/>
                <w:szCs w:val="22"/>
              </w:rPr>
            </w:pPr>
          </w:p>
        </w:tc>
        <w:tc>
          <w:tcPr>
            <w:tcW w:w="1854" w:type="dxa"/>
          </w:tcPr>
          <w:p>
            <w:pPr>
              <w:jc w:val="center"/>
              <w:rPr>
                <w:rFonts w:ascii="宋体" w:hAnsi="宋体" w:eastAsia="宋体" w:cs="宋体"/>
                <w:color w:val="000000"/>
                <w:sz w:val="22"/>
                <w:szCs w:val="22"/>
              </w:rPr>
            </w:pPr>
          </w:p>
        </w:tc>
        <w:tc>
          <w:tcPr>
            <w:tcW w:w="791" w:type="dxa"/>
            <w:gridSpan w:val="2"/>
          </w:tcPr>
          <w:p>
            <w:pPr>
              <w:jc w:val="center"/>
              <w:rPr>
                <w:rFonts w:ascii="宋体" w:hAnsi="宋体" w:eastAsia="宋体" w:cs="宋体"/>
                <w:color w:val="000000"/>
                <w:sz w:val="22"/>
                <w:szCs w:val="22"/>
              </w:rPr>
            </w:pPr>
          </w:p>
        </w:tc>
        <w:tc>
          <w:tcPr>
            <w:tcW w:w="4177" w:type="dxa"/>
            <w:gridSpan w:val="2"/>
          </w:tcPr>
          <w:p>
            <w:pPr>
              <w:jc w:val="center"/>
              <w:rPr>
                <w:rFonts w:ascii="宋体" w:hAnsi="宋体" w:eastAsia="宋体" w:cs="宋体"/>
                <w:color w:val="000000"/>
                <w:sz w:val="22"/>
                <w:szCs w:val="22"/>
              </w:rPr>
            </w:pPr>
          </w:p>
        </w:tc>
        <w:tc>
          <w:tcPr>
            <w:tcW w:w="1771" w:type="dxa"/>
            <w:gridSpan w:val="2"/>
          </w:tcPr>
          <w:p>
            <w:pPr>
              <w:jc w:val="center"/>
              <w:rPr>
                <w:rFonts w:ascii="宋体" w:hAnsi="宋体" w:eastAsia="宋体" w:cs="宋体"/>
                <w:color w:val="000000"/>
                <w:sz w:val="22"/>
                <w:szCs w:val="22"/>
              </w:rPr>
            </w:pPr>
          </w:p>
        </w:tc>
        <w:tc>
          <w:tcPr>
            <w:tcW w:w="816" w:type="dxa"/>
            <w:gridSpan w:val="2"/>
          </w:tcPr>
          <w:p>
            <w:pPr>
              <w:jc w:val="center"/>
              <w:rPr>
                <w:rFonts w:ascii="宋体" w:hAnsi="宋体" w:eastAsia="宋体" w:cs="宋体"/>
                <w:color w:val="000000"/>
                <w:sz w:val="22"/>
                <w:szCs w:val="22"/>
              </w:rPr>
            </w:pPr>
          </w:p>
        </w:tc>
      </w:tr>
      <w:tr>
        <w:tblPrEx>
          <w:tblCellMar>
            <w:top w:w="0" w:type="dxa"/>
            <w:left w:w="108" w:type="dxa"/>
            <w:bottom w:w="0" w:type="dxa"/>
            <w:right w:w="108" w:type="dxa"/>
          </w:tblCellMar>
        </w:tblPrEx>
        <w:trPr>
          <w:gridAfter w:val="1"/>
          <w:wAfter w:w="708" w:type="dxa"/>
          <w:trHeight w:val="297" w:hRule="atLeast"/>
          <w:jc w:val="center"/>
        </w:trPr>
        <w:tc>
          <w:tcPr>
            <w:tcW w:w="3625" w:type="dxa"/>
            <w:gridSpan w:val="3"/>
          </w:tcPr>
          <w:p>
            <w:pPr>
              <w:widowControl/>
              <w:jc w:val="center"/>
              <w:textAlignment w:val="center"/>
              <w:rPr>
                <w:rFonts w:ascii="宋体" w:hAnsi="宋体" w:eastAsia="宋体" w:cs="宋体"/>
                <w:color w:val="000000"/>
                <w:sz w:val="22"/>
                <w:szCs w:val="22"/>
              </w:rPr>
            </w:pPr>
          </w:p>
        </w:tc>
        <w:tc>
          <w:tcPr>
            <w:tcW w:w="757" w:type="dxa"/>
          </w:tcPr>
          <w:p>
            <w:pPr>
              <w:jc w:val="center"/>
              <w:rPr>
                <w:rFonts w:ascii="宋体" w:hAnsi="宋体" w:eastAsia="宋体" w:cs="宋体"/>
                <w:color w:val="000000"/>
                <w:sz w:val="22"/>
                <w:szCs w:val="22"/>
              </w:rPr>
            </w:pPr>
          </w:p>
        </w:tc>
        <w:tc>
          <w:tcPr>
            <w:tcW w:w="1854" w:type="dxa"/>
          </w:tcPr>
          <w:p>
            <w:pPr>
              <w:jc w:val="center"/>
              <w:rPr>
                <w:rFonts w:ascii="宋体" w:hAnsi="宋体" w:eastAsia="宋体" w:cs="宋体"/>
                <w:color w:val="000000"/>
                <w:sz w:val="22"/>
                <w:szCs w:val="22"/>
              </w:rPr>
            </w:pPr>
          </w:p>
        </w:tc>
        <w:tc>
          <w:tcPr>
            <w:tcW w:w="791" w:type="dxa"/>
            <w:gridSpan w:val="2"/>
          </w:tcPr>
          <w:p>
            <w:pPr>
              <w:jc w:val="center"/>
              <w:rPr>
                <w:rFonts w:ascii="宋体" w:hAnsi="宋体" w:eastAsia="宋体" w:cs="宋体"/>
                <w:color w:val="000000"/>
                <w:sz w:val="22"/>
                <w:szCs w:val="22"/>
              </w:rPr>
            </w:pPr>
          </w:p>
        </w:tc>
        <w:tc>
          <w:tcPr>
            <w:tcW w:w="4177" w:type="dxa"/>
            <w:gridSpan w:val="2"/>
          </w:tcPr>
          <w:p>
            <w:pPr>
              <w:jc w:val="center"/>
              <w:rPr>
                <w:rFonts w:ascii="宋体" w:hAnsi="宋体" w:eastAsia="宋体" w:cs="宋体"/>
                <w:color w:val="000000"/>
                <w:sz w:val="22"/>
                <w:szCs w:val="22"/>
              </w:rPr>
            </w:pPr>
          </w:p>
        </w:tc>
        <w:tc>
          <w:tcPr>
            <w:tcW w:w="1771" w:type="dxa"/>
            <w:gridSpan w:val="2"/>
          </w:tcPr>
          <w:p>
            <w:pPr>
              <w:jc w:val="center"/>
              <w:rPr>
                <w:rFonts w:ascii="宋体" w:hAnsi="宋体" w:eastAsia="宋体" w:cs="宋体"/>
                <w:color w:val="000000"/>
                <w:sz w:val="22"/>
                <w:szCs w:val="22"/>
              </w:rPr>
            </w:pPr>
          </w:p>
        </w:tc>
        <w:tc>
          <w:tcPr>
            <w:tcW w:w="816" w:type="dxa"/>
            <w:gridSpan w:val="2"/>
          </w:tcPr>
          <w:p>
            <w:pPr>
              <w:jc w:val="center"/>
              <w:rPr>
                <w:rFonts w:ascii="宋体" w:hAnsi="宋体" w:eastAsia="宋体" w:cs="宋体"/>
                <w:color w:val="000000"/>
                <w:sz w:val="22"/>
                <w:szCs w:val="22"/>
              </w:rPr>
            </w:pPr>
          </w:p>
        </w:tc>
      </w:tr>
      <w:tr>
        <w:tblPrEx>
          <w:tblCellMar>
            <w:top w:w="0" w:type="dxa"/>
            <w:left w:w="108" w:type="dxa"/>
            <w:bottom w:w="0" w:type="dxa"/>
            <w:right w:w="108" w:type="dxa"/>
          </w:tblCellMar>
        </w:tblPrEx>
        <w:trPr>
          <w:gridAfter w:val="1"/>
          <w:wAfter w:w="708" w:type="dxa"/>
          <w:trHeight w:val="297" w:hRule="atLeast"/>
          <w:jc w:val="center"/>
        </w:trPr>
        <w:tc>
          <w:tcPr>
            <w:tcW w:w="3625" w:type="dxa"/>
            <w:gridSpan w:val="3"/>
          </w:tcPr>
          <w:p>
            <w:pPr>
              <w:widowControl/>
              <w:jc w:val="center"/>
              <w:textAlignment w:val="center"/>
              <w:rPr>
                <w:rFonts w:ascii="宋体" w:hAnsi="宋体" w:eastAsia="宋体" w:cs="宋体"/>
                <w:color w:val="000000"/>
                <w:sz w:val="22"/>
                <w:szCs w:val="22"/>
              </w:rPr>
            </w:pPr>
          </w:p>
        </w:tc>
        <w:tc>
          <w:tcPr>
            <w:tcW w:w="757" w:type="dxa"/>
          </w:tcPr>
          <w:p>
            <w:pPr>
              <w:jc w:val="center"/>
              <w:rPr>
                <w:rFonts w:ascii="宋体" w:hAnsi="宋体" w:eastAsia="宋体" w:cs="宋体"/>
                <w:color w:val="000000"/>
                <w:sz w:val="22"/>
                <w:szCs w:val="22"/>
              </w:rPr>
            </w:pPr>
          </w:p>
        </w:tc>
        <w:tc>
          <w:tcPr>
            <w:tcW w:w="1854" w:type="dxa"/>
          </w:tcPr>
          <w:p>
            <w:pPr>
              <w:jc w:val="center"/>
              <w:rPr>
                <w:rFonts w:ascii="宋体" w:hAnsi="宋体" w:eastAsia="宋体" w:cs="宋体"/>
                <w:color w:val="000000"/>
                <w:sz w:val="22"/>
                <w:szCs w:val="22"/>
              </w:rPr>
            </w:pPr>
          </w:p>
        </w:tc>
        <w:tc>
          <w:tcPr>
            <w:tcW w:w="791" w:type="dxa"/>
            <w:gridSpan w:val="2"/>
          </w:tcPr>
          <w:p>
            <w:pPr>
              <w:jc w:val="center"/>
              <w:rPr>
                <w:rFonts w:ascii="宋体" w:hAnsi="宋体" w:eastAsia="宋体" w:cs="宋体"/>
                <w:color w:val="000000"/>
                <w:sz w:val="22"/>
                <w:szCs w:val="22"/>
              </w:rPr>
            </w:pPr>
          </w:p>
        </w:tc>
        <w:tc>
          <w:tcPr>
            <w:tcW w:w="4177" w:type="dxa"/>
            <w:gridSpan w:val="2"/>
          </w:tcPr>
          <w:p>
            <w:pPr>
              <w:jc w:val="center"/>
              <w:rPr>
                <w:rFonts w:ascii="宋体" w:hAnsi="宋体" w:eastAsia="宋体" w:cs="宋体"/>
                <w:color w:val="000000"/>
                <w:sz w:val="22"/>
                <w:szCs w:val="22"/>
              </w:rPr>
            </w:pPr>
          </w:p>
        </w:tc>
        <w:tc>
          <w:tcPr>
            <w:tcW w:w="1771" w:type="dxa"/>
            <w:gridSpan w:val="2"/>
          </w:tcPr>
          <w:p>
            <w:pPr>
              <w:jc w:val="center"/>
              <w:rPr>
                <w:rFonts w:ascii="宋体" w:hAnsi="宋体" w:eastAsia="宋体" w:cs="宋体"/>
                <w:color w:val="000000"/>
                <w:sz w:val="22"/>
                <w:szCs w:val="22"/>
              </w:rPr>
            </w:pPr>
          </w:p>
        </w:tc>
        <w:tc>
          <w:tcPr>
            <w:tcW w:w="816" w:type="dxa"/>
            <w:gridSpan w:val="2"/>
          </w:tcPr>
          <w:p>
            <w:pPr>
              <w:jc w:val="center"/>
              <w:rPr>
                <w:rFonts w:ascii="宋体" w:hAnsi="宋体" w:eastAsia="宋体" w:cs="宋体"/>
                <w:color w:val="000000"/>
                <w:sz w:val="22"/>
                <w:szCs w:val="22"/>
              </w:rPr>
            </w:pPr>
          </w:p>
        </w:tc>
      </w:tr>
      <w:tr>
        <w:tblPrEx>
          <w:tblCellMar>
            <w:top w:w="0" w:type="dxa"/>
            <w:left w:w="108" w:type="dxa"/>
            <w:bottom w:w="0" w:type="dxa"/>
            <w:right w:w="108" w:type="dxa"/>
          </w:tblCellMar>
        </w:tblPrEx>
        <w:trPr>
          <w:gridAfter w:val="1"/>
          <w:wAfter w:w="708" w:type="dxa"/>
          <w:trHeight w:val="297" w:hRule="atLeast"/>
          <w:jc w:val="center"/>
        </w:trPr>
        <w:tc>
          <w:tcPr>
            <w:tcW w:w="3625" w:type="dxa"/>
            <w:gridSpan w:val="3"/>
          </w:tcPr>
          <w:p>
            <w:pPr>
              <w:widowControl/>
              <w:jc w:val="center"/>
              <w:textAlignment w:val="center"/>
              <w:rPr>
                <w:rFonts w:ascii="宋体" w:hAnsi="宋体" w:eastAsia="宋体" w:cs="宋体"/>
                <w:color w:val="000000"/>
                <w:sz w:val="22"/>
                <w:szCs w:val="22"/>
              </w:rPr>
            </w:pPr>
          </w:p>
        </w:tc>
        <w:tc>
          <w:tcPr>
            <w:tcW w:w="757" w:type="dxa"/>
          </w:tcPr>
          <w:p>
            <w:pPr>
              <w:jc w:val="center"/>
              <w:rPr>
                <w:rFonts w:ascii="宋体" w:hAnsi="宋体" w:eastAsia="宋体" w:cs="宋体"/>
                <w:color w:val="000000"/>
                <w:sz w:val="22"/>
                <w:szCs w:val="22"/>
              </w:rPr>
            </w:pPr>
          </w:p>
        </w:tc>
        <w:tc>
          <w:tcPr>
            <w:tcW w:w="1854" w:type="dxa"/>
          </w:tcPr>
          <w:p>
            <w:pPr>
              <w:jc w:val="center"/>
              <w:rPr>
                <w:rFonts w:ascii="宋体" w:hAnsi="宋体" w:eastAsia="宋体" w:cs="宋体"/>
                <w:color w:val="000000"/>
                <w:sz w:val="22"/>
                <w:szCs w:val="22"/>
              </w:rPr>
            </w:pPr>
          </w:p>
        </w:tc>
        <w:tc>
          <w:tcPr>
            <w:tcW w:w="791" w:type="dxa"/>
            <w:gridSpan w:val="2"/>
          </w:tcPr>
          <w:p>
            <w:pPr>
              <w:jc w:val="center"/>
              <w:rPr>
                <w:rFonts w:ascii="宋体" w:hAnsi="宋体" w:eastAsia="宋体" w:cs="宋体"/>
                <w:color w:val="000000"/>
                <w:sz w:val="22"/>
                <w:szCs w:val="22"/>
              </w:rPr>
            </w:pPr>
          </w:p>
        </w:tc>
        <w:tc>
          <w:tcPr>
            <w:tcW w:w="4177" w:type="dxa"/>
            <w:gridSpan w:val="2"/>
          </w:tcPr>
          <w:p>
            <w:pPr>
              <w:jc w:val="center"/>
              <w:rPr>
                <w:rFonts w:ascii="宋体" w:hAnsi="宋体" w:eastAsia="宋体" w:cs="宋体"/>
                <w:color w:val="000000"/>
                <w:sz w:val="22"/>
                <w:szCs w:val="22"/>
              </w:rPr>
            </w:pPr>
          </w:p>
        </w:tc>
        <w:tc>
          <w:tcPr>
            <w:tcW w:w="1771" w:type="dxa"/>
            <w:gridSpan w:val="2"/>
          </w:tcPr>
          <w:p>
            <w:pPr>
              <w:jc w:val="center"/>
              <w:rPr>
                <w:rFonts w:ascii="宋体" w:hAnsi="宋体" w:eastAsia="宋体" w:cs="宋体"/>
                <w:color w:val="000000"/>
                <w:sz w:val="22"/>
                <w:szCs w:val="22"/>
              </w:rPr>
            </w:pPr>
          </w:p>
        </w:tc>
        <w:tc>
          <w:tcPr>
            <w:tcW w:w="816" w:type="dxa"/>
            <w:gridSpan w:val="2"/>
          </w:tcPr>
          <w:p>
            <w:pPr>
              <w:jc w:val="center"/>
              <w:rPr>
                <w:rFonts w:ascii="宋体" w:hAnsi="宋体" w:eastAsia="宋体" w:cs="宋体"/>
                <w:color w:val="000000"/>
                <w:sz w:val="22"/>
                <w:szCs w:val="22"/>
              </w:rPr>
            </w:pPr>
          </w:p>
        </w:tc>
      </w:tr>
      <w:tr>
        <w:tblPrEx>
          <w:tblCellMar>
            <w:top w:w="0" w:type="dxa"/>
            <w:left w:w="108" w:type="dxa"/>
            <w:bottom w:w="0" w:type="dxa"/>
            <w:right w:w="108" w:type="dxa"/>
          </w:tblCellMar>
        </w:tblPrEx>
        <w:trPr>
          <w:gridAfter w:val="1"/>
          <w:wAfter w:w="708" w:type="dxa"/>
          <w:trHeight w:val="297" w:hRule="atLeast"/>
          <w:jc w:val="center"/>
        </w:trPr>
        <w:tc>
          <w:tcPr>
            <w:tcW w:w="3625" w:type="dxa"/>
            <w:gridSpan w:val="3"/>
          </w:tcPr>
          <w:p>
            <w:pPr>
              <w:widowControl/>
              <w:jc w:val="center"/>
              <w:textAlignment w:val="center"/>
              <w:rPr>
                <w:rFonts w:ascii="宋体" w:hAnsi="宋体" w:eastAsia="宋体" w:cs="宋体"/>
                <w:color w:val="000000"/>
                <w:sz w:val="22"/>
                <w:szCs w:val="22"/>
              </w:rPr>
            </w:pPr>
          </w:p>
        </w:tc>
        <w:tc>
          <w:tcPr>
            <w:tcW w:w="757" w:type="dxa"/>
          </w:tcPr>
          <w:p>
            <w:pPr>
              <w:jc w:val="center"/>
              <w:rPr>
                <w:rFonts w:ascii="宋体" w:hAnsi="宋体" w:eastAsia="宋体" w:cs="宋体"/>
                <w:color w:val="000000"/>
                <w:sz w:val="22"/>
                <w:szCs w:val="22"/>
              </w:rPr>
            </w:pPr>
          </w:p>
        </w:tc>
        <w:tc>
          <w:tcPr>
            <w:tcW w:w="1854" w:type="dxa"/>
          </w:tcPr>
          <w:p>
            <w:pPr>
              <w:jc w:val="center"/>
              <w:rPr>
                <w:rFonts w:ascii="宋体" w:hAnsi="宋体" w:eastAsia="宋体" w:cs="宋体"/>
                <w:color w:val="000000"/>
                <w:sz w:val="22"/>
                <w:szCs w:val="22"/>
              </w:rPr>
            </w:pPr>
          </w:p>
        </w:tc>
        <w:tc>
          <w:tcPr>
            <w:tcW w:w="791" w:type="dxa"/>
            <w:gridSpan w:val="2"/>
          </w:tcPr>
          <w:p>
            <w:pPr>
              <w:jc w:val="center"/>
              <w:rPr>
                <w:rFonts w:ascii="宋体" w:hAnsi="宋体" w:eastAsia="宋体" w:cs="宋体"/>
                <w:color w:val="000000"/>
                <w:sz w:val="22"/>
                <w:szCs w:val="22"/>
              </w:rPr>
            </w:pPr>
          </w:p>
        </w:tc>
        <w:tc>
          <w:tcPr>
            <w:tcW w:w="4177" w:type="dxa"/>
            <w:gridSpan w:val="2"/>
          </w:tcPr>
          <w:p>
            <w:pPr>
              <w:jc w:val="center"/>
              <w:rPr>
                <w:rFonts w:ascii="宋体" w:hAnsi="宋体" w:eastAsia="宋体" w:cs="宋体"/>
                <w:color w:val="000000"/>
                <w:sz w:val="22"/>
                <w:szCs w:val="22"/>
              </w:rPr>
            </w:pPr>
          </w:p>
        </w:tc>
        <w:tc>
          <w:tcPr>
            <w:tcW w:w="1771" w:type="dxa"/>
            <w:gridSpan w:val="2"/>
          </w:tcPr>
          <w:p>
            <w:pPr>
              <w:jc w:val="center"/>
              <w:rPr>
                <w:rFonts w:ascii="宋体" w:hAnsi="宋体" w:eastAsia="宋体" w:cs="宋体"/>
                <w:color w:val="000000"/>
                <w:sz w:val="22"/>
                <w:szCs w:val="22"/>
              </w:rPr>
            </w:pPr>
          </w:p>
        </w:tc>
        <w:tc>
          <w:tcPr>
            <w:tcW w:w="816" w:type="dxa"/>
            <w:gridSpan w:val="2"/>
          </w:tcPr>
          <w:p>
            <w:pPr>
              <w:jc w:val="center"/>
              <w:rPr>
                <w:rFonts w:ascii="宋体" w:hAnsi="宋体" w:eastAsia="宋体" w:cs="宋体"/>
                <w:color w:val="000000"/>
                <w:sz w:val="22"/>
                <w:szCs w:val="22"/>
              </w:rPr>
            </w:pPr>
          </w:p>
        </w:tc>
      </w:tr>
      <w:tr>
        <w:tblPrEx>
          <w:tblCellMar>
            <w:top w:w="0" w:type="dxa"/>
            <w:left w:w="108" w:type="dxa"/>
            <w:bottom w:w="0" w:type="dxa"/>
            <w:right w:w="108" w:type="dxa"/>
          </w:tblCellMar>
        </w:tblPrEx>
        <w:trPr>
          <w:gridAfter w:val="1"/>
          <w:wAfter w:w="708" w:type="dxa"/>
          <w:trHeight w:val="297" w:hRule="atLeast"/>
          <w:jc w:val="center"/>
        </w:trPr>
        <w:tc>
          <w:tcPr>
            <w:tcW w:w="3625" w:type="dxa"/>
            <w:gridSpan w:val="3"/>
          </w:tcPr>
          <w:p>
            <w:pPr>
              <w:widowControl/>
              <w:jc w:val="center"/>
              <w:textAlignment w:val="center"/>
              <w:rPr>
                <w:rFonts w:ascii="宋体" w:hAnsi="宋体" w:eastAsia="宋体" w:cs="宋体"/>
                <w:color w:val="000000"/>
                <w:sz w:val="22"/>
                <w:szCs w:val="22"/>
              </w:rPr>
            </w:pPr>
          </w:p>
        </w:tc>
        <w:tc>
          <w:tcPr>
            <w:tcW w:w="757" w:type="dxa"/>
          </w:tcPr>
          <w:p>
            <w:pPr>
              <w:jc w:val="center"/>
              <w:rPr>
                <w:rFonts w:ascii="宋体" w:hAnsi="宋体" w:eastAsia="宋体" w:cs="宋体"/>
                <w:color w:val="000000"/>
                <w:sz w:val="22"/>
                <w:szCs w:val="22"/>
              </w:rPr>
            </w:pPr>
          </w:p>
        </w:tc>
        <w:tc>
          <w:tcPr>
            <w:tcW w:w="1854" w:type="dxa"/>
          </w:tcPr>
          <w:p>
            <w:pPr>
              <w:jc w:val="center"/>
              <w:rPr>
                <w:rFonts w:ascii="宋体" w:hAnsi="宋体" w:eastAsia="宋体" w:cs="宋体"/>
                <w:color w:val="000000"/>
                <w:sz w:val="22"/>
                <w:szCs w:val="22"/>
              </w:rPr>
            </w:pPr>
          </w:p>
        </w:tc>
        <w:tc>
          <w:tcPr>
            <w:tcW w:w="791" w:type="dxa"/>
            <w:gridSpan w:val="2"/>
          </w:tcPr>
          <w:p>
            <w:pPr>
              <w:jc w:val="center"/>
              <w:rPr>
                <w:rFonts w:ascii="宋体" w:hAnsi="宋体" w:eastAsia="宋体" w:cs="宋体"/>
                <w:color w:val="000000"/>
                <w:sz w:val="22"/>
                <w:szCs w:val="22"/>
              </w:rPr>
            </w:pPr>
          </w:p>
        </w:tc>
        <w:tc>
          <w:tcPr>
            <w:tcW w:w="4177" w:type="dxa"/>
            <w:gridSpan w:val="2"/>
          </w:tcPr>
          <w:p>
            <w:pPr>
              <w:jc w:val="center"/>
              <w:rPr>
                <w:rFonts w:ascii="宋体" w:hAnsi="宋体" w:eastAsia="宋体" w:cs="宋体"/>
                <w:color w:val="000000"/>
                <w:sz w:val="22"/>
                <w:szCs w:val="22"/>
              </w:rPr>
            </w:pPr>
          </w:p>
        </w:tc>
        <w:tc>
          <w:tcPr>
            <w:tcW w:w="1771" w:type="dxa"/>
            <w:gridSpan w:val="2"/>
          </w:tcPr>
          <w:p>
            <w:pPr>
              <w:jc w:val="center"/>
              <w:rPr>
                <w:rFonts w:ascii="宋体" w:hAnsi="宋体" w:eastAsia="宋体" w:cs="宋体"/>
                <w:color w:val="000000"/>
                <w:sz w:val="22"/>
                <w:szCs w:val="22"/>
              </w:rPr>
            </w:pPr>
          </w:p>
        </w:tc>
        <w:tc>
          <w:tcPr>
            <w:tcW w:w="816" w:type="dxa"/>
            <w:gridSpan w:val="2"/>
          </w:tcPr>
          <w:p>
            <w:pPr>
              <w:jc w:val="center"/>
              <w:rPr>
                <w:rFonts w:ascii="宋体" w:hAnsi="宋体" w:eastAsia="宋体" w:cs="宋体"/>
                <w:color w:val="000000"/>
                <w:sz w:val="22"/>
                <w:szCs w:val="22"/>
              </w:rPr>
            </w:pPr>
          </w:p>
        </w:tc>
      </w:tr>
      <w:tr>
        <w:tblPrEx>
          <w:tblCellMar>
            <w:top w:w="0" w:type="dxa"/>
            <w:left w:w="108" w:type="dxa"/>
            <w:bottom w:w="0" w:type="dxa"/>
            <w:right w:w="108" w:type="dxa"/>
          </w:tblCellMar>
        </w:tblPrEx>
        <w:trPr>
          <w:gridAfter w:val="1"/>
          <w:wAfter w:w="708" w:type="dxa"/>
          <w:trHeight w:val="297" w:hRule="atLeast"/>
          <w:jc w:val="center"/>
        </w:trPr>
        <w:tc>
          <w:tcPr>
            <w:tcW w:w="3625" w:type="dxa"/>
            <w:gridSpan w:val="3"/>
          </w:tcPr>
          <w:p>
            <w:pPr>
              <w:widowControl/>
              <w:jc w:val="center"/>
              <w:textAlignment w:val="center"/>
              <w:rPr>
                <w:rFonts w:ascii="宋体" w:hAnsi="宋体" w:eastAsia="宋体" w:cs="宋体"/>
                <w:color w:val="000000"/>
                <w:sz w:val="22"/>
                <w:szCs w:val="22"/>
              </w:rPr>
            </w:pPr>
          </w:p>
        </w:tc>
        <w:tc>
          <w:tcPr>
            <w:tcW w:w="757" w:type="dxa"/>
          </w:tcPr>
          <w:p>
            <w:pPr>
              <w:jc w:val="center"/>
              <w:rPr>
                <w:rFonts w:ascii="宋体" w:hAnsi="宋体" w:eastAsia="宋体" w:cs="宋体"/>
                <w:color w:val="000000"/>
                <w:sz w:val="22"/>
                <w:szCs w:val="22"/>
              </w:rPr>
            </w:pPr>
          </w:p>
        </w:tc>
        <w:tc>
          <w:tcPr>
            <w:tcW w:w="1854" w:type="dxa"/>
          </w:tcPr>
          <w:p>
            <w:pPr>
              <w:jc w:val="center"/>
              <w:rPr>
                <w:rFonts w:ascii="宋体" w:hAnsi="宋体" w:eastAsia="宋体" w:cs="宋体"/>
                <w:color w:val="000000"/>
                <w:sz w:val="22"/>
                <w:szCs w:val="22"/>
              </w:rPr>
            </w:pPr>
          </w:p>
        </w:tc>
        <w:tc>
          <w:tcPr>
            <w:tcW w:w="791" w:type="dxa"/>
            <w:gridSpan w:val="2"/>
          </w:tcPr>
          <w:p>
            <w:pPr>
              <w:jc w:val="center"/>
              <w:rPr>
                <w:rFonts w:ascii="宋体" w:hAnsi="宋体" w:eastAsia="宋体" w:cs="宋体"/>
                <w:color w:val="000000"/>
                <w:sz w:val="22"/>
                <w:szCs w:val="22"/>
              </w:rPr>
            </w:pPr>
          </w:p>
        </w:tc>
        <w:tc>
          <w:tcPr>
            <w:tcW w:w="4177" w:type="dxa"/>
            <w:gridSpan w:val="2"/>
          </w:tcPr>
          <w:p>
            <w:pPr>
              <w:jc w:val="center"/>
              <w:rPr>
                <w:rFonts w:ascii="宋体" w:hAnsi="宋体" w:eastAsia="宋体" w:cs="宋体"/>
                <w:color w:val="000000"/>
                <w:sz w:val="22"/>
                <w:szCs w:val="22"/>
              </w:rPr>
            </w:pPr>
          </w:p>
        </w:tc>
        <w:tc>
          <w:tcPr>
            <w:tcW w:w="1771" w:type="dxa"/>
            <w:gridSpan w:val="2"/>
          </w:tcPr>
          <w:p>
            <w:pPr>
              <w:jc w:val="center"/>
              <w:rPr>
                <w:rFonts w:ascii="宋体" w:hAnsi="宋体" w:eastAsia="宋体" w:cs="宋体"/>
                <w:color w:val="000000"/>
                <w:sz w:val="22"/>
                <w:szCs w:val="22"/>
              </w:rPr>
            </w:pPr>
          </w:p>
        </w:tc>
        <w:tc>
          <w:tcPr>
            <w:tcW w:w="816" w:type="dxa"/>
            <w:gridSpan w:val="2"/>
          </w:tcPr>
          <w:p>
            <w:pPr>
              <w:jc w:val="center"/>
              <w:rPr>
                <w:rFonts w:ascii="宋体" w:hAnsi="宋体" w:eastAsia="宋体" w:cs="宋体"/>
                <w:color w:val="000000"/>
                <w:sz w:val="22"/>
                <w:szCs w:val="22"/>
              </w:rPr>
            </w:pPr>
          </w:p>
        </w:tc>
      </w:tr>
      <w:tr>
        <w:tblPrEx>
          <w:tblCellMar>
            <w:top w:w="0" w:type="dxa"/>
            <w:left w:w="108" w:type="dxa"/>
            <w:bottom w:w="0" w:type="dxa"/>
            <w:right w:w="108" w:type="dxa"/>
          </w:tblCellMar>
        </w:tblPrEx>
        <w:trPr>
          <w:gridAfter w:val="1"/>
          <w:wAfter w:w="708" w:type="dxa"/>
          <w:trHeight w:val="297" w:hRule="atLeast"/>
          <w:jc w:val="center"/>
        </w:trPr>
        <w:tc>
          <w:tcPr>
            <w:tcW w:w="3625" w:type="dxa"/>
            <w:gridSpan w:val="3"/>
          </w:tcPr>
          <w:p>
            <w:pPr>
              <w:widowControl/>
              <w:jc w:val="center"/>
              <w:textAlignment w:val="center"/>
              <w:rPr>
                <w:rFonts w:ascii="宋体" w:hAnsi="宋体" w:eastAsia="宋体" w:cs="宋体"/>
                <w:color w:val="000000"/>
                <w:sz w:val="22"/>
                <w:szCs w:val="22"/>
              </w:rPr>
            </w:pPr>
          </w:p>
        </w:tc>
        <w:tc>
          <w:tcPr>
            <w:tcW w:w="757" w:type="dxa"/>
          </w:tcPr>
          <w:p>
            <w:pPr>
              <w:jc w:val="center"/>
              <w:rPr>
                <w:rFonts w:ascii="宋体" w:hAnsi="宋体" w:eastAsia="宋体" w:cs="宋体"/>
                <w:color w:val="000000"/>
                <w:sz w:val="22"/>
                <w:szCs w:val="22"/>
              </w:rPr>
            </w:pPr>
          </w:p>
        </w:tc>
        <w:tc>
          <w:tcPr>
            <w:tcW w:w="1854" w:type="dxa"/>
          </w:tcPr>
          <w:p>
            <w:pPr>
              <w:jc w:val="center"/>
              <w:rPr>
                <w:rFonts w:ascii="宋体" w:hAnsi="宋体" w:eastAsia="宋体" w:cs="宋体"/>
                <w:color w:val="000000"/>
                <w:sz w:val="22"/>
                <w:szCs w:val="22"/>
              </w:rPr>
            </w:pPr>
          </w:p>
        </w:tc>
        <w:tc>
          <w:tcPr>
            <w:tcW w:w="791" w:type="dxa"/>
            <w:gridSpan w:val="2"/>
          </w:tcPr>
          <w:p>
            <w:pPr>
              <w:jc w:val="center"/>
              <w:rPr>
                <w:rFonts w:ascii="宋体" w:hAnsi="宋体" w:eastAsia="宋体" w:cs="宋体"/>
                <w:color w:val="000000"/>
                <w:sz w:val="22"/>
                <w:szCs w:val="22"/>
              </w:rPr>
            </w:pPr>
          </w:p>
        </w:tc>
        <w:tc>
          <w:tcPr>
            <w:tcW w:w="4177" w:type="dxa"/>
            <w:gridSpan w:val="2"/>
          </w:tcPr>
          <w:p>
            <w:pPr>
              <w:jc w:val="center"/>
              <w:rPr>
                <w:rFonts w:ascii="宋体" w:hAnsi="宋体" w:eastAsia="宋体" w:cs="宋体"/>
                <w:color w:val="000000"/>
                <w:sz w:val="22"/>
                <w:szCs w:val="22"/>
              </w:rPr>
            </w:pPr>
          </w:p>
        </w:tc>
        <w:tc>
          <w:tcPr>
            <w:tcW w:w="1771" w:type="dxa"/>
            <w:gridSpan w:val="2"/>
          </w:tcPr>
          <w:p>
            <w:pPr>
              <w:jc w:val="center"/>
              <w:rPr>
                <w:rFonts w:ascii="宋体" w:hAnsi="宋体" w:eastAsia="宋体" w:cs="宋体"/>
                <w:color w:val="000000"/>
                <w:sz w:val="22"/>
                <w:szCs w:val="22"/>
              </w:rPr>
            </w:pPr>
          </w:p>
        </w:tc>
        <w:tc>
          <w:tcPr>
            <w:tcW w:w="816" w:type="dxa"/>
            <w:gridSpan w:val="2"/>
          </w:tcPr>
          <w:p>
            <w:pPr>
              <w:jc w:val="center"/>
              <w:rPr>
                <w:rFonts w:ascii="宋体" w:hAnsi="宋体" w:eastAsia="宋体" w:cs="宋体"/>
                <w:color w:val="000000"/>
                <w:sz w:val="22"/>
                <w:szCs w:val="22"/>
              </w:rPr>
            </w:pPr>
          </w:p>
        </w:tc>
      </w:tr>
      <w:tr>
        <w:tblPrEx>
          <w:tblCellMar>
            <w:top w:w="0" w:type="dxa"/>
            <w:left w:w="108" w:type="dxa"/>
            <w:bottom w:w="0" w:type="dxa"/>
            <w:right w:w="108" w:type="dxa"/>
          </w:tblCellMar>
        </w:tblPrEx>
        <w:trPr>
          <w:gridAfter w:val="1"/>
          <w:wAfter w:w="708" w:type="dxa"/>
          <w:trHeight w:val="297" w:hRule="atLeast"/>
          <w:jc w:val="center"/>
        </w:trPr>
        <w:tc>
          <w:tcPr>
            <w:tcW w:w="3625" w:type="dxa"/>
            <w:gridSpan w:val="3"/>
          </w:tcPr>
          <w:p>
            <w:pPr>
              <w:widowControl/>
              <w:jc w:val="center"/>
              <w:textAlignment w:val="center"/>
              <w:rPr>
                <w:rFonts w:ascii="宋体" w:hAnsi="宋体" w:eastAsia="宋体" w:cs="宋体"/>
                <w:color w:val="000000"/>
                <w:sz w:val="22"/>
                <w:szCs w:val="22"/>
              </w:rPr>
            </w:pPr>
          </w:p>
        </w:tc>
        <w:tc>
          <w:tcPr>
            <w:tcW w:w="757" w:type="dxa"/>
          </w:tcPr>
          <w:p>
            <w:pPr>
              <w:jc w:val="center"/>
              <w:rPr>
                <w:rFonts w:ascii="宋体" w:hAnsi="宋体" w:eastAsia="宋体" w:cs="宋体"/>
                <w:color w:val="000000"/>
                <w:sz w:val="22"/>
                <w:szCs w:val="22"/>
              </w:rPr>
            </w:pPr>
          </w:p>
        </w:tc>
        <w:tc>
          <w:tcPr>
            <w:tcW w:w="1854" w:type="dxa"/>
          </w:tcPr>
          <w:p>
            <w:pPr>
              <w:jc w:val="center"/>
              <w:rPr>
                <w:rFonts w:ascii="宋体" w:hAnsi="宋体" w:eastAsia="宋体" w:cs="宋体"/>
                <w:color w:val="000000"/>
                <w:sz w:val="22"/>
                <w:szCs w:val="22"/>
              </w:rPr>
            </w:pPr>
          </w:p>
        </w:tc>
        <w:tc>
          <w:tcPr>
            <w:tcW w:w="791" w:type="dxa"/>
            <w:gridSpan w:val="2"/>
          </w:tcPr>
          <w:p>
            <w:pPr>
              <w:jc w:val="center"/>
              <w:rPr>
                <w:rFonts w:ascii="宋体" w:hAnsi="宋体" w:eastAsia="宋体" w:cs="宋体"/>
                <w:color w:val="000000"/>
                <w:sz w:val="22"/>
                <w:szCs w:val="22"/>
              </w:rPr>
            </w:pPr>
          </w:p>
        </w:tc>
        <w:tc>
          <w:tcPr>
            <w:tcW w:w="4177" w:type="dxa"/>
            <w:gridSpan w:val="2"/>
          </w:tcPr>
          <w:p>
            <w:pPr>
              <w:jc w:val="center"/>
              <w:rPr>
                <w:rFonts w:ascii="宋体" w:hAnsi="宋体" w:eastAsia="宋体" w:cs="宋体"/>
                <w:color w:val="000000"/>
                <w:sz w:val="22"/>
                <w:szCs w:val="22"/>
              </w:rPr>
            </w:pPr>
          </w:p>
        </w:tc>
        <w:tc>
          <w:tcPr>
            <w:tcW w:w="1771" w:type="dxa"/>
            <w:gridSpan w:val="2"/>
          </w:tcPr>
          <w:p>
            <w:pPr>
              <w:jc w:val="center"/>
              <w:rPr>
                <w:rFonts w:ascii="宋体" w:hAnsi="宋体" w:eastAsia="宋体" w:cs="宋体"/>
                <w:color w:val="000000"/>
                <w:sz w:val="22"/>
                <w:szCs w:val="22"/>
              </w:rPr>
            </w:pPr>
          </w:p>
        </w:tc>
        <w:tc>
          <w:tcPr>
            <w:tcW w:w="816" w:type="dxa"/>
            <w:gridSpan w:val="2"/>
          </w:tcPr>
          <w:p>
            <w:pPr>
              <w:jc w:val="center"/>
              <w:rPr>
                <w:rFonts w:ascii="宋体" w:hAnsi="宋体" w:eastAsia="宋体" w:cs="宋体"/>
                <w:color w:val="000000"/>
                <w:sz w:val="22"/>
                <w:szCs w:val="22"/>
              </w:rPr>
            </w:pPr>
          </w:p>
        </w:tc>
      </w:tr>
      <w:tr>
        <w:tblPrEx>
          <w:tblCellMar>
            <w:top w:w="0" w:type="dxa"/>
            <w:left w:w="108" w:type="dxa"/>
            <w:bottom w:w="0" w:type="dxa"/>
            <w:right w:w="108" w:type="dxa"/>
          </w:tblCellMar>
        </w:tblPrEx>
        <w:trPr>
          <w:gridAfter w:val="1"/>
          <w:wAfter w:w="708" w:type="dxa"/>
          <w:trHeight w:val="297" w:hRule="atLeast"/>
          <w:jc w:val="center"/>
        </w:trPr>
        <w:tc>
          <w:tcPr>
            <w:tcW w:w="3625" w:type="dxa"/>
            <w:gridSpan w:val="3"/>
          </w:tcPr>
          <w:p>
            <w:pPr>
              <w:widowControl/>
              <w:jc w:val="center"/>
              <w:textAlignment w:val="center"/>
              <w:rPr>
                <w:rFonts w:ascii="宋体" w:hAnsi="宋体" w:eastAsia="宋体" w:cs="宋体"/>
                <w:color w:val="000000"/>
                <w:sz w:val="22"/>
                <w:szCs w:val="22"/>
              </w:rPr>
            </w:pPr>
          </w:p>
        </w:tc>
        <w:tc>
          <w:tcPr>
            <w:tcW w:w="757" w:type="dxa"/>
          </w:tcPr>
          <w:p>
            <w:pPr>
              <w:jc w:val="center"/>
              <w:rPr>
                <w:rFonts w:ascii="宋体" w:hAnsi="宋体" w:eastAsia="宋体" w:cs="宋体"/>
                <w:color w:val="000000"/>
                <w:sz w:val="22"/>
                <w:szCs w:val="22"/>
              </w:rPr>
            </w:pPr>
          </w:p>
        </w:tc>
        <w:tc>
          <w:tcPr>
            <w:tcW w:w="1854" w:type="dxa"/>
          </w:tcPr>
          <w:p>
            <w:pPr>
              <w:jc w:val="center"/>
              <w:rPr>
                <w:rFonts w:ascii="宋体" w:hAnsi="宋体" w:eastAsia="宋体" w:cs="宋体"/>
                <w:color w:val="000000"/>
                <w:sz w:val="22"/>
                <w:szCs w:val="22"/>
              </w:rPr>
            </w:pPr>
          </w:p>
        </w:tc>
        <w:tc>
          <w:tcPr>
            <w:tcW w:w="791" w:type="dxa"/>
            <w:gridSpan w:val="2"/>
          </w:tcPr>
          <w:p>
            <w:pPr>
              <w:jc w:val="center"/>
              <w:rPr>
                <w:rFonts w:ascii="宋体" w:hAnsi="宋体" w:eastAsia="宋体" w:cs="宋体"/>
                <w:color w:val="000000"/>
                <w:sz w:val="22"/>
                <w:szCs w:val="22"/>
              </w:rPr>
            </w:pPr>
          </w:p>
        </w:tc>
        <w:tc>
          <w:tcPr>
            <w:tcW w:w="4177" w:type="dxa"/>
            <w:gridSpan w:val="2"/>
          </w:tcPr>
          <w:p>
            <w:pPr>
              <w:jc w:val="center"/>
              <w:rPr>
                <w:rFonts w:ascii="宋体" w:hAnsi="宋体" w:eastAsia="宋体" w:cs="宋体"/>
                <w:color w:val="000000"/>
                <w:sz w:val="22"/>
                <w:szCs w:val="22"/>
              </w:rPr>
            </w:pPr>
          </w:p>
        </w:tc>
        <w:tc>
          <w:tcPr>
            <w:tcW w:w="1771" w:type="dxa"/>
            <w:gridSpan w:val="2"/>
          </w:tcPr>
          <w:p>
            <w:pPr>
              <w:jc w:val="center"/>
              <w:rPr>
                <w:rFonts w:ascii="宋体" w:hAnsi="宋体" w:eastAsia="宋体" w:cs="宋体"/>
                <w:color w:val="000000"/>
                <w:sz w:val="22"/>
                <w:szCs w:val="22"/>
              </w:rPr>
            </w:pPr>
          </w:p>
        </w:tc>
        <w:tc>
          <w:tcPr>
            <w:tcW w:w="816" w:type="dxa"/>
            <w:gridSpan w:val="2"/>
          </w:tcPr>
          <w:p>
            <w:pPr>
              <w:jc w:val="center"/>
              <w:rPr>
                <w:rFonts w:ascii="宋体" w:hAnsi="宋体" w:eastAsia="宋体" w:cs="宋体"/>
                <w:color w:val="000000"/>
                <w:sz w:val="22"/>
                <w:szCs w:val="22"/>
              </w:rPr>
            </w:pPr>
          </w:p>
        </w:tc>
      </w:tr>
      <w:tr>
        <w:tblPrEx>
          <w:tblCellMar>
            <w:top w:w="0" w:type="dxa"/>
            <w:left w:w="108" w:type="dxa"/>
            <w:bottom w:w="0" w:type="dxa"/>
            <w:right w:w="108" w:type="dxa"/>
          </w:tblCellMar>
        </w:tblPrEx>
        <w:trPr>
          <w:gridAfter w:val="1"/>
          <w:wAfter w:w="708" w:type="dxa"/>
          <w:trHeight w:val="297" w:hRule="atLeast"/>
          <w:jc w:val="center"/>
        </w:trPr>
        <w:tc>
          <w:tcPr>
            <w:tcW w:w="3625" w:type="dxa"/>
            <w:gridSpan w:val="3"/>
          </w:tcPr>
          <w:p>
            <w:pPr>
              <w:widowControl/>
              <w:jc w:val="center"/>
              <w:textAlignment w:val="center"/>
              <w:rPr>
                <w:rFonts w:ascii="宋体" w:hAnsi="宋体" w:eastAsia="宋体" w:cs="宋体"/>
                <w:color w:val="000000"/>
                <w:sz w:val="22"/>
                <w:szCs w:val="22"/>
              </w:rPr>
            </w:pPr>
          </w:p>
        </w:tc>
        <w:tc>
          <w:tcPr>
            <w:tcW w:w="757" w:type="dxa"/>
          </w:tcPr>
          <w:p>
            <w:pPr>
              <w:jc w:val="center"/>
              <w:rPr>
                <w:rFonts w:ascii="宋体" w:hAnsi="宋体" w:eastAsia="宋体" w:cs="宋体"/>
                <w:color w:val="000000"/>
                <w:sz w:val="22"/>
                <w:szCs w:val="22"/>
              </w:rPr>
            </w:pPr>
          </w:p>
        </w:tc>
        <w:tc>
          <w:tcPr>
            <w:tcW w:w="1854" w:type="dxa"/>
          </w:tcPr>
          <w:p>
            <w:pPr>
              <w:jc w:val="center"/>
              <w:rPr>
                <w:rFonts w:ascii="宋体" w:hAnsi="宋体" w:eastAsia="宋体" w:cs="宋体"/>
                <w:color w:val="000000"/>
                <w:sz w:val="22"/>
                <w:szCs w:val="22"/>
              </w:rPr>
            </w:pPr>
          </w:p>
        </w:tc>
        <w:tc>
          <w:tcPr>
            <w:tcW w:w="791" w:type="dxa"/>
            <w:gridSpan w:val="2"/>
          </w:tcPr>
          <w:p>
            <w:pPr>
              <w:jc w:val="center"/>
              <w:rPr>
                <w:rFonts w:ascii="宋体" w:hAnsi="宋体" w:eastAsia="宋体" w:cs="宋体"/>
                <w:color w:val="000000"/>
                <w:sz w:val="22"/>
                <w:szCs w:val="22"/>
              </w:rPr>
            </w:pPr>
          </w:p>
        </w:tc>
        <w:tc>
          <w:tcPr>
            <w:tcW w:w="4177" w:type="dxa"/>
            <w:gridSpan w:val="2"/>
          </w:tcPr>
          <w:p>
            <w:pPr>
              <w:jc w:val="center"/>
              <w:rPr>
                <w:rFonts w:ascii="宋体" w:hAnsi="宋体" w:eastAsia="宋体" w:cs="宋体"/>
                <w:color w:val="000000"/>
                <w:sz w:val="22"/>
                <w:szCs w:val="22"/>
              </w:rPr>
            </w:pPr>
          </w:p>
        </w:tc>
        <w:tc>
          <w:tcPr>
            <w:tcW w:w="1771" w:type="dxa"/>
            <w:gridSpan w:val="2"/>
          </w:tcPr>
          <w:p>
            <w:pPr>
              <w:jc w:val="center"/>
              <w:rPr>
                <w:rFonts w:ascii="宋体" w:hAnsi="宋体" w:eastAsia="宋体" w:cs="宋体"/>
                <w:color w:val="000000"/>
                <w:sz w:val="22"/>
                <w:szCs w:val="22"/>
              </w:rPr>
            </w:pPr>
          </w:p>
        </w:tc>
        <w:tc>
          <w:tcPr>
            <w:tcW w:w="816" w:type="dxa"/>
            <w:gridSpan w:val="2"/>
          </w:tcPr>
          <w:p>
            <w:pPr>
              <w:jc w:val="center"/>
              <w:rPr>
                <w:rFonts w:ascii="宋体" w:hAnsi="宋体" w:eastAsia="宋体" w:cs="宋体"/>
                <w:color w:val="000000"/>
                <w:sz w:val="22"/>
                <w:szCs w:val="22"/>
              </w:rPr>
            </w:pPr>
          </w:p>
        </w:tc>
      </w:tr>
      <w:tr>
        <w:tblPrEx>
          <w:tblCellMar>
            <w:top w:w="0" w:type="dxa"/>
            <w:left w:w="108" w:type="dxa"/>
            <w:bottom w:w="0" w:type="dxa"/>
            <w:right w:w="108" w:type="dxa"/>
          </w:tblCellMar>
        </w:tblPrEx>
        <w:trPr>
          <w:gridAfter w:val="1"/>
          <w:wAfter w:w="708" w:type="dxa"/>
          <w:trHeight w:val="297" w:hRule="atLeast"/>
          <w:jc w:val="center"/>
        </w:trPr>
        <w:tc>
          <w:tcPr>
            <w:tcW w:w="3625" w:type="dxa"/>
            <w:gridSpan w:val="3"/>
          </w:tcPr>
          <w:p>
            <w:pPr>
              <w:widowControl/>
              <w:jc w:val="center"/>
              <w:textAlignment w:val="center"/>
              <w:rPr>
                <w:rFonts w:ascii="宋体" w:hAnsi="宋体" w:eastAsia="宋体" w:cs="宋体"/>
                <w:color w:val="000000"/>
                <w:sz w:val="22"/>
                <w:szCs w:val="22"/>
              </w:rPr>
            </w:pPr>
          </w:p>
        </w:tc>
        <w:tc>
          <w:tcPr>
            <w:tcW w:w="757" w:type="dxa"/>
          </w:tcPr>
          <w:p>
            <w:pPr>
              <w:jc w:val="center"/>
              <w:rPr>
                <w:rFonts w:ascii="宋体" w:hAnsi="宋体" w:eastAsia="宋体" w:cs="宋体"/>
                <w:color w:val="000000"/>
                <w:sz w:val="22"/>
                <w:szCs w:val="22"/>
              </w:rPr>
            </w:pPr>
          </w:p>
        </w:tc>
        <w:tc>
          <w:tcPr>
            <w:tcW w:w="1854" w:type="dxa"/>
          </w:tcPr>
          <w:p>
            <w:pPr>
              <w:jc w:val="center"/>
              <w:rPr>
                <w:rFonts w:ascii="宋体" w:hAnsi="宋体" w:eastAsia="宋体" w:cs="宋体"/>
                <w:color w:val="000000"/>
                <w:sz w:val="22"/>
                <w:szCs w:val="22"/>
              </w:rPr>
            </w:pPr>
          </w:p>
        </w:tc>
        <w:tc>
          <w:tcPr>
            <w:tcW w:w="791" w:type="dxa"/>
            <w:gridSpan w:val="2"/>
          </w:tcPr>
          <w:p>
            <w:pPr>
              <w:jc w:val="center"/>
              <w:rPr>
                <w:rFonts w:ascii="宋体" w:hAnsi="宋体" w:eastAsia="宋体" w:cs="宋体"/>
                <w:color w:val="000000"/>
                <w:sz w:val="22"/>
                <w:szCs w:val="22"/>
              </w:rPr>
            </w:pPr>
          </w:p>
        </w:tc>
        <w:tc>
          <w:tcPr>
            <w:tcW w:w="4177" w:type="dxa"/>
            <w:gridSpan w:val="2"/>
          </w:tcPr>
          <w:p>
            <w:pPr>
              <w:jc w:val="center"/>
              <w:rPr>
                <w:rFonts w:ascii="宋体" w:hAnsi="宋体" w:eastAsia="宋体" w:cs="宋体"/>
                <w:color w:val="000000"/>
                <w:sz w:val="22"/>
                <w:szCs w:val="22"/>
              </w:rPr>
            </w:pPr>
          </w:p>
        </w:tc>
        <w:tc>
          <w:tcPr>
            <w:tcW w:w="1771" w:type="dxa"/>
            <w:gridSpan w:val="2"/>
          </w:tcPr>
          <w:p>
            <w:pPr>
              <w:jc w:val="center"/>
              <w:rPr>
                <w:rFonts w:ascii="宋体" w:hAnsi="宋体" w:eastAsia="宋体" w:cs="宋体"/>
                <w:color w:val="000000"/>
                <w:sz w:val="22"/>
                <w:szCs w:val="22"/>
              </w:rPr>
            </w:pPr>
          </w:p>
        </w:tc>
        <w:tc>
          <w:tcPr>
            <w:tcW w:w="816" w:type="dxa"/>
            <w:gridSpan w:val="2"/>
          </w:tcPr>
          <w:p>
            <w:pPr>
              <w:jc w:val="center"/>
              <w:rPr>
                <w:rFonts w:ascii="宋体" w:hAnsi="宋体" w:eastAsia="宋体" w:cs="宋体"/>
                <w:color w:val="000000"/>
                <w:sz w:val="22"/>
                <w:szCs w:val="22"/>
              </w:rPr>
            </w:pPr>
          </w:p>
        </w:tc>
      </w:tr>
    </w:tbl>
    <w:p>
      <w:pPr>
        <w:rPr>
          <w:rFonts w:ascii="Times New Roman" w:hAnsi="Times New Roman" w:eastAsia="仿宋_GB2312" w:cs="Times New Roman"/>
          <w:sz w:val="32"/>
          <w:szCs w:val="32"/>
        </w:rPr>
        <w:sectPr>
          <w:pgSz w:w="16838" w:h="11906" w:orient="landscape"/>
          <w:pgMar w:top="2098" w:right="1474" w:bottom="1984" w:left="1587" w:header="851" w:footer="1417" w:gutter="0"/>
          <w:pgNumType w:fmt="numberInDash"/>
          <w:cols w:space="0" w:num="1"/>
          <w:rtlGutter w:val="0"/>
          <w:docGrid w:type="lines" w:linePitch="312" w:charSpace="0"/>
        </w:sectPr>
      </w:pPr>
    </w:p>
    <w:p>
      <w:pPr>
        <w:pStyle w:val="2"/>
      </w:pPr>
    </w:p>
    <w:p>
      <w:pPr>
        <w:pStyle w:val="2"/>
        <w:ind w:left="0" w:leftChars="0" w:firstLine="0" w:firstLineChars="0"/>
        <w:rPr>
          <w:rFonts w:ascii="Times New Roman" w:hAnsi="Times New Roman" w:eastAsia="仿宋_GB2312" w:cs="Times New Roman"/>
          <w:sz w:val="32"/>
          <w:szCs w:val="32"/>
        </w:rPr>
        <w:sectPr>
          <w:footerReference r:id="rId4" w:type="default"/>
          <w:pgSz w:w="11906" w:h="16838"/>
          <w:pgMar w:top="1474" w:right="1984" w:bottom="1587" w:left="2098" w:header="851" w:footer="1417" w:gutter="0"/>
          <w:pgNumType w:fmt="numberInDash"/>
          <w:cols w:space="0" w:num="1"/>
          <w:rtlGutter w:val="0"/>
          <w:docGrid w:type="lines" w:linePitch="312" w:charSpace="0"/>
        </w:sectPr>
      </w:pPr>
    </w:p>
    <w:p>
      <w:pPr>
        <w:pStyle w:val="2"/>
        <w:ind w:left="0" w:leftChars="0" w:firstLine="0" w:firstLineChars="0"/>
        <w:rPr>
          <w:rFonts w:ascii="Times New Roman" w:hAnsi="Times New Roman" w:eastAsia="仿宋_GB2312" w:cs="Times New Roman"/>
          <w:sz w:val="32"/>
          <w:szCs w:val="32"/>
        </w:rPr>
      </w:pPr>
    </w:p>
    <w:p>
      <w:pPr>
        <w:pStyle w:val="2"/>
        <w:ind w:left="0" w:leftChars="0" w:firstLine="0" w:firstLineChars="0"/>
        <w:rPr>
          <w:rFonts w:ascii="Times New Roman" w:hAnsi="Times New Roman" w:eastAsia="仿宋_GB2312" w:cs="Times New Roman"/>
          <w:sz w:val="32"/>
          <w:szCs w:val="32"/>
        </w:rPr>
      </w:pPr>
    </w:p>
    <w:p>
      <w:pPr>
        <w:pStyle w:val="2"/>
        <w:ind w:left="0" w:leftChars="0" w:firstLine="0" w:firstLineChars="0"/>
        <w:rPr>
          <w:rFonts w:ascii="Times New Roman" w:hAnsi="Times New Roman" w:eastAsia="仿宋_GB2312" w:cs="Times New Roman"/>
          <w:sz w:val="32"/>
          <w:szCs w:val="32"/>
        </w:rPr>
      </w:pPr>
    </w:p>
    <w:p>
      <w:pPr>
        <w:pStyle w:val="2"/>
        <w:ind w:left="0" w:leftChars="0" w:firstLine="0" w:firstLineChars="0"/>
        <w:rPr>
          <w:rFonts w:ascii="Times New Roman" w:hAnsi="Times New Roman" w:eastAsia="仿宋_GB2312" w:cs="Times New Roman"/>
          <w:sz w:val="32"/>
          <w:szCs w:val="32"/>
        </w:rPr>
      </w:pPr>
    </w:p>
    <w:p>
      <w:pPr>
        <w:pStyle w:val="2"/>
        <w:ind w:left="0" w:leftChars="0" w:firstLine="0" w:firstLineChars="0"/>
        <w:rPr>
          <w:rFonts w:ascii="Times New Roman" w:hAnsi="Times New Roman" w:eastAsia="仿宋_GB2312" w:cs="Times New Roman"/>
          <w:sz w:val="32"/>
          <w:szCs w:val="32"/>
        </w:rPr>
      </w:pPr>
    </w:p>
    <w:p>
      <w:pPr>
        <w:pStyle w:val="2"/>
        <w:ind w:left="0" w:leftChars="0" w:firstLine="0" w:firstLineChars="0"/>
        <w:rPr>
          <w:rFonts w:ascii="Times New Roman" w:hAnsi="Times New Roman" w:eastAsia="仿宋_GB2312" w:cs="Times New Roman"/>
          <w:sz w:val="32"/>
          <w:szCs w:val="32"/>
        </w:rPr>
      </w:pPr>
    </w:p>
    <w:p>
      <w:pPr>
        <w:pStyle w:val="2"/>
        <w:ind w:left="0" w:leftChars="0" w:firstLine="0" w:firstLineChars="0"/>
        <w:rPr>
          <w:rFonts w:ascii="Times New Roman" w:hAnsi="Times New Roman" w:eastAsia="仿宋_GB2312" w:cs="Times New Roman"/>
          <w:sz w:val="32"/>
          <w:szCs w:val="32"/>
        </w:rPr>
      </w:pPr>
    </w:p>
    <w:p>
      <w:pPr>
        <w:pStyle w:val="2"/>
        <w:ind w:left="0" w:leftChars="0" w:firstLine="0" w:firstLineChars="0"/>
        <w:rPr>
          <w:rFonts w:ascii="Times New Roman" w:hAnsi="Times New Roman" w:eastAsia="仿宋_GB2312" w:cs="Times New Roman"/>
          <w:sz w:val="32"/>
          <w:szCs w:val="32"/>
        </w:rPr>
      </w:pPr>
    </w:p>
    <w:p>
      <w:pPr>
        <w:pStyle w:val="2"/>
        <w:ind w:left="0" w:leftChars="0" w:firstLine="0" w:firstLineChars="0"/>
        <w:rPr>
          <w:rFonts w:ascii="Times New Roman" w:hAnsi="Times New Roman" w:eastAsia="仿宋_GB2312" w:cs="Times New Roman"/>
          <w:sz w:val="32"/>
          <w:szCs w:val="32"/>
        </w:rPr>
      </w:pPr>
    </w:p>
    <w:p>
      <w:pPr>
        <w:pStyle w:val="2"/>
        <w:ind w:left="0" w:leftChars="0" w:firstLine="0" w:firstLineChars="0"/>
        <w:rPr>
          <w:rFonts w:ascii="Times New Roman" w:hAnsi="Times New Roman" w:eastAsia="仿宋_GB2312" w:cs="Times New Roman"/>
          <w:sz w:val="32"/>
          <w:szCs w:val="32"/>
        </w:rPr>
      </w:pPr>
    </w:p>
    <w:p>
      <w:pPr>
        <w:pStyle w:val="2"/>
        <w:ind w:left="0" w:leftChars="0" w:firstLine="0" w:firstLineChars="0"/>
        <w:rPr>
          <w:rFonts w:ascii="Times New Roman" w:hAnsi="Times New Roman" w:eastAsia="仿宋_GB2312" w:cs="Times New Roman"/>
          <w:sz w:val="32"/>
          <w:szCs w:val="32"/>
        </w:rPr>
      </w:pPr>
    </w:p>
    <w:p>
      <w:pPr>
        <w:pStyle w:val="2"/>
        <w:ind w:left="0" w:leftChars="0" w:firstLine="0" w:firstLineChars="0"/>
        <w:rPr>
          <w:rFonts w:ascii="Times New Roman" w:hAnsi="Times New Roman" w:eastAsia="仿宋_GB2312" w:cs="Times New Roman"/>
          <w:sz w:val="32"/>
          <w:szCs w:val="32"/>
        </w:rPr>
      </w:pPr>
    </w:p>
    <w:p>
      <w:pPr>
        <w:pStyle w:val="2"/>
        <w:ind w:left="0" w:leftChars="0" w:firstLine="0" w:firstLineChars="0"/>
        <w:rPr>
          <w:rFonts w:ascii="Times New Roman" w:hAnsi="Times New Roman" w:eastAsia="仿宋_GB2312" w:cs="Times New Roman"/>
          <w:sz w:val="32"/>
          <w:szCs w:val="32"/>
        </w:rPr>
      </w:pPr>
    </w:p>
    <w:p>
      <w:pPr>
        <w:pStyle w:val="2"/>
        <w:ind w:left="0" w:leftChars="0" w:firstLine="0" w:firstLineChars="0"/>
        <w:rPr>
          <w:rFonts w:ascii="Times New Roman" w:hAnsi="Times New Roman" w:eastAsia="仿宋_GB2312" w:cs="Times New Roman"/>
          <w:sz w:val="32"/>
          <w:szCs w:val="32"/>
        </w:rPr>
      </w:pPr>
    </w:p>
    <w:p>
      <w:pPr>
        <w:pStyle w:val="2"/>
        <w:ind w:left="0" w:leftChars="0" w:firstLine="0" w:firstLineChars="0"/>
        <w:rPr>
          <w:rFonts w:ascii="Times New Roman" w:hAnsi="Times New Roman" w:eastAsia="仿宋_GB2312" w:cs="Times New Roman"/>
          <w:sz w:val="32"/>
          <w:szCs w:val="32"/>
        </w:rPr>
      </w:pPr>
    </w:p>
    <w:p>
      <w:pPr>
        <w:pStyle w:val="2"/>
        <w:ind w:left="0" w:leftChars="0" w:firstLine="0" w:firstLineChars="0"/>
        <w:rPr>
          <w:rFonts w:ascii="Times New Roman" w:hAnsi="Times New Roman" w:eastAsia="仿宋_GB2312" w:cs="Times New Roman"/>
          <w:sz w:val="32"/>
          <w:szCs w:val="32"/>
        </w:rPr>
      </w:pPr>
    </w:p>
    <w:p>
      <w:pPr>
        <w:pStyle w:val="2"/>
        <w:ind w:left="0" w:leftChars="0" w:firstLine="0" w:firstLineChars="0"/>
        <w:rPr>
          <w:rFonts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before="0" w:line="240" w:lineRule="exact"/>
        <w:ind w:left="0" w:leftChars="0" w:firstLine="0" w:firstLineChars="0"/>
        <w:textAlignment w:val="auto"/>
        <w:rPr>
          <w:rFonts w:ascii="Times New Roman" w:hAnsi="Times New Roman" w:eastAsia="仿宋_GB2312" w:cs="Times New Roman"/>
          <w:sz w:val="32"/>
          <w:szCs w:val="32"/>
        </w:rPr>
      </w:pPr>
    </w:p>
    <w:sectPr>
      <w:footerReference r:id="rId5"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9D7"/>
    <w:rsid w:val="00155C33"/>
    <w:rsid w:val="002919D7"/>
    <w:rsid w:val="00447C1D"/>
    <w:rsid w:val="006D4626"/>
    <w:rsid w:val="00882C06"/>
    <w:rsid w:val="00A52996"/>
    <w:rsid w:val="00EA07F5"/>
    <w:rsid w:val="03B24C65"/>
    <w:rsid w:val="04DD0B86"/>
    <w:rsid w:val="070A6728"/>
    <w:rsid w:val="085A3CA6"/>
    <w:rsid w:val="0B0A08A5"/>
    <w:rsid w:val="0B662000"/>
    <w:rsid w:val="0E2421F6"/>
    <w:rsid w:val="0F5A262C"/>
    <w:rsid w:val="1102547E"/>
    <w:rsid w:val="122860E6"/>
    <w:rsid w:val="13117BFA"/>
    <w:rsid w:val="132C5BEB"/>
    <w:rsid w:val="14662FC4"/>
    <w:rsid w:val="172C37E3"/>
    <w:rsid w:val="176B7103"/>
    <w:rsid w:val="191539C7"/>
    <w:rsid w:val="192F2B88"/>
    <w:rsid w:val="1A69350E"/>
    <w:rsid w:val="1A780A97"/>
    <w:rsid w:val="1B0A6CF3"/>
    <w:rsid w:val="1B5D4076"/>
    <w:rsid w:val="1BD30CDF"/>
    <w:rsid w:val="1CFD7940"/>
    <w:rsid w:val="1F477CBE"/>
    <w:rsid w:val="21A81EBE"/>
    <w:rsid w:val="23DE215B"/>
    <w:rsid w:val="254D2F31"/>
    <w:rsid w:val="256A15F9"/>
    <w:rsid w:val="25A0096A"/>
    <w:rsid w:val="265F239F"/>
    <w:rsid w:val="27882083"/>
    <w:rsid w:val="2C1954ED"/>
    <w:rsid w:val="2C73401B"/>
    <w:rsid w:val="2CA5521C"/>
    <w:rsid w:val="2D4F21A2"/>
    <w:rsid w:val="2FD61105"/>
    <w:rsid w:val="309900E6"/>
    <w:rsid w:val="313225C1"/>
    <w:rsid w:val="315809EE"/>
    <w:rsid w:val="32E97DF4"/>
    <w:rsid w:val="35181498"/>
    <w:rsid w:val="35F55077"/>
    <w:rsid w:val="363F72B0"/>
    <w:rsid w:val="37091E6D"/>
    <w:rsid w:val="37EF0296"/>
    <w:rsid w:val="38696918"/>
    <w:rsid w:val="391658D2"/>
    <w:rsid w:val="3DC762C2"/>
    <w:rsid w:val="3ED34FD8"/>
    <w:rsid w:val="3EEC0124"/>
    <w:rsid w:val="3FB99E15"/>
    <w:rsid w:val="3FCC6EA3"/>
    <w:rsid w:val="3FDEC6C5"/>
    <w:rsid w:val="3FEF4077"/>
    <w:rsid w:val="3FFCDC0F"/>
    <w:rsid w:val="40511292"/>
    <w:rsid w:val="410148B6"/>
    <w:rsid w:val="41090869"/>
    <w:rsid w:val="418D4040"/>
    <w:rsid w:val="45F85E74"/>
    <w:rsid w:val="4853107C"/>
    <w:rsid w:val="498E7357"/>
    <w:rsid w:val="4FFAAA3C"/>
    <w:rsid w:val="51AD5CCC"/>
    <w:rsid w:val="534D7273"/>
    <w:rsid w:val="537B4DFA"/>
    <w:rsid w:val="546A72EE"/>
    <w:rsid w:val="5B5B0320"/>
    <w:rsid w:val="5EF7690E"/>
    <w:rsid w:val="61563D8A"/>
    <w:rsid w:val="63263980"/>
    <w:rsid w:val="63FF5430"/>
    <w:rsid w:val="64A70AD0"/>
    <w:rsid w:val="662D373F"/>
    <w:rsid w:val="6CE67B35"/>
    <w:rsid w:val="6FDF3267"/>
    <w:rsid w:val="6FEC2B33"/>
    <w:rsid w:val="721F33DE"/>
    <w:rsid w:val="72BE2C18"/>
    <w:rsid w:val="72FEE7E7"/>
    <w:rsid w:val="73FF66AB"/>
    <w:rsid w:val="742D7E05"/>
    <w:rsid w:val="7610368B"/>
    <w:rsid w:val="7625174A"/>
    <w:rsid w:val="765D40B8"/>
    <w:rsid w:val="7AE069B4"/>
    <w:rsid w:val="7BFCADEA"/>
    <w:rsid w:val="7DC72EEF"/>
    <w:rsid w:val="7FF70694"/>
    <w:rsid w:val="9CE31C2E"/>
    <w:rsid w:val="BA7B40C4"/>
    <w:rsid w:val="BBFB382D"/>
    <w:rsid w:val="D7B7D3D8"/>
    <w:rsid w:val="DBBFA016"/>
    <w:rsid w:val="DCFDFD1E"/>
    <w:rsid w:val="FE4EC3D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31"/>
      <w:ind w:left="108"/>
      <w:jc w:val="left"/>
    </w:pPr>
    <w:rPr>
      <w:rFonts w:ascii="宋体" w:hAnsi="宋体"/>
      <w:kern w:val="0"/>
      <w:sz w:val="32"/>
      <w:szCs w:val="32"/>
      <w:lang w:eastAsia="en-US"/>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51"/>
    <w:basedOn w:val="7"/>
    <w:qFormat/>
    <w:uiPriority w:val="0"/>
    <w:rPr>
      <w:rFonts w:hint="eastAsia" w:ascii="宋体" w:hAnsi="宋体" w:eastAsia="宋体" w:cs="宋体"/>
      <w:color w:val="000000"/>
      <w:sz w:val="22"/>
      <w:szCs w:val="22"/>
      <w:u w:val="none"/>
    </w:rPr>
  </w:style>
  <w:style w:type="character" w:customStyle="1" w:styleId="9">
    <w:name w:val="font81"/>
    <w:basedOn w:val="7"/>
    <w:qFormat/>
    <w:uiPriority w:val="0"/>
    <w:rPr>
      <w:rFonts w:hint="eastAsia" w:ascii="宋体" w:hAnsi="宋体" w:eastAsia="宋体" w:cs="宋体"/>
      <w:color w:val="000000"/>
      <w:sz w:val="22"/>
      <w:szCs w:val="22"/>
      <w:u w:val="none"/>
      <w:vertAlign w:val="superscript"/>
    </w:rPr>
  </w:style>
  <w:style w:type="character" w:customStyle="1" w:styleId="10">
    <w:name w:val="页眉 Char"/>
    <w:basedOn w:val="7"/>
    <w:link w:val="4"/>
    <w:qFormat/>
    <w:uiPriority w:val="0"/>
    <w:rPr>
      <w:kern w:val="2"/>
      <w:sz w:val="18"/>
      <w:szCs w:val="18"/>
    </w:rPr>
  </w:style>
  <w:style w:type="character" w:customStyle="1" w:styleId="11">
    <w:name w:val="页脚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87</Pages>
  <Words>29200</Words>
  <Characters>31004</Characters>
  <Lines>252</Lines>
  <Paragraphs>71</Paragraphs>
  <TotalTime>3</TotalTime>
  <ScaleCrop>false</ScaleCrop>
  <LinksUpToDate>false</LinksUpToDate>
  <CharactersWithSpaces>31277</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2022-03-04T05:30:00Z</dcterms:created>
  <dc:creator>Administrator</dc:creator>
  <cp:lastModifiedBy>user</cp:lastModifiedBy>
  <cp:lastPrinted>2022-04-24T00:54:00Z</cp:lastPrinted>
  <dcterms:modified xsi:type="dcterms:W3CDTF">2026-08-03T10:44:26Z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690C37EBCF69FB528A00706A3F302A3E</vt:lpwstr>
  </property>
</Properties>
</file>