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eastAsia="方正小标宋简体"/>
          <w:sz w:val="72"/>
          <w:szCs w:val="72"/>
        </w:rPr>
      </w:pPr>
      <w:bookmarkStart w:id="0" w:name="_Toc15306267"/>
    </w:p>
    <w:p>
      <w:pPr>
        <w:spacing w:line="600" w:lineRule="exact"/>
        <w:jc w:val="center"/>
        <w:outlineLvl w:val="0"/>
        <w:rPr>
          <w:rFonts w:eastAsia="方正小标宋简体"/>
          <w:sz w:val="72"/>
          <w:szCs w:val="72"/>
        </w:rPr>
      </w:pPr>
    </w:p>
    <w:p>
      <w:pPr>
        <w:spacing w:line="600" w:lineRule="exact"/>
        <w:jc w:val="center"/>
        <w:outlineLvl w:val="0"/>
        <w:rPr>
          <w:rFonts w:eastAsia="方正小标宋简体"/>
          <w:sz w:val="72"/>
          <w:szCs w:val="72"/>
        </w:rPr>
      </w:pPr>
    </w:p>
    <w:p>
      <w:pPr>
        <w:spacing w:line="600" w:lineRule="exact"/>
        <w:jc w:val="center"/>
        <w:outlineLvl w:val="0"/>
        <w:rPr>
          <w:rFonts w:eastAsia="方正小标宋简体"/>
          <w:sz w:val="72"/>
          <w:szCs w:val="72"/>
        </w:rPr>
      </w:pPr>
    </w:p>
    <w:p>
      <w:pPr>
        <w:adjustRightInd w:val="0"/>
        <w:snapToGrid w:val="0"/>
        <w:spacing w:line="360" w:lineRule="auto"/>
        <w:jc w:val="center"/>
        <w:outlineLvl w:val="0"/>
        <w:rPr>
          <w:rFonts w:eastAsia="方正小标宋简体"/>
          <w:sz w:val="72"/>
          <w:szCs w:val="72"/>
        </w:rPr>
      </w:pPr>
      <w:bookmarkStart w:id="1" w:name="_Toc15377194"/>
      <w:bookmarkStart w:id="2" w:name="_Toc15377426"/>
      <w:bookmarkStart w:id="3" w:name="_Toc15396598"/>
      <w:bookmarkStart w:id="4" w:name="_Toc15378442"/>
      <w:bookmarkStart w:id="5" w:name="_Toc15396476"/>
      <w:r>
        <w:rPr>
          <w:rFonts w:eastAsia="方正小标宋简体"/>
          <w:sz w:val="72"/>
          <w:szCs w:val="72"/>
        </w:rPr>
        <w:t>四川省</w:t>
      </w:r>
      <w:bookmarkEnd w:id="0"/>
      <w:bookmarkStart w:id="6" w:name="_Toc15306268"/>
      <w:r>
        <w:rPr>
          <w:rFonts w:eastAsia="方正小标宋简体"/>
          <w:sz w:val="72"/>
          <w:szCs w:val="72"/>
        </w:rPr>
        <w:t>攀枝花市西区人民代表大会常务委员会</w:t>
      </w:r>
    </w:p>
    <w:p>
      <w:pPr>
        <w:adjustRightInd w:val="0"/>
        <w:snapToGrid w:val="0"/>
        <w:spacing w:line="360" w:lineRule="auto"/>
        <w:jc w:val="center"/>
        <w:outlineLvl w:val="0"/>
        <w:rPr>
          <w:rFonts w:eastAsia="方正小标宋简体"/>
          <w:sz w:val="72"/>
          <w:szCs w:val="72"/>
        </w:rPr>
      </w:pPr>
      <w:bookmarkStart w:id="7" w:name="_Toc15378441"/>
      <w:bookmarkStart w:id="8" w:name="_Toc15396475"/>
      <w:bookmarkStart w:id="9" w:name="_Toc15396597"/>
      <w:bookmarkStart w:id="10" w:name="_Toc15377193"/>
      <w:bookmarkStart w:id="11" w:name="_Toc15377425"/>
      <w:r>
        <w:rPr>
          <w:rFonts w:eastAsia="方正小标宋简体"/>
          <w:sz w:val="72"/>
          <w:szCs w:val="72"/>
        </w:rPr>
        <w:t>2021年度</w:t>
      </w:r>
      <w:bookmarkEnd w:id="7"/>
      <w:bookmarkEnd w:id="8"/>
      <w:bookmarkEnd w:id="9"/>
      <w:bookmarkEnd w:id="10"/>
      <w:bookmarkEnd w:id="11"/>
      <w:r>
        <w:rPr>
          <w:rFonts w:eastAsia="方正小标宋简体"/>
          <w:sz w:val="72"/>
          <w:szCs w:val="72"/>
        </w:rPr>
        <w:t>办公室决算</w:t>
      </w:r>
      <w:bookmarkEnd w:id="1"/>
      <w:bookmarkEnd w:id="2"/>
      <w:bookmarkEnd w:id="3"/>
      <w:bookmarkEnd w:id="4"/>
      <w:bookmarkEnd w:id="5"/>
      <w:bookmarkEnd w:id="6"/>
    </w:p>
    <w:p>
      <w:pPr>
        <w:adjustRightInd w:val="0"/>
        <w:snapToGrid w:val="0"/>
        <w:spacing w:line="360" w:lineRule="auto"/>
        <w:jc w:val="center"/>
        <w:outlineLvl w:val="0"/>
        <w:rPr>
          <w:rFonts w:eastAsia="方正小标宋简体"/>
          <w:sz w:val="52"/>
          <w:szCs w:val="52"/>
        </w:rPr>
      </w:pPr>
    </w:p>
    <w:p>
      <w:pPr>
        <w:widowControl/>
        <w:jc w:val="center"/>
        <w:rPr>
          <w:rFonts w:eastAsia="黑体"/>
          <w:sz w:val="48"/>
          <w:szCs w:val="48"/>
        </w:rPr>
      </w:pPr>
      <w:r>
        <w:rPr>
          <w:rFonts w:eastAsia="方正小标宋简体"/>
          <w:sz w:val="36"/>
          <w:szCs w:val="36"/>
        </w:rPr>
        <w:br w:type="page"/>
      </w:r>
      <w:r>
        <w:rPr>
          <w:rFonts w:eastAsia="黑体"/>
          <w:sz w:val="48"/>
          <w:szCs w:val="48"/>
        </w:rPr>
        <w:t>目录</w:t>
      </w:r>
    </w:p>
    <w:p>
      <w:pPr>
        <w:widowControl/>
        <w:jc w:val="center"/>
        <w:rPr>
          <w:rFonts w:eastAsia="黑体"/>
          <w:sz w:val="28"/>
          <w:szCs w:val="28"/>
        </w:rPr>
      </w:pPr>
    </w:p>
    <w:p>
      <w:pPr>
        <w:pStyle w:val="11"/>
        <w:rPr>
          <w:rFonts w:ascii="Times New Roman" w:hAnsi="Times New Roman"/>
        </w:rPr>
      </w:pPr>
      <w:r>
        <w:rPr>
          <w:rFonts w:ascii="Times New Roman" w:hAnsi="Times New Roman"/>
        </w:rPr>
        <w:t>公开时间：2022年10月9日</w:t>
      </w:r>
    </w:p>
    <w:p/>
    <w:p>
      <w:pPr>
        <w:pStyle w:val="11"/>
        <w:adjustRightInd w:val="0"/>
        <w:snapToGrid w:val="0"/>
        <w:spacing w:before="0" w:line="440" w:lineRule="exact"/>
        <w:jc w:val="left"/>
        <w:rPr>
          <w:rFonts w:ascii="Times New Roman" w:hAnsi="Times New Roman"/>
          <w:sz w:val="24"/>
          <w:szCs w:val="24"/>
        </w:rPr>
      </w:pPr>
      <w:r>
        <w:rPr>
          <w:rFonts w:ascii="Times New Roman" w:hAnsi="Times New Roman"/>
          <w:sz w:val="24"/>
        </w:rPr>
        <w:t>第一部分单位概况</w:t>
      </w:r>
      <w:r>
        <w:rPr>
          <w:rFonts w:ascii="Times New Roman" w:hAnsi="Times New Roman" w:eastAsia="宋体"/>
          <w:sz w:val="21"/>
          <w:szCs w:val="24"/>
        </w:rPr>
        <w:tab/>
      </w:r>
      <w:r>
        <w:rPr>
          <w:rFonts w:ascii="Times New Roman" w:hAnsi="Times New Roman" w:eastAsia="宋体"/>
          <w:sz w:val="21"/>
          <w:szCs w:val="24"/>
        </w:rPr>
        <w:t>4</w:t>
      </w:r>
    </w:p>
    <w:p>
      <w:pPr>
        <w:pStyle w:val="12"/>
        <w:adjustRightInd w:val="0"/>
        <w:snapToGrid w:val="0"/>
        <w:spacing w:line="440" w:lineRule="exact"/>
        <w:jc w:val="left"/>
      </w:pPr>
      <w:r>
        <w:rPr>
          <w:sz w:val="24"/>
        </w:rPr>
        <w:t>一、</w:t>
      </w:r>
      <w:r>
        <w:rPr>
          <w:rFonts w:hint="eastAsia"/>
          <w:sz w:val="24"/>
        </w:rPr>
        <w:t>基本职能及主要工作</w:t>
      </w:r>
      <w:r>
        <w:tab/>
      </w:r>
      <w:r>
        <w:t>4</w:t>
      </w:r>
    </w:p>
    <w:p>
      <w:pPr>
        <w:pStyle w:val="12"/>
        <w:adjustRightInd w:val="0"/>
        <w:snapToGrid w:val="0"/>
        <w:spacing w:line="440" w:lineRule="exact"/>
        <w:jc w:val="left"/>
      </w:pPr>
      <w:r>
        <w:rPr>
          <w:rFonts w:eastAsiaTheme="minorEastAsia"/>
          <w:sz w:val="24"/>
        </w:rPr>
        <w:t>二、</w:t>
      </w:r>
      <w:r>
        <w:rPr>
          <w:rFonts w:hint="eastAsia" w:eastAsiaTheme="minorEastAsia"/>
          <w:sz w:val="24"/>
        </w:rPr>
        <w:t>机构设置</w:t>
      </w:r>
      <w:r>
        <w:rPr>
          <w:rFonts w:eastAsiaTheme="minorEastAsia"/>
          <w:sz w:val="24"/>
        </w:rPr>
        <w:t>……</w:t>
      </w:r>
      <w:r>
        <w:tab/>
      </w:r>
      <w:r>
        <w:t>10</w:t>
      </w:r>
      <w:r>
        <w:rPr>
          <w:rFonts w:hint="eastAsia"/>
        </w:rPr>
        <w:t xml:space="preserve"> </w:t>
      </w:r>
      <w:r>
        <w:t xml:space="preserve">  </w:t>
      </w:r>
    </w:p>
    <w:p>
      <w:pPr>
        <w:pStyle w:val="11"/>
        <w:adjustRightInd w:val="0"/>
        <w:snapToGrid w:val="0"/>
        <w:spacing w:before="0" w:line="440" w:lineRule="exact"/>
        <w:jc w:val="left"/>
        <w:rPr>
          <w:rFonts w:ascii="Times New Roman" w:hAnsi="Times New Roman" w:eastAsia="宋体"/>
          <w:sz w:val="21"/>
          <w:szCs w:val="24"/>
        </w:rPr>
      </w:pPr>
      <w:r>
        <w:rPr>
          <w:rFonts w:ascii="Times New Roman" w:hAnsi="Times New Roman"/>
          <w:sz w:val="24"/>
        </w:rPr>
        <w:t>第二部分 2021年度单位决算情况说明</w:t>
      </w:r>
      <w:r>
        <w:rPr>
          <w:rFonts w:ascii="Times New Roman" w:hAnsi="Times New Roman" w:eastAsia="宋体"/>
          <w:sz w:val="21"/>
          <w:szCs w:val="24"/>
        </w:rPr>
        <w:tab/>
      </w:r>
      <w:r>
        <w:rPr>
          <w:rFonts w:ascii="Times New Roman" w:hAnsi="Times New Roman" w:eastAsia="宋体"/>
          <w:sz w:val="21"/>
          <w:szCs w:val="24"/>
        </w:rPr>
        <w:t>…11</w:t>
      </w:r>
    </w:p>
    <w:p>
      <w:pPr>
        <w:pStyle w:val="12"/>
        <w:adjustRightInd w:val="0"/>
        <w:snapToGrid w:val="0"/>
        <w:spacing w:line="440" w:lineRule="exact"/>
        <w:jc w:val="left"/>
      </w:pPr>
      <w:r>
        <w:rPr>
          <w:sz w:val="24"/>
        </w:rPr>
        <w:t>一、收入支出决算总体情况说明</w:t>
      </w:r>
      <w:r>
        <w:tab/>
      </w:r>
      <w:r>
        <w:t>11</w:t>
      </w:r>
    </w:p>
    <w:p>
      <w:pPr>
        <w:pStyle w:val="12"/>
        <w:adjustRightInd w:val="0"/>
        <w:snapToGrid w:val="0"/>
        <w:spacing w:line="440" w:lineRule="exact"/>
        <w:jc w:val="left"/>
        <w:rPr>
          <w:sz w:val="24"/>
        </w:rPr>
      </w:pPr>
      <w:r>
        <w:rPr>
          <w:sz w:val="24"/>
        </w:rPr>
        <w:t>二、收入决算情况说明</w:t>
      </w:r>
      <w:r>
        <w:tab/>
      </w:r>
      <w:r>
        <w:t>11</w:t>
      </w:r>
    </w:p>
    <w:p>
      <w:pPr>
        <w:pStyle w:val="12"/>
        <w:adjustRightInd w:val="0"/>
        <w:snapToGrid w:val="0"/>
        <w:spacing w:line="440" w:lineRule="exact"/>
        <w:jc w:val="left"/>
        <w:rPr>
          <w:sz w:val="24"/>
        </w:rPr>
      </w:pPr>
      <w:r>
        <w:rPr>
          <w:sz w:val="24"/>
        </w:rPr>
        <w:t>三、支出决算情况说明</w:t>
      </w:r>
      <w:r>
        <w:tab/>
      </w:r>
      <w:r>
        <w:t>12</w:t>
      </w:r>
    </w:p>
    <w:p>
      <w:pPr>
        <w:pStyle w:val="12"/>
        <w:adjustRightInd w:val="0"/>
        <w:snapToGrid w:val="0"/>
        <w:spacing w:line="440" w:lineRule="exact"/>
        <w:jc w:val="left"/>
        <w:rPr>
          <w:sz w:val="24"/>
        </w:rPr>
      </w:pPr>
      <w:r>
        <w:rPr>
          <w:sz w:val="24"/>
        </w:rPr>
        <w:t>四、财政拨款收入支出决算总体情况说明</w:t>
      </w:r>
      <w:r>
        <w:tab/>
      </w:r>
      <w:r>
        <w:t>12</w:t>
      </w:r>
    </w:p>
    <w:p>
      <w:pPr>
        <w:pStyle w:val="12"/>
        <w:adjustRightInd w:val="0"/>
        <w:snapToGrid w:val="0"/>
        <w:spacing w:line="440" w:lineRule="exact"/>
        <w:jc w:val="left"/>
        <w:rPr>
          <w:sz w:val="24"/>
        </w:rPr>
      </w:pPr>
      <w:r>
        <w:rPr>
          <w:sz w:val="24"/>
        </w:rPr>
        <w:t>五、一般公共预算财政拨款支出决算情况说明</w:t>
      </w:r>
      <w:r>
        <w:tab/>
      </w:r>
      <w:r>
        <w:t>13</w:t>
      </w:r>
    </w:p>
    <w:p>
      <w:pPr>
        <w:pStyle w:val="12"/>
        <w:adjustRightInd w:val="0"/>
        <w:snapToGrid w:val="0"/>
        <w:spacing w:line="440" w:lineRule="exact"/>
        <w:jc w:val="left"/>
        <w:rPr>
          <w:sz w:val="24"/>
        </w:rPr>
      </w:pPr>
      <w:r>
        <w:rPr>
          <w:sz w:val="24"/>
        </w:rPr>
        <w:t>六、一般公共预算财政拨款基本支出决算情况说明</w:t>
      </w:r>
      <w:r>
        <w:tab/>
      </w:r>
      <w:r>
        <w:t>15</w:t>
      </w:r>
    </w:p>
    <w:p>
      <w:pPr>
        <w:pStyle w:val="12"/>
        <w:adjustRightInd w:val="0"/>
        <w:snapToGrid w:val="0"/>
        <w:spacing w:line="440" w:lineRule="exact"/>
        <w:jc w:val="left"/>
        <w:rPr>
          <w:rFonts w:eastAsia="仿宋"/>
          <w:sz w:val="24"/>
        </w:rPr>
      </w:pPr>
      <w:r>
        <w:rPr>
          <w:sz w:val="24"/>
        </w:rPr>
        <w:t>七、“三公”经费财政拨款支出决算情况说明</w:t>
      </w:r>
      <w:r>
        <w:tab/>
      </w:r>
      <w:r>
        <w:t>16</w:t>
      </w:r>
    </w:p>
    <w:p>
      <w:pPr>
        <w:pStyle w:val="12"/>
        <w:adjustRightInd w:val="0"/>
        <w:snapToGrid w:val="0"/>
        <w:spacing w:line="440" w:lineRule="exact"/>
        <w:jc w:val="left"/>
        <w:rPr>
          <w:sz w:val="24"/>
        </w:rPr>
      </w:pPr>
      <w:r>
        <w:rPr>
          <w:sz w:val="24"/>
        </w:rPr>
        <w:t>八、政府性基金预算支出决算情况说明</w:t>
      </w:r>
      <w:r>
        <w:tab/>
      </w:r>
      <w:r>
        <w:t>17</w:t>
      </w:r>
    </w:p>
    <w:p>
      <w:pPr>
        <w:pStyle w:val="12"/>
        <w:adjustRightInd w:val="0"/>
        <w:snapToGrid w:val="0"/>
        <w:spacing w:line="440" w:lineRule="exact"/>
        <w:jc w:val="left"/>
        <w:rPr>
          <w:sz w:val="24"/>
        </w:rPr>
      </w:pPr>
      <w:r>
        <w:rPr>
          <w:sz w:val="24"/>
        </w:rPr>
        <w:t>九、国有资本经营预算支出决算情况说明</w:t>
      </w:r>
      <w:r>
        <w:tab/>
      </w:r>
      <w:r>
        <w:t>17</w:t>
      </w:r>
    </w:p>
    <w:p>
      <w:pPr>
        <w:pStyle w:val="12"/>
        <w:adjustRightInd w:val="0"/>
        <w:snapToGrid w:val="0"/>
        <w:spacing w:line="440" w:lineRule="exact"/>
        <w:jc w:val="left"/>
        <w:rPr>
          <w:sz w:val="24"/>
        </w:rPr>
      </w:pPr>
      <w:r>
        <w:rPr>
          <w:sz w:val="24"/>
        </w:rPr>
        <w:t>十、其他重要事项的情况说明</w:t>
      </w:r>
      <w:r>
        <w:tab/>
      </w:r>
      <w:r>
        <w:t>17</w:t>
      </w:r>
    </w:p>
    <w:p>
      <w:pPr>
        <w:pStyle w:val="11"/>
        <w:adjustRightInd w:val="0"/>
        <w:snapToGrid w:val="0"/>
        <w:spacing w:before="0" w:line="440" w:lineRule="exact"/>
        <w:jc w:val="left"/>
        <w:rPr>
          <w:rFonts w:ascii="Times New Roman" w:hAnsi="Times New Roman" w:eastAsia="宋体"/>
          <w:sz w:val="21"/>
          <w:szCs w:val="24"/>
        </w:rPr>
      </w:pPr>
      <w:r>
        <w:rPr>
          <w:rFonts w:ascii="Times New Roman" w:hAnsi="Times New Roman"/>
          <w:sz w:val="24"/>
        </w:rPr>
        <w:t>第三部分名词解释</w:t>
      </w:r>
      <w:r>
        <w:rPr>
          <w:rFonts w:ascii="Times New Roman" w:hAnsi="Times New Roman" w:eastAsia="宋体"/>
          <w:sz w:val="21"/>
          <w:szCs w:val="24"/>
        </w:rPr>
        <w:tab/>
      </w:r>
      <w:r>
        <w:rPr>
          <w:rFonts w:ascii="Times New Roman" w:hAnsi="Times New Roman" w:eastAsia="宋体"/>
          <w:sz w:val="21"/>
          <w:szCs w:val="24"/>
        </w:rPr>
        <w:t>19</w:t>
      </w:r>
    </w:p>
    <w:p>
      <w:pPr>
        <w:pStyle w:val="11"/>
        <w:adjustRightInd w:val="0"/>
        <w:snapToGrid w:val="0"/>
        <w:spacing w:before="0" w:line="440" w:lineRule="exact"/>
        <w:jc w:val="left"/>
        <w:rPr>
          <w:rFonts w:ascii="Times New Roman" w:hAnsi="Times New Roman" w:eastAsia="宋体"/>
          <w:sz w:val="21"/>
          <w:szCs w:val="24"/>
        </w:rPr>
      </w:pPr>
      <w:r>
        <w:rPr>
          <w:rFonts w:ascii="Times New Roman" w:hAnsi="Times New Roman"/>
          <w:sz w:val="24"/>
        </w:rPr>
        <w:t>第四部分附件</w:t>
      </w:r>
      <w:r>
        <w:rPr>
          <w:rFonts w:ascii="Times New Roman" w:hAnsi="Times New Roman" w:eastAsia="宋体"/>
          <w:sz w:val="21"/>
          <w:szCs w:val="24"/>
        </w:rPr>
        <w:tab/>
      </w:r>
      <w:r>
        <w:rPr>
          <w:rFonts w:ascii="Times New Roman" w:hAnsi="Times New Roman" w:eastAsia="宋体"/>
          <w:sz w:val="21"/>
          <w:szCs w:val="24"/>
        </w:rPr>
        <w:t>2</w:t>
      </w:r>
      <w:r>
        <w:rPr>
          <w:rFonts w:hint="eastAsia" w:ascii="Times New Roman" w:hAnsi="Times New Roman" w:eastAsia="宋体"/>
          <w:sz w:val="21"/>
          <w:szCs w:val="24"/>
        </w:rPr>
        <w:t>2</w:t>
      </w:r>
    </w:p>
    <w:p>
      <w:pPr>
        <w:pStyle w:val="11"/>
        <w:adjustRightInd w:val="0"/>
        <w:snapToGrid w:val="0"/>
        <w:spacing w:before="0" w:line="440" w:lineRule="exact"/>
        <w:jc w:val="left"/>
        <w:rPr>
          <w:rFonts w:ascii="Times New Roman" w:hAnsi="Times New Roman" w:eastAsia="宋体"/>
          <w:sz w:val="21"/>
          <w:szCs w:val="24"/>
        </w:rPr>
      </w:pPr>
      <w:r>
        <w:rPr>
          <w:rFonts w:ascii="Times New Roman" w:hAnsi="Times New Roman"/>
          <w:sz w:val="24"/>
        </w:rPr>
        <w:t>第五部分附表</w:t>
      </w:r>
      <w:r>
        <w:rPr>
          <w:rFonts w:ascii="Times New Roman" w:hAnsi="Times New Roman" w:eastAsia="宋体"/>
          <w:sz w:val="21"/>
          <w:szCs w:val="24"/>
        </w:rPr>
        <w:tab/>
      </w:r>
      <w:r>
        <w:rPr>
          <w:rFonts w:hint="eastAsia" w:ascii="Times New Roman" w:hAnsi="Times New Roman" w:eastAsia="宋体"/>
          <w:sz w:val="21"/>
          <w:szCs w:val="24"/>
        </w:rPr>
        <w:t>31</w:t>
      </w:r>
    </w:p>
    <w:p>
      <w:pPr>
        <w:pStyle w:val="12"/>
        <w:adjustRightInd w:val="0"/>
        <w:snapToGrid w:val="0"/>
        <w:spacing w:line="440" w:lineRule="exact"/>
        <w:jc w:val="left"/>
      </w:pPr>
      <w:r>
        <w:rPr>
          <w:sz w:val="24"/>
        </w:rPr>
        <w:t>一、收入支出决算总表</w:t>
      </w:r>
    </w:p>
    <w:p>
      <w:pPr>
        <w:pStyle w:val="12"/>
        <w:adjustRightInd w:val="0"/>
        <w:snapToGrid w:val="0"/>
        <w:spacing w:line="440" w:lineRule="exact"/>
        <w:jc w:val="left"/>
        <w:rPr>
          <w:sz w:val="24"/>
        </w:rPr>
      </w:pPr>
      <w:r>
        <w:rPr>
          <w:sz w:val="24"/>
        </w:rPr>
        <w:t>二、收入决算表</w:t>
      </w:r>
    </w:p>
    <w:p>
      <w:pPr>
        <w:pStyle w:val="12"/>
        <w:adjustRightInd w:val="0"/>
        <w:snapToGrid w:val="0"/>
        <w:spacing w:line="440" w:lineRule="exact"/>
        <w:jc w:val="left"/>
        <w:rPr>
          <w:sz w:val="24"/>
        </w:rPr>
      </w:pPr>
      <w:r>
        <w:rPr>
          <w:sz w:val="24"/>
        </w:rPr>
        <w:t>三、支出决算表</w:t>
      </w:r>
    </w:p>
    <w:p>
      <w:pPr>
        <w:pStyle w:val="12"/>
        <w:adjustRightInd w:val="0"/>
        <w:snapToGrid w:val="0"/>
        <w:spacing w:line="440" w:lineRule="exact"/>
        <w:jc w:val="left"/>
      </w:pPr>
      <w:r>
        <w:rPr>
          <w:sz w:val="24"/>
        </w:rPr>
        <w:t>四、财政拨款收入支出决算总表</w:t>
      </w:r>
    </w:p>
    <w:p>
      <w:pPr>
        <w:pStyle w:val="12"/>
        <w:adjustRightInd w:val="0"/>
        <w:snapToGrid w:val="0"/>
        <w:spacing w:line="440" w:lineRule="exact"/>
        <w:jc w:val="left"/>
        <w:rPr>
          <w:sz w:val="24"/>
        </w:rPr>
      </w:pPr>
      <w:r>
        <w:rPr>
          <w:sz w:val="24"/>
        </w:rPr>
        <w:t>五、财政拨款支出决算明细表</w:t>
      </w:r>
    </w:p>
    <w:p>
      <w:pPr>
        <w:pStyle w:val="12"/>
        <w:adjustRightInd w:val="0"/>
        <w:snapToGrid w:val="0"/>
        <w:spacing w:line="440" w:lineRule="exact"/>
        <w:jc w:val="left"/>
        <w:rPr>
          <w:sz w:val="24"/>
        </w:rPr>
      </w:pPr>
      <w:r>
        <w:rPr>
          <w:sz w:val="24"/>
        </w:rPr>
        <w:t>六、一般公共预算财政拨款支出决算表</w:t>
      </w:r>
    </w:p>
    <w:p>
      <w:pPr>
        <w:pStyle w:val="12"/>
        <w:adjustRightInd w:val="0"/>
        <w:snapToGrid w:val="0"/>
        <w:spacing w:line="440" w:lineRule="exact"/>
        <w:jc w:val="left"/>
      </w:pPr>
      <w:r>
        <w:rPr>
          <w:sz w:val="24"/>
        </w:rPr>
        <w:t>七、一般公共预算财政拨款支出决算明细表</w:t>
      </w:r>
    </w:p>
    <w:p>
      <w:pPr>
        <w:pStyle w:val="12"/>
        <w:adjustRightInd w:val="0"/>
        <w:snapToGrid w:val="0"/>
        <w:spacing w:line="440" w:lineRule="exact"/>
        <w:jc w:val="left"/>
      </w:pPr>
      <w:r>
        <w:rPr>
          <w:sz w:val="24"/>
        </w:rPr>
        <w:t>八、一般公共预算财政拨款基本支出决算表</w:t>
      </w:r>
    </w:p>
    <w:p>
      <w:pPr>
        <w:pStyle w:val="12"/>
        <w:adjustRightInd w:val="0"/>
        <w:snapToGrid w:val="0"/>
        <w:spacing w:line="440" w:lineRule="exact"/>
        <w:jc w:val="left"/>
      </w:pPr>
      <w:r>
        <w:rPr>
          <w:sz w:val="24"/>
        </w:rPr>
        <w:t>九、一般公共预算财政拨款项目支出决算表</w:t>
      </w:r>
    </w:p>
    <w:p>
      <w:pPr>
        <w:pStyle w:val="12"/>
        <w:adjustRightInd w:val="0"/>
        <w:snapToGrid w:val="0"/>
        <w:spacing w:line="440" w:lineRule="exact"/>
        <w:jc w:val="left"/>
      </w:pPr>
      <w:r>
        <w:rPr>
          <w:sz w:val="24"/>
        </w:rPr>
        <w:t>十、一般公共预算财政拨款“三公”经费支出决算表</w:t>
      </w:r>
    </w:p>
    <w:p>
      <w:pPr>
        <w:pStyle w:val="12"/>
        <w:adjustRightInd w:val="0"/>
        <w:snapToGrid w:val="0"/>
        <w:spacing w:line="440" w:lineRule="exact"/>
        <w:jc w:val="left"/>
        <w:rPr>
          <w:sz w:val="24"/>
        </w:rPr>
      </w:pPr>
      <w:r>
        <w:rPr>
          <w:sz w:val="24"/>
        </w:rPr>
        <w:t>十一、政府性基金预算财政拨款收入支出决算表</w:t>
      </w:r>
    </w:p>
    <w:p>
      <w:pPr>
        <w:pStyle w:val="12"/>
        <w:adjustRightInd w:val="0"/>
        <w:snapToGrid w:val="0"/>
        <w:spacing w:line="440" w:lineRule="exact"/>
        <w:jc w:val="left"/>
        <w:rPr>
          <w:sz w:val="24"/>
        </w:rPr>
      </w:pPr>
      <w:r>
        <w:rPr>
          <w:sz w:val="24"/>
        </w:rPr>
        <w:t>十二、政府性基金预算财政拨款“三公”经费支出决算表</w:t>
      </w:r>
    </w:p>
    <w:p>
      <w:pPr>
        <w:pStyle w:val="12"/>
        <w:adjustRightInd w:val="0"/>
        <w:snapToGrid w:val="0"/>
        <w:spacing w:line="440" w:lineRule="exact"/>
        <w:jc w:val="left"/>
      </w:pPr>
      <w:r>
        <w:rPr>
          <w:sz w:val="24"/>
        </w:rPr>
        <w:t>十三、国有资本经营预算财政拨款收入支出决算表</w:t>
      </w:r>
    </w:p>
    <w:p>
      <w:pPr>
        <w:pStyle w:val="12"/>
        <w:adjustRightInd w:val="0"/>
        <w:snapToGrid w:val="0"/>
        <w:spacing w:line="440" w:lineRule="exact"/>
        <w:jc w:val="left"/>
        <w:rPr>
          <w:sz w:val="24"/>
        </w:rPr>
      </w:pPr>
      <w:r>
        <w:rPr>
          <w:sz w:val="24"/>
        </w:rPr>
        <w:t>十四、国有资本经营预算财政拨款支出决算表</w:t>
      </w:r>
    </w:p>
    <w:p>
      <w:pPr>
        <w:widowControl/>
        <w:spacing w:line="440" w:lineRule="exact"/>
        <w:jc w:val="left"/>
        <w:rPr>
          <w:rFonts w:eastAsia="仿宋"/>
          <w:bCs/>
          <w:kern w:val="44"/>
          <w:sz w:val="24"/>
        </w:rPr>
      </w:pPr>
      <w:bookmarkStart w:id="12" w:name="_Toc15396599"/>
      <w:bookmarkStart w:id="13" w:name="_Toc15377196"/>
      <w:r>
        <w:rPr>
          <w:rFonts w:eastAsia="仿宋"/>
          <w:b/>
          <w:sz w:val="24"/>
        </w:rPr>
        <w:br w:type="page"/>
      </w:r>
    </w:p>
    <w:p>
      <w:pPr>
        <w:pStyle w:val="3"/>
        <w:jc w:val="center"/>
        <w:rPr>
          <w:rStyle w:val="26"/>
          <w:rFonts w:eastAsia="黑体"/>
          <w:b/>
          <w:bCs w:val="0"/>
        </w:rPr>
      </w:pPr>
      <w:r>
        <w:rPr>
          <w:rFonts w:eastAsia="黑体"/>
          <w:b w:val="0"/>
        </w:rPr>
        <w:t>第一部分 单位</w:t>
      </w:r>
      <w:r>
        <w:rPr>
          <w:rStyle w:val="26"/>
          <w:rFonts w:eastAsia="黑体"/>
          <w:b w:val="0"/>
          <w:bCs w:val="0"/>
        </w:rPr>
        <w:t>概况</w:t>
      </w:r>
      <w:bookmarkEnd w:id="12"/>
      <w:bookmarkEnd w:id="13"/>
    </w:p>
    <w:p>
      <w:pPr>
        <w:pStyle w:val="4"/>
        <w:ind w:firstLine="640" w:firstLineChars="200"/>
        <w:rPr>
          <w:rStyle w:val="27"/>
          <w:rFonts w:ascii="Times New Roman" w:hAnsi="Times New Roman" w:eastAsia="方正黑体_GBK" w:cs="Times New Roman"/>
          <w:b w:val="0"/>
          <w:bCs w:val="0"/>
        </w:rPr>
      </w:pPr>
      <w:bookmarkStart w:id="14" w:name="_Toc15377197"/>
      <w:bookmarkStart w:id="15" w:name="_Toc15396600"/>
      <w:r>
        <w:rPr>
          <w:rStyle w:val="27"/>
          <w:rFonts w:ascii="Times New Roman" w:hAnsi="Times New Roman" w:eastAsia="方正黑体_GBK" w:cs="Times New Roman"/>
          <w:b w:val="0"/>
          <w:bCs w:val="0"/>
        </w:rPr>
        <w:t>一、</w:t>
      </w:r>
      <w:r>
        <w:rPr>
          <w:rStyle w:val="27"/>
          <w:rFonts w:hint="eastAsia" w:ascii="Times New Roman" w:hAnsi="Times New Roman" w:eastAsia="方正黑体_GBK" w:cs="Times New Roman"/>
          <w:b w:val="0"/>
          <w:bCs w:val="0"/>
        </w:rPr>
        <w:t>基本职能及主要工作</w:t>
      </w:r>
    </w:p>
    <w:p>
      <w:pPr>
        <w:ind w:firstLine="642" w:firstLineChars="200"/>
        <w:rPr>
          <w:rFonts w:eastAsia="方正仿宋_GBK"/>
          <w:b/>
          <w:sz w:val="32"/>
          <w:szCs w:val="32"/>
        </w:rPr>
      </w:pPr>
      <w:r>
        <w:rPr>
          <w:rFonts w:hint="eastAsia" w:eastAsia="方正仿宋_GBK"/>
          <w:b/>
          <w:sz w:val="32"/>
          <w:szCs w:val="32"/>
        </w:rPr>
        <w:t>（一）主要职能</w:t>
      </w:r>
    </w:p>
    <w:p>
      <w:pPr>
        <w:ind w:firstLine="640" w:firstLineChars="200"/>
        <w:rPr>
          <w:rFonts w:eastAsia="方正仿宋_GBK"/>
          <w:sz w:val="32"/>
          <w:szCs w:val="32"/>
        </w:rPr>
      </w:pPr>
      <w:r>
        <w:rPr>
          <w:rFonts w:eastAsia="方正仿宋_GBK"/>
          <w:sz w:val="32"/>
          <w:szCs w:val="32"/>
        </w:rPr>
        <w:t>1.在本行政区域内，保证宪法、法律、行政法规和上级人民代表大会及其常务委员会决议的遵守和执行，保证国家计划和国家预算的执行；</w:t>
      </w:r>
    </w:p>
    <w:p>
      <w:pPr>
        <w:ind w:firstLine="640" w:firstLineChars="200"/>
        <w:rPr>
          <w:rFonts w:eastAsia="方正仿宋_GBK"/>
          <w:sz w:val="32"/>
          <w:szCs w:val="32"/>
        </w:rPr>
      </w:pPr>
      <w:r>
        <w:rPr>
          <w:rFonts w:eastAsia="方正仿宋_GBK"/>
          <w:sz w:val="32"/>
          <w:szCs w:val="32"/>
        </w:rPr>
        <w:t>2.审查和批准本行政区域内的</w:t>
      </w:r>
      <w:r>
        <w:fldChar w:fldCharType="begin"/>
      </w:r>
      <w:r>
        <w:instrText xml:space="preserve"> HYPERLINK "http://baike.baidu.com/view/863067.htm" \t "_blank" </w:instrText>
      </w:r>
      <w:r>
        <w:fldChar w:fldCharType="separate"/>
      </w:r>
      <w:r>
        <w:rPr>
          <w:rFonts w:eastAsia="方正仿宋_GBK"/>
          <w:sz w:val="32"/>
          <w:szCs w:val="32"/>
        </w:rPr>
        <w:t>国民经济和社会发展计划</w:t>
      </w:r>
      <w:r>
        <w:rPr>
          <w:rFonts w:eastAsia="方正仿宋_GBK"/>
          <w:sz w:val="32"/>
          <w:szCs w:val="32"/>
        </w:rPr>
        <w:fldChar w:fldCharType="end"/>
      </w:r>
      <w:r>
        <w:rPr>
          <w:rFonts w:eastAsia="方正仿宋_GBK"/>
          <w:sz w:val="32"/>
          <w:szCs w:val="32"/>
        </w:rPr>
        <w:t>、预算以及它们执行情况的报告；</w:t>
      </w:r>
    </w:p>
    <w:p>
      <w:pPr>
        <w:ind w:firstLine="640" w:firstLineChars="200"/>
        <w:rPr>
          <w:rFonts w:eastAsia="方正仿宋_GBK"/>
          <w:sz w:val="32"/>
          <w:szCs w:val="32"/>
        </w:rPr>
      </w:pPr>
      <w:r>
        <w:rPr>
          <w:rFonts w:eastAsia="方正仿宋_GBK"/>
          <w:sz w:val="32"/>
          <w:szCs w:val="32"/>
        </w:rPr>
        <w:t>3.讨论、决定本行政区域内的政治、经济、教育、科学、文化、卫生、环境和资源保护、民政、民族等工作的重大事项；</w:t>
      </w:r>
    </w:p>
    <w:p>
      <w:pPr>
        <w:ind w:firstLine="640" w:firstLineChars="200"/>
        <w:rPr>
          <w:rFonts w:eastAsia="方正仿宋_GBK"/>
          <w:sz w:val="32"/>
          <w:szCs w:val="32"/>
        </w:rPr>
      </w:pPr>
      <w:r>
        <w:rPr>
          <w:rFonts w:eastAsia="方正仿宋_GBK"/>
          <w:sz w:val="32"/>
          <w:szCs w:val="32"/>
        </w:rPr>
        <w:t>4.选举本级人民代表大会常务委员会的组成人员；</w:t>
      </w:r>
    </w:p>
    <w:p>
      <w:pPr>
        <w:ind w:firstLine="640" w:firstLineChars="200"/>
        <w:rPr>
          <w:rFonts w:eastAsia="方正仿宋_GBK"/>
          <w:sz w:val="32"/>
          <w:szCs w:val="32"/>
        </w:rPr>
      </w:pPr>
      <w:r>
        <w:rPr>
          <w:rFonts w:eastAsia="方正仿宋_GBK"/>
          <w:sz w:val="32"/>
          <w:szCs w:val="32"/>
        </w:rPr>
        <w:t>5.选举区长、副区长；</w:t>
      </w:r>
    </w:p>
    <w:p>
      <w:pPr>
        <w:ind w:firstLine="640" w:firstLineChars="200"/>
        <w:rPr>
          <w:rFonts w:eastAsia="方正仿宋_GBK"/>
          <w:sz w:val="32"/>
          <w:szCs w:val="32"/>
        </w:rPr>
      </w:pPr>
      <w:r>
        <w:rPr>
          <w:rFonts w:eastAsia="方正仿宋_GBK"/>
          <w:sz w:val="32"/>
          <w:szCs w:val="32"/>
        </w:rPr>
        <w:t>6.选举本级人民法院院长和人民检察院检察长；选出的人民检察院检察长，须报经上一级人民检察院检察长提请该级人民代表大会常务委员会批准；</w:t>
      </w:r>
    </w:p>
    <w:p>
      <w:pPr>
        <w:ind w:firstLine="640" w:firstLineChars="200"/>
        <w:rPr>
          <w:rFonts w:eastAsia="方正仿宋_GBK"/>
          <w:sz w:val="32"/>
          <w:szCs w:val="32"/>
        </w:rPr>
      </w:pPr>
      <w:r>
        <w:rPr>
          <w:rFonts w:eastAsia="方正仿宋_GBK"/>
          <w:sz w:val="32"/>
          <w:szCs w:val="32"/>
        </w:rPr>
        <w:t>7.选举上一级人民代表大会代表；</w:t>
      </w:r>
    </w:p>
    <w:p>
      <w:pPr>
        <w:ind w:firstLine="640" w:firstLineChars="200"/>
        <w:rPr>
          <w:rFonts w:eastAsia="方正仿宋_GBK"/>
          <w:sz w:val="32"/>
          <w:szCs w:val="32"/>
        </w:rPr>
      </w:pPr>
      <w:r>
        <w:rPr>
          <w:rFonts w:eastAsia="方正仿宋_GBK"/>
          <w:sz w:val="32"/>
          <w:szCs w:val="32"/>
        </w:rPr>
        <w:t>8.听取和审查本级人民代表大会常务委员会的工作报告；</w:t>
      </w:r>
    </w:p>
    <w:p>
      <w:pPr>
        <w:ind w:firstLine="640" w:firstLineChars="200"/>
        <w:rPr>
          <w:rFonts w:eastAsia="方正仿宋_GBK"/>
          <w:sz w:val="32"/>
          <w:szCs w:val="32"/>
        </w:rPr>
      </w:pPr>
      <w:r>
        <w:rPr>
          <w:rFonts w:eastAsia="方正仿宋_GBK"/>
          <w:sz w:val="32"/>
          <w:szCs w:val="32"/>
        </w:rPr>
        <w:t>9.听取和审查本级人民政府和人民法院、人民检察院的工作报告。</w:t>
      </w:r>
    </w:p>
    <w:p>
      <w:pPr>
        <w:ind w:firstLine="642" w:firstLineChars="200"/>
        <w:rPr>
          <w:rFonts w:eastAsia="方正仿宋_GBK"/>
          <w:b/>
          <w:sz w:val="32"/>
          <w:szCs w:val="32"/>
        </w:rPr>
      </w:pPr>
      <w:r>
        <w:rPr>
          <w:rFonts w:eastAsia="方正仿宋_GBK"/>
          <w:b/>
          <w:sz w:val="32"/>
          <w:szCs w:val="32"/>
        </w:rPr>
        <w:t>（</w:t>
      </w:r>
      <w:r>
        <w:rPr>
          <w:rFonts w:hint="eastAsia" w:eastAsia="方正仿宋_GBK"/>
          <w:b/>
          <w:sz w:val="32"/>
          <w:szCs w:val="32"/>
        </w:rPr>
        <w:t>二</w:t>
      </w:r>
      <w:r>
        <w:rPr>
          <w:rFonts w:eastAsia="方正仿宋_GBK"/>
          <w:b/>
          <w:sz w:val="32"/>
          <w:szCs w:val="32"/>
        </w:rPr>
        <w:t>）2021年重点工作</w:t>
      </w:r>
      <w:bookmarkEnd w:id="14"/>
      <w:bookmarkEnd w:id="15"/>
      <w:r>
        <w:rPr>
          <w:rFonts w:eastAsia="方正仿宋_GBK"/>
          <w:b/>
          <w:sz w:val="32"/>
          <w:szCs w:val="32"/>
        </w:rPr>
        <w:t>完成情况</w:t>
      </w:r>
    </w:p>
    <w:p>
      <w:pPr>
        <w:ind w:firstLine="640" w:firstLineChars="200"/>
        <w:rPr>
          <w:rFonts w:eastAsia="方正仿宋_GBK"/>
          <w:sz w:val="32"/>
          <w:szCs w:val="32"/>
        </w:rPr>
      </w:pPr>
      <w:r>
        <w:rPr>
          <w:rFonts w:eastAsia="方正仿宋_GBK"/>
          <w:sz w:val="32"/>
          <w:szCs w:val="32"/>
        </w:rPr>
        <w:t>2021年，在区委的坚强领导下，区人大常委会坚持以习近平新时代中国特色社会主义思想为指导，全面贯彻党的十九大和十九届二中、三中、四中、五中全会精神，坚持党的领导、人民当家作主、依法治国有机统一，忠实履行宪法和法律赋予的各项职责，较好地发挥了地方国家权力机关的职能作用，有力保障了区委决策部署的贯彻落实，为推进社会主义民主法治建设、促进全区经济社会高质量发展作出积极贡献。</w:t>
      </w:r>
    </w:p>
    <w:p>
      <w:pPr>
        <w:ind w:firstLine="642" w:firstLineChars="200"/>
        <w:rPr>
          <w:rFonts w:eastAsia="方正仿宋_GBK"/>
          <w:b/>
          <w:sz w:val="32"/>
          <w:szCs w:val="32"/>
        </w:rPr>
      </w:pPr>
      <w:r>
        <w:rPr>
          <w:rFonts w:eastAsia="方正仿宋_GBK"/>
          <w:b/>
          <w:sz w:val="32"/>
          <w:szCs w:val="32"/>
        </w:rPr>
        <w:t>1.坚持党的领导，坚定正确政治方向</w:t>
      </w:r>
    </w:p>
    <w:p>
      <w:pPr>
        <w:ind w:firstLine="640" w:firstLineChars="200"/>
        <w:rPr>
          <w:rFonts w:eastAsia="方正仿宋_GBK"/>
          <w:sz w:val="32"/>
          <w:szCs w:val="32"/>
        </w:rPr>
      </w:pPr>
      <w:r>
        <w:rPr>
          <w:rFonts w:eastAsia="方正仿宋_GBK"/>
          <w:sz w:val="32"/>
          <w:szCs w:val="32"/>
        </w:rPr>
        <w:t>把深入学习贯彻习近平新时代中国特色社会主义思想作为首要政治任务，深刻学习领会习近平法治思想、习近平总书记关于坚持和完善人民代表大会制度的重要思想。扎实开展党史学习教育，在学思践悟中进一步树牢“四个意识”，坚定“四个自信”，坚决做到“两个维护”。全面贯彻区委对人大工作的要求，自觉在区委领导下开展工作。紧扣区委中心工作，研究制定区人大常委会2021年度工作要点，通过法定程序把区委的决策部署转化为全区人民的共同意志和行动。深入开展新冠肺炎疫情防控、环保督察反馈问题整改、森林草原防灭火等调研视察，推动区委重大决策部署落地落实。</w:t>
      </w:r>
    </w:p>
    <w:p>
      <w:pPr>
        <w:ind w:firstLine="642" w:firstLineChars="200"/>
        <w:rPr>
          <w:rFonts w:eastAsia="方正仿宋_GBK"/>
          <w:b/>
          <w:sz w:val="32"/>
          <w:szCs w:val="32"/>
        </w:rPr>
      </w:pPr>
      <w:r>
        <w:rPr>
          <w:rFonts w:eastAsia="方正仿宋_GBK"/>
          <w:b/>
          <w:sz w:val="32"/>
          <w:szCs w:val="32"/>
        </w:rPr>
        <w:t>2.坚持服务大局，强化依法监督实效</w:t>
      </w:r>
    </w:p>
    <w:p>
      <w:pPr>
        <w:ind w:firstLine="640" w:firstLineChars="200"/>
        <w:rPr>
          <w:rFonts w:eastAsia="方正仿宋_GBK"/>
          <w:sz w:val="32"/>
          <w:szCs w:val="32"/>
        </w:rPr>
      </w:pPr>
      <w:r>
        <w:rPr>
          <w:rFonts w:eastAsia="方正仿宋_GBK"/>
          <w:sz w:val="32"/>
          <w:szCs w:val="32"/>
        </w:rPr>
        <w:t>始终坚持围绕中心、服务大局的工作理念，把依法监督与支持促进有机结合起来，不断增强人大监督实效。</w:t>
      </w:r>
    </w:p>
    <w:p>
      <w:pPr>
        <w:ind w:firstLine="642" w:firstLineChars="200"/>
        <w:rPr>
          <w:rFonts w:eastAsia="方正仿宋_GBK"/>
          <w:sz w:val="32"/>
          <w:szCs w:val="32"/>
        </w:rPr>
      </w:pPr>
      <w:r>
        <w:rPr>
          <w:rFonts w:eastAsia="方正仿宋_GBK"/>
          <w:b/>
          <w:sz w:val="32"/>
          <w:szCs w:val="32"/>
        </w:rPr>
        <w:t>一是</w:t>
      </w:r>
      <w:r>
        <w:rPr>
          <w:rFonts w:eastAsia="方正仿宋_GBK"/>
          <w:sz w:val="32"/>
          <w:szCs w:val="32"/>
        </w:rPr>
        <w:t>聚力转型发展加强监督。深入开展“十四五”规划和二〇三五年远景目标纲要草案编制调研，为区人代会审查批准奠定基础。坚持开展半年经济运行情况调研，听取和审议半年计划、预算执行情况的报告，把对中长期规划审查监督贯穿于年度计划监督之中。听取和审议财政预算执行、财政预算执行和其他财政收支审计、审计查出问题整改、财政预算调整方案、政府债务限额等情况报告，批准财政决算、预算调整方案、债务限额，作出相关决议，督促区人民政府及有关部门强化财政预算管理，深化财政体制改革，加大财源培植力度，提高资金绩效，管控债务风险。初步建成人大预算联网监督平台，逐步实现预算编制、预算执行的全流程实时监督。听取国有资产管理情况报告，督促健全国有资产配置、使用、处置制度，提升国有资产管理水平。</w:t>
      </w:r>
    </w:p>
    <w:p>
      <w:pPr>
        <w:ind w:firstLine="642" w:firstLineChars="200"/>
        <w:rPr>
          <w:rFonts w:eastAsia="方正仿宋_GBK"/>
          <w:sz w:val="32"/>
          <w:szCs w:val="32"/>
        </w:rPr>
      </w:pPr>
      <w:r>
        <w:rPr>
          <w:rFonts w:eastAsia="方正仿宋_GBK"/>
          <w:b/>
          <w:sz w:val="32"/>
          <w:szCs w:val="32"/>
        </w:rPr>
        <w:t>二是</w:t>
      </w:r>
      <w:r>
        <w:rPr>
          <w:rFonts w:eastAsia="方正仿宋_GBK"/>
          <w:sz w:val="32"/>
          <w:szCs w:val="32"/>
        </w:rPr>
        <w:t>聚力民生事业加强监督。对《中华人民共和国传染病防治法》贯彻落实情况开展执法检查，提出加大普法宣传力度，加强传染病防治体系及队伍建设，强化重点传染病和重点人群防控等建议。对西区三线文化资源挖掘和利用工作情况开展调研，听取区人民政府关于三线文化资源挖掘和利用工作情况的报告，推动相关工作深入开展。开展对城区范围内停车位规范化管理工作的监督，提出加强法律法规的宣传教育和引导，加强停车位规划和建设，加强指导联系和执法检查力度等建议。听取区人民政府关于乡村振兴工作推进情况的报告，提出抓好对乡村振兴促进法的宣传学习和贯彻实施、做好乡村振兴相关工作的上下衔接配套等意见。</w:t>
      </w:r>
    </w:p>
    <w:p>
      <w:pPr>
        <w:ind w:firstLine="642" w:firstLineChars="200"/>
        <w:rPr>
          <w:rFonts w:eastAsia="方正仿宋_GBK"/>
          <w:sz w:val="32"/>
          <w:szCs w:val="32"/>
        </w:rPr>
      </w:pPr>
      <w:r>
        <w:rPr>
          <w:rFonts w:eastAsia="方正仿宋_GBK"/>
          <w:b/>
          <w:sz w:val="32"/>
          <w:szCs w:val="32"/>
        </w:rPr>
        <w:t>三是</w:t>
      </w:r>
      <w:r>
        <w:rPr>
          <w:rFonts w:eastAsia="方正仿宋_GBK"/>
          <w:sz w:val="32"/>
          <w:szCs w:val="32"/>
        </w:rPr>
        <w:t>聚力生态环保加强监督。对《攀枝花市森林草原防灭火条例》贯彻实施情况开展执法检查，听取和审议区人民政府贯彻实施《条例》情况的报告，提出持续做好《条例》学习宣传，不断增强全社会防灭火的法治意识和自觉性，推进森林草原防灭火高质量发展，提升森林草原防灭火工作能力和水平等建议。结合2021年西区接受四川省、中央环保督察工作情况，区十二届人大常委会一次会议听取西区环境状况和环境目标完成情况，促进环保突出问题整改，进一步补齐生态环境保护短板。</w:t>
      </w:r>
    </w:p>
    <w:p>
      <w:pPr>
        <w:ind w:firstLine="642" w:firstLineChars="200"/>
        <w:rPr>
          <w:rFonts w:eastAsia="方正仿宋_GBK"/>
          <w:sz w:val="32"/>
          <w:szCs w:val="32"/>
        </w:rPr>
      </w:pPr>
      <w:r>
        <w:rPr>
          <w:rFonts w:eastAsia="方正仿宋_GBK"/>
          <w:b/>
          <w:sz w:val="32"/>
          <w:szCs w:val="32"/>
        </w:rPr>
        <w:t>四是</w:t>
      </w:r>
      <w:r>
        <w:rPr>
          <w:rFonts w:eastAsia="方正仿宋_GBK"/>
          <w:sz w:val="32"/>
          <w:szCs w:val="32"/>
        </w:rPr>
        <w:t>聚力依法治区加强监督。调研法治政府建设、“七五”普法决议执行、学习宣传《中华人民共和国民法典》等工作情况，听取区人民政府相关工作情况的报告，提出9条建议，推进法治政府建设，助力法治西区建设迈向更高的台阶。调研区人民法院深化司法公开工作，听取区人民法院相关工作情况的报告，提出进一步完善工作机制，完善公开内容，提高时效性等意见，要求区人民法院通过司法公开促进司法公平。调研区人民检察院适用认罪认罚从宽制度工作情况，提出持续完善适用认罪认罚从宽制度的协作配合机制，提高适用认罪认罚从宽制度规范化水平工作等建议。对区人民政府和格里坪镇人大主席团报备的6件规范性文件进行备案审查，确保法治统一。</w:t>
      </w:r>
    </w:p>
    <w:p>
      <w:pPr>
        <w:ind w:firstLine="642" w:firstLineChars="200"/>
        <w:rPr>
          <w:rFonts w:eastAsia="方正仿宋_GBK"/>
          <w:b/>
          <w:sz w:val="32"/>
          <w:szCs w:val="32"/>
        </w:rPr>
      </w:pPr>
      <w:r>
        <w:rPr>
          <w:rFonts w:eastAsia="方正仿宋_GBK"/>
          <w:b/>
          <w:sz w:val="32"/>
          <w:szCs w:val="32"/>
        </w:rPr>
        <w:t>3.坚持法定程序，规范行使决定权任免权</w:t>
      </w:r>
    </w:p>
    <w:p>
      <w:pPr>
        <w:ind w:firstLine="640" w:firstLineChars="200"/>
        <w:rPr>
          <w:rFonts w:eastAsia="方正仿宋_GBK"/>
          <w:sz w:val="32"/>
          <w:szCs w:val="32"/>
        </w:rPr>
      </w:pPr>
      <w:r>
        <w:rPr>
          <w:rFonts w:eastAsia="方正仿宋_GBK"/>
          <w:sz w:val="32"/>
          <w:szCs w:val="32"/>
        </w:rPr>
        <w:t>依法决定重大事项。认真贯彻落实区委关于人大讨论决定重大事项的要求，严格执行区人大常委会讨论决定重大事项的规定，对事关全区工作大局和群众切身利益的重大事项依法作出决议决定，加强对决议决定落实情况的监督检查，保证決议决定的贯彻落实。</w:t>
      </w:r>
    </w:p>
    <w:p>
      <w:pPr>
        <w:ind w:firstLine="640" w:firstLineChars="200"/>
        <w:rPr>
          <w:rFonts w:eastAsia="方正仿宋_GBK"/>
          <w:sz w:val="32"/>
          <w:szCs w:val="32"/>
        </w:rPr>
      </w:pPr>
      <w:r>
        <w:rPr>
          <w:rFonts w:eastAsia="方正仿宋_GBK"/>
          <w:sz w:val="32"/>
          <w:szCs w:val="32"/>
        </w:rPr>
        <w:t>规范行使人事任免权。坚持党管干部原则与人大依法任免相统一，切实做好选举任命干部工作，确保市委、区委确定的任免事项均全票或高票通过。一年来，共依法任免国家机关工作人员11批49人（其中任命26人、免职23人），补选市人大代表3人，终止代表资格14人，圆满实现了区委人事意图，为全区经济社会发展提供了组织保障。</w:t>
      </w:r>
    </w:p>
    <w:p>
      <w:pPr>
        <w:ind w:firstLine="640" w:firstLineChars="200"/>
        <w:rPr>
          <w:rFonts w:eastAsia="方正仿宋_GBK"/>
          <w:sz w:val="32"/>
          <w:szCs w:val="32"/>
        </w:rPr>
      </w:pPr>
      <w:r>
        <w:rPr>
          <w:rFonts w:eastAsia="方正仿宋_GBK"/>
          <w:sz w:val="32"/>
          <w:szCs w:val="32"/>
        </w:rPr>
        <w:t>认真做好区、镇人大换届选举工作。坚持党的领导、充分发扬民主、严格依法办事有机统一，全面贯彻落实中央和省委、市委、区委关于人大换届选举工作的决策部署和文件要求。牵头做好连任代表候选人提名推荐，严把代表政治关、素质关和结构关，严明换届选举各项纪律，加强对格里坪镇人大换届选举工作的指导，确保了换届选举工作程序合法、组织严谨、步骤稳妥、平稳推进。依法选举产生新一届区人大代表165名、格里坪镇人大代表59名，代表结构进一步优化，整体素质进一步提高，为加强我区地方政权建设打下了良好基础。</w:t>
      </w:r>
    </w:p>
    <w:p>
      <w:pPr>
        <w:ind w:firstLine="642" w:firstLineChars="200"/>
        <w:rPr>
          <w:rFonts w:eastAsia="方正仿宋_GBK"/>
          <w:b/>
          <w:sz w:val="32"/>
          <w:szCs w:val="32"/>
        </w:rPr>
      </w:pPr>
      <w:r>
        <w:rPr>
          <w:rFonts w:eastAsia="方正仿宋_GBK"/>
          <w:b/>
          <w:sz w:val="32"/>
          <w:szCs w:val="32"/>
        </w:rPr>
        <w:t>4.坚持管理服务并重，充分发挥人大代表主体作用</w:t>
      </w:r>
    </w:p>
    <w:p>
      <w:pPr>
        <w:spacing w:line="560" w:lineRule="exact"/>
        <w:ind w:firstLine="640" w:firstLineChars="200"/>
        <w:rPr>
          <w:rFonts w:eastAsia="方正仿宋_GBK"/>
          <w:sz w:val="32"/>
          <w:szCs w:val="32"/>
        </w:rPr>
      </w:pPr>
      <w:r>
        <w:rPr>
          <w:rFonts w:eastAsia="方正仿宋_GBK"/>
          <w:sz w:val="32"/>
          <w:szCs w:val="32"/>
        </w:rPr>
        <w:t>依托全区16个人大代表“家”“站”“室”，组织开展好人大代表、常委会组成人员的学习培训，提升代表履职能力。切实加强对人大代表的管理工作，增强代表的责任意识，组织人大代表参加执法检查、评议、视察、专题调查等活动，进一步畅通代表知政、议政、督政和参与决策的渠道。广泛开展代表闭会期间活动，鼓励代表围绕经社会发展和关系人民群众切身利益、社会普遍关注的重大问题开展调研视察。抓好代表建议办理工作，区十一届人大五次会议及闭会期间收到的67件代表建议已全部办结，代表对办理的满意率达100%。深入开展“我为群众办实事</w:t>
      </w:r>
      <w:r>
        <w:rPr>
          <w:rFonts w:hint="eastAsia" w:eastAsia="方正仿宋_GBK"/>
          <w:sz w:val="32"/>
          <w:szCs w:val="32"/>
        </w:rPr>
        <w:t>—</w:t>
      </w:r>
      <w:r>
        <w:rPr>
          <w:rFonts w:eastAsia="方正仿宋_GBK"/>
          <w:sz w:val="32"/>
          <w:szCs w:val="32"/>
        </w:rPr>
        <w:t>人大代表在行动”活动，组织全区各级人大代表174人次深入格里坪镇村组、街道社区、企业学校、代表之家（站、室），了解人民群众关心关注的热点难点问题，研究提出解决问题的措施办法和代表建议，走访群众417人、走访企业72个，收集反映问题250条，帮助解决158条，暂时无法直接解决的已做好相关政策解释及后续安排，并提出建议81条，在推进西区全面发展、构建和谐西区中发挥了积极作用，彰显了基层人大代表的履职风采。</w:t>
      </w:r>
    </w:p>
    <w:p>
      <w:pPr>
        <w:spacing w:line="560" w:lineRule="exact"/>
        <w:ind w:firstLine="642" w:firstLineChars="200"/>
        <w:rPr>
          <w:rFonts w:eastAsia="方正仿宋_GBK"/>
          <w:b/>
          <w:sz w:val="32"/>
          <w:szCs w:val="32"/>
        </w:rPr>
      </w:pPr>
      <w:r>
        <w:rPr>
          <w:rFonts w:eastAsia="方正仿宋_GBK"/>
          <w:b/>
          <w:sz w:val="32"/>
          <w:szCs w:val="32"/>
        </w:rPr>
        <w:t>5.坚持强基国本，切实加强自身建设</w:t>
      </w:r>
    </w:p>
    <w:p>
      <w:pPr>
        <w:ind w:firstLine="640" w:firstLineChars="200"/>
        <w:rPr>
          <w:rFonts w:eastAsia="方正仿宋_GBK"/>
          <w:sz w:val="32"/>
          <w:szCs w:val="32"/>
        </w:rPr>
      </w:pPr>
      <w:r>
        <w:rPr>
          <w:rFonts w:eastAsia="方正仿宋_GBK"/>
          <w:sz w:val="32"/>
          <w:szCs w:val="32"/>
        </w:rPr>
        <w:t>以加强人大常委会机关党的建设为统领，以机关领导班子建设、干部队伍建设为重点，扎实开展党史学习教育，全面加强政治建设、思想建设、作风建设、纪律建设。认真对照</w:t>
      </w:r>
      <w:r>
        <w:rPr>
          <w:rFonts w:hint="eastAsia" w:eastAsia="方正仿宋_GBK"/>
          <w:sz w:val="32"/>
          <w:szCs w:val="32"/>
        </w:rPr>
        <w:t>《关于新形势下党内政治生活的若干准则》</w:t>
      </w:r>
      <w:r>
        <w:rPr>
          <w:rFonts w:eastAsia="方正仿宋_GBK"/>
          <w:sz w:val="32"/>
          <w:szCs w:val="32"/>
        </w:rPr>
        <w:t>，结合常委会领导班子和个人思想工作实际，按照</w:t>
      </w:r>
      <w:r>
        <w:rPr>
          <w:rFonts w:hint="eastAsia" w:eastAsia="方正仿宋_GBK"/>
          <w:sz w:val="32"/>
          <w:szCs w:val="32"/>
          <w:lang w:eastAsia="zh-CN"/>
        </w:rPr>
        <w:t>“</w:t>
      </w:r>
      <w:bookmarkStart w:id="65" w:name="_GoBack"/>
      <w:bookmarkEnd w:id="65"/>
      <w:r>
        <w:rPr>
          <w:rFonts w:eastAsia="方正仿宋_GBK"/>
          <w:sz w:val="32"/>
          <w:szCs w:val="32"/>
        </w:rPr>
        <w:t>三会一课</w:t>
      </w:r>
      <w:r>
        <w:rPr>
          <w:rFonts w:hint="eastAsia" w:eastAsia="方正仿宋_GBK"/>
          <w:sz w:val="32"/>
          <w:szCs w:val="32"/>
          <w:lang w:eastAsia="zh-CN"/>
        </w:rPr>
        <w:t>”</w:t>
      </w:r>
      <w:r>
        <w:rPr>
          <w:rFonts w:eastAsia="方正仿宋_GBK"/>
          <w:sz w:val="32"/>
          <w:szCs w:val="32"/>
        </w:rPr>
        <w:t>要求，有步骤、分层次组织人大常委会机关民主生活会和组织生活会，认真上党课、进行党性分析、开展批评和自我批评，不断增强领导班子和领导干部发现和解决自身问题的能力。以打造政治过硬、作风优良、业务精湛、纪律严明的模范机关为抓手，组织机关干部职工认真学习宪法、法律法规和人大知识，积极开展履职培训和继续教育，着力加强机关干部职工作风建设、队伍建设、能力建设，不断强化政治意识、大局意识、核心意识和看齐意识，大力弘扬社会主义核心价值观，充分调动干部职工做好人大工作的积极性、主动性和创造性。密切与市内外人大系统的沟通联系，积极争取市人大常委会的关心指导，加强对乡镇、街道人大工作的指导和联系，提升人大工作的整体质效。</w:t>
      </w:r>
    </w:p>
    <w:p>
      <w:pPr>
        <w:pStyle w:val="2"/>
        <w:spacing w:before="93"/>
        <w:ind w:firstLine="640" w:firstLineChars="200"/>
        <w:rPr>
          <w:rFonts w:ascii="方正黑体_GBK" w:eastAsia="方正黑体_GBK"/>
          <w:sz w:val="32"/>
          <w:szCs w:val="32"/>
        </w:rPr>
      </w:pPr>
      <w:r>
        <w:rPr>
          <w:rFonts w:hint="eastAsia" w:ascii="方正黑体_GBK" w:eastAsia="方正黑体_GBK"/>
          <w:sz w:val="32"/>
          <w:szCs w:val="32"/>
        </w:rPr>
        <w:t>二、机构设置</w:t>
      </w:r>
    </w:p>
    <w:p>
      <w:pPr>
        <w:pStyle w:val="2"/>
        <w:spacing w:before="93"/>
        <w:ind w:firstLine="640" w:firstLineChars="200"/>
        <w:rPr>
          <w:rFonts w:ascii="Times New Roman" w:eastAsia="方正仿宋_GBK"/>
          <w:kern w:val="2"/>
          <w:sz w:val="32"/>
          <w:szCs w:val="32"/>
        </w:rPr>
      </w:pPr>
      <w:r>
        <w:rPr>
          <w:rFonts w:hint="eastAsia" w:ascii="Times New Roman" w:eastAsia="方正仿宋_GBK"/>
          <w:kern w:val="2"/>
          <w:sz w:val="32"/>
          <w:szCs w:val="32"/>
        </w:rPr>
        <w:t>攀枝花市西区人民代表大会常务委员会办公室属一级预算单位，下设独立编制机构1个，其中行政机构0个，参照公务员管理的事业机构0个，其他事业机构1个。</w:t>
      </w:r>
    </w:p>
    <w:p>
      <w:pPr>
        <w:pStyle w:val="3"/>
        <w:ind w:right="440"/>
        <w:jc w:val="center"/>
        <w:rPr>
          <w:rStyle w:val="26"/>
          <w:rFonts w:eastAsia="黑体"/>
          <w:b w:val="0"/>
          <w:bCs/>
        </w:rPr>
      </w:pPr>
      <w:bookmarkStart w:id="16" w:name="_Toc15377204"/>
      <w:bookmarkStart w:id="17" w:name="_Toc15396602"/>
      <w:r>
        <w:rPr>
          <w:rFonts w:eastAsia="黑体"/>
          <w:b w:val="0"/>
        </w:rPr>
        <w:t xml:space="preserve">  第二部分 2021年度</w:t>
      </w:r>
      <w:r>
        <w:rPr>
          <w:rStyle w:val="26"/>
          <w:rFonts w:eastAsia="黑体"/>
          <w:b w:val="0"/>
          <w:bCs/>
        </w:rPr>
        <w:t>单位决算情况说明</w:t>
      </w:r>
      <w:bookmarkEnd w:id="16"/>
      <w:bookmarkEnd w:id="17"/>
    </w:p>
    <w:p>
      <w:pPr>
        <w:spacing w:line="600" w:lineRule="exact"/>
        <w:ind w:firstLine="640" w:firstLineChars="200"/>
        <w:outlineLvl w:val="1"/>
        <w:rPr>
          <w:rStyle w:val="27"/>
          <w:rFonts w:ascii="Times New Roman" w:hAnsi="Times New Roman" w:eastAsia="方正黑体_GBK" w:cs="Times New Roman"/>
          <w:b w:val="0"/>
        </w:rPr>
      </w:pPr>
      <w:bookmarkStart w:id="18" w:name="_Toc15377205"/>
      <w:bookmarkStart w:id="19" w:name="_Toc15396603"/>
      <w:r>
        <w:rPr>
          <w:rFonts w:eastAsia="方正黑体_GBK"/>
          <w:sz w:val="32"/>
          <w:szCs w:val="32"/>
        </w:rPr>
        <w:t>一、收</w:t>
      </w:r>
      <w:r>
        <w:rPr>
          <w:rStyle w:val="27"/>
          <w:rFonts w:ascii="Times New Roman" w:hAnsi="Times New Roman" w:eastAsia="方正黑体_GBK" w:cs="Times New Roman"/>
          <w:b w:val="0"/>
        </w:rPr>
        <w:t>入支出决算总体情况说明</w:t>
      </w:r>
      <w:bookmarkEnd w:id="18"/>
      <w:bookmarkEnd w:id="19"/>
    </w:p>
    <w:p>
      <w:pPr>
        <w:ind w:firstLine="640" w:firstLineChars="200"/>
        <w:rPr>
          <w:rFonts w:eastAsia="方正仿宋_GBK"/>
          <w:sz w:val="32"/>
          <w:szCs w:val="32"/>
        </w:rPr>
      </w:pPr>
      <w:r>
        <w:rPr>
          <w:rFonts w:eastAsia="方正仿宋_GBK"/>
          <w:sz w:val="32"/>
          <w:szCs w:val="32"/>
        </w:rPr>
        <w:t>2021年度收、支总计618.23万元</w:t>
      </w:r>
      <w:r>
        <w:rPr>
          <w:rFonts w:eastAsia="方正仿宋_GBK"/>
          <w:b/>
          <w:sz w:val="32"/>
          <w:szCs w:val="32"/>
        </w:rPr>
        <w:t>。</w:t>
      </w:r>
      <w:r>
        <w:rPr>
          <w:rFonts w:eastAsia="方正仿宋_GBK"/>
          <w:sz w:val="32"/>
          <w:szCs w:val="32"/>
        </w:rPr>
        <w:t>与2020年相比，收、支总计各增加79.98万元，增长15%。主要变动原因是人员增加和项目工作增加等追加经费拨款致使收、支总计增加。</w:t>
      </w:r>
    </w:p>
    <w:p>
      <w:pPr>
        <w:ind w:firstLine="640" w:firstLineChars="200"/>
        <w:rPr>
          <w:rFonts w:eastAsia="方正仿宋_GBK"/>
          <w:sz w:val="32"/>
          <w:szCs w:val="32"/>
        </w:rPr>
      </w:pPr>
      <w:r>
        <w:rPr>
          <w:rFonts w:eastAsia="方正仿宋_GBK"/>
          <w:sz w:val="32"/>
          <w:szCs w:val="32"/>
        </w:rPr>
        <w:t>（图1：收、支决算总计变动情况图）</w:t>
      </w:r>
    </w:p>
    <w:p>
      <w:pPr>
        <w:pStyle w:val="2"/>
        <w:spacing w:before="93"/>
        <w:ind w:firstLine="480" w:firstLineChars="150"/>
        <w:rPr>
          <w:rFonts w:ascii="Times New Roman"/>
          <w:sz w:val="32"/>
          <w:szCs w:val="32"/>
        </w:rPr>
      </w:pPr>
      <w:r>
        <w:rPr>
          <w:rFonts w:ascii="Times New Roman"/>
          <w:sz w:val="32"/>
          <w:szCs w:val="32"/>
        </w:rPr>
        <w:drawing>
          <wp:inline distT="0" distB="0" distL="0" distR="0">
            <wp:extent cx="4972050" cy="2028825"/>
            <wp:effectExtent l="19050" t="0" r="19050" b="0"/>
            <wp:docPr id="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25"/>
        <w:numPr>
          <w:ilvl w:val="0"/>
          <w:numId w:val="1"/>
        </w:numPr>
        <w:spacing w:line="600" w:lineRule="exact"/>
        <w:ind w:firstLineChars="0"/>
        <w:outlineLvl w:val="1"/>
        <w:rPr>
          <w:rStyle w:val="27"/>
          <w:rFonts w:ascii="Times New Roman" w:hAnsi="Times New Roman" w:eastAsia="黑体" w:cs="Times New Roman"/>
          <w:b w:val="0"/>
        </w:rPr>
      </w:pPr>
      <w:bookmarkStart w:id="20" w:name="_Toc15396604"/>
      <w:bookmarkStart w:id="21" w:name="_Toc15377206"/>
      <w:r>
        <w:rPr>
          <w:rFonts w:eastAsia="黑体"/>
          <w:sz w:val="32"/>
          <w:szCs w:val="32"/>
        </w:rPr>
        <w:t>收</w:t>
      </w:r>
      <w:r>
        <w:rPr>
          <w:rStyle w:val="27"/>
          <w:rFonts w:ascii="Times New Roman" w:hAnsi="Times New Roman" w:eastAsia="黑体" w:cs="Times New Roman"/>
          <w:b w:val="0"/>
        </w:rPr>
        <w:t>入决算情况说明</w:t>
      </w:r>
      <w:bookmarkEnd w:id="20"/>
      <w:bookmarkEnd w:id="21"/>
    </w:p>
    <w:p>
      <w:pPr>
        <w:ind w:firstLine="640" w:firstLineChars="200"/>
        <w:rPr>
          <w:rFonts w:eastAsia="方正仿宋_GBK"/>
          <w:sz w:val="32"/>
          <w:szCs w:val="32"/>
        </w:rPr>
      </w:pPr>
      <w:r>
        <w:rPr>
          <w:rFonts w:eastAsia="方正仿宋_GBK"/>
          <w:sz w:val="32"/>
          <w:szCs w:val="32"/>
        </w:rPr>
        <w:t>2021年本年收入合计607.81万元，其中：</w:t>
      </w:r>
      <w:r>
        <w:rPr>
          <w:rFonts w:eastAsia="方正仿宋_GBK"/>
          <w:b/>
          <w:sz w:val="32"/>
          <w:szCs w:val="32"/>
        </w:rPr>
        <w:t>一般公共预算</w:t>
      </w:r>
      <w:r>
        <w:rPr>
          <w:rFonts w:eastAsia="方正仿宋_GBK"/>
          <w:sz w:val="32"/>
          <w:szCs w:val="32"/>
        </w:rPr>
        <w:t>财政拨款收入540.11万元，占89%；</w:t>
      </w:r>
      <w:r>
        <w:rPr>
          <w:rFonts w:eastAsia="方正仿宋_GBK"/>
          <w:b/>
          <w:sz w:val="32"/>
          <w:szCs w:val="32"/>
        </w:rPr>
        <w:t>政府性基金预算</w:t>
      </w:r>
      <w:r>
        <w:rPr>
          <w:rFonts w:eastAsia="方正仿宋_GBK"/>
          <w:sz w:val="32"/>
          <w:szCs w:val="32"/>
        </w:rPr>
        <w:t>财政拨款收入67.57万元，占11%；其他收入0.13万元，占0%。</w:t>
      </w:r>
    </w:p>
    <w:p>
      <w:pPr>
        <w:ind w:firstLine="640" w:firstLineChars="200"/>
        <w:rPr>
          <w:rFonts w:eastAsia="方正仿宋_GBK"/>
          <w:sz w:val="32"/>
          <w:szCs w:val="32"/>
        </w:rPr>
      </w:pPr>
      <w:r>
        <w:rPr>
          <w:rFonts w:eastAsia="方正仿宋_GBK"/>
          <w:sz w:val="32"/>
          <w:szCs w:val="32"/>
        </w:rPr>
        <w:t>（图2：收入决算结构图）</w:t>
      </w:r>
    </w:p>
    <w:p>
      <w:pPr>
        <w:pStyle w:val="2"/>
        <w:spacing w:before="93"/>
        <w:ind w:left="635" w:leftChars="150" w:hanging="320" w:hangingChars="100"/>
        <w:rPr>
          <w:rStyle w:val="27"/>
          <w:rFonts w:ascii="Times New Roman" w:hAnsi="Times New Roman" w:eastAsia="仿宋_GB2312" w:cs="Times New Roman"/>
          <w:b w:val="0"/>
          <w:bCs w:val="0"/>
          <w:kern w:val="0"/>
        </w:rPr>
      </w:pPr>
      <w:r>
        <w:rPr>
          <w:rFonts w:ascii="Times New Roman"/>
          <w:sz w:val="32"/>
          <w:szCs w:val="32"/>
        </w:rPr>
        <w:drawing>
          <wp:inline distT="0" distB="0" distL="0" distR="0">
            <wp:extent cx="4962525" cy="2114550"/>
            <wp:effectExtent l="19050" t="0" r="9525" b="0"/>
            <wp:docPr id="9"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bookmarkStart w:id="22" w:name="_Toc15396605"/>
      <w:bookmarkStart w:id="23" w:name="_Toc15377207"/>
      <w:r>
        <w:rPr>
          <w:rFonts w:ascii="Times New Roman" w:eastAsia="方正黑体_GBK"/>
          <w:sz w:val="32"/>
          <w:szCs w:val="32"/>
        </w:rPr>
        <w:t>三、支</w:t>
      </w:r>
      <w:r>
        <w:rPr>
          <w:rStyle w:val="27"/>
          <w:rFonts w:ascii="Times New Roman" w:hAnsi="Times New Roman" w:eastAsia="方正黑体_GBK" w:cs="Times New Roman"/>
          <w:b w:val="0"/>
        </w:rPr>
        <w:t>出决算情况说明</w:t>
      </w:r>
      <w:bookmarkEnd w:id="22"/>
      <w:bookmarkEnd w:id="23"/>
    </w:p>
    <w:p>
      <w:pPr>
        <w:ind w:firstLine="640" w:firstLineChars="200"/>
        <w:rPr>
          <w:rFonts w:eastAsia="方正仿宋_GBK"/>
          <w:sz w:val="32"/>
          <w:szCs w:val="32"/>
        </w:rPr>
      </w:pPr>
      <w:r>
        <w:rPr>
          <w:rFonts w:eastAsia="方正仿宋_GBK"/>
          <w:sz w:val="32"/>
          <w:szCs w:val="32"/>
        </w:rPr>
        <w:t>2021年本年支出合计618.13万元，其中：</w:t>
      </w:r>
      <w:r>
        <w:rPr>
          <w:rFonts w:eastAsia="方正仿宋_GBK"/>
          <w:b/>
          <w:sz w:val="32"/>
          <w:szCs w:val="32"/>
        </w:rPr>
        <w:t>基本支出</w:t>
      </w:r>
      <w:r>
        <w:rPr>
          <w:rFonts w:eastAsia="方正仿宋_GBK"/>
          <w:sz w:val="32"/>
          <w:szCs w:val="32"/>
        </w:rPr>
        <w:t>471.65万元，占76%；</w:t>
      </w:r>
      <w:r>
        <w:rPr>
          <w:rFonts w:eastAsia="方正仿宋_GBK"/>
          <w:b/>
          <w:sz w:val="32"/>
          <w:szCs w:val="32"/>
        </w:rPr>
        <w:t>项目支出</w:t>
      </w:r>
      <w:r>
        <w:rPr>
          <w:rFonts w:eastAsia="方正仿宋_GBK"/>
          <w:sz w:val="32"/>
          <w:szCs w:val="32"/>
        </w:rPr>
        <w:t>146.48万元，占24%。</w:t>
      </w:r>
    </w:p>
    <w:p>
      <w:pPr>
        <w:ind w:firstLine="640" w:firstLineChars="200"/>
        <w:rPr>
          <w:rFonts w:eastAsia="方正仿宋_GBK"/>
          <w:sz w:val="32"/>
          <w:szCs w:val="32"/>
        </w:rPr>
      </w:pPr>
      <w:r>
        <w:rPr>
          <w:rFonts w:eastAsia="方正仿宋_GBK"/>
          <w:sz w:val="32"/>
          <w:szCs w:val="32"/>
        </w:rPr>
        <w:t>（图3：支出决算结构图）</w:t>
      </w:r>
    </w:p>
    <w:p>
      <w:pPr>
        <w:pStyle w:val="2"/>
        <w:spacing w:before="93"/>
        <w:ind w:firstLine="320" w:firstLineChars="100"/>
        <w:rPr>
          <w:rFonts w:ascii="Times New Roman"/>
          <w:sz w:val="32"/>
          <w:szCs w:val="32"/>
        </w:rPr>
      </w:pPr>
      <w:r>
        <w:rPr>
          <w:rFonts w:ascii="Times New Roman"/>
          <w:sz w:val="32"/>
          <w:szCs w:val="32"/>
        </w:rPr>
        <w:drawing>
          <wp:inline distT="0" distB="0" distL="0" distR="0">
            <wp:extent cx="4924425" cy="2019300"/>
            <wp:effectExtent l="4445" t="4445" r="8890" b="18415"/>
            <wp:docPr id="10"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600" w:lineRule="exact"/>
        <w:ind w:firstLine="640" w:firstLineChars="200"/>
        <w:outlineLvl w:val="1"/>
        <w:rPr>
          <w:rStyle w:val="27"/>
          <w:rFonts w:ascii="Times New Roman" w:hAnsi="Times New Roman" w:eastAsia="方正黑体_GBK" w:cs="Times New Roman"/>
          <w:b w:val="0"/>
        </w:rPr>
      </w:pPr>
      <w:bookmarkStart w:id="24" w:name="_Toc15377208"/>
      <w:bookmarkStart w:id="25" w:name="_Toc15396606"/>
      <w:r>
        <w:rPr>
          <w:rFonts w:eastAsia="方正黑体_GBK"/>
          <w:sz w:val="32"/>
          <w:szCs w:val="32"/>
        </w:rPr>
        <w:t>四、财</w:t>
      </w:r>
      <w:r>
        <w:rPr>
          <w:rStyle w:val="27"/>
          <w:rFonts w:ascii="Times New Roman" w:hAnsi="Times New Roman" w:eastAsia="方正黑体_GBK" w:cs="Times New Roman"/>
          <w:b w:val="0"/>
        </w:rPr>
        <w:t>政拨款收入支出决算总体情况说明</w:t>
      </w:r>
      <w:bookmarkEnd w:id="24"/>
      <w:bookmarkEnd w:id="25"/>
    </w:p>
    <w:p>
      <w:pPr>
        <w:ind w:firstLine="640" w:firstLineChars="200"/>
        <w:rPr>
          <w:rFonts w:eastAsia="方正仿宋_GBK"/>
          <w:sz w:val="32"/>
          <w:szCs w:val="32"/>
        </w:rPr>
      </w:pPr>
      <w:r>
        <w:rPr>
          <w:rFonts w:eastAsia="方正仿宋_GBK"/>
          <w:sz w:val="32"/>
          <w:szCs w:val="32"/>
        </w:rPr>
        <w:t>2021年财政拨款收、支总计618.10万元。与2020年相比，财政拨款收、支总计各增加80.27万元，增长15%。主要变动原因是人员增加和项目工作增加等追加经费拨款致使财政拨款收、支总计随之增加。</w:t>
      </w:r>
    </w:p>
    <w:p>
      <w:pPr>
        <w:ind w:firstLine="640" w:firstLineChars="200"/>
        <w:rPr>
          <w:rFonts w:eastAsia="方正仿宋_GBK"/>
          <w:sz w:val="32"/>
          <w:szCs w:val="32"/>
        </w:rPr>
      </w:pPr>
      <w:r>
        <w:rPr>
          <w:rFonts w:eastAsia="方正仿宋_GBK"/>
          <w:sz w:val="32"/>
          <w:szCs w:val="32"/>
        </w:rPr>
        <w:t>（图4：财政拨款收、支决算总计变动情况）</w:t>
      </w:r>
    </w:p>
    <w:p>
      <w:pPr>
        <w:pStyle w:val="2"/>
        <w:spacing w:before="93"/>
        <w:ind w:firstLine="472" w:firstLineChars="147"/>
        <w:rPr>
          <w:rFonts w:ascii="Times New Roman" w:eastAsia="仿宋"/>
          <w:b/>
          <w:sz w:val="32"/>
          <w:szCs w:val="32"/>
        </w:rPr>
      </w:pPr>
      <w:r>
        <w:rPr>
          <w:rFonts w:ascii="Times New Roman" w:eastAsia="仿宋"/>
          <w:b/>
          <w:sz w:val="32"/>
          <w:szCs w:val="32"/>
        </w:rPr>
        <w:drawing>
          <wp:inline distT="0" distB="0" distL="0" distR="0">
            <wp:extent cx="4991100" cy="2057400"/>
            <wp:effectExtent l="0" t="0" r="0" b="0"/>
            <wp:docPr id="11"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ind w:firstLine="640" w:firstLineChars="200"/>
        <w:outlineLvl w:val="1"/>
        <w:rPr>
          <w:rStyle w:val="27"/>
          <w:rFonts w:ascii="Times New Roman" w:hAnsi="Times New Roman" w:eastAsia="方正黑体_GBK" w:cs="Times New Roman"/>
          <w:b w:val="0"/>
        </w:rPr>
      </w:pPr>
      <w:bookmarkStart w:id="26" w:name="_Toc15377209"/>
      <w:bookmarkStart w:id="27" w:name="_Toc15396607"/>
      <w:r>
        <w:rPr>
          <w:rFonts w:eastAsia="方正黑体_GBK"/>
          <w:sz w:val="32"/>
          <w:szCs w:val="32"/>
        </w:rPr>
        <w:t>五、</w:t>
      </w:r>
      <w:r>
        <w:rPr>
          <w:rFonts w:eastAsia="方正黑体_GBK"/>
          <w:b/>
          <w:sz w:val="32"/>
          <w:szCs w:val="32"/>
        </w:rPr>
        <w:t>一</w:t>
      </w:r>
      <w:r>
        <w:rPr>
          <w:rStyle w:val="27"/>
          <w:rFonts w:ascii="Times New Roman" w:hAnsi="Times New Roman" w:eastAsia="方正黑体_GBK" w:cs="Times New Roman"/>
          <w:b w:val="0"/>
        </w:rPr>
        <w:t>般公共预算财政拨款支出决算情况说明</w:t>
      </w:r>
      <w:bookmarkEnd w:id="26"/>
      <w:bookmarkEnd w:id="27"/>
    </w:p>
    <w:p>
      <w:pPr>
        <w:spacing w:line="600" w:lineRule="exact"/>
        <w:ind w:firstLine="642" w:firstLineChars="200"/>
        <w:outlineLvl w:val="2"/>
        <w:rPr>
          <w:rFonts w:eastAsia="仿宋"/>
          <w:b/>
          <w:sz w:val="32"/>
          <w:szCs w:val="32"/>
        </w:rPr>
      </w:pPr>
      <w:bookmarkStart w:id="28" w:name="_Toc15377210"/>
      <w:r>
        <w:rPr>
          <w:rFonts w:eastAsia="仿宋"/>
          <w:b/>
          <w:sz w:val="32"/>
          <w:szCs w:val="32"/>
        </w:rPr>
        <w:t>（一）一般公共预算财政拨款支出决算总体情况</w:t>
      </w:r>
      <w:bookmarkEnd w:id="28"/>
    </w:p>
    <w:p>
      <w:pPr>
        <w:ind w:firstLine="640" w:firstLineChars="200"/>
        <w:rPr>
          <w:rFonts w:eastAsia="方正仿宋_GBK"/>
          <w:sz w:val="32"/>
          <w:szCs w:val="32"/>
        </w:rPr>
      </w:pPr>
      <w:r>
        <w:rPr>
          <w:rFonts w:eastAsia="方正仿宋_GBK"/>
          <w:sz w:val="32"/>
          <w:szCs w:val="32"/>
        </w:rPr>
        <w:t>2021年一般公共预算财政拨款支出550.53万元，占本年支出合计的89%。与2020年相比，一般公共预算财政拨款支出增加28.45万元，增长5%。主要变动原因是人员增加和项目工作增加等追加经费拨款致使一般公共预算财政拨款支出随之增加。</w:t>
      </w:r>
    </w:p>
    <w:p>
      <w:pPr>
        <w:ind w:firstLine="640" w:firstLineChars="200"/>
        <w:rPr>
          <w:rFonts w:eastAsia="方正仿宋_GBK"/>
          <w:sz w:val="32"/>
          <w:szCs w:val="32"/>
        </w:rPr>
      </w:pPr>
      <w:r>
        <w:rPr>
          <w:rFonts w:eastAsia="方正仿宋_GBK"/>
          <w:sz w:val="32"/>
          <w:szCs w:val="32"/>
        </w:rPr>
        <w:t>（图5：一般公共预算财政拨款支出决算变动情况）</w:t>
      </w:r>
    </w:p>
    <w:p>
      <w:pPr>
        <w:pStyle w:val="2"/>
        <w:spacing w:before="93"/>
        <w:ind w:firstLine="320" w:firstLineChars="100"/>
        <w:rPr>
          <w:rFonts w:ascii="Times New Roman" w:eastAsia="仿宋"/>
          <w:sz w:val="32"/>
          <w:szCs w:val="32"/>
        </w:rPr>
      </w:pPr>
      <w:r>
        <w:rPr>
          <w:rFonts w:ascii="Times New Roman" w:eastAsia="仿宋"/>
          <w:sz w:val="32"/>
          <w:szCs w:val="32"/>
        </w:rPr>
        <w:drawing>
          <wp:inline distT="0" distB="0" distL="0" distR="0">
            <wp:extent cx="5000625" cy="2066925"/>
            <wp:effectExtent l="0" t="0" r="0" b="0"/>
            <wp:docPr id="12"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642" w:firstLineChars="200"/>
        <w:outlineLvl w:val="2"/>
        <w:rPr>
          <w:rFonts w:eastAsia="仿宋"/>
          <w:b/>
          <w:sz w:val="32"/>
          <w:szCs w:val="32"/>
        </w:rPr>
      </w:pPr>
      <w:bookmarkStart w:id="29" w:name="_Toc15377211"/>
      <w:r>
        <w:rPr>
          <w:rFonts w:eastAsia="仿宋"/>
          <w:b/>
          <w:sz w:val="32"/>
          <w:szCs w:val="32"/>
        </w:rPr>
        <w:t>（二）一般公共预算财政拨款支出决算结构情况</w:t>
      </w:r>
      <w:bookmarkEnd w:id="29"/>
    </w:p>
    <w:p>
      <w:pPr>
        <w:spacing w:line="600" w:lineRule="exact"/>
        <w:ind w:firstLine="640"/>
        <w:rPr>
          <w:rFonts w:eastAsia="方正仿宋_GBK"/>
          <w:sz w:val="32"/>
          <w:szCs w:val="32"/>
        </w:rPr>
      </w:pPr>
      <w:r>
        <w:rPr>
          <w:rFonts w:eastAsia="方正仿宋_GBK"/>
          <w:sz w:val="32"/>
          <w:szCs w:val="32"/>
        </w:rPr>
        <w:t>2021年一般公共预算财政拨款支出550.53万元，主要用于以下方面:</w:t>
      </w:r>
      <w:r>
        <w:rPr>
          <w:rFonts w:eastAsia="方正仿宋_GBK"/>
          <w:b/>
          <w:sz w:val="32"/>
          <w:szCs w:val="32"/>
        </w:rPr>
        <w:t>一般公共服务（类）</w:t>
      </w:r>
      <w:r>
        <w:rPr>
          <w:rFonts w:eastAsia="方正仿宋_GBK"/>
          <w:sz w:val="32"/>
          <w:szCs w:val="32"/>
        </w:rPr>
        <w:t>支出394.04万元，占71%；</w:t>
      </w:r>
      <w:r>
        <w:rPr>
          <w:rFonts w:eastAsia="方正仿宋_GBK"/>
          <w:b/>
          <w:sz w:val="32"/>
          <w:szCs w:val="32"/>
        </w:rPr>
        <w:t>社会保障和就业（类）</w:t>
      </w:r>
      <w:r>
        <w:rPr>
          <w:rFonts w:eastAsia="方正仿宋_GBK"/>
          <w:sz w:val="32"/>
          <w:szCs w:val="32"/>
        </w:rPr>
        <w:t>支出85.96万元，占16%；</w:t>
      </w:r>
      <w:r>
        <w:rPr>
          <w:rFonts w:eastAsia="方正仿宋_GBK"/>
          <w:b/>
          <w:sz w:val="32"/>
          <w:szCs w:val="32"/>
        </w:rPr>
        <w:t>卫生健康（类）</w:t>
      </w:r>
      <w:r>
        <w:rPr>
          <w:rFonts w:eastAsia="方正仿宋_GBK"/>
          <w:sz w:val="32"/>
          <w:szCs w:val="32"/>
        </w:rPr>
        <w:t>支出27.69万元，占5%；</w:t>
      </w:r>
      <w:r>
        <w:rPr>
          <w:rFonts w:eastAsia="方正仿宋_GBK"/>
          <w:b/>
          <w:sz w:val="32"/>
          <w:szCs w:val="32"/>
        </w:rPr>
        <w:t>住房保障（类）</w:t>
      </w:r>
      <w:r>
        <w:rPr>
          <w:rFonts w:eastAsia="方正仿宋_GBK"/>
          <w:sz w:val="32"/>
          <w:szCs w:val="32"/>
        </w:rPr>
        <w:t>支出42.84万元，占8%。</w:t>
      </w:r>
    </w:p>
    <w:p>
      <w:pPr>
        <w:spacing w:line="600" w:lineRule="exact"/>
        <w:ind w:firstLine="640" w:firstLineChars="200"/>
        <w:rPr>
          <w:rFonts w:eastAsia="方正仿宋_GBK"/>
          <w:sz w:val="32"/>
          <w:szCs w:val="32"/>
        </w:rPr>
      </w:pPr>
      <w:r>
        <w:rPr>
          <w:rFonts w:eastAsia="方正仿宋_GBK"/>
          <w:sz w:val="32"/>
          <w:szCs w:val="32"/>
        </w:rPr>
        <w:t>（图6：一般公共预算财政拨款支出决算结构）</w:t>
      </w:r>
    </w:p>
    <w:p>
      <w:pPr>
        <w:pStyle w:val="2"/>
        <w:spacing w:before="93"/>
        <w:ind w:firstLine="480" w:firstLineChars="150"/>
        <w:rPr>
          <w:rFonts w:ascii="Times New Roman" w:eastAsia="仿宋"/>
          <w:sz w:val="32"/>
          <w:szCs w:val="32"/>
        </w:rPr>
      </w:pPr>
      <w:r>
        <w:rPr>
          <w:rFonts w:ascii="Times New Roman" w:eastAsia="仿宋"/>
          <w:sz w:val="32"/>
          <w:szCs w:val="32"/>
        </w:rPr>
        <w:drawing>
          <wp:inline distT="0" distB="0" distL="0" distR="0">
            <wp:extent cx="5000625" cy="2057400"/>
            <wp:effectExtent l="19050" t="0" r="9525" b="0"/>
            <wp:docPr id="13"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2" w:firstLineChars="200"/>
        <w:outlineLvl w:val="2"/>
        <w:rPr>
          <w:rFonts w:eastAsia="仿宋"/>
          <w:b/>
          <w:sz w:val="32"/>
          <w:szCs w:val="32"/>
        </w:rPr>
      </w:pPr>
      <w:bookmarkStart w:id="30" w:name="_Toc15377212"/>
      <w:r>
        <w:rPr>
          <w:rFonts w:eastAsia="仿宋"/>
          <w:b/>
          <w:sz w:val="32"/>
          <w:szCs w:val="32"/>
        </w:rPr>
        <w:t>（三）一般公共预算财政拨款支出决算具体情况</w:t>
      </w:r>
      <w:bookmarkEnd w:id="30"/>
    </w:p>
    <w:p>
      <w:pPr>
        <w:spacing w:line="600" w:lineRule="exact"/>
        <w:ind w:firstLine="640"/>
        <w:rPr>
          <w:rFonts w:eastAsia="方正仿宋_GBK"/>
          <w:sz w:val="32"/>
          <w:szCs w:val="32"/>
        </w:rPr>
      </w:pPr>
      <w:bookmarkStart w:id="31" w:name="_Toc15377213"/>
      <w:bookmarkStart w:id="32" w:name="_Toc15377444"/>
      <w:bookmarkStart w:id="33" w:name="_Toc15378460"/>
      <w:r>
        <w:rPr>
          <w:rFonts w:eastAsia="方正仿宋_GBK"/>
          <w:sz w:val="32"/>
          <w:szCs w:val="32"/>
        </w:rPr>
        <w:t>2021年一般公共预算支出决算数为550.53万元，完成预算102%。其中：</w:t>
      </w:r>
      <w:bookmarkEnd w:id="31"/>
      <w:bookmarkEnd w:id="32"/>
      <w:bookmarkEnd w:id="33"/>
    </w:p>
    <w:p>
      <w:pPr>
        <w:spacing w:line="600" w:lineRule="exact"/>
        <w:ind w:firstLine="640"/>
        <w:rPr>
          <w:rFonts w:eastAsia="方正仿宋_GBK"/>
          <w:sz w:val="32"/>
          <w:szCs w:val="32"/>
        </w:rPr>
      </w:pPr>
      <w:r>
        <w:rPr>
          <w:rFonts w:eastAsia="方正仿宋_GBK"/>
          <w:sz w:val="32"/>
          <w:szCs w:val="32"/>
        </w:rPr>
        <w:t>1.</w:t>
      </w:r>
      <w:r>
        <w:rPr>
          <w:rFonts w:eastAsia="方正仿宋_GBK"/>
          <w:b/>
          <w:sz w:val="32"/>
          <w:szCs w:val="32"/>
        </w:rPr>
        <w:t>一般公共服务支出（类）人大事务（款）行政运行</w:t>
      </w:r>
      <w:r>
        <w:rPr>
          <w:rFonts w:eastAsia="方正仿宋_GBK"/>
          <w:sz w:val="32"/>
          <w:szCs w:val="32"/>
        </w:rPr>
        <w:t>: 支出决算为284.46万元，完成预算100%；</w:t>
      </w:r>
      <w:r>
        <w:rPr>
          <w:rFonts w:eastAsia="方正仿宋_GBK"/>
          <w:b/>
          <w:sz w:val="32"/>
          <w:szCs w:val="32"/>
        </w:rPr>
        <w:t>一般行政管理事务（项）</w:t>
      </w:r>
      <w:r>
        <w:rPr>
          <w:rFonts w:eastAsia="方正仿宋_GBK"/>
          <w:sz w:val="32"/>
          <w:szCs w:val="32"/>
        </w:rPr>
        <w:t>: 支出决算为64.21万元，完成预算110%，决算数大于预算数的主要原因是使用上年结转项目经费5.82万元；</w:t>
      </w:r>
      <w:r>
        <w:rPr>
          <w:rFonts w:eastAsia="方正仿宋_GBK"/>
          <w:b/>
          <w:sz w:val="32"/>
          <w:szCs w:val="32"/>
        </w:rPr>
        <w:t>人大立法（项）</w:t>
      </w:r>
      <w:r>
        <w:rPr>
          <w:rFonts w:eastAsia="方正仿宋_GBK"/>
          <w:sz w:val="32"/>
          <w:szCs w:val="32"/>
        </w:rPr>
        <w:t>: 支出决算为0.50万元，完成预算100%；</w:t>
      </w:r>
      <w:r>
        <w:rPr>
          <w:rFonts w:eastAsia="方正仿宋_GBK"/>
          <w:b/>
          <w:sz w:val="32"/>
          <w:szCs w:val="32"/>
        </w:rPr>
        <w:t>代表工作（项）</w:t>
      </w:r>
      <w:r>
        <w:rPr>
          <w:rFonts w:eastAsia="方正仿宋_GBK"/>
          <w:sz w:val="32"/>
          <w:szCs w:val="32"/>
        </w:rPr>
        <w:t>: 支出决算为14.20万元，完成预算148%，决算数大于预算数的主要原因是使用上年结转项目经费4.60万元；事业运行（项）:支出决算为30.67万元，完成预算100%。</w:t>
      </w:r>
    </w:p>
    <w:p>
      <w:pPr>
        <w:spacing w:line="600" w:lineRule="exact"/>
        <w:ind w:firstLine="640"/>
        <w:rPr>
          <w:rFonts w:eastAsia="方正仿宋_GBK"/>
          <w:sz w:val="32"/>
          <w:szCs w:val="32"/>
        </w:rPr>
      </w:pPr>
      <w:r>
        <w:rPr>
          <w:rFonts w:eastAsia="方正仿宋_GBK"/>
          <w:sz w:val="32"/>
          <w:szCs w:val="32"/>
        </w:rPr>
        <w:t>2.</w:t>
      </w:r>
      <w:r>
        <w:rPr>
          <w:rFonts w:eastAsia="方正仿宋_GBK"/>
          <w:b/>
          <w:sz w:val="32"/>
          <w:szCs w:val="32"/>
        </w:rPr>
        <w:t>社会保障和就业支出（类）行政事业单位养老支出</w:t>
      </w:r>
      <w:r>
        <w:rPr>
          <w:rFonts w:eastAsia="方正仿宋_GBK"/>
          <w:sz w:val="32"/>
          <w:szCs w:val="32"/>
        </w:rPr>
        <w:t>（款）</w:t>
      </w:r>
      <w:r>
        <w:rPr>
          <w:rFonts w:eastAsia="方正仿宋_GBK"/>
          <w:b/>
          <w:sz w:val="32"/>
          <w:szCs w:val="32"/>
        </w:rPr>
        <w:t>行政单位离退休（项）</w:t>
      </w:r>
      <w:r>
        <w:rPr>
          <w:rFonts w:eastAsia="方正仿宋_GBK"/>
          <w:sz w:val="32"/>
          <w:szCs w:val="32"/>
        </w:rPr>
        <w:t>: 支出决算为41.26万元，完成预算100%；</w:t>
      </w:r>
      <w:r>
        <w:rPr>
          <w:rFonts w:eastAsia="方正仿宋_GBK"/>
          <w:b/>
          <w:sz w:val="32"/>
          <w:szCs w:val="32"/>
        </w:rPr>
        <w:t xml:space="preserve">机关事业单位基本养老保险缴费支出（项）: </w:t>
      </w:r>
      <w:r>
        <w:rPr>
          <w:rFonts w:eastAsia="方正仿宋_GBK"/>
          <w:sz w:val="32"/>
          <w:szCs w:val="32"/>
        </w:rPr>
        <w:t>支出决算为27.64万元，完成预算100%。抚恤（款）死亡抚恤（项）: 支出决算为17.06万元，完成预算100%。</w:t>
      </w:r>
    </w:p>
    <w:p>
      <w:pPr>
        <w:spacing w:line="600" w:lineRule="exact"/>
        <w:ind w:firstLine="640"/>
        <w:rPr>
          <w:rFonts w:eastAsia="方正仿宋_GBK"/>
          <w:sz w:val="32"/>
          <w:szCs w:val="32"/>
        </w:rPr>
      </w:pPr>
      <w:r>
        <w:rPr>
          <w:rFonts w:eastAsia="方正仿宋_GBK"/>
          <w:sz w:val="32"/>
          <w:szCs w:val="32"/>
        </w:rPr>
        <w:t>3.</w:t>
      </w:r>
      <w:r>
        <w:rPr>
          <w:rFonts w:eastAsia="方正仿宋_GBK"/>
          <w:b/>
          <w:sz w:val="32"/>
          <w:szCs w:val="32"/>
        </w:rPr>
        <w:t>卫生健康支出（类）行政事业单位医疗（款）行政单位医疗（项）:</w:t>
      </w:r>
      <w:r>
        <w:rPr>
          <w:rFonts w:eastAsia="方正仿宋_GBK"/>
          <w:sz w:val="32"/>
          <w:szCs w:val="32"/>
        </w:rPr>
        <w:t>支出决算为22.58万元，完成预算100%；</w:t>
      </w:r>
      <w:r>
        <w:rPr>
          <w:rFonts w:eastAsia="方正仿宋_GBK"/>
          <w:b/>
          <w:sz w:val="32"/>
          <w:szCs w:val="32"/>
        </w:rPr>
        <w:t>事业单位医疗（项）:</w:t>
      </w:r>
      <w:r>
        <w:rPr>
          <w:rFonts w:eastAsia="方正仿宋_GBK"/>
          <w:sz w:val="32"/>
          <w:szCs w:val="32"/>
        </w:rPr>
        <w:t>支出决算为2.22万元，完成预算100%；</w:t>
      </w:r>
      <w:r>
        <w:rPr>
          <w:rFonts w:eastAsia="方正仿宋_GBK"/>
          <w:b/>
          <w:sz w:val="32"/>
          <w:szCs w:val="32"/>
        </w:rPr>
        <w:t>公务员医疗补助（项）:</w:t>
      </w:r>
      <w:r>
        <w:rPr>
          <w:rFonts w:eastAsia="方正仿宋_GBK"/>
          <w:sz w:val="32"/>
          <w:szCs w:val="32"/>
        </w:rPr>
        <w:t>支出决算为2.89万元，完成预算100%。</w:t>
      </w:r>
    </w:p>
    <w:p>
      <w:pPr>
        <w:spacing w:line="600" w:lineRule="exact"/>
        <w:ind w:firstLine="640"/>
        <w:rPr>
          <w:rFonts w:eastAsia="方正仿宋_GBK"/>
          <w:sz w:val="32"/>
          <w:szCs w:val="32"/>
        </w:rPr>
      </w:pPr>
      <w:r>
        <w:rPr>
          <w:rFonts w:eastAsia="方正仿宋_GBK"/>
          <w:sz w:val="32"/>
          <w:szCs w:val="32"/>
        </w:rPr>
        <w:t>4.</w:t>
      </w:r>
      <w:r>
        <w:rPr>
          <w:rFonts w:eastAsia="方正仿宋_GBK"/>
          <w:b/>
          <w:sz w:val="32"/>
          <w:szCs w:val="32"/>
        </w:rPr>
        <w:t>住房保障支出（类）住房改革支出（款）住房公积金（项）:</w:t>
      </w:r>
      <w:r>
        <w:rPr>
          <w:rFonts w:eastAsia="方正仿宋_GBK"/>
          <w:sz w:val="32"/>
          <w:szCs w:val="32"/>
        </w:rPr>
        <w:t>支出决算为42.84万元，完成预算100%。</w:t>
      </w:r>
    </w:p>
    <w:p>
      <w:pPr>
        <w:spacing w:line="600" w:lineRule="exact"/>
        <w:ind w:firstLine="640"/>
        <w:rPr>
          <w:rFonts w:eastAsia="方正黑体_GBK"/>
          <w:sz w:val="32"/>
          <w:szCs w:val="32"/>
        </w:rPr>
      </w:pPr>
      <w:bookmarkStart w:id="34" w:name="_Toc15396608"/>
      <w:bookmarkStart w:id="35" w:name="_Toc15377214"/>
      <w:r>
        <w:rPr>
          <w:rFonts w:eastAsia="方正黑体_GBK"/>
          <w:sz w:val="32"/>
          <w:szCs w:val="32"/>
        </w:rPr>
        <w:t>六、一般公共预算财政拨款基本支出决算情况说明</w:t>
      </w:r>
      <w:bookmarkEnd w:id="34"/>
      <w:bookmarkEnd w:id="35"/>
      <w:r>
        <w:rPr>
          <w:rFonts w:eastAsia="方正黑体_GBK"/>
          <w:sz w:val="32"/>
          <w:szCs w:val="32"/>
        </w:rPr>
        <w:tab/>
      </w:r>
    </w:p>
    <w:p>
      <w:pPr>
        <w:spacing w:line="600" w:lineRule="exact"/>
        <w:ind w:firstLine="640"/>
        <w:rPr>
          <w:rFonts w:eastAsia="方正仿宋_GBK"/>
          <w:sz w:val="32"/>
          <w:szCs w:val="32"/>
        </w:rPr>
      </w:pPr>
      <w:r>
        <w:rPr>
          <w:rFonts w:eastAsia="方正仿宋_GBK"/>
          <w:sz w:val="32"/>
          <w:szCs w:val="32"/>
        </w:rPr>
        <w:t>2021年一般公共预算财政拨款基本支出471.62万元，其中：</w:t>
      </w:r>
    </w:p>
    <w:p>
      <w:pPr>
        <w:spacing w:line="600" w:lineRule="exact"/>
        <w:ind w:firstLine="640"/>
        <w:rPr>
          <w:rFonts w:eastAsia="方正仿宋_GBK"/>
          <w:sz w:val="32"/>
          <w:szCs w:val="32"/>
        </w:rPr>
      </w:pPr>
      <w:r>
        <w:rPr>
          <w:rFonts w:eastAsia="方正仿宋_GBK"/>
          <w:b/>
          <w:sz w:val="32"/>
          <w:szCs w:val="32"/>
        </w:rPr>
        <w:t>人员经费</w:t>
      </w:r>
      <w:r>
        <w:rPr>
          <w:rFonts w:eastAsia="方正仿宋_GBK"/>
          <w:sz w:val="32"/>
          <w:szCs w:val="32"/>
        </w:rPr>
        <w:t>433.69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spacing w:line="600" w:lineRule="exact"/>
        <w:ind w:firstLine="640"/>
        <w:rPr>
          <w:rFonts w:eastAsia="方正仿宋_GBK"/>
          <w:sz w:val="32"/>
          <w:szCs w:val="32"/>
        </w:rPr>
      </w:pPr>
      <w:r>
        <w:rPr>
          <w:rFonts w:eastAsia="方正仿宋_GBK"/>
          <w:b/>
          <w:sz w:val="32"/>
          <w:szCs w:val="32"/>
        </w:rPr>
        <w:t>公用经费</w:t>
      </w:r>
      <w:r>
        <w:rPr>
          <w:rFonts w:eastAsia="方正仿宋_GBK"/>
          <w:sz w:val="32"/>
          <w:szCs w:val="32"/>
        </w:rPr>
        <w:t>37.93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rPr>
          <w:rFonts w:eastAsia="方正黑体_GBK"/>
          <w:sz w:val="32"/>
          <w:szCs w:val="32"/>
        </w:rPr>
      </w:pPr>
      <w:bookmarkStart w:id="36" w:name="_Toc15396609"/>
      <w:bookmarkStart w:id="37" w:name="_Toc15377215"/>
      <w:r>
        <w:rPr>
          <w:rFonts w:eastAsia="方正黑体_GBK"/>
          <w:sz w:val="32"/>
          <w:szCs w:val="32"/>
        </w:rPr>
        <w:t>七、“三公”经费财政拨款支出决算情况说明</w:t>
      </w:r>
      <w:bookmarkEnd w:id="36"/>
      <w:bookmarkEnd w:id="37"/>
    </w:p>
    <w:p>
      <w:pPr>
        <w:spacing w:line="600" w:lineRule="exact"/>
        <w:ind w:firstLine="640"/>
        <w:rPr>
          <w:rFonts w:eastAsia="方正仿宋_GBK"/>
          <w:b/>
          <w:sz w:val="32"/>
          <w:szCs w:val="32"/>
        </w:rPr>
      </w:pPr>
      <w:bookmarkStart w:id="38" w:name="_Toc15377216"/>
      <w:r>
        <w:rPr>
          <w:rFonts w:eastAsia="方正仿宋_GBK"/>
          <w:b/>
          <w:sz w:val="32"/>
          <w:szCs w:val="32"/>
        </w:rPr>
        <w:t>（一）“三公”经费财政拨款支出决算总体情况说明</w:t>
      </w:r>
      <w:bookmarkEnd w:id="38"/>
    </w:p>
    <w:p>
      <w:pPr>
        <w:spacing w:line="600" w:lineRule="exact"/>
        <w:ind w:firstLine="640"/>
        <w:rPr>
          <w:rFonts w:eastAsia="方正仿宋_GBK"/>
          <w:sz w:val="32"/>
          <w:szCs w:val="32"/>
        </w:rPr>
      </w:pPr>
      <w:r>
        <w:rPr>
          <w:rFonts w:eastAsia="方正仿宋_GBK"/>
          <w:sz w:val="32"/>
          <w:szCs w:val="32"/>
        </w:rPr>
        <w:t>2021年“三公”经费财政拨款支出决算为0.23万元，完成预算100%，决算数与预算数持平。</w:t>
      </w:r>
    </w:p>
    <w:p>
      <w:pPr>
        <w:spacing w:line="600" w:lineRule="exact"/>
        <w:ind w:firstLine="640"/>
        <w:rPr>
          <w:rFonts w:eastAsia="方正仿宋_GBK"/>
          <w:b/>
          <w:sz w:val="32"/>
          <w:szCs w:val="32"/>
        </w:rPr>
      </w:pPr>
      <w:bookmarkStart w:id="39" w:name="_Toc15377217"/>
      <w:r>
        <w:rPr>
          <w:rFonts w:eastAsia="方正仿宋_GBK"/>
          <w:b/>
          <w:sz w:val="32"/>
          <w:szCs w:val="32"/>
        </w:rPr>
        <w:t>（二）“三公”经费财政拨款支出决算具体情况说明</w:t>
      </w:r>
      <w:bookmarkEnd w:id="39"/>
    </w:p>
    <w:p>
      <w:pPr>
        <w:spacing w:line="600" w:lineRule="exact"/>
        <w:ind w:firstLine="640"/>
        <w:rPr>
          <w:rFonts w:eastAsia="方正仿宋_GBK"/>
          <w:sz w:val="32"/>
          <w:szCs w:val="32"/>
        </w:rPr>
      </w:pPr>
      <w:r>
        <w:rPr>
          <w:rFonts w:eastAsia="方正仿宋_GBK"/>
          <w:sz w:val="32"/>
          <w:szCs w:val="32"/>
        </w:rPr>
        <w:t>2021年“三公”经费财政拨款支出决算中，因公出国（境）费支出决算0万元，占0%；公务用车购置及运行维护费支出决算0万元，占0%；公务接待费支出决算0.23万元，占100%。具体情况如下：</w:t>
      </w:r>
    </w:p>
    <w:p>
      <w:pPr>
        <w:spacing w:line="600" w:lineRule="exact"/>
        <w:ind w:firstLine="640"/>
        <w:rPr>
          <w:rFonts w:eastAsia="方正仿宋_GBK"/>
          <w:sz w:val="32"/>
          <w:szCs w:val="32"/>
        </w:rPr>
      </w:pPr>
      <w:r>
        <w:rPr>
          <w:rFonts w:eastAsia="方正仿宋_GBK"/>
          <w:sz w:val="32"/>
          <w:szCs w:val="32"/>
        </w:rPr>
        <w:t>（图7：“三公”经费财政拨款支出结构）</w:t>
      </w:r>
    </w:p>
    <w:p>
      <w:pPr>
        <w:pStyle w:val="2"/>
        <w:spacing w:before="93"/>
        <w:rPr>
          <w:rFonts w:ascii="Times New Roman" w:eastAsia="仿宋"/>
          <w:sz w:val="32"/>
          <w:szCs w:val="32"/>
        </w:rPr>
      </w:pPr>
      <w:r>
        <w:rPr>
          <w:rFonts w:ascii="Times New Roman"/>
        </w:rPr>
        <w:drawing>
          <wp:inline distT="0" distB="0" distL="114300" distR="114300">
            <wp:extent cx="4852670" cy="2225040"/>
            <wp:effectExtent l="0" t="0" r="889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2"/>
                    <a:stretch>
                      <a:fillRect/>
                    </a:stretch>
                  </pic:blipFill>
                  <pic:spPr>
                    <a:xfrm>
                      <a:off x="0" y="0"/>
                      <a:ext cx="4852670" cy="2225040"/>
                    </a:xfrm>
                    <a:prstGeom prst="rect">
                      <a:avLst/>
                    </a:prstGeom>
                    <a:noFill/>
                    <a:ln>
                      <a:noFill/>
                    </a:ln>
                  </pic:spPr>
                </pic:pic>
              </a:graphicData>
            </a:graphic>
          </wp:inline>
        </w:drawing>
      </w:r>
    </w:p>
    <w:p>
      <w:pPr>
        <w:spacing w:line="600" w:lineRule="exact"/>
        <w:ind w:firstLine="640"/>
        <w:rPr>
          <w:rFonts w:eastAsia="方正仿宋_GBK"/>
          <w:sz w:val="32"/>
          <w:szCs w:val="32"/>
        </w:rPr>
      </w:pPr>
      <w:r>
        <w:rPr>
          <w:rFonts w:eastAsia="方正仿宋_GBK"/>
          <w:sz w:val="32"/>
          <w:szCs w:val="32"/>
        </w:rPr>
        <w:t>1.因公出国（境）经费支出0万元，完成预算0%。全年安排因公出国（境）团组0次，出国（境）0人。因公出国（境）支出决算与2020年一样为0万元。</w:t>
      </w:r>
    </w:p>
    <w:p>
      <w:pPr>
        <w:spacing w:line="600" w:lineRule="exact"/>
        <w:ind w:firstLine="640"/>
        <w:rPr>
          <w:rFonts w:eastAsia="方正仿宋_GBK"/>
          <w:sz w:val="32"/>
          <w:szCs w:val="32"/>
        </w:rPr>
      </w:pPr>
      <w:r>
        <w:rPr>
          <w:rFonts w:eastAsia="方正仿宋_GBK"/>
          <w:sz w:val="32"/>
          <w:szCs w:val="32"/>
        </w:rPr>
        <w:t>2.公务用车购置及运行维护费支出0万元,完成预算0%。公务用车购置及运行维护费支出决算与2020年一样为0万元。</w:t>
      </w:r>
    </w:p>
    <w:p>
      <w:pPr>
        <w:spacing w:line="600" w:lineRule="exact"/>
        <w:ind w:firstLine="640"/>
        <w:rPr>
          <w:rFonts w:eastAsia="方正仿宋_GBK"/>
          <w:sz w:val="32"/>
          <w:szCs w:val="32"/>
        </w:rPr>
      </w:pPr>
      <w:r>
        <w:rPr>
          <w:rFonts w:eastAsia="方正仿宋_GBK"/>
          <w:sz w:val="32"/>
          <w:szCs w:val="32"/>
        </w:rPr>
        <w:t>其中：公务用车购置支出0万元。</w:t>
      </w:r>
    </w:p>
    <w:p>
      <w:pPr>
        <w:spacing w:line="600" w:lineRule="exact"/>
        <w:ind w:firstLine="640"/>
        <w:rPr>
          <w:rFonts w:eastAsia="方正仿宋_GBK"/>
          <w:sz w:val="32"/>
          <w:szCs w:val="32"/>
        </w:rPr>
      </w:pPr>
      <w:r>
        <w:rPr>
          <w:rFonts w:eastAsia="方正仿宋_GBK"/>
          <w:sz w:val="32"/>
          <w:szCs w:val="32"/>
        </w:rPr>
        <w:t>公务用车运行维护费支出0万元。</w:t>
      </w:r>
    </w:p>
    <w:p>
      <w:pPr>
        <w:spacing w:line="600" w:lineRule="exact"/>
        <w:ind w:firstLine="640"/>
        <w:rPr>
          <w:rFonts w:eastAsia="方正仿宋_GBK"/>
          <w:sz w:val="32"/>
          <w:szCs w:val="32"/>
        </w:rPr>
      </w:pPr>
      <w:r>
        <w:rPr>
          <w:rFonts w:eastAsia="方正仿宋_GBK"/>
          <w:sz w:val="32"/>
          <w:szCs w:val="32"/>
        </w:rPr>
        <w:t>3.公务接待费支出0.23万元，完成预算100%。公务接待费支出决算比2020年减少0.27万元，下降54%。主要原因是严格控制接待范围、接待人次、接待标准。其中：</w:t>
      </w:r>
    </w:p>
    <w:p>
      <w:pPr>
        <w:spacing w:line="600" w:lineRule="exact"/>
        <w:ind w:firstLine="640"/>
        <w:rPr>
          <w:rFonts w:eastAsia="方正仿宋_GBK"/>
          <w:sz w:val="32"/>
          <w:szCs w:val="32"/>
        </w:rPr>
      </w:pPr>
      <w:r>
        <w:rPr>
          <w:rFonts w:eastAsia="方正仿宋_GBK"/>
          <w:sz w:val="32"/>
          <w:szCs w:val="32"/>
        </w:rPr>
        <w:t>国内公务接待支出0.23万元，主要用于执行公务、开展业务活动开支的用餐费。国内公务接待2批次，24人次，共计支出0.23万元，具体内容包括：考察学习康养文旅产业发展工作支出0.12万元，考察学习预算联网监督工作支出0.11万元。</w:t>
      </w:r>
    </w:p>
    <w:p>
      <w:pPr>
        <w:spacing w:line="600" w:lineRule="exact"/>
        <w:ind w:firstLine="640"/>
        <w:rPr>
          <w:rFonts w:eastAsia="方正仿宋_GBK"/>
          <w:sz w:val="32"/>
          <w:szCs w:val="32"/>
        </w:rPr>
      </w:pPr>
      <w:r>
        <w:rPr>
          <w:rFonts w:eastAsia="方正仿宋_GBK"/>
          <w:sz w:val="32"/>
          <w:szCs w:val="32"/>
        </w:rPr>
        <w:t>外事接待支出0万元，外事接待0批次，0人。</w:t>
      </w:r>
    </w:p>
    <w:p>
      <w:pPr>
        <w:spacing w:line="600" w:lineRule="exact"/>
        <w:ind w:firstLine="640"/>
        <w:rPr>
          <w:rFonts w:eastAsia="方正黑体_GBK"/>
          <w:sz w:val="32"/>
          <w:szCs w:val="32"/>
        </w:rPr>
      </w:pPr>
      <w:bookmarkStart w:id="40" w:name="_Toc15396610"/>
      <w:bookmarkStart w:id="41" w:name="_Toc15377218"/>
      <w:r>
        <w:rPr>
          <w:rFonts w:eastAsia="方正黑体_GBK"/>
          <w:sz w:val="32"/>
          <w:szCs w:val="32"/>
        </w:rPr>
        <w:t>八、政府性基金预算支出决算情况说明</w:t>
      </w:r>
      <w:bookmarkEnd w:id="40"/>
      <w:bookmarkEnd w:id="41"/>
    </w:p>
    <w:p>
      <w:pPr>
        <w:spacing w:line="600" w:lineRule="exact"/>
        <w:ind w:firstLine="640"/>
        <w:rPr>
          <w:rFonts w:eastAsia="方正仿宋_GBK"/>
          <w:sz w:val="32"/>
          <w:szCs w:val="32"/>
        </w:rPr>
      </w:pPr>
      <w:r>
        <w:rPr>
          <w:rFonts w:eastAsia="方正仿宋_GBK"/>
          <w:sz w:val="32"/>
          <w:szCs w:val="32"/>
        </w:rPr>
        <w:t>2021年政府性基金预算财政拨款支出67.57万元。</w:t>
      </w:r>
    </w:p>
    <w:p>
      <w:pPr>
        <w:spacing w:line="600" w:lineRule="exact"/>
        <w:ind w:firstLine="640"/>
        <w:rPr>
          <w:rFonts w:eastAsia="方正黑体_GBK"/>
          <w:sz w:val="32"/>
          <w:szCs w:val="32"/>
        </w:rPr>
      </w:pPr>
      <w:bookmarkStart w:id="42" w:name="_Toc15377219"/>
      <w:bookmarkStart w:id="43" w:name="_Toc15396611"/>
      <w:r>
        <w:rPr>
          <w:rFonts w:hint="eastAsia" w:eastAsia="方正黑体_GBK"/>
          <w:sz w:val="32"/>
          <w:szCs w:val="32"/>
        </w:rPr>
        <w:t>九、</w:t>
      </w:r>
      <w:r>
        <w:rPr>
          <w:rFonts w:eastAsia="方正黑体_GBK"/>
          <w:sz w:val="32"/>
          <w:szCs w:val="32"/>
        </w:rPr>
        <w:t>国有资本经营预算支出决算情况说明</w:t>
      </w:r>
      <w:bookmarkEnd w:id="42"/>
      <w:bookmarkEnd w:id="43"/>
    </w:p>
    <w:p>
      <w:pPr>
        <w:spacing w:line="600" w:lineRule="exact"/>
        <w:ind w:firstLine="640"/>
        <w:rPr>
          <w:rFonts w:eastAsia="方正仿宋_GBK"/>
          <w:sz w:val="32"/>
          <w:szCs w:val="32"/>
        </w:rPr>
      </w:pPr>
      <w:r>
        <w:rPr>
          <w:rFonts w:eastAsia="方正仿宋_GBK"/>
          <w:sz w:val="32"/>
          <w:szCs w:val="32"/>
        </w:rPr>
        <w:t>2021年国有资本经营预算财政拨款支出0万元。</w:t>
      </w:r>
    </w:p>
    <w:p>
      <w:pPr>
        <w:spacing w:line="600" w:lineRule="exact"/>
        <w:ind w:firstLine="640"/>
        <w:rPr>
          <w:rFonts w:eastAsia="方正黑体_GBK"/>
          <w:sz w:val="32"/>
          <w:szCs w:val="32"/>
        </w:rPr>
      </w:pPr>
      <w:bookmarkStart w:id="44" w:name="_Toc15377221"/>
      <w:bookmarkStart w:id="45" w:name="_Toc15396612"/>
      <w:r>
        <w:rPr>
          <w:rFonts w:hint="eastAsia" w:eastAsia="方正黑体_GBK"/>
          <w:sz w:val="32"/>
          <w:szCs w:val="32"/>
        </w:rPr>
        <w:t>十、</w:t>
      </w:r>
      <w:r>
        <w:rPr>
          <w:rFonts w:eastAsia="方正黑体_GBK"/>
          <w:sz w:val="32"/>
          <w:szCs w:val="32"/>
        </w:rPr>
        <w:t>其他重要事项的情况说明</w:t>
      </w:r>
      <w:bookmarkEnd w:id="44"/>
      <w:bookmarkEnd w:id="45"/>
    </w:p>
    <w:p>
      <w:pPr>
        <w:spacing w:line="600" w:lineRule="exact"/>
        <w:ind w:firstLine="640"/>
        <w:rPr>
          <w:rFonts w:eastAsia="方正仿宋_GBK"/>
          <w:b/>
          <w:sz w:val="32"/>
          <w:szCs w:val="32"/>
        </w:rPr>
      </w:pPr>
      <w:bookmarkStart w:id="46" w:name="_Toc15377222"/>
      <w:r>
        <w:rPr>
          <w:rFonts w:eastAsia="方正仿宋_GBK"/>
          <w:b/>
          <w:sz w:val="32"/>
          <w:szCs w:val="32"/>
        </w:rPr>
        <w:t>（一）机关运行经费支出情况</w:t>
      </w:r>
      <w:bookmarkEnd w:id="46"/>
    </w:p>
    <w:p>
      <w:pPr>
        <w:spacing w:line="600" w:lineRule="exact"/>
        <w:ind w:firstLine="640"/>
        <w:rPr>
          <w:rFonts w:eastAsia="方正仿宋_GBK"/>
          <w:sz w:val="32"/>
          <w:szCs w:val="32"/>
        </w:rPr>
      </w:pPr>
      <w:r>
        <w:rPr>
          <w:rFonts w:eastAsia="方正仿宋_GBK"/>
          <w:sz w:val="32"/>
          <w:szCs w:val="32"/>
        </w:rPr>
        <w:t>2021年，攀枝花市西区人民代表大会常务委员会办公室机关运行经费支出37.93万元，比2020年增加0.20万元，增长0.55%。主要原因是开展业务工作需要发生的差旅费略增。</w:t>
      </w:r>
    </w:p>
    <w:p>
      <w:pPr>
        <w:spacing w:line="600" w:lineRule="exact"/>
        <w:ind w:firstLine="640"/>
        <w:rPr>
          <w:rFonts w:eastAsia="方正仿宋_GBK"/>
          <w:b/>
          <w:sz w:val="32"/>
          <w:szCs w:val="32"/>
        </w:rPr>
      </w:pPr>
      <w:bookmarkStart w:id="47" w:name="_Toc15377223"/>
      <w:r>
        <w:rPr>
          <w:rFonts w:eastAsia="方正仿宋_GBK"/>
          <w:b/>
          <w:sz w:val="32"/>
          <w:szCs w:val="32"/>
        </w:rPr>
        <w:t>（二）政府采购支出情况</w:t>
      </w:r>
      <w:bookmarkEnd w:id="47"/>
    </w:p>
    <w:p>
      <w:pPr>
        <w:spacing w:line="600" w:lineRule="exact"/>
        <w:ind w:firstLine="640"/>
        <w:rPr>
          <w:rFonts w:eastAsia="方正仿宋_GBK"/>
          <w:sz w:val="32"/>
          <w:szCs w:val="32"/>
        </w:rPr>
      </w:pPr>
      <w:r>
        <w:rPr>
          <w:rFonts w:eastAsia="方正仿宋_GBK"/>
          <w:sz w:val="32"/>
          <w:szCs w:val="32"/>
        </w:rPr>
        <w:t>2021年，攀枝花市西区人民代表大会常务委员会办公室政府采购支出总额1.75万元，其中：政府采购货物支出1.75万元、政府采购工程支出0万元、政府采购服务支出0万元。主要用于办公设备更新、补充。授予中小企业合同金额1.75万元，占政府采购支出总额的100%，其中：授予小微企业合同金额1.75万元，占政府采购支出总额的100%。</w:t>
      </w:r>
    </w:p>
    <w:p>
      <w:pPr>
        <w:spacing w:line="600" w:lineRule="exact"/>
        <w:ind w:firstLine="640"/>
        <w:rPr>
          <w:rFonts w:eastAsia="方正仿宋_GBK"/>
          <w:b/>
          <w:sz w:val="32"/>
          <w:szCs w:val="32"/>
        </w:rPr>
      </w:pPr>
      <w:bookmarkStart w:id="48" w:name="_Toc15377224"/>
      <w:r>
        <w:rPr>
          <w:rFonts w:eastAsia="方正仿宋_GBK"/>
          <w:b/>
          <w:sz w:val="32"/>
          <w:szCs w:val="32"/>
        </w:rPr>
        <w:t>（三）国有资产占有使用情况</w:t>
      </w:r>
      <w:bookmarkEnd w:id="48"/>
    </w:p>
    <w:p>
      <w:pPr>
        <w:autoSpaceDE w:val="0"/>
        <w:autoSpaceDN w:val="0"/>
        <w:adjustRightInd w:val="0"/>
        <w:spacing w:line="600" w:lineRule="exact"/>
        <w:ind w:firstLine="640" w:firstLineChars="200"/>
        <w:jc w:val="left"/>
        <w:rPr>
          <w:rFonts w:eastAsia="方正仿宋_GBK"/>
          <w:sz w:val="32"/>
          <w:szCs w:val="32"/>
        </w:rPr>
      </w:pPr>
      <w:r>
        <w:rPr>
          <w:rFonts w:hint="eastAsia" w:eastAsia="方正仿宋_GBK"/>
          <w:sz w:val="32"/>
          <w:szCs w:val="32"/>
        </w:rPr>
        <w:t>截至</w:t>
      </w:r>
      <w:r>
        <w:rPr>
          <w:rFonts w:eastAsia="方正仿宋_GBK"/>
          <w:sz w:val="32"/>
          <w:szCs w:val="32"/>
        </w:rPr>
        <w:t>20</w:t>
      </w:r>
      <w:r>
        <w:rPr>
          <w:rFonts w:hint="eastAsia" w:eastAsia="方正仿宋_GBK"/>
          <w:sz w:val="32"/>
          <w:szCs w:val="32"/>
        </w:rPr>
        <w:t>21年</w:t>
      </w:r>
      <w:r>
        <w:rPr>
          <w:rFonts w:eastAsia="方正仿宋_GBK"/>
          <w:sz w:val="32"/>
          <w:szCs w:val="32"/>
        </w:rPr>
        <w:t>12</w:t>
      </w:r>
      <w:r>
        <w:rPr>
          <w:rFonts w:hint="eastAsia" w:eastAsia="方正仿宋_GBK"/>
          <w:sz w:val="32"/>
          <w:szCs w:val="32"/>
        </w:rPr>
        <w:t>月</w:t>
      </w:r>
      <w:r>
        <w:rPr>
          <w:rFonts w:eastAsia="方正仿宋_GBK"/>
          <w:sz w:val="32"/>
          <w:szCs w:val="32"/>
        </w:rPr>
        <w:t>31</w:t>
      </w:r>
      <w:r>
        <w:rPr>
          <w:rFonts w:hint="eastAsia" w:eastAsia="方正仿宋_GBK"/>
          <w:sz w:val="32"/>
          <w:szCs w:val="32"/>
        </w:rPr>
        <w:t>日，</w:t>
      </w:r>
      <w:r>
        <w:rPr>
          <w:rFonts w:eastAsia="方正仿宋_GBK"/>
          <w:sz w:val="32"/>
          <w:szCs w:val="32"/>
        </w:rPr>
        <w:t>攀枝花市西区人民代表大会常务委员会办公室</w:t>
      </w:r>
      <w:r>
        <w:rPr>
          <w:rFonts w:hint="eastAsia" w:eastAsia="方正仿宋_GBK"/>
          <w:sz w:val="32"/>
          <w:szCs w:val="32"/>
        </w:rPr>
        <w:t>共有车辆0辆，其中：主要领导干部用车0辆、机要通信用车0辆、应急保障用车0辆、其他用车0辆，单价</w:t>
      </w:r>
      <w:r>
        <w:rPr>
          <w:rFonts w:eastAsia="方正仿宋_GBK"/>
          <w:sz w:val="32"/>
          <w:szCs w:val="32"/>
        </w:rPr>
        <w:t>50</w:t>
      </w:r>
      <w:r>
        <w:rPr>
          <w:rFonts w:hint="eastAsia" w:eastAsia="方正仿宋_GBK"/>
          <w:sz w:val="32"/>
          <w:szCs w:val="32"/>
        </w:rPr>
        <w:t>万元以上通用设备0台（套），单价100万元以上专用设备0台（套）。</w:t>
      </w:r>
    </w:p>
    <w:p>
      <w:pPr>
        <w:spacing w:line="600" w:lineRule="exact"/>
        <w:ind w:firstLine="640"/>
        <w:rPr>
          <w:rFonts w:eastAsia="方正仿宋_GBK"/>
          <w:b/>
          <w:sz w:val="32"/>
          <w:szCs w:val="32"/>
        </w:rPr>
      </w:pPr>
      <w:r>
        <w:rPr>
          <w:rFonts w:eastAsia="方正仿宋_GBK"/>
          <w:b/>
          <w:sz w:val="32"/>
          <w:szCs w:val="32"/>
        </w:rPr>
        <w:t>（四）预算绩效管理情况</w:t>
      </w:r>
    </w:p>
    <w:p>
      <w:pPr>
        <w:spacing w:line="600" w:lineRule="exact"/>
        <w:ind w:firstLine="640"/>
        <w:rPr>
          <w:rFonts w:eastAsia="方正仿宋_GBK"/>
          <w:sz w:val="32"/>
          <w:szCs w:val="32"/>
        </w:rPr>
      </w:pPr>
      <w:r>
        <w:rPr>
          <w:rFonts w:eastAsia="方正仿宋_GBK"/>
          <w:sz w:val="32"/>
          <w:szCs w:val="32"/>
        </w:rPr>
        <w:t>根据预算绩效管理要求，本单位在2021年度预算编制阶段，组织对</w:t>
      </w:r>
      <w:r>
        <w:rPr>
          <w:rFonts w:hint="eastAsia" w:eastAsia="方正仿宋_GBK"/>
          <w:sz w:val="32"/>
          <w:szCs w:val="32"/>
        </w:rPr>
        <w:t>人大事务</w:t>
      </w:r>
      <w:r>
        <w:rPr>
          <w:rFonts w:eastAsia="方正仿宋_GBK"/>
          <w:sz w:val="32"/>
          <w:szCs w:val="32"/>
        </w:rPr>
        <w:t>项目（项目名称）等</w:t>
      </w:r>
      <w:r>
        <w:rPr>
          <w:rFonts w:hint="eastAsia" w:eastAsia="方正仿宋_GBK"/>
          <w:sz w:val="32"/>
          <w:szCs w:val="32"/>
        </w:rPr>
        <w:t>3</w:t>
      </w:r>
      <w:r>
        <w:rPr>
          <w:rFonts w:eastAsia="方正仿宋_GBK"/>
          <w:sz w:val="32"/>
          <w:szCs w:val="32"/>
        </w:rPr>
        <w:t>个项目开展了预算事前绩效评估，对</w:t>
      </w:r>
      <w:r>
        <w:rPr>
          <w:rFonts w:hint="eastAsia" w:eastAsia="方正仿宋_GBK"/>
          <w:sz w:val="32"/>
          <w:szCs w:val="32"/>
        </w:rPr>
        <w:t>3</w:t>
      </w:r>
      <w:r>
        <w:rPr>
          <w:rFonts w:eastAsia="方正仿宋_GBK"/>
          <w:sz w:val="32"/>
          <w:szCs w:val="32"/>
        </w:rPr>
        <w:t>个项目编制了绩效目标，预算执行过程中，选取</w:t>
      </w:r>
      <w:r>
        <w:rPr>
          <w:rFonts w:hint="eastAsia" w:eastAsia="方正仿宋_GBK"/>
          <w:sz w:val="32"/>
          <w:szCs w:val="32"/>
        </w:rPr>
        <w:t>3</w:t>
      </w:r>
      <w:r>
        <w:rPr>
          <w:rFonts w:eastAsia="方正仿宋_GBK"/>
          <w:sz w:val="32"/>
          <w:szCs w:val="32"/>
        </w:rPr>
        <w:t>个项目开展绩效监控，年终执行完毕后，对</w:t>
      </w:r>
      <w:r>
        <w:rPr>
          <w:rFonts w:hint="eastAsia" w:eastAsia="方正仿宋_GBK"/>
          <w:sz w:val="32"/>
          <w:szCs w:val="32"/>
        </w:rPr>
        <w:t>3</w:t>
      </w:r>
      <w:r>
        <w:rPr>
          <w:rFonts w:eastAsia="方正仿宋_GBK"/>
          <w:sz w:val="32"/>
          <w:szCs w:val="32"/>
        </w:rPr>
        <w:t>个项目开展了绩效自评，2021年特定目标类部门预算项目绩效目标自评表见附件（第四部分）。</w:t>
      </w:r>
    </w:p>
    <w:p>
      <w:pPr>
        <w:spacing w:line="600" w:lineRule="exact"/>
        <w:ind w:firstLine="640"/>
        <w:rPr>
          <w:rFonts w:eastAsia="方正仿宋_GBK"/>
          <w:sz w:val="32"/>
          <w:szCs w:val="32"/>
        </w:rPr>
      </w:pPr>
    </w:p>
    <w:p>
      <w:pPr>
        <w:spacing w:line="600" w:lineRule="exact"/>
        <w:ind w:firstLine="640"/>
        <w:rPr>
          <w:rFonts w:eastAsia="方正仿宋_GBK"/>
          <w:sz w:val="32"/>
          <w:szCs w:val="32"/>
        </w:rPr>
      </w:pPr>
      <w:r>
        <w:rPr>
          <w:rFonts w:eastAsia="方正仿宋_GBK"/>
          <w:sz w:val="32"/>
          <w:szCs w:val="32"/>
        </w:rPr>
        <w:br w:type="page"/>
      </w:r>
    </w:p>
    <w:p>
      <w:pPr>
        <w:numPr>
          <w:ilvl w:val="0"/>
          <w:numId w:val="2"/>
        </w:numPr>
        <w:spacing w:line="600" w:lineRule="exact"/>
        <w:ind w:firstLine="660" w:firstLineChars="150"/>
        <w:jc w:val="center"/>
        <w:outlineLvl w:val="0"/>
        <w:rPr>
          <w:rStyle w:val="26"/>
          <w:rFonts w:eastAsia="黑体"/>
          <w:b w:val="0"/>
        </w:rPr>
      </w:pPr>
      <w:bookmarkStart w:id="49" w:name="_Toc15396613"/>
      <w:bookmarkStart w:id="50" w:name="_Toc15377225"/>
      <w:r>
        <w:rPr>
          <w:rFonts w:eastAsia="黑体"/>
          <w:sz w:val="44"/>
          <w:szCs w:val="44"/>
        </w:rPr>
        <w:t>名</w:t>
      </w:r>
      <w:r>
        <w:rPr>
          <w:rStyle w:val="26"/>
          <w:rFonts w:eastAsia="黑体"/>
          <w:b w:val="0"/>
        </w:rPr>
        <w:t>词解释</w:t>
      </w:r>
      <w:bookmarkEnd w:id="49"/>
      <w:bookmarkEnd w:id="50"/>
    </w:p>
    <w:p>
      <w:pPr>
        <w:spacing w:line="600" w:lineRule="exact"/>
        <w:jc w:val="left"/>
        <w:rPr>
          <w:b/>
          <w:sz w:val="44"/>
          <w:szCs w:val="44"/>
        </w:rPr>
      </w:pPr>
    </w:p>
    <w:p>
      <w:pPr>
        <w:pStyle w:val="24"/>
        <w:spacing w:line="560" w:lineRule="exact"/>
        <w:ind w:firstLine="640" w:firstLineChars="200"/>
        <w:rPr>
          <w:rFonts w:ascii="方正仿宋_GBK" w:hAnsi="Times New Roman" w:eastAsia="方正仿宋_GBK" w:cs="Times New Roman"/>
          <w:sz w:val="32"/>
          <w:szCs w:val="32"/>
        </w:rPr>
      </w:pPr>
      <w:r>
        <w:rPr>
          <w:rFonts w:hint="eastAsia" w:ascii="方正仿宋_GBK" w:hAnsi="Times New Roman" w:eastAsia="方正仿宋_GBK" w:cs="Times New Roman"/>
          <w:sz w:val="32"/>
          <w:szCs w:val="32"/>
        </w:rPr>
        <w:t>1.财政拨款收入：指单位从同级财政部门取得的财政预算资金。</w:t>
      </w:r>
    </w:p>
    <w:p>
      <w:pPr>
        <w:pStyle w:val="24"/>
        <w:spacing w:line="560" w:lineRule="exact"/>
        <w:ind w:firstLine="640" w:firstLineChars="200"/>
        <w:rPr>
          <w:rFonts w:ascii="方正仿宋_GBK" w:hAnsi="Times New Roman" w:eastAsia="方正仿宋_GBK" w:cs="Times New Roman"/>
          <w:sz w:val="32"/>
          <w:szCs w:val="32"/>
        </w:rPr>
      </w:pPr>
      <w:r>
        <w:rPr>
          <w:rFonts w:hint="eastAsia" w:ascii="方正仿宋_GBK" w:hAnsi="Times New Roman" w:eastAsia="方正仿宋_GBK" w:cs="Times New Roman"/>
          <w:sz w:val="32"/>
          <w:szCs w:val="32"/>
        </w:rPr>
        <w:t>2.事业收入：指事业单位开展专业业务活动及辅助活动取得的收入。</w:t>
      </w:r>
    </w:p>
    <w:p>
      <w:pPr>
        <w:pStyle w:val="24"/>
        <w:spacing w:line="560" w:lineRule="exact"/>
        <w:ind w:firstLine="640" w:firstLineChars="200"/>
        <w:rPr>
          <w:rFonts w:ascii="方正仿宋_GBK" w:hAnsi="Times New Roman" w:eastAsia="方正仿宋_GBK" w:cs="Times New Roman"/>
          <w:sz w:val="32"/>
          <w:szCs w:val="32"/>
        </w:rPr>
      </w:pPr>
      <w:r>
        <w:rPr>
          <w:rFonts w:hint="eastAsia" w:ascii="方正仿宋_GBK" w:hAnsi="Times New Roman" w:eastAsia="方正仿宋_GBK" w:cs="Times New Roman"/>
          <w:sz w:val="32"/>
          <w:szCs w:val="32"/>
        </w:rPr>
        <w:t>3.其他收入：指单位取得的除上述收入以外的各项收入。主要是利息收入。</w:t>
      </w:r>
    </w:p>
    <w:p>
      <w:pPr>
        <w:pStyle w:val="24"/>
        <w:spacing w:line="560" w:lineRule="exact"/>
        <w:ind w:firstLine="640" w:firstLineChars="200"/>
        <w:rPr>
          <w:rFonts w:ascii="方正仿宋_GBK" w:hAnsi="Times New Roman" w:eastAsia="方正仿宋_GBK" w:cs="Times New Roman"/>
          <w:sz w:val="32"/>
          <w:szCs w:val="32"/>
        </w:rPr>
      </w:pPr>
      <w:r>
        <w:rPr>
          <w:rFonts w:hint="eastAsia" w:ascii="方正仿宋_GBK" w:hAnsi="Times New Roman" w:eastAsia="方正仿宋_GBK" w:cs="Times New Roman"/>
          <w:sz w:val="32"/>
          <w:szCs w:val="32"/>
        </w:rPr>
        <w:t>4.年初结转和结余：指以前年度尚未完成、结转到本年按有关规定继续使用的资金。</w:t>
      </w:r>
    </w:p>
    <w:p>
      <w:pPr>
        <w:pStyle w:val="24"/>
        <w:spacing w:line="560" w:lineRule="exact"/>
        <w:ind w:firstLine="640" w:firstLineChars="200"/>
        <w:rPr>
          <w:rFonts w:ascii="方正仿宋_GBK" w:hAnsi="Times New Roman" w:eastAsia="方正仿宋_GBK" w:cs="Times New Roman"/>
          <w:sz w:val="32"/>
          <w:szCs w:val="32"/>
        </w:rPr>
      </w:pPr>
      <w:r>
        <w:rPr>
          <w:rFonts w:hint="eastAsia" w:ascii="方正仿宋_GBK" w:hAnsi="Times New Roman" w:eastAsia="方正仿宋_GBK" w:cs="Times New Roman"/>
          <w:sz w:val="32"/>
          <w:szCs w:val="32"/>
        </w:rPr>
        <w:t>5.年末结转和结余：指单位按有关规定结转到下年或以后年度继续使用的资金。</w:t>
      </w:r>
    </w:p>
    <w:p>
      <w:pPr>
        <w:spacing w:line="600" w:lineRule="exact"/>
        <w:ind w:firstLine="640" w:firstLineChars="200"/>
        <w:rPr>
          <w:rFonts w:ascii="方正仿宋_GBK" w:eastAsia="方正仿宋_GBK"/>
          <w:color w:val="000000"/>
          <w:sz w:val="32"/>
          <w:szCs w:val="32"/>
        </w:rPr>
      </w:pPr>
      <w:r>
        <w:rPr>
          <w:rFonts w:hint="eastAsia" w:ascii="方正仿宋_GBK" w:eastAsia="方正仿宋_GBK"/>
          <w:color w:val="000000"/>
          <w:sz w:val="32"/>
          <w:szCs w:val="32"/>
        </w:rPr>
        <w:t>6</w:t>
      </w:r>
      <w:r>
        <w:rPr>
          <w:rFonts w:ascii="方正仿宋_GBK" w:eastAsia="方正仿宋_GBK"/>
          <w:color w:val="000000"/>
          <w:sz w:val="32"/>
          <w:szCs w:val="32"/>
        </w:rPr>
        <w:t>.</w:t>
      </w:r>
      <w:r>
        <w:rPr>
          <w:rFonts w:hint="eastAsia" w:ascii="方正仿宋_GBK" w:eastAsia="方正仿宋_GBK"/>
          <w:color w:val="000000"/>
          <w:sz w:val="32"/>
          <w:szCs w:val="32"/>
        </w:rPr>
        <w:t>一般公共服务支出（类）人大事务（款）行政运行（项）：反映行政单位（包括实行公务员管理的事业单位）的基本支出；一般行政管理事务（项）：反映行政单位（包括实行公务员管理的事业单位）未单独设置项级科目的其他项目支出；人大会议（项）：反映各级人大召开人民代表大会等专门会议的支出；人大立法（项）：反映各级人大立法方面的支出；人大监督（项）：反映各级人大开展监督工作的支出；人大代表履职能力提升（项）：反映各级人大为提高代表履职能力所发生的各项支出；代表工作（项）：反映人大代表开展各类视察等方面的支出；人大信访工作（项）：反映各级人大处理来信来访工作的支出；事业运行（项）：反映事业单位的基本支出，不包括行政单位（包括实行公务员管理的事业单位）后勤服务中心、医务室等附属事业单位。</w:t>
      </w:r>
    </w:p>
    <w:p>
      <w:pPr>
        <w:spacing w:line="600" w:lineRule="exact"/>
        <w:ind w:firstLine="640" w:firstLineChars="200"/>
        <w:rPr>
          <w:rFonts w:ascii="方正仿宋_GBK" w:eastAsia="方正仿宋_GBK"/>
          <w:color w:val="000000"/>
          <w:sz w:val="32"/>
          <w:szCs w:val="32"/>
        </w:rPr>
      </w:pPr>
      <w:r>
        <w:rPr>
          <w:rFonts w:hint="eastAsia" w:ascii="方正仿宋_GBK" w:eastAsia="方正仿宋_GBK"/>
          <w:color w:val="000000"/>
          <w:sz w:val="32"/>
          <w:szCs w:val="32"/>
        </w:rPr>
        <w:t>7.社会保障和就业支出（类）行政事业单位养老支出（款）行政单位离退休（项）：反映行政单位（包括实行公务员管理的事业单位）开支的离退休经费；机关事业单位基本养老保险缴费支出（项）：反映机关事业单位实施养老保险制度由单位缴纳的基本养老保险费支出；机关事业单位职业年金缴费支出（项）：反映机关事业单位实施养老保险制度由单位实际缴纳的职业年金支出。抚恤（款）死亡抚恤（项）：反映。</w:t>
      </w:r>
    </w:p>
    <w:p>
      <w:pPr>
        <w:ind w:firstLine="640" w:firstLineChars="200"/>
        <w:rPr>
          <w:rFonts w:ascii="方正仿宋_GBK" w:eastAsia="方正仿宋_GBK"/>
          <w:color w:val="000000"/>
          <w:sz w:val="32"/>
          <w:szCs w:val="32"/>
        </w:rPr>
      </w:pPr>
      <w:r>
        <w:rPr>
          <w:rFonts w:hint="eastAsia" w:ascii="方正仿宋_GBK" w:eastAsia="方正仿宋_GBK"/>
          <w:color w:val="000000"/>
          <w:sz w:val="32"/>
          <w:szCs w:val="32"/>
        </w:rPr>
        <w:t>8</w:t>
      </w:r>
      <w:r>
        <w:rPr>
          <w:rFonts w:ascii="方正仿宋_GBK" w:eastAsia="方正仿宋_GBK"/>
          <w:color w:val="000000"/>
          <w:sz w:val="32"/>
          <w:szCs w:val="32"/>
        </w:rPr>
        <w:t>.</w:t>
      </w:r>
      <w:r>
        <w:rPr>
          <w:rFonts w:hint="eastAsia" w:ascii="方正仿宋_GBK" w:eastAsia="方正仿宋_GBK"/>
          <w:color w:val="000000"/>
          <w:sz w:val="32"/>
          <w:szCs w:val="32"/>
        </w:rPr>
        <w:t>卫生健康支出（类）行政事业单位医疗（款）行政单位医疗（项）：反映财政部门集中安排的行政单位基本医疗保险缴费经费，未参加医疗保险的行政单位的公费医疗保险经费，按国家规定享受离休人员和红军老战士待遇人员的医疗经费；事业单位医疗（项）：反映财政部门集中安排的事业单位基本医疗保险缴费经费，未参加医疗保险的事业单位公费医疗经费，按国家规定享受离休人员待遇人员的医疗经费；公务员医疗补助（项）：反映财政部门集中安排的公务员医疗补助经费。</w:t>
      </w:r>
    </w:p>
    <w:p>
      <w:pPr>
        <w:ind w:firstLine="640" w:firstLineChars="200"/>
        <w:rPr>
          <w:rFonts w:ascii="方正仿宋_GBK" w:eastAsia="方正仿宋_GBK"/>
          <w:color w:val="000000"/>
          <w:sz w:val="32"/>
          <w:szCs w:val="32"/>
        </w:rPr>
      </w:pPr>
      <w:r>
        <w:rPr>
          <w:rFonts w:hint="eastAsia" w:ascii="方正仿宋_GBK" w:eastAsia="方正仿宋_GBK"/>
          <w:color w:val="000000"/>
          <w:sz w:val="32"/>
          <w:szCs w:val="32"/>
        </w:rPr>
        <w:t>9.城乡社区支出（类）国有土地使用权出让收入及对应专项债务收入安排的支出（款）土地开发支出（项）：反映新疆生产建设兵团和地方政府用于前期土地开发性支出以及与前期土地开发相关的费用等支出。</w:t>
      </w:r>
      <w:r>
        <w:rPr>
          <w:rFonts w:hint="eastAsia" w:ascii="方正仿宋_GBK" w:eastAsia="方正仿宋_GBK"/>
          <w:color w:val="000000"/>
          <w:sz w:val="32"/>
          <w:szCs w:val="32"/>
        </w:rPr>
        <w:tab/>
      </w:r>
    </w:p>
    <w:p>
      <w:pPr>
        <w:ind w:firstLine="640" w:firstLineChars="200"/>
        <w:rPr>
          <w:rFonts w:ascii="方正仿宋_GBK" w:eastAsia="方正仿宋_GBK"/>
          <w:color w:val="000000"/>
          <w:sz w:val="32"/>
          <w:szCs w:val="32"/>
        </w:rPr>
      </w:pPr>
      <w:r>
        <w:rPr>
          <w:rFonts w:hint="eastAsia" w:ascii="方正仿宋_GBK" w:eastAsia="方正仿宋_GBK"/>
          <w:color w:val="000000"/>
          <w:sz w:val="32"/>
          <w:szCs w:val="32"/>
        </w:rPr>
        <w:t>10.住房保障支出（类）住房改革支出（款）住房公积金（项）：指行政事业单位按人力资源和社会保障部、财政部规定的基本工资和津贴补贴以及规定比例为职工缴纳的住房公积金。</w:t>
      </w:r>
    </w:p>
    <w:p>
      <w:pPr>
        <w:ind w:firstLine="640" w:firstLineChars="200"/>
        <w:rPr>
          <w:rFonts w:ascii="方正仿宋_GBK" w:eastAsia="方正仿宋_GBK"/>
          <w:color w:val="000000"/>
          <w:sz w:val="32"/>
          <w:szCs w:val="32"/>
        </w:rPr>
      </w:pPr>
      <w:r>
        <w:rPr>
          <w:rFonts w:hint="eastAsia" w:ascii="方正仿宋_GBK" w:eastAsia="方正仿宋_GBK"/>
          <w:color w:val="000000"/>
          <w:sz w:val="32"/>
          <w:szCs w:val="32"/>
        </w:rPr>
        <w:t>11.基本支出：指为保障机构正常运转、完成日常工作任务而发生的人员支出和公用支出。</w:t>
      </w:r>
    </w:p>
    <w:p>
      <w:pPr>
        <w:ind w:firstLine="640" w:firstLineChars="200"/>
        <w:rPr>
          <w:rFonts w:ascii="方正仿宋_GBK" w:eastAsia="方正仿宋_GBK"/>
          <w:color w:val="000000"/>
          <w:sz w:val="32"/>
          <w:szCs w:val="32"/>
        </w:rPr>
      </w:pPr>
      <w:r>
        <w:rPr>
          <w:rFonts w:hint="eastAsia" w:ascii="方正仿宋_GBK" w:eastAsia="方正仿宋_GBK"/>
          <w:color w:val="000000"/>
          <w:sz w:val="32"/>
          <w:szCs w:val="32"/>
        </w:rPr>
        <w:t>12.项目支出：指在基本支出之外为完成特定行政任务和事业发展目标所发生的支出。</w:t>
      </w:r>
    </w:p>
    <w:p>
      <w:pPr>
        <w:pStyle w:val="24"/>
        <w:spacing w:line="560" w:lineRule="exact"/>
        <w:ind w:firstLine="640" w:firstLineChars="200"/>
        <w:rPr>
          <w:rFonts w:ascii="方正仿宋_GBK" w:hAnsi="Times New Roman" w:eastAsia="方正仿宋_GBK" w:cs="Times New Roman"/>
          <w:sz w:val="32"/>
          <w:szCs w:val="32"/>
        </w:rPr>
      </w:pPr>
      <w:r>
        <w:rPr>
          <w:rFonts w:hint="eastAsia" w:ascii="方正仿宋_GBK" w:hAnsi="Times New Roman" w:eastAsia="方正仿宋_GBK" w:cs="Times New Roman"/>
          <w:sz w:val="32"/>
          <w:szCs w:val="32"/>
        </w:rPr>
        <w:t>13.“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4"/>
        <w:spacing w:line="560" w:lineRule="exact"/>
        <w:ind w:firstLine="640" w:firstLineChars="200"/>
        <w:rPr>
          <w:rFonts w:ascii="方正仿宋_GBK" w:hAnsi="Times New Roman" w:eastAsia="方正仿宋_GBK" w:cs="Times New Roman"/>
          <w:sz w:val="32"/>
          <w:szCs w:val="32"/>
        </w:rPr>
      </w:pPr>
      <w:r>
        <w:rPr>
          <w:rFonts w:hint="eastAsia" w:ascii="方正仿宋_GBK" w:hAnsi="Times New Roman" w:eastAsia="方正仿宋_GBK" w:cs="Times New Roman"/>
          <w:sz w:val="32"/>
          <w:szCs w:val="32"/>
        </w:rPr>
        <w:t>14.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6"/>
          <w:rFonts w:eastAsia="黑体"/>
          <w:b w:val="0"/>
        </w:rPr>
      </w:pPr>
      <w:bookmarkStart w:id="51" w:name="_Toc15396614"/>
      <w:r>
        <w:rPr>
          <w:rFonts w:eastAsia="黑体"/>
          <w:sz w:val="44"/>
          <w:szCs w:val="44"/>
        </w:rPr>
        <w:t>第</w:t>
      </w:r>
      <w:r>
        <w:rPr>
          <w:rStyle w:val="26"/>
          <w:rFonts w:eastAsia="黑体"/>
          <w:b w:val="0"/>
        </w:rPr>
        <w:t>四部分 附件</w:t>
      </w:r>
      <w:bookmarkEnd w:id="51"/>
    </w:p>
    <w:p>
      <w:pPr>
        <w:spacing w:line="572" w:lineRule="exact"/>
        <w:jc w:val="left"/>
        <w:outlineLvl w:val="0"/>
        <w:rPr>
          <w:rFonts w:eastAsia="黑体"/>
          <w:sz w:val="32"/>
          <w:szCs w:val="32"/>
        </w:rPr>
      </w:pPr>
      <w:r>
        <w:rPr>
          <w:rFonts w:eastAsia="黑体"/>
          <w:sz w:val="32"/>
          <w:szCs w:val="32"/>
        </w:rPr>
        <w:t>附件</w:t>
      </w:r>
    </w:p>
    <w:p>
      <w:pPr>
        <w:spacing w:line="600" w:lineRule="exact"/>
        <w:jc w:val="center"/>
        <w:rPr>
          <w:rFonts w:ascii="方正小标宋简体" w:hAnsi="宋体" w:eastAsia="方正小标宋简体"/>
          <w:kern w:val="0"/>
          <w:sz w:val="40"/>
          <w:szCs w:val="44"/>
          <w:lang w:val="zh-CN"/>
        </w:rPr>
      </w:pPr>
      <w:r>
        <w:rPr>
          <w:rFonts w:hint="eastAsia" w:ascii="方正小标宋简体" w:hAnsi="宋体" w:eastAsia="方正小标宋简体"/>
          <w:kern w:val="0"/>
          <w:sz w:val="40"/>
          <w:szCs w:val="44"/>
        </w:rPr>
        <w:t>2021年攀枝花市西区人大整体绩效评价报告</w:t>
      </w:r>
    </w:p>
    <w:p>
      <w:pPr>
        <w:widowControl/>
        <w:spacing w:line="600" w:lineRule="exact"/>
        <w:ind w:firstLine="640" w:firstLineChars="200"/>
        <w:contextualSpacing/>
        <w:jc w:val="center"/>
        <w:rPr>
          <w:rFonts w:ascii="仿宋_GB2312" w:hAnsi="宋体" w:eastAsia="仿宋_GB2312"/>
          <w:sz w:val="32"/>
          <w:szCs w:val="32"/>
          <w:shd w:val="clear" w:color="auto" w:fill="FFFFFF"/>
        </w:rPr>
      </w:pPr>
      <w:r>
        <w:rPr>
          <w:rFonts w:hint="eastAsia" w:ascii="仿宋_GB2312" w:hAnsi="宋体" w:eastAsia="仿宋_GB2312"/>
          <w:sz w:val="32"/>
          <w:szCs w:val="32"/>
          <w:shd w:val="clear" w:color="auto" w:fill="FFFFFF"/>
        </w:rPr>
        <w:t>（报告范围包括机关和下属单位）</w:t>
      </w:r>
    </w:p>
    <w:p>
      <w:pPr>
        <w:widowControl/>
        <w:adjustRightInd w:val="0"/>
        <w:snapToGrid w:val="0"/>
        <w:spacing w:line="600" w:lineRule="exact"/>
        <w:ind w:firstLine="480" w:firstLineChars="200"/>
        <w:contextualSpacing/>
        <w:jc w:val="left"/>
        <w:rPr>
          <w:rFonts w:ascii="黑体" w:hAnsi="宋体" w:eastAsia="黑体" w:cs="宋体"/>
          <w:kern w:val="0"/>
          <w:sz w:val="24"/>
          <w:szCs w:val="32"/>
          <w:shd w:val="clear" w:color="auto" w:fill="FFFFFF"/>
        </w:rPr>
      </w:pPr>
    </w:p>
    <w:p>
      <w:pPr>
        <w:widowControl/>
        <w:adjustRightInd w:val="0"/>
        <w:snapToGrid w:val="0"/>
        <w:spacing w:line="600" w:lineRule="exact"/>
        <w:ind w:firstLine="640" w:firstLineChars="200"/>
        <w:contextualSpacing/>
        <w:jc w:val="left"/>
        <w:rPr>
          <w:rFonts w:ascii="黑体" w:hAnsi="宋体" w:eastAsia="黑体" w:cs="宋体"/>
          <w:kern w:val="0"/>
          <w:sz w:val="32"/>
          <w:szCs w:val="32"/>
          <w:shd w:val="clear" w:color="auto" w:fill="FFFFFF"/>
          <w:lang w:val="zh-CN"/>
        </w:rPr>
      </w:pPr>
      <w:r>
        <w:rPr>
          <w:rFonts w:hint="eastAsia" w:ascii="黑体" w:hAnsi="宋体" w:eastAsia="黑体" w:cs="宋体"/>
          <w:kern w:val="0"/>
          <w:sz w:val="32"/>
          <w:szCs w:val="32"/>
          <w:shd w:val="clear" w:color="auto" w:fill="FFFFFF"/>
        </w:rPr>
        <w:t>一、</w:t>
      </w:r>
      <w:r>
        <w:rPr>
          <w:rFonts w:hint="eastAsia" w:ascii="黑体" w:hAnsi="宋体" w:eastAsia="黑体" w:cs="宋体"/>
          <w:kern w:val="0"/>
          <w:sz w:val="32"/>
          <w:szCs w:val="32"/>
          <w:shd w:val="clear" w:color="auto" w:fill="FFFFFF"/>
          <w:lang w:val="zh-CN"/>
        </w:rPr>
        <w:t>部门（单位）概况</w:t>
      </w:r>
    </w:p>
    <w:p>
      <w:pPr>
        <w:widowControl/>
        <w:adjustRightInd w:val="0"/>
        <w:snapToGrid w:val="0"/>
        <w:spacing w:line="600" w:lineRule="exact"/>
        <w:ind w:firstLine="642" w:firstLineChars="200"/>
        <w:contextualSpacing/>
        <w:jc w:val="left"/>
        <w:rPr>
          <w:rFonts w:ascii="方正楷体_GBK" w:hAnsi="宋体" w:eastAsia="方正楷体_GBK" w:cs="宋体"/>
          <w:b/>
          <w:color w:val="000000"/>
          <w:kern w:val="0"/>
          <w:sz w:val="32"/>
          <w:szCs w:val="32"/>
          <w:shd w:val="clear" w:color="auto" w:fill="FFFFFF"/>
          <w:lang w:val="zh-CN"/>
        </w:rPr>
      </w:pPr>
      <w:r>
        <w:rPr>
          <w:rFonts w:hint="eastAsia" w:ascii="方正楷体_GBK" w:hAnsi="宋体" w:eastAsia="方正楷体_GBK" w:cs="宋体"/>
          <w:b/>
          <w:color w:val="000000"/>
          <w:kern w:val="0"/>
          <w:sz w:val="32"/>
          <w:szCs w:val="32"/>
          <w:shd w:val="clear" w:color="auto" w:fill="FFFFFF"/>
          <w:lang w:val="zh-CN"/>
        </w:rPr>
        <w:t>（一）机构组成</w:t>
      </w:r>
    </w:p>
    <w:p>
      <w:pPr>
        <w:widowControl/>
        <w:adjustRightInd w:val="0"/>
        <w:snapToGrid w:val="0"/>
        <w:spacing w:line="600" w:lineRule="exact"/>
        <w:ind w:firstLine="640" w:firstLineChars="200"/>
        <w:contextualSpacing/>
        <w:jc w:val="left"/>
        <w:rPr>
          <w:rFonts w:ascii="方正仿宋_GBK" w:hAnsi="宋体" w:eastAsia="方正仿宋_GBK" w:cs="宋体"/>
          <w:color w:val="000000"/>
          <w:kern w:val="0"/>
          <w:sz w:val="32"/>
          <w:szCs w:val="32"/>
          <w:shd w:val="clear" w:color="auto" w:fill="FFFFFF"/>
          <w:lang w:val="zh-CN"/>
        </w:rPr>
      </w:pPr>
      <w:r>
        <w:rPr>
          <w:rFonts w:hint="eastAsia" w:ascii="方正仿宋_GBK" w:hAnsi="仿宋" w:eastAsia="方正仿宋_GBK" w:cs="仿宋_GB2312"/>
          <w:color w:val="000000"/>
          <w:sz w:val="32"/>
          <w:szCs w:val="32"/>
        </w:rPr>
        <w:t>攀枝花市西区人大常委会工作机构为“二室五委”，即办公室、政策研究室、法制工作委员会、财政经济工作委员会、教育科学文化卫生工作委员会、人事代表工作委员会、农业林业环境保护工作委员会。</w:t>
      </w:r>
    </w:p>
    <w:p>
      <w:pPr>
        <w:widowControl/>
        <w:numPr>
          <w:ilvl w:val="0"/>
          <w:numId w:val="3"/>
        </w:numPr>
        <w:adjustRightInd w:val="0"/>
        <w:snapToGrid w:val="0"/>
        <w:spacing w:line="600" w:lineRule="exact"/>
        <w:ind w:firstLine="642" w:firstLineChars="200"/>
        <w:contextualSpacing/>
        <w:jc w:val="left"/>
        <w:rPr>
          <w:rFonts w:ascii="方正楷体_GBK" w:hAnsi="宋体" w:eastAsia="方正楷体_GBK" w:cs="宋体"/>
          <w:b/>
          <w:color w:val="000000"/>
          <w:kern w:val="0"/>
          <w:sz w:val="32"/>
          <w:szCs w:val="32"/>
          <w:shd w:val="clear" w:color="auto" w:fill="FFFFFF"/>
          <w:lang w:val="zh-CN"/>
        </w:rPr>
      </w:pPr>
      <w:r>
        <w:rPr>
          <w:rFonts w:hint="eastAsia" w:ascii="方正楷体_GBK" w:hAnsi="宋体" w:eastAsia="方正楷体_GBK" w:cs="宋体"/>
          <w:b/>
          <w:color w:val="000000"/>
          <w:kern w:val="0"/>
          <w:sz w:val="32"/>
          <w:szCs w:val="32"/>
          <w:shd w:val="clear" w:color="auto" w:fill="FFFFFF"/>
          <w:lang w:val="zh-CN"/>
        </w:rPr>
        <w:t>机构职能</w:t>
      </w:r>
    </w:p>
    <w:p>
      <w:pPr>
        <w:spacing w:line="600" w:lineRule="exact"/>
        <w:ind w:firstLine="640" w:firstLineChars="200"/>
        <w:rPr>
          <w:rFonts w:ascii="方正仿宋_GBK" w:hAnsi="仿宋" w:eastAsia="方正仿宋_GBK"/>
          <w:color w:val="000000"/>
          <w:sz w:val="32"/>
          <w:szCs w:val="32"/>
        </w:rPr>
      </w:pPr>
      <w:r>
        <w:rPr>
          <w:rFonts w:hint="eastAsia" w:ascii="方正仿宋_GBK" w:hAnsi="仿宋" w:eastAsia="方正仿宋_GBK"/>
          <w:color w:val="000000"/>
          <w:sz w:val="32"/>
          <w:szCs w:val="32"/>
        </w:rPr>
        <w:t>1.在本行政区域内，保证宪法、法律、行政法规和上级人民代表大会及其常务委员会决议的遵守和执行，保证国家计划和国家预算的执行；</w:t>
      </w:r>
    </w:p>
    <w:p>
      <w:pPr>
        <w:spacing w:line="600" w:lineRule="exact"/>
        <w:ind w:firstLine="640" w:firstLineChars="200"/>
        <w:rPr>
          <w:rFonts w:ascii="方正仿宋_GBK" w:hAnsi="仿宋" w:eastAsia="方正仿宋_GBK"/>
          <w:color w:val="000000"/>
          <w:sz w:val="32"/>
          <w:szCs w:val="32"/>
        </w:rPr>
      </w:pPr>
      <w:r>
        <w:rPr>
          <w:rFonts w:hint="eastAsia" w:ascii="方正仿宋_GBK" w:hAnsi="仿宋" w:eastAsia="方正仿宋_GBK"/>
          <w:color w:val="000000"/>
          <w:sz w:val="32"/>
          <w:szCs w:val="32"/>
        </w:rPr>
        <w:t>2.审查和批准本行政区域内的</w:t>
      </w:r>
      <w:r>
        <w:fldChar w:fldCharType="begin"/>
      </w:r>
      <w:r>
        <w:instrText xml:space="preserve"> HYPERLINK "http://baike.baidu.com/view/863067.htm" \t "_blank" </w:instrText>
      </w:r>
      <w:r>
        <w:fldChar w:fldCharType="separate"/>
      </w:r>
      <w:r>
        <w:rPr>
          <w:rFonts w:hint="eastAsia" w:ascii="方正仿宋_GBK" w:hAnsi="仿宋" w:eastAsia="方正仿宋_GBK"/>
          <w:color w:val="000000"/>
          <w:sz w:val="32"/>
          <w:szCs w:val="32"/>
        </w:rPr>
        <w:t>国民经济和社会发展计划</w:t>
      </w:r>
      <w:r>
        <w:rPr>
          <w:rFonts w:hint="eastAsia" w:ascii="方正仿宋_GBK" w:hAnsi="仿宋" w:eastAsia="方正仿宋_GBK"/>
          <w:color w:val="000000"/>
          <w:sz w:val="32"/>
          <w:szCs w:val="32"/>
        </w:rPr>
        <w:fldChar w:fldCharType="end"/>
      </w:r>
      <w:r>
        <w:rPr>
          <w:rFonts w:hint="eastAsia" w:ascii="方正仿宋_GBK" w:hAnsi="仿宋" w:eastAsia="方正仿宋_GBK"/>
          <w:color w:val="000000"/>
          <w:sz w:val="32"/>
          <w:szCs w:val="32"/>
        </w:rPr>
        <w:t>、预算以及它们执行情况的报告；</w:t>
      </w:r>
    </w:p>
    <w:p>
      <w:pPr>
        <w:spacing w:line="600" w:lineRule="exact"/>
        <w:ind w:firstLine="640" w:firstLineChars="200"/>
        <w:rPr>
          <w:rFonts w:ascii="方正仿宋_GBK" w:hAnsi="仿宋" w:eastAsia="方正仿宋_GBK"/>
          <w:color w:val="000000"/>
          <w:sz w:val="32"/>
          <w:szCs w:val="32"/>
        </w:rPr>
      </w:pPr>
      <w:r>
        <w:rPr>
          <w:rFonts w:hint="eastAsia" w:ascii="方正仿宋_GBK" w:hAnsi="仿宋" w:eastAsia="方正仿宋_GBK"/>
          <w:color w:val="000000"/>
          <w:sz w:val="32"/>
          <w:szCs w:val="32"/>
        </w:rPr>
        <w:t>3.讨论、决定本行政区域内的政治、经济、教育、科学、文化、卫生、环境和资源保护、民政、民族等工作的重大事项；</w:t>
      </w:r>
    </w:p>
    <w:p>
      <w:pPr>
        <w:spacing w:line="600" w:lineRule="exact"/>
        <w:ind w:firstLine="640" w:firstLineChars="200"/>
        <w:rPr>
          <w:rFonts w:ascii="方正仿宋_GBK" w:hAnsi="仿宋" w:eastAsia="方正仿宋_GBK"/>
          <w:color w:val="000000"/>
          <w:sz w:val="32"/>
          <w:szCs w:val="32"/>
        </w:rPr>
      </w:pPr>
      <w:r>
        <w:rPr>
          <w:rFonts w:hint="eastAsia" w:ascii="方正仿宋_GBK" w:hAnsi="仿宋" w:eastAsia="方正仿宋_GBK"/>
          <w:color w:val="000000"/>
          <w:sz w:val="32"/>
          <w:szCs w:val="32"/>
        </w:rPr>
        <w:t>4.选举本级人民代表大会常务委员会的组成人员；</w:t>
      </w:r>
    </w:p>
    <w:p>
      <w:pPr>
        <w:spacing w:line="600" w:lineRule="exact"/>
        <w:ind w:firstLine="640" w:firstLineChars="200"/>
        <w:rPr>
          <w:rFonts w:ascii="方正仿宋_GBK" w:hAnsi="仿宋" w:eastAsia="方正仿宋_GBK"/>
          <w:color w:val="000000"/>
          <w:sz w:val="32"/>
          <w:szCs w:val="32"/>
        </w:rPr>
      </w:pPr>
      <w:r>
        <w:rPr>
          <w:rFonts w:hint="eastAsia" w:ascii="方正仿宋_GBK" w:hAnsi="仿宋" w:eastAsia="方正仿宋_GBK"/>
          <w:color w:val="000000"/>
          <w:sz w:val="32"/>
          <w:szCs w:val="32"/>
        </w:rPr>
        <w:t>5.选举区长、副区长；</w:t>
      </w:r>
    </w:p>
    <w:p>
      <w:pPr>
        <w:spacing w:line="600" w:lineRule="exact"/>
        <w:ind w:firstLine="640" w:firstLineChars="200"/>
        <w:rPr>
          <w:rFonts w:ascii="方正仿宋_GBK" w:hAnsi="仿宋" w:eastAsia="方正仿宋_GBK"/>
          <w:color w:val="000000"/>
          <w:sz w:val="32"/>
          <w:szCs w:val="32"/>
        </w:rPr>
      </w:pPr>
      <w:r>
        <w:rPr>
          <w:rFonts w:hint="eastAsia" w:ascii="方正仿宋_GBK" w:hAnsi="仿宋" w:eastAsia="方正仿宋_GBK"/>
          <w:color w:val="000000"/>
          <w:sz w:val="32"/>
          <w:szCs w:val="32"/>
        </w:rPr>
        <w:t>6.选举本级人民法院院长和人民检察院检察长；选出的人民检察院检察长，须报经上一级人民检察院检察长提请该级人民代表大会常务委员会批准；</w:t>
      </w:r>
    </w:p>
    <w:p>
      <w:pPr>
        <w:spacing w:line="600" w:lineRule="exact"/>
        <w:ind w:firstLine="640" w:firstLineChars="200"/>
        <w:rPr>
          <w:rFonts w:ascii="方正仿宋_GBK" w:hAnsi="仿宋" w:eastAsia="方正仿宋_GBK"/>
          <w:color w:val="000000"/>
          <w:sz w:val="32"/>
          <w:szCs w:val="32"/>
        </w:rPr>
      </w:pPr>
      <w:r>
        <w:rPr>
          <w:rFonts w:hint="eastAsia" w:ascii="方正仿宋_GBK" w:hAnsi="仿宋" w:eastAsia="方正仿宋_GBK"/>
          <w:color w:val="000000"/>
          <w:sz w:val="32"/>
          <w:szCs w:val="32"/>
        </w:rPr>
        <w:t>7.选举上一级人民代表大会代表；</w:t>
      </w:r>
    </w:p>
    <w:p>
      <w:pPr>
        <w:spacing w:line="600" w:lineRule="exact"/>
        <w:ind w:firstLine="640" w:firstLineChars="200"/>
        <w:rPr>
          <w:rFonts w:ascii="方正仿宋_GBK" w:hAnsi="仿宋" w:eastAsia="方正仿宋_GBK"/>
          <w:color w:val="000000"/>
          <w:sz w:val="32"/>
          <w:szCs w:val="32"/>
        </w:rPr>
      </w:pPr>
      <w:r>
        <w:rPr>
          <w:rFonts w:hint="eastAsia" w:ascii="方正仿宋_GBK" w:hAnsi="仿宋" w:eastAsia="方正仿宋_GBK"/>
          <w:color w:val="000000"/>
          <w:sz w:val="32"/>
          <w:szCs w:val="32"/>
        </w:rPr>
        <w:t>8.听取和审查本级人民代表大会常务委员会的工作报告；</w:t>
      </w:r>
    </w:p>
    <w:p>
      <w:pPr>
        <w:spacing w:line="600" w:lineRule="exact"/>
        <w:ind w:firstLine="640" w:firstLineChars="200"/>
        <w:rPr>
          <w:rFonts w:ascii="方正仿宋_GBK" w:hAnsi="仿宋" w:eastAsia="方正仿宋_GBK"/>
          <w:color w:val="000000"/>
          <w:sz w:val="32"/>
          <w:szCs w:val="32"/>
        </w:rPr>
      </w:pPr>
      <w:r>
        <w:rPr>
          <w:rFonts w:hint="eastAsia" w:ascii="方正仿宋_GBK" w:hAnsi="仿宋" w:eastAsia="方正仿宋_GBK"/>
          <w:color w:val="000000"/>
          <w:sz w:val="32"/>
          <w:szCs w:val="32"/>
        </w:rPr>
        <w:t>9.听取和审查本级人民政府和人民法院、人民检察院的工作报告。</w:t>
      </w:r>
    </w:p>
    <w:p>
      <w:pPr>
        <w:widowControl/>
        <w:adjustRightInd w:val="0"/>
        <w:snapToGrid w:val="0"/>
        <w:spacing w:line="600" w:lineRule="exact"/>
        <w:ind w:firstLine="642" w:firstLineChars="200"/>
        <w:contextualSpacing/>
        <w:jc w:val="left"/>
        <w:rPr>
          <w:rFonts w:ascii="方正楷体_GBK" w:hAnsi="宋体" w:eastAsia="方正楷体_GBK" w:cs="宋体"/>
          <w:b/>
          <w:color w:val="000000"/>
          <w:kern w:val="0"/>
          <w:sz w:val="32"/>
          <w:szCs w:val="32"/>
          <w:shd w:val="clear" w:color="auto" w:fill="FFFFFF"/>
          <w:lang w:val="zh-CN"/>
        </w:rPr>
      </w:pPr>
      <w:r>
        <w:rPr>
          <w:rFonts w:hint="eastAsia" w:ascii="方正楷体_GBK" w:hAnsi="宋体" w:eastAsia="方正楷体_GBK" w:cs="宋体"/>
          <w:b/>
          <w:color w:val="000000"/>
          <w:kern w:val="0"/>
          <w:sz w:val="32"/>
          <w:szCs w:val="32"/>
          <w:shd w:val="clear" w:color="auto" w:fill="FFFFFF"/>
          <w:lang w:val="zh-CN"/>
        </w:rPr>
        <w:t>（三）人员概况</w:t>
      </w:r>
    </w:p>
    <w:p>
      <w:pPr>
        <w:spacing w:line="600" w:lineRule="exact"/>
        <w:ind w:firstLine="660"/>
        <w:rPr>
          <w:rFonts w:ascii="方正仿宋_GBK" w:hAnsi="仿宋" w:eastAsia="方正仿宋_GBK"/>
          <w:color w:val="000000"/>
          <w:sz w:val="32"/>
          <w:szCs w:val="32"/>
        </w:rPr>
      </w:pPr>
      <w:r>
        <w:rPr>
          <w:rFonts w:ascii="方正仿宋_GBK" w:hAnsi="仿宋" w:eastAsia="方正仿宋_GBK"/>
          <w:color w:val="000000"/>
          <w:sz w:val="32"/>
          <w:szCs w:val="32"/>
        </w:rPr>
        <w:t>区人大行政编制15人，在职实有人数1</w:t>
      </w:r>
      <w:r>
        <w:rPr>
          <w:rFonts w:hint="eastAsia" w:ascii="方正仿宋_GBK" w:hAnsi="仿宋" w:eastAsia="方正仿宋_GBK"/>
          <w:color w:val="000000"/>
          <w:sz w:val="32"/>
          <w:szCs w:val="32"/>
        </w:rPr>
        <w:t>5</w:t>
      </w:r>
      <w:r>
        <w:rPr>
          <w:rFonts w:ascii="方正仿宋_GBK" w:hAnsi="仿宋" w:eastAsia="方正仿宋_GBK"/>
          <w:color w:val="000000"/>
          <w:sz w:val="32"/>
          <w:szCs w:val="32"/>
        </w:rPr>
        <w:t>人；有事业编制</w:t>
      </w:r>
      <w:r>
        <w:rPr>
          <w:rFonts w:hint="eastAsia" w:ascii="方正仿宋_GBK" w:hAnsi="仿宋" w:eastAsia="方正仿宋_GBK"/>
          <w:color w:val="000000"/>
          <w:sz w:val="32"/>
          <w:szCs w:val="32"/>
        </w:rPr>
        <w:t>4</w:t>
      </w:r>
      <w:r>
        <w:rPr>
          <w:rFonts w:ascii="方正仿宋_GBK" w:hAnsi="仿宋" w:eastAsia="方正仿宋_GBK"/>
          <w:color w:val="000000"/>
          <w:sz w:val="32"/>
          <w:szCs w:val="32"/>
        </w:rPr>
        <w:t>人，在职实有人数</w:t>
      </w:r>
      <w:r>
        <w:rPr>
          <w:rFonts w:hint="eastAsia" w:ascii="方正仿宋_GBK" w:hAnsi="仿宋" w:eastAsia="方正仿宋_GBK"/>
          <w:color w:val="000000"/>
          <w:sz w:val="32"/>
          <w:szCs w:val="32"/>
        </w:rPr>
        <w:t>4</w:t>
      </w:r>
      <w:r>
        <w:rPr>
          <w:rFonts w:ascii="方正仿宋_GBK" w:hAnsi="仿宋" w:eastAsia="方正仿宋_GBK"/>
          <w:color w:val="000000"/>
          <w:sz w:val="32"/>
          <w:szCs w:val="32"/>
        </w:rPr>
        <w:t>人；有临聘编制</w:t>
      </w:r>
      <w:r>
        <w:rPr>
          <w:rFonts w:hint="eastAsia" w:ascii="方正仿宋_GBK" w:hAnsi="仿宋" w:eastAsia="方正仿宋_GBK"/>
          <w:color w:val="000000"/>
          <w:sz w:val="32"/>
          <w:szCs w:val="32"/>
        </w:rPr>
        <w:t>1</w:t>
      </w:r>
      <w:r>
        <w:rPr>
          <w:rFonts w:ascii="方正仿宋_GBK" w:hAnsi="仿宋" w:eastAsia="方正仿宋_GBK"/>
          <w:color w:val="000000"/>
          <w:sz w:val="32"/>
          <w:szCs w:val="32"/>
        </w:rPr>
        <w:t>人，在职实有人数</w:t>
      </w:r>
      <w:r>
        <w:rPr>
          <w:rFonts w:hint="eastAsia" w:ascii="方正仿宋_GBK" w:hAnsi="仿宋" w:eastAsia="方正仿宋_GBK"/>
          <w:color w:val="000000"/>
          <w:sz w:val="32"/>
          <w:szCs w:val="32"/>
        </w:rPr>
        <w:t>1</w:t>
      </w:r>
      <w:r>
        <w:rPr>
          <w:rFonts w:ascii="方正仿宋_GBK" w:hAnsi="仿宋" w:eastAsia="方正仿宋_GBK"/>
          <w:color w:val="000000"/>
          <w:sz w:val="32"/>
          <w:szCs w:val="32"/>
        </w:rPr>
        <w:t>人。</w:t>
      </w:r>
    </w:p>
    <w:p>
      <w:pPr>
        <w:widowControl/>
        <w:adjustRightInd w:val="0"/>
        <w:snapToGrid w:val="0"/>
        <w:spacing w:line="600" w:lineRule="exact"/>
        <w:ind w:firstLine="640" w:firstLineChars="200"/>
        <w:contextualSpacing/>
        <w:jc w:val="left"/>
        <w:rPr>
          <w:rFonts w:ascii="黑体" w:hAnsi="宋体" w:eastAsia="黑体" w:cs="宋体"/>
          <w:kern w:val="0"/>
          <w:sz w:val="32"/>
          <w:szCs w:val="32"/>
          <w:shd w:val="clear" w:color="auto" w:fill="FFFFFF"/>
        </w:rPr>
      </w:pPr>
      <w:r>
        <w:rPr>
          <w:rFonts w:hint="eastAsia" w:ascii="黑体" w:hAnsi="宋体" w:eastAsia="黑体" w:cs="宋体"/>
          <w:kern w:val="0"/>
          <w:sz w:val="32"/>
          <w:szCs w:val="32"/>
          <w:shd w:val="clear" w:color="auto" w:fill="FFFFFF"/>
        </w:rPr>
        <w:t>二、部门财政资金收支情况</w:t>
      </w:r>
    </w:p>
    <w:p>
      <w:pPr>
        <w:widowControl/>
        <w:adjustRightInd w:val="0"/>
        <w:snapToGrid w:val="0"/>
        <w:spacing w:line="600" w:lineRule="exact"/>
        <w:ind w:firstLine="642" w:firstLineChars="200"/>
        <w:contextualSpacing/>
        <w:jc w:val="left"/>
        <w:rPr>
          <w:rFonts w:ascii="方正楷体_GBK" w:hAnsi="宋体" w:eastAsia="方正楷体_GBK" w:cs="宋体"/>
          <w:b/>
          <w:color w:val="000000"/>
          <w:kern w:val="0"/>
          <w:sz w:val="32"/>
          <w:szCs w:val="32"/>
          <w:shd w:val="clear" w:color="auto" w:fill="FFFFFF"/>
          <w:lang w:val="zh-CN"/>
        </w:rPr>
      </w:pPr>
      <w:r>
        <w:rPr>
          <w:rFonts w:hint="eastAsia" w:ascii="方正楷体_GBK" w:hAnsi="宋体" w:eastAsia="方正楷体_GBK" w:cs="宋体"/>
          <w:b/>
          <w:color w:val="000000"/>
          <w:kern w:val="0"/>
          <w:sz w:val="32"/>
          <w:szCs w:val="32"/>
          <w:shd w:val="clear" w:color="auto" w:fill="FFFFFF"/>
          <w:lang w:val="zh-CN"/>
        </w:rPr>
        <w:t>（一）部门财政资金收入情况</w:t>
      </w:r>
    </w:p>
    <w:p>
      <w:pPr>
        <w:spacing w:line="600" w:lineRule="exact"/>
        <w:ind w:firstLine="660"/>
        <w:rPr>
          <w:rFonts w:ascii="方正仿宋_GBK" w:hAnsi="仿宋" w:eastAsia="方正仿宋_GBK"/>
          <w:color w:val="000000"/>
          <w:sz w:val="32"/>
          <w:szCs w:val="32"/>
          <w:lang w:val="zh-CN"/>
        </w:rPr>
      </w:pPr>
      <w:r>
        <w:rPr>
          <w:rFonts w:hint="eastAsia" w:ascii="方正仿宋_GBK" w:hAnsi="仿宋" w:eastAsia="方正仿宋_GBK"/>
          <w:color w:val="000000"/>
          <w:sz w:val="32"/>
          <w:szCs w:val="32"/>
        </w:rPr>
        <w:t>2021年</w:t>
      </w:r>
      <w:r>
        <w:rPr>
          <w:rFonts w:hint="eastAsia" w:ascii="方正仿宋_GBK" w:hAnsi="仿宋" w:eastAsia="方正仿宋_GBK"/>
          <w:color w:val="000000"/>
          <w:sz w:val="32"/>
          <w:szCs w:val="32"/>
          <w:lang w:val="zh-CN"/>
        </w:rPr>
        <w:t>财政拨款收入</w:t>
      </w:r>
      <w:r>
        <w:rPr>
          <w:rFonts w:hint="eastAsia" w:ascii="方正仿宋_GBK" w:hAnsi="仿宋" w:eastAsia="方正仿宋_GBK"/>
          <w:color w:val="000000"/>
          <w:sz w:val="32"/>
          <w:szCs w:val="32"/>
        </w:rPr>
        <w:t>607.68万元，其中：一般公共预算财政拨款收入540.11万元，政府性基金预算财政拨款收入67.57万元。</w:t>
      </w:r>
    </w:p>
    <w:p>
      <w:pPr>
        <w:widowControl/>
        <w:adjustRightInd w:val="0"/>
        <w:snapToGrid w:val="0"/>
        <w:spacing w:line="600" w:lineRule="exact"/>
        <w:ind w:firstLine="642" w:firstLineChars="200"/>
        <w:contextualSpacing/>
        <w:jc w:val="left"/>
        <w:rPr>
          <w:rFonts w:ascii="方正楷体_GBK" w:hAnsi="宋体" w:eastAsia="方正楷体_GBK" w:cs="宋体"/>
          <w:b/>
          <w:color w:val="000000"/>
          <w:kern w:val="0"/>
          <w:sz w:val="32"/>
          <w:szCs w:val="32"/>
          <w:shd w:val="clear" w:color="auto" w:fill="FFFFFF"/>
          <w:lang w:val="zh-CN"/>
        </w:rPr>
      </w:pPr>
      <w:r>
        <w:rPr>
          <w:rFonts w:hint="eastAsia" w:ascii="方正楷体_GBK" w:hAnsi="宋体" w:eastAsia="方正楷体_GBK" w:cs="宋体"/>
          <w:b/>
          <w:color w:val="000000"/>
          <w:kern w:val="0"/>
          <w:sz w:val="32"/>
          <w:szCs w:val="32"/>
          <w:shd w:val="clear" w:color="auto" w:fill="FFFFFF"/>
          <w:lang w:val="zh-CN"/>
        </w:rPr>
        <w:t>（二）部门财政资金支出情况</w:t>
      </w:r>
    </w:p>
    <w:p>
      <w:pPr>
        <w:spacing w:line="600" w:lineRule="exact"/>
        <w:ind w:firstLine="660"/>
        <w:rPr>
          <w:rFonts w:ascii="方正仿宋_GBK" w:hAnsi="仿宋" w:eastAsia="方正仿宋_GBK"/>
          <w:color w:val="000000"/>
          <w:sz w:val="32"/>
          <w:szCs w:val="32"/>
          <w:lang w:val="zh-CN"/>
        </w:rPr>
      </w:pPr>
      <w:r>
        <w:rPr>
          <w:rFonts w:hint="eastAsia" w:ascii="方正仿宋_GBK" w:hAnsi="仿宋" w:eastAsia="方正仿宋_GBK"/>
          <w:color w:val="000000"/>
          <w:sz w:val="32"/>
          <w:szCs w:val="32"/>
        </w:rPr>
        <w:t>2021年</w:t>
      </w:r>
      <w:r>
        <w:rPr>
          <w:rFonts w:hint="eastAsia" w:ascii="方正仿宋_GBK" w:hAnsi="仿宋" w:eastAsia="方正仿宋_GBK"/>
          <w:color w:val="000000"/>
          <w:sz w:val="32"/>
          <w:szCs w:val="32"/>
          <w:lang w:val="zh-CN"/>
        </w:rPr>
        <w:t>财政拨款支出</w:t>
      </w:r>
      <w:r>
        <w:rPr>
          <w:rFonts w:hint="eastAsia" w:ascii="方正仿宋_GBK" w:hAnsi="仿宋" w:eastAsia="方正仿宋_GBK"/>
          <w:color w:val="000000"/>
          <w:sz w:val="32"/>
          <w:szCs w:val="32"/>
        </w:rPr>
        <w:t>618万元，其中：一般公共预算财政拨款支出550.43万元，政府性基金预算财政拨款支出67.57万元。</w:t>
      </w:r>
    </w:p>
    <w:p>
      <w:pPr>
        <w:widowControl/>
        <w:adjustRightInd w:val="0"/>
        <w:snapToGrid w:val="0"/>
        <w:spacing w:line="600" w:lineRule="exact"/>
        <w:ind w:firstLine="640" w:firstLineChars="200"/>
        <w:contextualSpacing/>
        <w:jc w:val="left"/>
        <w:rPr>
          <w:rFonts w:ascii="黑体" w:hAnsi="宋体" w:eastAsia="黑体" w:cs="宋体"/>
          <w:kern w:val="0"/>
          <w:sz w:val="32"/>
          <w:szCs w:val="32"/>
          <w:shd w:val="clear" w:color="auto" w:fill="FFFFFF"/>
        </w:rPr>
      </w:pPr>
      <w:r>
        <w:rPr>
          <w:rFonts w:hint="eastAsia" w:ascii="黑体" w:hAnsi="宋体" w:eastAsia="黑体" w:cs="宋体"/>
          <w:kern w:val="0"/>
          <w:sz w:val="32"/>
          <w:szCs w:val="32"/>
          <w:shd w:val="clear" w:color="auto" w:fill="FFFFFF"/>
        </w:rPr>
        <w:t>三、部门整体预算绩效管理情况</w:t>
      </w:r>
    </w:p>
    <w:p>
      <w:pPr>
        <w:spacing w:line="600" w:lineRule="exact"/>
        <w:ind w:firstLine="642" w:firstLineChars="200"/>
        <w:rPr>
          <w:rFonts w:ascii="方正楷体_GBK" w:hAnsi="仿宋" w:eastAsia="方正楷体_GBK"/>
          <w:b/>
          <w:bCs/>
          <w:color w:val="000000"/>
          <w:sz w:val="32"/>
          <w:szCs w:val="32"/>
          <w:lang w:val="zh-CN"/>
        </w:rPr>
      </w:pPr>
      <w:r>
        <w:rPr>
          <w:rFonts w:hint="eastAsia" w:ascii="方正楷体_GBK" w:hAnsi="仿宋" w:eastAsia="方正楷体_GBK"/>
          <w:b/>
          <w:bCs/>
          <w:color w:val="000000"/>
          <w:sz w:val="32"/>
          <w:szCs w:val="32"/>
          <w:lang w:val="zh-CN"/>
        </w:rPr>
        <w:t>（一）部门预算项目绩效管理</w:t>
      </w:r>
    </w:p>
    <w:p>
      <w:pPr>
        <w:spacing w:line="600" w:lineRule="exact"/>
        <w:ind w:firstLine="640" w:firstLineChars="200"/>
        <w:rPr>
          <w:rFonts w:ascii="方正仿宋_GBK" w:hAnsi="仿宋" w:eastAsia="方正仿宋_GBK"/>
          <w:color w:val="000000"/>
          <w:sz w:val="32"/>
          <w:szCs w:val="32"/>
          <w:lang w:val="zh-CN"/>
        </w:rPr>
      </w:pPr>
      <w:r>
        <w:rPr>
          <w:rFonts w:hint="eastAsia" w:ascii="方正仿宋_GBK" w:hAnsi="仿宋" w:eastAsia="方正仿宋_GBK"/>
          <w:color w:val="000000"/>
          <w:sz w:val="32"/>
          <w:szCs w:val="32"/>
          <w:lang w:val="zh-CN"/>
        </w:rPr>
        <w:t>参照以往年度预决算工作的基础上，结合人大机关工作实际，制定202</w:t>
      </w:r>
      <w:r>
        <w:rPr>
          <w:rFonts w:hint="eastAsia" w:ascii="方正仿宋_GBK" w:hAnsi="仿宋" w:eastAsia="方正仿宋_GBK"/>
          <w:color w:val="000000"/>
          <w:sz w:val="32"/>
          <w:szCs w:val="32"/>
        </w:rPr>
        <w:t>1</w:t>
      </w:r>
      <w:r>
        <w:rPr>
          <w:rFonts w:hint="eastAsia" w:ascii="方正仿宋_GBK" w:hAnsi="仿宋" w:eastAsia="方正仿宋_GBK"/>
          <w:color w:val="000000"/>
          <w:sz w:val="32"/>
          <w:szCs w:val="32"/>
          <w:lang w:val="zh-CN"/>
        </w:rPr>
        <w:t>年项目绩效目标。为保证目标任务完成，在与相关委室充分沟通的情况下制定了预算方案，经领导研究后报区财政；自收到区财政预算批复之日起，严格预算执行，严控支出，适时进行预算动态调整，以预算执行进度推进工作完成的进度，确保人大机关各项工作有序开展。202</w:t>
      </w:r>
      <w:r>
        <w:rPr>
          <w:rFonts w:hint="eastAsia" w:ascii="方正仿宋_GBK" w:hAnsi="仿宋" w:eastAsia="方正仿宋_GBK"/>
          <w:color w:val="000000"/>
          <w:sz w:val="32"/>
          <w:szCs w:val="32"/>
        </w:rPr>
        <w:t>1</w:t>
      </w:r>
      <w:r>
        <w:rPr>
          <w:rFonts w:hint="eastAsia" w:ascii="方正仿宋_GBK" w:hAnsi="仿宋" w:eastAsia="方正仿宋_GBK"/>
          <w:color w:val="000000"/>
          <w:sz w:val="32"/>
          <w:szCs w:val="32"/>
          <w:lang w:val="zh-CN"/>
        </w:rPr>
        <w:t>年较好的完成了各个项目目标任务，预算完成情况较好，无违规情况发生。</w:t>
      </w:r>
    </w:p>
    <w:p>
      <w:pPr>
        <w:spacing w:line="600" w:lineRule="exact"/>
        <w:ind w:firstLine="642" w:firstLineChars="200"/>
        <w:rPr>
          <w:rFonts w:ascii="方正楷体_GBK" w:hAnsi="仿宋" w:eastAsia="方正楷体_GBK"/>
          <w:b/>
          <w:bCs/>
          <w:color w:val="000000"/>
          <w:sz w:val="32"/>
          <w:szCs w:val="32"/>
          <w:lang w:val="zh-CN"/>
        </w:rPr>
      </w:pPr>
      <w:r>
        <w:rPr>
          <w:rFonts w:hint="eastAsia" w:ascii="方正楷体_GBK" w:hAnsi="仿宋" w:eastAsia="方正楷体_GBK"/>
          <w:b/>
          <w:bCs/>
          <w:color w:val="000000"/>
          <w:sz w:val="32"/>
          <w:szCs w:val="32"/>
          <w:lang w:val="zh-CN"/>
        </w:rPr>
        <w:t>（二）专项预算管理</w:t>
      </w:r>
    </w:p>
    <w:p>
      <w:pPr>
        <w:spacing w:line="600" w:lineRule="exact"/>
        <w:ind w:firstLine="640" w:firstLineChars="200"/>
        <w:rPr>
          <w:rFonts w:ascii="方正仿宋_GBK" w:hAnsi="仿宋" w:eastAsia="方正仿宋_GBK"/>
          <w:color w:val="000000"/>
          <w:sz w:val="32"/>
          <w:szCs w:val="32"/>
          <w:lang w:val="zh-CN"/>
        </w:rPr>
      </w:pPr>
      <w:r>
        <w:rPr>
          <w:rFonts w:hint="eastAsia" w:ascii="方正仿宋_GBK" w:hAnsi="仿宋" w:eastAsia="方正仿宋_GBK"/>
          <w:color w:val="000000"/>
          <w:sz w:val="32"/>
          <w:szCs w:val="32"/>
        </w:rPr>
        <w:t>1.</w:t>
      </w:r>
      <w:r>
        <w:rPr>
          <w:rFonts w:hint="eastAsia" w:ascii="方正仿宋_GBK" w:hAnsi="仿宋" w:eastAsia="方正仿宋_GBK"/>
          <w:color w:val="000000"/>
          <w:sz w:val="32"/>
          <w:szCs w:val="32"/>
          <w:lang w:val="zh-CN"/>
        </w:rPr>
        <w:t>人大立法年初预算</w:t>
      </w:r>
      <w:r>
        <w:rPr>
          <w:rFonts w:hint="eastAsia" w:ascii="方正仿宋_GBK" w:hAnsi="仿宋" w:eastAsia="方正仿宋_GBK"/>
          <w:color w:val="000000"/>
          <w:sz w:val="32"/>
          <w:szCs w:val="32"/>
        </w:rPr>
        <w:t>0.5</w:t>
      </w:r>
      <w:r>
        <w:rPr>
          <w:rFonts w:hint="eastAsia" w:ascii="方正仿宋_GBK" w:hAnsi="仿宋" w:eastAsia="方正仿宋_GBK"/>
          <w:color w:val="000000"/>
          <w:sz w:val="32"/>
          <w:szCs w:val="32"/>
          <w:lang w:val="zh-CN"/>
        </w:rPr>
        <w:t>万元，全年预算专项经费</w:t>
      </w:r>
      <w:r>
        <w:rPr>
          <w:rFonts w:hint="eastAsia" w:ascii="方正仿宋_GBK" w:hAnsi="仿宋" w:eastAsia="方正仿宋_GBK"/>
          <w:color w:val="000000"/>
          <w:sz w:val="32"/>
          <w:szCs w:val="32"/>
        </w:rPr>
        <w:t>0.5</w:t>
      </w:r>
      <w:r>
        <w:rPr>
          <w:rFonts w:hint="eastAsia" w:ascii="方正仿宋_GBK" w:hAnsi="仿宋" w:eastAsia="方正仿宋_GBK"/>
          <w:color w:val="000000"/>
          <w:sz w:val="32"/>
          <w:szCs w:val="32"/>
          <w:lang w:val="zh-CN"/>
        </w:rPr>
        <w:t>万元，预算执行</w:t>
      </w:r>
      <w:r>
        <w:rPr>
          <w:rFonts w:hint="eastAsia" w:ascii="方正仿宋_GBK" w:hAnsi="仿宋" w:eastAsia="方正仿宋_GBK"/>
          <w:color w:val="000000"/>
          <w:sz w:val="32"/>
          <w:szCs w:val="32"/>
        </w:rPr>
        <w:t>0.5</w:t>
      </w:r>
      <w:r>
        <w:rPr>
          <w:rFonts w:hint="eastAsia" w:ascii="方正仿宋_GBK" w:hAnsi="仿宋" w:eastAsia="方正仿宋_GBK"/>
          <w:color w:val="000000"/>
          <w:sz w:val="32"/>
          <w:szCs w:val="32"/>
          <w:lang w:val="zh-CN"/>
        </w:rPr>
        <w:t>万元；全年目标任务</w:t>
      </w:r>
      <w:r>
        <w:rPr>
          <w:rFonts w:ascii="方正仿宋_GBK" w:hAnsi="仿宋" w:eastAsia="方正仿宋_GBK"/>
          <w:color w:val="000000"/>
          <w:sz w:val="32"/>
          <w:szCs w:val="32"/>
          <w:lang w:val="zh-CN"/>
        </w:rPr>
        <w:t>完成2021年度基层立法联系工作计划，不断提高立法质量</w:t>
      </w:r>
      <w:r>
        <w:rPr>
          <w:rFonts w:hint="eastAsia" w:ascii="方正仿宋_GBK" w:hAnsi="仿宋" w:eastAsia="方正仿宋_GBK"/>
          <w:color w:val="000000"/>
          <w:sz w:val="32"/>
          <w:szCs w:val="32"/>
          <w:lang w:val="zh-CN"/>
        </w:rPr>
        <w:t>。</w:t>
      </w:r>
      <w:r>
        <w:rPr>
          <w:rFonts w:ascii="方正仿宋_GBK" w:hAnsi="仿宋" w:eastAsia="方正仿宋_GBK"/>
          <w:color w:val="000000"/>
          <w:sz w:val="32"/>
          <w:szCs w:val="32"/>
          <w:lang w:val="zh-CN"/>
        </w:rPr>
        <w:t>已建成人大代表之家6个，人大代表联络站9个</w:t>
      </w:r>
      <w:r>
        <w:rPr>
          <w:rFonts w:hint="eastAsia" w:ascii="方正仿宋_GBK" w:hAnsi="仿宋" w:eastAsia="方正仿宋_GBK"/>
          <w:color w:val="000000"/>
          <w:sz w:val="32"/>
          <w:szCs w:val="32"/>
          <w:lang w:val="zh-CN"/>
        </w:rPr>
        <w:t>更好</w:t>
      </w:r>
      <w:r>
        <w:rPr>
          <w:rFonts w:hint="eastAsia" w:ascii="方正仿宋_GBK" w:hAnsi="仿宋" w:eastAsia="方正仿宋_GBK"/>
          <w:color w:val="000000"/>
          <w:sz w:val="32"/>
          <w:szCs w:val="32"/>
          <w:lang w:val="en-US" w:eastAsia="zh-CN"/>
        </w:rPr>
        <w:t>地</w:t>
      </w:r>
      <w:r>
        <w:rPr>
          <w:rFonts w:hint="eastAsia" w:ascii="方正仿宋_GBK" w:hAnsi="仿宋" w:eastAsia="方正仿宋_GBK"/>
          <w:color w:val="000000"/>
          <w:sz w:val="32"/>
          <w:szCs w:val="32"/>
          <w:lang w:val="zh-CN"/>
        </w:rPr>
        <w:t>为乡（镇）群众服务，丰富了市代表闭会期间的活动，开展学习、调研。全年专项预算经费执行率</w:t>
      </w:r>
      <w:r>
        <w:rPr>
          <w:rFonts w:hint="eastAsia" w:ascii="方正仿宋_GBK" w:hAnsi="仿宋" w:eastAsia="方正仿宋_GBK"/>
          <w:color w:val="000000"/>
          <w:sz w:val="32"/>
          <w:szCs w:val="32"/>
        </w:rPr>
        <w:t>100</w:t>
      </w:r>
      <w:r>
        <w:rPr>
          <w:rFonts w:hint="eastAsia" w:ascii="方正仿宋_GBK" w:hAnsi="仿宋" w:eastAsia="方正仿宋_GBK"/>
          <w:color w:val="000000"/>
          <w:sz w:val="32"/>
          <w:szCs w:val="32"/>
          <w:lang w:val="zh-CN"/>
        </w:rPr>
        <w:t>%。</w:t>
      </w:r>
    </w:p>
    <w:p>
      <w:pPr>
        <w:spacing w:line="600" w:lineRule="exact"/>
        <w:ind w:firstLine="640" w:firstLineChars="200"/>
        <w:rPr>
          <w:rFonts w:ascii="方正仿宋_GBK" w:hAnsi="仿宋" w:eastAsia="方正仿宋_GBK"/>
          <w:color w:val="000000"/>
          <w:sz w:val="32"/>
          <w:szCs w:val="32"/>
          <w:lang w:val="zh-CN"/>
        </w:rPr>
      </w:pPr>
      <w:r>
        <w:rPr>
          <w:rFonts w:hint="eastAsia" w:ascii="方正仿宋_GBK" w:hAnsi="仿宋" w:eastAsia="方正仿宋_GBK"/>
          <w:color w:val="000000"/>
          <w:sz w:val="32"/>
          <w:szCs w:val="32"/>
        </w:rPr>
        <w:t>2.代表工作</w:t>
      </w:r>
      <w:r>
        <w:rPr>
          <w:rFonts w:hint="eastAsia" w:ascii="方正仿宋_GBK" w:hAnsi="仿宋" w:eastAsia="方正仿宋_GBK"/>
          <w:color w:val="000000"/>
          <w:sz w:val="32"/>
          <w:szCs w:val="32"/>
          <w:lang w:val="zh-CN"/>
        </w:rPr>
        <w:t>年初预算</w:t>
      </w:r>
      <w:r>
        <w:rPr>
          <w:rFonts w:hint="eastAsia" w:ascii="方正仿宋_GBK" w:hAnsi="仿宋" w:eastAsia="方正仿宋_GBK"/>
          <w:color w:val="000000"/>
          <w:sz w:val="32"/>
          <w:szCs w:val="32"/>
        </w:rPr>
        <w:t>9.6</w:t>
      </w:r>
      <w:r>
        <w:rPr>
          <w:rFonts w:hint="eastAsia" w:ascii="方正仿宋_GBK" w:hAnsi="仿宋" w:eastAsia="方正仿宋_GBK"/>
          <w:color w:val="000000"/>
          <w:sz w:val="32"/>
          <w:szCs w:val="32"/>
          <w:lang w:val="zh-CN"/>
        </w:rPr>
        <w:t>万元，全年预算专项经费</w:t>
      </w:r>
      <w:r>
        <w:rPr>
          <w:rFonts w:hint="eastAsia" w:ascii="方正仿宋_GBK" w:hAnsi="仿宋" w:eastAsia="方正仿宋_GBK"/>
          <w:color w:val="000000"/>
          <w:sz w:val="32"/>
          <w:szCs w:val="32"/>
        </w:rPr>
        <w:t>9.6</w:t>
      </w:r>
      <w:r>
        <w:rPr>
          <w:rFonts w:hint="eastAsia" w:ascii="方正仿宋_GBK" w:hAnsi="仿宋" w:eastAsia="方正仿宋_GBK"/>
          <w:color w:val="000000"/>
          <w:sz w:val="32"/>
          <w:szCs w:val="32"/>
          <w:lang w:val="zh-CN"/>
        </w:rPr>
        <w:t>万元，预算执行</w:t>
      </w:r>
      <w:r>
        <w:rPr>
          <w:rFonts w:hint="eastAsia" w:ascii="方正仿宋_GBK" w:hAnsi="仿宋" w:eastAsia="方正仿宋_GBK"/>
          <w:color w:val="000000"/>
          <w:sz w:val="32"/>
          <w:szCs w:val="32"/>
        </w:rPr>
        <w:t>9.6</w:t>
      </w:r>
      <w:r>
        <w:rPr>
          <w:rFonts w:hint="eastAsia" w:ascii="方正仿宋_GBK" w:hAnsi="仿宋" w:eastAsia="方正仿宋_GBK"/>
          <w:color w:val="000000"/>
          <w:sz w:val="32"/>
          <w:szCs w:val="32"/>
          <w:lang w:val="zh-CN"/>
        </w:rPr>
        <w:t>万元；全年目标任务</w:t>
      </w:r>
      <w:r>
        <w:rPr>
          <w:rFonts w:ascii="方正仿宋_GBK" w:hAnsi="仿宋" w:eastAsia="方正仿宋_GBK"/>
          <w:color w:val="000000"/>
          <w:sz w:val="32"/>
          <w:szCs w:val="32"/>
          <w:lang w:val="zh-CN"/>
        </w:rPr>
        <w:t>完成</w:t>
      </w:r>
      <w:r>
        <w:rPr>
          <w:rFonts w:hint="eastAsia" w:ascii="方正仿宋_GBK" w:hAnsi="仿宋" w:eastAsia="方正仿宋_GBK"/>
          <w:color w:val="000000"/>
          <w:sz w:val="32"/>
          <w:szCs w:val="32"/>
        </w:rPr>
        <w:t>依托全区16个人大代表“家”“站”“室”，组织开展好人大代表、常委会组成人员的学习培训，提升代表履职能力。切实加强对人大代表的管理工作，增强代表的责任意识，组织人大代表参加执法检查、评议、视察、专题调查等活动，进一步畅通代表知政、议政、督政和参与决策的渠道。广泛开展代表闭会期间活动，鼓励代表围绕经社会发展和关系人民群众切身利益、社会普遍关注的重大问题开展调研视察。抓好代表建议办理工作，区十一届人大五次会议及闭会期间收到的67件代表建议已全部办结，代表对办理的满意率达100%。深入开展“我为群众办实事—人大代表在行动”活动，组织全区各级人大代表174人次深入格里坪镇村组、街道社区、企业学校、代表之家（站、室），了解人民群众关心关注的热点难点问题，研究提出解决问题的措施办法和代表建议，走访群众417人、走访企业72个，收集反映问题250条，帮助解决158条，暂时无法直接解决的已做好相关政策解释及后续安排，并提出建议81条，在推进西区全面发展、构建和谐西区中发挥了积极作用，彰显了基层人大代表的履职风采。</w:t>
      </w:r>
      <w:r>
        <w:rPr>
          <w:rFonts w:hint="eastAsia" w:ascii="方正仿宋_GBK" w:hAnsi="仿宋" w:eastAsia="方正仿宋_GBK"/>
          <w:color w:val="000000"/>
          <w:sz w:val="32"/>
          <w:szCs w:val="32"/>
          <w:lang w:val="zh-CN"/>
        </w:rPr>
        <w:t>全年专项预算经费执行率</w:t>
      </w:r>
      <w:r>
        <w:rPr>
          <w:rFonts w:hint="eastAsia" w:ascii="方正仿宋_GBK" w:hAnsi="仿宋" w:eastAsia="方正仿宋_GBK"/>
          <w:color w:val="000000"/>
          <w:sz w:val="32"/>
          <w:szCs w:val="32"/>
        </w:rPr>
        <w:t>100</w:t>
      </w:r>
      <w:r>
        <w:rPr>
          <w:rFonts w:hint="eastAsia" w:ascii="方正仿宋_GBK" w:hAnsi="仿宋" w:eastAsia="方正仿宋_GBK"/>
          <w:color w:val="000000"/>
          <w:sz w:val="32"/>
          <w:szCs w:val="32"/>
          <w:lang w:val="zh-CN"/>
        </w:rPr>
        <w:t>%。</w:t>
      </w:r>
    </w:p>
    <w:p>
      <w:pPr>
        <w:spacing w:line="600" w:lineRule="exact"/>
        <w:ind w:firstLine="642" w:firstLineChars="200"/>
        <w:rPr>
          <w:rFonts w:ascii="方正楷体_GBK" w:hAnsi="仿宋" w:eastAsia="方正楷体_GBK"/>
          <w:b/>
          <w:bCs/>
          <w:color w:val="000000"/>
          <w:sz w:val="32"/>
          <w:szCs w:val="32"/>
          <w:lang w:val="zh-CN"/>
        </w:rPr>
      </w:pPr>
      <w:r>
        <w:rPr>
          <w:rFonts w:hint="eastAsia" w:ascii="方正楷体_GBK" w:hAnsi="仿宋" w:eastAsia="方正楷体_GBK"/>
          <w:b/>
          <w:bCs/>
          <w:color w:val="000000"/>
          <w:sz w:val="32"/>
          <w:szCs w:val="32"/>
          <w:lang w:val="zh-CN"/>
        </w:rPr>
        <w:t>（三）结果应用情况</w:t>
      </w:r>
    </w:p>
    <w:p>
      <w:pPr>
        <w:spacing w:line="600" w:lineRule="exact"/>
        <w:ind w:firstLine="640" w:firstLineChars="200"/>
        <w:rPr>
          <w:rFonts w:ascii="方正仿宋_GBK" w:hAnsi="仿宋" w:eastAsia="方正仿宋_GBK"/>
          <w:color w:val="000000"/>
          <w:sz w:val="32"/>
          <w:szCs w:val="32"/>
        </w:rPr>
      </w:pPr>
      <w:r>
        <w:rPr>
          <w:rFonts w:hint="eastAsia" w:ascii="方正仿宋_GBK" w:hAnsi="仿宋" w:eastAsia="方正仿宋_GBK"/>
          <w:color w:val="000000"/>
          <w:sz w:val="32"/>
          <w:szCs w:val="32"/>
        </w:rPr>
        <w:t>1.圆满完成了人代会、人大常委会主任会议、人大常委会会议及其他有关会议的办文办会工作。</w:t>
      </w:r>
    </w:p>
    <w:p>
      <w:pPr>
        <w:spacing w:line="600" w:lineRule="exact"/>
        <w:ind w:firstLine="640" w:firstLineChars="200"/>
        <w:rPr>
          <w:rFonts w:ascii="方正仿宋_GBK" w:hAnsi="仿宋" w:eastAsia="方正仿宋_GBK"/>
          <w:color w:val="000000"/>
          <w:sz w:val="32"/>
          <w:szCs w:val="32"/>
        </w:rPr>
      </w:pPr>
      <w:r>
        <w:rPr>
          <w:rFonts w:hint="eastAsia" w:ascii="方正仿宋_GBK" w:hAnsi="仿宋" w:eastAsia="方正仿宋_GBK"/>
          <w:color w:val="000000"/>
          <w:sz w:val="32"/>
          <w:szCs w:val="32"/>
        </w:rPr>
        <w:t>2.做好了人大常委会执法检查、视察调研、工作评议、专题询问等重要活动的服务保障工作。</w:t>
      </w:r>
    </w:p>
    <w:p>
      <w:pPr>
        <w:spacing w:line="600" w:lineRule="exact"/>
        <w:ind w:firstLine="640" w:firstLineChars="200"/>
        <w:rPr>
          <w:rFonts w:ascii="方正仿宋_GBK" w:hAnsi="仿宋" w:eastAsia="方正仿宋_GBK"/>
          <w:color w:val="000000"/>
          <w:sz w:val="32"/>
          <w:szCs w:val="32"/>
        </w:rPr>
      </w:pPr>
      <w:r>
        <w:rPr>
          <w:rFonts w:hint="eastAsia" w:ascii="方正仿宋_GBK" w:hAnsi="仿宋" w:eastAsia="方正仿宋_GBK"/>
          <w:color w:val="000000"/>
          <w:sz w:val="32"/>
          <w:szCs w:val="32"/>
        </w:rPr>
        <w:t>3.依法选举产生新一届区人大代表165名、格里坪镇人大代表59名，代表结构进一步优化，整体素质进一步提高，为加强我区地方政权建设打下了良好基础。</w:t>
      </w:r>
    </w:p>
    <w:p>
      <w:pPr>
        <w:spacing w:line="600" w:lineRule="exact"/>
        <w:ind w:firstLine="640" w:firstLineChars="200"/>
        <w:rPr>
          <w:rFonts w:ascii="方正仿宋_GBK" w:hAnsi="仿宋" w:eastAsia="方正仿宋_GBK"/>
          <w:color w:val="000000"/>
          <w:sz w:val="32"/>
          <w:szCs w:val="32"/>
        </w:rPr>
      </w:pPr>
      <w:r>
        <w:rPr>
          <w:rFonts w:hint="eastAsia" w:ascii="方正仿宋_GBK" w:hAnsi="仿宋" w:eastAsia="方正仿宋_GBK"/>
          <w:color w:val="000000"/>
          <w:sz w:val="32"/>
          <w:szCs w:val="32"/>
        </w:rPr>
        <w:t>4.依法任免国家机关工作人员11批49人（其中任命26人、免职23人），补选市人大代表3人，终止代表资格14人，圆满实现了区委人事意图，为全区经济社会发展提供了组织保障。</w:t>
      </w:r>
    </w:p>
    <w:p>
      <w:pPr>
        <w:spacing w:line="600" w:lineRule="exact"/>
        <w:ind w:firstLine="640" w:firstLineChars="200"/>
        <w:rPr>
          <w:rFonts w:ascii="方正仿宋_GBK" w:hAnsi="仿宋" w:eastAsia="方正仿宋_GBK"/>
          <w:color w:val="000000"/>
          <w:sz w:val="32"/>
          <w:szCs w:val="32"/>
        </w:rPr>
      </w:pPr>
      <w:r>
        <w:rPr>
          <w:rFonts w:hint="eastAsia" w:ascii="方正仿宋_GBK" w:hAnsi="仿宋" w:eastAsia="方正仿宋_GBK"/>
          <w:color w:val="000000"/>
          <w:sz w:val="32"/>
          <w:szCs w:val="32"/>
        </w:rPr>
        <w:t>5.进一步加强了机关内部管理和对外联系沟通服务性工作。</w:t>
      </w:r>
    </w:p>
    <w:p>
      <w:pPr>
        <w:spacing w:line="600" w:lineRule="exact"/>
        <w:ind w:firstLine="640" w:firstLineChars="200"/>
        <w:rPr>
          <w:rFonts w:ascii="方正仿宋_GBK" w:hAnsi="仿宋" w:eastAsia="方正仿宋_GBK"/>
          <w:color w:val="000000"/>
          <w:sz w:val="32"/>
          <w:szCs w:val="32"/>
        </w:rPr>
      </w:pPr>
      <w:r>
        <w:rPr>
          <w:rFonts w:hint="eastAsia" w:ascii="方正仿宋_GBK" w:hAnsi="仿宋" w:eastAsia="方正仿宋_GBK"/>
          <w:color w:val="000000"/>
          <w:sz w:val="32"/>
          <w:szCs w:val="32"/>
        </w:rPr>
        <w:t>6.坚持围绕中心、服务大局，较好完成了全区性的有关重点工作。</w:t>
      </w:r>
    </w:p>
    <w:p>
      <w:pPr>
        <w:spacing w:line="600" w:lineRule="exact"/>
        <w:ind w:firstLine="640" w:firstLineChars="200"/>
        <w:rPr>
          <w:rFonts w:ascii="方正仿宋_GBK" w:hAnsi="仿宋" w:eastAsia="方正仿宋_GBK"/>
          <w:color w:val="000000"/>
          <w:sz w:val="32"/>
          <w:szCs w:val="32"/>
        </w:rPr>
      </w:pPr>
      <w:r>
        <w:rPr>
          <w:rFonts w:hint="eastAsia" w:ascii="方正仿宋_GBK" w:hAnsi="仿宋" w:eastAsia="方正仿宋_GBK"/>
          <w:color w:val="000000"/>
          <w:sz w:val="32"/>
          <w:szCs w:val="32"/>
        </w:rPr>
        <w:t>7.完成了区人大常委会领导交办的其他工作。</w:t>
      </w:r>
    </w:p>
    <w:p>
      <w:pPr>
        <w:spacing w:line="600" w:lineRule="exact"/>
        <w:ind w:firstLine="642" w:firstLineChars="200"/>
        <w:rPr>
          <w:rFonts w:ascii="方正楷体_GBK" w:hAnsi="仿宋" w:eastAsia="方正楷体_GBK"/>
          <w:b/>
          <w:bCs/>
          <w:color w:val="000000"/>
          <w:sz w:val="32"/>
          <w:szCs w:val="32"/>
          <w:lang w:val="zh-CN"/>
        </w:rPr>
      </w:pPr>
      <w:r>
        <w:rPr>
          <w:rFonts w:hint="eastAsia" w:ascii="方正楷体_GBK" w:hAnsi="仿宋" w:eastAsia="方正楷体_GBK"/>
          <w:b/>
          <w:bCs/>
          <w:color w:val="000000"/>
          <w:sz w:val="32"/>
          <w:szCs w:val="32"/>
          <w:lang w:val="zh-CN"/>
        </w:rPr>
        <w:t>（四）自评质量</w:t>
      </w:r>
    </w:p>
    <w:p>
      <w:pPr>
        <w:widowControl/>
        <w:adjustRightInd w:val="0"/>
        <w:snapToGrid w:val="0"/>
        <w:spacing w:line="600" w:lineRule="exact"/>
        <w:ind w:firstLine="640" w:firstLineChars="200"/>
        <w:contextualSpacing/>
        <w:jc w:val="left"/>
        <w:rPr>
          <w:rFonts w:ascii="方正仿宋_GBK" w:hAnsi="仿宋" w:eastAsia="方正仿宋_GBK"/>
          <w:color w:val="000000"/>
          <w:sz w:val="32"/>
          <w:szCs w:val="32"/>
        </w:rPr>
      </w:pPr>
      <w:r>
        <w:rPr>
          <w:rFonts w:hint="eastAsia" w:ascii="方正仿宋_GBK" w:hAnsi="仿宋" w:eastAsia="方正仿宋_GBK"/>
          <w:color w:val="000000"/>
          <w:sz w:val="32"/>
          <w:szCs w:val="32"/>
        </w:rPr>
        <w:t>落实全面从严治党要求，加强常委会党组和机关党组建设，推动人大工作全面发展。强化政治理论学习，持续努力在学懂弄通习近平新时代中国特色社会主义思想、习近平法治思想和习近平总书记关于坚持和完善人民代表大会制度重要思想上下功夫，不断提升运用党的创新理论指导人大工作的能力。深入贯彻省委人大工作会议精神和区委要求，推动省委决策落实到人大工作中、体现在成效上。坚持党对人大工作的全面领导，坚持重大问题和重要事项向市委请示报告制度，确保人大工作始终沿着正确政治方向前进。</w:t>
      </w:r>
    </w:p>
    <w:p>
      <w:pPr>
        <w:widowControl/>
        <w:adjustRightInd w:val="0"/>
        <w:snapToGrid w:val="0"/>
        <w:spacing w:line="600" w:lineRule="exact"/>
        <w:ind w:firstLine="640" w:firstLineChars="200"/>
        <w:contextualSpacing/>
        <w:jc w:val="left"/>
        <w:rPr>
          <w:rFonts w:ascii="黑体" w:hAnsi="宋体" w:eastAsia="黑体" w:cs="宋体"/>
          <w:kern w:val="0"/>
          <w:sz w:val="32"/>
          <w:szCs w:val="32"/>
          <w:shd w:val="clear" w:color="auto" w:fill="FFFFFF"/>
        </w:rPr>
      </w:pPr>
      <w:r>
        <w:rPr>
          <w:rFonts w:hint="eastAsia" w:ascii="黑体" w:hAnsi="宋体" w:eastAsia="黑体" w:cs="宋体"/>
          <w:kern w:val="0"/>
          <w:sz w:val="32"/>
          <w:szCs w:val="32"/>
          <w:shd w:val="clear" w:color="auto" w:fill="FFFFFF"/>
        </w:rPr>
        <w:t>四、评价结论及建议</w:t>
      </w:r>
    </w:p>
    <w:p>
      <w:pPr>
        <w:spacing w:line="600" w:lineRule="exact"/>
        <w:ind w:firstLine="642" w:firstLineChars="200"/>
        <w:rPr>
          <w:rFonts w:ascii="方正楷体_GBK" w:hAnsi="仿宋" w:eastAsia="方正楷体_GBK"/>
          <w:b/>
          <w:bCs/>
          <w:color w:val="000000"/>
          <w:sz w:val="32"/>
          <w:szCs w:val="32"/>
          <w:lang w:val="zh-CN"/>
        </w:rPr>
      </w:pPr>
      <w:r>
        <w:rPr>
          <w:rFonts w:hint="eastAsia" w:ascii="方正楷体_GBK" w:hAnsi="仿宋" w:eastAsia="方正楷体_GBK"/>
          <w:b/>
          <w:bCs/>
          <w:color w:val="000000"/>
          <w:sz w:val="32"/>
          <w:szCs w:val="32"/>
          <w:lang w:val="zh-CN"/>
        </w:rPr>
        <w:t>（一）评价结论。</w:t>
      </w:r>
    </w:p>
    <w:p>
      <w:pPr>
        <w:pStyle w:val="7"/>
        <w:spacing w:line="600" w:lineRule="exact"/>
        <w:ind w:firstLine="640" w:firstLineChars="200"/>
        <w:jc w:val="left"/>
        <w:rPr>
          <w:rFonts w:ascii="方正仿宋_GBK" w:hAnsi="Times New Roman" w:eastAsia="方正仿宋_GBK"/>
          <w:sz w:val="32"/>
          <w:szCs w:val="32"/>
        </w:rPr>
      </w:pPr>
      <w:r>
        <w:rPr>
          <w:rFonts w:hint="eastAsia" w:ascii="方正仿宋_GBK" w:hAnsi="Times New Roman" w:eastAsia="方正仿宋_GBK"/>
          <w:sz w:val="32"/>
          <w:szCs w:val="32"/>
        </w:rPr>
        <w:t>从总体上看，2021年部门整体运行情况良好，建立健全相关制度、机制，严格执行了部门预算整体绩效评价机制，达到了预期效果。款项支付规范，专款专用，最大限度地发挥了财政资金的使用效率，从预算到执行和收入、支出都在合理范围内，预算、决算数信息全部公开，严格按照规定进行，全年收支平衡，结余已经全部上缴财政，有效保证机构运转，圆满完成了区人大常委会制定的工作目标和上级下达的任务。为全区发展营造了良好的环境，取得了一定的经济效益、社会效益、生态效益。</w:t>
      </w:r>
    </w:p>
    <w:p>
      <w:pPr>
        <w:spacing w:line="600" w:lineRule="exact"/>
        <w:ind w:firstLine="642" w:firstLineChars="200"/>
        <w:rPr>
          <w:rFonts w:ascii="方正楷体_GBK" w:hAnsi="仿宋" w:eastAsia="方正楷体_GBK"/>
          <w:b/>
          <w:bCs/>
          <w:color w:val="000000"/>
          <w:sz w:val="32"/>
          <w:szCs w:val="32"/>
          <w:lang w:val="zh-CN"/>
        </w:rPr>
      </w:pPr>
      <w:r>
        <w:rPr>
          <w:rFonts w:hint="eastAsia" w:ascii="方正楷体_GBK" w:hAnsi="仿宋" w:eastAsia="方正楷体_GBK"/>
          <w:b/>
          <w:bCs/>
          <w:color w:val="000000"/>
          <w:sz w:val="32"/>
          <w:szCs w:val="32"/>
          <w:lang w:val="zh-CN"/>
        </w:rPr>
        <w:t>（二）存在问题。</w:t>
      </w:r>
    </w:p>
    <w:p>
      <w:pPr>
        <w:snapToGrid w:val="0"/>
        <w:spacing w:line="600" w:lineRule="exact"/>
        <w:ind w:firstLine="640" w:firstLineChars="200"/>
        <w:rPr>
          <w:rFonts w:ascii="方正仿宋_GBK" w:eastAsia="方正仿宋_GBK"/>
          <w:lang w:val="zh-CN"/>
        </w:rPr>
      </w:pPr>
      <w:r>
        <w:rPr>
          <w:rFonts w:hint="eastAsia" w:ascii="方正仿宋_GBK" w:eastAsia="方正仿宋_GBK"/>
          <w:sz w:val="32"/>
          <w:szCs w:val="32"/>
        </w:rPr>
        <w:t>一是人员变动大，也受疫情影响，中途调整预算多。二是绩效目标准确性低。</w:t>
      </w:r>
    </w:p>
    <w:p>
      <w:pPr>
        <w:spacing w:line="600" w:lineRule="exact"/>
        <w:ind w:firstLine="642" w:firstLineChars="200"/>
        <w:rPr>
          <w:rFonts w:ascii="方正楷体_GBK" w:hAnsi="仿宋" w:eastAsia="方正楷体_GBK"/>
          <w:b/>
          <w:bCs/>
          <w:color w:val="000000"/>
          <w:sz w:val="32"/>
          <w:szCs w:val="32"/>
          <w:lang w:val="zh-CN"/>
        </w:rPr>
      </w:pPr>
      <w:r>
        <w:rPr>
          <w:rFonts w:hint="eastAsia" w:ascii="方正楷体_GBK" w:hAnsi="仿宋" w:eastAsia="方正楷体_GBK"/>
          <w:b/>
          <w:bCs/>
          <w:color w:val="000000"/>
          <w:sz w:val="32"/>
          <w:szCs w:val="32"/>
          <w:lang w:val="zh-CN"/>
        </w:rPr>
        <w:t>（三）改进建议。</w:t>
      </w:r>
    </w:p>
    <w:p>
      <w:pPr>
        <w:pStyle w:val="2"/>
        <w:spacing w:before="93" w:line="600" w:lineRule="exact"/>
        <w:ind w:firstLine="640" w:firstLineChars="200"/>
        <w:rPr>
          <w:rFonts w:ascii="方正仿宋_GBK" w:hAnsi="宋体" w:eastAsia="方正仿宋_GBK" w:cs="宋体"/>
          <w:sz w:val="32"/>
          <w:szCs w:val="32"/>
          <w:shd w:val="clear" w:color="auto" w:fill="FFFFFF"/>
          <w:lang w:val="zh-CN"/>
        </w:rPr>
      </w:pPr>
      <w:r>
        <w:rPr>
          <w:rFonts w:hint="eastAsia" w:ascii="方正仿宋_GBK" w:eastAsia="方正仿宋_GBK"/>
          <w:color w:val="000000"/>
          <w:sz w:val="32"/>
          <w:szCs w:val="32"/>
          <w:shd w:val="clear" w:color="auto" w:fill="FFFFFF"/>
        </w:rPr>
        <w:t>加强预算管理意识，严格按照预算编制的相关制度和要求，进一步提高预算编制的科学性、合理性、严谨性和可控性。单位应强化责任意识、细化工作措施，夯实管理基础，加强统筹协调，不断提高管理水平和能力，切实抓好部门预算和执行等管理工作，促进财政资金使用绩效的不断提高。建议财政部门定期组织绩效管理业务培训，提高绩效管理人员的业务水平，促进财政资金使用绩效的不断提高。</w:t>
      </w:r>
    </w:p>
    <w:p>
      <w:pPr>
        <w:pStyle w:val="2"/>
        <w:spacing w:before="93" w:line="600" w:lineRule="exact"/>
        <w:rPr>
          <w:rFonts w:hAnsi="宋体" w:cs="宋体"/>
          <w:sz w:val="32"/>
          <w:szCs w:val="32"/>
          <w:shd w:val="clear" w:color="auto" w:fill="FFFFFF"/>
          <w:lang w:val="zh-CN"/>
        </w:rPr>
      </w:pPr>
    </w:p>
    <w:p>
      <w:pPr>
        <w:pStyle w:val="2"/>
        <w:spacing w:before="93" w:line="600" w:lineRule="exact"/>
        <w:rPr>
          <w:rFonts w:hAnsi="宋体" w:cs="宋体"/>
          <w:sz w:val="32"/>
          <w:szCs w:val="32"/>
          <w:shd w:val="clear" w:color="auto" w:fill="FFFFFF"/>
          <w:lang w:val="zh-CN"/>
        </w:rPr>
      </w:pPr>
    </w:p>
    <w:p>
      <w:pPr>
        <w:pStyle w:val="2"/>
        <w:spacing w:before="93"/>
      </w:pPr>
    </w:p>
    <w:p>
      <w:pPr>
        <w:pStyle w:val="2"/>
        <w:spacing w:before="93"/>
      </w:pPr>
    </w:p>
    <w:p>
      <w:pPr>
        <w:pStyle w:val="2"/>
        <w:spacing w:before="93"/>
      </w:pPr>
    </w:p>
    <w:p>
      <w:pPr>
        <w:pStyle w:val="2"/>
        <w:spacing w:before="93"/>
      </w:pPr>
    </w:p>
    <w:p>
      <w:pPr>
        <w:pStyle w:val="2"/>
        <w:spacing w:before="93"/>
      </w:pPr>
    </w:p>
    <w:p>
      <w:pPr>
        <w:pStyle w:val="2"/>
        <w:spacing w:before="93"/>
      </w:pPr>
    </w:p>
    <w:tbl>
      <w:tblPr>
        <w:tblStyle w:val="14"/>
        <w:tblpPr w:leftFromText="180" w:rightFromText="180" w:vertAnchor="text" w:horzAnchor="margin" w:tblpXSpec="center" w:tblpY="811"/>
        <w:tblOverlap w:val="never"/>
        <w:tblW w:w="9811" w:type="dxa"/>
        <w:tblInd w:w="0" w:type="dxa"/>
        <w:tblLayout w:type="fixed"/>
        <w:tblCellMar>
          <w:top w:w="0" w:type="dxa"/>
          <w:left w:w="108" w:type="dxa"/>
          <w:bottom w:w="0" w:type="dxa"/>
          <w:right w:w="108" w:type="dxa"/>
        </w:tblCellMar>
      </w:tblPr>
      <w:tblGrid>
        <w:gridCol w:w="1976"/>
        <w:gridCol w:w="1142"/>
        <w:gridCol w:w="1635"/>
        <w:gridCol w:w="1189"/>
        <w:gridCol w:w="1396"/>
        <w:gridCol w:w="2219"/>
        <w:gridCol w:w="254"/>
      </w:tblGrid>
      <w:tr>
        <w:tblPrEx>
          <w:tblCellMar>
            <w:top w:w="0" w:type="dxa"/>
            <w:left w:w="108" w:type="dxa"/>
            <w:bottom w:w="0" w:type="dxa"/>
            <w:right w:w="108" w:type="dxa"/>
          </w:tblCellMar>
        </w:tblPrEx>
        <w:trPr>
          <w:trHeight w:val="675" w:hRule="atLeast"/>
        </w:trPr>
        <w:tc>
          <w:tcPr>
            <w:tcW w:w="9557" w:type="dxa"/>
            <w:gridSpan w:val="6"/>
            <w:tcBorders>
              <w:top w:val="nil"/>
              <w:left w:val="nil"/>
              <w:bottom w:val="nil"/>
              <w:right w:val="nil"/>
            </w:tcBorders>
            <w:shd w:val="clear" w:color="auto" w:fill="auto"/>
            <w:vAlign w:val="center"/>
          </w:tcPr>
          <w:p>
            <w:pPr>
              <w:widowControl/>
              <w:jc w:val="center"/>
              <w:textAlignment w:val="center"/>
              <w:rPr>
                <w:b/>
                <w:sz w:val="32"/>
                <w:szCs w:val="32"/>
              </w:rPr>
            </w:pPr>
            <w:r>
              <w:rPr>
                <w:b/>
                <w:sz w:val="32"/>
                <w:szCs w:val="32"/>
              </w:rPr>
              <w:t>2021年部门预算项目绩效目标自评</w:t>
            </w:r>
          </w:p>
        </w:tc>
        <w:tc>
          <w:tcPr>
            <w:tcW w:w="254" w:type="dxa"/>
            <w:tcBorders>
              <w:top w:val="nil"/>
              <w:left w:val="nil"/>
              <w:bottom w:val="nil"/>
              <w:right w:val="nil"/>
            </w:tcBorders>
            <w:shd w:val="clear" w:color="auto" w:fill="auto"/>
            <w:vAlign w:val="center"/>
          </w:tcPr>
          <w:p>
            <w:pPr>
              <w:widowControl/>
              <w:jc w:val="center"/>
              <w:textAlignment w:val="center"/>
              <w:rPr>
                <w:b/>
                <w:kern w:val="0"/>
                <w:sz w:val="32"/>
                <w:szCs w:val="32"/>
              </w:rPr>
            </w:pPr>
          </w:p>
        </w:tc>
      </w:tr>
      <w:tr>
        <w:tblPrEx>
          <w:tblCellMar>
            <w:top w:w="0" w:type="dxa"/>
            <w:left w:w="108" w:type="dxa"/>
            <w:bottom w:w="0" w:type="dxa"/>
            <w:right w:w="108" w:type="dxa"/>
          </w:tblCellMar>
        </w:tblPrEx>
        <w:trPr>
          <w:gridAfter w:val="1"/>
          <w:wAfter w:w="254" w:type="dxa"/>
          <w:trHeight w:val="254" w:hRule="atLeast"/>
        </w:trPr>
        <w:tc>
          <w:tcPr>
            <w:tcW w:w="31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sz w:val="24"/>
              </w:rPr>
            </w:pPr>
            <w:r>
              <w:rPr>
                <w:kern w:val="0"/>
                <w:sz w:val="24"/>
              </w:rPr>
              <w:t>主管部门及代码</w:t>
            </w:r>
          </w:p>
        </w:tc>
        <w:tc>
          <w:tcPr>
            <w:tcW w:w="28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textAlignment w:val="center"/>
              <w:rPr>
                <w:sz w:val="24"/>
              </w:rPr>
            </w:pPr>
            <w:r>
              <w:rPr>
                <w:rFonts w:hint="eastAsia"/>
                <w:sz w:val="24"/>
              </w:rPr>
              <w:t>101001</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sz w:val="24"/>
              </w:rPr>
            </w:pPr>
            <w:r>
              <w:rPr>
                <w:kern w:val="0"/>
                <w:sz w:val="24"/>
              </w:rPr>
              <w:t>实施单位</w:t>
            </w:r>
          </w:p>
        </w:tc>
        <w:tc>
          <w:tcPr>
            <w:tcW w:w="22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sz w:val="24"/>
              </w:rPr>
            </w:pPr>
            <w:r>
              <w:rPr>
                <w:rFonts w:hint="eastAsia"/>
                <w:sz w:val="24"/>
              </w:rPr>
              <w:t>区人大</w:t>
            </w:r>
          </w:p>
        </w:tc>
      </w:tr>
      <w:tr>
        <w:tblPrEx>
          <w:tblCellMar>
            <w:top w:w="0" w:type="dxa"/>
            <w:left w:w="108" w:type="dxa"/>
            <w:bottom w:w="0" w:type="dxa"/>
            <w:right w:w="108" w:type="dxa"/>
          </w:tblCellMar>
        </w:tblPrEx>
        <w:trPr>
          <w:gridAfter w:val="1"/>
          <w:wAfter w:w="254" w:type="dxa"/>
          <w:trHeight w:val="341" w:hRule="atLeast"/>
        </w:trPr>
        <w:tc>
          <w:tcPr>
            <w:tcW w:w="311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kern w:val="0"/>
                <w:sz w:val="24"/>
              </w:rPr>
            </w:pPr>
            <w:r>
              <w:rPr>
                <w:kern w:val="0"/>
                <w:sz w:val="24"/>
              </w:rPr>
              <w:t>项目预算</w:t>
            </w:r>
          </w:p>
          <w:p>
            <w:pPr>
              <w:widowControl/>
              <w:spacing w:line="320" w:lineRule="exact"/>
              <w:jc w:val="center"/>
              <w:textAlignment w:val="center"/>
              <w:rPr>
                <w:kern w:val="0"/>
                <w:sz w:val="24"/>
              </w:rPr>
            </w:pPr>
            <w:r>
              <w:rPr>
                <w:kern w:val="0"/>
                <w:sz w:val="24"/>
              </w:rPr>
              <w:t>执行情况</w:t>
            </w:r>
          </w:p>
          <w:p>
            <w:pPr>
              <w:widowControl/>
              <w:spacing w:line="320" w:lineRule="exact"/>
              <w:jc w:val="center"/>
              <w:textAlignment w:val="center"/>
              <w:rPr>
                <w:sz w:val="24"/>
              </w:rPr>
            </w:pPr>
            <w:r>
              <w:rPr>
                <w:kern w:val="0"/>
                <w:sz w:val="24"/>
              </w:rPr>
              <w:t>（万元）</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sz w:val="24"/>
              </w:rPr>
            </w:pPr>
            <w:r>
              <w:rPr>
                <w:kern w:val="0"/>
                <w:sz w:val="24"/>
              </w:rPr>
              <w:t xml:space="preserve"> 预算数：</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sz w:val="24"/>
              </w:rPr>
            </w:pPr>
            <w:r>
              <w:rPr>
                <w:sz w:val="24"/>
              </w:rPr>
              <w:t>58.39</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sz w:val="24"/>
              </w:rPr>
            </w:pPr>
            <w:r>
              <w:rPr>
                <w:kern w:val="0"/>
                <w:sz w:val="24"/>
              </w:rPr>
              <w:t xml:space="preserve"> 执行数：</w:t>
            </w:r>
          </w:p>
        </w:tc>
        <w:tc>
          <w:tcPr>
            <w:tcW w:w="22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sz w:val="24"/>
              </w:rPr>
            </w:pPr>
            <w:r>
              <w:rPr>
                <w:sz w:val="24"/>
              </w:rPr>
              <w:t>58.39</w:t>
            </w:r>
          </w:p>
        </w:tc>
      </w:tr>
      <w:tr>
        <w:tblPrEx>
          <w:tblCellMar>
            <w:top w:w="0" w:type="dxa"/>
            <w:left w:w="108" w:type="dxa"/>
            <w:bottom w:w="0" w:type="dxa"/>
            <w:right w:w="108" w:type="dxa"/>
          </w:tblCellMar>
        </w:tblPrEx>
        <w:trPr>
          <w:gridAfter w:val="1"/>
          <w:wAfter w:w="254" w:type="dxa"/>
          <w:trHeight w:val="555" w:hRule="atLeast"/>
        </w:trPr>
        <w:tc>
          <w:tcPr>
            <w:tcW w:w="311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20" w:lineRule="exact"/>
              <w:jc w:val="center"/>
              <w:rPr>
                <w:sz w:val="24"/>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kern w:val="0"/>
                <w:sz w:val="24"/>
              </w:rPr>
            </w:pPr>
            <w:r>
              <w:rPr>
                <w:kern w:val="0"/>
                <w:sz w:val="24"/>
              </w:rPr>
              <w:t>其中：</w:t>
            </w:r>
          </w:p>
          <w:p>
            <w:pPr>
              <w:widowControl/>
              <w:spacing w:line="320" w:lineRule="exact"/>
              <w:jc w:val="left"/>
              <w:textAlignment w:val="center"/>
              <w:rPr>
                <w:sz w:val="24"/>
              </w:rPr>
            </w:pPr>
            <w:r>
              <w:rPr>
                <w:kern w:val="0"/>
                <w:sz w:val="24"/>
              </w:rPr>
              <w:t>财政拨款</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sz w:val="24"/>
              </w:rPr>
            </w:pPr>
            <w:r>
              <w:rPr>
                <w:sz w:val="24"/>
              </w:rPr>
              <w:t>58.39</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kern w:val="0"/>
                <w:sz w:val="24"/>
              </w:rPr>
            </w:pPr>
            <w:r>
              <w:rPr>
                <w:kern w:val="0"/>
                <w:sz w:val="24"/>
              </w:rPr>
              <w:t>其中：</w:t>
            </w:r>
          </w:p>
          <w:p>
            <w:pPr>
              <w:widowControl/>
              <w:spacing w:line="320" w:lineRule="exact"/>
              <w:jc w:val="left"/>
              <w:textAlignment w:val="center"/>
              <w:rPr>
                <w:sz w:val="24"/>
              </w:rPr>
            </w:pPr>
            <w:r>
              <w:rPr>
                <w:kern w:val="0"/>
                <w:sz w:val="24"/>
              </w:rPr>
              <w:t>财政拨款</w:t>
            </w:r>
          </w:p>
        </w:tc>
        <w:tc>
          <w:tcPr>
            <w:tcW w:w="22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sz w:val="24"/>
              </w:rPr>
            </w:pPr>
            <w:r>
              <w:rPr>
                <w:sz w:val="24"/>
              </w:rPr>
              <w:t>58.39</w:t>
            </w:r>
          </w:p>
        </w:tc>
      </w:tr>
      <w:tr>
        <w:tblPrEx>
          <w:tblCellMar>
            <w:top w:w="0" w:type="dxa"/>
            <w:left w:w="108" w:type="dxa"/>
            <w:bottom w:w="0" w:type="dxa"/>
            <w:right w:w="108" w:type="dxa"/>
          </w:tblCellMar>
        </w:tblPrEx>
        <w:trPr>
          <w:gridAfter w:val="1"/>
          <w:wAfter w:w="254" w:type="dxa"/>
          <w:trHeight w:val="341" w:hRule="atLeast"/>
        </w:trPr>
        <w:tc>
          <w:tcPr>
            <w:tcW w:w="311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20" w:lineRule="exact"/>
              <w:jc w:val="center"/>
              <w:rPr>
                <w:sz w:val="24"/>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sz w:val="24"/>
              </w:rPr>
            </w:pPr>
            <w:r>
              <w:rPr>
                <w:kern w:val="0"/>
                <w:sz w:val="24"/>
              </w:rPr>
              <w:t>其他资金</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sz w:val="24"/>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sz w:val="24"/>
              </w:rPr>
            </w:pPr>
            <w:r>
              <w:rPr>
                <w:kern w:val="0"/>
                <w:sz w:val="24"/>
              </w:rPr>
              <w:t>其他资金</w:t>
            </w:r>
          </w:p>
        </w:tc>
        <w:tc>
          <w:tcPr>
            <w:tcW w:w="22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sz w:val="24"/>
              </w:rPr>
            </w:pPr>
          </w:p>
        </w:tc>
      </w:tr>
      <w:tr>
        <w:tblPrEx>
          <w:tblCellMar>
            <w:top w:w="0" w:type="dxa"/>
            <w:left w:w="108" w:type="dxa"/>
            <w:bottom w:w="0" w:type="dxa"/>
            <w:right w:w="108" w:type="dxa"/>
          </w:tblCellMar>
        </w:tblPrEx>
        <w:trPr>
          <w:gridAfter w:val="1"/>
          <w:wAfter w:w="254" w:type="dxa"/>
          <w:trHeight w:val="217" w:hRule="atLeast"/>
        </w:trPr>
        <w:tc>
          <w:tcPr>
            <w:tcW w:w="1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kern w:val="0"/>
                <w:sz w:val="24"/>
              </w:rPr>
            </w:pPr>
            <w:r>
              <w:rPr>
                <w:kern w:val="0"/>
                <w:sz w:val="24"/>
              </w:rPr>
              <w:t>年度总体目标</w:t>
            </w:r>
          </w:p>
          <w:p>
            <w:pPr>
              <w:widowControl/>
              <w:spacing w:line="320" w:lineRule="exact"/>
              <w:jc w:val="center"/>
              <w:textAlignment w:val="center"/>
              <w:rPr>
                <w:sz w:val="24"/>
              </w:rPr>
            </w:pPr>
            <w:r>
              <w:rPr>
                <w:kern w:val="0"/>
                <w:sz w:val="24"/>
              </w:rPr>
              <w:t>完成情况</w:t>
            </w:r>
          </w:p>
        </w:tc>
        <w:tc>
          <w:tcPr>
            <w:tcW w:w="396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sz w:val="24"/>
              </w:rPr>
            </w:pPr>
            <w:r>
              <w:rPr>
                <w:kern w:val="0"/>
                <w:sz w:val="24"/>
              </w:rPr>
              <w:t>预期目标</w:t>
            </w:r>
          </w:p>
        </w:tc>
        <w:tc>
          <w:tcPr>
            <w:tcW w:w="36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sz w:val="24"/>
              </w:rPr>
            </w:pPr>
            <w:r>
              <w:rPr>
                <w:kern w:val="0"/>
                <w:sz w:val="24"/>
              </w:rPr>
              <w:t>目标实际完成情况</w:t>
            </w:r>
          </w:p>
        </w:tc>
      </w:tr>
      <w:tr>
        <w:tblPrEx>
          <w:tblCellMar>
            <w:top w:w="0" w:type="dxa"/>
            <w:left w:w="108" w:type="dxa"/>
            <w:bottom w:w="0" w:type="dxa"/>
            <w:right w:w="108" w:type="dxa"/>
          </w:tblCellMar>
        </w:tblPrEx>
        <w:trPr>
          <w:gridAfter w:val="1"/>
          <w:wAfter w:w="254" w:type="dxa"/>
          <w:trHeight w:val="797" w:hRule="atLeast"/>
        </w:trPr>
        <w:tc>
          <w:tcPr>
            <w:tcW w:w="1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20" w:lineRule="exact"/>
              <w:jc w:val="center"/>
              <w:rPr>
                <w:sz w:val="24"/>
              </w:rPr>
            </w:pPr>
          </w:p>
        </w:tc>
        <w:tc>
          <w:tcPr>
            <w:tcW w:w="3966" w:type="dxa"/>
            <w:gridSpan w:val="3"/>
            <w:tcBorders>
              <w:top w:val="single" w:color="000000" w:sz="4" w:space="0"/>
              <w:left w:val="single" w:color="000000" w:sz="4" w:space="0"/>
              <w:bottom w:val="single" w:color="000000" w:sz="4" w:space="0"/>
              <w:right w:val="single" w:color="000000" w:sz="4" w:space="0"/>
            </w:tcBorders>
            <w:shd w:val="clear" w:color="auto" w:fill="auto"/>
          </w:tcPr>
          <w:p>
            <w:pPr>
              <w:widowControl/>
              <w:spacing w:line="320" w:lineRule="exact"/>
              <w:jc w:val="left"/>
              <w:textAlignment w:val="center"/>
              <w:rPr>
                <w:rFonts w:ascii="方正仿宋_GBK" w:eastAsia="方正仿宋_GBK"/>
                <w:sz w:val="15"/>
                <w:szCs w:val="15"/>
              </w:rPr>
            </w:pPr>
            <w:r>
              <w:rPr>
                <w:rFonts w:hint="eastAsia" w:ascii="方正仿宋_GBK" w:eastAsia="方正仿宋_GBK"/>
                <w:sz w:val="15"/>
                <w:szCs w:val="15"/>
              </w:rPr>
              <w:t>全面落实中央和省委、市委、区委要求，紧紧围绕全区工作大局，团结和依靠全体代表，认真履行宪法和法律赋予的各项职权。</w:t>
            </w:r>
          </w:p>
        </w:tc>
        <w:tc>
          <w:tcPr>
            <w:tcW w:w="3615" w:type="dxa"/>
            <w:gridSpan w:val="2"/>
            <w:tcBorders>
              <w:top w:val="single" w:color="000000" w:sz="4" w:space="0"/>
              <w:left w:val="single" w:color="000000" w:sz="4" w:space="0"/>
              <w:bottom w:val="single" w:color="000000" w:sz="4" w:space="0"/>
              <w:right w:val="single" w:color="000000" w:sz="4" w:space="0"/>
            </w:tcBorders>
            <w:shd w:val="clear" w:color="auto" w:fill="auto"/>
          </w:tcPr>
          <w:p>
            <w:pPr>
              <w:widowControl/>
              <w:spacing w:line="320" w:lineRule="exact"/>
              <w:jc w:val="left"/>
              <w:textAlignment w:val="center"/>
              <w:rPr>
                <w:rFonts w:ascii="方正仿宋_GBK" w:eastAsia="方正仿宋_GBK"/>
                <w:sz w:val="15"/>
                <w:szCs w:val="15"/>
              </w:rPr>
            </w:pPr>
            <w:r>
              <w:rPr>
                <w:rFonts w:hint="eastAsia" w:ascii="方正仿宋_GBK" w:eastAsia="方正仿宋_GBK"/>
                <w:sz w:val="15"/>
                <w:szCs w:val="15"/>
              </w:rPr>
              <w:t>完成2021年度基层立法联系工作计划，不断提高立法质量。</w:t>
            </w:r>
          </w:p>
        </w:tc>
      </w:tr>
      <w:tr>
        <w:tblPrEx>
          <w:tblCellMar>
            <w:top w:w="0" w:type="dxa"/>
            <w:left w:w="108" w:type="dxa"/>
            <w:bottom w:w="0" w:type="dxa"/>
            <w:right w:w="108" w:type="dxa"/>
          </w:tblCellMar>
        </w:tblPrEx>
        <w:trPr>
          <w:gridAfter w:val="1"/>
          <w:wAfter w:w="254" w:type="dxa"/>
          <w:trHeight w:val="693" w:hRule="atLeast"/>
        </w:trPr>
        <w:tc>
          <w:tcPr>
            <w:tcW w:w="1976" w:type="dxa"/>
            <w:vMerge w:val="restart"/>
            <w:tcBorders>
              <w:top w:val="single" w:color="000000" w:sz="4" w:space="0"/>
              <w:left w:val="single" w:color="000000" w:sz="4" w:space="0"/>
              <w:right w:val="single" w:color="000000" w:sz="4" w:space="0"/>
            </w:tcBorders>
            <w:shd w:val="clear" w:color="auto" w:fill="auto"/>
            <w:vAlign w:val="center"/>
          </w:tcPr>
          <w:p>
            <w:pPr>
              <w:widowControl/>
              <w:spacing w:line="320" w:lineRule="exact"/>
              <w:jc w:val="center"/>
              <w:textAlignment w:val="center"/>
              <w:rPr>
                <w:rFonts w:eastAsia="仿宋_GB2312"/>
                <w:sz w:val="28"/>
                <w:szCs w:val="28"/>
              </w:rPr>
            </w:pPr>
            <w:r>
              <w:rPr>
                <w:rFonts w:eastAsia="仿宋_GB2312"/>
                <w:kern w:val="0"/>
                <w:sz w:val="28"/>
                <w:szCs w:val="28"/>
              </w:rPr>
              <w:t>年度绩效指标完成情况</w:t>
            </w:r>
          </w:p>
        </w:tc>
        <w:tc>
          <w:tcPr>
            <w:tcW w:w="1142" w:type="dxa"/>
            <w:tcBorders>
              <w:top w:val="single" w:color="000000" w:sz="4" w:space="0"/>
              <w:left w:val="nil"/>
              <w:bottom w:val="single" w:color="000000" w:sz="4" w:space="0"/>
              <w:right w:val="single" w:color="000000" w:sz="4" w:space="0"/>
            </w:tcBorders>
            <w:shd w:val="clear" w:color="auto" w:fill="auto"/>
            <w:vAlign w:val="center"/>
          </w:tcPr>
          <w:p>
            <w:pPr>
              <w:widowControl/>
              <w:spacing w:line="320" w:lineRule="exact"/>
              <w:jc w:val="center"/>
              <w:textAlignment w:val="center"/>
              <w:rPr>
                <w:rFonts w:eastAsia="仿宋_GB2312"/>
                <w:kern w:val="0"/>
                <w:sz w:val="28"/>
                <w:szCs w:val="28"/>
              </w:rPr>
            </w:pPr>
            <w:r>
              <w:rPr>
                <w:rFonts w:eastAsia="仿宋_GB2312"/>
                <w:kern w:val="0"/>
                <w:sz w:val="28"/>
                <w:szCs w:val="28"/>
              </w:rPr>
              <w:t>一级</w:t>
            </w:r>
          </w:p>
          <w:p>
            <w:pPr>
              <w:widowControl/>
              <w:spacing w:line="320" w:lineRule="exact"/>
              <w:jc w:val="center"/>
              <w:textAlignment w:val="center"/>
              <w:rPr>
                <w:rFonts w:eastAsia="仿宋_GB2312"/>
                <w:sz w:val="28"/>
                <w:szCs w:val="28"/>
              </w:rPr>
            </w:pPr>
            <w:r>
              <w:rPr>
                <w:rFonts w:eastAsia="仿宋_GB2312"/>
                <w:kern w:val="0"/>
                <w:sz w:val="28"/>
                <w:szCs w:val="28"/>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eastAsia="仿宋_GB2312"/>
                <w:kern w:val="0"/>
                <w:sz w:val="28"/>
                <w:szCs w:val="28"/>
              </w:rPr>
            </w:pPr>
            <w:r>
              <w:rPr>
                <w:rFonts w:eastAsia="仿宋_GB2312"/>
                <w:kern w:val="0"/>
                <w:sz w:val="28"/>
                <w:szCs w:val="28"/>
              </w:rPr>
              <w:t>二级</w:t>
            </w:r>
          </w:p>
          <w:p>
            <w:pPr>
              <w:widowControl/>
              <w:spacing w:line="320" w:lineRule="exact"/>
              <w:jc w:val="center"/>
              <w:textAlignment w:val="center"/>
              <w:rPr>
                <w:rFonts w:eastAsia="仿宋_GB2312"/>
                <w:sz w:val="28"/>
                <w:szCs w:val="28"/>
              </w:rPr>
            </w:pPr>
            <w:r>
              <w:rPr>
                <w:rFonts w:eastAsia="仿宋_GB2312"/>
                <w:kern w:val="0"/>
                <w:sz w:val="28"/>
                <w:szCs w:val="28"/>
              </w:rPr>
              <w:t>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eastAsia="仿宋_GB2312"/>
                <w:kern w:val="0"/>
                <w:sz w:val="28"/>
                <w:szCs w:val="28"/>
              </w:rPr>
            </w:pPr>
            <w:r>
              <w:rPr>
                <w:rFonts w:eastAsia="仿宋_GB2312"/>
                <w:kern w:val="0"/>
                <w:sz w:val="28"/>
                <w:szCs w:val="28"/>
              </w:rPr>
              <w:t>三级</w:t>
            </w:r>
          </w:p>
          <w:p>
            <w:pPr>
              <w:widowControl/>
              <w:spacing w:line="320" w:lineRule="exact"/>
              <w:jc w:val="center"/>
              <w:textAlignment w:val="center"/>
              <w:rPr>
                <w:rFonts w:eastAsia="仿宋_GB2312"/>
                <w:sz w:val="28"/>
                <w:szCs w:val="28"/>
              </w:rPr>
            </w:pPr>
            <w:r>
              <w:rPr>
                <w:rFonts w:eastAsia="仿宋_GB2312"/>
                <w:kern w:val="0"/>
                <w:sz w:val="28"/>
                <w:szCs w:val="28"/>
              </w:rPr>
              <w:t>指标</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eastAsia="仿宋_GB2312"/>
                <w:sz w:val="28"/>
                <w:szCs w:val="28"/>
              </w:rPr>
            </w:pPr>
            <w:r>
              <w:rPr>
                <w:rFonts w:eastAsia="仿宋_GB2312"/>
                <w:kern w:val="0"/>
                <w:sz w:val="28"/>
                <w:szCs w:val="28"/>
              </w:rPr>
              <w:t>预期指标值</w:t>
            </w:r>
          </w:p>
        </w:tc>
        <w:tc>
          <w:tcPr>
            <w:tcW w:w="22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eastAsia="仿宋_GB2312"/>
                <w:sz w:val="28"/>
                <w:szCs w:val="28"/>
              </w:rPr>
            </w:pPr>
            <w:r>
              <w:rPr>
                <w:rFonts w:eastAsia="仿宋_GB2312"/>
                <w:kern w:val="0"/>
                <w:sz w:val="28"/>
                <w:szCs w:val="28"/>
              </w:rPr>
              <w:t>实际完成指标值</w:t>
            </w:r>
          </w:p>
        </w:tc>
      </w:tr>
      <w:tr>
        <w:tblPrEx>
          <w:tblCellMar>
            <w:top w:w="0" w:type="dxa"/>
            <w:left w:w="108" w:type="dxa"/>
            <w:bottom w:w="0" w:type="dxa"/>
            <w:right w:w="108" w:type="dxa"/>
          </w:tblCellMar>
        </w:tblPrEx>
        <w:trPr>
          <w:gridAfter w:val="1"/>
          <w:wAfter w:w="254" w:type="dxa"/>
          <w:trHeight w:val="415" w:hRule="atLeast"/>
        </w:trPr>
        <w:tc>
          <w:tcPr>
            <w:tcW w:w="1976" w:type="dxa"/>
            <w:vMerge w:val="continue"/>
            <w:tcBorders>
              <w:left w:val="single" w:color="000000" w:sz="4" w:space="0"/>
              <w:right w:val="single" w:color="000000" w:sz="4" w:space="0"/>
            </w:tcBorders>
            <w:shd w:val="clear" w:color="auto" w:fill="auto"/>
            <w:vAlign w:val="center"/>
          </w:tcPr>
          <w:p>
            <w:pPr>
              <w:spacing w:line="320" w:lineRule="exact"/>
              <w:jc w:val="center"/>
              <w:rPr>
                <w:rFonts w:eastAsia="仿宋_GB2312"/>
                <w:sz w:val="28"/>
                <w:szCs w:val="28"/>
              </w:rPr>
            </w:pPr>
          </w:p>
        </w:tc>
        <w:tc>
          <w:tcPr>
            <w:tcW w:w="11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eastAsia="仿宋_GB2312"/>
                <w:kern w:val="0"/>
                <w:sz w:val="28"/>
                <w:szCs w:val="28"/>
              </w:rPr>
            </w:pPr>
            <w:r>
              <w:rPr>
                <w:rFonts w:eastAsia="仿宋_GB2312"/>
                <w:kern w:val="0"/>
                <w:sz w:val="28"/>
                <w:szCs w:val="28"/>
              </w:rPr>
              <w:t>完成</w:t>
            </w:r>
          </w:p>
          <w:p>
            <w:pPr>
              <w:widowControl/>
              <w:spacing w:line="320" w:lineRule="exact"/>
              <w:jc w:val="center"/>
              <w:textAlignment w:val="bottom"/>
              <w:rPr>
                <w:rFonts w:eastAsia="仿宋_GB2312"/>
                <w:sz w:val="28"/>
                <w:szCs w:val="28"/>
              </w:rPr>
            </w:pPr>
            <w:r>
              <w:rPr>
                <w:rFonts w:eastAsia="仿宋_GB2312"/>
                <w:kern w:val="0"/>
                <w:sz w:val="28"/>
                <w:szCs w:val="28"/>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eastAsia="仿宋_GB2312"/>
                <w:kern w:val="0"/>
                <w:sz w:val="28"/>
                <w:szCs w:val="28"/>
              </w:rPr>
            </w:pPr>
            <w:r>
              <w:rPr>
                <w:rFonts w:eastAsia="仿宋_GB2312"/>
                <w:kern w:val="0"/>
                <w:sz w:val="28"/>
                <w:szCs w:val="28"/>
              </w:rPr>
              <w:t>数量指标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80" w:lineRule="exact"/>
              <w:textAlignment w:val="bottom"/>
              <w:rPr>
                <w:rFonts w:ascii="方正仿宋_GBK" w:eastAsia="方正仿宋_GBK"/>
                <w:sz w:val="15"/>
                <w:szCs w:val="15"/>
              </w:rPr>
            </w:pPr>
            <w:r>
              <w:rPr>
                <w:rFonts w:hint="eastAsia" w:ascii="方正仿宋_GBK" w:eastAsia="方正仿宋_GBK"/>
                <w:sz w:val="15"/>
                <w:szCs w:val="15"/>
              </w:rPr>
              <w:t>保障人大13名公务员、4名事业编、18名退休人员，2名临聘人员的待遇</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80" w:lineRule="exact"/>
              <w:textAlignment w:val="bottom"/>
              <w:rPr>
                <w:rFonts w:ascii="方正仿宋_GBK" w:eastAsia="方正仿宋_GBK"/>
                <w:sz w:val="15"/>
                <w:szCs w:val="15"/>
              </w:rPr>
            </w:pPr>
            <w:r>
              <w:rPr>
                <w:rFonts w:hint="eastAsia" w:ascii="方正仿宋_GBK" w:eastAsia="方正仿宋_GBK"/>
                <w:sz w:val="15"/>
                <w:szCs w:val="15"/>
              </w:rPr>
              <w:t>按当年实际数量</w:t>
            </w:r>
          </w:p>
        </w:tc>
        <w:tc>
          <w:tcPr>
            <w:tcW w:w="22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80" w:lineRule="exact"/>
              <w:jc w:val="center"/>
              <w:textAlignment w:val="bottom"/>
              <w:rPr>
                <w:rFonts w:ascii="方正仿宋_GBK" w:eastAsia="方正仿宋_GBK"/>
                <w:sz w:val="15"/>
                <w:szCs w:val="15"/>
              </w:rPr>
            </w:pPr>
            <w:r>
              <w:rPr>
                <w:rFonts w:hint="eastAsia" w:ascii="方正仿宋_GBK" w:eastAsia="方正仿宋_GBK"/>
                <w:sz w:val="15"/>
                <w:szCs w:val="15"/>
              </w:rPr>
              <w:t>100%</w:t>
            </w:r>
          </w:p>
        </w:tc>
      </w:tr>
      <w:tr>
        <w:tblPrEx>
          <w:tblCellMar>
            <w:top w:w="0" w:type="dxa"/>
            <w:left w:w="108" w:type="dxa"/>
            <w:bottom w:w="0" w:type="dxa"/>
            <w:right w:w="108" w:type="dxa"/>
          </w:tblCellMar>
        </w:tblPrEx>
        <w:trPr>
          <w:gridAfter w:val="1"/>
          <w:wAfter w:w="254" w:type="dxa"/>
          <w:trHeight w:val="415" w:hRule="atLeast"/>
        </w:trPr>
        <w:tc>
          <w:tcPr>
            <w:tcW w:w="1976" w:type="dxa"/>
            <w:vMerge w:val="continue"/>
            <w:tcBorders>
              <w:left w:val="single" w:color="000000" w:sz="4" w:space="0"/>
              <w:right w:val="single" w:color="000000" w:sz="4" w:space="0"/>
            </w:tcBorders>
            <w:shd w:val="clear" w:color="auto" w:fill="auto"/>
            <w:vAlign w:val="center"/>
          </w:tcPr>
          <w:p>
            <w:pPr>
              <w:spacing w:line="320" w:lineRule="exact"/>
              <w:jc w:val="center"/>
              <w:rPr>
                <w:rFonts w:eastAsia="仿宋_GB2312"/>
                <w:sz w:val="28"/>
                <w:szCs w:val="28"/>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20" w:lineRule="exact"/>
              <w:jc w:val="center"/>
              <w:rPr>
                <w:rFonts w:eastAsia="仿宋_GB2312"/>
                <w:sz w:val="28"/>
                <w:szCs w:val="28"/>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eastAsia="仿宋_GB2312"/>
                <w:kern w:val="0"/>
                <w:sz w:val="28"/>
                <w:szCs w:val="28"/>
              </w:rPr>
            </w:pPr>
            <w:r>
              <w:rPr>
                <w:rFonts w:eastAsia="仿宋_GB2312"/>
                <w:kern w:val="0"/>
                <w:sz w:val="28"/>
                <w:szCs w:val="28"/>
              </w:rPr>
              <w:t>质量指标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80" w:lineRule="exact"/>
              <w:textAlignment w:val="bottom"/>
              <w:rPr>
                <w:rFonts w:ascii="方正仿宋_GBK" w:eastAsia="方正仿宋_GBK"/>
                <w:sz w:val="15"/>
                <w:szCs w:val="15"/>
              </w:rPr>
            </w:pPr>
            <w:r>
              <w:rPr>
                <w:rFonts w:hint="eastAsia" w:ascii="方正仿宋_GBK" w:eastAsia="方正仿宋_GBK"/>
                <w:sz w:val="15"/>
                <w:szCs w:val="15"/>
              </w:rPr>
              <w:t>保障十二届一次次人代会、换届选举，预算监督、代表闭会期间开展活动、培训等以及人大业务经费的正常支出</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abs>
                <w:tab w:val="left" w:pos="344"/>
              </w:tabs>
              <w:spacing w:line="180" w:lineRule="exact"/>
              <w:textAlignment w:val="bottom"/>
              <w:rPr>
                <w:rFonts w:ascii="方正仿宋_GBK" w:eastAsia="方正仿宋_GBK"/>
                <w:sz w:val="15"/>
                <w:szCs w:val="15"/>
              </w:rPr>
            </w:pPr>
            <w:r>
              <w:rPr>
                <w:rFonts w:hint="eastAsia" w:ascii="方正仿宋_GBK" w:eastAsia="方正仿宋_GBK"/>
                <w:sz w:val="15"/>
                <w:szCs w:val="15"/>
              </w:rPr>
              <w:t>已顺利召开了两次人代会，完成了换届选举，选取了165名区代表，保证了工作中正常开支</w:t>
            </w:r>
          </w:p>
        </w:tc>
        <w:tc>
          <w:tcPr>
            <w:tcW w:w="22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80" w:lineRule="exact"/>
              <w:jc w:val="center"/>
              <w:textAlignment w:val="bottom"/>
              <w:rPr>
                <w:rFonts w:ascii="方正仿宋_GBK" w:eastAsia="方正仿宋_GBK"/>
                <w:sz w:val="15"/>
                <w:szCs w:val="15"/>
              </w:rPr>
            </w:pPr>
            <w:r>
              <w:rPr>
                <w:rFonts w:hint="eastAsia" w:ascii="方正仿宋_GBK" w:eastAsia="方正仿宋_GBK"/>
                <w:sz w:val="15"/>
                <w:szCs w:val="15"/>
              </w:rPr>
              <w:t>100%</w:t>
            </w:r>
          </w:p>
        </w:tc>
      </w:tr>
      <w:tr>
        <w:tblPrEx>
          <w:tblCellMar>
            <w:top w:w="0" w:type="dxa"/>
            <w:left w:w="108" w:type="dxa"/>
            <w:bottom w:w="0" w:type="dxa"/>
            <w:right w:w="108" w:type="dxa"/>
          </w:tblCellMar>
        </w:tblPrEx>
        <w:trPr>
          <w:gridAfter w:val="1"/>
          <w:wAfter w:w="254" w:type="dxa"/>
          <w:trHeight w:val="415" w:hRule="atLeast"/>
        </w:trPr>
        <w:tc>
          <w:tcPr>
            <w:tcW w:w="1976" w:type="dxa"/>
            <w:vMerge w:val="continue"/>
            <w:tcBorders>
              <w:left w:val="single" w:color="000000" w:sz="4" w:space="0"/>
              <w:right w:val="single" w:color="000000" w:sz="4" w:space="0"/>
            </w:tcBorders>
            <w:shd w:val="clear" w:color="auto" w:fill="auto"/>
            <w:vAlign w:val="center"/>
          </w:tcPr>
          <w:p>
            <w:pPr>
              <w:spacing w:line="320" w:lineRule="exact"/>
              <w:jc w:val="center"/>
              <w:rPr>
                <w:rFonts w:eastAsia="仿宋_GB2312"/>
                <w:sz w:val="28"/>
                <w:szCs w:val="28"/>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20" w:lineRule="exact"/>
              <w:jc w:val="center"/>
              <w:rPr>
                <w:rFonts w:eastAsia="仿宋_GB2312"/>
                <w:sz w:val="28"/>
                <w:szCs w:val="28"/>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eastAsia="仿宋_GB2312"/>
                <w:kern w:val="0"/>
                <w:sz w:val="28"/>
                <w:szCs w:val="28"/>
              </w:rPr>
            </w:pPr>
            <w:r>
              <w:rPr>
                <w:rFonts w:eastAsia="仿宋_GB2312"/>
                <w:kern w:val="0"/>
                <w:sz w:val="28"/>
                <w:szCs w:val="28"/>
              </w:rPr>
              <w:t>时效指标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80" w:lineRule="exact"/>
              <w:textAlignment w:val="bottom"/>
              <w:rPr>
                <w:rFonts w:ascii="方正仿宋_GBK" w:eastAsia="方正仿宋_GBK"/>
                <w:sz w:val="15"/>
                <w:szCs w:val="15"/>
              </w:rPr>
            </w:pPr>
            <w:r>
              <w:rPr>
                <w:rFonts w:hint="eastAsia" w:ascii="方正仿宋_GBK" w:eastAsia="方正仿宋_GBK"/>
                <w:sz w:val="15"/>
                <w:szCs w:val="15"/>
              </w:rPr>
              <w:t>全年</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80" w:lineRule="exact"/>
              <w:textAlignment w:val="bottom"/>
              <w:rPr>
                <w:rFonts w:ascii="方正仿宋_GBK" w:eastAsia="方正仿宋_GBK"/>
                <w:sz w:val="15"/>
                <w:szCs w:val="15"/>
              </w:rPr>
            </w:pPr>
            <w:r>
              <w:rPr>
                <w:rFonts w:hint="eastAsia" w:ascii="方正仿宋_GBK" w:eastAsia="方正仿宋_GBK"/>
                <w:sz w:val="15"/>
                <w:szCs w:val="15"/>
              </w:rPr>
              <w:t>已完成</w:t>
            </w:r>
          </w:p>
        </w:tc>
        <w:tc>
          <w:tcPr>
            <w:tcW w:w="22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80" w:lineRule="exact"/>
              <w:jc w:val="center"/>
              <w:textAlignment w:val="bottom"/>
              <w:rPr>
                <w:rFonts w:ascii="方正仿宋_GBK" w:eastAsia="方正仿宋_GBK"/>
                <w:sz w:val="15"/>
                <w:szCs w:val="15"/>
              </w:rPr>
            </w:pPr>
            <w:r>
              <w:rPr>
                <w:rFonts w:hint="eastAsia" w:ascii="方正仿宋_GBK" w:eastAsia="方正仿宋_GBK"/>
                <w:sz w:val="15"/>
                <w:szCs w:val="15"/>
              </w:rPr>
              <w:t>100%</w:t>
            </w:r>
          </w:p>
        </w:tc>
      </w:tr>
      <w:tr>
        <w:tblPrEx>
          <w:tblCellMar>
            <w:top w:w="0" w:type="dxa"/>
            <w:left w:w="108" w:type="dxa"/>
            <w:bottom w:w="0" w:type="dxa"/>
            <w:right w:w="108" w:type="dxa"/>
          </w:tblCellMar>
        </w:tblPrEx>
        <w:trPr>
          <w:gridAfter w:val="1"/>
          <w:wAfter w:w="254" w:type="dxa"/>
          <w:trHeight w:val="560" w:hRule="atLeast"/>
        </w:trPr>
        <w:tc>
          <w:tcPr>
            <w:tcW w:w="1976" w:type="dxa"/>
            <w:vMerge w:val="continue"/>
            <w:tcBorders>
              <w:left w:val="single" w:color="000000" w:sz="4" w:space="0"/>
              <w:right w:val="single" w:color="000000" w:sz="4" w:space="0"/>
            </w:tcBorders>
            <w:shd w:val="clear" w:color="auto" w:fill="auto"/>
            <w:vAlign w:val="center"/>
          </w:tcPr>
          <w:p>
            <w:pPr>
              <w:spacing w:line="320" w:lineRule="exact"/>
              <w:jc w:val="center"/>
              <w:rPr>
                <w:rFonts w:eastAsia="仿宋_GB2312"/>
                <w:sz w:val="28"/>
                <w:szCs w:val="28"/>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20" w:lineRule="exact"/>
              <w:jc w:val="center"/>
              <w:rPr>
                <w:rFonts w:eastAsia="仿宋_GB2312"/>
                <w:sz w:val="28"/>
                <w:szCs w:val="28"/>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eastAsia="仿宋_GB2312"/>
                <w:kern w:val="0"/>
                <w:sz w:val="28"/>
                <w:szCs w:val="28"/>
              </w:rPr>
            </w:pPr>
            <w:r>
              <w:rPr>
                <w:rFonts w:eastAsia="仿宋_GB2312"/>
                <w:kern w:val="0"/>
                <w:sz w:val="28"/>
                <w:szCs w:val="28"/>
              </w:rPr>
              <w:t>成本指标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80" w:lineRule="exact"/>
              <w:textAlignment w:val="bottom"/>
              <w:rPr>
                <w:rFonts w:ascii="方正仿宋_GBK" w:eastAsia="方正仿宋_GBK"/>
                <w:sz w:val="15"/>
                <w:szCs w:val="15"/>
              </w:rPr>
            </w:pPr>
            <w:r>
              <w:rPr>
                <w:rFonts w:hint="eastAsia" w:ascii="方正仿宋_GBK" w:eastAsia="方正仿宋_GBK"/>
                <w:sz w:val="15"/>
                <w:szCs w:val="15"/>
              </w:rPr>
              <w:t>年初工作计划开展工作</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80" w:lineRule="exact"/>
              <w:textAlignment w:val="bottom"/>
              <w:rPr>
                <w:rFonts w:ascii="方正仿宋_GBK" w:eastAsia="方正仿宋_GBK"/>
                <w:sz w:val="15"/>
                <w:szCs w:val="15"/>
              </w:rPr>
            </w:pPr>
            <w:r>
              <w:rPr>
                <w:rFonts w:hint="eastAsia" w:ascii="方正仿宋_GBK" w:eastAsia="方正仿宋_GBK"/>
                <w:sz w:val="15"/>
                <w:szCs w:val="15"/>
              </w:rPr>
              <w:t>58.39万元</w:t>
            </w:r>
          </w:p>
        </w:tc>
        <w:tc>
          <w:tcPr>
            <w:tcW w:w="22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80" w:lineRule="exact"/>
              <w:jc w:val="center"/>
              <w:textAlignment w:val="bottom"/>
              <w:rPr>
                <w:rFonts w:ascii="方正仿宋_GBK" w:eastAsia="方正仿宋_GBK"/>
                <w:sz w:val="15"/>
                <w:szCs w:val="15"/>
              </w:rPr>
            </w:pPr>
            <w:r>
              <w:rPr>
                <w:rFonts w:hint="eastAsia" w:ascii="方正仿宋_GBK" w:eastAsia="方正仿宋_GBK"/>
                <w:sz w:val="15"/>
                <w:szCs w:val="15"/>
              </w:rPr>
              <w:t>100%</w:t>
            </w:r>
          </w:p>
        </w:tc>
      </w:tr>
      <w:tr>
        <w:tblPrEx>
          <w:tblCellMar>
            <w:top w:w="0" w:type="dxa"/>
            <w:left w:w="108" w:type="dxa"/>
            <w:bottom w:w="0" w:type="dxa"/>
            <w:right w:w="108" w:type="dxa"/>
          </w:tblCellMar>
        </w:tblPrEx>
        <w:trPr>
          <w:gridAfter w:val="1"/>
          <w:wAfter w:w="254" w:type="dxa"/>
          <w:trHeight w:val="480" w:hRule="atLeast"/>
        </w:trPr>
        <w:tc>
          <w:tcPr>
            <w:tcW w:w="1976" w:type="dxa"/>
            <w:vMerge w:val="continue"/>
            <w:tcBorders>
              <w:left w:val="single" w:color="000000" w:sz="4" w:space="0"/>
              <w:right w:val="single" w:color="000000" w:sz="4" w:space="0"/>
            </w:tcBorders>
            <w:shd w:val="clear" w:color="auto" w:fill="auto"/>
            <w:vAlign w:val="center"/>
          </w:tcPr>
          <w:p>
            <w:pPr>
              <w:spacing w:line="320" w:lineRule="exact"/>
              <w:jc w:val="center"/>
              <w:rPr>
                <w:rFonts w:eastAsia="仿宋_GB2312"/>
                <w:sz w:val="28"/>
                <w:szCs w:val="28"/>
              </w:rPr>
            </w:pPr>
          </w:p>
        </w:tc>
        <w:tc>
          <w:tcPr>
            <w:tcW w:w="11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eastAsia="仿宋_GB2312"/>
                <w:kern w:val="0"/>
                <w:sz w:val="28"/>
                <w:szCs w:val="28"/>
              </w:rPr>
            </w:pPr>
            <w:r>
              <w:rPr>
                <w:rFonts w:eastAsia="仿宋_GB2312"/>
                <w:kern w:val="0"/>
                <w:sz w:val="28"/>
                <w:szCs w:val="28"/>
              </w:rPr>
              <w:t>效益</w:t>
            </w:r>
          </w:p>
          <w:p>
            <w:pPr>
              <w:widowControl/>
              <w:spacing w:line="320" w:lineRule="exact"/>
              <w:jc w:val="center"/>
              <w:textAlignment w:val="bottom"/>
              <w:rPr>
                <w:rFonts w:eastAsia="仿宋_GB2312"/>
                <w:sz w:val="28"/>
                <w:szCs w:val="28"/>
              </w:rPr>
            </w:pPr>
            <w:r>
              <w:rPr>
                <w:rFonts w:eastAsia="仿宋_GB2312"/>
                <w:kern w:val="0"/>
                <w:sz w:val="28"/>
                <w:szCs w:val="28"/>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eastAsia="仿宋_GB2312"/>
                <w:kern w:val="0"/>
                <w:sz w:val="28"/>
                <w:szCs w:val="28"/>
              </w:rPr>
            </w:pPr>
            <w:r>
              <w:rPr>
                <w:rFonts w:eastAsia="仿宋_GB2312"/>
                <w:kern w:val="0"/>
                <w:sz w:val="28"/>
                <w:szCs w:val="28"/>
              </w:rPr>
              <w:t>经济效益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80" w:lineRule="exact"/>
              <w:textAlignment w:val="bottom"/>
              <w:rPr>
                <w:rFonts w:ascii="方正仿宋_GBK" w:eastAsia="方正仿宋_GBK"/>
                <w:sz w:val="15"/>
                <w:szCs w:val="15"/>
              </w:rPr>
            </w:pPr>
            <w:r>
              <w:rPr>
                <w:rFonts w:hint="eastAsia" w:ascii="方正仿宋_GBK" w:eastAsia="方正仿宋_GBK"/>
                <w:sz w:val="15"/>
                <w:szCs w:val="15"/>
              </w:rPr>
              <w:t>持续稳定开展各项工作，促进西区经济发展</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80" w:lineRule="exact"/>
              <w:textAlignment w:val="bottom"/>
              <w:rPr>
                <w:rFonts w:ascii="方正仿宋_GBK" w:eastAsia="方正仿宋_GBK"/>
                <w:sz w:val="15"/>
                <w:szCs w:val="15"/>
              </w:rPr>
            </w:pPr>
            <w:r>
              <w:rPr>
                <w:rFonts w:hint="eastAsia" w:ascii="方正仿宋_GBK" w:eastAsia="方正仿宋_GBK"/>
                <w:sz w:val="15"/>
                <w:szCs w:val="15"/>
              </w:rPr>
              <w:t>完成全年工作计划</w:t>
            </w:r>
          </w:p>
        </w:tc>
        <w:tc>
          <w:tcPr>
            <w:tcW w:w="22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80" w:lineRule="exact"/>
              <w:jc w:val="center"/>
              <w:textAlignment w:val="bottom"/>
              <w:rPr>
                <w:rFonts w:ascii="方正仿宋_GBK" w:eastAsia="方正仿宋_GBK"/>
                <w:sz w:val="15"/>
                <w:szCs w:val="15"/>
              </w:rPr>
            </w:pPr>
            <w:r>
              <w:rPr>
                <w:rFonts w:hint="eastAsia" w:ascii="方正仿宋_GBK" w:eastAsia="方正仿宋_GBK"/>
                <w:sz w:val="15"/>
                <w:szCs w:val="15"/>
              </w:rPr>
              <w:t>100%</w:t>
            </w:r>
          </w:p>
        </w:tc>
      </w:tr>
      <w:tr>
        <w:tblPrEx>
          <w:tblCellMar>
            <w:top w:w="0" w:type="dxa"/>
            <w:left w:w="108" w:type="dxa"/>
            <w:bottom w:w="0" w:type="dxa"/>
            <w:right w:w="108" w:type="dxa"/>
          </w:tblCellMar>
        </w:tblPrEx>
        <w:trPr>
          <w:gridAfter w:val="1"/>
          <w:wAfter w:w="254" w:type="dxa"/>
          <w:trHeight w:val="480" w:hRule="atLeast"/>
        </w:trPr>
        <w:tc>
          <w:tcPr>
            <w:tcW w:w="1976" w:type="dxa"/>
            <w:vMerge w:val="continue"/>
            <w:tcBorders>
              <w:left w:val="single" w:color="000000" w:sz="4" w:space="0"/>
              <w:right w:val="single" w:color="000000" w:sz="4" w:space="0"/>
            </w:tcBorders>
            <w:shd w:val="clear" w:color="auto" w:fill="auto"/>
            <w:vAlign w:val="center"/>
          </w:tcPr>
          <w:p>
            <w:pPr>
              <w:spacing w:line="320" w:lineRule="exact"/>
              <w:jc w:val="center"/>
              <w:rPr>
                <w:rFonts w:eastAsia="仿宋_GB2312"/>
                <w:sz w:val="28"/>
                <w:szCs w:val="28"/>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20" w:lineRule="exact"/>
              <w:jc w:val="center"/>
              <w:rPr>
                <w:rFonts w:eastAsia="仿宋_GB2312"/>
                <w:sz w:val="28"/>
                <w:szCs w:val="28"/>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eastAsia="仿宋_GB2312"/>
                <w:kern w:val="0"/>
                <w:sz w:val="28"/>
                <w:szCs w:val="28"/>
              </w:rPr>
            </w:pPr>
            <w:r>
              <w:rPr>
                <w:rFonts w:eastAsia="仿宋_GB2312"/>
                <w:kern w:val="0"/>
                <w:sz w:val="28"/>
                <w:szCs w:val="28"/>
              </w:rPr>
              <w:t>社会效益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80" w:lineRule="exact"/>
              <w:textAlignment w:val="bottom"/>
              <w:rPr>
                <w:rFonts w:ascii="方正仿宋_GBK" w:eastAsia="方正仿宋_GBK"/>
                <w:sz w:val="15"/>
                <w:szCs w:val="15"/>
              </w:rPr>
            </w:pPr>
            <w:r>
              <w:rPr>
                <w:rFonts w:hint="eastAsia" w:ascii="方正仿宋_GBK" w:eastAsia="方正仿宋_GBK"/>
                <w:sz w:val="15"/>
                <w:szCs w:val="15"/>
              </w:rPr>
              <w:t>为社会发展，民生意向提供保障</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80" w:lineRule="exact"/>
              <w:textAlignment w:val="bottom"/>
              <w:rPr>
                <w:rFonts w:ascii="方正仿宋_GBK" w:eastAsia="方正仿宋_GBK"/>
                <w:sz w:val="15"/>
                <w:szCs w:val="15"/>
              </w:rPr>
            </w:pPr>
            <w:r>
              <w:rPr>
                <w:rFonts w:hint="eastAsia" w:ascii="方正仿宋_GBK" w:eastAsia="方正仿宋_GBK"/>
                <w:sz w:val="15"/>
                <w:szCs w:val="15"/>
              </w:rPr>
              <w:t>提高有力保障</w:t>
            </w:r>
          </w:p>
        </w:tc>
        <w:tc>
          <w:tcPr>
            <w:tcW w:w="22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80" w:lineRule="exact"/>
              <w:jc w:val="center"/>
              <w:textAlignment w:val="bottom"/>
              <w:rPr>
                <w:rFonts w:ascii="方正仿宋_GBK" w:eastAsia="方正仿宋_GBK"/>
                <w:sz w:val="15"/>
                <w:szCs w:val="15"/>
              </w:rPr>
            </w:pPr>
            <w:r>
              <w:rPr>
                <w:rFonts w:hint="eastAsia" w:ascii="方正仿宋_GBK" w:eastAsia="方正仿宋_GBK"/>
                <w:sz w:val="15"/>
                <w:szCs w:val="15"/>
              </w:rPr>
              <w:t>100%</w:t>
            </w:r>
          </w:p>
        </w:tc>
      </w:tr>
      <w:tr>
        <w:tblPrEx>
          <w:tblCellMar>
            <w:top w:w="0" w:type="dxa"/>
            <w:left w:w="108" w:type="dxa"/>
            <w:bottom w:w="0" w:type="dxa"/>
            <w:right w:w="108" w:type="dxa"/>
          </w:tblCellMar>
        </w:tblPrEx>
        <w:trPr>
          <w:gridAfter w:val="1"/>
          <w:wAfter w:w="254" w:type="dxa"/>
          <w:trHeight w:val="577" w:hRule="atLeast"/>
        </w:trPr>
        <w:tc>
          <w:tcPr>
            <w:tcW w:w="1976" w:type="dxa"/>
            <w:vMerge w:val="continue"/>
            <w:tcBorders>
              <w:left w:val="single" w:color="000000" w:sz="4" w:space="0"/>
              <w:right w:val="single" w:color="000000" w:sz="4" w:space="0"/>
            </w:tcBorders>
            <w:shd w:val="clear" w:color="auto" w:fill="auto"/>
            <w:vAlign w:val="center"/>
          </w:tcPr>
          <w:p>
            <w:pPr>
              <w:spacing w:line="320" w:lineRule="exact"/>
              <w:jc w:val="center"/>
              <w:rPr>
                <w:rFonts w:eastAsia="仿宋_GB2312"/>
                <w:sz w:val="28"/>
                <w:szCs w:val="28"/>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20" w:lineRule="exact"/>
              <w:jc w:val="center"/>
              <w:rPr>
                <w:rFonts w:eastAsia="仿宋_GB2312"/>
                <w:sz w:val="28"/>
                <w:szCs w:val="28"/>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eastAsia="仿宋_GB2312"/>
                <w:kern w:val="0"/>
                <w:sz w:val="28"/>
                <w:szCs w:val="28"/>
              </w:rPr>
            </w:pPr>
            <w:r>
              <w:rPr>
                <w:rFonts w:eastAsia="仿宋_GB2312"/>
                <w:kern w:val="0"/>
                <w:sz w:val="28"/>
                <w:szCs w:val="28"/>
              </w:rPr>
              <w:t>生态效益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80" w:lineRule="exact"/>
              <w:textAlignment w:val="bottom"/>
              <w:rPr>
                <w:rFonts w:ascii="方正仿宋_GBK" w:eastAsia="方正仿宋_GBK"/>
                <w:sz w:val="15"/>
                <w:szCs w:val="15"/>
              </w:rPr>
            </w:pPr>
            <w:r>
              <w:rPr>
                <w:rFonts w:hint="eastAsia" w:ascii="方正仿宋_GBK" w:eastAsia="方正仿宋_GBK"/>
                <w:sz w:val="15"/>
                <w:szCs w:val="15"/>
              </w:rPr>
              <w:t>服务对象满意</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80" w:lineRule="exact"/>
              <w:textAlignment w:val="bottom"/>
              <w:rPr>
                <w:rFonts w:ascii="方正仿宋_GBK" w:eastAsia="方正仿宋_GBK"/>
                <w:sz w:val="15"/>
                <w:szCs w:val="15"/>
              </w:rPr>
            </w:pPr>
            <w:r>
              <w:rPr>
                <w:rFonts w:hint="eastAsia" w:ascii="方正仿宋_GBK" w:eastAsia="方正仿宋_GBK"/>
                <w:sz w:val="15"/>
                <w:szCs w:val="15"/>
              </w:rPr>
              <w:t>让全区人民满意</w:t>
            </w:r>
          </w:p>
        </w:tc>
        <w:tc>
          <w:tcPr>
            <w:tcW w:w="22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80" w:lineRule="exact"/>
              <w:jc w:val="center"/>
              <w:textAlignment w:val="bottom"/>
              <w:rPr>
                <w:rFonts w:ascii="方正仿宋_GBK" w:eastAsia="方正仿宋_GBK"/>
                <w:sz w:val="15"/>
                <w:szCs w:val="15"/>
              </w:rPr>
            </w:pPr>
            <w:r>
              <w:rPr>
                <w:rFonts w:hint="eastAsia" w:ascii="方正仿宋_GBK" w:eastAsia="方正仿宋_GBK"/>
                <w:sz w:val="15"/>
                <w:szCs w:val="15"/>
              </w:rPr>
              <w:t>100%</w:t>
            </w:r>
          </w:p>
        </w:tc>
      </w:tr>
      <w:tr>
        <w:tblPrEx>
          <w:tblCellMar>
            <w:top w:w="0" w:type="dxa"/>
            <w:left w:w="108" w:type="dxa"/>
            <w:bottom w:w="0" w:type="dxa"/>
            <w:right w:w="108" w:type="dxa"/>
          </w:tblCellMar>
        </w:tblPrEx>
        <w:trPr>
          <w:gridAfter w:val="1"/>
          <w:wAfter w:w="254" w:type="dxa"/>
          <w:trHeight w:val="1415" w:hRule="atLeast"/>
        </w:trPr>
        <w:tc>
          <w:tcPr>
            <w:tcW w:w="1976" w:type="dxa"/>
            <w:vMerge w:val="continue"/>
            <w:tcBorders>
              <w:left w:val="single" w:color="000000" w:sz="4" w:space="0"/>
              <w:right w:val="single" w:color="000000" w:sz="4" w:space="0"/>
            </w:tcBorders>
            <w:shd w:val="clear" w:color="auto" w:fill="auto"/>
            <w:vAlign w:val="center"/>
          </w:tcPr>
          <w:p>
            <w:pPr>
              <w:spacing w:line="320" w:lineRule="exact"/>
              <w:jc w:val="center"/>
              <w:rPr>
                <w:rFonts w:eastAsia="仿宋_GB2312"/>
                <w:sz w:val="28"/>
                <w:szCs w:val="28"/>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20" w:lineRule="exact"/>
              <w:jc w:val="center"/>
              <w:rPr>
                <w:rFonts w:eastAsia="仿宋_GB2312"/>
                <w:sz w:val="28"/>
                <w:szCs w:val="28"/>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eastAsia="仿宋_GB2312"/>
                <w:kern w:val="0"/>
                <w:sz w:val="28"/>
                <w:szCs w:val="28"/>
              </w:rPr>
            </w:pPr>
            <w:r>
              <w:rPr>
                <w:rFonts w:eastAsia="仿宋_GB2312"/>
                <w:kern w:val="0"/>
                <w:sz w:val="28"/>
                <w:szCs w:val="28"/>
              </w:rPr>
              <w:t>可持续影响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80" w:lineRule="exact"/>
              <w:textAlignment w:val="bottom"/>
              <w:rPr>
                <w:rFonts w:ascii="方正仿宋_GBK" w:eastAsia="方正仿宋_GBK"/>
                <w:sz w:val="15"/>
                <w:szCs w:val="15"/>
              </w:rPr>
            </w:pPr>
            <w:r>
              <w:rPr>
                <w:rFonts w:hint="eastAsia" w:ascii="方正仿宋_GBK" w:eastAsia="方正仿宋_GBK"/>
                <w:sz w:val="15"/>
                <w:szCs w:val="15"/>
              </w:rPr>
              <w:t>保障人大基本工作职能正常运行，业务工作顺利开展</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80" w:lineRule="exact"/>
              <w:textAlignment w:val="bottom"/>
              <w:rPr>
                <w:rFonts w:ascii="方正仿宋_GBK" w:eastAsia="方正仿宋_GBK"/>
                <w:sz w:val="15"/>
                <w:szCs w:val="15"/>
              </w:rPr>
            </w:pPr>
            <w:r>
              <w:rPr>
                <w:rFonts w:hint="eastAsia" w:ascii="方正仿宋_GBK" w:eastAsia="方正仿宋_GBK"/>
                <w:sz w:val="15"/>
                <w:szCs w:val="15"/>
              </w:rPr>
              <w:t>保障人大基本工作职能正常运行，业务工作顺利开展</w:t>
            </w:r>
          </w:p>
        </w:tc>
        <w:tc>
          <w:tcPr>
            <w:tcW w:w="22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180" w:lineRule="exact"/>
              <w:jc w:val="center"/>
              <w:textAlignment w:val="bottom"/>
              <w:rPr>
                <w:rFonts w:ascii="方正仿宋_GBK" w:eastAsia="方正仿宋_GBK"/>
                <w:sz w:val="15"/>
                <w:szCs w:val="15"/>
              </w:rPr>
            </w:pPr>
            <w:r>
              <w:rPr>
                <w:rFonts w:hint="eastAsia" w:ascii="方正仿宋_GBK" w:eastAsia="方正仿宋_GBK"/>
                <w:sz w:val="15"/>
                <w:szCs w:val="15"/>
              </w:rPr>
              <w:t>100%</w:t>
            </w:r>
          </w:p>
        </w:tc>
      </w:tr>
      <w:tr>
        <w:tblPrEx>
          <w:tblCellMar>
            <w:top w:w="0" w:type="dxa"/>
            <w:left w:w="108" w:type="dxa"/>
            <w:bottom w:w="0" w:type="dxa"/>
            <w:right w:w="108" w:type="dxa"/>
          </w:tblCellMar>
        </w:tblPrEx>
        <w:trPr>
          <w:gridAfter w:val="1"/>
          <w:wAfter w:w="254" w:type="dxa"/>
          <w:trHeight w:val="530" w:hRule="atLeast"/>
        </w:trPr>
        <w:tc>
          <w:tcPr>
            <w:tcW w:w="1976" w:type="dxa"/>
            <w:vMerge w:val="continue"/>
            <w:tcBorders>
              <w:left w:val="single" w:color="000000" w:sz="4" w:space="0"/>
              <w:bottom w:val="single" w:color="000000" w:sz="4" w:space="0"/>
              <w:right w:val="single" w:color="000000" w:sz="4" w:space="0"/>
            </w:tcBorders>
            <w:shd w:val="clear" w:color="auto" w:fill="auto"/>
            <w:vAlign w:val="center"/>
          </w:tcPr>
          <w:p>
            <w:pPr>
              <w:spacing w:line="320" w:lineRule="exact"/>
              <w:jc w:val="center"/>
              <w:rPr>
                <w:rFonts w:eastAsia="仿宋_GB2312"/>
                <w:sz w:val="28"/>
                <w:szCs w:val="28"/>
              </w:rPr>
            </w:pPr>
          </w:p>
        </w:tc>
        <w:tc>
          <w:tcPr>
            <w:tcW w:w="11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eastAsia="仿宋_GB2312"/>
                <w:kern w:val="0"/>
                <w:sz w:val="28"/>
                <w:szCs w:val="28"/>
              </w:rPr>
            </w:pPr>
            <w:r>
              <w:rPr>
                <w:rFonts w:eastAsia="仿宋_GB2312"/>
                <w:kern w:val="0"/>
                <w:sz w:val="28"/>
                <w:szCs w:val="28"/>
              </w:rPr>
              <w:t>满意</w:t>
            </w:r>
          </w:p>
          <w:p>
            <w:pPr>
              <w:widowControl/>
              <w:spacing w:line="320" w:lineRule="exact"/>
              <w:jc w:val="center"/>
              <w:textAlignment w:val="bottom"/>
              <w:rPr>
                <w:rFonts w:eastAsia="仿宋_GB2312"/>
                <w:sz w:val="28"/>
                <w:szCs w:val="28"/>
              </w:rPr>
            </w:pPr>
            <w:r>
              <w:rPr>
                <w:rFonts w:eastAsia="仿宋_GB2312"/>
                <w:kern w:val="0"/>
                <w:sz w:val="28"/>
                <w:szCs w:val="28"/>
              </w:rPr>
              <w:t>度指标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eastAsia="仿宋_GB2312"/>
                <w:kern w:val="0"/>
                <w:sz w:val="28"/>
                <w:szCs w:val="28"/>
              </w:rPr>
            </w:pPr>
            <w:r>
              <w:rPr>
                <w:rFonts w:eastAsia="仿宋_GB2312"/>
                <w:kern w:val="0"/>
                <w:sz w:val="28"/>
                <w:szCs w:val="28"/>
              </w:rPr>
              <w:t>满意度</w:t>
            </w:r>
          </w:p>
          <w:p>
            <w:pPr>
              <w:widowControl/>
              <w:spacing w:line="320" w:lineRule="exact"/>
              <w:jc w:val="center"/>
              <w:textAlignment w:val="bottom"/>
              <w:rPr>
                <w:rFonts w:eastAsia="仿宋_GB2312"/>
                <w:kern w:val="0"/>
                <w:sz w:val="28"/>
                <w:szCs w:val="28"/>
              </w:rPr>
            </w:pPr>
            <w:r>
              <w:rPr>
                <w:rFonts w:eastAsia="仿宋_GB2312"/>
                <w:kern w:val="0"/>
                <w:sz w:val="28"/>
                <w:szCs w:val="28"/>
              </w:rPr>
              <w:t>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textAlignment w:val="bottom"/>
              <w:rPr>
                <w:rFonts w:ascii="方正仿宋_GBK" w:eastAsia="方正仿宋_GBK"/>
                <w:sz w:val="15"/>
                <w:szCs w:val="15"/>
              </w:rPr>
            </w:pPr>
            <w:r>
              <w:rPr>
                <w:rFonts w:hint="eastAsia" w:ascii="方正仿宋_GBK" w:eastAsia="方正仿宋_GBK"/>
                <w:sz w:val="15"/>
                <w:szCs w:val="15"/>
              </w:rPr>
              <w:t>代表、服务对象满意</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textAlignment w:val="bottom"/>
              <w:rPr>
                <w:rFonts w:ascii="方正仿宋_GBK" w:eastAsia="方正仿宋_GBK"/>
                <w:sz w:val="15"/>
                <w:szCs w:val="15"/>
              </w:rPr>
            </w:pPr>
            <w:r>
              <w:rPr>
                <w:rFonts w:hint="eastAsia" w:ascii="方正仿宋_GBK" w:eastAsia="方正仿宋_GBK"/>
                <w:sz w:val="15"/>
                <w:szCs w:val="15"/>
              </w:rPr>
              <w:t>让代表、服务对象满意</w:t>
            </w:r>
          </w:p>
        </w:tc>
        <w:tc>
          <w:tcPr>
            <w:tcW w:w="22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00" w:lineRule="exact"/>
              <w:jc w:val="center"/>
              <w:textAlignment w:val="bottom"/>
              <w:rPr>
                <w:rFonts w:ascii="方正仿宋_GBK" w:eastAsia="方正仿宋_GBK"/>
                <w:sz w:val="15"/>
                <w:szCs w:val="15"/>
              </w:rPr>
            </w:pPr>
            <w:r>
              <w:rPr>
                <w:rFonts w:hint="eastAsia" w:ascii="方正仿宋_GBK" w:eastAsia="方正仿宋_GBK"/>
                <w:sz w:val="15"/>
                <w:szCs w:val="15"/>
              </w:rPr>
              <w:t>100%</w:t>
            </w:r>
          </w:p>
        </w:tc>
      </w:tr>
    </w:tbl>
    <w:p>
      <w:pPr>
        <w:pStyle w:val="2"/>
        <w:spacing w:before="93"/>
      </w:pPr>
      <w:r>
        <w:t>附表</w:t>
      </w:r>
      <w:r>
        <w:rPr>
          <w:rFonts w:hint="eastAsia"/>
        </w:rPr>
        <w:t>：</w:t>
      </w:r>
    </w:p>
    <w:p>
      <w:pPr>
        <w:pStyle w:val="2"/>
        <w:spacing w:before="93"/>
      </w:pPr>
    </w:p>
    <w:tbl>
      <w:tblPr>
        <w:tblStyle w:val="14"/>
        <w:tblpPr w:leftFromText="180" w:rightFromText="180" w:vertAnchor="text" w:horzAnchor="margin" w:tblpXSpec="center" w:tblpY="492"/>
        <w:tblOverlap w:val="never"/>
        <w:tblW w:w="9575" w:type="dxa"/>
        <w:tblInd w:w="0" w:type="dxa"/>
        <w:tblLayout w:type="fixed"/>
        <w:tblCellMar>
          <w:top w:w="0" w:type="dxa"/>
          <w:left w:w="108" w:type="dxa"/>
          <w:bottom w:w="0" w:type="dxa"/>
          <w:right w:w="108" w:type="dxa"/>
        </w:tblCellMar>
      </w:tblPr>
      <w:tblGrid>
        <w:gridCol w:w="1976"/>
        <w:gridCol w:w="1142"/>
        <w:gridCol w:w="1635"/>
        <w:gridCol w:w="1189"/>
        <w:gridCol w:w="1396"/>
        <w:gridCol w:w="2237"/>
      </w:tblGrid>
      <w:tr>
        <w:tblPrEx>
          <w:tblCellMar>
            <w:top w:w="0" w:type="dxa"/>
            <w:left w:w="108" w:type="dxa"/>
            <w:bottom w:w="0" w:type="dxa"/>
            <w:right w:w="108" w:type="dxa"/>
          </w:tblCellMar>
        </w:tblPrEx>
        <w:trPr>
          <w:trHeight w:val="675" w:hRule="atLeast"/>
        </w:trPr>
        <w:tc>
          <w:tcPr>
            <w:tcW w:w="9575" w:type="dxa"/>
            <w:gridSpan w:val="6"/>
            <w:tcBorders>
              <w:top w:val="nil"/>
              <w:left w:val="nil"/>
              <w:bottom w:val="nil"/>
              <w:right w:val="nil"/>
            </w:tcBorders>
            <w:shd w:val="clear" w:color="auto" w:fill="auto"/>
            <w:vAlign w:val="center"/>
          </w:tcPr>
          <w:p>
            <w:pPr>
              <w:widowControl/>
              <w:jc w:val="center"/>
              <w:textAlignment w:val="center"/>
              <w:rPr>
                <w:b/>
                <w:sz w:val="32"/>
                <w:szCs w:val="32"/>
              </w:rPr>
            </w:pPr>
            <w:r>
              <w:rPr>
                <w:b/>
                <w:sz w:val="32"/>
                <w:szCs w:val="32"/>
              </w:rPr>
              <w:t>2021年部门预算项目绩效目标自评</w:t>
            </w:r>
          </w:p>
        </w:tc>
      </w:tr>
      <w:tr>
        <w:trPr>
          <w:trHeight w:val="254" w:hRule="atLeast"/>
        </w:trPr>
        <w:tc>
          <w:tcPr>
            <w:tcW w:w="31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sz w:val="24"/>
              </w:rPr>
            </w:pPr>
            <w:r>
              <w:rPr>
                <w:kern w:val="0"/>
                <w:sz w:val="24"/>
              </w:rPr>
              <w:t>主管部门及代码</w:t>
            </w:r>
          </w:p>
        </w:tc>
        <w:tc>
          <w:tcPr>
            <w:tcW w:w="28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textAlignment w:val="center"/>
              <w:rPr>
                <w:sz w:val="24"/>
              </w:rPr>
            </w:pPr>
            <w:r>
              <w:rPr>
                <w:rFonts w:hint="eastAsia"/>
                <w:sz w:val="24"/>
              </w:rPr>
              <w:t>101001</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sz w:val="24"/>
              </w:rPr>
            </w:pPr>
            <w:r>
              <w:rPr>
                <w:kern w:val="0"/>
                <w:sz w:val="24"/>
              </w:rPr>
              <w:t>实施单位</w:t>
            </w:r>
          </w:p>
        </w:tc>
        <w:tc>
          <w:tcPr>
            <w:tcW w:w="223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sz w:val="24"/>
              </w:rPr>
            </w:pPr>
            <w:r>
              <w:rPr>
                <w:rFonts w:hint="eastAsia"/>
                <w:sz w:val="24"/>
              </w:rPr>
              <w:t>区人大</w:t>
            </w:r>
          </w:p>
        </w:tc>
      </w:tr>
      <w:tr>
        <w:tblPrEx>
          <w:tblCellMar>
            <w:top w:w="0" w:type="dxa"/>
            <w:left w:w="108" w:type="dxa"/>
            <w:bottom w:w="0" w:type="dxa"/>
            <w:right w:w="108" w:type="dxa"/>
          </w:tblCellMar>
        </w:tblPrEx>
        <w:trPr>
          <w:trHeight w:val="341" w:hRule="atLeast"/>
        </w:trPr>
        <w:tc>
          <w:tcPr>
            <w:tcW w:w="311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kern w:val="0"/>
                <w:sz w:val="24"/>
              </w:rPr>
            </w:pPr>
            <w:r>
              <w:rPr>
                <w:kern w:val="0"/>
                <w:sz w:val="24"/>
              </w:rPr>
              <w:t>项目预算</w:t>
            </w:r>
          </w:p>
          <w:p>
            <w:pPr>
              <w:widowControl/>
              <w:spacing w:line="320" w:lineRule="exact"/>
              <w:jc w:val="center"/>
              <w:textAlignment w:val="center"/>
              <w:rPr>
                <w:kern w:val="0"/>
                <w:sz w:val="24"/>
              </w:rPr>
            </w:pPr>
            <w:r>
              <w:rPr>
                <w:kern w:val="0"/>
                <w:sz w:val="24"/>
              </w:rPr>
              <w:t>执行情况</w:t>
            </w:r>
          </w:p>
          <w:p>
            <w:pPr>
              <w:widowControl/>
              <w:spacing w:line="320" w:lineRule="exact"/>
              <w:jc w:val="center"/>
              <w:textAlignment w:val="center"/>
              <w:rPr>
                <w:sz w:val="24"/>
              </w:rPr>
            </w:pPr>
            <w:r>
              <w:rPr>
                <w:kern w:val="0"/>
                <w:sz w:val="24"/>
              </w:rPr>
              <w:t>（万元）</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sz w:val="24"/>
              </w:rPr>
            </w:pPr>
            <w:r>
              <w:rPr>
                <w:kern w:val="0"/>
                <w:sz w:val="24"/>
              </w:rPr>
              <w:t xml:space="preserve"> 预算数：</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sz w:val="24"/>
              </w:rPr>
            </w:pPr>
            <w:r>
              <w:rPr>
                <w:rFonts w:hint="eastAsia"/>
                <w:sz w:val="24"/>
              </w:rPr>
              <w:t>9.6</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sz w:val="24"/>
              </w:rPr>
            </w:pPr>
            <w:r>
              <w:rPr>
                <w:kern w:val="0"/>
                <w:sz w:val="24"/>
              </w:rPr>
              <w:t xml:space="preserve"> 执行数：</w:t>
            </w:r>
          </w:p>
        </w:tc>
        <w:tc>
          <w:tcPr>
            <w:tcW w:w="223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sz w:val="24"/>
              </w:rPr>
            </w:pPr>
            <w:r>
              <w:rPr>
                <w:rFonts w:hint="eastAsia"/>
                <w:sz w:val="24"/>
              </w:rPr>
              <w:t>9.6</w:t>
            </w:r>
          </w:p>
        </w:tc>
      </w:tr>
      <w:tr>
        <w:trPr>
          <w:trHeight w:val="555" w:hRule="atLeast"/>
        </w:trPr>
        <w:tc>
          <w:tcPr>
            <w:tcW w:w="311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20" w:lineRule="exact"/>
              <w:jc w:val="center"/>
              <w:rPr>
                <w:sz w:val="24"/>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kern w:val="0"/>
                <w:sz w:val="24"/>
              </w:rPr>
            </w:pPr>
            <w:r>
              <w:rPr>
                <w:kern w:val="0"/>
                <w:sz w:val="24"/>
              </w:rPr>
              <w:t>其中：</w:t>
            </w:r>
          </w:p>
          <w:p>
            <w:pPr>
              <w:widowControl/>
              <w:spacing w:line="320" w:lineRule="exact"/>
              <w:jc w:val="left"/>
              <w:textAlignment w:val="center"/>
              <w:rPr>
                <w:sz w:val="24"/>
              </w:rPr>
            </w:pPr>
            <w:r>
              <w:rPr>
                <w:kern w:val="0"/>
                <w:sz w:val="24"/>
              </w:rPr>
              <w:t>财政拨款</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sz w:val="24"/>
              </w:rPr>
            </w:pPr>
            <w:r>
              <w:rPr>
                <w:rFonts w:hint="eastAsia"/>
                <w:sz w:val="24"/>
              </w:rPr>
              <w:t>9.6</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kern w:val="0"/>
                <w:sz w:val="24"/>
              </w:rPr>
            </w:pPr>
            <w:r>
              <w:rPr>
                <w:kern w:val="0"/>
                <w:sz w:val="24"/>
              </w:rPr>
              <w:t>其中：</w:t>
            </w:r>
          </w:p>
          <w:p>
            <w:pPr>
              <w:widowControl/>
              <w:spacing w:line="320" w:lineRule="exact"/>
              <w:jc w:val="left"/>
              <w:textAlignment w:val="center"/>
              <w:rPr>
                <w:sz w:val="24"/>
              </w:rPr>
            </w:pPr>
            <w:r>
              <w:rPr>
                <w:kern w:val="0"/>
                <w:sz w:val="24"/>
              </w:rPr>
              <w:t>财政拨款</w:t>
            </w:r>
          </w:p>
        </w:tc>
        <w:tc>
          <w:tcPr>
            <w:tcW w:w="223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sz w:val="24"/>
              </w:rPr>
            </w:pPr>
            <w:r>
              <w:rPr>
                <w:rFonts w:hint="eastAsia"/>
                <w:sz w:val="24"/>
              </w:rPr>
              <w:t>9.6</w:t>
            </w:r>
          </w:p>
        </w:tc>
      </w:tr>
      <w:tr>
        <w:tblPrEx>
          <w:tblCellMar>
            <w:top w:w="0" w:type="dxa"/>
            <w:left w:w="108" w:type="dxa"/>
            <w:bottom w:w="0" w:type="dxa"/>
            <w:right w:w="108" w:type="dxa"/>
          </w:tblCellMar>
        </w:tblPrEx>
        <w:trPr>
          <w:trHeight w:val="341" w:hRule="atLeast"/>
        </w:trPr>
        <w:tc>
          <w:tcPr>
            <w:tcW w:w="311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20" w:lineRule="exact"/>
              <w:jc w:val="center"/>
              <w:rPr>
                <w:sz w:val="24"/>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sz w:val="24"/>
              </w:rPr>
            </w:pPr>
            <w:r>
              <w:rPr>
                <w:kern w:val="0"/>
                <w:sz w:val="24"/>
              </w:rPr>
              <w:t>其他资金</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sz w:val="24"/>
              </w:rPr>
            </w:pP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left"/>
              <w:textAlignment w:val="center"/>
              <w:rPr>
                <w:sz w:val="24"/>
              </w:rPr>
            </w:pPr>
            <w:r>
              <w:rPr>
                <w:kern w:val="0"/>
                <w:sz w:val="24"/>
              </w:rPr>
              <w:t>其他资金</w:t>
            </w:r>
          </w:p>
        </w:tc>
        <w:tc>
          <w:tcPr>
            <w:tcW w:w="223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sz w:val="24"/>
              </w:rPr>
            </w:pPr>
          </w:p>
        </w:tc>
      </w:tr>
      <w:tr>
        <w:trPr>
          <w:trHeight w:val="217" w:hRule="atLeast"/>
        </w:trPr>
        <w:tc>
          <w:tcPr>
            <w:tcW w:w="19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kern w:val="0"/>
                <w:sz w:val="24"/>
              </w:rPr>
            </w:pPr>
            <w:r>
              <w:rPr>
                <w:kern w:val="0"/>
                <w:sz w:val="24"/>
              </w:rPr>
              <w:t>年度总体目标</w:t>
            </w:r>
          </w:p>
          <w:p>
            <w:pPr>
              <w:widowControl/>
              <w:spacing w:line="320" w:lineRule="exact"/>
              <w:jc w:val="center"/>
              <w:textAlignment w:val="center"/>
              <w:rPr>
                <w:sz w:val="24"/>
              </w:rPr>
            </w:pPr>
            <w:r>
              <w:rPr>
                <w:kern w:val="0"/>
                <w:sz w:val="24"/>
              </w:rPr>
              <w:t>完成情况</w:t>
            </w:r>
          </w:p>
        </w:tc>
        <w:tc>
          <w:tcPr>
            <w:tcW w:w="396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sz w:val="24"/>
              </w:rPr>
            </w:pPr>
            <w:r>
              <w:rPr>
                <w:kern w:val="0"/>
                <w:sz w:val="24"/>
              </w:rPr>
              <w:t>预期目标</w:t>
            </w:r>
          </w:p>
        </w:tc>
        <w:tc>
          <w:tcPr>
            <w:tcW w:w="36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sz w:val="24"/>
              </w:rPr>
            </w:pPr>
            <w:r>
              <w:rPr>
                <w:kern w:val="0"/>
                <w:sz w:val="24"/>
              </w:rPr>
              <w:t>目标实际完成情况</w:t>
            </w:r>
          </w:p>
        </w:tc>
      </w:tr>
      <w:tr>
        <w:tblPrEx>
          <w:tblCellMar>
            <w:top w:w="0" w:type="dxa"/>
            <w:left w:w="108" w:type="dxa"/>
            <w:bottom w:w="0" w:type="dxa"/>
            <w:right w:w="108" w:type="dxa"/>
          </w:tblCellMar>
        </w:tblPrEx>
        <w:trPr>
          <w:trHeight w:val="422" w:hRule="atLeast"/>
        </w:trPr>
        <w:tc>
          <w:tcPr>
            <w:tcW w:w="19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20" w:lineRule="exact"/>
              <w:jc w:val="center"/>
              <w:rPr>
                <w:sz w:val="24"/>
              </w:rPr>
            </w:pPr>
          </w:p>
        </w:tc>
        <w:tc>
          <w:tcPr>
            <w:tcW w:w="3966" w:type="dxa"/>
            <w:gridSpan w:val="3"/>
            <w:tcBorders>
              <w:top w:val="single" w:color="000000" w:sz="4" w:space="0"/>
              <w:left w:val="single" w:color="000000" w:sz="4" w:space="0"/>
              <w:bottom w:val="single" w:color="000000" w:sz="4" w:space="0"/>
              <w:right w:val="single" w:color="000000" w:sz="4" w:space="0"/>
            </w:tcBorders>
            <w:shd w:val="clear" w:color="auto" w:fill="auto"/>
          </w:tcPr>
          <w:p>
            <w:pPr>
              <w:widowControl/>
              <w:spacing w:line="300" w:lineRule="exact"/>
              <w:jc w:val="left"/>
              <w:textAlignment w:val="center"/>
              <w:rPr>
                <w:sz w:val="24"/>
              </w:rPr>
            </w:pPr>
            <w:r>
              <w:rPr>
                <w:rFonts w:hint="eastAsia"/>
                <w:sz w:val="24"/>
              </w:rPr>
              <w:t>顺利保障代表各项工作的完成；抓好西区乡镇人大工作和建设</w:t>
            </w:r>
          </w:p>
        </w:tc>
        <w:tc>
          <w:tcPr>
            <w:tcW w:w="3633" w:type="dxa"/>
            <w:gridSpan w:val="2"/>
            <w:tcBorders>
              <w:top w:val="single" w:color="000000" w:sz="4" w:space="0"/>
              <w:left w:val="single" w:color="000000" w:sz="4" w:space="0"/>
              <w:bottom w:val="single" w:color="000000" w:sz="4" w:space="0"/>
              <w:right w:val="single" w:color="000000" w:sz="4" w:space="0"/>
            </w:tcBorders>
            <w:shd w:val="clear" w:color="auto" w:fill="auto"/>
          </w:tcPr>
          <w:p>
            <w:pPr>
              <w:widowControl/>
              <w:spacing w:line="300" w:lineRule="exact"/>
              <w:jc w:val="left"/>
              <w:textAlignment w:val="center"/>
              <w:rPr>
                <w:sz w:val="24"/>
              </w:rPr>
            </w:pPr>
            <w:r>
              <w:rPr>
                <w:rFonts w:hint="eastAsia"/>
                <w:sz w:val="24"/>
              </w:rPr>
              <w:t>组织市代表参加调研，培训，开展各项活动；建成人大代表之家6个，人大代表联络站9个。</w:t>
            </w:r>
          </w:p>
        </w:tc>
      </w:tr>
      <w:tr>
        <w:trPr>
          <w:trHeight w:val="693" w:hRule="atLeast"/>
        </w:trPr>
        <w:tc>
          <w:tcPr>
            <w:tcW w:w="1976" w:type="dxa"/>
            <w:vMerge w:val="restart"/>
            <w:tcBorders>
              <w:top w:val="single" w:color="000000" w:sz="4" w:space="0"/>
              <w:left w:val="single" w:color="000000" w:sz="4" w:space="0"/>
              <w:right w:val="single" w:color="000000" w:sz="4" w:space="0"/>
            </w:tcBorders>
            <w:shd w:val="clear" w:color="auto" w:fill="auto"/>
            <w:vAlign w:val="center"/>
          </w:tcPr>
          <w:p>
            <w:pPr>
              <w:widowControl/>
              <w:spacing w:line="320" w:lineRule="exact"/>
              <w:jc w:val="center"/>
              <w:textAlignment w:val="center"/>
              <w:rPr>
                <w:rFonts w:eastAsia="仿宋_GB2312"/>
                <w:sz w:val="28"/>
                <w:szCs w:val="28"/>
              </w:rPr>
            </w:pPr>
            <w:r>
              <w:rPr>
                <w:rFonts w:eastAsia="仿宋_GB2312"/>
                <w:kern w:val="0"/>
                <w:sz w:val="28"/>
                <w:szCs w:val="28"/>
              </w:rPr>
              <w:t>年度绩效指标完成情况</w:t>
            </w:r>
          </w:p>
        </w:tc>
        <w:tc>
          <w:tcPr>
            <w:tcW w:w="1142" w:type="dxa"/>
            <w:tcBorders>
              <w:top w:val="single" w:color="000000" w:sz="4" w:space="0"/>
              <w:left w:val="nil"/>
              <w:bottom w:val="single" w:color="000000" w:sz="4" w:space="0"/>
              <w:right w:val="single" w:color="000000" w:sz="4" w:space="0"/>
            </w:tcBorders>
            <w:shd w:val="clear" w:color="auto" w:fill="auto"/>
            <w:vAlign w:val="center"/>
          </w:tcPr>
          <w:p>
            <w:pPr>
              <w:widowControl/>
              <w:spacing w:line="320" w:lineRule="exact"/>
              <w:jc w:val="center"/>
              <w:textAlignment w:val="center"/>
              <w:rPr>
                <w:rFonts w:eastAsia="仿宋_GB2312"/>
                <w:kern w:val="0"/>
                <w:sz w:val="28"/>
                <w:szCs w:val="28"/>
              </w:rPr>
            </w:pPr>
            <w:r>
              <w:rPr>
                <w:rFonts w:eastAsia="仿宋_GB2312"/>
                <w:kern w:val="0"/>
                <w:sz w:val="28"/>
                <w:szCs w:val="28"/>
              </w:rPr>
              <w:t>一级</w:t>
            </w:r>
          </w:p>
          <w:p>
            <w:pPr>
              <w:widowControl/>
              <w:spacing w:line="320" w:lineRule="exact"/>
              <w:jc w:val="center"/>
              <w:textAlignment w:val="center"/>
              <w:rPr>
                <w:rFonts w:eastAsia="仿宋_GB2312"/>
                <w:sz w:val="28"/>
                <w:szCs w:val="28"/>
              </w:rPr>
            </w:pPr>
            <w:r>
              <w:rPr>
                <w:rFonts w:eastAsia="仿宋_GB2312"/>
                <w:kern w:val="0"/>
                <w:sz w:val="28"/>
                <w:szCs w:val="28"/>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eastAsia="仿宋_GB2312"/>
                <w:kern w:val="0"/>
                <w:sz w:val="28"/>
                <w:szCs w:val="28"/>
              </w:rPr>
            </w:pPr>
            <w:r>
              <w:rPr>
                <w:rFonts w:eastAsia="仿宋_GB2312"/>
                <w:kern w:val="0"/>
                <w:sz w:val="28"/>
                <w:szCs w:val="28"/>
              </w:rPr>
              <w:t>二级</w:t>
            </w:r>
          </w:p>
          <w:p>
            <w:pPr>
              <w:widowControl/>
              <w:spacing w:line="320" w:lineRule="exact"/>
              <w:jc w:val="center"/>
              <w:textAlignment w:val="center"/>
              <w:rPr>
                <w:rFonts w:eastAsia="仿宋_GB2312"/>
                <w:sz w:val="28"/>
                <w:szCs w:val="28"/>
              </w:rPr>
            </w:pPr>
            <w:r>
              <w:rPr>
                <w:rFonts w:eastAsia="仿宋_GB2312"/>
                <w:kern w:val="0"/>
                <w:sz w:val="28"/>
                <w:szCs w:val="28"/>
              </w:rPr>
              <w:t>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eastAsia="仿宋_GB2312"/>
                <w:kern w:val="0"/>
                <w:sz w:val="28"/>
                <w:szCs w:val="28"/>
              </w:rPr>
            </w:pPr>
            <w:r>
              <w:rPr>
                <w:rFonts w:eastAsia="仿宋_GB2312"/>
                <w:kern w:val="0"/>
                <w:sz w:val="28"/>
                <w:szCs w:val="28"/>
              </w:rPr>
              <w:t>三级</w:t>
            </w:r>
          </w:p>
          <w:p>
            <w:pPr>
              <w:widowControl/>
              <w:spacing w:line="320" w:lineRule="exact"/>
              <w:jc w:val="center"/>
              <w:textAlignment w:val="center"/>
              <w:rPr>
                <w:rFonts w:eastAsia="仿宋_GB2312"/>
                <w:sz w:val="28"/>
                <w:szCs w:val="28"/>
              </w:rPr>
            </w:pPr>
            <w:r>
              <w:rPr>
                <w:rFonts w:eastAsia="仿宋_GB2312"/>
                <w:kern w:val="0"/>
                <w:sz w:val="28"/>
                <w:szCs w:val="28"/>
              </w:rPr>
              <w:t>指标</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eastAsia="仿宋_GB2312"/>
                <w:sz w:val="28"/>
                <w:szCs w:val="28"/>
              </w:rPr>
            </w:pPr>
            <w:r>
              <w:rPr>
                <w:rFonts w:eastAsia="仿宋_GB2312"/>
                <w:kern w:val="0"/>
                <w:sz w:val="28"/>
                <w:szCs w:val="28"/>
              </w:rPr>
              <w:t>预期指标值</w:t>
            </w:r>
          </w:p>
        </w:tc>
        <w:tc>
          <w:tcPr>
            <w:tcW w:w="223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center"/>
              <w:rPr>
                <w:rFonts w:eastAsia="仿宋_GB2312"/>
                <w:sz w:val="28"/>
                <w:szCs w:val="28"/>
              </w:rPr>
            </w:pPr>
            <w:r>
              <w:rPr>
                <w:rFonts w:eastAsia="仿宋_GB2312"/>
                <w:kern w:val="0"/>
                <w:sz w:val="28"/>
                <w:szCs w:val="28"/>
              </w:rPr>
              <w:t>实际完成指标值</w:t>
            </w:r>
          </w:p>
        </w:tc>
      </w:tr>
      <w:tr>
        <w:tblPrEx>
          <w:tblCellMar>
            <w:top w:w="0" w:type="dxa"/>
            <w:left w:w="108" w:type="dxa"/>
            <w:bottom w:w="0" w:type="dxa"/>
            <w:right w:w="108" w:type="dxa"/>
          </w:tblCellMar>
        </w:tblPrEx>
        <w:trPr>
          <w:trHeight w:val="415" w:hRule="atLeast"/>
        </w:trPr>
        <w:tc>
          <w:tcPr>
            <w:tcW w:w="1976" w:type="dxa"/>
            <w:vMerge w:val="continue"/>
            <w:tcBorders>
              <w:left w:val="single" w:color="000000" w:sz="4" w:space="0"/>
              <w:right w:val="single" w:color="000000" w:sz="4" w:space="0"/>
            </w:tcBorders>
            <w:shd w:val="clear" w:color="auto" w:fill="auto"/>
            <w:vAlign w:val="center"/>
          </w:tcPr>
          <w:p>
            <w:pPr>
              <w:spacing w:line="320" w:lineRule="exact"/>
              <w:jc w:val="center"/>
              <w:rPr>
                <w:rFonts w:eastAsia="仿宋_GB2312"/>
                <w:sz w:val="28"/>
                <w:szCs w:val="28"/>
              </w:rPr>
            </w:pPr>
          </w:p>
        </w:tc>
        <w:tc>
          <w:tcPr>
            <w:tcW w:w="11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eastAsia="仿宋_GB2312"/>
                <w:kern w:val="0"/>
                <w:sz w:val="28"/>
                <w:szCs w:val="28"/>
              </w:rPr>
            </w:pPr>
            <w:r>
              <w:rPr>
                <w:rFonts w:eastAsia="仿宋_GB2312"/>
                <w:kern w:val="0"/>
                <w:sz w:val="28"/>
                <w:szCs w:val="28"/>
              </w:rPr>
              <w:t>完成</w:t>
            </w:r>
          </w:p>
          <w:p>
            <w:pPr>
              <w:widowControl/>
              <w:spacing w:line="320" w:lineRule="exact"/>
              <w:jc w:val="center"/>
              <w:textAlignment w:val="bottom"/>
              <w:rPr>
                <w:rFonts w:eastAsia="仿宋_GB2312"/>
                <w:sz w:val="28"/>
                <w:szCs w:val="28"/>
              </w:rPr>
            </w:pPr>
            <w:r>
              <w:rPr>
                <w:rFonts w:eastAsia="仿宋_GB2312"/>
                <w:kern w:val="0"/>
                <w:sz w:val="28"/>
                <w:szCs w:val="28"/>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eastAsia="仿宋_GB2312"/>
                <w:kern w:val="0"/>
                <w:sz w:val="28"/>
                <w:szCs w:val="28"/>
              </w:rPr>
            </w:pPr>
            <w:r>
              <w:rPr>
                <w:rFonts w:eastAsia="仿宋_GB2312"/>
                <w:kern w:val="0"/>
                <w:sz w:val="28"/>
                <w:szCs w:val="28"/>
              </w:rPr>
              <w:t>数量指标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textAlignment w:val="bottom"/>
              <w:rPr>
                <w:rFonts w:eastAsia="仿宋_GB2312"/>
                <w:sz w:val="15"/>
                <w:szCs w:val="15"/>
              </w:rPr>
            </w:pPr>
            <w:r>
              <w:rPr>
                <w:rFonts w:hint="eastAsia" w:eastAsia="仿宋_GB2312"/>
                <w:sz w:val="15"/>
                <w:szCs w:val="15"/>
              </w:rPr>
              <w:t>补助五个街道，一个镇的代表工作平台建设</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textAlignment w:val="bottom"/>
              <w:rPr>
                <w:rFonts w:eastAsia="仿宋_GB2312"/>
                <w:sz w:val="15"/>
                <w:szCs w:val="15"/>
              </w:rPr>
            </w:pPr>
            <w:r>
              <w:rPr>
                <w:rFonts w:hint="eastAsia" w:eastAsia="仿宋_GB2312"/>
                <w:sz w:val="15"/>
                <w:szCs w:val="15"/>
              </w:rPr>
              <w:t>补助五个街道，一个镇的代表工作平台建设</w:t>
            </w:r>
          </w:p>
        </w:tc>
        <w:tc>
          <w:tcPr>
            <w:tcW w:w="223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bottom"/>
              <w:rPr>
                <w:rFonts w:eastAsia="仿宋_GB2312"/>
                <w:sz w:val="15"/>
                <w:szCs w:val="15"/>
              </w:rPr>
            </w:pPr>
            <w:r>
              <w:rPr>
                <w:rFonts w:hint="eastAsia" w:eastAsia="仿宋_GB2312"/>
                <w:sz w:val="15"/>
                <w:szCs w:val="15"/>
              </w:rPr>
              <w:t>100%</w:t>
            </w:r>
          </w:p>
        </w:tc>
      </w:tr>
      <w:tr>
        <w:trPr>
          <w:trHeight w:val="415" w:hRule="atLeast"/>
        </w:trPr>
        <w:tc>
          <w:tcPr>
            <w:tcW w:w="1976" w:type="dxa"/>
            <w:vMerge w:val="continue"/>
            <w:tcBorders>
              <w:left w:val="single" w:color="000000" w:sz="4" w:space="0"/>
              <w:right w:val="single" w:color="000000" w:sz="4" w:space="0"/>
            </w:tcBorders>
            <w:shd w:val="clear" w:color="auto" w:fill="auto"/>
            <w:vAlign w:val="center"/>
          </w:tcPr>
          <w:p>
            <w:pPr>
              <w:spacing w:line="320" w:lineRule="exact"/>
              <w:jc w:val="center"/>
              <w:rPr>
                <w:rFonts w:eastAsia="仿宋_GB2312"/>
                <w:sz w:val="28"/>
                <w:szCs w:val="28"/>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20" w:lineRule="exact"/>
              <w:jc w:val="center"/>
              <w:rPr>
                <w:rFonts w:eastAsia="仿宋_GB2312"/>
                <w:sz w:val="28"/>
                <w:szCs w:val="28"/>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eastAsia="仿宋_GB2312"/>
                <w:kern w:val="0"/>
                <w:sz w:val="28"/>
                <w:szCs w:val="28"/>
              </w:rPr>
            </w:pPr>
            <w:r>
              <w:rPr>
                <w:rFonts w:eastAsia="仿宋_GB2312"/>
                <w:kern w:val="0"/>
                <w:sz w:val="28"/>
                <w:szCs w:val="28"/>
              </w:rPr>
              <w:t>质量指标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textAlignment w:val="bottom"/>
              <w:rPr>
                <w:rFonts w:eastAsia="仿宋_GB2312"/>
                <w:sz w:val="15"/>
                <w:szCs w:val="15"/>
              </w:rPr>
            </w:pPr>
            <w:r>
              <w:rPr>
                <w:rFonts w:hint="eastAsia" w:eastAsia="仿宋_GB2312"/>
                <w:sz w:val="15"/>
                <w:szCs w:val="15"/>
              </w:rPr>
              <w:t>优化代表履职服务职障，丰富闭会期间代表活动，监督代表建议意见办理</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abs>
                <w:tab w:val="left" w:pos="344"/>
              </w:tabs>
              <w:spacing w:line="220" w:lineRule="exact"/>
              <w:textAlignment w:val="bottom"/>
              <w:rPr>
                <w:rFonts w:eastAsia="仿宋_GB2312"/>
                <w:sz w:val="15"/>
                <w:szCs w:val="15"/>
              </w:rPr>
            </w:pPr>
            <w:r>
              <w:rPr>
                <w:rFonts w:hint="eastAsia" w:eastAsia="仿宋_GB2312"/>
                <w:sz w:val="15"/>
                <w:szCs w:val="15"/>
              </w:rPr>
              <w:t>提高履职保障，完成全年工作计划</w:t>
            </w:r>
          </w:p>
        </w:tc>
        <w:tc>
          <w:tcPr>
            <w:tcW w:w="223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bottom"/>
              <w:rPr>
                <w:rFonts w:eastAsia="仿宋_GB2312"/>
                <w:sz w:val="15"/>
                <w:szCs w:val="15"/>
              </w:rPr>
            </w:pPr>
            <w:r>
              <w:rPr>
                <w:rFonts w:hint="eastAsia" w:eastAsia="仿宋_GB2312"/>
                <w:sz w:val="15"/>
                <w:szCs w:val="15"/>
              </w:rPr>
              <w:t>100%</w:t>
            </w:r>
          </w:p>
        </w:tc>
      </w:tr>
      <w:tr>
        <w:tblPrEx>
          <w:tblCellMar>
            <w:top w:w="0" w:type="dxa"/>
            <w:left w:w="108" w:type="dxa"/>
            <w:bottom w:w="0" w:type="dxa"/>
            <w:right w:w="108" w:type="dxa"/>
          </w:tblCellMar>
        </w:tblPrEx>
        <w:trPr>
          <w:trHeight w:val="415" w:hRule="atLeast"/>
        </w:trPr>
        <w:tc>
          <w:tcPr>
            <w:tcW w:w="1976" w:type="dxa"/>
            <w:vMerge w:val="continue"/>
            <w:tcBorders>
              <w:left w:val="single" w:color="000000" w:sz="4" w:space="0"/>
              <w:right w:val="single" w:color="000000" w:sz="4" w:space="0"/>
            </w:tcBorders>
            <w:shd w:val="clear" w:color="auto" w:fill="auto"/>
            <w:vAlign w:val="center"/>
          </w:tcPr>
          <w:p>
            <w:pPr>
              <w:spacing w:line="320" w:lineRule="exact"/>
              <w:jc w:val="center"/>
              <w:rPr>
                <w:rFonts w:eastAsia="仿宋_GB2312"/>
                <w:sz w:val="28"/>
                <w:szCs w:val="28"/>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20" w:lineRule="exact"/>
              <w:jc w:val="center"/>
              <w:rPr>
                <w:rFonts w:eastAsia="仿宋_GB2312"/>
                <w:sz w:val="28"/>
                <w:szCs w:val="28"/>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eastAsia="仿宋_GB2312"/>
                <w:kern w:val="0"/>
                <w:sz w:val="28"/>
                <w:szCs w:val="28"/>
              </w:rPr>
            </w:pPr>
            <w:r>
              <w:rPr>
                <w:rFonts w:eastAsia="仿宋_GB2312"/>
                <w:kern w:val="0"/>
                <w:sz w:val="28"/>
                <w:szCs w:val="28"/>
              </w:rPr>
              <w:t>时效指标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textAlignment w:val="bottom"/>
              <w:rPr>
                <w:rFonts w:eastAsia="仿宋_GB2312"/>
                <w:sz w:val="15"/>
                <w:szCs w:val="15"/>
              </w:rPr>
            </w:pPr>
            <w:r>
              <w:rPr>
                <w:rFonts w:hint="eastAsia" w:eastAsia="仿宋_GB2312"/>
                <w:sz w:val="15"/>
                <w:szCs w:val="15"/>
              </w:rPr>
              <w:t>按年度内计划实施</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textAlignment w:val="bottom"/>
              <w:rPr>
                <w:rFonts w:eastAsia="仿宋_GB2312"/>
                <w:sz w:val="15"/>
                <w:szCs w:val="15"/>
              </w:rPr>
            </w:pPr>
            <w:r>
              <w:rPr>
                <w:rFonts w:hint="eastAsia" w:eastAsia="仿宋_GB2312"/>
                <w:sz w:val="15"/>
                <w:szCs w:val="15"/>
              </w:rPr>
              <w:t>1-12月</w:t>
            </w:r>
          </w:p>
        </w:tc>
        <w:tc>
          <w:tcPr>
            <w:tcW w:w="223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bottom"/>
              <w:rPr>
                <w:rFonts w:eastAsia="仿宋_GB2312"/>
                <w:sz w:val="15"/>
                <w:szCs w:val="15"/>
              </w:rPr>
            </w:pPr>
            <w:r>
              <w:rPr>
                <w:rFonts w:hint="eastAsia" w:eastAsia="仿宋_GB2312"/>
                <w:sz w:val="15"/>
                <w:szCs w:val="15"/>
              </w:rPr>
              <w:t>100%</w:t>
            </w:r>
          </w:p>
        </w:tc>
      </w:tr>
      <w:tr>
        <w:trPr>
          <w:trHeight w:val="560" w:hRule="atLeast"/>
        </w:trPr>
        <w:tc>
          <w:tcPr>
            <w:tcW w:w="1976" w:type="dxa"/>
            <w:vMerge w:val="continue"/>
            <w:tcBorders>
              <w:left w:val="single" w:color="000000" w:sz="4" w:space="0"/>
              <w:right w:val="single" w:color="000000" w:sz="4" w:space="0"/>
            </w:tcBorders>
            <w:shd w:val="clear" w:color="auto" w:fill="auto"/>
            <w:vAlign w:val="center"/>
          </w:tcPr>
          <w:p>
            <w:pPr>
              <w:spacing w:line="320" w:lineRule="exact"/>
              <w:jc w:val="center"/>
              <w:rPr>
                <w:rFonts w:eastAsia="仿宋_GB2312"/>
                <w:sz w:val="28"/>
                <w:szCs w:val="28"/>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20" w:lineRule="exact"/>
              <w:jc w:val="center"/>
              <w:rPr>
                <w:rFonts w:eastAsia="仿宋_GB2312"/>
                <w:sz w:val="28"/>
                <w:szCs w:val="28"/>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eastAsia="仿宋_GB2312"/>
                <w:kern w:val="0"/>
                <w:sz w:val="28"/>
                <w:szCs w:val="28"/>
              </w:rPr>
            </w:pPr>
            <w:r>
              <w:rPr>
                <w:rFonts w:eastAsia="仿宋_GB2312"/>
                <w:kern w:val="0"/>
                <w:sz w:val="28"/>
                <w:szCs w:val="28"/>
              </w:rPr>
              <w:t>成本指标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textAlignment w:val="bottom"/>
              <w:rPr>
                <w:rFonts w:eastAsia="仿宋_GB2312"/>
                <w:sz w:val="15"/>
                <w:szCs w:val="15"/>
              </w:rPr>
            </w:pPr>
            <w:r>
              <w:rPr>
                <w:rFonts w:hint="eastAsia" w:eastAsia="仿宋_GB2312"/>
                <w:sz w:val="15"/>
                <w:szCs w:val="15"/>
              </w:rPr>
              <w:t>在预算范围内开展工作</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textAlignment w:val="bottom"/>
              <w:rPr>
                <w:rFonts w:eastAsia="仿宋_GB2312"/>
                <w:sz w:val="15"/>
                <w:szCs w:val="15"/>
              </w:rPr>
            </w:pPr>
            <w:r>
              <w:rPr>
                <w:rFonts w:eastAsia="仿宋_GB2312"/>
                <w:sz w:val="15"/>
                <w:szCs w:val="15"/>
              </w:rPr>
              <w:t>9.6</w:t>
            </w:r>
            <w:r>
              <w:rPr>
                <w:rFonts w:hint="eastAsia" w:eastAsia="仿宋_GB2312"/>
                <w:sz w:val="15"/>
                <w:szCs w:val="15"/>
              </w:rPr>
              <w:t>万元</w:t>
            </w:r>
          </w:p>
        </w:tc>
        <w:tc>
          <w:tcPr>
            <w:tcW w:w="223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bottom"/>
              <w:rPr>
                <w:rFonts w:eastAsia="仿宋_GB2312"/>
                <w:sz w:val="15"/>
                <w:szCs w:val="15"/>
              </w:rPr>
            </w:pPr>
            <w:r>
              <w:rPr>
                <w:rFonts w:hint="eastAsia" w:eastAsia="仿宋_GB2312"/>
                <w:sz w:val="15"/>
                <w:szCs w:val="15"/>
              </w:rPr>
              <w:t>100%</w:t>
            </w:r>
          </w:p>
        </w:tc>
      </w:tr>
      <w:tr>
        <w:tblPrEx>
          <w:tblCellMar>
            <w:top w:w="0" w:type="dxa"/>
            <w:left w:w="108" w:type="dxa"/>
            <w:bottom w:w="0" w:type="dxa"/>
            <w:right w:w="108" w:type="dxa"/>
          </w:tblCellMar>
        </w:tblPrEx>
        <w:trPr>
          <w:trHeight w:val="480" w:hRule="atLeast"/>
        </w:trPr>
        <w:tc>
          <w:tcPr>
            <w:tcW w:w="1976" w:type="dxa"/>
            <w:vMerge w:val="continue"/>
            <w:tcBorders>
              <w:left w:val="single" w:color="000000" w:sz="4" w:space="0"/>
              <w:right w:val="single" w:color="000000" w:sz="4" w:space="0"/>
            </w:tcBorders>
            <w:shd w:val="clear" w:color="auto" w:fill="auto"/>
            <w:vAlign w:val="center"/>
          </w:tcPr>
          <w:p>
            <w:pPr>
              <w:spacing w:line="320" w:lineRule="exact"/>
              <w:jc w:val="center"/>
              <w:rPr>
                <w:rFonts w:eastAsia="仿宋_GB2312"/>
                <w:sz w:val="28"/>
                <w:szCs w:val="28"/>
              </w:rPr>
            </w:pPr>
          </w:p>
        </w:tc>
        <w:tc>
          <w:tcPr>
            <w:tcW w:w="11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eastAsia="仿宋_GB2312"/>
                <w:kern w:val="0"/>
                <w:sz w:val="28"/>
                <w:szCs w:val="28"/>
              </w:rPr>
            </w:pPr>
            <w:r>
              <w:rPr>
                <w:rFonts w:eastAsia="仿宋_GB2312"/>
                <w:kern w:val="0"/>
                <w:sz w:val="28"/>
                <w:szCs w:val="28"/>
              </w:rPr>
              <w:t>效益</w:t>
            </w:r>
          </w:p>
          <w:p>
            <w:pPr>
              <w:widowControl/>
              <w:spacing w:line="320" w:lineRule="exact"/>
              <w:jc w:val="center"/>
              <w:textAlignment w:val="bottom"/>
              <w:rPr>
                <w:rFonts w:eastAsia="仿宋_GB2312"/>
                <w:sz w:val="28"/>
                <w:szCs w:val="28"/>
              </w:rPr>
            </w:pPr>
            <w:r>
              <w:rPr>
                <w:rFonts w:eastAsia="仿宋_GB2312"/>
                <w:kern w:val="0"/>
                <w:sz w:val="28"/>
                <w:szCs w:val="28"/>
              </w:rPr>
              <w:t>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eastAsia="仿宋_GB2312"/>
                <w:kern w:val="0"/>
                <w:sz w:val="28"/>
                <w:szCs w:val="28"/>
              </w:rPr>
            </w:pPr>
            <w:r>
              <w:rPr>
                <w:rFonts w:eastAsia="仿宋_GB2312"/>
                <w:kern w:val="0"/>
                <w:sz w:val="28"/>
                <w:szCs w:val="28"/>
              </w:rPr>
              <w:t>经济效益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textAlignment w:val="bottom"/>
              <w:rPr>
                <w:rFonts w:eastAsia="仿宋_GB2312"/>
                <w:sz w:val="15"/>
                <w:szCs w:val="15"/>
              </w:rPr>
            </w:pPr>
            <w:r>
              <w:rPr>
                <w:rFonts w:hint="eastAsia" w:eastAsia="仿宋_GB2312"/>
                <w:sz w:val="15"/>
                <w:szCs w:val="15"/>
              </w:rPr>
              <w:t>找事开展各项工作，促进西区经济发展</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textAlignment w:val="bottom"/>
              <w:rPr>
                <w:rFonts w:eastAsia="仿宋_GB2312"/>
                <w:sz w:val="15"/>
                <w:szCs w:val="15"/>
              </w:rPr>
            </w:pPr>
            <w:r>
              <w:rPr>
                <w:rFonts w:hint="eastAsia" w:eastAsia="仿宋_GB2312"/>
                <w:sz w:val="15"/>
                <w:szCs w:val="15"/>
              </w:rPr>
              <w:t>完成全年工作计划</w:t>
            </w:r>
          </w:p>
        </w:tc>
        <w:tc>
          <w:tcPr>
            <w:tcW w:w="223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bottom"/>
              <w:rPr>
                <w:rFonts w:eastAsia="仿宋_GB2312"/>
                <w:sz w:val="15"/>
                <w:szCs w:val="15"/>
              </w:rPr>
            </w:pPr>
            <w:r>
              <w:rPr>
                <w:rFonts w:hint="eastAsia" w:eastAsia="仿宋_GB2312"/>
                <w:sz w:val="15"/>
                <w:szCs w:val="15"/>
              </w:rPr>
              <w:t>1</w:t>
            </w:r>
            <w:r>
              <w:rPr>
                <w:rFonts w:eastAsia="仿宋_GB2312"/>
                <w:sz w:val="15"/>
                <w:szCs w:val="15"/>
              </w:rPr>
              <w:t>00</w:t>
            </w:r>
            <w:r>
              <w:rPr>
                <w:rFonts w:hint="eastAsia" w:eastAsia="仿宋_GB2312"/>
                <w:sz w:val="15"/>
                <w:szCs w:val="15"/>
              </w:rPr>
              <w:t>%</w:t>
            </w:r>
          </w:p>
        </w:tc>
      </w:tr>
      <w:tr>
        <w:trPr>
          <w:trHeight w:val="480" w:hRule="atLeast"/>
        </w:trPr>
        <w:tc>
          <w:tcPr>
            <w:tcW w:w="1976" w:type="dxa"/>
            <w:vMerge w:val="continue"/>
            <w:tcBorders>
              <w:left w:val="single" w:color="000000" w:sz="4" w:space="0"/>
              <w:right w:val="single" w:color="000000" w:sz="4" w:space="0"/>
            </w:tcBorders>
            <w:shd w:val="clear" w:color="auto" w:fill="auto"/>
            <w:vAlign w:val="center"/>
          </w:tcPr>
          <w:p>
            <w:pPr>
              <w:spacing w:line="320" w:lineRule="exact"/>
              <w:jc w:val="center"/>
              <w:rPr>
                <w:rFonts w:eastAsia="仿宋_GB2312"/>
                <w:sz w:val="28"/>
                <w:szCs w:val="28"/>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20" w:lineRule="exact"/>
              <w:jc w:val="center"/>
              <w:rPr>
                <w:rFonts w:eastAsia="仿宋_GB2312"/>
                <w:sz w:val="28"/>
                <w:szCs w:val="28"/>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eastAsia="仿宋_GB2312"/>
                <w:kern w:val="0"/>
                <w:sz w:val="28"/>
                <w:szCs w:val="28"/>
              </w:rPr>
            </w:pPr>
            <w:r>
              <w:rPr>
                <w:rFonts w:eastAsia="仿宋_GB2312"/>
                <w:kern w:val="0"/>
                <w:sz w:val="28"/>
                <w:szCs w:val="28"/>
              </w:rPr>
              <w:t>社会效益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textAlignment w:val="bottom"/>
              <w:rPr>
                <w:rFonts w:eastAsia="仿宋_GB2312"/>
                <w:sz w:val="15"/>
                <w:szCs w:val="15"/>
              </w:rPr>
            </w:pPr>
            <w:r>
              <w:rPr>
                <w:rFonts w:hint="eastAsia" w:eastAsia="仿宋_GB2312"/>
                <w:sz w:val="15"/>
                <w:szCs w:val="15"/>
              </w:rPr>
              <w:t>优化代表履职服务职障，丰富闭会期间代表活动，监督代表建议意见办理</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textAlignment w:val="bottom"/>
              <w:rPr>
                <w:rFonts w:eastAsia="仿宋_GB2312"/>
                <w:sz w:val="15"/>
                <w:szCs w:val="15"/>
              </w:rPr>
            </w:pPr>
            <w:r>
              <w:rPr>
                <w:rFonts w:hint="eastAsia" w:eastAsia="仿宋_GB2312"/>
                <w:sz w:val="15"/>
                <w:szCs w:val="15"/>
              </w:rPr>
              <w:t>提高履职保障</w:t>
            </w:r>
          </w:p>
        </w:tc>
        <w:tc>
          <w:tcPr>
            <w:tcW w:w="223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bottom"/>
              <w:rPr>
                <w:rFonts w:eastAsia="仿宋_GB2312"/>
                <w:sz w:val="15"/>
                <w:szCs w:val="15"/>
              </w:rPr>
            </w:pPr>
            <w:r>
              <w:rPr>
                <w:rFonts w:hint="eastAsia" w:eastAsia="仿宋_GB2312"/>
                <w:sz w:val="15"/>
                <w:szCs w:val="15"/>
              </w:rPr>
              <w:t>100%</w:t>
            </w:r>
          </w:p>
        </w:tc>
      </w:tr>
      <w:tr>
        <w:tblPrEx>
          <w:tblCellMar>
            <w:top w:w="0" w:type="dxa"/>
            <w:left w:w="108" w:type="dxa"/>
            <w:bottom w:w="0" w:type="dxa"/>
            <w:right w:w="108" w:type="dxa"/>
          </w:tblCellMar>
        </w:tblPrEx>
        <w:trPr>
          <w:trHeight w:val="577" w:hRule="atLeast"/>
        </w:trPr>
        <w:tc>
          <w:tcPr>
            <w:tcW w:w="1976" w:type="dxa"/>
            <w:vMerge w:val="continue"/>
            <w:tcBorders>
              <w:left w:val="single" w:color="000000" w:sz="4" w:space="0"/>
              <w:right w:val="single" w:color="000000" w:sz="4" w:space="0"/>
            </w:tcBorders>
            <w:shd w:val="clear" w:color="auto" w:fill="auto"/>
            <w:vAlign w:val="center"/>
          </w:tcPr>
          <w:p>
            <w:pPr>
              <w:spacing w:line="320" w:lineRule="exact"/>
              <w:jc w:val="center"/>
              <w:rPr>
                <w:rFonts w:eastAsia="仿宋_GB2312"/>
                <w:sz w:val="28"/>
                <w:szCs w:val="28"/>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20" w:lineRule="exact"/>
              <w:jc w:val="center"/>
              <w:rPr>
                <w:rFonts w:eastAsia="仿宋_GB2312"/>
                <w:sz w:val="28"/>
                <w:szCs w:val="28"/>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eastAsia="仿宋_GB2312"/>
                <w:kern w:val="0"/>
                <w:sz w:val="28"/>
                <w:szCs w:val="28"/>
              </w:rPr>
            </w:pPr>
            <w:r>
              <w:rPr>
                <w:rFonts w:eastAsia="仿宋_GB2312"/>
                <w:kern w:val="0"/>
                <w:sz w:val="28"/>
                <w:szCs w:val="28"/>
              </w:rPr>
              <w:t>生态效益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textAlignment w:val="bottom"/>
              <w:rPr>
                <w:rFonts w:eastAsia="仿宋_GB2312"/>
                <w:sz w:val="15"/>
                <w:szCs w:val="15"/>
              </w:rPr>
            </w:pPr>
            <w:r>
              <w:rPr>
                <w:rFonts w:hint="eastAsia" w:eastAsia="仿宋_GB2312"/>
                <w:sz w:val="15"/>
                <w:szCs w:val="15"/>
              </w:rPr>
              <w:t>持续稳定开展各项工作，强化服务，保障民生</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textAlignment w:val="bottom"/>
              <w:rPr>
                <w:rFonts w:eastAsia="仿宋_GB2312"/>
                <w:sz w:val="15"/>
                <w:szCs w:val="15"/>
              </w:rPr>
            </w:pPr>
            <w:r>
              <w:rPr>
                <w:rFonts w:hint="eastAsia" w:eastAsia="仿宋_GB2312"/>
                <w:sz w:val="15"/>
                <w:szCs w:val="15"/>
              </w:rPr>
              <w:t>扎实开展各项工作，保障民生</w:t>
            </w:r>
          </w:p>
        </w:tc>
        <w:tc>
          <w:tcPr>
            <w:tcW w:w="223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bottom"/>
              <w:rPr>
                <w:rFonts w:eastAsia="仿宋_GB2312"/>
                <w:sz w:val="15"/>
                <w:szCs w:val="15"/>
              </w:rPr>
            </w:pPr>
            <w:r>
              <w:rPr>
                <w:rFonts w:hint="eastAsia" w:eastAsia="仿宋_GB2312"/>
                <w:sz w:val="15"/>
                <w:szCs w:val="15"/>
              </w:rPr>
              <w:t>100%</w:t>
            </w:r>
          </w:p>
        </w:tc>
      </w:tr>
      <w:tr>
        <w:trPr>
          <w:trHeight w:val="894" w:hRule="atLeast"/>
        </w:trPr>
        <w:tc>
          <w:tcPr>
            <w:tcW w:w="1976" w:type="dxa"/>
            <w:vMerge w:val="continue"/>
            <w:tcBorders>
              <w:left w:val="single" w:color="000000" w:sz="4" w:space="0"/>
              <w:right w:val="single" w:color="000000" w:sz="4" w:space="0"/>
            </w:tcBorders>
            <w:shd w:val="clear" w:color="auto" w:fill="auto"/>
            <w:vAlign w:val="center"/>
          </w:tcPr>
          <w:p>
            <w:pPr>
              <w:spacing w:line="320" w:lineRule="exact"/>
              <w:jc w:val="center"/>
              <w:rPr>
                <w:rFonts w:eastAsia="仿宋_GB2312"/>
                <w:sz w:val="28"/>
                <w:szCs w:val="28"/>
              </w:rPr>
            </w:pPr>
          </w:p>
        </w:tc>
        <w:tc>
          <w:tcPr>
            <w:tcW w:w="11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20" w:lineRule="exact"/>
              <w:jc w:val="center"/>
              <w:rPr>
                <w:rFonts w:eastAsia="仿宋_GB2312"/>
                <w:sz w:val="28"/>
                <w:szCs w:val="28"/>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eastAsia="仿宋_GB2312"/>
                <w:kern w:val="0"/>
                <w:sz w:val="28"/>
                <w:szCs w:val="28"/>
              </w:rPr>
            </w:pPr>
            <w:r>
              <w:rPr>
                <w:rFonts w:eastAsia="仿宋_GB2312"/>
                <w:kern w:val="0"/>
                <w:sz w:val="28"/>
                <w:szCs w:val="28"/>
              </w:rPr>
              <w:t>可持续影响 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textAlignment w:val="bottom"/>
              <w:rPr>
                <w:rFonts w:eastAsia="仿宋_GB2312"/>
                <w:sz w:val="15"/>
                <w:szCs w:val="15"/>
              </w:rPr>
            </w:pPr>
            <w:r>
              <w:rPr>
                <w:rFonts w:hint="eastAsia" w:eastAsia="仿宋_GB2312"/>
                <w:sz w:val="15"/>
                <w:szCs w:val="15"/>
              </w:rPr>
              <w:t>强化服务，保障民生</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textAlignment w:val="bottom"/>
              <w:rPr>
                <w:rFonts w:eastAsia="仿宋_GB2312"/>
                <w:sz w:val="15"/>
                <w:szCs w:val="15"/>
              </w:rPr>
            </w:pPr>
            <w:r>
              <w:rPr>
                <w:rFonts w:hint="eastAsia" w:eastAsia="仿宋_GB2312"/>
                <w:sz w:val="15"/>
                <w:szCs w:val="15"/>
              </w:rPr>
              <w:t>强化服务，保障民生</w:t>
            </w:r>
          </w:p>
        </w:tc>
        <w:tc>
          <w:tcPr>
            <w:tcW w:w="223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bottom"/>
              <w:rPr>
                <w:rFonts w:eastAsia="仿宋_GB2312"/>
                <w:sz w:val="15"/>
                <w:szCs w:val="15"/>
              </w:rPr>
            </w:pPr>
            <w:r>
              <w:rPr>
                <w:rFonts w:hint="eastAsia" w:eastAsia="仿宋_GB2312"/>
                <w:sz w:val="15"/>
                <w:szCs w:val="15"/>
              </w:rPr>
              <w:t>100%</w:t>
            </w:r>
          </w:p>
        </w:tc>
      </w:tr>
      <w:tr>
        <w:tblPrEx>
          <w:tblCellMar>
            <w:top w:w="0" w:type="dxa"/>
            <w:left w:w="108" w:type="dxa"/>
            <w:bottom w:w="0" w:type="dxa"/>
            <w:right w:w="108" w:type="dxa"/>
          </w:tblCellMar>
        </w:tblPrEx>
        <w:trPr>
          <w:trHeight w:val="1412" w:hRule="atLeast"/>
        </w:trPr>
        <w:tc>
          <w:tcPr>
            <w:tcW w:w="1976" w:type="dxa"/>
            <w:vMerge w:val="continue"/>
            <w:tcBorders>
              <w:left w:val="single" w:color="000000" w:sz="4" w:space="0"/>
              <w:bottom w:val="single" w:color="000000" w:sz="4" w:space="0"/>
              <w:right w:val="single" w:color="000000" w:sz="4" w:space="0"/>
            </w:tcBorders>
            <w:shd w:val="clear" w:color="auto" w:fill="auto"/>
            <w:vAlign w:val="center"/>
          </w:tcPr>
          <w:p>
            <w:pPr>
              <w:spacing w:line="320" w:lineRule="exact"/>
              <w:jc w:val="center"/>
              <w:rPr>
                <w:rFonts w:eastAsia="仿宋_GB2312"/>
                <w:sz w:val="28"/>
                <w:szCs w:val="28"/>
              </w:rPr>
            </w:pPr>
          </w:p>
        </w:tc>
        <w:tc>
          <w:tcPr>
            <w:tcW w:w="11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eastAsia="仿宋_GB2312"/>
                <w:kern w:val="0"/>
                <w:sz w:val="28"/>
                <w:szCs w:val="28"/>
              </w:rPr>
            </w:pPr>
            <w:r>
              <w:rPr>
                <w:rFonts w:eastAsia="仿宋_GB2312"/>
                <w:kern w:val="0"/>
                <w:sz w:val="28"/>
                <w:szCs w:val="28"/>
              </w:rPr>
              <w:t>满意</w:t>
            </w:r>
          </w:p>
          <w:p>
            <w:pPr>
              <w:widowControl/>
              <w:spacing w:line="320" w:lineRule="exact"/>
              <w:jc w:val="center"/>
              <w:textAlignment w:val="bottom"/>
              <w:rPr>
                <w:rFonts w:eastAsia="仿宋_GB2312"/>
                <w:sz w:val="28"/>
                <w:szCs w:val="28"/>
              </w:rPr>
            </w:pPr>
            <w:r>
              <w:rPr>
                <w:rFonts w:eastAsia="仿宋_GB2312"/>
                <w:kern w:val="0"/>
                <w:sz w:val="28"/>
                <w:szCs w:val="28"/>
              </w:rPr>
              <w:t>度指标</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20" w:lineRule="exact"/>
              <w:jc w:val="center"/>
              <w:textAlignment w:val="bottom"/>
              <w:rPr>
                <w:rFonts w:eastAsia="仿宋_GB2312"/>
                <w:kern w:val="0"/>
                <w:sz w:val="28"/>
                <w:szCs w:val="28"/>
              </w:rPr>
            </w:pPr>
            <w:r>
              <w:rPr>
                <w:rFonts w:eastAsia="仿宋_GB2312"/>
                <w:kern w:val="0"/>
                <w:sz w:val="28"/>
                <w:szCs w:val="28"/>
              </w:rPr>
              <w:t>满意度</w:t>
            </w:r>
          </w:p>
          <w:p>
            <w:pPr>
              <w:widowControl/>
              <w:spacing w:line="320" w:lineRule="exact"/>
              <w:jc w:val="center"/>
              <w:textAlignment w:val="bottom"/>
              <w:rPr>
                <w:rFonts w:eastAsia="仿宋_GB2312"/>
                <w:kern w:val="0"/>
                <w:sz w:val="28"/>
                <w:szCs w:val="28"/>
              </w:rPr>
            </w:pPr>
            <w:r>
              <w:rPr>
                <w:rFonts w:eastAsia="仿宋_GB2312"/>
                <w:kern w:val="0"/>
                <w:sz w:val="28"/>
                <w:szCs w:val="28"/>
              </w:rPr>
              <w:t>指标</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textAlignment w:val="bottom"/>
              <w:rPr>
                <w:rFonts w:eastAsia="仿宋_GB2312"/>
                <w:sz w:val="18"/>
                <w:szCs w:val="18"/>
              </w:rPr>
            </w:pPr>
            <w:r>
              <w:rPr>
                <w:rFonts w:hint="eastAsia" w:eastAsia="仿宋_GB2312"/>
                <w:sz w:val="18"/>
                <w:szCs w:val="18"/>
              </w:rPr>
              <w:t>市、区代表满意</w:t>
            </w:r>
          </w:p>
        </w:tc>
        <w:tc>
          <w:tcPr>
            <w:tcW w:w="13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textAlignment w:val="bottom"/>
              <w:rPr>
                <w:rFonts w:eastAsia="仿宋_GB2312"/>
                <w:sz w:val="18"/>
                <w:szCs w:val="18"/>
              </w:rPr>
            </w:pPr>
            <w:r>
              <w:rPr>
                <w:rFonts w:hint="eastAsia" w:eastAsia="仿宋_GB2312"/>
                <w:sz w:val="18"/>
                <w:szCs w:val="18"/>
              </w:rPr>
              <w:t>让市、区代表满意</w:t>
            </w:r>
          </w:p>
        </w:tc>
        <w:tc>
          <w:tcPr>
            <w:tcW w:w="223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20" w:lineRule="exact"/>
              <w:jc w:val="center"/>
              <w:textAlignment w:val="bottom"/>
              <w:rPr>
                <w:rFonts w:eastAsia="仿宋_GB2312"/>
                <w:sz w:val="18"/>
                <w:szCs w:val="18"/>
              </w:rPr>
            </w:pPr>
            <w:r>
              <w:rPr>
                <w:rFonts w:hint="eastAsia" w:eastAsia="仿宋_GB2312"/>
                <w:sz w:val="18"/>
                <w:szCs w:val="18"/>
              </w:rPr>
              <w:t>100%</w:t>
            </w:r>
          </w:p>
        </w:tc>
      </w:tr>
      <w:tr>
        <w:trPr>
          <w:trHeight w:val="675" w:hRule="atLeast"/>
        </w:trPr>
        <w:tc>
          <w:tcPr>
            <w:tcW w:w="9575"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b/>
                <w:sz w:val="32"/>
                <w:szCs w:val="32"/>
              </w:rPr>
            </w:pPr>
            <w:r>
              <w:rPr>
                <w:b/>
                <w:sz w:val="32"/>
                <w:szCs w:val="32"/>
              </w:rPr>
              <w:t>2021年部门预算项目绩效目标自评</w:t>
            </w:r>
          </w:p>
        </w:tc>
      </w:tr>
      <w:tr>
        <w:tblPrEx>
          <w:tblCellMar>
            <w:top w:w="0" w:type="dxa"/>
            <w:left w:w="108" w:type="dxa"/>
            <w:bottom w:w="0" w:type="dxa"/>
            <w:right w:w="108" w:type="dxa"/>
          </w:tblCellMar>
        </w:tblPrEx>
        <w:trPr>
          <w:trHeight w:val="254" w:hRule="atLeast"/>
        </w:trPr>
        <w:tc>
          <w:tcPr>
            <w:tcW w:w="311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20" w:lineRule="exact"/>
              <w:jc w:val="center"/>
              <w:textAlignment w:val="center"/>
              <w:rPr>
                <w:sz w:val="24"/>
              </w:rPr>
            </w:pPr>
            <w:r>
              <w:rPr>
                <w:kern w:val="0"/>
                <w:sz w:val="24"/>
              </w:rPr>
              <w:t>主管部门及代码</w:t>
            </w:r>
          </w:p>
        </w:tc>
        <w:tc>
          <w:tcPr>
            <w:tcW w:w="282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20" w:lineRule="exact"/>
              <w:textAlignment w:val="center"/>
              <w:rPr>
                <w:sz w:val="24"/>
              </w:rPr>
            </w:pPr>
            <w:r>
              <w:rPr>
                <w:rFonts w:hint="eastAsia"/>
                <w:sz w:val="24"/>
              </w:rPr>
              <w:t>101001</w:t>
            </w:r>
          </w:p>
        </w:tc>
        <w:tc>
          <w:tcPr>
            <w:tcW w:w="13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20" w:lineRule="exact"/>
              <w:jc w:val="center"/>
              <w:textAlignment w:val="center"/>
              <w:rPr>
                <w:sz w:val="24"/>
              </w:rPr>
            </w:pPr>
            <w:r>
              <w:rPr>
                <w:kern w:val="0"/>
                <w:sz w:val="24"/>
              </w:rPr>
              <w:t>实施单位</w:t>
            </w:r>
          </w:p>
        </w:tc>
        <w:tc>
          <w:tcPr>
            <w:tcW w:w="223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20" w:lineRule="exact"/>
              <w:jc w:val="center"/>
              <w:textAlignment w:val="center"/>
              <w:rPr>
                <w:sz w:val="24"/>
              </w:rPr>
            </w:pPr>
            <w:r>
              <w:rPr>
                <w:rFonts w:hint="eastAsia"/>
                <w:sz w:val="24"/>
              </w:rPr>
              <w:t>区人大</w:t>
            </w:r>
          </w:p>
        </w:tc>
      </w:tr>
      <w:tr>
        <w:trPr>
          <w:trHeight w:val="341" w:hRule="atLeast"/>
        </w:trPr>
        <w:tc>
          <w:tcPr>
            <w:tcW w:w="3118"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20" w:lineRule="exact"/>
              <w:jc w:val="center"/>
              <w:textAlignment w:val="center"/>
              <w:rPr>
                <w:kern w:val="0"/>
                <w:sz w:val="24"/>
              </w:rPr>
            </w:pPr>
            <w:r>
              <w:rPr>
                <w:kern w:val="0"/>
                <w:sz w:val="24"/>
              </w:rPr>
              <w:t>项目预算</w:t>
            </w:r>
          </w:p>
          <w:p>
            <w:pPr>
              <w:widowControl/>
              <w:spacing w:line="320" w:lineRule="exact"/>
              <w:jc w:val="center"/>
              <w:textAlignment w:val="center"/>
              <w:rPr>
                <w:kern w:val="0"/>
                <w:sz w:val="24"/>
              </w:rPr>
            </w:pPr>
            <w:r>
              <w:rPr>
                <w:kern w:val="0"/>
                <w:sz w:val="24"/>
              </w:rPr>
              <w:t>执行情况</w:t>
            </w:r>
          </w:p>
          <w:p>
            <w:pPr>
              <w:widowControl/>
              <w:spacing w:line="320" w:lineRule="exact"/>
              <w:jc w:val="center"/>
              <w:textAlignment w:val="center"/>
              <w:rPr>
                <w:sz w:val="24"/>
              </w:rPr>
            </w:pPr>
            <w:r>
              <w:rPr>
                <w:kern w:val="0"/>
                <w:sz w:val="24"/>
              </w:rPr>
              <w:t>（万元）</w:t>
            </w:r>
          </w:p>
        </w:tc>
        <w:tc>
          <w:tcPr>
            <w:tcW w:w="163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20" w:lineRule="exact"/>
              <w:jc w:val="left"/>
              <w:textAlignment w:val="center"/>
              <w:rPr>
                <w:sz w:val="24"/>
              </w:rPr>
            </w:pPr>
            <w:r>
              <w:rPr>
                <w:kern w:val="0"/>
                <w:sz w:val="24"/>
              </w:rPr>
              <w:t xml:space="preserve"> 预算数：</w:t>
            </w:r>
          </w:p>
        </w:tc>
        <w:tc>
          <w:tcPr>
            <w:tcW w:w="118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20" w:lineRule="exact"/>
              <w:jc w:val="center"/>
              <w:textAlignment w:val="center"/>
              <w:rPr>
                <w:sz w:val="24"/>
              </w:rPr>
            </w:pPr>
            <w:r>
              <w:rPr>
                <w:rFonts w:hint="eastAsia"/>
                <w:sz w:val="24"/>
              </w:rPr>
              <w:t>0.5</w:t>
            </w:r>
          </w:p>
        </w:tc>
        <w:tc>
          <w:tcPr>
            <w:tcW w:w="13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20" w:lineRule="exact"/>
              <w:jc w:val="left"/>
              <w:textAlignment w:val="center"/>
              <w:rPr>
                <w:sz w:val="24"/>
              </w:rPr>
            </w:pPr>
            <w:r>
              <w:rPr>
                <w:kern w:val="0"/>
                <w:sz w:val="24"/>
              </w:rPr>
              <w:t xml:space="preserve"> 执行数：</w:t>
            </w:r>
          </w:p>
        </w:tc>
        <w:tc>
          <w:tcPr>
            <w:tcW w:w="223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20" w:lineRule="exact"/>
              <w:jc w:val="center"/>
              <w:textAlignment w:val="center"/>
              <w:rPr>
                <w:sz w:val="24"/>
              </w:rPr>
            </w:pPr>
            <w:r>
              <w:rPr>
                <w:rFonts w:hint="eastAsia"/>
                <w:sz w:val="24"/>
              </w:rPr>
              <w:t>0.5</w:t>
            </w:r>
          </w:p>
        </w:tc>
      </w:tr>
      <w:tr>
        <w:tblPrEx>
          <w:tblCellMar>
            <w:top w:w="0" w:type="dxa"/>
            <w:left w:w="108" w:type="dxa"/>
            <w:bottom w:w="0" w:type="dxa"/>
            <w:right w:w="108" w:type="dxa"/>
          </w:tblCellMar>
        </w:tblPrEx>
        <w:trPr>
          <w:trHeight w:val="555" w:hRule="atLeast"/>
        </w:trPr>
        <w:tc>
          <w:tcPr>
            <w:tcW w:w="3118"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20" w:lineRule="exact"/>
              <w:jc w:val="center"/>
              <w:rPr>
                <w:sz w:val="24"/>
              </w:rPr>
            </w:pPr>
          </w:p>
        </w:tc>
        <w:tc>
          <w:tcPr>
            <w:tcW w:w="163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20" w:lineRule="exact"/>
              <w:jc w:val="left"/>
              <w:textAlignment w:val="center"/>
              <w:rPr>
                <w:kern w:val="0"/>
                <w:sz w:val="24"/>
              </w:rPr>
            </w:pPr>
            <w:r>
              <w:rPr>
                <w:kern w:val="0"/>
                <w:sz w:val="24"/>
              </w:rPr>
              <w:t>其中：</w:t>
            </w:r>
          </w:p>
          <w:p>
            <w:pPr>
              <w:widowControl/>
              <w:spacing w:line="320" w:lineRule="exact"/>
              <w:jc w:val="left"/>
              <w:textAlignment w:val="center"/>
              <w:rPr>
                <w:sz w:val="24"/>
              </w:rPr>
            </w:pPr>
            <w:r>
              <w:rPr>
                <w:kern w:val="0"/>
                <w:sz w:val="24"/>
              </w:rPr>
              <w:t>财政拨款</w:t>
            </w:r>
          </w:p>
        </w:tc>
        <w:tc>
          <w:tcPr>
            <w:tcW w:w="118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20" w:lineRule="exact"/>
              <w:jc w:val="center"/>
              <w:textAlignment w:val="center"/>
              <w:rPr>
                <w:sz w:val="24"/>
              </w:rPr>
            </w:pPr>
            <w:r>
              <w:rPr>
                <w:rFonts w:hint="eastAsia"/>
                <w:sz w:val="24"/>
              </w:rPr>
              <w:t>0.5</w:t>
            </w:r>
          </w:p>
        </w:tc>
        <w:tc>
          <w:tcPr>
            <w:tcW w:w="13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20" w:lineRule="exact"/>
              <w:jc w:val="left"/>
              <w:textAlignment w:val="center"/>
              <w:rPr>
                <w:kern w:val="0"/>
                <w:sz w:val="24"/>
              </w:rPr>
            </w:pPr>
            <w:r>
              <w:rPr>
                <w:kern w:val="0"/>
                <w:sz w:val="24"/>
              </w:rPr>
              <w:t>其中：</w:t>
            </w:r>
          </w:p>
          <w:p>
            <w:pPr>
              <w:widowControl/>
              <w:spacing w:line="320" w:lineRule="exact"/>
              <w:jc w:val="left"/>
              <w:textAlignment w:val="center"/>
              <w:rPr>
                <w:sz w:val="24"/>
              </w:rPr>
            </w:pPr>
            <w:r>
              <w:rPr>
                <w:kern w:val="0"/>
                <w:sz w:val="24"/>
              </w:rPr>
              <w:t>财政拨款</w:t>
            </w:r>
          </w:p>
        </w:tc>
        <w:tc>
          <w:tcPr>
            <w:tcW w:w="223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20" w:lineRule="exact"/>
              <w:jc w:val="center"/>
              <w:textAlignment w:val="center"/>
              <w:rPr>
                <w:sz w:val="24"/>
              </w:rPr>
            </w:pPr>
            <w:r>
              <w:rPr>
                <w:rFonts w:hint="eastAsia"/>
                <w:sz w:val="24"/>
              </w:rPr>
              <w:t>0.5</w:t>
            </w:r>
          </w:p>
        </w:tc>
      </w:tr>
      <w:tr>
        <w:trPr>
          <w:trHeight w:val="341" w:hRule="atLeast"/>
        </w:trPr>
        <w:tc>
          <w:tcPr>
            <w:tcW w:w="3118"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20" w:lineRule="exact"/>
              <w:jc w:val="center"/>
              <w:rPr>
                <w:sz w:val="24"/>
              </w:rPr>
            </w:pPr>
          </w:p>
        </w:tc>
        <w:tc>
          <w:tcPr>
            <w:tcW w:w="163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20" w:lineRule="exact"/>
              <w:jc w:val="left"/>
              <w:textAlignment w:val="center"/>
              <w:rPr>
                <w:sz w:val="24"/>
              </w:rPr>
            </w:pPr>
            <w:r>
              <w:rPr>
                <w:kern w:val="0"/>
                <w:sz w:val="24"/>
              </w:rPr>
              <w:t>其他资金</w:t>
            </w:r>
          </w:p>
        </w:tc>
        <w:tc>
          <w:tcPr>
            <w:tcW w:w="118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20" w:lineRule="exact"/>
              <w:jc w:val="left"/>
              <w:textAlignment w:val="center"/>
              <w:rPr>
                <w:sz w:val="24"/>
              </w:rPr>
            </w:pPr>
          </w:p>
        </w:tc>
        <w:tc>
          <w:tcPr>
            <w:tcW w:w="13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20" w:lineRule="exact"/>
              <w:jc w:val="left"/>
              <w:textAlignment w:val="center"/>
              <w:rPr>
                <w:sz w:val="24"/>
              </w:rPr>
            </w:pPr>
            <w:r>
              <w:rPr>
                <w:kern w:val="0"/>
                <w:sz w:val="24"/>
              </w:rPr>
              <w:t>其他资金</w:t>
            </w:r>
          </w:p>
        </w:tc>
        <w:tc>
          <w:tcPr>
            <w:tcW w:w="223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20" w:lineRule="exact"/>
              <w:jc w:val="center"/>
              <w:textAlignment w:val="center"/>
              <w:rPr>
                <w:sz w:val="24"/>
              </w:rPr>
            </w:pPr>
          </w:p>
        </w:tc>
      </w:tr>
      <w:tr>
        <w:tblPrEx>
          <w:tblCellMar>
            <w:top w:w="0" w:type="dxa"/>
            <w:left w:w="108" w:type="dxa"/>
            <w:bottom w:w="0" w:type="dxa"/>
            <w:right w:w="108" w:type="dxa"/>
          </w:tblCellMar>
        </w:tblPrEx>
        <w:trPr>
          <w:trHeight w:val="217" w:hRule="atLeast"/>
        </w:trPr>
        <w:tc>
          <w:tcPr>
            <w:tcW w:w="197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20" w:lineRule="exact"/>
              <w:jc w:val="center"/>
              <w:textAlignment w:val="center"/>
              <w:rPr>
                <w:kern w:val="0"/>
                <w:sz w:val="24"/>
              </w:rPr>
            </w:pPr>
            <w:r>
              <w:rPr>
                <w:kern w:val="0"/>
                <w:sz w:val="24"/>
              </w:rPr>
              <w:t>年度总体目标</w:t>
            </w:r>
          </w:p>
          <w:p>
            <w:pPr>
              <w:widowControl/>
              <w:spacing w:line="320" w:lineRule="exact"/>
              <w:jc w:val="center"/>
              <w:textAlignment w:val="center"/>
              <w:rPr>
                <w:sz w:val="24"/>
              </w:rPr>
            </w:pPr>
            <w:r>
              <w:rPr>
                <w:kern w:val="0"/>
                <w:sz w:val="24"/>
              </w:rPr>
              <w:t>完成情况</w:t>
            </w:r>
          </w:p>
        </w:tc>
        <w:tc>
          <w:tcPr>
            <w:tcW w:w="396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20" w:lineRule="exact"/>
              <w:jc w:val="center"/>
              <w:textAlignment w:val="center"/>
              <w:rPr>
                <w:sz w:val="24"/>
              </w:rPr>
            </w:pPr>
            <w:r>
              <w:rPr>
                <w:kern w:val="0"/>
                <w:sz w:val="24"/>
              </w:rPr>
              <w:t>预期目标</w:t>
            </w:r>
          </w:p>
        </w:tc>
        <w:tc>
          <w:tcPr>
            <w:tcW w:w="363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20" w:lineRule="exact"/>
              <w:jc w:val="center"/>
              <w:textAlignment w:val="center"/>
              <w:rPr>
                <w:sz w:val="24"/>
              </w:rPr>
            </w:pPr>
            <w:r>
              <w:rPr>
                <w:kern w:val="0"/>
                <w:sz w:val="24"/>
              </w:rPr>
              <w:t>目标实际完成情况</w:t>
            </w:r>
          </w:p>
        </w:tc>
      </w:tr>
      <w:tr>
        <w:trPr>
          <w:trHeight w:val="797" w:hRule="atLeast"/>
        </w:trPr>
        <w:tc>
          <w:tcPr>
            <w:tcW w:w="197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20" w:lineRule="exact"/>
              <w:jc w:val="center"/>
              <w:rPr>
                <w:sz w:val="24"/>
              </w:rPr>
            </w:pPr>
          </w:p>
        </w:tc>
        <w:tc>
          <w:tcPr>
            <w:tcW w:w="3966" w:type="dxa"/>
            <w:gridSpan w:val="3"/>
            <w:tcBorders>
              <w:top w:val="single" w:color="auto" w:sz="4" w:space="0"/>
              <w:left w:val="single" w:color="auto" w:sz="4" w:space="0"/>
              <w:bottom w:val="single" w:color="auto" w:sz="4" w:space="0"/>
              <w:right w:val="single" w:color="auto" w:sz="4" w:space="0"/>
            </w:tcBorders>
            <w:shd w:val="clear" w:color="auto" w:fill="auto"/>
          </w:tcPr>
          <w:p>
            <w:pPr>
              <w:widowControl/>
              <w:spacing w:line="320" w:lineRule="exact"/>
              <w:jc w:val="left"/>
              <w:textAlignment w:val="center"/>
              <w:rPr>
                <w:sz w:val="24"/>
              </w:rPr>
            </w:pPr>
            <w:r>
              <w:rPr>
                <w:rFonts w:hint="eastAsia"/>
                <w:sz w:val="24"/>
              </w:rPr>
              <w:t>认真完成2021年度基层立法联系工作计划，不断提高立法质量。</w:t>
            </w:r>
          </w:p>
        </w:tc>
        <w:tc>
          <w:tcPr>
            <w:tcW w:w="3633" w:type="dxa"/>
            <w:gridSpan w:val="2"/>
            <w:tcBorders>
              <w:top w:val="single" w:color="auto" w:sz="4" w:space="0"/>
              <w:left w:val="single" w:color="auto" w:sz="4" w:space="0"/>
              <w:bottom w:val="single" w:color="auto" w:sz="4" w:space="0"/>
              <w:right w:val="single" w:color="auto" w:sz="4" w:space="0"/>
            </w:tcBorders>
            <w:shd w:val="clear" w:color="auto" w:fill="auto"/>
          </w:tcPr>
          <w:p>
            <w:pPr>
              <w:widowControl/>
              <w:spacing w:line="320" w:lineRule="exact"/>
              <w:jc w:val="left"/>
              <w:textAlignment w:val="center"/>
              <w:rPr>
                <w:sz w:val="24"/>
              </w:rPr>
            </w:pPr>
            <w:r>
              <w:rPr>
                <w:rFonts w:hint="eastAsia"/>
                <w:sz w:val="24"/>
              </w:rPr>
              <w:t>完成2021年度基层立法联系工作计划，不断提高立法质量。</w:t>
            </w:r>
          </w:p>
        </w:tc>
      </w:tr>
      <w:tr>
        <w:tblPrEx>
          <w:tblCellMar>
            <w:top w:w="0" w:type="dxa"/>
            <w:left w:w="108" w:type="dxa"/>
            <w:bottom w:w="0" w:type="dxa"/>
            <w:right w:w="108" w:type="dxa"/>
          </w:tblCellMar>
        </w:tblPrEx>
        <w:trPr>
          <w:trHeight w:val="693" w:hRule="atLeast"/>
        </w:trPr>
        <w:tc>
          <w:tcPr>
            <w:tcW w:w="197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20" w:lineRule="exact"/>
              <w:jc w:val="center"/>
              <w:textAlignment w:val="center"/>
              <w:rPr>
                <w:rFonts w:eastAsia="仿宋_GB2312"/>
                <w:sz w:val="28"/>
                <w:szCs w:val="28"/>
              </w:rPr>
            </w:pPr>
            <w:r>
              <w:rPr>
                <w:rFonts w:eastAsia="仿宋_GB2312"/>
                <w:kern w:val="0"/>
                <w:sz w:val="28"/>
                <w:szCs w:val="28"/>
              </w:rPr>
              <w:t>年度绩效指标完成情况</w:t>
            </w:r>
          </w:p>
        </w:tc>
        <w:tc>
          <w:tcPr>
            <w:tcW w:w="114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20" w:lineRule="exact"/>
              <w:jc w:val="center"/>
              <w:textAlignment w:val="center"/>
              <w:rPr>
                <w:rFonts w:eastAsia="仿宋_GB2312"/>
                <w:kern w:val="0"/>
                <w:sz w:val="28"/>
                <w:szCs w:val="28"/>
              </w:rPr>
            </w:pPr>
            <w:r>
              <w:rPr>
                <w:rFonts w:eastAsia="仿宋_GB2312"/>
                <w:kern w:val="0"/>
                <w:sz w:val="28"/>
                <w:szCs w:val="28"/>
              </w:rPr>
              <w:t>一级</w:t>
            </w:r>
          </w:p>
          <w:p>
            <w:pPr>
              <w:widowControl/>
              <w:spacing w:line="320" w:lineRule="exact"/>
              <w:jc w:val="center"/>
              <w:textAlignment w:val="center"/>
              <w:rPr>
                <w:rFonts w:eastAsia="仿宋_GB2312"/>
                <w:sz w:val="28"/>
                <w:szCs w:val="28"/>
              </w:rPr>
            </w:pPr>
            <w:r>
              <w:rPr>
                <w:rFonts w:eastAsia="仿宋_GB2312"/>
                <w:kern w:val="0"/>
                <w:sz w:val="28"/>
                <w:szCs w:val="28"/>
              </w:rPr>
              <w:t>指标</w:t>
            </w:r>
          </w:p>
        </w:tc>
        <w:tc>
          <w:tcPr>
            <w:tcW w:w="163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20" w:lineRule="exact"/>
              <w:jc w:val="center"/>
              <w:textAlignment w:val="center"/>
              <w:rPr>
                <w:rFonts w:eastAsia="仿宋_GB2312"/>
                <w:kern w:val="0"/>
                <w:sz w:val="28"/>
                <w:szCs w:val="28"/>
              </w:rPr>
            </w:pPr>
            <w:r>
              <w:rPr>
                <w:rFonts w:eastAsia="仿宋_GB2312"/>
                <w:kern w:val="0"/>
                <w:sz w:val="28"/>
                <w:szCs w:val="28"/>
              </w:rPr>
              <w:t>二级</w:t>
            </w:r>
          </w:p>
          <w:p>
            <w:pPr>
              <w:widowControl/>
              <w:spacing w:line="320" w:lineRule="exact"/>
              <w:jc w:val="center"/>
              <w:textAlignment w:val="center"/>
              <w:rPr>
                <w:rFonts w:eastAsia="仿宋_GB2312"/>
                <w:sz w:val="28"/>
                <w:szCs w:val="28"/>
              </w:rPr>
            </w:pPr>
            <w:r>
              <w:rPr>
                <w:rFonts w:eastAsia="仿宋_GB2312"/>
                <w:kern w:val="0"/>
                <w:sz w:val="28"/>
                <w:szCs w:val="28"/>
              </w:rPr>
              <w:t>指标</w:t>
            </w:r>
          </w:p>
        </w:tc>
        <w:tc>
          <w:tcPr>
            <w:tcW w:w="118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20" w:lineRule="exact"/>
              <w:jc w:val="center"/>
              <w:textAlignment w:val="center"/>
              <w:rPr>
                <w:rFonts w:eastAsia="仿宋_GB2312"/>
                <w:kern w:val="0"/>
                <w:sz w:val="28"/>
                <w:szCs w:val="28"/>
              </w:rPr>
            </w:pPr>
            <w:r>
              <w:rPr>
                <w:rFonts w:eastAsia="仿宋_GB2312"/>
                <w:kern w:val="0"/>
                <w:sz w:val="28"/>
                <w:szCs w:val="28"/>
              </w:rPr>
              <w:t>三级</w:t>
            </w:r>
          </w:p>
          <w:p>
            <w:pPr>
              <w:widowControl/>
              <w:spacing w:line="320" w:lineRule="exact"/>
              <w:jc w:val="center"/>
              <w:textAlignment w:val="center"/>
              <w:rPr>
                <w:rFonts w:eastAsia="仿宋_GB2312"/>
                <w:sz w:val="28"/>
                <w:szCs w:val="28"/>
              </w:rPr>
            </w:pPr>
            <w:r>
              <w:rPr>
                <w:rFonts w:eastAsia="仿宋_GB2312"/>
                <w:kern w:val="0"/>
                <w:sz w:val="28"/>
                <w:szCs w:val="28"/>
              </w:rPr>
              <w:t>指标</w:t>
            </w:r>
          </w:p>
        </w:tc>
        <w:tc>
          <w:tcPr>
            <w:tcW w:w="13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20" w:lineRule="exact"/>
              <w:jc w:val="center"/>
              <w:textAlignment w:val="center"/>
              <w:rPr>
                <w:rFonts w:eastAsia="仿宋_GB2312"/>
                <w:sz w:val="28"/>
                <w:szCs w:val="28"/>
              </w:rPr>
            </w:pPr>
            <w:r>
              <w:rPr>
                <w:rFonts w:eastAsia="仿宋_GB2312"/>
                <w:kern w:val="0"/>
                <w:sz w:val="28"/>
                <w:szCs w:val="28"/>
              </w:rPr>
              <w:t>预期指标值</w:t>
            </w:r>
          </w:p>
        </w:tc>
        <w:tc>
          <w:tcPr>
            <w:tcW w:w="223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20" w:lineRule="exact"/>
              <w:jc w:val="center"/>
              <w:textAlignment w:val="center"/>
              <w:rPr>
                <w:rFonts w:eastAsia="仿宋_GB2312"/>
                <w:sz w:val="28"/>
                <w:szCs w:val="28"/>
              </w:rPr>
            </w:pPr>
            <w:r>
              <w:rPr>
                <w:rFonts w:eastAsia="仿宋_GB2312"/>
                <w:kern w:val="0"/>
                <w:sz w:val="28"/>
                <w:szCs w:val="28"/>
              </w:rPr>
              <w:t>实际完成指标值</w:t>
            </w:r>
          </w:p>
        </w:tc>
      </w:tr>
      <w:tr>
        <w:trPr>
          <w:trHeight w:val="415" w:hRule="atLeast"/>
        </w:trPr>
        <w:tc>
          <w:tcPr>
            <w:tcW w:w="197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20" w:lineRule="exact"/>
              <w:jc w:val="center"/>
              <w:rPr>
                <w:rFonts w:eastAsia="仿宋_GB2312"/>
                <w:sz w:val="28"/>
                <w:szCs w:val="28"/>
              </w:rPr>
            </w:pPr>
          </w:p>
        </w:tc>
        <w:tc>
          <w:tcPr>
            <w:tcW w:w="114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20" w:lineRule="exact"/>
              <w:jc w:val="center"/>
              <w:textAlignment w:val="bottom"/>
              <w:rPr>
                <w:rFonts w:eastAsia="仿宋_GB2312"/>
                <w:kern w:val="0"/>
                <w:sz w:val="28"/>
                <w:szCs w:val="28"/>
              </w:rPr>
            </w:pPr>
            <w:r>
              <w:rPr>
                <w:rFonts w:eastAsia="仿宋_GB2312"/>
                <w:kern w:val="0"/>
                <w:sz w:val="28"/>
                <w:szCs w:val="28"/>
              </w:rPr>
              <w:t>完成</w:t>
            </w:r>
          </w:p>
          <w:p>
            <w:pPr>
              <w:widowControl/>
              <w:spacing w:line="320" w:lineRule="exact"/>
              <w:jc w:val="center"/>
              <w:textAlignment w:val="bottom"/>
              <w:rPr>
                <w:rFonts w:eastAsia="仿宋_GB2312"/>
                <w:sz w:val="28"/>
                <w:szCs w:val="28"/>
              </w:rPr>
            </w:pPr>
            <w:r>
              <w:rPr>
                <w:rFonts w:eastAsia="仿宋_GB2312"/>
                <w:kern w:val="0"/>
                <w:sz w:val="28"/>
                <w:szCs w:val="28"/>
              </w:rPr>
              <w:t>指标</w:t>
            </w:r>
          </w:p>
        </w:tc>
        <w:tc>
          <w:tcPr>
            <w:tcW w:w="163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20" w:lineRule="exact"/>
              <w:jc w:val="center"/>
              <w:textAlignment w:val="bottom"/>
              <w:rPr>
                <w:rFonts w:eastAsia="仿宋_GB2312"/>
                <w:kern w:val="0"/>
                <w:sz w:val="28"/>
                <w:szCs w:val="28"/>
              </w:rPr>
            </w:pPr>
            <w:r>
              <w:rPr>
                <w:rFonts w:eastAsia="仿宋_GB2312"/>
                <w:kern w:val="0"/>
                <w:sz w:val="28"/>
                <w:szCs w:val="28"/>
              </w:rPr>
              <w:t>数量指标</w:t>
            </w:r>
          </w:p>
        </w:tc>
        <w:tc>
          <w:tcPr>
            <w:tcW w:w="118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20" w:lineRule="exact"/>
              <w:textAlignment w:val="bottom"/>
              <w:rPr>
                <w:rFonts w:eastAsia="仿宋_GB2312"/>
                <w:sz w:val="18"/>
                <w:szCs w:val="18"/>
              </w:rPr>
            </w:pPr>
            <w:r>
              <w:rPr>
                <w:rFonts w:hint="eastAsia" w:eastAsia="仿宋_GB2312"/>
                <w:sz w:val="18"/>
                <w:szCs w:val="18"/>
              </w:rPr>
              <w:t>完成各基层立法联系点</w:t>
            </w:r>
          </w:p>
        </w:tc>
        <w:tc>
          <w:tcPr>
            <w:tcW w:w="13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20" w:lineRule="exact"/>
              <w:textAlignment w:val="bottom"/>
              <w:rPr>
                <w:rFonts w:eastAsia="仿宋_GB2312"/>
                <w:sz w:val="18"/>
                <w:szCs w:val="18"/>
              </w:rPr>
            </w:pPr>
            <w:r>
              <w:rPr>
                <w:rFonts w:hint="eastAsia" w:eastAsia="仿宋_GB2312"/>
                <w:sz w:val="18"/>
                <w:szCs w:val="18"/>
              </w:rPr>
              <w:t>按当年实际数量</w:t>
            </w:r>
          </w:p>
        </w:tc>
        <w:tc>
          <w:tcPr>
            <w:tcW w:w="223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20" w:lineRule="exact"/>
              <w:jc w:val="center"/>
              <w:textAlignment w:val="bottom"/>
              <w:rPr>
                <w:rFonts w:eastAsia="仿宋_GB2312"/>
                <w:sz w:val="18"/>
                <w:szCs w:val="18"/>
              </w:rPr>
            </w:pPr>
            <w:r>
              <w:rPr>
                <w:rFonts w:hint="eastAsia" w:eastAsia="仿宋_GB2312"/>
                <w:sz w:val="18"/>
                <w:szCs w:val="18"/>
              </w:rPr>
              <w:t>100%</w:t>
            </w:r>
          </w:p>
        </w:tc>
      </w:tr>
      <w:tr>
        <w:tblPrEx>
          <w:tblCellMar>
            <w:top w:w="0" w:type="dxa"/>
            <w:left w:w="108" w:type="dxa"/>
            <w:bottom w:w="0" w:type="dxa"/>
            <w:right w:w="108" w:type="dxa"/>
          </w:tblCellMar>
        </w:tblPrEx>
        <w:trPr>
          <w:trHeight w:val="415" w:hRule="atLeast"/>
        </w:trPr>
        <w:tc>
          <w:tcPr>
            <w:tcW w:w="197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20" w:lineRule="exact"/>
              <w:jc w:val="center"/>
              <w:rPr>
                <w:rFonts w:eastAsia="仿宋_GB2312"/>
                <w:sz w:val="28"/>
                <w:szCs w:val="28"/>
              </w:rPr>
            </w:pPr>
          </w:p>
        </w:tc>
        <w:tc>
          <w:tcPr>
            <w:tcW w:w="114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20" w:lineRule="exact"/>
              <w:jc w:val="center"/>
              <w:rPr>
                <w:rFonts w:eastAsia="仿宋_GB2312"/>
                <w:sz w:val="28"/>
                <w:szCs w:val="28"/>
              </w:rPr>
            </w:pPr>
          </w:p>
        </w:tc>
        <w:tc>
          <w:tcPr>
            <w:tcW w:w="163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20" w:lineRule="exact"/>
              <w:jc w:val="center"/>
              <w:textAlignment w:val="bottom"/>
              <w:rPr>
                <w:rFonts w:eastAsia="仿宋_GB2312"/>
                <w:kern w:val="0"/>
                <w:sz w:val="28"/>
                <w:szCs w:val="28"/>
              </w:rPr>
            </w:pPr>
            <w:r>
              <w:rPr>
                <w:rFonts w:eastAsia="仿宋_GB2312"/>
                <w:kern w:val="0"/>
                <w:sz w:val="28"/>
                <w:szCs w:val="28"/>
              </w:rPr>
              <w:t>质量指标</w:t>
            </w:r>
          </w:p>
        </w:tc>
        <w:tc>
          <w:tcPr>
            <w:tcW w:w="118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20" w:lineRule="exact"/>
              <w:textAlignment w:val="bottom"/>
              <w:rPr>
                <w:rFonts w:eastAsia="仿宋_GB2312"/>
                <w:sz w:val="18"/>
                <w:szCs w:val="18"/>
              </w:rPr>
            </w:pPr>
            <w:r>
              <w:rPr>
                <w:rFonts w:hint="eastAsia" w:eastAsia="仿宋_GB2312"/>
                <w:sz w:val="18"/>
                <w:szCs w:val="18"/>
              </w:rPr>
              <w:t>提高西区人大与各基层的立法联系</w:t>
            </w:r>
          </w:p>
        </w:tc>
        <w:tc>
          <w:tcPr>
            <w:tcW w:w="13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tabs>
                <w:tab w:val="left" w:pos="344"/>
              </w:tabs>
              <w:spacing w:line="320" w:lineRule="exact"/>
              <w:textAlignment w:val="bottom"/>
              <w:rPr>
                <w:rFonts w:eastAsia="仿宋_GB2312"/>
                <w:sz w:val="18"/>
                <w:szCs w:val="18"/>
              </w:rPr>
            </w:pPr>
            <w:r>
              <w:rPr>
                <w:rFonts w:hint="eastAsia" w:eastAsia="仿宋_GB2312"/>
                <w:sz w:val="18"/>
                <w:szCs w:val="18"/>
              </w:rPr>
              <w:t>完成各基层立法联系</w:t>
            </w:r>
          </w:p>
        </w:tc>
        <w:tc>
          <w:tcPr>
            <w:tcW w:w="223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20" w:lineRule="exact"/>
              <w:jc w:val="center"/>
              <w:textAlignment w:val="bottom"/>
              <w:rPr>
                <w:rFonts w:eastAsia="仿宋_GB2312"/>
                <w:sz w:val="18"/>
                <w:szCs w:val="18"/>
              </w:rPr>
            </w:pPr>
            <w:r>
              <w:rPr>
                <w:rFonts w:hint="eastAsia" w:eastAsia="仿宋_GB2312"/>
                <w:sz w:val="18"/>
                <w:szCs w:val="18"/>
              </w:rPr>
              <w:t>100%</w:t>
            </w:r>
          </w:p>
        </w:tc>
      </w:tr>
      <w:tr>
        <w:trPr>
          <w:trHeight w:val="415" w:hRule="atLeast"/>
        </w:trPr>
        <w:tc>
          <w:tcPr>
            <w:tcW w:w="197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20" w:lineRule="exact"/>
              <w:jc w:val="center"/>
              <w:rPr>
                <w:rFonts w:eastAsia="仿宋_GB2312"/>
                <w:sz w:val="28"/>
                <w:szCs w:val="28"/>
              </w:rPr>
            </w:pPr>
          </w:p>
        </w:tc>
        <w:tc>
          <w:tcPr>
            <w:tcW w:w="114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20" w:lineRule="exact"/>
              <w:jc w:val="center"/>
              <w:rPr>
                <w:rFonts w:eastAsia="仿宋_GB2312"/>
                <w:sz w:val="28"/>
                <w:szCs w:val="28"/>
              </w:rPr>
            </w:pPr>
          </w:p>
        </w:tc>
        <w:tc>
          <w:tcPr>
            <w:tcW w:w="163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20" w:lineRule="exact"/>
              <w:jc w:val="center"/>
              <w:textAlignment w:val="bottom"/>
              <w:rPr>
                <w:rFonts w:eastAsia="仿宋_GB2312"/>
                <w:kern w:val="0"/>
                <w:sz w:val="28"/>
                <w:szCs w:val="28"/>
              </w:rPr>
            </w:pPr>
            <w:r>
              <w:rPr>
                <w:rFonts w:eastAsia="仿宋_GB2312"/>
                <w:kern w:val="0"/>
                <w:sz w:val="28"/>
                <w:szCs w:val="28"/>
              </w:rPr>
              <w:t>时效指标</w:t>
            </w:r>
          </w:p>
        </w:tc>
        <w:tc>
          <w:tcPr>
            <w:tcW w:w="118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20" w:lineRule="exact"/>
              <w:textAlignment w:val="bottom"/>
              <w:rPr>
                <w:rFonts w:eastAsia="仿宋_GB2312"/>
                <w:sz w:val="18"/>
                <w:szCs w:val="18"/>
              </w:rPr>
            </w:pPr>
            <w:r>
              <w:rPr>
                <w:rFonts w:hint="eastAsia" w:eastAsia="仿宋_GB2312"/>
                <w:sz w:val="18"/>
                <w:szCs w:val="18"/>
              </w:rPr>
              <w:t>2021年度能完成基层立法</w:t>
            </w:r>
          </w:p>
        </w:tc>
        <w:tc>
          <w:tcPr>
            <w:tcW w:w="13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20" w:lineRule="exact"/>
              <w:textAlignment w:val="bottom"/>
              <w:rPr>
                <w:rFonts w:eastAsia="仿宋_GB2312"/>
                <w:sz w:val="18"/>
                <w:szCs w:val="18"/>
              </w:rPr>
            </w:pPr>
            <w:r>
              <w:rPr>
                <w:rFonts w:hint="eastAsia" w:eastAsia="仿宋_GB2312"/>
                <w:sz w:val="18"/>
                <w:szCs w:val="18"/>
              </w:rPr>
              <w:t>1-12月</w:t>
            </w:r>
          </w:p>
        </w:tc>
        <w:tc>
          <w:tcPr>
            <w:tcW w:w="223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20" w:lineRule="exact"/>
              <w:jc w:val="center"/>
              <w:textAlignment w:val="bottom"/>
              <w:rPr>
                <w:rFonts w:eastAsia="仿宋_GB2312"/>
                <w:sz w:val="18"/>
                <w:szCs w:val="18"/>
              </w:rPr>
            </w:pPr>
            <w:r>
              <w:rPr>
                <w:rFonts w:hint="eastAsia" w:eastAsia="仿宋_GB2312"/>
                <w:sz w:val="18"/>
                <w:szCs w:val="18"/>
              </w:rPr>
              <w:t>100%</w:t>
            </w:r>
          </w:p>
        </w:tc>
      </w:tr>
      <w:tr>
        <w:tblPrEx>
          <w:tblCellMar>
            <w:top w:w="0" w:type="dxa"/>
            <w:left w:w="108" w:type="dxa"/>
            <w:bottom w:w="0" w:type="dxa"/>
            <w:right w:w="108" w:type="dxa"/>
          </w:tblCellMar>
        </w:tblPrEx>
        <w:trPr>
          <w:trHeight w:val="560" w:hRule="atLeast"/>
        </w:trPr>
        <w:tc>
          <w:tcPr>
            <w:tcW w:w="197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20" w:lineRule="exact"/>
              <w:jc w:val="center"/>
              <w:rPr>
                <w:rFonts w:eastAsia="仿宋_GB2312"/>
                <w:sz w:val="28"/>
                <w:szCs w:val="28"/>
              </w:rPr>
            </w:pPr>
          </w:p>
        </w:tc>
        <w:tc>
          <w:tcPr>
            <w:tcW w:w="114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20" w:lineRule="exact"/>
              <w:jc w:val="center"/>
              <w:rPr>
                <w:rFonts w:eastAsia="仿宋_GB2312"/>
                <w:sz w:val="28"/>
                <w:szCs w:val="28"/>
              </w:rPr>
            </w:pPr>
          </w:p>
        </w:tc>
        <w:tc>
          <w:tcPr>
            <w:tcW w:w="163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20" w:lineRule="exact"/>
              <w:jc w:val="center"/>
              <w:textAlignment w:val="bottom"/>
              <w:rPr>
                <w:rFonts w:eastAsia="仿宋_GB2312"/>
                <w:kern w:val="0"/>
                <w:sz w:val="28"/>
                <w:szCs w:val="28"/>
              </w:rPr>
            </w:pPr>
            <w:r>
              <w:rPr>
                <w:rFonts w:eastAsia="仿宋_GB2312"/>
                <w:kern w:val="0"/>
                <w:sz w:val="28"/>
                <w:szCs w:val="28"/>
              </w:rPr>
              <w:t>成本指标</w:t>
            </w:r>
          </w:p>
        </w:tc>
        <w:tc>
          <w:tcPr>
            <w:tcW w:w="118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20" w:lineRule="exact"/>
              <w:textAlignment w:val="bottom"/>
              <w:rPr>
                <w:rFonts w:eastAsia="仿宋_GB2312"/>
                <w:sz w:val="18"/>
                <w:szCs w:val="18"/>
              </w:rPr>
            </w:pPr>
            <w:r>
              <w:rPr>
                <w:rFonts w:hint="eastAsia" w:eastAsia="仿宋_GB2312"/>
                <w:sz w:val="18"/>
                <w:szCs w:val="18"/>
              </w:rPr>
              <w:t>在预算范围内开展工作</w:t>
            </w:r>
          </w:p>
        </w:tc>
        <w:tc>
          <w:tcPr>
            <w:tcW w:w="13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20" w:lineRule="exact"/>
              <w:textAlignment w:val="bottom"/>
              <w:rPr>
                <w:rFonts w:eastAsia="仿宋_GB2312"/>
                <w:sz w:val="18"/>
                <w:szCs w:val="18"/>
              </w:rPr>
            </w:pPr>
            <w:r>
              <w:rPr>
                <w:rFonts w:hint="eastAsia" w:eastAsia="仿宋_GB2312"/>
                <w:sz w:val="18"/>
                <w:szCs w:val="18"/>
              </w:rPr>
              <w:t>0.5万元</w:t>
            </w:r>
          </w:p>
        </w:tc>
        <w:tc>
          <w:tcPr>
            <w:tcW w:w="223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20" w:lineRule="exact"/>
              <w:jc w:val="center"/>
              <w:textAlignment w:val="bottom"/>
              <w:rPr>
                <w:rFonts w:eastAsia="仿宋_GB2312"/>
                <w:sz w:val="18"/>
                <w:szCs w:val="18"/>
              </w:rPr>
            </w:pPr>
            <w:r>
              <w:rPr>
                <w:rFonts w:hint="eastAsia" w:eastAsia="仿宋_GB2312"/>
                <w:sz w:val="18"/>
                <w:szCs w:val="18"/>
              </w:rPr>
              <w:t>100%</w:t>
            </w:r>
          </w:p>
        </w:tc>
      </w:tr>
      <w:tr>
        <w:trPr>
          <w:trHeight w:val="480" w:hRule="atLeast"/>
        </w:trPr>
        <w:tc>
          <w:tcPr>
            <w:tcW w:w="197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20" w:lineRule="exact"/>
              <w:jc w:val="center"/>
              <w:rPr>
                <w:rFonts w:eastAsia="仿宋_GB2312"/>
                <w:sz w:val="28"/>
                <w:szCs w:val="28"/>
              </w:rPr>
            </w:pPr>
          </w:p>
        </w:tc>
        <w:tc>
          <w:tcPr>
            <w:tcW w:w="114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20" w:lineRule="exact"/>
              <w:jc w:val="center"/>
              <w:textAlignment w:val="bottom"/>
              <w:rPr>
                <w:rFonts w:eastAsia="仿宋_GB2312"/>
                <w:kern w:val="0"/>
                <w:sz w:val="28"/>
                <w:szCs w:val="28"/>
              </w:rPr>
            </w:pPr>
            <w:r>
              <w:rPr>
                <w:rFonts w:eastAsia="仿宋_GB2312"/>
                <w:kern w:val="0"/>
                <w:sz w:val="28"/>
                <w:szCs w:val="28"/>
              </w:rPr>
              <w:t>效益</w:t>
            </w:r>
          </w:p>
          <w:p>
            <w:pPr>
              <w:widowControl/>
              <w:spacing w:line="320" w:lineRule="exact"/>
              <w:jc w:val="center"/>
              <w:textAlignment w:val="bottom"/>
              <w:rPr>
                <w:rFonts w:eastAsia="仿宋_GB2312"/>
                <w:sz w:val="28"/>
                <w:szCs w:val="28"/>
              </w:rPr>
            </w:pPr>
            <w:r>
              <w:rPr>
                <w:rFonts w:eastAsia="仿宋_GB2312"/>
                <w:kern w:val="0"/>
                <w:sz w:val="28"/>
                <w:szCs w:val="28"/>
              </w:rPr>
              <w:t>指标</w:t>
            </w:r>
          </w:p>
        </w:tc>
        <w:tc>
          <w:tcPr>
            <w:tcW w:w="163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20" w:lineRule="exact"/>
              <w:jc w:val="center"/>
              <w:textAlignment w:val="bottom"/>
              <w:rPr>
                <w:rFonts w:eastAsia="仿宋_GB2312"/>
                <w:kern w:val="0"/>
                <w:sz w:val="28"/>
                <w:szCs w:val="28"/>
              </w:rPr>
            </w:pPr>
            <w:r>
              <w:rPr>
                <w:rFonts w:eastAsia="仿宋_GB2312"/>
                <w:kern w:val="0"/>
                <w:sz w:val="28"/>
                <w:szCs w:val="28"/>
              </w:rPr>
              <w:t>经济效益  指标</w:t>
            </w:r>
          </w:p>
        </w:tc>
        <w:tc>
          <w:tcPr>
            <w:tcW w:w="118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20" w:lineRule="exact"/>
              <w:textAlignment w:val="bottom"/>
              <w:rPr>
                <w:rFonts w:eastAsia="仿宋_GB2312"/>
                <w:sz w:val="18"/>
                <w:szCs w:val="18"/>
              </w:rPr>
            </w:pPr>
            <w:r>
              <w:rPr>
                <w:rFonts w:hint="eastAsia" w:eastAsia="仿宋_GB2312"/>
                <w:sz w:val="18"/>
                <w:szCs w:val="18"/>
              </w:rPr>
              <w:t>持续稳定开展各项工作，促进西区经济发展</w:t>
            </w:r>
          </w:p>
        </w:tc>
        <w:tc>
          <w:tcPr>
            <w:tcW w:w="13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20" w:lineRule="exact"/>
              <w:textAlignment w:val="bottom"/>
              <w:rPr>
                <w:rFonts w:eastAsia="仿宋_GB2312"/>
                <w:sz w:val="18"/>
                <w:szCs w:val="18"/>
              </w:rPr>
            </w:pPr>
            <w:r>
              <w:rPr>
                <w:rFonts w:hint="eastAsia" w:eastAsia="仿宋_GB2312"/>
                <w:sz w:val="18"/>
                <w:szCs w:val="18"/>
              </w:rPr>
              <w:t>完成全年工作计划</w:t>
            </w:r>
          </w:p>
        </w:tc>
        <w:tc>
          <w:tcPr>
            <w:tcW w:w="223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20" w:lineRule="exact"/>
              <w:jc w:val="center"/>
              <w:textAlignment w:val="bottom"/>
              <w:rPr>
                <w:rFonts w:eastAsia="仿宋_GB2312"/>
                <w:sz w:val="18"/>
                <w:szCs w:val="18"/>
              </w:rPr>
            </w:pPr>
            <w:r>
              <w:rPr>
                <w:rFonts w:hint="eastAsia" w:eastAsia="仿宋_GB2312"/>
                <w:sz w:val="18"/>
                <w:szCs w:val="18"/>
              </w:rPr>
              <w:t>100%</w:t>
            </w:r>
          </w:p>
        </w:tc>
      </w:tr>
      <w:tr>
        <w:tblPrEx>
          <w:tblCellMar>
            <w:top w:w="0" w:type="dxa"/>
            <w:left w:w="108" w:type="dxa"/>
            <w:bottom w:w="0" w:type="dxa"/>
            <w:right w:w="108" w:type="dxa"/>
          </w:tblCellMar>
        </w:tblPrEx>
        <w:trPr>
          <w:trHeight w:val="480" w:hRule="atLeast"/>
        </w:trPr>
        <w:tc>
          <w:tcPr>
            <w:tcW w:w="197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20" w:lineRule="exact"/>
              <w:jc w:val="center"/>
              <w:rPr>
                <w:rFonts w:eastAsia="仿宋_GB2312"/>
                <w:sz w:val="28"/>
                <w:szCs w:val="28"/>
              </w:rPr>
            </w:pPr>
          </w:p>
        </w:tc>
        <w:tc>
          <w:tcPr>
            <w:tcW w:w="114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20" w:lineRule="exact"/>
              <w:jc w:val="center"/>
              <w:rPr>
                <w:rFonts w:eastAsia="仿宋_GB2312"/>
                <w:sz w:val="28"/>
                <w:szCs w:val="28"/>
              </w:rPr>
            </w:pPr>
          </w:p>
        </w:tc>
        <w:tc>
          <w:tcPr>
            <w:tcW w:w="163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20" w:lineRule="exact"/>
              <w:jc w:val="center"/>
              <w:textAlignment w:val="bottom"/>
              <w:rPr>
                <w:rFonts w:eastAsia="仿宋_GB2312"/>
                <w:kern w:val="0"/>
                <w:sz w:val="28"/>
                <w:szCs w:val="28"/>
              </w:rPr>
            </w:pPr>
            <w:r>
              <w:rPr>
                <w:rFonts w:eastAsia="仿宋_GB2312"/>
                <w:kern w:val="0"/>
                <w:sz w:val="28"/>
                <w:szCs w:val="28"/>
              </w:rPr>
              <w:t>社会效益  指标</w:t>
            </w:r>
          </w:p>
        </w:tc>
        <w:tc>
          <w:tcPr>
            <w:tcW w:w="118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20" w:lineRule="exact"/>
              <w:textAlignment w:val="bottom"/>
              <w:rPr>
                <w:rFonts w:eastAsia="仿宋_GB2312"/>
                <w:sz w:val="18"/>
                <w:szCs w:val="18"/>
              </w:rPr>
            </w:pPr>
            <w:r>
              <w:rPr>
                <w:rFonts w:hint="eastAsia" w:eastAsia="仿宋_GB2312"/>
                <w:sz w:val="18"/>
                <w:szCs w:val="18"/>
              </w:rPr>
              <w:t>为社会发展，民生意向提供保障</w:t>
            </w:r>
          </w:p>
        </w:tc>
        <w:tc>
          <w:tcPr>
            <w:tcW w:w="13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20" w:lineRule="exact"/>
              <w:textAlignment w:val="bottom"/>
              <w:rPr>
                <w:rFonts w:eastAsia="仿宋_GB2312"/>
                <w:sz w:val="18"/>
                <w:szCs w:val="18"/>
              </w:rPr>
            </w:pPr>
            <w:r>
              <w:rPr>
                <w:rFonts w:hint="eastAsia" w:eastAsia="仿宋_GB2312"/>
                <w:sz w:val="18"/>
                <w:szCs w:val="18"/>
              </w:rPr>
              <w:t>提高有力保障</w:t>
            </w:r>
          </w:p>
        </w:tc>
        <w:tc>
          <w:tcPr>
            <w:tcW w:w="223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20" w:lineRule="exact"/>
              <w:jc w:val="center"/>
              <w:textAlignment w:val="bottom"/>
              <w:rPr>
                <w:rFonts w:eastAsia="仿宋_GB2312"/>
                <w:sz w:val="18"/>
                <w:szCs w:val="18"/>
              </w:rPr>
            </w:pPr>
            <w:r>
              <w:rPr>
                <w:rFonts w:hint="eastAsia" w:eastAsia="仿宋_GB2312"/>
                <w:sz w:val="18"/>
                <w:szCs w:val="18"/>
              </w:rPr>
              <w:t>100%</w:t>
            </w:r>
          </w:p>
        </w:tc>
      </w:tr>
      <w:tr>
        <w:trPr>
          <w:trHeight w:val="577" w:hRule="atLeast"/>
        </w:trPr>
        <w:tc>
          <w:tcPr>
            <w:tcW w:w="197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20" w:lineRule="exact"/>
              <w:jc w:val="center"/>
              <w:rPr>
                <w:rFonts w:eastAsia="仿宋_GB2312"/>
                <w:sz w:val="28"/>
                <w:szCs w:val="28"/>
              </w:rPr>
            </w:pPr>
          </w:p>
        </w:tc>
        <w:tc>
          <w:tcPr>
            <w:tcW w:w="114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20" w:lineRule="exact"/>
              <w:jc w:val="center"/>
              <w:rPr>
                <w:rFonts w:eastAsia="仿宋_GB2312"/>
                <w:sz w:val="28"/>
                <w:szCs w:val="28"/>
              </w:rPr>
            </w:pPr>
          </w:p>
        </w:tc>
        <w:tc>
          <w:tcPr>
            <w:tcW w:w="163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20" w:lineRule="exact"/>
              <w:jc w:val="center"/>
              <w:textAlignment w:val="bottom"/>
              <w:rPr>
                <w:rFonts w:eastAsia="仿宋_GB2312"/>
                <w:kern w:val="0"/>
                <w:sz w:val="28"/>
                <w:szCs w:val="28"/>
              </w:rPr>
            </w:pPr>
            <w:r>
              <w:rPr>
                <w:rFonts w:eastAsia="仿宋_GB2312"/>
                <w:kern w:val="0"/>
                <w:sz w:val="28"/>
                <w:szCs w:val="28"/>
              </w:rPr>
              <w:t>生态效益  指标</w:t>
            </w:r>
          </w:p>
        </w:tc>
        <w:tc>
          <w:tcPr>
            <w:tcW w:w="118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20" w:lineRule="exact"/>
              <w:textAlignment w:val="bottom"/>
              <w:rPr>
                <w:rFonts w:eastAsia="仿宋_GB2312"/>
                <w:sz w:val="18"/>
                <w:szCs w:val="18"/>
              </w:rPr>
            </w:pPr>
            <w:r>
              <w:rPr>
                <w:rFonts w:hint="eastAsia" w:eastAsia="仿宋_GB2312"/>
                <w:sz w:val="18"/>
                <w:szCs w:val="18"/>
              </w:rPr>
              <w:t>保障经费使用合理</w:t>
            </w:r>
          </w:p>
        </w:tc>
        <w:tc>
          <w:tcPr>
            <w:tcW w:w="13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20" w:lineRule="exact"/>
              <w:textAlignment w:val="bottom"/>
              <w:rPr>
                <w:rFonts w:eastAsia="仿宋_GB2312"/>
                <w:sz w:val="18"/>
                <w:szCs w:val="18"/>
              </w:rPr>
            </w:pPr>
            <w:r>
              <w:rPr>
                <w:rFonts w:hint="eastAsia" w:eastAsia="仿宋_GB2312"/>
                <w:sz w:val="18"/>
                <w:szCs w:val="18"/>
              </w:rPr>
              <w:t>保障经费使用合理</w:t>
            </w:r>
          </w:p>
        </w:tc>
        <w:tc>
          <w:tcPr>
            <w:tcW w:w="223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20" w:lineRule="exact"/>
              <w:jc w:val="center"/>
              <w:textAlignment w:val="bottom"/>
              <w:rPr>
                <w:rFonts w:eastAsia="仿宋_GB2312"/>
                <w:sz w:val="18"/>
                <w:szCs w:val="18"/>
              </w:rPr>
            </w:pPr>
            <w:r>
              <w:rPr>
                <w:rFonts w:hint="eastAsia" w:eastAsia="仿宋_GB2312"/>
                <w:sz w:val="18"/>
                <w:szCs w:val="18"/>
              </w:rPr>
              <w:t>100%</w:t>
            </w:r>
          </w:p>
        </w:tc>
      </w:tr>
      <w:tr>
        <w:tblPrEx>
          <w:tblCellMar>
            <w:top w:w="0" w:type="dxa"/>
            <w:left w:w="108" w:type="dxa"/>
            <w:bottom w:w="0" w:type="dxa"/>
            <w:right w:w="108" w:type="dxa"/>
          </w:tblCellMar>
        </w:tblPrEx>
        <w:trPr>
          <w:trHeight w:val="1415" w:hRule="atLeast"/>
        </w:trPr>
        <w:tc>
          <w:tcPr>
            <w:tcW w:w="197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20" w:lineRule="exact"/>
              <w:jc w:val="center"/>
              <w:rPr>
                <w:rFonts w:eastAsia="仿宋_GB2312"/>
                <w:sz w:val="28"/>
                <w:szCs w:val="28"/>
              </w:rPr>
            </w:pPr>
          </w:p>
        </w:tc>
        <w:tc>
          <w:tcPr>
            <w:tcW w:w="114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20" w:lineRule="exact"/>
              <w:jc w:val="center"/>
              <w:rPr>
                <w:rFonts w:eastAsia="仿宋_GB2312"/>
                <w:sz w:val="28"/>
                <w:szCs w:val="28"/>
              </w:rPr>
            </w:pPr>
          </w:p>
        </w:tc>
        <w:tc>
          <w:tcPr>
            <w:tcW w:w="163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20" w:lineRule="exact"/>
              <w:jc w:val="center"/>
              <w:textAlignment w:val="bottom"/>
              <w:rPr>
                <w:rFonts w:eastAsia="仿宋_GB2312"/>
                <w:kern w:val="0"/>
                <w:sz w:val="28"/>
                <w:szCs w:val="28"/>
              </w:rPr>
            </w:pPr>
            <w:r>
              <w:rPr>
                <w:rFonts w:eastAsia="仿宋_GB2312"/>
                <w:kern w:val="0"/>
                <w:sz w:val="28"/>
                <w:szCs w:val="28"/>
              </w:rPr>
              <w:t>可持续影响 指标</w:t>
            </w:r>
          </w:p>
        </w:tc>
        <w:tc>
          <w:tcPr>
            <w:tcW w:w="118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20" w:lineRule="exact"/>
              <w:textAlignment w:val="bottom"/>
              <w:rPr>
                <w:rFonts w:eastAsia="仿宋_GB2312"/>
                <w:sz w:val="18"/>
                <w:szCs w:val="18"/>
              </w:rPr>
            </w:pPr>
            <w:r>
              <w:rPr>
                <w:rFonts w:hint="eastAsia" w:eastAsia="仿宋_GB2312"/>
                <w:sz w:val="18"/>
                <w:szCs w:val="18"/>
              </w:rPr>
              <w:t>让基层有反映问题的人民能够就近可反映层层上报</w:t>
            </w:r>
          </w:p>
        </w:tc>
        <w:tc>
          <w:tcPr>
            <w:tcW w:w="13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20" w:lineRule="exact"/>
              <w:textAlignment w:val="bottom"/>
              <w:rPr>
                <w:rFonts w:eastAsia="仿宋_GB2312"/>
                <w:sz w:val="18"/>
                <w:szCs w:val="18"/>
              </w:rPr>
            </w:pPr>
            <w:r>
              <w:rPr>
                <w:rFonts w:hint="eastAsia" w:eastAsia="仿宋_GB2312"/>
                <w:sz w:val="18"/>
                <w:szCs w:val="18"/>
              </w:rPr>
              <w:t>让基层有反映问题的人民能够就近可反映层层上报</w:t>
            </w:r>
          </w:p>
        </w:tc>
        <w:tc>
          <w:tcPr>
            <w:tcW w:w="223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20" w:lineRule="exact"/>
              <w:jc w:val="center"/>
              <w:textAlignment w:val="bottom"/>
              <w:rPr>
                <w:rFonts w:eastAsia="仿宋_GB2312"/>
                <w:sz w:val="18"/>
                <w:szCs w:val="18"/>
              </w:rPr>
            </w:pPr>
            <w:r>
              <w:rPr>
                <w:rFonts w:hint="eastAsia" w:eastAsia="仿宋_GB2312"/>
                <w:sz w:val="18"/>
                <w:szCs w:val="18"/>
              </w:rPr>
              <w:t>100%</w:t>
            </w:r>
          </w:p>
        </w:tc>
      </w:tr>
      <w:tr>
        <w:trPr>
          <w:trHeight w:val="530" w:hRule="atLeast"/>
        </w:trPr>
        <w:tc>
          <w:tcPr>
            <w:tcW w:w="197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320" w:lineRule="exact"/>
              <w:jc w:val="center"/>
              <w:rPr>
                <w:rFonts w:eastAsia="仿宋_GB2312"/>
                <w:sz w:val="28"/>
                <w:szCs w:val="28"/>
              </w:rPr>
            </w:pPr>
          </w:p>
        </w:tc>
        <w:tc>
          <w:tcPr>
            <w:tcW w:w="114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20" w:lineRule="exact"/>
              <w:jc w:val="center"/>
              <w:textAlignment w:val="bottom"/>
              <w:rPr>
                <w:rFonts w:eastAsia="仿宋_GB2312"/>
                <w:kern w:val="0"/>
                <w:sz w:val="28"/>
                <w:szCs w:val="28"/>
              </w:rPr>
            </w:pPr>
            <w:r>
              <w:rPr>
                <w:rFonts w:eastAsia="仿宋_GB2312"/>
                <w:kern w:val="0"/>
                <w:sz w:val="28"/>
                <w:szCs w:val="28"/>
              </w:rPr>
              <w:t>满意</w:t>
            </w:r>
          </w:p>
          <w:p>
            <w:pPr>
              <w:widowControl/>
              <w:spacing w:line="320" w:lineRule="exact"/>
              <w:jc w:val="center"/>
              <w:textAlignment w:val="bottom"/>
              <w:rPr>
                <w:rFonts w:eastAsia="仿宋_GB2312"/>
                <w:sz w:val="28"/>
                <w:szCs w:val="28"/>
              </w:rPr>
            </w:pPr>
            <w:r>
              <w:rPr>
                <w:rFonts w:eastAsia="仿宋_GB2312"/>
                <w:kern w:val="0"/>
                <w:sz w:val="28"/>
                <w:szCs w:val="28"/>
              </w:rPr>
              <w:t>度指标</w:t>
            </w:r>
          </w:p>
        </w:tc>
        <w:tc>
          <w:tcPr>
            <w:tcW w:w="163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20" w:lineRule="exact"/>
              <w:jc w:val="center"/>
              <w:textAlignment w:val="bottom"/>
              <w:rPr>
                <w:rFonts w:eastAsia="仿宋_GB2312"/>
                <w:kern w:val="0"/>
                <w:sz w:val="28"/>
                <w:szCs w:val="28"/>
              </w:rPr>
            </w:pPr>
            <w:r>
              <w:rPr>
                <w:rFonts w:eastAsia="仿宋_GB2312"/>
                <w:kern w:val="0"/>
                <w:sz w:val="28"/>
                <w:szCs w:val="28"/>
              </w:rPr>
              <w:t>满意度</w:t>
            </w:r>
          </w:p>
          <w:p>
            <w:pPr>
              <w:widowControl/>
              <w:spacing w:line="320" w:lineRule="exact"/>
              <w:jc w:val="center"/>
              <w:textAlignment w:val="bottom"/>
              <w:rPr>
                <w:rFonts w:eastAsia="仿宋_GB2312"/>
                <w:kern w:val="0"/>
                <w:sz w:val="28"/>
                <w:szCs w:val="28"/>
              </w:rPr>
            </w:pPr>
            <w:r>
              <w:rPr>
                <w:rFonts w:eastAsia="仿宋_GB2312"/>
                <w:kern w:val="0"/>
                <w:sz w:val="28"/>
                <w:szCs w:val="28"/>
              </w:rPr>
              <w:t>指标</w:t>
            </w:r>
          </w:p>
        </w:tc>
        <w:tc>
          <w:tcPr>
            <w:tcW w:w="118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20" w:lineRule="exact"/>
              <w:textAlignment w:val="bottom"/>
              <w:rPr>
                <w:rFonts w:eastAsia="仿宋_GB2312"/>
                <w:sz w:val="18"/>
                <w:szCs w:val="18"/>
              </w:rPr>
            </w:pPr>
            <w:r>
              <w:rPr>
                <w:rFonts w:hint="eastAsia" w:eastAsia="仿宋_GB2312"/>
                <w:sz w:val="18"/>
                <w:szCs w:val="18"/>
              </w:rPr>
              <w:t>服务对象满意</w:t>
            </w:r>
          </w:p>
        </w:tc>
        <w:tc>
          <w:tcPr>
            <w:tcW w:w="13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20" w:lineRule="exact"/>
              <w:textAlignment w:val="bottom"/>
              <w:rPr>
                <w:rFonts w:eastAsia="仿宋_GB2312"/>
                <w:sz w:val="18"/>
                <w:szCs w:val="18"/>
              </w:rPr>
            </w:pPr>
            <w:r>
              <w:rPr>
                <w:rFonts w:hint="eastAsia" w:eastAsia="仿宋_GB2312"/>
                <w:sz w:val="18"/>
                <w:szCs w:val="18"/>
              </w:rPr>
              <w:t>让服务对象、代表满意</w:t>
            </w:r>
          </w:p>
        </w:tc>
        <w:tc>
          <w:tcPr>
            <w:tcW w:w="223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20" w:lineRule="exact"/>
              <w:jc w:val="center"/>
              <w:textAlignment w:val="bottom"/>
              <w:rPr>
                <w:rFonts w:eastAsia="仿宋_GB2312"/>
                <w:sz w:val="18"/>
                <w:szCs w:val="18"/>
              </w:rPr>
            </w:pPr>
            <w:r>
              <w:rPr>
                <w:rFonts w:hint="eastAsia" w:eastAsia="仿宋_GB2312"/>
                <w:sz w:val="18"/>
                <w:szCs w:val="18"/>
              </w:rPr>
              <w:t>100%</w:t>
            </w:r>
          </w:p>
        </w:tc>
      </w:tr>
    </w:tbl>
    <w:p>
      <w:pPr>
        <w:pStyle w:val="2"/>
        <w:spacing w:before="93"/>
      </w:pPr>
    </w:p>
    <w:p>
      <w:pPr>
        <w:ind w:firstLine="642" w:firstLineChars="200"/>
        <w:rPr>
          <w:rFonts w:eastAsia="仿宋"/>
          <w:b/>
          <w:sz w:val="32"/>
          <w:szCs w:val="32"/>
        </w:rPr>
      </w:pPr>
    </w:p>
    <w:p>
      <w:pPr>
        <w:spacing w:line="600" w:lineRule="exact"/>
        <w:jc w:val="center"/>
        <w:outlineLvl w:val="0"/>
        <w:rPr>
          <w:rFonts w:eastAsia="仿宋"/>
        </w:rPr>
      </w:pPr>
      <w:bookmarkStart w:id="52" w:name="_Toc15396619"/>
      <w:r>
        <w:rPr>
          <w:rFonts w:eastAsia="黑体"/>
          <w:sz w:val="44"/>
          <w:szCs w:val="44"/>
        </w:rPr>
        <w:t>第</w:t>
      </w:r>
      <w:r>
        <w:rPr>
          <w:rStyle w:val="26"/>
          <w:rFonts w:eastAsia="黑体"/>
          <w:b w:val="0"/>
        </w:rPr>
        <w:t>五部分 附表</w:t>
      </w:r>
    </w:p>
    <w:p>
      <w:pPr>
        <w:pStyle w:val="4"/>
        <w:rPr>
          <w:rFonts w:ascii="Times New Roman" w:hAnsi="Times New Roman" w:eastAsia="仿宋" w:cs="Times New Roman"/>
        </w:rPr>
      </w:pPr>
      <w:r>
        <w:rPr>
          <w:rFonts w:ascii="Times New Roman" w:hAnsi="Times New Roman" w:eastAsia="仿宋" w:cs="Times New Roman"/>
          <w:b w:val="0"/>
        </w:rPr>
        <w:t>一、收</w:t>
      </w:r>
      <w:r>
        <w:rPr>
          <w:rStyle w:val="27"/>
          <w:rFonts w:ascii="Times New Roman" w:hAnsi="Times New Roman" w:eastAsia="仿宋" w:cs="Times New Roman"/>
          <w:b w:val="0"/>
          <w:bCs w:val="0"/>
        </w:rPr>
        <w:t>入支出决算总表</w:t>
      </w:r>
      <w:bookmarkEnd w:id="52"/>
    </w:p>
    <w:p>
      <w:pPr>
        <w:pStyle w:val="4"/>
        <w:rPr>
          <w:rFonts w:ascii="Times New Roman" w:hAnsi="Times New Roman" w:eastAsia="仿宋" w:cs="Times New Roman"/>
        </w:rPr>
      </w:pPr>
      <w:bookmarkStart w:id="53" w:name="_Toc15396620"/>
      <w:r>
        <w:rPr>
          <w:rFonts w:ascii="Times New Roman" w:hAnsi="Times New Roman" w:eastAsia="仿宋" w:cs="Times New Roman"/>
          <w:b w:val="0"/>
        </w:rPr>
        <w:t>二、收</w:t>
      </w:r>
      <w:r>
        <w:rPr>
          <w:rStyle w:val="27"/>
          <w:rFonts w:ascii="Times New Roman" w:hAnsi="Times New Roman" w:eastAsia="仿宋" w:cs="Times New Roman"/>
          <w:b w:val="0"/>
          <w:bCs w:val="0"/>
        </w:rPr>
        <w:t>入决算表</w:t>
      </w:r>
      <w:bookmarkEnd w:id="53"/>
    </w:p>
    <w:p>
      <w:pPr>
        <w:pStyle w:val="4"/>
        <w:rPr>
          <w:rFonts w:ascii="Times New Roman" w:hAnsi="Times New Roman" w:eastAsia="仿宋" w:cs="Times New Roman"/>
        </w:rPr>
      </w:pPr>
      <w:bookmarkStart w:id="54" w:name="_Toc15396621"/>
      <w:r>
        <w:rPr>
          <w:rStyle w:val="27"/>
          <w:rFonts w:ascii="Times New Roman" w:hAnsi="Times New Roman" w:eastAsia="仿宋" w:cs="Times New Roman"/>
          <w:b w:val="0"/>
          <w:bCs w:val="0"/>
        </w:rPr>
        <w:t>三、</w:t>
      </w:r>
      <w:r>
        <w:rPr>
          <w:rFonts w:ascii="Times New Roman" w:hAnsi="Times New Roman" w:eastAsia="仿宋" w:cs="Times New Roman"/>
          <w:b w:val="0"/>
        </w:rPr>
        <w:t>支</w:t>
      </w:r>
      <w:r>
        <w:rPr>
          <w:rStyle w:val="27"/>
          <w:rFonts w:ascii="Times New Roman" w:hAnsi="Times New Roman" w:eastAsia="仿宋" w:cs="Times New Roman"/>
          <w:b w:val="0"/>
          <w:bCs w:val="0"/>
        </w:rPr>
        <w:t>出决算表</w:t>
      </w:r>
      <w:bookmarkEnd w:id="54"/>
    </w:p>
    <w:p>
      <w:pPr>
        <w:pStyle w:val="4"/>
        <w:rPr>
          <w:rFonts w:ascii="Times New Roman" w:hAnsi="Times New Roman" w:eastAsia="仿宋" w:cs="Times New Roman"/>
          <w:b w:val="0"/>
        </w:rPr>
      </w:pPr>
      <w:bookmarkStart w:id="55" w:name="_Toc15396622"/>
      <w:r>
        <w:rPr>
          <w:rStyle w:val="27"/>
          <w:rFonts w:ascii="Times New Roman" w:hAnsi="Times New Roman" w:eastAsia="仿宋" w:cs="Times New Roman"/>
          <w:b w:val="0"/>
          <w:bCs w:val="0"/>
        </w:rPr>
        <w:t>四、</w:t>
      </w:r>
      <w:r>
        <w:rPr>
          <w:rFonts w:ascii="Times New Roman" w:hAnsi="Times New Roman" w:eastAsia="仿宋" w:cs="Times New Roman"/>
          <w:b w:val="0"/>
        </w:rPr>
        <w:t>财</w:t>
      </w:r>
      <w:r>
        <w:rPr>
          <w:rStyle w:val="27"/>
          <w:rFonts w:ascii="Times New Roman" w:hAnsi="Times New Roman" w:eastAsia="仿宋" w:cs="Times New Roman"/>
          <w:b w:val="0"/>
          <w:bCs w:val="0"/>
        </w:rPr>
        <w:t>政拨款收入支出决算总表</w:t>
      </w:r>
      <w:bookmarkEnd w:id="55"/>
    </w:p>
    <w:p>
      <w:pPr>
        <w:pStyle w:val="4"/>
        <w:rPr>
          <w:rStyle w:val="27"/>
          <w:rFonts w:ascii="Times New Roman" w:hAnsi="Times New Roman" w:eastAsia="仿宋" w:cs="Times New Roman"/>
          <w:b w:val="0"/>
          <w:bCs w:val="0"/>
        </w:rPr>
      </w:pPr>
      <w:bookmarkStart w:id="56" w:name="_Toc15396623"/>
      <w:r>
        <w:rPr>
          <w:rStyle w:val="27"/>
          <w:rFonts w:ascii="Times New Roman" w:hAnsi="Times New Roman" w:eastAsia="仿宋" w:cs="Times New Roman"/>
          <w:b w:val="0"/>
          <w:bCs w:val="0"/>
        </w:rPr>
        <w:t>五、</w:t>
      </w:r>
      <w:r>
        <w:rPr>
          <w:rFonts w:ascii="Times New Roman" w:hAnsi="Times New Roman" w:eastAsia="仿宋" w:cs="Times New Roman"/>
          <w:b w:val="0"/>
        </w:rPr>
        <w:t>财</w:t>
      </w:r>
      <w:r>
        <w:rPr>
          <w:rStyle w:val="27"/>
          <w:rFonts w:ascii="Times New Roman" w:hAnsi="Times New Roman" w:eastAsia="仿宋" w:cs="Times New Roman"/>
          <w:b w:val="0"/>
          <w:bCs w:val="0"/>
        </w:rPr>
        <w:t>政拨款支出决算明细表</w:t>
      </w:r>
      <w:bookmarkEnd w:id="56"/>
      <w:bookmarkStart w:id="57" w:name="_Toc15396624"/>
    </w:p>
    <w:p>
      <w:pPr>
        <w:pStyle w:val="4"/>
        <w:rPr>
          <w:rFonts w:ascii="Times New Roman" w:hAnsi="Times New Roman" w:eastAsia="仿宋" w:cs="Times New Roman"/>
        </w:rPr>
      </w:pPr>
      <w:r>
        <w:rPr>
          <w:rStyle w:val="27"/>
          <w:rFonts w:ascii="Times New Roman" w:hAnsi="Times New Roman" w:eastAsia="仿宋" w:cs="Times New Roman"/>
          <w:b w:val="0"/>
          <w:bCs w:val="0"/>
        </w:rPr>
        <w:t>六、</w:t>
      </w:r>
      <w:r>
        <w:rPr>
          <w:rFonts w:ascii="Times New Roman" w:hAnsi="Times New Roman" w:eastAsia="仿宋" w:cs="Times New Roman"/>
          <w:b w:val="0"/>
        </w:rPr>
        <w:t>一</w:t>
      </w:r>
      <w:r>
        <w:rPr>
          <w:rStyle w:val="27"/>
          <w:rFonts w:ascii="Times New Roman" w:hAnsi="Times New Roman" w:eastAsia="仿宋" w:cs="Times New Roman"/>
          <w:b w:val="0"/>
          <w:bCs w:val="0"/>
        </w:rPr>
        <w:t>般公共预算财政拨款支出决算表</w:t>
      </w:r>
      <w:bookmarkEnd w:id="57"/>
    </w:p>
    <w:p>
      <w:pPr>
        <w:pStyle w:val="4"/>
        <w:rPr>
          <w:rFonts w:ascii="Times New Roman" w:hAnsi="Times New Roman" w:eastAsia="仿宋" w:cs="Times New Roman"/>
        </w:rPr>
      </w:pPr>
      <w:bookmarkStart w:id="58" w:name="_Toc15396625"/>
      <w:r>
        <w:rPr>
          <w:rStyle w:val="27"/>
          <w:rFonts w:ascii="Times New Roman" w:hAnsi="Times New Roman" w:eastAsia="仿宋" w:cs="Times New Roman"/>
          <w:b w:val="0"/>
          <w:bCs w:val="0"/>
        </w:rPr>
        <w:t>七、</w:t>
      </w:r>
      <w:r>
        <w:rPr>
          <w:rFonts w:ascii="Times New Roman" w:hAnsi="Times New Roman" w:eastAsia="仿宋" w:cs="Times New Roman"/>
          <w:b w:val="0"/>
        </w:rPr>
        <w:t>一</w:t>
      </w:r>
      <w:r>
        <w:rPr>
          <w:rStyle w:val="27"/>
          <w:rFonts w:ascii="Times New Roman" w:hAnsi="Times New Roman" w:eastAsia="仿宋" w:cs="Times New Roman"/>
          <w:b w:val="0"/>
          <w:bCs w:val="0"/>
        </w:rPr>
        <w:t>般公共预算财政拨款支出决算明细表</w:t>
      </w:r>
      <w:bookmarkEnd w:id="58"/>
    </w:p>
    <w:p>
      <w:pPr>
        <w:pStyle w:val="4"/>
        <w:rPr>
          <w:rFonts w:ascii="Times New Roman" w:hAnsi="Times New Roman" w:eastAsia="仿宋" w:cs="Times New Roman"/>
        </w:rPr>
      </w:pPr>
      <w:bookmarkStart w:id="59" w:name="_Toc15396626"/>
      <w:r>
        <w:rPr>
          <w:rStyle w:val="27"/>
          <w:rFonts w:ascii="Times New Roman" w:hAnsi="Times New Roman" w:eastAsia="仿宋" w:cs="Times New Roman"/>
          <w:b w:val="0"/>
          <w:bCs w:val="0"/>
        </w:rPr>
        <w:t>八、</w:t>
      </w:r>
      <w:r>
        <w:rPr>
          <w:rFonts w:ascii="Times New Roman" w:hAnsi="Times New Roman" w:eastAsia="仿宋" w:cs="Times New Roman"/>
          <w:b w:val="0"/>
        </w:rPr>
        <w:t>一</w:t>
      </w:r>
      <w:r>
        <w:rPr>
          <w:rStyle w:val="27"/>
          <w:rFonts w:ascii="Times New Roman" w:hAnsi="Times New Roman" w:eastAsia="仿宋" w:cs="Times New Roman"/>
          <w:b w:val="0"/>
          <w:bCs w:val="0"/>
        </w:rPr>
        <w:t>般公共预算财政拨款基本支出决算表</w:t>
      </w:r>
      <w:bookmarkEnd w:id="59"/>
    </w:p>
    <w:p>
      <w:pPr>
        <w:pStyle w:val="4"/>
        <w:rPr>
          <w:rFonts w:ascii="Times New Roman" w:hAnsi="Times New Roman" w:eastAsia="仿宋" w:cs="Times New Roman"/>
        </w:rPr>
      </w:pPr>
      <w:bookmarkStart w:id="60" w:name="_Toc15396627"/>
      <w:r>
        <w:rPr>
          <w:rStyle w:val="27"/>
          <w:rFonts w:ascii="Times New Roman" w:hAnsi="Times New Roman" w:eastAsia="仿宋" w:cs="Times New Roman"/>
          <w:b w:val="0"/>
          <w:bCs w:val="0"/>
        </w:rPr>
        <w:t>九、</w:t>
      </w:r>
      <w:r>
        <w:rPr>
          <w:rFonts w:ascii="Times New Roman" w:hAnsi="Times New Roman" w:eastAsia="仿宋" w:cs="Times New Roman"/>
          <w:b w:val="0"/>
        </w:rPr>
        <w:t>一</w:t>
      </w:r>
      <w:r>
        <w:rPr>
          <w:rStyle w:val="27"/>
          <w:rFonts w:ascii="Times New Roman" w:hAnsi="Times New Roman" w:eastAsia="仿宋" w:cs="Times New Roman"/>
          <w:b w:val="0"/>
          <w:bCs w:val="0"/>
        </w:rPr>
        <w:t>般公共预算财政拨款项目支出决算表</w:t>
      </w:r>
      <w:bookmarkEnd w:id="60"/>
    </w:p>
    <w:p>
      <w:pPr>
        <w:pStyle w:val="4"/>
        <w:rPr>
          <w:rFonts w:ascii="Times New Roman" w:hAnsi="Times New Roman" w:eastAsia="仿宋" w:cs="Times New Roman"/>
        </w:rPr>
      </w:pPr>
      <w:bookmarkStart w:id="61" w:name="_Toc15396628"/>
      <w:r>
        <w:rPr>
          <w:rStyle w:val="27"/>
          <w:rFonts w:ascii="Times New Roman" w:hAnsi="Times New Roman" w:eastAsia="仿宋" w:cs="Times New Roman"/>
          <w:b w:val="0"/>
          <w:bCs w:val="0"/>
        </w:rPr>
        <w:t>十、</w:t>
      </w:r>
      <w:r>
        <w:rPr>
          <w:rFonts w:ascii="Times New Roman" w:hAnsi="Times New Roman" w:eastAsia="仿宋" w:cs="Times New Roman"/>
          <w:b w:val="0"/>
        </w:rPr>
        <w:t>一</w:t>
      </w:r>
      <w:r>
        <w:rPr>
          <w:rStyle w:val="27"/>
          <w:rFonts w:ascii="Times New Roman" w:hAnsi="Times New Roman" w:eastAsia="仿宋" w:cs="Times New Roman"/>
          <w:b w:val="0"/>
          <w:bCs w:val="0"/>
        </w:rPr>
        <w:t>般公共预算财政拨款“三公”经费支出决算表</w:t>
      </w:r>
      <w:bookmarkEnd w:id="61"/>
    </w:p>
    <w:p>
      <w:pPr>
        <w:pStyle w:val="4"/>
        <w:rPr>
          <w:rFonts w:ascii="Times New Roman" w:hAnsi="Times New Roman" w:eastAsia="仿宋" w:cs="Times New Roman"/>
        </w:rPr>
      </w:pPr>
      <w:bookmarkStart w:id="62" w:name="_Toc15396629"/>
      <w:r>
        <w:rPr>
          <w:rStyle w:val="27"/>
          <w:rFonts w:ascii="Times New Roman" w:hAnsi="Times New Roman" w:eastAsia="仿宋" w:cs="Times New Roman"/>
          <w:b w:val="0"/>
          <w:bCs w:val="0"/>
        </w:rPr>
        <w:t>十一、</w:t>
      </w:r>
      <w:r>
        <w:rPr>
          <w:rFonts w:ascii="Times New Roman" w:hAnsi="Times New Roman" w:eastAsia="仿宋" w:cs="Times New Roman"/>
          <w:b w:val="0"/>
        </w:rPr>
        <w:t>政</w:t>
      </w:r>
      <w:r>
        <w:rPr>
          <w:rStyle w:val="27"/>
          <w:rFonts w:ascii="Times New Roman" w:hAnsi="Times New Roman" w:eastAsia="仿宋" w:cs="Times New Roman"/>
          <w:b w:val="0"/>
          <w:bCs w:val="0"/>
        </w:rPr>
        <w:t>府性基金预算财政拨款收入支出决算表</w:t>
      </w:r>
      <w:bookmarkEnd w:id="62"/>
    </w:p>
    <w:p>
      <w:pPr>
        <w:pStyle w:val="4"/>
        <w:rPr>
          <w:rFonts w:ascii="Times New Roman" w:hAnsi="Times New Roman" w:eastAsia="仿宋" w:cs="Times New Roman"/>
        </w:rPr>
      </w:pPr>
      <w:bookmarkStart w:id="63" w:name="_Toc15396630"/>
      <w:r>
        <w:rPr>
          <w:rStyle w:val="27"/>
          <w:rFonts w:ascii="Times New Roman" w:hAnsi="Times New Roman" w:eastAsia="仿宋" w:cs="Times New Roman"/>
          <w:b w:val="0"/>
          <w:bCs w:val="0"/>
        </w:rPr>
        <w:t>十二、</w:t>
      </w:r>
      <w:r>
        <w:rPr>
          <w:rFonts w:ascii="Times New Roman" w:hAnsi="Times New Roman" w:eastAsia="仿宋" w:cs="Times New Roman"/>
          <w:b w:val="0"/>
        </w:rPr>
        <w:t>政</w:t>
      </w:r>
      <w:r>
        <w:rPr>
          <w:rStyle w:val="27"/>
          <w:rFonts w:ascii="Times New Roman" w:hAnsi="Times New Roman" w:eastAsia="仿宋" w:cs="Times New Roman"/>
          <w:b w:val="0"/>
          <w:bCs w:val="0"/>
        </w:rPr>
        <w:t>府性基金预算财政拨款“三公”经费支出决算表</w:t>
      </w:r>
      <w:bookmarkEnd w:id="63"/>
    </w:p>
    <w:p>
      <w:pPr>
        <w:pStyle w:val="4"/>
        <w:rPr>
          <w:rStyle w:val="27"/>
          <w:rFonts w:ascii="Times New Roman" w:hAnsi="Times New Roman" w:eastAsia="仿宋" w:cs="Times New Roman"/>
          <w:b w:val="0"/>
          <w:bCs w:val="0"/>
        </w:rPr>
      </w:pPr>
      <w:bookmarkStart w:id="64" w:name="_Toc15396631"/>
      <w:r>
        <w:rPr>
          <w:rStyle w:val="27"/>
          <w:rFonts w:ascii="Times New Roman" w:hAnsi="Times New Roman" w:eastAsia="仿宋" w:cs="Times New Roman"/>
          <w:b w:val="0"/>
          <w:bCs w:val="0"/>
        </w:rPr>
        <w:t>十三、</w:t>
      </w:r>
      <w:r>
        <w:rPr>
          <w:rFonts w:ascii="Times New Roman" w:hAnsi="Times New Roman" w:eastAsia="仿宋" w:cs="Times New Roman"/>
          <w:b w:val="0"/>
        </w:rPr>
        <w:t>国</w:t>
      </w:r>
      <w:r>
        <w:rPr>
          <w:rStyle w:val="27"/>
          <w:rFonts w:ascii="Times New Roman" w:hAnsi="Times New Roman" w:eastAsia="仿宋" w:cs="Times New Roman"/>
          <w:b w:val="0"/>
          <w:bCs w:val="0"/>
        </w:rPr>
        <w:t>有资本经营预算财政拨款收入支出决算表</w:t>
      </w:r>
      <w:bookmarkEnd w:id="64"/>
    </w:p>
    <w:p>
      <w:pPr>
        <w:rPr>
          <w:rFonts w:eastAsia="仿宋"/>
        </w:rPr>
      </w:pPr>
      <w:r>
        <w:rPr>
          <w:rStyle w:val="27"/>
          <w:rFonts w:ascii="Times New Roman" w:hAnsi="Times New Roman" w:eastAsia="仿宋" w:cs="Times New Roman"/>
          <w:b w:val="0"/>
          <w:bCs w:val="0"/>
        </w:rPr>
        <w:t>十四、国有资本经营预算财政拨款支出决算表</w:t>
      </w:r>
    </w:p>
    <w:sectPr>
      <w:headerReference r:id="rId3" w:type="default"/>
      <w:footerReference r:id="rId4" w:type="default"/>
      <w:pgSz w:w="11906" w:h="16838"/>
      <w:pgMar w:top="1440" w:right="1800" w:bottom="1440" w:left="1800" w:header="851" w:footer="992" w:gutter="0"/>
      <w:pgNumType w:fmt="numberInDash"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方正黑体_GBK">
    <w:panose1 w:val="02000000000000000000"/>
    <w:charset w:val="86"/>
    <w:family w:val="script"/>
    <w:pitch w:val="default"/>
    <w:sig w:usb0="00000001" w:usb1="0800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Batang">
    <w:panose1 w:val="02030600000101010101"/>
    <w:charset w:val="81"/>
    <w:family w:val="auto"/>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EndPr>
      <w:rPr>
        <w:sz w:val="24"/>
        <w:szCs w:val="24"/>
      </w:rPr>
    </w:sdtEndPr>
    <w:sdtContent>
      <w:p>
        <w:pPr>
          <w:pStyle w:val="9"/>
          <w:jc w:val="center"/>
          <w:rPr>
            <w:sz w:val="24"/>
            <w:szCs w:val="24"/>
          </w:rPr>
        </w:pPr>
        <w:r>
          <w:rPr>
            <w:rFonts w:ascii="宋体" w:hAnsi="宋体"/>
            <w:sz w:val="24"/>
            <w:szCs w:val="24"/>
          </w:rPr>
          <w:fldChar w:fldCharType="begin"/>
        </w:r>
        <w:r>
          <w:rPr>
            <w:rFonts w:ascii="宋体" w:hAnsi="宋体"/>
            <w:sz w:val="24"/>
            <w:szCs w:val="24"/>
          </w:rPr>
          <w:instrText xml:space="preserve">PAGE   \* MERGEFORMAT</w:instrText>
        </w:r>
        <w:r>
          <w:rPr>
            <w:rFonts w:ascii="宋体" w:hAnsi="宋体"/>
            <w:sz w:val="24"/>
            <w:szCs w:val="24"/>
          </w:rPr>
          <w:fldChar w:fldCharType="separate"/>
        </w:r>
        <w:r>
          <w:rPr>
            <w:rFonts w:ascii="宋体" w:hAnsi="宋体"/>
            <w:sz w:val="24"/>
            <w:szCs w:val="24"/>
            <w:lang w:val="zh-CN"/>
          </w:rPr>
          <w:t>-</w:t>
        </w:r>
        <w:r>
          <w:rPr>
            <w:rFonts w:ascii="宋体" w:hAnsi="宋体"/>
            <w:sz w:val="24"/>
            <w:szCs w:val="24"/>
          </w:rPr>
          <w:t xml:space="preserve"> 4 -</w:t>
        </w:r>
        <w:r>
          <w:rPr>
            <w:rFonts w:ascii="宋体" w:hAnsi="宋体"/>
            <w:sz w:val="24"/>
            <w:szCs w:val="24"/>
          </w:rPr>
          <w:fldChar w:fldCharType="end"/>
        </w:r>
      </w:p>
    </w:sdtContent>
  </w:sdt>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DAAEEA"/>
    <w:multiLevelType w:val="singleLevel"/>
    <w:tmpl w:val="94DAAEEA"/>
    <w:lvl w:ilvl="0" w:tentative="0">
      <w:start w:val="2"/>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ascii="黑体" w:hAnsi="黑体" w:eastAsia="黑体" w:cs="黑体"/>
        <w:sz w:val="44"/>
        <w:szCs w:val="44"/>
      </w:rPr>
    </w:lvl>
  </w:abstractNum>
  <w:abstractNum w:abstractNumId="2">
    <w:nsid w:val="7F6358A3"/>
    <w:multiLevelType w:val="multilevel"/>
    <w:tmpl w:val="7F6358A3"/>
    <w:lvl w:ilvl="0" w:tentative="0">
      <w:start w:val="2"/>
      <w:numFmt w:val="japaneseCounting"/>
      <w:lvlText w:val="%1、"/>
      <w:lvlJc w:val="left"/>
      <w:pPr>
        <w:ind w:left="1360" w:hanging="720"/>
      </w:pPr>
      <w:rPr>
        <w:rFonts w:hint="default" w:cs="Times New Roman"/>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ZmNjU4ZWMyNzRjNWRkODQwMDZiZGE1MWU4ZTU3OWEifQ=="/>
  </w:docVars>
  <w:rsids>
    <w:rsidRoot w:val="00F1361C"/>
    <w:rsid w:val="000222C6"/>
    <w:rsid w:val="0002549F"/>
    <w:rsid w:val="0003555D"/>
    <w:rsid w:val="0003576A"/>
    <w:rsid w:val="000468DB"/>
    <w:rsid w:val="0006487A"/>
    <w:rsid w:val="00065F8F"/>
    <w:rsid w:val="00070A43"/>
    <w:rsid w:val="000768F2"/>
    <w:rsid w:val="00082980"/>
    <w:rsid w:val="0009184B"/>
    <w:rsid w:val="00094236"/>
    <w:rsid w:val="0009593C"/>
    <w:rsid w:val="00097322"/>
    <w:rsid w:val="000A07E3"/>
    <w:rsid w:val="000A6A92"/>
    <w:rsid w:val="000B047F"/>
    <w:rsid w:val="000B5923"/>
    <w:rsid w:val="000B5A48"/>
    <w:rsid w:val="000B6FF3"/>
    <w:rsid w:val="000C3467"/>
    <w:rsid w:val="000C3CA6"/>
    <w:rsid w:val="000D1267"/>
    <w:rsid w:val="000D1D50"/>
    <w:rsid w:val="000D5782"/>
    <w:rsid w:val="000E6613"/>
    <w:rsid w:val="000E7119"/>
    <w:rsid w:val="000E7ECF"/>
    <w:rsid w:val="00114E9B"/>
    <w:rsid w:val="001367A7"/>
    <w:rsid w:val="00142216"/>
    <w:rsid w:val="00144D6A"/>
    <w:rsid w:val="0014729F"/>
    <w:rsid w:val="00157BAB"/>
    <w:rsid w:val="001654D1"/>
    <w:rsid w:val="00174518"/>
    <w:rsid w:val="0018106D"/>
    <w:rsid w:val="001845BE"/>
    <w:rsid w:val="001877A7"/>
    <w:rsid w:val="00191536"/>
    <w:rsid w:val="00196687"/>
    <w:rsid w:val="001C0962"/>
    <w:rsid w:val="001D3BC4"/>
    <w:rsid w:val="001D7531"/>
    <w:rsid w:val="001E737D"/>
    <w:rsid w:val="001F0592"/>
    <w:rsid w:val="001F7506"/>
    <w:rsid w:val="002006CD"/>
    <w:rsid w:val="00202B36"/>
    <w:rsid w:val="00204B7A"/>
    <w:rsid w:val="00204CDE"/>
    <w:rsid w:val="0021101A"/>
    <w:rsid w:val="00220536"/>
    <w:rsid w:val="00235629"/>
    <w:rsid w:val="00260C38"/>
    <w:rsid w:val="002616C0"/>
    <w:rsid w:val="00264413"/>
    <w:rsid w:val="00265372"/>
    <w:rsid w:val="002662AA"/>
    <w:rsid w:val="00280496"/>
    <w:rsid w:val="00294DC9"/>
    <w:rsid w:val="00295495"/>
    <w:rsid w:val="002A31DE"/>
    <w:rsid w:val="002B2613"/>
    <w:rsid w:val="002D6D05"/>
    <w:rsid w:val="002F1818"/>
    <w:rsid w:val="002F567B"/>
    <w:rsid w:val="002F667A"/>
    <w:rsid w:val="003216A9"/>
    <w:rsid w:val="00335A74"/>
    <w:rsid w:val="003451A3"/>
    <w:rsid w:val="0036561B"/>
    <w:rsid w:val="0037013F"/>
    <w:rsid w:val="0037256C"/>
    <w:rsid w:val="00374130"/>
    <w:rsid w:val="003751ED"/>
    <w:rsid w:val="00380C92"/>
    <w:rsid w:val="003A484F"/>
    <w:rsid w:val="003A4883"/>
    <w:rsid w:val="003B0BE0"/>
    <w:rsid w:val="003B0C1B"/>
    <w:rsid w:val="003B688C"/>
    <w:rsid w:val="003C0291"/>
    <w:rsid w:val="003C2A31"/>
    <w:rsid w:val="003C39AE"/>
    <w:rsid w:val="003C7B60"/>
    <w:rsid w:val="003D0C0F"/>
    <w:rsid w:val="003D1FB2"/>
    <w:rsid w:val="003D65AB"/>
    <w:rsid w:val="003D66DA"/>
    <w:rsid w:val="003E1310"/>
    <w:rsid w:val="003E6F55"/>
    <w:rsid w:val="003F6194"/>
    <w:rsid w:val="00406254"/>
    <w:rsid w:val="00420055"/>
    <w:rsid w:val="004223DE"/>
    <w:rsid w:val="004330C1"/>
    <w:rsid w:val="00434489"/>
    <w:rsid w:val="00437085"/>
    <w:rsid w:val="00443880"/>
    <w:rsid w:val="00444A2D"/>
    <w:rsid w:val="004464F4"/>
    <w:rsid w:val="00450D3F"/>
    <w:rsid w:val="00471401"/>
    <w:rsid w:val="00473F31"/>
    <w:rsid w:val="0048263A"/>
    <w:rsid w:val="00487E5D"/>
    <w:rsid w:val="004A711F"/>
    <w:rsid w:val="004B199D"/>
    <w:rsid w:val="004B4690"/>
    <w:rsid w:val="004E0A2D"/>
    <w:rsid w:val="004E14BF"/>
    <w:rsid w:val="004E206B"/>
    <w:rsid w:val="004E6DF7"/>
    <w:rsid w:val="004F0FBD"/>
    <w:rsid w:val="00505A47"/>
    <w:rsid w:val="00512FDA"/>
    <w:rsid w:val="00520DA0"/>
    <w:rsid w:val="005664BB"/>
    <w:rsid w:val="00566FFA"/>
    <w:rsid w:val="0057481D"/>
    <w:rsid w:val="0058486E"/>
    <w:rsid w:val="00585B33"/>
    <w:rsid w:val="0059014D"/>
    <w:rsid w:val="005B2C70"/>
    <w:rsid w:val="005B5C64"/>
    <w:rsid w:val="005C5337"/>
    <w:rsid w:val="005C6BD0"/>
    <w:rsid w:val="005D1C8B"/>
    <w:rsid w:val="005D468D"/>
    <w:rsid w:val="005D5CED"/>
    <w:rsid w:val="005F1A4C"/>
    <w:rsid w:val="00605688"/>
    <w:rsid w:val="00605DCE"/>
    <w:rsid w:val="006070AF"/>
    <w:rsid w:val="00607E6C"/>
    <w:rsid w:val="006101B1"/>
    <w:rsid w:val="00611BA9"/>
    <w:rsid w:val="00614E44"/>
    <w:rsid w:val="0062270A"/>
    <w:rsid w:val="00622830"/>
    <w:rsid w:val="00623DA0"/>
    <w:rsid w:val="0062774C"/>
    <w:rsid w:val="00630AEF"/>
    <w:rsid w:val="006325F8"/>
    <w:rsid w:val="00633463"/>
    <w:rsid w:val="00634C9A"/>
    <w:rsid w:val="006440E4"/>
    <w:rsid w:val="0066343B"/>
    <w:rsid w:val="00664777"/>
    <w:rsid w:val="006748A4"/>
    <w:rsid w:val="00681A31"/>
    <w:rsid w:val="00683E73"/>
    <w:rsid w:val="006A3141"/>
    <w:rsid w:val="006A4C1B"/>
    <w:rsid w:val="006A5E34"/>
    <w:rsid w:val="006B2422"/>
    <w:rsid w:val="006B2B9A"/>
    <w:rsid w:val="006C1937"/>
    <w:rsid w:val="006F020C"/>
    <w:rsid w:val="006F6A23"/>
    <w:rsid w:val="007127B7"/>
    <w:rsid w:val="0071798E"/>
    <w:rsid w:val="00727E62"/>
    <w:rsid w:val="007416B6"/>
    <w:rsid w:val="00746F48"/>
    <w:rsid w:val="0075404D"/>
    <w:rsid w:val="0076182A"/>
    <w:rsid w:val="00767B7E"/>
    <w:rsid w:val="007770C3"/>
    <w:rsid w:val="00784D24"/>
    <w:rsid w:val="00785FBA"/>
    <w:rsid w:val="00786E4A"/>
    <w:rsid w:val="007875EB"/>
    <w:rsid w:val="0079426B"/>
    <w:rsid w:val="007A3879"/>
    <w:rsid w:val="007C6A97"/>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4746E"/>
    <w:rsid w:val="00850625"/>
    <w:rsid w:val="00853718"/>
    <w:rsid w:val="00855221"/>
    <w:rsid w:val="00860645"/>
    <w:rsid w:val="00871F71"/>
    <w:rsid w:val="00872FD8"/>
    <w:rsid w:val="00885AF4"/>
    <w:rsid w:val="008939CD"/>
    <w:rsid w:val="008B6463"/>
    <w:rsid w:val="008B768C"/>
    <w:rsid w:val="008C4DB1"/>
    <w:rsid w:val="008C4EAF"/>
    <w:rsid w:val="008C5176"/>
    <w:rsid w:val="008C7FD0"/>
    <w:rsid w:val="008E1DE7"/>
    <w:rsid w:val="008E707C"/>
    <w:rsid w:val="00900B08"/>
    <w:rsid w:val="00902155"/>
    <w:rsid w:val="00902FA3"/>
    <w:rsid w:val="0091531F"/>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B6F"/>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0662"/>
    <w:rsid w:val="00A67AB5"/>
    <w:rsid w:val="00A712A5"/>
    <w:rsid w:val="00A733B2"/>
    <w:rsid w:val="00A741C2"/>
    <w:rsid w:val="00A91760"/>
    <w:rsid w:val="00A93B00"/>
    <w:rsid w:val="00A93C21"/>
    <w:rsid w:val="00AB23B6"/>
    <w:rsid w:val="00AB64C9"/>
    <w:rsid w:val="00AB6F9E"/>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3F2"/>
    <w:rsid w:val="00B53C56"/>
    <w:rsid w:val="00B57DAF"/>
    <w:rsid w:val="00B77EA6"/>
    <w:rsid w:val="00B81598"/>
    <w:rsid w:val="00B841F1"/>
    <w:rsid w:val="00B944D6"/>
    <w:rsid w:val="00BB4DF0"/>
    <w:rsid w:val="00BC189B"/>
    <w:rsid w:val="00BC289F"/>
    <w:rsid w:val="00BC2D50"/>
    <w:rsid w:val="00BC5361"/>
    <w:rsid w:val="00BC5460"/>
    <w:rsid w:val="00BC6B50"/>
    <w:rsid w:val="00BD0E25"/>
    <w:rsid w:val="00BE315F"/>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545"/>
    <w:rsid w:val="00CE7B61"/>
    <w:rsid w:val="00D00095"/>
    <w:rsid w:val="00D114F0"/>
    <w:rsid w:val="00D20620"/>
    <w:rsid w:val="00D254F7"/>
    <w:rsid w:val="00D26091"/>
    <w:rsid w:val="00D2685C"/>
    <w:rsid w:val="00D31FF1"/>
    <w:rsid w:val="00D34E7C"/>
    <w:rsid w:val="00D35489"/>
    <w:rsid w:val="00D36AFE"/>
    <w:rsid w:val="00D51276"/>
    <w:rsid w:val="00D7035F"/>
    <w:rsid w:val="00D94668"/>
    <w:rsid w:val="00DA634F"/>
    <w:rsid w:val="00DA65AC"/>
    <w:rsid w:val="00DB1913"/>
    <w:rsid w:val="00DC410D"/>
    <w:rsid w:val="00DC5A81"/>
    <w:rsid w:val="00DC68CA"/>
    <w:rsid w:val="00DC7CBA"/>
    <w:rsid w:val="00DD73B7"/>
    <w:rsid w:val="00DE2882"/>
    <w:rsid w:val="00DE2E76"/>
    <w:rsid w:val="00DF28BC"/>
    <w:rsid w:val="00DF34B9"/>
    <w:rsid w:val="00E01053"/>
    <w:rsid w:val="00E07ACF"/>
    <w:rsid w:val="00E331A1"/>
    <w:rsid w:val="00E33202"/>
    <w:rsid w:val="00E336A9"/>
    <w:rsid w:val="00E472B1"/>
    <w:rsid w:val="00E50624"/>
    <w:rsid w:val="00E568DF"/>
    <w:rsid w:val="00E64269"/>
    <w:rsid w:val="00E74EA5"/>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53258"/>
    <w:rsid w:val="00F602DF"/>
    <w:rsid w:val="00F754A1"/>
    <w:rsid w:val="00F81FD9"/>
    <w:rsid w:val="00F841AA"/>
    <w:rsid w:val="00F84A94"/>
    <w:rsid w:val="00F87E96"/>
    <w:rsid w:val="00FA23E8"/>
    <w:rsid w:val="00FD17CC"/>
    <w:rsid w:val="00FD3CC1"/>
    <w:rsid w:val="00FE7259"/>
    <w:rsid w:val="00FF1E02"/>
    <w:rsid w:val="00FF30B4"/>
    <w:rsid w:val="06E31716"/>
    <w:rsid w:val="07137F02"/>
    <w:rsid w:val="0A2032A3"/>
    <w:rsid w:val="0B8A37D8"/>
    <w:rsid w:val="0BCB10F1"/>
    <w:rsid w:val="0BE0446D"/>
    <w:rsid w:val="10C055FF"/>
    <w:rsid w:val="118107EC"/>
    <w:rsid w:val="11DD6519"/>
    <w:rsid w:val="126F0B01"/>
    <w:rsid w:val="16BB723D"/>
    <w:rsid w:val="18015F3F"/>
    <w:rsid w:val="1ABD6D8F"/>
    <w:rsid w:val="1BE8440E"/>
    <w:rsid w:val="1CB710C0"/>
    <w:rsid w:val="1D155CEE"/>
    <w:rsid w:val="20395134"/>
    <w:rsid w:val="20F57F95"/>
    <w:rsid w:val="21102020"/>
    <w:rsid w:val="23AB3D0B"/>
    <w:rsid w:val="240371BF"/>
    <w:rsid w:val="25C741E6"/>
    <w:rsid w:val="26C55046"/>
    <w:rsid w:val="27842671"/>
    <w:rsid w:val="29FD04D3"/>
    <w:rsid w:val="2ABE7A3E"/>
    <w:rsid w:val="2BDD5FED"/>
    <w:rsid w:val="2EFA178C"/>
    <w:rsid w:val="30B46D73"/>
    <w:rsid w:val="319F7F4E"/>
    <w:rsid w:val="39AE70AB"/>
    <w:rsid w:val="3C0C0783"/>
    <w:rsid w:val="3C3D6F54"/>
    <w:rsid w:val="3CE65D2B"/>
    <w:rsid w:val="3D495118"/>
    <w:rsid w:val="3F9F3A96"/>
    <w:rsid w:val="41546D80"/>
    <w:rsid w:val="47A95F9F"/>
    <w:rsid w:val="493C27E9"/>
    <w:rsid w:val="496F39ED"/>
    <w:rsid w:val="49FF41D3"/>
    <w:rsid w:val="4AE253FD"/>
    <w:rsid w:val="4BE068DB"/>
    <w:rsid w:val="4BF6002B"/>
    <w:rsid w:val="4ECE2238"/>
    <w:rsid w:val="509C774A"/>
    <w:rsid w:val="51DB4B86"/>
    <w:rsid w:val="545729B8"/>
    <w:rsid w:val="547D1830"/>
    <w:rsid w:val="55333C3E"/>
    <w:rsid w:val="5A0C2E49"/>
    <w:rsid w:val="64CA39A1"/>
    <w:rsid w:val="667B14A2"/>
    <w:rsid w:val="6722754E"/>
    <w:rsid w:val="677C613A"/>
    <w:rsid w:val="6AFF54D2"/>
    <w:rsid w:val="6C4A05C8"/>
    <w:rsid w:val="72734D90"/>
    <w:rsid w:val="737839CA"/>
    <w:rsid w:val="74357F8F"/>
    <w:rsid w:val="75FF2661"/>
    <w:rsid w:val="76FC1502"/>
    <w:rsid w:val="7776628E"/>
    <w:rsid w:val="79E7B28D"/>
    <w:rsid w:val="7F2F7F0A"/>
    <w:rsid w:val="7F9F20EE"/>
    <w:rsid w:val="9E3A10E2"/>
    <w:rsid w:val="F2E1F9D4"/>
    <w:rsid w:val="F7880819"/>
    <w:rsid w:val="FFB5C062"/>
    <w:rsid w:val="FFD5EDAA"/>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0"/>
    <w:unhideWhenUsed/>
    <w:qFormat/>
    <w:uiPriority w:val="9"/>
    <w:pPr>
      <w:keepNext/>
      <w:keepLines/>
      <w:spacing w:before="260" w:after="260" w:line="416" w:lineRule="auto"/>
      <w:outlineLvl w:val="2"/>
    </w:pPr>
    <w:rPr>
      <w:b/>
      <w:bCs/>
      <w:sz w:val="32"/>
      <w:szCs w:val="32"/>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23"/>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Plain Text"/>
    <w:basedOn w:val="1"/>
    <w:link w:val="32"/>
    <w:qFormat/>
    <w:uiPriority w:val="0"/>
    <w:rPr>
      <w:rFonts w:ascii="宋体" w:hAnsi="Courier New"/>
    </w:rPr>
  </w:style>
  <w:style w:type="paragraph" w:styleId="8">
    <w:name w:val="Balloon Text"/>
    <w:basedOn w:val="1"/>
    <w:link w:val="29"/>
    <w:semiHidden/>
    <w:unhideWhenUsed/>
    <w:qFormat/>
    <w:uiPriority w:val="99"/>
    <w:rPr>
      <w:sz w:val="18"/>
      <w:szCs w:val="18"/>
    </w:rPr>
  </w:style>
  <w:style w:type="paragraph" w:styleId="9">
    <w:name w:val="footer"/>
    <w:basedOn w:val="1"/>
    <w:link w:val="21"/>
    <w:qFormat/>
    <w:uiPriority w:val="99"/>
    <w:pPr>
      <w:tabs>
        <w:tab w:val="center" w:pos="4153"/>
        <w:tab w:val="right" w:pos="8306"/>
      </w:tabs>
      <w:snapToGrid w:val="0"/>
      <w:jc w:val="left"/>
    </w:pPr>
    <w:rPr>
      <w:rFonts w:ascii="Calibri" w:hAnsi="Calibri"/>
      <w:kern w:val="0"/>
      <w:sz w:val="18"/>
      <w:szCs w:val="18"/>
    </w:rPr>
  </w:style>
  <w:style w:type="paragraph" w:styleId="10">
    <w:name w:val="header"/>
    <w:basedOn w:val="1"/>
    <w:link w:val="19"/>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2">
    <w:name w:val="toc 2"/>
    <w:basedOn w:val="1"/>
    <w:next w:val="1"/>
    <w:unhideWhenUsed/>
    <w:qFormat/>
    <w:uiPriority w:val="39"/>
    <w:pPr>
      <w:tabs>
        <w:tab w:val="right" w:leader="dot" w:pos="8296"/>
      </w:tabs>
      <w:ind w:left="420" w:leftChars="200"/>
    </w:pPr>
  </w:style>
  <w:style w:type="paragraph" w:styleId="13">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16">
    <w:name w:val="Strong"/>
    <w:basedOn w:val="15"/>
    <w:qFormat/>
    <w:uiPriority w:val="99"/>
    <w:rPr>
      <w:b/>
    </w:rPr>
  </w:style>
  <w:style w:type="character" w:styleId="17">
    <w:name w:val="Hyperlink"/>
    <w:basedOn w:val="15"/>
    <w:unhideWhenUsed/>
    <w:qFormat/>
    <w:uiPriority w:val="99"/>
    <w:rPr>
      <w:color w:val="0000FF" w:themeColor="hyperlink"/>
      <w:u w:val="single"/>
      <w14:textFill>
        <w14:solidFill>
          <w14:schemeClr w14:val="hlink"/>
        </w14:solidFill>
      </w14:textFill>
    </w:rPr>
  </w:style>
  <w:style w:type="character" w:customStyle="1" w:styleId="18">
    <w:name w:val="Header Char"/>
    <w:basedOn w:val="15"/>
    <w:semiHidden/>
    <w:qFormat/>
    <w:uiPriority w:val="99"/>
    <w:rPr>
      <w:rFonts w:ascii="Times New Roman" w:hAnsi="Times New Roman"/>
      <w:sz w:val="18"/>
      <w:szCs w:val="18"/>
    </w:rPr>
  </w:style>
  <w:style w:type="character" w:customStyle="1" w:styleId="19">
    <w:name w:val="页眉 字符"/>
    <w:link w:val="10"/>
    <w:semiHidden/>
    <w:qFormat/>
    <w:locked/>
    <w:uiPriority w:val="99"/>
    <w:rPr>
      <w:sz w:val="18"/>
    </w:rPr>
  </w:style>
  <w:style w:type="character" w:customStyle="1" w:styleId="20">
    <w:name w:val="Footer Char"/>
    <w:basedOn w:val="15"/>
    <w:semiHidden/>
    <w:qFormat/>
    <w:uiPriority w:val="99"/>
    <w:rPr>
      <w:rFonts w:ascii="Times New Roman" w:hAnsi="Times New Roman"/>
      <w:sz w:val="18"/>
      <w:szCs w:val="18"/>
    </w:rPr>
  </w:style>
  <w:style w:type="character" w:customStyle="1" w:styleId="21">
    <w:name w:val="页脚 字符"/>
    <w:link w:val="9"/>
    <w:qFormat/>
    <w:locked/>
    <w:uiPriority w:val="99"/>
    <w:rPr>
      <w:sz w:val="18"/>
    </w:rPr>
  </w:style>
  <w:style w:type="character" w:customStyle="1" w:styleId="22">
    <w:name w:val="Body Text Char"/>
    <w:basedOn w:val="15"/>
    <w:semiHidden/>
    <w:qFormat/>
    <w:uiPriority w:val="99"/>
    <w:rPr>
      <w:rFonts w:ascii="Times New Roman" w:hAnsi="Times New Roman"/>
      <w:szCs w:val="24"/>
    </w:rPr>
  </w:style>
  <w:style w:type="character" w:customStyle="1" w:styleId="23">
    <w:name w:val="正文文本 字符"/>
    <w:link w:val="2"/>
    <w:qFormat/>
    <w:locked/>
    <w:uiPriority w:val="99"/>
    <w:rPr>
      <w:rFonts w:ascii="仿宋_GB2312" w:hAnsi="Times New Roman" w:eastAsia="仿宋_GB2312"/>
      <w:sz w:val="24"/>
    </w:rPr>
  </w:style>
  <w:style w:type="paragraph" w:customStyle="1" w:styleId="24">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5">
    <w:name w:val="List Paragraph"/>
    <w:basedOn w:val="1"/>
    <w:qFormat/>
    <w:uiPriority w:val="34"/>
    <w:pPr>
      <w:ind w:firstLine="420" w:firstLineChars="200"/>
    </w:pPr>
  </w:style>
  <w:style w:type="character" w:customStyle="1" w:styleId="26">
    <w:name w:val="标题 1 字符"/>
    <w:basedOn w:val="15"/>
    <w:link w:val="3"/>
    <w:qFormat/>
    <w:uiPriority w:val="9"/>
    <w:rPr>
      <w:rFonts w:ascii="Times New Roman" w:hAnsi="Times New Roman"/>
      <w:b/>
      <w:bCs/>
      <w:kern w:val="44"/>
      <w:sz w:val="44"/>
      <w:szCs w:val="44"/>
    </w:rPr>
  </w:style>
  <w:style w:type="character" w:customStyle="1" w:styleId="27">
    <w:name w:val="标题 2 字符"/>
    <w:basedOn w:val="15"/>
    <w:link w:val="4"/>
    <w:qFormat/>
    <w:uiPriority w:val="9"/>
    <w:rPr>
      <w:rFonts w:asciiTheme="majorHAnsi" w:hAnsiTheme="majorHAnsi" w:eastAsiaTheme="majorEastAsia" w:cstheme="majorBidi"/>
      <w:b/>
      <w:bCs/>
      <w:kern w:val="2"/>
      <w:sz w:val="32"/>
      <w:szCs w:val="32"/>
    </w:rPr>
  </w:style>
  <w:style w:type="paragraph" w:customStyle="1" w:styleId="28">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9">
    <w:name w:val="批注框文本 字符"/>
    <w:basedOn w:val="15"/>
    <w:link w:val="8"/>
    <w:semiHidden/>
    <w:qFormat/>
    <w:uiPriority w:val="99"/>
    <w:rPr>
      <w:rFonts w:ascii="Times New Roman" w:hAnsi="Times New Roman"/>
      <w:kern w:val="2"/>
      <w:sz w:val="18"/>
      <w:szCs w:val="18"/>
    </w:rPr>
  </w:style>
  <w:style w:type="character" w:customStyle="1" w:styleId="30">
    <w:name w:val="标题 3 字符"/>
    <w:basedOn w:val="15"/>
    <w:link w:val="5"/>
    <w:qFormat/>
    <w:uiPriority w:val="9"/>
    <w:rPr>
      <w:rFonts w:ascii="Times New Roman" w:hAnsi="Times New Roman"/>
      <w:b/>
      <w:bCs/>
      <w:kern w:val="2"/>
      <w:sz w:val="32"/>
      <w:szCs w:val="32"/>
    </w:rPr>
  </w:style>
  <w:style w:type="paragraph" w:customStyle="1" w:styleId="31">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2">
    <w:name w:val="纯文本 字符"/>
    <w:basedOn w:val="15"/>
    <w:link w:val="7"/>
    <w:qFormat/>
    <w:uiPriority w:val="0"/>
    <w:rPr>
      <w:rFonts w:ascii="宋体" w:hAnsi="Courier New" w:eastAsia="宋体" w:cs="Times New Roman"/>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1.png"/><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Desktop\Book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dmin\Desktop\Book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dmin\Desktop\Book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dmin\Desktop\Book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dmin\Desktop\Book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admin\Desktop\Book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invertIfNegative val="0"/>
          <c:dLbls>
            <c:dLbl>
              <c:idx val="0"/>
              <c:layout>
                <c:manualLayout>
                  <c:x val="0.00255427841634738"/>
                  <c:y val="-0.200312989045384"/>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613026819923372"/>
                  <c:y val="-0.374334898278561"/>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Sheet1!$E$487:$E$488</c:f>
              <c:strCache>
                <c:ptCount val="2"/>
                <c:pt idx="0">
                  <c:v>2020年</c:v>
                </c:pt>
                <c:pt idx="1">
                  <c:v>2021年</c:v>
                </c:pt>
              </c:strCache>
            </c:strRef>
          </c:cat>
          <c:val>
            <c:numRef>
              <c:f>Sheet1!$F$487:$F$488</c:f>
              <c:numCache>
                <c:formatCode>#,##0.00</c:formatCode>
                <c:ptCount val="2"/>
                <c:pt idx="0">
                  <c:v>538.25</c:v>
                </c:pt>
                <c:pt idx="1">
                  <c:v>618.23</c:v>
                </c:pt>
              </c:numCache>
            </c:numRef>
          </c:val>
        </c:ser>
        <c:dLbls>
          <c:showLegendKey val="0"/>
          <c:showVal val="1"/>
          <c:showCatName val="0"/>
          <c:showSerName val="0"/>
          <c:showPercent val="0"/>
          <c:showBubbleSize val="0"/>
        </c:dLbls>
        <c:gapWidth val="150"/>
        <c:overlap val="100"/>
        <c:axId val="255243008"/>
        <c:axId val="255244544"/>
      </c:barChart>
      <c:catAx>
        <c:axId val="255243008"/>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55244544"/>
        <c:crosses val="autoZero"/>
        <c:auto val="1"/>
        <c:lblAlgn val="ctr"/>
        <c:lblOffset val="100"/>
        <c:noMultiLvlLbl val="0"/>
      </c:catAx>
      <c:valAx>
        <c:axId val="255244544"/>
        <c:scaling>
          <c:orientation val="minMax"/>
        </c:scaling>
        <c:delete val="0"/>
        <c:axPos val="l"/>
        <c:majorGridlines/>
        <c:numFmt formatCode="#,##0.00"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55243008"/>
        <c:crosses val="autoZero"/>
        <c:crossBetween val="between"/>
      </c:valAx>
      <c:spPr>
        <a:solidFill>
          <a:schemeClr val="bg1"/>
        </a:solidFill>
        <a:ln>
          <a:noFill/>
        </a:ln>
        <a:effectLst/>
      </c:spPr>
    </c:plotArea>
    <c:plotVisOnly val="1"/>
    <c:dispBlanksAs val="gap"/>
    <c:showDLblsOverMax val="0"/>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floor>
    <c:sideWall>
      <c:thickness val="0"/>
    </c:sideWall>
    <c:backWall>
      <c:thickness val="0"/>
    </c:backWall>
    <c:plotArea>
      <c:layout>
        <c:manualLayout>
          <c:layoutTarget val="inner"/>
          <c:xMode val="edge"/>
          <c:yMode val="edge"/>
          <c:x val="0.145718762122105"/>
          <c:y val="0.17592584710695"/>
          <c:w val="0.512812328401367"/>
          <c:h val="0.773148148148149"/>
        </c:manualLayout>
      </c:layout>
      <c:pie3DChart>
        <c:varyColors val="1"/>
        <c:ser>
          <c:idx val="0"/>
          <c:order val="0"/>
          <c:explosion val="0"/>
          <c:dPt>
            <c:idx val="0"/>
            <c:bubble3D val="0"/>
          </c:dPt>
          <c:dPt>
            <c:idx val="1"/>
            <c:bubble3D val="0"/>
          </c:dPt>
          <c:dPt>
            <c:idx val="2"/>
            <c:bubble3D val="0"/>
          </c:dPt>
          <c:dLbls>
            <c:dLbl>
              <c:idx val="0"/>
              <c:layout>
                <c:manualLayout>
                  <c:x val="0.13942015405464"/>
                  <c:y val="-0.0017715353148424"/>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solidFill>
                      <a:latin typeface="+mn-lt"/>
                      <a:ea typeface="+mn-ea"/>
                      <a:cs typeface="+mn-cs"/>
                    </a:defRPr>
                  </a:pPr>
                </a:p>
              </c:txPr>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1"/>
              <c:layout>
                <c:manualLayout>
                  <c:x val="-0.0858666706968732"/>
                  <c:y val="0.0555555555555555"/>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solidFill>
                      <a:latin typeface="+mn-lt"/>
                      <a:ea typeface="+mn-ea"/>
                      <a:cs typeface="+mn-cs"/>
                    </a:defRPr>
                  </a:pPr>
                </a:p>
              </c:txPr>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2"/>
              <c:layout>
                <c:manualLayout>
                  <c:x val="0.0834786726515232"/>
                  <c:y val="0.0180577427821522"/>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solidFill>
                      <a:latin typeface="+mn-lt"/>
                      <a:ea typeface="+mn-ea"/>
                      <a:cs typeface="+mn-cs"/>
                    </a:defRPr>
                  </a:pPr>
                </a:p>
              </c:txPr>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ext>
            </c:extLst>
          </c:dLbls>
          <c:cat>
            <c:strRef>
              <c:f>Sheet1!$B$501:$B$503</c:f>
              <c:strCache>
                <c:ptCount val="3"/>
                <c:pt idx="0">
                  <c:v>一般公共预算财政拨款收入</c:v>
                </c:pt>
                <c:pt idx="1">
                  <c:v>政府性基金预算财政拨款</c:v>
                </c:pt>
                <c:pt idx="2">
                  <c:v>其他收入</c:v>
                </c:pt>
              </c:strCache>
            </c:strRef>
          </c:cat>
          <c:val>
            <c:numRef>
              <c:f>Sheet1!$C$501:$C$503</c:f>
              <c:numCache>
                <c:formatCode>#,##0.00</c:formatCode>
                <c:ptCount val="3"/>
                <c:pt idx="0">
                  <c:v>540.11</c:v>
                </c:pt>
                <c:pt idx="1">
                  <c:v>67.57</c:v>
                </c:pt>
                <c:pt idx="2">
                  <c:v>0.13</c:v>
                </c:pt>
              </c:numCache>
            </c:numRef>
          </c:val>
        </c:ser>
        <c:dLbls>
          <c:showLegendKey val="0"/>
          <c:showVal val="0"/>
          <c:showCatName val="1"/>
          <c:showSerName val="0"/>
          <c:showPercent val="1"/>
          <c:showBubbleSize val="0"/>
        </c:dLbls>
      </c:pie3DChart>
    </c:plotArea>
    <c:legend>
      <c:legendPos val="r"/>
      <c:layout>
        <c:manualLayout>
          <c:xMode val="edge"/>
          <c:yMode val="edge"/>
          <c:x val="0.769713401947598"/>
          <c:y val="0.18018774680192"/>
          <c:w val="0.214931511680042"/>
          <c:h val="0.591576458348112"/>
        </c:manualLayout>
      </c:layout>
      <c:overlay val="0"/>
      <c:txPr>
        <a:bodyPr rot="0" spcFirstLastPara="0" vertOverflow="ellipsis" vert="horz" wrap="square" anchor="ctr" anchorCtr="1"/>
        <a:lstStyle/>
        <a:p>
          <a:pPr>
            <a:defRPr lang="zh-CN" sz="9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floor>
    <c:sideWall>
      <c:thickness val="0"/>
    </c:sideWall>
    <c:backWall>
      <c:thickness val="0"/>
    </c:backWall>
    <c:plotArea>
      <c:layout>
        <c:manualLayout>
          <c:layoutTarget val="inner"/>
          <c:xMode val="edge"/>
          <c:yMode val="edge"/>
          <c:x val="0.124444444444444"/>
          <c:y val="0.176182009506876"/>
          <c:w val="0.626706061742282"/>
          <c:h val="0.717592592592593"/>
        </c:manualLayout>
      </c:layout>
      <c:pie3DChart>
        <c:varyColors val="1"/>
        <c:ser>
          <c:idx val="0"/>
          <c:order val="0"/>
          <c:explosion val="0"/>
          <c:dPt>
            <c:idx val="0"/>
            <c:bubble3D val="0"/>
          </c:dPt>
          <c:dPt>
            <c:idx val="1"/>
            <c:bubble3D val="0"/>
          </c:dPt>
          <c:dLbls>
            <c:dLbl>
              <c:idx val="0"/>
              <c:layout>
                <c:manualLayout>
                  <c:x val="0.0538729658792651"/>
                  <c:y val="0.0263134295713036"/>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1"/>
              <c:layout>
                <c:manualLayout>
                  <c:x val="-0.0661625296837895"/>
                  <c:y val="-0.0463221784776903"/>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solidFill>
                    <a:latin typeface="+mn-lt"/>
                    <a:ea typeface="+mn-ea"/>
                    <a:cs typeface="+mn-cs"/>
                  </a:defRPr>
                </a:pPr>
              </a:p>
            </c:txPr>
            <c:dLblPos val="bestFit"/>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ext>
            </c:extLst>
          </c:dLbls>
          <c:cat>
            <c:strRef>
              <c:f>Sheet1!$E$515:$E$516</c:f>
              <c:strCache>
                <c:ptCount val="2"/>
                <c:pt idx="0">
                  <c:v>基本支出</c:v>
                </c:pt>
                <c:pt idx="1">
                  <c:v>项目支出</c:v>
                </c:pt>
              </c:strCache>
            </c:strRef>
          </c:cat>
          <c:val>
            <c:numRef>
              <c:f>Sheet1!$F$515:$F$516</c:f>
              <c:numCache>
                <c:formatCode>#,##0.00</c:formatCode>
                <c:ptCount val="2"/>
                <c:pt idx="0">
                  <c:v>471.65</c:v>
                </c:pt>
                <c:pt idx="1">
                  <c:v>146.48</c:v>
                </c:pt>
              </c:numCache>
            </c:numRef>
          </c:val>
        </c:ser>
        <c:dLbls>
          <c:showLegendKey val="0"/>
          <c:showVal val="0"/>
          <c:showCatName val="1"/>
          <c:showSerName val="0"/>
          <c:showPercent val="1"/>
          <c:showBubbleSize val="0"/>
        </c:dLbls>
      </c:pie3DChart>
    </c:plotArea>
    <c:legend>
      <c:legendPos val="r"/>
      <c:layout>
        <c:manualLayout>
          <c:xMode val="edge"/>
          <c:yMode val="edge"/>
          <c:x val="0.840039395075616"/>
          <c:y val="0.33026113671275"/>
          <c:w val="0.144722509686289"/>
          <c:h val="0.350677939451117"/>
        </c:manualLayout>
      </c:layout>
      <c:overlay val="0"/>
      <c:txPr>
        <a:bodyPr rot="0" spcFirstLastPara="0" vertOverflow="ellipsis" vert="horz" wrap="square" anchor="ctr" anchorCtr="1"/>
        <a:lstStyle/>
        <a:p>
          <a:pPr>
            <a:defRPr lang="zh-CN" sz="9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invertIfNegative val="0"/>
          <c:dLbls>
            <c:dLbl>
              <c:idx val="0"/>
              <c:layout>
                <c:manualLayout>
                  <c:x val="0.0381679389312977"/>
                  <c:y val="-0.197530864197531"/>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508905852417303"/>
                  <c:y val="-0.339506172839507"/>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Sheet1!$E$526:$E$527</c:f>
              <c:strCache>
                <c:ptCount val="2"/>
                <c:pt idx="0">
                  <c:v>2020年</c:v>
                </c:pt>
                <c:pt idx="1">
                  <c:v>2021年</c:v>
                </c:pt>
              </c:strCache>
            </c:strRef>
          </c:cat>
          <c:val>
            <c:numRef>
              <c:f>Sheet1!$F$526:$F$527</c:f>
              <c:numCache>
                <c:formatCode>General</c:formatCode>
                <c:ptCount val="2"/>
                <c:pt idx="0">
                  <c:v>537.83</c:v>
                </c:pt>
                <c:pt idx="1" c:formatCode="0.00_ ">
                  <c:v>618.1</c:v>
                </c:pt>
              </c:numCache>
            </c:numRef>
          </c:val>
        </c:ser>
        <c:dLbls>
          <c:showLegendKey val="0"/>
          <c:showVal val="1"/>
          <c:showCatName val="0"/>
          <c:showSerName val="0"/>
          <c:showPercent val="0"/>
          <c:showBubbleSize val="0"/>
        </c:dLbls>
        <c:gapWidth val="150"/>
        <c:overlap val="100"/>
        <c:axId val="73538560"/>
        <c:axId val="73552640"/>
      </c:barChart>
      <c:catAx>
        <c:axId val="73538560"/>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73552640"/>
        <c:crosses val="autoZero"/>
        <c:auto val="1"/>
        <c:lblAlgn val="ctr"/>
        <c:lblOffset val="100"/>
        <c:noMultiLvlLbl val="0"/>
      </c:catAx>
      <c:valAx>
        <c:axId val="73552640"/>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73538560"/>
        <c:crosses val="autoZero"/>
        <c:crossBetween val="between"/>
      </c:valAx>
      <c:spPr>
        <a:solidFill>
          <a:schemeClr val="bg1"/>
        </a:solidFill>
        <a:ln>
          <a:noFill/>
        </a:ln>
        <a:effectLst/>
      </c:spPr>
    </c:plotArea>
    <c:plotVisOnly val="1"/>
    <c:dispBlanksAs val="gap"/>
    <c:showDLblsOverMax val="0"/>
  </c:chart>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2807961504812"/>
          <c:y val="0.0514005540974045"/>
          <c:w val="0.82941426071741"/>
          <c:h val="0.794544692330126"/>
        </c:manualLayout>
      </c:layout>
      <c:barChart>
        <c:barDir val="col"/>
        <c:grouping val="stacked"/>
        <c:varyColors val="0"/>
        <c:ser>
          <c:idx val="0"/>
          <c:order val="0"/>
          <c:invertIfNegative val="0"/>
          <c:dLbls>
            <c:dLbl>
              <c:idx val="0"/>
              <c:layout>
                <c:manualLayout>
                  <c:x val="-0.00558730158730159"/>
                  <c:y val="-0.223655913978495"/>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182857142857144"/>
                  <c:y val="-0.39815668202765"/>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Sheet1!$E$539:$E$540</c:f>
              <c:strCache>
                <c:ptCount val="2"/>
                <c:pt idx="0">
                  <c:v>2020年</c:v>
                </c:pt>
                <c:pt idx="1">
                  <c:v>2021年</c:v>
                </c:pt>
              </c:strCache>
            </c:strRef>
          </c:cat>
          <c:val>
            <c:numRef>
              <c:f>Sheet1!$F$539:$F$540</c:f>
              <c:numCache>
                <c:formatCode>0.00_ </c:formatCode>
                <c:ptCount val="2"/>
                <c:pt idx="0">
                  <c:v>522.08</c:v>
                </c:pt>
                <c:pt idx="1">
                  <c:v>550.53</c:v>
                </c:pt>
              </c:numCache>
            </c:numRef>
          </c:val>
        </c:ser>
        <c:dLbls>
          <c:showLegendKey val="0"/>
          <c:showVal val="1"/>
          <c:showCatName val="0"/>
          <c:showSerName val="0"/>
          <c:showPercent val="0"/>
          <c:showBubbleSize val="0"/>
        </c:dLbls>
        <c:gapWidth val="150"/>
        <c:overlap val="100"/>
        <c:axId val="73576832"/>
        <c:axId val="73578368"/>
      </c:barChart>
      <c:catAx>
        <c:axId val="73576832"/>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73578368"/>
        <c:crosses val="autoZero"/>
        <c:auto val="1"/>
        <c:lblAlgn val="ctr"/>
        <c:lblOffset val="100"/>
        <c:noMultiLvlLbl val="0"/>
      </c:catAx>
      <c:valAx>
        <c:axId val="73578368"/>
        <c:scaling>
          <c:orientation val="minMax"/>
        </c:scaling>
        <c:delete val="0"/>
        <c:axPos val="l"/>
        <c:majorGridlines/>
        <c:numFmt formatCode="0.00_ "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73576832"/>
        <c:crosses val="autoZero"/>
        <c:crossBetween val="between"/>
      </c:valAx>
      <c:spPr>
        <a:solidFill>
          <a:schemeClr val="bg1"/>
        </a:solidFill>
        <a:ln>
          <a:noFill/>
        </a:ln>
        <a:effectLst/>
      </c:spPr>
    </c:plotArea>
    <c:plotVisOnly val="1"/>
    <c:dispBlanksAs val="gap"/>
    <c:showDLblsOverMax val="0"/>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floor>
    <c:sideWall>
      <c:thickness val="0"/>
    </c:sideWall>
    <c:backWall>
      <c:thickness val="0"/>
    </c:backWall>
    <c:plotArea>
      <c:layout>
        <c:manualLayout>
          <c:layoutTarget val="inner"/>
          <c:xMode val="edge"/>
          <c:yMode val="edge"/>
          <c:x val="0.185396825396826"/>
          <c:y val="0.25462962962963"/>
          <c:w val="0.525367529058867"/>
          <c:h val="0.694444444444445"/>
        </c:manualLayout>
      </c:layout>
      <c:pie3DChart>
        <c:varyColors val="1"/>
        <c:ser>
          <c:idx val="0"/>
          <c:order val="0"/>
          <c:explosion val="0"/>
          <c:dPt>
            <c:idx val="0"/>
            <c:bubble3D val="0"/>
          </c:dPt>
          <c:dPt>
            <c:idx val="1"/>
            <c:bubble3D val="0"/>
          </c:dPt>
          <c:dPt>
            <c:idx val="2"/>
            <c:bubble3D val="0"/>
          </c:dPt>
          <c:dPt>
            <c:idx val="3"/>
            <c:bubble3D val="0"/>
          </c:dPt>
          <c:dLbls>
            <c:dLbl>
              <c:idx val="0"/>
              <c:layout>
                <c:manualLayout>
                  <c:x val="0.0577154855643044"/>
                  <c:y val="0.0169913651156036"/>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manualLayout>
                      <c:w val="0.208507936507937"/>
                      <c:h val="0.240740740740741"/>
                    </c:manualLayout>
                  </c15:layout>
                </c:ext>
              </c:extLst>
            </c:dLbl>
            <c:dLbl>
              <c:idx val="1"/>
              <c:layout>
                <c:manualLayout>
                  <c:x val="-0.0268987376577928"/>
                  <c:y val="0.0197380188587538"/>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2"/>
              <c:layout>
                <c:manualLayout>
                  <c:x val="-0.0575178102737158"/>
                  <c:y val="-0.0377597939146496"/>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3"/>
              <c:layout>
                <c:manualLayout>
                  <c:x val="0.172154280714911"/>
                  <c:y val="0.00586371148050938"/>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ext>
            </c:extLst>
          </c:dLbls>
          <c:cat>
            <c:strRef>
              <c:f>Sheet1!$B$552:$B$555</c:f>
              <c:strCache>
                <c:ptCount val="4"/>
                <c:pt idx="0">
                  <c:v>一般公共服务支出</c:v>
                </c:pt>
                <c:pt idx="1">
                  <c:v>社会保障和就业支出</c:v>
                </c:pt>
                <c:pt idx="2">
                  <c:v>卫生健康支出</c:v>
                </c:pt>
                <c:pt idx="3">
                  <c:v>住房保障支出</c:v>
                </c:pt>
              </c:strCache>
            </c:strRef>
          </c:cat>
          <c:val>
            <c:numRef>
              <c:f>Sheet1!$C$552:$C$555</c:f>
              <c:numCache>
                <c:formatCode>#,##0.00</c:formatCode>
                <c:ptCount val="4"/>
                <c:pt idx="0">
                  <c:v>394.04</c:v>
                </c:pt>
                <c:pt idx="1">
                  <c:v>85.96</c:v>
                </c:pt>
                <c:pt idx="2">
                  <c:v>27.69</c:v>
                </c:pt>
                <c:pt idx="3">
                  <c:v>42.84</c:v>
                </c:pt>
              </c:numCache>
            </c:numRef>
          </c:val>
        </c:ser>
        <c:dLbls>
          <c:showLegendKey val="0"/>
          <c:showVal val="0"/>
          <c:showCatName val="1"/>
          <c:showSerName val="0"/>
          <c:showPercent val="1"/>
          <c:showBubbleSize val="0"/>
        </c:dLbls>
      </c:pie3DChart>
    </c:plotArea>
    <c:legend>
      <c:legendPos val="r"/>
      <c:layout>
        <c:manualLayout>
          <c:xMode val="edge"/>
          <c:yMode val="edge"/>
          <c:x val="0.797113560804899"/>
          <c:y val="0.104551375522504"/>
          <c:w val="0.187648343957006"/>
          <c:h val="0.648921940313017"/>
        </c:manualLayout>
      </c:layout>
      <c:overlay val="0"/>
      <c:txPr>
        <a:bodyPr rot="0" spcFirstLastPara="0" vertOverflow="ellipsis" vert="horz" wrap="square" anchor="ctr" anchorCtr="1"/>
        <a:lstStyle/>
        <a:p>
          <a:pPr>
            <a:defRPr lang="zh-CN" sz="9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四川省财政厅</Company>
  <Pages>31</Pages>
  <Words>2080</Words>
  <Characters>11859</Characters>
  <Lines>98</Lines>
  <Paragraphs>27</Paragraphs>
  <TotalTime>38</TotalTime>
  <ScaleCrop>false</ScaleCrop>
  <LinksUpToDate>false</LinksUpToDate>
  <CharactersWithSpaces>13912</CharactersWithSpaces>
  <Application>WPS Office_11.8.2.1116_F1E327BC-269C-435d-A152-05C5408002CA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2020-08-05T17:49:00Z</dcterms:created>
  <dc:creator>曹颖</dc:creator>
  <cp:lastModifiedBy>user</cp:lastModifiedBy>
  <cp:lastPrinted>2022-10-08T18:12:00Z</cp:lastPrinted>
  <dcterms:modified xsi:type="dcterms:W3CDTF">2026-07-27T15:25:12Z</dcterms:modified>
  <dc:title>四川省***</dc:title>
  <cp:revision>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2052-11.8.2.1116</vt:lpwstr>
  </property>
  <property fmtid="{D5CDD505-2E9C-101B-9397-08002B2CF9AE}" pid="3" name="ICV">
    <vt:lpwstr>0C6B2A9ECE045CF7D807676ABB004769</vt:lpwstr>
  </property>
</Properties>
</file>