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color w:val="000000"/>
          <w:sz w:val="72"/>
          <w:szCs w:val="72"/>
        </w:rPr>
      </w:pPr>
      <w:bookmarkStart w:id="0" w:name="_Toc15306267"/>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bookmarkStart w:id="119" w:name="_GoBack"/>
      <w:bookmarkEnd w:id="119"/>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29909"/>
      <w:bookmarkStart w:id="2" w:name="_Toc15378441"/>
      <w:bookmarkStart w:id="3" w:name="_Toc15396475"/>
      <w:bookmarkStart w:id="4" w:name="_Toc15377425"/>
      <w:bookmarkStart w:id="5" w:name="_Toc15377193"/>
      <w:bookmarkStart w:id="6"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Start w:id="7" w:name="_Toc15377194"/>
      <w:bookmarkStart w:id="8" w:name="_Toc15377426"/>
      <w:bookmarkStart w:id="9" w:name="_Toc15378442"/>
      <w:bookmarkStart w:id="10" w:name="_Toc16180"/>
      <w:bookmarkStart w:id="11" w:name="_Toc15396476"/>
      <w:bookmarkStart w:id="12" w:name="_Toc15396598"/>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四川省</w:t>
      </w:r>
      <w:bookmarkEnd w:id="0"/>
      <w:bookmarkStart w:id="13" w:name="_Toc15306268"/>
      <w:r>
        <w:rPr>
          <w:rFonts w:hint="eastAsia" w:ascii="方正小标宋简体" w:hAnsi="宋体" w:eastAsia="方正小标宋简体"/>
          <w:color w:val="000000"/>
          <w:sz w:val="72"/>
          <w:szCs w:val="72"/>
        </w:rPr>
        <w:t>攀枝花市西区</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档案馆部门决算</w:t>
      </w:r>
      <w:bookmarkEnd w:id="7"/>
      <w:bookmarkEnd w:id="8"/>
      <w:bookmarkEnd w:id="9"/>
      <w:bookmarkEnd w:id="10"/>
      <w:bookmarkEnd w:id="11"/>
      <w:bookmarkEnd w:id="12"/>
      <w:bookmarkEnd w:id="13"/>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3"/>
      </w:pPr>
      <w:r>
        <w:rPr>
          <w:rFonts w:hint="eastAsia"/>
        </w:rPr>
        <w:t>公开时间：2020年11月20日</w:t>
      </w:r>
    </w:p>
    <w:p/>
    <w:sdt>
      <w:sdtPr>
        <w:rPr>
          <w:rFonts w:ascii="宋体" w:hAnsi="宋体"/>
        </w:rPr>
        <w:id w:val="147472755"/>
        <w:docPartObj>
          <w:docPartGallery w:val="Table of Contents"/>
          <w:docPartUnique/>
        </w:docPartObj>
      </w:sdtPr>
      <w:sdtEndPr>
        <w:rPr>
          <w:rFonts w:ascii="宋体" w:hAnsi="宋体"/>
        </w:rPr>
      </w:sdtEndPr>
      <w:sdtContent>
        <w:p>
          <w:pPr>
            <w:jc w:val="center"/>
          </w:pPr>
          <w:r>
            <w:rPr>
              <w:rFonts w:ascii="宋体" w:hAnsi="宋体"/>
            </w:rPr>
            <w:t>目录</w:t>
          </w:r>
        </w:p>
        <w:p>
          <w:pPr>
            <w:pStyle w:val="33"/>
            <w:tabs>
              <w:tab w:val="right" w:leader="dot" w:pos="8306"/>
            </w:tabs>
          </w:pPr>
          <w:r>
            <w:fldChar w:fldCharType="begin"/>
          </w:r>
          <w:r>
            <w:instrText xml:space="preserve">TOC \o "1-3" \h \u </w:instrText>
          </w:r>
          <w:r>
            <w:fldChar w:fldCharType="separate"/>
          </w:r>
          <w:r>
            <w:fldChar w:fldCharType="begin"/>
          </w:r>
          <w:r>
            <w:instrText xml:space="preserve"> HYPERLINK \l "_Toc29909" </w:instrText>
          </w:r>
          <w:r>
            <w:fldChar w:fldCharType="separate"/>
          </w:r>
          <w:r>
            <w:rPr>
              <w:rFonts w:ascii="黑体" w:hAnsi="黑体" w:eastAsia="黑体"/>
              <w:szCs w:val="72"/>
            </w:rPr>
            <w:t>201</w:t>
          </w:r>
          <w:r>
            <w:rPr>
              <w:rFonts w:hint="eastAsia" w:ascii="黑体" w:hAnsi="黑体" w:eastAsia="黑体"/>
              <w:szCs w:val="72"/>
            </w:rPr>
            <w:t>9</w:t>
          </w:r>
          <w:r>
            <w:rPr>
              <w:rFonts w:hint="eastAsia" w:ascii="方正小标宋简体" w:hAnsi="宋体" w:eastAsia="方正小标宋简体"/>
              <w:szCs w:val="72"/>
            </w:rPr>
            <w:t>年度</w:t>
          </w:r>
          <w:r>
            <w:tab/>
          </w:r>
          <w:r>
            <w:fldChar w:fldCharType="begin"/>
          </w:r>
          <w:r>
            <w:instrText xml:space="preserve"> PAGEREF _Toc29909 </w:instrText>
          </w:r>
          <w:r>
            <w:fldChar w:fldCharType="separate"/>
          </w:r>
          <w:r>
            <w:t>1</w:t>
          </w:r>
          <w:r>
            <w:fldChar w:fldCharType="end"/>
          </w:r>
          <w:r>
            <w:fldChar w:fldCharType="end"/>
          </w:r>
        </w:p>
        <w:p>
          <w:pPr>
            <w:pStyle w:val="33"/>
            <w:tabs>
              <w:tab w:val="right" w:leader="dot" w:pos="8306"/>
            </w:tabs>
          </w:pPr>
          <w:r>
            <w:fldChar w:fldCharType="begin"/>
          </w:r>
          <w:r>
            <w:instrText xml:space="preserve"> HYPERLINK \l "_Toc16180" </w:instrText>
          </w:r>
          <w:r>
            <w:fldChar w:fldCharType="separate"/>
          </w:r>
          <w:r>
            <w:rPr>
              <w:rFonts w:hint="eastAsia" w:ascii="方正小标宋简体" w:hAnsi="宋体" w:eastAsia="方正小标宋简体"/>
              <w:szCs w:val="72"/>
            </w:rPr>
            <w:t>四川省攀枝花市西区档案馆部门决算</w:t>
          </w:r>
          <w:r>
            <w:tab/>
          </w:r>
          <w:r>
            <w:fldChar w:fldCharType="begin"/>
          </w:r>
          <w:r>
            <w:instrText xml:space="preserve"> PAGEREF _Toc16180 </w:instrText>
          </w:r>
          <w:r>
            <w:fldChar w:fldCharType="separate"/>
          </w:r>
          <w:r>
            <w:t>1</w:t>
          </w:r>
          <w:r>
            <w:fldChar w:fldCharType="end"/>
          </w:r>
          <w:r>
            <w:fldChar w:fldCharType="end"/>
          </w:r>
        </w:p>
        <w:p>
          <w:pPr>
            <w:pStyle w:val="33"/>
            <w:tabs>
              <w:tab w:val="right" w:leader="dot" w:pos="8306"/>
            </w:tabs>
          </w:pPr>
          <w:r>
            <w:fldChar w:fldCharType="begin"/>
          </w:r>
          <w:r>
            <w:instrText xml:space="preserve"> HYPERLINK \l "_Toc16454" </w:instrText>
          </w:r>
          <w:r>
            <w:fldChar w:fldCharType="separate"/>
          </w:r>
          <w:r>
            <w:rPr>
              <w:rFonts w:hint="eastAsia" w:ascii="黑体" w:hAnsi="黑体" w:eastAsia="黑体"/>
            </w:rPr>
            <w:t>第一部分 部门概况</w:t>
          </w:r>
          <w:r>
            <w:tab/>
          </w:r>
          <w:r>
            <w:fldChar w:fldCharType="begin"/>
          </w:r>
          <w:r>
            <w:instrText xml:space="preserve"> PAGEREF _Toc16454 </w:instrText>
          </w:r>
          <w:r>
            <w:fldChar w:fldCharType="separate"/>
          </w:r>
          <w:r>
            <w:t>4</w:t>
          </w:r>
          <w:r>
            <w:fldChar w:fldCharType="end"/>
          </w:r>
          <w:r>
            <w:fldChar w:fldCharType="end"/>
          </w:r>
        </w:p>
        <w:p>
          <w:pPr>
            <w:pStyle w:val="34"/>
            <w:tabs>
              <w:tab w:val="right" w:leader="dot" w:pos="8306"/>
            </w:tabs>
            <w:ind w:left="420"/>
          </w:pPr>
          <w:r>
            <w:fldChar w:fldCharType="begin"/>
          </w:r>
          <w:r>
            <w:instrText xml:space="preserve"> HYPERLINK \l "_Toc26352" </w:instrText>
          </w:r>
          <w:r>
            <w:fldChar w:fldCharType="separate"/>
          </w:r>
          <w:r>
            <w:rPr>
              <w:rFonts w:hint="eastAsia" w:ascii="黑体" w:hAnsi="黑体" w:eastAsia="黑体"/>
            </w:rPr>
            <w:t>一、基本职能及主要工作</w:t>
          </w:r>
          <w:r>
            <w:tab/>
          </w:r>
          <w:r>
            <w:fldChar w:fldCharType="begin"/>
          </w:r>
          <w:r>
            <w:instrText xml:space="preserve"> PAGEREF _Toc26352 </w:instrText>
          </w:r>
          <w:r>
            <w:fldChar w:fldCharType="separate"/>
          </w:r>
          <w:r>
            <w:t>4</w:t>
          </w:r>
          <w:r>
            <w:fldChar w:fldCharType="end"/>
          </w:r>
          <w:r>
            <w:fldChar w:fldCharType="end"/>
          </w:r>
        </w:p>
        <w:p>
          <w:pPr>
            <w:pStyle w:val="35"/>
            <w:tabs>
              <w:tab w:val="right" w:leader="dot" w:pos="8306"/>
            </w:tabs>
            <w:ind w:left="840"/>
          </w:pPr>
          <w:r>
            <w:fldChar w:fldCharType="begin"/>
          </w:r>
          <w:r>
            <w:instrText xml:space="preserve"> HYPERLINK \l "_Toc22018" </w:instrText>
          </w:r>
          <w:r>
            <w:fldChar w:fldCharType="separate"/>
          </w:r>
          <w:r>
            <w:rPr>
              <w:rFonts w:hint="eastAsia" w:ascii="仿宋" w:hAnsi="仿宋" w:eastAsia="仿宋"/>
              <w:bCs/>
              <w:szCs w:val="32"/>
            </w:rPr>
            <w:t>（一）主要职能。</w:t>
          </w:r>
          <w:r>
            <w:tab/>
          </w:r>
          <w:r>
            <w:fldChar w:fldCharType="begin"/>
          </w:r>
          <w:r>
            <w:instrText xml:space="preserve"> PAGEREF _Toc22018 </w:instrText>
          </w:r>
          <w:r>
            <w:fldChar w:fldCharType="separate"/>
          </w:r>
          <w:r>
            <w:t>4</w:t>
          </w:r>
          <w:r>
            <w:fldChar w:fldCharType="end"/>
          </w:r>
          <w:r>
            <w:fldChar w:fldCharType="end"/>
          </w:r>
        </w:p>
        <w:p>
          <w:pPr>
            <w:pStyle w:val="35"/>
            <w:tabs>
              <w:tab w:val="right" w:leader="dot" w:pos="8306"/>
            </w:tabs>
            <w:ind w:left="840"/>
          </w:pPr>
          <w:r>
            <w:fldChar w:fldCharType="begin"/>
          </w:r>
          <w:r>
            <w:instrText xml:space="preserve"> HYPERLINK \l "_Toc32144" </w:instrText>
          </w:r>
          <w:r>
            <w:fldChar w:fldCharType="separate"/>
          </w:r>
          <w:r>
            <w:rPr>
              <w:rFonts w:hint="eastAsia" w:ascii="仿宋" w:hAnsi="仿宋" w:eastAsia="仿宋"/>
              <w:bCs/>
              <w:szCs w:val="32"/>
            </w:rPr>
            <w:t>（二）</w:t>
          </w:r>
          <w:r>
            <w:rPr>
              <w:rFonts w:ascii="仿宋" w:hAnsi="仿宋" w:eastAsia="仿宋"/>
              <w:bCs/>
              <w:szCs w:val="32"/>
            </w:rPr>
            <w:t>201</w:t>
          </w:r>
          <w:r>
            <w:rPr>
              <w:rFonts w:hint="eastAsia" w:ascii="仿宋" w:hAnsi="仿宋" w:eastAsia="仿宋"/>
              <w:bCs/>
              <w:szCs w:val="32"/>
            </w:rPr>
            <w:t>9年重点工作完成情况。</w:t>
          </w:r>
          <w:r>
            <w:tab/>
          </w:r>
          <w:r>
            <w:fldChar w:fldCharType="begin"/>
          </w:r>
          <w:r>
            <w:instrText xml:space="preserve"> PAGEREF _Toc32144 </w:instrText>
          </w:r>
          <w:r>
            <w:fldChar w:fldCharType="separate"/>
          </w:r>
          <w:r>
            <w:t>4</w:t>
          </w:r>
          <w:r>
            <w:fldChar w:fldCharType="end"/>
          </w:r>
          <w:r>
            <w:fldChar w:fldCharType="end"/>
          </w:r>
        </w:p>
        <w:p>
          <w:pPr>
            <w:pStyle w:val="34"/>
            <w:tabs>
              <w:tab w:val="right" w:leader="dot" w:pos="8306"/>
            </w:tabs>
            <w:ind w:left="420"/>
          </w:pPr>
          <w:r>
            <w:fldChar w:fldCharType="begin"/>
          </w:r>
          <w:r>
            <w:instrText xml:space="preserve"> HYPERLINK \l "_Toc3786" </w:instrText>
          </w:r>
          <w:r>
            <w:fldChar w:fldCharType="separate"/>
          </w:r>
          <w:r>
            <w:rPr>
              <w:rFonts w:hint="eastAsia" w:ascii="黑体" w:eastAsia="黑体"/>
            </w:rPr>
            <w:t>二、</w:t>
          </w:r>
          <w:r>
            <w:rPr>
              <w:rFonts w:hint="eastAsia" w:ascii="黑体" w:hAnsi="黑体" w:eastAsia="黑体"/>
            </w:rPr>
            <w:t>机构设置</w:t>
          </w:r>
          <w:r>
            <w:tab/>
          </w:r>
          <w:r>
            <w:fldChar w:fldCharType="begin"/>
          </w:r>
          <w:r>
            <w:instrText xml:space="preserve"> PAGEREF _Toc3786 </w:instrText>
          </w:r>
          <w:r>
            <w:fldChar w:fldCharType="separate"/>
          </w:r>
          <w:r>
            <w:t>5</w:t>
          </w:r>
          <w:r>
            <w:fldChar w:fldCharType="end"/>
          </w:r>
          <w:r>
            <w:fldChar w:fldCharType="end"/>
          </w:r>
        </w:p>
        <w:p>
          <w:pPr>
            <w:pStyle w:val="33"/>
            <w:tabs>
              <w:tab w:val="right" w:leader="dot" w:pos="8306"/>
            </w:tabs>
          </w:pPr>
          <w:r>
            <w:fldChar w:fldCharType="begin"/>
          </w:r>
          <w:r>
            <w:instrText xml:space="preserve"> HYPERLINK \l "_Toc20701" </w:instrText>
          </w:r>
          <w:r>
            <w:fldChar w:fldCharType="separate"/>
          </w:r>
          <w:r>
            <w:rPr>
              <w:rFonts w:hint="eastAsia" w:ascii="黑体" w:hAnsi="黑体" w:eastAsia="黑体"/>
            </w:rPr>
            <w:t>第二部分 2019年度部门决算情况说明</w:t>
          </w:r>
          <w:r>
            <w:tab/>
          </w:r>
          <w:r>
            <w:fldChar w:fldCharType="begin"/>
          </w:r>
          <w:r>
            <w:instrText xml:space="preserve"> PAGEREF _Toc20701 </w:instrText>
          </w:r>
          <w:r>
            <w:fldChar w:fldCharType="separate"/>
          </w:r>
          <w:r>
            <w:t>6</w:t>
          </w:r>
          <w:r>
            <w:fldChar w:fldCharType="end"/>
          </w:r>
          <w:r>
            <w:fldChar w:fldCharType="end"/>
          </w:r>
        </w:p>
        <w:p>
          <w:pPr>
            <w:pStyle w:val="34"/>
            <w:tabs>
              <w:tab w:val="right" w:leader="dot" w:pos="8306"/>
            </w:tabs>
            <w:ind w:left="420"/>
          </w:pPr>
          <w:r>
            <w:fldChar w:fldCharType="begin"/>
          </w:r>
          <w:r>
            <w:instrText xml:space="preserve"> HYPERLINK \l "_Toc16653"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_Toc16653 </w:instrText>
          </w:r>
          <w:r>
            <w:fldChar w:fldCharType="separate"/>
          </w:r>
          <w:r>
            <w:t>6</w:t>
          </w:r>
          <w:r>
            <w:fldChar w:fldCharType="end"/>
          </w:r>
          <w:r>
            <w:fldChar w:fldCharType="end"/>
          </w:r>
        </w:p>
        <w:p>
          <w:pPr>
            <w:pStyle w:val="34"/>
            <w:tabs>
              <w:tab w:val="right" w:leader="dot" w:pos="8306"/>
            </w:tabs>
            <w:ind w:left="420"/>
          </w:pPr>
          <w:r>
            <w:fldChar w:fldCharType="begin"/>
          </w:r>
          <w:r>
            <w:instrText xml:space="preserve"> HYPERLINK \l "_Toc17969"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_Toc17969 </w:instrText>
          </w:r>
          <w:r>
            <w:fldChar w:fldCharType="separate"/>
          </w:r>
          <w:r>
            <w:t>7</w:t>
          </w:r>
          <w:r>
            <w:fldChar w:fldCharType="end"/>
          </w:r>
          <w:r>
            <w:fldChar w:fldCharType="end"/>
          </w:r>
        </w:p>
        <w:p>
          <w:pPr>
            <w:pStyle w:val="34"/>
            <w:tabs>
              <w:tab w:val="right" w:leader="dot" w:pos="8306"/>
            </w:tabs>
            <w:ind w:left="420"/>
          </w:pPr>
          <w:r>
            <w:fldChar w:fldCharType="begin"/>
          </w:r>
          <w:r>
            <w:instrText xml:space="preserve"> HYPERLINK \l "_Toc270"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_Toc270 </w:instrText>
          </w:r>
          <w:r>
            <w:fldChar w:fldCharType="separate"/>
          </w:r>
          <w:r>
            <w:t>7</w:t>
          </w:r>
          <w:r>
            <w:fldChar w:fldCharType="end"/>
          </w:r>
          <w:r>
            <w:fldChar w:fldCharType="end"/>
          </w:r>
        </w:p>
        <w:p>
          <w:pPr>
            <w:pStyle w:val="34"/>
            <w:tabs>
              <w:tab w:val="right" w:leader="dot" w:pos="8306"/>
            </w:tabs>
            <w:ind w:left="420"/>
          </w:pPr>
          <w:r>
            <w:fldChar w:fldCharType="begin"/>
          </w:r>
          <w:r>
            <w:instrText xml:space="preserve"> HYPERLINK \l "_Toc3984"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_Toc3984 </w:instrText>
          </w:r>
          <w:r>
            <w:fldChar w:fldCharType="separate"/>
          </w:r>
          <w:r>
            <w:t>8</w:t>
          </w:r>
          <w:r>
            <w:fldChar w:fldCharType="end"/>
          </w:r>
          <w:r>
            <w:fldChar w:fldCharType="end"/>
          </w:r>
        </w:p>
        <w:p>
          <w:pPr>
            <w:pStyle w:val="34"/>
            <w:tabs>
              <w:tab w:val="right" w:leader="dot" w:pos="8306"/>
            </w:tabs>
            <w:ind w:left="420"/>
          </w:pPr>
          <w:r>
            <w:fldChar w:fldCharType="begin"/>
          </w:r>
          <w:r>
            <w:instrText xml:space="preserve"> HYPERLINK \l "_Toc15904"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_Toc15904 </w:instrText>
          </w:r>
          <w:r>
            <w:fldChar w:fldCharType="separate"/>
          </w:r>
          <w:r>
            <w:t>9</w:t>
          </w:r>
          <w:r>
            <w:fldChar w:fldCharType="end"/>
          </w:r>
          <w:r>
            <w:fldChar w:fldCharType="end"/>
          </w:r>
        </w:p>
        <w:p>
          <w:pPr>
            <w:pStyle w:val="35"/>
            <w:tabs>
              <w:tab w:val="right" w:leader="dot" w:pos="8306"/>
            </w:tabs>
            <w:ind w:left="840"/>
          </w:pPr>
          <w:r>
            <w:fldChar w:fldCharType="begin"/>
          </w:r>
          <w:r>
            <w:instrText xml:space="preserve"> HYPERLINK \l "_Toc21338"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_Toc21338 </w:instrText>
          </w:r>
          <w:r>
            <w:fldChar w:fldCharType="separate"/>
          </w:r>
          <w:r>
            <w:t>9</w:t>
          </w:r>
          <w:r>
            <w:fldChar w:fldCharType="end"/>
          </w:r>
          <w:r>
            <w:fldChar w:fldCharType="end"/>
          </w:r>
        </w:p>
        <w:p>
          <w:pPr>
            <w:pStyle w:val="35"/>
            <w:tabs>
              <w:tab w:val="right" w:leader="dot" w:pos="8306"/>
            </w:tabs>
            <w:ind w:left="840"/>
          </w:pPr>
          <w:r>
            <w:fldChar w:fldCharType="begin"/>
          </w:r>
          <w:r>
            <w:instrText xml:space="preserve"> HYPERLINK \l "_Toc18079"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_Toc18079 </w:instrText>
          </w:r>
          <w:r>
            <w:fldChar w:fldCharType="separate"/>
          </w:r>
          <w:r>
            <w:t>9</w:t>
          </w:r>
          <w:r>
            <w:fldChar w:fldCharType="end"/>
          </w:r>
          <w:r>
            <w:fldChar w:fldCharType="end"/>
          </w:r>
        </w:p>
        <w:p>
          <w:pPr>
            <w:pStyle w:val="35"/>
            <w:tabs>
              <w:tab w:val="right" w:leader="dot" w:pos="8306"/>
            </w:tabs>
            <w:ind w:left="840"/>
          </w:pPr>
          <w:r>
            <w:fldChar w:fldCharType="begin"/>
          </w:r>
          <w:r>
            <w:instrText xml:space="preserve"> HYPERLINK \l "_Toc21221"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_Toc21221 </w:instrText>
          </w:r>
          <w:r>
            <w:fldChar w:fldCharType="separate"/>
          </w:r>
          <w:r>
            <w:t>10</w:t>
          </w:r>
          <w:r>
            <w:fldChar w:fldCharType="end"/>
          </w:r>
          <w:r>
            <w:fldChar w:fldCharType="end"/>
          </w:r>
        </w:p>
        <w:p>
          <w:pPr>
            <w:pStyle w:val="34"/>
            <w:tabs>
              <w:tab w:val="right" w:leader="dot" w:pos="8306"/>
            </w:tabs>
            <w:ind w:left="420"/>
          </w:pPr>
          <w:r>
            <w:fldChar w:fldCharType="begin"/>
          </w:r>
          <w:r>
            <w:instrText xml:space="preserve"> HYPERLINK \l "_Toc15972"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_Toc15972 </w:instrText>
          </w:r>
          <w:r>
            <w:fldChar w:fldCharType="separate"/>
          </w:r>
          <w:r>
            <w:t>11</w:t>
          </w:r>
          <w:r>
            <w:fldChar w:fldCharType="end"/>
          </w:r>
          <w:r>
            <w:fldChar w:fldCharType="end"/>
          </w:r>
        </w:p>
        <w:p>
          <w:pPr>
            <w:pStyle w:val="34"/>
            <w:tabs>
              <w:tab w:val="right" w:leader="dot" w:pos="8306"/>
            </w:tabs>
            <w:ind w:left="420"/>
          </w:pPr>
          <w:r>
            <w:fldChar w:fldCharType="begin"/>
          </w:r>
          <w:r>
            <w:instrText xml:space="preserve"> HYPERLINK \l "_Toc20947"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_Toc20947 </w:instrText>
          </w:r>
          <w:r>
            <w:fldChar w:fldCharType="separate"/>
          </w:r>
          <w:r>
            <w:t>12</w:t>
          </w:r>
          <w:r>
            <w:fldChar w:fldCharType="end"/>
          </w:r>
          <w:r>
            <w:fldChar w:fldCharType="end"/>
          </w:r>
        </w:p>
        <w:p>
          <w:pPr>
            <w:pStyle w:val="35"/>
            <w:tabs>
              <w:tab w:val="right" w:leader="dot" w:pos="8306"/>
            </w:tabs>
            <w:ind w:left="840"/>
          </w:pPr>
          <w:r>
            <w:fldChar w:fldCharType="begin"/>
          </w:r>
          <w:r>
            <w:instrText xml:space="preserve"> HYPERLINK \l "_Toc3216"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_Toc3216 </w:instrText>
          </w:r>
          <w:r>
            <w:fldChar w:fldCharType="separate"/>
          </w:r>
          <w:r>
            <w:t>12</w:t>
          </w:r>
          <w:r>
            <w:fldChar w:fldCharType="end"/>
          </w:r>
          <w:r>
            <w:fldChar w:fldCharType="end"/>
          </w:r>
        </w:p>
        <w:p>
          <w:pPr>
            <w:pStyle w:val="35"/>
            <w:tabs>
              <w:tab w:val="right" w:leader="dot" w:pos="8306"/>
            </w:tabs>
            <w:ind w:left="840"/>
          </w:pPr>
          <w:r>
            <w:fldChar w:fldCharType="begin"/>
          </w:r>
          <w:r>
            <w:instrText xml:space="preserve"> HYPERLINK \l "_Toc16233"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_Toc16233 </w:instrText>
          </w:r>
          <w:r>
            <w:fldChar w:fldCharType="separate"/>
          </w:r>
          <w:r>
            <w:t>12</w:t>
          </w:r>
          <w:r>
            <w:fldChar w:fldCharType="end"/>
          </w:r>
          <w:r>
            <w:fldChar w:fldCharType="end"/>
          </w:r>
        </w:p>
        <w:p>
          <w:pPr>
            <w:pStyle w:val="34"/>
            <w:tabs>
              <w:tab w:val="right" w:leader="dot" w:pos="8306"/>
            </w:tabs>
            <w:ind w:left="420"/>
          </w:pPr>
          <w:r>
            <w:fldChar w:fldCharType="begin"/>
          </w:r>
          <w:r>
            <w:instrText xml:space="preserve"> HYPERLINK \l "_Toc30496"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_Toc30496 </w:instrText>
          </w:r>
          <w:r>
            <w:fldChar w:fldCharType="separate"/>
          </w:r>
          <w:r>
            <w:t>13</w:t>
          </w:r>
          <w:r>
            <w:fldChar w:fldCharType="end"/>
          </w:r>
          <w:r>
            <w:fldChar w:fldCharType="end"/>
          </w:r>
        </w:p>
        <w:p>
          <w:pPr>
            <w:pStyle w:val="34"/>
            <w:tabs>
              <w:tab w:val="right" w:leader="dot" w:pos="8306"/>
            </w:tabs>
            <w:ind w:left="420"/>
          </w:pPr>
          <w:r>
            <w:fldChar w:fldCharType="begin"/>
          </w:r>
          <w:r>
            <w:instrText xml:space="preserve"> HYPERLINK \l "_Toc13033" </w:instrText>
          </w:r>
          <w:r>
            <w:fldChar w:fldCharType="separate"/>
          </w:r>
          <w:r>
            <w:rPr>
              <w:rFonts w:hint="eastAsia" w:ascii="黑体" w:hAnsi="黑体" w:eastAsia="黑体"/>
            </w:rPr>
            <w:t>九、 国有资本经营预算支出决算情况说明</w:t>
          </w:r>
          <w:r>
            <w:tab/>
          </w:r>
          <w:r>
            <w:fldChar w:fldCharType="begin"/>
          </w:r>
          <w:r>
            <w:instrText xml:space="preserve"> PAGEREF _Toc13033 </w:instrText>
          </w:r>
          <w:r>
            <w:fldChar w:fldCharType="separate"/>
          </w:r>
          <w:r>
            <w:t>14</w:t>
          </w:r>
          <w:r>
            <w:fldChar w:fldCharType="end"/>
          </w:r>
          <w:r>
            <w:fldChar w:fldCharType="end"/>
          </w:r>
        </w:p>
        <w:p>
          <w:pPr>
            <w:pStyle w:val="34"/>
            <w:tabs>
              <w:tab w:val="right" w:leader="dot" w:pos="8306"/>
            </w:tabs>
            <w:ind w:left="420"/>
          </w:pPr>
          <w:r>
            <w:fldChar w:fldCharType="begin"/>
          </w:r>
          <w:r>
            <w:instrText xml:space="preserve"> HYPERLINK \l "_Toc7096"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_Toc7096 </w:instrText>
          </w:r>
          <w:r>
            <w:fldChar w:fldCharType="separate"/>
          </w:r>
          <w:r>
            <w:t>14</w:t>
          </w:r>
          <w:r>
            <w:fldChar w:fldCharType="end"/>
          </w:r>
          <w:r>
            <w:fldChar w:fldCharType="end"/>
          </w:r>
        </w:p>
        <w:p>
          <w:pPr>
            <w:pStyle w:val="35"/>
            <w:tabs>
              <w:tab w:val="right" w:leader="dot" w:pos="8306"/>
            </w:tabs>
            <w:ind w:left="840"/>
          </w:pPr>
          <w:r>
            <w:fldChar w:fldCharType="begin"/>
          </w:r>
          <w:r>
            <w:instrText xml:space="preserve"> HYPERLINK \l "_Toc32250" </w:instrText>
          </w:r>
          <w:r>
            <w:fldChar w:fldCharType="separate"/>
          </w:r>
          <w:r>
            <w:rPr>
              <w:rFonts w:hint="eastAsia" w:ascii="仿宋" w:hAnsi="仿宋" w:eastAsia="仿宋"/>
              <w:szCs w:val="32"/>
            </w:rPr>
            <w:t>（一）机关运行经费支出情况</w:t>
          </w:r>
          <w:r>
            <w:tab/>
          </w:r>
          <w:r>
            <w:fldChar w:fldCharType="begin"/>
          </w:r>
          <w:r>
            <w:instrText xml:space="preserve"> PAGEREF _Toc32250 </w:instrText>
          </w:r>
          <w:r>
            <w:fldChar w:fldCharType="separate"/>
          </w:r>
          <w:r>
            <w:t>14</w:t>
          </w:r>
          <w:r>
            <w:fldChar w:fldCharType="end"/>
          </w:r>
          <w:r>
            <w:fldChar w:fldCharType="end"/>
          </w:r>
        </w:p>
        <w:p>
          <w:pPr>
            <w:pStyle w:val="35"/>
            <w:tabs>
              <w:tab w:val="right" w:leader="dot" w:pos="8306"/>
            </w:tabs>
            <w:ind w:left="840"/>
          </w:pPr>
          <w:r>
            <w:fldChar w:fldCharType="begin"/>
          </w:r>
          <w:r>
            <w:instrText xml:space="preserve"> HYPERLINK \l "_Toc28050" </w:instrText>
          </w:r>
          <w:r>
            <w:fldChar w:fldCharType="separate"/>
          </w:r>
          <w:r>
            <w:rPr>
              <w:rFonts w:hint="eastAsia" w:ascii="仿宋" w:hAnsi="仿宋" w:eastAsia="仿宋"/>
              <w:szCs w:val="32"/>
            </w:rPr>
            <w:t>（二）政府采购支出情况</w:t>
          </w:r>
          <w:r>
            <w:tab/>
          </w:r>
          <w:r>
            <w:fldChar w:fldCharType="begin"/>
          </w:r>
          <w:r>
            <w:instrText xml:space="preserve"> PAGEREF _Toc28050 </w:instrText>
          </w:r>
          <w:r>
            <w:fldChar w:fldCharType="separate"/>
          </w:r>
          <w:r>
            <w:t>14</w:t>
          </w:r>
          <w:r>
            <w:fldChar w:fldCharType="end"/>
          </w:r>
          <w:r>
            <w:fldChar w:fldCharType="end"/>
          </w:r>
        </w:p>
        <w:p>
          <w:pPr>
            <w:pStyle w:val="35"/>
            <w:tabs>
              <w:tab w:val="right" w:leader="dot" w:pos="8306"/>
            </w:tabs>
            <w:ind w:left="840"/>
          </w:pPr>
          <w:r>
            <w:fldChar w:fldCharType="begin"/>
          </w:r>
          <w:r>
            <w:instrText xml:space="preserve"> HYPERLINK \l "_Toc22110" </w:instrText>
          </w:r>
          <w:r>
            <w:fldChar w:fldCharType="separate"/>
          </w:r>
          <w:r>
            <w:rPr>
              <w:rFonts w:hint="eastAsia" w:ascii="仿宋" w:hAnsi="仿宋" w:eastAsia="仿宋"/>
              <w:szCs w:val="32"/>
            </w:rPr>
            <w:t>（三）国有资产占有使用情况</w:t>
          </w:r>
          <w:r>
            <w:tab/>
          </w:r>
          <w:r>
            <w:fldChar w:fldCharType="begin"/>
          </w:r>
          <w:r>
            <w:instrText xml:space="preserve"> PAGEREF _Toc22110 </w:instrText>
          </w:r>
          <w:r>
            <w:fldChar w:fldCharType="separate"/>
          </w:r>
          <w:r>
            <w:t>14</w:t>
          </w:r>
          <w:r>
            <w:fldChar w:fldCharType="end"/>
          </w:r>
          <w:r>
            <w:fldChar w:fldCharType="end"/>
          </w:r>
        </w:p>
        <w:p>
          <w:pPr>
            <w:pStyle w:val="35"/>
            <w:tabs>
              <w:tab w:val="right" w:leader="dot" w:pos="8306"/>
            </w:tabs>
            <w:ind w:left="840"/>
          </w:pPr>
          <w:r>
            <w:fldChar w:fldCharType="begin"/>
          </w:r>
          <w:r>
            <w:instrText xml:space="preserve"> HYPERLINK \l "_Toc17714" </w:instrText>
          </w:r>
          <w:r>
            <w:fldChar w:fldCharType="separate"/>
          </w:r>
          <w:r>
            <w:rPr>
              <w:rFonts w:hint="eastAsia" w:ascii="仿宋" w:hAnsi="仿宋" w:eastAsia="仿宋"/>
              <w:szCs w:val="32"/>
            </w:rPr>
            <w:t>（四）预算绩效管理情况。</w:t>
          </w:r>
          <w:r>
            <w:tab/>
          </w:r>
          <w:r>
            <w:fldChar w:fldCharType="begin"/>
          </w:r>
          <w:r>
            <w:instrText xml:space="preserve"> PAGEREF _Toc17714 </w:instrText>
          </w:r>
          <w:r>
            <w:fldChar w:fldCharType="separate"/>
          </w:r>
          <w:r>
            <w:t>14</w:t>
          </w:r>
          <w:r>
            <w:fldChar w:fldCharType="end"/>
          </w:r>
          <w:r>
            <w:fldChar w:fldCharType="end"/>
          </w:r>
        </w:p>
        <w:p>
          <w:pPr>
            <w:pStyle w:val="33"/>
            <w:tabs>
              <w:tab w:val="right" w:leader="dot" w:pos="8306"/>
            </w:tabs>
          </w:pPr>
          <w:r>
            <w:fldChar w:fldCharType="begin"/>
          </w:r>
          <w:r>
            <w:instrText xml:space="preserve"> HYPERLINK \l "_Toc19778"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_Toc19778 </w:instrText>
          </w:r>
          <w:r>
            <w:fldChar w:fldCharType="separate"/>
          </w:r>
          <w:r>
            <w:t>17</w:t>
          </w:r>
          <w:r>
            <w:fldChar w:fldCharType="end"/>
          </w:r>
          <w:r>
            <w:fldChar w:fldCharType="end"/>
          </w:r>
        </w:p>
        <w:p>
          <w:pPr>
            <w:pStyle w:val="33"/>
            <w:tabs>
              <w:tab w:val="right" w:leader="dot" w:pos="8306"/>
            </w:tabs>
          </w:pPr>
          <w:r>
            <w:fldChar w:fldCharType="begin"/>
          </w:r>
          <w:r>
            <w:instrText xml:space="preserve"> HYPERLINK \l "_Toc1753"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_Toc1753 </w:instrText>
          </w:r>
          <w:r>
            <w:fldChar w:fldCharType="separate"/>
          </w:r>
          <w:r>
            <w:t>22</w:t>
          </w:r>
          <w:r>
            <w:fldChar w:fldCharType="end"/>
          </w:r>
          <w:r>
            <w:fldChar w:fldCharType="end"/>
          </w:r>
        </w:p>
        <w:p>
          <w:pPr>
            <w:pStyle w:val="33"/>
            <w:tabs>
              <w:tab w:val="right" w:leader="dot" w:pos="8306"/>
            </w:tabs>
          </w:pPr>
          <w:r>
            <w:fldChar w:fldCharType="begin"/>
          </w:r>
          <w:r>
            <w:instrText xml:space="preserve"> HYPERLINK \l "_Toc13931" </w:instrText>
          </w:r>
          <w:r>
            <w:fldChar w:fldCharType="separate"/>
          </w:r>
          <w:r>
            <w:rPr>
              <w:rFonts w:hint="eastAsia" w:ascii="黑体" w:hAnsi="黑体" w:eastAsia="黑体" w:cs="黑体"/>
              <w:szCs w:val="32"/>
            </w:rPr>
            <w:t>附件1</w:t>
          </w:r>
          <w:r>
            <w:tab/>
          </w:r>
          <w:r>
            <w:fldChar w:fldCharType="begin"/>
          </w:r>
          <w:r>
            <w:instrText xml:space="preserve"> PAGEREF _Toc13931 </w:instrText>
          </w:r>
          <w:r>
            <w:fldChar w:fldCharType="separate"/>
          </w:r>
          <w:r>
            <w:t>22</w:t>
          </w:r>
          <w:r>
            <w:fldChar w:fldCharType="end"/>
          </w:r>
          <w:r>
            <w:fldChar w:fldCharType="end"/>
          </w:r>
        </w:p>
        <w:p>
          <w:pPr>
            <w:pStyle w:val="33"/>
            <w:tabs>
              <w:tab w:val="right" w:leader="dot" w:pos="8306"/>
            </w:tabs>
            <w:rPr>
              <w:rFonts w:ascii="黑体" w:hAnsi="黑体" w:cs="黑体"/>
            </w:rPr>
          </w:pPr>
          <w:r>
            <w:rPr>
              <w:rFonts w:hint="eastAsia" w:ascii="黑体" w:hAnsi="黑体" w:eastAsia="黑体" w:cs="黑体"/>
            </w:rPr>
            <w:t>附件2</w:t>
          </w:r>
          <w:r>
            <w:tab/>
          </w:r>
          <w:r>
            <w:rPr>
              <w:rFonts w:hint="eastAsia"/>
            </w:rPr>
            <w:t>32</w:t>
          </w:r>
        </w:p>
        <w:p>
          <w:pPr>
            <w:pStyle w:val="33"/>
            <w:tabs>
              <w:tab w:val="right" w:leader="dot" w:pos="8306"/>
            </w:tabs>
          </w:pPr>
          <w:r>
            <w:fldChar w:fldCharType="begin"/>
          </w:r>
          <w:r>
            <w:instrText xml:space="preserve"> HYPERLINK \l "_Toc23972"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_Toc23972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"_Toc9567" </w:instrText>
          </w:r>
          <w:r>
            <w:fldChar w:fldCharType="separate"/>
          </w:r>
          <w:r>
            <w:rPr>
              <w:rFonts w:hint="eastAsia" w:ascii="仿宋" w:hAnsi="仿宋" w:eastAsia="仿宋"/>
            </w:rPr>
            <w:t>一、收入支出决算总表</w:t>
          </w:r>
          <w:r>
            <w:tab/>
          </w:r>
          <w:r>
            <w:fldChar w:fldCharType="begin"/>
          </w:r>
          <w:r>
            <w:instrText xml:space="preserve"> PAGEREF _Toc9567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"_Toc14445" </w:instrText>
          </w:r>
          <w:r>
            <w:fldChar w:fldCharType="separate"/>
          </w:r>
          <w:r>
            <w:rPr>
              <w:rFonts w:hint="eastAsia" w:ascii="仿宋" w:hAnsi="仿宋" w:eastAsia="仿宋"/>
            </w:rPr>
            <w:t>二、收入决算表</w:t>
          </w:r>
          <w:r>
            <w:tab/>
          </w:r>
          <w:r>
            <w:fldChar w:fldCharType="begin"/>
          </w:r>
          <w:r>
            <w:instrText xml:space="preserve"> PAGEREF _Toc14445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"_Toc6455" </w:instrText>
          </w:r>
          <w:r>
            <w:fldChar w:fldCharType="separate"/>
          </w:r>
          <w:r>
            <w:rPr>
              <w:rFonts w:hint="eastAsia" w:ascii="仿宋" w:hAnsi="仿宋" w:eastAsia="仿宋"/>
            </w:rPr>
            <w:t>三、支出决算表</w:t>
          </w:r>
          <w:r>
            <w:tab/>
          </w:r>
          <w:r>
            <w:fldChar w:fldCharType="begin"/>
          </w:r>
          <w:r>
            <w:instrText xml:space="preserve"> PAGEREF _Toc6455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"_Toc24298" </w:instrText>
          </w:r>
          <w:r>
            <w:fldChar w:fldCharType="separate"/>
          </w:r>
          <w:r>
            <w:rPr>
              <w:rFonts w:hint="eastAsia" w:ascii="仿宋" w:hAnsi="仿宋" w:eastAsia="仿宋"/>
            </w:rPr>
            <w:t>四、财政拨款收入支出决算总表</w:t>
          </w:r>
          <w:r>
            <w:tab/>
          </w:r>
          <w:r>
            <w:fldChar w:fldCharType="begin"/>
          </w:r>
          <w:r>
            <w:instrText xml:space="preserve"> PAGEREF _Toc24298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"_Toc29644" </w:instrText>
          </w:r>
          <w:r>
            <w:fldChar w:fldCharType="separate"/>
          </w:r>
          <w:r>
            <w:rPr>
              <w:rFonts w:hint="eastAsia" w:ascii="仿宋" w:hAnsi="仿宋" w:eastAsia="仿宋"/>
            </w:rPr>
            <w:t>五、财政拨款支出决算明细表</w:t>
          </w:r>
          <w:r>
            <w:tab/>
          </w:r>
          <w:r>
            <w:fldChar w:fldCharType="begin"/>
          </w:r>
          <w:r>
            <w:instrText xml:space="preserve"> PAGEREF _Toc29644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"_Toc26789" </w:instrText>
          </w:r>
          <w:r>
            <w:fldChar w:fldCharType="separate"/>
          </w:r>
          <w:r>
            <w:rPr>
              <w:rFonts w:hint="eastAsia" w:ascii="仿宋" w:hAnsi="仿宋" w:eastAsia="仿宋"/>
            </w:rPr>
            <w:t>六、一般公共预算财政拨款支出决算表</w:t>
          </w:r>
          <w:r>
            <w:tab/>
          </w:r>
          <w:r>
            <w:fldChar w:fldCharType="begin"/>
          </w:r>
          <w:r>
            <w:instrText xml:space="preserve"> PAGEREF _Toc26789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"_Toc32588" </w:instrText>
          </w:r>
          <w:r>
            <w:fldChar w:fldCharType="separate"/>
          </w:r>
          <w:r>
            <w:rPr>
              <w:rFonts w:hint="eastAsia" w:ascii="仿宋" w:hAnsi="仿宋" w:eastAsia="仿宋"/>
            </w:rPr>
            <w:t>七、一般公共预算财政拨款支出决算明细表</w:t>
          </w:r>
          <w:r>
            <w:tab/>
          </w:r>
          <w:r>
            <w:fldChar w:fldCharType="begin"/>
          </w:r>
          <w:r>
            <w:instrText xml:space="preserve"> PAGEREF _Toc32588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"_Toc27832" </w:instrText>
          </w:r>
          <w:r>
            <w:fldChar w:fldCharType="separate"/>
          </w:r>
          <w:r>
            <w:rPr>
              <w:rFonts w:hint="eastAsia" w:ascii="仿宋" w:hAnsi="仿宋" w:eastAsia="仿宋"/>
            </w:rPr>
            <w:t>八、一般公共预算财政拨款基本支出决算表</w:t>
          </w:r>
          <w:r>
            <w:tab/>
          </w:r>
          <w:r>
            <w:fldChar w:fldCharType="begin"/>
          </w:r>
          <w:r>
            <w:instrText xml:space="preserve"> PAGEREF _Toc27832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"_Toc7550" </w:instrText>
          </w:r>
          <w:r>
            <w:fldChar w:fldCharType="separate"/>
          </w:r>
          <w:r>
            <w:rPr>
              <w:rFonts w:hint="eastAsia" w:ascii="仿宋" w:hAnsi="仿宋" w:eastAsia="仿宋"/>
            </w:rPr>
            <w:t>九、一般公共预算财政拨款项目支出决算表</w:t>
          </w:r>
          <w:r>
            <w:tab/>
          </w:r>
          <w:r>
            <w:fldChar w:fldCharType="begin"/>
          </w:r>
          <w:r>
            <w:instrText xml:space="preserve"> PAGEREF _Toc7550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"_Toc14460" </w:instrText>
          </w:r>
          <w:r>
            <w:fldChar w:fldCharType="separate"/>
          </w:r>
          <w:r>
            <w:rPr>
              <w:rFonts w:hint="eastAsia" w:ascii="仿宋" w:hAnsi="仿宋" w:eastAsia="仿宋"/>
            </w:rPr>
            <w:t>十、一般公共预算财政拨款“三公”经费支出决算表</w:t>
          </w:r>
          <w:r>
            <w:tab/>
          </w:r>
          <w:r>
            <w:fldChar w:fldCharType="begin"/>
          </w:r>
          <w:r>
            <w:instrText xml:space="preserve"> PAGEREF _Toc14460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"_Toc22087" </w:instrText>
          </w:r>
          <w:r>
            <w:fldChar w:fldCharType="separate"/>
          </w:r>
          <w:r>
            <w:rPr>
              <w:rFonts w:hint="eastAsia" w:ascii="仿宋" w:hAnsi="仿宋" w:eastAsia="仿宋"/>
            </w:rPr>
            <w:t>十一、政府性基金预算财政拨款收入支出决算表</w:t>
          </w:r>
          <w:r>
            <w:tab/>
          </w:r>
          <w:r>
            <w:fldChar w:fldCharType="begin"/>
          </w:r>
          <w:r>
            <w:instrText xml:space="preserve"> PAGEREF _Toc22087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"_Toc3201" </w:instrText>
          </w:r>
          <w:r>
            <w:fldChar w:fldCharType="separate"/>
          </w:r>
          <w:r>
            <w:rPr>
              <w:rFonts w:hint="eastAsia" w:ascii="仿宋" w:hAnsi="仿宋" w:eastAsia="仿宋"/>
            </w:rPr>
            <w:t>十二、政府性基金预算财政拨款“三公”经费支出决算表</w:t>
          </w:r>
          <w:r>
            <w:tab/>
          </w:r>
          <w:r>
            <w:fldChar w:fldCharType="begin"/>
          </w:r>
          <w:r>
            <w:instrText xml:space="preserve"> PAGEREF _Toc3201 </w:instrText>
          </w:r>
          <w:r>
            <w:fldChar w:fldCharType="separate"/>
          </w:r>
          <w:r>
            <w:t>30</w:t>
          </w:r>
          <w:r>
            <w:fldChar w:fldCharType="end"/>
          </w:r>
          <w:r>
            <w:fldChar w:fldCharType="end"/>
          </w:r>
        </w:p>
        <w:p>
          <w:pPr>
            <w:pStyle w:val="34"/>
            <w:tabs>
              <w:tab w:val="right" w:leader="dot" w:pos="8306"/>
            </w:tabs>
            <w:ind w:left="420"/>
          </w:pPr>
          <w:r>
            <w:fldChar w:fldCharType="begin"/>
          </w:r>
          <w:r>
            <w:instrText xml:space="preserve"> HYPERLINK \l "_Toc26412" </w:instrText>
          </w:r>
          <w:r>
            <w:fldChar w:fldCharType="separate"/>
          </w:r>
          <w:r>
            <w:rPr>
              <w:rFonts w:hint="eastAsia" w:ascii="仿宋" w:hAnsi="仿宋" w:eastAsia="仿宋"/>
            </w:rPr>
            <w:t>十三、国有资本经营预算支出决算表</w:t>
          </w:r>
          <w:r>
            <w:tab/>
          </w:r>
          <w:r>
            <w:fldChar w:fldCharType="begin"/>
          </w:r>
          <w:r>
            <w:instrText xml:space="preserve"> PAGEREF _Toc26412 </w:instrText>
          </w:r>
          <w:r>
            <w:fldChar w:fldCharType="separate"/>
          </w:r>
          <w:r>
            <w:t>30</w:t>
          </w:r>
          <w:r>
            <w:fldChar w:fldCharType="end"/>
          </w:r>
          <w:r>
            <w:fldChar w:fldCharType="end"/>
          </w:r>
        </w:p>
        <w:p>
          <w:r>
            <w:fldChar w:fldCharType="end"/>
          </w:r>
        </w:p>
      </w:sdtContent>
    </w:sdt>
    <w:p>
      <w:pPr>
        <w:widowControl/>
        <w:spacing w:line="440" w:lineRule="exact"/>
        <w:jc w:val="left"/>
        <w:rPr>
          <w:rFonts w:ascii="仿宋" w:hAnsi="仿宋" w:eastAsia="仿宋"/>
          <w:bCs/>
          <w:kern w:val="44"/>
          <w:sz w:val="24"/>
        </w:rPr>
      </w:pPr>
      <w:bookmarkStart w:id="14" w:name="_Toc15377196"/>
      <w:bookmarkStart w:id="15" w:name="_Toc15396599"/>
      <w:r>
        <w:rPr>
          <w:rFonts w:ascii="仿宋" w:hAnsi="仿宋" w:eastAsia="仿宋"/>
          <w:b/>
          <w:sz w:val="24"/>
        </w:rPr>
        <w:br w:type="page"/>
      </w:r>
    </w:p>
    <w:p>
      <w:pPr>
        <w:pStyle w:val="6"/>
        <w:jc w:val="center"/>
        <w:rPr>
          <w:rStyle w:val="27"/>
          <w:rFonts w:ascii="黑体" w:hAnsi="黑体" w:eastAsia="黑体"/>
          <w:b/>
          <w:bCs w:val="0"/>
        </w:rPr>
      </w:pPr>
      <w:bookmarkStart w:id="16" w:name="_Toc16454"/>
      <w:r>
        <w:rPr>
          <w:rFonts w:hint="eastAsia" w:ascii="黑体" w:hAnsi="黑体" w:eastAsia="黑体"/>
          <w:b w:val="0"/>
        </w:rPr>
        <w:t xml:space="preserve">第一部分 </w:t>
      </w:r>
      <w:r>
        <w:rPr>
          <w:rStyle w:val="27"/>
          <w:rFonts w:hint="eastAsia" w:ascii="黑体" w:hAnsi="黑体" w:eastAsia="黑体"/>
          <w:b w:val="0"/>
          <w:bCs w:val="0"/>
        </w:rPr>
        <w:t>部门概况</w:t>
      </w:r>
      <w:bookmarkEnd w:id="14"/>
      <w:bookmarkEnd w:id="15"/>
      <w:bookmarkEnd w:id="16"/>
    </w:p>
    <w:p>
      <w:pPr>
        <w:widowControl/>
        <w:jc w:val="left"/>
        <w:rPr>
          <w:rFonts w:ascii="黑体" w:eastAsia="黑体"/>
          <w:color w:val="000000"/>
          <w:sz w:val="32"/>
          <w:szCs w:val="32"/>
        </w:rPr>
      </w:pPr>
    </w:p>
    <w:p>
      <w:pPr>
        <w:pStyle w:val="7"/>
        <w:rPr>
          <w:rStyle w:val="28"/>
          <w:rFonts w:ascii="仿宋" w:hAnsi="仿宋" w:eastAsia="仿宋"/>
          <w:b w:val="0"/>
          <w:bCs w:val="0"/>
        </w:rPr>
      </w:pPr>
      <w:bookmarkStart w:id="17" w:name="_Toc15396600"/>
      <w:bookmarkStart w:id="18" w:name="_Toc15377197"/>
      <w:bookmarkStart w:id="19" w:name="_Toc26352"/>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7"/>
      <w:bookmarkEnd w:id="18"/>
      <w:bookmarkEnd w:id="19"/>
    </w:p>
    <w:p>
      <w:pPr>
        <w:pStyle w:val="3"/>
        <w:adjustRightInd w:val="0"/>
        <w:snapToGrid w:val="0"/>
        <w:spacing w:before="93"/>
        <w:ind w:firstLine="693" w:firstLineChars="210"/>
        <w:outlineLvl w:val="2"/>
        <w:rPr>
          <w:rFonts w:ascii="方正楷体_GBK" w:hAnsi="楷体" w:eastAsia="方正楷体_GBK"/>
          <w:sz w:val="33"/>
          <w:szCs w:val="33"/>
        </w:rPr>
      </w:pPr>
      <w:bookmarkStart w:id="20" w:name="_Toc15377198"/>
      <w:bookmarkStart w:id="21" w:name="_Toc22018"/>
      <w:bookmarkStart w:id="22" w:name="_Toc15378445"/>
      <w:r>
        <w:rPr>
          <w:rFonts w:hint="eastAsia" w:ascii="方正楷体_GBK" w:hAnsi="楷体" w:eastAsia="方正楷体_GBK"/>
          <w:sz w:val="33"/>
          <w:szCs w:val="33"/>
        </w:rPr>
        <w:t>（一）主要职能</w:t>
      </w:r>
      <w:bookmarkEnd w:id="20"/>
      <w:bookmarkEnd w:id="21"/>
      <w:bookmarkEnd w:id="22"/>
    </w:p>
    <w:p>
      <w:pPr>
        <w:pStyle w:val="3"/>
        <w:adjustRightInd w:val="0"/>
        <w:snapToGrid w:val="0"/>
        <w:spacing w:before="93" w:line="600" w:lineRule="exact"/>
        <w:ind w:firstLine="672" w:firstLineChars="210"/>
        <w:outlineLvl w:val="2"/>
        <w:rPr>
          <w:sz w:val="32"/>
        </w:rPr>
      </w:pPr>
      <w:r>
        <w:rPr>
          <w:rFonts w:hint="eastAsia"/>
          <w:sz w:val="32"/>
        </w:rPr>
        <w:t>一是收集和接收本馆保管范围内对国家和社会有保存价值的档案。</w:t>
      </w:r>
    </w:p>
    <w:p>
      <w:pPr>
        <w:pStyle w:val="3"/>
        <w:adjustRightInd w:val="0"/>
        <w:snapToGrid w:val="0"/>
        <w:spacing w:before="93" w:line="600" w:lineRule="exact"/>
        <w:ind w:firstLine="672" w:firstLineChars="210"/>
        <w:outlineLvl w:val="2"/>
        <w:rPr>
          <w:sz w:val="32"/>
        </w:rPr>
      </w:pPr>
      <w:r>
        <w:rPr>
          <w:rFonts w:hint="eastAsia"/>
          <w:sz w:val="32"/>
        </w:rPr>
        <w:t>二是对所保存的档案严格按照规定整理和保管。</w:t>
      </w:r>
    </w:p>
    <w:p>
      <w:pPr>
        <w:pStyle w:val="3"/>
        <w:adjustRightInd w:val="0"/>
        <w:snapToGrid w:val="0"/>
        <w:spacing w:before="93" w:line="600" w:lineRule="exact"/>
        <w:ind w:firstLine="672" w:firstLineChars="210"/>
        <w:outlineLvl w:val="2"/>
        <w:rPr>
          <w:sz w:val="32"/>
        </w:rPr>
      </w:pPr>
      <w:r>
        <w:rPr>
          <w:rFonts w:hint="eastAsia"/>
          <w:sz w:val="32"/>
        </w:rPr>
        <w:t>三是采用各种形式开发档案资源，为社会利用档案资源提供服务。</w:t>
      </w:r>
    </w:p>
    <w:p>
      <w:pPr>
        <w:pStyle w:val="3"/>
        <w:adjustRightInd w:val="0"/>
        <w:snapToGrid w:val="0"/>
        <w:spacing w:before="93"/>
        <w:ind w:firstLine="693" w:firstLineChars="210"/>
        <w:outlineLvl w:val="2"/>
        <w:rPr>
          <w:rFonts w:ascii="方正楷体_GBK" w:hAnsi="楷体" w:eastAsia="方正楷体_GBK"/>
          <w:sz w:val="33"/>
          <w:szCs w:val="33"/>
        </w:rPr>
      </w:pPr>
      <w:bookmarkStart w:id="23" w:name="_Toc32144"/>
      <w:bookmarkStart w:id="24" w:name="_Toc15378446"/>
      <w:bookmarkStart w:id="25" w:name="_Toc15377199"/>
      <w:r>
        <w:rPr>
          <w:rFonts w:hint="eastAsia" w:ascii="方正楷体_GBK" w:hAnsi="楷体" w:eastAsia="方正楷体_GBK"/>
          <w:sz w:val="33"/>
          <w:szCs w:val="33"/>
        </w:rPr>
        <w:t>（二）</w:t>
      </w:r>
      <w:r>
        <w:rPr>
          <w:rFonts w:ascii="方正楷体_GBK" w:hAnsi="楷体" w:eastAsia="方正楷体_GBK"/>
          <w:sz w:val="33"/>
          <w:szCs w:val="33"/>
        </w:rPr>
        <w:t>201</w:t>
      </w:r>
      <w:r>
        <w:rPr>
          <w:rFonts w:hint="eastAsia" w:ascii="方正楷体_GBK" w:hAnsi="楷体" w:eastAsia="方正楷体_GBK"/>
          <w:sz w:val="33"/>
          <w:szCs w:val="33"/>
        </w:rPr>
        <w:t>9年重点工作完成情况</w:t>
      </w:r>
      <w:bookmarkEnd w:id="23"/>
      <w:bookmarkEnd w:id="24"/>
      <w:bookmarkEnd w:id="25"/>
    </w:p>
    <w:p>
      <w:pPr>
        <w:pStyle w:val="3"/>
        <w:adjustRightInd w:val="0"/>
        <w:snapToGrid w:val="0"/>
        <w:spacing w:before="93" w:line="600" w:lineRule="exact"/>
        <w:ind w:firstLine="672" w:firstLineChars="210"/>
        <w:outlineLvl w:val="2"/>
        <w:rPr>
          <w:sz w:val="32"/>
        </w:rPr>
      </w:pPr>
      <w:r>
        <w:rPr>
          <w:rFonts w:hint="eastAsia"/>
          <w:sz w:val="32"/>
        </w:rPr>
        <w:t>1.馆务</w:t>
      </w:r>
      <w:r>
        <w:rPr>
          <w:sz w:val="32"/>
        </w:rPr>
        <w:t>工作方面。一是安全工作，</w:t>
      </w:r>
      <w:r>
        <w:rPr>
          <w:rFonts w:hint="eastAsia"/>
          <w:sz w:val="32"/>
        </w:rPr>
        <w:t>严格落实各项档案保管保护措施，加强重点时段安全检查，全年未发生档案安全事故。二是档案接收</w:t>
      </w:r>
      <w:r>
        <w:rPr>
          <w:sz w:val="32"/>
        </w:rPr>
        <w:t>工作，</w:t>
      </w:r>
      <w:r>
        <w:rPr>
          <w:rFonts w:hint="eastAsia"/>
          <w:sz w:val="32"/>
        </w:rPr>
        <w:t>2019年继续开展2010年至2016年到期档案接收工作，共接收34个全宗单位纸质档案1099卷、53495件、照片3341张、实物8件、影像20件及对应电子数据，</w:t>
      </w:r>
      <w:r>
        <w:rPr>
          <w:sz w:val="32"/>
        </w:rPr>
        <w:t>并</w:t>
      </w:r>
      <w:r>
        <w:rPr>
          <w:rFonts w:hint="eastAsia"/>
          <w:sz w:val="32"/>
        </w:rPr>
        <w:t>根据机构改革情况，重点开展区扶贫移民局等4个涉改撤并单位档案接收进馆。</w:t>
      </w:r>
      <w:r>
        <w:rPr>
          <w:sz w:val="32"/>
        </w:rPr>
        <w:t>三是</w:t>
      </w:r>
      <w:r>
        <w:rPr>
          <w:rFonts w:hint="eastAsia"/>
          <w:sz w:val="32"/>
        </w:rPr>
        <w:t>档案</w:t>
      </w:r>
      <w:r>
        <w:rPr>
          <w:sz w:val="32"/>
        </w:rPr>
        <w:t>利用工作，</w:t>
      </w:r>
      <w:r>
        <w:rPr>
          <w:rFonts w:hint="eastAsia"/>
          <w:sz w:val="32"/>
        </w:rPr>
        <w:t>2019年共计为单位、个人提供档案利用241人次、1182卷/次、1918件/次、跨馆异地查档 9人/次、9 卷/次。四是</w:t>
      </w:r>
      <w:r>
        <w:rPr>
          <w:sz w:val="32"/>
        </w:rPr>
        <w:t>档案</w:t>
      </w:r>
      <w:r>
        <w:rPr>
          <w:rFonts w:hint="eastAsia"/>
          <w:sz w:val="32"/>
        </w:rPr>
        <w:t>宣传开发，协助区委组织部建设好三线建设干部学院分院，提供历史文件50余份、照片100余张；结合第12个国际档案日和“三线建设”55周年，联合共青团西区区委共同举办了以传承“三线精神”为主题的宣传活动，参观人数300余人/次；全年上报信息59篇，被市级及以上媒体采用11篇，其中攀枝花长安网采用1篇、四川档案网采用3篇、中国档案网采用2篇、中国档案资讯网采用5篇。</w:t>
      </w:r>
    </w:p>
    <w:p>
      <w:pPr>
        <w:pStyle w:val="3"/>
        <w:adjustRightInd w:val="0"/>
        <w:snapToGrid w:val="0"/>
        <w:spacing w:before="93" w:line="600" w:lineRule="exact"/>
        <w:ind w:firstLine="672" w:firstLineChars="210"/>
        <w:outlineLvl w:val="2"/>
        <w:rPr>
          <w:sz w:val="32"/>
        </w:rPr>
      </w:pPr>
      <w:r>
        <w:rPr>
          <w:sz w:val="32"/>
        </w:rPr>
        <w:t>2.</w:t>
      </w:r>
      <w:r>
        <w:rPr>
          <w:rFonts w:hint="eastAsia"/>
          <w:sz w:val="32"/>
        </w:rPr>
        <w:t xml:space="preserve"> 协助区委办（档案局）推进全区档案工作方面。一是</w:t>
      </w:r>
      <w:bookmarkStart w:id="26" w:name="_Toc15377200"/>
      <w:bookmarkStart w:id="27" w:name="_Toc3786"/>
      <w:bookmarkStart w:id="28" w:name="_Toc15396601"/>
      <w:r>
        <w:rPr>
          <w:rFonts w:hint="eastAsia"/>
          <w:sz w:val="32"/>
        </w:rPr>
        <w:t>加强档案室</w:t>
      </w:r>
      <w:r>
        <w:rPr>
          <w:sz w:val="32"/>
        </w:rPr>
        <w:t>安全工作</w:t>
      </w:r>
      <w:r>
        <w:rPr>
          <w:rFonts w:hint="eastAsia"/>
          <w:sz w:val="32"/>
        </w:rPr>
        <w:t>，协助区委办（区档案局）制发《关于加强汛期档案安全工作的通知》，全年全区未发生档案安全事故。二是加强机构改革中档案工作，及时介入指导，起草了《关于在机构改革中加强档案工作的通知》、《关于机构改革中涉改部门档案处置及全宗设立的通知》，报经区委办、区政府办发文，切实保障了机构改革档案工作队伍不散、工作不断。</w:t>
      </w:r>
      <w:r>
        <w:rPr>
          <w:sz w:val="32"/>
        </w:rPr>
        <w:t>三是</w:t>
      </w:r>
      <w:r>
        <w:rPr>
          <w:rFonts w:hint="eastAsia"/>
          <w:sz w:val="32"/>
        </w:rPr>
        <w:t>推进档案法制化建设工作，全年完成23家单位规范化管理重新认定，并对23家单位开展立卷归档检查，</w:t>
      </w:r>
      <w:r>
        <w:rPr>
          <w:sz w:val="32"/>
        </w:rPr>
        <w:t>并</w:t>
      </w:r>
      <w:r>
        <w:rPr>
          <w:rFonts w:hint="eastAsia"/>
          <w:sz w:val="32"/>
        </w:rPr>
        <w:t>结合平时各单位档案工作情况，对全区各立档单位开展2019年档案工作年度考核。四是开展全区档案业务培训工作，组织召开了全区档案工作会暨业务培训会，全区各机关档案工作分管领导及档案员共147人参会。</w:t>
      </w:r>
      <w:r>
        <w:rPr>
          <w:sz w:val="32"/>
        </w:rPr>
        <w:t>五是</w:t>
      </w:r>
      <w:r>
        <w:rPr>
          <w:rFonts w:hint="eastAsia"/>
          <w:sz w:val="32"/>
        </w:rPr>
        <w:t>推进档案服务区重点工作，协助区自然资源和规划分局对攀钢石灰石矿生态修复工作资料进行整理组卷迎检，按照格里坪镇行政体制改革工作内容，指导格里坪镇档案员对接各项行政职能变化，及时修订保管期限表和收集归档范围。六是加强档案事业统计年报工作，指导各立档单位及时、准确填报《2018年度档案事业统计调查表》，并汇总全区档案数据，促进我区档案管理水平逐年提高。</w:t>
      </w:r>
    </w:p>
    <w:p>
      <w:pPr>
        <w:pStyle w:val="3"/>
        <w:adjustRightInd w:val="0"/>
        <w:snapToGrid w:val="0"/>
        <w:spacing w:before="93" w:line="600" w:lineRule="exact"/>
        <w:ind w:firstLine="630" w:firstLineChars="210"/>
        <w:outlineLvl w:val="2"/>
        <w:rPr>
          <w:rStyle w:val="28"/>
          <w:rFonts w:ascii="仿宋" w:hAnsi="仿宋" w:eastAsia="仿宋" w:cs="Times New Roman"/>
          <w:color w:val="FF0000"/>
          <w:kern w:val="0"/>
        </w:rPr>
      </w:pPr>
      <w:r>
        <w:rPr>
          <w:rFonts w:hint="eastAsia" w:ascii="黑体" w:eastAsia="黑体"/>
          <w:color w:val="000000"/>
        </w:rPr>
        <w:t>二、</w:t>
      </w:r>
      <w:r>
        <w:rPr>
          <w:rFonts w:hint="eastAsia" w:ascii="黑体" w:hAnsi="黑体" w:eastAsia="黑体"/>
          <w:color w:val="000000"/>
        </w:rPr>
        <w:t>机</w:t>
      </w:r>
      <w:r>
        <w:rPr>
          <w:rStyle w:val="28"/>
          <w:rFonts w:hint="eastAsia" w:ascii="黑体" w:hAnsi="黑体" w:eastAsia="黑体"/>
        </w:rPr>
        <w:t>构设置</w:t>
      </w:r>
      <w:bookmarkEnd w:id="26"/>
      <w:bookmarkEnd w:id="27"/>
      <w:bookmarkEnd w:id="28"/>
    </w:p>
    <w:p>
      <w:pPr>
        <w:pStyle w:val="3"/>
        <w:adjustRightInd w:val="0"/>
        <w:snapToGrid w:val="0"/>
        <w:spacing w:before="93" w:line="600" w:lineRule="exact"/>
        <w:ind w:firstLine="672" w:firstLineChars="210"/>
        <w:rPr>
          <w:sz w:val="32"/>
        </w:rPr>
      </w:pPr>
      <w:r>
        <w:rPr>
          <w:rFonts w:hint="eastAsia"/>
          <w:sz w:val="32"/>
        </w:rPr>
        <w:t>西区档案馆属于</w:t>
      </w:r>
      <w:r>
        <w:rPr>
          <w:rFonts w:hint="eastAsia" w:hAnsi="仿宋"/>
          <w:sz w:val="32"/>
          <w:szCs w:val="32"/>
        </w:rPr>
        <w:t>参公管理事业单位，</w:t>
      </w:r>
      <w:r>
        <w:rPr>
          <w:rFonts w:hint="eastAsia"/>
          <w:sz w:val="32"/>
          <w:szCs w:val="32"/>
        </w:rPr>
        <w:t>独立核算单位1个，</w:t>
      </w:r>
      <w:r>
        <w:rPr>
          <w:rFonts w:hint="eastAsia"/>
          <w:sz w:val="32"/>
        </w:rPr>
        <w:t>参公事业编制6</w:t>
      </w:r>
      <w:r>
        <w:rPr>
          <w:rFonts w:hint="eastAsia"/>
          <w:color w:val="000000" w:themeColor="text1"/>
          <w:sz w:val="32"/>
        </w:rPr>
        <w:t>名，编内聘用人员1名。</w:t>
      </w:r>
      <w:r>
        <w:rPr>
          <w:rFonts w:hint="eastAsia"/>
          <w:sz w:val="32"/>
        </w:rPr>
        <w:t>实有正式职工5名，编内聘用人员1名，退休人员2名。</w:t>
      </w:r>
    </w:p>
    <w:p>
      <w:pPr>
        <w:pStyle w:val="3"/>
        <w:adjustRightInd w:val="0"/>
        <w:snapToGrid w:val="0"/>
        <w:spacing w:before="93" w:line="600" w:lineRule="exact"/>
        <w:ind w:firstLine="672" w:firstLineChars="210"/>
        <w:rPr>
          <w:color w:val="000000" w:themeColor="text1"/>
          <w:sz w:val="32"/>
        </w:rPr>
      </w:pPr>
      <w:r>
        <w:rPr>
          <w:rFonts w:hint="eastAsia"/>
          <w:color w:val="000000" w:themeColor="text1"/>
          <w:sz w:val="32"/>
        </w:rPr>
        <w:t>纳入西区档案馆2019年度部门决算编制范围的二级预算单位包括：</w:t>
      </w:r>
    </w:p>
    <w:p>
      <w:pPr>
        <w:ind w:firstLine="640" w:firstLineChars="200"/>
        <w:rPr>
          <w:rFonts w:ascii="仿宋" w:hAnsi="仿宋" w:eastAsia="仿宋"/>
          <w:color w:val="000000"/>
          <w:kern w:val="0"/>
          <w:sz w:val="32"/>
          <w:szCs w:val="32"/>
        </w:rPr>
      </w:pPr>
      <w:r>
        <w:rPr>
          <w:rFonts w:hint="eastAsia" w:ascii="仿宋_GB2312" w:eastAsia="仿宋_GB2312"/>
          <w:color w:val="000000" w:themeColor="text1"/>
          <w:kern w:val="0"/>
          <w:sz w:val="32"/>
        </w:rPr>
        <w:t xml:space="preserve">无  </w:t>
      </w:r>
      <w:r>
        <w:rPr>
          <w:rFonts w:hint="eastAsia" w:ascii="仿宋" w:hAnsi="仿宋" w:eastAsia="仿宋"/>
          <w:color w:val="000000"/>
          <w:kern w:val="0"/>
          <w:sz w:val="32"/>
          <w:szCs w:val="32"/>
        </w:rPr>
        <w:t xml:space="preserve">                                                                                                              </w:t>
      </w:r>
    </w:p>
    <w:p>
      <w:pPr>
        <w:pStyle w:val="6"/>
        <w:ind w:right="440"/>
        <w:jc w:val="right"/>
        <w:rPr>
          <w:rFonts w:ascii="黑体" w:hAnsi="黑体" w:eastAsia="黑体"/>
          <w:b w:val="0"/>
          <w:bCs w:val="0"/>
        </w:rPr>
      </w:pPr>
      <w:bookmarkStart w:id="29" w:name="_Toc15377204"/>
      <w:bookmarkStart w:id="30" w:name="_Toc20701"/>
      <w:bookmarkStart w:id="31" w:name="_Toc15396602"/>
      <w:r>
        <w:rPr>
          <w:rFonts w:hint="eastAsia" w:ascii="黑体" w:hAnsi="黑体" w:eastAsia="黑体"/>
          <w:b w:val="0"/>
          <w:color w:val="000000"/>
        </w:rPr>
        <w:t>第二部分</w:t>
      </w:r>
      <w:r>
        <w:rPr>
          <w:rStyle w:val="27"/>
          <w:rFonts w:hint="eastAsia" w:ascii="黑体" w:hAnsi="黑体" w:eastAsia="黑体"/>
          <w:b w:val="0"/>
          <w:bCs w:val="0"/>
        </w:rPr>
        <w:t>2019年度部门决算情况说明</w:t>
      </w:r>
      <w:bookmarkEnd w:id="29"/>
      <w:bookmarkEnd w:id="30"/>
      <w:bookmarkEnd w:id="31"/>
    </w:p>
    <w:p>
      <w:pPr>
        <w:pStyle w:val="26"/>
        <w:numPr>
          <w:ilvl w:val="0"/>
          <w:numId w:val="1"/>
        </w:numPr>
        <w:spacing w:line="600" w:lineRule="exact"/>
        <w:ind w:firstLineChars="0"/>
        <w:outlineLvl w:val="1"/>
        <w:rPr>
          <w:rStyle w:val="28"/>
          <w:rFonts w:ascii="黑体" w:hAnsi="黑体" w:eastAsia="黑体"/>
          <w:b w:val="0"/>
        </w:rPr>
      </w:pPr>
      <w:bookmarkStart w:id="32" w:name="_Toc15377205"/>
      <w:bookmarkStart w:id="33" w:name="_Toc16653"/>
      <w:bookmarkStart w:id="34"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2"/>
      <w:bookmarkEnd w:id="33"/>
      <w:bookmarkEnd w:id="34"/>
    </w:p>
    <w:p>
      <w:pPr>
        <w:spacing w:line="353" w:lineRule="auto"/>
        <w:ind w:firstLine="640" w:firstLineChars="200"/>
      </w:pPr>
      <w:r>
        <w:rPr>
          <w:rFonts w:hint="eastAsia" w:ascii="仿宋_GB2312" w:hAnsi="仿宋_GB2312" w:eastAsia="仿宋_GB2312" w:cs="仿宋_GB2312"/>
          <w:color w:val="000000"/>
          <w:sz w:val="32"/>
          <w:szCs w:val="32"/>
        </w:rPr>
        <w:t>2019年度收入总计77.05万元、支出总计99.25万元。与2018年相比，收入总计减少17.23元、支出总计增加3.24万元，收入增长18.28%，支出增长</w:t>
      </w:r>
      <w:r>
        <w:rPr>
          <w:rFonts w:hint="eastAsia" w:ascii="仿宋_GB2312" w:hAnsi="仿宋_GB2312" w:eastAsia="仿宋_GB2312" w:cs="仿宋_GB2312"/>
          <w:sz w:val="32"/>
          <w:szCs w:val="32"/>
        </w:rPr>
        <w:t>3.28</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主要变动原因是正常增资增加。</w:t>
      </w:r>
    </w:p>
    <w:p>
      <w:pPr>
        <w:pStyle w:val="4"/>
        <w:ind w:firstLine="1155" w:firstLineChars="550"/>
        <w:jc w:val="left"/>
        <w:rPr>
          <w:rFonts w:eastAsia="仿宋"/>
        </w:rPr>
      </w:pPr>
      <w:r>
        <w:rPr>
          <w:rFonts w:eastAsia="仿宋"/>
        </w:rPr>
        <w:drawing>
          <wp:inline distT="0" distB="0" distL="0" distR="0">
            <wp:extent cx="3962400" cy="2057400"/>
            <wp:effectExtent l="0" t="0" r="0" b="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jc w:val="center"/>
      </w:pPr>
      <w:r>
        <w:rPr>
          <w:rFonts w:hint="eastAsia" w:ascii="仿宋_GB2312" w:hAnsi="仿宋_GB2312" w:eastAsia="仿宋_GB2312" w:cs="仿宋_GB2312"/>
          <w:color w:val="000000" w:themeColor="text1"/>
          <w:sz w:val="32"/>
          <w:szCs w:val="32"/>
        </w:rPr>
        <w:t>（图1：收、支决算总计变动情况图）</w:t>
      </w:r>
    </w:p>
    <w:p>
      <w:pPr>
        <w:pStyle w:val="26"/>
        <w:numPr>
          <w:ilvl w:val="0"/>
          <w:numId w:val="1"/>
        </w:numPr>
        <w:spacing w:line="600" w:lineRule="exact"/>
        <w:ind w:firstLineChars="0"/>
        <w:outlineLvl w:val="1"/>
        <w:rPr>
          <w:rStyle w:val="28"/>
          <w:rFonts w:ascii="黑体" w:hAnsi="黑体" w:eastAsia="黑体"/>
          <w:b w:val="0"/>
        </w:rPr>
      </w:pPr>
      <w:bookmarkStart w:id="35" w:name="_Toc15396604"/>
      <w:bookmarkStart w:id="36" w:name="_Toc15377206"/>
      <w:bookmarkStart w:id="37" w:name="_Toc17969"/>
      <w:r>
        <w:rPr>
          <w:rFonts w:hint="eastAsia" w:ascii="黑体" w:hAnsi="黑体" w:eastAsia="黑体"/>
          <w:color w:val="000000"/>
          <w:sz w:val="32"/>
          <w:szCs w:val="32"/>
        </w:rPr>
        <w:t>收</w:t>
      </w:r>
      <w:r>
        <w:rPr>
          <w:rStyle w:val="28"/>
          <w:rFonts w:hint="eastAsia" w:ascii="黑体" w:hAnsi="黑体" w:eastAsia="黑体"/>
          <w:b w:val="0"/>
        </w:rPr>
        <w:t>入决算情况说明</w:t>
      </w:r>
      <w:bookmarkEnd w:id="35"/>
      <w:bookmarkEnd w:id="36"/>
      <w:bookmarkEnd w:id="37"/>
    </w:p>
    <w:p>
      <w:pPr>
        <w:spacing w:line="600" w:lineRule="exact"/>
        <w:ind w:firstLine="640" w:firstLineChars="200"/>
        <w:outlineLvl w:val="1"/>
        <w:rPr>
          <w:rFonts w:ascii="仿宋_GB2312" w:hAnsi="仿宋_GB2312" w:eastAsia="仿宋_GB2312" w:cs="仿宋_GB2312"/>
          <w:color w:val="000000"/>
          <w:sz w:val="32"/>
          <w:szCs w:val="32"/>
        </w:rPr>
      </w:pPr>
      <w:bookmarkStart w:id="38" w:name="_Toc2779"/>
      <w:r>
        <w:rPr>
          <w:rFonts w:hint="eastAsia" w:ascii="仿宋_GB2312" w:hAnsi="仿宋_GB2312" w:eastAsia="仿宋_GB2312" w:cs="仿宋_GB2312"/>
          <w:color w:val="000000"/>
          <w:sz w:val="32"/>
          <w:szCs w:val="32"/>
        </w:rPr>
        <w:t>2019年本年收入合计77.05万元，其中：一般公共预算财政拨款收入77.05万元，占100%；政府性基金预算财政拨款收入0万元，占0%；</w:t>
      </w:r>
      <w:r>
        <w:rPr>
          <w:rFonts w:hint="eastAsia" w:ascii="仿宋_GB2312" w:hAnsi="仿宋_GB2312" w:eastAsia="仿宋_GB2312" w:cs="仿宋_GB2312"/>
          <w:color w:val="000000" w:themeColor="text1"/>
          <w:sz w:val="32"/>
          <w:szCs w:val="32"/>
        </w:rPr>
        <w:t>上级补助收入0</w:t>
      </w:r>
      <w:r>
        <w:rPr>
          <w:rFonts w:hint="eastAsia" w:ascii="仿宋_GB2312" w:hAnsi="仿宋_GB2312" w:eastAsia="仿宋_GB2312" w:cs="仿宋_GB2312"/>
          <w:color w:val="000000"/>
          <w:sz w:val="32"/>
          <w:szCs w:val="32"/>
        </w:rPr>
        <w:t>万元，占0%；事业收入0万元，占0%；经营收入0万元，占0%；附属单位上缴收入0万元，占0%；其他收入0万元，占0%。</w:t>
      </w:r>
      <w:bookmarkEnd w:id="38"/>
    </w:p>
    <w:p>
      <w:pPr>
        <w:pStyle w:val="2"/>
        <w:spacing w:before="93"/>
        <w:ind w:firstLine="300"/>
        <w:jc w:val="center"/>
      </w:pPr>
      <w:r>
        <w:drawing>
          <wp:inline distT="0" distB="0" distL="0" distR="0">
            <wp:extent cx="4184015" cy="2142490"/>
            <wp:effectExtent l="19050" t="0" r="25848" b="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rPr>
        <w:t>（图2：收入决算结构图）</w:t>
      </w:r>
    </w:p>
    <w:p>
      <w:pPr>
        <w:pStyle w:val="26"/>
        <w:numPr>
          <w:ilvl w:val="0"/>
          <w:numId w:val="1"/>
        </w:numPr>
        <w:spacing w:line="600" w:lineRule="exact"/>
        <w:ind w:firstLineChars="0"/>
        <w:outlineLvl w:val="1"/>
        <w:rPr>
          <w:rStyle w:val="28"/>
          <w:rFonts w:ascii="黑体" w:hAnsi="黑体" w:eastAsia="黑体"/>
          <w:b w:val="0"/>
        </w:rPr>
      </w:pPr>
      <w:bookmarkStart w:id="39" w:name="_Toc270"/>
      <w:bookmarkStart w:id="40" w:name="_Toc15396605"/>
      <w:bookmarkStart w:id="41"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39"/>
      <w:bookmarkEnd w:id="40"/>
      <w:bookmarkEnd w:id="41"/>
    </w:p>
    <w:p>
      <w:pPr>
        <w:spacing w:line="600" w:lineRule="exact"/>
        <w:ind w:firstLine="640" w:firstLineChars="200"/>
        <w:outlineLvl w:val="1"/>
        <w:rPr>
          <w:rFonts w:ascii="仿宋_GB2312" w:hAnsi="仿宋_GB2312" w:eastAsia="仿宋_GB2312" w:cs="仿宋_GB2312"/>
          <w:color w:val="000000"/>
          <w:sz w:val="32"/>
          <w:szCs w:val="32"/>
        </w:rPr>
      </w:pPr>
      <w:bookmarkStart w:id="42" w:name="_Toc20628"/>
      <w:r>
        <w:rPr>
          <w:rFonts w:hint="eastAsia" w:ascii="仿宋_GB2312" w:hAnsi="仿宋_GB2312" w:eastAsia="仿宋_GB2312" w:cs="仿宋_GB2312"/>
          <w:color w:val="000000"/>
          <w:sz w:val="32"/>
          <w:szCs w:val="32"/>
        </w:rPr>
        <w:t>2019年本年支出合计99.25万元，其中：基本支出88.04万元，占88.71%；项目支出11.2万元，占11.29%；上缴上级支出0万元，占0%；经营支出0万元，占0%；对附属单位补助支出0万元，占0%。</w:t>
      </w:r>
      <w:bookmarkEnd w:id="42"/>
    </w:p>
    <w:p>
      <w:pPr>
        <w:pStyle w:val="2"/>
        <w:spacing w:before="93"/>
        <w:ind w:firstLine="300"/>
        <w:rPr>
          <w:rFonts w:eastAsia="仿宋"/>
        </w:rPr>
      </w:pPr>
    </w:p>
    <w:p>
      <w:pPr>
        <w:pStyle w:val="4"/>
        <w:jc w:val="left"/>
        <w:rPr>
          <w:rFonts w:eastAsia="仿宋"/>
        </w:rPr>
      </w:pPr>
      <w:r>
        <w:rPr>
          <w:rFonts w:eastAsia="仿宋"/>
        </w:rPr>
        <w:drawing>
          <wp:inline distT="0" distB="0" distL="0" distR="0">
            <wp:extent cx="4133850" cy="2412365"/>
            <wp:effectExtent l="19050" t="0" r="18602" b="6499"/>
            <wp:docPr id="12"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rPr>
        <w:t>（图3：支出决算结构图）</w:t>
      </w:r>
    </w:p>
    <w:p>
      <w:pPr>
        <w:spacing w:line="600" w:lineRule="exact"/>
        <w:ind w:firstLine="640" w:firstLineChars="200"/>
        <w:outlineLvl w:val="1"/>
        <w:rPr>
          <w:rStyle w:val="28"/>
          <w:rFonts w:ascii="黑体" w:hAnsi="黑体" w:eastAsia="黑体"/>
          <w:b w:val="0"/>
        </w:rPr>
      </w:pPr>
      <w:bookmarkStart w:id="43" w:name="_Toc15377208"/>
      <w:bookmarkStart w:id="44" w:name="_Toc3984"/>
      <w:bookmarkStart w:id="45"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3"/>
      <w:bookmarkEnd w:id="44"/>
      <w:bookmarkEnd w:id="45"/>
    </w:p>
    <w:p>
      <w:pPr>
        <w:spacing w:line="353" w:lineRule="auto"/>
        <w:ind w:firstLine="640" w:firstLineChars="200"/>
      </w:pPr>
      <w:r>
        <w:rPr>
          <w:rFonts w:hint="eastAsia" w:ascii="仿宋_GB2312" w:hAnsi="仿宋_GB2312" w:eastAsia="仿宋_GB2312" w:cs="仿宋_GB2312"/>
          <w:color w:val="000000"/>
          <w:sz w:val="32"/>
          <w:szCs w:val="32"/>
        </w:rPr>
        <w:t>2019年财政拨款收入总计77.05万元、支出总计99.25万元。与2018年相比，收入总计减少</w:t>
      </w:r>
      <w:r>
        <w:rPr>
          <w:rFonts w:ascii="仿宋_GB2312" w:hAnsi="仿宋_GB2312" w:eastAsia="仿宋_GB2312" w:cs="仿宋_GB2312"/>
          <w:sz w:val="32"/>
          <w:szCs w:val="32"/>
        </w:rPr>
        <w:t>17.43</w:t>
      </w:r>
      <w:r>
        <w:rPr>
          <w:rFonts w:hint="eastAsia" w:ascii="仿宋_GB2312" w:hAnsi="仿宋_GB2312" w:eastAsia="仿宋_GB2312" w:cs="仿宋_GB2312"/>
          <w:color w:val="000000"/>
          <w:sz w:val="32"/>
          <w:szCs w:val="32"/>
        </w:rPr>
        <w:t>万元、支出总计增加3.24万元，收入减少18.28%，支出增长3.37%。</w:t>
      </w:r>
      <w:r>
        <w:rPr>
          <w:rFonts w:hint="eastAsia" w:ascii="仿宋_GB2312" w:hAnsi="仿宋_GB2312" w:eastAsia="仿宋_GB2312" w:cs="仿宋_GB2312"/>
          <w:sz w:val="32"/>
          <w:szCs w:val="32"/>
        </w:rPr>
        <w:t>主要变动原因是正常增资的增加。</w:t>
      </w:r>
    </w:p>
    <w:p>
      <w:pPr>
        <w:pStyle w:val="2"/>
        <w:spacing w:before="93"/>
        <w:ind w:firstLine="300"/>
        <w:jc w:val="center"/>
      </w:pPr>
      <w:r>
        <w:drawing>
          <wp:inline distT="0" distB="0" distL="0" distR="0">
            <wp:extent cx="4651375" cy="2106295"/>
            <wp:effectExtent l="19050" t="0" r="15688" b="7844"/>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rPr>
          <w:rFonts w:ascii="仿宋" w:hAnsi="仿宋" w:eastAsia="仿宋"/>
          <w:b/>
          <w:color w:val="00B050"/>
          <w:sz w:val="32"/>
          <w:szCs w:val="32"/>
        </w:rPr>
      </w:pPr>
      <w:r>
        <w:rPr>
          <w:rFonts w:hint="eastAsia" w:ascii="仿宋_GB2312" w:hAnsi="仿宋_GB2312" w:eastAsia="仿宋_GB2312" w:cs="仿宋_GB2312"/>
          <w:color w:val="000000" w:themeColor="text1"/>
          <w:sz w:val="32"/>
          <w:szCs w:val="32"/>
        </w:rPr>
        <w:t>（图4：财政拨款收、支决算总计变动情况）</w:t>
      </w:r>
    </w:p>
    <w:p>
      <w:pPr>
        <w:spacing w:line="600" w:lineRule="exact"/>
        <w:ind w:firstLine="640" w:firstLineChars="200"/>
        <w:outlineLvl w:val="1"/>
        <w:rPr>
          <w:rStyle w:val="28"/>
          <w:rFonts w:ascii="黑体" w:hAnsi="黑体" w:eastAsia="黑体"/>
          <w:b w:val="0"/>
        </w:rPr>
      </w:pPr>
      <w:bookmarkStart w:id="46" w:name="_Toc15377209"/>
      <w:bookmarkStart w:id="47" w:name="_Toc15396607"/>
      <w:bookmarkStart w:id="48" w:name="_Toc1590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6"/>
      <w:bookmarkEnd w:id="47"/>
      <w:bookmarkEnd w:id="48"/>
    </w:p>
    <w:p>
      <w:pPr>
        <w:spacing w:line="600" w:lineRule="exact"/>
        <w:ind w:firstLine="642" w:firstLineChars="200"/>
        <w:outlineLvl w:val="2"/>
        <w:rPr>
          <w:rFonts w:ascii="仿宋" w:hAnsi="仿宋" w:eastAsia="仿宋"/>
          <w:b/>
          <w:color w:val="000000"/>
          <w:sz w:val="32"/>
          <w:szCs w:val="32"/>
        </w:rPr>
      </w:pPr>
      <w:bookmarkStart w:id="49" w:name="_Toc15377210"/>
      <w:bookmarkStart w:id="50" w:name="_Toc21338"/>
      <w:r>
        <w:rPr>
          <w:rFonts w:hint="eastAsia" w:ascii="仿宋" w:hAnsi="仿宋" w:eastAsia="仿宋"/>
          <w:b/>
          <w:color w:val="000000"/>
          <w:sz w:val="32"/>
          <w:szCs w:val="32"/>
        </w:rPr>
        <w:t>（一）一般公共预算财政拨款支出决算总体情况</w:t>
      </w:r>
      <w:bookmarkEnd w:id="49"/>
      <w:bookmarkEnd w:id="50"/>
    </w:p>
    <w:p>
      <w:pPr>
        <w:spacing w:line="353"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2019年一般公共预算财政拨款支出99.25万元，占本年支出合计的100%。与2018年相比，一般公共预算财政拨款增加3.24万元，增加7.32%。</w:t>
      </w:r>
      <w:r>
        <w:rPr>
          <w:rFonts w:hint="eastAsia" w:ascii="仿宋_GB2312" w:hAnsi="仿宋_GB2312" w:eastAsia="仿宋_GB2312" w:cs="仿宋_GB2312"/>
          <w:sz w:val="32"/>
          <w:szCs w:val="32"/>
        </w:rPr>
        <w:t>主要变动原因是正常增资增加。</w:t>
      </w:r>
    </w:p>
    <w:p>
      <w:pPr>
        <w:pStyle w:val="2"/>
        <w:spacing w:before="93"/>
        <w:ind w:firstLine="300"/>
      </w:pPr>
    </w:p>
    <w:p>
      <w:pPr>
        <w:pStyle w:val="4"/>
        <w:rPr>
          <w:rFonts w:eastAsiaTheme="minorEastAsia"/>
        </w:rPr>
      </w:pPr>
      <w:r>
        <w:rPr>
          <w:rFonts w:hint="eastAsia" w:eastAsiaTheme="minorEastAsia"/>
        </w:rPr>
        <w:drawing>
          <wp:inline distT="0" distB="0" distL="0" distR="0">
            <wp:extent cx="4510405" cy="2554605"/>
            <wp:effectExtent l="19050" t="0" r="23084" b="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themeColor="text1"/>
          <w:sz w:val="32"/>
          <w:szCs w:val="32"/>
        </w:rPr>
      </w:pPr>
      <w:r>
        <w:rPr>
          <w:rFonts w:hint="eastAsia" w:ascii="仿宋_GB2312" w:hAnsi="仿宋_GB2312" w:eastAsia="仿宋_GB2312" w:cs="仿宋_GB2312"/>
          <w:color w:val="000000" w:themeColor="text1"/>
          <w:sz w:val="32"/>
          <w:szCs w:val="32"/>
        </w:rPr>
        <w:t>（图5：一般公共预算财政拨款支出决算变动情况）</w:t>
      </w:r>
    </w:p>
    <w:p>
      <w:pPr>
        <w:spacing w:line="600" w:lineRule="exact"/>
        <w:ind w:firstLine="642" w:firstLineChars="200"/>
        <w:outlineLvl w:val="2"/>
        <w:rPr>
          <w:rFonts w:ascii="仿宋" w:hAnsi="仿宋" w:eastAsia="仿宋"/>
          <w:b/>
          <w:color w:val="000000"/>
          <w:sz w:val="32"/>
          <w:szCs w:val="32"/>
        </w:rPr>
      </w:pPr>
      <w:bookmarkStart w:id="51" w:name="_Toc15377211"/>
      <w:bookmarkStart w:id="52" w:name="_Toc18079"/>
      <w:r>
        <w:rPr>
          <w:rFonts w:hint="eastAsia" w:ascii="仿宋" w:hAnsi="仿宋" w:eastAsia="仿宋"/>
          <w:b/>
          <w:color w:val="000000"/>
          <w:sz w:val="32"/>
          <w:szCs w:val="32"/>
        </w:rPr>
        <w:t>（二）一般公共预算财政拨款支出决算结构情况</w:t>
      </w:r>
      <w:bookmarkEnd w:id="51"/>
      <w:bookmarkEnd w:id="52"/>
    </w:p>
    <w:p>
      <w:pPr>
        <w:spacing w:line="600" w:lineRule="exact"/>
        <w:ind w:firstLine="640"/>
        <w:rPr>
          <w:rFonts w:ascii="仿宋_GB2312" w:hAnsi="仿宋_GB2312" w:eastAsia="仿宋_GB2312" w:cs="仿宋_GB2312"/>
          <w:b/>
          <w:color w:val="000000" w:themeColor="text1"/>
          <w:sz w:val="32"/>
          <w:szCs w:val="32"/>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rPr>
        <w:t>政拨款支出</w:t>
      </w:r>
      <w:r>
        <w:rPr>
          <w:rFonts w:hint="eastAsia" w:ascii="仿宋_GB2312" w:hAnsi="仿宋_GB2312" w:eastAsia="仿宋_GB2312" w:cs="仿宋_GB2312"/>
          <w:color w:val="000000"/>
          <w:sz w:val="32"/>
          <w:szCs w:val="32"/>
        </w:rPr>
        <w:t>99.25</w:t>
      </w:r>
      <w:r>
        <w:rPr>
          <w:rFonts w:hint="eastAsia" w:ascii="仿宋_GB2312" w:hAnsi="仿宋_GB2312" w:eastAsia="仿宋_GB2312" w:cs="仿宋_GB2312"/>
          <w:color w:val="000000" w:themeColor="text1"/>
          <w:sz w:val="32"/>
          <w:szCs w:val="32"/>
        </w:rPr>
        <w:t>万元，主要用于以下方面:</w:t>
      </w:r>
      <w:r>
        <w:rPr>
          <w:rFonts w:hint="eastAsia" w:ascii="仿宋_GB2312" w:hAnsi="仿宋_GB2312" w:eastAsia="仿宋_GB2312" w:cs="仿宋_GB2312"/>
          <w:b/>
          <w:color w:val="000000" w:themeColor="text1"/>
          <w:sz w:val="32"/>
          <w:szCs w:val="32"/>
        </w:rPr>
        <w:t>一般公共服务（类）</w:t>
      </w:r>
      <w:r>
        <w:rPr>
          <w:rFonts w:hint="eastAsia" w:ascii="仿宋_GB2312" w:hAnsi="仿宋_GB2312" w:eastAsia="仿宋_GB2312" w:cs="仿宋_GB2312"/>
          <w:color w:val="000000" w:themeColor="text1"/>
          <w:sz w:val="32"/>
          <w:szCs w:val="32"/>
        </w:rPr>
        <w:t>支出77.73万元，占78.32%；</w:t>
      </w:r>
      <w:r>
        <w:rPr>
          <w:rFonts w:hint="eastAsia" w:ascii="仿宋_GB2312" w:hAnsi="仿宋_GB2312" w:eastAsia="仿宋_GB2312" w:cs="仿宋_GB2312"/>
          <w:b/>
          <w:color w:val="000000" w:themeColor="text1"/>
          <w:sz w:val="32"/>
          <w:szCs w:val="32"/>
        </w:rPr>
        <w:t>教育支出（类）0</w:t>
      </w:r>
      <w:r>
        <w:rPr>
          <w:rFonts w:hint="eastAsia" w:ascii="仿宋_GB2312" w:hAnsi="仿宋_GB2312" w:eastAsia="仿宋_GB2312" w:cs="仿宋_GB2312"/>
          <w:color w:val="000000" w:themeColor="text1"/>
          <w:sz w:val="32"/>
          <w:szCs w:val="32"/>
        </w:rPr>
        <w:t>万元，占0%；</w:t>
      </w:r>
      <w:r>
        <w:rPr>
          <w:rFonts w:hint="eastAsia" w:ascii="仿宋_GB2312" w:hAnsi="仿宋_GB2312" w:eastAsia="仿宋_GB2312" w:cs="仿宋_GB2312"/>
          <w:b/>
          <w:color w:val="000000" w:themeColor="text1"/>
          <w:sz w:val="32"/>
          <w:szCs w:val="32"/>
        </w:rPr>
        <w:t>科学技术（类）</w:t>
      </w:r>
      <w:r>
        <w:rPr>
          <w:rFonts w:hint="eastAsia" w:ascii="仿宋_GB2312" w:hAnsi="仿宋_GB2312" w:eastAsia="仿宋_GB2312" w:cs="仿宋_GB2312"/>
          <w:color w:val="000000" w:themeColor="text1"/>
          <w:sz w:val="32"/>
          <w:szCs w:val="32"/>
        </w:rPr>
        <w:t>支出0万元，占0%；</w:t>
      </w:r>
      <w:r>
        <w:rPr>
          <w:rFonts w:hint="eastAsia" w:ascii="仿宋_GB2312" w:hAnsi="仿宋_GB2312" w:eastAsia="仿宋_GB2312" w:cs="仿宋_GB2312"/>
          <w:b/>
          <w:bCs/>
          <w:color w:val="000000" w:themeColor="text1"/>
          <w:sz w:val="32"/>
          <w:szCs w:val="32"/>
        </w:rPr>
        <w:t>文化旅游体育与传媒（类）支出0万元，占0%</w:t>
      </w:r>
      <w:r>
        <w:rPr>
          <w:rFonts w:hint="eastAsia" w:ascii="仿宋_GB2312" w:hAnsi="仿宋_GB2312" w:eastAsia="仿宋_GB2312" w:cs="仿宋_GB2312"/>
          <w:color w:val="000000" w:themeColor="text1"/>
          <w:sz w:val="32"/>
          <w:szCs w:val="32"/>
        </w:rPr>
        <w:t>；</w:t>
      </w:r>
      <w:r>
        <w:rPr>
          <w:rFonts w:hint="eastAsia" w:ascii="仿宋_GB2312" w:hAnsi="仿宋_GB2312" w:eastAsia="仿宋_GB2312" w:cs="仿宋_GB2312"/>
          <w:b/>
          <w:color w:val="000000" w:themeColor="text1"/>
          <w:sz w:val="32"/>
          <w:szCs w:val="32"/>
        </w:rPr>
        <w:t>社会保障和就业（类）</w:t>
      </w:r>
      <w:r>
        <w:rPr>
          <w:rFonts w:hint="eastAsia" w:ascii="仿宋_GB2312" w:hAnsi="仿宋_GB2312" w:eastAsia="仿宋_GB2312" w:cs="仿宋_GB2312"/>
          <w:color w:val="000000" w:themeColor="text1"/>
          <w:sz w:val="32"/>
          <w:szCs w:val="32"/>
        </w:rPr>
        <w:t>支出8.18万元，占8.24%；</w:t>
      </w:r>
      <w:r>
        <w:rPr>
          <w:rFonts w:hint="eastAsia" w:ascii="仿宋_GB2312" w:hAnsi="仿宋_GB2312" w:eastAsia="仿宋_GB2312" w:cs="仿宋_GB2312"/>
          <w:b/>
          <w:bCs/>
          <w:color w:val="000000" w:themeColor="text1"/>
          <w:sz w:val="32"/>
          <w:szCs w:val="32"/>
        </w:rPr>
        <w:t>卫生健康支出</w:t>
      </w:r>
      <w:r>
        <w:rPr>
          <w:rFonts w:hint="eastAsia" w:ascii="仿宋_GB2312" w:hAnsi="仿宋_GB2312" w:eastAsia="仿宋_GB2312" w:cs="仿宋_GB2312"/>
          <w:color w:val="000000" w:themeColor="text1"/>
          <w:sz w:val="32"/>
          <w:szCs w:val="32"/>
        </w:rPr>
        <w:t>5.39万元，占5.43%；</w:t>
      </w:r>
      <w:r>
        <w:rPr>
          <w:rFonts w:hint="eastAsia" w:ascii="仿宋_GB2312" w:hAnsi="仿宋_GB2312" w:eastAsia="仿宋_GB2312" w:cs="仿宋_GB2312"/>
          <w:b/>
          <w:bCs/>
          <w:color w:val="000000" w:themeColor="text1"/>
          <w:sz w:val="32"/>
          <w:szCs w:val="32"/>
        </w:rPr>
        <w:t>住房保障支 出</w:t>
      </w:r>
      <w:r>
        <w:rPr>
          <w:rFonts w:hint="eastAsia" w:ascii="仿宋_GB2312" w:hAnsi="仿宋_GB2312" w:eastAsia="仿宋_GB2312" w:cs="仿宋_GB2312"/>
          <w:color w:val="000000" w:themeColor="text1"/>
          <w:sz w:val="32"/>
          <w:szCs w:val="32"/>
        </w:rPr>
        <w:t>7.95万元，占8.01%；</w:t>
      </w:r>
      <w:r>
        <w:rPr>
          <w:rFonts w:ascii="仿宋_GB2312" w:hAnsi="仿宋_GB2312" w:eastAsia="仿宋_GB2312" w:cs="仿宋_GB2312"/>
          <w:b/>
          <w:color w:val="000000" w:themeColor="text1"/>
          <w:sz w:val="32"/>
          <w:szCs w:val="32"/>
        </w:rPr>
        <w:t xml:space="preserve"> </w:t>
      </w:r>
    </w:p>
    <w:p>
      <w:pPr>
        <w:pStyle w:val="2"/>
        <w:spacing w:before="93"/>
        <w:ind w:firstLine="300"/>
        <w:jc w:val="center"/>
      </w:pPr>
      <w:r>
        <w:drawing>
          <wp:inline distT="0" distB="0" distL="0" distR="0">
            <wp:extent cx="4283710" cy="2509520"/>
            <wp:effectExtent l="19050" t="0" r="21291" b="4482"/>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（图6：一般公共预算财政拨款支出决算结构）</w:t>
      </w:r>
    </w:p>
    <w:p>
      <w:pPr>
        <w:spacing w:line="600" w:lineRule="exact"/>
        <w:ind w:firstLine="642" w:firstLineChars="200"/>
        <w:outlineLvl w:val="2"/>
        <w:rPr>
          <w:rFonts w:ascii="仿宋" w:hAnsi="仿宋" w:eastAsia="仿宋"/>
          <w:b/>
          <w:color w:val="000000"/>
          <w:sz w:val="32"/>
          <w:szCs w:val="32"/>
        </w:rPr>
      </w:pPr>
      <w:bookmarkStart w:id="53" w:name="_Toc21221"/>
      <w:bookmarkStart w:id="54" w:name="_Toc15377212"/>
      <w:r>
        <w:rPr>
          <w:rFonts w:hint="eastAsia" w:ascii="仿宋" w:hAnsi="仿宋" w:eastAsia="仿宋"/>
          <w:b/>
          <w:color w:val="000000"/>
          <w:sz w:val="32"/>
          <w:szCs w:val="32"/>
        </w:rPr>
        <w:t>（三）一般公共预算财政拨款支出决算具体情况</w:t>
      </w:r>
      <w:bookmarkEnd w:id="53"/>
      <w:bookmarkEnd w:id="54"/>
    </w:p>
    <w:p>
      <w:pPr>
        <w:spacing w:line="600" w:lineRule="exact"/>
        <w:ind w:firstLine="642" w:firstLineChars="200"/>
        <w:outlineLvl w:val="2"/>
        <w:rPr>
          <w:rFonts w:ascii="仿宋" w:hAnsi="仿宋" w:eastAsia="仿宋"/>
          <w:sz w:val="32"/>
          <w:szCs w:val="32"/>
        </w:rPr>
      </w:pPr>
      <w:bookmarkStart w:id="55" w:name="_Toc15377444"/>
      <w:bookmarkStart w:id="56" w:name="_Toc15377213"/>
      <w:bookmarkStart w:id="57" w:name="_Toc15378460"/>
      <w:bookmarkStart w:id="58" w:name="_Toc16126"/>
      <w:r>
        <w:rPr>
          <w:rFonts w:hint="eastAsia" w:ascii="仿宋" w:hAnsi="仿宋" w:eastAsia="仿宋"/>
          <w:b/>
          <w:color w:val="000000" w:themeColor="text1"/>
          <w:sz w:val="32"/>
          <w:szCs w:val="32"/>
        </w:rPr>
        <w:t>2019年一般公共预算支出决算数为99.25</w:t>
      </w:r>
      <w:r>
        <w:rPr>
          <w:rFonts w:hint="eastAsia" w:ascii="仿宋" w:hAnsi="仿宋" w:eastAsia="仿宋"/>
          <w:color w:val="000000" w:themeColor="text1"/>
          <w:sz w:val="32"/>
          <w:szCs w:val="32"/>
        </w:rPr>
        <w:t>，</w:t>
      </w:r>
      <w:r>
        <w:rPr>
          <w:rStyle w:val="17"/>
          <w:rFonts w:hint="eastAsia" w:ascii="仿宋" w:hAnsi="仿宋" w:eastAsia="仿宋"/>
          <w:bCs/>
          <w:color w:val="000000" w:themeColor="text1"/>
          <w:sz w:val="32"/>
          <w:szCs w:val="32"/>
        </w:rPr>
        <w:t>完成</w:t>
      </w:r>
      <w:r>
        <w:rPr>
          <w:rStyle w:val="17"/>
          <w:rFonts w:hint="eastAsia" w:ascii="仿宋" w:hAnsi="仿宋" w:eastAsia="仿宋"/>
          <w:bCs/>
          <w:color w:val="000000"/>
          <w:sz w:val="32"/>
          <w:szCs w:val="32"/>
        </w:rPr>
        <w:t>预算</w:t>
      </w:r>
      <w:r>
        <w:rPr>
          <w:rStyle w:val="17"/>
          <w:rFonts w:ascii="仿宋" w:hAnsi="仿宋" w:eastAsia="仿宋"/>
          <w:bCs/>
          <w:color w:val="000000" w:themeColor="text1"/>
          <w:sz w:val="32"/>
          <w:szCs w:val="32"/>
        </w:rPr>
        <w:t>100%</w:t>
      </w:r>
      <w:r>
        <w:rPr>
          <w:rStyle w:val="17"/>
          <w:rFonts w:hint="eastAsia" w:ascii="仿宋" w:hAnsi="仿宋" w:eastAsia="仿宋"/>
          <w:bCs/>
          <w:color w:val="000000" w:themeColor="text1"/>
          <w:sz w:val="32"/>
          <w:szCs w:val="32"/>
        </w:rPr>
        <w:t>。</w:t>
      </w:r>
      <w:r>
        <w:rPr>
          <w:rStyle w:val="17"/>
          <w:rFonts w:hint="eastAsia" w:ascii="仿宋" w:hAnsi="仿宋" w:eastAsia="仿宋"/>
          <w:bCs/>
          <w:sz w:val="32"/>
          <w:szCs w:val="32"/>
        </w:rPr>
        <w:t>其中：</w:t>
      </w:r>
      <w:bookmarkEnd w:id="55"/>
      <w:bookmarkEnd w:id="56"/>
      <w:bookmarkEnd w:id="57"/>
      <w:bookmarkEnd w:id="58"/>
    </w:p>
    <w:p>
      <w:pPr>
        <w:spacing w:line="600" w:lineRule="exact"/>
        <w:ind w:firstLine="642" w:firstLineChars="200"/>
        <w:rPr>
          <w:rStyle w:val="17"/>
          <w:rFonts w:ascii="仿宋_GB2312" w:hAnsi="仿宋_GB2312" w:eastAsia="仿宋_GB2312" w:cs="仿宋_GB2312"/>
          <w:b w:val="0"/>
          <w:bCs/>
          <w:sz w:val="32"/>
          <w:szCs w:val="32"/>
        </w:rPr>
      </w:pPr>
      <w:r>
        <w:rPr>
          <w:rStyle w:val="17"/>
          <w:rFonts w:hint="eastAsia" w:ascii="仿宋_GB2312" w:hAnsi="仿宋_GB2312" w:eastAsia="仿宋_GB2312" w:cs="仿宋_GB2312"/>
          <w:bCs/>
          <w:color w:val="000000"/>
          <w:sz w:val="32"/>
          <w:szCs w:val="32"/>
        </w:rPr>
        <w:t>1.一般公共服务（类）档案事务（款）行政运行（项）:</w:t>
      </w:r>
      <w:r>
        <w:rPr>
          <w:rStyle w:val="17"/>
          <w:rFonts w:hint="eastAsia" w:ascii="仿宋_GB2312" w:hAnsi="仿宋_GB2312" w:eastAsia="仿宋_GB2312" w:cs="仿宋_GB2312"/>
          <w:b w:val="0"/>
          <w:bCs/>
          <w:color w:val="000000"/>
          <w:sz w:val="32"/>
          <w:szCs w:val="32"/>
        </w:rPr>
        <w:t xml:space="preserve"> </w:t>
      </w:r>
      <w:r>
        <w:rPr>
          <w:rStyle w:val="17"/>
          <w:rFonts w:hint="eastAsia" w:ascii="仿宋_GB2312" w:hAnsi="仿宋_GB2312" w:eastAsia="仿宋_GB2312" w:cs="仿宋_GB2312"/>
          <w:b w:val="0"/>
          <w:bCs/>
          <w:sz w:val="32"/>
          <w:szCs w:val="32"/>
        </w:rPr>
        <w:t>支出决算为66.53万元，完成预算100%。</w:t>
      </w:r>
    </w:p>
    <w:p>
      <w:pPr>
        <w:pStyle w:val="2"/>
        <w:spacing w:before="93"/>
        <w:ind w:firstLine="642" w:firstLineChars="200"/>
        <w:rPr>
          <w:rStyle w:val="17"/>
          <w:rFonts w:hAnsi="仿宋_GB2312" w:cs="仿宋_GB2312"/>
          <w:b w:val="0"/>
          <w:bCs/>
          <w:sz w:val="32"/>
          <w:szCs w:val="32"/>
        </w:rPr>
      </w:pPr>
      <w:r>
        <w:rPr>
          <w:rStyle w:val="17"/>
          <w:rFonts w:hint="eastAsia" w:hAnsi="仿宋_GB2312" w:cs="仿宋_GB2312"/>
          <w:bCs/>
          <w:sz w:val="32"/>
          <w:szCs w:val="32"/>
        </w:rPr>
        <w:t>2.一般公共服务（类）档案事务（款）档案馆（项）:</w:t>
      </w:r>
      <w:r>
        <w:rPr>
          <w:rStyle w:val="17"/>
          <w:rFonts w:hint="eastAsia" w:hAnsi="仿宋_GB2312" w:cs="仿宋_GB2312"/>
          <w:b w:val="0"/>
          <w:bCs/>
          <w:sz w:val="32"/>
          <w:szCs w:val="32"/>
        </w:rPr>
        <w:t xml:space="preserve"> 支出决算为11.2万元，完成预算100%。</w:t>
      </w:r>
    </w:p>
    <w:p>
      <w:pPr>
        <w:ind w:firstLine="629" w:firstLineChars="196"/>
        <w:rPr>
          <w:rStyle w:val="17"/>
          <w:rFonts w:ascii="仿宋_GB2312" w:hAnsi="仿宋_GB2312" w:eastAsia="仿宋_GB2312" w:cs="仿宋_GB2312"/>
          <w:bCs/>
          <w:sz w:val="32"/>
          <w:szCs w:val="32"/>
        </w:rPr>
      </w:pPr>
      <w:r>
        <w:rPr>
          <w:rStyle w:val="17"/>
          <w:rFonts w:hint="eastAsia" w:ascii="仿宋_GB2312" w:hAnsi="仿宋_GB2312" w:eastAsia="仿宋_GB2312" w:cs="仿宋_GB2312"/>
          <w:bCs/>
          <w:sz w:val="32"/>
          <w:szCs w:val="32"/>
        </w:rPr>
        <w:t>3. 社会保障和就业支出（类） 行政事业单位离退休（款） 未归口管理的行政单位离退休（项）:</w:t>
      </w:r>
      <w:r>
        <w:rPr>
          <w:rStyle w:val="17"/>
          <w:rFonts w:hint="eastAsia" w:ascii="仿宋_GB2312" w:hAnsi="仿宋_GB2312" w:eastAsia="仿宋_GB2312" w:cs="仿宋_GB2312"/>
          <w:b w:val="0"/>
          <w:bCs/>
          <w:sz w:val="32"/>
          <w:szCs w:val="32"/>
        </w:rPr>
        <w:t xml:space="preserve"> 支出决算为1.63万元，完成预算100%。</w:t>
      </w:r>
    </w:p>
    <w:p>
      <w:pPr>
        <w:ind w:firstLine="629" w:firstLineChars="196"/>
        <w:rPr>
          <w:rStyle w:val="17"/>
          <w:rFonts w:ascii="仿宋_GB2312" w:hAnsi="仿宋_GB2312" w:eastAsia="仿宋_GB2312" w:cs="仿宋_GB2312"/>
          <w:bCs/>
          <w:sz w:val="32"/>
          <w:szCs w:val="32"/>
        </w:rPr>
      </w:pPr>
      <w:r>
        <w:rPr>
          <w:rStyle w:val="17"/>
          <w:rFonts w:hint="eastAsia" w:ascii="仿宋_GB2312" w:hAnsi="仿宋_GB2312" w:eastAsia="仿宋_GB2312" w:cs="仿宋_GB2312"/>
          <w:bCs/>
          <w:sz w:val="32"/>
          <w:szCs w:val="32"/>
        </w:rPr>
        <w:t>4. 社会保障和就业支出（类） 行政事业单位离退休（款）</w:t>
      </w:r>
      <w:r>
        <w:rPr>
          <w:rFonts w:hint="eastAsia" w:ascii="宋体" w:hAnsi="宋体" w:cs="Arial"/>
          <w:kern w:val="0"/>
          <w:sz w:val="22"/>
          <w:szCs w:val="22"/>
        </w:rPr>
        <w:t xml:space="preserve"> </w:t>
      </w:r>
      <w:r>
        <w:rPr>
          <w:rStyle w:val="17"/>
          <w:rFonts w:hint="eastAsia" w:ascii="仿宋_GB2312" w:hAnsi="仿宋_GB2312" w:eastAsia="仿宋_GB2312" w:cs="仿宋_GB2312"/>
          <w:bCs/>
          <w:sz w:val="32"/>
          <w:szCs w:val="32"/>
        </w:rPr>
        <w:t>机关事业单位基本养老保险缴费支出（项）:</w:t>
      </w:r>
      <w:r>
        <w:rPr>
          <w:rStyle w:val="17"/>
          <w:rFonts w:hint="eastAsia" w:ascii="仿宋_GB2312" w:hAnsi="仿宋_GB2312" w:eastAsia="仿宋_GB2312" w:cs="仿宋_GB2312"/>
          <w:b w:val="0"/>
          <w:bCs/>
          <w:sz w:val="32"/>
          <w:szCs w:val="32"/>
        </w:rPr>
        <w:t xml:space="preserve"> 支出决算为6.5万元，完成预算100%。</w:t>
      </w:r>
    </w:p>
    <w:p>
      <w:pPr>
        <w:rPr>
          <w:rStyle w:val="17"/>
          <w:rFonts w:ascii="仿宋_GB2312" w:hAnsi="仿宋_GB2312" w:eastAsia="仿宋_GB2312" w:cs="仿宋_GB2312"/>
          <w:bCs/>
          <w:sz w:val="32"/>
          <w:szCs w:val="32"/>
        </w:rPr>
      </w:pPr>
      <w:r>
        <w:rPr>
          <w:rStyle w:val="17"/>
          <w:rFonts w:hint="eastAsia" w:ascii="仿宋_GB2312" w:hAnsi="仿宋_GB2312" w:eastAsia="仿宋_GB2312" w:cs="仿宋_GB2312"/>
          <w:bCs/>
          <w:sz w:val="32"/>
          <w:szCs w:val="32"/>
        </w:rPr>
        <w:t>5. 卫生健康支出（类）行政事业单位医疗（款）行政单位医疗（项）:</w:t>
      </w:r>
      <w:r>
        <w:rPr>
          <w:rStyle w:val="17"/>
          <w:rFonts w:hint="eastAsia" w:ascii="仿宋_GB2312" w:hAnsi="仿宋_GB2312" w:eastAsia="仿宋_GB2312" w:cs="仿宋_GB2312"/>
          <w:b w:val="0"/>
          <w:bCs/>
          <w:sz w:val="32"/>
          <w:szCs w:val="32"/>
        </w:rPr>
        <w:t xml:space="preserve"> 支出决算为4.81万元，完成预算100%。</w:t>
      </w:r>
    </w:p>
    <w:p>
      <w:pPr>
        <w:ind w:firstLine="629" w:firstLineChars="196"/>
        <w:rPr>
          <w:rStyle w:val="17"/>
          <w:rFonts w:ascii="仿宋_GB2312" w:hAnsi="仿宋_GB2312" w:eastAsia="仿宋_GB2312" w:cs="仿宋_GB2312"/>
          <w:bCs/>
          <w:sz w:val="32"/>
          <w:szCs w:val="32"/>
        </w:rPr>
      </w:pPr>
      <w:r>
        <w:rPr>
          <w:rStyle w:val="17"/>
          <w:rFonts w:hint="eastAsia" w:ascii="仿宋_GB2312" w:hAnsi="仿宋_GB2312" w:eastAsia="仿宋_GB2312" w:cs="仿宋_GB2312"/>
          <w:bCs/>
          <w:sz w:val="32"/>
          <w:szCs w:val="32"/>
        </w:rPr>
        <w:t>6. 卫生健康支出（类）行政事业单位医疗（款）</w:t>
      </w:r>
      <w:r>
        <w:rPr>
          <w:rFonts w:hint="eastAsia" w:ascii="宋体" w:hAnsi="宋体" w:cs="Arial"/>
          <w:kern w:val="0"/>
          <w:sz w:val="22"/>
          <w:szCs w:val="22"/>
        </w:rPr>
        <w:t xml:space="preserve"> </w:t>
      </w:r>
      <w:r>
        <w:rPr>
          <w:rStyle w:val="17"/>
          <w:rFonts w:hint="eastAsia" w:ascii="仿宋_GB2312" w:hAnsi="仿宋_GB2312" w:eastAsia="仿宋_GB2312" w:cs="仿宋_GB2312"/>
          <w:bCs/>
          <w:sz w:val="32"/>
          <w:szCs w:val="32"/>
        </w:rPr>
        <w:t>公务员医疗补助（项）:</w:t>
      </w:r>
      <w:r>
        <w:rPr>
          <w:rStyle w:val="17"/>
          <w:rFonts w:hint="eastAsia" w:ascii="仿宋_GB2312" w:hAnsi="仿宋_GB2312" w:eastAsia="仿宋_GB2312" w:cs="仿宋_GB2312"/>
          <w:b w:val="0"/>
          <w:bCs/>
          <w:sz w:val="32"/>
          <w:szCs w:val="32"/>
        </w:rPr>
        <w:t xml:space="preserve"> 支出决算为0.58万元，完成预算100%。</w:t>
      </w:r>
    </w:p>
    <w:p>
      <w:pPr>
        <w:ind w:firstLine="629" w:firstLineChars="196"/>
        <w:rPr>
          <w:rFonts w:ascii="仿宋_GB2312" w:hAnsi="仿宋_GB2312" w:eastAsia="仿宋_GB2312" w:cs="仿宋_GB2312"/>
          <w:b/>
          <w:bCs/>
          <w:sz w:val="32"/>
          <w:szCs w:val="32"/>
        </w:rPr>
      </w:pPr>
      <w:r>
        <w:rPr>
          <w:rStyle w:val="17"/>
          <w:rFonts w:hint="eastAsia" w:ascii="仿宋_GB2312" w:hAnsi="仿宋_GB2312" w:eastAsia="仿宋_GB2312" w:cs="仿宋_GB2312"/>
          <w:bCs/>
          <w:sz w:val="32"/>
          <w:szCs w:val="32"/>
        </w:rPr>
        <w:t>7. 住房保障支出（类）住房改革支出（款） 住房公积金（项）:</w:t>
      </w:r>
      <w:r>
        <w:rPr>
          <w:rStyle w:val="17"/>
          <w:rFonts w:hint="eastAsia" w:ascii="仿宋_GB2312" w:hAnsi="仿宋_GB2312" w:eastAsia="仿宋_GB2312" w:cs="仿宋_GB2312"/>
          <w:b w:val="0"/>
          <w:bCs/>
          <w:sz w:val="32"/>
          <w:szCs w:val="32"/>
        </w:rPr>
        <w:t xml:space="preserve"> 支出决算为7.95万元，完成预算100%。</w:t>
      </w:r>
    </w:p>
    <w:p>
      <w:pPr>
        <w:tabs>
          <w:tab w:val="right" w:pos="8306"/>
        </w:tabs>
        <w:spacing w:line="600" w:lineRule="exact"/>
        <w:ind w:firstLine="640"/>
        <w:outlineLvl w:val="1"/>
        <w:rPr>
          <w:rStyle w:val="28"/>
        </w:rPr>
      </w:pPr>
      <w:bookmarkStart w:id="59" w:name="_Toc15396608"/>
      <w:bookmarkStart w:id="60" w:name="_Toc15377214"/>
      <w:bookmarkStart w:id="61" w:name="_Toc1597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9"/>
      <w:bookmarkEnd w:id="60"/>
      <w:bookmarkEnd w:id="61"/>
      <w:r>
        <w:rPr>
          <w:rStyle w:val="28"/>
          <w:rFonts w:ascii="黑体" w:hAnsi="黑体" w:eastAsia="黑体"/>
          <w:b w:val="0"/>
        </w:rPr>
        <w:tab/>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2019年一般公共预算财政拨款基本支出88.05万元，其中：</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77.05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11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Fonts w:ascii="黑体" w:hAnsi="黑体" w:eastAsia="黑体" w:cstheme="majorBidi"/>
          <w:bCs/>
          <w:sz w:val="32"/>
          <w:szCs w:val="32"/>
        </w:rPr>
      </w:pPr>
      <w:bookmarkStart w:id="62" w:name="_Toc15396609"/>
      <w:bookmarkStart w:id="63" w:name="_Toc20947"/>
      <w:bookmarkStart w:id="64"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2"/>
      <w:bookmarkEnd w:id="63"/>
      <w:bookmarkEnd w:id="64"/>
      <w:bookmarkStart w:id="65" w:name="_Toc3216"/>
      <w:bookmarkStart w:id="66" w:name="_Toc15377216"/>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“三公”经费财政拨款支出决算总体情况说明</w:t>
      </w:r>
      <w:bookmarkEnd w:id="65"/>
      <w:bookmarkEnd w:id="66"/>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2019年“三公”经费财政拨款支出决算为0.08万元，完成预算100%，</w:t>
      </w:r>
      <w:r>
        <w:rPr>
          <w:rFonts w:hint="eastAsia" w:ascii="仿宋" w:hAnsi="仿宋" w:eastAsia="仿宋"/>
          <w:sz w:val="32"/>
          <w:szCs w:val="32"/>
        </w:rPr>
        <w:t>与预算数持平</w:t>
      </w:r>
      <w:r>
        <w:rPr>
          <w:rFonts w:hint="eastAsia" w:ascii="仿宋_GB2312" w:hAnsi="仿宋_GB2312" w:eastAsia="仿宋_GB2312" w:cs="仿宋_GB2312"/>
          <w:sz w:val="32"/>
          <w:szCs w:val="32"/>
        </w:rPr>
        <w:t>的原因是严格控制预算</w:t>
      </w:r>
      <w:r>
        <w:rPr>
          <w:rFonts w:hint="eastAsia" w:ascii="仿宋_GB2312" w:hAnsi="仿宋_GB2312" w:eastAsia="仿宋_GB2312" w:cs="仿宋_GB2312"/>
          <w:color w:val="000000"/>
          <w:sz w:val="32"/>
          <w:szCs w:val="32"/>
        </w:rPr>
        <w:t>。</w:t>
      </w:r>
    </w:p>
    <w:p>
      <w:pPr>
        <w:spacing w:line="600" w:lineRule="exact"/>
        <w:ind w:firstLine="640"/>
        <w:outlineLvl w:val="2"/>
        <w:rPr>
          <w:rFonts w:ascii="仿宋" w:hAnsi="仿宋" w:eastAsia="仿宋"/>
          <w:b/>
          <w:color w:val="000000"/>
          <w:sz w:val="32"/>
          <w:szCs w:val="32"/>
        </w:rPr>
      </w:pPr>
      <w:bookmarkStart w:id="67" w:name="_Toc16233"/>
      <w:bookmarkStart w:id="68" w:name="_Toc15377217"/>
      <w:r>
        <w:rPr>
          <w:rFonts w:hint="eastAsia" w:ascii="仿宋" w:hAnsi="仿宋" w:eastAsia="仿宋"/>
          <w:b/>
          <w:color w:val="000000"/>
          <w:sz w:val="32"/>
          <w:szCs w:val="32"/>
        </w:rPr>
        <w:t>（二）“三公”经费财政拨款支出决算具体情况说明</w:t>
      </w:r>
      <w:bookmarkEnd w:id="67"/>
      <w:bookmarkEnd w:id="68"/>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2019年“三公”经费财政拨款支出决算中，因公出国（境）费支出决算0万元，占0%；公务用车购置及运行维护费支出决算0万元，占0%；公务接待费支出决算0.08万元，占100%。具体情况如下：</w:t>
      </w:r>
    </w:p>
    <w:p>
      <w:pPr>
        <w:pStyle w:val="4"/>
        <w:rPr>
          <w:rFonts w:eastAsia="仿宋"/>
        </w:rPr>
      </w:pPr>
      <w:r>
        <w:rPr>
          <w:rFonts w:eastAsia="仿宋"/>
        </w:rPr>
        <w:drawing>
          <wp:inline distT="0" distB="0" distL="0" distR="0">
            <wp:extent cx="4364355" cy="2715895"/>
            <wp:effectExtent l="19050" t="0" r="16809" b="7844"/>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。主要原因是…</w:t>
      </w:r>
    </w:p>
    <w:p>
      <w:pPr>
        <w:spacing w:line="600"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0万元,</w:t>
      </w:r>
      <w:r>
        <w:rPr>
          <w:rStyle w:val="17"/>
          <w:rFonts w:hint="eastAsia" w:ascii="仿宋" w:hAnsi="仿宋" w:eastAsia="仿宋"/>
          <w:b w:val="0"/>
          <w:bCs/>
          <w:color w:val="000000"/>
          <w:sz w:val="32"/>
          <w:szCs w:val="32"/>
        </w:rPr>
        <w:t>完成预算0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201</w:t>
      </w:r>
      <w:r>
        <w:rPr>
          <w:rFonts w:hint="eastAsia" w:ascii="仿宋_GB2312" w:eastAsia="仿宋_GB2312"/>
          <w:color w:val="000000"/>
          <w:sz w:val="32"/>
          <w:szCs w:val="32"/>
        </w:rPr>
        <w:t>8年无。</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月底，单位共有公务用车0辆，其中：主要领导干部用车0辆、机要通信用车0辆、应急保障用车0辆、 执法执勤用车0辆、皮卡车0辆。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0万元。主要用于街道日常工作事务开展等所需的公务用车燃料费、维修费、过路过桥费、保险费等支出。</w:t>
      </w:r>
    </w:p>
    <w:p>
      <w:pPr>
        <w:spacing w:line="600" w:lineRule="exact"/>
        <w:ind w:firstLine="640"/>
        <w:rPr>
          <w:rFonts w:ascii="仿宋" w:hAnsi="仿宋" w:eastAsia="仿宋"/>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0.08万元，</w:t>
      </w:r>
      <w:r>
        <w:rPr>
          <w:rStyle w:val="17"/>
          <w:rFonts w:hint="eastAsia" w:ascii="仿宋_GB2312" w:hAnsi="仿宋_GB2312" w:eastAsia="仿宋_GB2312" w:cs="仿宋_GB2312"/>
          <w:b w:val="0"/>
          <w:bCs/>
          <w:color w:val="000000"/>
          <w:sz w:val="32"/>
          <w:szCs w:val="32"/>
        </w:rPr>
        <w:t>完成预算100%。</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8年减少0.01万元，下降7.3</w:t>
      </w:r>
      <w:r>
        <w:rPr>
          <w:rFonts w:ascii="仿宋_GB2312" w:eastAsia="仿宋_GB2312"/>
          <w:color w:val="000000"/>
          <w:sz w:val="32"/>
          <w:szCs w:val="32"/>
        </w:rPr>
        <w:t>%</w:t>
      </w:r>
      <w:r>
        <w:rPr>
          <w:rFonts w:hint="eastAsia" w:ascii="仿宋_GB2312" w:eastAsia="仿宋_GB2312"/>
          <w:color w:val="000000"/>
          <w:sz w:val="32"/>
          <w:szCs w:val="32"/>
        </w:rPr>
        <w:t>。主要原因是加强公务接待管理严格控制用餐标准</w:t>
      </w:r>
      <w:r>
        <w:rPr>
          <w:rFonts w:hint="eastAsia" w:ascii="仿宋" w:hAnsi="仿宋" w:eastAsia="仿宋"/>
          <w:color w:val="000000"/>
          <w:sz w:val="32"/>
          <w:szCs w:val="32"/>
        </w:rPr>
        <w:t>。</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_GB2312" w:hAnsi="仿宋_GB2312" w:eastAsia="仿宋_GB2312" w:cs="仿宋_GB2312"/>
          <w:color w:val="000000"/>
          <w:sz w:val="32"/>
          <w:szCs w:val="32"/>
        </w:rPr>
        <w:t>0.08</w:t>
      </w:r>
      <w:r>
        <w:rPr>
          <w:rFonts w:hint="eastAsia" w:ascii="仿宋_GB2312" w:eastAsia="仿宋_GB2312"/>
          <w:color w:val="000000"/>
          <w:sz w:val="32"/>
          <w:szCs w:val="32"/>
        </w:rPr>
        <w:t>万元，主要用于执行用餐费。国内公务接待1批次，4人次（不包括陪同人员），共计支出0.08万元。</w:t>
      </w:r>
    </w:p>
    <w:p>
      <w:pPr>
        <w:spacing w:line="600" w:lineRule="exact"/>
        <w:ind w:firstLine="642" w:firstLineChars="200"/>
        <w:rPr>
          <w:rFonts w:ascii="黑体" w:eastAsia="黑体"/>
          <w:color w:val="000000"/>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bookmarkStart w:id="69" w:name="_Toc15377218"/>
      <w:bookmarkStart w:id="70" w:name="_Toc15396610"/>
    </w:p>
    <w:p>
      <w:pPr>
        <w:spacing w:line="600" w:lineRule="exact"/>
        <w:ind w:firstLine="640"/>
        <w:outlineLvl w:val="1"/>
        <w:rPr>
          <w:rStyle w:val="28"/>
          <w:rFonts w:ascii="黑体" w:hAnsi="黑体" w:eastAsia="黑体"/>
        </w:rPr>
      </w:pPr>
      <w:bookmarkStart w:id="71" w:name="_Toc30496"/>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69"/>
      <w:bookmarkEnd w:id="70"/>
      <w:bookmarkEnd w:id="7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numPr>
          <w:ilvl w:val="0"/>
          <w:numId w:val="2"/>
        </w:numPr>
        <w:spacing w:line="600" w:lineRule="exact"/>
        <w:ind w:firstLine="640"/>
        <w:outlineLvl w:val="1"/>
        <w:rPr>
          <w:rStyle w:val="28"/>
          <w:rFonts w:ascii="黑体" w:hAnsi="黑体" w:eastAsia="黑体"/>
          <w:b w:val="0"/>
        </w:rPr>
      </w:pPr>
      <w:bookmarkStart w:id="72" w:name="_Toc15396611"/>
      <w:bookmarkStart w:id="73" w:name="_Toc13033"/>
      <w:bookmarkStart w:id="74" w:name="_Toc15377219"/>
      <w:r>
        <w:rPr>
          <w:rStyle w:val="28"/>
          <w:rFonts w:hint="eastAsia" w:ascii="黑体" w:hAnsi="黑体" w:eastAsia="黑体"/>
          <w:b w:val="0"/>
        </w:rPr>
        <w:t>国有资本经营预算支出决算情况说明</w:t>
      </w:r>
      <w:bookmarkEnd w:id="72"/>
      <w:bookmarkEnd w:id="73"/>
      <w:bookmarkEnd w:id="74"/>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640" w:firstLineChars="200"/>
        <w:outlineLvl w:val="1"/>
        <w:rPr>
          <w:rStyle w:val="28"/>
          <w:rFonts w:ascii="黑体" w:hAnsi="黑体" w:eastAsia="黑体"/>
        </w:rPr>
      </w:pPr>
      <w:bookmarkStart w:id="75" w:name="_Toc15396612"/>
      <w:bookmarkStart w:id="76" w:name="_Toc15377221"/>
      <w:bookmarkStart w:id="77" w:name="_Toc7096"/>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75"/>
      <w:bookmarkEnd w:id="76"/>
      <w:bookmarkEnd w:id="77"/>
    </w:p>
    <w:p>
      <w:pPr>
        <w:spacing w:line="600" w:lineRule="exact"/>
        <w:ind w:firstLine="642" w:firstLineChars="200"/>
        <w:outlineLvl w:val="2"/>
        <w:rPr>
          <w:rFonts w:ascii="仿宋" w:hAnsi="仿宋" w:eastAsia="仿宋"/>
          <w:color w:val="000000"/>
          <w:sz w:val="32"/>
          <w:szCs w:val="32"/>
        </w:rPr>
      </w:pPr>
      <w:bookmarkStart w:id="78" w:name="_Toc15377222"/>
      <w:bookmarkStart w:id="79" w:name="_Toc32250"/>
      <w:r>
        <w:rPr>
          <w:rFonts w:hint="eastAsia" w:ascii="仿宋" w:hAnsi="仿宋" w:eastAsia="仿宋"/>
          <w:b/>
          <w:color w:val="000000"/>
          <w:sz w:val="32"/>
          <w:szCs w:val="32"/>
        </w:rPr>
        <w:t>（一）机关运行经费支出情况</w:t>
      </w:r>
      <w:bookmarkEnd w:id="78"/>
      <w:bookmarkEnd w:id="79"/>
    </w:p>
    <w:p>
      <w:pPr>
        <w:spacing w:line="600" w:lineRule="exact"/>
        <w:ind w:firstLine="640" w:firstLineChars="200"/>
        <w:rPr>
          <w:rFonts w:ascii="仿宋_GB2312" w:eastAsia="仿宋_GB2312"/>
          <w:color w:val="000000" w:themeColor="text1"/>
          <w:sz w:val="32"/>
          <w:szCs w:val="32"/>
        </w:rPr>
      </w:pPr>
      <w:r>
        <w:rPr>
          <w:rFonts w:ascii="仿宋_GB2312" w:eastAsia="仿宋_GB2312"/>
          <w:sz w:val="32"/>
          <w:szCs w:val="32"/>
        </w:rPr>
        <w:t>201</w:t>
      </w:r>
      <w:r>
        <w:rPr>
          <w:rFonts w:hint="eastAsia" w:ascii="仿宋_GB2312" w:eastAsia="仿宋_GB2312"/>
          <w:sz w:val="32"/>
          <w:szCs w:val="32"/>
        </w:rPr>
        <w:t>9年，西区档案馆机关运行经费支出11万元，比</w:t>
      </w:r>
      <w:r>
        <w:rPr>
          <w:rFonts w:ascii="仿宋_GB2312" w:eastAsia="仿宋_GB2312"/>
          <w:sz w:val="32"/>
          <w:szCs w:val="32"/>
        </w:rPr>
        <w:t>201</w:t>
      </w:r>
      <w:r>
        <w:rPr>
          <w:rFonts w:hint="eastAsia" w:ascii="仿宋_GB2312" w:eastAsia="仿宋_GB2312"/>
          <w:sz w:val="32"/>
          <w:szCs w:val="32"/>
        </w:rPr>
        <w:t>8年增加3.09万元，增长39.1</w:t>
      </w:r>
      <w:r>
        <w:rPr>
          <w:rFonts w:ascii="仿宋_GB2312" w:eastAsia="仿宋_GB2312"/>
          <w:sz w:val="32"/>
          <w:szCs w:val="32"/>
        </w:rPr>
        <w:t>%</w:t>
      </w:r>
      <w:r>
        <w:rPr>
          <w:rFonts w:hint="eastAsia" w:ascii="仿宋_GB2312" w:eastAsia="仿宋_GB2312"/>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8年决算数持平）。</w:t>
      </w:r>
      <w:r>
        <w:rPr>
          <w:rFonts w:hint="eastAsia" w:ascii="仿宋_GB2312" w:eastAsia="仿宋_GB2312"/>
          <w:color w:val="000000" w:themeColor="text1"/>
          <w:sz w:val="32"/>
          <w:szCs w:val="32"/>
        </w:rPr>
        <w:t>主要原因是人员经费增加。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0" w:name="_Toc28050"/>
      <w:bookmarkStart w:id="81" w:name="_Toc15377223"/>
      <w:r>
        <w:rPr>
          <w:rFonts w:hint="eastAsia" w:ascii="仿宋" w:hAnsi="仿宋" w:eastAsia="仿宋"/>
          <w:b/>
          <w:color w:val="000000"/>
          <w:sz w:val="32"/>
          <w:szCs w:val="32"/>
        </w:rPr>
        <w:t>（二）政府采购支出情况</w:t>
      </w:r>
      <w:bookmarkEnd w:id="80"/>
      <w:bookmarkEnd w:id="8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9年，西区档案馆采购支出总额0.96万元，其中：政府采购货物支出0.96万元、政府采购工程支出0万元、政府采购服务支出0万元。</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2" w:name="_Toc15377224"/>
      <w:bookmarkStart w:id="83" w:name="_Toc22110"/>
      <w:r>
        <w:rPr>
          <w:rFonts w:hint="eastAsia" w:ascii="仿宋" w:hAnsi="仿宋" w:eastAsia="仿宋"/>
          <w:b/>
          <w:color w:val="000000"/>
          <w:sz w:val="32"/>
          <w:szCs w:val="32"/>
        </w:rPr>
        <w:t>（三）国有资产占有使用情况</w:t>
      </w:r>
      <w:bookmarkEnd w:id="82"/>
      <w:bookmarkEnd w:id="83"/>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日，西区档案馆共有车辆0辆，其中：主要领导干部用车0辆、机要通信用车0辆、应急保障用车0辆、其他用车1辆，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4" w:name="_Toc17714"/>
      <w:r>
        <w:rPr>
          <w:rFonts w:hint="eastAsia" w:ascii="仿宋" w:hAnsi="仿宋" w:eastAsia="仿宋"/>
          <w:b/>
          <w:color w:val="000000"/>
          <w:sz w:val="32"/>
          <w:szCs w:val="32"/>
        </w:rPr>
        <w:t>（四）预算绩效管理情况。</w:t>
      </w:r>
      <w:bookmarkEnd w:id="8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档案安全保管利用维护1个开展了预算事前绩效评估，对1个项目编制了绩效目标，预算执行过程中，选取1个项目开展绩效监控，年终执行完毕后，对1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我单位整体支出的经济性和时效性都明显增强，切实提升了单位的整体支出效益，有力推动了相关工作的开展，基本实现了预算绩效管理工作目标。</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本部门在2019年度部门决算中反映“档案安全保管利用维护”专项经费1个项目绩效目标实际完成情况。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（1）档案馆专项经费项目绩效目标完成情况综述。项目全年预算数11.2万元，执行数为11.2万元，完成预算的100%。通过项目实施，保障了馆内消防、电力、办公设备正常运行，保证馆藏档案绝对完整、安全。</w:t>
      </w:r>
    </w:p>
    <w:p>
      <w:pPr>
        <w:spacing w:line="580" w:lineRule="exact"/>
        <w:rPr>
          <w:rFonts w:ascii="仿宋_GB2312" w:hAnsi="仿宋_GB2312" w:eastAsia="仿宋_GB2312" w:cs="仿宋_GB2312"/>
          <w:sz w:val="32"/>
          <w:szCs w:val="32"/>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Cs/>
                <w:color w:val="000000"/>
                <w:kern w:val="0"/>
                <w:sz w:val="36"/>
                <w:szCs w:val="36"/>
              </w:rPr>
              <w:t>项目绩效目标完成情况表</w:t>
            </w:r>
            <w:r>
              <w:rPr>
                <w:rFonts w:hint="eastAsia" w:ascii="宋体" w:hAnsi="宋体" w:cs="宋体"/>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Theme="minorEastAsia" w:hAnsiTheme="minorEastAsia" w:eastAsiaTheme="minorEastAsia" w:cstheme="minorEastAsia"/>
                <w:sz w:val="24"/>
              </w:rPr>
              <w:t>档案馆档案安全保管 利用维护专项经费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攀枝花市西区档案馆</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11.2</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11.2</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根据省委、省政府和省档案局文件要求，结全档案馆职责及制度，做好档案库房及查阅利用设施设备的日常维护，保障档案</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较好的完成了年初设定的目标。</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6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日常消防、电力、办公设备、设施运行维护、库房档案柜用药、3号库房启用倒库工作、对外提供查阅利用服务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每日巡查，及时维修及更换设备、药品更换、购买库房档案柜</w:t>
            </w:r>
            <w:r>
              <w:rPr>
                <w:rFonts w:ascii="宋体" w:hAnsi="宋体" w:cs="宋体"/>
                <w:color w:val="000000" w:themeColor="text1"/>
                <w:sz w:val="24"/>
              </w:rPr>
              <w:t>50</w:t>
            </w:r>
            <w:r>
              <w:rPr>
                <w:rFonts w:hint="eastAsia" w:ascii="宋体" w:hAnsi="宋体" w:cs="宋体"/>
                <w:color w:val="000000" w:themeColor="text1"/>
                <w:sz w:val="24"/>
              </w:rPr>
              <w:t>组、每年查档2000件。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每日巡查，及时维修及更换设备，更换</w:t>
            </w:r>
            <w:r>
              <w:rPr>
                <w:rFonts w:ascii="宋体" w:hAnsi="宋体" w:cs="宋体"/>
                <w:color w:val="000000"/>
                <w:sz w:val="24"/>
              </w:rPr>
              <w:t>档案</w:t>
            </w:r>
            <w:r>
              <w:rPr>
                <w:rFonts w:hint="eastAsia" w:ascii="宋体" w:hAnsi="宋体" w:cs="宋体"/>
                <w:color w:val="000000"/>
                <w:sz w:val="24"/>
              </w:rPr>
              <w:t>药品3221包</w:t>
            </w:r>
            <w:r>
              <w:rPr>
                <w:rFonts w:ascii="宋体" w:hAnsi="宋体" w:cs="宋体"/>
                <w:color w:val="000000"/>
                <w:sz w:val="24"/>
              </w:rPr>
              <w:t>，</w:t>
            </w:r>
            <w:r>
              <w:rPr>
                <w:rFonts w:hint="eastAsia" w:ascii="宋体" w:hAnsi="宋体" w:cs="宋体"/>
                <w:color w:val="000000"/>
                <w:sz w:val="24"/>
              </w:rPr>
              <w:t>购买库房档案柜</w:t>
            </w:r>
            <w:r>
              <w:rPr>
                <w:rFonts w:ascii="宋体" w:hAnsi="宋体" w:cs="宋体"/>
                <w:color w:val="000000"/>
                <w:sz w:val="24"/>
              </w:rPr>
              <w:t>50</w:t>
            </w:r>
            <w:r>
              <w:rPr>
                <w:rFonts w:hint="eastAsia" w:ascii="宋体" w:hAnsi="宋体" w:cs="宋体"/>
                <w:color w:val="000000"/>
                <w:sz w:val="24"/>
              </w:rPr>
              <w:t>组、</w:t>
            </w:r>
            <w:r>
              <w:rPr>
                <w:rFonts w:ascii="宋体" w:hAnsi="宋体" w:cs="宋体"/>
                <w:color w:val="000000"/>
                <w:sz w:val="24"/>
              </w:rPr>
              <w:t>柜式空调</w:t>
            </w:r>
            <w:r>
              <w:rPr>
                <w:rFonts w:hint="eastAsia" w:ascii="宋体" w:hAnsi="宋体" w:cs="宋体"/>
                <w:color w:val="000000"/>
                <w:sz w:val="24"/>
              </w:rPr>
              <w:t>2台</w:t>
            </w:r>
            <w:r>
              <w:rPr>
                <w:rFonts w:ascii="宋体" w:hAnsi="宋体" w:cs="宋体"/>
                <w:color w:val="000000"/>
                <w:sz w:val="24"/>
              </w:rPr>
              <w:t>，除湿机</w:t>
            </w:r>
            <w:r>
              <w:rPr>
                <w:rFonts w:hint="eastAsia" w:ascii="宋体" w:hAnsi="宋体" w:cs="宋体"/>
                <w:color w:val="000000"/>
                <w:sz w:val="24"/>
              </w:rPr>
              <w:t>2台</w:t>
            </w:r>
            <w:r>
              <w:rPr>
                <w:rFonts w:ascii="宋体" w:hAnsi="宋体" w:cs="宋体"/>
                <w:color w:val="000000"/>
                <w:sz w:val="24"/>
              </w:rPr>
              <w:t>、</w:t>
            </w:r>
            <w:r>
              <w:rPr>
                <w:rFonts w:hint="eastAsia" w:ascii="宋体" w:hAnsi="宋体" w:cs="宋体"/>
                <w:color w:val="000000"/>
                <w:sz w:val="24"/>
              </w:rPr>
              <w:t>档案服务器1台、监控</w:t>
            </w:r>
            <w:r>
              <w:rPr>
                <w:rFonts w:ascii="宋体" w:hAnsi="宋体" w:cs="宋体"/>
                <w:color w:val="000000"/>
                <w:sz w:val="24"/>
              </w:rPr>
              <w:t>摄像头</w:t>
            </w:r>
            <w:r>
              <w:rPr>
                <w:rFonts w:hint="eastAsia" w:ascii="宋体" w:hAnsi="宋体" w:cs="宋体"/>
                <w:color w:val="000000"/>
                <w:sz w:val="24"/>
              </w:rPr>
              <w:t>4个</w:t>
            </w:r>
            <w:r>
              <w:rPr>
                <w:rFonts w:ascii="宋体" w:hAnsi="宋体" w:cs="宋体"/>
                <w:color w:val="000000"/>
                <w:sz w:val="24"/>
              </w:rPr>
              <w:t>，</w:t>
            </w:r>
            <w:r>
              <w:rPr>
                <w:rFonts w:hint="eastAsia" w:ascii="宋体" w:hAnsi="宋体" w:cs="宋体"/>
                <w:color w:val="000000"/>
                <w:sz w:val="24"/>
              </w:rPr>
              <w:t>查档</w:t>
            </w:r>
            <w:r>
              <w:rPr>
                <w:rFonts w:ascii="宋体" w:hAnsi="宋体" w:cs="宋体"/>
                <w:color w:val="000000"/>
                <w:sz w:val="24"/>
              </w:rPr>
              <w:t>32</w:t>
            </w:r>
            <w:r>
              <w:rPr>
                <w:rFonts w:hint="eastAsia" w:ascii="宋体" w:hAnsi="宋体" w:cs="宋体"/>
                <w:color w:val="000000"/>
                <w:sz w:val="24"/>
              </w:rPr>
              <w:t>00件</w:t>
            </w:r>
            <w:r>
              <w:rPr>
                <w:rFonts w:ascii="宋体" w:hAnsi="宋体" w:cs="宋体"/>
                <w:color w:val="000000"/>
                <w:sz w:val="24"/>
              </w:rPr>
              <w:t>，</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档案库房及查阅</w:t>
            </w:r>
            <w:r>
              <w:rPr>
                <w:rFonts w:ascii="宋体" w:hAnsi="宋体" w:cs="宋体"/>
                <w:color w:val="000000" w:themeColor="text1"/>
                <w:sz w:val="24"/>
              </w:rPr>
              <w:t>利用</w:t>
            </w:r>
            <w:r>
              <w:rPr>
                <w:rFonts w:hint="eastAsia" w:ascii="宋体" w:hAnsi="宋体" w:cs="宋体"/>
                <w:color w:val="000000" w:themeColor="text1"/>
                <w:sz w:val="24"/>
              </w:rPr>
              <w:t>设施维护更新、保证档案库房清洁、开展档案查阅利用工作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保证档案绝对完整、安全、库房达到“九防”标准、保障查阅利用工作顺利有序开展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按照工作计划已完成</w:t>
            </w:r>
          </w:p>
        </w:tc>
      </w:tr>
      <w:tr>
        <w:tblPrEx>
          <w:tblCellMar>
            <w:top w:w="0" w:type="dxa"/>
            <w:left w:w="0" w:type="dxa"/>
            <w:bottom w:w="0" w:type="dxa"/>
            <w:right w:w="0" w:type="dxa"/>
          </w:tblCellMar>
        </w:tblPrEx>
        <w:trPr>
          <w:trHeight w:val="176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档案查阅利用设施设备运行维护、更新及耗材所需费用、档案查阅利用办公耗材、档案库房清洁费用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11.2元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更换档案药品3221包，</w:t>
            </w:r>
            <w:r>
              <w:rPr>
                <w:rFonts w:ascii="宋体" w:hAnsi="宋体" w:cs="宋体"/>
                <w:color w:val="000000"/>
                <w:sz w:val="24"/>
              </w:rPr>
              <w:t>费用</w:t>
            </w:r>
            <w:r>
              <w:rPr>
                <w:rFonts w:hint="eastAsia" w:ascii="宋体" w:hAnsi="宋体" w:cs="宋体"/>
                <w:color w:val="000000"/>
                <w:sz w:val="24"/>
              </w:rPr>
              <w:t>9663元，购买库房档案柜50组44600元、柜式空调2台</w:t>
            </w:r>
            <w:r>
              <w:rPr>
                <w:rFonts w:ascii="宋体" w:hAnsi="宋体" w:cs="宋体"/>
                <w:color w:val="000000"/>
                <w:sz w:val="24"/>
              </w:rPr>
              <w:t>10190</w:t>
            </w:r>
            <w:r>
              <w:rPr>
                <w:rFonts w:hint="eastAsia" w:ascii="宋体" w:hAnsi="宋体" w:cs="宋体"/>
                <w:color w:val="000000"/>
                <w:sz w:val="24"/>
              </w:rPr>
              <w:t>元，除湿机2台2998元、档案服务器1台 7700元、监控摄像头4个2200元，温湿度</w:t>
            </w:r>
            <w:r>
              <w:rPr>
                <w:rFonts w:ascii="宋体" w:hAnsi="宋体" w:cs="宋体"/>
                <w:color w:val="000000"/>
                <w:sz w:val="24"/>
              </w:rPr>
              <w:t>测控仪</w:t>
            </w:r>
            <w:r>
              <w:rPr>
                <w:rFonts w:hint="eastAsia" w:ascii="宋体" w:hAnsi="宋体" w:cs="宋体"/>
                <w:color w:val="000000"/>
                <w:sz w:val="24"/>
              </w:rPr>
              <w:t>1台</w:t>
            </w:r>
            <w:r>
              <w:rPr>
                <w:rFonts w:ascii="宋体" w:hAnsi="宋体" w:cs="宋体"/>
                <w:color w:val="000000"/>
                <w:sz w:val="24"/>
              </w:rPr>
              <w:t>2300</w:t>
            </w:r>
            <w:r>
              <w:rPr>
                <w:rFonts w:hint="eastAsia" w:ascii="宋体" w:hAnsi="宋体" w:cs="宋体"/>
                <w:color w:val="000000"/>
                <w:sz w:val="24"/>
              </w:rPr>
              <w:t>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保障档案安全、提供档案查阅利用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安全和环保工作无重大事故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按照工作计划已完成</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全区机关单位档案员、查档服务满意度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达到满意以上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本部门按要求对2019年部门整体支出绩效评价情况开展自评，《攀枝花市西区档案馆2019年部门整体支出绩效评价报告》见附件（附件1）。</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本部门自行组织对档案馆档案安全保管利用维护1个项目开展了绩效评价，《档案馆项目2019年绩效评价报告》见附件。</w:t>
      </w:r>
    </w:p>
    <w:p>
      <w:pPr>
        <w:pStyle w:val="2"/>
        <w:spacing w:before="93"/>
        <w:ind w:firstLine="300"/>
      </w:pPr>
    </w:p>
    <w:p>
      <w:pPr>
        <w:pStyle w:val="4"/>
        <w:rPr>
          <w:rFonts w:eastAsia="方正小标宋简体"/>
        </w:rPr>
      </w:pPr>
    </w:p>
    <w:p>
      <w:pPr>
        <w:pStyle w:val="4"/>
        <w:rPr>
          <w:rFonts w:eastAsia="方正小标宋简体"/>
        </w:rPr>
      </w:pPr>
    </w:p>
    <w:p>
      <w:pPr>
        <w:pStyle w:val="4"/>
        <w:rPr>
          <w:rFonts w:eastAsia="方正小标宋简体"/>
        </w:rPr>
      </w:pPr>
    </w:p>
    <w:p>
      <w:pPr>
        <w:pStyle w:val="4"/>
        <w:rPr>
          <w:rFonts w:eastAsia="方正小标宋简体"/>
        </w:rPr>
      </w:pPr>
    </w:p>
    <w:p>
      <w:pPr>
        <w:numPr>
          <w:ilvl w:val="0"/>
          <w:numId w:val="3"/>
        </w:numPr>
        <w:spacing w:line="600" w:lineRule="exact"/>
        <w:ind w:firstLine="660" w:firstLineChars="150"/>
        <w:jc w:val="center"/>
        <w:outlineLvl w:val="0"/>
        <w:rPr>
          <w:rStyle w:val="27"/>
          <w:rFonts w:ascii="黑体" w:hAnsi="黑体" w:eastAsia="黑体"/>
          <w:b w:val="0"/>
        </w:rPr>
      </w:pPr>
      <w:bookmarkStart w:id="85" w:name="_Toc15377225"/>
      <w:bookmarkStart w:id="86" w:name="_Toc15396613"/>
      <w:bookmarkStart w:id="87" w:name="_Toc19778"/>
      <w:r>
        <w:rPr>
          <w:rFonts w:hint="eastAsia" w:ascii="黑体" w:hAnsi="黑体" w:eastAsia="黑体"/>
          <w:color w:val="000000"/>
          <w:sz w:val="44"/>
          <w:szCs w:val="44"/>
        </w:rPr>
        <w:t>名</w:t>
      </w:r>
      <w:r>
        <w:rPr>
          <w:rStyle w:val="27"/>
          <w:rFonts w:hint="eastAsia" w:ascii="黑体" w:hAnsi="黑体" w:eastAsia="黑体"/>
          <w:b w:val="0"/>
        </w:rPr>
        <w:t>词解释</w:t>
      </w:r>
      <w:bookmarkEnd w:id="85"/>
      <w:bookmarkEnd w:id="86"/>
      <w:bookmarkEnd w:id="87"/>
    </w:p>
    <w:p>
      <w:pPr>
        <w:spacing w:line="600" w:lineRule="exact"/>
        <w:jc w:val="left"/>
        <w:rPr>
          <w:rFonts w:ascii="宋体"/>
          <w:b/>
          <w:color w:val="000000"/>
          <w:sz w:val="44"/>
          <w:szCs w:val="44"/>
        </w:rPr>
      </w:pPr>
    </w:p>
    <w:p>
      <w:pPr>
        <w:pStyle w:val="25"/>
        <w:spacing w:line="560" w:lineRule="exact"/>
        <w:ind w:firstLine="640" w:firstLineChars="200"/>
        <w:rPr>
          <w:rFonts w:ascii="仿宋_GB2312" w:eastAsia="仿宋_GB2312"/>
          <w:sz w:val="32"/>
          <w:szCs w:val="32"/>
        </w:rPr>
      </w:pPr>
      <w:bookmarkStart w:id="88" w:name="_Toc15377226"/>
      <w:r>
        <w:rPr>
          <w:rFonts w:hint="eastAsia" w:ascii="仿宋_GB2312" w:eastAsia="仿宋_GB2312"/>
          <w:sz w:val="32"/>
          <w:szCs w:val="32"/>
        </w:rPr>
        <w:t>1.财政拨款收入：指单位从同级财政部门取得的财政预算资金。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6.年初结转和结余：指以前年度尚未完成、结转到本年按有关规定继续使用的资金。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9.一般公共服务（类）政府办公厅（室）及相关机构事务（款）行政运行（项）：指行政单位的基本支出。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10.一般公共服务（类）政府办公厅（室）及相关机构事务（款）一般行政管理事务（项）：指行政单位未单独设置项级科目的其他项目支出。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11.一般公共服务（类）政府办公厅（室）及相关机构事务（款）信访事物（项）：指各级政府用于接待群众来信来访方面的支出。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12.一般公共服务（类）政府办公厅（室）及相关机构事务（款）事业运行（项）：指事业单位的基本支出。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13.一般公共服务（类）政府办公厅（室）及相关机构事务（款）其他政府办公厅（室）及相关机构事务支出（项）：指除上述项目以外的其他政府办公厅及相关机构事务支出。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14.一般公共服务（类）其他一般公共服务支出（款）其他一般公共服务支出（项）：指除上述项目以外的其他一般公共服务支出。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15.公共安全支出（类）其他公共安全支出（款）其他公共安全支出（项）:指除上述项目以外的其他用于公共安全方面的支出。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16.文化体育与传媒支出（类）其他文化体育与传媒支出（款）宣传文化发展专项支出（项）:指按照国家有关政策支持宣传文化单位发展的专项支出。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17.社会保障和就业支出（类）行政事业单位离退休（款）未归口管理的行政单位离退休（项）：指未实行归口管理的行政单位（包括实行公务员管理的事业单位）开支的离退休支出。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18.社会保障和就业支出（类）行政事业单位离退休（款）机关事业单位基本养老保险缴费支出（项）：指机关事业单位实施养老保险制度由单位缴纳的基本养老保险费支出。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19.社会保障和就业支出（类）抚恤（款）死亡抚恤（项）：指按规定用于烈士和牺牲、病故人员家属的一次性定期抚恤金以及丧葬补助费。</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20.社会保障和就业支出（类）特困人员救助供养（款）城市特困人员救助供养（项）：指城市特困人员救助供养支出。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21.社会保障和就业支出（类）其他社会保障和就业支出（款）其他社会保障和就业支出（项）：指除上述项目以外其他用于社会保障和就业方面的支出。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22.医疗卫生与计划生育（类）计划生育事务（款）其他计划生育事务（项）：指上述项目以外其他用于计划生育管理事务方面的支出。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23.医疗卫生与计划生育（类）行政事业单位医疗（款）行政单位医疗（项）：指财政部门集中安排的行政单位基本医疗保险缴费经费。</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24.医疗卫生与计划生育（类）行政事业单位医疗（款）事业单位医疗（项）：指财政部门集中安排的事业单位基本医疗保险缴费经费。</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25.医疗卫生与计划生育（类）行政事业单位医疗（款）公务员医疗补助（项）：指财政部门集中安排的公务员医疗补助经费。</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26.医疗卫生与计划生育（类）其他医疗卫生与计划生育支出（款）其他医疗卫生与计划生育支出（项）：指财政部门集中安排的公务员医疗补助经费。</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27.城乡社区支出（类）城乡社区管理事务（款）其他城乡社区管理事务（项）：指上述项目以外其他用于城乡社区管理事务方面的支出。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28.城乡社区支出（类）城乡社区公共设施（款）其他城乡社区公共设施支出（项）：指上述项目外其他用于城乡社区公共设施方面的支出。</w:t>
      </w:r>
    </w:p>
    <w:p>
      <w:pPr>
        <w:pStyle w:val="25"/>
        <w:spacing w:line="560" w:lineRule="exact"/>
        <w:ind w:firstLine="640" w:firstLineChars="200"/>
        <w:rPr>
          <w:rFonts w:ascii="仿宋_GB2312" w:eastAsia="仿宋_GB2312"/>
          <w:bCs/>
          <w:sz w:val="32"/>
          <w:szCs w:val="32"/>
        </w:rPr>
      </w:pPr>
      <w:r>
        <w:rPr>
          <w:rStyle w:val="17"/>
          <w:rFonts w:hint="eastAsia" w:ascii="仿宋_GB2312" w:hAnsi="仿宋_GB2312" w:eastAsia="仿宋_GB2312" w:cs="仿宋_GB2312"/>
          <w:b w:val="0"/>
          <w:bCs/>
          <w:sz w:val="32"/>
          <w:szCs w:val="32"/>
        </w:rPr>
        <w:t>29.交通运输支出（类）公路水路运输（款）其他公路水路运输支出（项）：指其他交通运输支出中除对公共交通运营补助以外的其他支出。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30.住房保障支出（类）住房改革支出（款）住房公积金（项）：指反映行政事业单位按人事、财政部门规定的基本工资和津贴补贴以及规定比例为职工缴纳的住房公积金。</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31.基本支出：指为保障机构正常运转、完成日常工作任务而发生的人员支出和公用支出。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32.项目支出：指在基本支出之外为完成特定行政任务和事业发展目标所发生的支出。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33.经营支出：指事业单位在专业业务活动及其辅助活动之外开展非独立核算经营活动发生的支出。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34.“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35.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r>
        <w:rPr>
          <w:rFonts w:ascii="宋体"/>
          <w:b/>
          <w:color w:val="000000"/>
          <w:sz w:val="44"/>
          <w:szCs w:val="44"/>
        </w:rPr>
        <w:br w:type="page"/>
      </w:r>
      <w:bookmarkStart w:id="89" w:name="_Toc1753"/>
      <w:bookmarkStart w:id="90"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89"/>
      <w:bookmarkEnd w:id="90"/>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攀枝花市西区档案馆</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80" w:lineRule="exact"/>
        <w:ind w:firstLine="640" w:firstLineChars="200"/>
        <w:rPr>
          <w:rFonts w:ascii="楷体_GB2312" w:hAnsi="仿宋_GB2312" w:eastAsia="楷体_GB2312" w:cs="仿宋_GB2312"/>
          <w:color w:val="000000" w:themeColor="text1"/>
          <w:sz w:val="32"/>
          <w:szCs w:val="32"/>
        </w:rPr>
      </w:pPr>
      <w:r>
        <w:rPr>
          <w:rFonts w:hint="eastAsia" w:ascii="楷体_GB2312" w:hAnsi="仿宋_GB2312" w:eastAsia="楷体_GB2312" w:cs="仿宋_GB2312"/>
          <w:color w:val="000000" w:themeColor="text1"/>
          <w:sz w:val="32"/>
          <w:szCs w:val="32"/>
        </w:rPr>
        <w:t>（一）机构组成</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西区档案馆设立三个股室，一是办公室；二是接收征集信息股；三是档案管理股。</w:t>
      </w:r>
    </w:p>
    <w:p>
      <w:pPr>
        <w:spacing w:line="580" w:lineRule="exact"/>
        <w:ind w:firstLine="640" w:firstLineChars="200"/>
        <w:rPr>
          <w:rFonts w:ascii="楷体_GB2312" w:hAnsi="仿宋_GB2312" w:eastAsia="楷体_GB2312" w:cs="仿宋_GB2312"/>
          <w:color w:val="000000" w:themeColor="text1"/>
          <w:sz w:val="32"/>
          <w:szCs w:val="32"/>
        </w:rPr>
      </w:pPr>
      <w:r>
        <w:rPr>
          <w:rFonts w:hint="eastAsia" w:ascii="楷体_GB2312" w:hAnsi="仿宋_GB2312" w:eastAsia="楷体_GB2312" w:cs="仿宋_GB2312"/>
          <w:color w:val="000000" w:themeColor="text1"/>
          <w:sz w:val="32"/>
          <w:szCs w:val="32"/>
        </w:rPr>
        <w:t>（二）机构职能</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西区档案馆是区委直属事业单位，其主要职能是：1.收集和接收本馆保管范围内对国家和社会有保存价值的档案。2.对所保存的档案严格按照规定整理和保管。3.采用各种形式开发档案资源，为社会利用档案资源提供服务。</w:t>
      </w:r>
    </w:p>
    <w:p>
      <w:pPr>
        <w:spacing w:line="580" w:lineRule="exact"/>
        <w:ind w:firstLine="640" w:firstLineChars="200"/>
        <w:rPr>
          <w:rFonts w:ascii="楷体_GB2312" w:hAnsi="仿宋_GB2312" w:eastAsia="楷体_GB2312" w:cs="仿宋_GB2312"/>
          <w:color w:val="000000" w:themeColor="text1"/>
          <w:sz w:val="32"/>
          <w:szCs w:val="32"/>
        </w:rPr>
      </w:pPr>
      <w:r>
        <w:rPr>
          <w:rFonts w:hint="eastAsia" w:ascii="楷体_GB2312" w:hAnsi="仿宋_GB2312" w:eastAsia="楷体_GB2312" w:cs="仿宋_GB2312"/>
          <w:color w:val="000000" w:themeColor="text1"/>
          <w:sz w:val="32"/>
          <w:szCs w:val="32"/>
        </w:rPr>
        <w:t>（三）人员概况</w:t>
      </w:r>
    </w:p>
    <w:p>
      <w:pPr>
        <w:spacing w:line="580" w:lineRule="exact"/>
        <w:ind w:firstLine="640" w:firstLineChars="200"/>
        <w:rPr>
          <w:rFonts w:ascii="仿宋_GB2312" w:hAnsi="宋体" w:eastAsia="仿宋_GB2312" w:cs="宋体"/>
          <w:color w:val="000000" w:themeColor="text1"/>
          <w:kern w:val="0"/>
          <w:sz w:val="32"/>
          <w:szCs w:val="32"/>
          <w:shd w:val="clear" w:color="auto" w:fill="FFFFFF"/>
          <w:lang w:val="zh-CN"/>
        </w:rPr>
      </w:pPr>
      <w:r>
        <w:rPr>
          <w:rFonts w:hint="eastAsia" w:ascii="仿宋_GB2312" w:hAnsi="仿宋_GB2312" w:eastAsia="仿宋_GB2312" w:cs="仿宋_GB2312"/>
          <w:color w:val="000000" w:themeColor="text1"/>
          <w:sz w:val="32"/>
          <w:szCs w:val="32"/>
        </w:rPr>
        <w:t>本单位行政编制6人，实有5人，聘用1人，退休2人。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themeColor="text1"/>
          <w:kern w:val="0"/>
          <w:sz w:val="32"/>
          <w:szCs w:val="32"/>
          <w:shd w:val="clear" w:color="auto" w:fill="FFFFFF"/>
        </w:rPr>
        <w:t>二、部门财政</w:t>
      </w:r>
      <w:r>
        <w:rPr>
          <w:rFonts w:hint="eastAsia" w:ascii="黑体" w:hAnsi="宋体" w:eastAsia="黑体" w:cs="宋体"/>
          <w:color w:val="000000"/>
          <w:kern w:val="0"/>
          <w:sz w:val="32"/>
          <w:szCs w:val="32"/>
          <w:shd w:val="clear" w:color="auto" w:fill="FFFFFF"/>
        </w:rPr>
        <w:t>资金收支情况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pStyle w:val="2"/>
        <w:spacing w:before="93"/>
        <w:ind w:firstLine="640" w:firstLineChars="200"/>
        <w:rPr>
          <w:lang w:val="zh-CN"/>
        </w:rPr>
      </w:pPr>
      <w:r>
        <w:rPr>
          <w:rFonts w:hint="eastAsia" w:hAnsi="仿宋_GB2312" w:cs="仿宋_GB2312"/>
          <w:sz w:val="32"/>
          <w:szCs w:val="32"/>
        </w:rPr>
        <w:t>2019年财政资金收入77.05万元。</w:t>
      </w:r>
    </w:p>
    <w:p>
      <w:pPr>
        <w:widowControl/>
        <w:numPr>
          <w:ilvl w:val="0"/>
          <w:numId w:val="4"/>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pStyle w:val="2"/>
        <w:spacing w:before="93"/>
        <w:ind w:firstLine="640" w:firstLineChars="200"/>
        <w:rPr>
          <w:lang w:val="zh-CN"/>
        </w:rPr>
      </w:pPr>
      <w:r>
        <w:rPr>
          <w:rFonts w:hint="eastAsia" w:hAnsi="仿宋_GB2312" w:cs="仿宋_GB2312"/>
          <w:sz w:val="32"/>
          <w:szCs w:val="32"/>
        </w:rPr>
        <w:t>2019年财政资金支出99.25万元。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我馆的专项预算经是各业务股室根据年度工作计划进行编制，办公室在全面统筹草拟出本单位的专项预算，经领导班子讨论通过后上报区财政局。本单位的专项预算编制程序严密、规划合理、管理有序。</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我馆的专项预算项目在执行中严格按照专款专用，资金合理分配，不存在超预算支出的情况，使用结果符合要求，确保了专项预算绩效目标的完成。</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（一）评价结论</w:t>
      </w:r>
    </w:p>
    <w:p>
      <w:pPr>
        <w:pStyle w:val="2"/>
        <w:spacing w:before="93"/>
        <w:ind w:firstLine="640" w:firstLineChars="200"/>
        <w:rPr>
          <w:rFonts w:hAnsi="仿宋_GB2312" w:cs="仿宋_GB2312"/>
          <w:sz w:val="32"/>
          <w:szCs w:val="32"/>
        </w:rPr>
      </w:pPr>
      <w:r>
        <w:rPr>
          <w:rFonts w:hint="eastAsia" w:hAnsi="仿宋_GB2312" w:cs="仿宋_GB2312"/>
          <w:sz w:val="32"/>
          <w:szCs w:val="32"/>
        </w:rPr>
        <w:t>我馆支出重点用于项目经费支出，基本完成了当年度年初计划经费的拨付工作，有效对其实行了监管，确保了专项经费专款专用。对于基本支出也能遵守各项规章制度，人员经费安排基本得当，项目经费、人员经费安排配比率良好。</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存在问题</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由于部门预算统筹协调机制处于摸索阶段，工作经验也不足，还需要不断提高工作水平。</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档案安全保管利用及设施设备维护经费项目</w:t>
      </w:r>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utoSpaceDE w:val="0"/>
        <w:autoSpaceDN w:val="0"/>
        <w:adjustRightInd w:val="0"/>
        <w:spacing w:line="353" w:lineRule="auto"/>
        <w:ind w:firstLine="640" w:firstLineChars="200"/>
        <w:jc w:val="left"/>
        <w:rPr>
          <w:rFonts w:eastAsia="仿宋_GB2312"/>
          <w:kern w:val="0"/>
          <w:sz w:val="32"/>
          <w:szCs w:val="32"/>
        </w:rPr>
      </w:pPr>
      <w:r>
        <w:rPr>
          <w:rFonts w:hint="eastAsia" w:eastAsia="仿宋_GB2312"/>
          <w:kern w:val="0"/>
          <w:sz w:val="32"/>
          <w:szCs w:val="32"/>
        </w:rPr>
        <w:t>项目主要包括保障档案库房电器设备设施、办公设备正常运行及日常维护、库房索引展板更换、对外提供档案查阅利用耗材，1号、2号、3号库房清理、档案库房杀虫药品购买。</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utoSpaceDE w:val="0"/>
        <w:autoSpaceDN w:val="0"/>
        <w:adjustRightInd w:val="0"/>
        <w:spacing w:line="353" w:lineRule="auto"/>
        <w:ind w:firstLine="640" w:firstLineChars="200"/>
        <w:jc w:val="left"/>
        <w:rPr>
          <w:rFonts w:eastAsia="仿宋_GB2312"/>
          <w:kern w:val="0"/>
          <w:sz w:val="32"/>
          <w:szCs w:val="32"/>
        </w:rPr>
      </w:pPr>
      <w:r>
        <w:rPr>
          <w:rFonts w:hint="eastAsia" w:eastAsia="仿宋_GB2312"/>
          <w:kern w:val="0"/>
          <w:sz w:val="32"/>
          <w:szCs w:val="32"/>
        </w:rPr>
        <w:t>一是通过档案库房保管保护设备更新维护，对档案安全做到实时监控，为档案安全提供绝对保障。二是通过档案查阅及办公设备更新维护，提升档案利用效率，满足群众查档需求。三是通过库房清理，增加库房使用面积，解决现有库房面积不足的问题，四是通过档案药品购买更换，满足档案防虫需求。</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utoSpaceDE w:val="0"/>
        <w:autoSpaceDN w:val="0"/>
        <w:adjustRightInd w:val="0"/>
        <w:spacing w:line="353" w:lineRule="auto"/>
        <w:ind w:firstLine="640" w:firstLineChars="200"/>
        <w:jc w:val="left"/>
        <w:rPr>
          <w:rFonts w:eastAsia="仿宋_GB2312"/>
          <w:color w:val="333333"/>
          <w:kern w:val="0"/>
          <w:sz w:val="32"/>
          <w:szCs w:val="32"/>
        </w:rPr>
      </w:pPr>
      <w:r>
        <w:rPr>
          <w:rFonts w:eastAsia="仿宋_GB2312"/>
          <w:color w:val="333333"/>
          <w:kern w:val="0"/>
          <w:sz w:val="32"/>
          <w:szCs w:val="32"/>
        </w:rPr>
        <w:t>项目采取自评与他评相结合方式，</w:t>
      </w:r>
      <w:r>
        <w:rPr>
          <w:rFonts w:hint="eastAsia" w:eastAsia="仿宋_GB2312"/>
          <w:color w:val="333333"/>
          <w:kern w:val="0"/>
          <w:sz w:val="32"/>
          <w:szCs w:val="32"/>
        </w:rPr>
        <w:t>单位</w:t>
      </w:r>
      <w:r>
        <w:rPr>
          <w:rFonts w:eastAsia="仿宋_GB2312"/>
          <w:color w:val="333333"/>
          <w:kern w:val="0"/>
          <w:sz w:val="32"/>
          <w:szCs w:val="32"/>
        </w:rPr>
        <w:t>成立项目自评小组，结合评价内容，做到有计划，有安排，扎实开展本次自评工作。按照上级下达的项目支出绩效评价指标体系，自评小组针对申报内容、实施情况、资金兑现、财务管理、社会效益等做出自我评价。二是认真</w:t>
      </w:r>
      <w:r>
        <w:rPr>
          <w:rFonts w:hint="eastAsia" w:eastAsia="仿宋_GB2312"/>
          <w:color w:val="333333"/>
          <w:kern w:val="0"/>
          <w:sz w:val="32"/>
          <w:szCs w:val="32"/>
        </w:rPr>
        <w:t>查档群众</w:t>
      </w:r>
      <w:r>
        <w:rPr>
          <w:rFonts w:eastAsia="仿宋_GB2312"/>
          <w:color w:val="333333"/>
          <w:kern w:val="0"/>
          <w:sz w:val="32"/>
          <w:szCs w:val="32"/>
        </w:rPr>
        <w:t>建议意见，由</w:t>
      </w:r>
      <w:r>
        <w:rPr>
          <w:rFonts w:hint="eastAsia" w:eastAsia="仿宋_GB2312"/>
          <w:color w:val="333333"/>
          <w:kern w:val="0"/>
          <w:sz w:val="32"/>
          <w:szCs w:val="32"/>
        </w:rPr>
        <w:t>群众</w:t>
      </w:r>
      <w:r>
        <w:rPr>
          <w:rFonts w:eastAsia="仿宋_GB2312"/>
          <w:color w:val="333333"/>
          <w:kern w:val="0"/>
          <w:sz w:val="32"/>
          <w:szCs w:val="32"/>
        </w:rPr>
        <w:t>对项目进行评价同时抽样调查</w:t>
      </w:r>
      <w:r>
        <w:rPr>
          <w:rFonts w:hint="eastAsia" w:eastAsia="仿宋_GB2312"/>
          <w:color w:val="333333"/>
          <w:kern w:val="0"/>
          <w:sz w:val="32"/>
          <w:szCs w:val="32"/>
        </w:rPr>
        <w:t>查档群众</w:t>
      </w:r>
      <w:r>
        <w:rPr>
          <w:rFonts w:eastAsia="仿宋_GB2312"/>
          <w:color w:val="333333"/>
          <w:kern w:val="0"/>
          <w:sz w:val="32"/>
          <w:szCs w:val="32"/>
        </w:rPr>
        <w:t>对项目的满意度</w:t>
      </w:r>
      <w:r>
        <w:rPr>
          <w:rFonts w:hint="eastAsia" w:eastAsia="仿宋_GB2312"/>
          <w:color w:val="333333"/>
          <w:kern w:val="0"/>
          <w:sz w:val="32"/>
          <w:szCs w:val="32"/>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utoSpaceDE w:val="0"/>
        <w:autoSpaceDN w:val="0"/>
        <w:adjustRightInd w:val="0"/>
        <w:spacing w:line="353" w:lineRule="auto"/>
        <w:ind w:firstLine="640" w:firstLineChars="200"/>
        <w:jc w:val="left"/>
        <w:rPr>
          <w:rFonts w:eastAsia="仿宋_GB2312"/>
          <w:kern w:val="0"/>
          <w:sz w:val="32"/>
          <w:szCs w:val="32"/>
        </w:rPr>
      </w:pPr>
      <w:r>
        <w:rPr>
          <w:rFonts w:eastAsia="仿宋_GB2312"/>
          <w:color w:val="333333"/>
          <w:kern w:val="0"/>
          <w:sz w:val="32"/>
          <w:szCs w:val="32"/>
        </w:rPr>
        <w:t>项目由我</w:t>
      </w:r>
      <w:r>
        <w:rPr>
          <w:rFonts w:hint="eastAsia" w:eastAsia="仿宋_GB2312"/>
          <w:color w:val="333333"/>
          <w:kern w:val="0"/>
          <w:sz w:val="32"/>
          <w:szCs w:val="32"/>
        </w:rPr>
        <w:t>馆</w:t>
      </w:r>
      <w:r>
        <w:rPr>
          <w:rFonts w:eastAsia="仿宋_GB2312"/>
          <w:color w:val="333333"/>
          <w:kern w:val="0"/>
          <w:sz w:val="32"/>
          <w:szCs w:val="32"/>
        </w:rPr>
        <w:t>按照规定组织实施，如有</w:t>
      </w:r>
      <w:r>
        <w:rPr>
          <w:rFonts w:hint="eastAsia" w:eastAsia="仿宋_GB2312"/>
          <w:color w:val="333333"/>
          <w:kern w:val="0"/>
          <w:sz w:val="32"/>
          <w:szCs w:val="32"/>
        </w:rPr>
        <w:t>政府采购</w:t>
      </w:r>
      <w:r>
        <w:rPr>
          <w:rFonts w:eastAsia="仿宋_GB2312"/>
          <w:color w:val="333333"/>
          <w:kern w:val="0"/>
          <w:sz w:val="32"/>
          <w:szCs w:val="32"/>
        </w:rPr>
        <w:t>类项目则通过</w:t>
      </w:r>
      <w:r>
        <w:rPr>
          <w:rFonts w:hint="eastAsia" w:eastAsia="仿宋_GB2312"/>
          <w:color w:val="333333"/>
          <w:kern w:val="0"/>
          <w:sz w:val="32"/>
          <w:szCs w:val="32"/>
        </w:rPr>
        <w:t>网上竟价</w:t>
      </w:r>
      <w:r>
        <w:rPr>
          <w:rFonts w:eastAsia="仿宋_GB2312"/>
          <w:color w:val="333333"/>
          <w:kern w:val="0"/>
          <w:sz w:val="32"/>
          <w:szCs w:val="32"/>
        </w:rPr>
        <w:t>方式确定</w:t>
      </w:r>
      <w:r>
        <w:rPr>
          <w:rFonts w:hint="eastAsia" w:eastAsia="仿宋_GB2312"/>
          <w:color w:val="333333"/>
          <w:kern w:val="0"/>
          <w:sz w:val="32"/>
          <w:szCs w:val="32"/>
        </w:rPr>
        <w:t>供货商</w:t>
      </w:r>
      <w:r>
        <w:rPr>
          <w:rFonts w:eastAsia="仿宋_GB2312"/>
          <w:color w:val="333333"/>
          <w:kern w:val="0"/>
          <w:sz w:val="32"/>
          <w:szCs w:val="32"/>
        </w:rPr>
        <w:t>，付款时需验收合格后再报</w:t>
      </w:r>
      <w:r>
        <w:rPr>
          <w:rFonts w:hint="eastAsia" w:eastAsia="仿宋_GB2312"/>
          <w:color w:val="333333"/>
          <w:kern w:val="0"/>
          <w:sz w:val="32"/>
          <w:szCs w:val="32"/>
        </w:rPr>
        <w:t>单位</w:t>
      </w:r>
      <w:r>
        <w:rPr>
          <w:rFonts w:eastAsia="仿宋_GB2312"/>
          <w:color w:val="333333"/>
          <w:kern w:val="0"/>
          <w:sz w:val="32"/>
          <w:szCs w:val="32"/>
        </w:rPr>
        <w:t>财务审核和领导签字批准后</w:t>
      </w:r>
      <w:r>
        <w:rPr>
          <w:rFonts w:hint="eastAsia" w:eastAsia="仿宋_GB2312"/>
          <w:color w:val="333333"/>
          <w:kern w:val="0"/>
          <w:sz w:val="32"/>
          <w:szCs w:val="32"/>
        </w:rPr>
        <w:t>，</w:t>
      </w:r>
      <w:r>
        <w:rPr>
          <w:rFonts w:eastAsia="仿宋_GB2312"/>
          <w:color w:val="333333"/>
          <w:kern w:val="0"/>
          <w:sz w:val="32"/>
          <w:szCs w:val="32"/>
        </w:rPr>
        <w:t>报财政局审核由</w:t>
      </w:r>
      <w:r>
        <w:rPr>
          <w:rFonts w:hint="eastAsia" w:eastAsia="仿宋_GB2312"/>
          <w:color w:val="333333"/>
          <w:kern w:val="0"/>
          <w:sz w:val="32"/>
          <w:szCs w:val="32"/>
        </w:rPr>
        <w:t>大平台</w:t>
      </w:r>
      <w:r>
        <w:rPr>
          <w:rFonts w:eastAsia="仿宋_GB2312"/>
          <w:color w:val="333333"/>
          <w:kern w:val="0"/>
          <w:sz w:val="32"/>
          <w:szCs w:val="32"/>
        </w:rPr>
        <w:t>将工程款按实直接支付给</w:t>
      </w:r>
      <w:r>
        <w:rPr>
          <w:rFonts w:hint="eastAsia" w:eastAsia="仿宋_GB2312"/>
          <w:color w:val="333333"/>
          <w:kern w:val="0"/>
          <w:sz w:val="32"/>
          <w:szCs w:val="32"/>
        </w:rPr>
        <w:t>供货商</w:t>
      </w:r>
      <w:r>
        <w:rPr>
          <w:rFonts w:eastAsia="仿宋_GB2312"/>
          <w:color w:val="333333"/>
          <w:kern w:val="0"/>
          <w:sz w:val="32"/>
          <w:szCs w:val="32"/>
        </w:rPr>
        <w:t>。</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utoSpaceDE w:val="0"/>
        <w:autoSpaceDN w:val="0"/>
        <w:adjustRightInd w:val="0"/>
        <w:spacing w:line="353" w:lineRule="auto"/>
        <w:ind w:firstLine="640" w:firstLineChars="200"/>
        <w:jc w:val="left"/>
        <w:rPr>
          <w:rFonts w:ascii="仿宋_GB2312" w:hAnsi="宋体" w:eastAsia="仿宋_GB2312"/>
          <w:sz w:val="32"/>
          <w:szCs w:val="32"/>
          <w:lang w:val="zh-CN"/>
        </w:rPr>
      </w:pPr>
      <w:r>
        <w:rPr>
          <w:rFonts w:eastAsia="仿宋_GB2312"/>
          <w:kern w:val="0"/>
          <w:sz w:val="32"/>
          <w:szCs w:val="32"/>
        </w:rPr>
        <w:t>截</w:t>
      </w:r>
      <w:r>
        <w:rPr>
          <w:rFonts w:hint="eastAsia" w:eastAsia="仿宋_GB2312"/>
          <w:kern w:val="0"/>
          <w:sz w:val="32"/>
          <w:szCs w:val="32"/>
          <w:lang w:eastAsia="zh-CN"/>
        </w:rPr>
        <w:t>至</w:t>
      </w:r>
      <w:r>
        <w:rPr>
          <w:rFonts w:eastAsia="仿宋_GB2312"/>
          <w:kern w:val="0"/>
          <w:sz w:val="32"/>
          <w:szCs w:val="32"/>
        </w:rPr>
        <w:t>2019年12月，我办已将</w:t>
      </w:r>
      <w:r>
        <w:rPr>
          <w:rFonts w:hint="eastAsia" w:eastAsia="仿宋_GB2312"/>
          <w:kern w:val="0"/>
          <w:sz w:val="32"/>
          <w:szCs w:val="32"/>
        </w:rPr>
        <w:t>档案安全保管利用及设施设备维护经费</w:t>
      </w:r>
      <w:r>
        <w:rPr>
          <w:rFonts w:eastAsia="仿宋_GB2312"/>
          <w:kern w:val="0"/>
          <w:sz w:val="32"/>
          <w:szCs w:val="32"/>
        </w:rPr>
        <w:t>合计</w:t>
      </w:r>
      <w:r>
        <w:rPr>
          <w:rFonts w:hint="eastAsia" w:eastAsia="仿宋_GB2312"/>
          <w:kern w:val="0"/>
          <w:sz w:val="32"/>
          <w:szCs w:val="32"/>
        </w:rPr>
        <w:t>11.2</w:t>
      </w:r>
      <w:r>
        <w:rPr>
          <w:rFonts w:eastAsia="仿宋_GB2312"/>
          <w:kern w:val="0"/>
          <w:sz w:val="32"/>
          <w:szCs w:val="32"/>
        </w:rPr>
        <w:t>万</w:t>
      </w:r>
      <w:r>
        <w:rPr>
          <w:rFonts w:hint="eastAsia" w:eastAsia="仿宋_GB2312"/>
          <w:kern w:val="0"/>
          <w:sz w:val="32"/>
          <w:szCs w:val="32"/>
        </w:rPr>
        <w:t>，每笔</w:t>
      </w:r>
      <w:r>
        <w:rPr>
          <w:rFonts w:eastAsia="仿宋_GB2312"/>
          <w:kern w:val="0"/>
          <w:sz w:val="32"/>
          <w:szCs w:val="32"/>
        </w:rPr>
        <w:t>经费通过国库</w:t>
      </w:r>
      <w:r>
        <w:rPr>
          <w:rFonts w:hint="eastAsia" w:eastAsia="仿宋_GB2312"/>
          <w:kern w:val="0"/>
          <w:sz w:val="32"/>
          <w:szCs w:val="32"/>
        </w:rPr>
        <w:t>直接或授权</w:t>
      </w:r>
      <w:r>
        <w:rPr>
          <w:rFonts w:eastAsia="仿宋_GB2312"/>
          <w:kern w:val="0"/>
          <w:sz w:val="32"/>
          <w:szCs w:val="32"/>
        </w:rPr>
        <w:t>支付。项目均已完成已支付。资金将用于</w:t>
      </w:r>
      <w:r>
        <w:rPr>
          <w:rFonts w:hint="eastAsia" w:eastAsia="仿宋_GB2312"/>
          <w:kern w:val="0"/>
          <w:sz w:val="32"/>
          <w:szCs w:val="32"/>
        </w:rPr>
        <w:t>档案库房设施设备及档案查阅利用设施设备运行维护、维修更新及耗材更换、购买库房档案用药</w:t>
      </w:r>
      <w:r>
        <w:rPr>
          <w:rFonts w:eastAsia="仿宋_GB2312"/>
          <w:kern w:val="0"/>
          <w:sz w:val="32"/>
          <w:szCs w:val="32"/>
        </w:rPr>
        <w:t>日常办公运转等。</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eastAsia="方正仿宋_GBK"/>
          <w:kern w:val="0"/>
          <w:sz w:val="32"/>
          <w:szCs w:val="32"/>
        </w:rPr>
      </w:pPr>
      <w:r>
        <w:rPr>
          <w:rFonts w:eastAsia="仿宋_GB2312"/>
          <w:kern w:val="0"/>
          <w:sz w:val="32"/>
          <w:szCs w:val="32"/>
        </w:rPr>
        <w:t>一是建立健全规章制度，资金的使用和会计核算符合相关规定。二是结合</w:t>
      </w:r>
      <w:r>
        <w:rPr>
          <w:rFonts w:hint="eastAsia" w:eastAsia="仿宋_GB2312"/>
          <w:kern w:val="0"/>
          <w:sz w:val="32"/>
          <w:szCs w:val="32"/>
        </w:rPr>
        <w:t>单位</w:t>
      </w:r>
      <w:r>
        <w:rPr>
          <w:rFonts w:eastAsia="仿宋_GB2312"/>
          <w:kern w:val="0"/>
          <w:sz w:val="32"/>
          <w:szCs w:val="32"/>
        </w:rPr>
        <w:t>内部控制制度，对项目进展实时监控。 三是加强对财政各项资金的监督管理，确保资金及时、足额到位，专款专用，资金支付依据和开支标准合法合规。未出现截留和挤占挪作他用现象。</w:t>
      </w:r>
      <w:r>
        <w:rPr>
          <w:rFonts w:eastAsia="方正仿宋_GBK"/>
          <w:kern w:val="0"/>
          <w:sz w:val="32"/>
          <w:szCs w:val="32"/>
        </w:rPr>
        <w:t> </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三、项目实施及管理情况</w:t>
      </w:r>
    </w:p>
    <w:p>
      <w:pPr>
        <w:adjustRightInd w:val="0"/>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spacing w:line="353" w:lineRule="auto"/>
        <w:ind w:firstLine="640" w:firstLineChars="200"/>
        <w:jc w:val="left"/>
        <w:rPr>
          <w:rFonts w:eastAsia="仿宋_GB2312"/>
          <w:kern w:val="0"/>
          <w:sz w:val="32"/>
          <w:szCs w:val="32"/>
        </w:rPr>
      </w:pPr>
      <w:r>
        <w:rPr>
          <w:rFonts w:eastAsia="仿宋_GB2312"/>
          <w:kern w:val="0"/>
          <w:sz w:val="32"/>
          <w:szCs w:val="32"/>
        </w:rPr>
        <w:t>我</w:t>
      </w:r>
      <w:r>
        <w:rPr>
          <w:rFonts w:hint="eastAsia" w:eastAsia="仿宋_GB2312"/>
          <w:kern w:val="0"/>
          <w:sz w:val="32"/>
          <w:szCs w:val="32"/>
        </w:rPr>
        <w:t>馆</w:t>
      </w:r>
      <w:r>
        <w:rPr>
          <w:rFonts w:eastAsia="仿宋_GB2312"/>
          <w:kern w:val="0"/>
          <w:sz w:val="32"/>
          <w:szCs w:val="32"/>
        </w:rPr>
        <w:t>高度重视项目</w:t>
      </w:r>
      <w:r>
        <w:rPr>
          <w:rFonts w:hint="eastAsia" w:eastAsia="仿宋_GB2312"/>
          <w:kern w:val="0"/>
          <w:sz w:val="32"/>
          <w:szCs w:val="32"/>
        </w:rPr>
        <w:t>实施</w:t>
      </w:r>
      <w:r>
        <w:rPr>
          <w:rFonts w:eastAsia="仿宋_GB2312"/>
          <w:kern w:val="0"/>
          <w:sz w:val="32"/>
          <w:szCs w:val="32"/>
        </w:rPr>
        <w:t>与专项资金使用，并成立专项资金工作领导小组</w:t>
      </w:r>
      <w:r>
        <w:rPr>
          <w:rFonts w:hint="eastAsia" w:eastAsia="仿宋_GB2312"/>
          <w:kern w:val="0"/>
          <w:sz w:val="32"/>
          <w:szCs w:val="32"/>
        </w:rPr>
        <w:t>，由</w:t>
      </w:r>
      <w:r>
        <w:rPr>
          <w:rFonts w:eastAsia="仿宋_GB2312"/>
          <w:kern w:val="0"/>
          <w:sz w:val="32"/>
          <w:szCs w:val="32"/>
        </w:rPr>
        <w:t>办公室具体</w:t>
      </w:r>
      <w:r>
        <w:rPr>
          <w:rFonts w:hint="eastAsia" w:eastAsia="仿宋_GB2312"/>
          <w:kern w:val="0"/>
          <w:sz w:val="32"/>
          <w:szCs w:val="32"/>
        </w:rPr>
        <w:t>开展</w:t>
      </w:r>
      <w:r>
        <w:rPr>
          <w:rFonts w:eastAsia="仿宋_GB2312"/>
          <w:kern w:val="0"/>
          <w:sz w:val="32"/>
          <w:szCs w:val="32"/>
        </w:rPr>
        <w:t>项目实施，</w:t>
      </w:r>
      <w:r>
        <w:rPr>
          <w:rFonts w:hint="eastAsia" w:eastAsia="仿宋_GB2312"/>
          <w:kern w:val="0"/>
          <w:sz w:val="32"/>
          <w:szCs w:val="32"/>
        </w:rPr>
        <w:t>针对</w:t>
      </w:r>
      <w:r>
        <w:rPr>
          <w:rFonts w:eastAsia="仿宋_GB2312"/>
          <w:kern w:val="0"/>
          <w:sz w:val="32"/>
          <w:szCs w:val="32"/>
        </w:rPr>
        <w:t>项目资金使用</w:t>
      </w:r>
      <w:r>
        <w:rPr>
          <w:rFonts w:hint="eastAsia" w:eastAsia="仿宋_GB2312"/>
          <w:kern w:val="0"/>
          <w:sz w:val="32"/>
          <w:szCs w:val="32"/>
        </w:rPr>
        <w:t>小于2000元</w:t>
      </w:r>
      <w:r>
        <w:rPr>
          <w:rFonts w:eastAsia="仿宋_GB2312"/>
          <w:kern w:val="0"/>
          <w:sz w:val="32"/>
          <w:szCs w:val="32"/>
        </w:rPr>
        <w:t>的情况，通过馆务会议讨论</w:t>
      </w:r>
      <w:r>
        <w:rPr>
          <w:rFonts w:hint="eastAsia" w:eastAsia="仿宋_GB2312"/>
          <w:kern w:val="0"/>
          <w:sz w:val="32"/>
          <w:szCs w:val="32"/>
        </w:rPr>
        <w:t>通过</w:t>
      </w:r>
      <w:r>
        <w:rPr>
          <w:rFonts w:eastAsia="仿宋_GB2312"/>
          <w:kern w:val="0"/>
          <w:sz w:val="32"/>
          <w:szCs w:val="32"/>
        </w:rPr>
        <w:t>后使用，针对</w:t>
      </w:r>
      <w:r>
        <w:rPr>
          <w:rFonts w:hint="eastAsia" w:eastAsia="仿宋_GB2312"/>
          <w:kern w:val="0"/>
          <w:sz w:val="32"/>
          <w:szCs w:val="32"/>
        </w:rPr>
        <w:t>项目</w:t>
      </w:r>
      <w:r>
        <w:rPr>
          <w:rFonts w:eastAsia="仿宋_GB2312"/>
          <w:kern w:val="0"/>
          <w:sz w:val="32"/>
          <w:szCs w:val="32"/>
        </w:rPr>
        <w:t>资金</w:t>
      </w:r>
      <w:r>
        <w:rPr>
          <w:rFonts w:hint="eastAsia" w:eastAsia="仿宋_GB2312"/>
          <w:kern w:val="0"/>
          <w:sz w:val="32"/>
          <w:szCs w:val="32"/>
        </w:rPr>
        <w:t>使用</w:t>
      </w:r>
      <w:r>
        <w:rPr>
          <w:rFonts w:eastAsia="仿宋_GB2312"/>
          <w:kern w:val="0"/>
          <w:sz w:val="32"/>
          <w:szCs w:val="32"/>
        </w:rPr>
        <w:t>大于</w:t>
      </w:r>
      <w:r>
        <w:rPr>
          <w:rFonts w:hint="eastAsia" w:eastAsia="仿宋_GB2312"/>
          <w:kern w:val="0"/>
          <w:sz w:val="32"/>
          <w:szCs w:val="32"/>
        </w:rPr>
        <w:t>2000元的情况，</w:t>
      </w:r>
      <w:r>
        <w:rPr>
          <w:rFonts w:eastAsia="仿宋_GB2312"/>
          <w:kern w:val="0"/>
          <w:sz w:val="32"/>
          <w:szCs w:val="32"/>
        </w:rPr>
        <w:t>通过</w:t>
      </w:r>
      <w:r>
        <w:rPr>
          <w:rFonts w:hint="eastAsia" w:eastAsia="仿宋_GB2312"/>
          <w:kern w:val="0"/>
          <w:sz w:val="32"/>
          <w:szCs w:val="32"/>
        </w:rPr>
        <w:t>“</w:t>
      </w:r>
      <w:r>
        <w:rPr>
          <w:rFonts w:eastAsia="仿宋_GB2312"/>
          <w:kern w:val="0"/>
          <w:sz w:val="32"/>
          <w:szCs w:val="32"/>
        </w:rPr>
        <w:t>三重一大</w:t>
      </w:r>
      <w:r>
        <w:rPr>
          <w:rFonts w:hint="eastAsia" w:eastAsia="仿宋_GB2312"/>
          <w:kern w:val="0"/>
          <w:sz w:val="32"/>
          <w:szCs w:val="32"/>
        </w:rPr>
        <w:t>”</w:t>
      </w:r>
      <w:r>
        <w:rPr>
          <w:rFonts w:eastAsia="仿宋_GB2312"/>
          <w:kern w:val="0"/>
          <w:sz w:val="32"/>
          <w:szCs w:val="32"/>
        </w:rPr>
        <w:t>会议讨论</w:t>
      </w:r>
      <w:r>
        <w:rPr>
          <w:rFonts w:hint="eastAsia" w:eastAsia="仿宋_GB2312"/>
          <w:kern w:val="0"/>
          <w:sz w:val="32"/>
          <w:szCs w:val="32"/>
        </w:rPr>
        <w:t>通过</w:t>
      </w:r>
      <w:r>
        <w:rPr>
          <w:rFonts w:eastAsia="仿宋_GB2312"/>
          <w:kern w:val="0"/>
          <w:sz w:val="32"/>
          <w:szCs w:val="32"/>
        </w:rPr>
        <w:t>后使用。</w:t>
      </w:r>
    </w:p>
    <w:p>
      <w:pPr>
        <w:adjustRightInd w:val="0"/>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utoSpaceDE w:val="0"/>
        <w:autoSpaceDN w:val="0"/>
        <w:adjustRightInd w:val="0"/>
        <w:spacing w:line="353" w:lineRule="auto"/>
        <w:ind w:firstLine="640" w:firstLineChars="200"/>
        <w:jc w:val="left"/>
        <w:rPr>
          <w:rFonts w:eastAsia="仿宋_GB2312"/>
          <w:kern w:val="0"/>
          <w:sz w:val="32"/>
          <w:szCs w:val="32"/>
        </w:rPr>
      </w:pPr>
      <w:r>
        <w:rPr>
          <w:rFonts w:eastAsia="仿宋_GB2312"/>
          <w:kern w:val="0"/>
          <w:sz w:val="32"/>
          <w:szCs w:val="32"/>
        </w:rPr>
        <w:t>专项项目采取项目工作领导小组负责制，全体成员积极配合、通力合作。项目工作领导小组负责协调相关工作，项目实施及资金管理</w:t>
      </w:r>
      <w:r>
        <w:rPr>
          <w:rFonts w:hint="eastAsia" w:eastAsia="仿宋_GB2312"/>
          <w:kern w:val="0"/>
          <w:sz w:val="32"/>
          <w:szCs w:val="32"/>
        </w:rPr>
        <w:t>，</w:t>
      </w:r>
      <w:r>
        <w:rPr>
          <w:rFonts w:eastAsia="仿宋_GB2312"/>
          <w:kern w:val="0"/>
          <w:sz w:val="32"/>
          <w:szCs w:val="32"/>
        </w:rPr>
        <w:t>根据项目实施具体</w:t>
      </w:r>
      <w:r>
        <w:rPr>
          <w:rFonts w:hint="eastAsia" w:eastAsia="仿宋_GB2312"/>
          <w:kern w:val="0"/>
          <w:sz w:val="32"/>
          <w:szCs w:val="32"/>
        </w:rPr>
        <w:t>要求</w:t>
      </w:r>
      <w:r>
        <w:rPr>
          <w:rFonts w:eastAsia="仿宋_GB2312"/>
          <w:kern w:val="0"/>
          <w:sz w:val="32"/>
          <w:szCs w:val="32"/>
        </w:rPr>
        <w:t>，合理</w:t>
      </w:r>
      <w:r>
        <w:rPr>
          <w:rFonts w:hint="eastAsia" w:eastAsia="仿宋_GB2312"/>
          <w:kern w:val="0"/>
          <w:sz w:val="32"/>
          <w:szCs w:val="32"/>
        </w:rPr>
        <w:t>协调了</w:t>
      </w:r>
      <w:r>
        <w:rPr>
          <w:rFonts w:eastAsia="仿宋_GB2312"/>
          <w:kern w:val="0"/>
          <w:sz w:val="32"/>
          <w:szCs w:val="32"/>
        </w:rPr>
        <w:t>人员配合</w:t>
      </w:r>
      <w:r>
        <w:rPr>
          <w:rFonts w:hint="eastAsia" w:eastAsia="仿宋_GB2312"/>
          <w:kern w:val="0"/>
          <w:sz w:val="32"/>
          <w:szCs w:val="32"/>
        </w:rPr>
        <w:t>，</w:t>
      </w:r>
      <w:r>
        <w:rPr>
          <w:rFonts w:eastAsia="仿宋_GB2312"/>
          <w:kern w:val="0"/>
          <w:sz w:val="32"/>
          <w:szCs w:val="32"/>
        </w:rPr>
        <w:t>严格控制</w:t>
      </w:r>
      <w:r>
        <w:rPr>
          <w:rFonts w:hint="eastAsia" w:eastAsia="仿宋_GB2312"/>
          <w:kern w:val="0"/>
          <w:sz w:val="32"/>
          <w:szCs w:val="32"/>
        </w:rPr>
        <w:t>了</w:t>
      </w:r>
      <w:r>
        <w:rPr>
          <w:rFonts w:eastAsia="仿宋_GB2312"/>
          <w:kern w:val="0"/>
          <w:sz w:val="32"/>
          <w:szCs w:val="32"/>
        </w:rPr>
        <w:t>专项资金使用。</w:t>
      </w:r>
    </w:p>
    <w:p>
      <w:pPr>
        <w:adjustRightInd w:val="0"/>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仿宋_GB2312" w:eastAsia="仿宋_GB2312" w:cs="仿宋_GB2312"/>
          <w:sz w:val="32"/>
          <w:szCs w:val="32"/>
        </w:rPr>
      </w:pPr>
      <w:r>
        <w:rPr>
          <w:rFonts w:ascii="仿宋_GB2312" w:hAnsi="仿宋_GB2312" w:eastAsia="仿宋_GB2312" w:cs="仿宋_GB2312"/>
          <w:sz w:val="32"/>
          <w:szCs w:val="32"/>
        </w:rPr>
        <w:t>项目由</w:t>
      </w:r>
      <w:r>
        <w:rPr>
          <w:rFonts w:hint="eastAsia" w:ascii="仿宋_GB2312" w:hAnsi="仿宋_GB2312" w:eastAsia="仿宋_GB2312" w:cs="仿宋_GB2312"/>
          <w:sz w:val="32"/>
          <w:szCs w:val="32"/>
        </w:rPr>
        <w:t>办公室</w:t>
      </w:r>
      <w:r>
        <w:rPr>
          <w:rFonts w:ascii="仿宋_GB2312" w:hAnsi="仿宋_GB2312" w:eastAsia="仿宋_GB2312" w:cs="仿宋_GB2312"/>
          <w:sz w:val="32"/>
          <w:szCs w:val="32"/>
        </w:rPr>
        <w:t>具体实施，</w:t>
      </w:r>
      <w:r>
        <w:rPr>
          <w:rFonts w:hint="eastAsia" w:ascii="仿宋_GB2312" w:hAnsi="仿宋_GB2312" w:eastAsia="仿宋_GB2312" w:cs="仿宋_GB2312"/>
          <w:sz w:val="32"/>
          <w:szCs w:val="32"/>
        </w:rPr>
        <w:t>其他</w:t>
      </w:r>
      <w:r>
        <w:rPr>
          <w:rFonts w:ascii="仿宋_GB2312" w:hAnsi="仿宋_GB2312" w:eastAsia="仿宋_GB2312" w:cs="仿宋_GB2312"/>
          <w:sz w:val="32"/>
          <w:szCs w:val="32"/>
        </w:rPr>
        <w:t>股室人员配合，</w:t>
      </w:r>
      <w:r>
        <w:rPr>
          <w:rFonts w:hint="eastAsia" w:ascii="仿宋_GB2312" w:hAnsi="仿宋_GB2312" w:eastAsia="仿宋_GB2312" w:cs="仿宋_GB2312"/>
          <w:sz w:val="32"/>
          <w:szCs w:val="32"/>
        </w:rPr>
        <w:t>专项资金工作领导小组负责</w:t>
      </w:r>
      <w:r>
        <w:rPr>
          <w:rFonts w:ascii="仿宋_GB2312" w:hAnsi="仿宋_GB2312" w:eastAsia="仿宋_GB2312" w:cs="仿宋_GB2312"/>
          <w:sz w:val="32"/>
          <w:szCs w:val="32"/>
        </w:rPr>
        <w:t>对项目实施进行监管，</w:t>
      </w:r>
      <w:r>
        <w:rPr>
          <w:rFonts w:hint="eastAsia" w:ascii="仿宋_GB2312" w:hAnsi="仿宋_GB2312" w:eastAsia="仿宋_GB2312" w:cs="仿宋_GB2312"/>
          <w:sz w:val="32"/>
          <w:szCs w:val="32"/>
        </w:rPr>
        <w:t>主要对我馆</w:t>
      </w:r>
      <w:r>
        <w:rPr>
          <w:rFonts w:ascii="仿宋_GB2312" w:hAnsi="仿宋_GB2312" w:eastAsia="仿宋_GB2312" w:cs="仿宋_GB2312"/>
          <w:sz w:val="32"/>
          <w:szCs w:val="32"/>
        </w:rPr>
        <w:t>专项资金使用</w:t>
      </w:r>
      <w:r>
        <w:rPr>
          <w:rFonts w:hint="eastAsia" w:ascii="仿宋_GB2312" w:hAnsi="仿宋_GB2312" w:eastAsia="仿宋_GB2312" w:cs="仿宋_GB2312"/>
          <w:sz w:val="32"/>
          <w:szCs w:val="32"/>
        </w:rPr>
        <w:t>依据</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票据、合同</w:t>
      </w:r>
      <w:r>
        <w:rPr>
          <w:rFonts w:ascii="仿宋_GB2312" w:hAnsi="仿宋_GB2312" w:eastAsia="仿宋_GB2312" w:cs="仿宋_GB2312"/>
          <w:sz w:val="32"/>
          <w:szCs w:val="32"/>
        </w:rPr>
        <w:t>等</w:t>
      </w:r>
      <w:r>
        <w:rPr>
          <w:rFonts w:hint="eastAsia" w:ascii="仿宋_GB2312" w:hAnsi="仿宋_GB2312" w:eastAsia="仿宋_GB2312" w:cs="仿宋_GB2312"/>
          <w:sz w:val="32"/>
          <w:szCs w:val="32"/>
        </w:rPr>
        <w:t>资料进行了</w:t>
      </w:r>
      <w:r>
        <w:rPr>
          <w:rFonts w:ascii="仿宋_GB2312" w:hAnsi="仿宋_GB2312" w:eastAsia="仿宋_GB2312" w:cs="仿宋_GB2312"/>
          <w:sz w:val="32"/>
          <w:szCs w:val="32"/>
        </w:rPr>
        <w:t>严格审核，全年未发现</w:t>
      </w:r>
      <w:r>
        <w:rPr>
          <w:rFonts w:hint="eastAsia" w:ascii="仿宋_GB2312" w:hAnsi="仿宋_GB2312" w:eastAsia="仿宋_GB2312" w:cs="仿宋_GB2312"/>
          <w:sz w:val="32"/>
          <w:szCs w:val="32"/>
        </w:rPr>
        <w:t>我馆</w:t>
      </w:r>
      <w:r>
        <w:rPr>
          <w:rFonts w:ascii="仿宋_GB2312" w:hAnsi="仿宋_GB2312" w:eastAsia="仿宋_GB2312" w:cs="仿宋_GB2312"/>
          <w:sz w:val="32"/>
          <w:szCs w:val="32"/>
        </w:rPr>
        <w:t>专项资金使用存在违规情况。</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autoSpaceDE w:val="0"/>
        <w:autoSpaceDN w:val="0"/>
        <w:adjustRightInd w:val="0"/>
        <w:spacing w:line="353"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一是强化</w:t>
      </w:r>
      <w:r>
        <w:rPr>
          <w:rFonts w:ascii="仿宋_GB2312" w:hAnsi="仿宋_GB2312" w:eastAsia="仿宋_GB2312" w:cs="仿宋_GB2312"/>
          <w:sz w:val="32"/>
          <w:szCs w:val="32"/>
        </w:rPr>
        <w:t>安全工作，</w:t>
      </w:r>
      <w:r>
        <w:rPr>
          <w:rFonts w:hint="eastAsia" w:ascii="仿宋_GB2312" w:hAnsi="仿宋_GB2312" w:eastAsia="仿宋_GB2312" w:cs="仿宋_GB2312"/>
          <w:sz w:val="32"/>
          <w:szCs w:val="32"/>
        </w:rPr>
        <w:t>严格落实各项档案保管保护措施，加强重点时段安全检查，及时</w:t>
      </w:r>
      <w:r>
        <w:rPr>
          <w:rFonts w:ascii="仿宋_GB2312" w:hAnsi="仿宋_GB2312" w:eastAsia="仿宋_GB2312" w:cs="仿宋_GB2312"/>
          <w:sz w:val="32"/>
          <w:szCs w:val="32"/>
        </w:rPr>
        <w:t>维修</w:t>
      </w:r>
      <w:r>
        <w:rPr>
          <w:rFonts w:hint="eastAsia" w:ascii="仿宋_GB2312" w:hAnsi="仿宋_GB2312" w:eastAsia="仿宋_GB2312" w:cs="仿宋_GB2312"/>
          <w:sz w:val="32"/>
          <w:szCs w:val="32"/>
        </w:rPr>
        <w:t>及更新</w:t>
      </w:r>
      <w:r>
        <w:rPr>
          <w:rFonts w:ascii="仿宋_GB2312" w:hAnsi="仿宋_GB2312" w:eastAsia="仿宋_GB2312" w:cs="仿宋_GB2312"/>
          <w:sz w:val="32"/>
          <w:szCs w:val="32"/>
        </w:rPr>
        <w:t>档案</w:t>
      </w:r>
      <w:r>
        <w:rPr>
          <w:rFonts w:hint="eastAsia" w:ascii="仿宋_GB2312" w:hAnsi="仿宋_GB2312" w:eastAsia="仿宋_GB2312" w:cs="仿宋_GB2312"/>
          <w:sz w:val="32"/>
          <w:szCs w:val="32"/>
        </w:rPr>
        <w:t>库房及办公</w:t>
      </w:r>
      <w:r>
        <w:rPr>
          <w:rFonts w:ascii="仿宋_GB2312" w:hAnsi="仿宋_GB2312" w:eastAsia="仿宋_GB2312" w:cs="仿宋_GB2312"/>
          <w:sz w:val="32"/>
          <w:szCs w:val="32"/>
        </w:rPr>
        <w:t>区域</w:t>
      </w:r>
      <w:r>
        <w:rPr>
          <w:rFonts w:hint="eastAsia" w:ascii="仿宋_GB2312" w:hAnsi="仿宋_GB2312" w:eastAsia="仿宋_GB2312" w:cs="仿宋_GB2312"/>
          <w:sz w:val="32"/>
          <w:szCs w:val="32"/>
        </w:rPr>
        <w:t>设备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保障</w:t>
      </w:r>
      <w:r>
        <w:rPr>
          <w:rFonts w:ascii="仿宋_GB2312" w:hAnsi="仿宋_GB2312" w:eastAsia="仿宋_GB2312" w:cs="仿宋_GB2312"/>
          <w:sz w:val="32"/>
          <w:szCs w:val="32"/>
        </w:rPr>
        <w:t>档案实体及档案信息安全，</w:t>
      </w:r>
      <w:r>
        <w:rPr>
          <w:rFonts w:hint="eastAsia" w:ascii="仿宋_GB2312" w:hAnsi="仿宋_GB2312" w:eastAsia="仿宋_GB2312" w:cs="仿宋_GB2312"/>
          <w:sz w:val="32"/>
          <w:szCs w:val="32"/>
        </w:rPr>
        <w:t>全年未发生档案安全事故。二是提升</w:t>
      </w:r>
      <w:r>
        <w:rPr>
          <w:rFonts w:ascii="仿宋_GB2312" w:hAnsi="仿宋_GB2312" w:eastAsia="仿宋_GB2312" w:cs="仿宋_GB2312"/>
          <w:sz w:val="32"/>
          <w:szCs w:val="32"/>
        </w:rPr>
        <w:t>档案利用</w:t>
      </w:r>
      <w:r>
        <w:rPr>
          <w:rFonts w:hint="eastAsia" w:ascii="仿宋_GB2312" w:hAnsi="仿宋_GB2312" w:eastAsia="仿宋_GB2312" w:cs="仿宋_GB2312"/>
          <w:sz w:val="32"/>
          <w:szCs w:val="32"/>
        </w:rPr>
        <w:t>服务</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购买</w:t>
      </w:r>
      <w:r>
        <w:rPr>
          <w:rFonts w:ascii="仿宋_GB2312" w:hAnsi="仿宋_GB2312" w:eastAsia="仿宋_GB2312" w:cs="仿宋_GB2312"/>
          <w:sz w:val="32"/>
          <w:szCs w:val="32"/>
        </w:rPr>
        <w:t>档案服务器，增加现有服务器容量，提升</w:t>
      </w:r>
      <w:r>
        <w:rPr>
          <w:rFonts w:hint="eastAsia" w:ascii="仿宋_GB2312" w:hAnsi="仿宋_GB2312" w:eastAsia="仿宋_GB2312" w:cs="仿宋_GB2312"/>
          <w:sz w:val="32"/>
          <w:szCs w:val="32"/>
        </w:rPr>
        <w:t>档案</w:t>
      </w:r>
      <w:r>
        <w:rPr>
          <w:rFonts w:ascii="仿宋_GB2312" w:hAnsi="仿宋_GB2312" w:eastAsia="仿宋_GB2312" w:cs="仿宋_GB2312"/>
          <w:sz w:val="32"/>
          <w:szCs w:val="32"/>
        </w:rPr>
        <w:t>利用服务，保障档案信息安全、稳定，</w:t>
      </w:r>
      <w:r>
        <w:rPr>
          <w:rFonts w:hint="eastAsia" w:ascii="仿宋_GB2312" w:hAnsi="仿宋_GB2312" w:eastAsia="仿宋_GB2312" w:cs="仿宋_GB2312"/>
          <w:sz w:val="32"/>
          <w:szCs w:val="32"/>
        </w:rPr>
        <w:t>2019年共计为单位、个人提供档案利用241人次、1182卷/次、1918件/次、跨馆异地查档 9人/次、9 卷/次。三是</w:t>
      </w:r>
      <w:r>
        <w:rPr>
          <w:rFonts w:ascii="仿宋_GB2312" w:hAnsi="仿宋_GB2312" w:eastAsia="仿宋_GB2312" w:cs="仿宋_GB2312"/>
          <w:sz w:val="32"/>
          <w:szCs w:val="32"/>
        </w:rPr>
        <w:t>开展了</w:t>
      </w:r>
      <w:r>
        <w:rPr>
          <w:rFonts w:hint="eastAsia" w:ascii="仿宋_GB2312" w:hAnsi="仿宋_GB2312" w:eastAsia="仿宋_GB2312" w:cs="仿宋_GB2312"/>
          <w:sz w:val="32"/>
          <w:szCs w:val="32"/>
        </w:rPr>
        <w:t>3号</w:t>
      </w:r>
      <w:r>
        <w:rPr>
          <w:rFonts w:ascii="仿宋_GB2312" w:hAnsi="仿宋_GB2312" w:eastAsia="仿宋_GB2312" w:cs="仿宋_GB2312"/>
          <w:sz w:val="32"/>
          <w:szCs w:val="32"/>
        </w:rPr>
        <w:t>库房</w:t>
      </w:r>
      <w:r>
        <w:rPr>
          <w:rFonts w:hint="eastAsia" w:ascii="仿宋_GB2312" w:hAnsi="仿宋_GB2312" w:eastAsia="仿宋_GB2312" w:cs="仿宋_GB2312"/>
          <w:sz w:val="32"/>
          <w:szCs w:val="32"/>
        </w:rPr>
        <w:t>启用工作</w:t>
      </w:r>
      <w:r>
        <w:rPr>
          <w:rFonts w:ascii="仿宋_GB2312" w:hAnsi="仿宋_GB2312" w:eastAsia="仿宋_GB2312" w:cs="仿宋_GB2312"/>
          <w:sz w:val="32"/>
          <w:szCs w:val="32"/>
        </w:rPr>
        <w:t>，为库房</w:t>
      </w:r>
      <w:r>
        <w:rPr>
          <w:rFonts w:hint="eastAsia" w:ascii="仿宋_GB2312" w:hAnsi="仿宋_GB2312" w:eastAsia="仿宋_GB2312" w:cs="仿宋_GB2312"/>
          <w:sz w:val="32"/>
          <w:szCs w:val="32"/>
        </w:rPr>
        <w:t>购置档案柜、</w:t>
      </w:r>
      <w:r>
        <w:rPr>
          <w:rFonts w:ascii="仿宋_GB2312" w:hAnsi="仿宋_GB2312" w:eastAsia="仿宋_GB2312" w:cs="仿宋_GB2312"/>
          <w:sz w:val="32"/>
          <w:szCs w:val="32"/>
        </w:rPr>
        <w:t>空调、除湿机等档案保管必需设备。四是</w:t>
      </w:r>
      <w:r>
        <w:rPr>
          <w:rFonts w:hint="eastAsia" w:ascii="仿宋_GB2312" w:hAnsi="仿宋_GB2312" w:eastAsia="仿宋_GB2312" w:cs="仿宋_GB2312"/>
          <w:sz w:val="32"/>
          <w:szCs w:val="32"/>
        </w:rPr>
        <w:t>为保障档案</w:t>
      </w:r>
      <w:r>
        <w:rPr>
          <w:rFonts w:ascii="仿宋_GB2312" w:hAnsi="仿宋_GB2312" w:eastAsia="仿宋_GB2312" w:cs="仿宋_GB2312"/>
          <w:sz w:val="32"/>
          <w:szCs w:val="32"/>
        </w:rPr>
        <w:t>“九防”措施</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购买档案药品</w:t>
      </w:r>
      <w:r>
        <w:rPr>
          <w:rFonts w:hint="eastAsia" w:ascii="仿宋_GB2312" w:hAnsi="仿宋_GB2312" w:eastAsia="仿宋_GB2312" w:cs="仿宋_GB2312"/>
          <w:sz w:val="32"/>
          <w:szCs w:val="32"/>
        </w:rPr>
        <w:t>3221包</w:t>
      </w:r>
      <w:r>
        <w:rPr>
          <w:rFonts w:ascii="仿宋_GB2312" w:hAnsi="仿宋_GB2312" w:eastAsia="仿宋_GB2312" w:cs="仿宋_GB2312"/>
          <w:sz w:val="32"/>
          <w:szCs w:val="32"/>
        </w:rPr>
        <w:t>，已全部用于档案防虫。</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2019年，我馆的绩效工作重点一是抓好绩效目标编制工作，让绩效目标细化，提高绩效目标可执行性。二是对申报项目资金进行严管严控，将专项资金有计划有目标的用于专项项目的建设。三是深入开展预算支出绩效评价，对各个股室的全年工作情况进行核查并汇总，在此基础上形成决算的基础数据。</w:t>
      </w:r>
    </w:p>
    <w:p>
      <w:pPr>
        <w:adjustRightInd w:val="0"/>
        <w:snapToGrid w:val="0"/>
        <w:spacing w:line="600" w:lineRule="exact"/>
        <w:ind w:firstLine="720"/>
        <w:rPr>
          <w:rFonts w:ascii="仿宋_GB2312" w:hAnsi="仿宋_GB2312" w:eastAsia="仿宋_GB2312" w:cs="仿宋_GB2312"/>
          <w:sz w:val="32"/>
          <w:szCs w:val="32"/>
        </w:rPr>
      </w:pPr>
      <w:r>
        <w:rPr>
          <w:rFonts w:eastAsia="仿宋_GB2312"/>
          <w:kern w:val="0"/>
          <w:sz w:val="32"/>
          <w:szCs w:val="32"/>
        </w:rPr>
        <w:t>加强对绩效目标管理的认识，提升绩效目标可量化性。</w:t>
      </w:r>
      <w:r>
        <w:rPr>
          <w:rFonts w:hint="eastAsia" w:ascii="仿宋_GB2312" w:hAnsi="仿宋_GB2312" w:eastAsia="仿宋_GB2312" w:cs="仿宋_GB2312"/>
          <w:sz w:val="32"/>
          <w:szCs w:val="32"/>
        </w:rPr>
        <w:t>深入开展预算支出绩效评价，对各个股室的全年工作情况进行核查并汇总，在此基础上形成决算的基础数据。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spacing w:line="353" w:lineRule="auto"/>
        <w:ind w:firstLine="640" w:firstLineChars="200"/>
        <w:rPr>
          <w:rFonts w:ascii="仿宋_GB2312" w:eastAsia="仿宋_GB2312"/>
          <w:sz w:val="32"/>
          <w:szCs w:val="32"/>
        </w:rPr>
      </w:pPr>
      <w:r>
        <w:rPr>
          <w:rFonts w:hint="eastAsia" w:ascii="仿宋_GB2312" w:eastAsia="仿宋_GB2312"/>
          <w:sz w:val="32"/>
          <w:szCs w:val="32"/>
        </w:rPr>
        <w:t>将预算基础工作做好、做细，提高预算准确性。</w:t>
      </w:r>
    </w:p>
    <w:p>
      <w:pPr>
        <w:adjustRightInd w:val="0"/>
        <w:snapToGrid w:val="0"/>
        <w:spacing w:line="600" w:lineRule="exact"/>
        <w:ind w:firstLine="642" w:firstLineChars="20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rPr>
          <w:rFonts w:ascii="仿宋_GB2312" w:hAnsi="仿宋_GB2312" w:eastAsia="仿宋_GB2312" w:cs="仿宋_GB2312"/>
          <w:sz w:val="32"/>
          <w:szCs w:val="32"/>
        </w:rPr>
      </w:pPr>
      <w:r>
        <w:rPr>
          <w:rFonts w:hint="eastAsia" w:ascii="仿宋_GB2312" w:hAnsi="宋体" w:eastAsia="仿宋_GB2312"/>
          <w:sz w:val="32"/>
          <w:szCs w:val="32"/>
          <w:lang w:val="zh-CN"/>
        </w:rPr>
        <w:t>无。</w:t>
      </w:r>
    </w:p>
    <w:p>
      <w:pPr>
        <w:spacing w:line="580" w:lineRule="exact"/>
        <w:ind w:firstLine="640"/>
        <w:rPr>
          <w:rFonts w:ascii="仿宋_GB2312" w:hAnsi="仿宋_GB2312" w:eastAsia="仿宋_GB2312" w:cs="仿宋_GB2312"/>
          <w:sz w:val="32"/>
          <w:szCs w:val="32"/>
        </w:rPr>
      </w:pPr>
    </w:p>
    <w:p>
      <w:pPr>
        <w:widowControl/>
        <w:jc w:val="left"/>
        <w:rPr>
          <w:rStyle w:val="27"/>
          <w:rFonts w:ascii="黑体" w:hAnsi="黑体" w:eastAsia="黑体"/>
          <w:b w:val="0"/>
        </w:rPr>
      </w:pPr>
    </w:p>
    <w:p>
      <w:pPr>
        <w:widowControl/>
        <w:jc w:val="center"/>
        <w:rPr>
          <w:rStyle w:val="27"/>
          <w:rFonts w:ascii="黑体" w:hAnsi="黑体" w:eastAsia="黑体"/>
          <w:b w:val="0"/>
        </w:rPr>
      </w:pPr>
      <w:r>
        <w:rPr>
          <w:rStyle w:val="27"/>
          <w:rFonts w:ascii="黑体" w:hAnsi="黑体" w:eastAsia="黑体"/>
          <w:b w:val="0"/>
        </w:rPr>
        <w:br w:type="page"/>
      </w:r>
      <w:bookmarkStart w:id="91" w:name="_Toc15396618"/>
      <w:bookmarkStart w:id="92" w:name="_Toc23972"/>
      <w:r>
        <w:rPr>
          <w:rFonts w:hint="eastAsia" w:ascii="黑体" w:hAnsi="黑体" w:eastAsia="黑体"/>
          <w:color w:val="000000"/>
          <w:sz w:val="44"/>
          <w:szCs w:val="44"/>
        </w:rPr>
        <w:t>第</w:t>
      </w:r>
      <w:r>
        <w:rPr>
          <w:rStyle w:val="27"/>
          <w:rFonts w:hint="eastAsia" w:ascii="黑体" w:hAnsi="黑体" w:eastAsia="黑体"/>
          <w:b w:val="0"/>
        </w:rPr>
        <w:t>五部分 附表</w:t>
      </w:r>
      <w:bookmarkEnd w:id="88"/>
      <w:bookmarkEnd w:id="91"/>
      <w:bookmarkEnd w:id="92"/>
    </w:p>
    <w:p>
      <w:pPr>
        <w:spacing w:line="600" w:lineRule="exact"/>
        <w:jc w:val="center"/>
        <w:rPr>
          <w:rFonts w:ascii="仿宋" w:hAnsi="仿宋" w:eastAsia="仿宋"/>
          <w:b/>
          <w:color w:val="000000"/>
          <w:sz w:val="44"/>
          <w:szCs w:val="44"/>
        </w:rPr>
      </w:pPr>
    </w:p>
    <w:p>
      <w:pPr>
        <w:pStyle w:val="7"/>
        <w:rPr>
          <w:rFonts w:ascii="仿宋" w:hAnsi="仿宋" w:eastAsia="仿宋"/>
          <w:color w:val="000000"/>
        </w:rPr>
      </w:pPr>
      <w:bookmarkStart w:id="93" w:name="_Toc15396619"/>
      <w:bookmarkStart w:id="94" w:name="_Toc9567"/>
      <w:r>
        <w:rPr>
          <w:rFonts w:hint="eastAsia" w:ascii="仿宋" w:hAnsi="仿宋" w:eastAsia="仿宋"/>
          <w:b w:val="0"/>
          <w:color w:val="000000"/>
        </w:rPr>
        <w:t>一、收</w:t>
      </w:r>
      <w:r>
        <w:rPr>
          <w:rStyle w:val="28"/>
          <w:rFonts w:hint="eastAsia" w:ascii="仿宋" w:hAnsi="仿宋" w:eastAsia="仿宋"/>
          <w:b w:val="0"/>
          <w:bCs w:val="0"/>
        </w:rPr>
        <w:t>入支出决算总表</w:t>
      </w:r>
      <w:bookmarkEnd w:id="93"/>
      <w:bookmarkEnd w:id="94"/>
    </w:p>
    <w:p>
      <w:pPr>
        <w:pStyle w:val="7"/>
        <w:rPr>
          <w:rFonts w:ascii="仿宋" w:hAnsi="仿宋" w:eastAsia="仿宋"/>
          <w:color w:val="000000"/>
        </w:rPr>
      </w:pPr>
      <w:bookmarkStart w:id="95" w:name="_Toc14445"/>
      <w:bookmarkStart w:id="96" w:name="_Toc15396620"/>
      <w:r>
        <w:rPr>
          <w:rFonts w:hint="eastAsia" w:ascii="仿宋" w:hAnsi="仿宋" w:eastAsia="仿宋"/>
          <w:b w:val="0"/>
          <w:color w:val="000000"/>
        </w:rPr>
        <w:t>二、收</w:t>
      </w:r>
      <w:r>
        <w:rPr>
          <w:rStyle w:val="28"/>
          <w:rFonts w:hint="eastAsia" w:ascii="仿宋" w:hAnsi="仿宋" w:eastAsia="仿宋"/>
          <w:b w:val="0"/>
          <w:bCs w:val="0"/>
        </w:rPr>
        <w:t>入决算表</w:t>
      </w:r>
      <w:bookmarkEnd w:id="95"/>
      <w:bookmarkEnd w:id="96"/>
    </w:p>
    <w:p>
      <w:pPr>
        <w:pStyle w:val="7"/>
        <w:rPr>
          <w:rFonts w:ascii="仿宋" w:hAnsi="仿宋" w:eastAsia="仿宋"/>
          <w:color w:val="000000"/>
        </w:rPr>
      </w:pPr>
      <w:bookmarkStart w:id="97" w:name="_Toc6455"/>
      <w:bookmarkStart w:id="98"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97"/>
      <w:bookmarkEnd w:id="98"/>
    </w:p>
    <w:p>
      <w:pPr>
        <w:pStyle w:val="7"/>
        <w:rPr>
          <w:rFonts w:ascii="仿宋" w:hAnsi="仿宋" w:eastAsia="仿宋"/>
          <w:b w:val="0"/>
          <w:color w:val="000000"/>
        </w:rPr>
      </w:pPr>
      <w:bookmarkStart w:id="99" w:name="_Toc15396622"/>
      <w:bookmarkStart w:id="100" w:name="_Toc24298"/>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99"/>
      <w:bookmarkEnd w:id="100"/>
    </w:p>
    <w:p>
      <w:pPr>
        <w:pStyle w:val="7"/>
        <w:rPr>
          <w:rStyle w:val="28"/>
          <w:rFonts w:ascii="仿宋" w:hAnsi="仿宋" w:eastAsia="仿宋"/>
          <w:b w:val="0"/>
          <w:bCs w:val="0"/>
        </w:rPr>
      </w:pPr>
      <w:bookmarkStart w:id="101" w:name="_Toc15396623"/>
      <w:bookmarkStart w:id="102" w:name="_Toc29644"/>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01"/>
      <w:bookmarkEnd w:id="102"/>
      <w:bookmarkStart w:id="103" w:name="_Toc15396624"/>
    </w:p>
    <w:p>
      <w:pPr>
        <w:pStyle w:val="7"/>
        <w:rPr>
          <w:rFonts w:ascii="仿宋" w:hAnsi="仿宋" w:eastAsia="仿宋"/>
          <w:color w:val="000000"/>
        </w:rPr>
      </w:pPr>
      <w:bookmarkStart w:id="104" w:name="_Toc26789"/>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03"/>
      <w:bookmarkEnd w:id="104"/>
    </w:p>
    <w:p>
      <w:pPr>
        <w:pStyle w:val="7"/>
        <w:rPr>
          <w:rFonts w:ascii="仿宋" w:hAnsi="仿宋" w:eastAsia="仿宋"/>
          <w:color w:val="000000"/>
        </w:rPr>
      </w:pPr>
      <w:bookmarkStart w:id="105" w:name="_Toc15396625"/>
      <w:bookmarkStart w:id="106" w:name="_Toc32588"/>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05"/>
      <w:bookmarkEnd w:id="106"/>
    </w:p>
    <w:p>
      <w:pPr>
        <w:pStyle w:val="7"/>
        <w:rPr>
          <w:rFonts w:ascii="仿宋" w:hAnsi="仿宋" w:eastAsia="仿宋"/>
          <w:color w:val="000000"/>
        </w:rPr>
      </w:pPr>
      <w:bookmarkStart w:id="107" w:name="_Toc27832"/>
      <w:bookmarkStart w:id="108"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07"/>
      <w:bookmarkEnd w:id="108"/>
    </w:p>
    <w:p>
      <w:pPr>
        <w:pStyle w:val="7"/>
        <w:rPr>
          <w:rFonts w:ascii="仿宋" w:hAnsi="仿宋" w:eastAsia="仿宋"/>
          <w:color w:val="000000"/>
        </w:rPr>
      </w:pPr>
      <w:bookmarkStart w:id="109" w:name="_Toc15396627"/>
      <w:bookmarkStart w:id="110" w:name="_Toc7550"/>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09"/>
      <w:bookmarkEnd w:id="110"/>
    </w:p>
    <w:p>
      <w:pPr>
        <w:pStyle w:val="7"/>
        <w:rPr>
          <w:rFonts w:ascii="仿宋" w:hAnsi="仿宋" w:eastAsia="仿宋"/>
          <w:color w:val="000000"/>
        </w:rPr>
      </w:pPr>
      <w:bookmarkStart w:id="111" w:name="_Toc15396628"/>
      <w:bookmarkStart w:id="112" w:name="_Toc14460"/>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11"/>
      <w:bookmarkEnd w:id="112"/>
    </w:p>
    <w:p>
      <w:pPr>
        <w:pStyle w:val="7"/>
        <w:rPr>
          <w:rFonts w:ascii="仿宋" w:hAnsi="仿宋" w:eastAsia="仿宋"/>
          <w:color w:val="000000"/>
        </w:rPr>
      </w:pPr>
      <w:bookmarkStart w:id="113" w:name="_Toc15396629"/>
      <w:bookmarkStart w:id="114" w:name="_Toc22087"/>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13"/>
      <w:bookmarkEnd w:id="114"/>
    </w:p>
    <w:p>
      <w:pPr>
        <w:pStyle w:val="7"/>
        <w:rPr>
          <w:rFonts w:ascii="仿宋" w:hAnsi="仿宋" w:eastAsia="仿宋"/>
          <w:color w:val="000000"/>
        </w:rPr>
      </w:pPr>
      <w:bookmarkStart w:id="115" w:name="_Toc3201"/>
      <w:bookmarkStart w:id="116"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15"/>
      <w:bookmarkEnd w:id="116"/>
    </w:p>
    <w:p>
      <w:pPr>
        <w:pStyle w:val="7"/>
        <w:rPr>
          <w:rFonts w:ascii="仿宋" w:hAnsi="仿宋" w:eastAsia="仿宋"/>
          <w:color w:val="000000" w:themeColor="text1"/>
        </w:rPr>
      </w:pPr>
      <w:bookmarkStart w:id="117" w:name="_Toc26412"/>
      <w:bookmarkStart w:id="118"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117"/>
      <w:bookmarkEnd w:id="11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楷体_GBK">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21</w:t>
        </w:r>
        <w:r>
          <w:rPr>
            <w:lang w:val="zh-CN"/>
          </w:rP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D9C9AC8D"/>
    <w:multiLevelType w:val="singleLevel"/>
    <w:tmpl w:val="D9C9AC8D"/>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FCCC129E"/>
    <w:multiLevelType w:val="singleLevel"/>
    <w:tmpl w:val="FCCC129E"/>
    <w:lvl w:ilvl="0" w:tentative="0">
      <w:start w:val="2"/>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084A"/>
    <w:rsid w:val="000222C6"/>
    <w:rsid w:val="0002549F"/>
    <w:rsid w:val="0003187F"/>
    <w:rsid w:val="000468DB"/>
    <w:rsid w:val="00054D8C"/>
    <w:rsid w:val="0006487A"/>
    <w:rsid w:val="00065276"/>
    <w:rsid w:val="00065F8F"/>
    <w:rsid w:val="00070A43"/>
    <w:rsid w:val="00075616"/>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67D9"/>
    <w:rsid w:val="000E7119"/>
    <w:rsid w:val="00114E9B"/>
    <w:rsid w:val="00120644"/>
    <w:rsid w:val="00127465"/>
    <w:rsid w:val="00142216"/>
    <w:rsid w:val="00144D6A"/>
    <w:rsid w:val="0014729F"/>
    <w:rsid w:val="00155559"/>
    <w:rsid w:val="00157BAB"/>
    <w:rsid w:val="001618A1"/>
    <w:rsid w:val="001654D1"/>
    <w:rsid w:val="00174518"/>
    <w:rsid w:val="00176703"/>
    <w:rsid w:val="0018106D"/>
    <w:rsid w:val="001877A7"/>
    <w:rsid w:val="00191536"/>
    <w:rsid w:val="00196687"/>
    <w:rsid w:val="001C0962"/>
    <w:rsid w:val="001C5806"/>
    <w:rsid w:val="001D7531"/>
    <w:rsid w:val="001E737D"/>
    <w:rsid w:val="001F0592"/>
    <w:rsid w:val="001F50A7"/>
    <w:rsid w:val="001F626A"/>
    <w:rsid w:val="001F7506"/>
    <w:rsid w:val="002006CD"/>
    <w:rsid w:val="00202B36"/>
    <w:rsid w:val="00204B7A"/>
    <w:rsid w:val="00204CDE"/>
    <w:rsid w:val="0020797F"/>
    <w:rsid w:val="0021101A"/>
    <w:rsid w:val="00220536"/>
    <w:rsid w:val="00235629"/>
    <w:rsid w:val="0025353D"/>
    <w:rsid w:val="00260C38"/>
    <w:rsid w:val="002616C0"/>
    <w:rsid w:val="002616C5"/>
    <w:rsid w:val="002622AD"/>
    <w:rsid w:val="00265372"/>
    <w:rsid w:val="002662AA"/>
    <w:rsid w:val="00276720"/>
    <w:rsid w:val="00280496"/>
    <w:rsid w:val="00294DC9"/>
    <w:rsid w:val="00295495"/>
    <w:rsid w:val="002A31DE"/>
    <w:rsid w:val="002B2613"/>
    <w:rsid w:val="002C385A"/>
    <w:rsid w:val="002D0F99"/>
    <w:rsid w:val="002D19B0"/>
    <w:rsid w:val="002D6D05"/>
    <w:rsid w:val="002E2E0F"/>
    <w:rsid w:val="002F1818"/>
    <w:rsid w:val="002F567B"/>
    <w:rsid w:val="00305403"/>
    <w:rsid w:val="0030699E"/>
    <w:rsid w:val="003216A9"/>
    <w:rsid w:val="00333088"/>
    <w:rsid w:val="00335A74"/>
    <w:rsid w:val="0036561B"/>
    <w:rsid w:val="0037013F"/>
    <w:rsid w:val="00380C92"/>
    <w:rsid w:val="00391167"/>
    <w:rsid w:val="00393679"/>
    <w:rsid w:val="003A00FC"/>
    <w:rsid w:val="003A484F"/>
    <w:rsid w:val="003A4883"/>
    <w:rsid w:val="003B0BE0"/>
    <w:rsid w:val="003B0C1B"/>
    <w:rsid w:val="003B688C"/>
    <w:rsid w:val="003C0291"/>
    <w:rsid w:val="003C39AE"/>
    <w:rsid w:val="003C5352"/>
    <w:rsid w:val="003C7B60"/>
    <w:rsid w:val="003D0C0F"/>
    <w:rsid w:val="003D1FB2"/>
    <w:rsid w:val="003D66DA"/>
    <w:rsid w:val="003E1310"/>
    <w:rsid w:val="003E6F55"/>
    <w:rsid w:val="003F49EA"/>
    <w:rsid w:val="00403A8C"/>
    <w:rsid w:val="00406254"/>
    <w:rsid w:val="00406F95"/>
    <w:rsid w:val="00407168"/>
    <w:rsid w:val="00416CD4"/>
    <w:rsid w:val="00416D89"/>
    <w:rsid w:val="004223DE"/>
    <w:rsid w:val="00432AEE"/>
    <w:rsid w:val="00434489"/>
    <w:rsid w:val="00437085"/>
    <w:rsid w:val="00437ECB"/>
    <w:rsid w:val="00443880"/>
    <w:rsid w:val="004464F4"/>
    <w:rsid w:val="00454051"/>
    <w:rsid w:val="004556B4"/>
    <w:rsid w:val="004567D2"/>
    <w:rsid w:val="00471401"/>
    <w:rsid w:val="00473F31"/>
    <w:rsid w:val="0048263A"/>
    <w:rsid w:val="00487E5D"/>
    <w:rsid w:val="00490555"/>
    <w:rsid w:val="00493673"/>
    <w:rsid w:val="004A711F"/>
    <w:rsid w:val="004B0272"/>
    <w:rsid w:val="004B199D"/>
    <w:rsid w:val="004B4690"/>
    <w:rsid w:val="004E0A2D"/>
    <w:rsid w:val="004E206B"/>
    <w:rsid w:val="004E50BB"/>
    <w:rsid w:val="004E592E"/>
    <w:rsid w:val="004E6DF7"/>
    <w:rsid w:val="004F0FBD"/>
    <w:rsid w:val="004F403E"/>
    <w:rsid w:val="00502FE5"/>
    <w:rsid w:val="00505A47"/>
    <w:rsid w:val="0050733C"/>
    <w:rsid w:val="00512FDA"/>
    <w:rsid w:val="00520DA0"/>
    <w:rsid w:val="005664BB"/>
    <w:rsid w:val="00566FFA"/>
    <w:rsid w:val="005722CC"/>
    <w:rsid w:val="0057481D"/>
    <w:rsid w:val="00575F0B"/>
    <w:rsid w:val="00583BC6"/>
    <w:rsid w:val="0058486E"/>
    <w:rsid w:val="00585B33"/>
    <w:rsid w:val="0059014D"/>
    <w:rsid w:val="005B014F"/>
    <w:rsid w:val="005B5C64"/>
    <w:rsid w:val="005C6BD0"/>
    <w:rsid w:val="005C6C4C"/>
    <w:rsid w:val="005D1C8B"/>
    <w:rsid w:val="005D468D"/>
    <w:rsid w:val="005D5CED"/>
    <w:rsid w:val="005F1A4C"/>
    <w:rsid w:val="005F268B"/>
    <w:rsid w:val="00605688"/>
    <w:rsid w:val="006070AF"/>
    <w:rsid w:val="00607E6C"/>
    <w:rsid w:val="006101B1"/>
    <w:rsid w:val="00614E44"/>
    <w:rsid w:val="0062270A"/>
    <w:rsid w:val="00622830"/>
    <w:rsid w:val="00623DA0"/>
    <w:rsid w:val="00627D15"/>
    <w:rsid w:val="00630AEF"/>
    <w:rsid w:val="0063126D"/>
    <w:rsid w:val="006325F8"/>
    <w:rsid w:val="00633463"/>
    <w:rsid w:val="00634C9A"/>
    <w:rsid w:val="00637099"/>
    <w:rsid w:val="006440E4"/>
    <w:rsid w:val="0066343B"/>
    <w:rsid w:val="00663BAD"/>
    <w:rsid w:val="00664777"/>
    <w:rsid w:val="0066499C"/>
    <w:rsid w:val="006748A4"/>
    <w:rsid w:val="00681A31"/>
    <w:rsid w:val="00683E73"/>
    <w:rsid w:val="006A3141"/>
    <w:rsid w:val="006A5E34"/>
    <w:rsid w:val="006B2422"/>
    <w:rsid w:val="006B2B9A"/>
    <w:rsid w:val="006B31DE"/>
    <w:rsid w:val="006C1937"/>
    <w:rsid w:val="006F020C"/>
    <w:rsid w:val="0070008C"/>
    <w:rsid w:val="007127B7"/>
    <w:rsid w:val="007164A0"/>
    <w:rsid w:val="0071798E"/>
    <w:rsid w:val="00727533"/>
    <w:rsid w:val="007416B6"/>
    <w:rsid w:val="00746F48"/>
    <w:rsid w:val="0075404D"/>
    <w:rsid w:val="0076182A"/>
    <w:rsid w:val="00765383"/>
    <w:rsid w:val="00767B7E"/>
    <w:rsid w:val="00775339"/>
    <w:rsid w:val="00775C5B"/>
    <w:rsid w:val="007770C3"/>
    <w:rsid w:val="00784D24"/>
    <w:rsid w:val="00785FBA"/>
    <w:rsid w:val="00786E4A"/>
    <w:rsid w:val="007875EB"/>
    <w:rsid w:val="0079426B"/>
    <w:rsid w:val="007B3E6E"/>
    <w:rsid w:val="007D1682"/>
    <w:rsid w:val="007D312A"/>
    <w:rsid w:val="007D3F19"/>
    <w:rsid w:val="007E2290"/>
    <w:rsid w:val="007E23B0"/>
    <w:rsid w:val="007E3268"/>
    <w:rsid w:val="007E5D74"/>
    <w:rsid w:val="007F1991"/>
    <w:rsid w:val="007F2C2F"/>
    <w:rsid w:val="007F31E9"/>
    <w:rsid w:val="007F333A"/>
    <w:rsid w:val="007F55FC"/>
    <w:rsid w:val="007F5665"/>
    <w:rsid w:val="00800112"/>
    <w:rsid w:val="00813348"/>
    <w:rsid w:val="008211CB"/>
    <w:rsid w:val="008253BB"/>
    <w:rsid w:val="00833962"/>
    <w:rsid w:val="00836285"/>
    <w:rsid w:val="0083706E"/>
    <w:rsid w:val="008408F6"/>
    <w:rsid w:val="008423A5"/>
    <w:rsid w:val="00850625"/>
    <w:rsid w:val="00853718"/>
    <w:rsid w:val="00855221"/>
    <w:rsid w:val="00860279"/>
    <w:rsid w:val="00860645"/>
    <w:rsid w:val="00871F71"/>
    <w:rsid w:val="00872FD8"/>
    <w:rsid w:val="00874FAF"/>
    <w:rsid w:val="00885AF4"/>
    <w:rsid w:val="00885CE7"/>
    <w:rsid w:val="00893970"/>
    <w:rsid w:val="008939CD"/>
    <w:rsid w:val="008B5C38"/>
    <w:rsid w:val="008B768C"/>
    <w:rsid w:val="008C4DB1"/>
    <w:rsid w:val="008C4EAF"/>
    <w:rsid w:val="008C5176"/>
    <w:rsid w:val="008C7FD0"/>
    <w:rsid w:val="008E1DE7"/>
    <w:rsid w:val="008E707C"/>
    <w:rsid w:val="008F5702"/>
    <w:rsid w:val="00900B08"/>
    <w:rsid w:val="00902155"/>
    <w:rsid w:val="00902FA3"/>
    <w:rsid w:val="009129CF"/>
    <w:rsid w:val="009220B4"/>
    <w:rsid w:val="00923564"/>
    <w:rsid w:val="0092392E"/>
    <w:rsid w:val="009315F9"/>
    <w:rsid w:val="00933499"/>
    <w:rsid w:val="00933B75"/>
    <w:rsid w:val="00935C98"/>
    <w:rsid w:val="00946945"/>
    <w:rsid w:val="00947608"/>
    <w:rsid w:val="00951248"/>
    <w:rsid w:val="0095152F"/>
    <w:rsid w:val="00954C49"/>
    <w:rsid w:val="00955E37"/>
    <w:rsid w:val="00965399"/>
    <w:rsid w:val="0097099F"/>
    <w:rsid w:val="00971997"/>
    <w:rsid w:val="00971FFC"/>
    <w:rsid w:val="009751F3"/>
    <w:rsid w:val="0098660A"/>
    <w:rsid w:val="00986EF6"/>
    <w:rsid w:val="009928D7"/>
    <w:rsid w:val="009931C3"/>
    <w:rsid w:val="009B2C43"/>
    <w:rsid w:val="009B4EAE"/>
    <w:rsid w:val="009B7573"/>
    <w:rsid w:val="009C22F4"/>
    <w:rsid w:val="009C2E98"/>
    <w:rsid w:val="009C37FB"/>
    <w:rsid w:val="009D0EBD"/>
    <w:rsid w:val="009D3447"/>
    <w:rsid w:val="009D4711"/>
    <w:rsid w:val="009F1185"/>
    <w:rsid w:val="009F18CD"/>
    <w:rsid w:val="009F2A13"/>
    <w:rsid w:val="009F4E54"/>
    <w:rsid w:val="009F7527"/>
    <w:rsid w:val="00A039ED"/>
    <w:rsid w:val="00A04EB0"/>
    <w:rsid w:val="00A12AD3"/>
    <w:rsid w:val="00A13CC1"/>
    <w:rsid w:val="00A16847"/>
    <w:rsid w:val="00A237D8"/>
    <w:rsid w:val="00A268C4"/>
    <w:rsid w:val="00A26BFD"/>
    <w:rsid w:val="00A307CD"/>
    <w:rsid w:val="00A331C8"/>
    <w:rsid w:val="00A35117"/>
    <w:rsid w:val="00A40A00"/>
    <w:rsid w:val="00A4142F"/>
    <w:rsid w:val="00A422EB"/>
    <w:rsid w:val="00A45BB7"/>
    <w:rsid w:val="00A565C4"/>
    <w:rsid w:val="00A56DF2"/>
    <w:rsid w:val="00A56E6E"/>
    <w:rsid w:val="00A67AB5"/>
    <w:rsid w:val="00A733B2"/>
    <w:rsid w:val="00A741C2"/>
    <w:rsid w:val="00A8262E"/>
    <w:rsid w:val="00A91760"/>
    <w:rsid w:val="00A933F5"/>
    <w:rsid w:val="00A93B00"/>
    <w:rsid w:val="00A93C21"/>
    <w:rsid w:val="00AA1FEC"/>
    <w:rsid w:val="00AA7553"/>
    <w:rsid w:val="00AB4073"/>
    <w:rsid w:val="00AB64C9"/>
    <w:rsid w:val="00AC3C6A"/>
    <w:rsid w:val="00AD0F83"/>
    <w:rsid w:val="00AD5620"/>
    <w:rsid w:val="00AD5A24"/>
    <w:rsid w:val="00AD656B"/>
    <w:rsid w:val="00AD7C1B"/>
    <w:rsid w:val="00AE16BA"/>
    <w:rsid w:val="00AE1EBE"/>
    <w:rsid w:val="00AF6F95"/>
    <w:rsid w:val="00B03C9D"/>
    <w:rsid w:val="00B060AE"/>
    <w:rsid w:val="00B10517"/>
    <w:rsid w:val="00B14E76"/>
    <w:rsid w:val="00B161B8"/>
    <w:rsid w:val="00B2048C"/>
    <w:rsid w:val="00B310B9"/>
    <w:rsid w:val="00B35F3F"/>
    <w:rsid w:val="00B36CBB"/>
    <w:rsid w:val="00B411A2"/>
    <w:rsid w:val="00B425E0"/>
    <w:rsid w:val="00B440AA"/>
    <w:rsid w:val="00B44B70"/>
    <w:rsid w:val="00B53C56"/>
    <w:rsid w:val="00B57DAF"/>
    <w:rsid w:val="00B667F0"/>
    <w:rsid w:val="00B77EA6"/>
    <w:rsid w:val="00B81598"/>
    <w:rsid w:val="00B841F1"/>
    <w:rsid w:val="00B87966"/>
    <w:rsid w:val="00B944D6"/>
    <w:rsid w:val="00BB4DF0"/>
    <w:rsid w:val="00BC289F"/>
    <w:rsid w:val="00BC2D50"/>
    <w:rsid w:val="00BC5361"/>
    <w:rsid w:val="00BC5460"/>
    <w:rsid w:val="00BC6B50"/>
    <w:rsid w:val="00BD0E25"/>
    <w:rsid w:val="00BD4C0A"/>
    <w:rsid w:val="00BD5748"/>
    <w:rsid w:val="00BE5630"/>
    <w:rsid w:val="00BF5BD6"/>
    <w:rsid w:val="00C03E31"/>
    <w:rsid w:val="00C104EC"/>
    <w:rsid w:val="00C1344E"/>
    <w:rsid w:val="00C30E69"/>
    <w:rsid w:val="00C32F23"/>
    <w:rsid w:val="00C33E72"/>
    <w:rsid w:val="00C354B2"/>
    <w:rsid w:val="00C35554"/>
    <w:rsid w:val="00C3748A"/>
    <w:rsid w:val="00C41B2E"/>
    <w:rsid w:val="00C42709"/>
    <w:rsid w:val="00C45051"/>
    <w:rsid w:val="00C533CC"/>
    <w:rsid w:val="00C5751C"/>
    <w:rsid w:val="00C61BFC"/>
    <w:rsid w:val="00C62B85"/>
    <w:rsid w:val="00C65438"/>
    <w:rsid w:val="00C900DF"/>
    <w:rsid w:val="00C91CBB"/>
    <w:rsid w:val="00C92E09"/>
    <w:rsid w:val="00CB292A"/>
    <w:rsid w:val="00CB4E70"/>
    <w:rsid w:val="00CC09B6"/>
    <w:rsid w:val="00CC666F"/>
    <w:rsid w:val="00CC6908"/>
    <w:rsid w:val="00CC7669"/>
    <w:rsid w:val="00CD1E3F"/>
    <w:rsid w:val="00CE2AC2"/>
    <w:rsid w:val="00CE44F6"/>
    <w:rsid w:val="00CE49DA"/>
    <w:rsid w:val="00CE7B61"/>
    <w:rsid w:val="00D00095"/>
    <w:rsid w:val="00D114F0"/>
    <w:rsid w:val="00D20620"/>
    <w:rsid w:val="00D254F7"/>
    <w:rsid w:val="00D26091"/>
    <w:rsid w:val="00D2685C"/>
    <w:rsid w:val="00D34E7C"/>
    <w:rsid w:val="00D35489"/>
    <w:rsid w:val="00D36AFE"/>
    <w:rsid w:val="00D426BA"/>
    <w:rsid w:val="00D51276"/>
    <w:rsid w:val="00D54433"/>
    <w:rsid w:val="00D54F41"/>
    <w:rsid w:val="00D61AAF"/>
    <w:rsid w:val="00D7035F"/>
    <w:rsid w:val="00D840E4"/>
    <w:rsid w:val="00D86628"/>
    <w:rsid w:val="00D9099D"/>
    <w:rsid w:val="00D951D1"/>
    <w:rsid w:val="00DA5663"/>
    <w:rsid w:val="00DA5BBE"/>
    <w:rsid w:val="00DA634F"/>
    <w:rsid w:val="00DA65AC"/>
    <w:rsid w:val="00DB1913"/>
    <w:rsid w:val="00DC410D"/>
    <w:rsid w:val="00DC5A81"/>
    <w:rsid w:val="00DC68CA"/>
    <w:rsid w:val="00DC7CBA"/>
    <w:rsid w:val="00DD73B7"/>
    <w:rsid w:val="00DE542B"/>
    <w:rsid w:val="00DF28BC"/>
    <w:rsid w:val="00DF34B9"/>
    <w:rsid w:val="00E01053"/>
    <w:rsid w:val="00E06324"/>
    <w:rsid w:val="00E07ACF"/>
    <w:rsid w:val="00E14ACA"/>
    <w:rsid w:val="00E331A1"/>
    <w:rsid w:val="00E33202"/>
    <w:rsid w:val="00E336A9"/>
    <w:rsid w:val="00E472B1"/>
    <w:rsid w:val="00E50624"/>
    <w:rsid w:val="00E50A22"/>
    <w:rsid w:val="00E568DF"/>
    <w:rsid w:val="00E64269"/>
    <w:rsid w:val="00E66797"/>
    <w:rsid w:val="00E82267"/>
    <w:rsid w:val="00E853CE"/>
    <w:rsid w:val="00E867B6"/>
    <w:rsid w:val="00E87F08"/>
    <w:rsid w:val="00EA010F"/>
    <w:rsid w:val="00EB7729"/>
    <w:rsid w:val="00EC5332"/>
    <w:rsid w:val="00ED1B63"/>
    <w:rsid w:val="00ED3C1F"/>
    <w:rsid w:val="00ED4085"/>
    <w:rsid w:val="00ED420E"/>
    <w:rsid w:val="00ED6FBE"/>
    <w:rsid w:val="00EE2F57"/>
    <w:rsid w:val="00EE7AB9"/>
    <w:rsid w:val="00EF07C0"/>
    <w:rsid w:val="00EF4C34"/>
    <w:rsid w:val="00EF77C6"/>
    <w:rsid w:val="00F05438"/>
    <w:rsid w:val="00F1361C"/>
    <w:rsid w:val="00F156F0"/>
    <w:rsid w:val="00F160C7"/>
    <w:rsid w:val="00F2408F"/>
    <w:rsid w:val="00F240E9"/>
    <w:rsid w:val="00F36D8F"/>
    <w:rsid w:val="00F417B1"/>
    <w:rsid w:val="00F45853"/>
    <w:rsid w:val="00F602DF"/>
    <w:rsid w:val="00F6672E"/>
    <w:rsid w:val="00F70B87"/>
    <w:rsid w:val="00F754A1"/>
    <w:rsid w:val="00F81FD9"/>
    <w:rsid w:val="00F841AA"/>
    <w:rsid w:val="00F84A94"/>
    <w:rsid w:val="00F857E3"/>
    <w:rsid w:val="00F87850"/>
    <w:rsid w:val="00F87E96"/>
    <w:rsid w:val="00F90368"/>
    <w:rsid w:val="00F96350"/>
    <w:rsid w:val="00FA23E8"/>
    <w:rsid w:val="00FC13CD"/>
    <w:rsid w:val="00FD3CC1"/>
    <w:rsid w:val="00FE5A6B"/>
    <w:rsid w:val="00FF1E02"/>
    <w:rsid w:val="00FF30B4"/>
    <w:rsid w:val="019A3613"/>
    <w:rsid w:val="02AA765A"/>
    <w:rsid w:val="05083714"/>
    <w:rsid w:val="06582951"/>
    <w:rsid w:val="10C055FF"/>
    <w:rsid w:val="16BB723D"/>
    <w:rsid w:val="18D818DC"/>
    <w:rsid w:val="1D3C4A37"/>
    <w:rsid w:val="240371BF"/>
    <w:rsid w:val="26F1336C"/>
    <w:rsid w:val="27422109"/>
    <w:rsid w:val="27950142"/>
    <w:rsid w:val="29FD04D3"/>
    <w:rsid w:val="30A41FD1"/>
    <w:rsid w:val="319F7F4E"/>
    <w:rsid w:val="36D34751"/>
    <w:rsid w:val="38FD3879"/>
    <w:rsid w:val="3FD46FD1"/>
    <w:rsid w:val="4DE55392"/>
    <w:rsid w:val="4ECE2238"/>
    <w:rsid w:val="4F3E5F94"/>
    <w:rsid w:val="5EF44F03"/>
    <w:rsid w:val="66AC109C"/>
    <w:rsid w:val="6EFE454F"/>
    <w:rsid w:val="711F6A5A"/>
    <w:rsid w:val="72734D90"/>
    <w:rsid w:val="72EB2535"/>
    <w:rsid w:val="737C7C3C"/>
    <w:rsid w:val="77CD00DE"/>
    <w:rsid w:val="7BD74D64"/>
    <w:rsid w:val="7E6B70E3"/>
    <w:rsid w:val="BCD449AB"/>
    <w:rsid w:val="EFAFF254"/>
    <w:rsid w:val="FFBF8B0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7">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ind w:firstLine="420" w:firstLineChars="100"/>
    </w:pPr>
  </w:style>
  <w:style w:type="paragraph" w:styleId="3">
    <w:name w:val="Body Text"/>
    <w:basedOn w:val="1"/>
    <w:link w:val="24"/>
    <w:qFormat/>
    <w:uiPriority w:val="99"/>
    <w:pPr>
      <w:spacing w:beforeLines="30"/>
    </w:pPr>
    <w:rPr>
      <w:rFonts w:ascii="仿宋_GB2312" w:eastAsia="仿宋_GB2312"/>
      <w:kern w:val="0"/>
      <w:sz w:val="30"/>
    </w:rPr>
  </w:style>
  <w:style w:type="paragraph" w:styleId="4">
    <w:name w:val="Body Text First Indent 2"/>
    <w:basedOn w:val="5"/>
    <w:qFormat/>
    <w:uiPriority w:val="0"/>
    <w:pPr>
      <w:ind w:firstLine="420" w:firstLineChars="200"/>
    </w:pPr>
  </w:style>
  <w:style w:type="paragraph" w:styleId="5">
    <w:name w:val="Body Text Indent"/>
    <w:basedOn w:val="1"/>
    <w:qFormat/>
    <w:uiPriority w:val="0"/>
    <w:pPr>
      <w:spacing w:after="120"/>
      <w:ind w:left="420" w:leftChars="200"/>
    </w:pPr>
    <w:rPr>
      <w:rFonts w:eastAsia="Times New Roman"/>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0"/>
    <w:semiHidden/>
    <w:unhideWhenUsed/>
    <w:qFormat/>
    <w:uiPriority w:val="99"/>
    <w:rPr>
      <w:sz w:val="18"/>
      <w:szCs w:val="18"/>
    </w:rPr>
  </w:style>
  <w:style w:type="paragraph" w:styleId="11">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Char"/>
    <w:link w:val="12"/>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Char"/>
    <w:link w:val="11"/>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Char"/>
    <w:link w:val="3"/>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6"/>
    <w:link w:val="6"/>
    <w:qFormat/>
    <w:uiPriority w:val="9"/>
    <w:rPr>
      <w:rFonts w:ascii="Times New Roman" w:hAnsi="Times New Roman"/>
      <w:b/>
      <w:bCs/>
      <w:kern w:val="44"/>
      <w:sz w:val="44"/>
      <w:szCs w:val="44"/>
    </w:rPr>
  </w:style>
  <w:style w:type="character" w:customStyle="1" w:styleId="28">
    <w:name w:val="标题 2 Char"/>
    <w:basedOn w:val="16"/>
    <w:link w:val="7"/>
    <w:qFormat/>
    <w:uiPriority w:val="9"/>
    <w:rPr>
      <w:rFonts w:asciiTheme="majorHAnsi" w:hAnsiTheme="majorHAnsi" w:eastAsiaTheme="majorEastAsia" w:cstheme="majorBidi"/>
      <w:b/>
      <w:bCs/>
      <w:kern w:val="2"/>
      <w:sz w:val="32"/>
      <w:szCs w:val="32"/>
    </w:rPr>
  </w:style>
  <w:style w:type="paragraph" w:customStyle="1" w:styleId="29">
    <w:name w:val="TOC 标题1"/>
    <w:basedOn w:val="6"/>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6"/>
    <w:link w:val="10"/>
    <w:semiHidden/>
    <w:qFormat/>
    <w:uiPriority w:val="99"/>
    <w:rPr>
      <w:rFonts w:ascii="Times New Roman" w:hAnsi="Times New Roman"/>
      <w:kern w:val="2"/>
      <w:sz w:val="18"/>
      <w:szCs w:val="18"/>
    </w:rPr>
  </w:style>
  <w:style w:type="character" w:customStyle="1" w:styleId="31">
    <w:name w:val="标题 3 Char"/>
    <w:basedOn w:val="16"/>
    <w:link w:val="8"/>
    <w:qFormat/>
    <w:uiPriority w:val="9"/>
    <w:rPr>
      <w:rFonts w:ascii="Times New Roman" w:hAnsi="Times New Roman"/>
      <w:b/>
      <w:bCs/>
      <w:kern w:val="2"/>
      <w:sz w:val="32"/>
      <w:szCs w:val="32"/>
    </w:rPr>
  </w:style>
  <w:style w:type="paragraph" w:customStyle="1" w:styleId="32">
    <w:name w:val="TOC 标题2"/>
    <w:basedOn w:val="6"/>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WPSOffice手动目录 1"/>
    <w:qFormat/>
    <w:uiPriority w:val="0"/>
    <w:rPr>
      <w:rFonts w:ascii="Calibri" w:hAnsi="Calibri" w:eastAsia="宋体" w:cs="Times New Roman"/>
      <w:lang w:val="en-US" w:eastAsia="zh-CN" w:bidi="ar-SA"/>
    </w:rPr>
  </w:style>
  <w:style w:type="paragraph" w:customStyle="1" w:styleId="34">
    <w:name w:val="WPSOffice手动目录 2"/>
    <w:qFormat/>
    <w:uiPriority w:val="0"/>
    <w:pPr>
      <w:ind w:left="200" w:leftChars="200"/>
    </w:pPr>
    <w:rPr>
      <w:rFonts w:ascii="Calibri" w:hAnsi="Calibri" w:eastAsia="宋体" w:cs="Times New Roman"/>
      <w:lang w:val="en-US" w:eastAsia="zh-CN" w:bidi="ar-SA"/>
    </w:rPr>
  </w:style>
  <w:style w:type="paragraph" w:customStyle="1" w:styleId="35">
    <w:name w:val="WPSOffice手动目录 3"/>
    <w:qFormat/>
    <w:uiPriority w:val="0"/>
    <w:pPr>
      <w:ind w:left="400" w:leftChars="4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c:v>
                </c:pt>
              </c:strCache>
            </c:strRef>
          </c:tx>
          <c:invertIfNegative val="0"/>
          <c:dLbls>
            <c:delete val="1"/>
          </c:dLbls>
          <c:cat>
            <c:strRef>
              <c:f>Sheet1!$A$2:$A$3</c:f>
              <c:strCache>
                <c:ptCount val="2"/>
                <c:pt idx="0">
                  <c:v>收入</c:v>
                </c:pt>
                <c:pt idx="1">
                  <c:v>支出</c:v>
                </c:pt>
              </c:strCache>
            </c:strRef>
          </c:cat>
          <c:val>
            <c:numRef>
              <c:f>Sheet1!$B$2:$B$3</c:f>
              <c:numCache>
                <c:formatCode>General</c:formatCode>
                <c:ptCount val="2"/>
                <c:pt idx="0">
                  <c:v>77.05</c:v>
                </c:pt>
                <c:pt idx="1">
                  <c:v>99.25</c:v>
                </c:pt>
              </c:numCache>
            </c:numRef>
          </c:val>
        </c:ser>
        <c:ser>
          <c:idx val="1"/>
          <c:order val="1"/>
          <c:tx>
            <c:strRef>
              <c:f>Sheet1!$C$1</c:f>
              <c:strCache>
                <c:ptCount val="1"/>
                <c:pt idx="0">
                  <c:v>2018</c:v>
                </c:pt>
              </c:strCache>
            </c:strRef>
          </c:tx>
          <c:invertIfNegative val="0"/>
          <c:dLbls>
            <c:delete val="1"/>
          </c:dLbls>
          <c:cat>
            <c:strRef>
              <c:f>Sheet1!$A$2:$A$3</c:f>
              <c:strCache>
                <c:ptCount val="2"/>
                <c:pt idx="0">
                  <c:v>收入</c:v>
                </c:pt>
                <c:pt idx="1">
                  <c:v>支出</c:v>
                </c:pt>
              </c:strCache>
            </c:strRef>
          </c:cat>
          <c:val>
            <c:numRef>
              <c:f>Sheet1!$C$2:$C$3</c:f>
              <c:numCache>
                <c:formatCode>General</c:formatCode>
                <c:ptCount val="2"/>
                <c:pt idx="0">
                  <c:v>94.28</c:v>
                </c:pt>
                <c:pt idx="1">
                  <c:v>96.01</c:v>
                </c:pt>
              </c:numCache>
            </c:numRef>
          </c:val>
        </c:ser>
        <c:dLbls>
          <c:showLegendKey val="0"/>
          <c:showVal val="0"/>
          <c:showCatName val="0"/>
          <c:showSerName val="0"/>
          <c:showPercent val="0"/>
          <c:showBubbleSize val="0"/>
        </c:dLbls>
        <c:gapWidth val="150"/>
        <c:axId val="2745968"/>
        <c:axId val="2746528"/>
      </c:barChart>
      <c:catAx>
        <c:axId val="274596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46528"/>
        <c:crosses val="autoZero"/>
        <c:auto val="1"/>
        <c:lblAlgn val="ctr"/>
        <c:lblOffset val="100"/>
        <c:noMultiLvlLbl val="0"/>
      </c:catAx>
      <c:valAx>
        <c:axId val="27465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4596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收入预算结构图</c:v>
                </c:pt>
              </c:strCache>
            </c:strRef>
          </c:tx>
          <c:explosion val="0"/>
          <c:dPt>
            <c:idx val="0"/>
            <c:bubble3D val="0"/>
          </c:dPt>
          <c:dPt>
            <c:idx val="1"/>
            <c:bubble3D val="0"/>
          </c:dPt>
          <c:dLbls>
            <c:delete val="1"/>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77.05</c:v>
                </c:pt>
                <c:pt idx="1">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88.04</c:v>
                </c:pt>
                <c:pt idx="1">
                  <c:v>11.2</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c:v>
                </c:pt>
              </c:strCache>
            </c:strRef>
          </c:tx>
          <c:invertIfNegative val="0"/>
          <c:dLbls>
            <c:delete val="1"/>
          </c:dLbls>
          <c:cat>
            <c:strRef>
              <c:f>Sheet1!$A$2:$A$3</c:f>
              <c:strCache>
                <c:ptCount val="2"/>
                <c:pt idx="0">
                  <c:v>收入</c:v>
                </c:pt>
                <c:pt idx="1">
                  <c:v>支出</c:v>
                </c:pt>
              </c:strCache>
            </c:strRef>
          </c:cat>
          <c:val>
            <c:numRef>
              <c:f>Sheet1!$B$2:$B$3</c:f>
              <c:numCache>
                <c:formatCode>General</c:formatCode>
                <c:ptCount val="2"/>
                <c:pt idx="0">
                  <c:v>77.05</c:v>
                </c:pt>
                <c:pt idx="1">
                  <c:v>99.25</c:v>
                </c:pt>
              </c:numCache>
            </c:numRef>
          </c:val>
        </c:ser>
        <c:ser>
          <c:idx val="1"/>
          <c:order val="1"/>
          <c:tx>
            <c:strRef>
              <c:f>Sheet1!$C$1</c:f>
              <c:strCache>
                <c:ptCount val="1"/>
                <c:pt idx="0">
                  <c:v>2018</c:v>
                </c:pt>
              </c:strCache>
            </c:strRef>
          </c:tx>
          <c:invertIfNegative val="0"/>
          <c:dLbls>
            <c:delete val="1"/>
          </c:dLbls>
          <c:cat>
            <c:strRef>
              <c:f>Sheet1!$A$2:$A$3</c:f>
              <c:strCache>
                <c:ptCount val="2"/>
                <c:pt idx="0">
                  <c:v>收入</c:v>
                </c:pt>
                <c:pt idx="1">
                  <c:v>支出</c:v>
                </c:pt>
              </c:strCache>
            </c:strRef>
          </c:cat>
          <c:val>
            <c:numRef>
              <c:f>Sheet1!$C$2:$C$3</c:f>
              <c:numCache>
                <c:formatCode>General</c:formatCode>
                <c:ptCount val="2"/>
                <c:pt idx="0">
                  <c:v>95.33</c:v>
                </c:pt>
                <c:pt idx="1">
                  <c:v>96.01</c:v>
                </c:pt>
              </c:numCache>
            </c:numRef>
          </c:val>
        </c:ser>
        <c:dLbls>
          <c:showLegendKey val="0"/>
          <c:showVal val="0"/>
          <c:showCatName val="0"/>
          <c:showSerName val="0"/>
          <c:showPercent val="0"/>
          <c:showBubbleSize val="0"/>
        </c:dLbls>
        <c:gapWidth val="150"/>
        <c:axId val="222105744"/>
        <c:axId val="222106304"/>
      </c:barChart>
      <c:catAx>
        <c:axId val="22210574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2106304"/>
        <c:crosses val="autoZero"/>
        <c:auto val="1"/>
        <c:lblAlgn val="ctr"/>
        <c:lblOffset val="100"/>
        <c:noMultiLvlLbl val="0"/>
      </c:catAx>
      <c:valAx>
        <c:axId val="22210630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21057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600"/>
              <a:t>一般公共预算财政拨款支出决算变动情况</a:t>
            </a:r>
            <a:endParaRPr lang="zh-CN" altLang="en-US" sz="1600"/>
          </a:p>
        </c:rich>
      </c:tx>
      <c:layout/>
      <c:overlay val="0"/>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invertIfNegative val="0"/>
          <c:dLbls>
            <c:delete val="1"/>
          </c:dLbls>
          <c:cat>
            <c:numRef>
              <c:f>Sheet1!$A$2:$A$3</c:f>
              <c:numCache>
                <c:formatCode>General</c:formatCode>
                <c:ptCount val="2"/>
                <c:pt idx="0">
                  <c:v>2019</c:v>
                </c:pt>
                <c:pt idx="1">
                  <c:v>2018</c:v>
                </c:pt>
              </c:numCache>
            </c:numRef>
          </c:cat>
          <c:val>
            <c:numRef>
              <c:f>Sheet1!$B$2:$B$3</c:f>
              <c:numCache>
                <c:formatCode>General</c:formatCode>
                <c:ptCount val="2"/>
                <c:pt idx="0">
                  <c:v>4.3</c:v>
                </c:pt>
                <c:pt idx="1">
                  <c:v>2.5</c:v>
                </c:pt>
              </c:numCache>
            </c:numRef>
          </c:val>
        </c:ser>
        <c:dLbls>
          <c:showLegendKey val="0"/>
          <c:showVal val="0"/>
          <c:showCatName val="0"/>
          <c:showSerName val="0"/>
          <c:showPercent val="0"/>
          <c:showBubbleSize val="0"/>
        </c:dLbls>
        <c:gapWidth val="150"/>
        <c:axId val="222108544"/>
        <c:axId val="222109104"/>
      </c:barChart>
      <c:catAx>
        <c:axId val="22210854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2109104"/>
        <c:crosses val="autoZero"/>
        <c:auto val="1"/>
        <c:lblAlgn val="ctr"/>
        <c:lblOffset val="100"/>
        <c:noMultiLvlLbl val="0"/>
      </c:catAx>
      <c:valAx>
        <c:axId val="22210910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2210854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Lbls>
            <c:delete val="1"/>
          </c:dLbls>
          <c:cat>
            <c:strRef>
              <c:f>Sheet1!$A$2:$A$5</c:f>
              <c:strCache>
                <c:ptCount val="4"/>
                <c:pt idx="0">
                  <c:v>一般公共服务</c:v>
                </c:pt>
                <c:pt idx="1">
                  <c:v>社会保障和就业</c:v>
                </c:pt>
                <c:pt idx="2">
                  <c:v>卫生健康支出</c:v>
                </c:pt>
                <c:pt idx="3">
                  <c:v>住房保障支出</c:v>
                </c:pt>
              </c:strCache>
            </c:strRef>
          </c:cat>
          <c:val>
            <c:numRef>
              <c:f>Sheet1!$B$2:$B$5</c:f>
              <c:numCache>
                <c:formatCode>General</c:formatCode>
                <c:ptCount val="4"/>
                <c:pt idx="0">
                  <c:v>77.73</c:v>
                </c:pt>
                <c:pt idx="1">
                  <c:v>8.18</c:v>
                </c:pt>
                <c:pt idx="2">
                  <c:v>5.39</c:v>
                </c:pt>
                <c:pt idx="3">
                  <c:v>7.958</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elete val="1"/>
          </c:dLbls>
          <c:cat>
            <c:strRef>
              <c:f>Sheet1!$A$2:$A$4</c:f>
              <c:strCache>
                <c:ptCount val="3"/>
                <c:pt idx="0">
                  <c:v>公务接待费</c:v>
                </c:pt>
                <c:pt idx="1">
                  <c:v>公务用车购置及运行维护费</c:v>
                </c:pt>
                <c:pt idx="2">
                  <c:v>因公出国（境）费</c:v>
                </c:pt>
              </c:strCache>
            </c:strRef>
          </c:cat>
          <c:val>
            <c:numRef>
              <c:f>Sheet1!$B$2:$B$4</c:f>
              <c:numCache>
                <c:formatCode>General</c:formatCode>
                <c:ptCount val="3"/>
                <c:pt idx="0">
                  <c:v>0.08</c:v>
                </c:pt>
                <c:pt idx="1">
                  <c:v>0</c:v>
                </c:pt>
                <c:pt idx="2">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28</Pages>
  <Words>10197</Words>
  <Characters>3445</Characters>
  <Lines>28</Lines>
  <Paragraphs>27</Paragraphs>
  <TotalTime>379</TotalTime>
  <ScaleCrop>false</ScaleCrop>
  <LinksUpToDate>false</LinksUpToDate>
  <CharactersWithSpaces>13615</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2020-11-22T18:18:00Z</dcterms:created>
  <dc:creator>曹颖</dc:creator>
  <cp:lastModifiedBy>user</cp:lastModifiedBy>
  <cp:lastPrinted>2020-07-23T10:58:00Z</cp:lastPrinted>
  <dcterms:modified xsi:type="dcterms:W3CDTF">2026-07-27T10:18:09Z</dcterms:modified>
  <dc:title>四川省***</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C8338A1294B6AE3FE1BF666A8CEE11A0</vt:lpwstr>
  </property>
</Properties>
</file>