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contextualSpacing/>
        <w:rPr>
          <w:rFonts w:eastAsia="黑体"/>
          <w:szCs w:val="32"/>
          <w:lang w:val="zh-CN"/>
        </w:rPr>
      </w:pPr>
      <w:r>
        <w:rPr>
          <w:rFonts w:eastAsia="黑体"/>
          <w:szCs w:val="32"/>
          <w:lang w:val="zh-CN"/>
        </w:rPr>
        <w:t>附件</w:t>
      </w:r>
      <w:r>
        <w:rPr>
          <w:rFonts w:eastAsia="黑体"/>
          <w:szCs w:val="32"/>
        </w:rPr>
        <w:t>2</w:t>
      </w:r>
    </w:p>
    <w:p>
      <w:pPr>
        <w:widowControl/>
        <w:spacing w:line="578" w:lineRule="exact"/>
        <w:contextualSpacing/>
        <w:rPr>
          <w:rFonts w:eastAsia="宋体"/>
          <w:b/>
          <w:sz w:val="44"/>
          <w:szCs w:val="44"/>
          <w:shd w:val="clear" w:color="auto" w:fill="FFFFFF"/>
        </w:rPr>
      </w:pPr>
    </w:p>
    <w:p>
      <w:pPr>
        <w:widowControl/>
        <w:spacing w:line="578" w:lineRule="exact"/>
        <w:contextualSpacing/>
        <w:jc w:val="center"/>
        <w:rPr>
          <w:rFonts w:eastAsia="方正小标宋简体"/>
          <w:bCs/>
          <w:sz w:val="44"/>
          <w:szCs w:val="44"/>
          <w:shd w:val="clear" w:color="auto" w:fill="FFFFFF"/>
        </w:rPr>
      </w:pPr>
      <w:r>
        <w:rPr>
          <w:rFonts w:eastAsia="方正小标宋简体"/>
          <w:bCs/>
          <w:sz w:val="44"/>
          <w:szCs w:val="44"/>
          <w:shd w:val="clear" w:color="auto" w:fill="FFFFFF"/>
        </w:rPr>
        <w:t>部门预算绩效</w:t>
      </w:r>
      <w:r>
        <w:rPr>
          <w:rFonts w:hint="eastAsia" w:eastAsia="方正小标宋简体"/>
          <w:bCs/>
          <w:sz w:val="44"/>
          <w:szCs w:val="44"/>
          <w:shd w:val="clear" w:color="auto" w:fill="FFFFFF"/>
        </w:rPr>
        <w:t>自评</w:t>
      </w:r>
      <w:r>
        <w:rPr>
          <w:rFonts w:eastAsia="方正小标宋简体"/>
          <w:bCs/>
          <w:sz w:val="44"/>
          <w:szCs w:val="44"/>
          <w:shd w:val="clear" w:color="auto" w:fill="FFFFFF"/>
        </w:rPr>
        <w:t>报告</w:t>
      </w:r>
    </w:p>
    <w:p>
      <w:pPr>
        <w:widowControl/>
        <w:adjustRightInd w:val="0"/>
        <w:snapToGrid w:val="0"/>
        <w:spacing w:line="578" w:lineRule="exact"/>
        <w:ind w:firstLine="480" w:firstLineChars="200"/>
        <w:contextualSpacing/>
        <w:jc w:val="left"/>
        <w:rPr>
          <w:rFonts w:eastAsia="黑体"/>
          <w:color w:val="000000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szCs w:val="32"/>
        </w:rPr>
      </w:pPr>
      <w:r>
        <w:rPr>
          <w:rFonts w:eastAsia="黑体"/>
          <w:color w:val="000000"/>
          <w:kern w:val="0"/>
          <w:szCs w:val="32"/>
          <w:shd w:val="clear" w:color="auto" w:fill="FFFFFF"/>
          <w:lang w:val="zh-CN"/>
        </w:rPr>
        <w:t>一、部门（单位）基本情况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（一）机构组成。</w:t>
      </w: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szCs w:val="32"/>
        </w:rPr>
      </w:pPr>
      <w:r>
        <w:rPr>
          <w:rFonts w:hint="eastAsia"/>
          <w:szCs w:val="32"/>
        </w:rPr>
        <w:t>攀枝花市西区大宝鼎街道办事处无下属二级预算单位，单位内设机构5个，分别是综合办公室，党建工作办公室，经济发展和社会事务办公室，应急管理办公室，社会治理和综合行政执法办公室。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（二）机构职能。</w:t>
      </w: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szCs w:val="32"/>
        </w:rPr>
        <w:t>攀枝花市西区大宝鼎街道办事处是区政府的派出机关，主要履行推进区域发展、组织公共服务、实施综合管理、领导基层自治、维护安全稳定、动员社会参与等职能，具体如下：1.贯彻执行党和国家的各项法律、法规、规章以及上级政府的决议、决定，依法管理基层公共事务。 2.负责辖区经济、文化、教育体育、科技、卫生健康、民政、社会保障、民族宗教、住房保障、司法、退役军人、统计 等公共管理和公共服务工作，积极构建公共服务均等化体系，促进社会事业发展。推进“最多跑一次”改革，建立健全群众办事一次办结机制，优化便民服务质量。 3.负责辖区环境保护、秩序治理、物业管理、城乡环境综 合治理等城市管理工作，开展爱国卫生、环境卫生监督检查，营造良好发展环境。整合基层一线执法力量，充分发挥属地管理优势，强化对辖区范围内执法力量的统一指挥和统筹协调。 4.负责辖区平安建设、社会治安综合治理工作，处理群众 来信来访，反映社情民意，建立社会矛盾纠纷排查调处机制，维护社会和谐稳定。 5.负责辖区公共安全，协助做好安全生产、防汛、防火、防灾减灾等应急管理工作，构建公共安全防控体系，建立应对突发紧急事件的处理预案。 6.领导社区居委会建设，指导社区居委会工作，培育、发展社区社会组织，组织社区居民参与社区建设和管理，健全完善自治、法治、德治相结合的城市基层治理体系。 7.牵头协调职能部门及其派出机构，共同处理地区性、综合性社会管理事务。动员辖区各类单位、社会组织和社区居民等社会力量参与基层社会治理，引导辖区单位履行社会责任，统筹辖区资源，实现共建共治共享。8.完成区委、区政府交办的其他工作。</w:t>
      </w:r>
    </w:p>
    <w:p>
      <w:pPr>
        <w:spacing w:line="600" w:lineRule="exact"/>
        <w:ind w:firstLine="642" w:firstLineChars="200"/>
        <w:rPr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（三）人员概况。</w:t>
      </w:r>
      <w:r>
        <w:rPr>
          <w:szCs w:val="32"/>
        </w:rPr>
        <w:t>截至202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年末，</w:t>
      </w:r>
      <w:r>
        <w:rPr>
          <w:rFonts w:hint="eastAsia"/>
          <w:szCs w:val="32"/>
          <w:lang w:eastAsia="zh-CN"/>
        </w:rPr>
        <w:t>攀枝花市西区</w:t>
      </w:r>
      <w:r>
        <w:rPr>
          <w:rFonts w:hint="eastAsia"/>
          <w:szCs w:val="32"/>
        </w:rPr>
        <w:t>大宝鼎街道办事处实有在职人数</w:t>
      </w:r>
      <w:r>
        <w:rPr>
          <w:rFonts w:hint="eastAsia"/>
          <w:szCs w:val="32"/>
          <w:lang w:val="en-US" w:eastAsia="zh-CN"/>
        </w:rPr>
        <w:t>20</w:t>
      </w:r>
      <w:r>
        <w:rPr>
          <w:rFonts w:hint="eastAsia"/>
          <w:szCs w:val="32"/>
        </w:rPr>
        <w:t>人，编制内实有人数</w:t>
      </w:r>
      <w:r>
        <w:rPr>
          <w:rFonts w:hint="eastAsia"/>
          <w:szCs w:val="32"/>
          <w:lang w:val="en-US" w:eastAsia="zh-CN"/>
        </w:rPr>
        <w:t>16</w:t>
      </w:r>
      <w:r>
        <w:rPr>
          <w:rFonts w:hint="eastAsia"/>
          <w:szCs w:val="32"/>
        </w:rPr>
        <w:t>人：公务员</w:t>
      </w:r>
      <w:r>
        <w:rPr>
          <w:rFonts w:hint="eastAsia"/>
          <w:szCs w:val="32"/>
          <w:lang w:val="en-US" w:eastAsia="zh-CN"/>
        </w:rPr>
        <w:t>7</w:t>
      </w:r>
      <w:r>
        <w:rPr>
          <w:rFonts w:hint="eastAsia"/>
          <w:szCs w:val="32"/>
        </w:rPr>
        <w:t>人，事业管理人员和专业技术人员</w:t>
      </w:r>
      <w:r>
        <w:rPr>
          <w:rFonts w:hint="eastAsia"/>
          <w:szCs w:val="32"/>
          <w:lang w:val="en-US" w:eastAsia="zh-CN"/>
        </w:rPr>
        <w:t>9</w:t>
      </w:r>
      <w:r>
        <w:rPr>
          <w:rFonts w:hint="eastAsia"/>
          <w:szCs w:val="32"/>
        </w:rPr>
        <w:t>人；其他人员数4人。</w:t>
      </w: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二、部门资金收支情况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rFonts w:hint="eastAsia"/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（一）收入情况。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攀枝花市西区大宝鼎街道办事处</w:t>
      </w:r>
      <w:r>
        <w:rPr>
          <w:rFonts w:hint="eastAsia" w:ascii="仿宋_GB2312" w:hAnsi="仿宋_GB2312" w:eastAsia="仿宋_GB2312" w:cs="仿宋_GB2312"/>
          <w:szCs w:val="32"/>
        </w:rPr>
        <w:t>2025年</w:t>
      </w:r>
      <w:r>
        <w:rPr>
          <w:rFonts w:hint="eastAsia"/>
          <w:szCs w:val="32"/>
        </w:rPr>
        <w:t>收入支出955.23万元，其中：一般公共预算财政拨款收入828.46万元，占86.73%；政府性基金预算财政拨款收入47.41万元，占4.96 %；国有资本经营预算财政拨款收入0万元，占0%；上级补助收入0万元，占0%；事业收入0万元，占0%；经营收入0万元，占0%；附属单位上缴收入0万元，占0%；其他收入0万元，占0%。与2024年相比，2025年收入合计955.23万元，其中：一般公共预算财政拨款收入828.46万元，减少627.84万元，减少43.11%，主要原因是大额资金项目减少，如保障性安居工程；政府性基金预算财政拨款收入25.92万元，增加21.49万元，增加82.9%，主要原因是政府基金拨款增加。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szCs w:val="32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（二）支出情况。</w:t>
      </w:r>
      <w:r>
        <w:rPr>
          <w:rFonts w:hint="eastAsia" w:ascii="Times New Roman" w:hAnsi="Times New Roman" w:cs="Times New Roman"/>
          <w:szCs w:val="32"/>
          <w:lang w:val="zh-CN"/>
        </w:rPr>
        <w:t>攀枝花市西区大宝鼎街道办事处2025年支出合计955.23万元，其中基本支出522.2万元，占54.67%；基本支出中人员经费支出495.21万元，占基本支出94.83%；公用经费支出26.99万元，占基本支出5.17%。项目支出433.03万元，占45.33%。</w:t>
      </w:r>
      <w:r>
        <w:rPr>
          <w:rFonts w:hint="eastAsia"/>
          <w:szCs w:val="32"/>
        </w:rPr>
        <w:t>一般公共服务支出598.4万元，文化旅游体育与传媒支出6.45万元，社会保障和就业支出188.04万元，卫生健康支出25.32万元，城乡社区支出96.67万元，农林水支出9.14万元，资源勘探工业信息等支出0.6万元，住房保障支出30.07万元，其他支出0.54万元。2024年一般公共服务支出467.88万元，文化旅游体育与传媒支出6.45万元，社会保障和就业支出108.05万元，卫生健康支出22.28万元，城乡社区支出61.07万元，农林水支出9.84万元，资源勘探工业信息等支出1万元，住房保障支出792.65万元，其他支出13万元。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rFonts w:eastAsia="楷体_GB2312"/>
          <w:b/>
          <w:szCs w:val="32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</w:t>
      </w:r>
      <w:r>
        <w:rPr>
          <w:rFonts w:eastAsia="楷体_GB2312"/>
          <w:b/>
          <w:szCs w:val="32"/>
        </w:rPr>
        <w:t>结余分配和结转结余情况。</w:t>
      </w: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szCs w:val="32"/>
          <w:lang w:eastAsia="zh-CN"/>
        </w:rPr>
        <w:t>本单位</w:t>
      </w:r>
      <w:r>
        <w:rPr>
          <w:szCs w:val="32"/>
        </w:rPr>
        <w:t>202</w:t>
      </w:r>
      <w:r>
        <w:rPr>
          <w:rFonts w:hint="eastAsia"/>
          <w:szCs w:val="32"/>
          <w:lang w:val="en-US" w:eastAsia="zh-CN"/>
        </w:rPr>
        <w:t>5</w:t>
      </w:r>
      <w:r>
        <w:rPr>
          <w:szCs w:val="32"/>
        </w:rPr>
        <w:t>年</w:t>
      </w:r>
      <w:r>
        <w:rPr>
          <w:rFonts w:hint="eastAsia"/>
          <w:szCs w:val="32"/>
          <w:lang w:eastAsia="zh-CN"/>
        </w:rPr>
        <w:t>无</w:t>
      </w:r>
      <w:r>
        <w:rPr>
          <w:color w:val="000000"/>
          <w:kern w:val="0"/>
          <w:szCs w:val="32"/>
          <w:shd w:val="clear" w:color="auto" w:fill="FFFFFF"/>
        </w:rPr>
        <w:t>结转结余情况。</w:t>
      </w:r>
    </w:p>
    <w:p>
      <w:pPr>
        <w:widowControl/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黑体"/>
          <w:color w:val="000000" w:themeColor="text1"/>
          <w:kern w:val="0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三、部门预算绩效分析</w:t>
      </w:r>
    </w:p>
    <w:p>
      <w:pPr>
        <w:adjustRightInd w:val="0"/>
        <w:snapToGrid w:val="0"/>
        <w:spacing w:line="578" w:lineRule="exact"/>
        <w:ind w:firstLine="642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（一）部门预算总体绩效分析。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1.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履职效能。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一）围绕采煤沉陷区转型，谋划基础设施、公共服务、生态修复等项目60余个。加强与友邻乡镇、友好企业、攀枝花学院、银行联系，签订合作共建协议，形成地企、地地、地校、地银“四地共建”工作合力。实施路面黑化、街面亮化、行道绿化、墙体美化“四化工程”，辖区环境有效改善。立足“一园一馆一洞一厅”（宝鼎陵园、索道博物馆、防空洞、亓伟展厅）等资源禀赋，谋划建设集文化研学、党员培训、文化旅游、国防教育于一体的综合教育实践平台，“三线宝鼎”工业文旅品牌打造初显成效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（二）全年组织理论学习</w:t>
      </w:r>
      <w:bookmarkStart w:id="2" w:name="_GoBack"/>
      <w:bookmarkEnd w:id="2"/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中心组学习6次，撰写发言提纲30余篇，推动党员干部政治判断力、政治领悟力、政治执行力持续提升。严格执行中央八项规定精神，开展专题党课13场，组织集中学习40余次。领导干部落实“四下基层”机制，依托“三个身边”群众工作机制，7名科级干部与17户特殊群体结对，16名普通党员与80户普通群众结对，全覆盖联系楼栋。认真落实“五主”模式，结合“有事找纪检”，收集群众急难愁盼问题82个，已办结问题群众满意度100%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三）完成小宝鼎农贸市场打造，设立“共富市集”与自产自销摊位，为农户开辟直销通道，旺季日均接纳50户农户进场，带动新增就业120余人次，带动群众人均每月增收2000元。整合多方资金实施2024年城乡社区党群服务中心“补短板”项目，打造社区党群服务中心、社工室、老年活动服务中心、“地校”共建心理健康辅导室，采购办公实施设备等，链接“彩虹社工”专业社会组织资源，开展义诊活动、“鼎心巧姐”手工小组系列活动、中秋游园活动、“我们的宝鼎”故事汇等系列活动。完成小宝鼎适老化电梯安装并投入使用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四）优化社区服务，提升治理效能。完成小宝鼎社区“一站式”综合服务阵地升级，构建“一刻钟便民服务圈”。召开居民协商会议20次，居务公开20次，回复12345政务服务便民热线7条，政务服务按时办结率、群众满意度均达100%。邀请基层治理领域专家、“两代表一委员”等15人组成基层治理观察团，累计收集建议10条，为社区发展提供智力支持，让“各方力量”变“治理合力”。强化社会保障，兜牢民生底线。完成辖区居民收入全面摸排，为重点28户低收入家庭制定“一户一策”帮扶计划，已帮助8户增收，同时通过公益性岗位托底帮扶2户低保家庭实现就业。设立宝鼎慈善互助基金，首批募集善款10万余元，专项用于困难群体帮扶、公共服务设施建设维护等，为矿区创富共美提供助力。丰富公共服务，促进文明和谐。组建“鼎呱呱”宣讲队、劳模宣讲队，定期开展宣传宣讲进企业、进楼栋活动，联合养老综合体、攀枝花学院康养学院开展义诊、义演等为老服务10次，开展文明实践活动180余次，提升文化服务效能。推广医保参保1427人，完成650名退休人员生存认证。围绕献血、爱耳日、助残日等主题常态化开展公益活动，营造共建共治共享氛围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五）深化矛盾调解，维护社会稳定。健全“街道—社区—网格”三级调解网络，坚持每月一次矛盾纠纷调处协调会议制度，每月排查一次热点难点问题，落实重难点领导包案制度，截至目前，共受理矛盾纠纷案件167件，调解成功167件，成功率为100%。完善“雪亮工程”监控体系，维护11个视频探头，提升技防能力。开展禁毒宣传月活动，增强群众防毒拒毒意识。三是推进群防群治，共建平安社区。整合网格员、红袖套、志愿者等力量，强化群防群治体系建设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rFonts w:hint="eastAsia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（六）抓实安全生产，防范化解风险。健全安全生产责任体系，召开安委会会议4次，开展燃气、消防、防汛等领域检查76次，排查整改隐患31处。推进“蜀安焊”系统应用，核查动火作业9条，强化有限空间管理，录入场所154处。强化应急管理，提升处置能力。修订防汛、防地灾应急预案，组建30人应急抢险队伍，开展演练1次。持续推进电动自行车消防安全整治，排查飞线充电行为，推动充电设施建设。完成CD级危房整治13栋，录入系统销号12栋，剩余1栋已完成打围工作，排除了潜在风险。保障食药安全，守护群众健康。完善食品安全包保机制，14名干部包保29家食品经营主体，开展专项检查5次。结合节日节点组织宣传5次，发放资料1000余份，筑牢“舌尖上的安全”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2.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预算管理。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部门严格按要求编制年初部门预算，年初预算编制具有科学性和准确性</w:t>
      </w:r>
      <w:r>
        <w:rPr>
          <w:rFonts w:hint="eastAsia" w:ascii="Times New Roman" w:hAnsi="Times New Roman" w:cs="Times New Roman"/>
          <w:color w:val="000000"/>
          <w:kern w:val="0"/>
          <w:szCs w:val="32"/>
          <w:shd w:val="clear" w:color="auto" w:fill="FFFFFF"/>
          <w:lang w:val="zh-CN" w:eastAsia="zh-CN"/>
        </w:rPr>
        <w:t>预算编制质量较高，</w:t>
      </w:r>
      <w:r>
        <w:rPr>
          <w:rFonts w:hint="eastAsia" w:ascii="Times New Roman" w:hAnsi="Times New Roman" w:cs="Times New Roman"/>
          <w:color w:val="000000"/>
          <w:kern w:val="0"/>
          <w:szCs w:val="32"/>
          <w:shd w:val="clear" w:color="auto" w:fill="FFFFFF"/>
          <w:lang w:val="en-US" w:eastAsia="zh-CN"/>
        </w:rPr>
        <w:t>预算编制分为人员经费、公用经费和项目经费预算。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部门统筹自有收入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，街办收入均为财政拨款收入，无其他收入。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根据支出执行情况，年中进行事中绩效情况监控，对部门预算执行、预算调整、绩效目标完成情况进行分析，对执行缓慢项目进行预警，加快项目和资金执行进度，提高财政资金使用效益，确保全年工作目标有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2025年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区级财政指标均已支出完毕，上级转移支付指标有结余，养老服务业发展补助资金（省级）因工程进度未达到支付条件，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未完成支付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；基层治理专项资金按照项目建设进度支付费用，因项目进度未完成资金支付；生态功能区转移支付资金因需完成春节防火任务，暂未完成支付。上述项目资金已进行指标结转，计划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2026年完成项目资金支付。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3.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财务管理。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53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部门已制定内部财务管理制度等制度机制并落实；部门合理设置财务工作岗位，出纳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1人、会计1人，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明确职责权限，并严格实行不相容岗位分离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;部门资金使用符合相关财务管理制度规定。按照财务制度，经费使用需经过财务分管领导审批同意；5000元以上资金，需进行主任办公会集体决策；20000元以上需经过主任办公会和党工委会进行集体决策，资金使用规范，程序合规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4.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资产管理。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资产配置符合财政政策</w:t>
      </w:r>
      <w:r>
        <w:rPr>
          <w:rFonts w:hint="eastAsia" w:ascii="Times New Roman" w:hAnsi="Times New Roman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，未超标准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；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实行办公设备共享</w:t>
      </w:r>
      <w:r>
        <w:rPr>
          <w:rFonts w:hint="eastAsia" w:ascii="Times New Roman" w:hAnsi="Times New Roman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资产使用率提高</w:t>
      </w:r>
      <w:r>
        <w:rPr>
          <w:rFonts w:hint="eastAsia" w:ascii="Times New Roman" w:hAnsi="Times New Roman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资产利用率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提高；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清理闲置资产，</w:t>
      </w:r>
      <w:r>
        <w:rPr>
          <w:rFonts w:hint="eastAsia" w:ascii="Times New Roman" w:hAnsi="Times New Roman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对部分闲置资产交由社区公司盘活，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资产盘活率</w:t>
      </w:r>
      <w:r>
        <w:rPr>
          <w:rFonts w:hint="eastAsia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增加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5.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采购管理。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53" w:lineRule="auto"/>
        <w:ind w:firstLine="640" w:firstLineChars="200"/>
        <w:textAlignment w:val="auto"/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部门严格执行政府采购促进中小企业发展相关管理办法，支持中小企业发展，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2025年度本单位政府采购支出38825.51元，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政府采购授予中小企业合同金额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37879.91元，其中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授予小微企业合同金额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7879.91元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。</w:t>
      </w:r>
    </w:p>
    <w:p>
      <w:pPr>
        <w:widowControl/>
        <w:adjustRightInd w:val="0"/>
        <w:snapToGrid w:val="0"/>
        <w:spacing w:line="578" w:lineRule="exact"/>
        <w:ind w:firstLine="642" w:firstLineChars="200"/>
        <w:contextualSpacing/>
        <w:jc w:val="left"/>
        <w:rPr>
          <w:color w:val="000000"/>
          <w:kern w:val="0"/>
          <w:szCs w:val="32"/>
          <w:shd w:val="clear" w:color="auto" w:fill="FFFFFF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（二）部门预算项目绩效分析。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</w:rPr>
        <w:t>常年项目绩效分析。</w:t>
      </w:r>
      <w:r>
        <w:rPr>
          <w:color w:val="000000"/>
          <w:kern w:val="0"/>
          <w:szCs w:val="32"/>
          <w:shd w:val="clear" w:color="auto" w:fill="FFFFFF"/>
          <w:lang w:val="zh-CN"/>
        </w:rPr>
        <w:t>该类项目总数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40</w:t>
      </w:r>
      <w:r>
        <w:rPr>
          <w:color w:val="000000"/>
          <w:kern w:val="0"/>
          <w:szCs w:val="32"/>
          <w:shd w:val="clear" w:color="auto" w:fill="FFFFFF"/>
          <w:lang w:val="zh-CN"/>
        </w:rPr>
        <w:t>个，涉及预算总金额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525.22</w:t>
      </w:r>
      <w:r>
        <w:rPr>
          <w:color w:val="000000"/>
          <w:kern w:val="0"/>
          <w:szCs w:val="32"/>
          <w:shd w:val="clear" w:color="auto" w:fill="FFFFFF"/>
          <w:lang w:val="zh-CN"/>
        </w:rPr>
        <w:t>万元，1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—</w:t>
      </w:r>
      <w:r>
        <w:rPr>
          <w:color w:val="000000"/>
          <w:kern w:val="0"/>
          <w:szCs w:val="32"/>
          <w:shd w:val="clear" w:color="auto" w:fill="FFFFFF"/>
          <w:lang w:val="zh-CN"/>
        </w:rPr>
        <w:t>1</w:t>
      </w:r>
      <w:r>
        <w:rPr>
          <w:color w:val="000000"/>
          <w:kern w:val="0"/>
          <w:szCs w:val="32"/>
          <w:shd w:val="clear" w:color="auto" w:fill="FFFFFF"/>
        </w:rPr>
        <w:t>2</w:t>
      </w:r>
      <w:r>
        <w:rPr>
          <w:color w:val="000000"/>
          <w:kern w:val="0"/>
          <w:szCs w:val="32"/>
          <w:shd w:val="clear" w:color="auto" w:fill="FFFFFF"/>
          <w:lang w:val="zh-CN"/>
        </w:rPr>
        <w:t>月预算执行总体进度为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100</w:t>
      </w:r>
      <w:r>
        <w:rPr>
          <w:color w:val="000000"/>
          <w:kern w:val="0"/>
          <w:szCs w:val="32"/>
          <w:shd w:val="clear" w:color="auto" w:fill="FFFFFF"/>
          <w:lang w:val="zh-CN"/>
        </w:rPr>
        <w:t>%，其中：预算结余率大于</w:t>
      </w:r>
      <w:r>
        <w:rPr>
          <w:color w:val="000000"/>
          <w:kern w:val="0"/>
          <w:szCs w:val="32"/>
          <w:shd w:val="clear" w:color="auto" w:fill="FFFFFF"/>
        </w:rPr>
        <w:t>10%</w:t>
      </w:r>
      <w:r>
        <w:rPr>
          <w:color w:val="000000"/>
          <w:kern w:val="0"/>
          <w:szCs w:val="32"/>
          <w:shd w:val="clear" w:color="auto" w:fill="FFFFFF"/>
          <w:lang w:val="zh-CN"/>
        </w:rPr>
        <w:t>的项目共计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0</w:t>
      </w:r>
      <w:r>
        <w:rPr>
          <w:color w:val="000000"/>
          <w:kern w:val="0"/>
          <w:szCs w:val="32"/>
          <w:shd w:val="clear" w:color="auto" w:fill="FFFFFF"/>
          <w:lang w:val="zh-CN"/>
        </w:rPr>
        <w:t>个。</w:t>
      </w:r>
    </w:p>
    <w:p>
      <w:pPr>
        <w:adjustRightInd w:val="0"/>
        <w:snapToGrid w:val="0"/>
        <w:spacing w:line="578" w:lineRule="exact"/>
        <w:ind w:firstLine="640" w:firstLineChars="200"/>
        <w:contextualSpacing/>
        <w:jc w:val="left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color w:val="000000"/>
          <w:kern w:val="0"/>
          <w:szCs w:val="32"/>
          <w:shd w:val="clear" w:color="auto" w:fill="FFFFFF"/>
        </w:rPr>
        <w:t>阶段（</w:t>
      </w:r>
      <w:r>
        <w:rPr>
          <w:rFonts w:hint="eastAsia"/>
          <w:color w:val="000000"/>
          <w:kern w:val="0"/>
          <w:szCs w:val="32"/>
          <w:shd w:val="clear" w:color="auto" w:fill="FFFFFF"/>
        </w:rPr>
        <w:t>含</w:t>
      </w:r>
      <w:r>
        <w:rPr>
          <w:color w:val="000000"/>
          <w:kern w:val="0"/>
          <w:szCs w:val="32"/>
          <w:shd w:val="clear" w:color="auto" w:fill="FFFFFF"/>
        </w:rPr>
        <w:t>一次性）项目绩效分析。</w:t>
      </w:r>
      <w:r>
        <w:rPr>
          <w:color w:val="000000"/>
          <w:kern w:val="0"/>
          <w:szCs w:val="32"/>
          <w:shd w:val="clear" w:color="auto" w:fill="FFFFFF"/>
          <w:lang w:val="zh-CN"/>
        </w:rPr>
        <w:t>该类项目总数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0</w:t>
      </w:r>
      <w:r>
        <w:rPr>
          <w:color w:val="000000"/>
          <w:kern w:val="0"/>
          <w:szCs w:val="32"/>
          <w:shd w:val="clear" w:color="auto" w:fill="FFFFFF"/>
          <w:lang w:val="zh-CN"/>
        </w:rPr>
        <w:t>个，涉及预算总金额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0</w:t>
      </w:r>
      <w:r>
        <w:rPr>
          <w:color w:val="000000"/>
          <w:kern w:val="0"/>
          <w:szCs w:val="32"/>
          <w:shd w:val="clear" w:color="auto" w:fill="FFFFFF"/>
          <w:lang w:val="zh-CN"/>
        </w:rPr>
        <w:t>万元，1</w:t>
      </w:r>
      <w:r>
        <w:rPr>
          <w:rFonts w:hint="eastAsia"/>
          <w:color w:val="000000"/>
          <w:kern w:val="0"/>
          <w:szCs w:val="32"/>
          <w:shd w:val="clear" w:color="auto" w:fill="FFFFFF"/>
          <w:lang w:val="zh-CN"/>
        </w:rPr>
        <w:t>—</w:t>
      </w:r>
      <w:r>
        <w:rPr>
          <w:color w:val="000000"/>
          <w:kern w:val="0"/>
          <w:szCs w:val="32"/>
          <w:shd w:val="clear" w:color="auto" w:fill="FFFFFF"/>
          <w:lang w:val="zh-CN"/>
        </w:rPr>
        <w:t>1</w:t>
      </w:r>
      <w:r>
        <w:rPr>
          <w:color w:val="000000"/>
          <w:kern w:val="0"/>
          <w:szCs w:val="32"/>
          <w:shd w:val="clear" w:color="auto" w:fill="FFFFFF"/>
        </w:rPr>
        <w:t>2</w:t>
      </w:r>
      <w:r>
        <w:rPr>
          <w:color w:val="000000"/>
          <w:kern w:val="0"/>
          <w:szCs w:val="32"/>
          <w:shd w:val="clear" w:color="auto" w:fill="FFFFFF"/>
          <w:lang w:val="zh-CN"/>
        </w:rPr>
        <w:t>月预算执行总体进度为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0</w:t>
      </w:r>
      <w:r>
        <w:rPr>
          <w:color w:val="000000"/>
          <w:kern w:val="0"/>
          <w:szCs w:val="32"/>
          <w:shd w:val="clear" w:color="auto" w:fill="FFFFFF"/>
          <w:lang w:val="zh-CN"/>
        </w:rPr>
        <w:t>%，其中：预算结余率大于</w:t>
      </w:r>
      <w:r>
        <w:rPr>
          <w:color w:val="000000"/>
          <w:kern w:val="0"/>
          <w:szCs w:val="32"/>
          <w:shd w:val="clear" w:color="auto" w:fill="FFFFFF"/>
        </w:rPr>
        <w:t>10%</w:t>
      </w:r>
      <w:r>
        <w:rPr>
          <w:color w:val="000000"/>
          <w:kern w:val="0"/>
          <w:szCs w:val="32"/>
          <w:shd w:val="clear" w:color="auto" w:fill="FFFFFF"/>
          <w:lang w:val="zh-CN"/>
        </w:rPr>
        <w:t>的项目共计</w:t>
      </w:r>
      <w:r>
        <w:rPr>
          <w:rFonts w:hint="eastAsia"/>
          <w:color w:val="000000"/>
          <w:kern w:val="0"/>
          <w:szCs w:val="32"/>
          <w:shd w:val="clear" w:color="auto" w:fill="FFFFFF"/>
          <w:lang w:val="en-US" w:eastAsia="zh-CN"/>
        </w:rPr>
        <w:t>0</w:t>
      </w:r>
      <w:r>
        <w:rPr>
          <w:color w:val="000000"/>
          <w:kern w:val="0"/>
          <w:szCs w:val="32"/>
          <w:shd w:val="clear" w:color="auto" w:fill="FFFFFF"/>
          <w:lang w:val="zh-CN"/>
        </w:rPr>
        <w:t>个。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1.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项目决策。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53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预算项目设立按规定履行评估论证、申报程序；部门预算项目绩效目标与计划期内的任务量相符、预算安排的资金量匹配，绩效目标设置科学合理、规范完整、量化细化、预算匹配；部门预算项目在规定时间完成项目入库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2.项目执行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53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部门预算项目实际列支内容与绩效目标设置方向相符；部门预算项目采取对应调整措施；部门预算项目预算执行及时；部门预算项目绩效目标数量指标完成及时。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color w:val="000000"/>
          <w:kern w:val="0"/>
          <w:szCs w:val="32"/>
          <w:shd w:val="clear" w:color="auto" w:fill="FFFFFF"/>
        </w:rPr>
        <w:t>3.</w:t>
      </w:r>
      <w:r>
        <w:rPr>
          <w:rFonts w:eastAsia="楷体_GB2312"/>
          <w:color w:val="000000"/>
          <w:kern w:val="0"/>
          <w:szCs w:val="32"/>
          <w:shd w:val="clear" w:color="auto" w:fill="FFFFFF"/>
          <w:lang w:val="zh-CN"/>
        </w:rPr>
        <w:t>目标实现。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53" w:lineRule="auto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部门预算项目绩效目标数量指标实现程度与预期目标相符；部门预算项目绩效目标效益指标实施效果较好。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53" w:lineRule="auto"/>
        <w:ind w:firstLine="642" w:firstLineChars="200"/>
        <w:textAlignment w:val="auto"/>
        <w:rPr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</w:t>
      </w:r>
      <w:r>
        <w:rPr>
          <w:rFonts w:eastAsia="楷体_GB2312"/>
          <w:b/>
          <w:bCs/>
          <w:szCs w:val="32"/>
          <w:lang w:val="zh-CN"/>
        </w:rPr>
        <w:t>绩效结果应用情况。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353" w:lineRule="auto"/>
        <w:ind w:firstLine="640" w:firstLineChars="200"/>
        <w:textAlignment w:val="auto"/>
        <w:rPr>
          <w:rFonts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shd w:val="clear" w:color="auto" w:fill="FFFFFF"/>
          <w:lang w:val="zh-CN" w:eastAsia="zh-CN" w:bidi="ar-SA"/>
        </w:rPr>
        <w:t>严格对照项目支出绩效评价发现的问题，查找管理漏洞，强化结果应用，将评价结果于制定政策、完善内控管理制度，用于改进项目管理、财务管理和资金使用管理，用于调整预算安排方式、增减预算规模和优化支出结构，不断提高资金使用效益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rFonts w:eastAsia="黑体"/>
          <w:color w:val="000000"/>
          <w:kern w:val="0"/>
          <w:szCs w:val="32"/>
          <w:shd w:val="clear" w:color="auto" w:fill="FFFFFF"/>
        </w:rPr>
      </w:pPr>
      <w:r>
        <w:rPr>
          <w:rFonts w:eastAsia="黑体"/>
          <w:color w:val="000000"/>
          <w:kern w:val="0"/>
          <w:szCs w:val="32"/>
          <w:shd w:val="clear" w:color="auto" w:fill="FFFFFF"/>
        </w:rPr>
        <w:t>四、评价结论及建议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2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（一）评价结论。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rPr>
          <w:rFonts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  <w:t>按照区级部门通知和有关要求，我单位及时准确完成预算编制并严格预算执行管理，项目绩效目标编制明确，整体绩效目标按工作要求编制，严格执行“三公”经费预算，及时公开预算、决算、绩效等信息。内部控制制度健全，资产管理和资产上报及时、准确。我单位支出绩效总体良好，各项目标基本达到了相应时期执行进度，使财政收支预算执行都得到了良好的制度保障和实施效果。经我单位自评，202</w:t>
      </w:r>
      <w:r>
        <w:rPr>
          <w:rFonts w:hint="eastAsia" w:ascii="Times New Roman" w:hAnsi="Times New Roman" w:cs="Times New Roman"/>
          <w:b w:val="0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  <w:t>年度部门整体绩效评价得分为9</w:t>
      </w:r>
      <w:r>
        <w:rPr>
          <w:rFonts w:hint="eastAsia" w:ascii="Times New Roman" w:hAnsi="Times New Roman" w:cs="Times New Roman"/>
          <w:b w:val="0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b w:val="0"/>
          <w:kern w:val="0"/>
          <w:sz w:val="32"/>
          <w:szCs w:val="32"/>
          <w:lang w:val="en-US" w:eastAsia="zh-CN" w:bidi="ar-SA"/>
        </w:rPr>
        <w:t>分。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2" w:firstLineChars="200"/>
        <w:contextualSpacing/>
        <w:jc w:val="left"/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（二）存在问题。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08" w:firstLineChars="200"/>
        <w:contextualSpacing/>
        <w:jc w:val="left"/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  <w:t>1.资金统筹使用效率偏低，部分项目资金执行进度缓慢，资金支付进度滞后，项目资金大多集中在年底支付，支出时序不均衡。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08" w:firstLineChars="200"/>
        <w:contextualSpacing/>
        <w:jc w:val="left"/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  <w:t>2.预算编制前瞻性欠缺，多依据往年基数编制预算，未充分结合年度重点工作，部分专项经费测算有误差，出现资金结余，预算和实际支出匹配度不高。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08" w:firstLineChars="200"/>
        <w:contextualSpacing/>
        <w:jc w:val="left"/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w w:val="95"/>
          <w:kern w:val="0"/>
          <w:sz w:val="32"/>
          <w:szCs w:val="32"/>
          <w:lang w:val="en-US" w:eastAsia="zh-CN" w:bidi="ar-SA"/>
        </w:rPr>
        <w:t>3.绩效全过程管控薄弱，重事后自评、轻事前事中监控，年中绩效动态监控不足，对部分专项工作进度滞后、支出缓慢问题发现不及时；绩效指标设置偏笼统，履职效能、履职效果三级指标量化不足，定性指标过多，考核难以落地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2" w:firstLineChars="200"/>
        <w:contextualSpacing/>
        <w:jc w:val="left"/>
        <w:rPr>
          <w:kern w:val="0"/>
          <w:szCs w:val="32"/>
          <w:lang w:val="en"/>
        </w:rPr>
      </w:pPr>
      <w:r>
        <w:rPr>
          <w:rFonts w:eastAsia="楷体_GB2312"/>
          <w:b/>
          <w:bCs/>
          <w:color w:val="000000"/>
          <w:kern w:val="0"/>
          <w:szCs w:val="32"/>
          <w:shd w:val="clear" w:color="auto" w:fill="FFFFFF"/>
          <w:lang w:val="zh-CN"/>
        </w:rPr>
        <w:t>（三）改进建议。</w:t>
      </w:r>
      <w:bookmarkStart w:id="0" w:name="_Hlk110546638"/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/>
          <w:kern w:val="0"/>
          <w:szCs w:val="32"/>
          <w:lang w:val="en"/>
        </w:rPr>
      </w:pPr>
      <w:r>
        <w:rPr>
          <w:rFonts w:hint="eastAsia"/>
          <w:kern w:val="0"/>
          <w:szCs w:val="32"/>
          <w:lang w:val="en-US" w:eastAsia="zh-CN"/>
        </w:rPr>
        <w:t>1.</w:t>
      </w:r>
      <w:r>
        <w:rPr>
          <w:rFonts w:hint="eastAsia"/>
          <w:kern w:val="0"/>
          <w:szCs w:val="32"/>
          <w:lang w:val="en"/>
        </w:rPr>
        <w:t>精准编制年度预算。提前</w:t>
      </w:r>
      <w:r>
        <w:rPr>
          <w:rFonts w:hint="eastAsia"/>
          <w:kern w:val="0"/>
          <w:szCs w:val="32"/>
          <w:lang w:val="en" w:eastAsia="zh-CN"/>
        </w:rPr>
        <w:t>建立</w:t>
      </w:r>
      <w:r>
        <w:rPr>
          <w:rFonts w:hint="eastAsia"/>
          <w:kern w:val="0"/>
          <w:szCs w:val="32"/>
          <w:lang w:val="en"/>
        </w:rPr>
        <w:t>需求</w:t>
      </w:r>
      <w:r>
        <w:rPr>
          <w:rFonts w:hint="eastAsia"/>
          <w:kern w:val="0"/>
          <w:szCs w:val="32"/>
          <w:lang w:val="en" w:eastAsia="zh-CN"/>
        </w:rPr>
        <w:t>台账</w:t>
      </w:r>
      <w:r>
        <w:rPr>
          <w:rFonts w:hint="eastAsia"/>
          <w:kern w:val="0"/>
          <w:szCs w:val="32"/>
          <w:lang w:val="en"/>
        </w:rPr>
        <w:t>，结合近年支出数据、任务量测算经费，细化到</w:t>
      </w:r>
      <w:r>
        <w:rPr>
          <w:rFonts w:hint="eastAsia"/>
          <w:kern w:val="0"/>
          <w:szCs w:val="32"/>
          <w:lang w:val="en" w:eastAsia="zh-CN"/>
        </w:rPr>
        <w:t>具体支出</w:t>
      </w:r>
      <w:r>
        <w:rPr>
          <w:rFonts w:hint="eastAsia"/>
          <w:kern w:val="0"/>
          <w:szCs w:val="32"/>
          <w:lang w:val="en"/>
        </w:rPr>
        <w:t>；合理统筹同类专项经费，整合宣传物料采购，避免重复支出。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/>
          <w:kern w:val="0"/>
          <w:szCs w:val="32"/>
          <w:lang w:val="en"/>
        </w:rPr>
      </w:pPr>
      <w:r>
        <w:rPr>
          <w:rFonts w:hint="eastAsia"/>
          <w:kern w:val="0"/>
          <w:szCs w:val="32"/>
          <w:lang w:val="en-US" w:eastAsia="zh-CN"/>
        </w:rPr>
        <w:t>2.</w:t>
      </w:r>
      <w:r>
        <w:rPr>
          <w:rFonts w:hint="eastAsia"/>
          <w:kern w:val="0"/>
          <w:szCs w:val="32"/>
          <w:lang w:val="en"/>
        </w:rPr>
        <w:t>强化事中动态监控。</w:t>
      </w:r>
      <w:r>
        <w:rPr>
          <w:rFonts w:hint="eastAsia"/>
          <w:kern w:val="0"/>
          <w:szCs w:val="32"/>
          <w:lang w:val="en" w:eastAsia="zh-CN"/>
        </w:rPr>
        <w:t>定期</w:t>
      </w:r>
      <w:r>
        <w:rPr>
          <w:rFonts w:hint="eastAsia"/>
          <w:kern w:val="0"/>
          <w:szCs w:val="32"/>
          <w:lang w:val="en"/>
        </w:rPr>
        <w:t>核对专项任务进度、资金支出进度，对支出滞后、任务滞后项目及时预警调整；优化绩效指标，全部履职效果指标量化。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53" w:lineRule="auto"/>
        <w:ind w:firstLine="640" w:firstLineChars="200"/>
        <w:contextualSpacing/>
        <w:jc w:val="left"/>
        <w:textAlignment w:val="auto"/>
        <w:rPr>
          <w:rFonts w:hint="eastAsia"/>
          <w:kern w:val="0"/>
          <w:szCs w:val="32"/>
          <w:lang w:val="en"/>
        </w:rPr>
      </w:pPr>
      <w:r>
        <w:rPr>
          <w:rFonts w:hint="eastAsia"/>
          <w:kern w:val="0"/>
          <w:szCs w:val="32"/>
          <w:lang w:val="en-US" w:eastAsia="zh-CN"/>
        </w:rPr>
        <w:t>3.</w:t>
      </w:r>
      <w:r>
        <w:rPr>
          <w:rFonts w:hint="eastAsia"/>
          <w:kern w:val="0"/>
          <w:szCs w:val="32"/>
          <w:lang w:val="en"/>
        </w:rPr>
        <w:t>规范资金支出时序。均衡全年经费支出，杜绝年末突击支付，对合理结余资金按时上缴，盘活存量资金。</w:t>
      </w:r>
    </w:p>
    <w:p>
      <w:pPr>
        <w:spacing w:line="578" w:lineRule="exact"/>
        <w:contextualSpacing/>
        <w:rPr>
          <w:rFonts w:eastAsia="黑体"/>
          <w:szCs w:val="32"/>
        </w:rPr>
      </w:pPr>
    </w:p>
    <w:p>
      <w:pPr>
        <w:spacing w:line="578" w:lineRule="exact"/>
        <w:ind w:firstLine="640" w:firstLineChars="200"/>
        <w:rPr>
          <w:szCs w:val="32"/>
          <w:lang w:bidi="ar"/>
        </w:rPr>
      </w:pPr>
      <w:r>
        <w:rPr>
          <w:color w:val="000000"/>
          <w:kern w:val="0"/>
          <w:szCs w:val="32"/>
          <w:shd w:val="clear" w:color="auto" w:fill="FFFFFF"/>
        </w:rPr>
        <w:t>附表：</w:t>
      </w:r>
      <w:r>
        <w:rPr>
          <w:rFonts w:hint="eastAsia"/>
          <w:color w:val="000000"/>
          <w:kern w:val="0"/>
          <w:szCs w:val="32"/>
          <w:shd w:val="clear" w:color="auto" w:fill="FFFFFF"/>
        </w:rPr>
        <w:t>1.</w:t>
      </w:r>
      <w:r>
        <w:rPr>
          <w:rFonts w:hint="eastAsia"/>
          <w:szCs w:val="32"/>
          <w:lang w:bidi="ar"/>
        </w:rPr>
        <w:t>部门预算绩效自评打分表</w:t>
      </w:r>
    </w:p>
    <w:p>
      <w:pPr>
        <w:spacing w:line="578" w:lineRule="exact"/>
        <w:ind w:firstLine="1600" w:firstLineChars="500"/>
        <w:rPr>
          <w:color w:val="000000"/>
          <w:kern w:val="0"/>
          <w:szCs w:val="32"/>
          <w:shd w:val="clear" w:color="auto" w:fill="FFFFFF"/>
        </w:rPr>
      </w:pPr>
      <w:r>
        <w:rPr>
          <w:rFonts w:hint="eastAsia"/>
          <w:szCs w:val="32"/>
          <w:lang w:bidi="ar"/>
        </w:rPr>
        <w:t>2.</w:t>
      </w:r>
      <w:r>
        <w:rPr>
          <w:color w:val="000000"/>
          <w:kern w:val="0"/>
          <w:szCs w:val="32"/>
          <w:shd w:val="clear" w:color="auto" w:fill="FFFFFF"/>
        </w:rPr>
        <w:t>部门整体绩效目标完成情况自评表</w:t>
      </w:r>
    </w:p>
    <w:p>
      <w:pPr>
        <w:spacing w:line="578" w:lineRule="exact"/>
        <w:ind w:firstLine="1600" w:firstLineChars="500"/>
        <w:rPr>
          <w:szCs w:val="32"/>
          <w:lang w:bidi="ar"/>
        </w:rPr>
      </w:pPr>
    </w:p>
    <w:p>
      <w:pPr>
        <w:spacing w:line="578" w:lineRule="exact"/>
        <w:jc w:val="left"/>
        <w:rPr>
          <w:rFonts w:eastAsia="黑体"/>
        </w:rPr>
      </w:pPr>
      <w:r>
        <w:rPr>
          <w:color w:val="000000"/>
          <w:kern w:val="0"/>
          <w:szCs w:val="32"/>
          <w:shd w:val="clear" w:color="auto" w:fill="FFFFFF"/>
        </w:rPr>
        <w:br w:type="page"/>
      </w: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2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86"/>
        <w:gridCol w:w="1775"/>
        <w:gridCol w:w="663"/>
        <w:gridCol w:w="5050"/>
        <w:gridCol w:w="563"/>
        <w:gridCol w:w="4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5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5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5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5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安全应急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零较大安全事故，属地安全形势稳定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惠民政策落实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惠民资金全部按时精准发放，无错报、漏报、错发，无群众信访质疑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属地治理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履职效果</w:t>
            </w:r>
          </w:p>
        </w:tc>
        <w:tc>
          <w:tcPr>
            <w:tcW w:w="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常态化落实属地巡查管控，辖区社会治理秩序平稳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0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pStyle w:val="2"/>
        <w:spacing w:line="20" w:lineRule="exact"/>
      </w:pPr>
    </w:p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2</w:t>
      </w:r>
    </w:p>
    <w:tbl>
      <w:tblPr>
        <w:tblStyle w:val="12"/>
        <w:tblW w:w="105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8"/>
        <w:gridCol w:w="1347"/>
        <w:gridCol w:w="1273"/>
        <w:gridCol w:w="1100"/>
        <w:gridCol w:w="1145"/>
        <w:gridCol w:w="1289"/>
        <w:gridCol w:w="1058"/>
        <w:gridCol w:w="20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部门整体绩效目标完成情况自评表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（202</w:t>
            </w:r>
            <w:r>
              <w:rPr>
                <w:rFonts w:hint="eastAsia" w:eastAsia="宋体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宋体"/>
                <w:color w:val="000000"/>
                <w:kern w:val="0"/>
                <w:sz w:val="28"/>
                <w:szCs w:val="28"/>
                <w:lang w:bidi="ar"/>
              </w:rPr>
              <w:t>年度）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60" w:type="dxa"/>
            <w:gridSpan w:val="8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单位：万元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部门名称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攀枝花市西区大宝鼎街道办事处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资金总额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财政拨款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其他资金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955.23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955.23</w:t>
            </w:r>
          </w:p>
        </w:tc>
        <w:tc>
          <w:tcPr>
            <w:tcW w:w="4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年度总体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目标</w:t>
            </w:r>
          </w:p>
        </w:tc>
        <w:tc>
          <w:tcPr>
            <w:tcW w:w="92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保证街道办日常工作的正常运行，为街道办的各项工作提供保障，促进经济社会发展，保障群众生产，促进社会稳定，保质保量完成区委、区政府下达的工作目标任务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年度主要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任务名称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主要内容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人员经费</w:t>
            </w: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发放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bidi="ar"/>
              </w:rPr>
              <w:t>按月发放职工工资、绩效、社保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公用经费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使用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支付办公费、网络费等日常公用经费，做好日常保障工作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项目经费</w:t>
            </w:r>
            <w:r>
              <w:rPr>
                <w:rFonts w:hint="eastAsia" w:eastAsia="宋体"/>
                <w:color w:val="000000"/>
                <w:sz w:val="24"/>
                <w:lang w:eastAsia="zh-CN"/>
              </w:rPr>
              <w:t>使用</w:t>
            </w:r>
          </w:p>
        </w:tc>
        <w:tc>
          <w:tcPr>
            <w:tcW w:w="6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sz w:val="24"/>
              </w:rPr>
              <w:t>按工作职能完成区委、区政府安排的项目工作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年度绩效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绩效度量单位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实际完成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社区个数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个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矛盾调解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件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安全隐患排查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处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涉及居民数量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5000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经费使用准确率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验收通过率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</w:rPr>
              <w:t>年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100%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bookmarkStart w:id="1" w:name="OLE_LINK1" w:colFirst="2" w:colLast="7"/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项目完成及时率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eastAsia="zh-CN"/>
              </w:rPr>
              <w:t>资金使用及时率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91%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成本指标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资金使用数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=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955.23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万元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000000"/>
                <w:sz w:val="24"/>
                <w:lang w:val="en-US" w:eastAsia="zh-CN"/>
              </w:rPr>
              <w:t>100%</w:t>
            </w:r>
          </w:p>
        </w:tc>
      </w:tr>
      <w:bookmarkEnd w:id="1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社会效益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为群众服务率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98%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提高公共服务能力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高中低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群众诉求率有效解决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优良中差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经济效益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  <w:t>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辖区招商引资效果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好坏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辖区经济增长效果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好坏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eastAsia="宋体"/>
                <w:color w:val="000000"/>
                <w:kern w:val="0"/>
                <w:sz w:val="24"/>
                <w:lang w:eastAsia="zh-CN" w:bidi="ar"/>
              </w:rPr>
              <w:t>生态效益指标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辖区人居环境改善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定性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优良中差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优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eastAsia="宋体"/>
                <w:color w:val="000000"/>
                <w:sz w:val="24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eastAsia="宋体"/>
                <w:color w:val="000000"/>
                <w:sz w:val="24"/>
              </w:rPr>
            </w:pPr>
            <w:r>
              <w:rPr>
                <w:rFonts w:eastAsia="宋体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 w:eastAsia="宋体"/>
                <w:color w:val="000000"/>
                <w:sz w:val="24"/>
                <w:lang w:eastAsia="zh-CN"/>
              </w:rPr>
              <w:t>群众满意度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%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95%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">
    <w:altName w:val="MathJax_Vector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4 -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ind w:right="451" w:rightChars="141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iY2Q1ZDUyYTdiNDE3MDk2YWViMDU0NTQzNjUzZGYifQ=="/>
  </w:docVars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3F8B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B6928"/>
    <w:rsid w:val="003D10A2"/>
    <w:rsid w:val="003D33B8"/>
    <w:rsid w:val="003D624D"/>
    <w:rsid w:val="003D719A"/>
    <w:rsid w:val="003F1D56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3594D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A741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2476"/>
    <w:rsid w:val="00FB3345"/>
    <w:rsid w:val="00FD0228"/>
    <w:rsid w:val="00FD3BB7"/>
    <w:rsid w:val="00FE0D93"/>
    <w:rsid w:val="00FF2572"/>
    <w:rsid w:val="00FF32AD"/>
    <w:rsid w:val="0DC31556"/>
    <w:rsid w:val="1A3D6143"/>
    <w:rsid w:val="1C013801"/>
    <w:rsid w:val="1DFD8D3B"/>
    <w:rsid w:val="1FB79DC9"/>
    <w:rsid w:val="1FBFC3F2"/>
    <w:rsid w:val="1FFFE033"/>
    <w:rsid w:val="25005360"/>
    <w:rsid w:val="27F352A6"/>
    <w:rsid w:val="29560A0A"/>
    <w:rsid w:val="2D527252"/>
    <w:rsid w:val="2DDC1740"/>
    <w:rsid w:val="2EAE55F2"/>
    <w:rsid w:val="2EDF4302"/>
    <w:rsid w:val="2EFE1A04"/>
    <w:rsid w:val="2FFF3854"/>
    <w:rsid w:val="35BBF80F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93E12E4"/>
    <w:rsid w:val="4BF7E09D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FB5B08"/>
    <w:rsid w:val="73FB87D9"/>
    <w:rsid w:val="75EF0FBA"/>
    <w:rsid w:val="7607C293"/>
    <w:rsid w:val="76793C4E"/>
    <w:rsid w:val="767B0EE7"/>
    <w:rsid w:val="76DF783A"/>
    <w:rsid w:val="76DFA4E8"/>
    <w:rsid w:val="772B9503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A46D76C1"/>
    <w:rsid w:val="A7FF43C2"/>
    <w:rsid w:val="AAB60F14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0F716E4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8DE0D1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18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200"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四号正文"/>
    <w:basedOn w:val="1"/>
    <w:link w:val="17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17">
    <w:name w:val="四号正文 Char"/>
    <w:basedOn w:val="14"/>
    <w:link w:val="16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18">
    <w:name w:val="文档结构图 Char"/>
    <w:basedOn w:val="14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19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页脚 Char"/>
    <w:basedOn w:val="14"/>
    <w:link w:val="8"/>
    <w:qFormat/>
    <w:uiPriority w:val="99"/>
    <w:rPr>
      <w:kern w:val="2"/>
      <w:sz w:val="18"/>
      <w:szCs w:val="18"/>
    </w:rPr>
  </w:style>
  <w:style w:type="character" w:customStyle="1" w:styleId="21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51"/>
    <w:basedOn w:val="14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3">
    <w:name w:val="font0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41"/>
    <w:basedOn w:val="14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14</Pages>
  <Words>2119</Words>
  <Characters>2210</Characters>
  <Lines>18</Lines>
  <Paragraphs>5</Paragraphs>
  <TotalTime>11</TotalTime>
  <ScaleCrop>false</ScaleCrop>
  <LinksUpToDate>false</LinksUpToDate>
  <CharactersWithSpaces>2234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2025-03-28T08:07:00Z</dcterms:created>
  <dc:creator>陈萍</dc:creator>
  <cp:lastModifiedBy>HUAWEI</cp:lastModifiedBy>
  <cp:lastPrinted>2026-06-17T01:19:00Z</cp:lastPrinted>
  <dcterms:modified xsi:type="dcterms:W3CDTF">2026-06-30T16:04:43Z</dcterms:modified>
  <dc:title>区域性就业培训基地建设项目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FA4FEC080633E7ED9B78436A3990FEE3</vt:lpwstr>
  </property>
  <property fmtid="{D5CDD505-2E9C-101B-9397-08002B2CF9AE}" pid="4" name="KSOTemplateDocerSaveRecord">
    <vt:lpwstr>eyJoZGlkIjoiMTIxYWI2ZjcyNTlmMWVhMmY4YjU3MGFjYWRhMmJjMGYiLCJ1c2VySWQiOiIxNjM2NzcxNDUxIn0=</vt:lpwstr>
  </property>
</Properties>
</file>