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before="1251" w:beforeLines="401" w:beforeAutospacing="0" w:line="576" w:lineRule="exact"/>
        <w:ind w:left="-640" w:leftChars="-200" w:firstLine="0" w:firstLineChars="0"/>
        <w:jc w:val="center"/>
        <w:textAlignment w:val="auto"/>
        <w:rPr>
          <w:rFonts w:hint="default" w:ascii="Times New Roman" w:hAnsi="Times New Roman" w:eastAsia="方正小标宋_GBK" w:cs="Times New Roman"/>
          <w:b/>
          <w:bCs/>
          <w:color w:val="000000"/>
          <w:spacing w:val="10"/>
          <w:w w:val="46"/>
          <w:kern w:val="0"/>
          <w:sz w:val="132"/>
          <w:szCs w:val="132"/>
        </w:rPr>
      </w:pPr>
      <w:r>
        <w:rPr>
          <w:rFonts w:hint="default" w:ascii="Times New Roman" w:hAnsi="Times New Roman" w:eastAsia="方正小标宋_GBK" w:cs="Times New Roman"/>
          <w:b/>
          <w:bCs/>
          <w:color w:val="000000"/>
          <w:spacing w:val="10"/>
          <w:w w:val="46"/>
          <w:kern w:val="0"/>
          <w:sz w:val="132"/>
          <w:szCs w:val="132"/>
        </w:rPr>
        <w:pict>
          <v:shape id="_x0000_s1026" o:spid="_x0000_s1026" o:spt="136" type="#_x0000_t136" style="position:absolute;left:0pt;margin-left:-2pt;margin-top:33.35pt;height:76.25pt;width:444.2pt;z-index:-251654144;mso-width-relative:page;mso-height-relative:page;" fillcolor="#FF0000" filled="t" stroked="f" coordsize="21600,21600" adj="10800">
            <v:path/>
            <v:fill on="t" color2="#FFFFFF" focussize="0,0"/>
            <v:stroke on="f"/>
            <v:imagedata o:title=""/>
            <o:lock v:ext="edit" aspectratio="f"/>
            <v:textpath on="t" fitshape="t" fitpath="t" trim="t" xscale="f" string="中共攀枝花市西区区委宣传部" style="font-family:方正小标宋简体;font-size:36pt;font-weight:bold;v-text-align:center;"/>
          </v:shape>
        </w:pict>
      </w:r>
    </w:p>
    <w:p>
      <w:pPr>
        <w:keepNext w:val="0"/>
        <w:keepLines w:val="0"/>
        <w:pageBreakBefore w:val="0"/>
        <w:widowControl w:val="0"/>
        <w:kinsoku/>
        <w:wordWrap/>
        <w:overflowPunct/>
        <w:topLinePunct w:val="0"/>
        <w:autoSpaceDE/>
        <w:autoSpaceDN/>
        <w:bidi w:val="0"/>
        <w:adjustRightInd/>
        <w:snapToGrid/>
        <w:spacing w:beforeAutospacing="0" w:line="576" w:lineRule="exact"/>
        <w:ind w:left="0" w:leftChars="0" w:firstLine="0" w:firstLineChars="0"/>
        <w:jc w:val="center"/>
        <w:textAlignment w:val="auto"/>
        <w:rPr>
          <w:rFonts w:hint="default" w:ascii="Times New Roman" w:hAnsi="Times New Roman" w:cs="Times New Roman"/>
        </w:rPr>
      </w:pPr>
      <w:r>
        <w:rPr>
          <w:rFonts w:hint="default" w:ascii="Times New Roman" w:hAnsi="Times New Roman" w:eastAsia="方正仿宋_GBK" w:cs="Times New Roman"/>
          <w:sz w:val="32"/>
          <w:szCs w:val="32"/>
        </w:rPr>
        <w:t>攀西</w:t>
      </w:r>
      <w:r>
        <w:rPr>
          <w:rFonts w:hint="default" w:ascii="Times New Roman" w:hAnsi="Times New Roman" w:eastAsia="方正仿宋_GBK" w:cs="Times New Roman"/>
          <w:sz w:val="32"/>
          <w:szCs w:val="32"/>
          <w:lang w:val="en-US" w:eastAsia="zh-CN"/>
        </w:rPr>
        <w:t>委宣</w:t>
      </w: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240" w:lineRule="auto"/>
        <w:ind w:left="-1280" w:leftChars="-400" w:firstLine="416" w:firstLineChars="130"/>
        <w:jc w:val="center"/>
        <w:textAlignment w:val="auto"/>
        <w:rPr>
          <w:rFonts w:hint="default" w:ascii="Times New Roman" w:hAnsi="Times New Roman" w:eastAsia="Times New Roman" w:cs="Times New Roman"/>
          <w:color w:val="FF0000"/>
        </w:rPr>
      </w:pPr>
      <w:r>
        <w:rPr>
          <w:rFonts w:hint="default" w:ascii="Times New Roman" w:hAnsi="Times New Roman" w:eastAsia="Times New Roman" w:cs="Times New Roman"/>
          <w:color w:val="FF0000"/>
        </w:rPr>
        <mc:AlternateContent>
          <mc:Choice Requires="wps">
            <w:drawing>
              <wp:anchor distT="0" distB="0" distL="114300" distR="114300" simplePos="0" relativeHeight="251661312" behindDoc="0" locked="0" layoutInCell="1" allowOverlap="1">
                <wp:simplePos x="0" y="0"/>
                <wp:positionH relativeFrom="column">
                  <wp:posOffset>3112135</wp:posOffset>
                </wp:positionH>
                <wp:positionV relativeFrom="paragraph">
                  <wp:posOffset>305435</wp:posOffset>
                </wp:positionV>
                <wp:extent cx="2545715" cy="0"/>
                <wp:effectExtent l="0" t="19050" r="6985" b="19050"/>
                <wp:wrapNone/>
                <wp:docPr id="7" name="直接连接符 7"/>
                <wp:cNvGraphicFramePr/>
                <a:graphic xmlns:a="http://schemas.openxmlformats.org/drawingml/2006/main">
                  <a:graphicData uri="http://schemas.microsoft.com/office/word/2010/wordprocessingShape">
                    <wps:wsp>
                      <wps:cNvCnPr/>
                      <wps:spPr>
                        <a:xfrm>
                          <a:off x="0" y="0"/>
                          <a:ext cx="2698750" cy="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5.05pt;margin-top:24.05pt;height:0pt;width:200.45pt;z-index:251661312;mso-width-relative:page;mso-height-relative:page;" filled="f" stroked="t" coordsize="21600,21600" o:gfxdata="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">
                <v:fill on="f" focussize="0,0"/>
                <v:stroke weight="3pt" color="#FF0000" joinstyle="round"/>
                <v:imagedata o:title=""/>
                <o:lock v:ext="edit" aspectratio="f"/>
              </v:line>
            </w:pict>
          </mc:Fallback>
        </mc:AlternateContent>
      </w:r>
      <w:r>
        <w:rPr>
          <w:rFonts w:hint="default" w:ascii="Times New Roman" w:hAnsi="Times New Roman" w:eastAsia="Times New Roman" w:cs="Times New Roman"/>
          <w:color w:val="FF0000"/>
        </w:rPr>
        <mc:AlternateContent>
          <mc:Choice Requires="wps">
            <w:drawing>
              <wp:anchor distT="0" distB="0" distL="114300" distR="114300" simplePos="0" relativeHeight="251660288" behindDoc="0" locked="0" layoutInCell="1" allowOverlap="1">
                <wp:simplePos x="0" y="0"/>
                <wp:positionH relativeFrom="column">
                  <wp:posOffset>-229235</wp:posOffset>
                </wp:positionH>
                <wp:positionV relativeFrom="paragraph">
                  <wp:posOffset>305435</wp:posOffset>
                </wp:positionV>
                <wp:extent cx="2698750" cy="0"/>
                <wp:effectExtent l="0" t="19050" r="6350" b="19050"/>
                <wp:wrapNone/>
                <wp:docPr id="3" name="直接连接符 3"/>
                <wp:cNvGraphicFramePr/>
                <a:graphic xmlns:a="http://schemas.openxmlformats.org/drawingml/2006/main">
                  <a:graphicData uri="http://schemas.microsoft.com/office/word/2010/wordprocessingShape">
                    <wps:wsp>
                      <wps:cNvCnPr/>
                      <wps:spPr>
                        <a:xfrm>
                          <a:off x="0" y="0"/>
                          <a:ext cx="2698750" cy="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05pt;margin-top:24.05pt;height:0pt;width:212.5pt;z-index:251660288;mso-width-relative:page;mso-height-relative:page;" filled="f" stroked="t" coordsize="21600,21600" o:gfxdata="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AoAAAAAAIdO4kAAAAAAAAAAAAAA&#10;AAAEAAAAAAAAAAAAEAAAABYAAABkcnMvUEsBAhQAFAAAAAgAh07iQE8j04b8AQAA8wMAAA4AAAAA&#10;AAAAAQAgAAAAPwEAAGRycy9lMm9Eb2MueG1sUEsBAhQAFAAAAAgAh07iQLKguePaAAAACQEAAA8A&#10;AAAAAAAAAQAgAAAAOAAAAGRycy9kb3ducmV2LnhtbFBLBQYAAAAABgAGAFkBAACtBQAAAAA=&#10;">
                <v:fill on="f" focussize="0,0"/>
                <v:stroke weight="3pt" color="#FF0000" joinstyle="round"/>
                <v:imagedata o:title=""/>
                <o:lock v:ext="edit" aspectratio="f"/>
              </v:line>
            </w:pict>
          </mc:Fallback>
        </mc:AlternateContent>
      </w:r>
      <w:r>
        <w:rPr>
          <w:rFonts w:hint="eastAsia" w:ascii="Times New Roman" w:hAnsi="Times New Roman" w:eastAsia="宋体" w:cs="Times New Roman"/>
          <w:color w:val="FF0000"/>
          <w:sz w:val="56"/>
          <w:lang w:val="en-US" w:eastAsia="zh-CN"/>
        </w:rPr>
        <w:t xml:space="preserve">   </w:t>
      </w:r>
      <w:r>
        <w:rPr>
          <w:rFonts w:hint="default" w:ascii="Times New Roman" w:hAnsi="Times New Roman" w:eastAsia="Times New Roman" w:cs="Times New Roman"/>
          <w:color w:val="FF0000"/>
          <w:sz w:val="56"/>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color w:val="000000"/>
          <w:sz w:val="44"/>
          <w:szCs w:val="44"/>
          <w:lang w:val="en-US" w:eastAsia="zh-CN"/>
        </w:rPr>
      </w:pPr>
      <w:r>
        <w:rPr>
          <w:rFonts w:hint="default" w:ascii="Times New Roman" w:hAnsi="Times New Roman" w:eastAsia="方正小标宋_GBK" w:cs="Times New Roman"/>
          <w:b/>
          <w:color w:val="000000"/>
          <w:sz w:val="44"/>
          <w:szCs w:val="44"/>
          <w:lang w:val="en-US" w:eastAsia="zh-CN"/>
        </w:rPr>
        <w:t>中共攀枝花市西区区委宣传部</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bCs w:val="0"/>
          <w:color w:val="auto"/>
          <w:sz w:val="44"/>
          <w:szCs w:val="44"/>
        </w:rPr>
      </w:pPr>
      <w:r>
        <w:rPr>
          <w:rFonts w:hint="default" w:ascii="Times New Roman" w:hAnsi="Times New Roman" w:eastAsia="方正小标宋_GBK" w:cs="Times New Roman"/>
          <w:b/>
          <w:color w:val="000000"/>
          <w:sz w:val="44"/>
          <w:szCs w:val="44"/>
          <w:lang w:val="en-US" w:eastAsia="zh-CN"/>
        </w:rPr>
        <w:t>202</w:t>
      </w:r>
      <w:r>
        <w:rPr>
          <w:rFonts w:hint="eastAsia" w:ascii="Times New Roman" w:hAnsi="Times New Roman" w:eastAsia="方正小标宋_GBK" w:cs="Times New Roman"/>
          <w:b/>
          <w:color w:val="000000"/>
          <w:sz w:val="44"/>
          <w:szCs w:val="44"/>
          <w:lang w:val="en-US" w:eastAsia="zh-CN"/>
        </w:rPr>
        <w:t>5</w:t>
      </w:r>
      <w:r>
        <w:rPr>
          <w:rFonts w:hint="default" w:ascii="Times New Roman" w:hAnsi="Times New Roman" w:eastAsia="方正小标宋_GBK" w:cs="Times New Roman"/>
          <w:b/>
          <w:color w:val="000000"/>
          <w:sz w:val="44"/>
          <w:szCs w:val="44"/>
          <w:lang w:val="en-US" w:eastAsia="zh-CN"/>
        </w:rPr>
        <w:t>年部门预算绩效自评报告</w:t>
      </w:r>
    </w:p>
    <w:p>
      <w:pPr>
        <w:widowControl/>
        <w:adjustRightInd w:val="0"/>
        <w:snapToGrid w:val="0"/>
        <w:spacing w:line="578" w:lineRule="exact"/>
        <w:contextualSpacing/>
        <w:jc w:val="left"/>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spacing w:line="240" w:lineRule="auto"/>
        <w:ind w:firstLine="640" w:firstLineChars="200"/>
        <w:contextualSpacing/>
        <w:jc w:val="left"/>
        <w:textAlignment w:val="auto"/>
        <w:rPr>
          <w:rFonts w:hint="default" w:ascii="Times New Roman" w:hAnsi="Times New Roman" w:eastAsia="方正黑体_GBK" w:cs="Times New Roman"/>
          <w:color w:val="auto"/>
          <w:kern w:val="0"/>
          <w:sz w:val="32"/>
          <w:szCs w:val="32"/>
          <w:shd w:val="clear" w:color="auto" w:fill="FFFFFF"/>
          <w:lang w:val="zh-CN"/>
        </w:rPr>
      </w:pPr>
      <w:r>
        <w:rPr>
          <w:rFonts w:hint="default" w:ascii="Times New Roman" w:hAnsi="Times New Roman" w:eastAsia="方正黑体_GBK" w:cs="Times New Roman"/>
          <w:color w:val="auto"/>
          <w:kern w:val="0"/>
          <w:sz w:val="32"/>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szCs w:val="32"/>
        </w:rPr>
      </w:pPr>
      <w:r>
        <w:rPr>
          <w:rFonts w:eastAsia="楷体_GB2312"/>
          <w:b/>
          <w:bCs/>
          <w:color w:val="000000"/>
          <w:kern w:val="0"/>
          <w:szCs w:val="32"/>
          <w:shd w:val="clear" w:color="auto" w:fill="FFFFFF"/>
          <w:lang w:val="zh-CN"/>
        </w:rPr>
        <w:t>（一）机构组成</w:t>
      </w:r>
      <w:r>
        <w:rPr>
          <w:rFonts w:hint="eastAsia" w:eastAsia="楷体_GB2312"/>
          <w:b/>
          <w:bCs/>
          <w:color w:val="000000"/>
          <w:kern w:val="0"/>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lang w:val="zh-CN"/>
        </w:rPr>
      </w:pPr>
      <w:r>
        <w:rPr>
          <w:rFonts w:hint="eastAsia" w:ascii="Times New Roman" w:hAnsi="Times New Roman" w:eastAsia="仿宋_GB2312" w:cs="Times New Roman"/>
          <w:lang w:val="zh-CN" w:eastAsia="zh-CN"/>
        </w:rPr>
        <w:t>中共攀枝花市西区区委宣传部（简称区委宣传部）是区委主管意识形态方面工作的职能部门，为正科级，</w:t>
      </w:r>
      <w:r>
        <w:rPr>
          <w:rFonts w:hint="eastAsia" w:cs="Times New Roman"/>
          <w:lang w:val="zh-CN" w:eastAsia="zh-CN"/>
        </w:rPr>
        <w:t>列入</w:t>
      </w:r>
      <w:r>
        <w:rPr>
          <w:rFonts w:hint="eastAsia" w:ascii="Times New Roman" w:hAnsi="Times New Roman" w:eastAsia="仿宋_GB2312" w:cs="Times New Roman"/>
          <w:lang w:val="zh-CN" w:eastAsia="zh-CN"/>
        </w:rPr>
        <w:t>区委工作机关序列。加挂区精神文明建设办公室、区委对外宣传办公室（区政府新闻办公室）、区新闻出版局（区版权局）牌子。</w:t>
      </w:r>
      <w:r>
        <w:rPr>
          <w:rFonts w:hint="eastAsia" w:cs="Times New Roman"/>
          <w:lang w:val="zh-CN" w:eastAsia="zh-CN"/>
        </w:rPr>
        <w:t>下设二级单位区舆情信息中心，</w:t>
      </w:r>
      <w:r>
        <w:rPr>
          <w:rFonts w:hint="eastAsia" w:ascii="Times New Roman" w:hAnsi="Times New Roman" w:eastAsia="仿宋_GB2312" w:cs="Times New Roman"/>
          <w:lang w:val="zh-CN" w:eastAsia="zh-CN"/>
        </w:rPr>
        <w:t>代管区融媒体中心、区文联</w:t>
      </w:r>
      <w:r>
        <w:rPr>
          <w:rFonts w:hint="eastAsia" w:cs="Times New Roman"/>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eastAsia="楷体_GB2312"/>
          <w:b/>
          <w:bCs/>
          <w:color w:val="000000"/>
          <w:kern w:val="0"/>
          <w:szCs w:val="32"/>
          <w:shd w:val="clear" w:color="auto" w:fill="FFFFFF"/>
          <w:lang w:val="zh-CN"/>
        </w:rPr>
      </w:pPr>
      <w:r>
        <w:rPr>
          <w:rFonts w:hint="eastAsia" w:ascii="Times New Roman" w:hAnsi="Times New Roman" w:eastAsia="仿宋_GB2312" w:cs="Times New Roman"/>
          <w:lang w:val="zh-CN" w:eastAsia="zh-CN"/>
        </w:rPr>
        <w:t>一是拟定全区宣传思想文化工作重大政策和事业产业发展总体规划，统筹协调推进宣传思想文化领域法治建设。二是统筹协调全区党的意识形态工作。三是统筹指导协调理论研究、理论学习、理论宣传工作，组织推动理论武装工作。四是负责规划组织全局性思想政治工作；组织重大先进典型的学习和推广。五是统筹组织协调精神文明建设工作，协调推进精神文明创建、公民思想道德建设和志愿服务工作。六是统筹协调对外宣传工作。七是统筹指导推进文化体制改革和文化事业、文化产业及旅游发展。八是负责管理新闻出版行政事务。九是负责管理电影行政事务。十是归口领导区文广旅局等宣传思想文化和旅游单位，受区委委托，代管区文学艺术界联合会等宣传思想文化和旅游单位。十一是统筹推进网络阵地建设。十二是负责职责范围内的安全生产和职业健康、生态环境保护等工作。十三是完成区委和市委宣传部交办的其他任务</w:t>
      </w:r>
      <w:r>
        <w:rPr>
          <w:rFonts w:hint="eastAsia" w:cs="Times New Roman"/>
          <w:lang w:val="zh-CN" w:eastAsia="zh-CN"/>
        </w:rPr>
        <w:t>。</w:t>
      </w:r>
    </w:p>
    <w:p>
      <w:pPr>
        <w:keepNext w:val="0"/>
        <w:keepLines w:val="0"/>
        <w:pageBreakBefore w:val="0"/>
        <w:numPr>
          <w:ilvl w:val="0"/>
          <w:numId w:val="0"/>
        </w:numPr>
        <w:kinsoku/>
        <w:wordWrap/>
        <w:overflowPunct/>
        <w:topLinePunct w:val="0"/>
        <w:autoSpaceDE/>
        <w:autoSpaceDN/>
        <w:bidi w:val="0"/>
        <w:spacing w:line="360" w:lineRule="auto"/>
        <w:ind w:firstLine="642"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szCs w:val="32"/>
          <w:lang w:val="en-US" w:eastAsia="zh-CN"/>
        </w:rPr>
      </w:pPr>
      <w:r>
        <w:rPr>
          <w:rFonts w:hint="eastAsia" w:ascii="Times New Roman" w:hAnsi="Times New Roman" w:cs="Times New Roman"/>
          <w:szCs w:val="32"/>
          <w:lang w:val="zh-CN"/>
        </w:rPr>
        <w:t>截至2025年末，我单位编制内实有人员28人（其中：公务员7人，参照公务员法管理人员4人，事业管理人员和专业技术人员17人），其他人员1人。与上年相比，事业人员新增1人，编制内实有人数净增加1人</w:t>
      </w:r>
      <w:r>
        <w:rPr>
          <w:rFonts w:hint="eastAsia" w:ascii="Times New Roman" w:hAnsi="Times New Roman" w:cs="Times New Roman"/>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lang w:val="zh-CN" w:eastAsia="zh-CN"/>
        </w:rPr>
      </w:pPr>
      <w:r>
        <w:rPr>
          <w:rFonts w:hint="eastAsia" w:ascii="Times New Roman" w:hAnsi="Times New Roman" w:eastAsia="仿宋_GB2312" w:cs="Times New Roman"/>
          <w:lang w:val="zh-CN" w:eastAsia="zh-CN"/>
        </w:rPr>
        <w:t>区委宣传部2025年度全年决算收入</w:t>
      </w:r>
      <w:bookmarkStart w:id="3" w:name="_GoBack"/>
      <w:bookmarkEnd w:id="3"/>
      <w:r>
        <w:rPr>
          <w:rFonts w:hint="default" w:ascii="Times New Roman" w:hAnsi="Times New Roman" w:eastAsia="仿宋_GB2312" w:cs="Times New Roman"/>
          <w:lang w:val="zh-CN" w:eastAsia="zh-CN"/>
        </w:rPr>
        <w:t>865.48万元，其中：一般公共预算财政拨款收入847.57万元，占总收入97.93%；政府性基金预算财政拨款收入17.91万元，占总收入2.07%。本年收入较上年度增加138.37万元，增长19.03%，主要原因是支付了媒体合作费、融媒体中心运行维护费等项目支出</w:t>
      </w:r>
      <w:r>
        <w:rPr>
          <w:rFonts w:hint="eastAsia" w:ascii="Times New Roman" w:hAnsi="Times New Roman" w:eastAsia="仿宋_GB2312" w:cs="Times New Roman"/>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lang w:val="zh-CN"/>
        </w:rPr>
      </w:pPr>
      <w:r>
        <w:rPr>
          <w:szCs w:val="32"/>
        </w:rPr>
        <w:t>2025年度决算支出</w:t>
      </w:r>
      <w:r>
        <w:rPr>
          <w:rFonts w:hint="default"/>
          <w:szCs w:val="32"/>
        </w:rPr>
        <w:t>865.48万元，其中：基本支出572.07万元，占比66.10%（人员经费535.97万元，公用经费36.10万元）；项目支出293.41万元，占比33.90%。按经济分类：工资福利支出528.01万元，商品和服务支出328.31万元，对个人和家庭的补助7.96万元，资本性支出1.20万元</w:t>
      </w:r>
      <w:r>
        <w:rPr>
          <w:rFonts w:hint="eastAsia"/>
          <w:szCs w:val="32"/>
          <w:lang w:val="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区委宣传部</w:t>
      </w:r>
      <w:r>
        <w:rPr>
          <w:szCs w:val="32"/>
        </w:rPr>
        <w:t>202</w:t>
      </w:r>
      <w:r>
        <w:rPr>
          <w:rFonts w:hint="eastAsia"/>
          <w:szCs w:val="32"/>
          <w:lang w:val="en-US" w:eastAsia="zh-CN"/>
        </w:rPr>
        <w:t>5</w:t>
      </w:r>
      <w:r>
        <w:rPr>
          <w:rFonts w:hint="eastAsia"/>
          <w:szCs w:val="32"/>
          <w:lang w:eastAsia="zh-CN"/>
        </w:rPr>
        <w:t>年度</w:t>
      </w:r>
      <w:r>
        <w:rPr>
          <w:szCs w:val="32"/>
        </w:rPr>
        <w:t>决算报表</w:t>
      </w:r>
      <w:r>
        <w:rPr>
          <w:rFonts w:hint="eastAsia"/>
          <w:szCs w:val="32"/>
          <w:lang w:eastAsia="zh-CN"/>
        </w:rPr>
        <w:t>无</w:t>
      </w:r>
      <w:r>
        <w:rPr>
          <w:color w:val="000000"/>
          <w:kern w:val="0"/>
          <w:szCs w:val="32"/>
          <w:shd w:val="clear" w:color="auto" w:fill="FFFFFF"/>
        </w:rPr>
        <w:t>结转结余。</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360" w:lineRule="auto"/>
        <w:ind w:firstLine="642"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szCs w:val="32"/>
        </w:rPr>
      </w:pPr>
      <w:r>
        <w:rPr>
          <w:rFonts w:hint="default"/>
          <w:szCs w:val="32"/>
        </w:rPr>
        <w:t>2025年，区委宣传部紧紧围绕区委、区政府中心工作，扎实履行各项核心职能，主要事业成效如下：</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 w:hAnsi="仿宋" w:eastAsia="仿宋" w:cs="仿宋"/>
          <w:b/>
          <w:bCs/>
          <w:sz w:val="32"/>
          <w:szCs w:val="32"/>
          <w:lang w:eastAsia="zh-CN"/>
        </w:rPr>
      </w:pPr>
      <w:r>
        <w:rPr>
          <w:rFonts w:hint="eastAsia" w:ascii="仿宋" w:hAnsi="仿宋" w:eastAsia="仿宋" w:cs="仿宋"/>
          <w:b/>
          <w:bCs/>
          <w:color w:val="000000"/>
          <w:sz w:val="32"/>
          <w:szCs w:val="32"/>
          <w:lang w:val="en-US" w:eastAsia="zh-CN"/>
        </w:rPr>
        <w:t>（1）筑牢组织基石，</w:t>
      </w:r>
      <w:r>
        <w:rPr>
          <w:rFonts w:hint="eastAsia" w:ascii="仿宋" w:hAnsi="仿宋" w:eastAsia="仿宋" w:cs="仿宋"/>
          <w:b/>
          <w:bCs/>
          <w:sz w:val="32"/>
          <w:szCs w:val="32"/>
          <w:lang w:eastAsia="zh-CN"/>
        </w:rPr>
        <w:t>理论研究入脑入心</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一是理论学习深化实化。</w:t>
      </w:r>
      <w:r>
        <w:rPr>
          <w:rFonts w:hint="default" w:ascii="仿宋_GB2312" w:hAnsi="仿宋_GB2312" w:eastAsia="仿宋_GB2312" w:cs="仿宋_GB2312"/>
          <w:sz w:val="32"/>
          <w:szCs w:val="32"/>
          <w:lang w:val="en-US" w:eastAsia="zh-CN"/>
        </w:rPr>
        <w:t>坚定</w:t>
      </w:r>
      <w:r>
        <w:rPr>
          <w:rFonts w:hint="eastAsia" w:ascii="仿宋_GB2312" w:hAnsi="仿宋_GB2312" w:cs="仿宋_GB2312"/>
          <w:sz w:val="32"/>
          <w:szCs w:val="32"/>
          <w:lang w:val="en-US" w:eastAsia="zh-CN"/>
        </w:rPr>
        <w:t>用</w:t>
      </w:r>
      <w:r>
        <w:rPr>
          <w:rFonts w:hint="default" w:ascii="仿宋_GB2312" w:hAnsi="仿宋_GB2312" w:eastAsia="仿宋_GB2312" w:cs="仿宋_GB2312"/>
          <w:sz w:val="32"/>
          <w:szCs w:val="32"/>
          <w:lang w:val="en-US" w:eastAsia="zh-CN"/>
        </w:rPr>
        <w:t>习近平新时代中国特色社会主义思想凝心铸魂，印发《2025年度区委理论学习中心组安排意见》，全年开展区委理论学习中心组集中学习9次。</w:t>
      </w:r>
      <w:r>
        <w:rPr>
          <w:rFonts w:hint="default" w:ascii="仿宋_GB2312" w:hAnsi="仿宋_GB2312" w:eastAsia="仿宋_GB2312" w:cs="仿宋_GB2312"/>
          <w:b/>
          <w:bCs/>
          <w:sz w:val="32"/>
          <w:szCs w:val="32"/>
          <w:lang w:val="en-US" w:eastAsia="zh-CN"/>
        </w:rPr>
        <w:t>二是理论宣传广泛深入。</w:t>
      </w:r>
      <w:r>
        <w:rPr>
          <w:rFonts w:hint="default" w:ascii="仿宋_GB2312" w:hAnsi="仿宋_GB2312" w:eastAsia="仿宋_GB2312" w:cs="仿宋_GB2312"/>
          <w:sz w:val="32"/>
          <w:szCs w:val="32"/>
          <w:lang w:val="en-US" w:eastAsia="zh-CN"/>
        </w:rPr>
        <w:t>持续打造“苏铁花开”基层理论宣讲品牌，构建“1+6+N”区、镇（街道）、村（社区）三级联动宣讲格局，开展对象化、分众化精神宣讲260余场次。</w:t>
      </w:r>
      <w:r>
        <w:rPr>
          <w:rFonts w:hint="default" w:ascii="仿宋_GB2312" w:hAnsi="仿宋_GB2312" w:eastAsia="仿宋_GB2312" w:cs="仿宋_GB2312"/>
          <w:b/>
          <w:bCs/>
          <w:sz w:val="32"/>
          <w:szCs w:val="32"/>
          <w:lang w:val="en-US" w:eastAsia="zh-CN"/>
        </w:rPr>
        <w:t>三是理论研究初见成效。</w:t>
      </w:r>
      <w:r>
        <w:rPr>
          <w:rFonts w:hint="default" w:ascii="仿宋_GB2312" w:hAnsi="仿宋_GB2312" w:eastAsia="仿宋_GB2312" w:cs="仿宋_GB2312"/>
          <w:sz w:val="32"/>
          <w:szCs w:val="32"/>
          <w:lang w:val="en-US" w:eastAsia="zh-CN"/>
        </w:rPr>
        <w:t>聚焦城乡融合发展等重大课题，征集论文12篇，其中1篇获市委宣传部、市社科联二等奖，2篇获三等奖</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default"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（2）</w:t>
      </w:r>
      <w:r>
        <w:rPr>
          <w:rFonts w:hint="default" w:ascii="仿宋" w:hAnsi="仿宋" w:eastAsia="仿宋" w:cs="仿宋"/>
          <w:b/>
          <w:bCs/>
          <w:color w:val="000000"/>
          <w:sz w:val="32"/>
          <w:szCs w:val="32"/>
          <w:lang w:val="en-US" w:eastAsia="zh-CN"/>
        </w:rPr>
        <w:t>狠抓责任落实，意识形态领域稳步向好</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default" w:ascii="仿宋" w:hAnsi="仿宋" w:eastAsia="仿宋" w:cs="仿宋"/>
          <w:b/>
          <w:bCs/>
          <w:color w:val="000000"/>
          <w:sz w:val="32"/>
          <w:szCs w:val="32"/>
          <w:lang w:val="en-US" w:eastAsia="zh-CN"/>
        </w:rPr>
        <w:t>一是意识形态责任进一步落实。</w:t>
      </w:r>
      <w:r>
        <w:rPr>
          <w:rFonts w:hint="default" w:ascii="仿宋" w:hAnsi="仿宋" w:eastAsia="仿宋" w:cs="仿宋"/>
          <w:b w:val="0"/>
          <w:bCs w:val="0"/>
          <w:color w:val="000000"/>
          <w:sz w:val="32"/>
          <w:szCs w:val="32"/>
          <w:lang w:val="en-US" w:eastAsia="zh-CN"/>
        </w:rPr>
        <w:t>区委常委会专题研究意识形态工作1次，牵头召开意识形态分析会3次，将意识形态纳入区</w:t>
      </w:r>
      <w:r>
        <w:rPr>
          <w:rFonts w:hint="default" w:ascii="仿宋_GB2312" w:hAnsi="仿宋_GB2312" w:eastAsia="仿宋_GB2312" w:cs="仿宋_GB2312"/>
          <w:b w:val="0"/>
          <w:bCs w:val="0"/>
          <w:i w:val="0"/>
          <w:iCs w:val="0"/>
          <w:caps w:val="0"/>
          <w:color w:val="000000"/>
          <w:spacing w:val="0"/>
          <w:sz w:val="32"/>
          <w:szCs w:val="32"/>
          <w:lang w:val="en-US" w:eastAsia="zh-CN"/>
        </w:rPr>
        <w:t>委巡察内容，并对141名拟提拔晋升干部进行意识形态责任落实情况考察。</w:t>
      </w:r>
      <w:r>
        <w:rPr>
          <w:rFonts w:hint="default" w:ascii="仿宋_GB2312" w:hAnsi="仿宋_GB2312" w:eastAsia="仿宋_GB2312" w:cs="仿宋_GB2312"/>
          <w:b/>
          <w:bCs/>
          <w:i w:val="0"/>
          <w:iCs w:val="0"/>
          <w:caps w:val="0"/>
          <w:color w:val="000000"/>
          <w:spacing w:val="0"/>
          <w:sz w:val="32"/>
          <w:szCs w:val="32"/>
          <w:lang w:val="en-US" w:eastAsia="zh-CN"/>
        </w:rPr>
        <w:t>二是意识形态阵地管理进一步加强。</w:t>
      </w:r>
      <w:r>
        <w:rPr>
          <w:rFonts w:hint="default" w:ascii="仿宋_GB2312" w:hAnsi="仿宋_GB2312" w:eastAsia="仿宋_GB2312" w:cs="仿宋_GB2312"/>
          <w:b w:val="0"/>
          <w:bCs w:val="0"/>
          <w:i w:val="0"/>
          <w:iCs w:val="0"/>
          <w:caps w:val="0"/>
          <w:color w:val="000000"/>
          <w:spacing w:val="0"/>
          <w:sz w:val="32"/>
          <w:szCs w:val="32"/>
          <w:lang w:val="en-US" w:eastAsia="zh-CN"/>
        </w:rPr>
        <w:t>举办深入学习贯彻习近平文化思想暨意识形态领域专题培训班，覆盖52人。</w:t>
      </w:r>
      <w:r>
        <w:rPr>
          <w:rFonts w:hint="default" w:ascii="仿宋_GB2312" w:hAnsi="仿宋_GB2312" w:eastAsia="仿宋_GB2312" w:cs="仿宋_GB2312"/>
          <w:b/>
          <w:bCs/>
          <w:i w:val="0"/>
          <w:iCs w:val="0"/>
          <w:caps w:val="0"/>
          <w:color w:val="000000"/>
          <w:spacing w:val="0"/>
          <w:sz w:val="32"/>
          <w:szCs w:val="32"/>
          <w:lang w:val="en-US" w:eastAsia="zh-CN"/>
        </w:rPr>
        <w:t>三是坚持实施网络舆情监测。</w:t>
      </w:r>
      <w:r>
        <w:rPr>
          <w:rFonts w:hint="default" w:ascii="仿宋_GB2312" w:hAnsi="仿宋_GB2312" w:eastAsia="仿宋_GB2312" w:cs="仿宋_GB2312"/>
          <w:b w:val="0"/>
          <w:bCs w:val="0"/>
          <w:i w:val="0"/>
          <w:iCs w:val="0"/>
          <w:caps w:val="0"/>
          <w:color w:val="000000"/>
          <w:spacing w:val="0"/>
          <w:sz w:val="32"/>
          <w:szCs w:val="32"/>
          <w:lang w:val="en-US" w:eastAsia="zh-CN"/>
        </w:rPr>
        <w:t>实施24小时全网舆情监测，监测并处置涉及西区负面舆情700余条，印发《舆情月报》11期、专报5篇。</w:t>
      </w:r>
      <w:r>
        <w:rPr>
          <w:rFonts w:hint="default" w:ascii="仿宋_GB2312" w:hAnsi="仿宋_GB2312" w:eastAsia="仿宋_GB2312" w:cs="仿宋_GB2312"/>
          <w:b/>
          <w:bCs/>
          <w:i w:val="0"/>
          <w:iCs w:val="0"/>
          <w:caps w:val="0"/>
          <w:color w:val="000000"/>
          <w:spacing w:val="0"/>
          <w:sz w:val="32"/>
          <w:szCs w:val="32"/>
          <w:lang w:val="en-US" w:eastAsia="zh-CN"/>
        </w:rPr>
        <w:t>四是持续开展网络环境整治。</w:t>
      </w:r>
      <w:r>
        <w:rPr>
          <w:rFonts w:hint="default" w:ascii="仿宋_GB2312" w:hAnsi="仿宋_GB2312" w:eastAsia="仿宋_GB2312" w:cs="仿宋_GB2312"/>
          <w:b w:val="0"/>
          <w:bCs w:val="0"/>
          <w:i w:val="0"/>
          <w:iCs w:val="0"/>
          <w:caps w:val="0"/>
          <w:color w:val="000000"/>
          <w:spacing w:val="0"/>
          <w:sz w:val="32"/>
          <w:szCs w:val="32"/>
          <w:lang w:val="en-US" w:eastAsia="zh-CN"/>
        </w:rPr>
        <w:t>结合“清朗”“天府清风”等专项行动，处置问题线索20余条。</w:t>
      </w:r>
      <w:r>
        <w:rPr>
          <w:rFonts w:hint="default" w:ascii="仿宋_GB2312" w:hAnsi="仿宋_GB2312" w:eastAsia="仿宋_GB2312" w:cs="仿宋_GB2312"/>
          <w:b/>
          <w:bCs/>
          <w:i w:val="0"/>
          <w:iCs w:val="0"/>
          <w:caps w:val="0"/>
          <w:color w:val="000000"/>
          <w:spacing w:val="0"/>
          <w:sz w:val="32"/>
          <w:szCs w:val="32"/>
          <w:lang w:val="en-US" w:eastAsia="zh-CN"/>
        </w:rPr>
        <w:t>五是严厉打击网络违法犯罪。</w:t>
      </w:r>
      <w:r>
        <w:rPr>
          <w:rFonts w:hint="default" w:ascii="仿宋_GB2312" w:hAnsi="仿宋_GB2312" w:eastAsia="仿宋_GB2312" w:cs="仿宋_GB2312"/>
          <w:b w:val="0"/>
          <w:bCs w:val="0"/>
          <w:i w:val="0"/>
          <w:iCs w:val="0"/>
          <w:caps w:val="0"/>
          <w:color w:val="000000"/>
          <w:spacing w:val="0"/>
          <w:sz w:val="32"/>
          <w:szCs w:val="32"/>
          <w:lang w:val="en-US" w:eastAsia="zh-CN"/>
        </w:rPr>
        <w:t>联合多部门办理网络相关案件9件，报送舆情信息200余条、网上不良信息1800余条。</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（3）加强宣传引导，弘扬宣传领域主流思想</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color w:val="000000"/>
          <w:kern w:val="0"/>
          <w:szCs w:val="32"/>
          <w:shd w:val="clear" w:color="auto" w:fill="FFFFFF"/>
          <w:lang w:val="en-US" w:eastAsia="zh-CN"/>
        </w:rPr>
      </w:pPr>
      <w:r>
        <w:rPr>
          <w:rFonts w:hint="eastAsia" w:ascii="仿宋" w:hAnsi="仿宋" w:eastAsia="仿宋" w:cs="仿宋"/>
          <w:b/>
          <w:bCs/>
          <w:color w:val="000000"/>
          <w:sz w:val="32"/>
          <w:szCs w:val="32"/>
          <w:lang w:val="en-US" w:eastAsia="zh-CN"/>
        </w:rPr>
        <w:t>一是固本强基，做优融媒主阵地。</w:t>
      </w:r>
      <w:r>
        <w:rPr>
          <w:rFonts w:hint="eastAsia"/>
          <w:color w:val="000000"/>
          <w:kern w:val="0"/>
          <w:szCs w:val="32"/>
          <w:shd w:val="clear" w:color="auto" w:fill="FFFFFF"/>
          <w:lang w:val="en-US" w:eastAsia="zh-CN"/>
        </w:rPr>
        <w:t>持续加强“三微一端”六大新媒体平台建设，对客户端实施“二级等保”安全测评，协同推进天府融媒联合体建设。二是守正创新，展现西区魅力。聚焦“攀西工业强区”和“山水灵秀新城”建设目标，推出20余个宣传专题。全年在国家级主流媒体刊发稿件463条、省级58条，央视播报4条，“学习强国”上稿336条（其中8条被国家总台采用），新华社采用51条。西区融媒推荐作品获四川省新媒体技能大赛优秀奖1个，《老车票》入选“学习强国”全国县级融媒体中心优秀作品。</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（4）加强文明建设，扎实推动精神文明创建。</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default" w:eastAsia="楷体_GB2312"/>
          <w:color w:val="000000"/>
          <w:kern w:val="0"/>
          <w:szCs w:val="32"/>
          <w:shd w:val="clear" w:color="auto" w:fill="FFFFFF"/>
          <w:lang w:val="en-US" w:eastAsia="zh-CN"/>
        </w:rPr>
      </w:pPr>
      <w:r>
        <w:rPr>
          <w:rFonts w:hint="eastAsia" w:ascii="仿宋" w:hAnsi="仿宋" w:eastAsia="仿宋" w:cs="仿宋"/>
          <w:b/>
          <w:bCs/>
          <w:color w:val="000000"/>
          <w:sz w:val="32"/>
          <w:szCs w:val="32"/>
          <w:lang w:val="en-US" w:eastAsia="zh-CN"/>
        </w:rPr>
        <w:t>一是常态化建设城市文明。</w:t>
      </w:r>
      <w:r>
        <w:rPr>
          <w:rFonts w:hint="eastAsia"/>
          <w:color w:val="000000"/>
          <w:kern w:val="0"/>
          <w:szCs w:val="32"/>
          <w:shd w:val="clear" w:color="auto" w:fill="FFFFFF"/>
          <w:lang w:val="en-US" w:eastAsia="zh-CN"/>
        </w:rPr>
        <w:t>坚持包保联创，召开指挥部工作推进会议、视频调度会12次，现场调研138次，整改问题80余个。对56个点位开展全覆盖排查，464项群众关注的热点难点问题得到有效解决。深化城市基础设施改造，更换人行道砖17800余平方米、施划停车位1200余个。</w:t>
      </w:r>
      <w:r>
        <w:rPr>
          <w:rFonts w:hint="eastAsia"/>
          <w:b/>
          <w:bCs/>
          <w:color w:val="000000"/>
          <w:kern w:val="0"/>
          <w:szCs w:val="32"/>
          <w:shd w:val="clear" w:color="auto" w:fill="FFFFFF"/>
          <w:lang w:val="en-US" w:eastAsia="zh-CN"/>
        </w:rPr>
        <w:t>二是认真培育各级文明细胞。</w:t>
      </w:r>
      <w:r>
        <w:rPr>
          <w:rFonts w:hint="eastAsia"/>
          <w:color w:val="000000"/>
          <w:kern w:val="0"/>
          <w:szCs w:val="32"/>
          <w:shd w:val="clear" w:color="auto" w:fill="FFFFFF"/>
          <w:lang w:val="en-US" w:eastAsia="zh-CN"/>
        </w:rPr>
        <w:t>开展全国文明单位、村镇、家庭的复查和新申报工作。</w:t>
      </w:r>
      <w:r>
        <w:rPr>
          <w:rFonts w:hint="eastAsia"/>
          <w:b/>
          <w:bCs/>
          <w:color w:val="000000"/>
          <w:kern w:val="0"/>
          <w:szCs w:val="32"/>
          <w:shd w:val="clear" w:color="auto" w:fill="FFFFFF"/>
          <w:lang w:val="en-US" w:eastAsia="zh-CN"/>
        </w:rPr>
        <w:t>三是提质升级文明实践阵地。</w:t>
      </w:r>
      <w:r>
        <w:rPr>
          <w:rFonts w:hint="eastAsia"/>
          <w:color w:val="000000"/>
          <w:kern w:val="0"/>
          <w:szCs w:val="32"/>
          <w:shd w:val="clear" w:color="auto" w:fill="FFFFFF"/>
          <w:lang w:val="en-US" w:eastAsia="zh-CN"/>
        </w:rPr>
        <w:t>开展全覆盖拉网式检查，完善各文明实践阵地设施设备配备，提升功能室使用率。</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（5）筑牢网络安全防线，守牢网络意识形态阵地。</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default"/>
          <w:color w:val="000000"/>
          <w:kern w:val="0"/>
          <w:szCs w:val="32"/>
          <w:shd w:val="clear" w:color="auto" w:fill="FFFFFF"/>
          <w:lang w:val="en-US" w:eastAsia="zh-CN"/>
        </w:rPr>
      </w:pPr>
      <w:r>
        <w:rPr>
          <w:rFonts w:hint="eastAsia" w:ascii="仿宋" w:hAnsi="仿宋" w:eastAsia="仿宋" w:cs="仿宋"/>
          <w:b/>
          <w:bCs/>
          <w:color w:val="000000"/>
          <w:sz w:val="32"/>
          <w:szCs w:val="32"/>
          <w:lang w:val="en-US" w:eastAsia="zh-CN"/>
        </w:rPr>
        <w:t>一是加强制度保障，明确工作方向。</w:t>
      </w:r>
      <w:r>
        <w:rPr>
          <w:rFonts w:hint="eastAsia"/>
          <w:color w:val="000000"/>
          <w:kern w:val="0"/>
          <w:szCs w:val="32"/>
          <w:shd w:val="clear" w:color="auto" w:fill="FFFFFF"/>
          <w:lang w:val="en-US" w:eastAsia="zh-CN"/>
        </w:rPr>
        <w:t>修订完善相关规章制度，制定下发《2025年攀枝花市西区网信工作要点》。</w:t>
      </w:r>
      <w:r>
        <w:rPr>
          <w:rFonts w:hint="eastAsia"/>
          <w:b/>
          <w:bCs/>
          <w:color w:val="000000"/>
          <w:kern w:val="0"/>
          <w:szCs w:val="32"/>
          <w:shd w:val="clear" w:color="auto" w:fill="FFFFFF"/>
          <w:lang w:val="en-US" w:eastAsia="zh-CN"/>
        </w:rPr>
        <w:t>二是加强统筹督办，压实工作责任。</w:t>
      </w:r>
      <w:r>
        <w:rPr>
          <w:rFonts w:hint="eastAsia"/>
          <w:color w:val="000000"/>
          <w:kern w:val="0"/>
          <w:szCs w:val="32"/>
          <w:shd w:val="clear" w:color="auto" w:fill="FFFFFF"/>
          <w:lang w:val="en-US" w:eastAsia="zh-CN"/>
        </w:rPr>
        <w:t>将网信工作纳入年度目标责任考核，作为干部考察的重要依据。</w:t>
      </w:r>
      <w:r>
        <w:rPr>
          <w:rFonts w:hint="eastAsia"/>
          <w:b/>
          <w:bCs/>
          <w:color w:val="000000"/>
          <w:kern w:val="0"/>
          <w:szCs w:val="32"/>
          <w:shd w:val="clear" w:color="auto" w:fill="FFFFFF"/>
          <w:lang w:val="en-US" w:eastAsia="zh-CN"/>
        </w:rPr>
        <w:t>三是认真学习会议精神，对准标准“抓落实”。</w:t>
      </w:r>
      <w:r>
        <w:rPr>
          <w:rFonts w:hint="eastAsia"/>
          <w:color w:val="000000"/>
          <w:kern w:val="0"/>
          <w:szCs w:val="32"/>
          <w:shd w:val="clear" w:color="auto" w:fill="FFFFFF"/>
          <w:lang w:val="en-US" w:eastAsia="zh-CN"/>
        </w:rPr>
        <w:t>及时传达学习上级重要会议精神，坚决贯彻落实重大决策部署。</w:t>
      </w:r>
      <w:r>
        <w:rPr>
          <w:rFonts w:hint="eastAsia"/>
          <w:b/>
          <w:bCs/>
          <w:color w:val="000000"/>
          <w:kern w:val="0"/>
          <w:szCs w:val="32"/>
          <w:shd w:val="clear" w:color="auto" w:fill="FFFFFF"/>
          <w:lang w:val="en-US" w:eastAsia="zh-CN"/>
        </w:rPr>
        <w:t>四是认真组织宣传活动。</w:t>
      </w:r>
      <w:r>
        <w:rPr>
          <w:rFonts w:hint="eastAsia"/>
          <w:color w:val="000000"/>
          <w:kern w:val="0"/>
          <w:szCs w:val="32"/>
          <w:shd w:val="clear" w:color="auto" w:fill="FFFFFF"/>
          <w:lang w:val="en-US" w:eastAsia="zh-CN"/>
        </w:rPr>
        <w:t>联合多部门开展国家网络安全宣传周、网络举报辟谣宣传周等宣传教育活动。</w:t>
      </w:r>
      <w:r>
        <w:rPr>
          <w:rFonts w:hint="eastAsia"/>
          <w:b/>
          <w:bCs/>
          <w:color w:val="000000"/>
          <w:kern w:val="0"/>
          <w:szCs w:val="32"/>
          <w:shd w:val="clear" w:color="auto" w:fill="FFFFFF"/>
          <w:lang w:val="en-US" w:eastAsia="zh-CN"/>
        </w:rPr>
        <w:t>五是广泛开展社会宣传。</w:t>
      </w:r>
      <w:r>
        <w:rPr>
          <w:rFonts w:hint="eastAsia"/>
          <w:color w:val="000000"/>
          <w:kern w:val="0"/>
          <w:szCs w:val="32"/>
          <w:shd w:val="clear" w:color="auto" w:fill="FFFFFF"/>
          <w:lang w:val="en-US" w:eastAsia="zh-CN"/>
        </w:rPr>
        <w:t>结合重点工作，开展各类社会宣传30余次。</w:t>
      </w:r>
      <w:r>
        <w:rPr>
          <w:rFonts w:hint="eastAsia"/>
          <w:b/>
          <w:bCs/>
          <w:color w:val="000000"/>
          <w:kern w:val="0"/>
          <w:szCs w:val="32"/>
          <w:shd w:val="clear" w:color="auto" w:fill="FFFFFF"/>
          <w:lang w:val="en-US" w:eastAsia="zh-CN"/>
        </w:rPr>
        <w:t>六是加强网络风险自查评估。</w:t>
      </w:r>
      <w:r>
        <w:rPr>
          <w:rFonts w:hint="eastAsia"/>
          <w:color w:val="000000"/>
          <w:kern w:val="0"/>
          <w:szCs w:val="32"/>
          <w:shd w:val="clear" w:color="auto" w:fill="FFFFFF"/>
          <w:lang w:val="en-US" w:eastAsia="zh-CN"/>
        </w:rPr>
        <w:t>开展网络安全、数据安全管理风险自查评估，开展“指尖上的形式主义”专项整治</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（6）加强自身建设，履职基础不断夯实。</w:t>
      </w:r>
    </w:p>
    <w:p>
      <w:pPr>
        <w:keepNext w:val="0"/>
        <w:keepLines w:val="0"/>
        <w:pageBreakBefore w:val="0"/>
        <w:kinsoku/>
        <w:wordWrap/>
        <w:overflowPunct/>
        <w:topLinePunct w:val="0"/>
        <w:autoSpaceDE/>
        <w:autoSpaceDN/>
        <w:bidi w:val="0"/>
        <w:adjustRightInd/>
        <w:snapToGrid/>
        <w:spacing w:line="360" w:lineRule="auto"/>
        <w:ind w:firstLine="642" w:firstLineChars="200"/>
        <w:contextualSpacing/>
        <w:textAlignment w:val="auto"/>
        <w:rPr>
          <w:rFonts w:hint="eastAsia" w:eastAsia="楷体_GB2312"/>
          <w:color w:val="000000"/>
          <w:kern w:val="0"/>
          <w:szCs w:val="32"/>
          <w:shd w:val="clear" w:color="auto" w:fill="FFFFFF"/>
          <w:lang w:val="en-US" w:eastAsia="zh-CN"/>
        </w:rPr>
      </w:pPr>
      <w:r>
        <w:rPr>
          <w:rFonts w:hint="eastAsia" w:ascii="仿宋" w:hAnsi="仿宋" w:eastAsia="仿宋" w:cs="仿宋"/>
          <w:b/>
          <w:bCs/>
          <w:color w:val="000000"/>
          <w:sz w:val="32"/>
          <w:szCs w:val="32"/>
          <w:lang w:val="en-US" w:eastAsia="zh-CN"/>
        </w:rPr>
        <w:t>一是加强党对宣传工作的全面领导。</w:t>
      </w:r>
      <w:r>
        <w:rPr>
          <w:rFonts w:hint="eastAsia"/>
          <w:color w:val="000000"/>
          <w:kern w:val="0"/>
          <w:szCs w:val="32"/>
          <w:shd w:val="clear" w:color="auto" w:fill="FFFFFF"/>
          <w:lang w:val="en-US" w:eastAsia="zh-CN"/>
        </w:rPr>
        <w:t>深入学习宣传贯彻习近平文化思想，增强拥护“两个确立”、做到“两个维护”的思想自觉、行动自觉。</w:t>
      </w:r>
      <w:r>
        <w:rPr>
          <w:rFonts w:hint="eastAsia"/>
          <w:b/>
          <w:bCs/>
          <w:color w:val="000000"/>
          <w:kern w:val="0"/>
          <w:szCs w:val="32"/>
          <w:shd w:val="clear" w:color="auto" w:fill="FFFFFF"/>
          <w:lang w:val="en-US" w:eastAsia="zh-CN"/>
        </w:rPr>
        <w:t>二是持之以恒推进党风廉政建设和作风建设。</w:t>
      </w:r>
      <w:r>
        <w:rPr>
          <w:rFonts w:hint="eastAsia"/>
          <w:color w:val="000000"/>
          <w:kern w:val="0"/>
          <w:szCs w:val="32"/>
          <w:shd w:val="clear" w:color="auto" w:fill="FFFFFF"/>
          <w:lang w:val="en-US" w:eastAsia="zh-CN"/>
        </w:rPr>
        <w:t>定期听取班子成员落实党风廉政建设工作汇报，严格落实重要节点谈心谈话、廉政提醒制度，持续纠治“四风”。</w:t>
      </w:r>
      <w:r>
        <w:rPr>
          <w:rFonts w:hint="eastAsia"/>
          <w:b/>
          <w:bCs/>
          <w:color w:val="000000"/>
          <w:kern w:val="0"/>
          <w:szCs w:val="32"/>
          <w:shd w:val="clear" w:color="auto" w:fill="FFFFFF"/>
          <w:lang w:val="en-US" w:eastAsia="zh-CN"/>
        </w:rPr>
        <w:t>三是队伍活力不断提升。</w:t>
      </w:r>
      <w:r>
        <w:rPr>
          <w:rFonts w:hint="eastAsia"/>
          <w:color w:val="000000"/>
          <w:kern w:val="0"/>
          <w:szCs w:val="32"/>
          <w:shd w:val="clear" w:color="auto" w:fill="FFFFFF"/>
          <w:lang w:val="en-US" w:eastAsia="zh-CN"/>
        </w:rPr>
        <w:t>引入1名硕士研究生，推荐提拔4名科级干部，职级晋升2人，干部队伍结构不断优化。</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区委宣传部严格按照“二上二下”的预算编制流程，组织各业务股室根据年度工作计划和人员经费需求，逐项测算并申报预算。财务室对各股室申报的预算进行汇总审核，确保各项支出符合财政规定，经部务会审议通过后报区财政局。年初预算收入811.60万元，全年预算调整为865.48万元，预决算差异率6.64%，主要因年中追加了上级转移支付项目资金。预算编制基本做到了应编尽编，但在项目支出的精细化测算方面仍有提升空间。</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我单位建立了较为完善的财务管理制度体系，主要包括《财务管理办法》《预算管理制度》《收支管理制度》《政府采购管理制度》《合同管理制度》等，对各项财务活动进行了规范。在岗位设置上，严格按照不相容岗位相互分离的原则，分别设置会计岗、出纳岗、资产管理员岗、采购经办岗，财务审批由分管财务的部领导负责，重大资金支出经部务会集体研究决定。在资金使用上，严格执行“先审批、后支出”的程序，所有支出均需经过经办人、股室负责人、财务审核、分管领导、主要领导逐级审批后方可支付。在会计核算上，严格执行政府会计准则制度，做到日清月结、账实相符。在内部监督上，每季度开展一次财务自查，每年接受审计部门审计检查。2025年度无违规违纪现象</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我单位按照《行政事业性国有资产管理条例》及财政部门要求，建立了“统一领导、归口管理、专人负责”的资产管理机制。由办公室作为资产归口管理部门，指定专人担任资产管理员，负责资产的购置审核、验收入库、登记建卡、领用登记、盘点清查、报废处置等全流程管理。各业务股室负责本股室资产的日常使用和保管。在资产购置环节，坚持“先调剂、后配置”原则，优先通过内部调剂满足需求，确需购置的按程序报批。在资产使用环节，建立资产领用台账，做到“一物一卡”，每半年开展一次全面盘点，确保账实相符。在资产处置环节，严格按照规定履行评估、报批、公开处置等程序。截至2025年末，我单位固定资产中车辆原值28.98万元（公务用车保有量1辆），银行存款年末余额15.63万元，无房屋资产，资产账实相符，管理规范。</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我单位严格按照《中华人民共和国政府采购法》及西区政府采购相关管理规定开展采购工作。在预算编制阶段，各业务股室根据年度工作需要申报采购需求，财务室汇总审核后编制政府采购预算，确保“无预算不采购”。在采购实施阶段，严格按照规定的方式和程序组织采购，单项或批量采购金额达到公开招标限额标准的，一律实行公开招标；限额以下的，根据实际情况采用竞争性谈判、询价或网上竞价等方式。在合同管理阶段，采购完成后及时签订合同，明确双方权利和义务，并按规定在政府采购平台进行合同公示。在验收结算阶段，成立由使用股室、财务室、分管领导组成的验收小组，对采购标的物的数量、质量、技术参数等进行逐项核对，验收合格后方可办理资金支付。2025年，我单位政府采购支出合计1.87万元，全部为政府采购服务支出，授予中小企业合同金额1.87万元（其中授予小微企业0.97万元），采购程序规范，档案资料齐全，未发生投诉或违规情形</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rPr>
      </w:pPr>
      <w:r>
        <w:rPr>
          <w:rFonts w:hint="eastAsia"/>
          <w:color w:val="000000"/>
          <w:kern w:val="0"/>
          <w:szCs w:val="32"/>
          <w:shd w:val="clear" w:color="auto" w:fill="FFFFFF"/>
        </w:rPr>
        <w:t>2025年，我单位共有运转类—其他运转类和特定目标类项目14个，涉及项目支出决算总额293.41万元。所有项目均已完成，无年末结转结余</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rPr>
        <w:t>常年项目绩效分析。</w:t>
      </w:r>
      <w:r>
        <w:rPr>
          <w:color w:val="000000"/>
          <w:kern w:val="0"/>
          <w:szCs w:val="32"/>
          <w:shd w:val="clear" w:color="auto" w:fill="FFFFFF"/>
          <w:lang w:val="zh-CN"/>
        </w:rPr>
        <w:t>该类项目总数</w:t>
      </w:r>
      <w:r>
        <w:rPr>
          <w:rFonts w:hint="eastAsia"/>
          <w:color w:val="000000"/>
          <w:kern w:val="0"/>
          <w:szCs w:val="32"/>
          <w:shd w:val="clear" w:color="auto" w:fill="FFFFFF"/>
          <w:lang w:val="en-US" w:eastAsia="zh-CN"/>
        </w:rPr>
        <w:t>5</w:t>
      </w:r>
      <w:r>
        <w:rPr>
          <w:color w:val="000000"/>
          <w:kern w:val="0"/>
          <w:szCs w:val="32"/>
          <w:shd w:val="clear" w:color="auto" w:fill="FFFFFF"/>
          <w:lang w:val="zh-CN"/>
        </w:rPr>
        <w:t>个，涉及预算总金额</w:t>
      </w:r>
      <w:r>
        <w:rPr>
          <w:rFonts w:hint="eastAsia"/>
          <w:color w:val="000000"/>
          <w:kern w:val="0"/>
          <w:szCs w:val="32"/>
          <w:shd w:val="clear" w:color="auto" w:fill="FFFFFF"/>
          <w:lang w:val="en-US" w:eastAsia="zh-CN"/>
        </w:rPr>
        <w:t>194.67</w:t>
      </w:r>
      <w:r>
        <w:rPr>
          <w:color w:val="000000"/>
          <w:kern w:val="0"/>
          <w:szCs w:val="32"/>
          <w:shd w:val="clear" w:color="auto" w:fill="FFFFFF"/>
          <w:lang w:val="zh-CN"/>
        </w:rPr>
        <w:t>万元，</w:t>
      </w:r>
      <w:r>
        <w:rPr>
          <w:rFonts w:hint="eastAsia"/>
          <w:color w:val="000000"/>
          <w:kern w:val="0"/>
          <w:szCs w:val="32"/>
          <w:shd w:val="clear" w:color="auto" w:fill="FFFFFF"/>
          <w:lang w:val="zh-CN"/>
        </w:rPr>
        <w:t>具体包括：媒体合作费90.00万元、融媒体中心运行维护费55.78万元、新闻出版经费23.80万元、精神文明建设及文化发展服务费9.85万元、意识形态工作经费15.24万元。1至12月预算执行总体进度为100%，所有项目均按计划完成支出，无预算结余，无结余率大于10%的项目</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rPr>
        <w:t>该类项目指有明确实施期限或一次性完成的工作任务。2025年，我单位阶段及一次性项目共计9个，涉及预算总金额98.74万元，具体包括：四川省文化产业发展专项资金50.00万元、创建文明城市工作经费14.59万元、创建共同富裕试验区专项12.99万元、网络安全和信息化工作经费10.00万元、争取资金工作经费6.00万元、文联工作经费2.85万元、中央支持地方公共文化服务体系建设补助资金1.20万元、省文联文艺志愿服务惠民演出活动工作经费1.19万元。1至12月预算执行总体进度为100%，所有项目均按计划完成支出，无预算结余，无结余率大于10%的项目</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上述项目依据年度宣传思想文化重点工作任务设立。媒体合作费主要用于与中央、省市级主流媒体开展合作，提升西区对外影响力；融媒体中心运行维护费主要用于保障“看西区”APP及“三微一端”平台稳定运行；四川省文化产业发展专项资金主要用于支持辖区文化产业发展；新闻出版经费主要用于加强新闻出版行政管理；创建文明城市工作经费主要用于推进文明城市创建及点位整治；创建共同富裕试验区专项主要用于精神共富场景打造及案例研究；其余项目分别用于精神文明建设、意识形态、文联工作、网络安全、公共文化服务等专项工作。所有项目设立均履行了评估论证程序，绩效目标与预算资金匹配，决策程序规范。</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所有项目均按计划在2025年1至12月实施完毕，资金拨付严格执行审批程序，专款专用，使用规范。项目支出决算总额293.41万元，与全年预算数一致，预算执行率达到100%，无结转结余资金。</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rPr>
      </w:pP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媒体合作费按合同约定完成支付90.00万元，与多家主流媒体建立合作关系；融媒体中心运行维护费足额用于平台日常运维及安全测评，确保了各新媒体平台全年安全稳定运行；四川省文化产业发展专项资金50.00万元全额拨付至项目实施单位；新闻出版经费23.80万元全部用于新闻出版行业管理及版权保护工作；创建文明城市工作经费14.59万元用于创文宣传、点位整治及志愿服务；创建共同富裕试验区专项12.99万元用于精神共富场景打造及案例研究；精神文明建设及文化发展服务费9.85万元用于精神文明建设活动及文化服务；中央支持地方公共文化服务体系建设补助资金1.20万元用于新时代文明实践阵地建设；其余意识形态工作经费、文联工作经费、网络安全和信息化工作经费、争取资金工作经费、省文联文艺志愿服务惠民演出活动工作经费等项目，均按计划完成了支出。</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2025年区委宣传部</w:t>
      </w:r>
      <w:r>
        <w:rPr>
          <w:rFonts w:hint="eastAsia"/>
          <w:szCs w:val="32"/>
          <w:lang w:eastAsia="zh-CN"/>
        </w:rPr>
        <w:t>预算</w:t>
      </w:r>
      <w:r>
        <w:rPr>
          <w:rFonts w:hint="eastAsia"/>
          <w:szCs w:val="32"/>
        </w:rPr>
        <w:t>资金</w:t>
      </w:r>
      <w:r>
        <w:rPr>
          <w:rFonts w:hint="eastAsia"/>
          <w:szCs w:val="32"/>
          <w:lang w:val="en-US" w:eastAsia="zh-CN"/>
        </w:rPr>
        <w:t>1010.76</w:t>
      </w:r>
      <w:r>
        <w:rPr>
          <w:rFonts w:hint="eastAsia"/>
          <w:szCs w:val="32"/>
        </w:rPr>
        <w:t>万元由</w:t>
      </w:r>
      <w:r>
        <w:rPr>
          <w:rFonts w:hint="eastAsia"/>
          <w:szCs w:val="32"/>
          <w:lang w:eastAsia="zh-CN"/>
        </w:rPr>
        <w:t>区</w:t>
      </w:r>
      <w:r>
        <w:rPr>
          <w:rFonts w:hint="eastAsia"/>
          <w:szCs w:val="32"/>
        </w:rPr>
        <w:t>财政局纳入一体化管理平台统一管理，专款专用，资金拨付执行审批程序，使用规范，入账手续齐全。</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2025年，我单位各项目支出均严格按照预算批复执行，资金使用规范，未出现超预算情况。通过媒体合作费、融媒体中心运行维护费等项目的实施，有效保障了全区新闻宣传工作的顺利开展，提升了西区对外知名度和美誉度，为区域招商引资、文旅产业发展营造了良好舆论环境，间接促进了地方经济发展。四川省文化产业发展专项资金50.00万元全额拨付至项目实施单位，支持了辖区文化产业发展，带动了相关文化企业的经营投入。所有项目支出均控制在预算范围内，资金使用效益良好。</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通过媒体合作及融媒体运维，全年在国家级主流媒体刊发稿件463条、省级58条，央视播报4条，“学习强国”上稿336条（其中8条被国家总台采用），有效传播了西区声音，提升了西区形象。通过创建文明城市工作，完成56个点位全覆盖排查，解决群众关注的热点难点问题464项，更换人行道砖17800余平方米、施划停车位1200余个，城市基础设施得到有效改善，市民文明素养进一步提升。通过创建共同富裕试验区专项，打造精神共富场景，推动了共同富裕理论创新和实践探索。通过意识形态和网络安全工作，有效维护了全区意识形态领域安全稳定，营造了清朗的网络空间。各项工作的开展，有</w:t>
      </w:r>
      <w:r>
        <w:rPr>
          <w:rFonts w:hint="eastAsia"/>
          <w:szCs w:val="32"/>
          <w:lang w:eastAsia="zh-CN"/>
        </w:rPr>
        <w:t>力地</w:t>
      </w:r>
      <w:r>
        <w:rPr>
          <w:rFonts w:hint="eastAsia"/>
          <w:szCs w:val="32"/>
        </w:rPr>
        <w:t>促进了社会进步和人民生活水平的提高，顺利完成年度工作任务，达到预期目标。</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我单位各项目有序开展，整体支出平稳，较好地实现了社会效益和可持续效益目标。融媒体平台安全运维机制、创文常态化工作机制、意识形态风险研判机制等已建立健全，为后续工作的持续开展奠定了基础。项目资金投入形成了长期有效的宣传阵地和文明创建成果，对今后年度的宣传思想文化工作具有持续的支撑作用。各项目的实施效果将在未来较长时间内持续发挥积极作用</w:t>
      </w:r>
      <w:r>
        <w:rPr>
          <w:szCs w:val="32"/>
        </w:rPr>
        <w:t>。</w:t>
      </w:r>
    </w:p>
    <w:p>
      <w:pPr>
        <w:keepNext w:val="0"/>
        <w:keepLines w:val="0"/>
        <w:pageBreakBefore w:val="0"/>
        <w:kinsoku/>
        <w:wordWrap/>
        <w:overflowPunct/>
        <w:topLinePunct w:val="0"/>
        <w:autoSpaceDE/>
        <w:autoSpaceDN/>
        <w:bidi w:val="0"/>
        <w:snapToGrid w:val="0"/>
        <w:spacing w:line="360" w:lineRule="auto"/>
        <w:ind w:firstLine="642"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本单位所有开支均按照财务管理制度执行，资金的使用严格把关，机关的日常工作运行基本得到保障。绩效评价对全年工作目标起到积极的促进作用。强调部门目标的层层分解与传递以明确岗位职责提高执行力，为明年的工作开展及实施奠定坚实的基础。我单位将绩效自评结果运用到下一年工作的统筹安排、项目资金划拨及按照工作任务的重要性来明确资金使用上，以提高工作效率保质保量完成区委、区政府交办的各项工作任务。在绩效自评工作完成后将结果放在攀枝花市西区人民政府网站政务公开栏目中公开公示。</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2025年，区委宣传部预算执行进度符合要求，资金使用规范，履职效能显著，较好地完成了年初设定的各项绩效目标。根据决算量化评价表得分（98.5分），自评等级为“优秀”。</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642"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szCs w:val="32"/>
          <w:lang w:val="en-US" w:eastAsia="zh-CN"/>
        </w:rPr>
      </w:pPr>
      <w:r>
        <w:rPr>
          <w:rFonts w:hint="default" w:eastAsia="楷体_GB2312"/>
          <w:b w:val="0"/>
          <w:bCs w:val="0"/>
          <w:color w:val="000000"/>
          <w:kern w:val="0"/>
          <w:szCs w:val="32"/>
          <w:shd w:val="clear" w:color="auto" w:fill="FFFFFF"/>
          <w:lang w:val="en-US" w:eastAsia="zh-CN"/>
        </w:rPr>
        <w:t>一是预算编制精准度有待提</w:t>
      </w:r>
      <w:r>
        <w:rPr>
          <w:rFonts w:hint="default"/>
          <w:szCs w:val="32"/>
          <w:lang w:val="en-US" w:eastAsia="zh-CN"/>
        </w:rPr>
        <w:t>高：年初预算与年终决算存在一定差异（如文化旅游体育与传媒支出年初无预算，决算支出52.06万元），主要由于部分上级专项转移支付资金无法在年初准确预计；二是公用经费压减空间需进一步挖掘：本年公用经费决算数36.10万元，较年初预算59.31万元有所压减，但部分科目如差旅费等仍可进一步厉行节约</w:t>
      </w:r>
      <w:r>
        <w:rPr>
          <w:rFonts w:hint="eastAsia"/>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2"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0" w:name="_Hlk110546638"/>
    </w:p>
    <w:bookmarkEnd w:id="0"/>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1.提升预算编制科学性：加强对各项支出需求的测算，提高年初预算到位率，减少预算执行中的调整。</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2.深化绩效管理：将绩效评价结果与预算安排挂钩，形成反馈机制，切实提高财政资金使用效益。</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3.持续厉行节约：严格控制“三公”经费及会议费、培训费等一般性支出，降低行政运行成本。</w:t>
      </w:r>
    </w:p>
    <w:p>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pPr>
        <w:keepNext w:val="0"/>
        <w:keepLines w:val="0"/>
        <w:pageBreakBefore w:val="0"/>
        <w:kinsoku/>
        <w:wordWrap/>
        <w:overflowPunct/>
        <w:topLinePunct w:val="0"/>
        <w:autoSpaceDE/>
        <w:autoSpaceDN/>
        <w:bidi w:val="0"/>
        <w:spacing w:line="360" w:lineRule="auto"/>
        <w:ind w:firstLine="1600" w:firstLineChars="500"/>
        <w:textAlignment w:val="auto"/>
        <w:rPr>
          <w:rFonts w:eastAsia="黑体"/>
        </w:rPr>
      </w:pPr>
      <w:r>
        <w:rPr>
          <w:rFonts w:hint="eastAsia"/>
          <w:szCs w:val="32"/>
          <w:lang w:bidi="ar"/>
        </w:rPr>
        <w:t>2.</w:t>
      </w:r>
      <w:r>
        <w:rPr>
          <w:color w:val="000000"/>
          <w:kern w:val="0"/>
          <w:szCs w:val="32"/>
          <w:shd w:val="clear" w:color="auto" w:fill="FFFFFF"/>
        </w:rPr>
        <w:t>部门整体绩效目标完成情况自评表</w:t>
      </w: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Arial Unicode MS"/>
          <w:color w:val="000000"/>
          <w:kern w:val="0"/>
          <w:sz w:val="44"/>
          <w:szCs w:val="44"/>
          <w:lang w:bidi="ar"/>
        </w:rPr>
      </w:pPr>
      <w:r>
        <w:rPr>
          <w:rFonts w:hint="eastAsia" w:eastAsia="Arial Unicode MS"/>
          <w:color w:val="000000"/>
          <w:kern w:val="0"/>
          <w:sz w:val="44"/>
          <w:szCs w:val="44"/>
          <w:lang w:bidi="ar"/>
        </w:rPr>
        <w:t>部门预算绩效自评打分表</w:t>
      </w:r>
    </w:p>
    <w:tbl>
      <w:tblPr>
        <w:tblStyle w:val="16"/>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w:t>
            </w:r>
            <w:r>
              <w:rPr>
                <w:rFonts w:hint="eastAsia" w:ascii="黑体" w:hAnsi="宋体" w:eastAsia="黑体" w:cs="黑体"/>
                <w:color w:val="000000"/>
                <w:kern w:val="0"/>
                <w:sz w:val="24"/>
                <w:lang w:eastAsia="zh-CN" w:bidi="ar"/>
              </w:rPr>
              <w:t>指标</w:t>
            </w:r>
            <w:r>
              <w:rPr>
                <w:rFonts w:hint="eastAsia" w:ascii="黑体" w:hAnsi="宋体" w:eastAsia="黑体" w:cs="黑体"/>
                <w:color w:val="000000"/>
                <w:kern w:val="0"/>
                <w:sz w:val="24"/>
                <w:lang w:bidi="ar"/>
              </w:rPr>
              <w:t>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w:t>
            </w:r>
            <w:r>
              <w:rPr>
                <w:rFonts w:hint="eastAsia" w:ascii="宋体" w:hAnsi="宋体" w:eastAsia="宋体" w:cs="宋体"/>
                <w:color w:val="000000"/>
                <w:kern w:val="0"/>
                <w:sz w:val="24"/>
                <w:lang w:eastAsia="zh-CN" w:bidi="ar"/>
              </w:rPr>
              <w:t>—</w:t>
            </w:r>
            <w:r>
              <w:rPr>
                <w:rFonts w:hint="eastAsia" w:ascii="宋体" w:hAnsi="宋体" w:eastAsia="宋体" w:cs="宋体"/>
                <w:color w:val="000000"/>
                <w:kern w:val="0"/>
                <w:sz w:val="24"/>
                <w:lang w:bidi="ar"/>
              </w:rPr>
              <w:t>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w:t>
            </w:r>
            <w:r>
              <w:rPr>
                <w:rFonts w:hint="eastAsia" w:ascii="宋体" w:hAnsi="宋体" w:eastAsia="宋体" w:cs="宋体"/>
                <w:color w:val="000000"/>
                <w:kern w:val="0"/>
                <w:sz w:val="24"/>
                <w:lang w:eastAsia="zh-CN" w:bidi="ar"/>
              </w:rPr>
              <w:t>间内</w:t>
            </w:r>
            <w:r>
              <w:rPr>
                <w:rFonts w:hint="eastAsia" w:ascii="宋体" w:hAnsi="宋体" w:eastAsia="宋体" w:cs="宋体"/>
                <w:color w:val="000000"/>
                <w:kern w:val="0"/>
                <w:sz w:val="24"/>
                <w:lang w:bidi="ar"/>
              </w:rPr>
              <w:t>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20"/>
        <w:spacing w:line="20" w:lineRule="exact"/>
      </w:pPr>
    </w:p>
    <w:p>
      <w:pPr>
        <w:spacing w:line="578" w:lineRule="exact"/>
        <w:jc w:val="left"/>
        <w:rPr>
          <w:rFonts w:eastAsia="黑体"/>
        </w:rPr>
      </w:pPr>
      <w:r>
        <w:rPr>
          <w:rFonts w:eastAsia="黑体"/>
        </w:rPr>
        <w:t>附表</w:t>
      </w:r>
      <w:r>
        <w:rPr>
          <w:rFonts w:hint="eastAsia" w:eastAsia="黑体"/>
        </w:rPr>
        <w:t>2</w:t>
      </w:r>
    </w:p>
    <w:tbl>
      <w:tblPr>
        <w:tblStyle w:val="16"/>
        <w:tblW w:w="10893" w:type="dxa"/>
        <w:jc w:val="center"/>
        <w:tblLayout w:type="fixed"/>
        <w:tblCellMar>
          <w:top w:w="15" w:type="dxa"/>
          <w:left w:w="15" w:type="dxa"/>
          <w:bottom w:w="15" w:type="dxa"/>
          <w:right w:w="15" w:type="dxa"/>
        </w:tblCellMar>
      </w:tblPr>
      <w:tblGrid>
        <w:gridCol w:w="1485"/>
        <w:gridCol w:w="883"/>
        <w:gridCol w:w="1020"/>
        <w:gridCol w:w="1973"/>
        <w:gridCol w:w="1145"/>
        <w:gridCol w:w="947"/>
        <w:gridCol w:w="1080"/>
        <w:gridCol w:w="2360"/>
      </w:tblGrid>
      <w:tr>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pPr>
              <w:widowControl/>
              <w:spacing w:line="600" w:lineRule="exact"/>
              <w:jc w:val="center"/>
              <w:textAlignment w:val="center"/>
              <w:rPr>
                <w:rFonts w:eastAsia="黑体"/>
                <w:color w:val="000000"/>
                <w:sz w:val="28"/>
                <w:szCs w:val="28"/>
              </w:rPr>
            </w:pPr>
            <w:bookmarkStart w:id="1" w:name="OLE_LINK3"/>
            <w:r>
              <w:rPr>
                <w:rFonts w:eastAsia="Arial Unicode MS"/>
                <w:color w:val="000000"/>
                <w:kern w:val="0"/>
                <w:sz w:val="44"/>
                <w:szCs w:val="44"/>
                <w:lang w:bidi="ar"/>
              </w:rPr>
              <w:t>部门整体绩效目标完成情况自评表</w:t>
            </w:r>
            <w:bookmarkEnd w:id="1"/>
          </w:p>
        </w:tc>
      </w:tr>
      <w:tr>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90" w:hRule="atLeast"/>
          <w:jc w:val="center"/>
        </w:trPr>
        <w:tc>
          <w:tcPr>
            <w:tcW w:w="10893"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3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7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区委宣传部</w:t>
            </w:r>
          </w:p>
        </w:tc>
      </w:tr>
      <w:tr>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年度部门整体支出预算</w:t>
            </w:r>
          </w:p>
        </w:tc>
        <w:tc>
          <w:tcPr>
            <w:tcW w:w="19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资金总额</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其他资金</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1"/>
                <w:szCs w:val="21"/>
              </w:rPr>
            </w:pPr>
          </w:p>
        </w:tc>
        <w:tc>
          <w:tcPr>
            <w:tcW w:w="19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1"/>
                <w:szCs w:val="21"/>
                <w:lang w:val="en-US" w:eastAsia="zh-CN"/>
              </w:rPr>
            </w:pPr>
            <w:r>
              <w:rPr>
                <w:rFonts w:hint="eastAsia" w:eastAsia="宋体"/>
                <w:color w:val="000000"/>
                <w:kern w:val="0"/>
                <w:sz w:val="21"/>
                <w:szCs w:val="21"/>
                <w:lang w:val="en-US" w:eastAsia="zh-CN" w:bidi="ar"/>
              </w:rPr>
              <w:t>865.48</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865.48</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1"/>
                <w:szCs w:val="21"/>
                <w:lang w:eastAsia="zh-CN"/>
              </w:rPr>
            </w:pPr>
            <w:r>
              <w:rPr>
                <w:rFonts w:hint="eastAsia" w:eastAsia="宋体"/>
                <w:color w:val="000000"/>
                <w:kern w:val="0"/>
                <w:sz w:val="21"/>
                <w:szCs w:val="21"/>
                <w:lang w:val="en-US" w:eastAsia="zh-CN" w:bidi="ar"/>
              </w:rPr>
              <w:t>0</w:t>
            </w:r>
          </w:p>
        </w:tc>
      </w:tr>
      <w:tr>
        <w:tblPrEx>
          <w:tblCellMar>
            <w:top w:w="15" w:type="dxa"/>
            <w:left w:w="15" w:type="dxa"/>
            <w:bottom w:w="15" w:type="dxa"/>
            <w:right w:w="15" w:type="dxa"/>
          </w:tblCellMar>
        </w:tblPrEx>
        <w:trPr>
          <w:trHeight w:val="440"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年度总体</w:t>
            </w:r>
          </w:p>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lang w:bidi="ar"/>
              </w:rPr>
              <w:t>开创宣传思想工作新局面，为建设“一区一城”提供坚强思想保证、强大精神动力和有力文化支撑。</w:t>
            </w:r>
          </w:p>
        </w:tc>
      </w:tr>
      <w:tr>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年度主要</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任务</w:t>
            </w:r>
          </w:p>
        </w:tc>
        <w:tc>
          <w:tcPr>
            <w:tcW w:w="19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任务名称</w:t>
            </w:r>
          </w:p>
        </w:tc>
        <w:tc>
          <w:tcPr>
            <w:tcW w:w="7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主要内容</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9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sz w:val="18"/>
                <w:szCs w:val="18"/>
                <w:lang w:eastAsia="zh-CN"/>
              </w:rPr>
              <w:t>整体目标</w:t>
            </w:r>
          </w:p>
        </w:tc>
        <w:tc>
          <w:tcPr>
            <w:tcW w:w="7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18"/>
                <w:szCs w:val="18"/>
              </w:rPr>
            </w:pPr>
            <w:r>
              <w:rPr>
                <w:rFonts w:hint="eastAsia" w:eastAsia="宋体"/>
                <w:color w:val="000000"/>
                <w:kern w:val="0"/>
                <w:sz w:val="18"/>
                <w:szCs w:val="18"/>
                <w:lang w:bidi="ar"/>
              </w:rPr>
              <w:t>一是按时足额发放职工工资、津补贴，及时缴纳职工社保和公积金，及时支付日常办公开支，确保单位财务正常运转。二是围绕宣传部中心工作，坚持高起点、高标准、高品位的服务理念，全面做好办文办会、文化服务、新闻宣传报道、公益电影放映、创文宣传等各项工作。三是有序推进保密机要、电子政务建设、目标督查等专项业务工作，圆满完成各项工作任务。</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9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c>
          <w:tcPr>
            <w:tcW w:w="7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r>
      <w:tr>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年度绩效</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二级指标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绩效指标</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实际完成</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指标值</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产出指标</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数量指标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18"/>
                <w:szCs w:val="18"/>
                <w:lang w:eastAsia="zh-CN"/>
              </w:rPr>
            </w:pPr>
            <w:r>
              <w:rPr>
                <w:rFonts w:hint="eastAsia" w:eastAsia="宋体"/>
                <w:color w:val="000000"/>
                <w:kern w:val="0"/>
                <w:sz w:val="18"/>
                <w:szCs w:val="18"/>
                <w:lang w:eastAsia="zh-CN" w:bidi="ar"/>
              </w:rPr>
              <w:t>人员、公用</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18"/>
                <w:szCs w:val="18"/>
                <w:lang w:eastAsia="zh-CN"/>
              </w:rPr>
            </w:pPr>
            <w:r>
              <w:rPr>
                <w:rFonts w:hint="eastAsia" w:eastAsia="宋体"/>
                <w:color w:val="000000"/>
                <w:kern w:val="0"/>
                <w:sz w:val="18"/>
                <w:szCs w:val="18"/>
                <w:lang w:eastAsia="zh-CN" w:bidi="ar"/>
              </w:rPr>
              <w:t>完成</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质量指标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18"/>
                <w:szCs w:val="18"/>
                <w:lang w:eastAsia="zh-CN"/>
              </w:rPr>
            </w:pPr>
            <w:r>
              <w:rPr>
                <w:rFonts w:hint="eastAsia" w:eastAsia="宋体"/>
                <w:color w:val="000000"/>
                <w:kern w:val="0"/>
                <w:sz w:val="18"/>
                <w:szCs w:val="18"/>
                <w:lang w:eastAsia="zh-CN" w:bidi="ar"/>
              </w:rPr>
              <w:t>完成</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时效指标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202</w:t>
            </w:r>
            <w:r>
              <w:rPr>
                <w:rFonts w:hint="eastAsia" w:eastAsia="宋体"/>
                <w:color w:val="000000"/>
                <w:sz w:val="18"/>
                <w:szCs w:val="18"/>
                <w:lang w:val="en-US" w:eastAsia="zh-CN"/>
              </w:rPr>
              <w:t>5</w:t>
            </w:r>
            <w:r>
              <w:rPr>
                <w:rFonts w:hint="eastAsia" w:eastAsia="宋体"/>
                <w:color w:val="000000"/>
                <w:sz w:val="18"/>
                <w:szCs w:val="18"/>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1-12月</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bookmarkStart w:id="2" w:name="OLE_LINK1" w:colFirst="2" w:colLast="7"/>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hint="eastAsia" w:eastAsia="宋体"/>
                <w:color w:val="000000"/>
                <w:kern w:val="0"/>
                <w:sz w:val="18"/>
                <w:szCs w:val="18"/>
                <w:lang w:val="en-US" w:eastAsia="zh-CN" w:bidi="ar"/>
              </w:rPr>
              <w:t>成本指标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865.48万元</w:t>
            </w:r>
          </w:p>
        </w:tc>
      </w:tr>
      <w:bookmarkEnd w:id="2"/>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效益指标</w:t>
            </w:r>
          </w:p>
        </w:tc>
        <w:tc>
          <w:tcPr>
            <w:tcW w:w="102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保证机构正常运行，确保完成年度职能目标任务</w:t>
            </w:r>
          </w:p>
        </w:tc>
      </w:tr>
      <w:tr>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满意度指标</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18"/>
                <w:szCs w:val="18"/>
                <w:lang w:val="en-US" w:eastAsia="zh-CN"/>
              </w:rPr>
            </w:pPr>
            <w:r>
              <w:rPr>
                <w:rFonts w:hint="eastAsia" w:eastAsia="宋体"/>
                <w:color w:val="000000"/>
                <w:sz w:val="18"/>
                <w:szCs w:val="18"/>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18"/>
                <w:szCs w:val="18"/>
                <w:lang w:val="en-US" w:eastAsia="zh-CN"/>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≥95</w:t>
            </w:r>
          </w:p>
        </w:tc>
      </w:tr>
    </w:tbl>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">
              <v:fill on="f" focussize="0,0"/>
              <v:stroke on="f" weight="0.5pt"/>
              <v:imagedata o:title=""/>
              <o:lock v:ext="edit" aspectratio="f"/>
              <v:textbox inset="0mm,0mm,0mm,0mm" style="mso-fit-shape-to-text:t;">
                <w:txbxContent>
                  <w:p>
                    <w:pPr>
                      <w:pStyle w:val="11"/>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EBF63"/>
    <w:multiLevelType w:val="singleLevel"/>
    <w:tmpl w:val="F3DEBF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A9309D"/>
    <w:rsid w:val="05B87AC5"/>
    <w:rsid w:val="0D20238E"/>
    <w:rsid w:val="0DC31556"/>
    <w:rsid w:val="146A5DE1"/>
    <w:rsid w:val="14A40CBC"/>
    <w:rsid w:val="183376CC"/>
    <w:rsid w:val="1A3D6143"/>
    <w:rsid w:val="1C013801"/>
    <w:rsid w:val="1DFD8D3B"/>
    <w:rsid w:val="1F403A40"/>
    <w:rsid w:val="1FB79DC9"/>
    <w:rsid w:val="1FBFC3F2"/>
    <w:rsid w:val="1FFFE033"/>
    <w:rsid w:val="218507FD"/>
    <w:rsid w:val="24A31107"/>
    <w:rsid w:val="27F352A6"/>
    <w:rsid w:val="29560A0A"/>
    <w:rsid w:val="2C685615"/>
    <w:rsid w:val="2D527252"/>
    <w:rsid w:val="2DDC1740"/>
    <w:rsid w:val="2EAE55F2"/>
    <w:rsid w:val="2EDF4302"/>
    <w:rsid w:val="2EFE1A04"/>
    <w:rsid w:val="2FFF3854"/>
    <w:rsid w:val="30CE7103"/>
    <w:rsid w:val="31071507"/>
    <w:rsid w:val="35BBF80F"/>
    <w:rsid w:val="38BD4174"/>
    <w:rsid w:val="3B0B3937"/>
    <w:rsid w:val="3B736F08"/>
    <w:rsid w:val="3BE3D531"/>
    <w:rsid w:val="3D431A40"/>
    <w:rsid w:val="3EDE141C"/>
    <w:rsid w:val="3EFF42CA"/>
    <w:rsid w:val="3F6FCA38"/>
    <w:rsid w:val="3FD5AF3D"/>
    <w:rsid w:val="3FFED8BE"/>
    <w:rsid w:val="3FFF43BB"/>
    <w:rsid w:val="3FFFFC14"/>
    <w:rsid w:val="428E1EB7"/>
    <w:rsid w:val="42B752F3"/>
    <w:rsid w:val="433DCF8E"/>
    <w:rsid w:val="45FF973D"/>
    <w:rsid w:val="47550EBA"/>
    <w:rsid w:val="4A524C36"/>
    <w:rsid w:val="4AEF2681"/>
    <w:rsid w:val="4BF7E09D"/>
    <w:rsid w:val="537D3F15"/>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EFF74F6"/>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3">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3"/>
    <w:qFormat/>
    <w:uiPriority w:val="0"/>
    <w:rPr>
      <w:rFonts w:ascii="宋体" w:eastAsia="宋体"/>
      <w:sz w:val="18"/>
      <w:szCs w:val="18"/>
    </w:rPr>
  </w:style>
  <w:style w:type="paragraph" w:styleId="6">
    <w:name w:val="Body Text"/>
    <w:basedOn w:val="1"/>
    <w:qFormat/>
    <w:uiPriority w:val="0"/>
    <w:pPr>
      <w:spacing w:after="120"/>
    </w:pPr>
  </w:style>
  <w:style w:type="paragraph" w:styleId="7">
    <w:name w:val="Body Text Indent"/>
    <w:basedOn w:val="1"/>
    <w:qFormat/>
    <w:uiPriority w:val="0"/>
    <w:pPr>
      <w:spacing w:after="120"/>
      <w:ind w:left="200" w:leftChars="200"/>
    </w:pPr>
    <w:rPr>
      <w:rFonts w:ascii="仿宋_GB2312"/>
      <w:szCs w:val="32"/>
    </w:rPr>
  </w:style>
  <w:style w:type="paragraph" w:styleId="8">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9">
    <w:name w:val="Plain Text"/>
    <w:basedOn w:val="1"/>
    <w:unhideWhenUsed/>
    <w:qFormat/>
    <w:uiPriority w:val="99"/>
    <w:rPr>
      <w:rFonts w:ascii="宋体" w:hAnsi="Courier New" w:cs="Courier New"/>
    </w:rPr>
  </w:style>
  <w:style w:type="paragraph" w:styleId="10">
    <w:name w:val="Balloon Text"/>
    <w:basedOn w:val="1"/>
    <w:semiHidden/>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rFonts w:eastAsia="宋体"/>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3">
    <w:name w:val="toc 1"/>
    <w:basedOn w:val="1"/>
    <w:next w:val="1"/>
    <w:qFormat/>
    <w:uiPriority w:val="0"/>
  </w:style>
  <w:style w:type="paragraph" w:styleId="14">
    <w:name w:val="Normal (Web)"/>
    <w:basedOn w:val="1"/>
    <w:qFormat/>
    <w:uiPriority w:val="0"/>
    <w:rPr>
      <w:sz w:val="24"/>
    </w:rPr>
  </w:style>
  <w:style w:type="paragraph" w:styleId="15">
    <w:name w:val="Body Text First Indent 2"/>
    <w:basedOn w:val="7"/>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1">
    <w:name w:val="四号正文"/>
    <w:basedOn w:val="1"/>
    <w:link w:val="22"/>
    <w:qFormat/>
    <w:uiPriority w:val="0"/>
    <w:pPr>
      <w:spacing w:line="360" w:lineRule="auto"/>
    </w:pPr>
    <w:rPr>
      <w:rFonts w:ascii="??" w:hAnsi="??" w:eastAsia="宋体" w:cs="宋体"/>
      <w:color w:val="000000"/>
      <w:kern w:val="0"/>
      <w:sz w:val="28"/>
      <w:szCs w:val="21"/>
    </w:rPr>
  </w:style>
  <w:style w:type="character" w:customStyle="1" w:styleId="22">
    <w:name w:val="四号正文 Char"/>
    <w:basedOn w:val="18"/>
    <w:link w:val="21"/>
    <w:qFormat/>
    <w:uiPriority w:val="0"/>
    <w:rPr>
      <w:rFonts w:ascii="??" w:hAnsi="??" w:eastAsia="宋体" w:cs="宋体"/>
      <w:color w:val="000000"/>
      <w:sz w:val="28"/>
      <w:szCs w:val="21"/>
      <w:lang w:val="en-US" w:eastAsia="zh-CN" w:bidi="ar-SA"/>
    </w:rPr>
  </w:style>
  <w:style w:type="character" w:customStyle="1" w:styleId="23">
    <w:name w:val="文档结构图 Char"/>
    <w:basedOn w:val="18"/>
    <w:link w:val="5"/>
    <w:qFormat/>
    <w:uiPriority w:val="0"/>
    <w:rPr>
      <w:rFonts w:ascii="宋体"/>
      <w:kern w:val="2"/>
      <w:sz w:val="18"/>
      <w:szCs w:val="18"/>
    </w:rPr>
  </w:style>
  <w:style w:type="paragraph" w:customStyle="1" w:styleId="24">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页脚 Char"/>
    <w:basedOn w:val="18"/>
    <w:link w:val="11"/>
    <w:qFormat/>
    <w:uiPriority w:val="99"/>
    <w:rPr>
      <w:kern w:val="2"/>
      <w:sz w:val="18"/>
      <w:szCs w:val="18"/>
    </w:rPr>
  </w:style>
  <w:style w:type="character" w:customStyle="1" w:styleId="26">
    <w:name w:val="font31"/>
    <w:basedOn w:val="18"/>
    <w:qFormat/>
    <w:uiPriority w:val="0"/>
    <w:rPr>
      <w:rFonts w:hint="eastAsia" w:ascii="宋体" w:hAnsi="宋体" w:eastAsia="宋体" w:cs="宋体"/>
      <w:color w:val="000000"/>
      <w:sz w:val="24"/>
      <w:szCs w:val="24"/>
      <w:u w:val="none"/>
    </w:rPr>
  </w:style>
  <w:style w:type="character" w:customStyle="1" w:styleId="27">
    <w:name w:val="font51"/>
    <w:basedOn w:val="18"/>
    <w:qFormat/>
    <w:uiPriority w:val="0"/>
    <w:rPr>
      <w:rFonts w:hint="default" w:ascii="Wingdings 2" w:hAnsi="Wingdings 2" w:eastAsia="Wingdings 2" w:cs="Wingdings 2"/>
      <w:color w:val="000000"/>
      <w:sz w:val="18"/>
      <w:szCs w:val="18"/>
      <w:u w:val="none"/>
    </w:rPr>
  </w:style>
  <w:style w:type="character" w:customStyle="1" w:styleId="28">
    <w:name w:val="font01"/>
    <w:basedOn w:val="18"/>
    <w:qFormat/>
    <w:uiPriority w:val="0"/>
    <w:rPr>
      <w:rFonts w:ascii="宋体" w:hAnsi="宋体" w:eastAsia="宋体" w:cs="宋体"/>
      <w:color w:val="000000"/>
      <w:sz w:val="18"/>
      <w:szCs w:val="18"/>
      <w:u w:val="none"/>
    </w:rPr>
  </w:style>
  <w:style w:type="character" w:customStyle="1" w:styleId="29">
    <w:name w:val="font41"/>
    <w:basedOn w:val="18"/>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17</Pages>
  <Words>7649</Words>
  <Characters>8073</Characters>
  <Lines>18</Lines>
  <Paragraphs>5</Paragraphs>
  <TotalTime>13</TotalTime>
  <ScaleCrop>false</ScaleCrop>
  <LinksUpToDate>false</LinksUpToDate>
  <CharactersWithSpaces>8076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2025-03-27T16:07:00Z</dcterms:created>
  <dc:creator>陈萍</dc:creator>
  <cp:lastModifiedBy>user</cp:lastModifiedBy>
  <cp:lastPrinted>2026-06-16T15:19:00Z</cp:lastPrinted>
  <dcterms:modified xsi:type="dcterms:W3CDTF">2026-06-26T10:38:17Z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10883149A9FFD6E319E63D6A29CC9DF2</vt:lpwstr>
  </property>
  <property fmtid="{D5CDD505-2E9C-101B-9397-08002B2CF9AE}" pid="4" name="KSOTemplateDocerSaveRecord">
    <vt:lpwstr>eyJoZGlkIjoiOGM0ODA4MDljY2M4MDVjNGU0YTdiNzI2MjRjODhjMTEiLCJ1c2VySWQiOiI0MjE5MDY1NzMifQ==</vt:lpwstr>
  </property>
</Properties>
</file>