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7C431">
      <w:pPr>
        <w:spacing w:line="578" w:lineRule="exact"/>
        <w:ind w:left="0" w:leftChars="0" w:firstLine="0" w:firstLineChars="0"/>
        <w:contextualSpacing/>
        <w:rPr>
          <w:rFonts w:hint="default" w:ascii="Times New Roman" w:hAnsi="Times New Roman" w:eastAsia="方正黑体_GBK" w:cs="Times New Roman"/>
          <w:sz w:val="32"/>
          <w:szCs w:val="32"/>
          <w:lang w:val="zh-CN"/>
        </w:rPr>
      </w:pPr>
      <w:r>
        <w:rPr>
          <w:rFonts w:hint="default" w:ascii="Times New Roman" w:hAnsi="Times New Roman" w:eastAsia="方正黑体_GBK" w:cs="Times New Roman"/>
          <w:sz w:val="32"/>
          <w:szCs w:val="32"/>
          <w:lang w:val="zh-CN"/>
        </w:rPr>
        <w:t>附件</w:t>
      </w:r>
      <w:r>
        <w:rPr>
          <w:rFonts w:hint="default" w:ascii="Times New Roman" w:hAnsi="Times New Roman" w:eastAsia="方正黑体_GBK" w:cs="Times New Roman"/>
          <w:sz w:val="32"/>
          <w:szCs w:val="32"/>
        </w:rPr>
        <w:t>2</w:t>
      </w:r>
    </w:p>
    <w:p w14:paraId="2B65DAA1">
      <w:pPr>
        <w:widowControl/>
        <w:spacing w:line="578" w:lineRule="exact"/>
        <w:ind w:left="0" w:leftChars="0" w:firstLine="0" w:firstLineChars="0"/>
        <w:contextualSpacing/>
        <w:jc w:val="both"/>
        <w:rPr>
          <w:rFonts w:hint="eastAsia" w:ascii="方正小标宋_GBK" w:hAnsi="方正小标宋_GBK" w:eastAsia="方正小标宋_GBK" w:cs="方正小标宋_GBK"/>
          <w:b/>
          <w:bCs w:val="0"/>
          <w:sz w:val="44"/>
          <w:szCs w:val="44"/>
          <w:shd w:val="clear" w:color="auto" w:fill="FFFFFF"/>
        </w:rPr>
      </w:pPr>
    </w:p>
    <w:p w14:paraId="10C2619F">
      <w:pPr>
        <w:widowControl/>
        <w:spacing w:line="578" w:lineRule="exact"/>
        <w:ind w:left="0" w:leftChars="0" w:firstLine="0" w:firstLineChars="0"/>
        <w:contextualSpacing/>
        <w:jc w:val="center"/>
        <w:rPr>
          <w:rFonts w:hint="eastAsia" w:ascii="方正小标宋_GBK" w:hAnsi="方正小标宋_GBK" w:eastAsia="方正小标宋_GBK" w:cs="方正小标宋_GBK"/>
          <w:b/>
          <w:bCs w:val="0"/>
          <w:sz w:val="44"/>
          <w:szCs w:val="44"/>
          <w:shd w:val="clear" w:color="auto" w:fill="FFFFFF"/>
        </w:rPr>
      </w:pPr>
      <w:r>
        <w:rPr>
          <w:rFonts w:hint="eastAsia" w:ascii="方正小标宋_GBK" w:hAnsi="方正小标宋_GBK" w:eastAsia="方正小标宋_GBK" w:cs="方正小标宋_GBK"/>
          <w:b/>
          <w:bCs w:val="0"/>
          <w:sz w:val="44"/>
          <w:szCs w:val="44"/>
          <w:shd w:val="clear" w:color="auto" w:fill="FFFFFF"/>
        </w:rPr>
        <w:t>部门预算绩效自评报告范本</w:t>
      </w:r>
    </w:p>
    <w:p w14:paraId="36898B60">
      <w:pPr>
        <w:widowControl/>
        <w:spacing w:line="578" w:lineRule="exact"/>
        <w:ind w:left="0" w:leftChars="0" w:firstLine="0" w:firstLineChars="0"/>
        <w:contextualSpacing/>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（报告范围包括机关和下属单位）</w:t>
      </w:r>
    </w:p>
    <w:p w14:paraId="77C81095">
      <w:pPr>
        <w:widowControl/>
        <w:adjustRightInd w:val="0"/>
        <w:snapToGrid w:val="0"/>
        <w:spacing w:line="578" w:lineRule="exact"/>
        <w:ind w:firstLine="500" w:firstLineChars="200"/>
        <w:contextualSpacing/>
        <w:jc w:val="both"/>
        <w:rPr>
          <w:rFonts w:eastAsia="黑体"/>
          <w:color w:val="000000"/>
          <w:kern w:val="0"/>
          <w:sz w:val="24"/>
          <w:szCs w:val="32"/>
          <w:shd w:val="clear" w:color="auto" w:fill="FFFFFF"/>
        </w:rPr>
      </w:pPr>
    </w:p>
    <w:p w14:paraId="70C178F0">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zh-CN"/>
        </w:rPr>
        <w:t>一、部门（单位）基本情况</w:t>
      </w:r>
    </w:p>
    <w:p w14:paraId="11E8794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lang w:val="zh-CN"/>
        </w:rPr>
        <w:t>（一）机构组成。</w:t>
      </w:r>
      <w:r>
        <w:rPr>
          <w:rFonts w:hint="default" w:ascii="Times New Roman" w:hAnsi="Times New Roman" w:eastAsia="方正仿宋_GBK" w:cs="Times New Roman"/>
          <w:sz w:val="32"/>
          <w:szCs w:val="32"/>
        </w:rPr>
        <w:t>机构设置当年无变动。内设股室4个，下属二级单位1个，其中行政单位0个，参照公务员法管理的事业单位1个，</w:t>
      </w:r>
      <w:r>
        <w:rPr>
          <w:rFonts w:hint="default" w:ascii="Times New Roman" w:hAnsi="Times New Roman" w:eastAsia="方正仿宋_GBK" w:cs="Times New Roman"/>
          <w:sz w:val="32"/>
          <w:szCs w:val="32"/>
          <w:lang w:val="en-US" w:eastAsia="zh-CN"/>
        </w:rPr>
        <w:t>名称是</w:t>
      </w:r>
      <w:r>
        <w:rPr>
          <w:rFonts w:hint="default" w:ascii="Times New Roman" w:hAnsi="Times New Roman" w:eastAsia="方正仿宋_GBK" w:cs="Times New Roman"/>
          <w:sz w:val="32"/>
          <w:szCs w:val="32"/>
        </w:rPr>
        <w:t>攀枝花市西区经济责任审计事务中心。共有在职人员14人，其中行政人员5人，参公管理人员4人，事业人员2名（使用人才交流中心编制），临聘人员3名。</w:t>
      </w:r>
    </w:p>
    <w:p w14:paraId="774B2FF2">
      <w:pPr>
        <w:keepNext w:val="0"/>
        <w:keepLines w:val="0"/>
        <w:pageBreakBefore w:val="0"/>
        <w:widowControl w:val="0"/>
        <w:kinsoku/>
        <w:wordWrap/>
        <w:overflowPunct/>
        <w:topLinePunct w:val="0"/>
        <w:autoSpaceDE/>
        <w:autoSpaceDN/>
        <w:bidi w:val="0"/>
        <w:adjustRightInd/>
        <w:snapToGrid/>
        <w:jc w:val="both"/>
        <w:textAlignment w:val="auto"/>
        <w:rPr>
          <w:rFonts w:hint="default" w:ascii="方正楷体_GBK" w:hAnsi="方正楷体_GBK" w:eastAsia="方正楷体_GBK" w:cs="方正楷体_GBK"/>
          <w:b/>
          <w:bCs/>
          <w:sz w:val="32"/>
          <w:szCs w:val="32"/>
          <w:lang w:val="zh-CN"/>
        </w:rPr>
      </w:pPr>
      <w:r>
        <w:rPr>
          <w:rFonts w:hint="default" w:ascii="方正楷体_GBK" w:hAnsi="方正楷体_GBK" w:eastAsia="方正楷体_GBK" w:cs="方正楷体_GBK"/>
          <w:b/>
          <w:bCs/>
          <w:sz w:val="32"/>
          <w:szCs w:val="32"/>
          <w:lang w:val="zh-CN"/>
        </w:rPr>
        <w:t>（二）机构职能。</w:t>
      </w:r>
    </w:p>
    <w:p w14:paraId="34708F2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主管全区审计工作。负责对区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市区有关重大政策措施贯彻落实情况进行跟踪审计。对审计、专项审计调查和核查社会审计机构相关审计报告的结果承担责任，并负有督促被审计单位整改的责任。</w:t>
      </w:r>
    </w:p>
    <w:p w14:paraId="2D14C90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zh-CN"/>
        </w:rPr>
        <w:t>2.贯彻执行国家、省、市有关审计工作的方针政策和法律法规。</w:t>
      </w:r>
      <w:r>
        <w:rPr>
          <w:rFonts w:hint="default" w:ascii="Times New Roman" w:hAnsi="Times New Roman" w:eastAsia="方正仿宋_GBK" w:cs="Times New Roman"/>
          <w:sz w:val="32"/>
          <w:szCs w:val="32"/>
        </w:rPr>
        <w:t>起草地方性审计规章草案、规范性文件。制定并组织实施全区专业领域审计工作规划。参与起草地方性财政经济及相关规章草案、规范性文件。组织对全区性重大投资项目、重大突发性公共事项、重要专项资金的审计和专项审计调查。对直接审计、调查和核查的事项依法进行审计评价，作出审计决定或提出审计建议。</w:t>
      </w:r>
    </w:p>
    <w:p w14:paraId="1B6543A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zh-CN"/>
        </w:rPr>
        <w:t>3.向区委审计委员会提出年度区级预算执行和其他财政支出情况审计报告。</w:t>
      </w:r>
      <w:r>
        <w:rPr>
          <w:rFonts w:hint="default" w:ascii="Times New Roman" w:hAnsi="Times New Roman" w:eastAsia="方正仿宋_GBK" w:cs="Times New Roman"/>
          <w:sz w:val="32"/>
          <w:szCs w:val="32"/>
        </w:rPr>
        <w:t>向区政府和市审计局提出年度区级预算执行及其他财政收支情况的审计结果报告。受区政府委托向区人大常委会提出区级预算执行及其他财政收支情况的审计工作报告、审计查出问题整改情况报告。向区委、区政府报告对其他事项的审计和专项审计调查情况及结果。依法向社会公布审计结果。向区级有关部门、街道（镇）通报审计情况和审计结果。</w:t>
      </w:r>
    </w:p>
    <w:p w14:paraId="2F5DE37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4.直接审计下列事项，出具审计报告，在法定职权范围内作出审计决定，包括国家和省市区有关重大政策措施贯彻落实情况；区级预算执行情况和</w:t>
      </w:r>
      <w:r>
        <w:rPr>
          <w:rFonts w:hint="eastAsia" w:ascii="Times New Roman" w:hAnsi="Times New Roman" w:eastAsia="方正仿宋_GBK" w:cs="Times New Roman"/>
          <w:sz w:val="32"/>
          <w:szCs w:val="32"/>
          <w:lang w:eastAsia="zh-CN"/>
        </w:rPr>
        <w:t>其他</w:t>
      </w:r>
      <w:r>
        <w:rPr>
          <w:rFonts w:hint="default" w:ascii="Times New Roman" w:hAnsi="Times New Roman" w:eastAsia="方正仿宋_GBK" w:cs="Times New Roman"/>
          <w:sz w:val="32"/>
          <w:szCs w:val="32"/>
        </w:rPr>
        <w:t>财政收支，区级各部门、各街道办事处预算执行情况、决算草案和其他财政收支，区级各部门、各街道办事处预算执行情况、决算草案和其他财政收支；镇级政府预算执行情况、决算草案和其他财政收支，区级财政转移支付资金；使用区级财政资金的事业单位（含直属单位）和社会团体的财务收支；区政府投资和以区政府投资为主的建设项目的预算执行情况和决算，区级重大公共工程项目的资金管理使用和建设运营情况；自然资源管理、污染防治和生态保护与修复情况；区属国有企业和地方金融机构、区属国有资本占控股或主导地位的企业和金融机构境内外资产、负债和损益，区政府及有关部门、街道（镇）驻外非经营性机构的财务收支；有关社会保障基金、社会捐赠资金、安全生产和职业健康财政资金以及其他基金、资金的财务收支；国际组织和外国政府援助、贷款项目；法律法规规定的其他事项。</w:t>
      </w:r>
    </w:p>
    <w:p w14:paraId="6863C9C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5.按规定对区管党政主要领导干部及其他单位主要负责人实施经济责任审计和自然资源资产离任审计。</w:t>
      </w:r>
    </w:p>
    <w:p w14:paraId="7959213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6.组织实施对国家财经法律法规、规章、政策和宏观调控措施执行情况、财政预算管理及国有资产管理使用等与区级财政收支有关的特定事项进行专项审计调查。</w:t>
      </w:r>
    </w:p>
    <w:p w14:paraId="61B9894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7.依法检查审计决定执行情况，督促整改审计查出的问题，依法办理被审计单位对审计决定提请行政复议、行政诉讼或区政府裁决中的有关事项，协助配合有关部门查处相关重大案件。</w:t>
      </w:r>
    </w:p>
    <w:p w14:paraId="7DF2FD4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8.指导和监督内部审计工作，核查社会审计机构对依法属于审计监督对象的单位出具的相关审计报告。</w:t>
      </w:r>
    </w:p>
    <w:p w14:paraId="25DC1DA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9.组织开展审计领域内的交流与合作，指导和组织开展信息技术在审计领域的应用。</w:t>
      </w:r>
    </w:p>
    <w:p w14:paraId="1CC80C2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10.负责职责范围内的安全生产和职业健康、生态环境保护等工作。</w:t>
      </w:r>
    </w:p>
    <w:p w14:paraId="5E39DD0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11.完成区委和区政府交办的其他任务。</w:t>
      </w:r>
    </w:p>
    <w:p w14:paraId="19BBBC7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lang w:val="zh-CN"/>
        </w:rPr>
        <w:t>（三）人员概况。</w:t>
      </w:r>
      <w:r>
        <w:rPr>
          <w:rFonts w:hint="default" w:ascii="Times New Roman" w:hAnsi="Times New Roman" w:eastAsia="方正仿宋_GBK" w:cs="Times New Roman"/>
          <w:sz w:val="32"/>
          <w:szCs w:val="32"/>
        </w:rPr>
        <w:t>截至202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年末，西区审计局及下属单位行政编制5个、参公编制5个，事业编制2个，临聘编制3个。年末实有人数在职人员14人，其中行政人员5人，参公管理人员4人，事业人员2名（使用人才交流中心编制），临聘人员3名。</w:t>
      </w:r>
    </w:p>
    <w:p w14:paraId="6D264EC0">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二、部门资金收支情况</w:t>
      </w:r>
    </w:p>
    <w:p w14:paraId="1ED3538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sz w:val="32"/>
          <w:szCs w:val="32"/>
          <w:lang w:val="zh-CN"/>
        </w:rPr>
        <w:t>（一）收入情况。</w:t>
      </w:r>
      <w:r>
        <w:rPr>
          <w:rFonts w:hint="default" w:ascii="Times New Roman" w:hAnsi="Times New Roman" w:eastAsia="方正仿宋_GBK" w:cs="Times New Roman"/>
          <w:sz w:val="32"/>
          <w:szCs w:val="32"/>
          <w:lang w:val="en-US" w:eastAsia="zh-CN"/>
        </w:rPr>
        <w:t>西区审计局2025年全年预算收入262.71万元，其中：一般公共预算财政拨款收入250.76万元，占95.45%；政府性基金预算财政拨款收入11.95万元，占4.55%。</w:t>
      </w:r>
    </w:p>
    <w:p w14:paraId="1DCC1C4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sz w:val="32"/>
          <w:szCs w:val="32"/>
          <w:lang w:val="zh-CN"/>
        </w:rPr>
        <w:t>（二）支出情况。</w:t>
      </w:r>
      <w:r>
        <w:rPr>
          <w:rFonts w:hint="default" w:ascii="Times New Roman" w:hAnsi="Times New Roman" w:eastAsia="方正仿宋_GBK" w:cs="Times New Roman"/>
          <w:sz w:val="32"/>
          <w:szCs w:val="32"/>
          <w:lang w:val="en-US" w:eastAsia="zh-CN"/>
        </w:rPr>
        <w:t>全年预算支出262.71万元。</w:t>
      </w:r>
      <w:r>
        <w:rPr>
          <w:rFonts w:hint="default" w:ascii="Times New Roman" w:hAnsi="Times New Roman" w:eastAsia="方正仿宋_GBK" w:cs="Times New Roman"/>
          <w:sz w:val="32"/>
          <w:szCs w:val="32"/>
        </w:rPr>
        <w:t>其中：一般公共预算财政拨款</w:t>
      </w:r>
      <w:r>
        <w:rPr>
          <w:rFonts w:hint="default" w:ascii="Times New Roman" w:hAnsi="Times New Roman" w:eastAsia="方正仿宋_GBK" w:cs="Times New Roman"/>
          <w:sz w:val="32"/>
          <w:szCs w:val="32"/>
          <w:lang w:eastAsia="zh-CN"/>
        </w:rPr>
        <w:t>支出</w:t>
      </w:r>
      <w:r>
        <w:rPr>
          <w:rFonts w:hint="default" w:ascii="Times New Roman" w:hAnsi="Times New Roman" w:eastAsia="方正仿宋_GBK" w:cs="Times New Roman"/>
          <w:sz w:val="32"/>
          <w:szCs w:val="32"/>
        </w:rPr>
        <w:t>250.76万元，主要用于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一般公共服务支出192.77万元，占73.38%；社会保障和就业支出23.46万元，占8.93%；卫生健康支出19.40万元，占7.38%；住房保障支出15.13万元，占5.76%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政府性基金预算财政拨款支</w:t>
      </w:r>
      <w:r>
        <w:rPr>
          <w:rFonts w:hint="default" w:ascii="Times New Roman" w:hAnsi="Times New Roman" w:eastAsia="方正仿宋_GBK" w:cs="Times New Roman"/>
          <w:sz w:val="32"/>
          <w:szCs w:val="32"/>
          <w:lang w:eastAsia="zh-CN"/>
        </w:rPr>
        <w:t>出</w:t>
      </w:r>
      <w:r>
        <w:rPr>
          <w:rFonts w:hint="default" w:ascii="Times New Roman" w:hAnsi="Times New Roman" w:eastAsia="方正仿宋_GBK" w:cs="Times New Roman"/>
          <w:sz w:val="32"/>
          <w:szCs w:val="32"/>
        </w:rPr>
        <w:t>11.95万元，</w:t>
      </w:r>
      <w:r>
        <w:rPr>
          <w:rFonts w:hint="default" w:ascii="Times New Roman" w:hAnsi="Times New Roman" w:eastAsia="方正仿宋_GBK" w:cs="Times New Roman"/>
          <w:sz w:val="32"/>
          <w:szCs w:val="32"/>
          <w:lang w:val="en-US" w:eastAsia="zh-CN"/>
        </w:rPr>
        <w:t>用于支付西佛山生态环境修复石漠化治理项目审计服务费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占4.55%</w:t>
      </w:r>
      <w:r>
        <w:rPr>
          <w:rFonts w:hint="default" w:ascii="Times New Roman" w:hAnsi="Times New Roman" w:eastAsia="方正仿宋_GBK" w:cs="Times New Roman"/>
          <w:sz w:val="32"/>
          <w:szCs w:val="32"/>
          <w:lang w:val="en-US" w:eastAsia="zh-CN"/>
        </w:rPr>
        <w:t>。</w:t>
      </w:r>
    </w:p>
    <w:p w14:paraId="0B283B1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方正楷体_GBK" w:hAnsi="方正楷体_GBK" w:eastAsia="方正楷体_GBK" w:cs="方正楷体_GBK"/>
          <w:b/>
          <w:bCs/>
          <w:sz w:val="32"/>
          <w:szCs w:val="32"/>
          <w:lang w:val="zh-CN"/>
        </w:rPr>
        <w:t>（三）结余分配和结转结余情况。</w:t>
      </w:r>
      <w:r>
        <w:rPr>
          <w:rFonts w:hint="default" w:ascii="Times New Roman" w:hAnsi="Times New Roman" w:eastAsia="方正仿宋_GBK" w:cs="Times New Roman"/>
          <w:sz w:val="32"/>
          <w:szCs w:val="32"/>
          <w:lang w:val="en-US" w:eastAsia="zh-CN"/>
        </w:rPr>
        <w:t>西区审计局</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年决算</w:t>
      </w:r>
      <w:r>
        <w:rPr>
          <w:rFonts w:hint="default" w:ascii="Times New Roman" w:hAnsi="Times New Roman" w:eastAsia="方正仿宋_GBK" w:cs="Times New Roman"/>
          <w:sz w:val="32"/>
          <w:szCs w:val="32"/>
          <w:lang w:val="en-US" w:eastAsia="zh-CN"/>
        </w:rPr>
        <w:t>区本级资金无结转结余，2024年省级审计专项转移支付资金结转1.42万元</w:t>
      </w:r>
      <w:r>
        <w:rPr>
          <w:rFonts w:hint="default" w:ascii="Times New Roman" w:hAnsi="Times New Roman" w:eastAsia="方正仿宋_GBK" w:cs="Times New Roman"/>
          <w:sz w:val="32"/>
          <w:szCs w:val="32"/>
        </w:rPr>
        <w:t>。</w:t>
      </w:r>
    </w:p>
    <w:p w14:paraId="6C432510">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三、部门预算绩效分析</w:t>
      </w:r>
    </w:p>
    <w:p w14:paraId="0FACE3BE">
      <w:pPr>
        <w:keepNext w:val="0"/>
        <w:keepLines w:val="0"/>
        <w:pageBreakBefore w:val="0"/>
        <w:widowControl w:val="0"/>
        <w:kinsoku/>
        <w:wordWrap/>
        <w:overflowPunct/>
        <w:topLinePunct w:val="0"/>
        <w:autoSpaceDE/>
        <w:autoSpaceDN/>
        <w:bidi w:val="0"/>
        <w:adjustRightInd/>
        <w:snapToGrid/>
        <w:jc w:val="both"/>
        <w:textAlignment w:val="auto"/>
        <w:rPr>
          <w:rFonts w:hint="eastAsia" w:ascii="方正楷体_GBK" w:hAnsi="方正楷体_GBK" w:eastAsia="方正楷体_GBK" w:cs="方正楷体_GBK"/>
          <w:b/>
          <w:bCs/>
          <w:sz w:val="32"/>
          <w:szCs w:val="32"/>
          <w:lang w:val="zh-CN"/>
        </w:rPr>
      </w:pPr>
      <w:r>
        <w:rPr>
          <w:rFonts w:hint="eastAsia" w:ascii="方正楷体_GBK" w:hAnsi="方正楷体_GBK" w:eastAsia="方正楷体_GBK" w:cs="方正楷体_GBK"/>
          <w:b/>
          <w:bCs/>
          <w:sz w:val="32"/>
          <w:szCs w:val="32"/>
          <w:lang w:val="zh-CN"/>
        </w:rPr>
        <w:t>（一）部门预算总体绩效分析。</w:t>
      </w:r>
    </w:p>
    <w:p w14:paraId="6A57800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1.履职效能。</w:t>
      </w:r>
      <w:r>
        <w:rPr>
          <w:rFonts w:hint="default" w:ascii="Times New Roman" w:hAnsi="Times New Roman" w:eastAsia="方正仿宋_GBK" w:cs="Times New Roman"/>
          <w:sz w:val="32"/>
          <w:szCs w:val="32"/>
          <w:lang w:val="en-US" w:eastAsia="zh-CN"/>
        </w:rPr>
        <w:t>2025年，围绕财政资金提质增效、重大项目建设、民生福祉改善等，完成审计项目11个，审计发现问题109个，提出审计建议37条，查出管理不规范金额1.09亿元，为政府节约投资153.05万元，向区纪委监委机关移送问题线索5条。经认真打磨，1个审计项目获得审计厅民生类优秀审计项目三等奖、市级优秀审计项目二等奖。</w:t>
      </w:r>
    </w:p>
    <w:p w14:paraId="5C5BB94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预算管理。</w:t>
      </w:r>
      <w:r>
        <w:rPr>
          <w:rFonts w:hint="default" w:ascii="Times New Roman" w:hAnsi="Times New Roman" w:eastAsia="方正仿宋_GBK" w:cs="Times New Roman"/>
          <w:sz w:val="32"/>
          <w:szCs w:val="32"/>
          <w:lang w:val="en-US" w:eastAsia="zh-CN"/>
        </w:rPr>
        <w:t>西区审计局严格按照西区财政局预决算编制通知和有关要求，按时按质完成报送预决算编制等工作，并按时提交部门编制草案，不存在应编、未编、错误列编，根据西区财政局预决算审核结果进行挂网公示。</w:t>
      </w:r>
    </w:p>
    <w:p w14:paraId="09AF18C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财务管理。</w:t>
      </w:r>
      <w:r>
        <w:rPr>
          <w:rFonts w:hint="default" w:ascii="Times New Roman" w:hAnsi="Times New Roman" w:eastAsia="方正仿宋_GBK" w:cs="Times New Roman"/>
          <w:sz w:val="32"/>
          <w:szCs w:val="32"/>
          <w:lang w:val="en-US" w:eastAsia="zh-CN"/>
        </w:rPr>
        <w:t>本年度继续沿用</w:t>
      </w:r>
      <w:r>
        <w:rPr>
          <w:rFonts w:hint="default" w:ascii="Times New Roman" w:hAnsi="Times New Roman" w:eastAsia="方正仿宋_GBK" w:cs="Times New Roman"/>
          <w:sz w:val="32"/>
          <w:szCs w:val="32"/>
          <w:lang w:val="zh-CN"/>
        </w:rPr>
        <w:t>《攀枝花市西区审计局财务管理制度》（攀西审</w:t>
      </w:r>
      <w:r>
        <w:rPr>
          <w:rFonts w:hint="default" w:ascii="Times New Roman" w:hAnsi="Times New Roman" w:eastAsia="方正仿宋_GBK" w:cs="Times New Roman"/>
          <w:sz w:val="32"/>
          <w:szCs w:val="32"/>
        </w:rPr>
        <w:t>〔2025〕1号</w:t>
      </w:r>
      <w:r>
        <w:rPr>
          <w:rFonts w:hint="default" w:ascii="Times New Roman" w:hAnsi="Times New Roman" w:eastAsia="方正仿宋_GBK" w:cs="Times New Roman"/>
          <w:sz w:val="32"/>
          <w:szCs w:val="32"/>
          <w:lang w:val="zh-CN"/>
        </w:rPr>
        <w:t>）财务管理制度，制度涵盖预算管理、收支管理、资产管理等方面，制度执行严格，确保财务工作有章可循；财务岗位设置科学、分工明确，做到不相容岗位相互分离，避免兼岗带来的风险；资金使用规范，严格把控资金审批流程，确保每一笔资金都按照规定用途、标准和程序使用，杜绝挪用、滥用等违规行为，保障财务工作有序进行，维护财务安全与规范。</w:t>
      </w:r>
    </w:p>
    <w:p w14:paraId="5F04214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zh-CN"/>
        </w:rPr>
        <w:t>资产管理。高度重视闲置资产管理，建立动态清查机制，定期梳理闲置资产明细，通过内部调剂、共享使用等方式，将闲置设备、办公用品等调配至需求股室。同时，在资产系统内对固定资产及状态及时进行更新，优化资源配置，显著提升资产利用率，有效避免资源浪费，为机关高效运转提供有力保障。</w:t>
      </w:r>
    </w:p>
    <w:p w14:paraId="0C11807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zh-CN"/>
        </w:rPr>
        <w:t>采购管理。严格按照采购管理文件要求执行，采购前精准预算编制，结合实际需求科学规划；采购中坚持公开透明，严格执行采购程序；采购后加强验收与监督，确保物资质量达标，同时强化档案管理，保障采购全程留痕、规范有序。</w:t>
      </w:r>
      <w:r>
        <w:rPr>
          <w:rFonts w:hint="default" w:ascii="Times New Roman" w:hAnsi="Times New Roman" w:eastAsia="方正仿宋_GBK" w:cs="Times New Roman"/>
          <w:sz w:val="32"/>
          <w:szCs w:val="32"/>
          <w:lang w:val="en-US" w:eastAsia="zh-CN"/>
        </w:rPr>
        <w:t>2025年采购空调1台价值3128元。</w:t>
      </w:r>
    </w:p>
    <w:p w14:paraId="4476D47B">
      <w:pPr>
        <w:keepNext w:val="0"/>
        <w:keepLines w:val="0"/>
        <w:pageBreakBefore w:val="0"/>
        <w:widowControl w:val="0"/>
        <w:kinsoku/>
        <w:wordWrap/>
        <w:overflowPunct/>
        <w:topLinePunct w:val="0"/>
        <w:autoSpaceDE/>
        <w:autoSpaceDN/>
        <w:bidi w:val="0"/>
        <w:adjustRightInd/>
        <w:snapToGrid/>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lang w:val="zh-CN"/>
        </w:rPr>
        <w:t>（二）部门预算项目绩效分析。</w:t>
      </w:r>
    </w:p>
    <w:p w14:paraId="05286C4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常年项目绩效分析。</w:t>
      </w:r>
      <w:r>
        <w:rPr>
          <w:rFonts w:hint="default" w:ascii="Times New Roman" w:hAnsi="Times New Roman" w:eastAsia="方正仿宋_GBK" w:cs="Times New Roman"/>
          <w:sz w:val="32"/>
          <w:szCs w:val="32"/>
          <w:lang w:val="zh-CN"/>
        </w:rPr>
        <w:t>该类项目总数</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rPr>
        <w:t>个，涉及预算总金额</w:t>
      </w:r>
      <w:r>
        <w:rPr>
          <w:rFonts w:hint="default" w:ascii="Times New Roman" w:hAnsi="Times New Roman" w:eastAsia="方正仿宋_GBK" w:cs="Times New Roman"/>
          <w:sz w:val="32"/>
          <w:szCs w:val="32"/>
          <w:lang w:val="en-US" w:eastAsia="zh-CN"/>
        </w:rPr>
        <w:t>18.92</w:t>
      </w:r>
      <w:r>
        <w:rPr>
          <w:rFonts w:hint="default" w:ascii="Times New Roman" w:hAnsi="Times New Roman" w:eastAsia="方正仿宋_GBK" w:cs="Times New Roman"/>
          <w:sz w:val="32"/>
          <w:szCs w:val="32"/>
          <w:lang w:val="zh-CN"/>
        </w:rPr>
        <w:t>万元，1—1</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zh-CN"/>
        </w:rPr>
        <w:t>月预算执行总体进度为</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val="zh-CN"/>
        </w:rPr>
        <w:t>%，其中：预算结余率大于</w:t>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lang w:val="zh-CN"/>
        </w:rPr>
        <w:t>的项目共计</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rPr>
        <w:t>个。</w:t>
      </w:r>
    </w:p>
    <w:p w14:paraId="2384825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阶段（含一次性）项目绩效分析。该类项目总数</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rPr>
        <w:t>个，涉及预算总金额</w:t>
      </w:r>
      <w:r>
        <w:rPr>
          <w:rFonts w:hint="default" w:ascii="Times New Roman" w:hAnsi="Times New Roman" w:eastAsia="方正仿宋_GBK" w:cs="Times New Roman"/>
          <w:sz w:val="32"/>
          <w:szCs w:val="32"/>
          <w:lang w:val="en-US" w:eastAsia="zh-CN"/>
        </w:rPr>
        <w:t>14.43</w:t>
      </w:r>
      <w:r>
        <w:rPr>
          <w:rFonts w:hint="default" w:ascii="Times New Roman" w:hAnsi="Times New Roman" w:eastAsia="方正仿宋_GBK" w:cs="Times New Roman"/>
          <w:sz w:val="32"/>
          <w:szCs w:val="32"/>
          <w:lang w:val="zh-CN"/>
        </w:rPr>
        <w:t>万元，1—12月预算执行总体进度为</w:t>
      </w:r>
      <w:r>
        <w:rPr>
          <w:rFonts w:hint="default" w:ascii="Times New Roman" w:hAnsi="Times New Roman" w:eastAsia="方正仿宋_GBK" w:cs="Times New Roman"/>
          <w:sz w:val="32"/>
          <w:szCs w:val="32"/>
          <w:lang w:val="en-US" w:eastAsia="zh-CN"/>
        </w:rPr>
        <w:t>90.09</w:t>
      </w:r>
      <w:r>
        <w:rPr>
          <w:rFonts w:hint="default" w:ascii="Times New Roman" w:hAnsi="Times New Roman" w:eastAsia="方正仿宋_GBK" w:cs="Times New Roman"/>
          <w:sz w:val="32"/>
          <w:szCs w:val="32"/>
          <w:lang w:val="zh-CN"/>
        </w:rPr>
        <w:t>%，其中：预算结余率大于10%的项目共计</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rPr>
        <w:t>个。</w:t>
      </w:r>
    </w:p>
    <w:p w14:paraId="184F79B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1.项目决策。以202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rPr>
        <w:t>工作安排为参考，以202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rPr>
        <w:t>年工作计划为依据，年初预算安排4</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rPr>
        <w:t>万元，调整预算为</w:t>
      </w:r>
      <w:r>
        <w:rPr>
          <w:rFonts w:hint="default" w:ascii="Times New Roman" w:hAnsi="Times New Roman" w:eastAsia="方正仿宋_GBK" w:cs="Times New Roman"/>
          <w:sz w:val="32"/>
          <w:szCs w:val="32"/>
          <w:lang w:val="en-US" w:eastAsia="zh-CN"/>
        </w:rPr>
        <w:t>18.92</w:t>
      </w:r>
      <w:r>
        <w:rPr>
          <w:rFonts w:hint="default" w:ascii="Times New Roman" w:hAnsi="Times New Roman" w:eastAsia="方正仿宋_GBK" w:cs="Times New Roman"/>
          <w:sz w:val="32"/>
          <w:szCs w:val="32"/>
          <w:lang w:val="zh-CN"/>
        </w:rPr>
        <w:t>万元，</w:t>
      </w:r>
      <w:r>
        <w:rPr>
          <w:rFonts w:hint="default" w:ascii="Times New Roman" w:hAnsi="Times New Roman" w:eastAsia="方正仿宋_GBK" w:cs="Times New Roman"/>
          <w:sz w:val="32"/>
          <w:szCs w:val="32"/>
          <w:lang w:val="en-US" w:eastAsia="zh-CN"/>
        </w:rPr>
        <w:t>结转</w:t>
      </w:r>
      <w:r>
        <w:rPr>
          <w:rFonts w:hint="default" w:ascii="Times New Roman" w:hAnsi="Times New Roman" w:eastAsia="方正仿宋_GBK" w:cs="Times New Roman"/>
          <w:sz w:val="32"/>
          <w:szCs w:val="32"/>
          <w:lang w:val="zh-CN"/>
        </w:rPr>
        <w:t>2024年省级审计专项转移支付资金</w:t>
      </w:r>
      <w:r>
        <w:rPr>
          <w:rFonts w:hint="default" w:ascii="Times New Roman" w:hAnsi="Times New Roman" w:eastAsia="方正仿宋_GBK" w:cs="Times New Roman"/>
          <w:sz w:val="32"/>
          <w:szCs w:val="32"/>
          <w:lang w:val="en-US" w:eastAsia="zh-CN"/>
        </w:rPr>
        <w:t>2.48万元</w:t>
      </w:r>
      <w:r>
        <w:rPr>
          <w:rFonts w:hint="default" w:ascii="Times New Roman" w:hAnsi="Times New Roman" w:eastAsia="方正仿宋_GBK" w:cs="Times New Roman"/>
          <w:sz w:val="32"/>
          <w:szCs w:val="32"/>
          <w:lang w:val="zh-CN"/>
        </w:rPr>
        <w:t>，以不断提高服务对象满意度，及时发现工作存在的问题，提升工人服务质量，提高政策知晓率。投入成本与预期产出及效果相匹配，成本测算依据充分。同时在支出过程中，严格履行政府采购程序，合理控制成本，确保资金投入与支出比例合理。</w:t>
      </w:r>
    </w:p>
    <w:p w14:paraId="3795115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2.项目执行</w:t>
      </w:r>
      <w:r>
        <w:rPr>
          <w:rFonts w:hint="default" w:ascii="Times New Roman" w:hAnsi="Times New Roman" w:eastAsia="方正仿宋_GBK" w:cs="Times New Roman"/>
          <w:sz w:val="32"/>
          <w:szCs w:val="32"/>
          <w:lang w:val="zh-CN"/>
        </w:rPr>
        <w:t>。</w:t>
      </w:r>
      <w:r>
        <w:rPr>
          <w:rFonts w:hint="default" w:ascii="Times New Roman" w:hAnsi="Times New Roman" w:eastAsia="方正仿宋_GBK" w:cs="Times New Roman"/>
          <w:sz w:val="32"/>
          <w:szCs w:val="32"/>
        </w:rPr>
        <w:t>项目实施期限</w:t>
      </w:r>
      <w:r>
        <w:rPr>
          <w:rFonts w:hint="eastAsia" w:ascii="Times New Roman" w:hAnsi="Times New Roman" w:eastAsia="方正仿宋_GBK" w:cs="Times New Roman"/>
          <w:sz w:val="32"/>
          <w:szCs w:val="32"/>
          <w:lang w:eastAsia="zh-CN"/>
        </w:rPr>
        <w:t>主要</w:t>
      </w:r>
      <w:r>
        <w:rPr>
          <w:rFonts w:hint="default" w:ascii="Times New Roman" w:hAnsi="Times New Roman" w:eastAsia="方正仿宋_GBK" w:cs="Times New Roman"/>
          <w:sz w:val="32"/>
          <w:szCs w:val="32"/>
        </w:rPr>
        <w:t>为202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年1月至12月，由西区审计局申报，西区财政局审核批复，主要用于保障审计业务开展、审计人员业务能力提升、聘请第三方审计机构进行政府投资审计辅助</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支付2024年度拖欠第三方机构咨询服务费，</w:t>
      </w:r>
      <w:r>
        <w:rPr>
          <w:rFonts w:hint="default" w:ascii="Times New Roman" w:hAnsi="Times New Roman" w:eastAsia="方正仿宋_GBK" w:cs="Times New Roman"/>
          <w:sz w:val="32"/>
          <w:szCs w:val="32"/>
        </w:rPr>
        <w:t>保障审计事业高质量发展。</w:t>
      </w:r>
    </w:p>
    <w:p w14:paraId="087E94A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zh-CN"/>
        </w:rPr>
        <w:t>目标实现。</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年西区审计局</w:t>
      </w:r>
      <w:r>
        <w:rPr>
          <w:rFonts w:hint="default" w:ascii="Times New Roman" w:hAnsi="Times New Roman" w:eastAsia="方正仿宋_GBK" w:cs="Times New Roman"/>
          <w:sz w:val="32"/>
          <w:szCs w:val="32"/>
          <w:lang w:val="en-US" w:eastAsia="zh-CN"/>
        </w:rPr>
        <w:t>全年支出</w:t>
      </w:r>
      <w:r>
        <w:rPr>
          <w:rFonts w:hint="default" w:ascii="Times New Roman" w:hAnsi="Times New Roman" w:eastAsia="方正仿宋_GBK" w:cs="Times New Roman"/>
          <w:sz w:val="32"/>
          <w:szCs w:val="32"/>
        </w:rPr>
        <w:t>资金262.71万元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由区财政局纳入一体化管理平台统一管理，专款专用，资金拨付执行审批程序，使用规范，入账手续齐全。</w:t>
      </w:r>
    </w:p>
    <w:p w14:paraId="569450D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（1）项目的经济效益分析。</w:t>
      </w:r>
      <w:r>
        <w:rPr>
          <w:rFonts w:hint="default" w:ascii="Times New Roman" w:hAnsi="Times New Roman" w:eastAsia="方正仿宋_GBK" w:cs="Times New Roman"/>
          <w:sz w:val="32"/>
          <w:szCs w:val="32"/>
          <w:lang w:val="en-US" w:eastAsia="zh-CN"/>
        </w:rPr>
        <w:t>本年度项目资金年初预算</w:t>
      </w:r>
      <w:r>
        <w:rPr>
          <w:rFonts w:hint="default" w:ascii="Times New Roman" w:hAnsi="Times New Roman" w:eastAsia="方正仿宋_GBK" w:cs="Times New Roman"/>
          <w:sz w:val="32"/>
          <w:szCs w:val="32"/>
          <w:lang w:val="zh-CN"/>
        </w:rPr>
        <w:t>4</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rPr>
        <w:t>万元，</w:t>
      </w:r>
      <w:r>
        <w:rPr>
          <w:rFonts w:hint="default" w:ascii="Times New Roman" w:hAnsi="Times New Roman" w:eastAsia="方正仿宋_GBK" w:cs="Times New Roman"/>
          <w:sz w:val="32"/>
          <w:szCs w:val="32"/>
          <w:lang w:val="en-US" w:eastAsia="zh-CN"/>
        </w:rPr>
        <w:t>支出18.92</w:t>
      </w:r>
      <w:r>
        <w:rPr>
          <w:rFonts w:hint="default" w:ascii="Times New Roman" w:hAnsi="Times New Roman" w:eastAsia="方正仿宋_GBK" w:cs="Times New Roman"/>
          <w:sz w:val="32"/>
          <w:szCs w:val="32"/>
          <w:lang w:val="zh-CN"/>
        </w:rPr>
        <w:t>万元，</w:t>
      </w:r>
      <w:r>
        <w:rPr>
          <w:rFonts w:hint="default" w:ascii="Times New Roman" w:hAnsi="Times New Roman" w:eastAsia="方正仿宋_GBK" w:cs="Times New Roman"/>
          <w:sz w:val="32"/>
          <w:szCs w:val="32"/>
          <w:lang w:val="en-US" w:eastAsia="zh-CN"/>
        </w:rPr>
        <w:t>结转</w:t>
      </w:r>
      <w:r>
        <w:rPr>
          <w:rFonts w:hint="default" w:ascii="Times New Roman" w:hAnsi="Times New Roman" w:eastAsia="方正仿宋_GBK" w:cs="Times New Roman"/>
          <w:sz w:val="32"/>
          <w:szCs w:val="32"/>
          <w:lang w:val="zh-CN"/>
        </w:rPr>
        <w:t>2024年省级审计专项转移支付资金</w:t>
      </w:r>
      <w:r>
        <w:rPr>
          <w:rFonts w:hint="default" w:ascii="Times New Roman" w:hAnsi="Times New Roman" w:eastAsia="方正仿宋_GBK" w:cs="Times New Roman"/>
          <w:sz w:val="32"/>
          <w:szCs w:val="32"/>
          <w:lang w:val="en-US" w:eastAsia="zh-CN"/>
        </w:rPr>
        <w:t>2.48万元</w:t>
      </w:r>
      <w:r>
        <w:rPr>
          <w:rFonts w:hint="default" w:ascii="Times New Roman" w:hAnsi="Times New Roman" w:eastAsia="方正仿宋_GBK" w:cs="Times New Roman"/>
          <w:sz w:val="32"/>
          <w:szCs w:val="32"/>
          <w:lang w:val="zh-CN"/>
        </w:rPr>
        <w:t>，</w:t>
      </w:r>
      <w:r>
        <w:rPr>
          <w:rFonts w:hint="default" w:ascii="Times New Roman" w:hAnsi="Times New Roman" w:eastAsia="方正仿宋_GBK" w:cs="Times New Roman"/>
          <w:sz w:val="32"/>
          <w:szCs w:val="32"/>
          <w:lang w:val="en-US" w:eastAsia="zh-CN"/>
        </w:rPr>
        <w:t>支出1.05万元，年中追加预算11.95万元用于支付拖欠企业账款，2025年共支出项目资金31.92万元。项目资金</w:t>
      </w:r>
      <w:r>
        <w:rPr>
          <w:rFonts w:hint="default" w:ascii="Times New Roman" w:hAnsi="Times New Roman" w:eastAsia="方正仿宋_GBK" w:cs="Times New Roman"/>
          <w:sz w:val="32"/>
          <w:szCs w:val="32"/>
        </w:rPr>
        <w:t>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安全规范。项目开展控制在预算范围内。</w:t>
      </w:r>
    </w:p>
    <w:p w14:paraId="6224F41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（2）项目的社会效益分析。</w:t>
      </w:r>
      <w:r>
        <w:rPr>
          <w:rFonts w:hint="default" w:ascii="Times New Roman" w:hAnsi="Times New Roman" w:eastAsia="方正仿宋_GBK" w:cs="Times New Roman"/>
          <w:sz w:val="32"/>
          <w:szCs w:val="32"/>
          <w:lang w:val="en-US" w:eastAsia="zh-CN"/>
        </w:rPr>
        <w:t>围绕区委、区政府中心工作，开展审计工作，包括格里坪特色产业园区发展服务中心及配套设施、“三供一业”物业分离移交改造、教育系统中省资金重大建设项目审计、西区部分强农惠农富农专项资金审计调查、民政部门民生实事推进及相关资金使用效益情况审计、西区2024年度区级预算执行及决算草案编制情况、对3家单位3名领导干部开展任期经济责任审计，同时推动2024年度区级预算执行和其他财政收支情况审计查出的118个问题，完成整改115个，整改率达97%以上。</w:t>
      </w:r>
    </w:p>
    <w:p w14:paraId="3825B06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（3）项目的可持续性分析。</w:t>
      </w:r>
      <w:r>
        <w:rPr>
          <w:rFonts w:hint="default" w:ascii="Times New Roman" w:hAnsi="Times New Roman" w:eastAsia="方正仿宋_GBK" w:cs="Times New Roman"/>
          <w:sz w:val="32"/>
          <w:szCs w:val="32"/>
          <w:lang w:val="en-US" w:eastAsia="zh-CN"/>
        </w:rPr>
        <w:t>2025年度编制《攀枝花市西区党政领导干部和企事业单位领导人员经济责任审计工作规划（2024—2028年）》，分层分类推进党政领导干部经济责任审计全覆盖。同时，建立完善“审计主审－审计组长/分管领导－集体审计业务会”三级复核机制，印发《攀枝花市西区审计局审计项目进度管理暂行办法》，引导审计人员提效率、重质量、出成果。持续完善“问题登记、整改评估、审核认定、销号管理”工作机制，通过专题调度、专项督办、重点提醒等手段，推进上轮巡视以来65个存量问题整改销号。人大常委会专题听取并审议审计整改情况报告，首次对2家单位整改情况进行满意度测评。</w:t>
      </w:r>
    </w:p>
    <w:p w14:paraId="5CD0DF3F">
      <w:pPr>
        <w:keepNext w:val="0"/>
        <w:keepLines w:val="0"/>
        <w:pageBreakBefore w:val="0"/>
        <w:widowControl w:val="0"/>
        <w:kinsoku/>
        <w:wordWrap/>
        <w:overflowPunct/>
        <w:topLinePunct w:val="0"/>
        <w:autoSpaceDE/>
        <w:autoSpaceDN/>
        <w:bidi w:val="0"/>
        <w:adjustRightInd/>
        <w:snapToGrid/>
        <w:jc w:val="both"/>
        <w:textAlignment w:val="auto"/>
        <w:rPr>
          <w:rFonts w:hint="default" w:ascii="方正楷体_GBK" w:hAnsi="方正楷体_GBK" w:eastAsia="方正楷体_GBK" w:cs="方正楷体_GBK"/>
          <w:b/>
          <w:bCs/>
          <w:sz w:val="32"/>
          <w:szCs w:val="32"/>
          <w:lang w:val="zh-CN"/>
        </w:rPr>
      </w:pPr>
      <w:r>
        <w:rPr>
          <w:rFonts w:hint="default" w:ascii="方正楷体_GBK" w:hAnsi="方正楷体_GBK" w:eastAsia="方正楷体_GBK" w:cs="方正楷体_GBK"/>
          <w:b/>
          <w:bCs/>
          <w:sz w:val="32"/>
          <w:szCs w:val="32"/>
          <w:lang w:val="zh-CN"/>
        </w:rPr>
        <w:t>（三）绩效结果应用情况。</w:t>
      </w:r>
    </w:p>
    <w:p w14:paraId="7C38816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区审计局</w:t>
      </w:r>
      <w:r>
        <w:rPr>
          <w:rFonts w:hint="default" w:ascii="Times New Roman" w:hAnsi="Times New Roman" w:eastAsia="方正仿宋_GBK" w:cs="Times New Roman"/>
          <w:sz w:val="32"/>
          <w:szCs w:val="32"/>
          <w:lang w:val="zh-CN" w:eastAsia="zh-CN"/>
        </w:rPr>
        <w:t>所有开支均按照</w:t>
      </w:r>
      <w:r>
        <w:rPr>
          <w:rFonts w:hint="default" w:ascii="Times New Roman" w:hAnsi="Times New Roman" w:eastAsia="方正仿宋_GBK" w:cs="Times New Roman"/>
          <w:sz w:val="32"/>
          <w:szCs w:val="32"/>
          <w:lang w:val="en-US" w:eastAsia="zh-CN"/>
        </w:rPr>
        <w:t>财务</w:t>
      </w:r>
      <w:r>
        <w:rPr>
          <w:rFonts w:hint="default" w:ascii="Times New Roman" w:hAnsi="Times New Roman" w:eastAsia="方正仿宋_GBK" w:cs="Times New Roman"/>
          <w:sz w:val="32"/>
          <w:szCs w:val="32"/>
          <w:lang w:val="zh-CN" w:eastAsia="zh-CN"/>
        </w:rPr>
        <w:t>管理制度执行</w:t>
      </w:r>
      <w:r>
        <w:rPr>
          <w:rFonts w:hint="eastAsia" w:ascii="Times New Roman" w:hAnsi="Times New Roman" w:eastAsia="方正仿宋_GBK" w:cs="Times New Roman"/>
          <w:sz w:val="32"/>
          <w:szCs w:val="32"/>
          <w:lang w:val="zh-CN" w:eastAsia="zh-CN"/>
        </w:rPr>
        <w:t>，对</w:t>
      </w:r>
      <w:r>
        <w:rPr>
          <w:rFonts w:hint="default" w:ascii="Times New Roman" w:hAnsi="Times New Roman" w:eastAsia="方正仿宋_GBK" w:cs="Times New Roman"/>
          <w:sz w:val="32"/>
          <w:szCs w:val="32"/>
          <w:lang w:val="zh-CN" w:eastAsia="zh-CN"/>
        </w:rPr>
        <w:t>资金的使用严格把关，机关的日常工作运行基本得到保障。绩效评价对全年工作目标起到积极的促进作用。强调部门目标的层层分解与传递以明确岗位职责提高执行力，为明年的工作开展及实施奠定坚实的基础。我单位将绩效自评结果运用到下一年工作的统筹安排、项目资金划拨及按照工作任务的重要性来明确资金使用上，以提高工作效率保质保量完成</w:t>
      </w:r>
      <w:r>
        <w:rPr>
          <w:rFonts w:hint="eastAsia" w:ascii="Times New Roman" w:hAnsi="Times New Roman" w:eastAsia="方正仿宋_GBK" w:cs="Times New Roman"/>
          <w:sz w:val="32"/>
          <w:szCs w:val="32"/>
          <w:lang w:val="zh-CN" w:eastAsia="zh-CN"/>
        </w:rPr>
        <w:t>区委、区政府</w:t>
      </w:r>
      <w:r>
        <w:rPr>
          <w:rFonts w:hint="default" w:ascii="Times New Roman" w:hAnsi="Times New Roman" w:eastAsia="方正仿宋_GBK" w:cs="Times New Roman"/>
          <w:sz w:val="32"/>
          <w:szCs w:val="32"/>
          <w:lang w:val="zh-CN" w:eastAsia="zh-CN"/>
        </w:rPr>
        <w:t>交办的各项工作任务。在绩效自评工作完成后将结果放在攀枝花市西区人民政府网站政务公开栏目中公开公示。</w:t>
      </w:r>
    </w:p>
    <w:p w14:paraId="0DF00D22">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四、评价结论及建议</w:t>
      </w:r>
    </w:p>
    <w:p w14:paraId="4C89F30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sz w:val="32"/>
          <w:szCs w:val="32"/>
          <w:lang w:val="zh-CN"/>
        </w:rPr>
        <w:t>（一）评价结论。</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年西区审计局整体支出绩效自评较科学准确，真实地反映了本单位财政收支情况，较好完成年初绩效目标任务，自评优秀。评价得分9</w:t>
      </w:r>
      <w:r>
        <w:rPr>
          <w:rFonts w:hint="default" w:ascii="Times New Roman" w:hAnsi="Times New Roman" w:eastAsia="方正仿宋_GBK" w:cs="Times New Roman"/>
          <w:sz w:val="32"/>
          <w:szCs w:val="32"/>
          <w:lang w:val="en-US" w:eastAsia="zh-CN"/>
        </w:rPr>
        <w:t>6.5</w:t>
      </w:r>
      <w:r>
        <w:rPr>
          <w:rFonts w:hint="default" w:ascii="Times New Roman" w:hAnsi="Times New Roman" w:eastAsia="方正仿宋_GBK" w:cs="Times New Roman"/>
          <w:sz w:val="32"/>
          <w:szCs w:val="32"/>
        </w:rPr>
        <w:t>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其中总体绩效62分，项目绩效3</w:t>
      </w:r>
      <w:r>
        <w:rPr>
          <w:rFonts w:hint="default" w:ascii="Times New Roman" w:hAnsi="Times New Roman" w:eastAsia="方正仿宋_GBK" w:cs="Times New Roman"/>
          <w:sz w:val="32"/>
          <w:szCs w:val="32"/>
          <w:lang w:val="en-US" w:eastAsia="zh-CN"/>
        </w:rPr>
        <w:t>4.5</w:t>
      </w:r>
      <w:r>
        <w:rPr>
          <w:rFonts w:hint="default" w:ascii="Times New Roman" w:hAnsi="Times New Roman" w:eastAsia="方正仿宋_GBK" w:cs="Times New Roman"/>
          <w:sz w:val="32"/>
          <w:szCs w:val="32"/>
        </w:rPr>
        <w:t>分。</w:t>
      </w:r>
    </w:p>
    <w:p w14:paraId="76134EF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lang w:val="zh-CN"/>
        </w:rPr>
        <w:t>（</w:t>
      </w:r>
      <w:r>
        <w:rPr>
          <w:rFonts w:hint="eastAsia" w:ascii="方正楷体_GBK" w:hAnsi="方正楷体_GBK" w:eastAsia="方正楷体_GBK" w:cs="方正楷体_GBK"/>
          <w:b/>
          <w:bCs/>
          <w:sz w:val="32"/>
          <w:szCs w:val="32"/>
          <w:lang w:val="en-US" w:eastAsia="zh-CN"/>
        </w:rPr>
        <w:t>二</w:t>
      </w:r>
      <w:r>
        <w:rPr>
          <w:rFonts w:hint="eastAsia" w:ascii="方正楷体_GBK" w:hAnsi="方正楷体_GBK" w:eastAsia="方正楷体_GBK" w:cs="方正楷体_GBK"/>
          <w:b/>
          <w:bCs/>
          <w:sz w:val="32"/>
          <w:szCs w:val="32"/>
          <w:lang w:val="zh-CN"/>
        </w:rPr>
        <w:t>）</w:t>
      </w:r>
      <w:r>
        <w:rPr>
          <w:rFonts w:hint="default" w:ascii="方正楷体_GBK" w:hAnsi="方正楷体_GBK" w:eastAsia="方正楷体_GBK" w:cs="方正楷体_GBK"/>
          <w:b/>
          <w:bCs/>
          <w:sz w:val="32"/>
          <w:szCs w:val="32"/>
          <w:lang w:val="zh-CN"/>
        </w:rPr>
        <w:t>存在问题。</w:t>
      </w:r>
      <w:r>
        <w:rPr>
          <w:rFonts w:hint="default" w:ascii="Times New Roman" w:hAnsi="Times New Roman" w:eastAsia="方正仿宋_GBK" w:cs="Times New Roman"/>
          <w:sz w:val="32"/>
          <w:szCs w:val="32"/>
        </w:rPr>
        <w:t>一是在资金安排和使用上仍有不可预见性：如在预算执行中，有时会因临时新增重要的工作任务或者人员增加发生新的费用，而年初预算时很难精确测算相关支出，导致预算执行中需要追加经费；二是因为个别专项工作需按照上级部门安排部署开展，本年度无法完成，导致项目资金结转下年。</w:t>
      </w:r>
    </w:p>
    <w:p w14:paraId="5AFA0EC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bCs/>
          <w:sz w:val="32"/>
          <w:szCs w:val="32"/>
          <w:lang w:val="zh-CN"/>
        </w:rPr>
        <w:t>（三）改进建议。</w:t>
      </w:r>
      <w:r>
        <w:rPr>
          <w:rFonts w:hint="default" w:ascii="Times New Roman" w:hAnsi="Times New Roman" w:eastAsia="方正仿宋_GBK" w:cs="Times New Roman"/>
          <w:sz w:val="32"/>
          <w:szCs w:val="32"/>
        </w:rPr>
        <w:t>加强单位内部财务管理制度，加强预算编制的精准性及预算项目的可实施性，加强资金使用动态管理，确保资金使用效益最大化。</w:t>
      </w:r>
    </w:p>
    <w:p w14:paraId="75A91E1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p>
    <w:p w14:paraId="79ABCB5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附表：1.部门预算绩效自评打分表</w:t>
      </w:r>
    </w:p>
    <w:p w14:paraId="5F7C1729">
      <w:pPr>
        <w:keepNext w:val="0"/>
        <w:keepLines w:val="0"/>
        <w:pageBreakBefore w:val="0"/>
        <w:widowControl w:val="0"/>
        <w:kinsoku/>
        <w:wordWrap/>
        <w:overflowPunct/>
        <w:topLinePunct w:val="0"/>
        <w:autoSpaceDE/>
        <w:autoSpaceDN/>
        <w:bidi w:val="0"/>
        <w:adjustRightInd/>
        <w:snapToGrid/>
        <w:ind w:firstLine="1650" w:firstLineChars="5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2.部门整体绩效目标完成情况自评表</w:t>
      </w:r>
    </w:p>
    <w:p w14:paraId="1F20E039">
      <w:pPr>
        <w:keepNext w:val="0"/>
        <w:keepLines w:val="0"/>
        <w:pageBreakBefore w:val="0"/>
        <w:widowControl w:val="0"/>
        <w:kinsoku/>
        <w:wordWrap/>
        <w:overflowPunct/>
        <w:topLinePunct w:val="0"/>
        <w:autoSpaceDE/>
        <w:autoSpaceDN/>
        <w:bidi w:val="0"/>
        <w:adjustRightInd/>
        <w:snapToGrid/>
        <w:ind w:firstLine="1650" w:firstLineChars="500"/>
        <w:jc w:val="both"/>
        <w:textAlignment w:val="auto"/>
        <w:rPr>
          <w:rFonts w:hint="default" w:ascii="Times New Roman" w:hAnsi="Times New Roman" w:eastAsia="方正仿宋_GBK" w:cs="Times New Roman"/>
          <w:sz w:val="32"/>
          <w:szCs w:val="32"/>
        </w:rPr>
      </w:pPr>
    </w:p>
    <w:p w14:paraId="2CC05714">
      <w:pPr>
        <w:keepNext w:val="0"/>
        <w:keepLines w:val="0"/>
        <w:pageBreakBefore w:val="0"/>
        <w:widowControl w:val="0"/>
        <w:kinsoku/>
        <w:wordWrap/>
        <w:overflowPunct/>
        <w:topLinePunct w:val="0"/>
        <w:autoSpaceDE/>
        <w:autoSpaceDN/>
        <w:bidi w:val="0"/>
        <w:adjustRightInd/>
        <w:snapToGrid/>
        <w:ind w:firstLine="1650" w:firstLineChars="500"/>
        <w:jc w:val="both"/>
        <w:textAlignment w:val="auto"/>
        <w:rPr>
          <w:rFonts w:hint="default" w:ascii="Times New Roman" w:hAnsi="Times New Roman" w:eastAsia="方正仿宋_GBK" w:cs="Times New Roman"/>
          <w:sz w:val="32"/>
          <w:szCs w:val="32"/>
        </w:rPr>
      </w:pPr>
    </w:p>
    <w:p w14:paraId="3D0A6BD8">
      <w:pPr>
        <w:spacing w:line="578" w:lineRule="exact"/>
        <w:ind w:left="0" w:leftChars="0" w:firstLine="0" w:firstLineChars="0"/>
        <w:jc w:val="left"/>
        <w:rPr>
          <w:rFonts w:hint="default" w:ascii="Times New Roman" w:hAnsi="Times New Roman" w:eastAsia="方正黑体_GBK" w:cs="Times New Roman"/>
          <w:sz w:val="32"/>
          <w:szCs w:val="32"/>
        </w:rPr>
      </w:pPr>
    </w:p>
    <w:p w14:paraId="5DB5A249">
      <w:pPr>
        <w:spacing w:line="578" w:lineRule="exact"/>
        <w:ind w:left="0" w:leftChars="0" w:firstLine="0" w:firstLineChars="0"/>
        <w:jc w:val="left"/>
        <w:rPr>
          <w:rFonts w:hint="default" w:ascii="Times New Roman" w:hAnsi="Times New Roman" w:eastAsia="方正黑体_GBK" w:cs="Times New Roman"/>
          <w:sz w:val="32"/>
          <w:szCs w:val="32"/>
        </w:rPr>
      </w:pPr>
    </w:p>
    <w:p w14:paraId="66F96C67">
      <w:pPr>
        <w:spacing w:line="578" w:lineRule="exact"/>
        <w:ind w:left="0" w:leftChars="0" w:firstLine="0" w:firstLineChars="0"/>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附表1</w:t>
      </w:r>
    </w:p>
    <w:p w14:paraId="67E6C3C6">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7"/>
        <w:tblW w:w="11159" w:type="dxa"/>
        <w:jc w:val="center"/>
        <w:tblLayout w:type="fixed"/>
        <w:tblCellMar>
          <w:top w:w="0" w:type="dxa"/>
          <w:left w:w="108" w:type="dxa"/>
          <w:bottom w:w="0" w:type="dxa"/>
          <w:right w:w="108" w:type="dxa"/>
        </w:tblCellMar>
      </w:tblPr>
      <w:tblGrid>
        <w:gridCol w:w="1291"/>
        <w:gridCol w:w="1277"/>
        <w:gridCol w:w="1723"/>
        <w:gridCol w:w="764"/>
        <w:gridCol w:w="4855"/>
        <w:gridCol w:w="829"/>
        <w:gridCol w:w="420"/>
      </w:tblGrid>
      <w:tr w14:paraId="6A9926E3">
        <w:tblPrEx>
          <w:tblCellMar>
            <w:top w:w="0" w:type="dxa"/>
            <w:left w:w="108" w:type="dxa"/>
            <w:bottom w:w="0" w:type="dxa"/>
            <w:right w:w="108" w:type="dxa"/>
          </w:tblCellMar>
        </w:tblPrEx>
        <w:trPr>
          <w:trHeight w:val="23" w:hRule="atLeast"/>
          <w:jc w:val="center"/>
        </w:trPr>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194F5F">
            <w:pPr>
              <w:widowControl/>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绩效评价指标指标分值</w:t>
            </w:r>
          </w:p>
        </w:tc>
        <w:tc>
          <w:tcPr>
            <w:tcW w:w="4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202B3">
            <w:pPr>
              <w:widowControl/>
              <w:spacing w:line="240" w:lineRule="exact"/>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指标解释</w:t>
            </w:r>
          </w:p>
        </w:tc>
        <w:tc>
          <w:tcPr>
            <w:tcW w:w="829" w:type="dxa"/>
            <w:vMerge w:val="restart"/>
            <w:tcBorders>
              <w:top w:val="single" w:color="000000" w:sz="4" w:space="0"/>
              <w:left w:val="single" w:color="000000" w:sz="4" w:space="0"/>
              <w:right w:val="single" w:color="000000" w:sz="4" w:space="0"/>
            </w:tcBorders>
            <w:shd w:val="clear" w:color="auto" w:fill="auto"/>
            <w:vAlign w:val="center"/>
          </w:tcPr>
          <w:p w14:paraId="534BB50A">
            <w:pPr>
              <w:widowControl/>
              <w:spacing w:line="240" w:lineRule="exact"/>
              <w:ind w:left="0" w:leftChars="0" w:firstLine="0" w:firstLineChars="0"/>
              <w:jc w:val="both"/>
              <w:textAlignment w:val="center"/>
              <w:rPr>
                <w:rFonts w:hint="eastAsia" w:ascii="方正黑体_GBK" w:hAnsi="方正黑体_GBK" w:eastAsia="方正黑体_GBK" w:cs="方正黑体_GBK"/>
                <w:color w:val="000000"/>
                <w:kern w:val="0"/>
                <w:sz w:val="24"/>
                <w:lang w:val="en-US" w:eastAsia="zh-CN" w:bidi="ar"/>
              </w:rPr>
            </w:pPr>
            <w:r>
              <w:rPr>
                <w:rFonts w:hint="eastAsia" w:ascii="方正黑体_GBK" w:hAnsi="方正黑体_GBK" w:eastAsia="方正黑体_GBK" w:cs="方正黑体_GBK"/>
                <w:color w:val="000000"/>
                <w:kern w:val="0"/>
                <w:sz w:val="24"/>
                <w:lang w:val="en-US" w:eastAsia="zh-CN" w:bidi="ar"/>
              </w:rPr>
              <w:t>自评得分</w:t>
            </w:r>
          </w:p>
        </w:tc>
        <w:tc>
          <w:tcPr>
            <w:tcW w:w="420" w:type="dxa"/>
            <w:vMerge w:val="restart"/>
            <w:tcBorders>
              <w:top w:val="single" w:color="000000" w:sz="4" w:space="0"/>
              <w:left w:val="single" w:color="000000" w:sz="4" w:space="0"/>
              <w:right w:val="single" w:color="000000" w:sz="4" w:space="0"/>
            </w:tcBorders>
            <w:shd w:val="clear" w:color="auto" w:fill="auto"/>
            <w:vAlign w:val="center"/>
          </w:tcPr>
          <w:p w14:paraId="7FADCC36">
            <w:pPr>
              <w:widowControl/>
              <w:spacing w:line="240" w:lineRule="exact"/>
              <w:ind w:left="0" w:leftChars="0" w:firstLine="0" w:firstLineChars="0"/>
              <w:jc w:val="both"/>
              <w:textAlignment w:val="center"/>
              <w:rPr>
                <w:rFonts w:hint="eastAsia" w:ascii="方正黑体_GBK" w:hAnsi="方正黑体_GBK" w:eastAsia="方正黑体_GBK" w:cs="方正黑体_GBK"/>
                <w:color w:val="000000"/>
                <w:kern w:val="0"/>
                <w:sz w:val="24"/>
                <w:lang w:bidi="ar"/>
              </w:rPr>
            </w:pPr>
            <w:r>
              <w:rPr>
                <w:rFonts w:hint="eastAsia" w:ascii="方正黑体_GBK" w:hAnsi="方正黑体_GBK" w:eastAsia="方正黑体_GBK" w:cs="方正黑体_GBK"/>
                <w:color w:val="000000"/>
                <w:kern w:val="0"/>
                <w:sz w:val="24"/>
                <w:lang w:bidi="ar"/>
              </w:rPr>
              <w:t>备注</w:t>
            </w:r>
          </w:p>
        </w:tc>
      </w:tr>
      <w:tr w14:paraId="42D77819">
        <w:tblPrEx>
          <w:tblCellMar>
            <w:top w:w="0" w:type="dxa"/>
            <w:left w:w="108" w:type="dxa"/>
            <w:bottom w:w="0" w:type="dxa"/>
            <w:right w:w="108" w:type="dxa"/>
          </w:tblCellMar>
        </w:tblPrEx>
        <w:trPr>
          <w:trHeight w:val="23" w:hRule="atLeast"/>
          <w:jc w:val="center"/>
        </w:trPr>
        <w:tc>
          <w:tcPr>
            <w:tcW w:w="1291" w:type="dxa"/>
            <w:tcBorders>
              <w:top w:val="single" w:color="000000" w:sz="4" w:space="0"/>
              <w:left w:val="single" w:color="000000" w:sz="4" w:space="0"/>
              <w:bottom w:val="single" w:color="000000" w:sz="4" w:space="0"/>
              <w:right w:val="nil"/>
            </w:tcBorders>
            <w:shd w:val="clear" w:color="auto" w:fill="auto"/>
            <w:vAlign w:val="center"/>
          </w:tcPr>
          <w:p w14:paraId="11B5FBDE">
            <w:pPr>
              <w:widowControl/>
              <w:spacing w:line="240" w:lineRule="exact"/>
              <w:ind w:left="0" w:leftChars="0" w:firstLine="0" w:firstLineChars="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一级指标</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DE0C">
            <w:pPr>
              <w:widowControl/>
              <w:spacing w:line="240" w:lineRule="exact"/>
              <w:ind w:left="0" w:leftChars="0" w:firstLine="0" w:firstLineChars="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二级指标</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0C31">
            <w:pPr>
              <w:widowControl/>
              <w:spacing w:line="240" w:lineRule="exact"/>
              <w:ind w:left="0" w:leftChars="0" w:firstLine="0" w:firstLineChars="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三级指标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B033">
            <w:pPr>
              <w:widowControl/>
              <w:spacing w:line="240" w:lineRule="exact"/>
              <w:ind w:left="0" w:leftChars="0" w:firstLine="0" w:firstLineChars="0"/>
              <w:jc w:val="center"/>
              <w:textAlignment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指标分值</w:t>
            </w:r>
          </w:p>
        </w:tc>
        <w:tc>
          <w:tcPr>
            <w:tcW w:w="4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72EE5">
            <w:pPr>
              <w:widowControl/>
              <w:spacing w:line="240" w:lineRule="exact"/>
              <w:jc w:val="center"/>
              <w:rPr>
                <w:rFonts w:ascii="黑体" w:hAnsi="宋体" w:eastAsia="黑体" w:cs="黑体"/>
                <w:color w:val="000000"/>
                <w:sz w:val="24"/>
              </w:rPr>
            </w:pPr>
          </w:p>
        </w:tc>
        <w:tc>
          <w:tcPr>
            <w:tcW w:w="829" w:type="dxa"/>
            <w:vMerge w:val="continue"/>
            <w:tcBorders>
              <w:left w:val="single" w:color="000000" w:sz="4" w:space="0"/>
              <w:bottom w:val="single" w:color="000000" w:sz="4" w:space="0"/>
              <w:right w:val="single" w:color="000000" w:sz="4" w:space="0"/>
            </w:tcBorders>
            <w:shd w:val="clear" w:color="auto" w:fill="auto"/>
            <w:vAlign w:val="center"/>
          </w:tcPr>
          <w:p w14:paraId="2D082965">
            <w:pPr>
              <w:widowControl/>
              <w:spacing w:line="240" w:lineRule="exact"/>
              <w:jc w:val="center"/>
              <w:rPr>
                <w:rFonts w:ascii="黑体" w:hAnsi="宋体" w:eastAsia="黑体" w:cs="黑体"/>
                <w:color w:val="000000"/>
                <w:sz w:val="24"/>
              </w:rPr>
            </w:pPr>
          </w:p>
        </w:tc>
        <w:tc>
          <w:tcPr>
            <w:tcW w:w="420" w:type="dxa"/>
            <w:vMerge w:val="continue"/>
            <w:tcBorders>
              <w:left w:val="single" w:color="000000" w:sz="4" w:space="0"/>
              <w:bottom w:val="single" w:color="000000" w:sz="4" w:space="0"/>
              <w:right w:val="single" w:color="000000" w:sz="4" w:space="0"/>
            </w:tcBorders>
            <w:shd w:val="clear" w:color="auto" w:fill="auto"/>
            <w:vAlign w:val="center"/>
          </w:tcPr>
          <w:p w14:paraId="40B10EE5">
            <w:pPr>
              <w:widowControl/>
              <w:spacing w:line="240" w:lineRule="exact"/>
              <w:jc w:val="center"/>
              <w:rPr>
                <w:rFonts w:ascii="黑体" w:hAnsi="宋体" w:eastAsia="黑体" w:cs="黑体"/>
                <w:color w:val="000000"/>
                <w:sz w:val="24"/>
              </w:rPr>
            </w:pPr>
          </w:p>
        </w:tc>
      </w:tr>
      <w:tr w14:paraId="1DE0EF4A">
        <w:tblPrEx>
          <w:tblCellMar>
            <w:top w:w="0" w:type="dxa"/>
            <w:left w:w="108" w:type="dxa"/>
            <w:bottom w:w="0" w:type="dxa"/>
            <w:right w:w="108" w:type="dxa"/>
          </w:tblCellMar>
        </w:tblPrEx>
        <w:trPr>
          <w:trHeight w:val="23" w:hRule="atLeast"/>
          <w:jc w:val="center"/>
        </w:trPr>
        <w:tc>
          <w:tcPr>
            <w:tcW w:w="1291" w:type="dxa"/>
            <w:vMerge w:val="restart"/>
            <w:tcBorders>
              <w:top w:val="single" w:color="000000" w:sz="4" w:space="0"/>
              <w:left w:val="single" w:color="000000" w:sz="4" w:space="0"/>
              <w:right w:val="single" w:color="000000" w:sz="4" w:space="0"/>
            </w:tcBorders>
            <w:shd w:val="clear" w:color="auto" w:fill="auto"/>
            <w:vAlign w:val="center"/>
          </w:tcPr>
          <w:p w14:paraId="15E5C7F3">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kern w:val="0"/>
                <w:sz w:val="24"/>
                <w:lang w:bidi="ar"/>
              </w:rPr>
            </w:pPr>
            <w:r>
              <w:rPr>
                <w:rFonts w:hint="default" w:ascii="Times New Roman" w:hAnsi="Times New Roman" w:eastAsia="方正仿宋_GBK" w:cs="Times New Roman"/>
                <w:b/>
                <w:color w:val="000000"/>
                <w:kern w:val="0"/>
                <w:sz w:val="24"/>
                <w:lang w:bidi="ar"/>
              </w:rPr>
              <w:t>总体绩效（65分）</w:t>
            </w:r>
          </w:p>
          <w:p w14:paraId="346303DA">
            <w:pPr>
              <w:widowControl/>
              <w:spacing w:line="240" w:lineRule="exact"/>
              <w:jc w:val="center"/>
              <w:textAlignment w:val="center"/>
              <w:rPr>
                <w:rFonts w:hint="default" w:ascii="Times New Roman" w:hAnsi="Times New Roman" w:eastAsia="方正仿宋_GBK" w:cs="Times New Roman"/>
                <w:b/>
                <w:color w:val="000000"/>
                <w:sz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3BA7">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履职效能</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（15分）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9548">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XX履职效果</w:t>
            </w:r>
          </w:p>
        </w:tc>
        <w:tc>
          <w:tcPr>
            <w:tcW w:w="764" w:type="dxa"/>
            <w:tcBorders>
              <w:top w:val="nil"/>
              <w:left w:val="single" w:color="000000" w:sz="4" w:space="0"/>
              <w:bottom w:val="single" w:color="000000" w:sz="4" w:space="0"/>
              <w:right w:val="single" w:color="000000" w:sz="4" w:space="0"/>
            </w:tcBorders>
            <w:shd w:val="clear" w:color="auto" w:fill="auto"/>
            <w:vAlign w:val="center"/>
          </w:tcPr>
          <w:p w14:paraId="1652C108">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B2BC">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部门整体绩效目标中选定3</w:t>
            </w:r>
            <w:r>
              <w:rPr>
                <w:rFonts w:hint="eastAsia" w:ascii="Times New Roman" w:hAnsi="Times New Roman" w:eastAsia="方正仿宋_GBK" w:cs="Times New Roman"/>
                <w:color w:val="000000"/>
                <w:kern w:val="0"/>
                <w:sz w:val="24"/>
                <w:lang w:eastAsia="zh-CN" w:bidi="ar"/>
              </w:rPr>
              <w:t>—</w:t>
            </w:r>
            <w:r>
              <w:rPr>
                <w:rFonts w:hint="default" w:ascii="Times New Roman" w:hAnsi="Times New Roman" w:eastAsia="方正仿宋_GBK" w:cs="Times New Roman"/>
                <w:color w:val="000000"/>
                <w:kern w:val="0"/>
                <w:sz w:val="24"/>
                <w:lang w:bidi="ar"/>
              </w:rPr>
              <w:t>5个核心职能目标，反映该项职能目标完成效果情况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AF86">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15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D902">
            <w:pPr>
              <w:widowControl/>
              <w:spacing w:line="240" w:lineRule="exact"/>
              <w:jc w:val="left"/>
              <w:textAlignment w:val="center"/>
              <w:rPr>
                <w:rFonts w:ascii="宋体" w:hAnsi="宋体" w:eastAsia="宋体" w:cs="宋体"/>
                <w:color w:val="000000"/>
                <w:kern w:val="0"/>
                <w:sz w:val="24"/>
                <w:lang w:bidi="ar"/>
              </w:rPr>
            </w:pPr>
          </w:p>
        </w:tc>
      </w:tr>
      <w:tr w14:paraId="567D6540">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73506DBC">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1D42F">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预算管理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（25分）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3722">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预算编制质量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23F5">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D359">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部门是否严格按要求编制年初部门预算，年初预算编制的科学性和准确性</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8E4D">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8</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6B4E">
            <w:pPr>
              <w:widowControl/>
              <w:spacing w:line="240" w:lineRule="exact"/>
              <w:jc w:val="left"/>
              <w:textAlignment w:val="center"/>
              <w:rPr>
                <w:rFonts w:ascii="宋体" w:hAnsi="宋体" w:eastAsia="宋体" w:cs="宋体"/>
                <w:color w:val="000000"/>
                <w:kern w:val="0"/>
                <w:sz w:val="24"/>
                <w:lang w:bidi="ar"/>
              </w:rPr>
            </w:pPr>
          </w:p>
        </w:tc>
      </w:tr>
      <w:tr w14:paraId="56F16D61">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115274A4">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9B313">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361A">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单位收入统筹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00E9">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22D7">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部门统筹自有收入程度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3E87">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38F7">
            <w:pPr>
              <w:widowControl/>
              <w:spacing w:line="240" w:lineRule="exact"/>
              <w:jc w:val="left"/>
              <w:textAlignment w:val="center"/>
              <w:rPr>
                <w:rFonts w:ascii="宋体" w:hAnsi="宋体" w:eastAsia="宋体" w:cs="宋体"/>
                <w:color w:val="000000"/>
                <w:kern w:val="0"/>
                <w:sz w:val="24"/>
                <w:lang w:bidi="ar"/>
              </w:rPr>
            </w:pPr>
          </w:p>
        </w:tc>
      </w:tr>
      <w:tr w14:paraId="435284F5">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0A12E9BE">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2157A">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3923">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支出执行进度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C8D4">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C6FA">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部门1至6月、1至10月预算执行情况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626B">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DF1D">
            <w:pPr>
              <w:widowControl/>
              <w:spacing w:line="240" w:lineRule="exact"/>
              <w:jc w:val="left"/>
              <w:textAlignment w:val="center"/>
              <w:rPr>
                <w:rFonts w:ascii="宋体" w:hAnsi="宋体" w:eastAsia="宋体" w:cs="宋体"/>
                <w:color w:val="000000"/>
                <w:kern w:val="0"/>
                <w:sz w:val="24"/>
                <w:lang w:bidi="ar"/>
              </w:rPr>
            </w:pPr>
          </w:p>
        </w:tc>
      </w:tr>
      <w:tr w14:paraId="4506601D">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5D16E9F6">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8E008">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6215">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预算年终结余</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C1D7">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4389">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部门整体年终预算结余情况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4032">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1.5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B9DC">
            <w:pPr>
              <w:widowControl/>
              <w:spacing w:line="240" w:lineRule="exact"/>
              <w:jc w:val="left"/>
              <w:textAlignment w:val="center"/>
              <w:rPr>
                <w:rFonts w:ascii="宋体" w:hAnsi="宋体" w:eastAsia="宋体" w:cs="宋体"/>
                <w:color w:val="000000"/>
                <w:kern w:val="0"/>
                <w:sz w:val="24"/>
                <w:lang w:bidi="ar"/>
              </w:rPr>
            </w:pPr>
          </w:p>
        </w:tc>
      </w:tr>
      <w:tr w14:paraId="3452DE91">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0A6EC784">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8EC87">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4054">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严控一般性支出</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6665">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337E">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部门严控“三公”经费、会议、培训、差旅、办节办展、办公设备购置、信息网络及软件购置更新、课题经费等8项一般性支出情况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438E">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64F7">
            <w:pPr>
              <w:widowControl/>
              <w:spacing w:line="240" w:lineRule="exact"/>
              <w:jc w:val="left"/>
              <w:textAlignment w:val="center"/>
              <w:rPr>
                <w:rFonts w:ascii="宋体" w:hAnsi="宋体" w:eastAsia="宋体" w:cs="宋体"/>
                <w:color w:val="000000"/>
                <w:kern w:val="0"/>
                <w:sz w:val="24"/>
                <w:lang w:bidi="ar"/>
              </w:rPr>
            </w:pPr>
          </w:p>
        </w:tc>
      </w:tr>
      <w:tr w14:paraId="39E331BD">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059A8874">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94D60">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财务管理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7737">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财务管理制度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3DF6">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DDF5">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部门财务管理制度建立情况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122C">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9033">
            <w:pPr>
              <w:widowControl/>
              <w:spacing w:line="240" w:lineRule="exact"/>
              <w:jc w:val="left"/>
              <w:textAlignment w:val="center"/>
              <w:rPr>
                <w:rFonts w:ascii="宋体" w:hAnsi="宋体" w:eastAsia="宋体" w:cs="宋体"/>
                <w:color w:val="000000"/>
                <w:kern w:val="0"/>
                <w:sz w:val="24"/>
                <w:lang w:bidi="ar"/>
              </w:rPr>
            </w:pPr>
          </w:p>
        </w:tc>
      </w:tr>
      <w:tr w14:paraId="1F1A0480">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204444D4">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150F0">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D497">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财务岗位设置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61DE">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1D51">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部门财务岗位设置是否符合相关财务管理制度要求</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6DAA">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DB6B">
            <w:pPr>
              <w:widowControl/>
              <w:spacing w:line="240" w:lineRule="exact"/>
              <w:jc w:val="left"/>
              <w:textAlignment w:val="center"/>
              <w:rPr>
                <w:rFonts w:ascii="宋体" w:hAnsi="宋体" w:eastAsia="宋体" w:cs="宋体"/>
                <w:color w:val="000000"/>
                <w:kern w:val="0"/>
                <w:sz w:val="24"/>
                <w:lang w:bidi="ar"/>
              </w:rPr>
            </w:pPr>
          </w:p>
        </w:tc>
      </w:tr>
      <w:tr w14:paraId="5CE978AF">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4B11AC91">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BCB7A">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F49F">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资金使用规范</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4EED">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2701">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部门资金使用是否符合相关财务管理制度规定</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3F85">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E842">
            <w:pPr>
              <w:widowControl/>
              <w:spacing w:line="240" w:lineRule="exact"/>
              <w:jc w:val="left"/>
              <w:textAlignment w:val="center"/>
              <w:rPr>
                <w:rFonts w:ascii="宋体" w:hAnsi="宋体" w:eastAsia="宋体" w:cs="宋体"/>
                <w:color w:val="000000"/>
                <w:kern w:val="0"/>
                <w:sz w:val="24"/>
                <w:lang w:bidi="ar"/>
              </w:rPr>
            </w:pPr>
          </w:p>
        </w:tc>
      </w:tr>
      <w:tr w14:paraId="44FE33B2">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0A3B70A4">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right w:val="single" w:color="000000" w:sz="4" w:space="0"/>
            </w:tcBorders>
            <w:shd w:val="clear" w:color="auto" w:fill="auto"/>
            <w:vAlign w:val="center"/>
          </w:tcPr>
          <w:p w14:paraId="28646CF5">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资产管理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（9分）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9B9D">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人均资产变化率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3374">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685E">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部门人均资产变化情况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936F">
            <w:pPr>
              <w:widowControl/>
              <w:spacing w:line="240" w:lineRule="exact"/>
              <w:ind w:left="0" w:leftChars="0" w:firstLine="0" w:firstLineChars="0"/>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rPr>
              <w:t>2.5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6062">
            <w:pPr>
              <w:widowControl/>
              <w:spacing w:line="240" w:lineRule="exact"/>
              <w:jc w:val="left"/>
              <w:textAlignment w:val="center"/>
              <w:rPr>
                <w:rFonts w:ascii="宋体" w:hAnsi="宋体" w:eastAsia="宋体" w:cs="宋体"/>
                <w:color w:val="000000"/>
                <w:kern w:val="0"/>
                <w:sz w:val="24"/>
                <w:lang w:bidi="ar"/>
              </w:rPr>
            </w:pPr>
          </w:p>
        </w:tc>
      </w:tr>
      <w:tr w14:paraId="6E765175">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1355C3FE">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left w:val="single" w:color="000000" w:sz="4" w:space="0"/>
              <w:right w:val="single" w:color="000000" w:sz="4" w:space="0"/>
            </w:tcBorders>
            <w:shd w:val="clear" w:color="auto" w:fill="auto"/>
            <w:vAlign w:val="center"/>
          </w:tcPr>
          <w:p w14:paraId="737C6F4A">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718E">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资产利用率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E020">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3FDF">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部门资产超最低使用年限情况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0BE8">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0B38">
            <w:pPr>
              <w:widowControl/>
              <w:spacing w:line="240" w:lineRule="exact"/>
              <w:jc w:val="left"/>
              <w:textAlignment w:val="center"/>
              <w:rPr>
                <w:rFonts w:ascii="宋体" w:hAnsi="宋体" w:eastAsia="宋体" w:cs="宋体"/>
                <w:color w:val="000000"/>
                <w:kern w:val="0"/>
                <w:sz w:val="24"/>
                <w:lang w:bidi="ar"/>
              </w:rPr>
            </w:pPr>
          </w:p>
        </w:tc>
      </w:tr>
      <w:tr w14:paraId="6B378405">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5DEE3376">
            <w:pPr>
              <w:widowControl/>
              <w:spacing w:line="240" w:lineRule="exact"/>
              <w:jc w:val="center"/>
              <w:textAlignment w:val="center"/>
              <w:rPr>
                <w:rFonts w:hint="default" w:ascii="Times New Roman" w:hAnsi="Times New Roman" w:eastAsia="方正仿宋_GBK" w:cs="Times New Roman"/>
                <w:b/>
                <w:color w:val="000000"/>
                <w:sz w:val="24"/>
              </w:rPr>
            </w:pPr>
          </w:p>
        </w:tc>
        <w:tc>
          <w:tcPr>
            <w:tcW w:w="1277" w:type="dxa"/>
            <w:vMerge w:val="continue"/>
            <w:tcBorders>
              <w:left w:val="single" w:color="000000" w:sz="4" w:space="0"/>
              <w:bottom w:val="single" w:color="000000" w:sz="4" w:space="0"/>
              <w:right w:val="single" w:color="000000" w:sz="4" w:space="0"/>
            </w:tcBorders>
            <w:shd w:val="clear" w:color="auto" w:fill="auto"/>
            <w:vAlign w:val="center"/>
          </w:tcPr>
          <w:p w14:paraId="47C47012">
            <w:pPr>
              <w:widowControl/>
              <w:spacing w:line="240" w:lineRule="exact"/>
              <w:jc w:val="center"/>
              <w:textAlignment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7A8F">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资产盘活率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B2ED">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5417">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部门闲置一年以上的资产盘活情况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5F18">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3038">
            <w:pPr>
              <w:widowControl/>
              <w:spacing w:line="240" w:lineRule="exact"/>
              <w:jc w:val="left"/>
              <w:textAlignment w:val="center"/>
              <w:rPr>
                <w:rFonts w:ascii="宋体" w:hAnsi="宋体" w:eastAsia="宋体" w:cs="宋体"/>
                <w:color w:val="000000"/>
                <w:kern w:val="0"/>
                <w:sz w:val="24"/>
                <w:lang w:bidi="ar"/>
              </w:rPr>
            </w:pPr>
          </w:p>
        </w:tc>
      </w:tr>
      <w:tr w14:paraId="0ECC7835">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right w:val="single" w:color="000000" w:sz="4" w:space="0"/>
            </w:tcBorders>
            <w:shd w:val="clear" w:color="auto" w:fill="auto"/>
            <w:vAlign w:val="center"/>
          </w:tcPr>
          <w:p w14:paraId="0A4FD905">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C6729">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采购管理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9129">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支持中小企业发展</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197B">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F35A">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部门是否严格执行政府采购促进中小企业发展相关管理办法</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8B8A">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CD28">
            <w:pPr>
              <w:widowControl/>
              <w:spacing w:line="240" w:lineRule="exact"/>
              <w:jc w:val="left"/>
              <w:textAlignment w:val="center"/>
              <w:rPr>
                <w:rFonts w:ascii="宋体" w:hAnsi="宋体" w:eastAsia="宋体" w:cs="宋体"/>
                <w:color w:val="000000"/>
                <w:kern w:val="0"/>
                <w:sz w:val="24"/>
                <w:lang w:bidi="ar"/>
              </w:rPr>
            </w:pPr>
          </w:p>
        </w:tc>
      </w:tr>
      <w:tr w14:paraId="132C464F">
        <w:tblPrEx>
          <w:tblCellMar>
            <w:top w:w="0" w:type="dxa"/>
            <w:left w:w="108" w:type="dxa"/>
            <w:bottom w:w="0" w:type="dxa"/>
            <w:right w:w="108" w:type="dxa"/>
          </w:tblCellMar>
        </w:tblPrEx>
        <w:trPr>
          <w:trHeight w:val="23" w:hRule="atLeast"/>
          <w:jc w:val="center"/>
        </w:trPr>
        <w:tc>
          <w:tcPr>
            <w:tcW w:w="1291" w:type="dxa"/>
            <w:vMerge w:val="continue"/>
            <w:tcBorders>
              <w:left w:val="single" w:color="000000" w:sz="4" w:space="0"/>
              <w:bottom w:val="single" w:color="000000" w:sz="4" w:space="0"/>
              <w:right w:val="single" w:color="000000" w:sz="4" w:space="0"/>
            </w:tcBorders>
            <w:shd w:val="clear" w:color="auto" w:fill="auto"/>
            <w:vAlign w:val="center"/>
          </w:tcPr>
          <w:p w14:paraId="53C69B0E">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52DB">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E857">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采购执行率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FE39">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7F5B">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部门政府采购项目资金支付比例情况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308F">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89FE">
            <w:pPr>
              <w:widowControl/>
              <w:spacing w:line="240" w:lineRule="exact"/>
              <w:jc w:val="left"/>
              <w:textAlignment w:val="center"/>
              <w:rPr>
                <w:rFonts w:ascii="宋体" w:hAnsi="宋体" w:eastAsia="宋体" w:cs="宋体"/>
                <w:color w:val="000000"/>
                <w:kern w:val="0"/>
                <w:sz w:val="24"/>
                <w:lang w:bidi="ar"/>
              </w:rPr>
            </w:pPr>
          </w:p>
        </w:tc>
      </w:tr>
      <w:tr w14:paraId="67712357">
        <w:tblPrEx>
          <w:tblCellMar>
            <w:top w:w="0" w:type="dxa"/>
            <w:left w:w="108" w:type="dxa"/>
            <w:bottom w:w="0" w:type="dxa"/>
            <w:right w:w="108" w:type="dxa"/>
          </w:tblCellMar>
        </w:tblPrEx>
        <w:trPr>
          <w:trHeight w:val="23" w:hRule="atLeast"/>
          <w:jc w:val="center"/>
        </w:trPr>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D19F1">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项目绩效</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（35分）</w:t>
            </w:r>
          </w:p>
        </w:tc>
        <w:tc>
          <w:tcPr>
            <w:tcW w:w="1277" w:type="dxa"/>
            <w:vMerge w:val="restart"/>
            <w:tcBorders>
              <w:top w:val="single" w:color="000000" w:sz="4" w:space="0"/>
              <w:left w:val="single" w:color="000000" w:sz="4" w:space="0"/>
              <w:bottom w:val="nil"/>
              <w:right w:val="single" w:color="000000" w:sz="4" w:space="0"/>
            </w:tcBorders>
            <w:shd w:val="clear" w:color="auto" w:fill="auto"/>
            <w:vAlign w:val="center"/>
          </w:tcPr>
          <w:p w14:paraId="7A0C9B1B">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项目决策</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188">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决策程序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75BE">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4229">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部门预算项目设立是否按规定履行评估论证、申报程序</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7AD0">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048C">
            <w:pPr>
              <w:widowControl/>
              <w:spacing w:line="240" w:lineRule="exact"/>
              <w:jc w:val="left"/>
              <w:textAlignment w:val="center"/>
              <w:rPr>
                <w:rFonts w:ascii="宋体" w:hAnsi="宋体" w:eastAsia="宋体" w:cs="宋体"/>
                <w:color w:val="000000"/>
                <w:kern w:val="0"/>
                <w:sz w:val="24"/>
                <w:lang w:bidi="ar"/>
              </w:rPr>
            </w:pPr>
          </w:p>
        </w:tc>
      </w:tr>
      <w:tr w14:paraId="235FC432">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09822">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nil"/>
              <w:right w:val="single" w:color="000000" w:sz="4" w:space="0"/>
            </w:tcBorders>
            <w:shd w:val="clear" w:color="auto" w:fill="auto"/>
            <w:vAlign w:val="center"/>
          </w:tcPr>
          <w:p w14:paraId="6D254A8A">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1BE0">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目标设置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5C49">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7DE2">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部门预算项目绩效目标与计划期内的任务量、预算安排的资金量匹配情况，绩效目标设置是否科学合理、规范完整、量化细化、预算匹配</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EEF7">
            <w:pPr>
              <w:widowControl/>
              <w:spacing w:line="240" w:lineRule="exact"/>
              <w:ind w:left="0" w:leftChars="0" w:firstLine="0" w:firstLineChars="0"/>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FAD">
            <w:pPr>
              <w:widowControl/>
              <w:spacing w:line="240" w:lineRule="exact"/>
              <w:jc w:val="left"/>
              <w:textAlignment w:val="center"/>
              <w:rPr>
                <w:rFonts w:ascii="宋体" w:hAnsi="宋体" w:eastAsia="宋体" w:cs="宋体"/>
                <w:color w:val="000000"/>
                <w:kern w:val="0"/>
                <w:sz w:val="24"/>
                <w:lang w:bidi="ar"/>
              </w:rPr>
            </w:pPr>
          </w:p>
        </w:tc>
      </w:tr>
      <w:tr w14:paraId="16E45E2E">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D8CFC">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nil"/>
              <w:right w:val="single" w:color="000000" w:sz="4" w:space="0"/>
            </w:tcBorders>
            <w:shd w:val="clear" w:color="auto" w:fill="auto"/>
            <w:vAlign w:val="center"/>
          </w:tcPr>
          <w:p w14:paraId="78BFAFBE">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5D2D">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项目入库</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07D4">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DD21">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部门预算项目是否在规定时</w:t>
            </w:r>
            <w:r>
              <w:rPr>
                <w:rFonts w:hint="eastAsia" w:ascii="Times New Roman" w:hAnsi="Times New Roman" w:eastAsia="方正仿宋_GBK" w:cs="Times New Roman"/>
                <w:color w:val="000000"/>
                <w:kern w:val="0"/>
                <w:sz w:val="24"/>
                <w:lang w:eastAsia="zh-CN" w:bidi="ar"/>
              </w:rPr>
              <w:t>间内</w:t>
            </w:r>
            <w:r>
              <w:rPr>
                <w:rFonts w:hint="default" w:ascii="Times New Roman" w:hAnsi="Times New Roman" w:eastAsia="方正仿宋_GBK" w:cs="Times New Roman"/>
                <w:color w:val="000000"/>
                <w:kern w:val="0"/>
                <w:sz w:val="24"/>
                <w:lang w:bidi="ar"/>
              </w:rPr>
              <w:t>完成项目入库</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4217">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FD87">
            <w:pPr>
              <w:widowControl/>
              <w:spacing w:line="240" w:lineRule="exact"/>
              <w:jc w:val="left"/>
              <w:textAlignment w:val="center"/>
              <w:rPr>
                <w:rFonts w:ascii="宋体" w:hAnsi="宋体" w:eastAsia="宋体" w:cs="宋体"/>
                <w:color w:val="000000"/>
                <w:kern w:val="0"/>
                <w:sz w:val="24"/>
                <w:lang w:bidi="ar"/>
              </w:rPr>
            </w:pPr>
          </w:p>
        </w:tc>
      </w:tr>
      <w:tr w14:paraId="776DCD96">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A57BD">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bottom w:val="nil"/>
              <w:right w:val="single" w:color="000000" w:sz="4" w:space="0"/>
            </w:tcBorders>
            <w:shd w:val="clear" w:color="auto" w:fill="auto"/>
            <w:vAlign w:val="center"/>
          </w:tcPr>
          <w:p w14:paraId="6C911D97">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项目执行</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E8E4">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执行同向</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325C">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D617">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部门预算项目实际列支内容是否与绩效目标设置方向相符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47FF">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B86A">
            <w:pPr>
              <w:widowControl/>
              <w:spacing w:line="240" w:lineRule="exact"/>
              <w:jc w:val="left"/>
              <w:textAlignment w:val="center"/>
              <w:rPr>
                <w:rFonts w:ascii="宋体" w:hAnsi="宋体" w:eastAsia="宋体" w:cs="宋体"/>
                <w:color w:val="000000"/>
                <w:kern w:val="0"/>
                <w:sz w:val="24"/>
                <w:lang w:bidi="ar"/>
              </w:rPr>
            </w:pPr>
          </w:p>
        </w:tc>
      </w:tr>
      <w:tr w14:paraId="7B094B20">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B5F6">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nil"/>
              <w:right w:val="single" w:color="000000" w:sz="4" w:space="0"/>
            </w:tcBorders>
            <w:shd w:val="clear" w:color="auto" w:fill="auto"/>
            <w:vAlign w:val="center"/>
          </w:tcPr>
          <w:p w14:paraId="0770BADE">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nil"/>
              <w:right w:val="single" w:color="000000" w:sz="4" w:space="0"/>
            </w:tcBorders>
            <w:shd w:val="clear" w:color="auto" w:fill="auto"/>
            <w:vAlign w:val="center"/>
          </w:tcPr>
          <w:p w14:paraId="4DFE7803">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项目调整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4F25">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19E6">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部门预算项目是否采取对应调整措施</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AC9F">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635E">
            <w:pPr>
              <w:widowControl/>
              <w:spacing w:line="240" w:lineRule="exact"/>
              <w:jc w:val="left"/>
              <w:textAlignment w:val="center"/>
              <w:rPr>
                <w:rFonts w:ascii="宋体" w:hAnsi="宋体" w:eastAsia="宋体" w:cs="宋体"/>
                <w:color w:val="000000"/>
                <w:kern w:val="0"/>
                <w:sz w:val="24"/>
                <w:lang w:bidi="ar"/>
              </w:rPr>
            </w:pPr>
          </w:p>
        </w:tc>
      </w:tr>
      <w:tr w14:paraId="43AF39C5">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66579">
            <w:pPr>
              <w:widowControl/>
              <w:spacing w:line="240" w:lineRule="exact"/>
              <w:jc w:val="center"/>
              <w:rPr>
                <w:rFonts w:hint="default" w:ascii="Times New Roman" w:hAnsi="Times New Roman" w:eastAsia="方正仿宋_GBK" w:cs="Times New Roman"/>
                <w:b/>
                <w:color w:val="000000"/>
                <w:sz w:val="24"/>
              </w:rPr>
            </w:pPr>
          </w:p>
        </w:tc>
        <w:tc>
          <w:tcPr>
            <w:tcW w:w="1277" w:type="dxa"/>
            <w:vMerge w:val="continue"/>
            <w:tcBorders>
              <w:top w:val="single" w:color="000000" w:sz="4" w:space="0"/>
              <w:left w:val="single" w:color="000000" w:sz="4" w:space="0"/>
              <w:bottom w:val="nil"/>
              <w:right w:val="single" w:color="000000" w:sz="4" w:space="0"/>
            </w:tcBorders>
            <w:shd w:val="clear" w:color="auto" w:fill="auto"/>
            <w:vAlign w:val="center"/>
          </w:tcPr>
          <w:p w14:paraId="517708C9">
            <w:pPr>
              <w:widowControl/>
              <w:spacing w:line="240" w:lineRule="exact"/>
              <w:jc w:val="center"/>
              <w:rPr>
                <w:rFonts w:hint="default" w:ascii="Times New Roman" w:hAnsi="Times New Roman" w:eastAsia="方正仿宋_GBK" w:cs="Times New Roman"/>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66BE">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执行结果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B5B1">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89E1">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部门预算项目预算执行情况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FFA">
            <w:pPr>
              <w:widowControl/>
              <w:spacing w:line="240" w:lineRule="exact"/>
              <w:ind w:left="0" w:leftChars="0" w:firstLine="0" w:firstLineChars="0"/>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rPr>
              <w:t>3.5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A527">
            <w:pPr>
              <w:widowControl/>
              <w:spacing w:line="240" w:lineRule="exact"/>
              <w:jc w:val="left"/>
              <w:textAlignment w:val="center"/>
              <w:rPr>
                <w:rFonts w:ascii="宋体" w:hAnsi="宋体" w:eastAsia="宋体" w:cs="宋体"/>
                <w:color w:val="000000"/>
                <w:kern w:val="0"/>
                <w:sz w:val="24"/>
                <w:lang w:bidi="ar"/>
              </w:rPr>
            </w:pPr>
          </w:p>
        </w:tc>
      </w:tr>
      <w:tr w14:paraId="39683B7E">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85686">
            <w:pPr>
              <w:widowControl/>
              <w:spacing w:line="240" w:lineRule="exact"/>
              <w:jc w:val="center"/>
              <w:rPr>
                <w:rFonts w:hint="default" w:ascii="Times New Roman" w:hAnsi="Times New Roman" w:eastAsia="方正仿宋_GBK" w:cs="Times New Roman"/>
                <w:b/>
                <w:color w:val="000000"/>
                <w:sz w:val="24"/>
              </w:rPr>
            </w:pP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84FA1">
            <w:pPr>
              <w:widowControl/>
              <w:spacing w:line="240" w:lineRule="exact"/>
              <w:ind w:left="0" w:leftChars="0" w:firstLine="0" w:firstLineChars="0"/>
              <w:jc w:val="both"/>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目标实现</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（11分）</w:t>
            </w: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697E">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目标完成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92D9">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EE1B">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部门预算项目绩效目标数量指标完成情况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6B23">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8C93">
            <w:pPr>
              <w:widowControl/>
              <w:spacing w:line="240" w:lineRule="exact"/>
              <w:jc w:val="left"/>
              <w:textAlignment w:val="center"/>
              <w:rPr>
                <w:rFonts w:ascii="宋体" w:hAnsi="宋体" w:eastAsia="宋体" w:cs="宋体"/>
                <w:color w:val="000000"/>
                <w:kern w:val="0"/>
                <w:sz w:val="24"/>
                <w:lang w:bidi="ar"/>
              </w:rPr>
            </w:pPr>
          </w:p>
        </w:tc>
      </w:tr>
      <w:tr w14:paraId="7627898A">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818AF">
            <w:pPr>
              <w:widowControl/>
              <w:spacing w:line="240" w:lineRule="exact"/>
              <w:jc w:val="center"/>
              <w:rPr>
                <w:rFonts w:ascii="宋体" w:hAnsi="宋体" w:eastAsia="宋体" w:cs="宋体"/>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6BEE3">
            <w:pPr>
              <w:widowControl/>
              <w:spacing w:line="240" w:lineRule="exact"/>
              <w:jc w:val="center"/>
              <w:rPr>
                <w:rFonts w:ascii="宋体" w:hAnsi="宋体" w:eastAsia="宋体" w:cs="宋体"/>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D2D0">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目标偏离</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0E0E">
            <w:pPr>
              <w:widowControl/>
              <w:spacing w:line="240" w:lineRule="exact"/>
              <w:ind w:left="0" w:leftChars="0" w:firstLine="0" w:firstLineChars="0"/>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DB2A">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部门预算项目绩效目标数量指标实现程度与预期目标的偏离情况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B6ED">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E48F">
            <w:pPr>
              <w:widowControl/>
              <w:spacing w:line="240" w:lineRule="exact"/>
              <w:jc w:val="left"/>
              <w:textAlignment w:val="center"/>
              <w:rPr>
                <w:rFonts w:ascii="宋体" w:hAnsi="宋体" w:eastAsia="宋体" w:cs="宋体"/>
                <w:color w:val="000000"/>
                <w:kern w:val="0"/>
                <w:sz w:val="24"/>
                <w:lang w:bidi="ar"/>
              </w:rPr>
            </w:pPr>
          </w:p>
        </w:tc>
      </w:tr>
      <w:tr w14:paraId="3ED9E294">
        <w:tblPrEx>
          <w:tblCellMar>
            <w:top w:w="0" w:type="dxa"/>
            <w:left w:w="108" w:type="dxa"/>
            <w:bottom w:w="0" w:type="dxa"/>
            <w:right w:w="108" w:type="dxa"/>
          </w:tblCellMar>
        </w:tblPrEx>
        <w:trPr>
          <w:trHeight w:val="23"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60E7B">
            <w:pPr>
              <w:widowControl/>
              <w:spacing w:line="240" w:lineRule="exact"/>
              <w:jc w:val="center"/>
              <w:rPr>
                <w:rFonts w:ascii="宋体" w:hAnsi="宋体" w:eastAsia="宋体" w:cs="宋体"/>
                <w:b/>
                <w:color w:val="000000"/>
                <w:sz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F201C">
            <w:pPr>
              <w:widowControl/>
              <w:spacing w:line="240" w:lineRule="exact"/>
              <w:jc w:val="center"/>
              <w:rPr>
                <w:rFonts w:ascii="宋体" w:hAnsi="宋体" w:eastAsia="宋体" w:cs="宋体"/>
                <w:b/>
                <w:color w:val="000000"/>
                <w:sz w:val="24"/>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47E4">
            <w:pPr>
              <w:widowControl/>
              <w:spacing w:line="240" w:lineRule="exact"/>
              <w:ind w:left="0" w:leftChars="0" w:firstLine="0" w:firstLineChars="0"/>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bidi="ar"/>
              </w:rPr>
              <w:t>实现效果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DF7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9F20">
            <w:pPr>
              <w:widowControl/>
              <w:spacing w:line="24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部门预算项目绩效目标效益指标实施效果</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41D2">
            <w:pPr>
              <w:widowControl/>
              <w:spacing w:line="240" w:lineRule="exact"/>
              <w:ind w:left="0" w:leftChars="0" w:firstLine="0" w:firstLineChars="0"/>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1D52">
            <w:pPr>
              <w:widowControl/>
              <w:spacing w:line="240" w:lineRule="exact"/>
              <w:jc w:val="left"/>
              <w:textAlignment w:val="center"/>
              <w:rPr>
                <w:rFonts w:ascii="宋体" w:hAnsi="宋体" w:eastAsia="宋体" w:cs="宋体"/>
                <w:color w:val="000000"/>
                <w:kern w:val="0"/>
                <w:sz w:val="24"/>
                <w:lang w:bidi="ar"/>
              </w:rPr>
            </w:pPr>
          </w:p>
        </w:tc>
      </w:tr>
      <w:tr w14:paraId="48B5A438">
        <w:tblPrEx>
          <w:tblCellMar>
            <w:top w:w="0" w:type="dxa"/>
            <w:left w:w="108" w:type="dxa"/>
            <w:bottom w:w="0" w:type="dxa"/>
            <w:right w:w="108" w:type="dxa"/>
          </w:tblCellMar>
        </w:tblPrEx>
        <w:trPr>
          <w:trHeight w:val="23"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A46A">
            <w:pPr>
              <w:widowControl/>
              <w:spacing w:line="240" w:lineRule="exact"/>
              <w:ind w:left="0" w:leftChars="0" w:firstLine="0" w:firstLineChars="0"/>
              <w:jc w:val="both"/>
              <w:textAlignment w:val="center"/>
              <w:rPr>
                <w:rFonts w:ascii="宋体" w:hAnsi="宋体" w:eastAsia="宋体" w:cs="宋体"/>
                <w:b/>
                <w:color w:val="000000"/>
                <w:sz w:val="24"/>
              </w:rPr>
            </w:pPr>
            <w:r>
              <w:rPr>
                <w:rFonts w:hint="eastAsia" w:ascii="Times New Roman" w:hAnsi="Times New Roman" w:eastAsia="方正仿宋_GBK" w:cs="Times New Roman"/>
                <w:b/>
                <w:color w:val="000000"/>
                <w:kern w:val="0"/>
                <w:sz w:val="24"/>
                <w:lang w:bidi="ar"/>
              </w:rPr>
              <w:t>扣分项</w:t>
            </w:r>
            <w:r>
              <w:rPr>
                <w:rFonts w:hint="eastAsia" w:ascii="Times New Roman" w:hAnsi="Times New Roman" w:eastAsia="方正仿宋_GBK" w:cs="Times New Roman"/>
                <w:b/>
                <w:color w:val="000000"/>
                <w:kern w:val="0"/>
                <w:sz w:val="24"/>
                <w:lang w:bidi="ar"/>
              </w:rPr>
              <w:br w:type="textWrapping"/>
            </w:r>
            <w:r>
              <w:rPr>
                <w:rFonts w:hint="eastAsia" w:ascii="Times New Roman" w:hAnsi="Times New Roman" w:eastAsia="方正仿宋_GBK" w:cs="Times New Roman"/>
                <w:b/>
                <w:color w:val="000000"/>
                <w:kern w:val="0"/>
                <w:sz w:val="24"/>
                <w:lang w:bidi="ar"/>
              </w:rPr>
              <w:t>（10分）</w:t>
            </w:r>
          </w:p>
        </w:tc>
        <w:tc>
          <w:tcPr>
            <w:tcW w:w="3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6CE7D">
            <w:pPr>
              <w:widowControl/>
              <w:spacing w:line="240" w:lineRule="exact"/>
              <w:jc w:val="center"/>
              <w:textAlignment w:val="center"/>
              <w:rPr>
                <w:rFonts w:ascii="宋体" w:hAnsi="宋体" w:eastAsia="宋体" w:cs="宋体"/>
                <w:color w:val="000000"/>
                <w:sz w:val="24"/>
              </w:rPr>
            </w:pPr>
            <w:r>
              <w:rPr>
                <w:rFonts w:hint="eastAsia" w:ascii="方正仿宋_GBK" w:hAnsi="方正仿宋_GBK" w:eastAsia="方正仿宋_GBK" w:cs="方正仿宋_GBK"/>
                <w:color w:val="000000"/>
                <w:kern w:val="0"/>
                <w:sz w:val="24"/>
                <w:lang w:bidi="ar"/>
              </w:rPr>
              <w:t>被评价部门配合度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9D9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F523">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被评价对象工作配合情况</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3DAD">
            <w:pPr>
              <w:widowControl/>
              <w:spacing w:line="240" w:lineRule="exact"/>
              <w:jc w:val="left"/>
              <w:textAlignment w:val="center"/>
              <w:rPr>
                <w:rFonts w:ascii="宋体" w:hAnsi="宋体" w:eastAsia="宋体" w:cs="宋体"/>
                <w:color w:val="000000"/>
                <w:kern w:val="0"/>
                <w:sz w:val="24"/>
                <w:lang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F45E">
            <w:pPr>
              <w:widowControl/>
              <w:spacing w:line="240" w:lineRule="exact"/>
              <w:jc w:val="left"/>
              <w:textAlignment w:val="center"/>
              <w:rPr>
                <w:rFonts w:ascii="宋体" w:hAnsi="宋体" w:eastAsia="宋体" w:cs="宋体"/>
                <w:color w:val="000000"/>
                <w:kern w:val="0"/>
                <w:sz w:val="24"/>
                <w:lang w:bidi="ar"/>
              </w:rPr>
            </w:pPr>
          </w:p>
        </w:tc>
      </w:tr>
    </w:tbl>
    <w:p w14:paraId="786B6355">
      <w:pPr>
        <w:spacing w:line="578" w:lineRule="exact"/>
        <w:ind w:left="0" w:leftChars="0" w:firstLine="0" w:firstLineChars="0"/>
        <w:jc w:val="left"/>
        <w:rPr>
          <w:rFonts w:eastAsia="黑体"/>
        </w:rPr>
      </w:pPr>
    </w:p>
    <w:p w14:paraId="10EA2462">
      <w:pPr>
        <w:spacing w:line="578" w:lineRule="exact"/>
        <w:ind w:left="0" w:leftChars="0" w:firstLine="0" w:firstLineChars="0"/>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附表2</w:t>
      </w:r>
    </w:p>
    <w:tbl>
      <w:tblPr>
        <w:tblStyle w:val="17"/>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2040"/>
      </w:tblGrid>
      <w:tr w14:paraId="6A6D1D17">
        <w:tblPrEx>
          <w:tblCellMar>
            <w:top w:w="15" w:type="dxa"/>
            <w:left w:w="15" w:type="dxa"/>
            <w:bottom w:w="15" w:type="dxa"/>
            <w:right w:w="15" w:type="dxa"/>
          </w:tblCellMar>
        </w:tblPrEx>
        <w:trPr>
          <w:trHeight w:val="762" w:hRule="exact"/>
          <w:jc w:val="center"/>
        </w:trPr>
        <w:tc>
          <w:tcPr>
            <w:tcW w:w="10560" w:type="dxa"/>
            <w:gridSpan w:val="8"/>
            <w:shd w:val="clear" w:color="auto" w:fill="auto"/>
            <w:vAlign w:val="center"/>
          </w:tcPr>
          <w:p w14:paraId="39A43491">
            <w:pPr>
              <w:widowControl/>
              <w:spacing w:line="600" w:lineRule="exact"/>
              <w:jc w:val="center"/>
              <w:textAlignment w:val="center"/>
              <w:rPr>
                <w:rFonts w:eastAsia="黑体"/>
                <w:color w:val="000000"/>
                <w:sz w:val="28"/>
                <w:szCs w:val="28"/>
              </w:rPr>
            </w:pPr>
            <w:r>
              <w:rPr>
                <w:rFonts w:hint="eastAsia" w:ascii="方正小标宋_GBK" w:hAnsi="方正小标宋_GBK" w:eastAsia="方正小标宋_GBK" w:cs="方正小标宋_GBK"/>
                <w:b/>
                <w:bCs/>
                <w:color w:val="000000"/>
                <w:kern w:val="0"/>
                <w:sz w:val="44"/>
                <w:szCs w:val="44"/>
                <w:lang w:bidi="ar"/>
              </w:rPr>
              <w:t>部门整体绩效目标完成情况自评表</w:t>
            </w:r>
          </w:p>
        </w:tc>
      </w:tr>
      <w:tr w14:paraId="625E032B">
        <w:tblPrEx>
          <w:tblCellMar>
            <w:top w:w="15" w:type="dxa"/>
            <w:left w:w="15" w:type="dxa"/>
            <w:bottom w:w="15" w:type="dxa"/>
            <w:right w:w="15" w:type="dxa"/>
          </w:tblCellMar>
        </w:tblPrEx>
        <w:trPr>
          <w:trHeight w:val="23" w:hRule="atLeast"/>
          <w:jc w:val="center"/>
        </w:trPr>
        <w:tc>
          <w:tcPr>
            <w:tcW w:w="10560" w:type="dxa"/>
            <w:gridSpan w:val="8"/>
            <w:shd w:val="clear" w:color="auto" w:fill="auto"/>
            <w:vAlign w:val="center"/>
          </w:tcPr>
          <w:p w14:paraId="128B74AE">
            <w:pPr>
              <w:widowControl/>
              <w:spacing w:line="300" w:lineRule="exact"/>
              <w:jc w:val="center"/>
              <w:textAlignment w:val="center"/>
              <w:rPr>
                <w:rFonts w:eastAsia="宋体"/>
                <w:color w:val="000000"/>
                <w:sz w:val="28"/>
                <w:szCs w:val="28"/>
              </w:rPr>
            </w:pPr>
            <w:r>
              <w:rPr>
                <w:rFonts w:hint="default" w:ascii="Times New Roman" w:hAnsi="Times New Roman" w:eastAsia="方正仿宋_GBK" w:cs="Times New Roman"/>
                <w:color w:val="000000"/>
                <w:kern w:val="0"/>
                <w:sz w:val="28"/>
                <w:szCs w:val="28"/>
                <w:lang w:bidi="ar"/>
              </w:rPr>
              <w:t>（202</w:t>
            </w:r>
            <w:r>
              <w:rPr>
                <w:rFonts w:hint="default" w:ascii="Times New Roman" w:hAnsi="Times New Roman" w:eastAsia="方正仿宋_GBK" w:cs="Times New Roman"/>
                <w:color w:val="000000"/>
                <w:kern w:val="0"/>
                <w:sz w:val="28"/>
                <w:szCs w:val="28"/>
                <w:lang w:val="en-US" w:eastAsia="zh-CN" w:bidi="ar"/>
              </w:rPr>
              <w:t>5</w:t>
            </w:r>
            <w:r>
              <w:rPr>
                <w:rFonts w:hint="default" w:ascii="Times New Roman" w:hAnsi="Times New Roman" w:eastAsia="方正仿宋_GBK" w:cs="Times New Roman"/>
                <w:color w:val="000000"/>
                <w:kern w:val="0"/>
                <w:sz w:val="28"/>
                <w:szCs w:val="28"/>
                <w:lang w:bidi="ar"/>
              </w:rPr>
              <w:t>年度）</w:t>
            </w:r>
          </w:p>
        </w:tc>
      </w:tr>
      <w:tr w14:paraId="42666EFD">
        <w:tblPrEx>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14:paraId="0D4DB990">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5976B8A9">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D76D7">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BE60CF">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rPr>
              <w:t>攀枝花市西区审计局</w:t>
            </w:r>
          </w:p>
        </w:tc>
      </w:tr>
      <w:tr w14:paraId="68F6DEB3">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124A2">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90E27">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02BB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B1CB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其他资金</w:t>
            </w:r>
          </w:p>
        </w:tc>
      </w:tr>
      <w:tr w14:paraId="2A8F8BA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4E8E7">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94C9A">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262.71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5C78E">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262.71</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B424A">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val="en-US" w:eastAsia="zh-CN" w:bidi="ar"/>
              </w:rPr>
              <w:t>0</w:t>
            </w:r>
          </w:p>
        </w:tc>
      </w:tr>
      <w:tr w14:paraId="50292F3E">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472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年度总体</w:t>
            </w:r>
          </w:p>
          <w:p w14:paraId="6A97B229">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DA4CC4">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rPr>
              <w:t>确保本单位正常运行，并保证财政预算执行情况审计、投资和社会保障审计、党政领导干部经济责任、专项资金、领导干部自然资源资产离任（任中）审计的正常开展，监督审计事项的真实性、合法性和效益性。</w:t>
            </w:r>
          </w:p>
        </w:tc>
      </w:tr>
      <w:tr w14:paraId="6249E237">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D953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年度主要</w:t>
            </w:r>
          </w:p>
          <w:p w14:paraId="5CCFB74D">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93597">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AB32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主要内容</w:t>
            </w:r>
          </w:p>
        </w:tc>
      </w:tr>
      <w:tr w14:paraId="2523650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082BD">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0EEF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整体目标</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D7332">
            <w:pPr>
              <w:widowControl/>
              <w:spacing w:line="300" w:lineRule="exact"/>
              <w:ind w:left="0" w:leftChars="0" w:firstLine="0" w:firstLineChars="0"/>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rPr>
              <w:t>保障单位正常运转，同时保障审计工作正常开展，包括财政预算执行情况审计、投资和社会保障审计、党政领导干部经济责任、专项资金、领导干部自然资源资产离任（任中）审计的正常开展，监督审计事项的真实性、合法性和效益性等。</w:t>
            </w:r>
          </w:p>
        </w:tc>
      </w:tr>
      <w:tr w14:paraId="4B2807D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64829">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AC4D3">
            <w:pPr>
              <w:widowControl/>
              <w:spacing w:line="300" w:lineRule="exact"/>
              <w:jc w:val="left"/>
              <w:rPr>
                <w:rFonts w:hint="default" w:ascii="Times New Roman" w:hAnsi="Times New Roman" w:eastAsia="方正仿宋_GBK" w:cs="Times New Roman"/>
                <w:color w:val="000000"/>
                <w:sz w:val="24"/>
              </w:rPr>
            </w:pP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C3EB35">
            <w:pPr>
              <w:widowControl/>
              <w:spacing w:line="300" w:lineRule="exact"/>
              <w:jc w:val="left"/>
              <w:rPr>
                <w:rFonts w:hint="default" w:ascii="Times New Roman" w:hAnsi="Times New Roman" w:eastAsia="方正仿宋_GBK" w:cs="Times New Roman"/>
                <w:color w:val="000000"/>
                <w:sz w:val="24"/>
              </w:rPr>
            </w:pPr>
          </w:p>
        </w:tc>
      </w:tr>
      <w:tr w14:paraId="62035274">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9B6BA">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年度绩效</w:t>
            </w:r>
          </w:p>
          <w:p w14:paraId="610128B7">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48A7">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0AC4">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041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E571">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绩效指标</w:t>
            </w:r>
          </w:p>
          <w:p w14:paraId="41683326">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817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823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绩效度量单位</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7AC1">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实际完成指标值</w:t>
            </w:r>
          </w:p>
        </w:tc>
      </w:tr>
      <w:tr w14:paraId="63FD9A8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E955F">
            <w:pPr>
              <w:widowControl/>
              <w:spacing w:line="300" w:lineRule="exact"/>
              <w:jc w:val="center"/>
              <w:rPr>
                <w:rFonts w:hint="default" w:ascii="Times New Roman" w:hAnsi="Times New Roman" w:eastAsia="方正仿宋_GBK" w:cs="Times New Roman"/>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F8A00">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3A19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4E5F">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737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4804">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590B">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D759">
            <w:pPr>
              <w:widowControl/>
              <w:spacing w:line="300" w:lineRule="exact"/>
              <w:ind w:left="0" w:leftChars="0" w:firstLine="0" w:firstLineChars="0"/>
              <w:jc w:val="left"/>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保障人员工资以及公用支出。</w:t>
            </w:r>
          </w:p>
        </w:tc>
      </w:tr>
      <w:tr w14:paraId="2D48B34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D2FF2">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5C37">
            <w:pPr>
              <w:widowControl/>
              <w:spacing w:line="300" w:lineRule="exact"/>
              <w:jc w:val="center"/>
              <w:rPr>
                <w:rFonts w:hint="default" w:ascii="Times New Roman" w:hAnsi="Times New Roman" w:eastAsia="方正仿宋_GBK" w:cs="Times New Roman"/>
                <w:color w:val="000000"/>
                <w:sz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D76FA">
            <w:pPr>
              <w:widowControl/>
              <w:spacing w:line="300" w:lineRule="exact"/>
              <w:jc w:val="center"/>
              <w:rPr>
                <w:rFonts w:hint="default" w:ascii="Times New Roman" w:hAnsi="Times New Roman" w:eastAsia="方正仿宋_GBK" w:cs="Times New Roman"/>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1808">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项目完成数量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0720">
            <w:pPr>
              <w:widowControl/>
              <w:spacing w:line="300" w:lineRule="exact"/>
              <w:jc w:val="left"/>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6CF2">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各类项目</w:t>
            </w:r>
          </w:p>
          <w:p w14:paraId="251C395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各1个</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D57D">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个</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1E36">
            <w:pPr>
              <w:widowControl/>
              <w:spacing w:line="300" w:lineRule="exact"/>
              <w:ind w:left="0" w:leftChars="0" w:firstLine="0" w:firstLineChars="0"/>
              <w:jc w:val="left"/>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完成财政预算执行情况审计、投资和社会保障审计、党政领导干部经济责任、专项资金、领导干部自然资源资产离任（任中）审计</w:t>
            </w:r>
            <w:r>
              <w:rPr>
                <w:rFonts w:hint="default" w:ascii="Times New Roman" w:hAnsi="Times New Roman" w:eastAsia="方正仿宋_GBK" w:cs="Times New Roman"/>
                <w:color w:val="000000"/>
                <w:kern w:val="0"/>
                <w:sz w:val="24"/>
                <w:lang w:val="en-US" w:eastAsia="zh-CN"/>
              </w:rPr>
              <w:t>等项目。</w:t>
            </w:r>
          </w:p>
        </w:tc>
      </w:tr>
      <w:tr w14:paraId="27774FE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52E9A">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1B66A">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7570">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2EDC">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完成审计报告等审计结论性文书完成率达100%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884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F25E">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754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次</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25E3">
            <w:pPr>
              <w:widowControl/>
              <w:spacing w:line="300" w:lineRule="exact"/>
              <w:ind w:left="0" w:leftChars="0" w:firstLine="0" w:firstLineChars="0"/>
              <w:jc w:val="left"/>
              <w:textAlignment w:val="center"/>
              <w:rPr>
                <w:rFonts w:hint="default" w:ascii="Times New Roman" w:hAnsi="Times New Roman" w:eastAsia="方正仿宋_GBK" w:cs="Times New Roman"/>
                <w:color w:val="000000"/>
                <w:kern w:val="0"/>
                <w:sz w:val="24"/>
                <w:lang w:val="en-US" w:eastAsia="zh-CN"/>
              </w:rPr>
            </w:pPr>
            <w:r>
              <w:rPr>
                <w:rFonts w:hint="default" w:ascii="Times New Roman" w:hAnsi="Times New Roman" w:eastAsia="方正仿宋_GBK" w:cs="Times New Roman"/>
                <w:color w:val="000000"/>
                <w:kern w:val="0"/>
                <w:sz w:val="24"/>
              </w:rPr>
              <w:t>本年度审计项目均出具审计报告等审计结论性文书，完成率达100%。</w:t>
            </w:r>
          </w:p>
        </w:tc>
      </w:tr>
      <w:tr w14:paraId="5EDFDBD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8B921">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691DE">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DC6F">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DCCE">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202</w:t>
            </w:r>
            <w:r>
              <w:rPr>
                <w:rFonts w:hint="default" w:ascii="Times New Roman" w:hAnsi="Times New Roman" w:eastAsia="方正仿宋_GBK" w:cs="Times New Roman"/>
                <w:color w:val="000000"/>
                <w:sz w:val="24"/>
                <w:lang w:val="en-US" w:eastAsia="zh-CN"/>
              </w:rPr>
              <w:t>5</w:t>
            </w:r>
            <w:r>
              <w:rPr>
                <w:rFonts w:hint="default" w:ascii="Times New Roman" w:hAnsi="Times New Roman" w:eastAsia="方正仿宋_GBK" w:cs="Times New Roman"/>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56A2">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1F98">
            <w:pPr>
              <w:widowControl/>
              <w:spacing w:line="300" w:lineRule="exact"/>
              <w:jc w:val="left"/>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4B8F">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时间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1DAF">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1-12月</w:t>
            </w:r>
          </w:p>
        </w:tc>
      </w:tr>
      <w:tr w14:paraId="6AC9B7AC">
        <w:tblPrEx>
          <w:tblCellMar>
            <w:top w:w="15" w:type="dxa"/>
            <w:left w:w="15" w:type="dxa"/>
            <w:bottom w:w="15" w:type="dxa"/>
            <w:right w:w="15" w:type="dxa"/>
          </w:tblCellMar>
        </w:tblPrEx>
        <w:trPr>
          <w:trHeight w:val="626"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0E366">
            <w:pPr>
              <w:widowControl/>
              <w:spacing w:line="300" w:lineRule="exact"/>
              <w:jc w:val="center"/>
              <w:rPr>
                <w:rFonts w:hint="default" w:ascii="Times New Roman" w:hAnsi="Times New Roman" w:eastAsia="方正仿宋_GBK" w:cs="Times New Roman"/>
                <w:color w:val="000000"/>
                <w:sz w:val="24"/>
              </w:rPr>
            </w:pPr>
            <w:bookmarkStart w:id="0" w:name="OLE_LINK1" w:colFirst="2" w:colLast="7"/>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B3A76">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82B3">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5DA1">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66D3">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AE38">
            <w:pPr>
              <w:widowControl/>
              <w:spacing w:line="300" w:lineRule="exact"/>
              <w:jc w:val="left"/>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9942">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C574">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lang w:val="en-US" w:eastAsia="zh-CN"/>
              </w:rPr>
              <w:t>262.71</w:t>
            </w:r>
          </w:p>
        </w:tc>
      </w:tr>
      <w:bookmarkEnd w:id="0"/>
      <w:tr w14:paraId="53D25F0D">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BAC05">
            <w:pPr>
              <w:widowControl/>
              <w:spacing w:line="300" w:lineRule="exact"/>
              <w:jc w:val="center"/>
              <w:rPr>
                <w:rFonts w:hint="default" w:ascii="Times New Roman" w:hAnsi="Times New Roman" w:eastAsia="方正仿宋_GBK" w:cs="Times New Roman"/>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1AFEC398">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319FB472">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社会效益</w:t>
            </w:r>
          </w:p>
          <w:p w14:paraId="40FD156B">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19D2">
            <w:pPr>
              <w:widowControl/>
              <w:spacing w:line="300" w:lineRule="exact"/>
              <w:ind w:left="0" w:leftChars="0" w:firstLine="0" w:firstLineChars="0"/>
              <w:jc w:val="both"/>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发挥“阳光审计，护航花城”品牌效应，推进重点领域、重要岗位、关键环节的审计监督全覆盖</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2CB5">
            <w:pPr>
              <w:widowControl/>
              <w:spacing w:line="300" w:lineRule="exact"/>
              <w:ind w:left="0" w:leftChars="0" w:firstLine="0" w:firstLineChars="0"/>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3760">
            <w:pPr>
              <w:widowControl/>
              <w:spacing w:line="300" w:lineRule="exact"/>
              <w:ind w:left="0" w:leftChars="0" w:firstLine="0" w:firstLineChars="0"/>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168C">
            <w:pPr>
              <w:widowControl/>
              <w:spacing w:line="300" w:lineRule="exact"/>
              <w:ind w:left="0" w:leftChars="0" w:firstLine="0" w:firstLineChars="0"/>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AD6C">
            <w:pPr>
              <w:widowControl/>
              <w:spacing w:line="300" w:lineRule="exact"/>
              <w:ind w:left="0" w:leftChars="0" w:firstLine="0" w:firstLineChars="0"/>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紧盯国家重大政策以及地方关注的政策贯彻落实情况，督促西区各部门履职尽责、项目投资建设落实到位等情况，更好地为</w:t>
            </w:r>
            <w:r>
              <w:rPr>
                <w:rFonts w:hint="eastAsia" w:ascii="Times New Roman" w:hAnsi="Times New Roman" w:eastAsia="方正仿宋_GBK" w:cs="Times New Roman"/>
                <w:color w:val="000000"/>
                <w:sz w:val="24"/>
                <w:lang w:eastAsia="zh-CN"/>
              </w:rPr>
              <w:t>党委、政府</w:t>
            </w:r>
            <w:r>
              <w:rPr>
                <w:rFonts w:hint="default" w:ascii="Times New Roman" w:hAnsi="Times New Roman" w:eastAsia="方正仿宋_GBK" w:cs="Times New Roman"/>
                <w:color w:val="000000"/>
                <w:sz w:val="24"/>
              </w:rPr>
              <w:t>为人民服务提供审计动力</w:t>
            </w:r>
          </w:p>
        </w:tc>
      </w:tr>
      <w:tr w14:paraId="0C47EA4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2AC5C">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left w:val="single" w:color="000000" w:sz="4" w:space="0"/>
              <w:right w:val="single" w:color="000000" w:sz="4" w:space="0"/>
            </w:tcBorders>
            <w:shd w:val="clear" w:color="auto" w:fill="auto"/>
            <w:vAlign w:val="center"/>
          </w:tcPr>
          <w:p w14:paraId="0EA9F39E">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B3EA">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经济效益</w:t>
            </w:r>
          </w:p>
          <w:p w14:paraId="3DA0637D">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A023">
            <w:pPr>
              <w:widowControl/>
              <w:spacing w:line="300" w:lineRule="exact"/>
              <w:ind w:left="0" w:leftChars="0" w:firstLine="0" w:firstLineChars="0"/>
              <w:jc w:val="both"/>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lang w:val="en-US" w:eastAsia="zh-CN"/>
              </w:rPr>
              <w:t>查出管理不规范</w:t>
            </w:r>
            <w:r>
              <w:rPr>
                <w:rFonts w:hint="default" w:ascii="Times New Roman" w:hAnsi="Times New Roman" w:eastAsia="方正仿宋_GBK" w:cs="Times New Roman"/>
                <w:color w:val="000000"/>
                <w:kern w:val="2"/>
                <w:sz w:val="24"/>
                <w:szCs w:val="24"/>
                <w:lang w:val="en-US" w:eastAsia="zh-CN" w:bidi="ar-SA"/>
              </w:rPr>
              <w:t>资金使用情况，节约财政资金</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0C1A">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19CF">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F339">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9CAF">
            <w:pPr>
              <w:widowControl/>
              <w:spacing w:line="300" w:lineRule="exact"/>
              <w:ind w:left="0" w:leftChars="0" w:firstLine="0" w:firstLineChars="0"/>
              <w:jc w:val="both"/>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lang w:val="en-US" w:eastAsia="zh-CN"/>
              </w:rPr>
              <w:t>查出管理不规范金额1.09亿元，为政府节约投资153.05万元</w:t>
            </w:r>
          </w:p>
        </w:tc>
      </w:tr>
      <w:tr w14:paraId="13B957C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D8C22">
            <w:pPr>
              <w:widowControl/>
              <w:spacing w:line="300" w:lineRule="exact"/>
              <w:jc w:val="center"/>
              <w:rPr>
                <w:rFonts w:hint="default" w:ascii="Times New Roman" w:hAnsi="Times New Roman" w:eastAsia="方正仿宋_GBK" w:cs="Times New Roman"/>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1661">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C2EA">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满意度</w:t>
            </w:r>
          </w:p>
          <w:p w14:paraId="1EA07E76">
            <w:pPr>
              <w:widowControl/>
              <w:spacing w:line="300" w:lineRule="exact"/>
              <w:ind w:left="0" w:leftChars="0" w:firstLine="0" w:firstLineChars="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3BC4">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B644">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抽样满意</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A4C8">
            <w:pPr>
              <w:widowControl/>
              <w:spacing w:line="300" w:lineRule="exact"/>
              <w:jc w:val="left"/>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6ED9">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3B2D">
            <w:pPr>
              <w:widowControl/>
              <w:spacing w:line="300" w:lineRule="exact"/>
              <w:ind w:left="0" w:leftChars="0" w:firstLine="0" w:firstLineChars="0"/>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rPr>
              <w:t>≥95</w:t>
            </w:r>
          </w:p>
        </w:tc>
      </w:tr>
    </w:tbl>
    <w:p w14:paraId="041FF66A">
      <w:pPr>
        <w:pStyle w:val="7"/>
        <w:tabs>
          <w:tab w:val="left" w:pos="9156"/>
        </w:tabs>
        <w:ind w:left="0" w:leftChars="0" w:firstLine="0" w:firstLineChars="0"/>
        <w:rPr>
          <w:rFonts w:hint="eastAsia" w:ascii="Times New Roman" w:hAnsi="Times New Roman" w:eastAsia="方正仿宋_GBK" w:cs="Times New Roman"/>
          <w:sz w:val="33"/>
          <w:szCs w:val="33"/>
          <w:lang w:eastAsia="zh-CN"/>
        </w:rPr>
      </w:pPr>
    </w:p>
    <w:p w14:paraId="0E569ABA">
      <w:pPr>
        <w:pStyle w:val="7"/>
        <w:tabs>
          <w:tab w:val="left" w:pos="9156"/>
        </w:tabs>
        <w:rPr>
          <w:rFonts w:hint="eastAsia" w:ascii="Times New Roman" w:hAnsi="Times New Roman" w:eastAsia="方正仿宋_GBK" w:cs="Times New Roman"/>
          <w:sz w:val="33"/>
          <w:szCs w:val="33"/>
          <w:lang w:eastAsia="zh-CN"/>
        </w:rPr>
      </w:pPr>
    </w:p>
    <w:p w14:paraId="6D26D5E9">
      <w:pPr>
        <w:pStyle w:val="7"/>
        <w:tabs>
          <w:tab w:val="left" w:pos="9156"/>
        </w:tabs>
        <w:rPr>
          <w:rFonts w:hint="eastAsia" w:ascii="Times New Roman" w:hAnsi="Times New Roman" w:eastAsia="方正仿宋_GBK" w:cs="Times New Roman"/>
          <w:sz w:val="33"/>
          <w:szCs w:val="33"/>
          <w:lang w:eastAsia="zh-CN"/>
        </w:rPr>
      </w:pPr>
    </w:p>
    <w:p w14:paraId="234DB4DE">
      <w:pPr>
        <w:pStyle w:val="7"/>
        <w:tabs>
          <w:tab w:val="left" w:pos="9156"/>
        </w:tabs>
        <w:rPr>
          <w:rFonts w:hint="default" w:ascii="Times New Roman" w:hAnsi="Times New Roman" w:eastAsia="方正仿宋_GBK" w:cs="Times New Roman"/>
          <w:sz w:val="33"/>
          <w:szCs w:val="33"/>
          <w:lang w:eastAsia="zh-CN"/>
        </w:rPr>
      </w:pPr>
      <w:bookmarkStart w:id="1" w:name="_GoBack"/>
      <w:bookmarkEnd w:id="1"/>
    </w:p>
    <w:sectPr>
      <w:footerReference r:id="rId5" w:type="default"/>
      <w:pgSz w:w="11906" w:h="16838"/>
      <w:pgMar w:top="2098" w:right="1474" w:bottom="1984" w:left="1587" w:header="907" w:footer="1644" w:gutter="0"/>
      <w:pgNumType w:fmt="decimal"/>
      <w:cols w:space="0" w:num="1"/>
      <w:rtlGutter w:val="0"/>
      <w:docGrid w:type="linesAndChars" w:linePitch="579" w:charSpace="21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DD79A">
    <w:pPr>
      <w:spacing w:line="1" w:lineRule="atLeast"/>
      <w:ind w:right="360"/>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7DE923">
                          <w:pPr>
                            <w:pStyle w:val="1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97DE923">
                    <w:pPr>
                      <w:pStyle w:val="1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289"/>
  <w:displayHorizontalDrawingGridEvery w:val="0"/>
  <w:displayVerticalDrawingGridEvery w:val="2"/>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wYjgxM2UzYmI0MGE2NzlmNzM4MGYzZWY1NzNhOTMifQ=="/>
    <w:docVar w:name="KSO_WPS_MARK_KEY" w:val="aa93d058-066a-41e0-86af-7f1c7bf77310"/>
  </w:docVars>
  <w:rsids>
    <w:rsidRoot w:val="00313698"/>
    <w:rsid w:val="003034C5"/>
    <w:rsid w:val="004240F8"/>
    <w:rsid w:val="00432FAE"/>
    <w:rsid w:val="00A53EFE"/>
    <w:rsid w:val="00AC161C"/>
    <w:rsid w:val="017B2F92"/>
    <w:rsid w:val="01824E20"/>
    <w:rsid w:val="03991DF6"/>
    <w:rsid w:val="04E83035"/>
    <w:rsid w:val="04F419D9"/>
    <w:rsid w:val="052D4EEB"/>
    <w:rsid w:val="0571092F"/>
    <w:rsid w:val="071E0B23"/>
    <w:rsid w:val="077F03D6"/>
    <w:rsid w:val="07B45091"/>
    <w:rsid w:val="09170F60"/>
    <w:rsid w:val="096B55F2"/>
    <w:rsid w:val="0AA8719B"/>
    <w:rsid w:val="0B6666FA"/>
    <w:rsid w:val="0B6E40D8"/>
    <w:rsid w:val="0B9E430C"/>
    <w:rsid w:val="0C5447CC"/>
    <w:rsid w:val="0CD81BE1"/>
    <w:rsid w:val="0D36298C"/>
    <w:rsid w:val="0DA93199"/>
    <w:rsid w:val="0DE87C01"/>
    <w:rsid w:val="0F9A19C9"/>
    <w:rsid w:val="0FC42DD0"/>
    <w:rsid w:val="0FC571EC"/>
    <w:rsid w:val="0FD6226A"/>
    <w:rsid w:val="0FEB15C4"/>
    <w:rsid w:val="10BA4DC8"/>
    <w:rsid w:val="113676AF"/>
    <w:rsid w:val="11972CB3"/>
    <w:rsid w:val="12007455"/>
    <w:rsid w:val="125D721A"/>
    <w:rsid w:val="12750847"/>
    <w:rsid w:val="129F42FF"/>
    <w:rsid w:val="12E725FC"/>
    <w:rsid w:val="12EB3117"/>
    <w:rsid w:val="13E42C19"/>
    <w:rsid w:val="144C523C"/>
    <w:rsid w:val="14F72368"/>
    <w:rsid w:val="151B33F5"/>
    <w:rsid w:val="15EA0F27"/>
    <w:rsid w:val="16754338"/>
    <w:rsid w:val="169C717D"/>
    <w:rsid w:val="16A02D29"/>
    <w:rsid w:val="176E138C"/>
    <w:rsid w:val="17A56B63"/>
    <w:rsid w:val="17FE16D8"/>
    <w:rsid w:val="1880566F"/>
    <w:rsid w:val="19AF5A77"/>
    <w:rsid w:val="1A0928F8"/>
    <w:rsid w:val="1AA32DD7"/>
    <w:rsid w:val="1ACC1FB9"/>
    <w:rsid w:val="1B5A2904"/>
    <w:rsid w:val="1B5E1503"/>
    <w:rsid w:val="1BC0402B"/>
    <w:rsid w:val="1C056DCD"/>
    <w:rsid w:val="1C10217C"/>
    <w:rsid w:val="1CFB0451"/>
    <w:rsid w:val="1D7F5ECA"/>
    <w:rsid w:val="1DB355B9"/>
    <w:rsid w:val="1F5D5BB5"/>
    <w:rsid w:val="20431242"/>
    <w:rsid w:val="21172740"/>
    <w:rsid w:val="22576CAC"/>
    <w:rsid w:val="229F1984"/>
    <w:rsid w:val="22DB13AE"/>
    <w:rsid w:val="22F31A41"/>
    <w:rsid w:val="238041A2"/>
    <w:rsid w:val="24491158"/>
    <w:rsid w:val="252C45F8"/>
    <w:rsid w:val="252D5006"/>
    <w:rsid w:val="25907596"/>
    <w:rsid w:val="25E12BEB"/>
    <w:rsid w:val="28D76F66"/>
    <w:rsid w:val="28DF5C31"/>
    <w:rsid w:val="290851A4"/>
    <w:rsid w:val="29096C93"/>
    <w:rsid w:val="29F075CA"/>
    <w:rsid w:val="2A283508"/>
    <w:rsid w:val="2AB3597C"/>
    <w:rsid w:val="2AB92AF5"/>
    <w:rsid w:val="2C4D1925"/>
    <w:rsid w:val="2D7C7C1A"/>
    <w:rsid w:val="2DD85616"/>
    <w:rsid w:val="2DE75AF8"/>
    <w:rsid w:val="2EAC3D18"/>
    <w:rsid w:val="2EE20E81"/>
    <w:rsid w:val="2F665C3F"/>
    <w:rsid w:val="2FE96968"/>
    <w:rsid w:val="302E3148"/>
    <w:rsid w:val="30BF5143"/>
    <w:rsid w:val="30DB4B0B"/>
    <w:rsid w:val="31680F7A"/>
    <w:rsid w:val="31BF3CA4"/>
    <w:rsid w:val="327F6F84"/>
    <w:rsid w:val="33577C00"/>
    <w:rsid w:val="33F82B23"/>
    <w:rsid w:val="33FC6EED"/>
    <w:rsid w:val="3438223E"/>
    <w:rsid w:val="3509652C"/>
    <w:rsid w:val="357E2495"/>
    <w:rsid w:val="35EC14C5"/>
    <w:rsid w:val="363A6218"/>
    <w:rsid w:val="368404AC"/>
    <w:rsid w:val="36890B07"/>
    <w:rsid w:val="36CB65B0"/>
    <w:rsid w:val="36CC0BEC"/>
    <w:rsid w:val="378C339A"/>
    <w:rsid w:val="37D01AD6"/>
    <w:rsid w:val="37E961A0"/>
    <w:rsid w:val="38195A9B"/>
    <w:rsid w:val="383D077E"/>
    <w:rsid w:val="3842602C"/>
    <w:rsid w:val="38AF2F46"/>
    <w:rsid w:val="3A71D4B8"/>
    <w:rsid w:val="3B4200A1"/>
    <w:rsid w:val="3C487939"/>
    <w:rsid w:val="3C583B35"/>
    <w:rsid w:val="3DD96F86"/>
    <w:rsid w:val="3E5F7016"/>
    <w:rsid w:val="3F6C6042"/>
    <w:rsid w:val="3F7A15B1"/>
    <w:rsid w:val="3FB7135B"/>
    <w:rsid w:val="3FD27DFB"/>
    <w:rsid w:val="3FE129C6"/>
    <w:rsid w:val="40AC17CA"/>
    <w:rsid w:val="41205630"/>
    <w:rsid w:val="41A04F59"/>
    <w:rsid w:val="41C20BCA"/>
    <w:rsid w:val="42371664"/>
    <w:rsid w:val="426E5C20"/>
    <w:rsid w:val="4283760A"/>
    <w:rsid w:val="42AD6A86"/>
    <w:rsid w:val="42C43A19"/>
    <w:rsid w:val="4338647E"/>
    <w:rsid w:val="438C112A"/>
    <w:rsid w:val="438E5251"/>
    <w:rsid w:val="454B5AD5"/>
    <w:rsid w:val="454F497D"/>
    <w:rsid w:val="45583646"/>
    <w:rsid w:val="457B7F3B"/>
    <w:rsid w:val="45D876CF"/>
    <w:rsid w:val="46CE0678"/>
    <w:rsid w:val="47007F46"/>
    <w:rsid w:val="470A3E8F"/>
    <w:rsid w:val="477668CE"/>
    <w:rsid w:val="485D707F"/>
    <w:rsid w:val="487608FF"/>
    <w:rsid w:val="490E7AC6"/>
    <w:rsid w:val="493D7C4C"/>
    <w:rsid w:val="49D30F78"/>
    <w:rsid w:val="4A1F4B55"/>
    <w:rsid w:val="4A711582"/>
    <w:rsid w:val="4AC24D5B"/>
    <w:rsid w:val="4AD21E22"/>
    <w:rsid w:val="4C884AE6"/>
    <w:rsid w:val="4CB337F6"/>
    <w:rsid w:val="4D040628"/>
    <w:rsid w:val="4D5E3617"/>
    <w:rsid w:val="4D7E1B01"/>
    <w:rsid w:val="4D8A7DFC"/>
    <w:rsid w:val="4DAF33DF"/>
    <w:rsid w:val="4EA135A7"/>
    <w:rsid w:val="4EB32690"/>
    <w:rsid w:val="4EC6743E"/>
    <w:rsid w:val="512C6670"/>
    <w:rsid w:val="51605E19"/>
    <w:rsid w:val="51C04AD1"/>
    <w:rsid w:val="521D6852"/>
    <w:rsid w:val="52285DEB"/>
    <w:rsid w:val="52C61160"/>
    <w:rsid w:val="53E673C7"/>
    <w:rsid w:val="53EA1748"/>
    <w:rsid w:val="54146DE2"/>
    <w:rsid w:val="5422117D"/>
    <w:rsid w:val="54843081"/>
    <w:rsid w:val="556B3C85"/>
    <w:rsid w:val="560E77BB"/>
    <w:rsid w:val="5652198F"/>
    <w:rsid w:val="566E223B"/>
    <w:rsid w:val="571046EE"/>
    <w:rsid w:val="581F2C7F"/>
    <w:rsid w:val="58892C4B"/>
    <w:rsid w:val="58A33819"/>
    <w:rsid w:val="59304D8F"/>
    <w:rsid w:val="5967277C"/>
    <w:rsid w:val="599A1FD7"/>
    <w:rsid w:val="59B82C0D"/>
    <w:rsid w:val="5A214FC8"/>
    <w:rsid w:val="5A993514"/>
    <w:rsid w:val="5B2958DC"/>
    <w:rsid w:val="5B3E09AE"/>
    <w:rsid w:val="5BA7E01C"/>
    <w:rsid w:val="5DCF1811"/>
    <w:rsid w:val="5E277A72"/>
    <w:rsid w:val="5EC271D3"/>
    <w:rsid w:val="5F1DF201"/>
    <w:rsid w:val="5F3C6F57"/>
    <w:rsid w:val="5FFBAB53"/>
    <w:rsid w:val="6018028D"/>
    <w:rsid w:val="60294855"/>
    <w:rsid w:val="60D11D6F"/>
    <w:rsid w:val="61711518"/>
    <w:rsid w:val="61FF3FD8"/>
    <w:rsid w:val="62A84F39"/>
    <w:rsid w:val="640546D3"/>
    <w:rsid w:val="64B33C3A"/>
    <w:rsid w:val="64E87E77"/>
    <w:rsid w:val="67B162AA"/>
    <w:rsid w:val="683F7408"/>
    <w:rsid w:val="688321C8"/>
    <w:rsid w:val="694D7A8E"/>
    <w:rsid w:val="6AB20546"/>
    <w:rsid w:val="6B9347C6"/>
    <w:rsid w:val="6C1F5711"/>
    <w:rsid w:val="6D3A08EE"/>
    <w:rsid w:val="6DB51579"/>
    <w:rsid w:val="6E5B6065"/>
    <w:rsid w:val="6EAE577B"/>
    <w:rsid w:val="6F8825DB"/>
    <w:rsid w:val="6FE4739E"/>
    <w:rsid w:val="704D0532"/>
    <w:rsid w:val="713F2AEC"/>
    <w:rsid w:val="71765866"/>
    <w:rsid w:val="71A843FB"/>
    <w:rsid w:val="71DF6349"/>
    <w:rsid w:val="73AB1F81"/>
    <w:rsid w:val="73F35DC1"/>
    <w:rsid w:val="74707CA4"/>
    <w:rsid w:val="748028D2"/>
    <w:rsid w:val="750E0A19"/>
    <w:rsid w:val="757F5473"/>
    <w:rsid w:val="759574B6"/>
    <w:rsid w:val="75E7542C"/>
    <w:rsid w:val="764D1265"/>
    <w:rsid w:val="770F2A24"/>
    <w:rsid w:val="772E7150"/>
    <w:rsid w:val="77387FCF"/>
    <w:rsid w:val="784F1E0D"/>
    <w:rsid w:val="79883055"/>
    <w:rsid w:val="79A04BB6"/>
    <w:rsid w:val="79EF916B"/>
    <w:rsid w:val="7B593278"/>
    <w:rsid w:val="7BF35871"/>
    <w:rsid w:val="7C6929D9"/>
    <w:rsid w:val="7CB95C46"/>
    <w:rsid w:val="7CBE2D25"/>
    <w:rsid w:val="7CCC3EFF"/>
    <w:rsid w:val="7D306322"/>
    <w:rsid w:val="7D354952"/>
    <w:rsid w:val="7D742DF0"/>
    <w:rsid w:val="7DA55C93"/>
    <w:rsid w:val="7E984051"/>
    <w:rsid w:val="7EAF6F88"/>
    <w:rsid w:val="7EEF50E1"/>
    <w:rsid w:val="7F323556"/>
    <w:rsid w:val="7FEABFA1"/>
    <w:rsid w:val="BE5DDB96"/>
    <w:rsid w:val="BEB30166"/>
    <w:rsid w:val="BFBFC1E8"/>
    <w:rsid w:val="D9DFC8BF"/>
    <w:rsid w:val="DD22E5FC"/>
    <w:rsid w:val="DDBFB278"/>
    <w:rsid w:val="E7FF8A47"/>
    <w:rsid w:val="EBB7EFDA"/>
    <w:rsid w:val="F67FF4C6"/>
    <w:rsid w:val="F75F9061"/>
    <w:rsid w:val="FCF7D56B"/>
    <w:rsid w:val="FD7ECE7F"/>
    <w:rsid w:val="FDF772AF"/>
    <w:rsid w:val="FDFC6052"/>
    <w:rsid w:val="FEFF02BC"/>
    <w:rsid w:val="FF4E8780"/>
    <w:rsid w:val="FF7F0A4C"/>
    <w:rsid w:val="FF9F987F"/>
    <w:rsid w:val="FFE744C2"/>
    <w:rsid w:val="FFFE1B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ascii="Times New Roman" w:hAnsi="Times New Roman" w:eastAsia="宋体" w:cs="Times New Roman"/>
      <w:sz w:val="20"/>
      <w:szCs w:val="20"/>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方正仿宋_GBK" w:hAnsi="方正仿宋_GBK"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index 6"/>
    <w:basedOn w:val="1"/>
    <w:next w:val="1"/>
    <w:qFormat/>
    <w:uiPriority w:val="0"/>
    <w:pPr>
      <w:ind w:left="2100"/>
    </w:pPr>
    <w:rPr>
      <w:rFonts w:ascii="Calibri" w:hAnsi="Calibri" w:cs="Arial"/>
    </w:rPr>
  </w:style>
  <w:style w:type="paragraph" w:styleId="6">
    <w:name w:val="Salutation"/>
    <w:basedOn w:val="1"/>
    <w:next w:val="1"/>
    <w:qFormat/>
    <w:uiPriority w:val="0"/>
  </w:style>
  <w:style w:type="paragraph" w:styleId="7">
    <w:name w:val="Body Text"/>
    <w:basedOn w:val="1"/>
    <w:qFormat/>
    <w:uiPriority w:val="0"/>
    <w:pPr>
      <w:spacing w:after="120"/>
    </w:pPr>
  </w:style>
  <w:style w:type="paragraph" w:styleId="8">
    <w:name w:val="Body Text Indent"/>
    <w:basedOn w:val="1"/>
    <w:next w:val="9"/>
    <w:qFormat/>
    <w:uiPriority w:val="0"/>
    <w:pPr>
      <w:ind w:left="420" w:leftChars="200"/>
    </w:pPr>
    <w:rPr>
      <w:rFonts w:ascii="Times New Roman" w:hAnsi="Times New Roman" w:eastAsia="宋体" w:cs="Times New Roman"/>
      <w:kern w:val="0"/>
      <w:sz w:val="20"/>
      <w:szCs w:val="20"/>
    </w:rPr>
  </w:style>
  <w:style w:type="paragraph" w:styleId="9">
    <w:name w:val="envelope return"/>
    <w:qFormat/>
    <w:uiPriority w:val="0"/>
    <w:pPr>
      <w:widowControl w:val="0"/>
      <w:snapToGrid w:val="0"/>
      <w:jc w:val="both"/>
    </w:pPr>
    <w:rPr>
      <w:rFonts w:ascii="Calibri" w:hAnsi="Calibri" w:eastAsia="宋体" w:cs="Arial"/>
      <w:kern w:val="2"/>
      <w:sz w:val="21"/>
      <w:szCs w:val="24"/>
      <w:lang w:val="en-US" w:eastAsia="zh-CN" w:bidi="ar-SA"/>
    </w:rPr>
  </w:style>
  <w:style w:type="paragraph" w:styleId="10">
    <w:name w:val="Plain Text"/>
    <w:basedOn w:val="1"/>
    <w:qFormat/>
    <w:uiPriority w:val="0"/>
    <w:rPr>
      <w:rFonts w:ascii="宋体"/>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next w:val="7"/>
    <w:qFormat/>
    <w:uiPriority w:val="0"/>
    <w:pPr>
      <w:snapToGrid w:val="0"/>
      <w:jc w:val="left"/>
    </w:pPr>
    <w:rPr>
      <w:sz w:val="18"/>
      <w:szCs w:val="18"/>
    </w:rPr>
  </w:style>
  <w:style w:type="paragraph" w:styleId="15">
    <w:name w:val="Normal (Web)"/>
    <w:basedOn w:val="1"/>
    <w:next w:val="12"/>
    <w:qFormat/>
    <w:uiPriority w:val="99"/>
    <w:pPr>
      <w:widowControl/>
      <w:spacing w:before="100" w:beforeAutospacing="1" w:after="100" w:afterAutospacing="1"/>
      <w:jc w:val="left"/>
    </w:pPr>
    <w:rPr>
      <w:rFonts w:ascii="宋体" w:hAnsi="宋体" w:cs="宋体"/>
      <w:color w:val="000000"/>
      <w:kern w:val="0"/>
      <w:sz w:val="24"/>
    </w:rPr>
  </w:style>
  <w:style w:type="paragraph" w:styleId="16">
    <w:name w:val="Body Text First Indent 2"/>
    <w:basedOn w:val="8"/>
    <w:next w:val="5"/>
    <w:qFormat/>
    <w:uiPriority w:val="0"/>
    <w:pPr>
      <w:spacing w:after="120"/>
      <w:ind w:firstLine="420"/>
    </w:pPr>
    <w:rPr>
      <w:rFonts w:ascii="Times New Roman" w:hAnsi="Times New Roman" w:eastAsia="宋体" w:cs="Times New Roman"/>
      <w:sz w:val="28"/>
      <w:szCs w:val="21"/>
    </w:rPr>
  </w:style>
  <w:style w:type="character" w:styleId="19">
    <w:name w:val="Strong"/>
    <w:basedOn w:val="18"/>
    <w:qFormat/>
    <w:uiPriority w:val="0"/>
    <w:rPr>
      <w:b/>
    </w:rPr>
  </w:style>
  <w:style w:type="character" w:styleId="20">
    <w:name w:val="page number"/>
    <w:basedOn w:val="18"/>
    <w:qFormat/>
    <w:uiPriority w:val="0"/>
  </w:style>
  <w:style w:type="paragraph" w:customStyle="1" w:styleId="21">
    <w:name w:val="Char Char Char Char Char Char Char Char Char Char"/>
    <w:basedOn w:val="1"/>
    <w:qFormat/>
    <w:uiPriority w:val="0"/>
    <w:pPr>
      <w:widowControl/>
      <w:ind w:firstLine="0" w:firstLineChars="0"/>
    </w:pPr>
    <w:rPr>
      <w:rFonts w:ascii="宋体" w:cs="宋体"/>
      <w:sz w:val="24"/>
      <w:szCs w:val="24"/>
      <w:lang w:bidi="ar-SA"/>
    </w:rPr>
  </w:style>
  <w:style w:type="character" w:customStyle="1" w:styleId="22">
    <w:name w:val="fontstyle21"/>
    <w:qFormat/>
    <w:uiPriority w:val="0"/>
    <w:rPr>
      <w:rFonts w:ascii="方正仿宋_GBK" w:hAnsi="方正仿宋_GBK"/>
      <w:color w:val="000000"/>
      <w:sz w:val="34"/>
      <w:szCs w:val="34"/>
    </w:rPr>
  </w:style>
  <w:style w:type="paragraph" w:customStyle="1" w:styleId="23">
    <w:name w:val="BodyText1I"/>
    <w:basedOn w:val="24"/>
    <w:next w:val="25"/>
    <w:qFormat/>
    <w:uiPriority w:val="0"/>
    <w:pPr>
      <w:ind w:firstLine="420" w:firstLineChars="100"/>
    </w:pPr>
    <w:rPr>
      <w:rFonts w:ascii="Times New Roman" w:hAnsi="Times New Roman" w:eastAsia="仿宋_GB2312" w:cs="Times New Roman"/>
      <w:sz w:val="32"/>
    </w:rPr>
  </w:style>
  <w:style w:type="paragraph" w:customStyle="1" w:styleId="24">
    <w:name w:val="BodyText"/>
    <w:basedOn w:val="1"/>
    <w:next w:val="23"/>
    <w:qFormat/>
    <w:uiPriority w:val="0"/>
    <w:pPr>
      <w:spacing w:after="120"/>
    </w:pPr>
    <w:rPr>
      <w:rFonts w:ascii="Times New Roman" w:hAnsi="Times New Roman" w:eastAsia="宋体" w:cs="Times New Roman"/>
    </w:rPr>
  </w:style>
  <w:style w:type="paragraph" w:customStyle="1" w:styleId="25">
    <w:name w:val="BodyText1I2"/>
    <w:basedOn w:val="26"/>
    <w:next w:val="1"/>
    <w:qFormat/>
    <w:uiPriority w:val="0"/>
    <w:pPr>
      <w:spacing w:after="120" w:line="240" w:lineRule="auto"/>
      <w:ind w:left="420" w:leftChars="200" w:firstLine="420"/>
    </w:pPr>
    <w:rPr>
      <w:rFonts w:ascii="Times New Roman" w:hAnsi="Times New Roman" w:eastAsia="宋体" w:cs="Times New Roman"/>
      <w:sz w:val="21"/>
    </w:rPr>
  </w:style>
  <w:style w:type="paragraph" w:customStyle="1" w:styleId="26">
    <w:name w:val="BodyTextIndent"/>
    <w:basedOn w:val="1"/>
    <w:next w:val="27"/>
    <w:qFormat/>
    <w:uiPriority w:val="0"/>
    <w:pPr>
      <w:spacing w:line="540" w:lineRule="exact"/>
      <w:ind w:firstLine="640" w:firstLineChars="200"/>
    </w:pPr>
    <w:rPr>
      <w:rFonts w:ascii="Times New Roman" w:hAnsi="Times New Roman" w:eastAsia="仿宋_GB2312" w:cs="Times New Roman"/>
      <w:sz w:val="32"/>
    </w:rPr>
  </w:style>
  <w:style w:type="paragraph" w:customStyle="1" w:styleId="27">
    <w:name w:val="EnvelopeReturn"/>
    <w:basedOn w:val="1"/>
    <w:qFormat/>
    <w:uiPriority w:val="0"/>
    <w:pPr>
      <w:snapToGrid w:val="0"/>
    </w:pPr>
    <w:rPr>
      <w:rFonts w:ascii="Arial" w:hAnsi="Arial" w:eastAsia="宋体" w:cs="Times New Roman"/>
    </w:rPr>
  </w:style>
  <w:style w:type="paragraph" w:customStyle="1" w:styleId="28">
    <w:name w:val="Default"/>
    <w:qFormat/>
    <w:uiPriority w:val="99"/>
    <w:pPr>
      <w:widowControl w:val="0"/>
      <w:autoSpaceDE w:val="0"/>
      <w:autoSpaceDN w:val="0"/>
      <w:adjustRightInd w:val="0"/>
    </w:pPr>
    <w:rPr>
      <w:rFonts w:ascii="方正楷体_GBK" w:hAnsi="Times New Roman" w:eastAsia="方正楷体_GBK" w:cs="方正楷体_GBK"/>
      <w:color w:val="000000"/>
      <w:sz w:val="24"/>
      <w:szCs w:val="24"/>
      <w:lang w:val="en-US" w:eastAsia="zh-CN" w:bidi="ar-SA"/>
    </w:rPr>
  </w:style>
  <w:style w:type="paragraph" w:customStyle="1" w:styleId="2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147720f1-f790-47cb-b06f-37861b259fbf</errorID>
      <errorWord>其它</errorWord>
      <group>L1_Word</group>
      <groupName>字词问题</groupName>
      <ability>L2_Alias</ability>
      <abilityName>也作/曾用词</abilityName>
      <candidateList>
        <item>其他</item>
      </candidateList>
      <explain>词汇[其它]为不规范表述或旧称，其规范书面表述为[其他]。</explain>
      <paraID>2F5DE374</paraID>
      <start>65</start>
      <end>67</end>
      <status>modified</status>
      <modifiedWord>其他</modifiedWord>
      <trackRevisions>false</trackRevisions>
    </reviewItem>
    <reviewItem>
      <errorID>cadce504-2d4d-49bc-8b6f-1f49e57eb95c</errorID>
      <errorWord>:</errorWord>
      <group>L1_Format</group>
      <groupName>格式问题</groupName>
      <ability>L2_HalfPunc</ability>
      <abilityName>全半角检查</abilityName>
      <candidateList>
        <item>：</item>
      </candidateList>
      <explain>文本全半角错误。</explain>
      <paraID>1DCC1C40</paraID>
      <start>51</start>
      <end>52</end>
      <status>modified</status>
      <modifiedWord>：</modifiedWord>
      <trackRevisions>false</trackRevisions>
    </reviewItem>
    <reviewItem>
      <errorID>6cfeed5c-9860-4e30-a825-4d1184e77c7a</errorID>
      <errorWord>主</errorWord>
      <group>L1_Word</group>
      <groupName>字词问题</groupName>
      <ability>L2_Typo</ability>
      <abilityName>字词错误</abilityName>
      <candidateList>
        <item>主要</item>
      </candidateList>
      <explain>〈形〉属性词。有关事物中最重要的；起决定作用的：～原因｜～目的｜～人物。</explain>
      <paraID>37951151</paraID>
      <start>13</start>
      <end>15</end>
      <status>modified</status>
      <modifiedWord>主要</modifiedWord>
      <trackRevisions>false</trackRevisions>
    </reviewItem>
    <reviewItem>
      <errorID>cd043ddb-7389-4a6f-9a1d-6549afd52eb2</errorID>
      <errorWord>，</errorWord>
      <group>L1_Word</group>
      <groupName>字词问题</groupName>
      <ability>L2_Typo</ability>
      <abilityName>字词错误</abilityName>
      <candidateList>
        <item>，对</item>
      </candidateList>
      <explain/>
      <paraID>7C388167</paraID>
      <start>31</start>
      <end>33</end>
      <status>modified</status>
      <modifiedWord>，对</modifiedWord>
      <trackRevisions>false</trackRevisions>
    </reviewItem>
    <reviewItem>
      <errorID>2a3f4939-a8d9-4387-a467-d110ec3835f9</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7C388167</paraID>
      <start>189</start>
      <end>195</end>
      <status>modified</status>
      <modifiedWord>区委、区政府</modifiedWord>
      <trackRevisions>false</trackRevisions>
    </reviewItem>
    <reviewItem>
      <errorID>1e5efe17-fd48-4d3f-9da9-fae868f3dff3</errorID>
      <errorWord>,</errorWord>
      <group>L1_Format</group>
      <groupName>格式问题</groupName>
      <ability>L2_HalfPunc</ability>
      <abilityName>全半角检查</abilityName>
      <candidateList>
        <item>，</item>
      </candidateList>
      <explain>文本全半角错误。</explain>
      <paraID>4C89F306</paraID>
      <start>75</start>
      <end>76</end>
      <status>modified</status>
      <modifiedWord>，</modifiedWord>
      <trackRevisions>false</trackRevisions>
    </reviewItem>
    <reviewItem>
      <errorID>cba65eea-96da-48bc-855e-da7bb4f15234</errorID>
      <errorWord>指标指标</errorWord>
      <group>L1_Word</group>
      <groupName>字词问题</groupName>
      <ability>L2_Typo</ability>
      <abilityName>字词错误</abilityName>
      <candidateList>
        <item>指标</item>
      </candidateList>
      <explain/>
      <paraID> D194F5F</paraID>
      <start>4</start>
      <end>8</end>
      <status>ignored</status>
      <modifiedWord/>
      <trackRevisions>false</trackRevisions>
    </reviewItem>
    <reviewItem>
      <errorID>ddc55a6a-1203-4deb-9555-0b0c384cfd6a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6603B2BC</paraID>
      <start>12</start>
      <end>13</end>
      <status>modified</status>
      <modifiedWord>—</modifiedWord>
      <trackRevisions>false</trackRevisions>
    </reviewItem>
    <reviewItem>
      <errorID>dbf0fffe-8282-4242-a824-bc6c56bf8067</errorID>
      <errorWord>间</errorWord>
      <group>L1_Word</group>
      <groupName>字词问题</groupName>
      <ability>L2_Typo</ability>
      <abilityName>字词错误</abilityName>
      <candidateList>
        <item>间内</item>
      </candidateList>
      <explain/>
      <paraID>2CCADD21</paraID>
      <start>12</start>
      <end>14</end>
      <status>modified</status>
      <modifiedWord>间内</modifiedWord>
      <trackRevisions>false</trackRevisions>
    </reviewItem>
    <reviewItem>
      <errorID>872e5e91-2530-43cd-a1ad-f10b01eb090f</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3D2FAD6C</paraID>
      <start>54</start>
      <end>59</end>
      <status>modified</status>
      <modifiedWord>党委、政府</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fe41a3-6606-4b26-9fa8-917597326048}">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12</Pages>
  <Words>6015</Words>
  <Characters>6340</Characters>
  <Lines>59</Lines>
  <Paragraphs>16</Paragraphs>
  <TotalTime>1</TotalTime>
  <ScaleCrop>false</ScaleCrop>
  <LinksUpToDate>false</LinksUpToDate>
  <CharactersWithSpaces>6360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2017-08-07T01:53:00Z</dcterms:created>
  <dc:creator>舒燕</dc:creator>
  <cp:lastModifiedBy>徐燕</cp:lastModifiedBy>
  <cp:lastPrinted>2026-06-11T09:22:00Z</cp:lastPrinted>
  <dcterms:modified xsi:type="dcterms:W3CDTF">2026-06-24T00:46:47Z</dcterms:modified>
  <dc:title>攀枝花市人民政府</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361405238_btnclosed</vt:lpwstr>
  </property>
  <property fmtid="{D5CDD505-2E9C-101B-9397-08002B2CF9AE}" pid="4" name="ICV">
    <vt:lpwstr>3D93BD444201454AA30047FC099A233D_13</vt:lpwstr>
  </property>
  <property fmtid="{D5CDD505-2E9C-101B-9397-08002B2CF9AE}" pid="5" name="KSOTemplateDocerSaveRecord">
    <vt:lpwstr>eyJoZGlkIjoiMmU4NTkwMjIyMWQ1MTQyNjBmMWQ4NWExMWVhNzA5NWIiLCJ1c2VySWQiOiIxNzU3NjE3ODcwIn0=</vt:lpwstr>
  </property>
</Properties>
</file>