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27B5F4">
      <w:pPr>
        <w:spacing w:line="578" w:lineRule="exact"/>
        <w:contextualSpacing/>
        <w:rPr>
          <w:rFonts w:eastAsia="黑体"/>
          <w:szCs w:val="32"/>
          <w:lang w:val="zh-CN"/>
        </w:rPr>
      </w:pPr>
      <w:r>
        <w:rPr>
          <w:rFonts w:eastAsia="黑体"/>
          <w:szCs w:val="32"/>
          <w:lang w:val="zh-CN"/>
        </w:rPr>
        <w:t>附件</w:t>
      </w:r>
      <w:r>
        <w:rPr>
          <w:rFonts w:eastAsia="黑体"/>
          <w:szCs w:val="32"/>
        </w:rPr>
        <w:t>2</w:t>
      </w:r>
    </w:p>
    <w:p w14:paraId="540F1EFE">
      <w:pPr>
        <w:widowControl/>
        <w:spacing w:line="578" w:lineRule="exact"/>
        <w:contextualSpacing/>
        <w:rPr>
          <w:rFonts w:eastAsia="宋体"/>
          <w:b/>
          <w:sz w:val="44"/>
          <w:szCs w:val="44"/>
          <w:shd w:val="clear" w:color="auto" w:fill="FFFFFF"/>
        </w:rPr>
      </w:pPr>
    </w:p>
    <w:p w14:paraId="31CDD0F2">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Times New Roman" w:hAnsi="Times New Roman" w:eastAsia="方正小标宋_GBK" w:cs="Times New Roman"/>
          <w:sz w:val="44"/>
          <w:szCs w:val="44"/>
          <w:shd w:val="clear" w:color="auto" w:fill="FFFFFF"/>
        </w:rPr>
      </w:pPr>
      <w:r>
        <w:rPr>
          <w:rFonts w:hint="eastAsia" w:ascii="Times New Roman" w:hAnsi="Times New Roman" w:eastAsia="方正小标宋_GBK" w:cs="Times New Roman"/>
          <w:sz w:val="44"/>
          <w:szCs w:val="44"/>
          <w:shd w:val="clear" w:color="auto" w:fill="FFFFFF"/>
        </w:rPr>
        <w:t>攀枝花市西区财政绩效评价中心</w:t>
      </w:r>
    </w:p>
    <w:p w14:paraId="312579B1">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Times New Roman" w:hAnsi="Times New Roman" w:eastAsia="方正小标宋_GBK" w:cs="Times New Roman"/>
          <w:sz w:val="44"/>
          <w:szCs w:val="44"/>
          <w:shd w:val="clear" w:color="auto" w:fill="FFFFFF"/>
        </w:rPr>
      </w:pPr>
      <w:r>
        <w:rPr>
          <w:rFonts w:ascii="Times New Roman" w:hAnsi="Times New Roman" w:eastAsia="方正小标宋_GBK" w:cs="Times New Roman"/>
          <w:sz w:val="44"/>
          <w:szCs w:val="44"/>
          <w:shd w:val="clear" w:color="auto" w:fill="FFFFFF"/>
        </w:rPr>
        <w:t>部门预算绩效</w:t>
      </w:r>
      <w:r>
        <w:rPr>
          <w:rFonts w:hint="eastAsia" w:ascii="Times New Roman" w:hAnsi="Times New Roman" w:eastAsia="方正小标宋_GBK" w:cs="Times New Roman"/>
          <w:sz w:val="44"/>
          <w:szCs w:val="44"/>
          <w:shd w:val="clear" w:color="auto" w:fill="FFFFFF"/>
        </w:rPr>
        <w:t>自评</w:t>
      </w:r>
      <w:r>
        <w:rPr>
          <w:rFonts w:ascii="Times New Roman" w:hAnsi="Times New Roman" w:eastAsia="方正小标宋_GBK" w:cs="Times New Roman"/>
          <w:sz w:val="44"/>
          <w:szCs w:val="44"/>
          <w:shd w:val="clear" w:color="auto" w:fill="FFFFFF"/>
        </w:rPr>
        <w:t>报告</w:t>
      </w:r>
    </w:p>
    <w:p w14:paraId="7A5BD691">
      <w:pPr>
        <w:widowControl/>
        <w:adjustRightInd w:val="0"/>
        <w:snapToGrid w:val="0"/>
        <w:spacing w:line="578" w:lineRule="exact"/>
        <w:ind w:firstLine="480" w:firstLineChars="200"/>
        <w:contextualSpacing/>
        <w:jc w:val="left"/>
        <w:rPr>
          <w:rFonts w:eastAsia="黑体"/>
          <w:color w:val="000000"/>
          <w:kern w:val="0"/>
          <w:sz w:val="24"/>
          <w:szCs w:val="32"/>
          <w:shd w:val="clear" w:color="auto" w:fill="FFFFFF"/>
        </w:rPr>
      </w:pPr>
    </w:p>
    <w:p w14:paraId="3F9D978C">
      <w:pPr>
        <w:keepNext w:val="0"/>
        <w:keepLines w:val="0"/>
        <w:pageBreakBefore w:val="0"/>
        <w:widowControl/>
        <w:kinsoku/>
        <w:wordWrap/>
        <w:overflowPunct/>
        <w:topLinePunct w:val="0"/>
        <w:autoSpaceDE/>
        <w:autoSpaceDN/>
        <w:bidi w:val="0"/>
        <w:adjustRightInd w:val="0"/>
        <w:snapToGrid w:val="0"/>
        <w:spacing w:line="240" w:lineRule="auto"/>
        <w:ind w:firstLine="640" w:firstLineChars="200"/>
        <w:contextualSpacing/>
        <w:jc w:val="left"/>
        <w:textAlignment w:val="auto"/>
        <w:rPr>
          <w:rFonts w:hint="default" w:ascii="Times New Roman" w:hAnsi="Times New Roman" w:eastAsia="方正黑体_GBK" w:cs="Times New Roman"/>
          <w:szCs w:val="32"/>
        </w:rPr>
      </w:pPr>
      <w:r>
        <w:rPr>
          <w:rFonts w:hint="default" w:ascii="Times New Roman" w:hAnsi="Times New Roman" w:eastAsia="方正黑体_GBK" w:cs="Times New Roman"/>
          <w:color w:val="000000"/>
          <w:kern w:val="0"/>
          <w:szCs w:val="32"/>
          <w:shd w:val="clear" w:color="auto" w:fill="FFFFFF"/>
          <w:lang w:val="zh-CN"/>
        </w:rPr>
        <w:t>一、部门（单位）基本情况</w:t>
      </w:r>
    </w:p>
    <w:p w14:paraId="27E2E4C5">
      <w:pPr>
        <w:keepNext w:val="0"/>
        <w:keepLines w:val="0"/>
        <w:pageBreakBefore w:val="0"/>
        <w:widowControl/>
        <w:kinsoku/>
        <w:wordWrap/>
        <w:overflowPunct/>
        <w:topLinePunct w:val="0"/>
        <w:autoSpaceDE/>
        <w:autoSpaceDN/>
        <w:bidi w:val="0"/>
        <w:adjustRightInd w:val="0"/>
        <w:snapToGrid w:val="0"/>
        <w:spacing w:line="240" w:lineRule="auto"/>
        <w:ind w:firstLine="643" w:firstLineChars="200"/>
        <w:contextualSpacing/>
        <w:jc w:val="left"/>
        <w:textAlignment w:val="auto"/>
        <w:rPr>
          <w:rFonts w:hint="default" w:ascii="Times New Roman" w:hAnsi="Times New Roman" w:eastAsia="方正楷体_GBK" w:cs="Times New Roman"/>
          <w:b/>
          <w:bCs/>
          <w:color w:val="000000"/>
          <w:kern w:val="0"/>
          <w:szCs w:val="32"/>
          <w:shd w:val="clear" w:color="auto" w:fill="FFFFFF"/>
          <w:lang w:val="zh-CN"/>
        </w:rPr>
      </w:pPr>
      <w:r>
        <w:rPr>
          <w:rFonts w:hint="default" w:ascii="Times New Roman" w:hAnsi="Times New Roman" w:eastAsia="方正楷体_GBK" w:cs="Times New Roman"/>
          <w:b/>
          <w:bCs/>
          <w:color w:val="000000"/>
          <w:kern w:val="0"/>
          <w:szCs w:val="32"/>
          <w:shd w:val="clear" w:color="auto" w:fill="FFFFFF"/>
          <w:lang w:val="zh-CN"/>
        </w:rPr>
        <w:t>（一）机构组成</w:t>
      </w:r>
    </w:p>
    <w:p w14:paraId="446F811D">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kern w:val="0"/>
          <w:sz w:val="32"/>
          <w:szCs w:val="32"/>
          <w:lang w:val="en-US" w:eastAsia="zh-CN" w:bidi="ar"/>
        </w:rPr>
      </w:pPr>
      <w:r>
        <w:rPr>
          <w:rFonts w:hint="default" w:ascii="Times New Roman" w:hAnsi="Times New Roman" w:eastAsia="方正仿宋_GBK" w:cs="Times New Roman"/>
          <w:kern w:val="0"/>
          <w:sz w:val="32"/>
          <w:szCs w:val="32"/>
          <w:lang w:val="en-US" w:eastAsia="zh-CN" w:bidi="ar"/>
        </w:rPr>
        <w:t>本单位为西区财政局下属副科级参公管理的事业单位，无下属二级单位。</w:t>
      </w:r>
    </w:p>
    <w:p w14:paraId="5B302794">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firstLine="643" w:firstLineChars="200"/>
        <w:contextualSpacing/>
        <w:jc w:val="left"/>
        <w:textAlignment w:val="auto"/>
        <w:rPr>
          <w:rFonts w:hint="default" w:ascii="Times New Roman" w:hAnsi="Times New Roman" w:eastAsia="楷体_GB2312" w:cs="Times New Roman"/>
          <w:b/>
          <w:bCs/>
          <w:color w:val="000000"/>
          <w:kern w:val="0"/>
          <w:szCs w:val="32"/>
          <w:shd w:val="clear" w:color="auto" w:fill="FFFFFF"/>
          <w:lang w:val="zh-CN"/>
        </w:rPr>
      </w:pPr>
      <w:r>
        <w:rPr>
          <w:rFonts w:hint="default" w:ascii="Times New Roman" w:hAnsi="Times New Roman" w:eastAsia="楷体_GB2312" w:cs="Times New Roman"/>
          <w:b/>
          <w:bCs/>
          <w:color w:val="000000"/>
          <w:kern w:val="0"/>
          <w:szCs w:val="32"/>
          <w:shd w:val="clear" w:color="auto" w:fill="FFFFFF"/>
          <w:lang w:val="zh-CN" w:eastAsia="zh-CN"/>
        </w:rPr>
        <w:t>（二）</w:t>
      </w:r>
      <w:r>
        <w:rPr>
          <w:rFonts w:hint="default" w:ascii="Times New Roman" w:hAnsi="Times New Roman" w:eastAsia="楷体_GB2312" w:cs="Times New Roman"/>
          <w:b/>
          <w:bCs/>
          <w:color w:val="000000"/>
          <w:kern w:val="0"/>
          <w:szCs w:val="32"/>
          <w:shd w:val="clear" w:color="auto" w:fill="FFFFFF"/>
          <w:lang w:val="zh-CN"/>
        </w:rPr>
        <w:t>机构职能</w:t>
      </w:r>
    </w:p>
    <w:p w14:paraId="5359E099">
      <w:pPr>
        <w:pStyle w:val="6"/>
        <w:keepNext w:val="0"/>
        <w:keepLines w:val="0"/>
        <w:pageBreakBefore w:val="0"/>
        <w:kinsoku/>
        <w:wordWrap/>
        <w:overflowPunct/>
        <w:topLinePunct w:val="0"/>
        <w:autoSpaceDE/>
        <w:autoSpaceDN/>
        <w:bidi w:val="0"/>
        <w:spacing w:line="240" w:lineRule="auto"/>
        <w:ind w:firstLine="640" w:firstLineChars="200"/>
        <w:textAlignment w:val="auto"/>
        <w:rPr>
          <w:rFonts w:hint="default" w:ascii="Times New Roman" w:hAnsi="Times New Roman" w:eastAsia="方正仿宋_GBK" w:cs="Times New Roman"/>
          <w:kern w:val="0"/>
          <w:sz w:val="32"/>
          <w:szCs w:val="32"/>
          <w:lang w:val="en-US" w:eastAsia="zh-CN" w:bidi="ar"/>
        </w:rPr>
      </w:pPr>
      <w:r>
        <w:rPr>
          <w:rFonts w:hint="default" w:ascii="Times New Roman" w:hAnsi="Times New Roman" w:eastAsia="方正仿宋_GBK" w:cs="Times New Roman"/>
          <w:kern w:val="0"/>
          <w:sz w:val="32"/>
          <w:szCs w:val="32"/>
          <w:lang w:val="en-US" w:eastAsia="zh-CN" w:bidi="ar"/>
        </w:rPr>
        <w:t>本单位主要职能是拟定财政监督政策和制度，监督检查财税法规、政策的执行情况；检查并反映财政收支和国有资产经营管理中存在的重大问题，提出加强财政监督和国有资产管理的政策建议；对查出的各种违反财经法纪的行为实施行政处罚；监督检查全区两级财政及各单位在预算编制和执行过程中执行财政法规、政策和制度的情况；监督检查区属各单位财务收支管理情况，监督检查全区专项资金使用情况和使用效果；协调审计机关对区财政实施审计的业务工作，并对区财政及财政所行使财政监督、审计职能。</w:t>
      </w:r>
    </w:p>
    <w:p w14:paraId="7DA3089A">
      <w:pPr>
        <w:keepNext w:val="0"/>
        <w:keepLines w:val="0"/>
        <w:pageBreakBefore w:val="0"/>
        <w:kinsoku/>
        <w:wordWrap/>
        <w:overflowPunct/>
        <w:topLinePunct w:val="0"/>
        <w:autoSpaceDE/>
        <w:autoSpaceDN/>
        <w:bidi w:val="0"/>
        <w:spacing w:line="240" w:lineRule="auto"/>
        <w:ind w:firstLine="643" w:firstLineChars="200"/>
        <w:textAlignment w:val="auto"/>
        <w:rPr>
          <w:rFonts w:hint="default" w:ascii="Times New Roman" w:hAnsi="Times New Roman" w:eastAsia="楷体_GB2312" w:cs="Times New Roman"/>
          <w:b/>
          <w:bCs/>
          <w:color w:val="000000"/>
          <w:kern w:val="0"/>
          <w:szCs w:val="32"/>
          <w:shd w:val="clear" w:color="auto" w:fill="FFFFFF"/>
          <w:lang w:val="zh-CN"/>
        </w:rPr>
      </w:pPr>
      <w:r>
        <w:rPr>
          <w:rFonts w:hint="default" w:ascii="Times New Roman" w:hAnsi="Times New Roman" w:eastAsia="楷体_GB2312" w:cs="Times New Roman"/>
          <w:b/>
          <w:bCs/>
          <w:color w:val="000000"/>
          <w:kern w:val="0"/>
          <w:szCs w:val="32"/>
          <w:shd w:val="clear" w:color="auto" w:fill="FFFFFF"/>
          <w:lang w:val="zh-CN"/>
        </w:rPr>
        <w:t>（三）人员概况</w:t>
      </w:r>
    </w:p>
    <w:p w14:paraId="1CE5A4F7">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kern w:val="0"/>
          <w:sz w:val="32"/>
          <w:szCs w:val="32"/>
          <w:lang w:val="en-US" w:eastAsia="zh-CN" w:bidi="ar"/>
        </w:rPr>
      </w:pPr>
      <w:r>
        <w:rPr>
          <w:rFonts w:hint="default" w:ascii="Times New Roman" w:hAnsi="Times New Roman" w:eastAsia="方正仿宋_GBK" w:cs="Times New Roman"/>
          <w:kern w:val="0"/>
          <w:sz w:val="32"/>
          <w:szCs w:val="32"/>
          <w:lang w:val="en-US" w:eastAsia="zh-CN" w:bidi="ar"/>
        </w:rPr>
        <w:t>截至2025年末，本单位有参照公务员法管理事业人员编制6人，年末实有参照公务员法管理的事业人员6人。</w:t>
      </w:r>
    </w:p>
    <w:p w14:paraId="0E2C43CF">
      <w:pPr>
        <w:keepNext w:val="0"/>
        <w:keepLines w:val="0"/>
        <w:pageBreakBefore w:val="0"/>
        <w:widowControl/>
        <w:kinsoku/>
        <w:wordWrap/>
        <w:overflowPunct/>
        <w:topLinePunct w:val="0"/>
        <w:autoSpaceDE/>
        <w:autoSpaceDN/>
        <w:bidi w:val="0"/>
        <w:adjustRightInd w:val="0"/>
        <w:snapToGrid w:val="0"/>
        <w:spacing w:line="240" w:lineRule="auto"/>
        <w:ind w:firstLine="640" w:firstLineChars="200"/>
        <w:contextualSpacing/>
        <w:jc w:val="left"/>
        <w:textAlignment w:val="auto"/>
        <w:rPr>
          <w:rFonts w:hint="default" w:ascii="Times New Roman" w:hAnsi="Times New Roman" w:eastAsia="方正黑体_GBK" w:cs="Times New Roman"/>
          <w:color w:val="000000"/>
          <w:kern w:val="0"/>
          <w:szCs w:val="32"/>
          <w:shd w:val="clear" w:color="auto" w:fill="FFFFFF"/>
          <w:lang w:val="zh-CN"/>
        </w:rPr>
      </w:pPr>
      <w:r>
        <w:rPr>
          <w:rFonts w:hint="default" w:ascii="Times New Roman" w:hAnsi="Times New Roman" w:eastAsia="方正黑体_GBK" w:cs="Times New Roman"/>
          <w:color w:val="000000"/>
          <w:kern w:val="0"/>
          <w:szCs w:val="32"/>
          <w:shd w:val="clear" w:color="auto" w:fill="FFFFFF"/>
          <w:lang w:val="zh-CN"/>
        </w:rPr>
        <w:t>二、部门资金收支情况</w:t>
      </w:r>
    </w:p>
    <w:p w14:paraId="6B8CC663">
      <w:pPr>
        <w:keepNext w:val="0"/>
        <w:keepLines w:val="0"/>
        <w:pageBreakBefore w:val="0"/>
        <w:widowControl/>
        <w:kinsoku/>
        <w:wordWrap/>
        <w:overflowPunct/>
        <w:topLinePunct w:val="0"/>
        <w:autoSpaceDE/>
        <w:autoSpaceDN/>
        <w:bidi w:val="0"/>
        <w:adjustRightInd w:val="0"/>
        <w:snapToGrid w:val="0"/>
        <w:spacing w:line="240" w:lineRule="auto"/>
        <w:ind w:firstLine="643" w:firstLineChars="200"/>
        <w:contextualSpacing/>
        <w:jc w:val="left"/>
        <w:textAlignment w:val="auto"/>
        <w:rPr>
          <w:rFonts w:hint="default" w:ascii="Times New Roman" w:hAnsi="Times New Roman" w:eastAsia="楷体_GB2312" w:cs="Times New Roman"/>
          <w:b/>
          <w:bCs/>
          <w:color w:val="000000"/>
          <w:kern w:val="0"/>
          <w:szCs w:val="32"/>
          <w:shd w:val="clear" w:color="auto" w:fill="FFFFFF"/>
          <w:lang w:val="zh-CN"/>
        </w:rPr>
      </w:pPr>
      <w:r>
        <w:rPr>
          <w:rFonts w:hint="default" w:ascii="Times New Roman" w:hAnsi="Times New Roman" w:eastAsia="楷体_GB2312" w:cs="Times New Roman"/>
          <w:b/>
          <w:bCs/>
          <w:color w:val="000000"/>
          <w:kern w:val="0"/>
          <w:szCs w:val="32"/>
          <w:shd w:val="clear" w:color="auto" w:fill="FFFFFF"/>
          <w:lang w:val="zh-CN"/>
        </w:rPr>
        <w:t>（一）收入情况</w:t>
      </w:r>
    </w:p>
    <w:p w14:paraId="72A9EA52">
      <w:pPr>
        <w:pStyle w:val="6"/>
        <w:keepNext w:val="0"/>
        <w:keepLines w:val="0"/>
        <w:pageBreakBefore w:val="0"/>
        <w:kinsoku/>
        <w:wordWrap/>
        <w:overflowPunct/>
        <w:topLinePunct w:val="0"/>
        <w:autoSpaceDE/>
        <w:autoSpaceDN/>
        <w:bidi w:val="0"/>
        <w:spacing w:line="240" w:lineRule="auto"/>
        <w:ind w:firstLine="640" w:firstLineChars="200"/>
        <w:jc w:val="left"/>
        <w:textAlignment w:val="auto"/>
        <w:rPr>
          <w:rFonts w:hint="default" w:ascii="Times New Roman" w:hAnsi="Times New Roman" w:eastAsia="方正仿宋_GBK" w:cs="Times New Roman"/>
          <w:kern w:val="0"/>
          <w:sz w:val="32"/>
          <w:szCs w:val="32"/>
          <w:lang w:val="en-US" w:eastAsia="zh-CN" w:bidi="ar"/>
        </w:rPr>
      </w:pPr>
      <w:r>
        <w:rPr>
          <w:rFonts w:hint="default" w:ascii="Times New Roman" w:hAnsi="Times New Roman" w:eastAsia="方正仿宋_GBK" w:cs="Times New Roman"/>
          <w:kern w:val="0"/>
          <w:sz w:val="32"/>
          <w:szCs w:val="32"/>
          <w:lang w:val="en-US" w:eastAsia="zh-CN" w:bidi="ar"/>
        </w:rPr>
        <w:t>本单位2025年年初预算收入116.81万元。其中，一般公共预算资金收入为116.81万元（人员经费91.63万元，公用经费10.18万元，项目经费15万元）。</w:t>
      </w:r>
    </w:p>
    <w:p w14:paraId="096729F9">
      <w:pPr>
        <w:pStyle w:val="6"/>
        <w:keepNext w:val="0"/>
        <w:keepLines w:val="0"/>
        <w:pageBreakBefore w:val="0"/>
        <w:kinsoku/>
        <w:wordWrap/>
        <w:overflowPunct/>
        <w:topLinePunct w:val="0"/>
        <w:autoSpaceDE/>
        <w:autoSpaceDN/>
        <w:bidi w:val="0"/>
        <w:spacing w:line="240" w:lineRule="auto"/>
        <w:ind w:firstLine="640" w:firstLineChars="200"/>
        <w:jc w:val="left"/>
        <w:textAlignment w:val="auto"/>
        <w:rPr>
          <w:rFonts w:hint="default" w:ascii="Times New Roman" w:hAnsi="Times New Roman" w:eastAsia="方正仿宋_GBK" w:cs="Times New Roman"/>
          <w:kern w:val="0"/>
          <w:sz w:val="32"/>
          <w:szCs w:val="32"/>
          <w:lang w:val="en-US" w:eastAsia="zh-CN" w:bidi="ar"/>
        </w:rPr>
      </w:pPr>
      <w:r>
        <w:rPr>
          <w:rFonts w:hint="default" w:ascii="Times New Roman" w:hAnsi="Times New Roman" w:eastAsia="方正仿宋_GBK" w:cs="Times New Roman"/>
          <w:kern w:val="0"/>
          <w:sz w:val="32"/>
          <w:szCs w:val="32"/>
          <w:lang w:val="en-US" w:eastAsia="zh-CN" w:bidi="ar"/>
        </w:rPr>
        <w:t>预算执行过程中，因工资调标、支付公务员医保个人账户补充等原因，人员经费追加7.45万元，调整为99.08万元；公用经费追减1.76万元，调整为8.42万元；项目经费追减4.23万元，调整为10.77万元。</w:t>
      </w:r>
    </w:p>
    <w:p w14:paraId="0D971353">
      <w:pPr>
        <w:keepNext w:val="0"/>
        <w:keepLines w:val="0"/>
        <w:pageBreakBefore w:val="0"/>
        <w:widowControl/>
        <w:kinsoku/>
        <w:wordWrap/>
        <w:overflowPunct/>
        <w:topLinePunct w:val="0"/>
        <w:autoSpaceDE/>
        <w:autoSpaceDN/>
        <w:bidi w:val="0"/>
        <w:adjustRightInd w:val="0"/>
        <w:snapToGrid w:val="0"/>
        <w:spacing w:line="240" w:lineRule="auto"/>
        <w:ind w:firstLine="321" w:firstLineChars="100"/>
        <w:contextualSpacing/>
        <w:jc w:val="left"/>
        <w:textAlignment w:val="auto"/>
        <w:rPr>
          <w:rFonts w:hint="default" w:ascii="Times New Roman" w:hAnsi="Times New Roman" w:eastAsia="楷体_GB2312" w:cs="Times New Roman"/>
          <w:b/>
          <w:bCs/>
          <w:color w:val="000000"/>
          <w:kern w:val="0"/>
          <w:szCs w:val="32"/>
          <w:shd w:val="clear" w:color="auto" w:fill="FFFFFF"/>
          <w:lang w:val="zh-CN"/>
        </w:rPr>
      </w:pPr>
      <w:r>
        <w:rPr>
          <w:rFonts w:hint="default" w:ascii="Times New Roman" w:hAnsi="Times New Roman" w:eastAsia="楷体_GB2312" w:cs="Times New Roman"/>
          <w:b/>
          <w:bCs/>
          <w:color w:val="000000"/>
          <w:kern w:val="0"/>
          <w:szCs w:val="32"/>
          <w:shd w:val="clear" w:color="auto" w:fill="FFFFFF"/>
          <w:lang w:val="zh-CN"/>
        </w:rPr>
        <w:t>（二）支出情况</w:t>
      </w:r>
    </w:p>
    <w:p w14:paraId="78F5058A">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kern w:val="0"/>
          <w:sz w:val="32"/>
          <w:szCs w:val="32"/>
          <w:lang w:val="en-US" w:eastAsia="zh-CN" w:bidi="ar"/>
        </w:rPr>
      </w:pPr>
      <w:r>
        <w:rPr>
          <w:rFonts w:hint="default" w:ascii="Times New Roman" w:hAnsi="Times New Roman" w:eastAsia="方正仿宋_GBK" w:cs="Times New Roman"/>
          <w:kern w:val="0"/>
          <w:sz w:val="32"/>
          <w:szCs w:val="32"/>
          <w:lang w:val="en-US" w:eastAsia="zh-CN" w:bidi="ar"/>
        </w:rPr>
        <w:t>本单位2025年年初预算安排支出116.81万元，调整后全年实际执行118.27万元。其中：基本支出107.50万元，包括人员经费支出99.08万元，日常公用经费支出8.42万元；项目经费支出10.77万元。</w:t>
      </w:r>
    </w:p>
    <w:p w14:paraId="7E76D01E">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kern w:val="0"/>
          <w:sz w:val="32"/>
          <w:szCs w:val="32"/>
          <w:lang w:val="en-US" w:eastAsia="zh-CN" w:bidi="ar"/>
        </w:rPr>
      </w:pPr>
      <w:r>
        <w:rPr>
          <w:rFonts w:hint="default" w:ascii="Times New Roman" w:hAnsi="Times New Roman" w:eastAsia="方正仿宋_GBK" w:cs="Times New Roman"/>
          <w:kern w:val="0"/>
          <w:sz w:val="32"/>
          <w:szCs w:val="32"/>
          <w:lang w:val="zh-CN" w:eastAsia="zh-CN" w:bidi="ar"/>
        </w:rPr>
        <w:t>人员经费及日常公用经费的及时支付保证了机关日常正常运转，加强业务培训，提高职工素质</w:t>
      </w:r>
      <w:r>
        <w:rPr>
          <w:rFonts w:hint="default" w:ascii="Times New Roman" w:hAnsi="Times New Roman" w:eastAsia="方正仿宋_GBK" w:cs="Times New Roman"/>
          <w:kern w:val="0"/>
          <w:sz w:val="32"/>
          <w:szCs w:val="32"/>
          <w:lang w:val="en-US" w:eastAsia="zh-CN" w:bidi="ar"/>
        </w:rPr>
        <w:t>；</w:t>
      </w:r>
      <w:r>
        <w:rPr>
          <w:rFonts w:hint="default" w:ascii="Times New Roman" w:hAnsi="Times New Roman" w:eastAsia="方正仿宋_GBK" w:cs="Times New Roman"/>
          <w:kern w:val="0"/>
          <w:sz w:val="32"/>
          <w:szCs w:val="32"/>
          <w:lang w:val="zh-CN" w:eastAsia="zh-CN" w:bidi="ar"/>
        </w:rPr>
        <w:t>财政监督检查业务专项资金的使用规范单位财务管理</w:t>
      </w:r>
      <w:r>
        <w:rPr>
          <w:rFonts w:hint="eastAsia" w:eastAsia="方正仿宋_GBK" w:cs="Times New Roman"/>
          <w:kern w:val="0"/>
          <w:sz w:val="32"/>
          <w:szCs w:val="32"/>
          <w:lang w:val="zh-CN" w:eastAsia="zh-CN" w:bidi="ar"/>
        </w:rPr>
        <w:t>，</w:t>
      </w:r>
      <w:r>
        <w:rPr>
          <w:rFonts w:hint="default" w:ascii="Times New Roman" w:hAnsi="Times New Roman" w:eastAsia="方正仿宋_GBK" w:cs="Times New Roman"/>
          <w:kern w:val="0"/>
          <w:sz w:val="32"/>
          <w:szCs w:val="32"/>
          <w:lang w:val="zh-CN" w:eastAsia="zh-CN" w:bidi="ar"/>
        </w:rPr>
        <w:t>保障财政资金安全，营造廉洁勤政氛围。</w:t>
      </w:r>
    </w:p>
    <w:p w14:paraId="31505D48">
      <w:pPr>
        <w:keepNext w:val="0"/>
        <w:keepLines w:val="0"/>
        <w:pageBreakBefore w:val="0"/>
        <w:widowControl/>
        <w:numPr>
          <w:ilvl w:val="0"/>
          <w:numId w:val="1"/>
        </w:numPr>
        <w:kinsoku/>
        <w:wordWrap/>
        <w:overflowPunct/>
        <w:topLinePunct w:val="0"/>
        <w:autoSpaceDE/>
        <w:autoSpaceDN/>
        <w:bidi w:val="0"/>
        <w:adjustRightInd w:val="0"/>
        <w:snapToGrid w:val="0"/>
        <w:spacing w:line="240" w:lineRule="auto"/>
        <w:ind w:left="0" w:leftChars="0" w:firstLine="643" w:firstLineChars="200"/>
        <w:contextualSpacing/>
        <w:jc w:val="left"/>
        <w:textAlignment w:val="auto"/>
        <w:rPr>
          <w:rFonts w:hint="default" w:ascii="Times New Roman" w:hAnsi="Times New Roman" w:eastAsia="楷体_GB2312" w:cs="Times New Roman"/>
          <w:b/>
          <w:szCs w:val="32"/>
        </w:rPr>
      </w:pPr>
      <w:r>
        <w:rPr>
          <w:rFonts w:hint="default" w:ascii="Times New Roman" w:hAnsi="Times New Roman" w:eastAsia="楷体_GB2312" w:cs="Times New Roman"/>
          <w:b/>
          <w:szCs w:val="32"/>
        </w:rPr>
        <w:t>结余分配和结转结余情况。</w:t>
      </w:r>
    </w:p>
    <w:p w14:paraId="3DDA9807">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kern w:val="0"/>
          <w:sz w:val="32"/>
          <w:szCs w:val="32"/>
          <w:lang w:val="zh-CN" w:eastAsia="zh-CN" w:bidi="ar"/>
        </w:rPr>
      </w:pPr>
      <w:r>
        <w:rPr>
          <w:rFonts w:hint="default" w:ascii="Times New Roman" w:hAnsi="Times New Roman" w:eastAsia="方正仿宋_GBK" w:cs="Times New Roman"/>
          <w:kern w:val="0"/>
          <w:sz w:val="32"/>
          <w:szCs w:val="32"/>
          <w:lang w:val="en-US" w:eastAsia="zh-CN" w:bidi="ar"/>
        </w:rPr>
        <w:t>本单位2025年无结转结余。</w:t>
      </w:r>
    </w:p>
    <w:p w14:paraId="5F2CB90B">
      <w:pPr>
        <w:keepNext w:val="0"/>
        <w:keepLines w:val="0"/>
        <w:pageBreakBefore w:val="0"/>
        <w:widowControl/>
        <w:kinsoku/>
        <w:wordWrap/>
        <w:overflowPunct/>
        <w:topLinePunct w:val="0"/>
        <w:autoSpaceDE/>
        <w:autoSpaceDN/>
        <w:bidi w:val="0"/>
        <w:adjustRightInd w:val="0"/>
        <w:snapToGrid w:val="0"/>
        <w:spacing w:line="240" w:lineRule="auto"/>
        <w:ind w:firstLine="640" w:firstLineChars="200"/>
        <w:contextualSpacing/>
        <w:jc w:val="left"/>
        <w:textAlignment w:val="auto"/>
        <w:rPr>
          <w:rFonts w:hint="default" w:ascii="Times New Roman" w:hAnsi="Times New Roman" w:eastAsia="方正黑体_GBK" w:cs="Times New Roman"/>
          <w:color w:val="000000"/>
          <w:kern w:val="0"/>
          <w:szCs w:val="32"/>
          <w:shd w:val="clear" w:color="auto" w:fill="FFFFFF"/>
          <w:lang w:val="zh-CN"/>
        </w:rPr>
      </w:pPr>
      <w:r>
        <w:rPr>
          <w:rFonts w:hint="default" w:ascii="Times New Roman" w:hAnsi="Times New Roman" w:eastAsia="方正黑体_GBK" w:cs="Times New Roman"/>
          <w:color w:val="000000"/>
          <w:kern w:val="0"/>
          <w:szCs w:val="32"/>
          <w:shd w:val="clear" w:color="auto" w:fill="FFFFFF"/>
          <w:lang w:val="zh-CN"/>
        </w:rPr>
        <w:t>三、部门预算绩效分析</w:t>
      </w:r>
    </w:p>
    <w:p w14:paraId="69CA09DA">
      <w:pPr>
        <w:keepNext w:val="0"/>
        <w:keepLines w:val="0"/>
        <w:pageBreakBefore w:val="0"/>
        <w:widowControl/>
        <w:suppressLineNumbers w:val="0"/>
        <w:kinsoku/>
        <w:wordWrap/>
        <w:overflowPunct/>
        <w:topLinePunct w:val="0"/>
        <w:autoSpaceDE/>
        <w:autoSpaceDN/>
        <w:bidi w:val="0"/>
        <w:adjustRightInd/>
        <w:snapToGrid/>
        <w:ind w:firstLine="643" w:firstLineChars="200"/>
        <w:jc w:val="left"/>
        <w:textAlignment w:val="auto"/>
        <w:rPr>
          <w:rFonts w:hint="eastAsia" w:ascii="方正楷体_GBK" w:hAnsi="方正楷体_GBK" w:eastAsia="方正楷体_GBK" w:cs="方正楷体_GBK"/>
          <w:b/>
          <w:bCs/>
          <w:kern w:val="0"/>
          <w:sz w:val="32"/>
          <w:szCs w:val="32"/>
          <w:lang w:val="zh-CN" w:eastAsia="zh-CN" w:bidi="ar"/>
        </w:rPr>
      </w:pPr>
      <w:r>
        <w:rPr>
          <w:rFonts w:hint="eastAsia" w:ascii="方正楷体_GBK" w:hAnsi="方正楷体_GBK" w:eastAsia="方正楷体_GBK" w:cs="方正楷体_GBK"/>
          <w:b/>
          <w:bCs/>
          <w:kern w:val="0"/>
          <w:sz w:val="32"/>
          <w:szCs w:val="32"/>
          <w:lang w:val="zh-CN" w:eastAsia="zh-CN" w:bidi="ar"/>
        </w:rPr>
        <w:t>（一）部门预算总体绩效分析（</w:t>
      </w:r>
      <w:r>
        <w:rPr>
          <w:rFonts w:hint="eastAsia" w:ascii="方正楷体_GBK" w:hAnsi="方正楷体_GBK" w:eastAsia="方正楷体_GBK" w:cs="方正楷体_GBK"/>
          <w:b/>
          <w:bCs/>
          <w:kern w:val="0"/>
          <w:sz w:val="32"/>
          <w:szCs w:val="32"/>
          <w:lang w:val="en-US" w:eastAsia="zh-CN" w:bidi="ar"/>
        </w:rPr>
        <w:t>59.65分</w:t>
      </w:r>
      <w:r>
        <w:rPr>
          <w:rFonts w:hint="eastAsia" w:ascii="方正楷体_GBK" w:hAnsi="方正楷体_GBK" w:eastAsia="方正楷体_GBK" w:cs="方正楷体_GBK"/>
          <w:b/>
          <w:bCs/>
          <w:kern w:val="0"/>
          <w:sz w:val="32"/>
          <w:szCs w:val="32"/>
          <w:lang w:val="zh-CN" w:eastAsia="zh-CN" w:bidi="ar"/>
        </w:rPr>
        <w:t>）</w:t>
      </w:r>
    </w:p>
    <w:p w14:paraId="32F402D8">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kern w:val="0"/>
          <w:sz w:val="32"/>
          <w:szCs w:val="32"/>
          <w:lang w:val="zh-CN" w:eastAsia="zh-CN" w:bidi="ar"/>
        </w:rPr>
      </w:pPr>
      <w:r>
        <w:rPr>
          <w:rFonts w:hint="default" w:ascii="Times New Roman" w:hAnsi="Times New Roman" w:eastAsia="方正仿宋_GBK" w:cs="Times New Roman"/>
          <w:kern w:val="0"/>
          <w:sz w:val="32"/>
          <w:szCs w:val="32"/>
          <w:lang w:val="zh-CN" w:eastAsia="zh-CN" w:bidi="ar"/>
        </w:rPr>
        <w:t>根据部门预算绩效评价指标体系“总体绩效”涉及二、三级指标进行逐项绩效分析并评分，依次包括履职效能、预算管理、财务管理、资产管理、采购管理等情况。</w:t>
      </w:r>
    </w:p>
    <w:p w14:paraId="782D2CF6">
      <w:pPr>
        <w:keepNext w:val="0"/>
        <w:keepLines w:val="0"/>
        <w:pageBreakBefore w:val="0"/>
        <w:widowControl/>
        <w:kinsoku/>
        <w:wordWrap/>
        <w:overflowPunct/>
        <w:topLinePunct w:val="0"/>
        <w:autoSpaceDE/>
        <w:autoSpaceDN/>
        <w:bidi w:val="0"/>
        <w:adjustRightInd w:val="0"/>
        <w:snapToGrid w:val="0"/>
        <w:spacing w:line="240" w:lineRule="auto"/>
        <w:ind w:firstLine="640" w:firstLineChars="200"/>
        <w:contextualSpacing/>
        <w:jc w:val="left"/>
        <w:textAlignment w:val="auto"/>
        <w:rPr>
          <w:rFonts w:hint="default" w:ascii="Times New Roman" w:hAnsi="Times New Roman" w:cs="Times New Roman"/>
          <w:color w:val="000000" w:themeColor="text1"/>
          <w:kern w:val="0"/>
          <w:szCs w:val="32"/>
          <w:shd w:val="clear" w:color="auto" w:fill="FFFFFF"/>
          <w:lang w:val="zh-CN"/>
          <w14:textFill>
            <w14:solidFill>
              <w14:schemeClr w14:val="tx1"/>
            </w14:solidFill>
          </w14:textFill>
        </w:rPr>
      </w:pPr>
      <w:r>
        <w:rPr>
          <w:rFonts w:hint="default" w:ascii="Times New Roman" w:hAnsi="Times New Roman" w:eastAsia="楷体_GB2312" w:cs="Times New Roman"/>
          <w:color w:val="000000" w:themeColor="text1"/>
          <w:kern w:val="0"/>
          <w:szCs w:val="32"/>
          <w:shd w:val="clear" w:color="auto" w:fill="FFFFFF"/>
          <w14:textFill>
            <w14:solidFill>
              <w14:schemeClr w14:val="tx1"/>
            </w14:solidFill>
          </w14:textFill>
        </w:rPr>
        <w:t>1.</w:t>
      </w:r>
      <w:r>
        <w:rPr>
          <w:rFonts w:hint="default" w:ascii="Times New Roman" w:hAnsi="Times New Roman" w:eastAsia="楷体_GB2312" w:cs="Times New Roman"/>
          <w:color w:val="000000" w:themeColor="text1"/>
          <w:kern w:val="0"/>
          <w:szCs w:val="32"/>
          <w:shd w:val="clear" w:color="auto" w:fill="FFFFFF"/>
          <w:lang w:val="zh-CN"/>
          <w14:textFill>
            <w14:solidFill>
              <w14:schemeClr w14:val="tx1"/>
            </w14:solidFill>
          </w14:textFill>
        </w:rPr>
        <w:t>履职效能。（</w:t>
      </w:r>
      <w:r>
        <w:rPr>
          <w:rFonts w:hint="default" w:ascii="Times New Roman" w:hAnsi="Times New Roman" w:eastAsia="楷体_GB2312" w:cs="Times New Roman"/>
          <w:color w:val="000000" w:themeColor="text1"/>
          <w:kern w:val="0"/>
          <w:szCs w:val="32"/>
          <w:shd w:val="clear" w:color="auto" w:fill="FFFFFF"/>
          <w:lang w:val="en-US" w:eastAsia="zh-CN"/>
          <w14:textFill>
            <w14:solidFill>
              <w14:schemeClr w14:val="tx1"/>
            </w14:solidFill>
          </w14:textFill>
        </w:rPr>
        <w:t>14.70分</w:t>
      </w:r>
      <w:r>
        <w:rPr>
          <w:rFonts w:hint="default" w:ascii="Times New Roman" w:hAnsi="Times New Roman" w:eastAsia="楷体_GB2312" w:cs="Times New Roman"/>
          <w:color w:val="000000" w:themeColor="text1"/>
          <w:kern w:val="0"/>
          <w:szCs w:val="32"/>
          <w:shd w:val="clear" w:color="auto" w:fill="FFFFFF"/>
          <w:lang w:val="zh-CN"/>
          <w14:textFill>
            <w14:solidFill>
              <w14:schemeClr w14:val="tx1"/>
            </w14:solidFill>
          </w14:textFill>
        </w:rPr>
        <w:t>）</w:t>
      </w:r>
    </w:p>
    <w:p w14:paraId="77ACD0BF">
      <w:pPr>
        <w:keepNext w:val="0"/>
        <w:keepLines w:val="0"/>
        <w:pageBreakBefore w:val="0"/>
        <w:widowControl/>
        <w:numPr>
          <w:ilvl w:val="0"/>
          <w:numId w:val="2"/>
        </w:numPr>
        <w:kinsoku/>
        <w:wordWrap/>
        <w:overflowPunct/>
        <w:topLinePunct w:val="0"/>
        <w:autoSpaceDE/>
        <w:autoSpaceDN/>
        <w:bidi w:val="0"/>
        <w:adjustRightInd w:val="0"/>
        <w:snapToGrid w:val="0"/>
        <w:spacing w:line="240" w:lineRule="auto"/>
        <w:ind w:firstLine="640" w:firstLineChars="200"/>
        <w:contextualSpacing/>
        <w:jc w:val="left"/>
        <w:textAlignment w:val="auto"/>
        <w:rPr>
          <w:rFonts w:hint="default"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pPr>
      <w:r>
        <w:rPr>
          <w:rFonts w:hint="default"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t>产出指标完成情况分析。</w:t>
      </w:r>
    </w:p>
    <w:p w14:paraId="74F254D4">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kern w:val="0"/>
          <w:sz w:val="32"/>
          <w:szCs w:val="32"/>
          <w:lang w:val="zh-CN" w:eastAsia="zh-CN" w:bidi="ar"/>
        </w:rPr>
      </w:pPr>
      <w:r>
        <w:rPr>
          <w:rFonts w:hint="default" w:ascii="Times New Roman" w:hAnsi="Times New Roman" w:eastAsia="方正仿宋_GBK" w:cs="Times New Roman"/>
          <w:kern w:val="0"/>
          <w:sz w:val="32"/>
          <w:szCs w:val="32"/>
          <w:lang w:val="zh-CN" w:eastAsia="zh-CN" w:bidi="ar"/>
        </w:rPr>
        <w:t>开展严肃财经纪律专项整治、乡镇财政资金使用监管突出问题专项整治、会计监督检查等共计检查12次。</w:t>
      </w:r>
    </w:p>
    <w:p w14:paraId="4F4D40AC">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firstLine="640" w:firstLineChars="200"/>
        <w:contextualSpacing/>
        <w:jc w:val="left"/>
        <w:textAlignment w:val="auto"/>
        <w:rPr>
          <w:rFonts w:hint="default"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pPr>
      <w:r>
        <w:rPr>
          <w:rFonts w:hint="default"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t>（</w:t>
      </w:r>
      <w:r>
        <w:rPr>
          <w:rFonts w:hint="default" w:ascii="Times New Roman" w:hAnsi="Times New Roman" w:cs="Times New Roman"/>
          <w:color w:val="000000" w:themeColor="text1"/>
          <w:kern w:val="0"/>
          <w:sz w:val="32"/>
          <w:szCs w:val="32"/>
          <w:shd w:val="clear" w:color="auto" w:fill="FFFFFF"/>
          <w:lang w:val="en-US" w:eastAsia="zh-CN"/>
          <w14:textFill>
            <w14:solidFill>
              <w14:schemeClr w14:val="tx1"/>
            </w14:solidFill>
          </w14:textFill>
        </w:rPr>
        <w:t>2</w:t>
      </w:r>
      <w:r>
        <w:rPr>
          <w:rFonts w:hint="default"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t>）效益指标完成情况分析。</w:t>
      </w:r>
    </w:p>
    <w:p w14:paraId="079CFE72">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kern w:val="0"/>
          <w:sz w:val="32"/>
          <w:szCs w:val="32"/>
          <w:lang w:val="zh-CN" w:eastAsia="zh-CN" w:bidi="ar"/>
        </w:rPr>
      </w:pPr>
      <w:r>
        <w:rPr>
          <w:rFonts w:hint="default" w:ascii="Times New Roman" w:hAnsi="Times New Roman" w:eastAsia="方正仿宋_GBK" w:cs="Times New Roman"/>
          <w:kern w:val="0"/>
          <w:sz w:val="32"/>
          <w:szCs w:val="32"/>
          <w:lang w:val="zh-CN" w:eastAsia="zh-CN" w:bidi="ar"/>
        </w:rPr>
        <w:t>通过各项监督检查，更加规范单位财务管理，保障财政资金安全</w:t>
      </w:r>
      <w:r>
        <w:rPr>
          <w:rFonts w:hint="eastAsia" w:eastAsia="方正仿宋_GBK" w:cs="Times New Roman"/>
          <w:kern w:val="0"/>
          <w:sz w:val="32"/>
          <w:szCs w:val="32"/>
          <w:lang w:val="zh-CN" w:eastAsia="zh-CN" w:bidi="ar"/>
        </w:rPr>
        <w:t>，</w:t>
      </w:r>
      <w:r>
        <w:rPr>
          <w:rFonts w:hint="default" w:ascii="Times New Roman" w:hAnsi="Times New Roman" w:eastAsia="方正仿宋_GBK" w:cs="Times New Roman"/>
          <w:kern w:val="0"/>
          <w:sz w:val="32"/>
          <w:szCs w:val="32"/>
          <w:lang w:val="zh-CN" w:eastAsia="zh-CN" w:bidi="ar"/>
        </w:rPr>
        <w:t>营造廉洁勤政氛围。</w:t>
      </w:r>
    </w:p>
    <w:p w14:paraId="295A6FDD">
      <w:pPr>
        <w:keepNext w:val="0"/>
        <w:keepLines w:val="0"/>
        <w:pageBreakBefore w:val="0"/>
        <w:widowControl/>
        <w:kinsoku/>
        <w:wordWrap/>
        <w:overflowPunct/>
        <w:topLinePunct w:val="0"/>
        <w:autoSpaceDE/>
        <w:autoSpaceDN/>
        <w:bidi w:val="0"/>
        <w:adjustRightInd w:val="0"/>
        <w:snapToGrid w:val="0"/>
        <w:spacing w:line="240" w:lineRule="auto"/>
        <w:ind w:firstLine="640" w:firstLineChars="200"/>
        <w:contextualSpacing/>
        <w:jc w:val="left"/>
        <w:textAlignment w:val="auto"/>
        <w:rPr>
          <w:rFonts w:hint="default"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pPr>
      <w:r>
        <w:rPr>
          <w:rFonts w:hint="default"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t>（3）满意度指标完成情况分析。</w:t>
      </w:r>
    </w:p>
    <w:p w14:paraId="7D31B942">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kern w:val="0"/>
          <w:sz w:val="32"/>
          <w:szCs w:val="32"/>
          <w:lang w:val="zh-CN" w:eastAsia="zh-CN" w:bidi="ar"/>
        </w:rPr>
      </w:pPr>
      <w:r>
        <w:rPr>
          <w:rFonts w:hint="default" w:ascii="Times New Roman" w:hAnsi="Times New Roman" w:eastAsia="方正仿宋_GBK" w:cs="Times New Roman"/>
          <w:kern w:val="0"/>
          <w:sz w:val="32"/>
          <w:szCs w:val="32"/>
          <w:lang w:val="zh-CN" w:eastAsia="zh-CN" w:bidi="ar"/>
        </w:rPr>
        <w:t>满意度较高，检查人员行为规范无投诉情况。</w:t>
      </w:r>
    </w:p>
    <w:p w14:paraId="3DFFA209">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Chars="200"/>
        <w:contextualSpacing/>
        <w:jc w:val="left"/>
        <w:textAlignment w:val="auto"/>
        <w:rPr>
          <w:rFonts w:hint="default"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pPr>
      <w:r>
        <w:rPr>
          <w:rFonts w:hint="default"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t>（</w:t>
      </w:r>
      <w:r>
        <w:rPr>
          <w:rFonts w:hint="default" w:ascii="Times New Roman" w:hAnsi="Times New Roman" w:cs="Times New Roman"/>
          <w:color w:val="000000" w:themeColor="text1"/>
          <w:kern w:val="0"/>
          <w:sz w:val="32"/>
          <w:szCs w:val="32"/>
          <w:shd w:val="clear" w:color="auto" w:fill="FFFFFF"/>
          <w:lang w:val="en-US" w:eastAsia="zh-CN"/>
          <w14:textFill>
            <w14:solidFill>
              <w14:schemeClr w14:val="tx1"/>
            </w14:solidFill>
          </w14:textFill>
        </w:rPr>
        <w:t>4</w:t>
      </w:r>
      <w:r>
        <w:rPr>
          <w:rFonts w:hint="default"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t>）成本指标完成情况分析。</w:t>
      </w:r>
    </w:p>
    <w:p w14:paraId="475D9FF5">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kern w:val="0"/>
          <w:sz w:val="32"/>
          <w:szCs w:val="32"/>
          <w:lang w:val="zh-CN" w:eastAsia="zh-CN" w:bidi="ar"/>
        </w:rPr>
      </w:pPr>
      <w:r>
        <w:rPr>
          <w:rFonts w:hint="default" w:ascii="Times New Roman" w:hAnsi="Times New Roman" w:eastAsia="方正仿宋_GBK" w:cs="Times New Roman"/>
          <w:kern w:val="0"/>
          <w:sz w:val="32"/>
          <w:szCs w:val="32"/>
          <w:lang w:val="zh-CN" w:eastAsia="zh-CN" w:bidi="ar"/>
        </w:rPr>
        <w:t>202</w:t>
      </w:r>
      <w:r>
        <w:rPr>
          <w:rFonts w:hint="default" w:ascii="Times New Roman" w:hAnsi="Times New Roman" w:eastAsia="方正仿宋_GBK" w:cs="Times New Roman"/>
          <w:kern w:val="0"/>
          <w:sz w:val="32"/>
          <w:szCs w:val="32"/>
          <w:lang w:val="en-US" w:eastAsia="zh-CN" w:bidi="ar"/>
        </w:rPr>
        <w:t>5年</w:t>
      </w:r>
      <w:r>
        <w:rPr>
          <w:rFonts w:hint="default" w:ascii="Times New Roman" w:hAnsi="Times New Roman" w:eastAsia="方正仿宋_GBK" w:cs="Times New Roman"/>
          <w:kern w:val="0"/>
          <w:sz w:val="32"/>
          <w:szCs w:val="32"/>
          <w:lang w:val="zh-CN" w:eastAsia="zh-CN" w:bidi="ar"/>
        </w:rPr>
        <w:t>财政监督检查业务费全年预算数15万元，执行1</w:t>
      </w:r>
      <w:r>
        <w:rPr>
          <w:rFonts w:hint="default" w:ascii="Times New Roman" w:hAnsi="Times New Roman" w:eastAsia="方正仿宋_GBK" w:cs="Times New Roman"/>
          <w:kern w:val="0"/>
          <w:sz w:val="32"/>
          <w:szCs w:val="32"/>
          <w:lang w:val="en-US" w:eastAsia="zh-CN" w:bidi="ar"/>
        </w:rPr>
        <w:t>0.77</w:t>
      </w:r>
      <w:r>
        <w:rPr>
          <w:rFonts w:hint="default" w:ascii="Times New Roman" w:hAnsi="Times New Roman" w:eastAsia="方正仿宋_GBK" w:cs="Times New Roman"/>
          <w:kern w:val="0"/>
          <w:sz w:val="32"/>
          <w:szCs w:val="32"/>
          <w:lang w:val="zh-CN" w:eastAsia="zh-CN" w:bidi="ar"/>
        </w:rPr>
        <w:t>万元</w:t>
      </w:r>
      <w:r>
        <w:rPr>
          <w:rFonts w:hint="default" w:ascii="Times New Roman" w:hAnsi="Times New Roman" w:eastAsia="方正仿宋_GBK" w:cs="Times New Roman"/>
          <w:kern w:val="0"/>
          <w:sz w:val="32"/>
          <w:szCs w:val="32"/>
          <w:lang w:val="en-US" w:eastAsia="zh-CN" w:bidi="ar"/>
        </w:rPr>
        <w:t>。</w:t>
      </w:r>
    </w:p>
    <w:p w14:paraId="3CB5E8B4">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kern w:val="0"/>
          <w:sz w:val="32"/>
          <w:szCs w:val="32"/>
          <w:lang w:val="zh-CN" w:eastAsia="zh-CN" w:bidi="ar"/>
        </w:rPr>
      </w:pPr>
      <w:r>
        <w:rPr>
          <w:rFonts w:hint="default" w:ascii="Times New Roman" w:hAnsi="Times New Roman" w:eastAsia="方正仿宋_GBK" w:cs="Times New Roman"/>
          <w:kern w:val="0"/>
          <w:sz w:val="32"/>
          <w:szCs w:val="32"/>
          <w:lang w:val="en-US" w:eastAsia="zh-CN" w:bidi="ar"/>
        </w:rPr>
        <w:t>2.</w:t>
      </w:r>
      <w:r>
        <w:rPr>
          <w:rFonts w:hint="default" w:ascii="Times New Roman" w:hAnsi="Times New Roman" w:eastAsia="方正仿宋_GBK" w:cs="Times New Roman"/>
          <w:kern w:val="0"/>
          <w:sz w:val="32"/>
          <w:szCs w:val="32"/>
          <w:lang w:val="zh-CN" w:eastAsia="zh-CN" w:bidi="ar"/>
        </w:rPr>
        <w:t>预算管理（</w:t>
      </w:r>
      <w:r>
        <w:rPr>
          <w:rFonts w:hint="default" w:ascii="Times New Roman" w:hAnsi="Times New Roman" w:eastAsia="方正仿宋_GBK" w:cs="Times New Roman"/>
          <w:kern w:val="0"/>
          <w:sz w:val="32"/>
          <w:szCs w:val="32"/>
          <w:lang w:val="en-US" w:eastAsia="zh-CN" w:bidi="ar"/>
        </w:rPr>
        <w:t>21.15分</w:t>
      </w:r>
      <w:r>
        <w:rPr>
          <w:rFonts w:hint="default" w:ascii="Times New Roman" w:hAnsi="Times New Roman" w:eastAsia="方正仿宋_GBK" w:cs="Times New Roman"/>
          <w:kern w:val="0"/>
          <w:sz w:val="32"/>
          <w:szCs w:val="32"/>
          <w:lang w:val="zh-CN" w:eastAsia="zh-CN" w:bidi="ar"/>
        </w:rPr>
        <w:t>）。</w:t>
      </w:r>
    </w:p>
    <w:p w14:paraId="268263BB">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kern w:val="0"/>
          <w:sz w:val="32"/>
          <w:szCs w:val="32"/>
          <w:lang w:val="zh-CN" w:eastAsia="zh-CN" w:bidi="ar"/>
        </w:rPr>
      </w:pPr>
      <w:r>
        <w:rPr>
          <w:rFonts w:hint="default" w:ascii="Times New Roman" w:hAnsi="Times New Roman" w:eastAsia="方正仿宋_GBK" w:cs="Times New Roman"/>
          <w:kern w:val="0"/>
          <w:sz w:val="32"/>
          <w:szCs w:val="32"/>
          <w:lang w:val="zh-CN" w:eastAsia="zh-CN" w:bidi="ar"/>
        </w:rPr>
        <w:t>（</w:t>
      </w:r>
      <w:r>
        <w:rPr>
          <w:rFonts w:hint="default" w:ascii="Times New Roman" w:hAnsi="Times New Roman" w:eastAsia="方正仿宋_GBK" w:cs="Times New Roman"/>
          <w:kern w:val="0"/>
          <w:sz w:val="32"/>
          <w:szCs w:val="32"/>
          <w:lang w:val="en-US" w:eastAsia="zh-CN" w:bidi="ar"/>
        </w:rPr>
        <w:t>1</w:t>
      </w:r>
      <w:r>
        <w:rPr>
          <w:rFonts w:hint="default" w:ascii="Times New Roman" w:hAnsi="Times New Roman" w:eastAsia="方正仿宋_GBK" w:cs="Times New Roman"/>
          <w:kern w:val="0"/>
          <w:sz w:val="32"/>
          <w:szCs w:val="32"/>
          <w:lang w:val="zh-CN" w:eastAsia="zh-CN" w:bidi="ar"/>
        </w:rPr>
        <w:t>）预算编制质量分析（</w:t>
      </w:r>
      <w:r>
        <w:rPr>
          <w:rFonts w:hint="default" w:ascii="Times New Roman" w:hAnsi="Times New Roman" w:eastAsia="方正仿宋_GBK" w:cs="Times New Roman"/>
          <w:kern w:val="0"/>
          <w:sz w:val="32"/>
          <w:szCs w:val="32"/>
          <w:lang w:val="en-US" w:eastAsia="zh-CN" w:bidi="ar"/>
        </w:rPr>
        <w:t>7.95分</w:t>
      </w:r>
      <w:r>
        <w:rPr>
          <w:rFonts w:hint="default" w:ascii="Times New Roman" w:hAnsi="Times New Roman" w:eastAsia="方正仿宋_GBK" w:cs="Times New Roman"/>
          <w:kern w:val="0"/>
          <w:sz w:val="32"/>
          <w:szCs w:val="32"/>
          <w:lang w:val="zh-CN" w:eastAsia="zh-CN" w:bidi="ar"/>
        </w:rPr>
        <w:t>）</w:t>
      </w:r>
    </w:p>
    <w:p w14:paraId="2E6E5B85">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kern w:val="0"/>
          <w:sz w:val="32"/>
          <w:szCs w:val="32"/>
          <w:lang w:val="en-US" w:eastAsia="zh-CN" w:bidi="ar"/>
        </w:rPr>
      </w:pPr>
      <w:r>
        <w:rPr>
          <w:rFonts w:hint="default" w:ascii="Times New Roman" w:hAnsi="Times New Roman" w:eastAsia="方正仿宋_GBK" w:cs="Times New Roman"/>
          <w:kern w:val="0"/>
          <w:sz w:val="32"/>
          <w:szCs w:val="32"/>
          <w:lang w:val="zh-CN" w:eastAsia="zh-CN" w:bidi="ar"/>
        </w:rPr>
        <w:t>本单位严格按要求编制年初部门预算，确保年初预算编制的科学性和准确性。</w:t>
      </w:r>
      <w:r>
        <w:rPr>
          <w:rFonts w:hint="default" w:ascii="Times New Roman" w:hAnsi="Times New Roman" w:eastAsia="方正仿宋_GBK" w:cs="Times New Roman"/>
          <w:kern w:val="0"/>
          <w:sz w:val="32"/>
          <w:szCs w:val="32"/>
          <w:lang w:val="en-US" w:eastAsia="zh-CN" w:bidi="ar"/>
        </w:rPr>
        <w:t>本年度</w:t>
      </w:r>
      <w:r>
        <w:rPr>
          <w:rFonts w:hint="default" w:ascii="Times New Roman" w:hAnsi="Times New Roman" w:eastAsia="方正仿宋_GBK" w:cs="Times New Roman"/>
          <w:kern w:val="0"/>
          <w:sz w:val="32"/>
          <w:szCs w:val="32"/>
          <w:lang w:val="zh-CN" w:eastAsia="zh-CN" w:bidi="ar"/>
        </w:rPr>
        <w:t>财政拨款预算偏离度1</w:t>
      </w:r>
      <w:r>
        <w:rPr>
          <w:rFonts w:hint="default" w:ascii="Times New Roman" w:hAnsi="Times New Roman" w:eastAsia="方正仿宋_GBK" w:cs="Times New Roman"/>
          <w:kern w:val="0"/>
          <w:sz w:val="32"/>
          <w:szCs w:val="32"/>
          <w:lang w:val="en-US" w:eastAsia="zh-CN" w:bidi="ar"/>
        </w:rPr>
        <w:t>.25</w:t>
      </w:r>
      <w:r>
        <w:rPr>
          <w:rFonts w:hint="default" w:ascii="Times New Roman" w:hAnsi="Times New Roman" w:eastAsia="方正仿宋_GBK" w:cs="Times New Roman"/>
          <w:kern w:val="0"/>
          <w:sz w:val="32"/>
          <w:szCs w:val="32"/>
          <w:lang w:val="zh-CN" w:eastAsia="zh-CN" w:bidi="ar"/>
        </w:rPr>
        <w:t>%，资产配置预算偏离度0，政府采购预算偏离度0。</w:t>
      </w:r>
    </w:p>
    <w:p w14:paraId="3855B61D">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kern w:val="0"/>
          <w:sz w:val="32"/>
          <w:szCs w:val="32"/>
          <w:lang w:val="en-US" w:eastAsia="zh-CN" w:bidi="ar"/>
        </w:rPr>
      </w:pPr>
      <w:r>
        <w:rPr>
          <w:rFonts w:hint="default" w:ascii="Times New Roman" w:hAnsi="Times New Roman" w:eastAsia="方正仿宋_GBK" w:cs="Times New Roman"/>
          <w:kern w:val="0"/>
          <w:sz w:val="32"/>
          <w:szCs w:val="32"/>
          <w:lang w:val="en-US" w:eastAsia="zh-CN" w:bidi="ar"/>
        </w:rPr>
        <w:t>（2）单位收入统筹分析（4分）</w:t>
      </w:r>
    </w:p>
    <w:p w14:paraId="1483A8B8">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kern w:val="0"/>
          <w:sz w:val="32"/>
          <w:szCs w:val="32"/>
          <w:lang w:val="en-US" w:eastAsia="zh-CN" w:bidi="ar"/>
        </w:rPr>
      </w:pPr>
      <w:r>
        <w:rPr>
          <w:rFonts w:hint="default" w:ascii="Times New Roman" w:hAnsi="Times New Roman" w:eastAsia="方正仿宋_GBK" w:cs="Times New Roman"/>
          <w:kern w:val="0"/>
          <w:sz w:val="32"/>
          <w:szCs w:val="32"/>
          <w:lang w:val="en-US" w:eastAsia="zh-CN" w:bidi="ar"/>
        </w:rPr>
        <w:t>本单位无自有收入。</w:t>
      </w:r>
    </w:p>
    <w:p w14:paraId="2A626BF0">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kern w:val="0"/>
          <w:sz w:val="32"/>
          <w:szCs w:val="32"/>
          <w:lang w:val="en-US" w:eastAsia="zh-CN" w:bidi="ar"/>
        </w:rPr>
      </w:pPr>
      <w:r>
        <w:rPr>
          <w:rFonts w:hint="default" w:ascii="Times New Roman" w:hAnsi="Times New Roman" w:eastAsia="方正仿宋_GBK" w:cs="Times New Roman"/>
          <w:kern w:val="0"/>
          <w:sz w:val="32"/>
          <w:szCs w:val="32"/>
          <w:lang w:val="en-US" w:eastAsia="zh-CN" w:bidi="ar"/>
        </w:rPr>
        <w:t>（3）支出执行进度分析（6分）</w:t>
      </w:r>
    </w:p>
    <w:p w14:paraId="737D08B0">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kern w:val="0"/>
          <w:sz w:val="32"/>
          <w:szCs w:val="32"/>
          <w:lang w:val="en-US" w:eastAsia="zh-CN" w:bidi="ar"/>
        </w:rPr>
      </w:pPr>
      <w:r>
        <w:rPr>
          <w:rFonts w:hint="default" w:ascii="Times New Roman" w:hAnsi="Times New Roman" w:eastAsia="方正仿宋_GBK" w:cs="Times New Roman"/>
          <w:kern w:val="0"/>
          <w:sz w:val="32"/>
          <w:szCs w:val="32"/>
          <w:lang w:val="en-US" w:eastAsia="zh-CN" w:bidi="ar"/>
        </w:rPr>
        <w:t xml:space="preserve">1至6月预算执行数为64.28万元，1至10月预算执行数为108.40万元，无支出预警和支出违规情况。 </w:t>
      </w:r>
    </w:p>
    <w:p w14:paraId="67F16D9A">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kern w:val="0"/>
          <w:sz w:val="32"/>
          <w:szCs w:val="32"/>
          <w:lang w:val="en-US" w:eastAsia="zh-CN" w:bidi="ar"/>
        </w:rPr>
      </w:pPr>
      <w:r>
        <w:rPr>
          <w:rFonts w:hint="default" w:ascii="Times New Roman" w:hAnsi="Times New Roman" w:eastAsia="方正仿宋_GBK" w:cs="Times New Roman"/>
          <w:kern w:val="0"/>
          <w:sz w:val="32"/>
          <w:szCs w:val="32"/>
          <w:lang w:val="en-US" w:eastAsia="zh-CN" w:bidi="ar"/>
        </w:rPr>
        <w:t>（4）预算年终结余分析（2分）</w:t>
      </w:r>
    </w:p>
    <w:p w14:paraId="3EA4FDA8">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kern w:val="0"/>
          <w:sz w:val="32"/>
          <w:szCs w:val="32"/>
          <w:lang w:val="en-US" w:eastAsia="zh-CN" w:bidi="ar"/>
        </w:rPr>
      </w:pPr>
      <w:r>
        <w:rPr>
          <w:rFonts w:hint="default" w:ascii="Times New Roman" w:hAnsi="Times New Roman" w:eastAsia="方正仿宋_GBK" w:cs="Times New Roman"/>
          <w:kern w:val="0"/>
          <w:sz w:val="32"/>
          <w:szCs w:val="32"/>
          <w:lang w:val="en-US" w:eastAsia="zh-CN" w:bidi="ar"/>
        </w:rPr>
        <w:t>本年度无年终预算结余。</w:t>
      </w:r>
    </w:p>
    <w:p w14:paraId="2F12AAF9">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kern w:val="0"/>
          <w:sz w:val="32"/>
          <w:szCs w:val="32"/>
          <w:lang w:val="en-US" w:eastAsia="zh-CN" w:bidi="ar"/>
        </w:rPr>
      </w:pPr>
      <w:r>
        <w:rPr>
          <w:rFonts w:hint="default" w:ascii="Times New Roman" w:hAnsi="Times New Roman" w:eastAsia="方正仿宋_GBK" w:cs="Times New Roman"/>
          <w:kern w:val="0"/>
          <w:sz w:val="32"/>
          <w:szCs w:val="32"/>
          <w:lang w:val="en-US" w:eastAsia="zh-CN" w:bidi="ar"/>
        </w:rPr>
        <w:t>（5）严控一般性支出（1.2分）</w:t>
      </w:r>
    </w:p>
    <w:p w14:paraId="0DF8D042">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kern w:val="0"/>
          <w:sz w:val="32"/>
          <w:szCs w:val="32"/>
          <w:lang w:val="en-US" w:eastAsia="zh-CN" w:bidi="ar"/>
        </w:rPr>
      </w:pPr>
      <w:r>
        <w:rPr>
          <w:rFonts w:hint="default" w:ascii="Times New Roman" w:hAnsi="Times New Roman" w:eastAsia="方正仿宋_GBK" w:cs="Times New Roman"/>
          <w:kern w:val="0"/>
          <w:sz w:val="32"/>
          <w:szCs w:val="32"/>
          <w:lang w:val="en-US" w:eastAsia="zh-CN" w:bidi="ar"/>
        </w:rPr>
        <w:t>本单位在“三公”经费、会议、培训、差旅、办节办展、办公设备购置、信息网络及软件购置更新、课题经费等8项一般性支出方面，财政拨款年初预算1.69万元较上年1.89万元减少0.2万元；财政拨款预算执行1.25万元较上年0.92万元增加0.33万元。</w:t>
      </w:r>
    </w:p>
    <w:p w14:paraId="1013E74A">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kern w:val="0"/>
          <w:sz w:val="32"/>
          <w:szCs w:val="32"/>
          <w:lang w:val="zh-CN" w:eastAsia="zh-CN" w:bidi="ar"/>
        </w:rPr>
      </w:pPr>
      <w:r>
        <w:rPr>
          <w:rFonts w:hint="default" w:ascii="Times New Roman" w:hAnsi="Times New Roman" w:eastAsia="方正仿宋_GBK" w:cs="Times New Roman"/>
          <w:kern w:val="0"/>
          <w:sz w:val="32"/>
          <w:szCs w:val="32"/>
          <w:lang w:val="en-US" w:eastAsia="zh-CN" w:bidi="ar"/>
        </w:rPr>
        <w:t>3.</w:t>
      </w:r>
      <w:r>
        <w:rPr>
          <w:rFonts w:hint="default" w:ascii="Times New Roman" w:hAnsi="Times New Roman" w:eastAsia="方正仿宋_GBK" w:cs="Times New Roman"/>
          <w:kern w:val="0"/>
          <w:sz w:val="32"/>
          <w:szCs w:val="32"/>
          <w:lang w:val="zh-CN" w:eastAsia="zh-CN" w:bidi="ar"/>
        </w:rPr>
        <w:t>财务管理。（</w:t>
      </w:r>
      <w:r>
        <w:rPr>
          <w:rFonts w:hint="default" w:ascii="Times New Roman" w:hAnsi="Times New Roman" w:eastAsia="方正仿宋_GBK" w:cs="Times New Roman"/>
          <w:kern w:val="0"/>
          <w:sz w:val="32"/>
          <w:szCs w:val="32"/>
          <w:lang w:val="en-US" w:eastAsia="zh-CN" w:bidi="ar"/>
        </w:rPr>
        <w:t>10分</w:t>
      </w:r>
      <w:r>
        <w:rPr>
          <w:rFonts w:hint="default" w:ascii="Times New Roman" w:hAnsi="Times New Roman" w:eastAsia="方正仿宋_GBK" w:cs="Times New Roman"/>
          <w:kern w:val="0"/>
          <w:sz w:val="32"/>
          <w:szCs w:val="32"/>
          <w:lang w:val="zh-CN" w:eastAsia="zh-CN" w:bidi="ar"/>
        </w:rPr>
        <w:t>）</w:t>
      </w:r>
    </w:p>
    <w:p w14:paraId="53069B6F">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kern w:val="0"/>
          <w:sz w:val="32"/>
          <w:szCs w:val="32"/>
          <w:lang w:val="zh-CN" w:eastAsia="zh-CN" w:bidi="ar"/>
        </w:rPr>
      </w:pPr>
      <w:r>
        <w:rPr>
          <w:rFonts w:hint="default" w:ascii="Times New Roman" w:hAnsi="Times New Roman" w:eastAsia="方正仿宋_GBK" w:cs="Times New Roman"/>
          <w:kern w:val="0"/>
          <w:sz w:val="32"/>
          <w:szCs w:val="32"/>
          <w:lang w:val="zh-CN" w:eastAsia="zh-CN" w:bidi="ar"/>
        </w:rPr>
        <w:t>本单位已制定内部财务管理制度、内部控制制度等制度机制（</w:t>
      </w:r>
      <w:r>
        <w:rPr>
          <w:rFonts w:hint="default" w:ascii="Times New Roman" w:hAnsi="Times New Roman" w:eastAsia="方正仿宋_GBK" w:cs="Times New Roman"/>
          <w:kern w:val="0"/>
          <w:sz w:val="32"/>
          <w:szCs w:val="32"/>
          <w:lang w:val="en-US" w:eastAsia="zh-CN" w:bidi="ar"/>
        </w:rPr>
        <w:t>2分</w:t>
      </w:r>
      <w:r>
        <w:rPr>
          <w:rFonts w:hint="default" w:ascii="Times New Roman" w:hAnsi="Times New Roman" w:eastAsia="方正仿宋_GBK" w:cs="Times New Roman"/>
          <w:kern w:val="0"/>
          <w:sz w:val="32"/>
          <w:szCs w:val="32"/>
          <w:lang w:val="zh-CN" w:eastAsia="zh-CN" w:bidi="ar"/>
        </w:rPr>
        <w:t>），严格执行财务管理制度（</w:t>
      </w:r>
      <w:r>
        <w:rPr>
          <w:rFonts w:hint="default" w:ascii="Times New Roman" w:hAnsi="Times New Roman" w:eastAsia="方正仿宋_GBK" w:cs="Times New Roman"/>
          <w:kern w:val="0"/>
          <w:sz w:val="32"/>
          <w:szCs w:val="32"/>
          <w:lang w:val="en-US" w:eastAsia="zh-CN" w:bidi="ar"/>
        </w:rPr>
        <w:t>2分</w:t>
      </w:r>
      <w:r>
        <w:rPr>
          <w:rFonts w:hint="default" w:ascii="Times New Roman" w:hAnsi="Times New Roman" w:eastAsia="方正仿宋_GBK" w:cs="Times New Roman"/>
          <w:kern w:val="0"/>
          <w:sz w:val="32"/>
          <w:szCs w:val="32"/>
          <w:lang w:val="zh-CN" w:eastAsia="zh-CN" w:bidi="ar"/>
        </w:rPr>
        <w:t>）；合理设置财务工作岗位，明确职责权限，并严格实行不相容岗位分离（</w:t>
      </w:r>
      <w:r>
        <w:rPr>
          <w:rFonts w:hint="default" w:ascii="Times New Roman" w:hAnsi="Times New Roman" w:eastAsia="方正仿宋_GBK" w:cs="Times New Roman"/>
          <w:kern w:val="0"/>
          <w:sz w:val="32"/>
          <w:szCs w:val="32"/>
          <w:lang w:val="en-US" w:eastAsia="zh-CN" w:bidi="ar"/>
        </w:rPr>
        <w:t>2分</w:t>
      </w:r>
      <w:r>
        <w:rPr>
          <w:rFonts w:hint="default" w:ascii="Times New Roman" w:hAnsi="Times New Roman" w:eastAsia="方正仿宋_GBK" w:cs="Times New Roman"/>
          <w:kern w:val="0"/>
          <w:sz w:val="32"/>
          <w:szCs w:val="32"/>
          <w:lang w:val="zh-CN" w:eastAsia="zh-CN" w:bidi="ar"/>
        </w:rPr>
        <w:t>）；部门资金使用符合相关财务管理制度规定（</w:t>
      </w:r>
      <w:r>
        <w:rPr>
          <w:rFonts w:hint="default" w:ascii="Times New Roman" w:hAnsi="Times New Roman" w:eastAsia="方正仿宋_GBK" w:cs="Times New Roman"/>
          <w:kern w:val="0"/>
          <w:sz w:val="32"/>
          <w:szCs w:val="32"/>
          <w:lang w:val="en-US" w:eastAsia="zh-CN" w:bidi="ar"/>
        </w:rPr>
        <w:t>4分</w:t>
      </w:r>
      <w:r>
        <w:rPr>
          <w:rFonts w:hint="default" w:ascii="Times New Roman" w:hAnsi="Times New Roman" w:eastAsia="方正仿宋_GBK" w:cs="Times New Roman"/>
          <w:kern w:val="0"/>
          <w:sz w:val="32"/>
          <w:szCs w:val="32"/>
          <w:lang w:val="zh-CN" w:eastAsia="zh-CN" w:bidi="ar"/>
        </w:rPr>
        <w:t>）。</w:t>
      </w:r>
    </w:p>
    <w:p w14:paraId="1E4812D3">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kern w:val="0"/>
          <w:sz w:val="32"/>
          <w:szCs w:val="32"/>
          <w:lang w:val="zh-CN" w:eastAsia="zh-CN" w:bidi="ar"/>
        </w:rPr>
      </w:pPr>
      <w:r>
        <w:rPr>
          <w:rFonts w:hint="default" w:ascii="Times New Roman" w:hAnsi="Times New Roman" w:eastAsia="方正仿宋_GBK" w:cs="Times New Roman"/>
          <w:kern w:val="0"/>
          <w:sz w:val="32"/>
          <w:szCs w:val="32"/>
          <w:lang w:val="en-US" w:eastAsia="zh-CN" w:bidi="ar"/>
        </w:rPr>
        <w:t>4.</w:t>
      </w:r>
      <w:r>
        <w:rPr>
          <w:rFonts w:hint="default" w:ascii="Times New Roman" w:hAnsi="Times New Roman" w:eastAsia="方正仿宋_GBK" w:cs="Times New Roman"/>
          <w:kern w:val="0"/>
          <w:sz w:val="32"/>
          <w:szCs w:val="32"/>
          <w:lang w:val="zh-CN" w:eastAsia="zh-CN" w:bidi="ar"/>
        </w:rPr>
        <w:t>资产管理。（</w:t>
      </w:r>
      <w:r>
        <w:rPr>
          <w:rFonts w:hint="default" w:ascii="Times New Roman" w:hAnsi="Times New Roman" w:eastAsia="方正仿宋_GBK" w:cs="Times New Roman"/>
          <w:kern w:val="0"/>
          <w:sz w:val="32"/>
          <w:szCs w:val="32"/>
          <w:lang w:val="en-US" w:eastAsia="zh-CN" w:bidi="ar"/>
        </w:rPr>
        <w:t>7.8分</w:t>
      </w:r>
      <w:r>
        <w:rPr>
          <w:rFonts w:hint="default" w:ascii="Times New Roman" w:hAnsi="Times New Roman" w:eastAsia="方正仿宋_GBK" w:cs="Times New Roman"/>
          <w:kern w:val="0"/>
          <w:sz w:val="32"/>
          <w:szCs w:val="32"/>
          <w:lang w:val="zh-CN" w:eastAsia="zh-CN" w:bidi="ar"/>
        </w:rPr>
        <w:t>）</w:t>
      </w:r>
    </w:p>
    <w:p w14:paraId="2924CA91">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kern w:val="0"/>
          <w:sz w:val="32"/>
          <w:szCs w:val="32"/>
          <w:lang w:val="zh-CN" w:eastAsia="zh-CN" w:bidi="ar"/>
        </w:rPr>
      </w:pPr>
      <w:r>
        <w:rPr>
          <w:rFonts w:hint="default" w:ascii="Times New Roman" w:hAnsi="Times New Roman" w:eastAsia="方正仿宋_GBK" w:cs="Times New Roman"/>
          <w:kern w:val="0"/>
          <w:sz w:val="32"/>
          <w:szCs w:val="32"/>
          <w:lang w:val="en-US" w:eastAsia="zh-CN" w:bidi="ar"/>
        </w:rPr>
        <w:t>本单位</w:t>
      </w:r>
      <w:r>
        <w:rPr>
          <w:rFonts w:hint="default" w:ascii="Times New Roman" w:hAnsi="Times New Roman" w:eastAsia="方正仿宋_GBK" w:cs="Times New Roman"/>
          <w:kern w:val="0"/>
          <w:sz w:val="32"/>
          <w:szCs w:val="32"/>
          <w:lang w:val="zh-CN" w:eastAsia="zh-CN" w:bidi="ar"/>
        </w:rPr>
        <w:t>部门人均资产变化率</w:t>
      </w:r>
      <w:r>
        <w:rPr>
          <w:rFonts w:hint="default" w:ascii="Times New Roman" w:hAnsi="Times New Roman" w:eastAsia="方正仿宋_GBK" w:cs="Times New Roman"/>
          <w:kern w:val="0"/>
          <w:sz w:val="32"/>
          <w:szCs w:val="32"/>
          <w:lang w:val="en-US" w:eastAsia="zh-CN" w:bidi="ar"/>
        </w:rPr>
        <w:t>9.34</w:t>
      </w:r>
      <w:r>
        <w:rPr>
          <w:rFonts w:hint="default" w:ascii="Times New Roman" w:hAnsi="Times New Roman" w:eastAsia="方正仿宋_GBK" w:cs="Times New Roman"/>
          <w:kern w:val="0"/>
          <w:sz w:val="32"/>
          <w:szCs w:val="32"/>
          <w:lang w:val="zh-CN" w:eastAsia="zh-CN" w:bidi="ar"/>
        </w:rPr>
        <w:t>%（</w:t>
      </w:r>
      <w:r>
        <w:rPr>
          <w:rFonts w:hint="default" w:ascii="Times New Roman" w:hAnsi="Times New Roman" w:eastAsia="方正仿宋_GBK" w:cs="Times New Roman"/>
          <w:kern w:val="0"/>
          <w:sz w:val="32"/>
          <w:szCs w:val="32"/>
          <w:lang w:val="en-US" w:eastAsia="zh-CN" w:bidi="ar"/>
        </w:rPr>
        <w:t>0.3分</w:t>
      </w:r>
      <w:r>
        <w:rPr>
          <w:rFonts w:hint="default" w:ascii="Times New Roman" w:hAnsi="Times New Roman" w:eastAsia="方正仿宋_GBK" w:cs="Times New Roman"/>
          <w:kern w:val="0"/>
          <w:sz w:val="32"/>
          <w:szCs w:val="32"/>
          <w:lang w:val="zh-CN" w:eastAsia="zh-CN" w:bidi="ar"/>
        </w:rPr>
        <w:t>），部门人均资产增长率</w:t>
      </w:r>
      <w:r>
        <w:rPr>
          <w:rFonts w:hint="default" w:ascii="Times New Roman" w:hAnsi="Times New Roman" w:eastAsia="方正仿宋_GBK" w:cs="Times New Roman"/>
          <w:kern w:val="0"/>
          <w:sz w:val="32"/>
          <w:szCs w:val="32"/>
          <w:lang w:val="en-US" w:eastAsia="zh-CN" w:bidi="ar"/>
        </w:rPr>
        <w:t>-9.34</w:t>
      </w:r>
      <w:r>
        <w:rPr>
          <w:rFonts w:hint="default" w:ascii="Times New Roman" w:hAnsi="Times New Roman" w:eastAsia="方正仿宋_GBK" w:cs="Times New Roman"/>
          <w:kern w:val="0"/>
          <w:sz w:val="32"/>
          <w:szCs w:val="32"/>
          <w:lang w:val="zh-CN" w:eastAsia="zh-CN" w:bidi="ar"/>
        </w:rPr>
        <w:t>%（</w:t>
      </w:r>
      <w:r>
        <w:rPr>
          <w:rFonts w:hint="default" w:ascii="Times New Roman" w:hAnsi="Times New Roman" w:eastAsia="方正仿宋_GBK" w:cs="Times New Roman"/>
          <w:kern w:val="0"/>
          <w:sz w:val="32"/>
          <w:szCs w:val="32"/>
          <w:lang w:val="en-US" w:eastAsia="zh-CN" w:bidi="ar"/>
        </w:rPr>
        <w:t>1.5分</w:t>
      </w:r>
      <w:r>
        <w:rPr>
          <w:rFonts w:hint="default" w:ascii="Times New Roman" w:hAnsi="Times New Roman" w:eastAsia="方正仿宋_GBK" w:cs="Times New Roman"/>
          <w:kern w:val="0"/>
          <w:sz w:val="32"/>
          <w:szCs w:val="32"/>
          <w:lang w:val="zh-CN" w:eastAsia="zh-CN" w:bidi="ar"/>
        </w:rPr>
        <w:t>）；办公家具超最低使用年限资产利用率</w:t>
      </w:r>
      <w:r>
        <w:rPr>
          <w:rFonts w:hint="default" w:ascii="Times New Roman" w:hAnsi="Times New Roman" w:eastAsia="方正仿宋_GBK" w:cs="Times New Roman"/>
          <w:kern w:val="0"/>
          <w:sz w:val="32"/>
          <w:szCs w:val="32"/>
          <w:lang w:val="en-US" w:eastAsia="zh-CN" w:bidi="ar"/>
        </w:rPr>
        <w:t>100%（1.5分）</w:t>
      </w:r>
      <w:r>
        <w:rPr>
          <w:rFonts w:hint="default" w:ascii="Times New Roman" w:hAnsi="Times New Roman" w:eastAsia="方正仿宋_GBK" w:cs="Times New Roman"/>
          <w:kern w:val="0"/>
          <w:sz w:val="32"/>
          <w:szCs w:val="32"/>
          <w:lang w:val="zh-CN" w:eastAsia="zh-CN" w:bidi="ar"/>
        </w:rPr>
        <w:t>，办公设备超最低使用年限资产利用率</w:t>
      </w:r>
      <w:r>
        <w:rPr>
          <w:rFonts w:hint="default" w:ascii="Times New Roman" w:hAnsi="Times New Roman" w:eastAsia="方正仿宋_GBK" w:cs="Times New Roman"/>
          <w:kern w:val="0"/>
          <w:sz w:val="32"/>
          <w:szCs w:val="32"/>
          <w:lang w:val="en-US" w:eastAsia="zh-CN" w:bidi="ar"/>
        </w:rPr>
        <w:t>76.34%（1.5分）；两年均无闲置资产（3分）。</w:t>
      </w:r>
    </w:p>
    <w:p w14:paraId="4CA0D994">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kern w:val="0"/>
          <w:sz w:val="32"/>
          <w:szCs w:val="32"/>
          <w:lang w:val="zh-CN" w:eastAsia="zh-CN" w:bidi="ar"/>
        </w:rPr>
      </w:pPr>
      <w:r>
        <w:rPr>
          <w:rFonts w:hint="default" w:ascii="Times New Roman" w:hAnsi="Times New Roman" w:eastAsia="方正仿宋_GBK" w:cs="Times New Roman"/>
          <w:kern w:val="0"/>
          <w:sz w:val="32"/>
          <w:szCs w:val="32"/>
          <w:lang w:val="zh-CN" w:eastAsia="zh-CN" w:bidi="ar"/>
        </w:rPr>
        <w:t>5.采购管理（</w:t>
      </w:r>
      <w:r>
        <w:rPr>
          <w:rFonts w:hint="default" w:ascii="Times New Roman" w:hAnsi="Times New Roman" w:eastAsia="方正仿宋_GBK" w:cs="Times New Roman"/>
          <w:kern w:val="0"/>
          <w:sz w:val="32"/>
          <w:szCs w:val="32"/>
          <w:lang w:val="en-US" w:eastAsia="zh-CN" w:bidi="ar"/>
        </w:rPr>
        <w:t>6分</w:t>
      </w:r>
      <w:r>
        <w:rPr>
          <w:rFonts w:hint="default" w:ascii="Times New Roman" w:hAnsi="Times New Roman" w:eastAsia="方正仿宋_GBK" w:cs="Times New Roman"/>
          <w:kern w:val="0"/>
          <w:sz w:val="32"/>
          <w:szCs w:val="32"/>
          <w:lang w:val="zh-CN" w:eastAsia="zh-CN" w:bidi="ar"/>
        </w:rPr>
        <w:t>）。本单位严格执行政府采购促进中小企业发展相关管理办法，当年无政府采购。</w:t>
      </w:r>
    </w:p>
    <w:p w14:paraId="43EB7CCB">
      <w:pPr>
        <w:keepNext w:val="0"/>
        <w:keepLines w:val="0"/>
        <w:pageBreakBefore w:val="0"/>
        <w:kinsoku/>
        <w:wordWrap/>
        <w:overflowPunct/>
        <w:topLinePunct w:val="0"/>
        <w:autoSpaceDE/>
        <w:autoSpaceDN/>
        <w:bidi w:val="0"/>
        <w:adjustRightInd w:val="0"/>
        <w:snapToGrid w:val="0"/>
        <w:spacing w:line="240" w:lineRule="auto"/>
        <w:ind w:firstLine="643" w:firstLineChars="200"/>
        <w:contextualSpacing/>
        <w:jc w:val="left"/>
        <w:textAlignment w:val="auto"/>
        <w:rPr>
          <w:rFonts w:hint="default" w:ascii="Times New Roman" w:hAnsi="Times New Roman" w:eastAsia="楷体_GB2312" w:cs="Times New Roman"/>
          <w:b/>
          <w:bCs/>
          <w:color w:val="000000"/>
          <w:kern w:val="0"/>
          <w:szCs w:val="32"/>
          <w:shd w:val="clear" w:color="auto" w:fill="FFFFFF"/>
          <w:lang w:val="zh-CN"/>
        </w:rPr>
      </w:pPr>
      <w:r>
        <w:rPr>
          <w:rFonts w:hint="default" w:ascii="Times New Roman" w:hAnsi="Times New Roman" w:eastAsia="楷体_GB2312" w:cs="Times New Roman"/>
          <w:b/>
          <w:bCs/>
          <w:color w:val="000000"/>
          <w:kern w:val="0"/>
          <w:szCs w:val="32"/>
          <w:shd w:val="clear" w:color="auto" w:fill="FFFFFF"/>
          <w:lang w:val="zh-CN"/>
        </w:rPr>
        <w:t>（二）部门预算项目绩效分析（</w:t>
      </w:r>
      <w:r>
        <w:rPr>
          <w:rFonts w:hint="default" w:ascii="Times New Roman" w:hAnsi="Times New Roman" w:eastAsia="楷体_GB2312" w:cs="Times New Roman"/>
          <w:b/>
          <w:bCs/>
          <w:color w:val="000000"/>
          <w:kern w:val="0"/>
          <w:szCs w:val="32"/>
          <w:shd w:val="clear" w:color="auto" w:fill="FFFFFF"/>
          <w:lang w:val="en-US" w:eastAsia="zh-CN"/>
        </w:rPr>
        <w:t>35</w:t>
      </w:r>
      <w:r>
        <w:rPr>
          <w:rFonts w:hint="default" w:ascii="Times New Roman" w:hAnsi="Times New Roman" w:eastAsia="楷体_GB2312" w:cs="Times New Roman"/>
          <w:b/>
          <w:bCs/>
          <w:color w:val="000000"/>
          <w:kern w:val="0"/>
          <w:szCs w:val="32"/>
          <w:shd w:val="clear" w:color="auto" w:fill="FFFFFF"/>
          <w:lang w:val="zh-CN"/>
        </w:rPr>
        <w:t>分）</w:t>
      </w:r>
    </w:p>
    <w:p w14:paraId="775274B1">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kern w:val="0"/>
          <w:sz w:val="32"/>
          <w:szCs w:val="32"/>
          <w:lang w:val="en-US" w:eastAsia="zh-CN" w:bidi="ar"/>
        </w:rPr>
      </w:pPr>
      <w:r>
        <w:rPr>
          <w:rFonts w:hint="default" w:ascii="Times New Roman" w:hAnsi="Times New Roman" w:eastAsia="方正仿宋_GBK" w:cs="Times New Roman"/>
          <w:kern w:val="0"/>
          <w:sz w:val="32"/>
          <w:szCs w:val="32"/>
          <w:lang w:val="en-US" w:eastAsia="zh-CN" w:bidi="ar"/>
        </w:rPr>
        <w:t>阶段（含一次性）项目绩效分析。</w:t>
      </w:r>
      <w:r>
        <w:rPr>
          <w:rFonts w:hint="default" w:ascii="Times New Roman" w:hAnsi="Times New Roman" w:eastAsia="方正仿宋_GBK" w:cs="Times New Roman"/>
          <w:kern w:val="0"/>
          <w:sz w:val="32"/>
          <w:szCs w:val="32"/>
          <w:lang w:val="zh-CN" w:eastAsia="zh-CN" w:bidi="ar"/>
        </w:rPr>
        <w:t>该类项目总数</w:t>
      </w:r>
      <w:r>
        <w:rPr>
          <w:rFonts w:hint="default" w:ascii="Times New Roman" w:hAnsi="Times New Roman" w:eastAsia="方正仿宋_GBK" w:cs="Times New Roman"/>
          <w:kern w:val="0"/>
          <w:sz w:val="32"/>
          <w:szCs w:val="32"/>
          <w:lang w:val="en-US" w:eastAsia="zh-CN" w:bidi="ar"/>
        </w:rPr>
        <w:t>1</w:t>
      </w:r>
      <w:r>
        <w:rPr>
          <w:rFonts w:hint="default" w:ascii="Times New Roman" w:hAnsi="Times New Roman" w:eastAsia="方正仿宋_GBK" w:cs="Times New Roman"/>
          <w:kern w:val="0"/>
          <w:sz w:val="32"/>
          <w:szCs w:val="32"/>
          <w:lang w:val="zh-CN" w:eastAsia="zh-CN" w:bidi="ar"/>
        </w:rPr>
        <w:t>个，涉及预算总金额</w:t>
      </w:r>
      <w:r>
        <w:rPr>
          <w:rFonts w:hint="default" w:ascii="Times New Roman" w:hAnsi="Times New Roman" w:eastAsia="方正仿宋_GBK" w:cs="Times New Roman"/>
          <w:kern w:val="0"/>
          <w:sz w:val="32"/>
          <w:szCs w:val="32"/>
          <w:lang w:val="en-US" w:eastAsia="zh-CN" w:bidi="ar"/>
        </w:rPr>
        <w:t>10.77</w:t>
      </w:r>
      <w:r>
        <w:rPr>
          <w:rFonts w:hint="default" w:ascii="Times New Roman" w:hAnsi="Times New Roman" w:eastAsia="方正仿宋_GBK" w:cs="Times New Roman"/>
          <w:kern w:val="0"/>
          <w:sz w:val="32"/>
          <w:szCs w:val="32"/>
          <w:lang w:val="zh-CN" w:eastAsia="zh-CN" w:bidi="ar"/>
        </w:rPr>
        <w:t>万元，1—1</w:t>
      </w:r>
      <w:r>
        <w:rPr>
          <w:rFonts w:hint="default" w:ascii="Times New Roman" w:hAnsi="Times New Roman" w:eastAsia="方正仿宋_GBK" w:cs="Times New Roman"/>
          <w:kern w:val="0"/>
          <w:sz w:val="32"/>
          <w:szCs w:val="32"/>
          <w:lang w:val="en-US" w:eastAsia="zh-CN" w:bidi="ar"/>
        </w:rPr>
        <w:t>2</w:t>
      </w:r>
      <w:r>
        <w:rPr>
          <w:rFonts w:hint="default" w:ascii="Times New Roman" w:hAnsi="Times New Roman" w:eastAsia="方正仿宋_GBK" w:cs="Times New Roman"/>
          <w:kern w:val="0"/>
          <w:sz w:val="32"/>
          <w:szCs w:val="32"/>
          <w:lang w:val="zh-CN" w:eastAsia="zh-CN" w:bidi="ar"/>
        </w:rPr>
        <w:t>月预算执行总体进度为</w:t>
      </w:r>
      <w:r>
        <w:rPr>
          <w:rFonts w:hint="default" w:ascii="Times New Roman" w:hAnsi="Times New Roman" w:eastAsia="方正仿宋_GBK" w:cs="Times New Roman"/>
          <w:kern w:val="0"/>
          <w:sz w:val="32"/>
          <w:szCs w:val="32"/>
          <w:lang w:val="en-US" w:eastAsia="zh-CN" w:bidi="ar"/>
        </w:rPr>
        <w:t>100</w:t>
      </w:r>
      <w:r>
        <w:rPr>
          <w:rFonts w:hint="default" w:ascii="Times New Roman" w:hAnsi="Times New Roman" w:eastAsia="方正仿宋_GBK" w:cs="Times New Roman"/>
          <w:kern w:val="0"/>
          <w:sz w:val="32"/>
          <w:szCs w:val="32"/>
          <w:lang w:val="zh-CN" w:eastAsia="zh-CN" w:bidi="ar"/>
        </w:rPr>
        <w:t>%，其中：预算结余率大于</w:t>
      </w:r>
      <w:r>
        <w:rPr>
          <w:rFonts w:hint="default" w:ascii="Times New Roman" w:hAnsi="Times New Roman" w:eastAsia="方正仿宋_GBK" w:cs="Times New Roman"/>
          <w:kern w:val="0"/>
          <w:sz w:val="32"/>
          <w:szCs w:val="32"/>
          <w:lang w:val="en-US" w:eastAsia="zh-CN" w:bidi="ar"/>
        </w:rPr>
        <w:t>10%</w:t>
      </w:r>
      <w:r>
        <w:rPr>
          <w:rFonts w:hint="default" w:ascii="Times New Roman" w:hAnsi="Times New Roman" w:eastAsia="方正仿宋_GBK" w:cs="Times New Roman"/>
          <w:kern w:val="0"/>
          <w:sz w:val="32"/>
          <w:szCs w:val="32"/>
          <w:lang w:val="zh-CN" w:eastAsia="zh-CN" w:bidi="ar"/>
        </w:rPr>
        <w:t>的项目共计</w:t>
      </w:r>
      <w:r>
        <w:rPr>
          <w:rFonts w:hint="default" w:ascii="Times New Roman" w:hAnsi="Times New Roman" w:eastAsia="方正仿宋_GBK" w:cs="Times New Roman"/>
          <w:kern w:val="0"/>
          <w:sz w:val="32"/>
          <w:szCs w:val="32"/>
          <w:lang w:val="en-US" w:eastAsia="zh-CN" w:bidi="ar"/>
        </w:rPr>
        <w:t>0</w:t>
      </w:r>
      <w:r>
        <w:rPr>
          <w:rFonts w:hint="default" w:ascii="Times New Roman" w:hAnsi="Times New Roman" w:eastAsia="方正仿宋_GBK" w:cs="Times New Roman"/>
          <w:kern w:val="0"/>
          <w:sz w:val="32"/>
          <w:szCs w:val="32"/>
          <w:lang w:val="zh-CN" w:eastAsia="zh-CN" w:bidi="ar"/>
        </w:rPr>
        <w:t>个。</w:t>
      </w:r>
    </w:p>
    <w:p w14:paraId="3B731B71">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640" w:firstLineChars="200"/>
        <w:contextualSpacing/>
        <w:jc w:val="left"/>
        <w:textAlignment w:val="auto"/>
        <w:rPr>
          <w:rFonts w:hint="default" w:ascii="Times New Roman" w:hAnsi="Times New Roman" w:eastAsia="楷体_GB2312" w:cs="Times New Roman"/>
          <w:color w:val="000000" w:themeColor="text1"/>
          <w:kern w:val="0"/>
          <w:szCs w:val="32"/>
          <w:shd w:val="clear" w:color="auto" w:fill="FFFFFF"/>
          <w:lang w:val="zh-CN"/>
          <w14:textFill>
            <w14:solidFill>
              <w14:schemeClr w14:val="tx1"/>
            </w14:solidFill>
          </w14:textFill>
        </w:rPr>
      </w:pPr>
      <w:r>
        <w:rPr>
          <w:rFonts w:hint="default" w:ascii="Times New Roman" w:hAnsi="Times New Roman" w:eastAsia="楷体_GB2312" w:cs="Times New Roman"/>
          <w:color w:val="000000" w:themeColor="text1"/>
          <w:kern w:val="0"/>
          <w:szCs w:val="32"/>
          <w:shd w:val="clear" w:color="auto" w:fill="FFFFFF"/>
          <w:lang w:val="en-US" w:eastAsia="zh-CN"/>
          <w14:textFill>
            <w14:solidFill>
              <w14:schemeClr w14:val="tx1"/>
            </w14:solidFill>
          </w14:textFill>
        </w:rPr>
        <w:t>1.</w:t>
      </w:r>
      <w:r>
        <w:rPr>
          <w:rFonts w:hint="default" w:ascii="Times New Roman" w:hAnsi="Times New Roman" w:eastAsia="楷体_GB2312" w:cs="Times New Roman"/>
          <w:color w:val="000000" w:themeColor="text1"/>
          <w:kern w:val="0"/>
          <w:szCs w:val="32"/>
          <w:shd w:val="clear" w:color="auto" w:fill="FFFFFF"/>
          <w:lang w:val="zh-CN"/>
          <w14:textFill>
            <w14:solidFill>
              <w14:schemeClr w14:val="tx1"/>
            </w14:solidFill>
          </w14:textFill>
        </w:rPr>
        <w:t>项目决策（</w:t>
      </w:r>
      <w:r>
        <w:rPr>
          <w:rFonts w:hint="default" w:ascii="Times New Roman" w:hAnsi="Times New Roman" w:eastAsia="楷体_GB2312" w:cs="Times New Roman"/>
          <w:color w:val="000000" w:themeColor="text1"/>
          <w:kern w:val="0"/>
          <w:szCs w:val="32"/>
          <w:shd w:val="clear" w:color="auto" w:fill="FFFFFF"/>
          <w:lang w:val="en-US" w:eastAsia="zh-CN"/>
          <w14:textFill>
            <w14:solidFill>
              <w14:schemeClr w14:val="tx1"/>
            </w14:solidFill>
          </w14:textFill>
        </w:rPr>
        <w:t>12分</w:t>
      </w:r>
      <w:r>
        <w:rPr>
          <w:rFonts w:hint="default" w:ascii="Times New Roman" w:hAnsi="Times New Roman" w:eastAsia="楷体_GB2312" w:cs="Times New Roman"/>
          <w:color w:val="000000" w:themeColor="text1"/>
          <w:kern w:val="0"/>
          <w:szCs w:val="32"/>
          <w:shd w:val="clear" w:color="auto" w:fill="FFFFFF"/>
          <w:lang w:val="zh-CN"/>
          <w14:textFill>
            <w14:solidFill>
              <w14:schemeClr w14:val="tx1"/>
            </w14:solidFill>
          </w14:textFill>
        </w:rPr>
        <w:t>）</w:t>
      </w:r>
    </w:p>
    <w:p w14:paraId="680ADA25">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640" w:firstLineChars="200"/>
        <w:contextualSpacing/>
        <w:jc w:val="left"/>
        <w:textAlignment w:val="auto"/>
        <w:rPr>
          <w:rFonts w:hint="default" w:ascii="Times New Roman" w:hAnsi="Times New Roman" w:cs="Times New Roman"/>
          <w:color w:val="000000" w:themeColor="text1"/>
          <w:kern w:val="0"/>
          <w:szCs w:val="32"/>
          <w:shd w:val="clear" w:color="auto" w:fill="FFFFFF"/>
          <w:lang w:val="zh-CN"/>
          <w14:textFill>
            <w14:solidFill>
              <w14:schemeClr w14:val="tx1"/>
            </w14:solidFill>
          </w14:textFill>
        </w:rPr>
      </w:pPr>
      <w:r>
        <w:rPr>
          <w:rFonts w:hint="eastAsia" w:ascii="Times New Roman" w:hAnsi="Times New Roman" w:cs="Times New Roman"/>
          <w:color w:val="000000" w:themeColor="text1"/>
          <w:kern w:val="0"/>
          <w:szCs w:val="32"/>
          <w:shd w:val="clear" w:color="auto" w:fill="FFFFFF"/>
          <w:lang w:val="zh-CN"/>
          <w14:textFill>
            <w14:solidFill>
              <w14:schemeClr w14:val="tx1"/>
            </w14:solidFill>
          </w14:textFill>
        </w:rPr>
        <w:t>（</w:t>
      </w:r>
      <w:r>
        <w:rPr>
          <w:rFonts w:hint="eastAsia" w:ascii="Times New Roman" w:hAnsi="Times New Roman" w:cs="Times New Roman"/>
          <w:color w:val="000000" w:themeColor="text1"/>
          <w:kern w:val="0"/>
          <w:szCs w:val="32"/>
          <w:shd w:val="clear" w:color="auto" w:fill="FFFFFF"/>
          <w:lang w:val="en-US" w:eastAsia="zh-CN"/>
          <w14:textFill>
            <w14:solidFill>
              <w14:schemeClr w14:val="tx1"/>
            </w14:solidFill>
          </w14:textFill>
        </w:rPr>
        <w:t>1</w:t>
      </w:r>
      <w:r>
        <w:rPr>
          <w:rFonts w:hint="eastAsia" w:ascii="Times New Roman" w:hAnsi="Times New Roman" w:cs="Times New Roman"/>
          <w:color w:val="000000" w:themeColor="text1"/>
          <w:kern w:val="0"/>
          <w:szCs w:val="32"/>
          <w:shd w:val="clear" w:color="auto" w:fill="FFFFFF"/>
          <w:lang w:val="zh-CN"/>
          <w14:textFill>
            <w14:solidFill>
              <w14:schemeClr w14:val="tx1"/>
            </w14:solidFill>
          </w14:textFill>
        </w:rPr>
        <w:t>）</w:t>
      </w:r>
      <w:r>
        <w:rPr>
          <w:rFonts w:hint="default" w:ascii="Times New Roman" w:hAnsi="Times New Roman" w:cs="Times New Roman"/>
          <w:color w:val="000000" w:themeColor="text1"/>
          <w:kern w:val="0"/>
          <w:szCs w:val="32"/>
          <w:shd w:val="clear" w:color="auto" w:fill="FFFFFF"/>
          <w:lang w:val="zh-CN"/>
          <w14:textFill>
            <w14:solidFill>
              <w14:schemeClr w14:val="tx1"/>
            </w14:solidFill>
          </w14:textFill>
        </w:rPr>
        <w:t>决策程序（</w:t>
      </w:r>
      <w:r>
        <w:rPr>
          <w:rFonts w:hint="default" w:ascii="Times New Roman" w:hAnsi="Times New Roman" w:cs="Times New Roman"/>
          <w:color w:val="000000" w:themeColor="text1"/>
          <w:kern w:val="0"/>
          <w:szCs w:val="32"/>
          <w:shd w:val="clear" w:color="auto" w:fill="FFFFFF"/>
          <w:lang w:val="en-US" w:eastAsia="zh-CN"/>
          <w14:textFill>
            <w14:solidFill>
              <w14:schemeClr w14:val="tx1"/>
            </w14:solidFill>
          </w14:textFill>
        </w:rPr>
        <w:t>4分</w:t>
      </w:r>
      <w:r>
        <w:rPr>
          <w:rFonts w:hint="default" w:ascii="Times New Roman" w:hAnsi="Times New Roman" w:cs="Times New Roman"/>
          <w:color w:val="000000" w:themeColor="text1"/>
          <w:kern w:val="0"/>
          <w:szCs w:val="32"/>
          <w:shd w:val="clear" w:color="auto" w:fill="FFFFFF"/>
          <w:lang w:val="zh-CN"/>
          <w14:textFill>
            <w14:solidFill>
              <w14:schemeClr w14:val="tx1"/>
            </w14:solidFill>
          </w14:textFill>
        </w:rPr>
        <w:t>）</w:t>
      </w:r>
    </w:p>
    <w:p w14:paraId="7F0D73B2">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kern w:val="0"/>
          <w:sz w:val="32"/>
          <w:szCs w:val="32"/>
          <w:lang w:val="zh-CN" w:eastAsia="zh-CN" w:bidi="ar"/>
        </w:rPr>
      </w:pPr>
      <w:r>
        <w:rPr>
          <w:rFonts w:hint="default" w:ascii="Times New Roman" w:hAnsi="Times New Roman" w:eastAsia="方正仿宋_GBK" w:cs="Times New Roman"/>
          <w:kern w:val="0"/>
          <w:sz w:val="32"/>
          <w:szCs w:val="32"/>
          <w:lang w:val="zh-CN" w:eastAsia="zh-CN" w:bidi="ar"/>
        </w:rPr>
        <w:t>本单位202</w:t>
      </w:r>
      <w:r>
        <w:rPr>
          <w:rFonts w:hint="default" w:ascii="Times New Roman" w:hAnsi="Times New Roman" w:eastAsia="方正仿宋_GBK" w:cs="Times New Roman"/>
          <w:kern w:val="0"/>
          <w:sz w:val="32"/>
          <w:szCs w:val="32"/>
          <w:lang w:val="en-US" w:eastAsia="zh-CN" w:bidi="ar"/>
        </w:rPr>
        <w:t>5</w:t>
      </w:r>
      <w:r>
        <w:rPr>
          <w:rFonts w:hint="default" w:ascii="Times New Roman" w:hAnsi="Times New Roman" w:eastAsia="方正仿宋_GBK" w:cs="Times New Roman"/>
          <w:kern w:val="0"/>
          <w:sz w:val="32"/>
          <w:szCs w:val="32"/>
          <w:lang w:val="zh-CN" w:eastAsia="zh-CN" w:bidi="ar"/>
        </w:rPr>
        <w:t>年财政监督检查业务项目的设立按规定履行了评估论证、申报程序。</w:t>
      </w:r>
    </w:p>
    <w:p w14:paraId="055B7827">
      <w:pPr>
        <w:keepNext w:val="0"/>
        <w:keepLines w:val="0"/>
        <w:pageBreakBefore w:val="0"/>
        <w:kinsoku/>
        <w:wordWrap/>
        <w:overflowPunct/>
        <w:topLinePunct w:val="0"/>
        <w:autoSpaceDE/>
        <w:autoSpaceDN/>
        <w:bidi w:val="0"/>
        <w:adjustRightInd w:val="0"/>
        <w:snapToGrid w:val="0"/>
        <w:spacing w:line="240" w:lineRule="auto"/>
        <w:ind w:firstLine="640" w:firstLineChars="200"/>
        <w:contextualSpacing/>
        <w:jc w:val="left"/>
        <w:textAlignment w:val="auto"/>
        <w:rPr>
          <w:rFonts w:hint="default" w:ascii="Times New Roman" w:hAnsi="Times New Roman" w:eastAsia="楷体_GB2312" w:cs="Times New Roman"/>
          <w:color w:val="000000" w:themeColor="text1"/>
          <w:kern w:val="0"/>
          <w:szCs w:val="32"/>
          <w:shd w:val="clear" w:color="auto" w:fill="FFFFFF"/>
          <w:lang w:val="zh-CN"/>
          <w14:textFill>
            <w14:solidFill>
              <w14:schemeClr w14:val="tx1"/>
            </w14:solidFill>
          </w14:textFill>
        </w:rPr>
      </w:pPr>
      <w:r>
        <w:rPr>
          <w:rFonts w:hint="default" w:ascii="Times New Roman" w:hAnsi="Times New Roman" w:eastAsia="楷体_GB2312" w:cs="Times New Roman"/>
          <w:color w:val="000000" w:themeColor="text1"/>
          <w:kern w:val="0"/>
          <w:szCs w:val="32"/>
          <w:shd w:val="clear" w:color="auto" w:fill="FFFFFF"/>
          <w:lang w:val="zh-CN"/>
          <w14:textFill>
            <w14:solidFill>
              <w14:schemeClr w14:val="tx1"/>
            </w14:solidFill>
          </w14:textFill>
        </w:rPr>
        <w:t>（</w:t>
      </w:r>
      <w:r>
        <w:rPr>
          <w:rFonts w:hint="default" w:ascii="Times New Roman" w:hAnsi="Times New Roman" w:eastAsia="楷体_GB2312" w:cs="Times New Roman"/>
          <w:color w:val="000000" w:themeColor="text1"/>
          <w:kern w:val="0"/>
          <w:szCs w:val="32"/>
          <w:shd w:val="clear" w:color="auto" w:fill="FFFFFF"/>
          <w:lang w:val="en-US" w:eastAsia="zh-CN"/>
          <w14:textFill>
            <w14:solidFill>
              <w14:schemeClr w14:val="tx1"/>
            </w14:solidFill>
          </w14:textFill>
        </w:rPr>
        <w:t>2</w:t>
      </w:r>
      <w:r>
        <w:rPr>
          <w:rFonts w:hint="default" w:ascii="Times New Roman" w:hAnsi="Times New Roman" w:eastAsia="楷体_GB2312" w:cs="Times New Roman"/>
          <w:color w:val="000000" w:themeColor="text1"/>
          <w:kern w:val="0"/>
          <w:szCs w:val="32"/>
          <w:shd w:val="clear" w:color="auto" w:fill="FFFFFF"/>
          <w:lang w:val="zh-CN"/>
          <w14:textFill>
            <w14:solidFill>
              <w14:schemeClr w14:val="tx1"/>
            </w14:solidFill>
          </w14:textFill>
        </w:rPr>
        <w:t>）目标设置（</w:t>
      </w:r>
      <w:r>
        <w:rPr>
          <w:rFonts w:hint="default" w:ascii="Times New Roman" w:hAnsi="Times New Roman" w:eastAsia="楷体_GB2312" w:cs="Times New Roman"/>
          <w:color w:val="000000" w:themeColor="text1"/>
          <w:kern w:val="0"/>
          <w:szCs w:val="32"/>
          <w:shd w:val="clear" w:color="auto" w:fill="FFFFFF"/>
          <w:lang w:val="en-US" w:eastAsia="zh-CN"/>
          <w14:textFill>
            <w14:solidFill>
              <w14:schemeClr w14:val="tx1"/>
            </w14:solidFill>
          </w14:textFill>
        </w:rPr>
        <w:t>4分</w:t>
      </w:r>
      <w:r>
        <w:rPr>
          <w:rFonts w:hint="default" w:ascii="Times New Roman" w:hAnsi="Times New Roman" w:eastAsia="楷体_GB2312" w:cs="Times New Roman"/>
          <w:color w:val="000000" w:themeColor="text1"/>
          <w:kern w:val="0"/>
          <w:szCs w:val="32"/>
          <w:shd w:val="clear" w:color="auto" w:fill="FFFFFF"/>
          <w:lang w:val="zh-CN"/>
          <w14:textFill>
            <w14:solidFill>
              <w14:schemeClr w14:val="tx1"/>
            </w14:solidFill>
          </w14:textFill>
        </w:rPr>
        <w:t>）</w:t>
      </w:r>
    </w:p>
    <w:p w14:paraId="32C904A8">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kern w:val="0"/>
          <w:sz w:val="32"/>
          <w:szCs w:val="32"/>
          <w:lang w:val="en-US" w:eastAsia="zh-CN" w:bidi="ar"/>
        </w:rPr>
      </w:pPr>
      <w:r>
        <w:rPr>
          <w:rFonts w:hint="default" w:ascii="Times New Roman" w:hAnsi="Times New Roman" w:eastAsia="方正仿宋_GBK" w:cs="Times New Roman"/>
          <w:kern w:val="0"/>
          <w:sz w:val="32"/>
          <w:szCs w:val="32"/>
          <w:lang w:val="en-US" w:eastAsia="zh-CN" w:bidi="ar"/>
        </w:rPr>
        <w:t>本单位</w:t>
      </w:r>
      <w:r>
        <w:rPr>
          <w:rFonts w:hint="default" w:ascii="Times New Roman" w:hAnsi="Times New Roman" w:eastAsia="方正仿宋_GBK" w:cs="Times New Roman"/>
          <w:kern w:val="0"/>
          <w:sz w:val="32"/>
          <w:szCs w:val="32"/>
          <w:lang w:val="zh-CN" w:eastAsia="zh-CN" w:bidi="ar"/>
        </w:rPr>
        <w:t>202</w:t>
      </w:r>
      <w:r>
        <w:rPr>
          <w:rFonts w:hint="default" w:ascii="Times New Roman" w:hAnsi="Times New Roman" w:eastAsia="方正仿宋_GBK" w:cs="Times New Roman"/>
          <w:kern w:val="0"/>
          <w:sz w:val="32"/>
          <w:szCs w:val="32"/>
          <w:lang w:val="en-US" w:eastAsia="zh-CN" w:bidi="ar"/>
        </w:rPr>
        <w:t>5</w:t>
      </w:r>
      <w:r>
        <w:rPr>
          <w:rFonts w:hint="default" w:ascii="Times New Roman" w:hAnsi="Times New Roman" w:eastAsia="方正仿宋_GBK" w:cs="Times New Roman"/>
          <w:kern w:val="0"/>
          <w:sz w:val="32"/>
          <w:szCs w:val="32"/>
          <w:lang w:val="zh-CN" w:eastAsia="zh-CN" w:bidi="ar"/>
        </w:rPr>
        <w:t>年财政监督检查业务项目</w:t>
      </w:r>
      <w:r>
        <w:rPr>
          <w:rFonts w:hint="default" w:ascii="Times New Roman" w:hAnsi="Times New Roman" w:eastAsia="方正仿宋_GBK" w:cs="Times New Roman"/>
          <w:kern w:val="0"/>
          <w:sz w:val="32"/>
          <w:szCs w:val="32"/>
          <w:lang w:val="en-US" w:eastAsia="zh-CN" w:bidi="ar"/>
        </w:rPr>
        <w:t>绩效目标与计划期内的任务量、预算安排的资金量相匹配，绩效目标设置科学合理、规范完整、量化细化。</w:t>
      </w:r>
    </w:p>
    <w:p w14:paraId="55A0D837">
      <w:pPr>
        <w:pStyle w:val="4"/>
        <w:keepNext w:val="0"/>
        <w:keepLines w:val="0"/>
        <w:pageBreakBefore w:val="0"/>
        <w:numPr>
          <w:ilvl w:val="0"/>
          <w:numId w:val="0"/>
        </w:numPr>
        <w:kinsoku/>
        <w:wordWrap/>
        <w:overflowPunct/>
        <w:topLinePunct w:val="0"/>
        <w:autoSpaceDE/>
        <w:autoSpaceDN/>
        <w:bidi w:val="0"/>
        <w:spacing w:after="0" w:line="240" w:lineRule="auto"/>
        <w:ind w:leftChars="200"/>
        <w:textAlignment w:val="auto"/>
        <w:rPr>
          <w:rFonts w:hint="default" w:ascii="Times New Roman" w:hAnsi="Times New Roman" w:eastAsia="楷体_GB2312" w:cs="Times New Roman"/>
          <w:color w:val="000000" w:themeColor="text1"/>
          <w:kern w:val="0"/>
          <w:szCs w:val="32"/>
          <w:shd w:val="clear" w:color="auto" w:fill="FFFFFF"/>
          <w:lang w:val="en-US" w:eastAsia="zh-CN"/>
          <w14:textFill>
            <w14:solidFill>
              <w14:schemeClr w14:val="tx1"/>
            </w14:solidFill>
          </w14:textFill>
        </w:rPr>
      </w:pPr>
      <w:r>
        <w:rPr>
          <w:rFonts w:hint="default" w:ascii="Times New Roman" w:hAnsi="Times New Roman" w:eastAsia="楷体_GB2312" w:cs="Times New Roman"/>
          <w:color w:val="000000" w:themeColor="text1"/>
          <w:kern w:val="0"/>
          <w:szCs w:val="32"/>
          <w:shd w:val="clear" w:color="auto" w:fill="FFFFFF"/>
          <w:lang w:val="en-US" w:eastAsia="zh-CN"/>
          <w14:textFill>
            <w14:solidFill>
              <w14:schemeClr w14:val="tx1"/>
            </w14:solidFill>
          </w14:textFill>
        </w:rPr>
        <w:t>（3）项目入库（4分）</w:t>
      </w:r>
    </w:p>
    <w:p w14:paraId="19033F60">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kern w:val="0"/>
          <w:sz w:val="32"/>
          <w:szCs w:val="32"/>
          <w:lang w:val="en-US" w:eastAsia="zh-CN" w:bidi="ar"/>
        </w:rPr>
      </w:pPr>
      <w:r>
        <w:rPr>
          <w:rFonts w:hint="default" w:ascii="Times New Roman" w:hAnsi="Times New Roman" w:eastAsia="方正仿宋_GBK" w:cs="Times New Roman"/>
          <w:kern w:val="0"/>
          <w:sz w:val="32"/>
          <w:szCs w:val="32"/>
          <w:lang w:val="zh-CN" w:eastAsia="zh-CN" w:bidi="ar"/>
        </w:rPr>
        <w:t>部门预算</w:t>
      </w:r>
      <w:r>
        <w:rPr>
          <w:rFonts w:hint="default" w:ascii="Times New Roman" w:hAnsi="Times New Roman" w:eastAsia="方正仿宋_GBK" w:cs="Times New Roman"/>
          <w:kern w:val="0"/>
          <w:sz w:val="32"/>
          <w:szCs w:val="32"/>
          <w:lang w:val="en-US" w:eastAsia="zh-CN" w:bidi="ar"/>
        </w:rPr>
        <w:t>项目在规定时</w:t>
      </w:r>
      <w:r>
        <w:rPr>
          <w:rFonts w:hint="eastAsia" w:eastAsia="方正仿宋_GBK" w:cs="Times New Roman"/>
          <w:kern w:val="0"/>
          <w:sz w:val="32"/>
          <w:szCs w:val="32"/>
          <w:lang w:val="en-US" w:eastAsia="zh-CN" w:bidi="ar"/>
        </w:rPr>
        <w:t>间内</w:t>
      </w:r>
      <w:r>
        <w:rPr>
          <w:rFonts w:hint="default" w:ascii="Times New Roman" w:hAnsi="Times New Roman" w:eastAsia="方正仿宋_GBK" w:cs="Times New Roman"/>
          <w:kern w:val="0"/>
          <w:sz w:val="32"/>
          <w:szCs w:val="32"/>
          <w:lang w:val="en-US" w:eastAsia="zh-CN" w:bidi="ar"/>
        </w:rPr>
        <w:t>完成入库。</w:t>
      </w:r>
    </w:p>
    <w:p w14:paraId="3967AB10">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640" w:firstLineChars="200"/>
        <w:contextualSpacing/>
        <w:jc w:val="left"/>
        <w:textAlignment w:val="auto"/>
        <w:rPr>
          <w:rFonts w:hint="default" w:ascii="Times New Roman" w:hAnsi="Times New Roman" w:eastAsia="楷体_GB2312" w:cs="Times New Roman"/>
          <w:color w:val="000000" w:themeColor="text1"/>
          <w:kern w:val="0"/>
          <w:szCs w:val="32"/>
          <w:shd w:val="clear" w:color="auto" w:fill="FFFFFF"/>
          <w:lang w:val="zh-CN"/>
          <w14:textFill>
            <w14:solidFill>
              <w14:schemeClr w14:val="tx1"/>
            </w14:solidFill>
          </w14:textFill>
        </w:rPr>
      </w:pPr>
      <w:r>
        <w:rPr>
          <w:rFonts w:hint="default" w:ascii="Times New Roman" w:hAnsi="Times New Roman" w:eastAsia="楷体_GB2312" w:cs="Times New Roman"/>
          <w:color w:val="000000" w:themeColor="text1"/>
          <w:kern w:val="0"/>
          <w:szCs w:val="32"/>
          <w:shd w:val="clear" w:color="auto" w:fill="FFFFFF"/>
          <w:lang w:val="en-US" w:eastAsia="zh-CN"/>
          <w14:textFill>
            <w14:solidFill>
              <w14:schemeClr w14:val="tx1"/>
            </w14:solidFill>
          </w14:textFill>
        </w:rPr>
        <w:t>2.</w:t>
      </w:r>
      <w:r>
        <w:rPr>
          <w:rFonts w:hint="default" w:ascii="Times New Roman" w:hAnsi="Times New Roman" w:eastAsia="楷体_GB2312" w:cs="Times New Roman"/>
          <w:color w:val="000000" w:themeColor="text1"/>
          <w:kern w:val="0"/>
          <w:szCs w:val="32"/>
          <w:shd w:val="clear" w:color="auto" w:fill="FFFFFF"/>
          <w14:textFill>
            <w14:solidFill>
              <w14:schemeClr w14:val="tx1"/>
            </w14:solidFill>
          </w14:textFill>
        </w:rPr>
        <w:t>项目执行</w:t>
      </w:r>
      <w:r>
        <w:rPr>
          <w:rFonts w:hint="default" w:ascii="Times New Roman" w:hAnsi="Times New Roman" w:eastAsia="楷体_GB2312" w:cs="Times New Roman"/>
          <w:color w:val="000000" w:themeColor="text1"/>
          <w:kern w:val="0"/>
          <w:szCs w:val="32"/>
          <w:shd w:val="clear" w:color="auto" w:fill="FFFFFF"/>
          <w:lang w:eastAsia="zh-CN"/>
          <w14:textFill>
            <w14:solidFill>
              <w14:schemeClr w14:val="tx1"/>
            </w14:solidFill>
          </w14:textFill>
        </w:rPr>
        <w:t>（</w:t>
      </w:r>
      <w:r>
        <w:rPr>
          <w:rFonts w:hint="default" w:ascii="Times New Roman" w:hAnsi="Times New Roman" w:eastAsia="楷体_GB2312" w:cs="Times New Roman"/>
          <w:color w:val="000000" w:themeColor="text1"/>
          <w:kern w:val="0"/>
          <w:szCs w:val="32"/>
          <w:shd w:val="clear" w:color="auto" w:fill="FFFFFF"/>
          <w:lang w:val="en-US" w:eastAsia="zh-CN"/>
          <w14:textFill>
            <w14:solidFill>
              <w14:schemeClr w14:val="tx1"/>
            </w14:solidFill>
          </w14:textFill>
        </w:rPr>
        <w:t>12分</w:t>
      </w:r>
      <w:r>
        <w:rPr>
          <w:rFonts w:hint="default" w:ascii="Times New Roman" w:hAnsi="Times New Roman" w:eastAsia="楷体_GB2312" w:cs="Times New Roman"/>
          <w:color w:val="000000" w:themeColor="text1"/>
          <w:kern w:val="0"/>
          <w:szCs w:val="32"/>
          <w:shd w:val="clear" w:color="auto" w:fill="FFFFFF"/>
          <w:lang w:eastAsia="zh-CN"/>
          <w14:textFill>
            <w14:solidFill>
              <w14:schemeClr w14:val="tx1"/>
            </w14:solidFill>
          </w14:textFill>
        </w:rPr>
        <w:t>）</w:t>
      </w:r>
    </w:p>
    <w:p w14:paraId="09ED69A2">
      <w:pPr>
        <w:keepNext w:val="0"/>
        <w:keepLines w:val="0"/>
        <w:pageBreakBefore w:val="0"/>
        <w:kinsoku/>
        <w:wordWrap/>
        <w:overflowPunct/>
        <w:topLinePunct w:val="0"/>
        <w:autoSpaceDE/>
        <w:autoSpaceDN/>
        <w:bidi w:val="0"/>
        <w:adjustRightInd w:val="0"/>
        <w:snapToGrid w:val="0"/>
        <w:spacing w:line="240" w:lineRule="auto"/>
        <w:ind w:firstLine="640" w:firstLineChars="200"/>
        <w:contextualSpacing/>
        <w:jc w:val="left"/>
        <w:textAlignment w:val="auto"/>
        <w:rPr>
          <w:rFonts w:hint="default" w:ascii="Times New Roman" w:hAnsi="Times New Roman" w:eastAsia="楷体_GB2312" w:cs="Times New Roman"/>
          <w:color w:val="000000" w:themeColor="text1"/>
          <w:kern w:val="0"/>
          <w:szCs w:val="32"/>
          <w:shd w:val="clear" w:color="auto" w:fill="FFFFFF"/>
          <w:lang w:val="zh-CN"/>
          <w14:textFill>
            <w14:solidFill>
              <w14:schemeClr w14:val="tx1"/>
            </w14:solidFill>
          </w14:textFill>
        </w:rPr>
      </w:pPr>
      <w:r>
        <w:rPr>
          <w:rFonts w:hint="default" w:ascii="Times New Roman" w:hAnsi="Times New Roman" w:eastAsia="楷体_GB2312" w:cs="Times New Roman"/>
          <w:color w:val="000000" w:themeColor="text1"/>
          <w:kern w:val="0"/>
          <w:szCs w:val="32"/>
          <w:shd w:val="clear" w:color="auto" w:fill="FFFFFF"/>
          <w:lang w:val="zh-CN"/>
          <w14:textFill>
            <w14:solidFill>
              <w14:schemeClr w14:val="tx1"/>
            </w14:solidFill>
          </w14:textFill>
        </w:rPr>
        <w:t>（</w:t>
      </w:r>
      <w:r>
        <w:rPr>
          <w:rFonts w:hint="default" w:ascii="Times New Roman" w:hAnsi="Times New Roman" w:eastAsia="楷体_GB2312" w:cs="Times New Roman"/>
          <w:color w:val="000000" w:themeColor="text1"/>
          <w:kern w:val="0"/>
          <w:szCs w:val="32"/>
          <w:shd w:val="clear" w:color="auto" w:fill="FFFFFF"/>
          <w:lang w:val="en-US" w:eastAsia="zh-CN"/>
          <w14:textFill>
            <w14:solidFill>
              <w14:schemeClr w14:val="tx1"/>
            </w14:solidFill>
          </w14:textFill>
        </w:rPr>
        <w:t>1</w:t>
      </w:r>
      <w:r>
        <w:rPr>
          <w:rFonts w:hint="default" w:ascii="Times New Roman" w:hAnsi="Times New Roman" w:eastAsia="楷体_GB2312" w:cs="Times New Roman"/>
          <w:color w:val="000000" w:themeColor="text1"/>
          <w:kern w:val="0"/>
          <w:szCs w:val="32"/>
          <w:shd w:val="clear" w:color="auto" w:fill="FFFFFF"/>
          <w:lang w:val="zh-CN"/>
          <w14:textFill>
            <w14:solidFill>
              <w14:schemeClr w14:val="tx1"/>
            </w14:solidFill>
          </w14:textFill>
        </w:rPr>
        <w:t>）执行同向（</w:t>
      </w:r>
      <w:r>
        <w:rPr>
          <w:rFonts w:hint="default" w:ascii="Times New Roman" w:hAnsi="Times New Roman" w:eastAsia="楷体_GB2312" w:cs="Times New Roman"/>
          <w:color w:val="000000" w:themeColor="text1"/>
          <w:kern w:val="0"/>
          <w:szCs w:val="32"/>
          <w:shd w:val="clear" w:color="auto" w:fill="FFFFFF"/>
          <w:lang w:val="en-US" w:eastAsia="zh-CN"/>
          <w14:textFill>
            <w14:solidFill>
              <w14:schemeClr w14:val="tx1"/>
            </w14:solidFill>
          </w14:textFill>
        </w:rPr>
        <w:t>4分</w:t>
      </w:r>
      <w:r>
        <w:rPr>
          <w:rFonts w:hint="default" w:ascii="Times New Roman" w:hAnsi="Times New Roman" w:eastAsia="楷体_GB2312" w:cs="Times New Roman"/>
          <w:color w:val="000000" w:themeColor="text1"/>
          <w:kern w:val="0"/>
          <w:szCs w:val="32"/>
          <w:shd w:val="clear" w:color="auto" w:fill="FFFFFF"/>
          <w:lang w:val="zh-CN"/>
          <w14:textFill>
            <w14:solidFill>
              <w14:schemeClr w14:val="tx1"/>
            </w14:solidFill>
          </w14:textFill>
        </w:rPr>
        <w:t>）</w:t>
      </w:r>
    </w:p>
    <w:p w14:paraId="56242A0E">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kern w:val="0"/>
          <w:sz w:val="32"/>
          <w:szCs w:val="32"/>
          <w:lang w:val="zh-CN" w:eastAsia="zh-CN" w:bidi="ar"/>
        </w:rPr>
      </w:pPr>
      <w:r>
        <w:rPr>
          <w:rFonts w:hint="default" w:ascii="Times New Roman" w:hAnsi="Times New Roman" w:eastAsia="方正仿宋_GBK" w:cs="Times New Roman"/>
          <w:kern w:val="0"/>
          <w:sz w:val="32"/>
          <w:szCs w:val="32"/>
          <w:lang w:val="zh-CN" w:eastAsia="zh-CN" w:bidi="ar"/>
        </w:rPr>
        <w:t>部门预算项目实际列支内容与绩效目标设置方向相符。</w:t>
      </w:r>
    </w:p>
    <w:p w14:paraId="1AE801E9">
      <w:pPr>
        <w:keepNext w:val="0"/>
        <w:keepLines w:val="0"/>
        <w:pageBreakBefore w:val="0"/>
        <w:kinsoku/>
        <w:wordWrap/>
        <w:overflowPunct/>
        <w:topLinePunct w:val="0"/>
        <w:autoSpaceDE/>
        <w:autoSpaceDN/>
        <w:bidi w:val="0"/>
        <w:adjustRightInd w:val="0"/>
        <w:snapToGrid w:val="0"/>
        <w:spacing w:line="240" w:lineRule="auto"/>
        <w:ind w:firstLine="640" w:firstLineChars="200"/>
        <w:contextualSpacing/>
        <w:jc w:val="left"/>
        <w:textAlignment w:val="auto"/>
        <w:rPr>
          <w:rFonts w:hint="default" w:ascii="Times New Roman" w:hAnsi="Times New Roman" w:eastAsia="楷体_GB2312" w:cs="Times New Roman"/>
          <w:color w:val="000000" w:themeColor="text1"/>
          <w:kern w:val="0"/>
          <w:szCs w:val="32"/>
          <w:shd w:val="clear" w:color="auto" w:fill="FFFFFF"/>
          <w:lang w:val="zh-CN"/>
          <w14:textFill>
            <w14:solidFill>
              <w14:schemeClr w14:val="tx1"/>
            </w14:solidFill>
          </w14:textFill>
        </w:rPr>
      </w:pPr>
      <w:r>
        <w:rPr>
          <w:rFonts w:hint="default" w:ascii="Times New Roman" w:hAnsi="Times New Roman" w:eastAsia="楷体_GB2312" w:cs="Times New Roman"/>
          <w:color w:val="000000" w:themeColor="text1"/>
          <w:kern w:val="0"/>
          <w:szCs w:val="32"/>
          <w:shd w:val="clear" w:color="auto" w:fill="FFFFFF"/>
          <w:lang w:val="zh-CN"/>
          <w14:textFill>
            <w14:solidFill>
              <w14:schemeClr w14:val="tx1"/>
            </w14:solidFill>
          </w14:textFill>
        </w:rPr>
        <w:t>（</w:t>
      </w:r>
      <w:r>
        <w:rPr>
          <w:rFonts w:hint="default" w:ascii="Times New Roman" w:hAnsi="Times New Roman" w:eastAsia="楷体_GB2312" w:cs="Times New Roman"/>
          <w:color w:val="000000" w:themeColor="text1"/>
          <w:kern w:val="0"/>
          <w:szCs w:val="32"/>
          <w:shd w:val="clear" w:color="auto" w:fill="FFFFFF"/>
          <w:lang w:val="en-US" w:eastAsia="zh-CN"/>
          <w14:textFill>
            <w14:solidFill>
              <w14:schemeClr w14:val="tx1"/>
            </w14:solidFill>
          </w14:textFill>
        </w:rPr>
        <w:t>2</w:t>
      </w:r>
      <w:r>
        <w:rPr>
          <w:rFonts w:hint="default" w:ascii="Times New Roman" w:hAnsi="Times New Roman" w:eastAsia="楷体_GB2312" w:cs="Times New Roman"/>
          <w:color w:val="000000" w:themeColor="text1"/>
          <w:kern w:val="0"/>
          <w:szCs w:val="32"/>
          <w:shd w:val="clear" w:color="auto" w:fill="FFFFFF"/>
          <w:lang w:val="zh-CN"/>
          <w14:textFill>
            <w14:solidFill>
              <w14:schemeClr w14:val="tx1"/>
            </w14:solidFill>
          </w14:textFill>
        </w:rPr>
        <w:t>）项目调整（</w:t>
      </w:r>
      <w:r>
        <w:rPr>
          <w:rFonts w:hint="default" w:ascii="Times New Roman" w:hAnsi="Times New Roman" w:eastAsia="楷体_GB2312" w:cs="Times New Roman"/>
          <w:color w:val="000000" w:themeColor="text1"/>
          <w:kern w:val="0"/>
          <w:szCs w:val="32"/>
          <w:shd w:val="clear" w:color="auto" w:fill="FFFFFF"/>
          <w:lang w:val="en-US" w:eastAsia="zh-CN"/>
          <w14:textFill>
            <w14:solidFill>
              <w14:schemeClr w14:val="tx1"/>
            </w14:solidFill>
          </w14:textFill>
        </w:rPr>
        <w:t>4分</w:t>
      </w:r>
      <w:r>
        <w:rPr>
          <w:rFonts w:hint="default" w:ascii="Times New Roman" w:hAnsi="Times New Roman" w:eastAsia="楷体_GB2312" w:cs="Times New Roman"/>
          <w:color w:val="000000" w:themeColor="text1"/>
          <w:kern w:val="0"/>
          <w:szCs w:val="32"/>
          <w:shd w:val="clear" w:color="auto" w:fill="FFFFFF"/>
          <w:lang w:val="zh-CN"/>
          <w14:textFill>
            <w14:solidFill>
              <w14:schemeClr w14:val="tx1"/>
            </w14:solidFill>
          </w14:textFill>
        </w:rPr>
        <w:t>）</w:t>
      </w:r>
    </w:p>
    <w:p w14:paraId="5907AD01">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kern w:val="0"/>
          <w:sz w:val="32"/>
          <w:szCs w:val="32"/>
          <w:lang w:val="zh-CN" w:eastAsia="zh-CN" w:bidi="ar"/>
        </w:rPr>
      </w:pPr>
      <w:r>
        <w:rPr>
          <w:rFonts w:hint="default" w:ascii="Times New Roman" w:hAnsi="Times New Roman" w:eastAsia="方正仿宋_GBK" w:cs="Times New Roman"/>
          <w:kern w:val="0"/>
          <w:sz w:val="32"/>
          <w:szCs w:val="32"/>
          <w:lang w:val="zh-CN" w:eastAsia="zh-CN" w:bidi="ar"/>
        </w:rPr>
        <w:t>部门预算项目采取了对应调整措施，对未执行完的部分采取收回预算。</w:t>
      </w:r>
    </w:p>
    <w:p w14:paraId="6E038951">
      <w:pPr>
        <w:pStyle w:val="4"/>
        <w:keepNext w:val="0"/>
        <w:keepLines w:val="0"/>
        <w:pageBreakBefore w:val="0"/>
        <w:kinsoku/>
        <w:wordWrap/>
        <w:overflowPunct/>
        <w:topLinePunct w:val="0"/>
        <w:autoSpaceDE/>
        <w:autoSpaceDN/>
        <w:bidi w:val="0"/>
        <w:spacing w:after="0" w:line="240" w:lineRule="auto"/>
        <w:ind w:firstLine="640" w:firstLineChars="200"/>
        <w:textAlignment w:val="auto"/>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eastAsia="楷体_GB2312" w:cs="Times New Roman"/>
          <w:color w:val="000000" w:themeColor="text1"/>
          <w:kern w:val="0"/>
          <w:szCs w:val="32"/>
          <w:shd w:val="clear" w:color="auto" w:fill="FFFFFF"/>
          <w:lang w:val="zh-CN"/>
          <w14:textFill>
            <w14:solidFill>
              <w14:schemeClr w14:val="tx1"/>
            </w14:solidFill>
          </w14:textFill>
        </w:rPr>
        <w:t>（</w:t>
      </w:r>
      <w:r>
        <w:rPr>
          <w:rFonts w:hint="default" w:ascii="Times New Roman" w:hAnsi="Times New Roman" w:eastAsia="楷体_GB2312" w:cs="Times New Roman"/>
          <w:color w:val="000000" w:themeColor="text1"/>
          <w:kern w:val="0"/>
          <w:szCs w:val="32"/>
          <w:shd w:val="clear" w:color="auto" w:fill="FFFFFF"/>
          <w:lang w:val="en-US" w:eastAsia="zh-CN"/>
          <w14:textFill>
            <w14:solidFill>
              <w14:schemeClr w14:val="tx1"/>
            </w14:solidFill>
          </w14:textFill>
        </w:rPr>
        <w:t>3</w:t>
      </w:r>
      <w:r>
        <w:rPr>
          <w:rFonts w:hint="default" w:ascii="Times New Roman" w:hAnsi="Times New Roman" w:eastAsia="楷体_GB2312" w:cs="Times New Roman"/>
          <w:color w:val="000000" w:themeColor="text1"/>
          <w:kern w:val="0"/>
          <w:szCs w:val="32"/>
          <w:shd w:val="clear" w:color="auto" w:fill="FFFFFF"/>
          <w:lang w:val="zh-CN"/>
          <w14:textFill>
            <w14:solidFill>
              <w14:schemeClr w14:val="tx1"/>
            </w14:solidFill>
          </w14:textFill>
        </w:rPr>
        <w:t>）执行结果（</w:t>
      </w:r>
      <w:r>
        <w:rPr>
          <w:rFonts w:hint="default" w:ascii="Times New Roman" w:hAnsi="Times New Roman" w:eastAsia="楷体_GB2312" w:cs="Times New Roman"/>
          <w:color w:val="000000" w:themeColor="text1"/>
          <w:kern w:val="0"/>
          <w:szCs w:val="32"/>
          <w:shd w:val="clear" w:color="auto" w:fill="FFFFFF"/>
          <w:lang w:val="en-US" w:eastAsia="zh-CN"/>
          <w14:textFill>
            <w14:solidFill>
              <w14:schemeClr w14:val="tx1"/>
            </w14:solidFill>
          </w14:textFill>
        </w:rPr>
        <w:t>4分</w:t>
      </w:r>
      <w:r>
        <w:rPr>
          <w:rFonts w:hint="default" w:ascii="Times New Roman" w:hAnsi="Times New Roman" w:eastAsia="楷体_GB2312" w:cs="Times New Roman"/>
          <w:color w:val="000000" w:themeColor="text1"/>
          <w:kern w:val="0"/>
          <w:szCs w:val="32"/>
          <w:shd w:val="clear" w:color="auto" w:fill="FFFFFF"/>
          <w:lang w:val="zh-CN"/>
          <w14:textFill>
            <w14:solidFill>
              <w14:schemeClr w14:val="tx1"/>
            </w14:solidFill>
          </w14:textFill>
        </w:rPr>
        <w:t>）</w:t>
      </w:r>
    </w:p>
    <w:p w14:paraId="6B334C36">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kern w:val="0"/>
          <w:sz w:val="32"/>
          <w:szCs w:val="32"/>
          <w:lang w:val="zh-CN" w:eastAsia="zh-CN" w:bidi="ar"/>
        </w:rPr>
      </w:pPr>
      <w:r>
        <w:rPr>
          <w:rFonts w:hint="default" w:ascii="Times New Roman" w:hAnsi="Times New Roman" w:eastAsia="方正仿宋_GBK" w:cs="Times New Roman"/>
          <w:kern w:val="0"/>
          <w:sz w:val="32"/>
          <w:szCs w:val="32"/>
          <w:lang w:val="zh-CN" w:eastAsia="zh-CN" w:bidi="ar"/>
        </w:rPr>
        <w:t>部门预算项目预算结余率为</w:t>
      </w:r>
      <w:r>
        <w:rPr>
          <w:rFonts w:hint="default" w:ascii="Times New Roman" w:hAnsi="Times New Roman" w:eastAsia="方正仿宋_GBK" w:cs="Times New Roman"/>
          <w:kern w:val="0"/>
          <w:sz w:val="32"/>
          <w:szCs w:val="32"/>
          <w:lang w:val="en-US" w:eastAsia="zh-CN" w:bidi="ar"/>
        </w:rPr>
        <w:t>0。</w:t>
      </w:r>
    </w:p>
    <w:p w14:paraId="0EE1C24B">
      <w:pPr>
        <w:keepNext w:val="0"/>
        <w:keepLines w:val="0"/>
        <w:pageBreakBefore w:val="0"/>
        <w:numPr>
          <w:ilvl w:val="0"/>
          <w:numId w:val="0"/>
        </w:numPr>
        <w:kinsoku/>
        <w:wordWrap/>
        <w:overflowPunct/>
        <w:topLinePunct w:val="0"/>
        <w:autoSpaceDE/>
        <w:autoSpaceDN/>
        <w:bidi w:val="0"/>
        <w:adjustRightInd w:val="0"/>
        <w:snapToGrid w:val="0"/>
        <w:spacing w:line="240" w:lineRule="auto"/>
        <w:ind w:leftChars="200"/>
        <w:contextualSpacing/>
        <w:jc w:val="left"/>
        <w:textAlignment w:val="auto"/>
        <w:rPr>
          <w:rFonts w:hint="default" w:ascii="Times New Roman" w:hAnsi="Times New Roman" w:eastAsia="楷体_GB2312" w:cs="Times New Roman"/>
          <w:color w:val="000000" w:themeColor="text1"/>
          <w:kern w:val="0"/>
          <w:szCs w:val="32"/>
          <w:shd w:val="clear" w:color="auto" w:fill="FFFFFF"/>
          <w:lang w:val="zh-CN"/>
          <w14:textFill>
            <w14:solidFill>
              <w14:schemeClr w14:val="tx1"/>
            </w14:solidFill>
          </w14:textFill>
        </w:rPr>
      </w:pPr>
      <w:r>
        <w:rPr>
          <w:rFonts w:hint="default" w:ascii="Times New Roman" w:hAnsi="Times New Roman" w:eastAsia="楷体_GB2312" w:cs="Times New Roman"/>
          <w:color w:val="000000" w:themeColor="text1"/>
          <w:kern w:val="0"/>
          <w:szCs w:val="32"/>
          <w:shd w:val="clear" w:color="auto" w:fill="FFFFFF"/>
          <w:lang w:val="en-US" w:eastAsia="zh-CN"/>
          <w14:textFill>
            <w14:solidFill>
              <w14:schemeClr w14:val="tx1"/>
            </w14:solidFill>
          </w14:textFill>
        </w:rPr>
        <w:t>3.</w:t>
      </w:r>
      <w:r>
        <w:rPr>
          <w:rFonts w:hint="default" w:ascii="Times New Roman" w:hAnsi="Times New Roman" w:eastAsia="楷体_GB2312" w:cs="Times New Roman"/>
          <w:color w:val="000000" w:themeColor="text1"/>
          <w:kern w:val="0"/>
          <w:szCs w:val="32"/>
          <w:shd w:val="clear" w:color="auto" w:fill="FFFFFF"/>
          <w:lang w:val="zh-CN"/>
          <w14:textFill>
            <w14:solidFill>
              <w14:schemeClr w14:val="tx1"/>
            </w14:solidFill>
          </w14:textFill>
        </w:rPr>
        <w:t>目标实现（</w:t>
      </w:r>
      <w:r>
        <w:rPr>
          <w:rFonts w:hint="default" w:ascii="Times New Roman" w:hAnsi="Times New Roman" w:eastAsia="楷体_GB2312" w:cs="Times New Roman"/>
          <w:color w:val="000000" w:themeColor="text1"/>
          <w:kern w:val="0"/>
          <w:szCs w:val="32"/>
          <w:shd w:val="clear" w:color="auto" w:fill="FFFFFF"/>
          <w:lang w:val="en-US" w:eastAsia="zh-CN"/>
          <w14:textFill>
            <w14:solidFill>
              <w14:schemeClr w14:val="tx1"/>
            </w14:solidFill>
          </w14:textFill>
        </w:rPr>
        <w:t>11分</w:t>
      </w:r>
      <w:r>
        <w:rPr>
          <w:rFonts w:hint="default" w:ascii="Times New Roman" w:hAnsi="Times New Roman" w:eastAsia="楷体_GB2312" w:cs="Times New Roman"/>
          <w:color w:val="000000" w:themeColor="text1"/>
          <w:kern w:val="0"/>
          <w:szCs w:val="32"/>
          <w:shd w:val="clear" w:color="auto" w:fill="FFFFFF"/>
          <w:lang w:val="zh-CN"/>
          <w14:textFill>
            <w14:solidFill>
              <w14:schemeClr w14:val="tx1"/>
            </w14:solidFill>
          </w14:textFill>
        </w:rPr>
        <w:t>）。</w:t>
      </w:r>
    </w:p>
    <w:p w14:paraId="65E62C74">
      <w:pPr>
        <w:keepNext w:val="0"/>
        <w:keepLines w:val="0"/>
        <w:pageBreakBefore w:val="0"/>
        <w:kinsoku/>
        <w:wordWrap/>
        <w:overflowPunct/>
        <w:topLinePunct w:val="0"/>
        <w:autoSpaceDE/>
        <w:autoSpaceDN/>
        <w:bidi w:val="0"/>
        <w:adjustRightInd w:val="0"/>
        <w:snapToGrid w:val="0"/>
        <w:spacing w:line="240" w:lineRule="auto"/>
        <w:ind w:firstLine="640" w:firstLineChars="200"/>
        <w:contextualSpacing/>
        <w:jc w:val="left"/>
        <w:textAlignment w:val="auto"/>
        <w:rPr>
          <w:rFonts w:hint="default" w:ascii="Times New Roman" w:hAnsi="Times New Roman" w:eastAsia="楷体_GB2312" w:cs="Times New Roman"/>
          <w:color w:val="000000" w:themeColor="text1"/>
          <w:kern w:val="0"/>
          <w:szCs w:val="32"/>
          <w:shd w:val="clear" w:color="auto" w:fill="FFFFFF"/>
          <w:lang w:val="en-US" w:eastAsia="zh-CN"/>
          <w14:textFill>
            <w14:solidFill>
              <w14:schemeClr w14:val="tx1"/>
            </w14:solidFill>
          </w14:textFill>
        </w:rPr>
      </w:pPr>
      <w:r>
        <w:rPr>
          <w:rFonts w:hint="default" w:ascii="Times New Roman" w:hAnsi="Times New Roman" w:eastAsia="楷体_GB2312" w:cs="Times New Roman"/>
          <w:color w:val="000000" w:themeColor="text1"/>
          <w:kern w:val="0"/>
          <w:szCs w:val="32"/>
          <w:shd w:val="clear" w:color="auto" w:fill="FFFFFF"/>
          <w:lang w:val="zh-CN"/>
          <w14:textFill>
            <w14:solidFill>
              <w14:schemeClr w14:val="tx1"/>
            </w14:solidFill>
          </w14:textFill>
        </w:rPr>
        <w:t>（</w:t>
      </w:r>
      <w:r>
        <w:rPr>
          <w:rFonts w:hint="default" w:ascii="Times New Roman" w:hAnsi="Times New Roman" w:eastAsia="楷体_GB2312" w:cs="Times New Roman"/>
          <w:color w:val="000000" w:themeColor="text1"/>
          <w:kern w:val="0"/>
          <w:szCs w:val="32"/>
          <w:shd w:val="clear" w:color="auto" w:fill="FFFFFF"/>
          <w:lang w:val="en-US" w:eastAsia="zh-CN"/>
          <w14:textFill>
            <w14:solidFill>
              <w14:schemeClr w14:val="tx1"/>
            </w14:solidFill>
          </w14:textFill>
        </w:rPr>
        <w:t>1</w:t>
      </w:r>
      <w:r>
        <w:rPr>
          <w:rFonts w:hint="default" w:ascii="Times New Roman" w:hAnsi="Times New Roman" w:eastAsia="楷体_GB2312" w:cs="Times New Roman"/>
          <w:color w:val="000000" w:themeColor="text1"/>
          <w:kern w:val="0"/>
          <w:szCs w:val="32"/>
          <w:shd w:val="clear" w:color="auto" w:fill="FFFFFF"/>
          <w:lang w:val="zh-CN"/>
          <w14:textFill>
            <w14:solidFill>
              <w14:schemeClr w14:val="tx1"/>
            </w14:solidFill>
          </w14:textFill>
        </w:rPr>
        <w:t>）目标完成（</w:t>
      </w:r>
      <w:r>
        <w:rPr>
          <w:rFonts w:hint="default" w:ascii="Times New Roman" w:hAnsi="Times New Roman" w:eastAsia="楷体_GB2312" w:cs="Times New Roman"/>
          <w:color w:val="000000" w:themeColor="text1"/>
          <w:kern w:val="0"/>
          <w:szCs w:val="32"/>
          <w:shd w:val="clear" w:color="auto" w:fill="FFFFFF"/>
          <w:lang w:val="en-US" w:eastAsia="zh-CN"/>
          <w14:textFill>
            <w14:solidFill>
              <w14:schemeClr w14:val="tx1"/>
            </w14:solidFill>
          </w14:textFill>
        </w:rPr>
        <w:t>4分</w:t>
      </w:r>
      <w:r>
        <w:rPr>
          <w:rFonts w:hint="default" w:ascii="Times New Roman" w:hAnsi="Times New Roman" w:eastAsia="楷体_GB2312" w:cs="Times New Roman"/>
          <w:color w:val="000000" w:themeColor="text1"/>
          <w:kern w:val="0"/>
          <w:szCs w:val="32"/>
          <w:shd w:val="clear" w:color="auto" w:fill="FFFFFF"/>
          <w:lang w:val="zh-CN"/>
          <w14:textFill>
            <w14:solidFill>
              <w14:schemeClr w14:val="tx1"/>
            </w14:solidFill>
          </w14:textFill>
        </w:rPr>
        <w:t>）</w:t>
      </w:r>
    </w:p>
    <w:p w14:paraId="3B41C566">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kern w:val="0"/>
          <w:sz w:val="32"/>
          <w:szCs w:val="32"/>
          <w:lang w:val="en-US" w:eastAsia="zh-CN" w:bidi="ar"/>
        </w:rPr>
      </w:pPr>
      <w:r>
        <w:rPr>
          <w:rFonts w:hint="default" w:ascii="Times New Roman" w:hAnsi="Times New Roman" w:eastAsia="方正仿宋_GBK" w:cs="Times New Roman"/>
          <w:kern w:val="0"/>
          <w:sz w:val="32"/>
          <w:szCs w:val="32"/>
          <w:lang w:val="zh-CN" w:eastAsia="zh-CN" w:bidi="ar"/>
        </w:rPr>
        <w:t>部门预算项目设定的数量指标是全年开展检查次数不小于</w:t>
      </w:r>
      <w:r>
        <w:rPr>
          <w:rFonts w:hint="default" w:ascii="Times New Roman" w:hAnsi="Times New Roman" w:eastAsia="方正仿宋_GBK" w:cs="Times New Roman"/>
          <w:kern w:val="0"/>
          <w:sz w:val="32"/>
          <w:szCs w:val="32"/>
          <w:lang w:val="en-US" w:eastAsia="zh-CN" w:bidi="ar"/>
        </w:rPr>
        <w:t>3次，实际开展了12次。</w:t>
      </w:r>
    </w:p>
    <w:p w14:paraId="04F8FA72">
      <w:pPr>
        <w:keepNext w:val="0"/>
        <w:keepLines w:val="0"/>
        <w:pageBreakBefore w:val="0"/>
        <w:kinsoku/>
        <w:wordWrap/>
        <w:overflowPunct/>
        <w:topLinePunct w:val="0"/>
        <w:autoSpaceDE/>
        <w:autoSpaceDN/>
        <w:bidi w:val="0"/>
        <w:adjustRightInd w:val="0"/>
        <w:snapToGrid w:val="0"/>
        <w:spacing w:line="240" w:lineRule="auto"/>
        <w:ind w:firstLine="640" w:firstLineChars="200"/>
        <w:contextualSpacing/>
        <w:jc w:val="left"/>
        <w:textAlignment w:val="auto"/>
        <w:rPr>
          <w:rFonts w:hint="default" w:ascii="Times New Roman" w:hAnsi="Times New Roman" w:eastAsia="楷体_GB2312" w:cs="Times New Roman"/>
          <w:color w:val="000000" w:themeColor="text1"/>
          <w:kern w:val="0"/>
          <w:szCs w:val="32"/>
          <w:shd w:val="clear" w:color="auto" w:fill="FFFFFF"/>
          <w:lang w:val="zh-CN"/>
          <w14:textFill>
            <w14:solidFill>
              <w14:schemeClr w14:val="tx1"/>
            </w14:solidFill>
          </w14:textFill>
        </w:rPr>
      </w:pPr>
      <w:r>
        <w:rPr>
          <w:rFonts w:hint="default" w:ascii="Times New Roman" w:hAnsi="Times New Roman" w:eastAsia="楷体_GB2312" w:cs="Times New Roman"/>
          <w:color w:val="000000" w:themeColor="text1"/>
          <w:kern w:val="0"/>
          <w:szCs w:val="32"/>
          <w:shd w:val="clear" w:color="auto" w:fill="FFFFFF"/>
          <w:lang w:val="zh-CN"/>
          <w14:textFill>
            <w14:solidFill>
              <w14:schemeClr w14:val="tx1"/>
            </w14:solidFill>
          </w14:textFill>
        </w:rPr>
        <w:t>（</w:t>
      </w:r>
      <w:r>
        <w:rPr>
          <w:rFonts w:hint="default" w:ascii="Times New Roman" w:hAnsi="Times New Roman" w:eastAsia="楷体_GB2312" w:cs="Times New Roman"/>
          <w:color w:val="000000" w:themeColor="text1"/>
          <w:kern w:val="0"/>
          <w:szCs w:val="32"/>
          <w:shd w:val="clear" w:color="auto" w:fill="FFFFFF"/>
          <w:lang w:val="en-US" w:eastAsia="zh-CN"/>
          <w14:textFill>
            <w14:solidFill>
              <w14:schemeClr w14:val="tx1"/>
            </w14:solidFill>
          </w14:textFill>
        </w:rPr>
        <w:t>2</w:t>
      </w:r>
      <w:r>
        <w:rPr>
          <w:rFonts w:hint="default" w:ascii="Times New Roman" w:hAnsi="Times New Roman" w:eastAsia="楷体_GB2312" w:cs="Times New Roman"/>
          <w:color w:val="000000" w:themeColor="text1"/>
          <w:kern w:val="0"/>
          <w:szCs w:val="32"/>
          <w:shd w:val="clear" w:color="auto" w:fill="FFFFFF"/>
          <w:lang w:val="zh-CN"/>
          <w14:textFill>
            <w14:solidFill>
              <w14:schemeClr w14:val="tx1"/>
            </w14:solidFill>
          </w14:textFill>
        </w:rPr>
        <w:t>）目标偏离（</w:t>
      </w:r>
      <w:r>
        <w:rPr>
          <w:rFonts w:hint="default" w:ascii="Times New Roman" w:hAnsi="Times New Roman" w:eastAsia="楷体_GB2312" w:cs="Times New Roman"/>
          <w:color w:val="000000" w:themeColor="text1"/>
          <w:kern w:val="0"/>
          <w:szCs w:val="32"/>
          <w:shd w:val="clear" w:color="auto" w:fill="FFFFFF"/>
          <w:lang w:val="en-US" w:eastAsia="zh-CN"/>
          <w14:textFill>
            <w14:solidFill>
              <w14:schemeClr w14:val="tx1"/>
            </w14:solidFill>
          </w14:textFill>
        </w:rPr>
        <w:t>4分</w:t>
      </w:r>
      <w:r>
        <w:rPr>
          <w:rFonts w:hint="default" w:ascii="Times New Roman" w:hAnsi="Times New Roman" w:eastAsia="楷体_GB2312" w:cs="Times New Roman"/>
          <w:color w:val="000000" w:themeColor="text1"/>
          <w:kern w:val="0"/>
          <w:szCs w:val="32"/>
          <w:shd w:val="clear" w:color="auto" w:fill="FFFFFF"/>
          <w:lang w:val="zh-CN"/>
          <w14:textFill>
            <w14:solidFill>
              <w14:schemeClr w14:val="tx1"/>
            </w14:solidFill>
          </w14:textFill>
        </w:rPr>
        <w:t>）</w:t>
      </w:r>
    </w:p>
    <w:p w14:paraId="0969A828">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kern w:val="0"/>
          <w:sz w:val="32"/>
          <w:szCs w:val="32"/>
          <w:lang w:val="zh-CN" w:eastAsia="zh-CN" w:bidi="ar"/>
        </w:rPr>
      </w:pPr>
      <w:r>
        <w:rPr>
          <w:rFonts w:hint="default" w:ascii="Times New Roman" w:hAnsi="Times New Roman" w:eastAsia="方正仿宋_GBK" w:cs="Times New Roman"/>
          <w:kern w:val="0"/>
          <w:sz w:val="32"/>
          <w:szCs w:val="32"/>
          <w:lang w:val="zh-CN" w:eastAsia="zh-CN" w:bidi="ar"/>
        </w:rPr>
        <w:t>部门预算项目绩效目标数量指标实现程度与预期目标一致。</w:t>
      </w:r>
    </w:p>
    <w:p w14:paraId="29972D7A">
      <w:pPr>
        <w:pStyle w:val="4"/>
        <w:keepNext w:val="0"/>
        <w:keepLines w:val="0"/>
        <w:pageBreakBefore w:val="0"/>
        <w:numPr>
          <w:ilvl w:val="0"/>
          <w:numId w:val="0"/>
        </w:numPr>
        <w:kinsoku/>
        <w:wordWrap/>
        <w:overflowPunct/>
        <w:topLinePunct w:val="0"/>
        <w:autoSpaceDE/>
        <w:autoSpaceDN/>
        <w:bidi w:val="0"/>
        <w:spacing w:after="0" w:line="240" w:lineRule="auto"/>
        <w:ind w:leftChars="200"/>
        <w:textAlignment w:val="auto"/>
        <w:rPr>
          <w:rFonts w:hint="default" w:ascii="Times New Roman" w:hAnsi="Times New Roman" w:eastAsia="楷体_GB2312" w:cs="Times New Roman"/>
          <w:color w:val="000000" w:themeColor="text1"/>
          <w:kern w:val="0"/>
          <w:szCs w:val="32"/>
          <w:shd w:val="clear" w:color="auto" w:fill="FFFFFF"/>
          <w:lang w:val="zh-CN"/>
          <w14:textFill>
            <w14:solidFill>
              <w14:schemeClr w14:val="tx1"/>
            </w14:solidFill>
          </w14:textFill>
        </w:rPr>
      </w:pPr>
      <w:r>
        <w:rPr>
          <w:rFonts w:hint="default" w:ascii="Times New Roman" w:hAnsi="Times New Roman" w:eastAsia="楷体_GB2312" w:cs="Times New Roman"/>
          <w:color w:val="000000" w:themeColor="text1"/>
          <w:kern w:val="0"/>
          <w:szCs w:val="32"/>
          <w:shd w:val="clear" w:color="auto" w:fill="FFFFFF"/>
          <w:lang w:val="zh-CN"/>
          <w14:textFill>
            <w14:solidFill>
              <w14:schemeClr w14:val="tx1"/>
            </w14:solidFill>
          </w14:textFill>
        </w:rPr>
        <w:t>（</w:t>
      </w:r>
      <w:r>
        <w:rPr>
          <w:rFonts w:hint="default" w:ascii="Times New Roman" w:hAnsi="Times New Roman" w:eastAsia="楷体_GB2312" w:cs="Times New Roman"/>
          <w:color w:val="000000" w:themeColor="text1"/>
          <w:kern w:val="0"/>
          <w:szCs w:val="32"/>
          <w:shd w:val="clear" w:color="auto" w:fill="FFFFFF"/>
          <w:lang w:val="en-US" w:eastAsia="zh-CN"/>
          <w14:textFill>
            <w14:solidFill>
              <w14:schemeClr w14:val="tx1"/>
            </w14:solidFill>
          </w14:textFill>
        </w:rPr>
        <w:t>3</w:t>
      </w:r>
      <w:r>
        <w:rPr>
          <w:rFonts w:hint="default" w:ascii="Times New Roman" w:hAnsi="Times New Roman" w:eastAsia="楷体_GB2312" w:cs="Times New Roman"/>
          <w:color w:val="000000" w:themeColor="text1"/>
          <w:kern w:val="0"/>
          <w:szCs w:val="32"/>
          <w:shd w:val="clear" w:color="auto" w:fill="FFFFFF"/>
          <w:lang w:val="zh-CN"/>
          <w14:textFill>
            <w14:solidFill>
              <w14:schemeClr w14:val="tx1"/>
            </w14:solidFill>
          </w14:textFill>
        </w:rPr>
        <w:t>）实现效果（</w:t>
      </w:r>
      <w:r>
        <w:rPr>
          <w:rFonts w:hint="default" w:ascii="Times New Roman" w:hAnsi="Times New Roman" w:eastAsia="楷体_GB2312" w:cs="Times New Roman"/>
          <w:color w:val="000000" w:themeColor="text1"/>
          <w:kern w:val="0"/>
          <w:szCs w:val="32"/>
          <w:shd w:val="clear" w:color="auto" w:fill="FFFFFF"/>
          <w:lang w:val="en-US" w:eastAsia="zh-CN"/>
          <w14:textFill>
            <w14:solidFill>
              <w14:schemeClr w14:val="tx1"/>
            </w14:solidFill>
          </w14:textFill>
        </w:rPr>
        <w:t>3分</w:t>
      </w:r>
      <w:r>
        <w:rPr>
          <w:rFonts w:hint="default" w:ascii="Times New Roman" w:hAnsi="Times New Roman" w:eastAsia="楷体_GB2312" w:cs="Times New Roman"/>
          <w:color w:val="000000" w:themeColor="text1"/>
          <w:kern w:val="0"/>
          <w:szCs w:val="32"/>
          <w:shd w:val="clear" w:color="auto" w:fill="FFFFFF"/>
          <w:lang w:val="zh-CN"/>
          <w14:textFill>
            <w14:solidFill>
              <w14:schemeClr w14:val="tx1"/>
            </w14:solidFill>
          </w14:textFill>
        </w:rPr>
        <w:t>）</w:t>
      </w:r>
    </w:p>
    <w:p w14:paraId="4CABCCAC">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kern w:val="0"/>
          <w:sz w:val="32"/>
          <w:szCs w:val="32"/>
          <w:lang w:val="zh-CN" w:eastAsia="zh-CN" w:bidi="ar"/>
        </w:rPr>
      </w:pPr>
      <w:r>
        <w:rPr>
          <w:rFonts w:hint="default" w:ascii="Times New Roman" w:hAnsi="Times New Roman" w:eastAsia="方正仿宋_GBK" w:cs="Times New Roman"/>
          <w:kern w:val="0"/>
          <w:sz w:val="32"/>
          <w:szCs w:val="32"/>
          <w:lang w:val="zh-CN" w:eastAsia="zh-CN" w:bidi="ar"/>
        </w:rPr>
        <w:t>202</w:t>
      </w:r>
      <w:r>
        <w:rPr>
          <w:rFonts w:hint="default" w:ascii="Times New Roman" w:hAnsi="Times New Roman" w:eastAsia="方正仿宋_GBK" w:cs="Times New Roman"/>
          <w:kern w:val="0"/>
          <w:sz w:val="32"/>
          <w:szCs w:val="32"/>
          <w:lang w:val="en-US" w:eastAsia="zh-CN" w:bidi="ar"/>
        </w:rPr>
        <w:t>5</w:t>
      </w:r>
      <w:r>
        <w:rPr>
          <w:rFonts w:hint="default" w:ascii="Times New Roman" w:hAnsi="Times New Roman" w:eastAsia="方正仿宋_GBK" w:cs="Times New Roman"/>
          <w:kern w:val="0"/>
          <w:sz w:val="32"/>
          <w:szCs w:val="32"/>
          <w:lang w:val="zh-CN" w:eastAsia="zh-CN" w:bidi="ar"/>
        </w:rPr>
        <w:t>年财政监督检查业务</w:t>
      </w:r>
      <w:r>
        <w:rPr>
          <w:rFonts w:hint="default" w:ascii="Times New Roman" w:hAnsi="Times New Roman" w:eastAsia="方正仿宋_GBK" w:cs="Times New Roman"/>
          <w:kern w:val="0"/>
          <w:sz w:val="32"/>
          <w:szCs w:val="32"/>
          <w:lang w:val="en-US" w:eastAsia="zh-CN" w:bidi="ar"/>
        </w:rPr>
        <w:t>项目绩效指标均达标。</w:t>
      </w:r>
    </w:p>
    <w:p w14:paraId="4E9E372C">
      <w:pPr>
        <w:keepNext w:val="0"/>
        <w:keepLines w:val="0"/>
        <w:pageBreakBefore w:val="0"/>
        <w:widowControl/>
        <w:suppressLineNumbers w:val="0"/>
        <w:kinsoku/>
        <w:wordWrap/>
        <w:overflowPunct/>
        <w:topLinePunct w:val="0"/>
        <w:autoSpaceDE/>
        <w:autoSpaceDN/>
        <w:bidi w:val="0"/>
        <w:adjustRightInd/>
        <w:snapToGrid/>
        <w:ind w:firstLine="643" w:firstLineChars="200"/>
        <w:jc w:val="left"/>
        <w:textAlignment w:val="auto"/>
        <w:rPr>
          <w:rFonts w:hint="default" w:ascii="方正楷体_GBK" w:hAnsi="方正楷体_GBK" w:eastAsia="方正楷体_GBK" w:cs="方正楷体_GBK"/>
          <w:b/>
          <w:bCs/>
          <w:kern w:val="0"/>
          <w:sz w:val="32"/>
          <w:szCs w:val="32"/>
          <w:lang w:val="zh-CN" w:eastAsia="zh-CN" w:bidi="ar"/>
        </w:rPr>
      </w:pPr>
      <w:r>
        <w:rPr>
          <w:rFonts w:hint="eastAsia" w:ascii="方正楷体_GBK" w:hAnsi="方正楷体_GBK" w:eastAsia="方正楷体_GBK" w:cs="方正楷体_GBK"/>
          <w:b/>
          <w:bCs/>
          <w:kern w:val="0"/>
          <w:sz w:val="32"/>
          <w:szCs w:val="32"/>
          <w:lang w:val="zh-CN" w:eastAsia="zh-CN" w:bidi="ar"/>
        </w:rPr>
        <w:t>（三）</w:t>
      </w:r>
      <w:r>
        <w:rPr>
          <w:rFonts w:hint="default" w:ascii="方正楷体_GBK" w:hAnsi="方正楷体_GBK" w:eastAsia="方正楷体_GBK" w:cs="方正楷体_GBK"/>
          <w:b/>
          <w:bCs/>
          <w:kern w:val="0"/>
          <w:sz w:val="32"/>
          <w:szCs w:val="32"/>
          <w:lang w:val="zh-CN" w:eastAsia="zh-CN" w:bidi="ar"/>
        </w:rPr>
        <w:t>绩效结果应用情况</w:t>
      </w:r>
    </w:p>
    <w:p w14:paraId="1EEBD20B">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kern w:val="0"/>
          <w:sz w:val="32"/>
          <w:szCs w:val="32"/>
          <w:lang w:val="en-US" w:eastAsia="zh-CN" w:bidi="ar"/>
        </w:rPr>
      </w:pPr>
      <w:r>
        <w:rPr>
          <w:rFonts w:hint="default" w:ascii="Times New Roman" w:hAnsi="Times New Roman" w:eastAsia="方正仿宋_GBK" w:cs="Times New Roman"/>
          <w:kern w:val="0"/>
          <w:sz w:val="32"/>
          <w:szCs w:val="32"/>
          <w:lang w:val="zh-CN" w:eastAsia="zh-CN" w:bidi="ar"/>
        </w:rPr>
        <w:t>严格按照要求在西区人民政府网站上公开202</w:t>
      </w:r>
      <w:r>
        <w:rPr>
          <w:rFonts w:hint="default" w:ascii="Times New Roman" w:hAnsi="Times New Roman" w:eastAsia="方正仿宋_GBK" w:cs="Times New Roman"/>
          <w:kern w:val="0"/>
          <w:sz w:val="32"/>
          <w:szCs w:val="32"/>
          <w:lang w:val="en-US" w:eastAsia="zh-CN" w:bidi="ar"/>
        </w:rPr>
        <w:t>5</w:t>
      </w:r>
      <w:r>
        <w:rPr>
          <w:rFonts w:hint="default" w:ascii="Times New Roman" w:hAnsi="Times New Roman" w:eastAsia="方正仿宋_GBK" w:cs="Times New Roman"/>
          <w:kern w:val="0"/>
          <w:sz w:val="32"/>
          <w:szCs w:val="32"/>
          <w:lang w:val="zh-CN" w:eastAsia="zh-CN" w:bidi="ar"/>
        </w:rPr>
        <w:t>年部门绩效评价等信息。</w:t>
      </w:r>
    </w:p>
    <w:p w14:paraId="109DF597">
      <w:pPr>
        <w:keepNext w:val="0"/>
        <w:keepLines w:val="0"/>
        <w:pageBreakBefore w:val="0"/>
        <w:widowControl/>
        <w:kinsoku/>
        <w:wordWrap/>
        <w:overflowPunct/>
        <w:topLinePunct w:val="0"/>
        <w:autoSpaceDE/>
        <w:autoSpaceDN/>
        <w:bidi w:val="0"/>
        <w:adjustRightInd w:val="0"/>
        <w:snapToGrid w:val="0"/>
        <w:spacing w:line="240" w:lineRule="auto"/>
        <w:ind w:firstLine="640" w:firstLineChars="200"/>
        <w:contextualSpacing/>
        <w:jc w:val="left"/>
        <w:textAlignment w:val="auto"/>
        <w:rPr>
          <w:rFonts w:hint="default" w:ascii="Times New Roman" w:hAnsi="Times New Roman" w:eastAsia="方正黑体_GBK" w:cs="Times New Roman"/>
          <w:color w:val="000000"/>
          <w:kern w:val="0"/>
          <w:szCs w:val="32"/>
          <w:shd w:val="clear" w:color="auto" w:fill="FFFFFF"/>
          <w:lang w:val="zh-CN"/>
        </w:rPr>
      </w:pPr>
      <w:r>
        <w:rPr>
          <w:rFonts w:hint="default" w:ascii="Times New Roman" w:hAnsi="Times New Roman" w:eastAsia="方正黑体_GBK" w:cs="Times New Roman"/>
          <w:color w:val="000000"/>
          <w:kern w:val="0"/>
          <w:szCs w:val="32"/>
          <w:shd w:val="clear" w:color="auto" w:fill="FFFFFF"/>
          <w:lang w:val="zh-CN"/>
        </w:rPr>
        <w:t>四、评价结论及建议</w:t>
      </w:r>
    </w:p>
    <w:p w14:paraId="54EC0E0A">
      <w:pPr>
        <w:keepNext w:val="0"/>
        <w:keepLines w:val="0"/>
        <w:pageBreakBefore w:val="0"/>
        <w:kinsoku/>
        <w:wordWrap/>
        <w:overflowPunct/>
        <w:topLinePunct w:val="0"/>
        <w:autoSpaceDE/>
        <w:autoSpaceDN/>
        <w:bidi w:val="0"/>
        <w:adjustRightInd w:val="0"/>
        <w:snapToGrid w:val="0"/>
        <w:spacing w:line="240" w:lineRule="auto"/>
        <w:ind w:firstLine="643" w:firstLineChars="200"/>
        <w:contextualSpacing/>
        <w:jc w:val="left"/>
        <w:textAlignment w:val="auto"/>
        <w:rPr>
          <w:rFonts w:hint="default" w:ascii="Times New Roman" w:hAnsi="Times New Roman" w:eastAsia="楷体_GB2312" w:cs="Times New Roman"/>
          <w:b/>
          <w:bCs/>
          <w:color w:val="000000"/>
          <w:kern w:val="0"/>
          <w:szCs w:val="32"/>
          <w:shd w:val="clear" w:color="auto" w:fill="FFFFFF"/>
          <w:lang w:val="zh-CN"/>
        </w:rPr>
      </w:pPr>
      <w:r>
        <w:rPr>
          <w:rFonts w:hint="default" w:ascii="Times New Roman" w:hAnsi="Times New Roman" w:eastAsia="楷体_GB2312" w:cs="Times New Roman"/>
          <w:b/>
          <w:bCs/>
          <w:color w:val="000000"/>
          <w:kern w:val="0"/>
          <w:szCs w:val="32"/>
          <w:shd w:val="clear" w:color="auto" w:fill="FFFFFF"/>
          <w:lang w:val="zh-CN"/>
        </w:rPr>
        <w:t>（一）评价结论</w:t>
      </w:r>
    </w:p>
    <w:p w14:paraId="0ACDF249">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kern w:val="0"/>
          <w:sz w:val="32"/>
          <w:szCs w:val="32"/>
          <w:lang w:val="en-US" w:eastAsia="zh-CN" w:bidi="ar"/>
        </w:rPr>
      </w:pPr>
      <w:r>
        <w:rPr>
          <w:rFonts w:hint="default" w:ascii="Times New Roman" w:hAnsi="Times New Roman" w:eastAsia="方正仿宋_GBK" w:cs="Times New Roman"/>
          <w:kern w:val="0"/>
          <w:sz w:val="32"/>
          <w:szCs w:val="32"/>
          <w:lang w:val="zh-CN" w:eastAsia="zh-CN" w:bidi="ar"/>
        </w:rPr>
        <w:t>按照要求，本单位对部门预算绩效进行自查，对照绩效评价指标体系进行了评分。部门预算总体绩效</w:t>
      </w:r>
      <w:r>
        <w:rPr>
          <w:rFonts w:hint="default" w:ascii="Times New Roman" w:hAnsi="Times New Roman" w:eastAsia="方正仿宋_GBK" w:cs="Times New Roman"/>
          <w:kern w:val="0"/>
          <w:sz w:val="32"/>
          <w:szCs w:val="32"/>
          <w:lang w:val="en-US" w:eastAsia="zh-CN" w:bidi="ar"/>
        </w:rPr>
        <w:t>59.65分，</w:t>
      </w:r>
      <w:r>
        <w:rPr>
          <w:rFonts w:hint="default" w:ascii="Times New Roman" w:hAnsi="Times New Roman" w:eastAsia="方正仿宋_GBK" w:cs="Times New Roman"/>
          <w:kern w:val="0"/>
          <w:sz w:val="32"/>
          <w:szCs w:val="32"/>
          <w:lang w:val="zh-CN" w:eastAsia="zh-CN" w:bidi="ar"/>
        </w:rPr>
        <w:t>项目绩效</w:t>
      </w:r>
      <w:r>
        <w:rPr>
          <w:rFonts w:hint="default" w:ascii="Times New Roman" w:hAnsi="Times New Roman" w:eastAsia="方正仿宋_GBK" w:cs="Times New Roman"/>
          <w:kern w:val="0"/>
          <w:sz w:val="32"/>
          <w:szCs w:val="32"/>
          <w:lang w:val="en-US" w:eastAsia="zh-CN" w:bidi="ar"/>
        </w:rPr>
        <w:t>35分，总计得分94.65分。本单位在预算管理和绩效管理工作及被评价对象工作配合方面不存在扣分项。</w:t>
      </w:r>
    </w:p>
    <w:p w14:paraId="3DA5C42B">
      <w:pPr>
        <w:keepNext w:val="0"/>
        <w:keepLines w:val="0"/>
        <w:pageBreakBefore w:val="0"/>
        <w:widowControl/>
        <w:numPr>
          <w:numId w:val="0"/>
        </w:numPr>
        <w:kinsoku/>
        <w:wordWrap/>
        <w:overflowPunct/>
        <w:topLinePunct w:val="0"/>
        <w:autoSpaceDE/>
        <w:autoSpaceDN/>
        <w:bidi w:val="0"/>
        <w:adjustRightInd w:val="0"/>
        <w:snapToGrid w:val="0"/>
        <w:spacing w:line="240" w:lineRule="auto"/>
        <w:ind w:firstLine="643" w:firstLineChars="200"/>
        <w:contextualSpacing/>
        <w:jc w:val="left"/>
        <w:textAlignment w:val="auto"/>
        <w:rPr>
          <w:rFonts w:hint="default" w:ascii="Times New Roman" w:hAnsi="Times New Roman" w:eastAsia="楷体_GB2312" w:cs="Times New Roman"/>
          <w:b/>
          <w:bCs/>
          <w:color w:val="000000"/>
          <w:kern w:val="0"/>
          <w:szCs w:val="32"/>
          <w:shd w:val="clear" w:color="auto" w:fill="FFFFFF"/>
          <w:lang w:val="zh-CN"/>
        </w:rPr>
      </w:pPr>
      <w:r>
        <w:rPr>
          <w:rFonts w:hint="eastAsia" w:eastAsia="楷体_GB2312" w:cs="Times New Roman"/>
          <w:b/>
          <w:bCs/>
          <w:color w:val="000000"/>
          <w:kern w:val="0"/>
          <w:szCs w:val="32"/>
          <w:shd w:val="clear" w:color="auto" w:fill="FFFFFF"/>
          <w:lang w:val="zh-CN"/>
        </w:rPr>
        <w:t>（二）</w:t>
      </w:r>
      <w:r>
        <w:rPr>
          <w:rFonts w:hint="default" w:ascii="Times New Roman" w:hAnsi="Times New Roman" w:eastAsia="楷体_GB2312" w:cs="Times New Roman"/>
          <w:b/>
          <w:bCs/>
          <w:color w:val="000000"/>
          <w:kern w:val="0"/>
          <w:szCs w:val="32"/>
          <w:shd w:val="clear" w:color="auto" w:fill="FFFFFF"/>
          <w:lang w:val="zh-CN"/>
        </w:rPr>
        <w:t>存在问题</w:t>
      </w:r>
    </w:p>
    <w:p w14:paraId="018DC972">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kern w:val="0"/>
          <w:sz w:val="32"/>
          <w:szCs w:val="32"/>
          <w:lang w:val="en-US" w:eastAsia="zh-CN" w:bidi="ar"/>
        </w:rPr>
      </w:pPr>
      <w:r>
        <w:rPr>
          <w:rFonts w:hint="default" w:ascii="Times New Roman" w:hAnsi="Times New Roman" w:eastAsia="方正仿宋_GBK" w:cs="Times New Roman"/>
          <w:kern w:val="0"/>
          <w:sz w:val="32"/>
          <w:szCs w:val="32"/>
          <w:lang w:val="zh-CN" w:eastAsia="zh-CN" w:bidi="ar"/>
        </w:rPr>
        <w:t>履职效能方面，在规范单位财务管理</w:t>
      </w:r>
      <w:r>
        <w:rPr>
          <w:rFonts w:hint="eastAsia" w:eastAsia="方正仿宋_GBK" w:cs="Times New Roman"/>
          <w:kern w:val="0"/>
          <w:sz w:val="32"/>
          <w:szCs w:val="32"/>
          <w:lang w:val="zh-CN" w:eastAsia="zh-CN" w:bidi="ar"/>
        </w:rPr>
        <w:t>，</w:t>
      </w:r>
      <w:r>
        <w:rPr>
          <w:rFonts w:hint="default" w:ascii="Times New Roman" w:hAnsi="Times New Roman" w:eastAsia="方正仿宋_GBK" w:cs="Times New Roman"/>
          <w:kern w:val="0"/>
          <w:sz w:val="32"/>
          <w:szCs w:val="32"/>
          <w:lang w:val="zh-CN" w:eastAsia="zh-CN" w:bidi="ar"/>
        </w:rPr>
        <w:t>保障财政资金安全上还需进一步加强；预算编制质量方面，</w:t>
      </w:r>
      <w:r>
        <w:rPr>
          <w:rFonts w:hint="default" w:ascii="Times New Roman" w:hAnsi="Times New Roman" w:eastAsia="方正仿宋_GBK" w:cs="Times New Roman"/>
          <w:kern w:val="0"/>
          <w:sz w:val="32"/>
          <w:szCs w:val="32"/>
          <w:lang w:val="en-US" w:eastAsia="zh-CN" w:bidi="ar"/>
        </w:rPr>
        <w:t>财政拨款预算存在1.25%偏离度；严控一般性支出方面，一般性支出财政拨款预算执行较上年未实现压减。</w:t>
      </w:r>
    </w:p>
    <w:p w14:paraId="6D244AD9">
      <w:pPr>
        <w:keepNext w:val="0"/>
        <w:keepLines w:val="0"/>
        <w:pageBreakBefore w:val="0"/>
        <w:widowControl/>
        <w:numPr>
          <w:numId w:val="0"/>
        </w:numPr>
        <w:kinsoku/>
        <w:wordWrap/>
        <w:overflowPunct/>
        <w:topLinePunct w:val="0"/>
        <w:autoSpaceDE/>
        <w:autoSpaceDN/>
        <w:bidi w:val="0"/>
        <w:adjustRightInd w:val="0"/>
        <w:snapToGrid w:val="0"/>
        <w:spacing w:line="240" w:lineRule="auto"/>
        <w:ind w:leftChars="200"/>
        <w:contextualSpacing/>
        <w:jc w:val="left"/>
        <w:textAlignment w:val="auto"/>
        <w:rPr>
          <w:rFonts w:hint="default" w:ascii="Times New Roman" w:hAnsi="Times New Roman" w:eastAsia="楷体_GB2312" w:cs="Times New Roman"/>
          <w:b/>
          <w:bCs/>
          <w:color w:val="000000"/>
          <w:kern w:val="0"/>
          <w:szCs w:val="32"/>
          <w:shd w:val="clear" w:color="auto" w:fill="FFFFFF"/>
          <w:lang w:val="zh-CN"/>
        </w:rPr>
      </w:pPr>
      <w:r>
        <w:rPr>
          <w:rFonts w:hint="eastAsia" w:eastAsia="楷体_GB2312" w:cs="Times New Roman"/>
          <w:b/>
          <w:bCs/>
          <w:color w:val="000000"/>
          <w:kern w:val="0"/>
          <w:szCs w:val="32"/>
          <w:shd w:val="clear" w:color="auto" w:fill="FFFFFF"/>
          <w:lang w:val="zh-CN"/>
        </w:rPr>
        <w:t>（三）</w:t>
      </w:r>
      <w:r>
        <w:rPr>
          <w:rFonts w:hint="default" w:ascii="Times New Roman" w:hAnsi="Times New Roman" w:eastAsia="楷体_GB2312" w:cs="Times New Roman"/>
          <w:b/>
          <w:bCs/>
          <w:color w:val="000000"/>
          <w:kern w:val="0"/>
          <w:szCs w:val="32"/>
          <w:shd w:val="clear" w:color="auto" w:fill="FFFFFF"/>
          <w:lang w:val="zh-CN"/>
        </w:rPr>
        <w:t>改进建议</w:t>
      </w:r>
      <w:bookmarkStart w:id="0" w:name="_Hlk110546638"/>
    </w:p>
    <w:p w14:paraId="2B22F0F3">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kern w:val="0"/>
          <w:sz w:val="32"/>
          <w:szCs w:val="32"/>
          <w:lang w:val="en" w:eastAsia="zh-CN" w:bidi="ar"/>
        </w:rPr>
      </w:pPr>
      <w:r>
        <w:rPr>
          <w:rFonts w:hint="default" w:ascii="Times New Roman" w:hAnsi="Times New Roman" w:eastAsia="方正仿宋_GBK" w:cs="Times New Roman"/>
          <w:kern w:val="0"/>
          <w:sz w:val="32"/>
          <w:szCs w:val="32"/>
          <w:lang w:val="zh-CN" w:eastAsia="zh-CN" w:bidi="ar"/>
        </w:rPr>
        <w:t xml:space="preserve">不断深化“纪巡财审”联动，推动监督成果共享共用；加强股室间信息共享和沟通协作，共同参与预决算公开情况专项检查，提高检查工作效率；积极运用“互联网+监管”，提高工作效率和监督成效。适时组织业务培训及经验交流，提升财会监督人员的专业能力水平。 </w:t>
      </w:r>
    </w:p>
    <w:bookmarkEnd w:id="0"/>
    <w:p w14:paraId="5851451F">
      <w:pPr>
        <w:keepNext w:val="0"/>
        <w:keepLines w:val="0"/>
        <w:pageBreakBefore w:val="0"/>
        <w:kinsoku/>
        <w:wordWrap/>
        <w:overflowPunct/>
        <w:topLinePunct w:val="0"/>
        <w:autoSpaceDE/>
        <w:autoSpaceDN/>
        <w:bidi w:val="0"/>
        <w:spacing w:line="240" w:lineRule="auto"/>
        <w:textAlignment w:val="auto"/>
        <w:rPr>
          <w:rFonts w:hint="default" w:ascii="Times New Roman" w:hAnsi="Times New Roman" w:cs="Times New Roman"/>
          <w:color w:val="000000"/>
          <w:kern w:val="0"/>
          <w:szCs w:val="32"/>
          <w:shd w:val="clear" w:color="auto" w:fill="FFFFFF"/>
        </w:rPr>
      </w:pPr>
    </w:p>
    <w:p w14:paraId="09D93DB2">
      <w:pPr>
        <w:keepNext w:val="0"/>
        <w:keepLines w:val="0"/>
        <w:pageBreakBefore w:val="0"/>
        <w:kinsoku/>
        <w:wordWrap/>
        <w:overflowPunct/>
        <w:topLinePunct w:val="0"/>
        <w:autoSpaceDE/>
        <w:autoSpaceDN/>
        <w:bidi w:val="0"/>
        <w:spacing w:line="240" w:lineRule="auto"/>
        <w:ind w:firstLine="640" w:firstLineChars="200"/>
        <w:textAlignment w:val="auto"/>
        <w:rPr>
          <w:rFonts w:hint="default" w:ascii="Times New Roman" w:hAnsi="Times New Roman" w:eastAsia="方正仿宋_GBK" w:cs="Times New Roman"/>
          <w:szCs w:val="32"/>
          <w:lang w:bidi="ar"/>
        </w:rPr>
      </w:pPr>
      <w:r>
        <w:rPr>
          <w:rFonts w:hint="default" w:ascii="Times New Roman" w:hAnsi="Times New Roman" w:eastAsia="方正仿宋_GBK" w:cs="Times New Roman"/>
          <w:color w:val="000000"/>
          <w:kern w:val="0"/>
          <w:szCs w:val="32"/>
          <w:shd w:val="clear" w:color="auto" w:fill="FFFFFF"/>
        </w:rPr>
        <w:t>附表：1.</w:t>
      </w:r>
      <w:r>
        <w:rPr>
          <w:rFonts w:hint="default" w:ascii="Times New Roman" w:hAnsi="Times New Roman" w:eastAsia="方正仿宋_GBK" w:cs="Times New Roman"/>
          <w:szCs w:val="32"/>
          <w:lang w:bidi="ar"/>
        </w:rPr>
        <w:t>部门预算绩效自评打分表</w:t>
      </w:r>
    </w:p>
    <w:p w14:paraId="3FE8DC27">
      <w:pPr>
        <w:keepNext w:val="0"/>
        <w:keepLines w:val="0"/>
        <w:pageBreakBefore w:val="0"/>
        <w:kinsoku/>
        <w:wordWrap/>
        <w:overflowPunct/>
        <w:topLinePunct w:val="0"/>
        <w:autoSpaceDE/>
        <w:autoSpaceDN/>
        <w:bidi w:val="0"/>
        <w:spacing w:line="240" w:lineRule="auto"/>
        <w:ind w:firstLine="1600" w:firstLineChars="500"/>
        <w:textAlignment w:val="auto"/>
        <w:rPr>
          <w:rFonts w:hint="default" w:ascii="Times New Roman" w:hAnsi="Times New Roman" w:eastAsia="方正仿宋_GBK" w:cs="Times New Roman"/>
          <w:color w:val="000000"/>
          <w:kern w:val="0"/>
          <w:szCs w:val="32"/>
          <w:shd w:val="clear" w:color="auto" w:fill="FFFFFF"/>
        </w:rPr>
      </w:pPr>
      <w:r>
        <w:rPr>
          <w:rFonts w:hint="default" w:ascii="Times New Roman" w:hAnsi="Times New Roman" w:eastAsia="方正仿宋_GBK" w:cs="Times New Roman"/>
          <w:szCs w:val="32"/>
          <w:lang w:bidi="ar"/>
        </w:rPr>
        <w:t>2.</w:t>
      </w:r>
      <w:r>
        <w:rPr>
          <w:rFonts w:hint="default" w:ascii="Times New Roman" w:hAnsi="Times New Roman" w:eastAsia="方正仿宋_GBK" w:cs="Times New Roman"/>
          <w:color w:val="000000"/>
          <w:kern w:val="0"/>
          <w:szCs w:val="32"/>
          <w:shd w:val="clear" w:color="auto" w:fill="FFFFFF"/>
        </w:rPr>
        <w:t>部门整体绩效目标完成情况自评表</w:t>
      </w:r>
    </w:p>
    <w:p w14:paraId="2D56A639">
      <w:pPr>
        <w:keepNext w:val="0"/>
        <w:keepLines w:val="0"/>
        <w:pageBreakBefore w:val="0"/>
        <w:kinsoku/>
        <w:wordWrap/>
        <w:overflowPunct/>
        <w:topLinePunct w:val="0"/>
        <w:autoSpaceDE/>
        <w:autoSpaceDN/>
        <w:bidi w:val="0"/>
        <w:spacing w:line="240" w:lineRule="auto"/>
        <w:jc w:val="left"/>
        <w:textAlignment w:val="auto"/>
        <w:rPr>
          <w:rFonts w:hint="default" w:ascii="Times New Roman" w:hAnsi="Times New Roman" w:eastAsia="方正仿宋_GBK" w:cs="Times New Roman"/>
        </w:rPr>
      </w:pPr>
    </w:p>
    <w:p w14:paraId="6EDC3A1E">
      <w:pPr>
        <w:keepNext w:val="0"/>
        <w:keepLines w:val="0"/>
        <w:pageBreakBefore w:val="0"/>
        <w:kinsoku/>
        <w:wordWrap/>
        <w:overflowPunct/>
        <w:topLinePunct w:val="0"/>
        <w:autoSpaceDE/>
        <w:autoSpaceDN/>
        <w:bidi w:val="0"/>
        <w:spacing w:line="240" w:lineRule="auto"/>
        <w:jc w:val="left"/>
        <w:textAlignment w:val="auto"/>
        <w:rPr>
          <w:rFonts w:eastAsia="黑体"/>
        </w:rPr>
      </w:pPr>
    </w:p>
    <w:p w14:paraId="6B75F3D1">
      <w:pPr>
        <w:keepNext w:val="0"/>
        <w:keepLines w:val="0"/>
        <w:pageBreakBefore w:val="0"/>
        <w:kinsoku/>
        <w:wordWrap/>
        <w:overflowPunct/>
        <w:topLinePunct w:val="0"/>
        <w:autoSpaceDE/>
        <w:autoSpaceDN/>
        <w:bidi w:val="0"/>
        <w:spacing w:line="240" w:lineRule="auto"/>
        <w:jc w:val="left"/>
        <w:textAlignment w:val="auto"/>
        <w:rPr>
          <w:rFonts w:eastAsia="黑体"/>
        </w:rPr>
      </w:pPr>
    </w:p>
    <w:p w14:paraId="5BB11991">
      <w:pPr>
        <w:keepNext w:val="0"/>
        <w:keepLines w:val="0"/>
        <w:pageBreakBefore w:val="0"/>
        <w:kinsoku/>
        <w:wordWrap/>
        <w:overflowPunct/>
        <w:topLinePunct w:val="0"/>
        <w:autoSpaceDE/>
        <w:autoSpaceDN/>
        <w:bidi w:val="0"/>
        <w:spacing w:line="240" w:lineRule="auto"/>
        <w:jc w:val="left"/>
        <w:textAlignment w:val="auto"/>
        <w:rPr>
          <w:rFonts w:eastAsia="黑体"/>
        </w:rPr>
      </w:pPr>
    </w:p>
    <w:p w14:paraId="438E1B28">
      <w:pPr>
        <w:spacing w:line="578" w:lineRule="exact"/>
        <w:jc w:val="left"/>
        <w:rPr>
          <w:rFonts w:eastAsia="黑体"/>
        </w:rPr>
      </w:pPr>
      <w:r>
        <w:rPr>
          <w:rFonts w:eastAsia="黑体"/>
        </w:rPr>
        <w:t>附表</w:t>
      </w:r>
      <w:r>
        <w:rPr>
          <w:rFonts w:hint="eastAsia" w:eastAsia="黑体"/>
        </w:rPr>
        <w:t>1</w:t>
      </w:r>
    </w:p>
    <w:p w14:paraId="24FD3B67">
      <w:pPr>
        <w:widowControl/>
        <w:spacing w:line="600" w:lineRule="exact"/>
        <w:jc w:val="center"/>
        <w:textAlignment w:val="center"/>
        <w:rPr>
          <w:rFonts w:eastAsia="方正小标宋简体"/>
          <w:color w:val="000000"/>
          <w:kern w:val="0"/>
          <w:sz w:val="44"/>
          <w:szCs w:val="44"/>
          <w:lang w:bidi="ar"/>
        </w:rPr>
      </w:pPr>
      <w:r>
        <w:rPr>
          <w:rFonts w:hint="eastAsia" w:eastAsia="方正小标宋简体"/>
          <w:color w:val="000000"/>
          <w:kern w:val="0"/>
          <w:sz w:val="44"/>
          <w:szCs w:val="44"/>
          <w:lang w:bidi="ar"/>
        </w:rPr>
        <w:t>部门预算绩效自评打分表</w:t>
      </w:r>
    </w:p>
    <w:tbl>
      <w:tblPr>
        <w:tblStyle w:val="12"/>
        <w:tblW w:w="10819" w:type="dxa"/>
        <w:jc w:val="center"/>
        <w:tblLayout w:type="fixed"/>
        <w:tblCellMar>
          <w:top w:w="0" w:type="dxa"/>
          <w:left w:w="108" w:type="dxa"/>
          <w:bottom w:w="0" w:type="dxa"/>
          <w:right w:w="108" w:type="dxa"/>
        </w:tblCellMar>
      </w:tblPr>
      <w:tblGrid>
        <w:gridCol w:w="1004"/>
        <w:gridCol w:w="1462"/>
        <w:gridCol w:w="1665"/>
        <w:gridCol w:w="720"/>
        <w:gridCol w:w="4734"/>
        <w:gridCol w:w="756"/>
        <w:gridCol w:w="478"/>
      </w:tblGrid>
      <w:tr w14:paraId="54456FA8">
        <w:tblPrEx>
          <w:tblCellMar>
            <w:top w:w="0" w:type="dxa"/>
            <w:left w:w="108" w:type="dxa"/>
            <w:bottom w:w="0" w:type="dxa"/>
            <w:right w:w="108" w:type="dxa"/>
          </w:tblCellMar>
        </w:tblPrEx>
        <w:trPr>
          <w:trHeight w:val="23"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B53C5D">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绩效评价</w:t>
            </w:r>
            <w:r>
              <w:rPr>
                <w:rFonts w:hint="eastAsia" w:eastAsia="方正仿宋_GBK" w:cs="Times New Roman"/>
                <w:color w:val="000000"/>
                <w:kern w:val="0"/>
                <w:sz w:val="24"/>
                <w:lang w:eastAsia="zh-CN" w:bidi="ar"/>
              </w:rPr>
              <w:t>指标</w:t>
            </w:r>
            <w:r>
              <w:rPr>
                <w:rFonts w:hint="default" w:ascii="Times New Roman" w:hAnsi="Times New Roman" w:eastAsia="方正仿宋_GBK" w:cs="Times New Roman"/>
                <w:color w:val="000000"/>
                <w:kern w:val="0"/>
                <w:sz w:val="24"/>
                <w:lang w:bidi="ar"/>
              </w:rPr>
              <w:t>分值</w:t>
            </w:r>
          </w:p>
        </w:tc>
        <w:tc>
          <w:tcPr>
            <w:tcW w:w="4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AB7D26">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指标解释</w:t>
            </w:r>
          </w:p>
        </w:tc>
        <w:tc>
          <w:tcPr>
            <w:tcW w:w="756" w:type="dxa"/>
            <w:vMerge w:val="restart"/>
            <w:tcBorders>
              <w:top w:val="single" w:color="000000" w:sz="4" w:space="0"/>
              <w:left w:val="single" w:color="000000" w:sz="4" w:space="0"/>
              <w:right w:val="single" w:color="000000" w:sz="4" w:space="0"/>
            </w:tcBorders>
            <w:shd w:val="clear" w:color="auto" w:fill="auto"/>
            <w:vAlign w:val="center"/>
          </w:tcPr>
          <w:p w14:paraId="04C3A787">
            <w:pPr>
              <w:widowControl/>
              <w:spacing w:line="240" w:lineRule="exact"/>
              <w:jc w:val="center"/>
              <w:textAlignment w:val="center"/>
              <w:rPr>
                <w:rFonts w:hint="default" w:ascii="Times New Roman" w:hAnsi="Times New Roman" w:eastAsia="方正仿宋_GBK" w:cs="Times New Roman"/>
                <w:color w:val="000000"/>
                <w:kern w:val="0"/>
                <w:sz w:val="24"/>
                <w:lang w:bidi="ar"/>
              </w:rPr>
            </w:pPr>
            <w:r>
              <w:rPr>
                <w:rFonts w:hint="default" w:ascii="Times New Roman" w:hAnsi="Times New Roman" w:eastAsia="方正仿宋_GBK" w:cs="Times New Roman"/>
                <w:color w:val="000000"/>
                <w:kern w:val="0"/>
                <w:sz w:val="24"/>
                <w:lang w:bidi="ar"/>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14:paraId="20A5D601">
            <w:pPr>
              <w:widowControl/>
              <w:spacing w:line="240" w:lineRule="exact"/>
              <w:jc w:val="center"/>
              <w:textAlignment w:val="center"/>
              <w:rPr>
                <w:rFonts w:hint="default" w:ascii="Times New Roman" w:hAnsi="Times New Roman" w:eastAsia="方正仿宋_GBK" w:cs="Times New Roman"/>
                <w:color w:val="000000"/>
                <w:kern w:val="0"/>
                <w:sz w:val="24"/>
                <w:lang w:bidi="ar"/>
              </w:rPr>
            </w:pPr>
            <w:r>
              <w:rPr>
                <w:rFonts w:hint="default" w:ascii="Times New Roman" w:hAnsi="Times New Roman" w:eastAsia="方正仿宋_GBK" w:cs="Times New Roman"/>
                <w:color w:val="000000"/>
                <w:kern w:val="0"/>
                <w:sz w:val="24"/>
                <w:lang w:bidi="ar"/>
              </w:rPr>
              <w:t>备注</w:t>
            </w:r>
          </w:p>
        </w:tc>
      </w:tr>
      <w:tr w14:paraId="5835B3F6">
        <w:tblPrEx>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nil"/>
            </w:tcBorders>
            <w:shd w:val="clear" w:color="auto" w:fill="auto"/>
            <w:vAlign w:val="center"/>
          </w:tcPr>
          <w:p w14:paraId="57CCF2E9">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一级指标</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AC007">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D1310">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B5CF6">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指标</w:t>
            </w:r>
            <w:r>
              <w:rPr>
                <w:rFonts w:hint="default" w:ascii="Times New Roman" w:hAnsi="Times New Roman" w:eastAsia="方正仿宋_GBK" w:cs="Times New Roman"/>
                <w:color w:val="000000"/>
                <w:kern w:val="0"/>
                <w:sz w:val="24"/>
                <w:lang w:bidi="ar"/>
              </w:rPr>
              <w:br w:type="textWrapping"/>
            </w:r>
            <w:r>
              <w:rPr>
                <w:rFonts w:hint="default" w:ascii="Times New Roman" w:hAnsi="Times New Roman" w:eastAsia="方正仿宋_GBK" w:cs="Times New Roman"/>
                <w:color w:val="000000"/>
                <w:kern w:val="0"/>
                <w:sz w:val="24"/>
                <w:lang w:bidi="ar"/>
              </w:rPr>
              <w:t>分值</w:t>
            </w:r>
          </w:p>
        </w:tc>
        <w:tc>
          <w:tcPr>
            <w:tcW w:w="4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302CEE">
            <w:pPr>
              <w:widowControl/>
              <w:spacing w:line="240" w:lineRule="exact"/>
              <w:jc w:val="center"/>
              <w:rPr>
                <w:rFonts w:hint="default" w:ascii="Times New Roman" w:hAnsi="Times New Roman" w:eastAsia="方正仿宋_GBK" w:cs="Times New Roman"/>
                <w:color w:val="000000"/>
                <w:sz w:val="24"/>
              </w:rPr>
            </w:pPr>
          </w:p>
        </w:tc>
        <w:tc>
          <w:tcPr>
            <w:tcW w:w="756" w:type="dxa"/>
            <w:vMerge w:val="continue"/>
            <w:tcBorders>
              <w:left w:val="single" w:color="000000" w:sz="4" w:space="0"/>
              <w:bottom w:val="single" w:color="000000" w:sz="4" w:space="0"/>
              <w:right w:val="single" w:color="000000" w:sz="4" w:space="0"/>
            </w:tcBorders>
            <w:shd w:val="clear" w:color="auto" w:fill="auto"/>
            <w:vAlign w:val="center"/>
          </w:tcPr>
          <w:p w14:paraId="12DACE86">
            <w:pPr>
              <w:widowControl/>
              <w:spacing w:line="240" w:lineRule="exact"/>
              <w:jc w:val="center"/>
              <w:rPr>
                <w:rFonts w:hint="default" w:ascii="Times New Roman" w:hAnsi="Times New Roman" w:eastAsia="方正仿宋_GBK" w:cs="Times New Roman"/>
                <w:color w:val="000000"/>
                <w:sz w:val="24"/>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14:paraId="39D1837B">
            <w:pPr>
              <w:widowControl/>
              <w:spacing w:line="240" w:lineRule="exact"/>
              <w:jc w:val="center"/>
              <w:rPr>
                <w:rFonts w:hint="default" w:ascii="Times New Roman" w:hAnsi="Times New Roman" w:eastAsia="方正仿宋_GBK" w:cs="Times New Roman"/>
                <w:color w:val="000000"/>
                <w:sz w:val="24"/>
              </w:rPr>
            </w:pPr>
          </w:p>
        </w:tc>
      </w:tr>
      <w:tr w14:paraId="25463C25">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right w:val="single" w:color="000000" w:sz="4" w:space="0"/>
            </w:tcBorders>
            <w:shd w:val="clear" w:color="auto" w:fill="auto"/>
            <w:vAlign w:val="center"/>
          </w:tcPr>
          <w:p w14:paraId="50A8FD0B">
            <w:pPr>
              <w:widowControl/>
              <w:spacing w:line="240" w:lineRule="exact"/>
              <w:jc w:val="center"/>
              <w:textAlignment w:val="center"/>
              <w:rPr>
                <w:rFonts w:hint="default" w:ascii="Times New Roman" w:hAnsi="Times New Roman" w:eastAsia="方正仿宋_GBK" w:cs="Times New Roman"/>
                <w:b/>
                <w:color w:val="000000"/>
                <w:kern w:val="0"/>
                <w:sz w:val="24"/>
                <w:lang w:bidi="ar"/>
              </w:rPr>
            </w:pPr>
            <w:r>
              <w:rPr>
                <w:rFonts w:hint="default" w:ascii="Times New Roman" w:hAnsi="Times New Roman" w:eastAsia="方正仿宋_GBK" w:cs="Times New Roman"/>
                <w:b/>
                <w:color w:val="000000"/>
                <w:kern w:val="0"/>
                <w:sz w:val="24"/>
                <w:lang w:bidi="ar"/>
              </w:rPr>
              <w:t>总体绩效</w:t>
            </w:r>
            <w:r>
              <w:rPr>
                <w:rFonts w:hint="default" w:ascii="Times New Roman" w:hAnsi="Times New Roman" w:eastAsia="方正仿宋_GBK" w:cs="Times New Roman"/>
                <w:b/>
                <w:color w:val="000000"/>
                <w:kern w:val="0"/>
                <w:sz w:val="24"/>
                <w:lang w:bidi="ar"/>
              </w:rPr>
              <w:br w:type="textWrapping"/>
            </w:r>
            <w:r>
              <w:rPr>
                <w:rFonts w:hint="default" w:ascii="Times New Roman" w:hAnsi="Times New Roman" w:eastAsia="方正仿宋_GBK" w:cs="Times New Roman"/>
                <w:b/>
                <w:color w:val="000000"/>
                <w:kern w:val="0"/>
                <w:sz w:val="24"/>
                <w:lang w:bidi="ar"/>
              </w:rPr>
              <w:t>（65分）</w:t>
            </w:r>
          </w:p>
          <w:p w14:paraId="1BF6C920">
            <w:pPr>
              <w:widowControl/>
              <w:spacing w:line="240" w:lineRule="exact"/>
              <w:jc w:val="center"/>
              <w:textAlignment w:val="center"/>
              <w:rPr>
                <w:rFonts w:hint="default" w:ascii="Times New Roman" w:hAnsi="Times New Roman" w:eastAsia="方正仿宋_GBK" w:cs="Times New Roman"/>
                <w:b/>
                <w:color w:val="000000"/>
                <w:sz w:val="24"/>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D7D1F">
            <w:pPr>
              <w:widowControl/>
              <w:spacing w:line="240" w:lineRule="exact"/>
              <w:jc w:val="center"/>
              <w:textAlignment w:val="center"/>
              <w:rPr>
                <w:rFonts w:hint="default" w:ascii="Times New Roman" w:hAnsi="Times New Roman" w:eastAsia="方正仿宋_GBK" w:cs="Times New Roman"/>
                <w:b/>
                <w:color w:val="000000"/>
                <w:sz w:val="24"/>
              </w:rPr>
            </w:pPr>
            <w:r>
              <w:rPr>
                <w:rFonts w:hint="default" w:ascii="Times New Roman" w:hAnsi="Times New Roman" w:eastAsia="方正仿宋_GBK" w:cs="Times New Roman"/>
                <w:b/>
                <w:color w:val="000000"/>
                <w:kern w:val="0"/>
                <w:sz w:val="24"/>
                <w:lang w:bidi="ar"/>
              </w:rPr>
              <w:t>履职效能</w:t>
            </w:r>
            <w:r>
              <w:rPr>
                <w:rFonts w:hint="default" w:ascii="Times New Roman" w:hAnsi="Times New Roman" w:eastAsia="方正仿宋_GBK" w:cs="Times New Roman"/>
                <w:b/>
                <w:color w:val="000000"/>
                <w:kern w:val="0"/>
                <w:sz w:val="24"/>
                <w:lang w:bidi="ar"/>
              </w:rPr>
              <w:br w:type="textWrapping"/>
            </w:r>
            <w:r>
              <w:rPr>
                <w:rFonts w:hint="default" w:ascii="Times New Roman" w:hAnsi="Times New Roman" w:eastAsia="方正仿宋_GBK" w:cs="Times New Roman"/>
                <w:b/>
                <w:color w:val="000000"/>
                <w:kern w:val="0"/>
                <w:sz w:val="24"/>
                <w:lang w:bidi="ar"/>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0671E">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财政监督检查业务履职效果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14:paraId="158A44CF">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15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12840">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部门整体绩效目标中选定3</w:t>
            </w:r>
            <w:r>
              <w:rPr>
                <w:rFonts w:hint="eastAsia" w:eastAsia="方正仿宋_GBK" w:cs="Times New Roman"/>
                <w:color w:val="000000"/>
                <w:kern w:val="0"/>
                <w:sz w:val="24"/>
                <w:lang w:eastAsia="zh-CN" w:bidi="ar"/>
              </w:rPr>
              <w:t>—</w:t>
            </w:r>
            <w:r>
              <w:rPr>
                <w:rFonts w:hint="default" w:ascii="Times New Roman" w:hAnsi="Times New Roman" w:eastAsia="方正仿宋_GBK" w:cs="Times New Roman"/>
                <w:color w:val="000000"/>
                <w:kern w:val="0"/>
                <w:sz w:val="24"/>
                <w:lang w:bidi="ar"/>
              </w:rPr>
              <w:t>5个核心职能目标，反映该项职能目标完成效果情况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187C8">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14.7</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150CA">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2F174F26">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43ACED9A">
            <w:pPr>
              <w:widowControl/>
              <w:spacing w:line="240" w:lineRule="exact"/>
              <w:jc w:val="center"/>
              <w:rPr>
                <w:rFonts w:hint="default" w:ascii="Times New Roman" w:hAnsi="Times New Roman" w:eastAsia="方正仿宋_GBK" w:cs="Times New Roman"/>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019FDE">
            <w:pPr>
              <w:widowControl/>
              <w:spacing w:line="240" w:lineRule="exact"/>
              <w:jc w:val="center"/>
              <w:textAlignment w:val="center"/>
              <w:rPr>
                <w:rFonts w:hint="default" w:ascii="Times New Roman" w:hAnsi="Times New Roman" w:eastAsia="方正仿宋_GBK" w:cs="Times New Roman"/>
                <w:b/>
                <w:color w:val="000000"/>
                <w:sz w:val="24"/>
              </w:rPr>
            </w:pPr>
            <w:r>
              <w:rPr>
                <w:rFonts w:hint="default" w:ascii="Times New Roman" w:hAnsi="Times New Roman" w:eastAsia="方正仿宋_GBK" w:cs="Times New Roman"/>
                <w:b/>
                <w:color w:val="000000"/>
                <w:kern w:val="0"/>
                <w:sz w:val="24"/>
                <w:lang w:bidi="ar"/>
              </w:rPr>
              <w:t>预算管理</w:t>
            </w:r>
            <w:r>
              <w:rPr>
                <w:rFonts w:hint="default" w:ascii="Times New Roman" w:hAnsi="Times New Roman" w:eastAsia="方正仿宋_GBK" w:cs="Times New Roman"/>
                <w:b/>
                <w:color w:val="000000"/>
                <w:kern w:val="0"/>
                <w:sz w:val="24"/>
                <w:lang w:bidi="ar"/>
              </w:rPr>
              <w:br w:type="textWrapping"/>
            </w:r>
            <w:r>
              <w:rPr>
                <w:rFonts w:hint="default" w:ascii="Times New Roman" w:hAnsi="Times New Roman" w:eastAsia="方正仿宋_GBK" w:cs="Times New Roman"/>
                <w:b/>
                <w:color w:val="000000"/>
                <w:kern w:val="0"/>
                <w:sz w:val="24"/>
                <w:lang w:bidi="ar"/>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29AA5">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2281B">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8</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DBE1F">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E65F5">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7.95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D6D52">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49DE6249">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3AD24170">
            <w:pPr>
              <w:widowControl/>
              <w:spacing w:line="240" w:lineRule="exact"/>
              <w:jc w:val="center"/>
              <w:rPr>
                <w:rFonts w:hint="default" w:ascii="Times New Roman" w:hAnsi="Times New Roman" w:eastAsia="方正仿宋_GBK" w:cs="Times New Roman"/>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73D3E2">
            <w:pPr>
              <w:widowControl/>
              <w:spacing w:line="240" w:lineRule="exact"/>
              <w:jc w:val="center"/>
              <w:rPr>
                <w:rFonts w:hint="default" w:ascii="Times New Roman" w:hAnsi="Times New Roman" w:eastAsia="方正仿宋_GBK"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BAE3A">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378F0">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61D7A">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EF135">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33A2C">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36818C28">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442930AA">
            <w:pPr>
              <w:widowControl/>
              <w:spacing w:line="240" w:lineRule="exact"/>
              <w:jc w:val="center"/>
              <w:rPr>
                <w:rFonts w:hint="default" w:ascii="Times New Roman" w:hAnsi="Times New Roman" w:eastAsia="方正仿宋_GBK" w:cs="Times New Roman"/>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1E95A5">
            <w:pPr>
              <w:widowControl/>
              <w:spacing w:line="240" w:lineRule="exact"/>
              <w:jc w:val="center"/>
              <w:rPr>
                <w:rFonts w:hint="default" w:ascii="Times New Roman" w:hAnsi="Times New Roman" w:eastAsia="方正仿宋_GBK"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A3053">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01B9D">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6</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D82D1">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6C1BB">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6</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7D0C9">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1256A38A">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3F7425FF">
            <w:pPr>
              <w:widowControl/>
              <w:spacing w:line="240" w:lineRule="exact"/>
              <w:jc w:val="center"/>
              <w:rPr>
                <w:rFonts w:hint="default" w:ascii="Times New Roman" w:hAnsi="Times New Roman" w:eastAsia="方正仿宋_GBK" w:cs="Times New Roman"/>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AD6AC8">
            <w:pPr>
              <w:widowControl/>
              <w:spacing w:line="240" w:lineRule="exact"/>
              <w:jc w:val="center"/>
              <w:rPr>
                <w:rFonts w:hint="default" w:ascii="Times New Roman" w:hAnsi="Times New Roman" w:eastAsia="方正仿宋_GBK"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0B90E">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CFBA9">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091B2">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16458">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C1841">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04C7FB25">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34AE64D7">
            <w:pPr>
              <w:widowControl/>
              <w:spacing w:line="240" w:lineRule="exact"/>
              <w:jc w:val="center"/>
              <w:rPr>
                <w:rFonts w:hint="default" w:ascii="Times New Roman" w:hAnsi="Times New Roman" w:eastAsia="方正仿宋_GBK" w:cs="Times New Roman"/>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1948BC">
            <w:pPr>
              <w:widowControl/>
              <w:spacing w:line="240" w:lineRule="exact"/>
              <w:jc w:val="center"/>
              <w:rPr>
                <w:rFonts w:hint="default" w:ascii="Times New Roman" w:hAnsi="Times New Roman" w:eastAsia="方正仿宋_GBK"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BADBE">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1F0AE">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8FC7C">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76AA1">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1.2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AA6E8">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0B3161A9">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451CF07A">
            <w:pPr>
              <w:widowControl/>
              <w:spacing w:line="240" w:lineRule="exact"/>
              <w:jc w:val="center"/>
              <w:rPr>
                <w:rFonts w:hint="default" w:ascii="Times New Roman" w:hAnsi="Times New Roman" w:eastAsia="方正仿宋_GBK" w:cs="Times New Roman"/>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6398B5">
            <w:pPr>
              <w:widowControl/>
              <w:spacing w:line="240" w:lineRule="exact"/>
              <w:jc w:val="center"/>
              <w:textAlignment w:val="center"/>
              <w:rPr>
                <w:rFonts w:hint="default" w:ascii="Times New Roman" w:hAnsi="Times New Roman" w:eastAsia="方正仿宋_GBK" w:cs="Times New Roman"/>
                <w:b/>
                <w:color w:val="000000"/>
                <w:sz w:val="24"/>
              </w:rPr>
            </w:pPr>
            <w:r>
              <w:rPr>
                <w:rFonts w:hint="default" w:ascii="Times New Roman" w:hAnsi="Times New Roman" w:eastAsia="方正仿宋_GBK" w:cs="Times New Roman"/>
                <w:b/>
                <w:color w:val="000000"/>
                <w:kern w:val="0"/>
                <w:sz w:val="24"/>
                <w:lang w:bidi="ar"/>
              </w:rPr>
              <w:t>财务管理</w:t>
            </w:r>
            <w:r>
              <w:rPr>
                <w:rFonts w:hint="default" w:ascii="Times New Roman" w:hAnsi="Times New Roman" w:eastAsia="方正仿宋_GBK" w:cs="Times New Roman"/>
                <w:b/>
                <w:color w:val="000000"/>
                <w:kern w:val="0"/>
                <w:sz w:val="24"/>
                <w:lang w:bidi="ar"/>
              </w:rPr>
              <w:br w:type="textWrapping"/>
            </w:r>
            <w:r>
              <w:rPr>
                <w:rFonts w:hint="default" w:ascii="Times New Roman" w:hAnsi="Times New Roman" w:eastAsia="方正仿宋_GBK" w:cs="Times New Roman"/>
                <w:b/>
                <w:color w:val="000000"/>
                <w:kern w:val="0"/>
                <w:sz w:val="24"/>
                <w:lang w:bidi="ar"/>
              </w:rPr>
              <w:t>（10分）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13B48">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C334B">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C0630">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5627B">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E5235">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10BD8061">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725F4BB3">
            <w:pPr>
              <w:widowControl/>
              <w:spacing w:line="240" w:lineRule="exact"/>
              <w:jc w:val="center"/>
              <w:rPr>
                <w:rFonts w:hint="default" w:ascii="Times New Roman" w:hAnsi="Times New Roman" w:eastAsia="方正仿宋_GBK" w:cs="Times New Roman"/>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06C5C4">
            <w:pPr>
              <w:widowControl/>
              <w:spacing w:line="240" w:lineRule="exact"/>
              <w:jc w:val="center"/>
              <w:rPr>
                <w:rFonts w:hint="default" w:ascii="Times New Roman" w:hAnsi="Times New Roman" w:eastAsia="方正仿宋_GBK"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A8C41">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CD59B">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B0497">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EA484">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9FC21">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07BB4BBF">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5F56786D">
            <w:pPr>
              <w:widowControl/>
              <w:spacing w:line="240" w:lineRule="exact"/>
              <w:jc w:val="center"/>
              <w:rPr>
                <w:rFonts w:hint="default" w:ascii="Times New Roman" w:hAnsi="Times New Roman" w:eastAsia="方正仿宋_GBK" w:cs="Times New Roman"/>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81AA98">
            <w:pPr>
              <w:widowControl/>
              <w:spacing w:line="240" w:lineRule="exact"/>
              <w:jc w:val="center"/>
              <w:rPr>
                <w:rFonts w:hint="default" w:ascii="Times New Roman" w:hAnsi="Times New Roman" w:eastAsia="方正仿宋_GBK"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F77D7">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AB283">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0EEB5">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B5AD5">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0C78C">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1789D014">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74113BCE">
            <w:pPr>
              <w:widowControl/>
              <w:spacing w:line="240" w:lineRule="exact"/>
              <w:jc w:val="center"/>
              <w:rPr>
                <w:rFonts w:hint="default" w:ascii="Times New Roman" w:hAnsi="Times New Roman" w:eastAsia="方正仿宋_GBK" w:cs="Times New Roman"/>
                <w:b/>
                <w:color w:val="000000"/>
                <w:sz w:val="24"/>
              </w:rPr>
            </w:pPr>
          </w:p>
        </w:tc>
        <w:tc>
          <w:tcPr>
            <w:tcW w:w="1462" w:type="dxa"/>
            <w:vMerge w:val="restart"/>
            <w:tcBorders>
              <w:top w:val="single" w:color="000000" w:sz="4" w:space="0"/>
              <w:left w:val="single" w:color="000000" w:sz="4" w:space="0"/>
              <w:right w:val="single" w:color="000000" w:sz="4" w:space="0"/>
            </w:tcBorders>
            <w:shd w:val="clear" w:color="auto" w:fill="auto"/>
            <w:vAlign w:val="center"/>
          </w:tcPr>
          <w:p w14:paraId="48F0AB9B">
            <w:pPr>
              <w:widowControl/>
              <w:spacing w:line="240" w:lineRule="exact"/>
              <w:jc w:val="center"/>
              <w:textAlignment w:val="center"/>
              <w:rPr>
                <w:rFonts w:hint="default" w:ascii="Times New Roman" w:hAnsi="Times New Roman" w:eastAsia="方正仿宋_GBK" w:cs="Times New Roman"/>
                <w:b/>
                <w:color w:val="000000"/>
                <w:sz w:val="24"/>
              </w:rPr>
            </w:pPr>
            <w:r>
              <w:rPr>
                <w:rFonts w:hint="default" w:ascii="Times New Roman" w:hAnsi="Times New Roman" w:eastAsia="方正仿宋_GBK" w:cs="Times New Roman"/>
                <w:b/>
                <w:color w:val="000000"/>
                <w:kern w:val="0"/>
                <w:sz w:val="24"/>
                <w:lang w:bidi="ar"/>
              </w:rPr>
              <w:t>资产管理</w:t>
            </w:r>
            <w:r>
              <w:rPr>
                <w:rFonts w:hint="default" w:ascii="Times New Roman" w:hAnsi="Times New Roman" w:eastAsia="方正仿宋_GBK" w:cs="Times New Roman"/>
                <w:b/>
                <w:color w:val="000000"/>
                <w:kern w:val="0"/>
                <w:sz w:val="24"/>
                <w:lang w:bidi="ar"/>
              </w:rPr>
              <w:br w:type="textWrapping"/>
            </w:r>
            <w:r>
              <w:rPr>
                <w:rFonts w:hint="default" w:ascii="Times New Roman" w:hAnsi="Times New Roman" w:eastAsia="方正仿宋_GBK" w:cs="Times New Roman"/>
                <w:b/>
                <w:color w:val="000000"/>
                <w:kern w:val="0"/>
                <w:sz w:val="24"/>
                <w:lang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81EE4">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BFAED">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CC9A6">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F60BD">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1.8</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C0EEB">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1E30C247">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4317022C">
            <w:pPr>
              <w:widowControl/>
              <w:spacing w:line="240" w:lineRule="exact"/>
              <w:jc w:val="center"/>
              <w:rPr>
                <w:rFonts w:hint="default" w:ascii="Times New Roman" w:hAnsi="Times New Roman" w:eastAsia="方正仿宋_GBK" w:cs="Times New Roman"/>
                <w:b/>
                <w:color w:val="000000"/>
                <w:sz w:val="24"/>
              </w:rPr>
            </w:pPr>
          </w:p>
        </w:tc>
        <w:tc>
          <w:tcPr>
            <w:tcW w:w="1462" w:type="dxa"/>
            <w:vMerge w:val="continue"/>
            <w:tcBorders>
              <w:left w:val="single" w:color="000000" w:sz="4" w:space="0"/>
              <w:right w:val="single" w:color="000000" w:sz="4" w:space="0"/>
            </w:tcBorders>
            <w:shd w:val="clear" w:color="auto" w:fill="auto"/>
            <w:vAlign w:val="center"/>
          </w:tcPr>
          <w:p w14:paraId="380CEFA6">
            <w:pPr>
              <w:widowControl/>
              <w:spacing w:line="240" w:lineRule="exact"/>
              <w:jc w:val="center"/>
              <w:rPr>
                <w:rFonts w:hint="default" w:ascii="Times New Roman" w:hAnsi="Times New Roman" w:eastAsia="方正仿宋_GBK"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51023">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6F3A6">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476CD">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523F6">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2F4DC">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214D7F64">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76875B8B">
            <w:pPr>
              <w:widowControl/>
              <w:spacing w:line="240" w:lineRule="exact"/>
              <w:jc w:val="center"/>
              <w:textAlignment w:val="center"/>
              <w:rPr>
                <w:rFonts w:hint="default" w:ascii="Times New Roman" w:hAnsi="Times New Roman" w:eastAsia="方正仿宋_GBK" w:cs="Times New Roman"/>
                <w:b/>
                <w:color w:val="000000"/>
                <w:sz w:val="24"/>
              </w:rPr>
            </w:pPr>
          </w:p>
        </w:tc>
        <w:tc>
          <w:tcPr>
            <w:tcW w:w="1462" w:type="dxa"/>
            <w:vMerge w:val="continue"/>
            <w:tcBorders>
              <w:left w:val="single" w:color="000000" w:sz="4" w:space="0"/>
              <w:bottom w:val="single" w:color="000000" w:sz="4" w:space="0"/>
              <w:right w:val="single" w:color="000000" w:sz="4" w:space="0"/>
            </w:tcBorders>
            <w:shd w:val="clear" w:color="auto" w:fill="auto"/>
            <w:vAlign w:val="center"/>
          </w:tcPr>
          <w:p w14:paraId="5493286F">
            <w:pPr>
              <w:widowControl/>
              <w:spacing w:line="240" w:lineRule="exact"/>
              <w:jc w:val="center"/>
              <w:textAlignment w:val="center"/>
              <w:rPr>
                <w:rFonts w:hint="default" w:ascii="Times New Roman" w:hAnsi="Times New Roman" w:eastAsia="方正仿宋_GBK"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9F8A4">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326AB">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2C0C5">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7EC57">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487AD">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4C6D8E9A">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1D6840A9">
            <w:pPr>
              <w:widowControl/>
              <w:spacing w:line="240" w:lineRule="exact"/>
              <w:jc w:val="center"/>
              <w:rPr>
                <w:rFonts w:hint="default" w:ascii="Times New Roman" w:hAnsi="Times New Roman" w:eastAsia="方正仿宋_GBK" w:cs="Times New Roman"/>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0E829D">
            <w:pPr>
              <w:widowControl/>
              <w:spacing w:line="240" w:lineRule="exact"/>
              <w:jc w:val="center"/>
              <w:textAlignment w:val="center"/>
              <w:rPr>
                <w:rFonts w:hint="default" w:ascii="Times New Roman" w:hAnsi="Times New Roman" w:eastAsia="方正仿宋_GBK" w:cs="Times New Roman"/>
                <w:b/>
                <w:color w:val="000000"/>
                <w:sz w:val="24"/>
              </w:rPr>
            </w:pPr>
            <w:r>
              <w:rPr>
                <w:rFonts w:hint="default" w:ascii="Times New Roman" w:hAnsi="Times New Roman" w:eastAsia="方正仿宋_GBK" w:cs="Times New Roman"/>
                <w:b/>
                <w:color w:val="000000"/>
                <w:kern w:val="0"/>
                <w:sz w:val="24"/>
                <w:lang w:bidi="ar"/>
              </w:rPr>
              <w:t>采购管理</w:t>
            </w:r>
            <w:r>
              <w:rPr>
                <w:rFonts w:hint="default" w:ascii="Times New Roman" w:hAnsi="Times New Roman" w:eastAsia="方正仿宋_GBK" w:cs="Times New Roman"/>
                <w:b/>
                <w:color w:val="000000"/>
                <w:kern w:val="0"/>
                <w:sz w:val="24"/>
                <w:lang w:bidi="ar"/>
              </w:rPr>
              <w:br w:type="textWrapping"/>
            </w:r>
            <w:r>
              <w:rPr>
                <w:rFonts w:hint="default" w:ascii="Times New Roman" w:hAnsi="Times New Roman" w:eastAsia="方正仿宋_GBK" w:cs="Times New Roman"/>
                <w:b/>
                <w:color w:val="000000"/>
                <w:kern w:val="0"/>
                <w:sz w:val="24"/>
                <w:lang w:bidi="ar"/>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B64D5">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A8122">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50AB2">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6E6E9">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37C50">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19B88B9C">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bottom w:val="single" w:color="000000" w:sz="4" w:space="0"/>
              <w:right w:val="single" w:color="000000" w:sz="4" w:space="0"/>
            </w:tcBorders>
            <w:shd w:val="clear" w:color="auto" w:fill="auto"/>
            <w:vAlign w:val="center"/>
          </w:tcPr>
          <w:p w14:paraId="3F85B532">
            <w:pPr>
              <w:widowControl/>
              <w:spacing w:line="240" w:lineRule="exact"/>
              <w:jc w:val="center"/>
              <w:rPr>
                <w:rFonts w:hint="default" w:ascii="Times New Roman" w:hAnsi="Times New Roman" w:eastAsia="方正仿宋_GBK" w:cs="Times New Roman"/>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2DA2B8">
            <w:pPr>
              <w:widowControl/>
              <w:spacing w:line="240" w:lineRule="exact"/>
              <w:jc w:val="center"/>
              <w:rPr>
                <w:rFonts w:hint="default" w:ascii="Times New Roman" w:hAnsi="Times New Roman" w:eastAsia="方正仿宋_GBK"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114FB">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C9259">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6E918">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29317">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16608">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424C0429">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AF8B67">
            <w:pPr>
              <w:widowControl/>
              <w:spacing w:line="240" w:lineRule="exact"/>
              <w:jc w:val="center"/>
              <w:textAlignment w:val="center"/>
              <w:rPr>
                <w:rFonts w:hint="default" w:ascii="Times New Roman" w:hAnsi="Times New Roman" w:eastAsia="方正仿宋_GBK" w:cs="Times New Roman"/>
                <w:b/>
                <w:color w:val="000000"/>
                <w:sz w:val="24"/>
              </w:rPr>
            </w:pPr>
            <w:r>
              <w:rPr>
                <w:rFonts w:hint="default" w:ascii="Times New Roman" w:hAnsi="Times New Roman" w:eastAsia="方正仿宋_GBK" w:cs="Times New Roman"/>
                <w:b/>
                <w:color w:val="000000"/>
                <w:kern w:val="0"/>
                <w:sz w:val="24"/>
                <w:lang w:bidi="ar"/>
              </w:rPr>
              <w:t>项目绩效</w:t>
            </w:r>
            <w:r>
              <w:rPr>
                <w:rFonts w:hint="default" w:ascii="Times New Roman" w:hAnsi="Times New Roman" w:eastAsia="方正仿宋_GBK" w:cs="Times New Roman"/>
                <w:b/>
                <w:color w:val="000000"/>
                <w:kern w:val="0"/>
                <w:sz w:val="24"/>
                <w:lang w:bidi="ar"/>
              </w:rPr>
              <w:br w:type="textWrapping"/>
            </w:r>
            <w:r>
              <w:rPr>
                <w:rFonts w:hint="default" w:ascii="Times New Roman" w:hAnsi="Times New Roman" w:eastAsia="方正仿宋_GBK" w:cs="Times New Roman"/>
                <w:b/>
                <w:color w:val="000000"/>
                <w:kern w:val="0"/>
                <w:sz w:val="24"/>
                <w:lang w:bidi="ar"/>
              </w:rPr>
              <w:t>（35分）</w:t>
            </w: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14:paraId="4FCD5E4F">
            <w:pPr>
              <w:widowControl/>
              <w:spacing w:line="240" w:lineRule="exact"/>
              <w:jc w:val="center"/>
              <w:textAlignment w:val="center"/>
              <w:rPr>
                <w:rFonts w:hint="default" w:ascii="Times New Roman" w:hAnsi="Times New Roman" w:eastAsia="方正仿宋_GBK" w:cs="Times New Roman"/>
                <w:b/>
                <w:color w:val="000000"/>
                <w:sz w:val="24"/>
              </w:rPr>
            </w:pPr>
            <w:r>
              <w:rPr>
                <w:rFonts w:hint="default" w:ascii="Times New Roman" w:hAnsi="Times New Roman" w:eastAsia="方正仿宋_GBK" w:cs="Times New Roman"/>
                <w:b/>
                <w:color w:val="000000"/>
                <w:kern w:val="0"/>
                <w:sz w:val="24"/>
                <w:lang w:bidi="ar"/>
              </w:rPr>
              <w:t>项目决策</w:t>
            </w:r>
            <w:r>
              <w:rPr>
                <w:rFonts w:hint="default" w:ascii="Times New Roman" w:hAnsi="Times New Roman" w:eastAsia="方正仿宋_GBK" w:cs="Times New Roman"/>
                <w:b/>
                <w:color w:val="000000"/>
                <w:kern w:val="0"/>
                <w:sz w:val="24"/>
                <w:lang w:bidi="ar"/>
              </w:rPr>
              <w:br w:type="textWrapping"/>
            </w:r>
            <w:r>
              <w:rPr>
                <w:rFonts w:hint="default" w:ascii="Times New Roman" w:hAnsi="Times New Roman" w:eastAsia="方正仿宋_GBK" w:cs="Times New Roman"/>
                <w:b/>
                <w:color w:val="000000"/>
                <w:kern w:val="0"/>
                <w:sz w:val="24"/>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90D26">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34754">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61FC5">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687E6">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10A09">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2EB3AF87">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7DCF0F">
            <w:pPr>
              <w:widowControl/>
              <w:spacing w:line="240" w:lineRule="exact"/>
              <w:jc w:val="center"/>
              <w:rPr>
                <w:rFonts w:hint="default" w:ascii="Times New Roman" w:hAnsi="Times New Roman" w:eastAsia="方正仿宋_GBK" w:cs="Times New Roman"/>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49073CE1">
            <w:pPr>
              <w:widowControl/>
              <w:spacing w:line="240" w:lineRule="exact"/>
              <w:jc w:val="center"/>
              <w:rPr>
                <w:rFonts w:hint="default" w:ascii="Times New Roman" w:hAnsi="Times New Roman" w:eastAsia="方正仿宋_GBK"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89DAD">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58088">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CA413">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67B95">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0020F">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5E89237E">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32A582">
            <w:pPr>
              <w:widowControl/>
              <w:spacing w:line="240" w:lineRule="exact"/>
              <w:jc w:val="center"/>
              <w:rPr>
                <w:rFonts w:hint="default" w:ascii="Times New Roman" w:hAnsi="Times New Roman" w:eastAsia="方正仿宋_GBK" w:cs="Times New Roman"/>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0A537111">
            <w:pPr>
              <w:widowControl/>
              <w:spacing w:line="240" w:lineRule="exact"/>
              <w:jc w:val="center"/>
              <w:rPr>
                <w:rFonts w:hint="default" w:ascii="Times New Roman" w:hAnsi="Times New Roman" w:eastAsia="方正仿宋_GBK"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F5B92">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E1D74">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29A5A">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B9ECE">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D3CD0">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47CB470C">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CC21B">
            <w:pPr>
              <w:widowControl/>
              <w:spacing w:line="240" w:lineRule="exact"/>
              <w:jc w:val="center"/>
              <w:rPr>
                <w:rFonts w:hint="default" w:ascii="Times New Roman" w:hAnsi="Times New Roman" w:eastAsia="方正仿宋_GBK" w:cs="Times New Roman"/>
                <w:b/>
                <w:color w:val="000000"/>
                <w:sz w:val="24"/>
              </w:rPr>
            </w:pP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14:paraId="5E6EC95C">
            <w:pPr>
              <w:widowControl/>
              <w:spacing w:line="240" w:lineRule="exact"/>
              <w:jc w:val="center"/>
              <w:textAlignment w:val="center"/>
              <w:rPr>
                <w:rFonts w:hint="default" w:ascii="Times New Roman" w:hAnsi="Times New Roman" w:eastAsia="方正仿宋_GBK" w:cs="Times New Roman"/>
                <w:b/>
                <w:color w:val="000000"/>
                <w:sz w:val="24"/>
              </w:rPr>
            </w:pPr>
            <w:r>
              <w:rPr>
                <w:rFonts w:hint="default" w:ascii="Times New Roman" w:hAnsi="Times New Roman" w:eastAsia="方正仿宋_GBK" w:cs="Times New Roman"/>
                <w:b/>
                <w:color w:val="000000"/>
                <w:kern w:val="0"/>
                <w:sz w:val="24"/>
                <w:lang w:bidi="ar"/>
              </w:rPr>
              <w:t>项目执行</w:t>
            </w:r>
            <w:r>
              <w:rPr>
                <w:rFonts w:hint="default" w:ascii="Times New Roman" w:hAnsi="Times New Roman" w:eastAsia="方正仿宋_GBK" w:cs="Times New Roman"/>
                <w:b/>
                <w:color w:val="000000"/>
                <w:kern w:val="0"/>
                <w:sz w:val="24"/>
                <w:lang w:bidi="ar"/>
              </w:rPr>
              <w:br w:type="textWrapping"/>
            </w:r>
            <w:r>
              <w:rPr>
                <w:rFonts w:hint="default" w:ascii="Times New Roman" w:hAnsi="Times New Roman" w:eastAsia="方正仿宋_GBK" w:cs="Times New Roman"/>
                <w:b/>
                <w:color w:val="000000"/>
                <w:kern w:val="0"/>
                <w:sz w:val="24"/>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30D60">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382A6">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B1D41">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59D22">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C8733">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6F7853F9">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93E7B">
            <w:pPr>
              <w:widowControl/>
              <w:spacing w:line="240" w:lineRule="exact"/>
              <w:jc w:val="center"/>
              <w:rPr>
                <w:rFonts w:hint="default" w:ascii="Times New Roman" w:hAnsi="Times New Roman" w:eastAsia="方正仿宋_GBK" w:cs="Times New Roman"/>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45202ABC">
            <w:pPr>
              <w:widowControl/>
              <w:spacing w:line="240" w:lineRule="exact"/>
              <w:jc w:val="center"/>
              <w:rPr>
                <w:rFonts w:hint="default" w:ascii="Times New Roman" w:hAnsi="Times New Roman" w:eastAsia="方正仿宋_GBK" w:cs="Times New Roman"/>
                <w:b/>
                <w:color w:val="000000"/>
                <w:sz w:val="24"/>
              </w:rPr>
            </w:pPr>
          </w:p>
        </w:tc>
        <w:tc>
          <w:tcPr>
            <w:tcW w:w="1665" w:type="dxa"/>
            <w:tcBorders>
              <w:top w:val="single" w:color="000000" w:sz="4" w:space="0"/>
              <w:left w:val="single" w:color="000000" w:sz="4" w:space="0"/>
              <w:bottom w:val="nil"/>
              <w:right w:val="single" w:color="000000" w:sz="4" w:space="0"/>
            </w:tcBorders>
            <w:shd w:val="clear" w:color="auto" w:fill="auto"/>
            <w:vAlign w:val="center"/>
          </w:tcPr>
          <w:p w14:paraId="5BE796FC">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502AE">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BC296">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9BADB">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0D5EF">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7B6F1E39">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C5C10">
            <w:pPr>
              <w:widowControl/>
              <w:spacing w:line="240" w:lineRule="exact"/>
              <w:jc w:val="center"/>
              <w:rPr>
                <w:rFonts w:hint="default" w:ascii="Times New Roman" w:hAnsi="Times New Roman" w:eastAsia="方正仿宋_GBK" w:cs="Times New Roman"/>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4614397E">
            <w:pPr>
              <w:widowControl/>
              <w:spacing w:line="240" w:lineRule="exact"/>
              <w:jc w:val="center"/>
              <w:rPr>
                <w:rFonts w:hint="default" w:ascii="Times New Roman" w:hAnsi="Times New Roman" w:eastAsia="方正仿宋_GBK"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7CF55">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6F1D1">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DD443">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B496B">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AA0B5">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0D3B9834">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73B17">
            <w:pPr>
              <w:widowControl/>
              <w:spacing w:line="240" w:lineRule="exact"/>
              <w:jc w:val="center"/>
              <w:rPr>
                <w:rFonts w:hint="default" w:ascii="Times New Roman" w:hAnsi="Times New Roman" w:eastAsia="方正仿宋_GBK" w:cs="Times New Roman"/>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C6619E">
            <w:pPr>
              <w:widowControl/>
              <w:spacing w:line="240" w:lineRule="exact"/>
              <w:jc w:val="center"/>
              <w:textAlignment w:val="center"/>
              <w:rPr>
                <w:rFonts w:hint="default" w:ascii="Times New Roman" w:hAnsi="Times New Roman" w:eastAsia="方正仿宋_GBK" w:cs="Times New Roman"/>
                <w:b/>
                <w:color w:val="000000"/>
                <w:sz w:val="24"/>
              </w:rPr>
            </w:pPr>
            <w:r>
              <w:rPr>
                <w:rFonts w:hint="default" w:ascii="Times New Roman" w:hAnsi="Times New Roman" w:eastAsia="方正仿宋_GBK" w:cs="Times New Roman"/>
                <w:b/>
                <w:color w:val="000000"/>
                <w:kern w:val="0"/>
                <w:sz w:val="24"/>
                <w:lang w:bidi="ar"/>
              </w:rPr>
              <w:t>目标实现</w:t>
            </w:r>
            <w:r>
              <w:rPr>
                <w:rFonts w:hint="default" w:ascii="Times New Roman" w:hAnsi="Times New Roman" w:eastAsia="方正仿宋_GBK" w:cs="Times New Roman"/>
                <w:b/>
                <w:color w:val="000000"/>
                <w:kern w:val="0"/>
                <w:sz w:val="24"/>
                <w:lang w:bidi="ar"/>
              </w:rPr>
              <w:br w:type="textWrapping"/>
            </w:r>
            <w:r>
              <w:rPr>
                <w:rFonts w:hint="default" w:ascii="Times New Roman" w:hAnsi="Times New Roman" w:eastAsia="方正仿宋_GBK" w:cs="Times New Roman"/>
                <w:b/>
                <w:color w:val="000000"/>
                <w:kern w:val="0"/>
                <w:sz w:val="24"/>
                <w:lang w:bidi="ar"/>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A4A7D">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C25B0">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99804">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3B5CE">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1043B">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38FDA614">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14CD1A">
            <w:pPr>
              <w:widowControl/>
              <w:spacing w:line="240" w:lineRule="exact"/>
              <w:jc w:val="center"/>
              <w:rPr>
                <w:rFonts w:hint="default" w:ascii="Times New Roman" w:hAnsi="Times New Roman" w:eastAsia="方正仿宋_GBK" w:cs="Times New Roman"/>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285571">
            <w:pPr>
              <w:widowControl/>
              <w:spacing w:line="240" w:lineRule="exact"/>
              <w:jc w:val="center"/>
              <w:rPr>
                <w:rFonts w:hint="default" w:ascii="Times New Roman" w:hAnsi="Times New Roman" w:eastAsia="方正仿宋_GBK"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CC01F">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E8A4A">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7D80C">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0BECC">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ED15A">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20DBA4D4">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A2AB01">
            <w:pPr>
              <w:widowControl/>
              <w:spacing w:line="240" w:lineRule="exact"/>
              <w:jc w:val="center"/>
              <w:rPr>
                <w:rFonts w:hint="default" w:ascii="Times New Roman" w:hAnsi="Times New Roman" w:eastAsia="方正仿宋_GBK" w:cs="Times New Roman"/>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4FFD40">
            <w:pPr>
              <w:widowControl/>
              <w:spacing w:line="240" w:lineRule="exact"/>
              <w:jc w:val="center"/>
              <w:rPr>
                <w:rFonts w:hint="default" w:ascii="Times New Roman" w:hAnsi="Times New Roman" w:eastAsia="方正仿宋_GBK"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C7AF6">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0D800">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0B3F2">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4614E">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715D7">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5B7E031D">
        <w:tblPrEx>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2F74E">
            <w:pPr>
              <w:widowControl/>
              <w:spacing w:line="240" w:lineRule="exact"/>
              <w:jc w:val="center"/>
              <w:textAlignment w:val="center"/>
              <w:rPr>
                <w:rFonts w:hint="default" w:ascii="Times New Roman" w:hAnsi="Times New Roman" w:eastAsia="方正仿宋_GBK" w:cs="Times New Roman"/>
                <w:b/>
                <w:color w:val="000000"/>
                <w:sz w:val="24"/>
              </w:rPr>
            </w:pPr>
            <w:r>
              <w:rPr>
                <w:rFonts w:hint="default" w:ascii="Times New Roman" w:hAnsi="Times New Roman" w:eastAsia="方正仿宋_GBK" w:cs="Times New Roman"/>
                <w:b/>
                <w:color w:val="000000"/>
                <w:kern w:val="0"/>
                <w:sz w:val="24"/>
                <w:lang w:bidi="ar"/>
              </w:rPr>
              <w:t>扣分项</w:t>
            </w:r>
            <w:r>
              <w:rPr>
                <w:rFonts w:hint="default" w:ascii="Times New Roman" w:hAnsi="Times New Roman" w:eastAsia="方正仿宋_GBK" w:cs="Times New Roman"/>
                <w:b/>
                <w:color w:val="000000"/>
                <w:kern w:val="0"/>
                <w:sz w:val="24"/>
                <w:lang w:bidi="ar"/>
              </w:rPr>
              <w:br w:type="textWrapping"/>
            </w:r>
            <w:r>
              <w:rPr>
                <w:rFonts w:hint="default" w:ascii="Times New Roman" w:hAnsi="Times New Roman" w:eastAsia="方正仿宋_GBK" w:cs="Times New Roman"/>
                <w:b/>
                <w:color w:val="000000"/>
                <w:kern w:val="0"/>
                <w:sz w:val="24"/>
                <w:lang w:bidi="ar"/>
              </w:rPr>
              <w:t>（10分）</w:t>
            </w:r>
          </w:p>
        </w:tc>
        <w:tc>
          <w:tcPr>
            <w:tcW w:w="3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34B114">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DA204">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1D72F">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4928F">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0</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C38D0">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bl>
    <w:p w14:paraId="6763D10F">
      <w:pPr>
        <w:pStyle w:val="16"/>
        <w:spacing w:line="20" w:lineRule="exact"/>
      </w:pPr>
    </w:p>
    <w:p w14:paraId="681BD803">
      <w:pPr>
        <w:spacing w:line="578" w:lineRule="exact"/>
        <w:jc w:val="left"/>
        <w:rPr>
          <w:rFonts w:eastAsia="黑体"/>
        </w:rPr>
      </w:pPr>
      <w:r>
        <w:rPr>
          <w:rFonts w:eastAsia="黑体"/>
        </w:rPr>
        <w:t>附表</w:t>
      </w:r>
      <w:r>
        <w:rPr>
          <w:rFonts w:hint="eastAsia" w:eastAsia="黑体"/>
        </w:rPr>
        <w:t>2</w:t>
      </w:r>
    </w:p>
    <w:tbl>
      <w:tblPr>
        <w:tblStyle w:val="12"/>
        <w:tblW w:w="10560" w:type="dxa"/>
        <w:jc w:val="center"/>
        <w:tblLayout w:type="fixed"/>
        <w:tblCellMar>
          <w:top w:w="15" w:type="dxa"/>
          <w:left w:w="15" w:type="dxa"/>
          <w:bottom w:w="15" w:type="dxa"/>
          <w:right w:w="15" w:type="dxa"/>
        </w:tblCellMar>
      </w:tblPr>
      <w:tblGrid>
        <w:gridCol w:w="1308"/>
        <w:gridCol w:w="1347"/>
        <w:gridCol w:w="1091"/>
        <w:gridCol w:w="1282"/>
        <w:gridCol w:w="1145"/>
        <w:gridCol w:w="1289"/>
        <w:gridCol w:w="1058"/>
        <w:gridCol w:w="2040"/>
      </w:tblGrid>
      <w:tr w14:paraId="3D87085B">
        <w:tblPrEx>
          <w:tblCellMar>
            <w:top w:w="15" w:type="dxa"/>
            <w:left w:w="15" w:type="dxa"/>
            <w:bottom w:w="15" w:type="dxa"/>
            <w:right w:w="15" w:type="dxa"/>
          </w:tblCellMar>
        </w:tblPrEx>
        <w:trPr>
          <w:trHeight w:val="762" w:hRule="exact"/>
          <w:jc w:val="center"/>
        </w:trPr>
        <w:tc>
          <w:tcPr>
            <w:tcW w:w="10560" w:type="dxa"/>
            <w:gridSpan w:val="8"/>
            <w:shd w:val="clear" w:color="auto" w:fill="auto"/>
            <w:vAlign w:val="center"/>
          </w:tcPr>
          <w:p w14:paraId="762737EE">
            <w:pPr>
              <w:widowControl/>
              <w:spacing w:line="600" w:lineRule="exact"/>
              <w:jc w:val="center"/>
              <w:textAlignment w:val="center"/>
              <w:rPr>
                <w:rFonts w:eastAsia="黑体"/>
                <w:color w:val="000000"/>
                <w:sz w:val="28"/>
                <w:szCs w:val="28"/>
              </w:rPr>
            </w:pPr>
            <w:r>
              <w:rPr>
                <w:rFonts w:eastAsia="方正小标宋简体"/>
                <w:color w:val="000000"/>
                <w:kern w:val="0"/>
                <w:sz w:val="44"/>
                <w:szCs w:val="44"/>
                <w:lang w:bidi="ar"/>
              </w:rPr>
              <w:t>部门整体绩效目标完成情况自评表</w:t>
            </w:r>
          </w:p>
        </w:tc>
      </w:tr>
      <w:tr w14:paraId="44FD5253">
        <w:tblPrEx>
          <w:tblCellMar>
            <w:top w:w="15" w:type="dxa"/>
            <w:left w:w="15" w:type="dxa"/>
            <w:bottom w:w="15" w:type="dxa"/>
            <w:right w:w="15" w:type="dxa"/>
          </w:tblCellMar>
        </w:tblPrEx>
        <w:trPr>
          <w:trHeight w:val="23" w:hRule="atLeast"/>
          <w:jc w:val="center"/>
        </w:trPr>
        <w:tc>
          <w:tcPr>
            <w:tcW w:w="10560" w:type="dxa"/>
            <w:gridSpan w:val="8"/>
            <w:shd w:val="clear" w:color="auto" w:fill="auto"/>
            <w:vAlign w:val="center"/>
          </w:tcPr>
          <w:p w14:paraId="5AAF5A51">
            <w:pPr>
              <w:widowControl/>
              <w:spacing w:line="300" w:lineRule="exact"/>
              <w:jc w:val="center"/>
              <w:textAlignment w:val="center"/>
              <w:rPr>
                <w:rFonts w:eastAsia="宋体"/>
                <w:color w:val="000000"/>
                <w:sz w:val="28"/>
                <w:szCs w:val="28"/>
              </w:rPr>
            </w:pPr>
            <w:r>
              <w:rPr>
                <w:rFonts w:eastAsia="宋体"/>
                <w:color w:val="000000"/>
                <w:kern w:val="0"/>
                <w:sz w:val="28"/>
                <w:szCs w:val="28"/>
                <w:lang w:bidi="ar"/>
              </w:rPr>
              <w:t>（202</w:t>
            </w:r>
            <w:r>
              <w:rPr>
                <w:rFonts w:hint="eastAsia" w:eastAsia="宋体"/>
                <w:color w:val="000000"/>
                <w:kern w:val="0"/>
                <w:sz w:val="28"/>
                <w:szCs w:val="28"/>
                <w:lang w:val="en-US" w:eastAsia="zh-CN" w:bidi="ar"/>
              </w:rPr>
              <w:t>5</w:t>
            </w:r>
            <w:r>
              <w:rPr>
                <w:rFonts w:eastAsia="宋体"/>
                <w:color w:val="000000"/>
                <w:kern w:val="0"/>
                <w:sz w:val="28"/>
                <w:szCs w:val="28"/>
                <w:lang w:bidi="ar"/>
              </w:rPr>
              <w:t>年度）</w:t>
            </w:r>
          </w:p>
        </w:tc>
      </w:tr>
      <w:tr w14:paraId="7EB86A7A">
        <w:tblPrEx>
          <w:tblCellMar>
            <w:top w:w="15" w:type="dxa"/>
            <w:left w:w="15" w:type="dxa"/>
            <w:bottom w:w="15" w:type="dxa"/>
            <w:right w:w="15" w:type="dxa"/>
          </w:tblCellMar>
        </w:tblPrEx>
        <w:trPr>
          <w:trHeight w:val="23" w:hRule="atLeast"/>
          <w:jc w:val="center"/>
        </w:trPr>
        <w:tc>
          <w:tcPr>
            <w:tcW w:w="10560" w:type="dxa"/>
            <w:gridSpan w:val="8"/>
            <w:tcBorders>
              <w:bottom w:val="single" w:color="000000" w:sz="4" w:space="0"/>
            </w:tcBorders>
            <w:shd w:val="clear" w:color="auto" w:fill="auto"/>
            <w:vAlign w:val="center"/>
          </w:tcPr>
          <w:p w14:paraId="56B92F40">
            <w:pPr>
              <w:widowControl/>
              <w:spacing w:line="300" w:lineRule="exact"/>
              <w:jc w:val="right"/>
              <w:textAlignment w:val="center"/>
              <w:rPr>
                <w:rFonts w:eastAsia="宋体"/>
                <w:color w:val="000000"/>
                <w:sz w:val="21"/>
                <w:szCs w:val="21"/>
              </w:rPr>
            </w:pPr>
            <w:r>
              <w:rPr>
                <w:rFonts w:eastAsia="宋体"/>
                <w:color w:val="000000"/>
                <w:kern w:val="0"/>
                <w:sz w:val="21"/>
                <w:szCs w:val="21"/>
                <w:lang w:bidi="ar"/>
              </w:rPr>
              <w:t>单位：万元</w:t>
            </w:r>
          </w:p>
        </w:tc>
      </w:tr>
      <w:tr w14:paraId="1F64F2AD">
        <w:tblPrEx>
          <w:tblCellMar>
            <w:top w:w="15" w:type="dxa"/>
            <w:left w:w="15" w:type="dxa"/>
            <w:bottom w:w="15" w:type="dxa"/>
            <w:right w:w="15" w:type="dxa"/>
          </w:tblCellMar>
        </w:tblPrEx>
        <w:trPr>
          <w:trHeight w:val="23" w:hRule="atLeast"/>
          <w:jc w:val="center"/>
        </w:trPr>
        <w:tc>
          <w:tcPr>
            <w:tcW w:w="37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A0BC72">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default" w:ascii="Times New Roman" w:hAnsi="Times New Roman" w:eastAsia="方正仿宋_GBK" w:cs="Times New Roman"/>
                <w:color w:val="000000"/>
                <w:sz w:val="24"/>
              </w:rPr>
            </w:pPr>
            <w:bookmarkStart w:id="1" w:name="_GoBack"/>
            <w:r>
              <w:rPr>
                <w:rFonts w:hint="default" w:ascii="Times New Roman" w:hAnsi="Times New Roman" w:eastAsia="方正仿宋_GBK" w:cs="Times New Roman"/>
                <w:color w:val="000000"/>
                <w:kern w:val="0"/>
                <w:sz w:val="24"/>
                <w:lang w:bidi="ar"/>
              </w:rPr>
              <w:t>部门名称</w:t>
            </w:r>
          </w:p>
        </w:tc>
        <w:tc>
          <w:tcPr>
            <w:tcW w:w="68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00B3A5">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攀枝花市西区财政绩效评价中心</w:t>
            </w:r>
          </w:p>
        </w:tc>
      </w:tr>
      <w:tr w14:paraId="2A688E1B">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8F5038">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年度部门整体支出预算</w:t>
            </w:r>
          </w:p>
        </w:tc>
        <w:tc>
          <w:tcPr>
            <w:tcW w:w="24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744F76">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资金总额</w:t>
            </w:r>
          </w:p>
        </w:tc>
        <w:tc>
          <w:tcPr>
            <w:tcW w:w="2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479F68">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财政拨款</w:t>
            </w:r>
          </w:p>
        </w:tc>
        <w:tc>
          <w:tcPr>
            <w:tcW w:w="43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9137A5">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其他资金</w:t>
            </w:r>
          </w:p>
        </w:tc>
      </w:tr>
      <w:tr w14:paraId="39D055FF">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30ED9C">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p>
        </w:tc>
        <w:tc>
          <w:tcPr>
            <w:tcW w:w="24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471DC5">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default" w:ascii="Times New Roman" w:hAnsi="Times New Roman" w:eastAsia="方正仿宋_GBK" w:cs="Times New Roman"/>
                <w:color w:val="000000"/>
                <w:sz w:val="24"/>
                <w:lang w:val="en-US" w:eastAsia="zh-CN"/>
              </w:rPr>
            </w:pPr>
            <w:r>
              <w:rPr>
                <w:rFonts w:hint="default" w:ascii="Times New Roman" w:hAnsi="Times New Roman" w:eastAsia="方正仿宋_GBK" w:cs="Times New Roman"/>
                <w:color w:val="000000"/>
                <w:kern w:val="0"/>
                <w:sz w:val="24"/>
                <w:lang w:val="en-US" w:eastAsia="zh-CN" w:bidi="ar"/>
              </w:rPr>
              <w:t>116.81</w:t>
            </w:r>
          </w:p>
        </w:tc>
        <w:tc>
          <w:tcPr>
            <w:tcW w:w="2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48F872">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default" w:ascii="Times New Roman" w:hAnsi="Times New Roman" w:eastAsia="方正仿宋_GBK" w:cs="Times New Roman"/>
                <w:color w:val="000000"/>
                <w:sz w:val="24"/>
                <w:lang w:val="en-US" w:eastAsia="zh-CN"/>
              </w:rPr>
            </w:pPr>
            <w:r>
              <w:rPr>
                <w:rFonts w:hint="default" w:ascii="Times New Roman" w:hAnsi="Times New Roman" w:eastAsia="方正仿宋_GBK" w:cs="Times New Roman"/>
                <w:color w:val="000000"/>
                <w:kern w:val="0"/>
                <w:sz w:val="24"/>
                <w:lang w:val="en-US" w:eastAsia="zh-CN" w:bidi="ar"/>
              </w:rPr>
              <w:t>116.81</w:t>
            </w:r>
          </w:p>
        </w:tc>
        <w:tc>
          <w:tcPr>
            <w:tcW w:w="43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17F52F">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default" w:ascii="Times New Roman" w:hAnsi="Times New Roman" w:eastAsia="方正仿宋_GBK" w:cs="Times New Roman"/>
                <w:color w:val="000000"/>
                <w:sz w:val="24"/>
                <w:lang w:eastAsia="zh-CN"/>
              </w:rPr>
            </w:pPr>
            <w:r>
              <w:rPr>
                <w:rFonts w:hint="default" w:ascii="Times New Roman" w:hAnsi="Times New Roman" w:eastAsia="方正仿宋_GBK" w:cs="Times New Roman"/>
                <w:color w:val="000000"/>
                <w:kern w:val="0"/>
                <w:sz w:val="24"/>
                <w:lang w:val="en-US" w:eastAsia="zh-CN" w:bidi="ar"/>
              </w:rPr>
              <w:t>0</w:t>
            </w:r>
          </w:p>
        </w:tc>
      </w:tr>
      <w:tr w14:paraId="4B2A6BD5">
        <w:tblPrEx>
          <w:tblCellMar>
            <w:top w:w="15" w:type="dxa"/>
            <w:left w:w="15" w:type="dxa"/>
            <w:bottom w:w="15" w:type="dxa"/>
            <w:right w:w="15" w:type="dxa"/>
          </w:tblCellMar>
        </w:tblPrEx>
        <w:trPr>
          <w:trHeight w:val="23" w:hRule="atLeast"/>
          <w:jc w:val="center"/>
        </w:trPr>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9B8A6">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default" w:ascii="Times New Roman" w:hAnsi="Times New Roman" w:eastAsia="方正仿宋_GBK" w:cs="Times New Roman"/>
                <w:color w:val="000000"/>
                <w:kern w:val="0"/>
                <w:sz w:val="24"/>
                <w:lang w:bidi="ar"/>
              </w:rPr>
            </w:pPr>
            <w:r>
              <w:rPr>
                <w:rFonts w:hint="default" w:ascii="Times New Roman" w:hAnsi="Times New Roman" w:eastAsia="方正仿宋_GBK" w:cs="Times New Roman"/>
                <w:color w:val="000000"/>
                <w:kern w:val="0"/>
                <w:sz w:val="24"/>
                <w:lang w:bidi="ar"/>
              </w:rPr>
              <w:t>年度总体</w:t>
            </w:r>
          </w:p>
          <w:p w14:paraId="2EC9345A">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目标</w:t>
            </w:r>
          </w:p>
        </w:tc>
        <w:tc>
          <w:tcPr>
            <w:tcW w:w="925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16EAA13">
            <w:pPr>
              <w:keepNext w:val="0"/>
              <w:keepLines w:val="0"/>
              <w:pageBreakBefore w:val="0"/>
              <w:widowControl/>
              <w:kinsoku/>
              <w:wordWrap/>
              <w:overflowPunct/>
              <w:topLinePunct w:val="0"/>
              <w:autoSpaceDE/>
              <w:autoSpaceDN/>
              <w:bidi w:val="0"/>
              <w:adjustRightInd/>
              <w:snapToGrid/>
              <w:spacing w:line="0" w:lineRule="atLeas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val="en-US" w:eastAsia="zh-CN" w:bidi="ar"/>
              </w:rPr>
              <w:t>1.</w:t>
            </w:r>
            <w:r>
              <w:rPr>
                <w:rFonts w:hint="default" w:ascii="Times New Roman" w:hAnsi="Times New Roman" w:eastAsia="方正仿宋_GBK" w:cs="Times New Roman"/>
                <w:color w:val="000000"/>
                <w:kern w:val="0"/>
                <w:sz w:val="24"/>
                <w:lang w:bidi="ar"/>
              </w:rPr>
              <w:t>严格执行相关政策，保障工资及时、足额发放或社保及时、足额缴纳，保障单位日常运转。</w:t>
            </w:r>
            <w:r>
              <w:rPr>
                <w:rFonts w:hint="default" w:ascii="Times New Roman" w:hAnsi="Times New Roman" w:eastAsia="方正仿宋_GBK" w:cs="Times New Roman"/>
                <w:color w:val="000000"/>
                <w:kern w:val="0"/>
                <w:sz w:val="24"/>
                <w:lang w:val="en-US" w:eastAsia="zh-CN" w:bidi="ar"/>
              </w:rPr>
              <w:t>2.</w:t>
            </w:r>
            <w:r>
              <w:rPr>
                <w:rFonts w:hint="default" w:ascii="Times New Roman" w:hAnsi="Times New Roman" w:eastAsia="方正仿宋_GBK" w:cs="Times New Roman"/>
                <w:color w:val="000000"/>
                <w:kern w:val="0"/>
                <w:sz w:val="24"/>
                <w:lang w:bidi="ar"/>
              </w:rPr>
              <w:t>按照中央、省、市文件精神和区财政工作安排，积极开展各项监督检查，突出有效性监督，全面提升财政监督能力和成效。</w:t>
            </w:r>
            <w:r>
              <w:rPr>
                <w:rFonts w:hint="default" w:ascii="Times New Roman" w:hAnsi="Times New Roman" w:eastAsia="方正仿宋_GBK" w:cs="Times New Roman"/>
                <w:color w:val="000000"/>
                <w:kern w:val="0"/>
                <w:sz w:val="24"/>
                <w:lang w:val="en-US" w:eastAsia="zh-CN" w:bidi="ar"/>
              </w:rPr>
              <w:t>3.</w:t>
            </w:r>
            <w:r>
              <w:rPr>
                <w:rFonts w:hint="default" w:ascii="Times New Roman" w:hAnsi="Times New Roman" w:eastAsia="方正仿宋_GBK" w:cs="Times New Roman"/>
                <w:color w:val="000000"/>
                <w:kern w:val="0"/>
                <w:sz w:val="24"/>
                <w:lang w:bidi="ar"/>
              </w:rPr>
              <w:t>组织职工参加业务及管理能力提升等培训。</w:t>
            </w:r>
          </w:p>
        </w:tc>
      </w:tr>
      <w:tr w14:paraId="31888050">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F37916">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default" w:ascii="Times New Roman" w:hAnsi="Times New Roman" w:eastAsia="方正仿宋_GBK" w:cs="Times New Roman"/>
                <w:color w:val="000000"/>
                <w:kern w:val="0"/>
                <w:sz w:val="24"/>
                <w:lang w:bidi="ar"/>
              </w:rPr>
            </w:pPr>
            <w:r>
              <w:rPr>
                <w:rFonts w:hint="default" w:ascii="Times New Roman" w:hAnsi="Times New Roman" w:eastAsia="方正仿宋_GBK" w:cs="Times New Roman"/>
                <w:color w:val="000000"/>
                <w:kern w:val="0"/>
                <w:sz w:val="24"/>
                <w:lang w:bidi="ar"/>
              </w:rPr>
              <w:t>年度主要</w:t>
            </w:r>
          </w:p>
          <w:p w14:paraId="2BAE41FD">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任务</w:t>
            </w:r>
          </w:p>
        </w:tc>
        <w:tc>
          <w:tcPr>
            <w:tcW w:w="24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01C2D9">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任务名称</w:t>
            </w:r>
          </w:p>
        </w:tc>
        <w:tc>
          <w:tcPr>
            <w:tcW w:w="68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41387C">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主要内容</w:t>
            </w:r>
          </w:p>
        </w:tc>
      </w:tr>
      <w:tr w14:paraId="4A91C27F">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0CE01E">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p>
        </w:tc>
        <w:tc>
          <w:tcPr>
            <w:tcW w:w="24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9D9B5C">
            <w:pPr>
              <w:keepNext w:val="0"/>
              <w:keepLines w:val="0"/>
              <w:pageBreakBefore w:val="0"/>
              <w:widowControl/>
              <w:kinsoku/>
              <w:wordWrap/>
              <w:overflowPunct/>
              <w:topLinePunct w:val="0"/>
              <w:autoSpaceDE/>
              <w:autoSpaceDN/>
              <w:bidi w:val="0"/>
              <w:adjustRightInd/>
              <w:snapToGrid/>
              <w:spacing w:line="0" w:lineRule="atLeas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基本支出</w:t>
            </w:r>
          </w:p>
        </w:tc>
        <w:tc>
          <w:tcPr>
            <w:tcW w:w="68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DC9CE92">
            <w:pPr>
              <w:keepNext w:val="0"/>
              <w:keepLines w:val="0"/>
              <w:pageBreakBefore w:val="0"/>
              <w:widowControl/>
              <w:kinsoku/>
              <w:wordWrap/>
              <w:overflowPunct/>
              <w:topLinePunct w:val="0"/>
              <w:autoSpaceDE/>
              <w:autoSpaceDN/>
              <w:bidi w:val="0"/>
              <w:adjustRightInd/>
              <w:snapToGrid/>
              <w:spacing w:line="0" w:lineRule="atLeas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保证机关日常正常运转，加强业务培训，提高职工素质。</w:t>
            </w:r>
          </w:p>
        </w:tc>
      </w:tr>
      <w:tr w14:paraId="3F30ECE6">
        <w:tblPrEx>
          <w:tblCellMar>
            <w:top w:w="15" w:type="dxa"/>
            <w:left w:w="15" w:type="dxa"/>
            <w:bottom w:w="15" w:type="dxa"/>
            <w:right w:w="15" w:type="dxa"/>
          </w:tblCellMar>
        </w:tblPrEx>
        <w:trPr>
          <w:trHeight w:val="1514"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C997A1">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p>
        </w:tc>
        <w:tc>
          <w:tcPr>
            <w:tcW w:w="24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1C0DBA">
            <w:pPr>
              <w:keepNext w:val="0"/>
              <w:keepLines w:val="0"/>
              <w:pageBreakBefore w:val="0"/>
              <w:widowControl/>
              <w:kinsoku/>
              <w:wordWrap/>
              <w:overflowPunct/>
              <w:topLinePunct w:val="0"/>
              <w:autoSpaceDE/>
              <w:autoSpaceDN/>
              <w:bidi w:val="0"/>
              <w:adjustRightInd/>
              <w:snapToGrid/>
              <w:spacing w:line="0" w:lineRule="atLeast"/>
              <w:jc w:val="left"/>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财政监督检查业务</w:t>
            </w:r>
          </w:p>
        </w:tc>
        <w:tc>
          <w:tcPr>
            <w:tcW w:w="68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F017EBA">
            <w:pPr>
              <w:keepNext w:val="0"/>
              <w:keepLines w:val="0"/>
              <w:pageBreakBefore w:val="0"/>
              <w:widowControl/>
              <w:kinsoku/>
              <w:wordWrap/>
              <w:overflowPunct/>
              <w:topLinePunct w:val="0"/>
              <w:autoSpaceDE/>
              <w:autoSpaceDN/>
              <w:bidi w:val="0"/>
              <w:adjustRightInd/>
              <w:snapToGrid/>
              <w:spacing w:line="0" w:lineRule="atLeast"/>
              <w:jc w:val="left"/>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 xml:space="preserve">按照中央、省、市文件精神和区财政工作安排，积极开展各项监督检查，突出有效性监督，全面提升财政监督能力和成效，及时反映财政管理方面的问题，更加规范单位财务管理，保障财政资金安全，营造廉洁勤政氛围。 </w:t>
            </w:r>
          </w:p>
        </w:tc>
      </w:tr>
      <w:tr w14:paraId="48E1ED23">
        <w:tblPrEx>
          <w:tblCellMar>
            <w:top w:w="15" w:type="dxa"/>
            <w:left w:w="15" w:type="dxa"/>
            <w:bottom w:w="15" w:type="dxa"/>
            <w:right w:w="15" w:type="dxa"/>
          </w:tblCellMar>
        </w:tblPrEx>
        <w:trPr>
          <w:trHeight w:val="23" w:hRule="atLeast"/>
          <w:jc w:val="center"/>
        </w:trPr>
        <w:tc>
          <w:tcPr>
            <w:tcW w:w="130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F9067A8">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default" w:ascii="Times New Roman" w:hAnsi="Times New Roman" w:eastAsia="方正仿宋_GBK" w:cs="Times New Roman"/>
                <w:color w:val="000000"/>
                <w:kern w:val="0"/>
                <w:sz w:val="24"/>
                <w:lang w:bidi="ar"/>
              </w:rPr>
            </w:pPr>
            <w:r>
              <w:rPr>
                <w:rFonts w:hint="default" w:ascii="Times New Roman" w:hAnsi="Times New Roman" w:eastAsia="方正仿宋_GBK" w:cs="Times New Roman"/>
                <w:color w:val="000000"/>
                <w:kern w:val="0"/>
                <w:sz w:val="24"/>
                <w:lang w:bidi="ar"/>
              </w:rPr>
              <w:t>年度绩效</w:t>
            </w:r>
          </w:p>
          <w:p w14:paraId="4FCF1670">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指标</w:t>
            </w:r>
          </w:p>
        </w:tc>
        <w:tc>
          <w:tcPr>
            <w:tcW w:w="1347" w:type="dxa"/>
            <w:tcBorders>
              <w:top w:val="single" w:color="auto" w:sz="4" w:space="0"/>
              <w:left w:val="single" w:color="auto" w:sz="4" w:space="0"/>
              <w:bottom w:val="single" w:color="auto" w:sz="4" w:space="0"/>
              <w:right w:val="single" w:color="auto" w:sz="4" w:space="0"/>
            </w:tcBorders>
            <w:shd w:val="clear" w:color="auto" w:fill="auto"/>
            <w:vAlign w:val="center"/>
          </w:tcPr>
          <w:p w14:paraId="69C2934B">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一级指标</w:t>
            </w:r>
          </w:p>
        </w:tc>
        <w:tc>
          <w:tcPr>
            <w:tcW w:w="1091" w:type="dxa"/>
            <w:tcBorders>
              <w:top w:val="single" w:color="auto" w:sz="4" w:space="0"/>
              <w:left w:val="single" w:color="auto" w:sz="4" w:space="0"/>
              <w:bottom w:val="single" w:color="auto" w:sz="4" w:space="0"/>
              <w:right w:val="single" w:color="auto" w:sz="4" w:space="0"/>
            </w:tcBorders>
            <w:shd w:val="clear" w:color="auto" w:fill="auto"/>
            <w:vAlign w:val="center"/>
          </w:tcPr>
          <w:p w14:paraId="3D3AFE4A">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二级指标</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0C57C6A7">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三级指标</w:t>
            </w:r>
          </w:p>
        </w:tc>
        <w:tc>
          <w:tcPr>
            <w:tcW w:w="1145" w:type="dxa"/>
            <w:tcBorders>
              <w:top w:val="single" w:color="000000" w:sz="4" w:space="0"/>
              <w:left w:val="single" w:color="auto" w:sz="4" w:space="0"/>
              <w:bottom w:val="single" w:color="000000" w:sz="4" w:space="0"/>
              <w:right w:val="single" w:color="000000" w:sz="4" w:space="0"/>
            </w:tcBorders>
            <w:shd w:val="clear" w:color="auto" w:fill="auto"/>
            <w:vAlign w:val="center"/>
          </w:tcPr>
          <w:p w14:paraId="27835835">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default" w:ascii="Times New Roman" w:hAnsi="Times New Roman" w:eastAsia="方正仿宋_GBK" w:cs="Times New Roman"/>
                <w:color w:val="000000"/>
                <w:kern w:val="0"/>
                <w:sz w:val="24"/>
                <w:lang w:bidi="ar"/>
              </w:rPr>
            </w:pPr>
            <w:r>
              <w:rPr>
                <w:rFonts w:hint="default" w:ascii="Times New Roman" w:hAnsi="Times New Roman" w:eastAsia="方正仿宋_GBK" w:cs="Times New Roman"/>
                <w:color w:val="000000"/>
                <w:kern w:val="0"/>
                <w:sz w:val="24"/>
                <w:lang w:bidi="ar"/>
              </w:rPr>
              <w:t>绩效指标</w:t>
            </w:r>
          </w:p>
          <w:p w14:paraId="60086807">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04752">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D5657">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绩效度量单位</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2327E">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default" w:ascii="Times New Roman" w:hAnsi="Times New Roman" w:eastAsia="方正仿宋_GBK" w:cs="Times New Roman"/>
                <w:color w:val="000000"/>
                <w:kern w:val="0"/>
                <w:sz w:val="24"/>
                <w:lang w:bidi="ar"/>
              </w:rPr>
            </w:pPr>
            <w:r>
              <w:rPr>
                <w:rFonts w:hint="default" w:ascii="Times New Roman" w:hAnsi="Times New Roman" w:eastAsia="方正仿宋_GBK" w:cs="Times New Roman"/>
                <w:color w:val="000000"/>
                <w:kern w:val="0"/>
                <w:sz w:val="24"/>
                <w:lang w:bidi="ar"/>
              </w:rPr>
              <w:t>实际完成</w:t>
            </w:r>
          </w:p>
          <w:p w14:paraId="58AD8018">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指标值</w:t>
            </w:r>
          </w:p>
        </w:tc>
      </w:tr>
      <w:tr w14:paraId="2B1169CD">
        <w:tblPrEx>
          <w:tblCellMar>
            <w:top w:w="15" w:type="dxa"/>
            <w:left w:w="15" w:type="dxa"/>
            <w:bottom w:w="15" w:type="dxa"/>
            <w:right w:w="15" w:type="dxa"/>
          </w:tblCellMar>
        </w:tblPrEx>
        <w:trPr>
          <w:trHeight w:val="789"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F587A73">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p>
        </w:tc>
        <w:tc>
          <w:tcPr>
            <w:tcW w:w="134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F864427">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产出指标</w:t>
            </w:r>
          </w:p>
        </w:tc>
        <w:tc>
          <w:tcPr>
            <w:tcW w:w="109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849C828">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数量指标</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5FC1E8DC">
            <w:pPr>
              <w:keepNext w:val="0"/>
              <w:keepLines w:val="0"/>
              <w:pageBreakBefore w:val="0"/>
              <w:widowControl/>
              <w:kinsoku/>
              <w:wordWrap/>
              <w:overflowPunct/>
              <w:topLinePunct w:val="0"/>
              <w:autoSpaceDE/>
              <w:autoSpaceDN/>
              <w:bidi w:val="0"/>
              <w:adjustRightInd/>
              <w:snapToGrid/>
              <w:spacing w:line="0" w:lineRule="atLeas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发放（缴纳）覆盖率</w:t>
            </w:r>
          </w:p>
        </w:tc>
        <w:tc>
          <w:tcPr>
            <w:tcW w:w="1145" w:type="dxa"/>
            <w:tcBorders>
              <w:top w:val="single" w:color="000000" w:sz="4" w:space="0"/>
              <w:left w:val="single" w:color="auto" w:sz="4" w:space="0"/>
              <w:bottom w:val="single" w:color="000000" w:sz="4" w:space="0"/>
              <w:right w:val="single" w:color="000000" w:sz="4" w:space="0"/>
            </w:tcBorders>
            <w:shd w:val="clear" w:color="auto" w:fill="auto"/>
            <w:vAlign w:val="center"/>
          </w:tcPr>
          <w:p w14:paraId="1A0CB604">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13B57">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3767C">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77F3A">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default" w:ascii="Times New Roman" w:hAnsi="Times New Roman" w:eastAsia="方正仿宋_GBK" w:cs="Times New Roman"/>
                <w:color w:val="000000"/>
                <w:sz w:val="24"/>
                <w:lang w:val="en-US" w:eastAsia="zh-CN"/>
              </w:rPr>
            </w:pPr>
            <w:r>
              <w:rPr>
                <w:rFonts w:hint="default" w:ascii="Times New Roman" w:hAnsi="Times New Roman" w:eastAsia="方正仿宋_GBK" w:cs="Times New Roman"/>
                <w:color w:val="000000"/>
                <w:kern w:val="0"/>
                <w:sz w:val="24"/>
                <w:lang w:val="en-US" w:eastAsia="zh-CN" w:bidi="ar"/>
              </w:rPr>
              <w:t>100</w:t>
            </w:r>
          </w:p>
        </w:tc>
      </w:tr>
      <w:tr w14:paraId="024A4AA4">
        <w:tblPrEx>
          <w:tblCellMar>
            <w:top w:w="15" w:type="dxa"/>
            <w:left w:w="15" w:type="dxa"/>
            <w:bottom w:w="15" w:type="dxa"/>
            <w:right w:w="15" w:type="dxa"/>
          </w:tblCellMar>
        </w:tblPrEx>
        <w:trPr>
          <w:trHeight w:val="23"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CBB7C68">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95965E0">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p>
        </w:tc>
        <w:tc>
          <w:tcPr>
            <w:tcW w:w="109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D59353B">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38835FF7">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科目调整次数</w:t>
            </w:r>
          </w:p>
        </w:tc>
        <w:tc>
          <w:tcPr>
            <w:tcW w:w="1145" w:type="dxa"/>
            <w:tcBorders>
              <w:top w:val="single" w:color="000000" w:sz="4" w:space="0"/>
              <w:left w:val="single" w:color="auto" w:sz="4" w:space="0"/>
              <w:bottom w:val="single" w:color="000000" w:sz="4" w:space="0"/>
              <w:right w:val="single" w:color="000000" w:sz="4" w:space="0"/>
            </w:tcBorders>
            <w:shd w:val="clear" w:color="auto" w:fill="auto"/>
            <w:vAlign w:val="center"/>
          </w:tcPr>
          <w:p w14:paraId="19689845">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74B0A">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lang w:val="en-US" w:eastAsia="zh-CN"/>
              </w:rPr>
              <w:t>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14D7E">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lang w:eastAsia="zh-CN"/>
              </w:rPr>
              <w:t>次</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C7465">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lang w:val="en-US" w:eastAsia="zh-CN"/>
              </w:rPr>
            </w:pPr>
            <w:r>
              <w:rPr>
                <w:rFonts w:hint="default" w:ascii="Times New Roman" w:hAnsi="Times New Roman" w:eastAsia="方正仿宋_GBK" w:cs="Times New Roman"/>
                <w:color w:val="000000"/>
                <w:sz w:val="24"/>
                <w:lang w:val="en-US" w:eastAsia="zh-CN"/>
              </w:rPr>
              <w:t>3</w:t>
            </w:r>
          </w:p>
        </w:tc>
      </w:tr>
      <w:tr w14:paraId="53A20D05">
        <w:tblPrEx>
          <w:tblCellMar>
            <w:top w:w="15" w:type="dxa"/>
            <w:left w:w="15" w:type="dxa"/>
            <w:bottom w:w="15" w:type="dxa"/>
            <w:right w:w="15" w:type="dxa"/>
          </w:tblCellMar>
        </w:tblPrEx>
        <w:trPr>
          <w:trHeight w:val="23"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744AC8A">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FE2C8A6">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p>
        </w:tc>
        <w:tc>
          <w:tcPr>
            <w:tcW w:w="109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50DF3C4">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74DC3672">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开展检查次数</w:t>
            </w:r>
          </w:p>
        </w:tc>
        <w:tc>
          <w:tcPr>
            <w:tcW w:w="1145" w:type="dxa"/>
            <w:tcBorders>
              <w:top w:val="single" w:color="000000" w:sz="4" w:space="0"/>
              <w:left w:val="single" w:color="auto" w:sz="4" w:space="0"/>
              <w:bottom w:val="single" w:color="000000" w:sz="4" w:space="0"/>
              <w:right w:val="single" w:color="000000" w:sz="4" w:space="0"/>
            </w:tcBorders>
            <w:shd w:val="clear" w:color="auto" w:fill="auto"/>
            <w:vAlign w:val="center"/>
          </w:tcPr>
          <w:p w14:paraId="23122A6C">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89A89">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lang w:val="en-US" w:eastAsia="zh-CN"/>
              </w:rPr>
              <w:t>3</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B819B">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lang w:eastAsia="zh-CN"/>
              </w:rPr>
              <w:t>次</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3D6F5">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lang w:val="en-US" w:eastAsia="zh-CN"/>
              </w:rPr>
            </w:pPr>
            <w:r>
              <w:rPr>
                <w:rFonts w:hint="default" w:ascii="Times New Roman" w:hAnsi="Times New Roman" w:eastAsia="方正仿宋_GBK" w:cs="Times New Roman"/>
                <w:color w:val="000000"/>
                <w:sz w:val="24"/>
                <w:lang w:val="en-US" w:eastAsia="zh-CN"/>
              </w:rPr>
              <w:t>12</w:t>
            </w:r>
          </w:p>
        </w:tc>
      </w:tr>
      <w:tr w14:paraId="47D8FC40">
        <w:tblPrEx>
          <w:tblCellMar>
            <w:top w:w="15" w:type="dxa"/>
            <w:left w:w="15" w:type="dxa"/>
            <w:bottom w:w="15" w:type="dxa"/>
            <w:right w:w="15" w:type="dxa"/>
          </w:tblCellMar>
        </w:tblPrEx>
        <w:trPr>
          <w:trHeight w:val="23"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AAC0DE4">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626435F">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p>
        </w:tc>
        <w:tc>
          <w:tcPr>
            <w:tcW w:w="1091" w:type="dxa"/>
            <w:tcBorders>
              <w:top w:val="single" w:color="auto" w:sz="4" w:space="0"/>
              <w:left w:val="single" w:color="auto" w:sz="4" w:space="0"/>
              <w:bottom w:val="single" w:color="auto" w:sz="4" w:space="0"/>
              <w:right w:val="single" w:color="auto" w:sz="4" w:space="0"/>
            </w:tcBorders>
            <w:shd w:val="clear" w:color="auto" w:fill="auto"/>
            <w:vAlign w:val="center"/>
          </w:tcPr>
          <w:p w14:paraId="75B1AEB4">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质量指标</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24810DA6">
            <w:pPr>
              <w:keepNext w:val="0"/>
              <w:keepLines w:val="0"/>
              <w:pageBreakBefore w:val="0"/>
              <w:widowControl/>
              <w:kinsoku/>
              <w:wordWrap/>
              <w:overflowPunct/>
              <w:topLinePunct w:val="0"/>
              <w:autoSpaceDE/>
              <w:autoSpaceDN/>
              <w:bidi w:val="0"/>
              <w:adjustRightInd/>
              <w:snapToGrid/>
              <w:spacing w:line="0" w:lineRule="atLeast"/>
              <w:jc w:val="left"/>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预算编制准确率</w:t>
            </w:r>
          </w:p>
        </w:tc>
        <w:tc>
          <w:tcPr>
            <w:tcW w:w="1145" w:type="dxa"/>
            <w:tcBorders>
              <w:top w:val="single" w:color="000000" w:sz="4" w:space="0"/>
              <w:left w:val="single" w:color="auto" w:sz="4" w:space="0"/>
              <w:bottom w:val="single" w:color="000000" w:sz="4" w:space="0"/>
              <w:right w:val="single" w:color="000000" w:sz="4" w:space="0"/>
            </w:tcBorders>
            <w:shd w:val="clear" w:color="auto" w:fill="auto"/>
            <w:vAlign w:val="center"/>
          </w:tcPr>
          <w:p w14:paraId="109DEBC9">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F5235">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lang w:val="en-US" w:eastAsia="zh-CN"/>
              </w:rPr>
            </w:pPr>
            <w:r>
              <w:rPr>
                <w:rFonts w:hint="default" w:ascii="Times New Roman" w:hAnsi="Times New Roman" w:eastAsia="方正仿宋_GBK" w:cs="Times New Roman"/>
                <w:color w:val="000000"/>
                <w:sz w:val="24"/>
                <w:lang w:val="en-US" w:eastAsia="zh-CN"/>
              </w:rPr>
              <w:t>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821BF">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12101">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lang w:val="en-US" w:eastAsia="zh-CN"/>
              </w:rPr>
            </w:pPr>
            <w:r>
              <w:rPr>
                <w:rFonts w:hint="default" w:ascii="Times New Roman" w:hAnsi="Times New Roman" w:eastAsia="方正仿宋_GBK" w:cs="Times New Roman"/>
                <w:color w:val="000000"/>
                <w:sz w:val="24"/>
                <w:lang w:val="en-US" w:eastAsia="zh-CN"/>
              </w:rPr>
              <w:t>0</w:t>
            </w:r>
          </w:p>
        </w:tc>
      </w:tr>
      <w:tr w14:paraId="3A7A7E0C">
        <w:tblPrEx>
          <w:tblCellMar>
            <w:top w:w="15" w:type="dxa"/>
            <w:left w:w="15" w:type="dxa"/>
            <w:bottom w:w="15" w:type="dxa"/>
            <w:right w:w="15" w:type="dxa"/>
          </w:tblCellMar>
        </w:tblPrEx>
        <w:trPr>
          <w:trHeight w:val="23"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013D240">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A33E0BB">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p>
        </w:tc>
        <w:tc>
          <w:tcPr>
            <w:tcW w:w="1091" w:type="dxa"/>
            <w:tcBorders>
              <w:top w:val="single" w:color="auto" w:sz="4" w:space="0"/>
              <w:left w:val="single" w:color="auto" w:sz="4" w:space="0"/>
              <w:bottom w:val="single" w:color="auto" w:sz="4" w:space="0"/>
              <w:right w:val="single" w:color="auto" w:sz="4" w:space="0"/>
            </w:tcBorders>
            <w:shd w:val="clear" w:color="auto" w:fill="auto"/>
            <w:vAlign w:val="center"/>
          </w:tcPr>
          <w:p w14:paraId="4870C24D">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val="en-US" w:eastAsia="zh-CN" w:bidi="ar"/>
              </w:rPr>
              <w:t>成本指标</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2E93BC1B">
            <w:pPr>
              <w:keepNext w:val="0"/>
              <w:keepLines w:val="0"/>
              <w:pageBreakBefore w:val="0"/>
              <w:widowControl/>
              <w:kinsoku/>
              <w:wordWrap/>
              <w:overflowPunct/>
              <w:topLinePunct w:val="0"/>
              <w:autoSpaceDE/>
              <w:autoSpaceDN/>
              <w:bidi w:val="0"/>
              <w:adjustRightInd/>
              <w:snapToGrid/>
              <w:spacing w:line="0" w:lineRule="atLeast"/>
              <w:jc w:val="left"/>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全年检查成本</w:t>
            </w:r>
          </w:p>
        </w:tc>
        <w:tc>
          <w:tcPr>
            <w:tcW w:w="1145" w:type="dxa"/>
            <w:tcBorders>
              <w:top w:val="single" w:color="000000" w:sz="4" w:space="0"/>
              <w:left w:val="single" w:color="auto" w:sz="4" w:space="0"/>
              <w:bottom w:val="single" w:color="000000" w:sz="4" w:space="0"/>
              <w:right w:val="single" w:color="000000" w:sz="4" w:space="0"/>
            </w:tcBorders>
            <w:shd w:val="clear" w:color="auto" w:fill="auto"/>
            <w:vAlign w:val="center"/>
          </w:tcPr>
          <w:p w14:paraId="3C1AAA98">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5FF99">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lang w:val="en-US" w:eastAsia="zh-CN"/>
              </w:rPr>
            </w:pPr>
            <w:r>
              <w:rPr>
                <w:rFonts w:hint="default" w:ascii="Times New Roman" w:hAnsi="Times New Roman" w:eastAsia="方正仿宋_GBK" w:cs="Times New Roman"/>
                <w:color w:val="000000"/>
                <w:sz w:val="24"/>
                <w:lang w:val="en-US" w:eastAsia="zh-CN"/>
              </w:rPr>
              <w:t>15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405D3">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lang w:eastAsia="zh-CN"/>
              </w:rPr>
              <w:t>万</w:t>
            </w:r>
            <w:r>
              <w:rPr>
                <w:rFonts w:hint="default" w:ascii="Times New Roman" w:hAnsi="Times New Roman" w:eastAsia="方正仿宋_GBK" w:cs="Times New Roman"/>
                <w:color w:val="000000"/>
                <w:sz w:val="24"/>
              </w:rPr>
              <w:t>元</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07A4B">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lang w:val="en-US" w:eastAsia="zh-CN"/>
              </w:rPr>
            </w:pPr>
            <w:r>
              <w:rPr>
                <w:rFonts w:hint="default" w:ascii="Times New Roman" w:hAnsi="Times New Roman" w:eastAsia="方正仿宋_GBK" w:cs="Times New Roman"/>
                <w:color w:val="000000"/>
                <w:sz w:val="24"/>
                <w:lang w:val="en-US" w:eastAsia="zh-CN"/>
              </w:rPr>
              <w:t>10.77</w:t>
            </w:r>
          </w:p>
        </w:tc>
      </w:tr>
      <w:tr w14:paraId="705744CF">
        <w:tblPrEx>
          <w:tblCellMar>
            <w:top w:w="15" w:type="dxa"/>
            <w:left w:w="15" w:type="dxa"/>
            <w:bottom w:w="15" w:type="dxa"/>
            <w:right w:w="15" w:type="dxa"/>
          </w:tblCellMar>
        </w:tblPrEx>
        <w:trPr>
          <w:trHeight w:val="853"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061837F">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p>
        </w:tc>
        <w:tc>
          <w:tcPr>
            <w:tcW w:w="134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1EA7013">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效益指标</w:t>
            </w:r>
          </w:p>
        </w:tc>
        <w:tc>
          <w:tcPr>
            <w:tcW w:w="109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827B275">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default" w:ascii="Times New Roman" w:hAnsi="Times New Roman" w:eastAsia="方正仿宋_GBK" w:cs="Times New Roman"/>
                <w:color w:val="000000"/>
                <w:kern w:val="0"/>
                <w:sz w:val="24"/>
                <w:lang w:bidi="ar"/>
              </w:rPr>
            </w:pPr>
            <w:r>
              <w:rPr>
                <w:rFonts w:hint="default" w:ascii="Times New Roman" w:hAnsi="Times New Roman" w:eastAsia="方正仿宋_GBK" w:cs="Times New Roman"/>
                <w:color w:val="000000"/>
                <w:kern w:val="0"/>
                <w:sz w:val="24"/>
                <w:lang w:bidi="ar"/>
              </w:rPr>
              <w:t>社会效益</w:t>
            </w:r>
          </w:p>
          <w:p w14:paraId="5F746463">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指标</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7889C08C">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足额保障率（参保率）</w:t>
            </w:r>
          </w:p>
        </w:tc>
        <w:tc>
          <w:tcPr>
            <w:tcW w:w="1145" w:type="dxa"/>
            <w:tcBorders>
              <w:top w:val="single" w:color="000000" w:sz="4" w:space="0"/>
              <w:left w:val="single" w:color="auto" w:sz="4" w:space="0"/>
              <w:bottom w:val="single" w:color="000000" w:sz="4" w:space="0"/>
              <w:right w:val="single" w:color="000000" w:sz="4" w:space="0"/>
            </w:tcBorders>
            <w:shd w:val="clear" w:color="auto" w:fill="auto"/>
            <w:vAlign w:val="center"/>
          </w:tcPr>
          <w:p w14:paraId="668C64F7">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CA9E0">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1BF7C">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645EC">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lang w:val="en-US" w:eastAsia="zh-CN"/>
              </w:rPr>
              <w:t>100</w:t>
            </w:r>
          </w:p>
        </w:tc>
      </w:tr>
      <w:tr w14:paraId="623561F1">
        <w:tblPrEx>
          <w:tblCellMar>
            <w:top w:w="15" w:type="dxa"/>
            <w:left w:w="15" w:type="dxa"/>
            <w:bottom w:w="15" w:type="dxa"/>
            <w:right w:w="15" w:type="dxa"/>
          </w:tblCellMar>
        </w:tblPrEx>
        <w:trPr>
          <w:trHeight w:val="346"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DC60524">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82052C0">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p>
        </w:tc>
        <w:tc>
          <w:tcPr>
            <w:tcW w:w="109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9E1CBC6">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340722E7">
            <w:pPr>
              <w:keepNext w:val="0"/>
              <w:keepLines w:val="0"/>
              <w:pageBreakBefore w:val="0"/>
              <w:widowControl/>
              <w:kinsoku/>
              <w:wordWrap/>
              <w:overflowPunct/>
              <w:topLinePunct w:val="0"/>
              <w:autoSpaceDE/>
              <w:autoSpaceDN/>
              <w:bidi w:val="0"/>
              <w:adjustRightInd/>
              <w:snapToGrid/>
              <w:spacing w:line="0" w:lineRule="atLeast"/>
              <w:jc w:val="left"/>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运转保障率</w:t>
            </w:r>
          </w:p>
        </w:tc>
        <w:tc>
          <w:tcPr>
            <w:tcW w:w="1145" w:type="dxa"/>
            <w:tcBorders>
              <w:top w:val="single" w:color="000000" w:sz="4" w:space="0"/>
              <w:left w:val="single" w:color="auto" w:sz="4" w:space="0"/>
              <w:bottom w:val="single" w:color="000000" w:sz="4" w:space="0"/>
              <w:right w:val="single" w:color="000000" w:sz="4" w:space="0"/>
            </w:tcBorders>
            <w:shd w:val="clear" w:color="auto" w:fill="auto"/>
            <w:vAlign w:val="center"/>
          </w:tcPr>
          <w:p w14:paraId="0F889CD2">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41EA6">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lang w:val="en-US" w:eastAsia="zh-CN"/>
              </w:rPr>
            </w:pPr>
            <w:r>
              <w:rPr>
                <w:rFonts w:hint="default" w:ascii="Times New Roman" w:hAnsi="Times New Roman" w:eastAsia="方正仿宋_GBK" w:cs="Times New Roman"/>
                <w:color w:val="000000"/>
                <w:sz w:val="24"/>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D1265">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C62C7">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lang w:val="en-US" w:eastAsia="zh-CN"/>
              </w:rPr>
            </w:pPr>
            <w:r>
              <w:rPr>
                <w:rFonts w:hint="default" w:ascii="Times New Roman" w:hAnsi="Times New Roman" w:eastAsia="方正仿宋_GBK" w:cs="Times New Roman"/>
                <w:color w:val="000000"/>
                <w:sz w:val="24"/>
                <w:lang w:val="en-US" w:eastAsia="zh-CN"/>
              </w:rPr>
              <w:t>100</w:t>
            </w:r>
          </w:p>
        </w:tc>
      </w:tr>
      <w:tr w14:paraId="4C68AF83">
        <w:tblPrEx>
          <w:tblCellMar>
            <w:top w:w="15" w:type="dxa"/>
            <w:left w:w="15" w:type="dxa"/>
            <w:bottom w:w="15" w:type="dxa"/>
            <w:right w:w="15" w:type="dxa"/>
          </w:tblCellMar>
        </w:tblPrEx>
        <w:trPr>
          <w:trHeight w:val="23"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0ED8F70">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A797035">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p>
        </w:tc>
        <w:tc>
          <w:tcPr>
            <w:tcW w:w="109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4E1F074">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2D05A4A4">
            <w:pPr>
              <w:keepNext w:val="0"/>
              <w:keepLines w:val="0"/>
              <w:pageBreakBefore w:val="0"/>
              <w:widowControl/>
              <w:kinsoku/>
              <w:wordWrap/>
              <w:overflowPunct/>
              <w:topLinePunct w:val="0"/>
              <w:autoSpaceDE/>
              <w:autoSpaceDN/>
              <w:bidi w:val="0"/>
              <w:adjustRightInd/>
              <w:snapToGrid/>
              <w:spacing w:line="0" w:lineRule="atLeast"/>
              <w:jc w:val="left"/>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18"/>
                <w:szCs w:val="18"/>
              </w:rPr>
              <w:t>规范单位财务管理</w:t>
            </w:r>
            <w:r>
              <w:rPr>
                <w:rFonts w:hint="eastAsia" w:eastAsia="方正仿宋_GBK" w:cs="Times New Roman"/>
                <w:color w:val="000000"/>
                <w:sz w:val="18"/>
                <w:szCs w:val="18"/>
                <w:lang w:eastAsia="zh-CN"/>
              </w:rPr>
              <w:t>，</w:t>
            </w:r>
            <w:r>
              <w:rPr>
                <w:rFonts w:hint="default" w:ascii="Times New Roman" w:hAnsi="Times New Roman" w:eastAsia="方正仿宋_GBK" w:cs="Times New Roman"/>
                <w:color w:val="000000"/>
                <w:sz w:val="18"/>
                <w:szCs w:val="18"/>
              </w:rPr>
              <w:t>保障财政资金安全</w:t>
            </w:r>
          </w:p>
        </w:tc>
        <w:tc>
          <w:tcPr>
            <w:tcW w:w="1145" w:type="dxa"/>
            <w:tcBorders>
              <w:top w:val="single" w:color="000000" w:sz="4" w:space="0"/>
              <w:left w:val="single" w:color="auto" w:sz="4" w:space="0"/>
              <w:bottom w:val="single" w:color="000000" w:sz="4" w:space="0"/>
              <w:right w:val="single" w:color="000000" w:sz="4" w:space="0"/>
            </w:tcBorders>
            <w:shd w:val="clear" w:color="auto" w:fill="auto"/>
            <w:vAlign w:val="center"/>
          </w:tcPr>
          <w:p w14:paraId="099F4A7E">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F9D50">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lang w:eastAsia="zh-CN"/>
              </w:rPr>
              <w:t>优</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8C6B1">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AD4EA">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lang w:eastAsia="zh-CN"/>
              </w:rPr>
              <w:t>优</w:t>
            </w:r>
          </w:p>
        </w:tc>
      </w:tr>
      <w:tr w14:paraId="432F0267">
        <w:tblPrEx>
          <w:tblCellMar>
            <w:top w:w="15" w:type="dxa"/>
            <w:left w:w="15" w:type="dxa"/>
            <w:bottom w:w="15" w:type="dxa"/>
            <w:right w:w="15" w:type="dxa"/>
          </w:tblCellMar>
        </w:tblPrEx>
        <w:trPr>
          <w:trHeight w:val="23" w:hRule="atLeast"/>
          <w:jc w:val="center"/>
        </w:trPr>
        <w:tc>
          <w:tcPr>
            <w:tcW w:w="130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55C60667">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p>
        </w:tc>
        <w:tc>
          <w:tcPr>
            <w:tcW w:w="1347" w:type="dxa"/>
            <w:vMerge w:val="continue"/>
            <w:tcBorders>
              <w:top w:val="single" w:color="auto" w:sz="4" w:space="0"/>
              <w:left w:val="single" w:color="000000" w:sz="4" w:space="0"/>
              <w:right w:val="single" w:color="000000" w:sz="4" w:space="0"/>
            </w:tcBorders>
            <w:shd w:val="clear" w:color="auto" w:fill="auto"/>
            <w:vAlign w:val="center"/>
          </w:tcPr>
          <w:p w14:paraId="21D637BE">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p>
        </w:tc>
        <w:tc>
          <w:tcPr>
            <w:tcW w:w="1091" w:type="dxa"/>
            <w:tcBorders>
              <w:top w:val="single" w:color="auto" w:sz="4" w:space="0"/>
              <w:left w:val="single" w:color="000000" w:sz="4" w:space="0"/>
              <w:bottom w:val="single" w:color="000000" w:sz="4" w:space="0"/>
              <w:right w:val="single" w:color="000000" w:sz="4" w:space="0"/>
            </w:tcBorders>
            <w:shd w:val="clear" w:color="auto" w:fill="auto"/>
            <w:vAlign w:val="center"/>
          </w:tcPr>
          <w:p w14:paraId="3B1123B3">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经济效益</w:t>
            </w:r>
          </w:p>
          <w:p w14:paraId="157AA4C2">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0"/>
                <w:sz w:val="24"/>
                <w:lang w:val="en-US" w:eastAsia="zh-CN" w:bidi="ar"/>
              </w:rPr>
              <w:t>指标</w:t>
            </w:r>
          </w:p>
        </w:tc>
        <w:tc>
          <w:tcPr>
            <w:tcW w:w="1282" w:type="dxa"/>
            <w:tcBorders>
              <w:top w:val="single" w:color="auto" w:sz="4" w:space="0"/>
              <w:left w:val="single" w:color="000000" w:sz="4" w:space="0"/>
              <w:bottom w:val="single" w:color="000000" w:sz="4" w:space="0"/>
              <w:right w:val="single" w:color="000000" w:sz="4" w:space="0"/>
            </w:tcBorders>
            <w:shd w:val="clear" w:color="auto" w:fill="auto"/>
            <w:vAlign w:val="center"/>
          </w:tcPr>
          <w:p w14:paraId="34657C26">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kern w:val="2"/>
                <w:sz w:val="24"/>
                <w:szCs w:val="24"/>
                <w:lang w:val="en-US" w:eastAsia="zh-CN" w:bidi="ar-SA"/>
              </w:rPr>
            </w:pPr>
            <w:r>
              <w:rPr>
                <w:rFonts w:hint="eastAsia" w:eastAsia="方正仿宋_GBK" w:cs="Times New Roman"/>
                <w:color w:val="000000"/>
                <w:kern w:val="2"/>
                <w:sz w:val="24"/>
                <w:szCs w:val="24"/>
                <w:lang w:val="en-US" w:eastAsia="zh-CN" w:bidi="ar-SA"/>
              </w:rPr>
              <w:t>“三公”经费</w:t>
            </w:r>
            <w:r>
              <w:rPr>
                <w:rFonts w:hint="default" w:ascii="Times New Roman" w:hAnsi="Times New Roman" w:eastAsia="方正仿宋_GBK" w:cs="Times New Roman"/>
                <w:color w:val="000000"/>
                <w:kern w:val="2"/>
                <w:sz w:val="24"/>
                <w:szCs w:val="24"/>
                <w:lang w:val="en-US" w:eastAsia="zh-CN" w:bidi="ar-SA"/>
              </w:rPr>
              <w:t>控制率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39515">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2"/>
                <w:sz w:val="24"/>
                <w:szCs w:val="24"/>
                <w:lang w:val="en-US" w:eastAsia="zh-CN" w:bidi="ar-SA"/>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C2767">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2"/>
                <w:sz w:val="24"/>
                <w:szCs w:val="24"/>
                <w:lang w:val="en-US" w:eastAsia="zh-CN" w:bidi="ar-SA"/>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6326F">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2"/>
                <w:sz w:val="24"/>
                <w:szCs w:val="24"/>
                <w:lang w:val="en-US" w:eastAsia="zh-CN" w:bidi="ar-SA"/>
              </w:rPr>
              <w:t>%</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6BA26">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2"/>
                <w:sz w:val="24"/>
                <w:szCs w:val="24"/>
                <w:lang w:val="en-US" w:eastAsia="zh-CN" w:bidi="ar-SA"/>
              </w:rPr>
              <w:t>0</w:t>
            </w:r>
          </w:p>
        </w:tc>
      </w:tr>
      <w:tr w14:paraId="069A9975">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04684E62">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EA09B">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满意度指标</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D2DB6">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满意度指标</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72785">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检查人员行为规范投诉</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741F2">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9D1AF">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lang w:val="en-US" w:eastAsia="zh-CN"/>
              </w:rPr>
              <w:t>1</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D6742">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lang w:eastAsia="zh-CN"/>
              </w:rPr>
              <w:t>次</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365D3">
            <w:pPr>
              <w:keepNext w:val="0"/>
              <w:keepLines w:val="0"/>
              <w:pageBreakBefore w:val="0"/>
              <w:widowControl/>
              <w:kinsoku/>
              <w:wordWrap/>
              <w:overflowPunct/>
              <w:topLinePunct w:val="0"/>
              <w:autoSpaceDE/>
              <w:autoSpaceDN/>
              <w:bidi w:val="0"/>
              <w:adjustRightInd/>
              <w:snapToGrid/>
              <w:spacing w:line="0" w:lineRule="atLeas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lang w:val="en-US" w:eastAsia="zh-CN"/>
              </w:rPr>
              <w:t>0</w:t>
            </w:r>
          </w:p>
        </w:tc>
      </w:tr>
    </w:tbl>
    <w:p w14:paraId="435B4318">
      <w:pPr>
        <w:keepNext w:val="0"/>
        <w:keepLines w:val="0"/>
        <w:pageBreakBefore w:val="0"/>
        <w:kinsoku/>
        <w:wordWrap/>
        <w:overflowPunct/>
        <w:topLinePunct w:val="0"/>
        <w:autoSpaceDE/>
        <w:autoSpaceDN/>
        <w:bidi w:val="0"/>
        <w:adjustRightInd/>
        <w:snapToGrid/>
        <w:spacing w:line="0" w:lineRule="atLeast"/>
      </w:pPr>
    </w:p>
    <w:bookmarkEnd w:id="1"/>
    <w:sectPr>
      <w:headerReference r:id="rId3" w:type="default"/>
      <w:footerReference r:id="rId4" w:type="default"/>
      <w:pgSz w:w="11906" w:h="16838"/>
      <w:pgMar w:top="2098" w:right="1474" w:bottom="1984" w:left="1907" w:header="851" w:footer="992" w:gutter="0"/>
      <w:pgNumType w:fmt="numberInDash"/>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Wingdings 2">
    <w:panose1 w:val="05020102010507070707"/>
    <w:charset w:val="02"/>
    <w:family w:val="roman"/>
    <w:pitch w:val="default"/>
    <w:sig w:usb0="00000000" w:usb1="00000000" w:usb2="00000000" w:usb3="00000000" w:csb0="8000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E3600">
    <w:pPr>
      <w:pStyle w:val="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289B41">
                          <w:pPr>
                            <w:pStyle w:val="8"/>
                            <w:ind w:right="451" w:rightChars="141"/>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4 -</w:t>
                          </w:r>
                          <w:r>
                            <w:rPr>
                              <w:rFonts w:ascii="宋体" w:hAnsi="宋体"/>
                              <w:sz w:val="28"/>
                              <w:szCs w:val="28"/>
                            </w:rPr>
                            <w:fldChar w:fldCharType="end"/>
                          </w:r>
                        </w:p>
                        <w:p w14:paraId="07CFBB4D"/>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26289B41">
                    <w:pPr>
                      <w:pStyle w:val="8"/>
                      <w:ind w:right="451" w:rightChars="141"/>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4 -</w:t>
                    </w:r>
                    <w:r>
                      <w:rPr>
                        <w:rFonts w:ascii="宋体" w:hAnsi="宋体"/>
                        <w:sz w:val="28"/>
                        <w:szCs w:val="28"/>
                      </w:rPr>
                      <w:fldChar w:fldCharType="end"/>
                    </w:r>
                  </w:p>
                  <w:p w14:paraId="07CFBB4D"/>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A428C">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A9F529"/>
    <w:multiLevelType w:val="singleLevel"/>
    <w:tmpl w:val="BAA9F529"/>
    <w:lvl w:ilvl="0" w:tentative="0">
      <w:start w:val="1"/>
      <w:numFmt w:val="decimal"/>
      <w:suff w:val="nothing"/>
      <w:lvlText w:val="（%1）"/>
      <w:lvlJc w:val="left"/>
    </w:lvl>
  </w:abstractNum>
  <w:abstractNum w:abstractNumId="1">
    <w:nsid w:val="C41B3742"/>
    <w:multiLevelType w:val="singleLevel"/>
    <w:tmpl w:val="C41B3742"/>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60"/>
  <w:drawingGridVerticalSpacing w:val="435"/>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M0MzQxYTRlNjk4MDU3ODhkODNhNzlhZWNhNGRmZDIifQ=="/>
  </w:docVars>
  <w:rsids>
    <w:rsidRoot w:val="00EC0174"/>
    <w:rsid w:val="00006E4D"/>
    <w:rsid w:val="00021652"/>
    <w:rsid w:val="00030311"/>
    <w:rsid w:val="00030782"/>
    <w:rsid w:val="00030B66"/>
    <w:rsid w:val="0004213E"/>
    <w:rsid w:val="0006102A"/>
    <w:rsid w:val="00065B0F"/>
    <w:rsid w:val="00065E7E"/>
    <w:rsid w:val="000820BB"/>
    <w:rsid w:val="0008241B"/>
    <w:rsid w:val="00092280"/>
    <w:rsid w:val="00097FAE"/>
    <w:rsid w:val="000A3233"/>
    <w:rsid w:val="000A3F8B"/>
    <w:rsid w:val="000A7CE3"/>
    <w:rsid w:val="000B04D6"/>
    <w:rsid w:val="000B15CE"/>
    <w:rsid w:val="000C40C6"/>
    <w:rsid w:val="000C79C1"/>
    <w:rsid w:val="000D208A"/>
    <w:rsid w:val="000E037E"/>
    <w:rsid w:val="000F659A"/>
    <w:rsid w:val="000F77B0"/>
    <w:rsid w:val="0010235D"/>
    <w:rsid w:val="00103A47"/>
    <w:rsid w:val="00106D4D"/>
    <w:rsid w:val="001119A2"/>
    <w:rsid w:val="001221D6"/>
    <w:rsid w:val="0012510A"/>
    <w:rsid w:val="00125F67"/>
    <w:rsid w:val="001261AE"/>
    <w:rsid w:val="001348A4"/>
    <w:rsid w:val="0014117C"/>
    <w:rsid w:val="00146FE8"/>
    <w:rsid w:val="0014767B"/>
    <w:rsid w:val="00147AED"/>
    <w:rsid w:val="00177AAF"/>
    <w:rsid w:val="00183850"/>
    <w:rsid w:val="00184D9F"/>
    <w:rsid w:val="001A4749"/>
    <w:rsid w:val="001A4842"/>
    <w:rsid w:val="001A5833"/>
    <w:rsid w:val="001C2158"/>
    <w:rsid w:val="001C51F2"/>
    <w:rsid w:val="001C73AB"/>
    <w:rsid w:val="001D2EA4"/>
    <w:rsid w:val="001F47CE"/>
    <w:rsid w:val="001F5776"/>
    <w:rsid w:val="0020620D"/>
    <w:rsid w:val="002069BC"/>
    <w:rsid w:val="002069EB"/>
    <w:rsid w:val="002201B0"/>
    <w:rsid w:val="00220900"/>
    <w:rsid w:val="0022307E"/>
    <w:rsid w:val="00224D05"/>
    <w:rsid w:val="002323A3"/>
    <w:rsid w:val="00236EF7"/>
    <w:rsid w:val="0024058A"/>
    <w:rsid w:val="002410C0"/>
    <w:rsid w:val="00252894"/>
    <w:rsid w:val="00253FA6"/>
    <w:rsid w:val="00254728"/>
    <w:rsid w:val="002550E7"/>
    <w:rsid w:val="002558D4"/>
    <w:rsid w:val="002560E2"/>
    <w:rsid w:val="00264CFA"/>
    <w:rsid w:val="00270DD7"/>
    <w:rsid w:val="00276F4A"/>
    <w:rsid w:val="00280BFB"/>
    <w:rsid w:val="00280C88"/>
    <w:rsid w:val="002857A3"/>
    <w:rsid w:val="002973A4"/>
    <w:rsid w:val="002A0195"/>
    <w:rsid w:val="002B5B34"/>
    <w:rsid w:val="002B6906"/>
    <w:rsid w:val="002B7215"/>
    <w:rsid w:val="002C0AFD"/>
    <w:rsid w:val="002C59D0"/>
    <w:rsid w:val="002D1A18"/>
    <w:rsid w:val="002D6C79"/>
    <w:rsid w:val="002E1104"/>
    <w:rsid w:val="002E3FDD"/>
    <w:rsid w:val="00300EF4"/>
    <w:rsid w:val="00301353"/>
    <w:rsid w:val="00305FF6"/>
    <w:rsid w:val="00307568"/>
    <w:rsid w:val="00311506"/>
    <w:rsid w:val="00316ADB"/>
    <w:rsid w:val="00317623"/>
    <w:rsid w:val="00335F67"/>
    <w:rsid w:val="003361E9"/>
    <w:rsid w:val="00350A65"/>
    <w:rsid w:val="00361C85"/>
    <w:rsid w:val="00371352"/>
    <w:rsid w:val="00376753"/>
    <w:rsid w:val="0038541D"/>
    <w:rsid w:val="00387818"/>
    <w:rsid w:val="00391A13"/>
    <w:rsid w:val="00391FD0"/>
    <w:rsid w:val="003A44FC"/>
    <w:rsid w:val="003B3299"/>
    <w:rsid w:val="003B6928"/>
    <w:rsid w:val="003D10A2"/>
    <w:rsid w:val="003D33B8"/>
    <w:rsid w:val="003D624D"/>
    <w:rsid w:val="003D719A"/>
    <w:rsid w:val="003F1D56"/>
    <w:rsid w:val="003F5EB7"/>
    <w:rsid w:val="003F7FE2"/>
    <w:rsid w:val="004004E7"/>
    <w:rsid w:val="00416E1A"/>
    <w:rsid w:val="00426A3F"/>
    <w:rsid w:val="004277D4"/>
    <w:rsid w:val="00461638"/>
    <w:rsid w:val="004706FA"/>
    <w:rsid w:val="00474D8D"/>
    <w:rsid w:val="00475CCD"/>
    <w:rsid w:val="00477266"/>
    <w:rsid w:val="004811BC"/>
    <w:rsid w:val="004838F2"/>
    <w:rsid w:val="00486492"/>
    <w:rsid w:val="00492CF6"/>
    <w:rsid w:val="004A4C9D"/>
    <w:rsid w:val="004C2078"/>
    <w:rsid w:val="004C228F"/>
    <w:rsid w:val="004E752F"/>
    <w:rsid w:val="004F1E37"/>
    <w:rsid w:val="00515198"/>
    <w:rsid w:val="00521C44"/>
    <w:rsid w:val="005274E1"/>
    <w:rsid w:val="00531DDF"/>
    <w:rsid w:val="00535FA6"/>
    <w:rsid w:val="00542AB7"/>
    <w:rsid w:val="0055358D"/>
    <w:rsid w:val="005540C8"/>
    <w:rsid w:val="00555809"/>
    <w:rsid w:val="00562165"/>
    <w:rsid w:val="005756AF"/>
    <w:rsid w:val="00575A4A"/>
    <w:rsid w:val="00591B6F"/>
    <w:rsid w:val="005A1DAF"/>
    <w:rsid w:val="005C17C8"/>
    <w:rsid w:val="005C2098"/>
    <w:rsid w:val="005C2E6C"/>
    <w:rsid w:val="005D0CCF"/>
    <w:rsid w:val="005D1C01"/>
    <w:rsid w:val="005E297D"/>
    <w:rsid w:val="005E3F12"/>
    <w:rsid w:val="005F627E"/>
    <w:rsid w:val="0061652E"/>
    <w:rsid w:val="006205E9"/>
    <w:rsid w:val="00622D0B"/>
    <w:rsid w:val="006270DA"/>
    <w:rsid w:val="00630B75"/>
    <w:rsid w:val="00634DFF"/>
    <w:rsid w:val="00635337"/>
    <w:rsid w:val="0064265B"/>
    <w:rsid w:val="0064519C"/>
    <w:rsid w:val="0065082E"/>
    <w:rsid w:val="006512D0"/>
    <w:rsid w:val="006560A3"/>
    <w:rsid w:val="00656301"/>
    <w:rsid w:val="006600C9"/>
    <w:rsid w:val="006701CC"/>
    <w:rsid w:val="00671F58"/>
    <w:rsid w:val="006762A4"/>
    <w:rsid w:val="006900E7"/>
    <w:rsid w:val="006A00A8"/>
    <w:rsid w:val="006A482D"/>
    <w:rsid w:val="006B11E0"/>
    <w:rsid w:val="006B386A"/>
    <w:rsid w:val="006B7CB4"/>
    <w:rsid w:val="006C24D3"/>
    <w:rsid w:val="006C7917"/>
    <w:rsid w:val="006E51AE"/>
    <w:rsid w:val="0070081F"/>
    <w:rsid w:val="007018F5"/>
    <w:rsid w:val="00710897"/>
    <w:rsid w:val="00712F45"/>
    <w:rsid w:val="00734305"/>
    <w:rsid w:val="007370E1"/>
    <w:rsid w:val="007732A1"/>
    <w:rsid w:val="00774C4A"/>
    <w:rsid w:val="00782BBB"/>
    <w:rsid w:val="007A0690"/>
    <w:rsid w:val="007A078F"/>
    <w:rsid w:val="007B34D4"/>
    <w:rsid w:val="007C0633"/>
    <w:rsid w:val="007D086C"/>
    <w:rsid w:val="007F1BE1"/>
    <w:rsid w:val="007F707F"/>
    <w:rsid w:val="007F794C"/>
    <w:rsid w:val="007F7AC9"/>
    <w:rsid w:val="00803B42"/>
    <w:rsid w:val="008073EF"/>
    <w:rsid w:val="0081095C"/>
    <w:rsid w:val="00810C41"/>
    <w:rsid w:val="008212FF"/>
    <w:rsid w:val="0082593B"/>
    <w:rsid w:val="00827537"/>
    <w:rsid w:val="008468EA"/>
    <w:rsid w:val="00867140"/>
    <w:rsid w:val="00881134"/>
    <w:rsid w:val="008904F0"/>
    <w:rsid w:val="008B2F27"/>
    <w:rsid w:val="008B4A72"/>
    <w:rsid w:val="008B585E"/>
    <w:rsid w:val="008E6C0C"/>
    <w:rsid w:val="008F1E63"/>
    <w:rsid w:val="008F3052"/>
    <w:rsid w:val="00901E19"/>
    <w:rsid w:val="009214F7"/>
    <w:rsid w:val="00921CD7"/>
    <w:rsid w:val="00940EB6"/>
    <w:rsid w:val="00944771"/>
    <w:rsid w:val="009601FC"/>
    <w:rsid w:val="00965426"/>
    <w:rsid w:val="0096654A"/>
    <w:rsid w:val="009711E4"/>
    <w:rsid w:val="00971572"/>
    <w:rsid w:val="00981E55"/>
    <w:rsid w:val="00986CEF"/>
    <w:rsid w:val="00987212"/>
    <w:rsid w:val="009A0E5F"/>
    <w:rsid w:val="009F1AF3"/>
    <w:rsid w:val="009F233E"/>
    <w:rsid w:val="00A024AB"/>
    <w:rsid w:val="00A050A5"/>
    <w:rsid w:val="00A05B8B"/>
    <w:rsid w:val="00A1372F"/>
    <w:rsid w:val="00A170EC"/>
    <w:rsid w:val="00A217B3"/>
    <w:rsid w:val="00A23D04"/>
    <w:rsid w:val="00A277D9"/>
    <w:rsid w:val="00A30CEB"/>
    <w:rsid w:val="00A31318"/>
    <w:rsid w:val="00A5432A"/>
    <w:rsid w:val="00A55F8A"/>
    <w:rsid w:val="00A9670E"/>
    <w:rsid w:val="00AA1423"/>
    <w:rsid w:val="00AB5A63"/>
    <w:rsid w:val="00AB7996"/>
    <w:rsid w:val="00AC43C3"/>
    <w:rsid w:val="00AE2EAD"/>
    <w:rsid w:val="00AF77BE"/>
    <w:rsid w:val="00B11CEE"/>
    <w:rsid w:val="00B23428"/>
    <w:rsid w:val="00B264BF"/>
    <w:rsid w:val="00B3594D"/>
    <w:rsid w:val="00B42E74"/>
    <w:rsid w:val="00B46874"/>
    <w:rsid w:val="00B50E8F"/>
    <w:rsid w:val="00B51151"/>
    <w:rsid w:val="00B523E4"/>
    <w:rsid w:val="00B52B4F"/>
    <w:rsid w:val="00B6108C"/>
    <w:rsid w:val="00B649AD"/>
    <w:rsid w:val="00B64B9C"/>
    <w:rsid w:val="00B67A3E"/>
    <w:rsid w:val="00B735CC"/>
    <w:rsid w:val="00B82C95"/>
    <w:rsid w:val="00B83F87"/>
    <w:rsid w:val="00B84DFD"/>
    <w:rsid w:val="00BB4E38"/>
    <w:rsid w:val="00BC3879"/>
    <w:rsid w:val="00BD0E0D"/>
    <w:rsid w:val="00BD41BC"/>
    <w:rsid w:val="00BD55AD"/>
    <w:rsid w:val="00BE0305"/>
    <w:rsid w:val="00BF15F0"/>
    <w:rsid w:val="00BF7DF9"/>
    <w:rsid w:val="00C03559"/>
    <w:rsid w:val="00C05395"/>
    <w:rsid w:val="00C22AD7"/>
    <w:rsid w:val="00C272C1"/>
    <w:rsid w:val="00C32A68"/>
    <w:rsid w:val="00C34282"/>
    <w:rsid w:val="00C35350"/>
    <w:rsid w:val="00C3564B"/>
    <w:rsid w:val="00C53721"/>
    <w:rsid w:val="00C64D2E"/>
    <w:rsid w:val="00C70F97"/>
    <w:rsid w:val="00C7497C"/>
    <w:rsid w:val="00C757A2"/>
    <w:rsid w:val="00C75966"/>
    <w:rsid w:val="00C76577"/>
    <w:rsid w:val="00C80225"/>
    <w:rsid w:val="00C81349"/>
    <w:rsid w:val="00C93139"/>
    <w:rsid w:val="00CA08A0"/>
    <w:rsid w:val="00CA32D2"/>
    <w:rsid w:val="00CA4E07"/>
    <w:rsid w:val="00CA737D"/>
    <w:rsid w:val="00CB1EF5"/>
    <w:rsid w:val="00CC05D4"/>
    <w:rsid w:val="00CC7166"/>
    <w:rsid w:val="00CF5275"/>
    <w:rsid w:val="00CF6136"/>
    <w:rsid w:val="00D0023D"/>
    <w:rsid w:val="00D006C6"/>
    <w:rsid w:val="00D14A65"/>
    <w:rsid w:val="00D162B9"/>
    <w:rsid w:val="00D251E2"/>
    <w:rsid w:val="00D254F4"/>
    <w:rsid w:val="00D263A7"/>
    <w:rsid w:val="00D26B5D"/>
    <w:rsid w:val="00D33159"/>
    <w:rsid w:val="00D33A19"/>
    <w:rsid w:val="00D355B5"/>
    <w:rsid w:val="00D43DC3"/>
    <w:rsid w:val="00D51791"/>
    <w:rsid w:val="00D5281E"/>
    <w:rsid w:val="00D6531B"/>
    <w:rsid w:val="00D6612D"/>
    <w:rsid w:val="00D71AD9"/>
    <w:rsid w:val="00D73C02"/>
    <w:rsid w:val="00D872ED"/>
    <w:rsid w:val="00D913C6"/>
    <w:rsid w:val="00DA0236"/>
    <w:rsid w:val="00DA5D51"/>
    <w:rsid w:val="00DA5E29"/>
    <w:rsid w:val="00DA61CA"/>
    <w:rsid w:val="00DB66BB"/>
    <w:rsid w:val="00DB73AF"/>
    <w:rsid w:val="00DC2865"/>
    <w:rsid w:val="00DD0894"/>
    <w:rsid w:val="00DE1888"/>
    <w:rsid w:val="00DF1250"/>
    <w:rsid w:val="00DF6EF7"/>
    <w:rsid w:val="00E05454"/>
    <w:rsid w:val="00E074C3"/>
    <w:rsid w:val="00E23329"/>
    <w:rsid w:val="00E24D6D"/>
    <w:rsid w:val="00E341B2"/>
    <w:rsid w:val="00E42633"/>
    <w:rsid w:val="00E5699E"/>
    <w:rsid w:val="00E570E1"/>
    <w:rsid w:val="00E72773"/>
    <w:rsid w:val="00E76739"/>
    <w:rsid w:val="00E81946"/>
    <w:rsid w:val="00E82BB7"/>
    <w:rsid w:val="00E86D13"/>
    <w:rsid w:val="00E936C2"/>
    <w:rsid w:val="00E95346"/>
    <w:rsid w:val="00EA0CEF"/>
    <w:rsid w:val="00EA2E2A"/>
    <w:rsid w:val="00EA741A"/>
    <w:rsid w:val="00EB79D2"/>
    <w:rsid w:val="00EC0174"/>
    <w:rsid w:val="00ED3EEB"/>
    <w:rsid w:val="00ED5749"/>
    <w:rsid w:val="00ED5FA3"/>
    <w:rsid w:val="00ED68C4"/>
    <w:rsid w:val="00ED6A4E"/>
    <w:rsid w:val="00ED72EA"/>
    <w:rsid w:val="00EE3A4F"/>
    <w:rsid w:val="00EF10C3"/>
    <w:rsid w:val="00EF3BD2"/>
    <w:rsid w:val="00F16BCE"/>
    <w:rsid w:val="00F45DA1"/>
    <w:rsid w:val="00F5267B"/>
    <w:rsid w:val="00F53E8B"/>
    <w:rsid w:val="00F663FD"/>
    <w:rsid w:val="00F743B0"/>
    <w:rsid w:val="00F82409"/>
    <w:rsid w:val="00F8264F"/>
    <w:rsid w:val="00F833E9"/>
    <w:rsid w:val="00F84580"/>
    <w:rsid w:val="00F873DA"/>
    <w:rsid w:val="00F95982"/>
    <w:rsid w:val="00FA006C"/>
    <w:rsid w:val="00FA190E"/>
    <w:rsid w:val="00FA288B"/>
    <w:rsid w:val="00FA2997"/>
    <w:rsid w:val="00FA2C71"/>
    <w:rsid w:val="00FB2476"/>
    <w:rsid w:val="00FB3345"/>
    <w:rsid w:val="00FD0228"/>
    <w:rsid w:val="00FD3BB7"/>
    <w:rsid w:val="00FE0D93"/>
    <w:rsid w:val="00FF2572"/>
    <w:rsid w:val="00FF32AD"/>
    <w:rsid w:val="021B2FD8"/>
    <w:rsid w:val="02AA2C58"/>
    <w:rsid w:val="05877235"/>
    <w:rsid w:val="05886171"/>
    <w:rsid w:val="059319ED"/>
    <w:rsid w:val="05E87925"/>
    <w:rsid w:val="07A06A0D"/>
    <w:rsid w:val="09031F13"/>
    <w:rsid w:val="0A1B24E9"/>
    <w:rsid w:val="0A74566C"/>
    <w:rsid w:val="0A9C558D"/>
    <w:rsid w:val="0AEE1CCE"/>
    <w:rsid w:val="0B691927"/>
    <w:rsid w:val="0CF159CD"/>
    <w:rsid w:val="0D7C3286"/>
    <w:rsid w:val="0D843958"/>
    <w:rsid w:val="0D9470B0"/>
    <w:rsid w:val="0DA245E9"/>
    <w:rsid w:val="0DC31556"/>
    <w:rsid w:val="0E9D455A"/>
    <w:rsid w:val="0FA37605"/>
    <w:rsid w:val="0FD866CA"/>
    <w:rsid w:val="10383D1C"/>
    <w:rsid w:val="11B8452B"/>
    <w:rsid w:val="11DD0B36"/>
    <w:rsid w:val="11FE3D26"/>
    <w:rsid w:val="12AD1C3F"/>
    <w:rsid w:val="12F802BB"/>
    <w:rsid w:val="132E5312"/>
    <w:rsid w:val="13462EDA"/>
    <w:rsid w:val="148A335A"/>
    <w:rsid w:val="14BB6EE3"/>
    <w:rsid w:val="155303FB"/>
    <w:rsid w:val="15B72681"/>
    <w:rsid w:val="16984F40"/>
    <w:rsid w:val="16A90701"/>
    <w:rsid w:val="16BD1299"/>
    <w:rsid w:val="17346B13"/>
    <w:rsid w:val="187E64AC"/>
    <w:rsid w:val="188A7218"/>
    <w:rsid w:val="195466BB"/>
    <w:rsid w:val="197A0720"/>
    <w:rsid w:val="1A3D6143"/>
    <w:rsid w:val="1C013801"/>
    <w:rsid w:val="1C0711DF"/>
    <w:rsid w:val="1D553F66"/>
    <w:rsid w:val="1D712A80"/>
    <w:rsid w:val="1DC1648E"/>
    <w:rsid w:val="1DF40001"/>
    <w:rsid w:val="1DFD8D3B"/>
    <w:rsid w:val="1E18281E"/>
    <w:rsid w:val="1EA00A42"/>
    <w:rsid w:val="1FB79DC9"/>
    <w:rsid w:val="1FBFC3F2"/>
    <w:rsid w:val="1FFC745C"/>
    <w:rsid w:val="1FFFE033"/>
    <w:rsid w:val="20BC3318"/>
    <w:rsid w:val="21363F2C"/>
    <w:rsid w:val="21504969"/>
    <w:rsid w:val="215278E4"/>
    <w:rsid w:val="21923D91"/>
    <w:rsid w:val="21B95639"/>
    <w:rsid w:val="22470748"/>
    <w:rsid w:val="22F304F9"/>
    <w:rsid w:val="22FB5664"/>
    <w:rsid w:val="23C2428C"/>
    <w:rsid w:val="23F533DD"/>
    <w:rsid w:val="24D2324D"/>
    <w:rsid w:val="24E23DC5"/>
    <w:rsid w:val="25005360"/>
    <w:rsid w:val="261F2CED"/>
    <w:rsid w:val="26D6618F"/>
    <w:rsid w:val="27433521"/>
    <w:rsid w:val="27C03791"/>
    <w:rsid w:val="27F352A6"/>
    <w:rsid w:val="280B27BF"/>
    <w:rsid w:val="28661617"/>
    <w:rsid w:val="29560A0A"/>
    <w:rsid w:val="29586601"/>
    <w:rsid w:val="2995648E"/>
    <w:rsid w:val="2A56725C"/>
    <w:rsid w:val="2AD61146"/>
    <w:rsid w:val="2C6E74C1"/>
    <w:rsid w:val="2D397A0F"/>
    <w:rsid w:val="2D527252"/>
    <w:rsid w:val="2DDC1740"/>
    <w:rsid w:val="2E433008"/>
    <w:rsid w:val="2EAE55F2"/>
    <w:rsid w:val="2EC06CFB"/>
    <w:rsid w:val="2EDF4302"/>
    <w:rsid w:val="2EFE1A04"/>
    <w:rsid w:val="2F3042A1"/>
    <w:rsid w:val="2F6217DA"/>
    <w:rsid w:val="2FBB56F0"/>
    <w:rsid w:val="2FFF3854"/>
    <w:rsid w:val="300D47B8"/>
    <w:rsid w:val="301A0F4D"/>
    <w:rsid w:val="3106753C"/>
    <w:rsid w:val="31414EFA"/>
    <w:rsid w:val="319370D2"/>
    <w:rsid w:val="31DA0356"/>
    <w:rsid w:val="326B3118"/>
    <w:rsid w:val="3291407F"/>
    <w:rsid w:val="338A3635"/>
    <w:rsid w:val="33C9413B"/>
    <w:rsid w:val="35651D86"/>
    <w:rsid w:val="35783BBB"/>
    <w:rsid w:val="35AE0B23"/>
    <w:rsid w:val="35BBF80F"/>
    <w:rsid w:val="38E052A0"/>
    <w:rsid w:val="396B782D"/>
    <w:rsid w:val="399B051F"/>
    <w:rsid w:val="39DF0C5F"/>
    <w:rsid w:val="3A5E74D3"/>
    <w:rsid w:val="3A7E0F70"/>
    <w:rsid w:val="3B0B3937"/>
    <w:rsid w:val="3B294DAA"/>
    <w:rsid w:val="3B3B6BBC"/>
    <w:rsid w:val="3B736F08"/>
    <w:rsid w:val="3BE3D531"/>
    <w:rsid w:val="3BE95D7D"/>
    <w:rsid w:val="3BF32681"/>
    <w:rsid w:val="3CCE59F0"/>
    <w:rsid w:val="3D431A40"/>
    <w:rsid w:val="3D620F3D"/>
    <w:rsid w:val="3DE003EC"/>
    <w:rsid w:val="3EE16181"/>
    <w:rsid w:val="3EFF42CA"/>
    <w:rsid w:val="3F371249"/>
    <w:rsid w:val="3F494527"/>
    <w:rsid w:val="3F5C6821"/>
    <w:rsid w:val="3F6D3B0F"/>
    <w:rsid w:val="3F6FCA38"/>
    <w:rsid w:val="3FB301C2"/>
    <w:rsid w:val="3FD5AF3D"/>
    <w:rsid w:val="3FFED8BE"/>
    <w:rsid w:val="3FFF43BB"/>
    <w:rsid w:val="3FFFFC14"/>
    <w:rsid w:val="413D75B6"/>
    <w:rsid w:val="41A97458"/>
    <w:rsid w:val="4324667D"/>
    <w:rsid w:val="433DCF8E"/>
    <w:rsid w:val="452C4EFC"/>
    <w:rsid w:val="45AE28AE"/>
    <w:rsid w:val="45D70C80"/>
    <w:rsid w:val="45DE6D11"/>
    <w:rsid w:val="45EA0C50"/>
    <w:rsid w:val="45FF973D"/>
    <w:rsid w:val="461A60E9"/>
    <w:rsid w:val="46C34BE2"/>
    <w:rsid w:val="47550EBA"/>
    <w:rsid w:val="479D7DB7"/>
    <w:rsid w:val="47BA39BC"/>
    <w:rsid w:val="482601DD"/>
    <w:rsid w:val="493E12E4"/>
    <w:rsid w:val="49E619B9"/>
    <w:rsid w:val="4B7A0D16"/>
    <w:rsid w:val="4BF7E09D"/>
    <w:rsid w:val="4C5766FC"/>
    <w:rsid w:val="4D716E9D"/>
    <w:rsid w:val="4DEF3768"/>
    <w:rsid w:val="4DF9107F"/>
    <w:rsid w:val="4EAA2F4E"/>
    <w:rsid w:val="4F994FE0"/>
    <w:rsid w:val="50287F3F"/>
    <w:rsid w:val="507B424C"/>
    <w:rsid w:val="51BB6BAC"/>
    <w:rsid w:val="529F04AE"/>
    <w:rsid w:val="52B20E6D"/>
    <w:rsid w:val="534609A5"/>
    <w:rsid w:val="53481D76"/>
    <w:rsid w:val="539A7B9F"/>
    <w:rsid w:val="53BB74FC"/>
    <w:rsid w:val="545C1F65"/>
    <w:rsid w:val="5537715E"/>
    <w:rsid w:val="55FDDF92"/>
    <w:rsid w:val="55FFBC03"/>
    <w:rsid w:val="56CDA72E"/>
    <w:rsid w:val="576F5916"/>
    <w:rsid w:val="57770314"/>
    <w:rsid w:val="577FDAE2"/>
    <w:rsid w:val="57FBE2C7"/>
    <w:rsid w:val="581924D9"/>
    <w:rsid w:val="5A52748B"/>
    <w:rsid w:val="5AEE4E62"/>
    <w:rsid w:val="5B335734"/>
    <w:rsid w:val="5B7F322F"/>
    <w:rsid w:val="5BCAB023"/>
    <w:rsid w:val="5BEACB58"/>
    <w:rsid w:val="5CB80257"/>
    <w:rsid w:val="5D226C1A"/>
    <w:rsid w:val="5D8649C7"/>
    <w:rsid w:val="5DDA9B94"/>
    <w:rsid w:val="5DDE1813"/>
    <w:rsid w:val="5E1E181B"/>
    <w:rsid w:val="5E1F0B01"/>
    <w:rsid w:val="5EAB810D"/>
    <w:rsid w:val="5EFA9846"/>
    <w:rsid w:val="5EFF9DA6"/>
    <w:rsid w:val="5F7751B9"/>
    <w:rsid w:val="5F9F7232"/>
    <w:rsid w:val="5F9F9588"/>
    <w:rsid w:val="5FBD32D2"/>
    <w:rsid w:val="5FD450B0"/>
    <w:rsid w:val="5FEF60CD"/>
    <w:rsid w:val="5FFB203D"/>
    <w:rsid w:val="5FFB8CF9"/>
    <w:rsid w:val="607165EF"/>
    <w:rsid w:val="60D46F3E"/>
    <w:rsid w:val="612279E1"/>
    <w:rsid w:val="615D1C7F"/>
    <w:rsid w:val="615E2A77"/>
    <w:rsid w:val="61672BBD"/>
    <w:rsid w:val="61B75878"/>
    <w:rsid w:val="61B809BB"/>
    <w:rsid w:val="61D83526"/>
    <w:rsid w:val="630A1C00"/>
    <w:rsid w:val="63DBAF21"/>
    <w:rsid w:val="63F16D8B"/>
    <w:rsid w:val="64EA7A43"/>
    <w:rsid w:val="656224A3"/>
    <w:rsid w:val="656A0A89"/>
    <w:rsid w:val="65F96D07"/>
    <w:rsid w:val="6636451A"/>
    <w:rsid w:val="671C23E5"/>
    <w:rsid w:val="67DE80AA"/>
    <w:rsid w:val="688C6C4C"/>
    <w:rsid w:val="697E3B47"/>
    <w:rsid w:val="69B25D51"/>
    <w:rsid w:val="69BF132E"/>
    <w:rsid w:val="69C17328"/>
    <w:rsid w:val="6A304624"/>
    <w:rsid w:val="6B4E4E85"/>
    <w:rsid w:val="6B7F84D8"/>
    <w:rsid w:val="6BFEE5F3"/>
    <w:rsid w:val="6C3043C4"/>
    <w:rsid w:val="6C4670C1"/>
    <w:rsid w:val="6C7942AD"/>
    <w:rsid w:val="6CAFF34E"/>
    <w:rsid w:val="6CFFCF4F"/>
    <w:rsid w:val="6D112A0E"/>
    <w:rsid w:val="6DFFF8B6"/>
    <w:rsid w:val="6E9FE641"/>
    <w:rsid w:val="6EE309C3"/>
    <w:rsid w:val="6EEDE807"/>
    <w:rsid w:val="6EEE4BE4"/>
    <w:rsid w:val="6EF65E9C"/>
    <w:rsid w:val="6F075FF1"/>
    <w:rsid w:val="6F3D9197"/>
    <w:rsid w:val="6F601439"/>
    <w:rsid w:val="6F6F75B6"/>
    <w:rsid w:val="6FA31CEE"/>
    <w:rsid w:val="6FAB3EC4"/>
    <w:rsid w:val="6FB6AF41"/>
    <w:rsid w:val="6FD52DA7"/>
    <w:rsid w:val="6FD894C8"/>
    <w:rsid w:val="6FE36A9E"/>
    <w:rsid w:val="6FEFB2D1"/>
    <w:rsid w:val="6FFF97E6"/>
    <w:rsid w:val="71397E03"/>
    <w:rsid w:val="71535E4E"/>
    <w:rsid w:val="719F7A14"/>
    <w:rsid w:val="71FB5B08"/>
    <w:rsid w:val="72FC5C35"/>
    <w:rsid w:val="72FF57A5"/>
    <w:rsid w:val="73FB87D9"/>
    <w:rsid w:val="74525996"/>
    <w:rsid w:val="7455397D"/>
    <w:rsid w:val="75DF283D"/>
    <w:rsid w:val="75EF0FBA"/>
    <w:rsid w:val="7607C293"/>
    <w:rsid w:val="76793C4E"/>
    <w:rsid w:val="767B0EE7"/>
    <w:rsid w:val="76DF783A"/>
    <w:rsid w:val="76DFA4E8"/>
    <w:rsid w:val="76F728A8"/>
    <w:rsid w:val="77230877"/>
    <w:rsid w:val="778720BD"/>
    <w:rsid w:val="77A7D615"/>
    <w:rsid w:val="77FF366A"/>
    <w:rsid w:val="77FF8C96"/>
    <w:rsid w:val="77FFA8F9"/>
    <w:rsid w:val="780A689F"/>
    <w:rsid w:val="7976604B"/>
    <w:rsid w:val="79F3BC78"/>
    <w:rsid w:val="7A30778F"/>
    <w:rsid w:val="7A5B6CAA"/>
    <w:rsid w:val="7A9314AC"/>
    <w:rsid w:val="7AB63FA3"/>
    <w:rsid w:val="7B4F6850"/>
    <w:rsid w:val="7B6B7373"/>
    <w:rsid w:val="7BABD5C4"/>
    <w:rsid w:val="7BB12055"/>
    <w:rsid w:val="7BB64445"/>
    <w:rsid w:val="7BBE3540"/>
    <w:rsid w:val="7BBFADBA"/>
    <w:rsid w:val="7BF7F9C6"/>
    <w:rsid w:val="7BFF492D"/>
    <w:rsid w:val="7C1F4B59"/>
    <w:rsid w:val="7C631402"/>
    <w:rsid w:val="7C8919EF"/>
    <w:rsid w:val="7C978C63"/>
    <w:rsid w:val="7CA35AD0"/>
    <w:rsid w:val="7CAC49A5"/>
    <w:rsid w:val="7CDF8BC3"/>
    <w:rsid w:val="7CEB72A5"/>
    <w:rsid w:val="7D18750B"/>
    <w:rsid w:val="7D19425E"/>
    <w:rsid w:val="7D237D6A"/>
    <w:rsid w:val="7D8677BF"/>
    <w:rsid w:val="7D990BA2"/>
    <w:rsid w:val="7DB67562"/>
    <w:rsid w:val="7DDFDC39"/>
    <w:rsid w:val="7DFDEECD"/>
    <w:rsid w:val="7E140770"/>
    <w:rsid w:val="7E5D92FB"/>
    <w:rsid w:val="7E635AE7"/>
    <w:rsid w:val="7EF51D64"/>
    <w:rsid w:val="7EFFF488"/>
    <w:rsid w:val="7F0E3EF0"/>
    <w:rsid w:val="7F574612"/>
    <w:rsid w:val="7F7F4920"/>
    <w:rsid w:val="7FB7C299"/>
    <w:rsid w:val="7FBFFB92"/>
    <w:rsid w:val="7FD76ACB"/>
    <w:rsid w:val="7FD89DA2"/>
    <w:rsid w:val="7FDBD805"/>
    <w:rsid w:val="7FDEC14D"/>
    <w:rsid w:val="7FDF8B76"/>
    <w:rsid w:val="7FDFE693"/>
    <w:rsid w:val="7FEFB5DD"/>
    <w:rsid w:val="7FEFBBD9"/>
    <w:rsid w:val="7FFD6A57"/>
    <w:rsid w:val="7FFDA7EC"/>
    <w:rsid w:val="7FFDEA1E"/>
    <w:rsid w:val="7FFEC1F6"/>
    <w:rsid w:val="7FFF0917"/>
    <w:rsid w:val="7FFF2F52"/>
    <w:rsid w:val="8F7B4EC8"/>
    <w:rsid w:val="8FBD4480"/>
    <w:rsid w:val="8FF7AE96"/>
    <w:rsid w:val="955F5184"/>
    <w:rsid w:val="9F6311D7"/>
    <w:rsid w:val="9FF54399"/>
    <w:rsid w:val="A46D76C1"/>
    <w:rsid w:val="A7FF43C2"/>
    <w:rsid w:val="ABF66286"/>
    <w:rsid w:val="AD9E3F04"/>
    <w:rsid w:val="ADA70464"/>
    <w:rsid w:val="AFE97CD3"/>
    <w:rsid w:val="B1BF5C63"/>
    <w:rsid w:val="B1FF3A18"/>
    <w:rsid w:val="B3CDF284"/>
    <w:rsid w:val="B3E8107B"/>
    <w:rsid w:val="B579A608"/>
    <w:rsid w:val="B5F66F24"/>
    <w:rsid w:val="B7F5200A"/>
    <w:rsid w:val="BABDA1AA"/>
    <w:rsid w:val="BB1B4BF1"/>
    <w:rsid w:val="BBE5FE68"/>
    <w:rsid w:val="BBFEB9C1"/>
    <w:rsid w:val="BDF7406A"/>
    <w:rsid w:val="BE6FD8DB"/>
    <w:rsid w:val="BEEF57C2"/>
    <w:rsid w:val="BF6CD6FF"/>
    <w:rsid w:val="BF6D5596"/>
    <w:rsid w:val="BFBEBB2C"/>
    <w:rsid w:val="BFC68935"/>
    <w:rsid w:val="BFDD0F1D"/>
    <w:rsid w:val="BFDDD096"/>
    <w:rsid w:val="C5B3F496"/>
    <w:rsid w:val="C96F3E49"/>
    <w:rsid w:val="CBBF14F3"/>
    <w:rsid w:val="CBE5DCF2"/>
    <w:rsid w:val="CCFCC735"/>
    <w:rsid w:val="CEEB8A74"/>
    <w:rsid w:val="D37FB642"/>
    <w:rsid w:val="D7F99798"/>
    <w:rsid w:val="D7FF400C"/>
    <w:rsid w:val="D9DB2628"/>
    <w:rsid w:val="DBED1CD4"/>
    <w:rsid w:val="DBFBB328"/>
    <w:rsid w:val="DDD7453A"/>
    <w:rsid w:val="DE3E1FD7"/>
    <w:rsid w:val="DEBFCF8E"/>
    <w:rsid w:val="DFBE1B79"/>
    <w:rsid w:val="DFCF1FEC"/>
    <w:rsid w:val="DFE75A3D"/>
    <w:rsid w:val="DFED2117"/>
    <w:rsid w:val="DFEF594B"/>
    <w:rsid w:val="DFF3F960"/>
    <w:rsid w:val="DFFE0D61"/>
    <w:rsid w:val="E35C4B3C"/>
    <w:rsid w:val="E3A781CA"/>
    <w:rsid w:val="E5DFAB50"/>
    <w:rsid w:val="E6FC647F"/>
    <w:rsid w:val="EAE6D6D4"/>
    <w:rsid w:val="EBFBC8F1"/>
    <w:rsid w:val="EBFDF757"/>
    <w:rsid w:val="ED758B5D"/>
    <w:rsid w:val="ED76A08D"/>
    <w:rsid w:val="EDBDD81F"/>
    <w:rsid w:val="EDFDB542"/>
    <w:rsid w:val="EF0FCF96"/>
    <w:rsid w:val="EF95E20F"/>
    <w:rsid w:val="EFAF7DFF"/>
    <w:rsid w:val="EFAFB283"/>
    <w:rsid w:val="EFBDA38B"/>
    <w:rsid w:val="EFEE9A76"/>
    <w:rsid w:val="F1BF6FBC"/>
    <w:rsid w:val="F1F9A9B5"/>
    <w:rsid w:val="F3779FC2"/>
    <w:rsid w:val="F3D5C239"/>
    <w:rsid w:val="F3F37DF4"/>
    <w:rsid w:val="F3F96DE6"/>
    <w:rsid w:val="F3FBC54A"/>
    <w:rsid w:val="F47BB68A"/>
    <w:rsid w:val="F47F523E"/>
    <w:rsid w:val="F69FD6B0"/>
    <w:rsid w:val="F7E7F921"/>
    <w:rsid w:val="F7F7AC6A"/>
    <w:rsid w:val="F7FD93B9"/>
    <w:rsid w:val="F8D9A400"/>
    <w:rsid w:val="FABF64A5"/>
    <w:rsid w:val="FABF7411"/>
    <w:rsid w:val="FBA53981"/>
    <w:rsid w:val="FBE4457E"/>
    <w:rsid w:val="FBFC558A"/>
    <w:rsid w:val="FBFF71AC"/>
    <w:rsid w:val="FBFFEA2B"/>
    <w:rsid w:val="FCCB27AA"/>
    <w:rsid w:val="FCFF8F4B"/>
    <w:rsid w:val="FD9595AD"/>
    <w:rsid w:val="FDDF4F05"/>
    <w:rsid w:val="FDF9DD9A"/>
    <w:rsid w:val="FDFF2821"/>
    <w:rsid w:val="FDFFA696"/>
    <w:rsid w:val="FE7FB02B"/>
    <w:rsid w:val="FEBD0232"/>
    <w:rsid w:val="FED5A77F"/>
    <w:rsid w:val="FEDFD193"/>
    <w:rsid w:val="FEE7097E"/>
    <w:rsid w:val="FEEF8230"/>
    <w:rsid w:val="FEF1F1BE"/>
    <w:rsid w:val="FEF99316"/>
    <w:rsid w:val="FEFB20CB"/>
    <w:rsid w:val="FEFD95B3"/>
    <w:rsid w:val="FEFE4E93"/>
    <w:rsid w:val="FEFFA483"/>
    <w:rsid w:val="FF29B32D"/>
    <w:rsid w:val="FF2E6944"/>
    <w:rsid w:val="FF5F9D52"/>
    <w:rsid w:val="FF7A0B6A"/>
    <w:rsid w:val="FF7B6DC2"/>
    <w:rsid w:val="FF7FFF75"/>
    <w:rsid w:val="FF921F59"/>
    <w:rsid w:val="FFB75E44"/>
    <w:rsid w:val="FFBB1E09"/>
    <w:rsid w:val="FFBB6A0C"/>
    <w:rsid w:val="FFBD894B"/>
    <w:rsid w:val="FFBF33B3"/>
    <w:rsid w:val="FFD09362"/>
    <w:rsid w:val="FFD1DA08"/>
    <w:rsid w:val="FFD7DEDD"/>
    <w:rsid w:val="FFDE369F"/>
    <w:rsid w:val="FFEF98C9"/>
    <w:rsid w:val="FFEFCE62"/>
    <w:rsid w:val="FFF973B0"/>
    <w:rsid w:val="FFFB4F05"/>
    <w:rsid w:val="FFFEC8F5"/>
    <w:rsid w:val="FFFEFE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spacing w:before="156" w:beforeLines="50" w:line="360" w:lineRule="auto"/>
      <w:ind w:firstLine="480" w:firstLineChars="200"/>
    </w:pPr>
    <w:rPr>
      <w:rFonts w:eastAsia="仿宋"/>
      <w:sz w:val="24"/>
      <w:szCs w:val="23"/>
      <w:lang w:eastAsia="ar-SA"/>
    </w:rPr>
  </w:style>
  <w:style w:type="paragraph" w:styleId="3">
    <w:name w:val="Document Map"/>
    <w:basedOn w:val="1"/>
    <w:link w:val="20"/>
    <w:qFormat/>
    <w:uiPriority w:val="0"/>
    <w:rPr>
      <w:rFonts w:ascii="宋体" w:eastAsia="宋体"/>
      <w:sz w:val="18"/>
      <w:szCs w:val="18"/>
    </w:rPr>
  </w:style>
  <w:style w:type="paragraph" w:styleId="4">
    <w:name w:val="Body Text"/>
    <w:basedOn w:val="1"/>
    <w:next w:val="1"/>
    <w:qFormat/>
    <w:uiPriority w:val="0"/>
    <w:pPr>
      <w:spacing w:after="120"/>
    </w:pPr>
  </w:style>
  <w:style w:type="paragraph" w:styleId="5">
    <w:name w:val="Body Text Indent"/>
    <w:basedOn w:val="1"/>
    <w:qFormat/>
    <w:uiPriority w:val="0"/>
    <w:pPr>
      <w:spacing w:after="120"/>
      <w:ind w:left="200" w:leftChars="200"/>
    </w:pPr>
    <w:rPr>
      <w:rFonts w:ascii="仿宋_GB2312"/>
      <w:szCs w:val="32"/>
    </w:rPr>
  </w:style>
  <w:style w:type="paragraph" w:styleId="6">
    <w:name w:val="Plain Text"/>
    <w:basedOn w:val="1"/>
    <w:qFormat/>
    <w:uiPriority w:val="99"/>
    <w:rPr>
      <w:rFonts w:ascii="宋体" w:hAnsi="Courier New" w:eastAsia="宋体" w:cs="宋体"/>
      <w:sz w:val="21"/>
      <w:szCs w:val="21"/>
    </w:rPr>
  </w:style>
  <w:style w:type="paragraph" w:styleId="7">
    <w:name w:val="Balloon Text"/>
    <w:basedOn w:val="1"/>
    <w:semiHidden/>
    <w:qFormat/>
    <w:uiPriority w:val="0"/>
    <w:rPr>
      <w:sz w:val="18"/>
      <w:szCs w:val="18"/>
    </w:rPr>
  </w:style>
  <w:style w:type="paragraph" w:styleId="8">
    <w:name w:val="footer"/>
    <w:basedOn w:val="1"/>
    <w:link w:val="22"/>
    <w:qFormat/>
    <w:uiPriority w:val="99"/>
    <w:pPr>
      <w:tabs>
        <w:tab w:val="center" w:pos="4153"/>
        <w:tab w:val="right" w:pos="8306"/>
      </w:tabs>
      <w:snapToGrid w:val="0"/>
      <w:jc w:val="left"/>
    </w:pPr>
    <w:rPr>
      <w:rFonts w:eastAsia="宋体"/>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10">
    <w:name w:val="toc 1"/>
    <w:basedOn w:val="1"/>
    <w:next w:val="1"/>
    <w:qFormat/>
    <w:uiPriority w:val="0"/>
  </w:style>
  <w:style w:type="paragraph" w:styleId="11">
    <w:name w:val="Body Text First Indent 2"/>
    <w:basedOn w:val="5"/>
    <w:unhideWhenUsed/>
    <w:qFormat/>
    <w:uiPriority w:val="99"/>
    <w:pPr>
      <w:ind w:firstLine="420" w:firstLine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page number"/>
    <w:basedOn w:val="14"/>
    <w:qFormat/>
    <w:uiPriority w:val="0"/>
  </w:style>
  <w:style w:type="paragraph" w:customStyle="1" w:styleId="16">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customStyle="1" w:styleId="17">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8">
    <w:name w:val="四号正文"/>
    <w:basedOn w:val="1"/>
    <w:link w:val="19"/>
    <w:qFormat/>
    <w:uiPriority w:val="0"/>
    <w:pPr>
      <w:spacing w:line="360" w:lineRule="auto"/>
    </w:pPr>
    <w:rPr>
      <w:rFonts w:ascii="??" w:hAnsi="??" w:eastAsia="宋体" w:cs="宋体"/>
      <w:color w:val="000000"/>
      <w:kern w:val="0"/>
      <w:sz w:val="28"/>
      <w:szCs w:val="21"/>
    </w:rPr>
  </w:style>
  <w:style w:type="character" w:customStyle="1" w:styleId="19">
    <w:name w:val="四号正文 Char"/>
    <w:basedOn w:val="14"/>
    <w:link w:val="18"/>
    <w:qFormat/>
    <w:uiPriority w:val="0"/>
    <w:rPr>
      <w:rFonts w:ascii="??" w:hAnsi="??" w:eastAsia="宋体" w:cs="宋体"/>
      <w:color w:val="000000"/>
      <w:sz w:val="28"/>
      <w:szCs w:val="21"/>
      <w:lang w:val="en-US" w:eastAsia="zh-CN" w:bidi="ar-SA"/>
    </w:rPr>
  </w:style>
  <w:style w:type="character" w:customStyle="1" w:styleId="20">
    <w:name w:val="文档结构图 Char"/>
    <w:basedOn w:val="14"/>
    <w:link w:val="3"/>
    <w:qFormat/>
    <w:uiPriority w:val="0"/>
    <w:rPr>
      <w:rFonts w:ascii="宋体"/>
      <w:kern w:val="2"/>
      <w:sz w:val="18"/>
      <w:szCs w:val="18"/>
    </w:rPr>
  </w:style>
  <w:style w:type="paragraph" w:customStyle="1" w:styleId="21">
    <w:name w:val="a"/>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22">
    <w:name w:val="页脚 Char"/>
    <w:basedOn w:val="14"/>
    <w:link w:val="8"/>
    <w:qFormat/>
    <w:uiPriority w:val="99"/>
    <w:rPr>
      <w:kern w:val="2"/>
      <w:sz w:val="18"/>
      <w:szCs w:val="18"/>
    </w:rPr>
  </w:style>
  <w:style w:type="character" w:customStyle="1" w:styleId="23">
    <w:name w:val="font31"/>
    <w:basedOn w:val="14"/>
    <w:qFormat/>
    <w:uiPriority w:val="0"/>
    <w:rPr>
      <w:rFonts w:hint="eastAsia" w:ascii="宋体" w:hAnsi="宋体" w:eastAsia="宋体" w:cs="宋体"/>
      <w:color w:val="000000"/>
      <w:sz w:val="24"/>
      <w:szCs w:val="24"/>
      <w:u w:val="none"/>
    </w:rPr>
  </w:style>
  <w:style w:type="character" w:customStyle="1" w:styleId="24">
    <w:name w:val="font51"/>
    <w:basedOn w:val="14"/>
    <w:qFormat/>
    <w:uiPriority w:val="0"/>
    <w:rPr>
      <w:rFonts w:hint="default" w:ascii="Wingdings 2" w:hAnsi="Wingdings 2" w:eastAsia="Wingdings 2" w:cs="Wingdings 2"/>
      <w:color w:val="000000"/>
      <w:sz w:val="18"/>
      <w:szCs w:val="18"/>
      <w:u w:val="none"/>
    </w:rPr>
  </w:style>
  <w:style w:type="character" w:customStyle="1" w:styleId="25">
    <w:name w:val="font01"/>
    <w:basedOn w:val="14"/>
    <w:qFormat/>
    <w:uiPriority w:val="0"/>
    <w:rPr>
      <w:rFonts w:ascii="宋体" w:hAnsi="宋体" w:eastAsia="宋体" w:cs="宋体"/>
      <w:color w:val="000000"/>
      <w:sz w:val="18"/>
      <w:szCs w:val="18"/>
      <w:u w:val="none"/>
    </w:rPr>
  </w:style>
  <w:style w:type="character" w:customStyle="1" w:styleId="26">
    <w:name w:val="font41"/>
    <w:basedOn w:val="14"/>
    <w:qFormat/>
    <w:uiPriority w:val="0"/>
    <w:rPr>
      <w:rFonts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e61ef315-ac34-40af-b14f-b99b3b482c95</errorID>
      <errorWord>,</errorWord>
      <group>L1_Format</group>
      <groupName>格式问题</groupName>
      <ability>L2_HalfPunc</ability>
      <abilityName>全半角检查</abilityName>
      <candidateList>
        <item>，</item>
      </candidateList>
      <explain>文本全半角错误。</explain>
      <paraID>7E76D01E</paraID>
      <start>65</start>
      <end>66</end>
      <status>modified</status>
      <modifiedWord>，</modifiedWord>
      <trackRevisions>false</trackRevisions>
    </reviewItem>
    <reviewItem>
      <errorID>a2c0b339-772c-49d5-ad18-211230519e86</errorID>
      <errorWord>,</errorWord>
      <group>L1_Format</group>
      <groupName>格式问题</groupName>
      <ability>L2_HalfPunc</ability>
      <abilityName>全半角检查</abilityName>
      <candidateList>
        <item>，</item>
      </candidateList>
      <explain>文本全半角错误。</explain>
      <paraID> 79CFE72</paraID>
      <start>28</start>
      <end>29</end>
      <status>modified</status>
      <modifiedWord>，</modifiedWord>
      <trackRevisions>false</trackRevisions>
    </reviewItem>
    <reviewItem>
      <errorID>7148b625-4f19-4ae9-84e3-db0eae297bb9</errorID>
      <errorWord>间</errorWord>
      <group>L1_Word</group>
      <groupName>字词问题</groupName>
      <ability>L2_Typo</ability>
      <abilityName>字词错误</abilityName>
      <candidateList>
        <item>间内</item>
      </candidateList>
      <explain/>
      <paraID>19033F60</paraID>
      <start>10</start>
      <end>12</end>
      <status>modified</status>
      <modifiedWord>间内</modifiedWord>
      <trackRevisions>false</trackRevisions>
    </reviewItem>
    <reviewItem>
      <errorID>d55d1046-5e31-4aa4-8c01-fb924a8a472d</errorID>
      <errorWord>,</errorWord>
      <group>L1_Format</group>
      <groupName>格式问题</groupName>
      <ability>L2_HalfPunc</ability>
      <abilityName>全半角检查</abilityName>
      <candidateList>
        <item>，</item>
      </candidateList>
      <explain>文本全半角错误。</explain>
      <paraID> 18DC972</paraID>
      <start>16</start>
      <end>17</end>
      <status>modified</status>
      <modifiedWord>，</modifiedWord>
      <trackRevisions>false</trackRevisions>
    </reviewItem>
    <reviewItem>
      <errorID>af31faea-2c20-48e9-9993-84bf46810146</errorID>
      <errorWord>指标指标</errorWord>
      <group>L1_Word</group>
      <groupName>字词问题</groupName>
      <ability>L2_Typo</ability>
      <abilityName>字词错误</abilityName>
      <candidateList>
        <item>指标</item>
      </candidateList>
      <explain/>
      <paraID>48B53C5D</paraID>
      <start>4</start>
      <end>6</end>
      <status>modified</status>
      <modifiedWord>指标</modifiedWord>
      <trackRevisions>false</trackRevisions>
    </reviewItem>
    <reviewItem>
      <errorID>85a54cd2-1377-4f98-aa82-f3676153491f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4212840</paraID>
      <start>12</start>
      <end>13</end>
      <status>modified</status>
      <modifiedWord>—</modifiedWord>
      <trackRevisions>false</trackRevisions>
    </reviewItem>
    <reviewItem>
      <errorID>ff976a31-7af7-42fa-ab75-9828a892459a</errorID>
      <errorWord>间</errorWord>
      <group>L1_Word</group>
      <groupName>字词问题</groupName>
      <ability>L2_Typo</ability>
      <abilityName>字词错误</abilityName>
      <candidateList>
        <item>间内</item>
      </candidateList>
      <explain/>
      <paraID> 3E29A5A</paraID>
      <start>12</start>
      <end>13</end>
      <status>ignored</status>
      <modifiedWord/>
      <trackRevisions>false</trackRevisions>
    </reviewItem>
    <reviewItem>
      <errorID>c06405ea-1c26-4cfa-95d6-f86a888e452d</errorID>
      <errorWord>,</errorWord>
      <group>L1_Format</group>
      <groupName>格式问题</groupName>
      <ability>L2_HalfPunc</ability>
      <abilityName>全半角检查</abilityName>
      <candidateList>
        <item>，</item>
      </candidateList>
      <explain>文本全半角错误。</explain>
      <paraID>2D05A4A4</paraID>
      <start>8</start>
      <end>9</end>
      <status>modified</status>
      <modifiedWord>，</modifiedWord>
      <trackRevisions>false</trackRevisions>
    </reviewItem>
    <reviewItem>
      <errorID>11e18179-5987-41e6-9f64-9dc4971269c5</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34657C26</paraID>
      <start>0</start>
      <end>6</end>
      <status>modified</status>
      <modifiedWord>“三公”经费</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7b63f12-42fb-4047-b11e-ad8ce52bd020}">
  <ds:schemaRefs/>
</ds:datastoreItem>
</file>

<file path=docProps/app.xml><?xml version="1.0" encoding="utf-8"?>
<Properties xmlns="http://schemas.openxmlformats.org/officeDocument/2006/extended-properties" xmlns:vt="http://schemas.openxmlformats.org/officeDocument/2006/docPropsVTypes">
  <Template>Normal.dotm</Template>
  <Company>PSZX</Company>
  <Pages>12</Pages>
  <Words>3859</Words>
  <Characters>4132</Characters>
  <Lines>18</Lines>
  <Paragraphs>5</Paragraphs>
  <TotalTime>27</TotalTime>
  <ScaleCrop>false</ScaleCrop>
  <LinksUpToDate>false</LinksUpToDate>
  <CharactersWithSpaces>4135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2025-03-27T08:07:00Z</dcterms:created>
  <dc:creator>陈萍</dc:creator>
  <cp:lastModifiedBy>lenovo</cp:lastModifiedBy>
  <cp:lastPrinted>2026-06-09T08:14:00Z</cp:lastPrinted>
  <dcterms:modified xsi:type="dcterms:W3CDTF">2026-06-11T03:30:55Z</dcterms:modified>
  <dc:title>区域性就业培训基地建设项目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8C87B219F8E741A8882918299656D982_13</vt:lpwstr>
  </property>
  <property fmtid="{D5CDD505-2E9C-101B-9397-08002B2CF9AE}" pid="4" name="KSOTemplateDocerSaveRecord">
    <vt:lpwstr>eyJoZGlkIjoiMmY2YmUxZjk2NzRmYTg5MDQ2ZDU3YTM2YzM2MGI4ZDIiLCJ1c2VySWQiOiI1NDQ5OTk1MzQifQ==</vt:lpwstr>
  </property>
</Properties>
</file>