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35946">
      <w:pPr>
        <w:keepNext w:val="0"/>
        <w:keepLines w:val="0"/>
        <w:pageBreakBefore w:val="0"/>
        <w:kinsoku/>
        <w:wordWrap/>
        <w:overflowPunct/>
        <w:topLinePunct w:val="0"/>
        <w:autoSpaceDE/>
        <w:autoSpaceDN/>
        <w:bidi w:val="0"/>
        <w:spacing w:line="240" w:lineRule="auto"/>
        <w:ind w:leftChars="0" w:firstLine="640" w:firstLineChars="200"/>
        <w:contextualSpacing/>
        <w:textAlignment w:val="auto"/>
        <w:rPr>
          <w:rFonts w:eastAsia="黑体"/>
          <w:szCs w:val="32"/>
          <w:lang w:val="zh-CN"/>
        </w:rPr>
      </w:pPr>
      <w:r>
        <w:rPr>
          <w:rFonts w:eastAsia="黑体"/>
          <w:szCs w:val="32"/>
          <w:lang w:val="zh-CN"/>
        </w:rPr>
        <w:t>附件</w:t>
      </w:r>
      <w:r>
        <w:rPr>
          <w:rFonts w:eastAsia="黑体"/>
          <w:szCs w:val="32"/>
        </w:rPr>
        <w:t>2</w:t>
      </w:r>
    </w:p>
    <w:p w14:paraId="02BBAF76">
      <w:pPr>
        <w:keepNext w:val="0"/>
        <w:keepLines w:val="0"/>
        <w:pageBreakBefore w:val="0"/>
        <w:widowControl/>
        <w:kinsoku/>
        <w:wordWrap/>
        <w:overflowPunct/>
        <w:topLinePunct w:val="0"/>
        <w:autoSpaceDE/>
        <w:autoSpaceDN/>
        <w:bidi w:val="0"/>
        <w:spacing w:line="240" w:lineRule="auto"/>
        <w:ind w:leftChars="0" w:firstLine="883" w:firstLineChars="200"/>
        <w:contextualSpacing/>
        <w:textAlignment w:val="auto"/>
        <w:rPr>
          <w:rFonts w:eastAsia="宋体"/>
          <w:b/>
          <w:sz w:val="44"/>
          <w:szCs w:val="44"/>
          <w:shd w:val="clear" w:color="auto" w:fill="FFFFFF"/>
        </w:rPr>
      </w:pPr>
    </w:p>
    <w:p w14:paraId="4DDDC1CB">
      <w:pPr>
        <w:keepNext w:val="0"/>
        <w:keepLines w:val="0"/>
        <w:pageBreakBefore w:val="0"/>
        <w:widowControl/>
        <w:kinsoku/>
        <w:wordWrap/>
        <w:overflowPunct/>
        <w:topLinePunct w:val="0"/>
        <w:autoSpaceDE/>
        <w:autoSpaceDN/>
        <w:bidi w:val="0"/>
        <w:adjustRightInd/>
        <w:snapToGrid/>
        <w:spacing w:line="0" w:lineRule="atLeast"/>
        <w:ind w:leftChars="0" w:firstLine="883" w:firstLineChars="200"/>
        <w:contextualSpacing/>
        <w:jc w:val="center"/>
        <w:textAlignment w:val="auto"/>
        <w:rPr>
          <w:rFonts w:hint="eastAsia" w:ascii="方正小标宋_GBK" w:hAnsi="方正小标宋_GBK" w:eastAsia="方正小标宋_GBK" w:cs="方正小标宋_GBK"/>
          <w:b/>
          <w:bCs w:val="0"/>
          <w:sz w:val="44"/>
          <w:szCs w:val="44"/>
          <w:shd w:val="clear" w:color="auto" w:fill="FFFFFF"/>
          <w:lang w:val="en-US" w:eastAsia="zh-CN"/>
        </w:rPr>
      </w:pPr>
      <w:r>
        <w:rPr>
          <w:rFonts w:hint="eastAsia" w:ascii="方正小标宋_GBK" w:hAnsi="方正小标宋_GBK" w:eastAsia="方正小标宋_GBK" w:cs="方正小标宋_GBK"/>
          <w:b/>
          <w:bCs w:val="0"/>
          <w:sz w:val="44"/>
          <w:szCs w:val="44"/>
          <w:shd w:val="clear" w:color="auto" w:fill="FFFFFF"/>
          <w:lang w:val="en-US" w:eastAsia="zh-CN"/>
        </w:rPr>
        <w:t>攀枝花市西区财政国库支付中心</w:t>
      </w:r>
    </w:p>
    <w:p w14:paraId="69358A7E">
      <w:pPr>
        <w:keepNext w:val="0"/>
        <w:keepLines w:val="0"/>
        <w:pageBreakBefore w:val="0"/>
        <w:widowControl/>
        <w:kinsoku/>
        <w:wordWrap/>
        <w:overflowPunct/>
        <w:topLinePunct w:val="0"/>
        <w:autoSpaceDE/>
        <w:autoSpaceDN/>
        <w:bidi w:val="0"/>
        <w:adjustRightInd/>
        <w:snapToGrid/>
        <w:spacing w:line="0" w:lineRule="atLeast"/>
        <w:ind w:leftChars="0" w:firstLine="883" w:firstLineChars="200"/>
        <w:contextualSpacing/>
        <w:jc w:val="center"/>
        <w:textAlignment w:val="auto"/>
        <w:rPr>
          <w:rFonts w:hint="eastAsia" w:ascii="方正小标宋_GBK" w:hAnsi="方正小标宋_GBK" w:eastAsia="方正小标宋_GBK" w:cs="方正小标宋_GBK"/>
          <w:b/>
          <w:bCs w:val="0"/>
          <w:sz w:val="44"/>
          <w:szCs w:val="44"/>
          <w:shd w:val="clear" w:color="auto" w:fill="FFFFFF"/>
        </w:rPr>
      </w:pPr>
      <w:r>
        <w:rPr>
          <w:rFonts w:hint="eastAsia" w:ascii="方正小标宋_GBK" w:hAnsi="方正小标宋_GBK" w:eastAsia="方正小标宋_GBK" w:cs="方正小标宋_GBK"/>
          <w:b/>
          <w:bCs w:val="0"/>
          <w:sz w:val="44"/>
          <w:szCs w:val="44"/>
          <w:shd w:val="clear" w:color="auto" w:fill="FFFFFF"/>
        </w:rPr>
        <w:t>部门预算绩效自评报告</w:t>
      </w:r>
    </w:p>
    <w:p w14:paraId="12781418">
      <w:pPr>
        <w:keepNext w:val="0"/>
        <w:keepLines w:val="0"/>
        <w:pageBreakBefore w:val="0"/>
        <w:widowControl/>
        <w:kinsoku/>
        <w:wordWrap/>
        <w:overflowPunct/>
        <w:topLinePunct w:val="0"/>
        <w:autoSpaceDE/>
        <w:autoSpaceDN/>
        <w:bidi w:val="0"/>
        <w:adjustRightInd w:val="0"/>
        <w:snapToGrid w:val="0"/>
        <w:spacing w:line="240" w:lineRule="auto"/>
        <w:ind w:leftChars="0" w:firstLine="480" w:firstLineChars="200"/>
        <w:contextualSpacing/>
        <w:jc w:val="left"/>
        <w:textAlignment w:val="auto"/>
        <w:rPr>
          <w:rFonts w:eastAsia="黑体"/>
          <w:color w:val="000000"/>
          <w:kern w:val="0"/>
          <w:sz w:val="24"/>
          <w:szCs w:val="32"/>
          <w:shd w:val="clear" w:color="auto" w:fill="FFFFFF"/>
        </w:rPr>
      </w:pPr>
    </w:p>
    <w:p w14:paraId="7F46FB0D">
      <w:pPr>
        <w:keepNext w:val="0"/>
        <w:keepLines w:val="0"/>
        <w:pageBreakBefore w:val="0"/>
        <w:widowControl/>
        <w:kinsoku/>
        <w:wordWrap/>
        <w:overflowPunct/>
        <w:topLinePunct w:val="0"/>
        <w:autoSpaceDE/>
        <w:autoSpaceDN/>
        <w:bidi w:val="0"/>
        <w:adjustRightInd w:val="0"/>
        <w:snapToGrid w:val="0"/>
        <w:spacing w:line="240" w:lineRule="auto"/>
        <w:ind w:leftChars="0" w:firstLine="640" w:firstLineChars="200"/>
        <w:contextualSpacing/>
        <w:jc w:val="left"/>
        <w:textAlignment w:val="auto"/>
        <w:rPr>
          <w:rFonts w:hint="eastAsia" w:ascii="方正黑体_GBK" w:hAnsi="方正黑体_GBK" w:eastAsia="方正黑体_GBK" w:cs="方正黑体_GBK"/>
          <w:szCs w:val="32"/>
        </w:rPr>
      </w:pPr>
      <w:r>
        <w:rPr>
          <w:rFonts w:hint="eastAsia" w:ascii="方正黑体_GBK" w:hAnsi="方正黑体_GBK" w:eastAsia="方正黑体_GBK" w:cs="方正黑体_GBK"/>
          <w:color w:val="000000"/>
          <w:kern w:val="0"/>
          <w:szCs w:val="32"/>
          <w:shd w:val="clear" w:color="auto" w:fill="FFFFFF"/>
          <w:lang w:val="zh-CN"/>
        </w:rPr>
        <w:t>一、部门（单位）基本情况</w:t>
      </w:r>
    </w:p>
    <w:p w14:paraId="06B7DD14">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（一）机构组成</w:t>
      </w:r>
    </w:p>
    <w:p w14:paraId="3FAF211C">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sz w:val="32"/>
          <w:szCs w:val="32"/>
        </w:rPr>
        <w:t>本单位隶属于攀枝花市西区财政局，单位性质为参照公务员法管理事业单位，无下属二级单位。</w:t>
      </w:r>
    </w:p>
    <w:p w14:paraId="7BA6E107">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（二）机构职能</w:t>
      </w:r>
    </w:p>
    <w:p w14:paraId="356A6B64">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根据区财政局批复的预算单位分月用款计划，办理财政性资金支付业务</w:t>
      </w:r>
      <w:r>
        <w:rPr>
          <w:rFonts w:hint="eastAsia" w:eastAsia="方正仿宋_GBK" w:cs="Times New Roman"/>
          <w:sz w:val="32"/>
          <w:szCs w:val="32"/>
          <w:lang w:eastAsia="zh-CN"/>
        </w:rPr>
        <w:t>；</w:t>
      </w:r>
    </w:p>
    <w:p w14:paraId="0D139E63">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对各预算单位会计核算业务工作进行指导；</w:t>
      </w:r>
    </w:p>
    <w:p w14:paraId="613962FD">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建立财政性资金汇总和财政性资金清算管理系统，处理预算单位的支出信息及其他经济信息；</w:t>
      </w:r>
    </w:p>
    <w:p w14:paraId="567690B4">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定期与区财政局、代理银行、预算单位核对账目，向区财政局提供财政性资金支付和清算信息，报告财政性资金支付情况；</w:t>
      </w:r>
    </w:p>
    <w:p w14:paraId="5E133508">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受理预算单位、商品或劳务供应商的账务查询事宜；</w:t>
      </w:r>
    </w:p>
    <w:p w14:paraId="647ECD58">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做好会计档案的保管及移交工作；</w:t>
      </w:r>
    </w:p>
    <w:p w14:paraId="7AAEE667">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参与单位预算编制及其他一些财务管理活动。</w:t>
      </w:r>
    </w:p>
    <w:p w14:paraId="441C2AC0">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（三）人员概况</w:t>
      </w:r>
    </w:p>
    <w:p w14:paraId="1996DDF0">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截至202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年末，</w:t>
      </w:r>
      <w:r>
        <w:rPr>
          <w:rFonts w:hint="default" w:ascii="Times New Roman" w:hAnsi="Times New Roman" w:eastAsia="方正仿宋_GBK" w:cs="Times New Roman"/>
          <w:sz w:val="32"/>
          <w:szCs w:val="32"/>
          <w:lang w:eastAsia="zh-CN"/>
        </w:rPr>
        <w:t>本单位</w:t>
      </w:r>
      <w:r>
        <w:rPr>
          <w:rFonts w:hint="default" w:ascii="Times New Roman" w:hAnsi="Times New Roman" w:eastAsia="方正仿宋_GBK" w:cs="Times New Roman"/>
          <w:sz w:val="32"/>
          <w:szCs w:val="32"/>
        </w:rPr>
        <w:t>有参照公务员法管理事业人员编制11人，聘用人员编制1人。年末实有参照公务员法管理的事业人员</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人，聘用人员1人。</w:t>
      </w:r>
    </w:p>
    <w:p w14:paraId="729668F1">
      <w:pPr>
        <w:keepNext w:val="0"/>
        <w:keepLines w:val="0"/>
        <w:pageBreakBefore w:val="0"/>
        <w:widowControl/>
        <w:kinsoku/>
        <w:wordWrap/>
        <w:overflowPunct/>
        <w:topLinePunct w:val="0"/>
        <w:autoSpaceDE/>
        <w:autoSpaceDN/>
        <w:bidi w:val="0"/>
        <w:adjustRightInd w:val="0"/>
        <w:snapToGrid w:val="0"/>
        <w:spacing w:line="240" w:lineRule="auto"/>
        <w:ind w:leftChars="0" w:firstLine="640" w:firstLineChars="200"/>
        <w:contextualSpacing/>
        <w:jc w:val="left"/>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二、部门资金收支情况</w:t>
      </w:r>
    </w:p>
    <w:p w14:paraId="75FE3991">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（一）收入情况</w:t>
      </w:r>
    </w:p>
    <w:p w14:paraId="41665F98">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本单位</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年年初预算收入</w:t>
      </w:r>
      <w:r>
        <w:rPr>
          <w:rFonts w:hint="default" w:ascii="Times New Roman" w:hAnsi="Times New Roman" w:eastAsia="方正仿宋_GBK" w:cs="Times New Roman"/>
          <w:sz w:val="32"/>
          <w:szCs w:val="32"/>
          <w:lang w:val="en-US" w:eastAsia="zh-CN"/>
        </w:rPr>
        <w:t>207.01万元。其中，一般公共预算资金收入为</w:t>
      </w:r>
      <w:bookmarkStart w:id="2" w:name="_GoBack"/>
      <w:bookmarkEnd w:id="2"/>
      <w:r>
        <w:rPr>
          <w:rFonts w:hint="default" w:ascii="Times New Roman" w:hAnsi="Times New Roman" w:eastAsia="方正仿宋_GBK" w:cs="Times New Roman"/>
          <w:sz w:val="32"/>
          <w:szCs w:val="32"/>
          <w:lang w:val="en-US" w:eastAsia="zh-CN"/>
        </w:rPr>
        <w:t>207.01万元（人员经费162.75万元，公用经费19.26万元，项目经费25万元）。</w:t>
      </w:r>
    </w:p>
    <w:p w14:paraId="0A968283">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预算执行过程中，因</w:t>
      </w:r>
      <w:r>
        <w:rPr>
          <w:rFonts w:hint="default" w:ascii="Times New Roman" w:hAnsi="Times New Roman" w:eastAsia="方正仿宋_GBK" w:cs="Times New Roman"/>
          <w:sz w:val="32"/>
          <w:szCs w:val="32"/>
          <w:lang w:eastAsia="zh-CN"/>
        </w:rPr>
        <w:t>工资调标、支付</w:t>
      </w:r>
      <w:r>
        <w:rPr>
          <w:rFonts w:hint="default" w:ascii="Times New Roman" w:hAnsi="Times New Roman" w:eastAsia="方正仿宋_GBK" w:cs="Times New Roman"/>
          <w:sz w:val="32"/>
          <w:szCs w:val="32"/>
        </w:rPr>
        <w:t>公务员医保个人账户补充等原因，人员经费追</w:t>
      </w:r>
      <w:r>
        <w:rPr>
          <w:rFonts w:hint="default" w:ascii="Times New Roman" w:hAnsi="Times New Roman" w:eastAsia="方正仿宋_GBK" w:cs="Times New Roman"/>
          <w:sz w:val="32"/>
          <w:szCs w:val="32"/>
          <w:lang w:eastAsia="zh-CN"/>
        </w:rPr>
        <w:t>加</w:t>
      </w:r>
      <w:r>
        <w:rPr>
          <w:rFonts w:hint="default" w:ascii="Times New Roman" w:hAnsi="Times New Roman" w:eastAsia="方正仿宋_GBK" w:cs="Times New Roman"/>
          <w:sz w:val="32"/>
          <w:szCs w:val="32"/>
          <w:lang w:val="en-US" w:eastAsia="zh-CN"/>
        </w:rPr>
        <w:t>15.38</w:t>
      </w:r>
      <w:r>
        <w:rPr>
          <w:rFonts w:hint="default" w:ascii="Times New Roman" w:hAnsi="Times New Roman" w:eastAsia="方正仿宋_GBK" w:cs="Times New Roman"/>
          <w:sz w:val="32"/>
          <w:szCs w:val="32"/>
        </w:rPr>
        <w:t>万元，调整为</w:t>
      </w:r>
      <w:r>
        <w:rPr>
          <w:rFonts w:hint="default" w:ascii="Times New Roman" w:hAnsi="Times New Roman" w:eastAsia="方正仿宋_GBK" w:cs="Times New Roman"/>
          <w:sz w:val="32"/>
          <w:szCs w:val="32"/>
          <w:lang w:val="en-US" w:eastAsia="zh-CN"/>
        </w:rPr>
        <w:t>178.13</w:t>
      </w:r>
      <w:r>
        <w:rPr>
          <w:rFonts w:hint="default" w:ascii="Times New Roman" w:hAnsi="Times New Roman" w:eastAsia="方正仿宋_GBK" w:cs="Times New Roman"/>
          <w:sz w:val="32"/>
          <w:szCs w:val="32"/>
        </w:rPr>
        <w:t>万元；公用经费追减</w:t>
      </w:r>
      <w:r>
        <w:rPr>
          <w:rFonts w:hint="default" w:ascii="Times New Roman" w:hAnsi="Times New Roman" w:eastAsia="方正仿宋_GBK" w:cs="Times New Roman"/>
          <w:sz w:val="32"/>
          <w:szCs w:val="32"/>
          <w:lang w:val="en-US" w:eastAsia="zh-CN"/>
        </w:rPr>
        <w:t>3.47</w:t>
      </w:r>
      <w:r>
        <w:rPr>
          <w:rFonts w:hint="default" w:ascii="Times New Roman" w:hAnsi="Times New Roman" w:eastAsia="方正仿宋_GBK" w:cs="Times New Roman"/>
          <w:sz w:val="32"/>
          <w:szCs w:val="32"/>
        </w:rPr>
        <w:t>万元，调整为</w:t>
      </w:r>
      <w:r>
        <w:rPr>
          <w:rFonts w:hint="default" w:ascii="Times New Roman" w:hAnsi="Times New Roman" w:eastAsia="方正仿宋_GBK" w:cs="Times New Roman"/>
          <w:sz w:val="32"/>
          <w:szCs w:val="32"/>
          <w:lang w:val="en-US" w:eastAsia="zh-CN"/>
        </w:rPr>
        <w:t>15.79</w:t>
      </w:r>
      <w:r>
        <w:rPr>
          <w:rFonts w:hint="default" w:ascii="Times New Roman" w:hAnsi="Times New Roman" w:eastAsia="方正仿宋_GBK" w:cs="Times New Roman"/>
          <w:sz w:val="32"/>
          <w:szCs w:val="32"/>
        </w:rPr>
        <w:t>万元；项目经费追减</w:t>
      </w:r>
      <w:r>
        <w:rPr>
          <w:rFonts w:hint="default" w:ascii="Times New Roman" w:hAnsi="Times New Roman" w:eastAsia="方正仿宋_GBK" w:cs="Times New Roman"/>
          <w:sz w:val="32"/>
          <w:szCs w:val="32"/>
          <w:lang w:val="en-US" w:eastAsia="zh-CN"/>
        </w:rPr>
        <w:t>17.23</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，调整为</w:t>
      </w:r>
      <w:r>
        <w:rPr>
          <w:rFonts w:hint="default" w:ascii="Times New Roman" w:hAnsi="Times New Roman" w:eastAsia="方正仿宋_GBK" w:cs="Times New Roman"/>
          <w:sz w:val="32"/>
          <w:szCs w:val="32"/>
          <w:lang w:val="en-US" w:eastAsia="zh-CN"/>
        </w:rPr>
        <w:t>7.77万元。</w:t>
      </w:r>
    </w:p>
    <w:p w14:paraId="46B997F9">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（二）支出情况</w:t>
      </w:r>
    </w:p>
    <w:p w14:paraId="49AEDF91">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本单位</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年年初预算安排支出</w:t>
      </w:r>
      <w:r>
        <w:rPr>
          <w:rFonts w:hint="default" w:ascii="Times New Roman" w:hAnsi="Times New Roman" w:eastAsia="方正仿宋_GBK" w:cs="Times New Roman"/>
          <w:sz w:val="32"/>
          <w:szCs w:val="32"/>
          <w:lang w:val="en-US" w:eastAsia="zh-CN"/>
        </w:rPr>
        <w:t>207.01</w:t>
      </w:r>
      <w:r>
        <w:rPr>
          <w:rFonts w:hint="default" w:ascii="Times New Roman" w:hAnsi="Times New Roman" w:eastAsia="方正仿宋_GBK" w:cs="Times New Roman"/>
          <w:sz w:val="32"/>
          <w:szCs w:val="32"/>
        </w:rPr>
        <w:t>万元，调整后全年实际执行</w:t>
      </w:r>
      <w:r>
        <w:rPr>
          <w:rFonts w:hint="default" w:ascii="Times New Roman" w:hAnsi="Times New Roman" w:eastAsia="方正仿宋_GBK" w:cs="Times New Roman"/>
          <w:sz w:val="32"/>
          <w:szCs w:val="32"/>
          <w:lang w:val="en-US" w:eastAsia="zh-CN"/>
        </w:rPr>
        <w:t>201.69</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193.92</w:t>
      </w:r>
      <w:r>
        <w:rPr>
          <w:rFonts w:hint="default" w:ascii="Times New Roman" w:hAnsi="Times New Roman" w:eastAsia="方正仿宋_GBK" w:cs="Times New Roman"/>
          <w:sz w:val="32"/>
          <w:szCs w:val="32"/>
        </w:rPr>
        <w:t>万元，包括人员经费支出</w:t>
      </w:r>
      <w:r>
        <w:rPr>
          <w:rFonts w:hint="default" w:ascii="Times New Roman" w:hAnsi="Times New Roman" w:eastAsia="方正仿宋_GBK" w:cs="Times New Roman"/>
          <w:sz w:val="32"/>
          <w:szCs w:val="32"/>
          <w:lang w:val="en-US" w:eastAsia="zh-CN"/>
        </w:rPr>
        <w:t>178.13</w:t>
      </w:r>
      <w:r>
        <w:rPr>
          <w:rFonts w:hint="default" w:ascii="Times New Roman" w:hAnsi="Times New Roman" w:eastAsia="方正仿宋_GBK" w:cs="Times New Roman"/>
          <w:sz w:val="32"/>
          <w:szCs w:val="32"/>
        </w:rPr>
        <w:t>万元，日常公用经费支出</w:t>
      </w:r>
      <w:r>
        <w:rPr>
          <w:rFonts w:hint="default" w:ascii="Times New Roman" w:hAnsi="Times New Roman" w:eastAsia="方正仿宋_GBK" w:cs="Times New Roman"/>
          <w:sz w:val="32"/>
          <w:szCs w:val="32"/>
          <w:lang w:val="en-US" w:eastAsia="zh-CN"/>
        </w:rPr>
        <w:t>15.79</w:t>
      </w:r>
      <w:r>
        <w:rPr>
          <w:rFonts w:hint="default" w:ascii="Times New Roman" w:hAnsi="Times New Roman" w:eastAsia="方正仿宋_GBK" w:cs="Times New Roman"/>
          <w:sz w:val="32"/>
          <w:szCs w:val="32"/>
        </w:rPr>
        <w:t>万元；项目经费支出</w:t>
      </w:r>
      <w:r>
        <w:rPr>
          <w:rFonts w:hint="default" w:ascii="Times New Roman" w:hAnsi="Times New Roman" w:eastAsia="方正仿宋_GBK" w:cs="Times New Roman"/>
          <w:sz w:val="32"/>
          <w:szCs w:val="32"/>
          <w:lang w:val="en-US" w:eastAsia="zh-CN"/>
        </w:rPr>
        <w:t>7.77</w:t>
      </w:r>
      <w:r>
        <w:rPr>
          <w:rFonts w:hint="default" w:ascii="Times New Roman" w:hAnsi="Times New Roman" w:eastAsia="方正仿宋_GBK" w:cs="Times New Roman"/>
          <w:sz w:val="32"/>
          <w:szCs w:val="32"/>
        </w:rPr>
        <w:t>万元。</w:t>
      </w:r>
    </w:p>
    <w:p w14:paraId="1CBF462E">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zh-CN" w:eastAsia="zh-CN"/>
        </w:rPr>
        <w:t>人员经费及日常公用经费的及时支付</w:t>
      </w:r>
      <w:r>
        <w:rPr>
          <w:rFonts w:hint="default" w:ascii="Times New Roman" w:hAnsi="Times New Roman" w:eastAsia="方正仿宋_GBK" w:cs="Times New Roman"/>
          <w:sz w:val="32"/>
          <w:szCs w:val="32"/>
          <w:lang w:eastAsia="zh-CN"/>
        </w:rPr>
        <w:t>保障了单位职工待遇足额兑现，机关正常运转，各项工作有序开展；</w:t>
      </w:r>
      <w:r>
        <w:rPr>
          <w:rFonts w:hint="default" w:ascii="Times New Roman" w:hAnsi="Times New Roman" w:eastAsia="方正仿宋_GBK" w:cs="Times New Roman"/>
          <w:sz w:val="32"/>
          <w:szCs w:val="32"/>
          <w:lang w:val="zh-CN" w:eastAsia="zh-CN"/>
        </w:rPr>
        <w:t>国库支付管理业务专项资金的使用提升了集中支付业务效率，完善了集中支付业务流程；保障全区各预算单位财政资金正常、规范、有序支付。</w:t>
      </w:r>
    </w:p>
    <w:p w14:paraId="3271BF64">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（三）结余分配和结转结余情况</w:t>
      </w:r>
    </w:p>
    <w:p w14:paraId="1FC5FCAA">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eastAsia="zh-CN"/>
        </w:rPr>
        <w:t>本单位</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无</w:t>
      </w:r>
      <w:r>
        <w:rPr>
          <w:rFonts w:hint="default" w:ascii="Times New Roman" w:hAnsi="Times New Roman" w:eastAsia="方正仿宋_GBK" w:cs="Times New Roman"/>
          <w:sz w:val="32"/>
          <w:szCs w:val="32"/>
        </w:rPr>
        <w:t>结转结余。</w:t>
      </w:r>
    </w:p>
    <w:p w14:paraId="06FAE2D8">
      <w:pPr>
        <w:keepNext w:val="0"/>
        <w:keepLines w:val="0"/>
        <w:pageBreakBefore w:val="0"/>
        <w:widowControl/>
        <w:kinsoku/>
        <w:wordWrap/>
        <w:overflowPunct/>
        <w:topLinePunct w:val="0"/>
        <w:autoSpaceDE/>
        <w:autoSpaceDN/>
        <w:bidi w:val="0"/>
        <w:adjustRightInd w:val="0"/>
        <w:snapToGrid w:val="0"/>
        <w:spacing w:line="240" w:lineRule="auto"/>
        <w:ind w:leftChars="0" w:firstLine="640" w:firstLineChars="200"/>
        <w:contextualSpacing/>
        <w:jc w:val="left"/>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三、部门预算绩效分析</w:t>
      </w:r>
    </w:p>
    <w:p w14:paraId="2F109ED6">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（一）部门预算总体绩效分析（</w:t>
      </w:r>
      <w:r>
        <w:rPr>
          <w:rFonts w:hint="default" w:ascii="Times New Roman" w:hAnsi="Times New Roman" w:eastAsia="方正楷体_GBK" w:cs="Times New Roman"/>
          <w:b/>
          <w:bCs/>
          <w:color w:val="000000"/>
          <w:kern w:val="0"/>
          <w:szCs w:val="32"/>
          <w:shd w:val="clear" w:color="auto" w:fill="FFFFFF"/>
          <w:lang w:val="en-US" w:eastAsia="zh-CN"/>
        </w:rPr>
        <w:t>61.05分</w:t>
      </w:r>
      <w:r>
        <w:rPr>
          <w:rFonts w:hint="default" w:ascii="Times New Roman" w:hAnsi="Times New Roman" w:eastAsia="方正楷体_GBK" w:cs="Times New Roman"/>
          <w:b/>
          <w:bCs/>
          <w:color w:val="000000"/>
          <w:kern w:val="0"/>
          <w:szCs w:val="32"/>
          <w:shd w:val="clear" w:color="auto" w:fill="FFFFFF"/>
          <w:lang w:val="zh-CN"/>
        </w:rPr>
        <w:t>）</w:t>
      </w:r>
    </w:p>
    <w:p w14:paraId="0504CC24">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lang w:val="zh-CN"/>
        </w:rPr>
        <w:t>履职效能（</w:t>
      </w:r>
      <w:r>
        <w:rPr>
          <w:rFonts w:hint="default" w:ascii="Times New Roman" w:hAnsi="Times New Roman" w:eastAsia="方正仿宋_GBK" w:cs="Times New Roman"/>
          <w:sz w:val="32"/>
          <w:szCs w:val="32"/>
          <w:lang w:val="en-US" w:eastAsia="zh-CN"/>
        </w:rPr>
        <w:t>14.55分</w:t>
      </w:r>
      <w:r>
        <w:rPr>
          <w:rFonts w:hint="default" w:ascii="Times New Roman" w:hAnsi="Times New Roman" w:eastAsia="方正仿宋_GBK" w:cs="Times New Roman"/>
          <w:sz w:val="32"/>
          <w:szCs w:val="32"/>
          <w:lang w:val="zh-CN"/>
        </w:rPr>
        <w:t>）</w:t>
      </w:r>
    </w:p>
    <w:p w14:paraId="1069A8D1">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rPr>
        <w:t>（1）</w:t>
      </w:r>
      <w:r>
        <w:rPr>
          <w:rFonts w:hint="default" w:ascii="Times New Roman" w:hAnsi="Times New Roman" w:eastAsia="方正仿宋_GBK" w:cs="Times New Roman"/>
          <w:sz w:val="32"/>
          <w:szCs w:val="32"/>
          <w:lang w:val="zh-CN" w:eastAsia="zh-CN"/>
        </w:rPr>
        <w:t>产出指标完成情况分析。包括数量指标、质量指标、时效指标。</w:t>
      </w:r>
    </w:p>
    <w:p w14:paraId="5CA94A96">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按照工作计划的顺利推进，国库支付管理业务专项资金的数量、质量、时效指标均达标。提升了集中支付业务效率。</w:t>
      </w:r>
    </w:p>
    <w:p w14:paraId="2C495A41">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eastAsia" w:ascii="Times New Roman" w:hAnsi="Times New Roman" w:eastAsia="方正仿宋_GBK" w:cs="Times New Roman"/>
          <w:sz w:val="32"/>
          <w:szCs w:val="32"/>
          <w:lang w:val="zh-CN"/>
        </w:rPr>
        <w:t>（</w:t>
      </w: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zh-CN"/>
        </w:rPr>
        <w:t>）</w:t>
      </w:r>
      <w:r>
        <w:rPr>
          <w:rFonts w:hint="default" w:ascii="Times New Roman" w:hAnsi="Times New Roman" w:eastAsia="方正仿宋_GBK" w:cs="Times New Roman"/>
          <w:sz w:val="32"/>
          <w:szCs w:val="32"/>
          <w:lang w:val="zh-CN"/>
        </w:rPr>
        <w:t>效益指标完成情况分析</w:t>
      </w:r>
    </w:p>
    <w:p w14:paraId="037FEC53">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eastAsia="zh-CN"/>
        </w:rPr>
        <w:t>通过项目实施，完善了集中支付业务流程，顺利开展了全区集中支付业务，保证了项目社会效益的实现。</w:t>
      </w:r>
    </w:p>
    <w:p w14:paraId="639C9E3F">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（3）满意度指标完成情况分析</w:t>
      </w:r>
    </w:p>
    <w:p w14:paraId="633CF50E">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项目的实施，保障了财政支付系统正常运行，有效推进了财政支付业务，保证服务对象满意度指标达标。</w:t>
      </w:r>
    </w:p>
    <w:p w14:paraId="4F47489B">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zh-CN" w:eastAsia="zh-CN"/>
        </w:rPr>
        <w:t>）成本指标完成情况分析</w:t>
      </w:r>
    </w:p>
    <w:p w14:paraId="56E756CD">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zh-CN" w:eastAsia="zh-CN"/>
        </w:rPr>
        <w:t>年国库支付管理业务项目经费年初预算</w:t>
      </w:r>
      <w:r>
        <w:rPr>
          <w:rFonts w:hint="default" w:ascii="Times New Roman" w:hAnsi="Times New Roman" w:eastAsia="方正仿宋_GBK" w:cs="Times New Roman"/>
          <w:sz w:val="32"/>
          <w:szCs w:val="32"/>
          <w:lang w:val="en-US" w:eastAsia="zh-CN"/>
        </w:rPr>
        <w:t>25万元，</w:t>
      </w:r>
      <w:r>
        <w:rPr>
          <w:rFonts w:hint="default" w:ascii="Times New Roman" w:hAnsi="Times New Roman" w:eastAsia="方正仿宋_GBK" w:cs="Times New Roman"/>
          <w:sz w:val="32"/>
          <w:szCs w:val="32"/>
          <w:lang w:val="zh-CN" w:eastAsia="zh-CN"/>
        </w:rPr>
        <w:t>全年预算数</w:t>
      </w:r>
      <w:r>
        <w:rPr>
          <w:rFonts w:hint="default" w:ascii="Times New Roman" w:hAnsi="Times New Roman" w:eastAsia="方正仿宋_GBK" w:cs="Times New Roman"/>
          <w:sz w:val="32"/>
          <w:szCs w:val="32"/>
          <w:lang w:val="en-US" w:eastAsia="zh-CN"/>
        </w:rPr>
        <w:t>7.77</w:t>
      </w:r>
      <w:r>
        <w:rPr>
          <w:rFonts w:hint="default" w:ascii="Times New Roman" w:hAnsi="Times New Roman" w:eastAsia="方正仿宋_GBK" w:cs="Times New Roman"/>
          <w:sz w:val="32"/>
          <w:szCs w:val="32"/>
          <w:lang w:val="zh-CN" w:eastAsia="zh-CN"/>
        </w:rPr>
        <w:t>万元，执行</w:t>
      </w:r>
      <w:r>
        <w:rPr>
          <w:rFonts w:hint="default" w:ascii="Times New Roman" w:hAnsi="Times New Roman" w:eastAsia="方正仿宋_GBK" w:cs="Times New Roman"/>
          <w:sz w:val="32"/>
          <w:szCs w:val="32"/>
          <w:lang w:val="en-US" w:eastAsia="zh-CN"/>
        </w:rPr>
        <w:t>7.77</w:t>
      </w:r>
      <w:r>
        <w:rPr>
          <w:rFonts w:hint="default" w:ascii="Times New Roman" w:hAnsi="Times New Roman" w:eastAsia="方正仿宋_GBK" w:cs="Times New Roman"/>
          <w:sz w:val="32"/>
          <w:szCs w:val="32"/>
          <w:lang w:val="zh-CN" w:eastAsia="zh-CN"/>
        </w:rPr>
        <w:t>万元，预算执行率</w:t>
      </w:r>
      <w:r>
        <w:rPr>
          <w:rFonts w:hint="default" w:ascii="Times New Roman" w:hAnsi="Times New Roman" w:eastAsia="方正仿宋_GBK" w:cs="Times New Roman"/>
          <w:sz w:val="32"/>
          <w:szCs w:val="32"/>
          <w:lang w:val="en-US" w:eastAsia="zh-CN"/>
        </w:rPr>
        <w:t>100%。</w:t>
      </w:r>
    </w:p>
    <w:p w14:paraId="61E805C0">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rPr>
        <w:t>预算管理（</w:t>
      </w:r>
      <w:r>
        <w:rPr>
          <w:rFonts w:hint="default" w:ascii="Times New Roman" w:hAnsi="Times New Roman" w:eastAsia="方正仿宋_GBK" w:cs="Times New Roman"/>
          <w:sz w:val="32"/>
          <w:szCs w:val="32"/>
          <w:lang w:val="en-US" w:eastAsia="zh-CN"/>
        </w:rPr>
        <w:t>21.5分</w:t>
      </w:r>
      <w:r>
        <w:rPr>
          <w:rFonts w:hint="default" w:ascii="Times New Roman" w:hAnsi="Times New Roman" w:eastAsia="方正仿宋_GBK" w:cs="Times New Roman"/>
          <w:sz w:val="32"/>
          <w:szCs w:val="32"/>
          <w:lang w:val="zh-CN"/>
        </w:rPr>
        <w:t>）</w:t>
      </w:r>
    </w:p>
    <w:p w14:paraId="5C5C694C">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rPr>
        <w:t>）预算编制质量分析（</w:t>
      </w:r>
      <w:r>
        <w:rPr>
          <w:rFonts w:hint="default" w:ascii="Times New Roman" w:hAnsi="Times New Roman" w:eastAsia="方正仿宋_GBK" w:cs="Times New Roman"/>
          <w:sz w:val="32"/>
          <w:szCs w:val="32"/>
          <w:lang w:val="en-US" w:eastAsia="zh-CN"/>
        </w:rPr>
        <w:t>7.90分</w:t>
      </w:r>
      <w:r>
        <w:rPr>
          <w:rFonts w:hint="default" w:ascii="Times New Roman" w:hAnsi="Times New Roman" w:eastAsia="方正仿宋_GBK" w:cs="Times New Roman"/>
          <w:sz w:val="32"/>
          <w:szCs w:val="32"/>
          <w:lang w:val="zh-CN"/>
        </w:rPr>
        <w:t>）</w:t>
      </w:r>
    </w:p>
    <w:p w14:paraId="4D8A8946">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本单位严格按要求编制年初部门预算，确保年初预算编制的科学性和准确性。</w:t>
      </w:r>
      <w:r>
        <w:rPr>
          <w:rFonts w:hint="default" w:ascii="Times New Roman" w:hAnsi="Times New Roman" w:eastAsia="方正仿宋_GBK" w:cs="Times New Roman"/>
          <w:sz w:val="32"/>
          <w:szCs w:val="32"/>
          <w:lang w:val="en-US" w:eastAsia="zh-CN"/>
        </w:rPr>
        <w:t>本年度</w:t>
      </w:r>
      <w:r>
        <w:rPr>
          <w:rFonts w:hint="default" w:ascii="Times New Roman" w:hAnsi="Times New Roman" w:eastAsia="方正仿宋_GBK" w:cs="Times New Roman"/>
          <w:sz w:val="32"/>
          <w:szCs w:val="32"/>
          <w:lang w:val="zh-CN" w:eastAsia="zh-CN"/>
        </w:rPr>
        <w:t>财政拨款预算偏离度</w:t>
      </w:r>
      <w:r>
        <w:rPr>
          <w:rFonts w:hint="default" w:ascii="Times New Roman" w:hAnsi="Times New Roman" w:eastAsia="方正仿宋_GBK" w:cs="Times New Roman"/>
          <w:sz w:val="32"/>
          <w:szCs w:val="32"/>
          <w:lang w:val="en-US" w:eastAsia="zh-CN"/>
        </w:rPr>
        <w:t>2.57</w:t>
      </w:r>
      <w:r>
        <w:rPr>
          <w:rFonts w:hint="default" w:ascii="Times New Roman" w:hAnsi="Times New Roman" w:eastAsia="方正仿宋_GBK" w:cs="Times New Roman"/>
          <w:sz w:val="32"/>
          <w:szCs w:val="32"/>
          <w:lang w:val="zh-CN" w:eastAsia="zh-CN"/>
        </w:rPr>
        <w:t>%，资产配置预算偏离度0，政府采购预算偏离度0。</w:t>
      </w:r>
    </w:p>
    <w:p w14:paraId="50F30405">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（2）单位收入统筹分析（4分）</w:t>
      </w:r>
    </w:p>
    <w:p w14:paraId="55F08F97">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本单位无自有收入。</w:t>
      </w:r>
    </w:p>
    <w:p w14:paraId="682FFB5D">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（3）支出执行进度分析（6分）</w:t>
      </w:r>
    </w:p>
    <w:p w14:paraId="08842A49">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1至6月预算执行数为114.59万元，1至10月预算执行数为182.35万元，无支出预警和支出违规情况。 </w:t>
      </w:r>
    </w:p>
    <w:p w14:paraId="2AAB2F15">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（4）预算年终结余分析（2分）</w:t>
      </w:r>
    </w:p>
    <w:p w14:paraId="11AB9F1F">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本年度无年终预算结余。</w:t>
      </w:r>
    </w:p>
    <w:p w14:paraId="718C7E7F">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（5）严控一般性支出（1.6分）</w:t>
      </w:r>
    </w:p>
    <w:p w14:paraId="383228C6">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单位在“三公”经费、会议、培训、差旅、办节办展、办公设备购置、信息网络及软件购置更新、课题经费等8项一般性支出方面，财政拨款年初预算4.99万元较上年7.49万元减少2.5万元；财政拨款预算执行1.16万元较上年0.86万元增加0.3万元。</w:t>
      </w:r>
    </w:p>
    <w:p w14:paraId="22CE8018">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rPr>
        <w:t>财务管理</w:t>
      </w: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10分</w:t>
      </w:r>
      <w:r>
        <w:rPr>
          <w:rFonts w:hint="default" w:ascii="Times New Roman" w:hAnsi="Times New Roman" w:eastAsia="方正仿宋_GBK" w:cs="Times New Roman"/>
          <w:sz w:val="32"/>
          <w:szCs w:val="32"/>
          <w:lang w:val="zh-CN" w:eastAsia="zh-CN"/>
        </w:rPr>
        <w:t>）</w:t>
      </w:r>
    </w:p>
    <w:p w14:paraId="7E0FD65C">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本单位已制定内部财务管理制度、内部控制制度等制度机制（</w:t>
      </w:r>
      <w:r>
        <w:rPr>
          <w:rFonts w:hint="default" w:ascii="Times New Roman" w:hAnsi="Times New Roman" w:eastAsia="方正仿宋_GBK" w:cs="Times New Roman"/>
          <w:sz w:val="32"/>
          <w:szCs w:val="32"/>
          <w:lang w:val="en-US" w:eastAsia="zh-CN"/>
        </w:rPr>
        <w:t>2分</w:t>
      </w:r>
      <w:r>
        <w:rPr>
          <w:rFonts w:hint="default" w:ascii="Times New Roman" w:hAnsi="Times New Roman" w:eastAsia="方正仿宋_GBK" w:cs="Times New Roman"/>
          <w:sz w:val="32"/>
          <w:szCs w:val="32"/>
          <w:lang w:val="zh-CN" w:eastAsia="zh-CN"/>
        </w:rPr>
        <w:t>），严格执行财务管理制度（</w:t>
      </w:r>
      <w:r>
        <w:rPr>
          <w:rFonts w:hint="default" w:ascii="Times New Roman" w:hAnsi="Times New Roman" w:eastAsia="方正仿宋_GBK" w:cs="Times New Roman"/>
          <w:sz w:val="32"/>
          <w:szCs w:val="32"/>
          <w:lang w:val="en-US" w:eastAsia="zh-CN"/>
        </w:rPr>
        <w:t>2分</w:t>
      </w:r>
      <w:r>
        <w:rPr>
          <w:rFonts w:hint="default" w:ascii="Times New Roman" w:hAnsi="Times New Roman" w:eastAsia="方正仿宋_GBK" w:cs="Times New Roman"/>
          <w:sz w:val="32"/>
          <w:szCs w:val="32"/>
          <w:lang w:val="zh-CN" w:eastAsia="zh-CN"/>
        </w:rPr>
        <w:t>）；合理设置财务工作岗位，明确职责权限，并严格实行不相容岗位分离（</w:t>
      </w:r>
      <w:r>
        <w:rPr>
          <w:rFonts w:hint="default" w:ascii="Times New Roman" w:hAnsi="Times New Roman" w:eastAsia="方正仿宋_GBK" w:cs="Times New Roman"/>
          <w:sz w:val="32"/>
          <w:szCs w:val="32"/>
          <w:lang w:val="en-US" w:eastAsia="zh-CN"/>
        </w:rPr>
        <w:t>2分</w:t>
      </w:r>
      <w:r>
        <w:rPr>
          <w:rFonts w:hint="default" w:ascii="Times New Roman" w:hAnsi="Times New Roman" w:eastAsia="方正仿宋_GBK" w:cs="Times New Roman"/>
          <w:sz w:val="32"/>
          <w:szCs w:val="32"/>
          <w:lang w:val="zh-CN" w:eastAsia="zh-CN"/>
        </w:rPr>
        <w:t>）；部门资金使用符合相关财务管理制度规定（</w:t>
      </w:r>
      <w:r>
        <w:rPr>
          <w:rFonts w:hint="default" w:ascii="Times New Roman" w:hAnsi="Times New Roman" w:eastAsia="方正仿宋_GBK" w:cs="Times New Roman"/>
          <w:sz w:val="32"/>
          <w:szCs w:val="32"/>
          <w:lang w:val="en-US" w:eastAsia="zh-CN"/>
        </w:rPr>
        <w:t>4分</w:t>
      </w:r>
      <w:r>
        <w:rPr>
          <w:rFonts w:hint="default" w:ascii="Times New Roman" w:hAnsi="Times New Roman" w:eastAsia="方正仿宋_GBK" w:cs="Times New Roman"/>
          <w:sz w:val="32"/>
          <w:szCs w:val="32"/>
          <w:lang w:val="zh-CN" w:eastAsia="zh-CN"/>
        </w:rPr>
        <w:t>）。</w:t>
      </w:r>
    </w:p>
    <w:p w14:paraId="0C4CAABD">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zh-CN" w:eastAsia="zh-CN"/>
        </w:rPr>
        <w:t>资产管理（</w:t>
      </w:r>
      <w:r>
        <w:rPr>
          <w:rFonts w:hint="default" w:ascii="Times New Roman" w:hAnsi="Times New Roman" w:eastAsia="方正仿宋_GBK" w:cs="Times New Roman"/>
          <w:sz w:val="32"/>
          <w:szCs w:val="32"/>
          <w:lang w:val="en-US" w:eastAsia="zh-CN"/>
        </w:rPr>
        <w:t>9分</w:t>
      </w:r>
      <w:r>
        <w:rPr>
          <w:rFonts w:hint="default" w:ascii="Times New Roman" w:hAnsi="Times New Roman" w:eastAsia="方正仿宋_GBK" w:cs="Times New Roman"/>
          <w:sz w:val="32"/>
          <w:szCs w:val="32"/>
          <w:lang w:val="zh-CN" w:eastAsia="zh-CN"/>
        </w:rPr>
        <w:t>）</w:t>
      </w:r>
    </w:p>
    <w:p w14:paraId="6C66D491">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本单位</w:t>
      </w:r>
      <w:r>
        <w:rPr>
          <w:rFonts w:hint="default" w:ascii="Times New Roman" w:hAnsi="Times New Roman" w:eastAsia="方正仿宋_GBK" w:cs="Times New Roman"/>
          <w:sz w:val="32"/>
          <w:szCs w:val="32"/>
          <w:lang w:val="zh-CN" w:eastAsia="zh-CN"/>
        </w:rPr>
        <w:t>部门人均资产变化率</w:t>
      </w:r>
      <w:r>
        <w:rPr>
          <w:rFonts w:hint="default" w:ascii="Times New Roman" w:hAnsi="Times New Roman" w:eastAsia="方正仿宋_GBK" w:cs="Times New Roman"/>
          <w:sz w:val="32"/>
          <w:szCs w:val="32"/>
          <w:lang w:val="en-US" w:eastAsia="zh-CN"/>
        </w:rPr>
        <w:t>0.40</w:t>
      </w: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1.5分</w:t>
      </w:r>
      <w:r>
        <w:rPr>
          <w:rFonts w:hint="default" w:ascii="Times New Roman" w:hAnsi="Times New Roman" w:eastAsia="方正仿宋_GBK" w:cs="Times New Roman"/>
          <w:sz w:val="32"/>
          <w:szCs w:val="32"/>
          <w:lang w:val="zh-CN" w:eastAsia="zh-CN"/>
        </w:rPr>
        <w:t>），部门人均资产增长率</w:t>
      </w:r>
      <w:r>
        <w:rPr>
          <w:rFonts w:hint="default" w:ascii="Times New Roman" w:hAnsi="Times New Roman" w:eastAsia="方正仿宋_GBK" w:cs="Times New Roman"/>
          <w:sz w:val="32"/>
          <w:szCs w:val="32"/>
          <w:lang w:val="en-US" w:eastAsia="zh-CN"/>
        </w:rPr>
        <w:t>-0.40</w:t>
      </w: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1.5分</w:t>
      </w:r>
      <w:r>
        <w:rPr>
          <w:rFonts w:hint="default" w:ascii="Times New Roman" w:hAnsi="Times New Roman" w:eastAsia="方正仿宋_GBK" w:cs="Times New Roman"/>
          <w:sz w:val="32"/>
          <w:szCs w:val="32"/>
          <w:lang w:val="zh-CN" w:eastAsia="zh-CN"/>
        </w:rPr>
        <w:t>）；办公家具超最低使用年限资产利用率</w:t>
      </w:r>
      <w:r>
        <w:rPr>
          <w:rFonts w:hint="default" w:ascii="Times New Roman" w:hAnsi="Times New Roman" w:eastAsia="方正仿宋_GBK" w:cs="Times New Roman"/>
          <w:sz w:val="32"/>
          <w:szCs w:val="32"/>
          <w:lang w:val="en-US" w:eastAsia="zh-CN"/>
        </w:rPr>
        <w:t>78.78%（1.5分）</w:t>
      </w:r>
      <w:r>
        <w:rPr>
          <w:rFonts w:hint="default" w:ascii="Times New Roman" w:hAnsi="Times New Roman" w:eastAsia="方正仿宋_GBK" w:cs="Times New Roman"/>
          <w:sz w:val="32"/>
          <w:szCs w:val="32"/>
          <w:lang w:val="zh-CN" w:eastAsia="zh-CN"/>
        </w:rPr>
        <w:t>，办公设备超最低使用年限资产利用率</w:t>
      </w:r>
      <w:r>
        <w:rPr>
          <w:rFonts w:hint="default" w:ascii="Times New Roman" w:hAnsi="Times New Roman" w:eastAsia="方正仿宋_GBK" w:cs="Times New Roman"/>
          <w:sz w:val="32"/>
          <w:szCs w:val="32"/>
          <w:lang w:val="en-US" w:eastAsia="zh-CN"/>
        </w:rPr>
        <w:t>100%（1.5分）；两年均无闲置资产（3分）。</w:t>
      </w:r>
    </w:p>
    <w:p w14:paraId="75778620">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zh-CN" w:eastAsia="zh-CN"/>
        </w:rPr>
        <w:t>采购管理（</w:t>
      </w:r>
      <w:r>
        <w:rPr>
          <w:rFonts w:hint="default" w:ascii="Times New Roman" w:hAnsi="Times New Roman" w:eastAsia="方正仿宋_GBK" w:cs="Times New Roman"/>
          <w:sz w:val="32"/>
          <w:szCs w:val="32"/>
          <w:lang w:val="en-US" w:eastAsia="zh-CN"/>
        </w:rPr>
        <w:t>6分</w:t>
      </w:r>
      <w:r>
        <w:rPr>
          <w:rFonts w:hint="default" w:ascii="Times New Roman" w:hAnsi="Times New Roman" w:eastAsia="方正仿宋_GBK" w:cs="Times New Roman"/>
          <w:sz w:val="32"/>
          <w:szCs w:val="32"/>
          <w:lang w:val="zh-CN" w:eastAsia="zh-CN"/>
        </w:rPr>
        <w:t>）</w:t>
      </w:r>
    </w:p>
    <w:p w14:paraId="1032175D">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本单位严格执行政府采购促进中小企业发展相关管理办法，当年无政府采购。</w:t>
      </w:r>
    </w:p>
    <w:p w14:paraId="180C062F">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（二）部门预算项目绩效分析（</w:t>
      </w:r>
      <w:r>
        <w:rPr>
          <w:rFonts w:hint="default" w:ascii="Times New Roman" w:hAnsi="Times New Roman" w:eastAsia="方正楷体_GBK" w:cs="Times New Roman"/>
          <w:b/>
          <w:bCs/>
          <w:color w:val="000000"/>
          <w:kern w:val="0"/>
          <w:szCs w:val="32"/>
          <w:shd w:val="clear" w:color="auto" w:fill="FFFFFF"/>
          <w:lang w:val="en-US" w:eastAsia="zh-CN"/>
        </w:rPr>
        <w:t>35分</w:t>
      </w:r>
      <w:r>
        <w:rPr>
          <w:rFonts w:hint="default" w:ascii="Times New Roman" w:hAnsi="Times New Roman" w:eastAsia="方正楷体_GBK" w:cs="Times New Roman"/>
          <w:b/>
          <w:bCs/>
          <w:color w:val="000000"/>
          <w:kern w:val="0"/>
          <w:szCs w:val="32"/>
          <w:shd w:val="clear" w:color="auto" w:fill="FFFFFF"/>
          <w:lang w:val="zh-CN"/>
        </w:rPr>
        <w:t>）</w:t>
      </w:r>
    </w:p>
    <w:p w14:paraId="2CE8D9F4">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阶段（含一次性）项目绩效分析。</w:t>
      </w:r>
      <w:r>
        <w:rPr>
          <w:rFonts w:hint="default" w:ascii="Times New Roman" w:hAnsi="Times New Roman" w:eastAsia="方正仿宋_GBK" w:cs="Times New Roman"/>
          <w:sz w:val="32"/>
          <w:szCs w:val="32"/>
          <w:lang w:val="zh-CN" w:eastAsia="zh-CN"/>
        </w:rPr>
        <w:t>该类项目总数</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个，涉及预算总金额</w:t>
      </w:r>
      <w:r>
        <w:rPr>
          <w:rFonts w:hint="default" w:ascii="Times New Roman" w:hAnsi="Times New Roman" w:eastAsia="方正仿宋_GBK" w:cs="Times New Roman"/>
          <w:sz w:val="32"/>
          <w:szCs w:val="32"/>
          <w:lang w:val="en-US" w:eastAsia="zh-CN"/>
        </w:rPr>
        <w:t>7.77</w:t>
      </w:r>
      <w:r>
        <w:rPr>
          <w:rFonts w:hint="default" w:ascii="Times New Roman" w:hAnsi="Times New Roman" w:eastAsia="方正仿宋_GBK" w:cs="Times New Roman"/>
          <w:sz w:val="32"/>
          <w:szCs w:val="32"/>
          <w:lang w:val="zh-CN" w:eastAsia="zh-CN"/>
        </w:rPr>
        <w:t>万元，1—1</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月预算执行总体进度为</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val="zh-CN" w:eastAsia="zh-CN"/>
        </w:rPr>
        <w:t>%，其中：预算结余率大于</w:t>
      </w: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zh-CN" w:eastAsia="zh-CN"/>
        </w:rPr>
        <w:t>的项目共计</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zh-CN" w:eastAsia="zh-CN"/>
        </w:rPr>
        <w:t>个。</w:t>
      </w:r>
    </w:p>
    <w:p w14:paraId="6933590F">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项目决策（</w:t>
      </w:r>
      <w:r>
        <w:rPr>
          <w:rFonts w:hint="default" w:ascii="Times New Roman" w:hAnsi="Times New Roman" w:eastAsia="方正仿宋_GBK" w:cs="Times New Roman"/>
          <w:sz w:val="32"/>
          <w:szCs w:val="32"/>
          <w:lang w:val="en-US" w:eastAsia="zh-CN"/>
        </w:rPr>
        <w:t>12分</w:t>
      </w:r>
      <w:r>
        <w:rPr>
          <w:rFonts w:hint="default" w:ascii="Times New Roman" w:hAnsi="Times New Roman" w:eastAsia="方正仿宋_GBK" w:cs="Times New Roman"/>
          <w:sz w:val="32"/>
          <w:szCs w:val="32"/>
          <w:lang w:val="zh-CN" w:eastAsia="zh-CN"/>
        </w:rPr>
        <w:t>）</w:t>
      </w:r>
    </w:p>
    <w:p w14:paraId="0EE9BCB3">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）决策程序（</w:t>
      </w:r>
      <w:r>
        <w:rPr>
          <w:rFonts w:hint="default" w:ascii="Times New Roman" w:hAnsi="Times New Roman" w:eastAsia="方正仿宋_GBK" w:cs="Times New Roman"/>
          <w:sz w:val="32"/>
          <w:szCs w:val="32"/>
          <w:lang w:val="en-US" w:eastAsia="zh-CN"/>
        </w:rPr>
        <w:t>4分</w:t>
      </w:r>
      <w:r>
        <w:rPr>
          <w:rFonts w:hint="default" w:ascii="Times New Roman" w:hAnsi="Times New Roman" w:eastAsia="方正仿宋_GBK" w:cs="Times New Roman"/>
          <w:sz w:val="32"/>
          <w:szCs w:val="32"/>
          <w:lang w:val="zh-CN" w:eastAsia="zh-CN"/>
        </w:rPr>
        <w:t>）</w:t>
      </w:r>
    </w:p>
    <w:p w14:paraId="7DAAF7AD">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本单位202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zh-CN" w:eastAsia="zh-CN"/>
        </w:rPr>
        <w:t>年国库支付管理业务项目的设立按规定履行了评估论证、申报程序。</w:t>
      </w:r>
    </w:p>
    <w:p w14:paraId="10433E8E">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）目标设置（</w:t>
      </w:r>
      <w:r>
        <w:rPr>
          <w:rFonts w:hint="default" w:ascii="Times New Roman" w:hAnsi="Times New Roman" w:eastAsia="方正仿宋_GBK" w:cs="Times New Roman"/>
          <w:sz w:val="32"/>
          <w:szCs w:val="32"/>
          <w:lang w:val="en-US" w:eastAsia="zh-CN"/>
        </w:rPr>
        <w:t>4分</w:t>
      </w:r>
      <w:r>
        <w:rPr>
          <w:rFonts w:hint="default" w:ascii="Times New Roman" w:hAnsi="Times New Roman" w:eastAsia="方正仿宋_GBK" w:cs="Times New Roman"/>
          <w:sz w:val="32"/>
          <w:szCs w:val="32"/>
          <w:lang w:val="zh-CN" w:eastAsia="zh-CN"/>
        </w:rPr>
        <w:t>）</w:t>
      </w:r>
    </w:p>
    <w:p w14:paraId="149CF84F">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本单位</w:t>
      </w:r>
      <w:r>
        <w:rPr>
          <w:rFonts w:hint="default" w:ascii="Times New Roman" w:hAnsi="Times New Roman" w:eastAsia="方正仿宋_GBK" w:cs="Times New Roman"/>
          <w:sz w:val="32"/>
          <w:szCs w:val="32"/>
          <w:lang w:val="zh-CN" w:eastAsia="zh-CN"/>
        </w:rPr>
        <w:t>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zh-CN" w:eastAsia="zh-CN"/>
        </w:rPr>
        <w:t>年国库支付管理业务</w:t>
      </w:r>
      <w:r>
        <w:rPr>
          <w:rFonts w:hint="default" w:ascii="Times New Roman" w:hAnsi="Times New Roman" w:eastAsia="方正仿宋_GBK" w:cs="Times New Roman"/>
          <w:sz w:val="32"/>
          <w:szCs w:val="32"/>
          <w:lang w:val="en-US" w:eastAsia="zh-CN"/>
        </w:rPr>
        <w:t>项目绩效目标与计划期内的任务量、预算安排的资金量相匹配，绩效目标设置科学合理、规范完整、量化细化。</w:t>
      </w:r>
    </w:p>
    <w:p w14:paraId="63E77A0E">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（3）项目入库（4分）</w:t>
      </w:r>
    </w:p>
    <w:p w14:paraId="5C5BC560">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部门预算</w:t>
      </w:r>
      <w:r>
        <w:rPr>
          <w:rFonts w:hint="default" w:ascii="Times New Roman" w:hAnsi="Times New Roman" w:eastAsia="方正仿宋_GBK" w:cs="Times New Roman"/>
          <w:sz w:val="32"/>
          <w:szCs w:val="32"/>
          <w:lang w:val="en-US" w:eastAsia="zh-CN"/>
        </w:rPr>
        <w:t>项目在规定时</w:t>
      </w:r>
      <w:r>
        <w:rPr>
          <w:rFonts w:hint="eastAsia" w:eastAsia="方正仿宋_GBK" w:cs="Times New Roman"/>
          <w:sz w:val="32"/>
          <w:szCs w:val="32"/>
          <w:lang w:val="en-US" w:eastAsia="zh-CN"/>
        </w:rPr>
        <w:t>间内</w:t>
      </w:r>
      <w:r>
        <w:rPr>
          <w:rFonts w:hint="default" w:ascii="Times New Roman" w:hAnsi="Times New Roman" w:eastAsia="方正仿宋_GBK" w:cs="Times New Roman"/>
          <w:sz w:val="32"/>
          <w:szCs w:val="32"/>
          <w:lang w:val="en-US" w:eastAsia="zh-CN"/>
        </w:rPr>
        <w:t>完成入库。</w:t>
      </w:r>
    </w:p>
    <w:p w14:paraId="7B12B5B0">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2.项目执行（12分）</w:t>
      </w:r>
    </w:p>
    <w:p w14:paraId="4C3DA7A4">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）执行同向（</w:t>
      </w:r>
      <w:r>
        <w:rPr>
          <w:rFonts w:hint="default" w:ascii="Times New Roman" w:hAnsi="Times New Roman" w:eastAsia="方正仿宋_GBK" w:cs="Times New Roman"/>
          <w:sz w:val="32"/>
          <w:szCs w:val="32"/>
          <w:lang w:val="en-US" w:eastAsia="zh-CN"/>
        </w:rPr>
        <w:t>4分</w:t>
      </w:r>
      <w:r>
        <w:rPr>
          <w:rFonts w:hint="default" w:ascii="Times New Roman" w:hAnsi="Times New Roman" w:eastAsia="方正仿宋_GBK" w:cs="Times New Roman"/>
          <w:sz w:val="32"/>
          <w:szCs w:val="32"/>
          <w:lang w:val="zh-CN" w:eastAsia="zh-CN"/>
        </w:rPr>
        <w:t>）</w:t>
      </w:r>
    </w:p>
    <w:p w14:paraId="038FBF98">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部门预算项目实际列支内容与绩效目标设置方向相符。</w:t>
      </w:r>
    </w:p>
    <w:p w14:paraId="0E732D5C">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）项目调整（</w:t>
      </w:r>
      <w:r>
        <w:rPr>
          <w:rFonts w:hint="default" w:ascii="Times New Roman" w:hAnsi="Times New Roman" w:eastAsia="方正仿宋_GBK" w:cs="Times New Roman"/>
          <w:sz w:val="32"/>
          <w:szCs w:val="32"/>
          <w:lang w:val="en-US" w:eastAsia="zh-CN"/>
        </w:rPr>
        <w:t>4分</w:t>
      </w:r>
      <w:r>
        <w:rPr>
          <w:rFonts w:hint="default" w:ascii="Times New Roman" w:hAnsi="Times New Roman" w:eastAsia="方正仿宋_GBK" w:cs="Times New Roman"/>
          <w:sz w:val="32"/>
          <w:szCs w:val="32"/>
          <w:lang w:val="zh-CN" w:eastAsia="zh-CN"/>
        </w:rPr>
        <w:t>）</w:t>
      </w:r>
    </w:p>
    <w:p w14:paraId="43A7775D">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部门预算项目采取了对应调整措施，对未执行完的部分采取收回预算</w:t>
      </w:r>
      <w:r>
        <w:rPr>
          <w:rFonts w:hint="eastAsia" w:eastAsia="方正仿宋_GBK" w:cs="Times New Roman"/>
          <w:sz w:val="32"/>
          <w:szCs w:val="32"/>
          <w:lang w:val="zh-CN" w:eastAsia="zh-CN"/>
        </w:rPr>
        <w:t>的措施。</w:t>
      </w:r>
    </w:p>
    <w:p w14:paraId="2C4B766B">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）执行结果（</w:t>
      </w:r>
      <w:r>
        <w:rPr>
          <w:rFonts w:hint="default" w:ascii="Times New Roman" w:hAnsi="Times New Roman" w:eastAsia="方正仿宋_GBK" w:cs="Times New Roman"/>
          <w:sz w:val="32"/>
          <w:szCs w:val="32"/>
          <w:lang w:val="en-US" w:eastAsia="zh-CN"/>
        </w:rPr>
        <w:t>4分</w:t>
      </w:r>
      <w:r>
        <w:rPr>
          <w:rFonts w:hint="default" w:ascii="Times New Roman" w:hAnsi="Times New Roman" w:eastAsia="方正仿宋_GBK" w:cs="Times New Roman"/>
          <w:sz w:val="32"/>
          <w:szCs w:val="32"/>
          <w:lang w:val="zh-CN" w:eastAsia="zh-CN"/>
        </w:rPr>
        <w:t>）</w:t>
      </w:r>
    </w:p>
    <w:p w14:paraId="529666AC">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部门预算项目预算结余率为</w:t>
      </w:r>
      <w:r>
        <w:rPr>
          <w:rFonts w:hint="default" w:ascii="Times New Roman" w:hAnsi="Times New Roman" w:eastAsia="方正仿宋_GBK" w:cs="Times New Roman"/>
          <w:sz w:val="32"/>
          <w:szCs w:val="32"/>
          <w:lang w:val="en-US" w:eastAsia="zh-CN"/>
        </w:rPr>
        <w:t>0。</w:t>
      </w:r>
    </w:p>
    <w:p w14:paraId="3DDCD3FB">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目标实现（</w:t>
      </w:r>
      <w:r>
        <w:rPr>
          <w:rFonts w:hint="default" w:ascii="Times New Roman" w:hAnsi="Times New Roman" w:eastAsia="方正仿宋_GBK" w:cs="Times New Roman"/>
          <w:sz w:val="32"/>
          <w:szCs w:val="32"/>
          <w:lang w:val="en-US" w:eastAsia="zh-CN"/>
        </w:rPr>
        <w:t>11分</w:t>
      </w:r>
      <w:r>
        <w:rPr>
          <w:rFonts w:hint="default" w:ascii="Times New Roman" w:hAnsi="Times New Roman" w:eastAsia="方正仿宋_GBK" w:cs="Times New Roman"/>
          <w:sz w:val="32"/>
          <w:szCs w:val="32"/>
          <w:lang w:val="zh-CN" w:eastAsia="zh-CN"/>
        </w:rPr>
        <w:t>）</w:t>
      </w:r>
    </w:p>
    <w:p w14:paraId="106E37F2">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zh-CN" w:eastAsia="zh-CN"/>
        </w:rPr>
        <w:t>）目标完成（</w:t>
      </w:r>
      <w:r>
        <w:rPr>
          <w:rFonts w:hint="default" w:ascii="Times New Roman" w:hAnsi="Times New Roman" w:eastAsia="方正仿宋_GBK" w:cs="Times New Roman"/>
          <w:sz w:val="32"/>
          <w:szCs w:val="32"/>
          <w:lang w:val="en-US" w:eastAsia="zh-CN"/>
        </w:rPr>
        <w:t>4分</w:t>
      </w:r>
      <w:r>
        <w:rPr>
          <w:rFonts w:hint="default" w:ascii="Times New Roman" w:hAnsi="Times New Roman" w:eastAsia="方正仿宋_GBK" w:cs="Times New Roman"/>
          <w:sz w:val="32"/>
          <w:szCs w:val="32"/>
          <w:lang w:val="zh-CN" w:eastAsia="zh-CN"/>
        </w:rPr>
        <w:t>）</w:t>
      </w:r>
    </w:p>
    <w:p w14:paraId="1F5689B9">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部门预算项目设定的国库集中支付管理工作经费小于</w:t>
      </w:r>
      <w:r>
        <w:rPr>
          <w:rFonts w:hint="default" w:ascii="Times New Roman" w:hAnsi="Times New Roman" w:eastAsia="方正仿宋_GBK" w:cs="Times New Roman"/>
          <w:sz w:val="32"/>
          <w:szCs w:val="32"/>
          <w:lang w:val="en-US" w:eastAsia="zh-CN"/>
        </w:rPr>
        <w:t>25万元，实际执行7.77万元</w:t>
      </w:r>
      <w:r>
        <w:rPr>
          <w:rFonts w:hint="default" w:ascii="Times New Roman" w:hAnsi="Times New Roman" w:eastAsia="方正仿宋_GBK" w:cs="Times New Roman"/>
          <w:sz w:val="32"/>
          <w:szCs w:val="32"/>
          <w:lang w:val="zh-CN" w:eastAsia="zh-CN"/>
        </w:rPr>
        <w:t>。</w:t>
      </w:r>
    </w:p>
    <w:p w14:paraId="56EA1867">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zh-CN" w:eastAsia="zh-CN"/>
        </w:rPr>
        <w:t>）目标偏离（</w:t>
      </w:r>
      <w:r>
        <w:rPr>
          <w:rFonts w:hint="default" w:ascii="Times New Roman" w:hAnsi="Times New Roman" w:eastAsia="方正仿宋_GBK" w:cs="Times New Roman"/>
          <w:sz w:val="32"/>
          <w:szCs w:val="32"/>
          <w:lang w:val="en-US" w:eastAsia="zh-CN"/>
        </w:rPr>
        <w:t>4分</w:t>
      </w:r>
      <w:r>
        <w:rPr>
          <w:rFonts w:hint="default" w:ascii="Times New Roman" w:hAnsi="Times New Roman" w:eastAsia="方正仿宋_GBK" w:cs="Times New Roman"/>
          <w:sz w:val="32"/>
          <w:szCs w:val="32"/>
          <w:lang w:val="zh-CN" w:eastAsia="zh-CN"/>
        </w:rPr>
        <w:t>）</w:t>
      </w:r>
    </w:p>
    <w:p w14:paraId="7A3E2A03">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部门预算项目绩效目标数量指标实现程度与预期目标一致。</w:t>
      </w:r>
    </w:p>
    <w:p w14:paraId="75C58E83">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zh-CN"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zh-CN" w:eastAsia="zh-CN"/>
        </w:rPr>
        <w:t>）实现效果（</w:t>
      </w:r>
      <w:r>
        <w:rPr>
          <w:rFonts w:hint="default" w:ascii="Times New Roman" w:hAnsi="Times New Roman" w:eastAsia="方正仿宋_GBK" w:cs="Times New Roman"/>
          <w:sz w:val="32"/>
          <w:szCs w:val="32"/>
          <w:lang w:val="en-US" w:eastAsia="zh-CN"/>
        </w:rPr>
        <w:t>3分</w:t>
      </w:r>
      <w:r>
        <w:rPr>
          <w:rFonts w:hint="default" w:ascii="Times New Roman" w:hAnsi="Times New Roman" w:eastAsia="方正仿宋_GBK" w:cs="Times New Roman"/>
          <w:sz w:val="32"/>
          <w:szCs w:val="32"/>
          <w:lang w:val="zh-CN" w:eastAsia="zh-CN"/>
        </w:rPr>
        <w:t>）</w:t>
      </w:r>
    </w:p>
    <w:p w14:paraId="2145844B">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zh-CN" w:eastAsia="zh-CN"/>
        </w:rPr>
      </w:pPr>
      <w:r>
        <w:rPr>
          <w:rFonts w:hint="default" w:ascii="Times New Roman" w:hAnsi="Times New Roman" w:eastAsia="方正仿宋_GBK" w:cs="Times New Roman"/>
          <w:sz w:val="32"/>
          <w:szCs w:val="32"/>
          <w:lang w:val="en-US" w:eastAsia="zh-CN"/>
        </w:rPr>
        <w:t>2025年国库支付管理业务预算项目绩效指标均达标。</w:t>
      </w:r>
    </w:p>
    <w:p w14:paraId="6EFFCDDE">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eastAsia="zh-CN"/>
        </w:rPr>
      </w:pPr>
      <w:r>
        <w:rPr>
          <w:rFonts w:hint="default" w:ascii="Times New Roman" w:hAnsi="Times New Roman" w:eastAsia="方正楷体_GBK" w:cs="Times New Roman"/>
          <w:b/>
          <w:bCs/>
          <w:color w:val="000000"/>
          <w:kern w:val="0"/>
          <w:szCs w:val="32"/>
          <w:shd w:val="clear" w:color="auto" w:fill="FFFFFF"/>
          <w:lang w:val="zh-CN" w:eastAsia="zh-CN"/>
        </w:rPr>
        <w:t>（三）绩效结果应用情况</w:t>
      </w:r>
    </w:p>
    <w:p w14:paraId="6062119F">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zh-CN" w:eastAsia="zh-CN"/>
        </w:rPr>
        <w:t>本单位严格按照相关文件，在西区人民政府网站上公开了部门绩效评价等信息。</w:t>
      </w:r>
    </w:p>
    <w:p w14:paraId="6DEED24E">
      <w:pPr>
        <w:keepNext w:val="0"/>
        <w:keepLines w:val="0"/>
        <w:pageBreakBefore w:val="0"/>
        <w:widowControl/>
        <w:kinsoku/>
        <w:wordWrap/>
        <w:overflowPunct/>
        <w:topLinePunct w:val="0"/>
        <w:autoSpaceDE/>
        <w:autoSpaceDN/>
        <w:bidi w:val="0"/>
        <w:adjustRightInd w:val="0"/>
        <w:snapToGrid w:val="0"/>
        <w:spacing w:line="240" w:lineRule="auto"/>
        <w:ind w:leftChars="0" w:firstLine="640" w:firstLineChars="200"/>
        <w:contextualSpacing/>
        <w:jc w:val="left"/>
        <w:textAlignment w:val="auto"/>
        <w:rPr>
          <w:rFonts w:hint="default" w:ascii="Times New Roman" w:hAnsi="Times New Roman" w:eastAsia="方正黑体_GBK" w:cs="Times New Roman"/>
          <w:color w:val="000000"/>
          <w:kern w:val="0"/>
          <w:szCs w:val="32"/>
          <w:shd w:val="clear" w:color="auto" w:fill="FFFFFF"/>
          <w:lang w:val="zh-CN"/>
        </w:rPr>
      </w:pPr>
      <w:r>
        <w:rPr>
          <w:rFonts w:hint="default" w:ascii="Times New Roman" w:hAnsi="Times New Roman" w:eastAsia="方正黑体_GBK" w:cs="Times New Roman"/>
          <w:color w:val="000000"/>
          <w:kern w:val="0"/>
          <w:szCs w:val="32"/>
          <w:shd w:val="clear" w:color="auto" w:fill="FFFFFF"/>
          <w:lang w:val="zh-CN"/>
        </w:rPr>
        <w:t>四、评价结论及建议</w:t>
      </w:r>
    </w:p>
    <w:p w14:paraId="48B94F34">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（一）评价结论</w:t>
      </w:r>
    </w:p>
    <w:p w14:paraId="0433F124">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按照要求，本单位对部门预算绩效进行自查，对照绩效评价指标体系进行了评分。</w:t>
      </w:r>
      <w:r>
        <w:rPr>
          <w:rFonts w:hint="default" w:ascii="Times New Roman" w:hAnsi="Times New Roman" w:eastAsia="方正仿宋_GBK" w:cs="Times New Roman"/>
          <w:sz w:val="32"/>
          <w:szCs w:val="32"/>
          <w:lang w:val="zh-CN" w:eastAsia="zh-CN"/>
        </w:rPr>
        <w:t>部门预算总体绩效</w:t>
      </w:r>
      <w:r>
        <w:rPr>
          <w:rFonts w:hint="default" w:ascii="Times New Roman" w:hAnsi="Times New Roman" w:eastAsia="方正仿宋_GBK" w:cs="Times New Roman"/>
          <w:sz w:val="32"/>
          <w:szCs w:val="32"/>
          <w:lang w:val="en-US" w:eastAsia="zh-CN"/>
        </w:rPr>
        <w:t>61.05分，</w:t>
      </w:r>
      <w:r>
        <w:rPr>
          <w:rFonts w:hint="default" w:ascii="Times New Roman" w:hAnsi="Times New Roman" w:eastAsia="方正仿宋_GBK" w:cs="Times New Roman"/>
          <w:sz w:val="32"/>
          <w:szCs w:val="32"/>
          <w:lang w:val="zh-CN" w:eastAsia="zh-CN"/>
        </w:rPr>
        <w:t>项目绩效</w:t>
      </w:r>
      <w:r>
        <w:rPr>
          <w:rFonts w:hint="default" w:ascii="Times New Roman" w:hAnsi="Times New Roman" w:eastAsia="方正仿宋_GBK" w:cs="Times New Roman"/>
          <w:sz w:val="32"/>
          <w:szCs w:val="32"/>
          <w:lang w:val="en-US" w:eastAsia="zh-CN"/>
        </w:rPr>
        <w:t>35分，总计得分96.05分。本单位在预算管理和绩效管理工作及被评价对象工作配合方面不存在扣分项。</w:t>
      </w:r>
    </w:p>
    <w:p w14:paraId="22B589EB">
      <w:pPr>
        <w:keepNext w:val="0"/>
        <w:keepLines w:val="0"/>
        <w:pageBreakBefore w:val="0"/>
        <w:kinsoku/>
        <w:wordWrap/>
        <w:overflowPunct/>
        <w:topLinePunct w:val="0"/>
        <w:autoSpaceDE/>
        <w:autoSpaceDN/>
        <w:bidi w:val="0"/>
        <w:spacing w:line="240" w:lineRule="auto"/>
        <w:ind w:leftChars="0" w:firstLine="643" w:firstLineChars="200"/>
        <w:textAlignment w:val="auto"/>
        <w:rPr>
          <w:rFonts w:hint="default" w:ascii="Times New Roman" w:hAnsi="Times New Roman" w:eastAsia="方正楷体_GBK" w:cs="Times New Roman"/>
          <w:b/>
          <w:bCs/>
          <w:color w:val="000000"/>
          <w:kern w:val="0"/>
          <w:szCs w:val="32"/>
          <w:shd w:val="clear" w:color="auto" w:fill="FFFFFF"/>
          <w:lang w:val="zh-CN"/>
        </w:rPr>
      </w:pPr>
      <w:r>
        <w:rPr>
          <w:rFonts w:hint="default" w:ascii="Times New Roman" w:hAnsi="Times New Roman" w:eastAsia="方正楷体_GBK" w:cs="Times New Roman"/>
          <w:b/>
          <w:bCs/>
          <w:color w:val="000000"/>
          <w:kern w:val="0"/>
          <w:szCs w:val="32"/>
          <w:shd w:val="clear" w:color="auto" w:fill="FFFFFF"/>
          <w:lang w:val="zh-CN"/>
        </w:rPr>
        <w:t>（二）存在问题</w:t>
      </w:r>
    </w:p>
    <w:p w14:paraId="37C7161C">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zh-CN" w:eastAsia="zh-CN"/>
        </w:rPr>
        <w:t>履职效能方面，在提升集中支付效率和提高预算单位经办人员满意度上还需进一步加强；</w:t>
      </w:r>
      <w:r>
        <w:rPr>
          <w:rFonts w:hint="default" w:ascii="Times New Roman" w:hAnsi="Times New Roman" w:eastAsia="方正仿宋_GBK" w:cs="Times New Roman"/>
          <w:sz w:val="32"/>
          <w:szCs w:val="32"/>
          <w:lang w:val="en-US" w:eastAsia="zh-CN"/>
        </w:rPr>
        <w:t>严控一般性支出方面，一般性支出财政拨款预算执行较上年未实现压减。</w:t>
      </w:r>
    </w:p>
    <w:p w14:paraId="3A5FB93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firstLine="643" w:firstLineChars="200"/>
        <w:contextualSpacing/>
        <w:jc w:val="left"/>
        <w:textAlignment w:val="auto"/>
        <w:rPr>
          <w:rFonts w:hint="default" w:ascii="Times New Roman" w:hAnsi="Times New Roman" w:eastAsia="楷体_GB2312" w:cs="Times New Roman"/>
          <w:b/>
          <w:bCs/>
          <w:color w:val="000000"/>
          <w:kern w:val="0"/>
          <w:szCs w:val="32"/>
          <w:shd w:val="clear" w:color="auto" w:fill="FFFFFF"/>
          <w:lang w:val="zh-CN"/>
        </w:rPr>
      </w:pPr>
      <w:r>
        <w:rPr>
          <w:rFonts w:hint="default" w:ascii="Times New Roman" w:hAnsi="Times New Roman" w:eastAsia="楷体_GB2312" w:cs="Times New Roman"/>
          <w:b/>
          <w:bCs/>
          <w:color w:val="000000"/>
          <w:kern w:val="0"/>
          <w:szCs w:val="32"/>
          <w:shd w:val="clear" w:color="auto" w:fill="FFFFFF"/>
          <w:lang w:val="en-US" w:eastAsia="zh-CN"/>
        </w:rPr>
        <w:t>（</w:t>
      </w:r>
      <w:r>
        <w:rPr>
          <w:rFonts w:hint="eastAsia" w:eastAsia="楷体_GB2312" w:cs="Times New Roman"/>
          <w:b/>
          <w:bCs/>
          <w:color w:val="000000"/>
          <w:kern w:val="0"/>
          <w:szCs w:val="32"/>
          <w:shd w:val="clear" w:color="auto" w:fill="FFFFFF"/>
          <w:lang w:val="en-US" w:eastAsia="zh-CN"/>
        </w:rPr>
        <w:t>三</w:t>
      </w:r>
      <w:r>
        <w:rPr>
          <w:rFonts w:hint="default" w:ascii="Times New Roman" w:hAnsi="Times New Roman" w:eastAsia="楷体_GB2312" w:cs="Times New Roman"/>
          <w:b/>
          <w:bCs/>
          <w:color w:val="000000"/>
          <w:kern w:val="0"/>
          <w:szCs w:val="32"/>
          <w:shd w:val="clear" w:color="auto" w:fill="FFFFFF"/>
          <w:lang w:val="en-US" w:eastAsia="zh-CN"/>
        </w:rPr>
        <w:t>）</w:t>
      </w:r>
      <w:r>
        <w:rPr>
          <w:rFonts w:hint="default" w:ascii="Times New Roman" w:hAnsi="Times New Roman" w:eastAsia="楷体_GB2312" w:cs="Times New Roman"/>
          <w:b/>
          <w:bCs/>
          <w:color w:val="000000"/>
          <w:kern w:val="0"/>
          <w:szCs w:val="32"/>
          <w:shd w:val="clear" w:color="auto" w:fill="FFFFFF"/>
          <w:lang w:val="zh-CN"/>
        </w:rPr>
        <w:t>改进建议</w:t>
      </w:r>
      <w:bookmarkStart w:id="0" w:name="_Hlk110546638"/>
    </w:p>
    <w:p w14:paraId="687E8275">
      <w:pPr>
        <w:keepNext w:val="0"/>
        <w:keepLines w:val="0"/>
        <w:pageBreakBefore w:val="0"/>
        <w:kinsoku/>
        <w:wordWrap/>
        <w:overflowPunct/>
        <w:topLinePunct w:val="0"/>
        <w:autoSpaceDE/>
        <w:autoSpaceDN/>
        <w:bidi w:val="0"/>
        <w:spacing w:line="240" w:lineRule="auto"/>
        <w:ind w:leftChars="0" w:firstLine="640" w:firstLineChars="200"/>
        <w:textAlignment w:val="auto"/>
        <w:rPr>
          <w:rFonts w:hint="default" w:ascii="Times New Roman" w:hAnsi="Times New Roman" w:eastAsia="方正仿宋_GBK" w:cs="Times New Roman"/>
          <w:sz w:val="32"/>
          <w:szCs w:val="32"/>
          <w:lang w:val="en" w:eastAsia="zh-CN"/>
        </w:rPr>
      </w:pPr>
      <w:r>
        <w:rPr>
          <w:rFonts w:hint="default" w:ascii="Times New Roman" w:hAnsi="Times New Roman" w:eastAsia="方正仿宋_GBK" w:cs="Times New Roman"/>
          <w:sz w:val="32"/>
          <w:szCs w:val="32"/>
          <w:lang w:val="zh-CN" w:eastAsia="zh-CN"/>
        </w:rPr>
        <w:t>一是提高工作主动性和积极性，加强与各业务股室及预算单位、代理银行的沟通。二是加强单位内部管理，强化科室人员业务培训学习，不断更新知识结构，努力提高工作人员政策水平和业务能力，强化责任意识、服务意识，努力为预算单位服务。</w:t>
      </w:r>
    </w:p>
    <w:bookmarkEnd w:id="0"/>
    <w:p w14:paraId="5473E9B3">
      <w:pPr>
        <w:keepNext w:val="0"/>
        <w:keepLines w:val="0"/>
        <w:pageBreakBefore w:val="0"/>
        <w:kinsoku/>
        <w:wordWrap/>
        <w:overflowPunct/>
        <w:topLinePunct w:val="0"/>
        <w:autoSpaceDE/>
        <w:autoSpaceDN/>
        <w:bidi w:val="0"/>
        <w:spacing w:line="240" w:lineRule="auto"/>
        <w:ind w:leftChars="0" w:firstLine="640" w:firstLineChars="200"/>
        <w:contextualSpacing/>
        <w:textAlignment w:val="auto"/>
        <w:rPr>
          <w:rFonts w:hint="default" w:ascii="Times New Roman" w:hAnsi="Times New Roman" w:eastAsia="黑体" w:cs="Times New Roman"/>
          <w:szCs w:val="32"/>
        </w:rPr>
      </w:pPr>
    </w:p>
    <w:p w14:paraId="7189924B">
      <w:pPr>
        <w:spacing w:line="578" w:lineRule="exact"/>
        <w:ind w:firstLine="640" w:firstLineChars="200"/>
        <w:rPr>
          <w:rFonts w:hint="default" w:ascii="Times New Roman" w:hAnsi="Times New Roman" w:cs="Times New Roman"/>
          <w:szCs w:val="32"/>
          <w:lang w:bidi="ar"/>
        </w:rPr>
      </w:pPr>
      <w:r>
        <w:rPr>
          <w:rFonts w:hint="default" w:ascii="Times New Roman" w:hAnsi="Times New Roman" w:cs="Times New Roman"/>
          <w:color w:val="000000"/>
          <w:kern w:val="0"/>
          <w:szCs w:val="32"/>
          <w:shd w:val="clear" w:color="auto" w:fill="FFFFFF"/>
        </w:rPr>
        <w:t>附表：1.</w:t>
      </w:r>
      <w:r>
        <w:rPr>
          <w:rFonts w:hint="default" w:ascii="Times New Roman" w:hAnsi="Times New Roman" w:cs="Times New Roman"/>
          <w:szCs w:val="32"/>
          <w:lang w:bidi="ar"/>
        </w:rPr>
        <w:t>部门预算绩效自评打分表</w:t>
      </w:r>
    </w:p>
    <w:p w14:paraId="20E0E05A">
      <w:pPr>
        <w:spacing w:line="578" w:lineRule="exact"/>
        <w:ind w:firstLine="1600" w:firstLineChars="500"/>
        <w:rPr>
          <w:rFonts w:hint="default" w:ascii="Times New Roman" w:hAnsi="Times New Roman" w:cs="Times New Roman"/>
          <w:color w:val="000000"/>
          <w:kern w:val="0"/>
          <w:szCs w:val="32"/>
          <w:shd w:val="clear" w:color="auto" w:fill="FFFFFF"/>
        </w:rPr>
      </w:pPr>
      <w:r>
        <w:rPr>
          <w:rFonts w:hint="default" w:ascii="Times New Roman" w:hAnsi="Times New Roman" w:cs="Times New Roman"/>
          <w:szCs w:val="32"/>
          <w:lang w:bidi="ar"/>
        </w:rPr>
        <w:t>2.</w:t>
      </w:r>
      <w:r>
        <w:rPr>
          <w:rFonts w:hint="default" w:ascii="Times New Roman" w:hAnsi="Times New Roman" w:cs="Times New Roman"/>
          <w:color w:val="000000"/>
          <w:kern w:val="0"/>
          <w:szCs w:val="32"/>
          <w:shd w:val="clear" w:color="auto" w:fill="FFFFFF"/>
        </w:rPr>
        <w:t>部门整体绩效目标完成情况自评表</w:t>
      </w:r>
    </w:p>
    <w:p w14:paraId="77151EB7">
      <w:pPr>
        <w:spacing w:line="578" w:lineRule="exact"/>
        <w:ind w:firstLine="1600" w:firstLineChars="500"/>
        <w:rPr>
          <w:rFonts w:hint="default" w:ascii="Times New Roman" w:hAnsi="Times New Roman" w:cs="Times New Roman"/>
          <w:szCs w:val="32"/>
          <w:lang w:bidi="ar"/>
        </w:rPr>
      </w:pPr>
    </w:p>
    <w:p w14:paraId="31569AD1">
      <w:pPr>
        <w:spacing w:line="578" w:lineRule="exact"/>
        <w:jc w:val="left"/>
        <w:rPr>
          <w:rFonts w:eastAsia="黑体"/>
        </w:rPr>
      </w:pPr>
      <w:r>
        <w:rPr>
          <w:rFonts w:hint="default" w:ascii="Times New Roman" w:hAnsi="Times New Roman" w:cs="Times New Roman"/>
          <w:color w:val="000000"/>
          <w:kern w:val="0"/>
          <w:szCs w:val="32"/>
          <w:shd w:val="clear" w:color="auto" w:fill="FFFFFF"/>
        </w:rPr>
        <w:br w:type="page"/>
      </w:r>
      <w:r>
        <w:rPr>
          <w:rFonts w:eastAsia="黑体"/>
        </w:rPr>
        <w:t>附表</w:t>
      </w:r>
      <w:r>
        <w:rPr>
          <w:rFonts w:hint="eastAsia" w:eastAsia="黑体"/>
        </w:rPr>
        <w:t>1</w:t>
      </w:r>
    </w:p>
    <w:p w14:paraId="2BAFF03C">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2"/>
        <w:tblW w:w="10819" w:type="dxa"/>
        <w:jc w:val="center"/>
        <w:tblLayout w:type="fixed"/>
        <w:tblCellMar>
          <w:top w:w="0" w:type="dxa"/>
          <w:left w:w="108" w:type="dxa"/>
          <w:bottom w:w="0" w:type="dxa"/>
          <w:right w:w="108" w:type="dxa"/>
        </w:tblCellMar>
      </w:tblPr>
      <w:tblGrid>
        <w:gridCol w:w="1004"/>
        <w:gridCol w:w="1462"/>
        <w:gridCol w:w="1665"/>
        <w:gridCol w:w="748"/>
        <w:gridCol w:w="4614"/>
        <w:gridCol w:w="848"/>
        <w:gridCol w:w="478"/>
      </w:tblGrid>
      <w:tr w14:paraId="61BE3F98">
        <w:tblPrEx>
          <w:tblCellMar>
            <w:top w:w="0" w:type="dxa"/>
            <w:left w:w="108" w:type="dxa"/>
            <w:bottom w:w="0" w:type="dxa"/>
            <w:right w:w="108" w:type="dxa"/>
          </w:tblCellMar>
        </w:tblPrEx>
        <w:trPr>
          <w:trHeight w:val="23" w:hRule="atLeast"/>
          <w:jc w:val="center"/>
        </w:trPr>
        <w:tc>
          <w:tcPr>
            <w:tcW w:w="48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6B163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绩效评价</w:t>
            </w:r>
            <w:r>
              <w:rPr>
                <w:rFonts w:hint="eastAsia" w:eastAsia="方正仿宋_GBK" w:cs="Times New Roman"/>
                <w:color w:val="000000"/>
                <w:kern w:val="0"/>
                <w:sz w:val="24"/>
                <w:lang w:eastAsia="zh-CN" w:bidi="ar"/>
              </w:rPr>
              <w:t>指标</w:t>
            </w:r>
            <w:r>
              <w:rPr>
                <w:rFonts w:hint="default" w:ascii="Times New Roman" w:hAnsi="Times New Roman" w:eastAsia="方正仿宋_GBK" w:cs="Times New Roman"/>
                <w:color w:val="000000"/>
                <w:kern w:val="0"/>
                <w:sz w:val="24"/>
                <w:lang w:bidi="ar"/>
              </w:rPr>
              <w:t>分值</w:t>
            </w:r>
          </w:p>
        </w:tc>
        <w:tc>
          <w:tcPr>
            <w:tcW w:w="4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400B3">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指标解释</w:t>
            </w:r>
          </w:p>
        </w:tc>
        <w:tc>
          <w:tcPr>
            <w:tcW w:w="848" w:type="dxa"/>
            <w:vMerge w:val="restart"/>
            <w:tcBorders>
              <w:top w:val="single" w:color="000000" w:sz="4" w:space="0"/>
              <w:left w:val="single" w:color="000000" w:sz="4" w:space="0"/>
              <w:right w:val="single" w:color="000000" w:sz="4" w:space="0"/>
            </w:tcBorders>
            <w:shd w:val="clear" w:color="auto" w:fill="auto"/>
            <w:vAlign w:val="center"/>
          </w:tcPr>
          <w:p w14:paraId="2A1572E0">
            <w:pPr>
              <w:widowControl/>
              <w:spacing w:line="24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385D706C">
            <w:pPr>
              <w:widowControl/>
              <w:spacing w:line="24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备注</w:t>
            </w:r>
          </w:p>
        </w:tc>
      </w:tr>
      <w:tr w14:paraId="33758CCA">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71B70C4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F59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506F">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三级指标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708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r>
              <w:rPr>
                <w:rFonts w:hint="default" w:ascii="Times New Roman" w:hAnsi="Times New Roman" w:eastAsia="方正仿宋_GBK" w:cs="Times New Roman"/>
                <w:color w:val="000000"/>
                <w:kern w:val="0"/>
                <w:sz w:val="24"/>
                <w:lang w:bidi="ar"/>
              </w:rPr>
              <w:br w:type="textWrapping"/>
            </w:r>
            <w:r>
              <w:rPr>
                <w:rFonts w:hint="default" w:ascii="Times New Roman" w:hAnsi="Times New Roman" w:eastAsia="方正仿宋_GBK" w:cs="Times New Roman"/>
                <w:color w:val="000000"/>
                <w:kern w:val="0"/>
                <w:sz w:val="24"/>
                <w:lang w:bidi="ar"/>
              </w:rPr>
              <w:t>分值</w:t>
            </w:r>
          </w:p>
        </w:tc>
        <w:tc>
          <w:tcPr>
            <w:tcW w:w="4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86B31">
            <w:pPr>
              <w:widowControl/>
              <w:spacing w:line="240" w:lineRule="exact"/>
              <w:jc w:val="center"/>
              <w:rPr>
                <w:rFonts w:hint="default" w:ascii="Times New Roman" w:hAnsi="Times New Roman" w:eastAsia="方正仿宋_GBK" w:cs="Times New Roman"/>
                <w:color w:val="000000"/>
                <w:sz w:val="24"/>
              </w:rPr>
            </w:pPr>
          </w:p>
        </w:tc>
        <w:tc>
          <w:tcPr>
            <w:tcW w:w="848" w:type="dxa"/>
            <w:vMerge w:val="continue"/>
            <w:tcBorders>
              <w:left w:val="single" w:color="000000" w:sz="4" w:space="0"/>
              <w:bottom w:val="single" w:color="000000" w:sz="4" w:space="0"/>
              <w:right w:val="single" w:color="000000" w:sz="4" w:space="0"/>
            </w:tcBorders>
            <w:shd w:val="clear" w:color="auto" w:fill="auto"/>
            <w:vAlign w:val="center"/>
          </w:tcPr>
          <w:p w14:paraId="6054CC3D">
            <w:pPr>
              <w:widowControl/>
              <w:spacing w:line="240" w:lineRule="exact"/>
              <w:jc w:val="center"/>
              <w:rPr>
                <w:rFonts w:hint="default" w:ascii="Times New Roman" w:hAnsi="Times New Roman" w:eastAsia="方正仿宋_GBK" w:cs="Times New Roman"/>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64572E52">
            <w:pPr>
              <w:widowControl/>
              <w:spacing w:line="240" w:lineRule="exact"/>
              <w:jc w:val="center"/>
              <w:rPr>
                <w:rFonts w:hint="default" w:ascii="Times New Roman" w:hAnsi="Times New Roman" w:eastAsia="方正仿宋_GBK" w:cs="Times New Roman"/>
                <w:color w:val="000000"/>
                <w:sz w:val="24"/>
              </w:rPr>
            </w:pPr>
          </w:p>
        </w:tc>
      </w:tr>
      <w:tr w14:paraId="444422E8">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5AF306AF">
            <w:pPr>
              <w:widowControl/>
              <w:spacing w:line="240" w:lineRule="exact"/>
              <w:jc w:val="center"/>
              <w:textAlignment w:val="center"/>
              <w:rPr>
                <w:rFonts w:hint="default" w:ascii="Times New Roman" w:hAnsi="Times New Roman" w:eastAsia="方正仿宋_GBK" w:cs="Times New Roman"/>
                <w:b/>
                <w:color w:val="000000"/>
                <w:kern w:val="0"/>
                <w:sz w:val="24"/>
                <w:lang w:bidi="ar"/>
              </w:rPr>
            </w:pPr>
            <w:r>
              <w:rPr>
                <w:rFonts w:hint="default" w:ascii="Times New Roman" w:hAnsi="Times New Roman" w:eastAsia="方正仿宋_GBK" w:cs="Times New Roman"/>
                <w:b/>
                <w:color w:val="000000"/>
                <w:kern w:val="0"/>
                <w:sz w:val="24"/>
                <w:lang w:bidi="ar"/>
              </w:rPr>
              <w:t>总体绩效</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（65分）</w:t>
            </w:r>
          </w:p>
          <w:p w14:paraId="56A1C483">
            <w:pPr>
              <w:widowControl/>
              <w:spacing w:line="240" w:lineRule="exact"/>
              <w:jc w:val="center"/>
              <w:textAlignment w:val="center"/>
              <w:rPr>
                <w:rFonts w:hint="default" w:ascii="Times New Roman" w:hAnsi="Times New Roman" w:eastAsia="方正仿宋_GBK" w:cs="Times New Roman"/>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0D83">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履职效能</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C723">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zh-CN" w:bidi="ar"/>
              </w:rPr>
              <w:t>国库集中支付管理业务</w:t>
            </w:r>
            <w:r>
              <w:rPr>
                <w:rFonts w:hint="default" w:ascii="Times New Roman" w:hAnsi="Times New Roman" w:eastAsia="方正仿宋_GBK" w:cs="Times New Roman"/>
                <w:color w:val="000000"/>
                <w:kern w:val="0"/>
                <w:sz w:val="24"/>
                <w:lang w:bidi="ar"/>
              </w:rPr>
              <w:t>履职效果</w:t>
            </w:r>
          </w:p>
        </w:tc>
        <w:tc>
          <w:tcPr>
            <w:tcW w:w="748" w:type="dxa"/>
            <w:tcBorders>
              <w:top w:val="nil"/>
              <w:left w:val="single" w:color="000000" w:sz="4" w:space="0"/>
              <w:bottom w:val="single" w:color="000000" w:sz="4" w:space="0"/>
              <w:right w:val="single" w:color="000000" w:sz="4" w:space="0"/>
            </w:tcBorders>
            <w:shd w:val="clear" w:color="auto" w:fill="auto"/>
            <w:vAlign w:val="center"/>
          </w:tcPr>
          <w:p w14:paraId="40A3204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15</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2D28">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部门整体绩效目标中选定3</w:t>
            </w:r>
            <w:r>
              <w:rPr>
                <w:rFonts w:hint="eastAsia" w:eastAsia="方正仿宋_GBK" w:cs="Times New Roman"/>
                <w:color w:val="000000"/>
                <w:kern w:val="0"/>
                <w:sz w:val="24"/>
                <w:lang w:eastAsia="zh-CN" w:bidi="ar"/>
              </w:rPr>
              <w:t>—</w:t>
            </w:r>
            <w:r>
              <w:rPr>
                <w:rFonts w:hint="default" w:ascii="Times New Roman" w:hAnsi="Times New Roman" w:eastAsia="方正仿宋_GBK" w:cs="Times New Roman"/>
                <w:color w:val="000000"/>
                <w:kern w:val="0"/>
                <w:sz w:val="24"/>
                <w:lang w:bidi="ar"/>
              </w:rPr>
              <w:t>5个核心职能目标，反映该项职能目标完成效果情况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06D2">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14.55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08BE">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93781F8">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B17F7D8">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00E84">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预算管理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3432">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预算编制质量</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E7BC">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8</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3F0B">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部门是否严格按要求编制年初部门预算，年初预算编制的科学性和准确性</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D218">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7.9</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F3B5">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BE14CE0">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5E6FED5">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F3756">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96D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单位收入统筹</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2A6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317E">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部门统筹自有收入程度</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2CC6">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00ED">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AF9F74B">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D28FA31">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ACCA2">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5722">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支出执行进度</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93F8">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6</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F58A9">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部门1至6月、1至10月预算执行情况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6A27">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98D1B">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EFF07E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6E3F96D7">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0BC75">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8FE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预算年终结余</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A742">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2</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82C0">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部门整体年终预算结余情况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C06A">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F188">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6179CA30">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961E558">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248A3">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CE4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严控一般性支出</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6807">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5</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6E1A">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部门严控“三公”经费、会议、培训、差旅、办节办展、办公设备购置、信息网络及软件购置更新、课题经费等8项一般性支出情况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393C">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1.6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14E4">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0EE02422">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0F70B88">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9236F">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财务管理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48F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财务管理制度</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259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7B0F">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部门财务管理制度建立情况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A1DC">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9311">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62DBF0C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2842D5A">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0BA9E">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A3A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财务岗位设置</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DAE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2</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090E">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部门财务岗位设置是否符合相关财务管理制度要求</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21D0">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AF58">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543EDB2B">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F5D832A">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F9B68">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5BA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资金使用规范</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F988">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377F">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部门资金使用是否符合相关财务管理制度规定</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A58E">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0578">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09C317EB">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1AFB5B9">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150C3D46">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资产管理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483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人均资产变化率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F73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22F3">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部门人均资产变化情况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0C4F">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63B4">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9797ECA">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077F2F3C">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left w:val="single" w:color="000000" w:sz="4" w:space="0"/>
              <w:right w:val="single" w:color="000000" w:sz="4" w:space="0"/>
            </w:tcBorders>
            <w:shd w:val="clear" w:color="auto" w:fill="auto"/>
            <w:vAlign w:val="center"/>
          </w:tcPr>
          <w:p w14:paraId="240FBDEC">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5D07">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资产利用率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B6F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EF00">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部门资产超最低使用年限情况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0D2C">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262A">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6CFD3C0E">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E6F34F2">
            <w:pPr>
              <w:widowControl/>
              <w:spacing w:line="240" w:lineRule="exact"/>
              <w:jc w:val="center"/>
              <w:textAlignment w:val="center"/>
              <w:rPr>
                <w:rFonts w:hint="default" w:ascii="Times New Roman" w:hAnsi="Times New Roman" w:eastAsia="方正仿宋_GBK" w:cs="Times New Roman"/>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45028BA3">
            <w:pPr>
              <w:widowControl/>
              <w:spacing w:line="240" w:lineRule="exact"/>
              <w:jc w:val="center"/>
              <w:textAlignment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B66B">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资产盘活率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FF4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3605">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部门闲置一年以上的资产盘活情况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84E14">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0479">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37DFB75">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707B053F">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A939D">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采购管理</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11E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支持中小企业发展</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1927">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7EAB">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部门是否严格执行政府采购促进中小企业发展相关管理办法</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19FF">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30E7">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1FBCF11">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438E28D7">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E545D">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9D5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采购执行率</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42B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E3DD">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部门政府采购项目资金支付比例情况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1F3B9">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A0F6">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402B623F">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073D2">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项目绩效</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2FB8E573">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项目决策</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C2A">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决策程序</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92B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1E87">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部门预算项目设立是否按规定履行评估论证、申报程序</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E2CF">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7BC3">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804868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36D21">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50A29E5">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498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目标设置</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C763">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2BB9">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部门预算项目绩效目标与计划期内的任务量、预算安排的资金量匹配情况，绩效目标设置是否科学合理、规范完整、量化细化、预算匹配</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CADB">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38BD">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54E67F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335BA">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3E1A159">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D29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项目入库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6B0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9D64">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部门预算项目是否在规定时</w:t>
            </w:r>
            <w:r>
              <w:rPr>
                <w:rFonts w:hint="eastAsia" w:eastAsia="方正仿宋_GBK" w:cs="Times New Roman"/>
                <w:color w:val="000000"/>
                <w:kern w:val="0"/>
                <w:sz w:val="24"/>
                <w:lang w:eastAsia="zh-CN" w:bidi="ar"/>
              </w:rPr>
              <w:t>间内</w:t>
            </w:r>
            <w:r>
              <w:rPr>
                <w:rFonts w:hint="default" w:ascii="Times New Roman" w:hAnsi="Times New Roman" w:eastAsia="方正仿宋_GBK" w:cs="Times New Roman"/>
                <w:color w:val="000000"/>
                <w:kern w:val="0"/>
                <w:sz w:val="24"/>
                <w:lang w:bidi="ar"/>
              </w:rPr>
              <w:t>完成项目入库</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AB6A">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2195">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EBDC1A4">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14E61">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344ECD1D">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项目执行</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3FE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执行同向</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949F">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9518">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部门预算项目实际列支内容是否与绩效目标设置方向相符</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7010">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CCD5">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3CEA283E">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23862">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40866E85">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7BC39D81">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项目调整</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3E3C">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9916">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部门预算项目是否采取对应调整措施</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9DEF">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BF45">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21BD350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E64CA">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31796E83">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2E3E">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执行结果</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E342">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FCC2">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部门预算项目预算执行情况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D3F7">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DB00">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5BF1EF1A">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51376">
            <w:pPr>
              <w:widowControl/>
              <w:spacing w:line="240" w:lineRule="exact"/>
              <w:jc w:val="center"/>
              <w:rPr>
                <w:rFonts w:hint="default" w:ascii="Times New Roman" w:hAnsi="Times New Roman" w:eastAsia="方正仿宋_GBK" w:cs="Times New Roman"/>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59DB8">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目标实现</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6ABD">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目标完成</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94E5">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8EAB">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部门预算项目绩效目标数量指标完成情况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247E">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51B0">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D381E05">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00163">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17B4B">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B05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目标偏离</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19BA">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4</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FB77">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部门预算项目绩效目标数量指标实现程度与预期目标的偏离情况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1411">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0AAD">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17021563">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2C8E3">
            <w:pPr>
              <w:widowControl/>
              <w:spacing w:line="240" w:lineRule="exact"/>
              <w:jc w:val="center"/>
              <w:rPr>
                <w:rFonts w:hint="default" w:ascii="Times New Roman" w:hAnsi="Times New Roman" w:eastAsia="方正仿宋_GBK" w:cs="Times New Roman"/>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E0EC0">
            <w:pPr>
              <w:widowControl/>
              <w:spacing w:line="240" w:lineRule="exact"/>
              <w:jc w:val="center"/>
              <w:rPr>
                <w:rFonts w:hint="default" w:ascii="Times New Roman" w:hAnsi="Times New Roman" w:eastAsia="方正仿宋_GBK" w:cs="Times New Roman"/>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5FF6">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实现效果</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DC74">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3</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0C46">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部门预算项目绩效目标效益指标实施效果</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8343">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5A60">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r w14:paraId="77C0F749">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B31A">
            <w:pPr>
              <w:widowControl/>
              <w:spacing w:line="240" w:lineRule="exact"/>
              <w:jc w:val="center"/>
              <w:textAlignment w:val="center"/>
              <w:rPr>
                <w:rFonts w:hint="default" w:ascii="Times New Roman" w:hAnsi="Times New Roman" w:eastAsia="方正仿宋_GBK" w:cs="Times New Roman"/>
                <w:b/>
                <w:color w:val="000000"/>
                <w:sz w:val="24"/>
              </w:rPr>
            </w:pPr>
            <w:r>
              <w:rPr>
                <w:rFonts w:hint="default" w:ascii="Times New Roman" w:hAnsi="Times New Roman" w:eastAsia="方正仿宋_GBK" w:cs="Times New Roman"/>
                <w:b/>
                <w:color w:val="000000"/>
                <w:kern w:val="0"/>
                <w:sz w:val="24"/>
                <w:lang w:bidi="ar"/>
              </w:rPr>
              <w:t>扣分项</w:t>
            </w:r>
            <w:r>
              <w:rPr>
                <w:rFonts w:hint="default" w:ascii="Times New Roman" w:hAnsi="Times New Roman" w:eastAsia="方正仿宋_GBK" w:cs="Times New Roman"/>
                <w:b/>
                <w:color w:val="000000"/>
                <w:kern w:val="0"/>
                <w:sz w:val="24"/>
                <w:lang w:bidi="ar"/>
              </w:rPr>
              <w:br w:type="textWrapping"/>
            </w:r>
            <w:r>
              <w:rPr>
                <w:rFonts w:hint="default" w:ascii="Times New Roman" w:hAnsi="Times New Roman" w:eastAsia="方正仿宋_GBK" w:cs="Times New Roman"/>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21DB9">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被评价部门配合度</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D17A">
            <w:pPr>
              <w:widowControl/>
              <w:spacing w:line="24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w:t>
            </w:r>
          </w:p>
        </w:tc>
        <w:tc>
          <w:tcPr>
            <w:tcW w:w="4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613A">
            <w:pPr>
              <w:widowControl/>
              <w:spacing w:line="24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被评价对象工作配合情况</w:t>
            </w:r>
          </w:p>
        </w:tc>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6BB05">
            <w:pPr>
              <w:widowControl/>
              <w:spacing w:line="240" w:lineRule="exact"/>
              <w:jc w:val="left"/>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335D">
            <w:pPr>
              <w:widowControl/>
              <w:spacing w:line="240" w:lineRule="exact"/>
              <w:jc w:val="left"/>
              <w:textAlignment w:val="center"/>
              <w:rPr>
                <w:rFonts w:hint="default" w:ascii="Times New Roman" w:hAnsi="Times New Roman" w:eastAsia="方正仿宋_GBK" w:cs="Times New Roman"/>
                <w:color w:val="000000"/>
                <w:kern w:val="0"/>
                <w:sz w:val="24"/>
                <w:lang w:bidi="ar"/>
              </w:rPr>
            </w:pPr>
          </w:p>
        </w:tc>
      </w:tr>
    </w:tbl>
    <w:p w14:paraId="41C43D5F">
      <w:pPr>
        <w:pStyle w:val="16"/>
        <w:spacing w:line="20" w:lineRule="exact"/>
      </w:pPr>
    </w:p>
    <w:p w14:paraId="5A829B3B">
      <w:pPr>
        <w:spacing w:line="578" w:lineRule="exact"/>
        <w:jc w:val="left"/>
        <w:rPr>
          <w:rFonts w:eastAsia="黑体"/>
        </w:rPr>
      </w:pPr>
      <w:r>
        <w:rPr>
          <w:rFonts w:eastAsia="黑体"/>
        </w:rPr>
        <w:t>附表</w:t>
      </w:r>
      <w:r>
        <w:rPr>
          <w:rFonts w:hint="eastAsia" w:eastAsia="黑体"/>
        </w:rPr>
        <w:t>2</w:t>
      </w:r>
    </w:p>
    <w:tbl>
      <w:tblPr>
        <w:tblStyle w:val="12"/>
        <w:tblW w:w="10560" w:type="dxa"/>
        <w:jc w:val="center"/>
        <w:tblLayout w:type="fixed"/>
        <w:tblCellMar>
          <w:top w:w="15" w:type="dxa"/>
          <w:left w:w="15" w:type="dxa"/>
          <w:bottom w:w="15" w:type="dxa"/>
          <w:right w:w="15" w:type="dxa"/>
        </w:tblCellMar>
      </w:tblPr>
      <w:tblGrid>
        <w:gridCol w:w="1308"/>
        <w:gridCol w:w="1347"/>
        <w:gridCol w:w="1273"/>
        <w:gridCol w:w="1291"/>
        <w:gridCol w:w="954"/>
        <w:gridCol w:w="1289"/>
        <w:gridCol w:w="1058"/>
        <w:gridCol w:w="2040"/>
      </w:tblGrid>
      <w:tr w14:paraId="56A60CDD">
        <w:tblPrEx>
          <w:tblCellMar>
            <w:top w:w="15" w:type="dxa"/>
            <w:left w:w="15" w:type="dxa"/>
            <w:bottom w:w="15" w:type="dxa"/>
            <w:right w:w="15" w:type="dxa"/>
          </w:tblCellMar>
        </w:tblPrEx>
        <w:trPr>
          <w:trHeight w:val="762" w:hRule="exact"/>
          <w:jc w:val="center"/>
        </w:trPr>
        <w:tc>
          <w:tcPr>
            <w:tcW w:w="10560" w:type="dxa"/>
            <w:gridSpan w:val="8"/>
            <w:shd w:val="clear" w:color="auto" w:fill="auto"/>
            <w:vAlign w:val="center"/>
          </w:tcPr>
          <w:p w14:paraId="18FF4C7B">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部门整体绩效目标完成情况自评表</w:t>
            </w:r>
          </w:p>
        </w:tc>
      </w:tr>
      <w:tr w14:paraId="355EA797">
        <w:tblPrEx>
          <w:tblCellMar>
            <w:top w:w="15" w:type="dxa"/>
            <w:left w:w="15" w:type="dxa"/>
            <w:bottom w:w="15" w:type="dxa"/>
            <w:right w:w="15" w:type="dxa"/>
          </w:tblCellMar>
        </w:tblPrEx>
        <w:trPr>
          <w:trHeight w:val="23" w:hRule="atLeast"/>
          <w:jc w:val="center"/>
        </w:trPr>
        <w:tc>
          <w:tcPr>
            <w:tcW w:w="10560" w:type="dxa"/>
            <w:gridSpan w:val="8"/>
            <w:shd w:val="clear" w:color="auto" w:fill="auto"/>
            <w:vAlign w:val="center"/>
          </w:tcPr>
          <w:p w14:paraId="07B062FD">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14:paraId="6A60A344">
        <w:tblPrEx>
          <w:tblCellMar>
            <w:top w:w="15" w:type="dxa"/>
            <w:left w:w="15" w:type="dxa"/>
            <w:bottom w:w="15" w:type="dxa"/>
            <w:right w:w="15" w:type="dxa"/>
          </w:tblCellMar>
        </w:tblPrEx>
        <w:trPr>
          <w:trHeight w:val="23" w:hRule="atLeast"/>
          <w:jc w:val="center"/>
        </w:trPr>
        <w:tc>
          <w:tcPr>
            <w:tcW w:w="10560" w:type="dxa"/>
            <w:gridSpan w:val="8"/>
            <w:tcBorders>
              <w:bottom w:val="single" w:color="000000" w:sz="4" w:space="0"/>
            </w:tcBorders>
            <w:shd w:val="clear" w:color="auto" w:fill="auto"/>
            <w:vAlign w:val="center"/>
          </w:tcPr>
          <w:p w14:paraId="636AAD64">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2CE25DE2">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00AF42">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部门名称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ECF3E8">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攀枝花市西区财政国库支付中心</w:t>
            </w:r>
          </w:p>
        </w:tc>
      </w:tr>
      <w:tr w14:paraId="30DBD769">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3D661">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D421B">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931A7">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5EFB68">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其他资金</w:t>
            </w:r>
          </w:p>
        </w:tc>
      </w:tr>
      <w:tr w14:paraId="079BE5D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AA078">
            <w:pPr>
              <w:widowControl/>
              <w:spacing w:line="300" w:lineRule="exact"/>
              <w:jc w:val="center"/>
              <w:rPr>
                <w:rFonts w:hint="default" w:ascii="Times New Roman" w:hAnsi="Times New Roman" w:eastAsia="方正仿宋_GBK" w:cs="Times New Roman"/>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5E611">
            <w:pPr>
              <w:widowControl/>
              <w:spacing w:line="300" w:lineRule="exac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201.70</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A8699">
            <w:pPr>
              <w:widowControl/>
              <w:spacing w:line="300" w:lineRule="exact"/>
              <w:jc w:val="center"/>
              <w:textAlignment w:val="center"/>
              <w:rPr>
                <w:rFonts w:hint="default" w:ascii="Times New Roman" w:hAnsi="Times New Roman" w:eastAsia="方正仿宋_GBK" w:cs="Times New Roman"/>
                <w:color w:val="000000"/>
                <w:sz w:val="24"/>
                <w:lang w:val="en-US" w:eastAsia="zh-CN"/>
              </w:rPr>
            </w:pPr>
            <w:r>
              <w:rPr>
                <w:rFonts w:hint="default" w:ascii="Times New Roman" w:hAnsi="Times New Roman" w:eastAsia="方正仿宋_GBK" w:cs="Times New Roman"/>
                <w:color w:val="000000"/>
                <w:kern w:val="0"/>
                <w:sz w:val="24"/>
                <w:lang w:val="en-US" w:eastAsia="zh-CN" w:bidi="ar"/>
              </w:rPr>
              <w:t>201.70</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04511C">
            <w:pPr>
              <w:widowControl/>
              <w:spacing w:line="300" w:lineRule="exact"/>
              <w:jc w:val="center"/>
              <w:textAlignment w:val="center"/>
              <w:rPr>
                <w:rFonts w:hint="default" w:ascii="Times New Roman" w:hAnsi="Times New Roman" w:eastAsia="方正仿宋_GBK" w:cs="Times New Roman"/>
                <w:color w:val="000000"/>
                <w:sz w:val="24"/>
                <w:lang w:eastAsia="zh-CN"/>
              </w:rPr>
            </w:pPr>
            <w:r>
              <w:rPr>
                <w:rFonts w:hint="default" w:ascii="Times New Roman" w:hAnsi="Times New Roman" w:eastAsia="方正仿宋_GBK" w:cs="Times New Roman"/>
                <w:color w:val="000000"/>
                <w:kern w:val="0"/>
                <w:sz w:val="24"/>
                <w:lang w:val="en-US" w:eastAsia="zh-CN" w:bidi="ar"/>
              </w:rPr>
              <w:t>0</w:t>
            </w:r>
          </w:p>
        </w:tc>
      </w:tr>
      <w:tr w14:paraId="4E356256">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3CC7">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年度总体</w:t>
            </w:r>
          </w:p>
          <w:p w14:paraId="6B88083B">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目标</w:t>
            </w:r>
          </w:p>
        </w:tc>
        <w:tc>
          <w:tcPr>
            <w:tcW w:w="92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5E60E6">
            <w:pPr>
              <w:widowControl/>
              <w:spacing w:line="30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1.</w:t>
            </w:r>
            <w:r>
              <w:rPr>
                <w:rFonts w:hint="default" w:ascii="Times New Roman" w:hAnsi="Times New Roman" w:eastAsia="方正仿宋_GBK" w:cs="Times New Roman"/>
                <w:color w:val="000000"/>
                <w:kern w:val="0"/>
                <w:sz w:val="24"/>
                <w:lang w:bidi="ar"/>
              </w:rPr>
              <w:t>严格执行相关政策，保障工资及时、足额发放或社保及时、足额缴纳，保障单位日常运转。</w:t>
            </w:r>
            <w:r>
              <w:rPr>
                <w:rFonts w:hint="default" w:ascii="Times New Roman" w:hAnsi="Times New Roman" w:eastAsia="方正仿宋_GBK" w:cs="Times New Roman"/>
                <w:color w:val="000000"/>
                <w:kern w:val="0"/>
                <w:sz w:val="24"/>
                <w:lang w:val="en-US" w:eastAsia="zh-CN" w:bidi="ar"/>
              </w:rPr>
              <w:t>2</w:t>
            </w:r>
            <w:r>
              <w:rPr>
                <w:rFonts w:hint="default" w:ascii="Times New Roman" w:hAnsi="Times New Roman" w:eastAsia="方正仿宋_GBK" w:cs="Times New Roman"/>
                <w:color w:val="000000"/>
                <w:kern w:val="0"/>
                <w:sz w:val="24"/>
                <w:lang w:bidi="ar"/>
              </w:rPr>
              <w:t>.认真履行职能，拓展支付核算工作新局面；不断加强预算执行管理，提升我区财政财务管理的科学化、精细化水平。</w:t>
            </w:r>
            <w:r>
              <w:rPr>
                <w:rFonts w:hint="default" w:ascii="Times New Roman" w:hAnsi="Times New Roman" w:eastAsia="方正仿宋_GBK" w:cs="Times New Roman"/>
                <w:color w:val="000000"/>
                <w:kern w:val="0"/>
                <w:sz w:val="24"/>
                <w:lang w:val="en-US" w:eastAsia="zh-CN" w:bidi="ar"/>
              </w:rPr>
              <w:t>3</w:t>
            </w:r>
            <w:r>
              <w:rPr>
                <w:rFonts w:hint="default" w:ascii="Times New Roman" w:hAnsi="Times New Roman" w:eastAsia="方正仿宋_GBK" w:cs="Times New Roman"/>
                <w:color w:val="000000"/>
                <w:kern w:val="0"/>
                <w:sz w:val="24"/>
                <w:lang w:bidi="ar"/>
              </w:rPr>
              <w:t>.全面开展国库集中支付，保障全区各预算单位财政资金支付业务程序化、规范化；完善国库集中支付业务流程，提升集中支付效率。</w:t>
            </w:r>
          </w:p>
        </w:tc>
      </w:tr>
      <w:tr w14:paraId="410ED5CE">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3C36D">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年度主要</w:t>
            </w:r>
          </w:p>
          <w:p w14:paraId="68B78FC5">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8C6DD">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任务名称</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2B5425">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主要内容</w:t>
            </w:r>
          </w:p>
        </w:tc>
      </w:tr>
      <w:tr w14:paraId="7E7ABA03">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6BBBF">
            <w:pPr>
              <w:widowControl/>
              <w:spacing w:line="300" w:lineRule="exact"/>
              <w:jc w:val="center"/>
              <w:rPr>
                <w:rFonts w:hint="default" w:ascii="Times New Roman" w:hAnsi="Times New Roman" w:eastAsia="方正仿宋_GBK" w:cs="Times New Roman"/>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D9F4C">
            <w:pPr>
              <w:widowControl/>
              <w:spacing w:line="30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基本支出（人员经费、公用经费）</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5CC73C">
            <w:pPr>
              <w:widowControl/>
              <w:spacing w:line="30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严格执行相关政策，保障工资及时、足额发放或社保及时、足额缴纳</w:t>
            </w:r>
            <w:r>
              <w:rPr>
                <w:rFonts w:hint="default" w:ascii="Times New Roman" w:hAnsi="Times New Roman" w:eastAsia="方正仿宋_GBK" w:cs="Times New Roman"/>
                <w:color w:val="000000"/>
                <w:kern w:val="0"/>
                <w:sz w:val="24"/>
                <w:lang w:eastAsia="zh-CN" w:bidi="ar"/>
              </w:rPr>
              <w:t>；</w:t>
            </w:r>
            <w:r>
              <w:rPr>
                <w:rFonts w:hint="default" w:ascii="Times New Roman" w:hAnsi="Times New Roman" w:eastAsia="方正仿宋_GBK" w:cs="Times New Roman"/>
                <w:color w:val="000000"/>
                <w:kern w:val="0"/>
                <w:sz w:val="24"/>
                <w:lang w:bidi="ar"/>
              </w:rPr>
              <w:t>严格执行预算，保障单位日常运转。</w:t>
            </w:r>
          </w:p>
        </w:tc>
      </w:tr>
      <w:tr w14:paraId="35CE156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E8419">
            <w:pPr>
              <w:widowControl/>
              <w:spacing w:line="300" w:lineRule="exact"/>
              <w:jc w:val="center"/>
              <w:rPr>
                <w:rFonts w:hint="default" w:ascii="Times New Roman" w:hAnsi="Times New Roman" w:eastAsia="方正仿宋_GBK" w:cs="Times New Roman"/>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045D8">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国库支付管理业务</w:t>
            </w:r>
          </w:p>
        </w:tc>
        <w:tc>
          <w:tcPr>
            <w:tcW w:w="66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1EA28C">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全面开展国库集中支付，保障全区各预算单位财政资金支付业务程序化、规范化；完善国库集中支付业务流程，提升集中支付效率。</w:t>
            </w:r>
          </w:p>
        </w:tc>
      </w:tr>
      <w:tr w14:paraId="386FCDFC">
        <w:tblPrEx>
          <w:tblCellMar>
            <w:top w:w="15" w:type="dxa"/>
            <w:left w:w="15" w:type="dxa"/>
            <w:bottom w:w="15" w:type="dxa"/>
            <w:right w:w="15" w:type="dxa"/>
          </w:tblCellMar>
        </w:tblPrEx>
        <w:trPr>
          <w:trHeight w:val="23" w:hRule="atLeast"/>
          <w:jc w:val="center"/>
        </w:trPr>
        <w:tc>
          <w:tcPr>
            <w:tcW w:w="13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A4E3DF">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年度绩效</w:t>
            </w:r>
          </w:p>
          <w:p w14:paraId="3DBE4CFB">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301E73DE">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57FAE8E6">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二级指标</w:t>
            </w: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04F1F956">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三级指标</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59CE2D2C">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绩效指标</w:t>
            </w:r>
          </w:p>
          <w:p w14:paraId="235778C9">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性质</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3B720E26">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绩效指标值</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579C890A">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绩效度量单位</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F49E">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实际完成</w:t>
            </w:r>
          </w:p>
          <w:p w14:paraId="0B64A049">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指标值</w:t>
            </w:r>
          </w:p>
        </w:tc>
      </w:tr>
      <w:tr w14:paraId="71C9CE18">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AD358D">
            <w:pPr>
              <w:widowControl/>
              <w:spacing w:line="300" w:lineRule="exact"/>
              <w:jc w:val="center"/>
              <w:rPr>
                <w:rFonts w:hint="default" w:ascii="Times New Roman" w:hAnsi="Times New Roman" w:eastAsia="方正仿宋_GBK" w:cs="Times New Roman"/>
                <w:color w:val="00000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C8AF0AA">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产出指标</w:t>
            </w: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DD9191">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数量指标</w:t>
            </w: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4748E329">
            <w:pPr>
              <w:widowControl/>
              <w:spacing w:line="300" w:lineRule="exact"/>
              <w:jc w:val="left"/>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发放（缴纳）覆盖率</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2F853C7B">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2F21F034">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100</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4F17D418">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F572">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100</w:t>
            </w:r>
          </w:p>
        </w:tc>
      </w:tr>
      <w:tr w14:paraId="3FFFE248">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258353">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08597B">
            <w:pPr>
              <w:widowControl/>
              <w:spacing w:line="300" w:lineRule="exact"/>
              <w:jc w:val="center"/>
              <w:rPr>
                <w:rFonts w:hint="default" w:ascii="Times New Roman" w:hAnsi="Times New Roman" w:eastAsia="方正仿宋_GBK" w:cs="Times New Roman"/>
                <w:color w:val="000000"/>
                <w:sz w:val="24"/>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9A0F18">
            <w:pPr>
              <w:widowControl/>
              <w:spacing w:line="300" w:lineRule="exact"/>
              <w:jc w:val="center"/>
              <w:rPr>
                <w:rFonts w:hint="default" w:ascii="Times New Roman" w:hAnsi="Times New Roman" w:eastAsia="方正仿宋_GBK" w:cs="Times New Roman"/>
                <w:color w:val="000000"/>
                <w:sz w:val="24"/>
              </w:rPr>
            </w:pP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590DF425">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科目调整次数</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64FBEF61">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5847E91B">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5</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3BAA51ED">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次</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4B7D">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2</w:t>
            </w:r>
          </w:p>
        </w:tc>
      </w:tr>
      <w:tr w14:paraId="56570C46">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B012C7">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B41249">
            <w:pPr>
              <w:widowControl/>
              <w:spacing w:line="300" w:lineRule="exact"/>
              <w:jc w:val="center"/>
              <w:rPr>
                <w:rFonts w:hint="default" w:ascii="Times New Roman" w:hAnsi="Times New Roman" w:eastAsia="方正仿宋_GBK" w:cs="Times New Roman"/>
                <w:color w:val="000000"/>
                <w:sz w:val="24"/>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BF034F">
            <w:pPr>
              <w:widowControl/>
              <w:spacing w:line="300" w:lineRule="exact"/>
              <w:jc w:val="center"/>
              <w:rPr>
                <w:rFonts w:hint="default" w:ascii="Times New Roman" w:hAnsi="Times New Roman" w:eastAsia="方正仿宋_GBK" w:cs="Times New Roman"/>
                <w:color w:val="000000"/>
                <w:sz w:val="24"/>
              </w:rPr>
            </w:pP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036F7DD9">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国库集中支付管理工作经费</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6C40C7DF">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6A80A589">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25</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374390EA">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万</w:t>
            </w:r>
            <w:r>
              <w:rPr>
                <w:rFonts w:hint="default" w:ascii="Times New Roman" w:hAnsi="Times New Roman" w:eastAsia="方正仿宋_GBK" w:cs="Times New Roman"/>
                <w:color w:val="000000"/>
                <w:sz w:val="24"/>
              </w:rPr>
              <w:t>元/年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EDBA">
            <w:pPr>
              <w:widowControl/>
              <w:spacing w:line="300" w:lineRule="exact"/>
              <w:jc w:val="center"/>
              <w:rPr>
                <w:rFonts w:hint="default" w:ascii="Times New Roman" w:hAnsi="Times New Roman" w:eastAsia="方正仿宋_GBK" w:cs="Times New Roman"/>
                <w:color w:val="000000"/>
                <w:sz w:val="24"/>
                <w:lang w:val="en-US"/>
              </w:rPr>
            </w:pPr>
            <w:r>
              <w:rPr>
                <w:rFonts w:hint="default" w:ascii="Times New Roman" w:hAnsi="Times New Roman" w:eastAsia="方正仿宋_GBK" w:cs="Times New Roman"/>
                <w:color w:val="000000"/>
                <w:sz w:val="24"/>
                <w:lang w:val="en-US" w:eastAsia="zh-CN"/>
              </w:rPr>
              <w:t>7.77</w:t>
            </w:r>
          </w:p>
        </w:tc>
      </w:tr>
      <w:tr w14:paraId="00E7D3B7">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082FB7">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1B5B8D">
            <w:pPr>
              <w:widowControl/>
              <w:spacing w:line="300" w:lineRule="exact"/>
              <w:jc w:val="center"/>
              <w:rPr>
                <w:rFonts w:hint="default" w:ascii="Times New Roman" w:hAnsi="Times New Roman" w:eastAsia="方正仿宋_GBK" w:cs="Times New Roman"/>
                <w:color w:val="000000"/>
                <w:sz w:val="24"/>
              </w:rPr>
            </w:pP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5E95FD">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质量指标</w:t>
            </w: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4A8680BB">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预算编制准确率</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171845C2">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38EC6978">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5</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467043B6">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0A1D">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0</w:t>
            </w:r>
          </w:p>
        </w:tc>
      </w:tr>
      <w:tr w14:paraId="599E59FE">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B42683">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44902D">
            <w:pPr>
              <w:widowControl/>
              <w:spacing w:line="300" w:lineRule="exact"/>
              <w:jc w:val="center"/>
              <w:rPr>
                <w:rFonts w:hint="default" w:ascii="Times New Roman" w:hAnsi="Times New Roman" w:eastAsia="方正仿宋_GBK" w:cs="Times New Roman"/>
                <w:color w:val="000000"/>
                <w:sz w:val="24"/>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106B1B">
            <w:pPr>
              <w:widowControl/>
              <w:spacing w:line="300" w:lineRule="exact"/>
              <w:jc w:val="center"/>
              <w:textAlignment w:val="center"/>
              <w:rPr>
                <w:rFonts w:hint="default" w:ascii="Times New Roman" w:hAnsi="Times New Roman" w:eastAsia="方正仿宋_GBK" w:cs="Times New Roman"/>
                <w:color w:val="000000"/>
                <w:kern w:val="0"/>
                <w:sz w:val="24"/>
                <w:lang w:bidi="ar"/>
              </w:rPr>
            </w:pP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08C0C178">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提升集中支付效率</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25C05656">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定性</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3365DD99">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优良中低差</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4449173D">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A5F5">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优</w:t>
            </w:r>
          </w:p>
        </w:tc>
      </w:tr>
      <w:tr w14:paraId="70A91750">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42F9B8">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880850">
            <w:pPr>
              <w:widowControl/>
              <w:spacing w:line="300" w:lineRule="exact"/>
              <w:jc w:val="center"/>
              <w:rPr>
                <w:rFonts w:hint="default" w:ascii="Times New Roman" w:hAnsi="Times New Roman" w:eastAsia="方正仿宋_GBK" w:cs="Times New Roman"/>
                <w:color w:val="000000"/>
                <w:sz w:val="24"/>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6CAF739F">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时效指标</w:t>
            </w: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0E46AAB9">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按工作计划</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12528576">
            <w:pPr>
              <w:keepNext w:val="0"/>
              <w:keepLines w:val="0"/>
              <w:widowControl/>
              <w:suppressLineNumbers w:val="0"/>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定性</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4A4878F">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优良中低差</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7CA6DAA0">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B3A8">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良</w:t>
            </w:r>
          </w:p>
        </w:tc>
      </w:tr>
      <w:tr w14:paraId="02A8F12E">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5221A8">
            <w:pPr>
              <w:widowControl/>
              <w:spacing w:line="300" w:lineRule="exact"/>
              <w:jc w:val="center"/>
              <w:rPr>
                <w:rFonts w:hint="default" w:ascii="Times New Roman" w:hAnsi="Times New Roman" w:eastAsia="方正仿宋_GBK" w:cs="Times New Roman"/>
                <w:color w:val="000000"/>
                <w:sz w:val="24"/>
              </w:rPr>
            </w:pPr>
            <w:bookmarkStart w:id="1" w:name="OLE_LINK1" w:colFirst="2" w:colLast="7"/>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7EC97C">
            <w:pPr>
              <w:widowControl/>
              <w:spacing w:line="300" w:lineRule="exact"/>
              <w:jc w:val="center"/>
              <w:rPr>
                <w:rFonts w:hint="default" w:ascii="Times New Roman" w:hAnsi="Times New Roman" w:eastAsia="方正仿宋_GBK" w:cs="Times New Roman"/>
                <w:color w:val="000000"/>
                <w:sz w:val="24"/>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5B8C4321">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val="en-US" w:eastAsia="zh-CN" w:bidi="ar"/>
              </w:rPr>
              <w:t>成本指标</w:t>
            </w: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69963BBB">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工作经费</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531B048A">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5CDF46D3">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25</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288C7D4E">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万元</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35B8">
            <w:pPr>
              <w:widowControl/>
              <w:spacing w:line="300" w:lineRule="exact"/>
              <w:jc w:val="center"/>
              <w:rPr>
                <w:rFonts w:hint="default" w:ascii="Times New Roman" w:hAnsi="Times New Roman" w:eastAsia="方正仿宋_GBK" w:cs="Times New Roman"/>
                <w:color w:val="000000"/>
                <w:sz w:val="24"/>
                <w:lang w:val="en-US"/>
              </w:rPr>
            </w:pPr>
            <w:r>
              <w:rPr>
                <w:rFonts w:hint="default" w:ascii="Times New Roman" w:hAnsi="Times New Roman" w:eastAsia="方正仿宋_GBK" w:cs="Times New Roman"/>
                <w:color w:val="000000"/>
                <w:sz w:val="24"/>
                <w:lang w:val="en-US" w:eastAsia="zh-CN"/>
              </w:rPr>
              <w:t>7.77</w:t>
            </w:r>
          </w:p>
        </w:tc>
      </w:tr>
      <w:bookmarkEnd w:id="1"/>
      <w:tr w14:paraId="193F0D39">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7C84C8">
            <w:pPr>
              <w:widowControl/>
              <w:spacing w:line="300" w:lineRule="exact"/>
              <w:jc w:val="center"/>
              <w:rPr>
                <w:rFonts w:hint="default" w:ascii="Times New Roman" w:hAnsi="Times New Roman" w:eastAsia="方正仿宋_GBK" w:cs="Times New Roman"/>
                <w:color w:val="00000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AD68C8">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效益指标</w:t>
            </w:r>
          </w:p>
        </w:tc>
        <w:tc>
          <w:tcPr>
            <w:tcW w:w="12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9A0ECC4">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社会效益</w:t>
            </w:r>
          </w:p>
          <w:p w14:paraId="0C53F8E1">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指标</w:t>
            </w: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0E687909">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足额保障率（参保率）</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6E3D29FD">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176E7FF0">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100</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605B6322">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75C0">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100</w:t>
            </w:r>
          </w:p>
        </w:tc>
      </w:tr>
      <w:tr w14:paraId="127B7E95">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BE2F73">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BCCF70">
            <w:pPr>
              <w:widowControl/>
              <w:spacing w:line="300" w:lineRule="exact"/>
              <w:jc w:val="center"/>
              <w:rPr>
                <w:rFonts w:hint="default" w:ascii="Times New Roman" w:hAnsi="Times New Roman" w:eastAsia="方正仿宋_GBK" w:cs="Times New Roman"/>
                <w:color w:val="000000"/>
                <w:sz w:val="24"/>
              </w:rPr>
            </w:pPr>
          </w:p>
        </w:tc>
        <w:tc>
          <w:tcPr>
            <w:tcW w:w="12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AAAF1C">
            <w:pPr>
              <w:widowControl/>
              <w:spacing w:line="300" w:lineRule="exact"/>
              <w:jc w:val="center"/>
              <w:rPr>
                <w:rFonts w:hint="default" w:ascii="Times New Roman" w:hAnsi="Times New Roman" w:eastAsia="方正仿宋_GBK" w:cs="Times New Roman"/>
                <w:color w:val="000000"/>
                <w:sz w:val="24"/>
              </w:rPr>
            </w:pPr>
          </w:p>
        </w:tc>
        <w:tc>
          <w:tcPr>
            <w:tcW w:w="1291" w:type="dxa"/>
            <w:tcBorders>
              <w:top w:val="single" w:color="auto" w:sz="4" w:space="0"/>
              <w:left w:val="single" w:color="auto" w:sz="4" w:space="0"/>
              <w:bottom w:val="single" w:color="auto" w:sz="4" w:space="0"/>
              <w:right w:val="single" w:color="auto" w:sz="4" w:space="0"/>
            </w:tcBorders>
            <w:shd w:val="clear" w:color="auto" w:fill="auto"/>
            <w:vAlign w:val="center"/>
          </w:tcPr>
          <w:p w14:paraId="41273BB7">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运转保障率</w:t>
            </w:r>
          </w:p>
        </w:tc>
        <w:tc>
          <w:tcPr>
            <w:tcW w:w="954" w:type="dxa"/>
            <w:tcBorders>
              <w:top w:val="single" w:color="auto" w:sz="4" w:space="0"/>
              <w:left w:val="single" w:color="auto" w:sz="4" w:space="0"/>
              <w:bottom w:val="single" w:color="auto" w:sz="4" w:space="0"/>
              <w:right w:val="single" w:color="auto" w:sz="4" w:space="0"/>
            </w:tcBorders>
            <w:shd w:val="clear" w:color="auto" w:fill="auto"/>
            <w:vAlign w:val="center"/>
          </w:tcPr>
          <w:p w14:paraId="74B3E376">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w:t>
            </w:r>
          </w:p>
        </w:tc>
        <w:tc>
          <w:tcPr>
            <w:tcW w:w="1289" w:type="dxa"/>
            <w:tcBorders>
              <w:top w:val="single" w:color="auto" w:sz="4" w:space="0"/>
              <w:left w:val="single" w:color="auto" w:sz="4" w:space="0"/>
              <w:bottom w:val="single" w:color="auto" w:sz="4" w:space="0"/>
              <w:right w:val="single" w:color="auto" w:sz="4" w:space="0"/>
            </w:tcBorders>
            <w:shd w:val="clear" w:color="auto" w:fill="auto"/>
            <w:vAlign w:val="center"/>
          </w:tcPr>
          <w:p w14:paraId="07E6A62F">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100</w:t>
            </w:r>
          </w:p>
        </w:tc>
        <w:tc>
          <w:tcPr>
            <w:tcW w:w="1058" w:type="dxa"/>
            <w:tcBorders>
              <w:top w:val="single" w:color="000000" w:sz="4" w:space="0"/>
              <w:left w:val="single" w:color="auto" w:sz="4" w:space="0"/>
              <w:bottom w:val="single" w:color="000000" w:sz="4" w:space="0"/>
              <w:right w:val="single" w:color="000000" w:sz="4" w:space="0"/>
            </w:tcBorders>
            <w:shd w:val="clear" w:color="auto" w:fill="auto"/>
            <w:vAlign w:val="center"/>
          </w:tcPr>
          <w:p w14:paraId="1E5FDE5D">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C348">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val="en-US" w:eastAsia="zh-CN"/>
              </w:rPr>
              <w:t>100</w:t>
            </w:r>
          </w:p>
        </w:tc>
      </w:tr>
      <w:tr w14:paraId="533EA805">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9E77D9D">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top w:val="single" w:color="auto" w:sz="4" w:space="0"/>
              <w:left w:val="single" w:color="000000" w:sz="4" w:space="0"/>
              <w:right w:val="single" w:color="000000" w:sz="4" w:space="0"/>
            </w:tcBorders>
            <w:shd w:val="clear" w:color="auto" w:fill="auto"/>
            <w:vAlign w:val="center"/>
          </w:tcPr>
          <w:p w14:paraId="2A85816D">
            <w:pPr>
              <w:widowControl/>
              <w:spacing w:line="300" w:lineRule="exact"/>
              <w:jc w:val="center"/>
              <w:rPr>
                <w:rFonts w:hint="default" w:ascii="Times New Roman" w:hAnsi="Times New Roman" w:eastAsia="方正仿宋_GBK" w:cs="Times New Roman"/>
                <w:color w:val="000000"/>
                <w:sz w:val="24"/>
              </w:rPr>
            </w:pPr>
          </w:p>
        </w:tc>
        <w:tc>
          <w:tcPr>
            <w:tcW w:w="1273" w:type="dxa"/>
            <w:tcBorders>
              <w:top w:val="single" w:color="auto" w:sz="4" w:space="0"/>
              <w:left w:val="single" w:color="000000" w:sz="4" w:space="0"/>
              <w:bottom w:val="single" w:color="000000" w:sz="4" w:space="0"/>
              <w:right w:val="single" w:color="000000" w:sz="4" w:space="0"/>
            </w:tcBorders>
            <w:shd w:val="clear" w:color="auto" w:fill="auto"/>
            <w:vAlign w:val="center"/>
          </w:tcPr>
          <w:p w14:paraId="372D5079">
            <w:pPr>
              <w:widowControl/>
              <w:spacing w:line="300" w:lineRule="exact"/>
              <w:jc w:val="center"/>
              <w:textAlignment w:val="center"/>
              <w:rPr>
                <w:rFonts w:hint="default" w:ascii="Times New Roman" w:hAnsi="Times New Roman" w:eastAsia="方正仿宋_GBK" w:cs="Times New Roman"/>
                <w:color w:val="000000"/>
                <w:kern w:val="0"/>
                <w:sz w:val="24"/>
                <w:lang w:bidi="ar"/>
              </w:rPr>
            </w:pPr>
            <w:r>
              <w:rPr>
                <w:rFonts w:hint="default" w:ascii="Times New Roman" w:hAnsi="Times New Roman" w:eastAsia="方正仿宋_GBK" w:cs="Times New Roman"/>
                <w:color w:val="000000"/>
                <w:kern w:val="0"/>
                <w:sz w:val="24"/>
                <w:lang w:bidi="ar"/>
              </w:rPr>
              <w:t>社会效益</w:t>
            </w:r>
          </w:p>
          <w:p w14:paraId="03E7D7FD">
            <w:pPr>
              <w:widowControl/>
              <w:spacing w:line="30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bidi="ar"/>
              </w:rPr>
              <w:t>指标</w:t>
            </w:r>
          </w:p>
        </w:tc>
        <w:tc>
          <w:tcPr>
            <w:tcW w:w="1291" w:type="dxa"/>
            <w:tcBorders>
              <w:top w:val="single" w:color="auto" w:sz="4" w:space="0"/>
              <w:left w:val="single" w:color="000000" w:sz="4" w:space="0"/>
              <w:bottom w:val="single" w:color="000000" w:sz="4" w:space="0"/>
              <w:right w:val="single" w:color="000000" w:sz="4" w:space="0"/>
            </w:tcBorders>
            <w:shd w:val="clear" w:color="auto" w:fill="auto"/>
            <w:vAlign w:val="center"/>
          </w:tcPr>
          <w:p w14:paraId="624E631A">
            <w:pPr>
              <w:widowControl/>
              <w:spacing w:line="300" w:lineRule="exact"/>
              <w:jc w:val="left"/>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全面提高全区集中支付业务效率</w:t>
            </w:r>
          </w:p>
        </w:tc>
        <w:tc>
          <w:tcPr>
            <w:tcW w:w="954" w:type="dxa"/>
            <w:tcBorders>
              <w:top w:val="single" w:color="auto" w:sz="4" w:space="0"/>
              <w:left w:val="single" w:color="000000" w:sz="4" w:space="0"/>
              <w:bottom w:val="single" w:color="000000" w:sz="4" w:space="0"/>
              <w:right w:val="single" w:color="000000" w:sz="4" w:space="0"/>
            </w:tcBorders>
            <w:shd w:val="clear" w:color="auto" w:fill="auto"/>
            <w:vAlign w:val="center"/>
          </w:tcPr>
          <w:p w14:paraId="23DE533E">
            <w:pPr>
              <w:widowControl/>
              <w:spacing w:line="300" w:lineRule="exac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定性</w:t>
            </w:r>
          </w:p>
        </w:tc>
        <w:tc>
          <w:tcPr>
            <w:tcW w:w="1289" w:type="dxa"/>
            <w:tcBorders>
              <w:top w:val="single" w:color="auto" w:sz="4" w:space="0"/>
              <w:left w:val="single" w:color="000000" w:sz="4" w:space="0"/>
              <w:bottom w:val="single" w:color="000000" w:sz="4" w:space="0"/>
              <w:right w:val="single" w:color="000000" w:sz="4" w:space="0"/>
            </w:tcBorders>
            <w:shd w:val="clear" w:color="auto" w:fill="auto"/>
            <w:vAlign w:val="center"/>
          </w:tcPr>
          <w:p w14:paraId="3276D358">
            <w:pPr>
              <w:widowControl/>
              <w:spacing w:line="300" w:lineRule="exac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F689">
            <w:pPr>
              <w:widowControl/>
              <w:spacing w:line="300" w:lineRule="exac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D387">
            <w:pPr>
              <w:widowControl/>
              <w:spacing w:line="300" w:lineRule="exac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优</w:t>
            </w:r>
          </w:p>
        </w:tc>
      </w:tr>
      <w:tr w14:paraId="48216851">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E772D24">
            <w:pPr>
              <w:widowControl/>
              <w:spacing w:line="300" w:lineRule="exact"/>
              <w:jc w:val="center"/>
              <w:rPr>
                <w:rFonts w:hint="default" w:ascii="Times New Roman" w:hAnsi="Times New Roman" w:eastAsia="方正仿宋_GBK" w:cs="Times New Roman"/>
                <w:color w:val="000000"/>
                <w:sz w:val="24"/>
              </w:rPr>
            </w:pPr>
          </w:p>
        </w:tc>
        <w:tc>
          <w:tcPr>
            <w:tcW w:w="1347" w:type="dxa"/>
            <w:vMerge w:val="continue"/>
            <w:tcBorders>
              <w:left w:val="single" w:color="000000" w:sz="4" w:space="0"/>
              <w:right w:val="single" w:color="000000" w:sz="4" w:space="0"/>
            </w:tcBorders>
            <w:shd w:val="clear" w:color="auto" w:fill="auto"/>
            <w:vAlign w:val="center"/>
          </w:tcPr>
          <w:p w14:paraId="4F743036">
            <w:pPr>
              <w:widowControl/>
              <w:spacing w:line="300" w:lineRule="exact"/>
              <w:jc w:val="center"/>
              <w:rPr>
                <w:rFonts w:hint="default" w:ascii="Times New Roman" w:hAnsi="Times New Roman" w:eastAsia="方正仿宋_GBK" w:cs="Times New Roman"/>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55F6">
            <w:pPr>
              <w:widowControl/>
              <w:spacing w:line="300" w:lineRule="exact"/>
              <w:jc w:val="center"/>
              <w:textAlignment w:val="center"/>
              <w:rPr>
                <w:rFonts w:hint="default" w:ascii="Times New Roman" w:hAnsi="Times New Roman" w:eastAsia="方正仿宋_GBK" w:cs="Times New Roman"/>
                <w:color w:val="000000"/>
                <w:kern w:val="0"/>
                <w:sz w:val="24"/>
                <w:lang w:val="en-US" w:eastAsia="zh-CN" w:bidi="ar"/>
              </w:rPr>
            </w:pPr>
            <w:r>
              <w:rPr>
                <w:rFonts w:hint="default" w:ascii="Times New Roman" w:hAnsi="Times New Roman" w:eastAsia="方正仿宋_GBK" w:cs="Times New Roman"/>
                <w:color w:val="000000"/>
                <w:kern w:val="0"/>
                <w:sz w:val="24"/>
                <w:lang w:val="en-US" w:eastAsia="zh-CN" w:bidi="ar"/>
              </w:rPr>
              <w:t>经济效益</w:t>
            </w:r>
          </w:p>
          <w:p w14:paraId="2BFA3B04">
            <w:pPr>
              <w:widowControl/>
              <w:spacing w:line="300" w:lineRule="exact"/>
              <w:jc w:val="center"/>
              <w:textAlignment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0"/>
                <w:sz w:val="24"/>
                <w:lang w:val="en-US" w:eastAsia="zh-CN" w:bidi="ar"/>
              </w:rPr>
              <w:t>指标</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EDBE">
            <w:pPr>
              <w:widowControl/>
              <w:spacing w:line="300" w:lineRule="exact"/>
              <w:jc w:val="left"/>
              <w:rPr>
                <w:rFonts w:hint="default" w:ascii="Times New Roman" w:hAnsi="Times New Roman" w:eastAsia="方正仿宋_GBK" w:cs="Times New Roman"/>
                <w:color w:val="000000"/>
                <w:kern w:val="2"/>
                <w:sz w:val="24"/>
                <w:szCs w:val="24"/>
                <w:lang w:val="en-US" w:eastAsia="zh-CN" w:bidi="ar-SA"/>
              </w:rPr>
            </w:pPr>
            <w:r>
              <w:rPr>
                <w:rFonts w:hint="eastAsia" w:eastAsia="方正仿宋_GBK" w:cs="Times New Roman"/>
                <w:color w:val="000000"/>
                <w:kern w:val="2"/>
                <w:sz w:val="24"/>
                <w:szCs w:val="24"/>
                <w:lang w:val="en-US" w:eastAsia="zh-CN" w:bidi="ar-SA"/>
              </w:rPr>
              <w:t>“三公”经费</w:t>
            </w:r>
            <w:r>
              <w:rPr>
                <w:rFonts w:hint="default" w:ascii="Times New Roman" w:hAnsi="Times New Roman" w:eastAsia="方正仿宋_GBK" w:cs="Times New Roman"/>
                <w:color w:val="000000"/>
                <w:kern w:val="2"/>
                <w:sz w:val="24"/>
                <w:szCs w:val="24"/>
                <w:lang w:val="en-US" w:eastAsia="zh-CN" w:bidi="ar-SA"/>
              </w:rPr>
              <w:t>控制率</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1EAB">
            <w:pPr>
              <w:widowControl/>
              <w:spacing w:line="300" w:lineRule="exac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6A33">
            <w:pPr>
              <w:widowControl/>
              <w:spacing w:line="300" w:lineRule="exac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BD5A">
            <w:pPr>
              <w:widowControl/>
              <w:spacing w:line="300" w:lineRule="exac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3E89">
            <w:pPr>
              <w:widowControl/>
              <w:spacing w:line="300" w:lineRule="exact"/>
              <w:jc w:val="center"/>
              <w:rPr>
                <w:rFonts w:hint="default" w:ascii="Times New Roman" w:hAnsi="Times New Roman" w:eastAsia="方正仿宋_GBK" w:cs="Times New Roman"/>
                <w:color w:val="000000"/>
                <w:kern w:val="2"/>
                <w:sz w:val="24"/>
                <w:szCs w:val="24"/>
                <w:lang w:val="en-US" w:eastAsia="zh-CN" w:bidi="ar-SA"/>
              </w:rPr>
            </w:pPr>
            <w:r>
              <w:rPr>
                <w:rFonts w:hint="default" w:ascii="Times New Roman" w:hAnsi="Times New Roman" w:eastAsia="方正仿宋_GBK" w:cs="Times New Roman"/>
                <w:color w:val="000000"/>
                <w:kern w:val="2"/>
                <w:sz w:val="24"/>
                <w:szCs w:val="24"/>
                <w:lang w:val="en-US" w:eastAsia="zh-CN" w:bidi="ar-SA"/>
              </w:rPr>
              <w:t>0</w:t>
            </w:r>
          </w:p>
        </w:tc>
      </w:tr>
      <w:tr w14:paraId="032D24A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BF0654B">
            <w:pPr>
              <w:widowControl/>
              <w:spacing w:line="300" w:lineRule="exact"/>
              <w:jc w:val="center"/>
              <w:rPr>
                <w:rFonts w:hint="default" w:ascii="Times New Roman" w:hAnsi="Times New Roman" w:eastAsia="方正仿宋_GBK" w:cs="Times New Roman"/>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1108">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DF5F">
            <w:pPr>
              <w:widowControl/>
              <w:spacing w:line="300" w:lineRule="exact"/>
              <w:jc w:val="center"/>
              <w:textAlignment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kern w:val="0"/>
                <w:sz w:val="24"/>
                <w:lang w:bidi="ar"/>
              </w:rPr>
              <w:t>预算单位经办人员满意度</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DD6D">
            <w:pPr>
              <w:widowControl/>
              <w:spacing w:line="300" w:lineRule="exact"/>
              <w:jc w:val="left"/>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本单位工作人员及预算单位经办人员满意度。</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F839">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ED7B">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C34B">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年</w:t>
            </w:r>
          </w:p>
        </w:tc>
        <w:tc>
          <w:tcPr>
            <w:tcW w:w="2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0511">
            <w:pPr>
              <w:widowControl/>
              <w:spacing w:line="300" w:lineRule="exact"/>
              <w:jc w:val="center"/>
              <w:rPr>
                <w:rFonts w:hint="default" w:ascii="Times New Roman" w:hAnsi="Times New Roman" w:eastAsia="方正仿宋_GBK" w:cs="Times New Roman"/>
                <w:color w:val="000000"/>
                <w:sz w:val="24"/>
              </w:rPr>
            </w:pPr>
            <w:r>
              <w:rPr>
                <w:rFonts w:hint="default" w:ascii="Times New Roman" w:hAnsi="Times New Roman" w:eastAsia="方正仿宋_GBK" w:cs="Times New Roman"/>
                <w:color w:val="000000"/>
                <w:sz w:val="24"/>
                <w:lang w:eastAsia="zh-CN"/>
              </w:rPr>
              <w:t>高</w:t>
            </w:r>
          </w:p>
        </w:tc>
      </w:tr>
    </w:tbl>
    <w:p w14:paraId="5BDADC7B">
      <w:pPr>
        <w:rPr>
          <w:rFonts w:hint="default" w:ascii="Times New Roman" w:hAnsi="Times New Roman" w:eastAsia="方正仿宋_GBK" w:cs="Times New Roman"/>
        </w:rPr>
      </w:pPr>
    </w:p>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14BF4">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5CF2E">
                          <w:pPr>
                            <w:pStyle w:val="8"/>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391037CB"/>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355CF2E">
                    <w:pPr>
                      <w:pStyle w:val="8"/>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391037CB"/>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43B26">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1696"/>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1580A9F"/>
    <w:rsid w:val="016E19B5"/>
    <w:rsid w:val="02960075"/>
    <w:rsid w:val="029819AD"/>
    <w:rsid w:val="02B54066"/>
    <w:rsid w:val="03EA29B2"/>
    <w:rsid w:val="05D91BFE"/>
    <w:rsid w:val="06192466"/>
    <w:rsid w:val="06C415E4"/>
    <w:rsid w:val="07D76205"/>
    <w:rsid w:val="08952F73"/>
    <w:rsid w:val="08DE0845"/>
    <w:rsid w:val="0A2365B3"/>
    <w:rsid w:val="0A9F1E25"/>
    <w:rsid w:val="0AA2760F"/>
    <w:rsid w:val="0AFD4CC2"/>
    <w:rsid w:val="0CBA0525"/>
    <w:rsid w:val="0CEF5C90"/>
    <w:rsid w:val="0D35472A"/>
    <w:rsid w:val="0D864AE5"/>
    <w:rsid w:val="0DC31556"/>
    <w:rsid w:val="0E173A5B"/>
    <w:rsid w:val="0E243AE1"/>
    <w:rsid w:val="0E270E26"/>
    <w:rsid w:val="0E936A24"/>
    <w:rsid w:val="0EF07B3A"/>
    <w:rsid w:val="102E1D26"/>
    <w:rsid w:val="10B45CD1"/>
    <w:rsid w:val="117E6442"/>
    <w:rsid w:val="11CD5267"/>
    <w:rsid w:val="12670AD7"/>
    <w:rsid w:val="1283309D"/>
    <w:rsid w:val="12F1186B"/>
    <w:rsid w:val="13E90765"/>
    <w:rsid w:val="14A47BA1"/>
    <w:rsid w:val="14BF2E5F"/>
    <w:rsid w:val="155535F1"/>
    <w:rsid w:val="172B655F"/>
    <w:rsid w:val="18A574AD"/>
    <w:rsid w:val="19B53B32"/>
    <w:rsid w:val="19DD5303"/>
    <w:rsid w:val="1A0A5529"/>
    <w:rsid w:val="1A2302D7"/>
    <w:rsid w:val="1A361EFA"/>
    <w:rsid w:val="1A3D6143"/>
    <w:rsid w:val="1B294177"/>
    <w:rsid w:val="1C013801"/>
    <w:rsid w:val="1C305FD6"/>
    <w:rsid w:val="1C4268EC"/>
    <w:rsid w:val="1C4E2B4A"/>
    <w:rsid w:val="1D7311F2"/>
    <w:rsid w:val="1DF01BB4"/>
    <w:rsid w:val="1DFD8D3B"/>
    <w:rsid w:val="1F7F3977"/>
    <w:rsid w:val="1FAF0DC9"/>
    <w:rsid w:val="1FB79DC9"/>
    <w:rsid w:val="1FBFC3F2"/>
    <w:rsid w:val="1FFC4990"/>
    <w:rsid w:val="1FFFE033"/>
    <w:rsid w:val="21800144"/>
    <w:rsid w:val="21AC4A8C"/>
    <w:rsid w:val="21DC7BAE"/>
    <w:rsid w:val="220F7422"/>
    <w:rsid w:val="23883672"/>
    <w:rsid w:val="23BB3C3E"/>
    <w:rsid w:val="245D1DE4"/>
    <w:rsid w:val="24E1201B"/>
    <w:rsid w:val="25005360"/>
    <w:rsid w:val="25C21355"/>
    <w:rsid w:val="26731F7A"/>
    <w:rsid w:val="27D557A0"/>
    <w:rsid w:val="27F352A6"/>
    <w:rsid w:val="289D0F2C"/>
    <w:rsid w:val="29560A0A"/>
    <w:rsid w:val="299E0B08"/>
    <w:rsid w:val="29D2150E"/>
    <w:rsid w:val="2ABF3BAD"/>
    <w:rsid w:val="2B0B3213"/>
    <w:rsid w:val="2C533FE3"/>
    <w:rsid w:val="2C9B3F8A"/>
    <w:rsid w:val="2D527252"/>
    <w:rsid w:val="2DDB4FC9"/>
    <w:rsid w:val="2DDC1740"/>
    <w:rsid w:val="2EAE55F2"/>
    <w:rsid w:val="2EDF4302"/>
    <w:rsid w:val="2EFE1A04"/>
    <w:rsid w:val="2FFF3854"/>
    <w:rsid w:val="30A82AA0"/>
    <w:rsid w:val="30CF20D7"/>
    <w:rsid w:val="32F7702D"/>
    <w:rsid w:val="33122298"/>
    <w:rsid w:val="331744E0"/>
    <w:rsid w:val="33331C4C"/>
    <w:rsid w:val="337B60C0"/>
    <w:rsid w:val="343636DF"/>
    <w:rsid w:val="35BBF80F"/>
    <w:rsid w:val="35F64E47"/>
    <w:rsid w:val="36420C1F"/>
    <w:rsid w:val="36C15F21"/>
    <w:rsid w:val="371E514B"/>
    <w:rsid w:val="3A844677"/>
    <w:rsid w:val="3B0B3937"/>
    <w:rsid w:val="3B286045"/>
    <w:rsid w:val="3B736F08"/>
    <w:rsid w:val="3BD650CF"/>
    <w:rsid w:val="3BE3D531"/>
    <w:rsid w:val="3C9C54FF"/>
    <w:rsid w:val="3D431A40"/>
    <w:rsid w:val="3D90063A"/>
    <w:rsid w:val="3DD371F1"/>
    <w:rsid w:val="3DF22B25"/>
    <w:rsid w:val="3EB66259"/>
    <w:rsid w:val="3ED136CC"/>
    <w:rsid w:val="3EFF42CA"/>
    <w:rsid w:val="3F6FCA38"/>
    <w:rsid w:val="3FD5AF3D"/>
    <w:rsid w:val="3FFED8BE"/>
    <w:rsid w:val="3FFF43BB"/>
    <w:rsid w:val="3FFFFC14"/>
    <w:rsid w:val="40ED77CB"/>
    <w:rsid w:val="41BF625E"/>
    <w:rsid w:val="4245425A"/>
    <w:rsid w:val="42A86D75"/>
    <w:rsid w:val="433DCF8E"/>
    <w:rsid w:val="437D3D54"/>
    <w:rsid w:val="44EF32C9"/>
    <w:rsid w:val="45FF973D"/>
    <w:rsid w:val="4673316A"/>
    <w:rsid w:val="47550EBA"/>
    <w:rsid w:val="48064BC5"/>
    <w:rsid w:val="481B7ECE"/>
    <w:rsid w:val="48FF5FC2"/>
    <w:rsid w:val="493A0DB1"/>
    <w:rsid w:val="493E12E4"/>
    <w:rsid w:val="49B240B6"/>
    <w:rsid w:val="4A1527F3"/>
    <w:rsid w:val="4BE37F5A"/>
    <w:rsid w:val="4BF7E09D"/>
    <w:rsid w:val="4C5D1A02"/>
    <w:rsid w:val="4C874870"/>
    <w:rsid w:val="4CBF5FAB"/>
    <w:rsid w:val="4E132E45"/>
    <w:rsid w:val="4E6E14BE"/>
    <w:rsid w:val="4F9C6EAB"/>
    <w:rsid w:val="509C66A0"/>
    <w:rsid w:val="50BD2DF0"/>
    <w:rsid w:val="50DC5B0D"/>
    <w:rsid w:val="50F33499"/>
    <w:rsid w:val="528B0D45"/>
    <w:rsid w:val="538E4483"/>
    <w:rsid w:val="53A86405"/>
    <w:rsid w:val="53B1440B"/>
    <w:rsid w:val="53BB74FC"/>
    <w:rsid w:val="53E35BB1"/>
    <w:rsid w:val="542C15F9"/>
    <w:rsid w:val="559B4590"/>
    <w:rsid w:val="55FDDF92"/>
    <w:rsid w:val="55FFBC03"/>
    <w:rsid w:val="56934EE0"/>
    <w:rsid w:val="56BA5D99"/>
    <w:rsid w:val="56CDA72E"/>
    <w:rsid w:val="576F5916"/>
    <w:rsid w:val="577FDAE2"/>
    <w:rsid w:val="57AE163C"/>
    <w:rsid w:val="57FBE2C7"/>
    <w:rsid w:val="58FE7AC5"/>
    <w:rsid w:val="593B2DF0"/>
    <w:rsid w:val="59967319"/>
    <w:rsid w:val="59EE686B"/>
    <w:rsid w:val="5A414C23"/>
    <w:rsid w:val="5A5D5467"/>
    <w:rsid w:val="5B175647"/>
    <w:rsid w:val="5B335734"/>
    <w:rsid w:val="5B572D15"/>
    <w:rsid w:val="5B7C49CC"/>
    <w:rsid w:val="5B7F322F"/>
    <w:rsid w:val="5BCAB023"/>
    <w:rsid w:val="5BE427FD"/>
    <w:rsid w:val="5BEACB58"/>
    <w:rsid w:val="5D6907FC"/>
    <w:rsid w:val="5D6B2853"/>
    <w:rsid w:val="5D8649C7"/>
    <w:rsid w:val="5DDA9B94"/>
    <w:rsid w:val="5E476337"/>
    <w:rsid w:val="5EAB810D"/>
    <w:rsid w:val="5EFA9846"/>
    <w:rsid w:val="5EFF9DA6"/>
    <w:rsid w:val="5F7751B9"/>
    <w:rsid w:val="5F9F7232"/>
    <w:rsid w:val="5F9F9588"/>
    <w:rsid w:val="5FBD32D2"/>
    <w:rsid w:val="5FD450B0"/>
    <w:rsid w:val="5FEF60CD"/>
    <w:rsid w:val="5FFB203D"/>
    <w:rsid w:val="5FFB8CF9"/>
    <w:rsid w:val="603A39D4"/>
    <w:rsid w:val="61710E1B"/>
    <w:rsid w:val="62BB0327"/>
    <w:rsid w:val="635E61D4"/>
    <w:rsid w:val="63DBAF21"/>
    <w:rsid w:val="658F2915"/>
    <w:rsid w:val="6636451A"/>
    <w:rsid w:val="66941907"/>
    <w:rsid w:val="67B662A8"/>
    <w:rsid w:val="67DE80AA"/>
    <w:rsid w:val="67FC1DD8"/>
    <w:rsid w:val="685850B3"/>
    <w:rsid w:val="68D159F4"/>
    <w:rsid w:val="697874EB"/>
    <w:rsid w:val="697A6EA9"/>
    <w:rsid w:val="697E3B47"/>
    <w:rsid w:val="69BF132E"/>
    <w:rsid w:val="6A9678E4"/>
    <w:rsid w:val="6AEE1346"/>
    <w:rsid w:val="6B7F84D8"/>
    <w:rsid w:val="6BFA70F9"/>
    <w:rsid w:val="6BFEE5F3"/>
    <w:rsid w:val="6C647C83"/>
    <w:rsid w:val="6CAFF34E"/>
    <w:rsid w:val="6CF2224A"/>
    <w:rsid w:val="6CFFCF4F"/>
    <w:rsid w:val="6DC72C54"/>
    <w:rsid w:val="6DFFF8B6"/>
    <w:rsid w:val="6E9FE641"/>
    <w:rsid w:val="6EEDE807"/>
    <w:rsid w:val="6EEE4BE4"/>
    <w:rsid w:val="6EF65E9C"/>
    <w:rsid w:val="6F3D9197"/>
    <w:rsid w:val="6F6F75B6"/>
    <w:rsid w:val="6F792C15"/>
    <w:rsid w:val="6FAB3EC4"/>
    <w:rsid w:val="6FB6AF41"/>
    <w:rsid w:val="6FD52DA7"/>
    <w:rsid w:val="6FD894C8"/>
    <w:rsid w:val="6FE36A9E"/>
    <w:rsid w:val="6FEFB2D1"/>
    <w:rsid w:val="6FFF97E6"/>
    <w:rsid w:val="708D217F"/>
    <w:rsid w:val="711E1F71"/>
    <w:rsid w:val="71397E03"/>
    <w:rsid w:val="71567BA3"/>
    <w:rsid w:val="71A01481"/>
    <w:rsid w:val="71A84E5F"/>
    <w:rsid w:val="71FB5B08"/>
    <w:rsid w:val="73FB87D9"/>
    <w:rsid w:val="75EF0FBA"/>
    <w:rsid w:val="7607C293"/>
    <w:rsid w:val="76793C4E"/>
    <w:rsid w:val="767B0EE7"/>
    <w:rsid w:val="76DF783A"/>
    <w:rsid w:val="76DFA4E8"/>
    <w:rsid w:val="775F6D5C"/>
    <w:rsid w:val="778720BD"/>
    <w:rsid w:val="77A7D615"/>
    <w:rsid w:val="77B605D5"/>
    <w:rsid w:val="77FF366A"/>
    <w:rsid w:val="77FF8C96"/>
    <w:rsid w:val="77FFA8F9"/>
    <w:rsid w:val="78DE32D1"/>
    <w:rsid w:val="7976604B"/>
    <w:rsid w:val="7986026F"/>
    <w:rsid w:val="79D95BD1"/>
    <w:rsid w:val="79F3BC78"/>
    <w:rsid w:val="7A2C7259"/>
    <w:rsid w:val="7A5B6CAA"/>
    <w:rsid w:val="7A9314AC"/>
    <w:rsid w:val="7B142AED"/>
    <w:rsid w:val="7B4F6850"/>
    <w:rsid w:val="7B9F0D1F"/>
    <w:rsid w:val="7BABD5C4"/>
    <w:rsid w:val="7BB12055"/>
    <w:rsid w:val="7BBFADBA"/>
    <w:rsid w:val="7BD93EE6"/>
    <w:rsid w:val="7BF7F9C6"/>
    <w:rsid w:val="7BFF492D"/>
    <w:rsid w:val="7C3830C4"/>
    <w:rsid w:val="7C631402"/>
    <w:rsid w:val="7C978C63"/>
    <w:rsid w:val="7CA35AD0"/>
    <w:rsid w:val="7CDF8BC3"/>
    <w:rsid w:val="7CEB72A5"/>
    <w:rsid w:val="7CF2274B"/>
    <w:rsid w:val="7D18750B"/>
    <w:rsid w:val="7DBB4187"/>
    <w:rsid w:val="7DDFDC39"/>
    <w:rsid w:val="7DFDEECD"/>
    <w:rsid w:val="7E140770"/>
    <w:rsid w:val="7E1A155B"/>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4">
    <w:name w:val="Document Map"/>
    <w:basedOn w:val="1"/>
    <w:link w:val="19"/>
    <w:qFormat/>
    <w:uiPriority w:val="0"/>
    <w:rPr>
      <w:rFonts w:ascii="宋体" w:eastAsia="宋体"/>
      <w:sz w:val="18"/>
      <w:szCs w:val="18"/>
    </w:rPr>
  </w:style>
  <w:style w:type="paragraph" w:styleId="5">
    <w:name w:val="Body Text Indent"/>
    <w:basedOn w:val="1"/>
    <w:qFormat/>
    <w:uiPriority w:val="0"/>
    <w:pPr>
      <w:spacing w:after="120"/>
      <w:ind w:left="200" w:leftChars="200"/>
    </w:pPr>
    <w:rPr>
      <w:rFonts w:ascii="仿宋_GB2312"/>
      <w:szCs w:val="32"/>
    </w:rPr>
  </w:style>
  <w:style w:type="paragraph" w:styleId="6">
    <w:name w:val="Plain Text"/>
    <w:basedOn w:val="1"/>
    <w:qFormat/>
    <w:uiPriority w:val="0"/>
    <w:rPr>
      <w:rFonts w:ascii="宋体" w:hAnsi="Courier New"/>
    </w:rPr>
  </w:style>
  <w:style w:type="paragraph" w:styleId="7">
    <w:name w:val="Balloon Text"/>
    <w:basedOn w:val="1"/>
    <w:semiHidden/>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0">
    <w:name w:val="toc 1"/>
    <w:basedOn w:val="1"/>
    <w:next w:val="1"/>
    <w:qFormat/>
    <w:uiPriority w:val="0"/>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basedOn w:val="14"/>
    <w:qFormat/>
    <w:uiPriority w:val="0"/>
  </w:style>
  <w:style w:type="paragraph" w:customStyle="1" w:styleId="16">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7">
    <w:name w:val="四号正文"/>
    <w:basedOn w:val="1"/>
    <w:link w:val="18"/>
    <w:qFormat/>
    <w:uiPriority w:val="0"/>
    <w:pPr>
      <w:spacing w:line="360" w:lineRule="auto"/>
    </w:pPr>
    <w:rPr>
      <w:rFonts w:ascii="??" w:hAnsi="??" w:eastAsia="宋体" w:cs="宋体"/>
      <w:color w:val="000000"/>
      <w:kern w:val="0"/>
      <w:sz w:val="28"/>
      <w:szCs w:val="21"/>
    </w:rPr>
  </w:style>
  <w:style w:type="character" w:customStyle="1" w:styleId="18">
    <w:name w:val="四号正文 Char"/>
    <w:basedOn w:val="14"/>
    <w:link w:val="17"/>
    <w:qFormat/>
    <w:uiPriority w:val="0"/>
    <w:rPr>
      <w:rFonts w:ascii="??" w:hAnsi="??" w:eastAsia="宋体" w:cs="宋体"/>
      <w:color w:val="000000"/>
      <w:sz w:val="28"/>
      <w:szCs w:val="21"/>
      <w:lang w:val="en-US" w:eastAsia="zh-CN" w:bidi="ar-SA"/>
    </w:rPr>
  </w:style>
  <w:style w:type="character" w:customStyle="1" w:styleId="19">
    <w:name w:val="文档结构图 Char"/>
    <w:basedOn w:val="14"/>
    <w:link w:val="4"/>
    <w:qFormat/>
    <w:uiPriority w:val="0"/>
    <w:rPr>
      <w:rFonts w:ascii="宋体"/>
      <w:kern w:val="2"/>
      <w:sz w:val="18"/>
      <w:szCs w:val="18"/>
    </w:rPr>
  </w:style>
  <w:style w:type="paragraph" w:customStyle="1" w:styleId="20">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1">
    <w:name w:val="页脚 Char"/>
    <w:basedOn w:val="14"/>
    <w:link w:val="8"/>
    <w:qFormat/>
    <w:uiPriority w:val="99"/>
    <w:rPr>
      <w:kern w:val="2"/>
      <w:sz w:val="18"/>
      <w:szCs w:val="18"/>
    </w:rPr>
  </w:style>
  <w:style w:type="character" w:customStyle="1" w:styleId="22">
    <w:name w:val="font31"/>
    <w:basedOn w:val="14"/>
    <w:qFormat/>
    <w:uiPriority w:val="0"/>
    <w:rPr>
      <w:rFonts w:hint="eastAsia" w:ascii="宋体" w:hAnsi="宋体" w:eastAsia="宋体" w:cs="宋体"/>
      <w:color w:val="000000"/>
      <w:sz w:val="24"/>
      <w:szCs w:val="24"/>
      <w:u w:val="none"/>
    </w:rPr>
  </w:style>
  <w:style w:type="character" w:customStyle="1" w:styleId="23">
    <w:name w:val="font51"/>
    <w:basedOn w:val="14"/>
    <w:qFormat/>
    <w:uiPriority w:val="0"/>
    <w:rPr>
      <w:rFonts w:hint="default" w:ascii="Wingdings 2" w:hAnsi="Wingdings 2" w:eastAsia="Wingdings 2" w:cs="Wingdings 2"/>
      <w:color w:val="000000"/>
      <w:sz w:val="18"/>
      <w:szCs w:val="18"/>
      <w:u w:val="none"/>
    </w:rPr>
  </w:style>
  <w:style w:type="character" w:customStyle="1" w:styleId="24">
    <w:name w:val="font01"/>
    <w:basedOn w:val="14"/>
    <w:qFormat/>
    <w:uiPriority w:val="0"/>
    <w:rPr>
      <w:rFonts w:ascii="宋体" w:hAnsi="宋体" w:eastAsia="宋体" w:cs="宋体"/>
      <w:color w:val="000000"/>
      <w:sz w:val="18"/>
      <w:szCs w:val="18"/>
      <w:u w:val="none"/>
    </w:rPr>
  </w:style>
  <w:style w:type="character" w:customStyle="1" w:styleId="25">
    <w:name w:val="font41"/>
    <w:basedOn w:val="14"/>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f2f0a89f-0cd3-4b15-9909-fc74c9b4dd5a</errorID>
      <errorWord>;</errorWord>
      <group>L1_Format</group>
      <groupName>格式问题</groupName>
      <ability>L2_HalfPunc</ability>
      <abilityName>全半角检查</abilityName>
      <candidateList>
        <item>；</item>
      </candidateList>
      <explain>文本全半角错误。</explain>
      <paraID>356A6B64</paraID>
      <start>33</start>
      <end>34</end>
      <status>modified</status>
      <modifiedWord>；</modifiedWord>
      <trackRevisions>false</trackRevisions>
    </reviewItem>
    <reviewItem>
      <errorID>aa69eb56-090d-4ea3-abe9-8705689fbbc2</errorID>
      <errorWord>间</errorWord>
      <group>L1_Word</group>
      <groupName>字词问题</groupName>
      <ability>L2_Typo</ability>
      <abilityName>字词错误</abilityName>
      <candidateList>
        <item>间内</item>
      </candidateList>
      <explain/>
      <paraID>5C5BC560</paraID>
      <start>10</start>
      <end>12</end>
      <status>modified</status>
      <modifiedWord>间内</modifiedWord>
      <trackRevisions>false</trackRevisions>
    </reviewItem>
    <reviewItem>
      <errorID>9d5b17ed-c200-4834-a519-8099609e91dd</errorID>
      <errorWord>。</errorWord>
      <group>L1_Grammar</group>
      <groupName>语法问题</groupName>
      <ability>L2_Missing</ability>
      <abilityName>成分残缺</abilityName>
      <candidateList>
        <item>的措施。</item>
      </candidateList>
      <explain>句子中可能存在主谓宾、修饰语或者必要的词语残缺。</explain>
      <paraID>43A7775D</paraID>
      <start>30</start>
      <end>34</end>
      <status>modified</status>
      <modifiedWord>的措施。</modifiedWord>
      <trackRevisions>false</trackRevisions>
    </reviewItem>
    <reviewItem>
      <errorID>b96d898a-e1fc-44ea-a62d-82df8cc7d009</errorID>
      <errorWord>；</errorWord>
      <group>L1_Word</group>
      <groupName>字词问题</groupName>
      <ability>L2_Typo</ability>
      <abilityName>字词错误</abilityName>
      <candidateList>
        <item>；在</item>
      </candidateList>
      <explain/>
      <paraID>37C7161C</paraID>
      <start>38</start>
      <end>39</end>
      <status>ignored</status>
      <modifiedWord/>
      <trackRevisions>false</trackRevisions>
    </reviewItem>
    <reviewItem>
      <errorID>b5ac4561-f2a4-419c-abec-21d873e607c6</errorID>
      <errorWord>指标指标</errorWord>
      <group>L1_Word</group>
      <groupName>字词问题</groupName>
      <ability>L2_Typo</ability>
      <abilityName>字词错误</abilityName>
      <candidateList>
        <item>指标</item>
      </candidateList>
      <explain/>
      <paraID>2C6B163B</paraID>
      <start>4</start>
      <end>6</end>
      <status>modified</status>
      <modifiedWord>指标</modifiedWord>
      <trackRevisions>false</trackRevisions>
    </reviewItem>
    <reviewItem>
      <errorID>33dd19c3-0b8c-4f4e-9349-15f37103597f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6E5F2D28</paraID>
      <start>12</start>
      <end>13</end>
      <status>modified</status>
      <modifiedWord>—</modifiedWord>
      <trackRevisions>false</trackRevisions>
    </reviewItem>
    <reviewItem>
      <errorID>d7e64a74-860d-4d10-9b0a-08d21a101470</errorID>
      <errorWord>间</errorWord>
      <group>L1_Word</group>
      <groupName>字词问题</groupName>
      <ability>L2_Typo</ability>
      <abilityName>字词错误</abilityName>
      <candidateList>
        <item>间内</item>
      </candidateList>
      <explain/>
      <paraID>2A6B9D64</paraID>
      <start>12</start>
      <end>14</end>
      <status>modified</status>
      <modifiedWord>间内</modifiedWord>
      <trackRevisions>false</trackRevisions>
    </reviewItem>
    <reviewItem>
      <errorID>2c83f9eb-8e8d-4933-8f4f-c17cdba9b9cf</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74FCEDBE</paraID>
      <start>0</start>
      <end>6</end>
      <status>modified</status>
      <modifiedWord>“三公”经费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358619-cc52-48f7-8cdd-dddfec060c42}">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13</Pages>
  <Words>3973</Words>
  <Characters>4256</Characters>
  <Lines>18</Lines>
  <Paragraphs>5</Paragraphs>
  <TotalTime>25</TotalTime>
  <ScaleCrop>false</ScaleCrop>
  <LinksUpToDate>false</LinksUpToDate>
  <CharactersWithSpaces>4257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lenovo</cp:lastModifiedBy>
  <cp:lastPrinted>2025-03-04T19:05:00Z</cp:lastPrinted>
  <dcterms:modified xsi:type="dcterms:W3CDTF">2026-06-11T03:15:37Z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8C87B219F8E741A8882918299656D982_13</vt:lpwstr>
  </property>
  <property fmtid="{D5CDD505-2E9C-101B-9397-08002B2CF9AE}" pid="4" name="KSOTemplateDocerSaveRecord">
    <vt:lpwstr>eyJoZGlkIjoiMmY2YmUxZjk2NzRmYTg5MDQ2ZDU3YTM2YzM2MGI4ZDIiLCJ1c2VySWQiOiI1NDQ5OTk1MzQifQ==</vt:lpwstr>
  </property>
</Properties>
</file>