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8" w:lineRule="exact"/>
        <w:contextualSpacing/>
        <w:rPr>
          <w:rFonts w:eastAsia="黑体"/>
          <w:szCs w:val="32"/>
          <w:lang w:val="zh-CN"/>
        </w:rPr>
      </w:pPr>
      <w:r>
        <w:rPr>
          <w:rFonts w:eastAsia="黑体"/>
          <w:szCs w:val="32"/>
          <w:lang w:val="zh-CN"/>
        </w:rPr>
        <w:t>附件</w:t>
      </w:r>
      <w:r>
        <w:rPr>
          <w:rFonts w:eastAsia="黑体"/>
          <w:szCs w:val="32"/>
        </w:rPr>
        <w:t>2</w:t>
      </w:r>
    </w:p>
    <w:p>
      <w:pPr>
        <w:widowControl/>
        <w:spacing w:line="578" w:lineRule="exact"/>
        <w:contextualSpacing/>
        <w:rPr>
          <w:rFonts w:eastAsia="宋体"/>
          <w:b/>
          <w:sz w:val="44"/>
          <w:szCs w:val="44"/>
          <w:shd w:val="clear" w:color="auto" w:fill="FFFFFF"/>
        </w:rPr>
      </w:pPr>
    </w:p>
    <w:p>
      <w:pPr>
        <w:keepNext w:val="0"/>
        <w:keepLines w:val="0"/>
        <w:pageBreakBefore w:val="0"/>
        <w:widowControl/>
        <w:kinsoku/>
        <w:wordWrap/>
        <w:overflowPunct/>
        <w:topLinePunct w:val="0"/>
        <w:autoSpaceDE/>
        <w:autoSpaceDN/>
        <w:bidi w:val="0"/>
        <w:adjustRightInd/>
        <w:snapToGrid/>
        <w:spacing w:line="0" w:lineRule="atLeast"/>
        <w:contextualSpacing/>
        <w:jc w:val="center"/>
        <w:textAlignment w:val="auto"/>
        <w:rPr>
          <w:rFonts w:hint="eastAsia" w:ascii="方正小标宋_GBK" w:hAnsi="方正小标宋_GBK" w:eastAsia="方正小标宋_GBK" w:cs="方正小标宋_GBK"/>
          <w:b/>
          <w:bCs w:val="0"/>
          <w:sz w:val="44"/>
          <w:szCs w:val="44"/>
          <w:shd w:val="clear" w:color="auto" w:fill="FFFFFF"/>
          <w:lang w:val="en-US" w:eastAsia="zh-CN"/>
        </w:rPr>
      </w:pPr>
      <w:r>
        <w:rPr>
          <w:rFonts w:hint="eastAsia" w:ascii="方正小标宋_GBK" w:hAnsi="方正小标宋_GBK" w:eastAsia="方正小标宋_GBK" w:cs="方正小标宋_GBK"/>
          <w:b/>
          <w:bCs w:val="0"/>
          <w:sz w:val="44"/>
          <w:szCs w:val="44"/>
          <w:shd w:val="clear" w:color="auto" w:fill="FFFFFF"/>
          <w:lang w:val="en-US" w:eastAsia="zh-CN"/>
        </w:rPr>
        <w:t>攀枝花市西区财政投资评审中心</w:t>
      </w:r>
    </w:p>
    <w:p>
      <w:pPr>
        <w:keepNext w:val="0"/>
        <w:keepLines w:val="0"/>
        <w:pageBreakBefore w:val="0"/>
        <w:widowControl/>
        <w:kinsoku/>
        <w:wordWrap/>
        <w:overflowPunct/>
        <w:topLinePunct w:val="0"/>
        <w:autoSpaceDE/>
        <w:autoSpaceDN/>
        <w:bidi w:val="0"/>
        <w:adjustRightInd/>
        <w:snapToGrid/>
        <w:spacing w:line="0" w:lineRule="atLeast"/>
        <w:contextualSpacing/>
        <w:jc w:val="center"/>
        <w:textAlignment w:val="auto"/>
        <w:rPr>
          <w:rFonts w:hint="eastAsia" w:ascii="方正小标宋_GBK" w:hAnsi="方正小标宋_GBK" w:eastAsia="方正小标宋_GBK" w:cs="方正小标宋_GBK"/>
          <w:b/>
          <w:bCs w:val="0"/>
          <w:sz w:val="44"/>
          <w:szCs w:val="44"/>
          <w:shd w:val="clear" w:color="auto" w:fill="FFFFFF"/>
        </w:rPr>
      </w:pPr>
      <w:r>
        <w:rPr>
          <w:rFonts w:hint="eastAsia" w:ascii="方正小标宋_GBK" w:hAnsi="方正小标宋_GBK" w:eastAsia="方正小标宋_GBK" w:cs="方正小标宋_GBK"/>
          <w:b/>
          <w:bCs w:val="0"/>
          <w:sz w:val="44"/>
          <w:szCs w:val="44"/>
          <w:shd w:val="clear" w:color="auto" w:fill="FFFFFF"/>
        </w:rPr>
        <w:t>预算绩效自评报告</w:t>
      </w:r>
    </w:p>
    <w:p>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p>
    <w:p>
      <w:pPr>
        <w:widowControl/>
        <w:adjustRightInd w:val="0"/>
        <w:snapToGrid w:val="0"/>
        <w:spacing w:line="578" w:lineRule="exact"/>
        <w:ind w:firstLine="640" w:firstLineChars="200"/>
        <w:contextualSpacing/>
        <w:jc w:val="left"/>
        <w:rPr>
          <w:szCs w:val="32"/>
        </w:rPr>
      </w:pPr>
      <w:r>
        <w:rPr>
          <w:rFonts w:eastAsia="黑体"/>
          <w:color w:val="000000"/>
          <w:kern w:val="0"/>
          <w:szCs w:val="32"/>
          <w:shd w:val="clear" w:color="auto" w:fill="FFFFFF"/>
          <w:lang w:val="zh-CN"/>
        </w:rPr>
        <w:t>一、部门（单位）基本情况</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（一）机构组成。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szCs w:val="32"/>
        </w:rPr>
      </w:pPr>
      <w:r>
        <w:rPr>
          <w:rFonts w:hint="default" w:ascii="Times New Roman" w:hAnsi="Times New Roman" w:eastAsia="方正仿宋_GBK" w:cs="Times New Roman"/>
        </w:rPr>
        <w:t>攀枝花市西区财政投资评审中心为西区财政局所属全额拨款事业单位，执行政府会计制度。</w:t>
      </w:r>
    </w:p>
    <w:p>
      <w:pPr>
        <w:widowControl/>
        <w:adjustRightInd w:val="0"/>
        <w:snapToGrid w:val="0"/>
        <w:spacing w:line="578" w:lineRule="exact"/>
        <w:ind w:firstLine="643" w:firstLineChars="200"/>
        <w:contextualSpacing/>
        <w:jc w:val="left"/>
        <w:rPr>
          <w:szCs w:val="32"/>
        </w:rPr>
      </w:pPr>
      <w:r>
        <w:rPr>
          <w:rFonts w:eastAsia="楷体_GB2312"/>
          <w:b/>
          <w:bCs/>
          <w:color w:val="000000"/>
          <w:kern w:val="0"/>
          <w:szCs w:val="32"/>
          <w:shd w:val="clear" w:color="auto" w:fill="FFFFFF"/>
          <w:lang w:val="zh-CN"/>
        </w:rPr>
        <w:t>（二）机构职能。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1.制定投资评审规章制度，指导投资评审业务工作。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2.确定投资评审项目，下达评审计划。</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3.确认或批复评审机构出具的评审报告。</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4.依据财政部的统一规定和要求制定预算绩效考核的具体实施办法，指导和监督预算绩效评价工作。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lang w:val="zh-CN"/>
        </w:rPr>
      </w:pPr>
      <w:r>
        <w:rPr>
          <w:rFonts w:hint="default" w:ascii="Times New Roman" w:hAnsi="Times New Roman" w:eastAsia="方正仿宋_GBK" w:cs="Times New Roman"/>
        </w:rPr>
        <w:t>5.受理、处理评审争议和投诉。</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（三）人员概况。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szCs w:val="32"/>
        </w:rPr>
      </w:pPr>
      <w:r>
        <w:rPr>
          <w:rFonts w:hint="default" w:ascii="Times New Roman" w:hAnsi="Times New Roman" w:eastAsia="方正仿宋_GBK" w:cs="Times New Roman"/>
        </w:rPr>
        <w:t>截至202</w:t>
      </w:r>
      <w:r>
        <w:rPr>
          <w:rFonts w:hint="eastAsia" w:ascii="Times New Roman" w:hAnsi="Times New Roman" w:eastAsia="方正仿宋_GBK" w:cs="Times New Roman"/>
          <w:lang w:val="en-US" w:eastAsia="zh-CN"/>
        </w:rPr>
        <w:t>5</w:t>
      </w:r>
      <w:r>
        <w:rPr>
          <w:rFonts w:hint="default" w:ascii="Times New Roman" w:hAnsi="Times New Roman" w:eastAsia="方正仿宋_GBK" w:cs="Times New Roman"/>
        </w:rPr>
        <w:t>年末，西区财政投资评审中心</w:t>
      </w:r>
      <w:r>
        <w:rPr>
          <w:rFonts w:hint="eastAsia" w:eastAsia="方正仿宋_GBK" w:cs="Times New Roman"/>
          <w:lang w:val="en-US" w:eastAsia="zh-CN"/>
        </w:rPr>
        <w:t>设事业人员编制9人，占用人才交流事业编制3人，</w:t>
      </w:r>
      <w:r>
        <w:rPr>
          <w:rFonts w:hint="default" w:ascii="Times New Roman" w:hAnsi="Times New Roman" w:eastAsia="方正仿宋_GBK" w:cs="Times New Roman"/>
        </w:rPr>
        <w:t>实有事业人员</w:t>
      </w:r>
      <w:r>
        <w:rPr>
          <w:rFonts w:hint="default" w:ascii="Times New Roman" w:hAnsi="Times New Roman" w:eastAsia="方正仿宋_GBK" w:cs="Times New Roman"/>
          <w:lang w:eastAsia="zh-CN"/>
        </w:rPr>
        <w:t>共</w:t>
      </w:r>
      <w:r>
        <w:rPr>
          <w:rFonts w:hint="default" w:ascii="Times New Roman" w:hAnsi="Times New Roman" w:eastAsia="方正仿宋_GBK" w:cs="Times New Roman"/>
          <w:lang w:val="en-US" w:eastAsia="zh-CN"/>
        </w:rPr>
        <w:t>1</w:t>
      </w:r>
      <w:r>
        <w:rPr>
          <w:rFonts w:hint="eastAsia" w:ascii="Times New Roman" w:hAnsi="Times New Roman" w:eastAsia="方正仿宋_GBK" w:cs="Times New Roman"/>
          <w:lang w:val="en-US" w:eastAsia="zh-CN"/>
        </w:rPr>
        <w:t>0</w:t>
      </w:r>
      <w:r>
        <w:rPr>
          <w:rFonts w:hint="default" w:ascii="Times New Roman" w:hAnsi="Times New Roman" w:eastAsia="方正仿宋_GBK" w:cs="Times New Roman"/>
        </w:rPr>
        <w:t>人，</w:t>
      </w:r>
      <w:r>
        <w:rPr>
          <w:rFonts w:hint="default" w:ascii="Times New Roman" w:hAnsi="Times New Roman" w:eastAsia="方正仿宋_GBK" w:cs="Times New Roman"/>
          <w:lang w:eastAsia="zh-CN"/>
        </w:rPr>
        <w:t>编内</w:t>
      </w:r>
      <w:r>
        <w:rPr>
          <w:rFonts w:hint="default" w:ascii="Times New Roman" w:hAnsi="Times New Roman" w:eastAsia="方正仿宋_GBK" w:cs="Times New Roman"/>
        </w:rPr>
        <w:t>聘用人员1人。</w:t>
      </w:r>
    </w:p>
    <w:p>
      <w:pPr>
        <w:widowControl/>
        <w:adjustRightInd w:val="0"/>
        <w:snapToGrid w:val="0"/>
        <w:spacing w:line="578" w:lineRule="exact"/>
        <w:ind w:firstLine="640" w:firstLineChars="200"/>
        <w:contextualSpacing/>
        <w:jc w:val="left"/>
        <w:rPr>
          <w:rFonts w:eastAsia="黑体"/>
          <w:color w:val="000000"/>
          <w:kern w:val="0"/>
          <w:szCs w:val="32"/>
          <w:shd w:val="clear" w:color="auto" w:fill="FFFFFF"/>
        </w:rPr>
      </w:pPr>
      <w:r>
        <w:rPr>
          <w:rFonts w:eastAsia="黑体"/>
          <w:color w:val="000000"/>
          <w:kern w:val="0"/>
          <w:szCs w:val="32"/>
          <w:shd w:val="clear" w:color="auto" w:fill="FFFFFF"/>
        </w:rPr>
        <w:t>二、部门资金收支情况</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（一）收入情况。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rPr>
        <w:t>西区财政投资评审中心202</w:t>
      </w:r>
      <w:r>
        <w:rPr>
          <w:rFonts w:hint="eastAsia" w:ascii="Times New Roman" w:hAnsi="Times New Roman" w:eastAsia="方正仿宋_GBK" w:cs="Times New Roman"/>
          <w:lang w:val="en-US" w:eastAsia="zh-CN"/>
        </w:rPr>
        <w:t>5</w:t>
      </w:r>
      <w:r>
        <w:rPr>
          <w:rFonts w:hint="default" w:ascii="Times New Roman" w:hAnsi="Times New Roman" w:eastAsia="方正仿宋_GBK" w:cs="Times New Roman"/>
        </w:rPr>
        <w:t>年年初预算收入</w:t>
      </w:r>
      <w:r>
        <w:rPr>
          <w:rFonts w:hint="default" w:ascii="Times New Roman" w:hAnsi="Times New Roman" w:eastAsia="方正仿宋_GBK" w:cs="Times New Roman"/>
          <w:lang w:val="en-US" w:eastAsia="zh-CN"/>
        </w:rPr>
        <w:t>合计398.</w:t>
      </w:r>
      <w:r>
        <w:rPr>
          <w:rFonts w:hint="eastAsia" w:ascii="Times New Roman" w:hAnsi="Times New Roman" w:eastAsia="方正仿宋_GBK" w:cs="Times New Roman"/>
          <w:lang w:val="en-US" w:eastAsia="zh-CN"/>
        </w:rPr>
        <w:t>78</w:t>
      </w:r>
      <w:r>
        <w:rPr>
          <w:rFonts w:hint="default" w:ascii="Times New Roman" w:hAnsi="Times New Roman" w:eastAsia="方正仿宋_GBK" w:cs="Times New Roman"/>
          <w:lang w:val="en-US" w:eastAsia="zh-CN"/>
        </w:rPr>
        <w:t>万元。其中：一般公共预算财政拨款收入</w:t>
      </w:r>
      <w:r>
        <w:rPr>
          <w:rFonts w:hint="eastAsia" w:ascii="Times New Roman" w:hAnsi="Times New Roman" w:eastAsia="方正仿宋_GBK" w:cs="Times New Roman"/>
          <w:lang w:val="en-US" w:eastAsia="zh-CN"/>
        </w:rPr>
        <w:t>398.78</w:t>
      </w:r>
      <w:r>
        <w:rPr>
          <w:rFonts w:hint="default" w:ascii="Times New Roman" w:hAnsi="Times New Roman" w:eastAsia="方正仿宋_GBK" w:cs="Times New Roman"/>
          <w:lang w:val="en-US" w:eastAsia="zh-CN"/>
        </w:rPr>
        <w:t>万元</w:t>
      </w:r>
      <w:r>
        <w:rPr>
          <w:rFonts w:hint="eastAsia" w:ascii="Times New Roman" w:hAnsi="Times New Roman" w:eastAsia="方正仿宋_GBK" w:cs="Times New Roman"/>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西区财政投资评审中心202</w:t>
      </w:r>
      <w:r>
        <w:rPr>
          <w:rFonts w:hint="eastAsia" w:ascii="Times New Roman" w:hAnsi="Times New Roman" w:eastAsia="方正仿宋_GBK" w:cs="Times New Roman"/>
          <w:lang w:val="en-US" w:eastAsia="zh-CN"/>
        </w:rPr>
        <w:t>5</w:t>
      </w:r>
      <w:r>
        <w:rPr>
          <w:rFonts w:hint="default" w:ascii="Times New Roman" w:hAnsi="Times New Roman" w:eastAsia="方正仿宋_GBK" w:cs="Times New Roman"/>
        </w:rPr>
        <w:t>年决算收入</w:t>
      </w:r>
      <w:r>
        <w:rPr>
          <w:rFonts w:hint="default" w:ascii="Times New Roman" w:hAnsi="Times New Roman" w:eastAsia="方正仿宋_GBK" w:cs="Times New Roman"/>
          <w:lang w:val="en-US" w:eastAsia="zh-CN"/>
        </w:rPr>
        <w:t>合计3</w:t>
      </w:r>
      <w:r>
        <w:rPr>
          <w:rFonts w:hint="eastAsia" w:ascii="Times New Roman" w:hAnsi="Times New Roman" w:eastAsia="方正仿宋_GBK" w:cs="Times New Roman"/>
          <w:lang w:val="en-US" w:eastAsia="zh-CN"/>
        </w:rPr>
        <w:t>92.05</w:t>
      </w:r>
      <w:r>
        <w:rPr>
          <w:rFonts w:hint="default" w:ascii="Times New Roman" w:hAnsi="Times New Roman" w:eastAsia="方正仿宋_GBK" w:cs="Times New Roman"/>
          <w:lang w:val="en-US" w:eastAsia="zh-CN"/>
        </w:rPr>
        <w:t>万元。其中：一般公共预算财政拨款收入</w:t>
      </w:r>
      <w:r>
        <w:rPr>
          <w:rFonts w:hint="eastAsia" w:ascii="Times New Roman" w:hAnsi="Times New Roman" w:eastAsia="方正仿宋_GBK" w:cs="Times New Roman"/>
          <w:lang w:val="en-US" w:eastAsia="zh-CN"/>
        </w:rPr>
        <w:t>392.05</w:t>
      </w:r>
      <w:r>
        <w:rPr>
          <w:rFonts w:hint="default" w:ascii="Times New Roman" w:hAnsi="Times New Roman" w:eastAsia="方正仿宋_GBK" w:cs="Times New Roman"/>
          <w:lang w:val="en-US" w:eastAsia="zh-CN"/>
        </w:rPr>
        <w:t>万元</w:t>
      </w:r>
      <w:r>
        <w:rPr>
          <w:rFonts w:hint="eastAsia" w:ascii="Times New Roman" w:hAnsi="Times New Roman" w:eastAsia="方正仿宋_GBK" w:cs="Times New Roman"/>
          <w:lang w:val="en-US"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643" w:firstLineChars="200"/>
        <w:textAlignment w:val="auto"/>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支出情况。</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rPr>
        <w:t>西区财政投资评审中心202</w:t>
      </w:r>
      <w:r>
        <w:rPr>
          <w:rFonts w:hint="eastAsia" w:ascii="Times New Roman" w:hAnsi="Times New Roman" w:eastAsia="方正仿宋_GBK" w:cs="Times New Roman"/>
          <w:lang w:val="en-US" w:eastAsia="zh-CN"/>
        </w:rPr>
        <w:t>5</w:t>
      </w:r>
      <w:r>
        <w:rPr>
          <w:rFonts w:hint="default" w:ascii="Times New Roman" w:hAnsi="Times New Roman" w:eastAsia="方正仿宋_GBK" w:cs="Times New Roman"/>
        </w:rPr>
        <w:t>年年初预算</w:t>
      </w:r>
      <w:r>
        <w:rPr>
          <w:rFonts w:hint="default" w:ascii="Times New Roman" w:hAnsi="Times New Roman" w:eastAsia="方正仿宋_GBK" w:cs="Times New Roman"/>
          <w:lang w:val="en-US" w:eastAsia="zh-CN"/>
        </w:rPr>
        <w:t>支出合计398.</w:t>
      </w:r>
      <w:r>
        <w:rPr>
          <w:rFonts w:hint="eastAsia" w:ascii="Times New Roman" w:hAnsi="Times New Roman" w:eastAsia="方正仿宋_GBK" w:cs="Times New Roman"/>
          <w:lang w:val="en-US" w:eastAsia="zh-CN"/>
        </w:rPr>
        <w:t>78</w:t>
      </w:r>
      <w:r>
        <w:rPr>
          <w:rFonts w:hint="default" w:ascii="Times New Roman" w:hAnsi="Times New Roman" w:eastAsia="方正仿宋_GBK" w:cs="Times New Roman"/>
          <w:lang w:val="en-US" w:eastAsia="zh-CN"/>
        </w:rPr>
        <w:t>万元。</w:t>
      </w:r>
      <w:r>
        <w:rPr>
          <w:rFonts w:hint="default" w:ascii="Times New Roman" w:hAnsi="Times New Roman" w:eastAsia="方正仿宋_GBK" w:cs="Times New Roman"/>
        </w:rPr>
        <w:t>其中：</w:t>
      </w:r>
      <w:r>
        <w:rPr>
          <w:rFonts w:hint="default" w:ascii="Times New Roman" w:hAnsi="Times New Roman" w:eastAsia="方正仿宋_GBK" w:cs="Times New Roman"/>
          <w:lang w:val="en-US" w:eastAsia="zh-CN"/>
        </w:rPr>
        <w:t>基本支出</w:t>
      </w:r>
      <w:r>
        <w:rPr>
          <w:rFonts w:hint="eastAsia" w:ascii="Times New Roman" w:hAnsi="Times New Roman" w:eastAsia="方正仿宋_GBK" w:cs="Times New Roman"/>
          <w:lang w:val="en-US" w:eastAsia="zh-CN"/>
        </w:rPr>
        <w:t>223.78</w:t>
      </w:r>
      <w:r>
        <w:rPr>
          <w:rFonts w:hint="default" w:ascii="Times New Roman" w:hAnsi="Times New Roman" w:eastAsia="方正仿宋_GBK" w:cs="Times New Roman"/>
          <w:lang w:val="en-US" w:eastAsia="zh-CN"/>
        </w:rPr>
        <w:t>万元，占56.1</w:t>
      </w:r>
      <w:r>
        <w:rPr>
          <w:rFonts w:hint="eastAsia" w:ascii="Times New Roman" w:hAnsi="Times New Roman" w:eastAsia="方正仿宋_GBK" w:cs="Times New Roman"/>
          <w:lang w:val="en-US" w:eastAsia="zh-CN"/>
        </w:rPr>
        <w:t>2</w:t>
      </w:r>
      <w:r>
        <w:rPr>
          <w:rFonts w:hint="default" w:ascii="Times New Roman" w:hAnsi="Times New Roman" w:eastAsia="方正仿宋_GBK" w:cs="Times New Roman"/>
          <w:lang w:val="en-US" w:eastAsia="zh-CN"/>
        </w:rPr>
        <w:t>%</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rPr>
        <w:t>人员经费</w:t>
      </w:r>
      <w:r>
        <w:rPr>
          <w:rFonts w:hint="default" w:ascii="Times New Roman" w:hAnsi="Times New Roman" w:eastAsia="方正仿宋_GBK" w:cs="Times New Roman"/>
          <w:lang w:eastAsia="zh-CN"/>
        </w:rPr>
        <w:t>支出</w:t>
      </w:r>
      <w:r>
        <w:rPr>
          <w:rFonts w:hint="default" w:ascii="Times New Roman" w:hAnsi="Times New Roman" w:eastAsia="方正仿宋_GBK" w:cs="Times New Roman"/>
          <w:lang w:val="en-US" w:eastAsia="zh-CN"/>
        </w:rPr>
        <w:t>20</w:t>
      </w:r>
      <w:r>
        <w:rPr>
          <w:rFonts w:hint="eastAsia" w:ascii="Times New Roman" w:hAnsi="Times New Roman" w:eastAsia="方正仿宋_GBK" w:cs="Times New Roman"/>
          <w:lang w:val="en-US" w:eastAsia="zh-CN"/>
        </w:rPr>
        <w:t>8</w:t>
      </w:r>
      <w:r>
        <w:rPr>
          <w:rFonts w:hint="default" w:ascii="Times New Roman" w:hAnsi="Times New Roman" w:eastAsia="方正仿宋_GBK" w:cs="Times New Roman"/>
          <w:lang w:val="en-US" w:eastAsia="zh-CN"/>
        </w:rPr>
        <w:t>.</w:t>
      </w:r>
      <w:r>
        <w:rPr>
          <w:rFonts w:hint="eastAsia" w:ascii="Times New Roman" w:hAnsi="Times New Roman" w:eastAsia="方正仿宋_GBK" w:cs="Times New Roman"/>
          <w:lang w:val="en-US" w:eastAsia="zh-CN"/>
        </w:rPr>
        <w:t>4</w:t>
      </w:r>
      <w:r>
        <w:rPr>
          <w:rFonts w:hint="default" w:ascii="Times New Roman" w:hAnsi="Times New Roman" w:eastAsia="方正仿宋_GBK" w:cs="Times New Roman"/>
          <w:lang w:val="en-US" w:eastAsia="zh-CN"/>
        </w:rPr>
        <w:t>4</w:t>
      </w:r>
      <w:r>
        <w:rPr>
          <w:rFonts w:hint="default" w:ascii="Times New Roman" w:hAnsi="Times New Roman" w:eastAsia="方正仿宋_GBK" w:cs="Times New Roman"/>
          <w:lang w:eastAsia="zh-CN"/>
        </w:rPr>
        <w:t>万元，</w:t>
      </w:r>
      <w:r>
        <w:rPr>
          <w:rFonts w:hint="default" w:ascii="Times New Roman" w:hAnsi="Times New Roman" w:eastAsia="方正仿宋_GBK" w:cs="Times New Roman"/>
        </w:rPr>
        <w:t>公用经费</w:t>
      </w:r>
      <w:r>
        <w:rPr>
          <w:rFonts w:hint="default" w:ascii="Times New Roman" w:hAnsi="Times New Roman" w:eastAsia="方正仿宋_GBK" w:cs="Times New Roman"/>
          <w:lang w:eastAsia="zh-CN"/>
        </w:rPr>
        <w:t>支出</w:t>
      </w:r>
      <w:r>
        <w:rPr>
          <w:rFonts w:hint="eastAsia" w:ascii="Times New Roman" w:hAnsi="Times New Roman" w:eastAsia="方正仿宋_GBK" w:cs="Times New Roman"/>
          <w:lang w:val="en-US" w:eastAsia="zh-CN"/>
        </w:rPr>
        <w:t>15.34</w:t>
      </w:r>
      <w:r>
        <w:rPr>
          <w:rFonts w:hint="default" w:ascii="Times New Roman" w:hAnsi="Times New Roman" w:eastAsia="方正仿宋_GBK" w:cs="Times New Roman"/>
          <w:lang w:val="en-US" w:eastAsia="zh-CN"/>
        </w:rPr>
        <w:t>万元</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w:t>
      </w:r>
      <w:r>
        <w:rPr>
          <w:rFonts w:hint="default" w:ascii="Times New Roman" w:hAnsi="Times New Roman" w:eastAsia="方正仿宋_GBK" w:cs="Times New Roman"/>
        </w:rPr>
        <w:t>项目</w:t>
      </w:r>
      <w:r>
        <w:rPr>
          <w:rFonts w:hint="default" w:ascii="Times New Roman" w:hAnsi="Times New Roman" w:eastAsia="方正仿宋_GBK" w:cs="Times New Roman"/>
          <w:lang w:val="en-US" w:eastAsia="zh-CN"/>
        </w:rPr>
        <w:t>支出175.00万元，占</w:t>
      </w:r>
      <w:r>
        <w:rPr>
          <w:rFonts w:hint="eastAsia" w:ascii="Times New Roman" w:hAnsi="Times New Roman" w:eastAsia="方正仿宋_GBK" w:cs="Times New Roman"/>
          <w:lang w:val="en-US" w:eastAsia="zh-CN"/>
        </w:rPr>
        <w:t>43.88</w:t>
      </w:r>
      <w:r>
        <w:rPr>
          <w:rFonts w:hint="default" w:ascii="Times New Roman" w:hAnsi="Times New Roman" w:eastAsia="方正仿宋_GBK" w:cs="Times New Roman"/>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rPr>
        <w:t>西区财政投资评审中心202</w:t>
      </w:r>
      <w:r>
        <w:rPr>
          <w:rFonts w:hint="eastAsia" w:ascii="Times New Roman" w:hAnsi="Times New Roman" w:eastAsia="方正仿宋_GBK" w:cs="Times New Roman"/>
          <w:lang w:val="en-US" w:eastAsia="zh-CN"/>
        </w:rPr>
        <w:t>5</w:t>
      </w:r>
      <w:r>
        <w:rPr>
          <w:rFonts w:hint="default" w:ascii="Times New Roman" w:hAnsi="Times New Roman" w:eastAsia="方正仿宋_GBK" w:cs="Times New Roman"/>
        </w:rPr>
        <w:t>年</w:t>
      </w:r>
      <w:r>
        <w:rPr>
          <w:rFonts w:hint="default" w:ascii="Times New Roman" w:hAnsi="Times New Roman" w:eastAsia="方正仿宋_GBK" w:cs="Times New Roman"/>
          <w:lang w:val="en-US" w:eastAsia="zh-CN"/>
        </w:rPr>
        <w:t>决算支出合计</w:t>
      </w:r>
      <w:r>
        <w:rPr>
          <w:rFonts w:hint="eastAsia" w:ascii="Times New Roman" w:hAnsi="Times New Roman" w:eastAsia="方正仿宋_GBK" w:cs="Times New Roman"/>
          <w:lang w:val="en-US" w:eastAsia="zh-CN"/>
        </w:rPr>
        <w:t>392.05</w:t>
      </w:r>
      <w:r>
        <w:rPr>
          <w:rFonts w:hint="default" w:ascii="Times New Roman" w:hAnsi="Times New Roman" w:eastAsia="方正仿宋_GBK" w:cs="Times New Roman"/>
          <w:lang w:val="en-US" w:eastAsia="zh-CN"/>
        </w:rPr>
        <w:t>万元。</w:t>
      </w:r>
      <w:r>
        <w:rPr>
          <w:rFonts w:hint="default" w:ascii="Times New Roman" w:hAnsi="Times New Roman" w:eastAsia="方正仿宋_GBK" w:cs="Times New Roman"/>
        </w:rPr>
        <w:t>其中：</w:t>
      </w:r>
      <w:r>
        <w:rPr>
          <w:rFonts w:hint="default" w:ascii="Times New Roman" w:hAnsi="Times New Roman" w:eastAsia="方正仿宋_GBK" w:cs="Times New Roman"/>
          <w:lang w:val="en-US" w:eastAsia="zh-CN"/>
        </w:rPr>
        <w:t>基本支出</w:t>
      </w:r>
      <w:r>
        <w:rPr>
          <w:rFonts w:hint="eastAsia" w:ascii="Times New Roman" w:hAnsi="Times New Roman" w:eastAsia="方正仿宋_GBK" w:cs="Times New Roman"/>
          <w:lang w:val="en-US" w:eastAsia="zh-CN"/>
        </w:rPr>
        <w:t>239.42</w:t>
      </w:r>
      <w:r>
        <w:rPr>
          <w:rFonts w:hint="default" w:ascii="Times New Roman" w:hAnsi="Times New Roman" w:eastAsia="方正仿宋_GBK" w:cs="Times New Roman"/>
          <w:lang w:val="en-US" w:eastAsia="zh-CN"/>
        </w:rPr>
        <w:t>万元，占6</w:t>
      </w:r>
      <w:r>
        <w:rPr>
          <w:rFonts w:hint="eastAsia" w:ascii="Times New Roman" w:hAnsi="Times New Roman" w:eastAsia="方正仿宋_GBK" w:cs="Times New Roman"/>
          <w:lang w:val="en-US" w:eastAsia="zh-CN"/>
        </w:rPr>
        <w:t>1.07</w:t>
      </w:r>
      <w:r>
        <w:rPr>
          <w:rFonts w:hint="default" w:ascii="Times New Roman" w:hAnsi="Times New Roman" w:eastAsia="方正仿宋_GBK" w:cs="Times New Roman"/>
          <w:lang w:val="en-US" w:eastAsia="zh-CN"/>
        </w:rPr>
        <w:t>%（</w:t>
      </w:r>
      <w:r>
        <w:rPr>
          <w:rFonts w:hint="default" w:ascii="Times New Roman" w:hAnsi="Times New Roman" w:eastAsia="方正仿宋_GBK" w:cs="Times New Roman"/>
        </w:rPr>
        <w:t>人员经费</w:t>
      </w:r>
      <w:r>
        <w:rPr>
          <w:rFonts w:hint="default" w:ascii="Times New Roman" w:hAnsi="Times New Roman" w:eastAsia="方正仿宋_GBK" w:cs="Times New Roman"/>
          <w:lang w:eastAsia="zh-CN"/>
        </w:rPr>
        <w:t>支出</w:t>
      </w:r>
      <w:r>
        <w:rPr>
          <w:rFonts w:hint="eastAsia" w:ascii="Times New Roman" w:hAnsi="Times New Roman" w:eastAsia="方正仿宋_GBK" w:cs="Times New Roman"/>
          <w:lang w:val="en-US" w:eastAsia="zh-CN"/>
        </w:rPr>
        <w:t>228.94</w:t>
      </w:r>
      <w:r>
        <w:rPr>
          <w:rFonts w:hint="default" w:ascii="Times New Roman" w:hAnsi="Times New Roman" w:eastAsia="方正仿宋_GBK" w:cs="Times New Roman"/>
          <w:lang w:eastAsia="zh-CN"/>
        </w:rPr>
        <w:t>万元，</w:t>
      </w:r>
      <w:r>
        <w:rPr>
          <w:rFonts w:hint="default" w:ascii="Times New Roman" w:hAnsi="Times New Roman" w:eastAsia="方正仿宋_GBK" w:cs="Times New Roman"/>
        </w:rPr>
        <w:t>公用经费</w:t>
      </w:r>
      <w:r>
        <w:rPr>
          <w:rFonts w:hint="default" w:ascii="Times New Roman" w:hAnsi="Times New Roman" w:eastAsia="方正仿宋_GBK" w:cs="Times New Roman"/>
          <w:lang w:eastAsia="zh-CN"/>
        </w:rPr>
        <w:t>支出</w:t>
      </w:r>
      <w:r>
        <w:rPr>
          <w:rFonts w:hint="eastAsia" w:ascii="Times New Roman" w:hAnsi="Times New Roman" w:eastAsia="方正仿宋_GBK" w:cs="Times New Roman"/>
          <w:lang w:val="en-US" w:eastAsia="zh-CN"/>
        </w:rPr>
        <w:t>10.48</w:t>
      </w:r>
      <w:r>
        <w:rPr>
          <w:rFonts w:hint="default" w:ascii="Times New Roman" w:hAnsi="Times New Roman" w:eastAsia="方正仿宋_GBK" w:cs="Times New Roman"/>
          <w:lang w:val="en-US" w:eastAsia="zh-CN"/>
        </w:rPr>
        <w:t>万元）；</w:t>
      </w:r>
      <w:r>
        <w:rPr>
          <w:rFonts w:hint="default" w:ascii="Times New Roman" w:hAnsi="Times New Roman" w:eastAsia="方正仿宋_GBK" w:cs="Times New Roman"/>
        </w:rPr>
        <w:t>项目</w:t>
      </w:r>
      <w:r>
        <w:rPr>
          <w:rFonts w:hint="default" w:ascii="Times New Roman" w:hAnsi="Times New Roman" w:eastAsia="方正仿宋_GBK" w:cs="Times New Roman"/>
          <w:lang w:val="en-US" w:eastAsia="zh-CN"/>
        </w:rPr>
        <w:t>支出</w:t>
      </w:r>
      <w:r>
        <w:rPr>
          <w:rFonts w:hint="eastAsia" w:ascii="Times New Roman" w:hAnsi="Times New Roman" w:eastAsia="方正仿宋_GBK" w:cs="Times New Roman"/>
          <w:lang w:val="en-US" w:eastAsia="zh-CN"/>
        </w:rPr>
        <w:t>152.63</w:t>
      </w:r>
      <w:r>
        <w:rPr>
          <w:rFonts w:hint="default" w:ascii="Times New Roman" w:hAnsi="Times New Roman" w:eastAsia="方正仿宋_GBK" w:cs="Times New Roman"/>
          <w:lang w:val="en-US" w:eastAsia="zh-CN"/>
        </w:rPr>
        <w:t>万元，占3</w:t>
      </w:r>
      <w:r>
        <w:rPr>
          <w:rFonts w:hint="eastAsia" w:ascii="Times New Roman" w:hAnsi="Times New Roman" w:eastAsia="方正仿宋_GBK" w:cs="Times New Roman"/>
          <w:lang w:val="en-US" w:eastAsia="zh-CN"/>
        </w:rPr>
        <w:t>8.93</w:t>
      </w:r>
      <w:r>
        <w:rPr>
          <w:rFonts w:hint="default" w:ascii="Times New Roman" w:hAnsi="Times New Roman" w:eastAsia="方正仿宋_GBK" w:cs="Times New Roman"/>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lang w:val="zh-CN"/>
        </w:rPr>
        <w:t>人员经费及日常公用经费的及时支付</w:t>
      </w:r>
      <w:r>
        <w:rPr>
          <w:rFonts w:hint="default" w:ascii="Times New Roman" w:hAnsi="Times New Roman" w:eastAsia="方正仿宋_GBK" w:cs="Times New Roman"/>
        </w:rPr>
        <w:t>保障</w:t>
      </w:r>
      <w:r>
        <w:rPr>
          <w:rFonts w:hint="default" w:ascii="Times New Roman" w:hAnsi="Times New Roman" w:eastAsia="方正仿宋_GBK" w:cs="Times New Roman"/>
          <w:lang w:eastAsia="zh-CN"/>
        </w:rPr>
        <w:t>了</w:t>
      </w:r>
      <w:r>
        <w:rPr>
          <w:rFonts w:hint="default" w:ascii="Times New Roman" w:hAnsi="Times New Roman" w:eastAsia="方正仿宋_GBK" w:cs="Times New Roman"/>
        </w:rPr>
        <w:t>单位职工待遇足额兑现</w:t>
      </w:r>
      <w:r>
        <w:rPr>
          <w:rFonts w:hint="default" w:ascii="Times New Roman" w:hAnsi="Times New Roman" w:eastAsia="方正仿宋_GBK" w:cs="Times New Roman"/>
          <w:lang w:eastAsia="zh-CN"/>
        </w:rPr>
        <w:t>，机关</w:t>
      </w:r>
      <w:r>
        <w:rPr>
          <w:rFonts w:hint="default" w:ascii="Times New Roman" w:hAnsi="Times New Roman" w:eastAsia="方正仿宋_GBK" w:cs="Times New Roman"/>
        </w:rPr>
        <w:t>正常运转，各项工作有序开展</w:t>
      </w:r>
      <w:r>
        <w:rPr>
          <w:rFonts w:hint="default" w:ascii="Times New Roman" w:hAnsi="Times New Roman" w:eastAsia="方正仿宋_GBK" w:cs="Times New Roman"/>
          <w:lang w:eastAsia="zh-CN"/>
        </w:rPr>
        <w:t>；</w:t>
      </w:r>
      <w:r>
        <w:rPr>
          <w:rFonts w:hint="default" w:ascii="Times New Roman" w:hAnsi="Times New Roman" w:eastAsia="方正仿宋_GBK" w:cs="Times New Roman"/>
        </w:rPr>
        <w:t>业务经费</w:t>
      </w:r>
      <w:r>
        <w:rPr>
          <w:rFonts w:hint="default" w:ascii="Times New Roman" w:hAnsi="Times New Roman" w:eastAsia="方正仿宋_GBK" w:cs="Times New Roman"/>
          <w:lang w:val="en-US" w:eastAsia="zh-CN"/>
        </w:rPr>
        <w:t>使用</w:t>
      </w:r>
      <w:r>
        <w:rPr>
          <w:rFonts w:hint="default" w:ascii="Times New Roman" w:hAnsi="Times New Roman" w:eastAsia="方正仿宋_GBK" w:cs="Times New Roman"/>
        </w:rPr>
        <w:t>提升</w:t>
      </w:r>
      <w:r>
        <w:rPr>
          <w:rFonts w:hint="default" w:ascii="Times New Roman" w:hAnsi="Times New Roman" w:eastAsia="方正仿宋_GBK" w:cs="Times New Roman"/>
          <w:lang w:eastAsia="zh-CN"/>
        </w:rPr>
        <w:t>了</w:t>
      </w:r>
      <w:r>
        <w:rPr>
          <w:rFonts w:hint="default" w:ascii="Times New Roman" w:hAnsi="Times New Roman" w:eastAsia="方正仿宋_GBK" w:cs="Times New Roman"/>
        </w:rPr>
        <w:t>工作人员专业能力技术，做好评审工作，确保财政资金使用安全、规范有效；项目评审</w:t>
      </w:r>
      <w:r>
        <w:rPr>
          <w:rFonts w:hint="default" w:ascii="Times New Roman" w:hAnsi="Times New Roman" w:eastAsia="方正仿宋_GBK" w:cs="Times New Roman"/>
          <w:lang w:val="en-US" w:eastAsia="zh-CN"/>
        </w:rPr>
        <w:t>服务</w:t>
      </w:r>
      <w:r>
        <w:rPr>
          <w:rFonts w:hint="default" w:ascii="Times New Roman" w:hAnsi="Times New Roman" w:eastAsia="方正仿宋_GBK" w:cs="Times New Roman"/>
        </w:rPr>
        <w:t>费保障</w:t>
      </w:r>
      <w:r>
        <w:rPr>
          <w:rFonts w:hint="default" w:ascii="Times New Roman" w:hAnsi="Times New Roman" w:eastAsia="方正仿宋_GBK" w:cs="Times New Roman"/>
          <w:lang w:eastAsia="zh-CN"/>
        </w:rPr>
        <w:t>了</w:t>
      </w:r>
      <w:r>
        <w:rPr>
          <w:rFonts w:hint="default" w:ascii="Times New Roman" w:hAnsi="Times New Roman" w:eastAsia="方正仿宋_GBK" w:cs="Times New Roman"/>
        </w:rPr>
        <w:t>全区项目评审及结算工作顺利推进，提高财政资金使用效率。</w:t>
      </w:r>
    </w:p>
    <w:p>
      <w:pPr>
        <w:widowControl/>
        <w:numPr>
          <w:ilvl w:val="0"/>
          <w:numId w:val="1"/>
        </w:numPr>
        <w:adjustRightInd w:val="0"/>
        <w:snapToGrid w:val="0"/>
        <w:spacing w:line="578" w:lineRule="exact"/>
        <w:ind w:left="0" w:leftChars="0" w:firstLine="643" w:firstLineChars="200"/>
        <w:contextualSpacing/>
        <w:jc w:val="left"/>
        <w:rPr>
          <w:rFonts w:eastAsia="楷体_GB2312"/>
          <w:b/>
          <w:szCs w:val="32"/>
        </w:rPr>
      </w:pPr>
      <w:r>
        <w:rPr>
          <w:rFonts w:eastAsia="楷体_GB2312"/>
          <w:b/>
          <w:szCs w:val="32"/>
        </w:rPr>
        <w:t>结余分配和结转结余情况。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lang w:val="zh-CN"/>
        </w:rPr>
      </w:pPr>
      <w:r>
        <w:rPr>
          <w:rFonts w:hint="default" w:ascii="Times New Roman" w:hAnsi="Times New Roman" w:eastAsia="方正仿宋_GBK" w:cs="Times New Roman"/>
        </w:rPr>
        <w:t>西区财政投资评审中心</w:t>
      </w:r>
      <w:r>
        <w:rPr>
          <w:rFonts w:hint="default" w:ascii="Times New Roman" w:hAnsi="Times New Roman" w:eastAsia="方正仿宋_GBK" w:cs="Times New Roman"/>
          <w:lang w:val="zh-CN"/>
        </w:rPr>
        <w:t>202</w:t>
      </w:r>
      <w:r>
        <w:rPr>
          <w:rFonts w:hint="eastAsia" w:ascii="Times New Roman" w:hAnsi="Times New Roman" w:eastAsia="方正仿宋_GBK" w:cs="Times New Roman"/>
          <w:lang w:val="en-US" w:eastAsia="zh-CN"/>
        </w:rPr>
        <w:t>5</w:t>
      </w:r>
      <w:r>
        <w:rPr>
          <w:rFonts w:hint="default" w:ascii="Times New Roman" w:hAnsi="Times New Roman" w:eastAsia="方正仿宋_GBK" w:cs="Times New Roman"/>
          <w:lang w:val="zh-CN"/>
        </w:rPr>
        <w:t>年</w:t>
      </w:r>
      <w:r>
        <w:rPr>
          <w:rFonts w:hint="eastAsia" w:ascii="Times New Roman" w:hAnsi="Times New Roman" w:eastAsia="方正仿宋_GBK" w:cs="Times New Roman"/>
          <w:lang w:val="zh-CN" w:eastAsia="zh-CN"/>
        </w:rPr>
        <w:t>无</w:t>
      </w:r>
      <w:r>
        <w:rPr>
          <w:rFonts w:hint="default" w:ascii="Times New Roman" w:hAnsi="Times New Roman" w:eastAsia="方正仿宋_GBK" w:cs="Times New Roman"/>
          <w:lang w:val="zh-CN"/>
        </w:rPr>
        <w:t>结转</w:t>
      </w:r>
      <w:r>
        <w:rPr>
          <w:rFonts w:hint="eastAsia" w:eastAsia="方正仿宋_GBK" w:cs="Times New Roman"/>
          <w:lang w:val="en-US" w:eastAsia="zh-CN"/>
        </w:rPr>
        <w:t>和</w:t>
      </w:r>
      <w:r>
        <w:rPr>
          <w:rFonts w:hint="default" w:ascii="Times New Roman" w:hAnsi="Times New Roman" w:eastAsia="方正仿宋_GBK" w:cs="Times New Roman"/>
          <w:lang w:val="zh-CN"/>
        </w:rPr>
        <w:t>结余</w:t>
      </w:r>
      <w:r>
        <w:rPr>
          <w:rFonts w:hint="eastAsia" w:eastAsia="方正仿宋_GBK" w:cs="Times New Roman"/>
          <w:lang w:val="en-US" w:eastAsia="zh-CN"/>
        </w:rPr>
        <w:t>情况</w:t>
      </w:r>
      <w:r>
        <w:rPr>
          <w:rFonts w:hint="default" w:ascii="Times New Roman" w:hAnsi="Times New Roman" w:eastAsia="方正仿宋_GBK" w:cs="Times New Roman"/>
          <w:lang w:val="zh-CN"/>
        </w:rPr>
        <w:t>。</w:t>
      </w:r>
    </w:p>
    <w:p>
      <w:pPr>
        <w:widowControl/>
        <w:adjustRightInd w:val="0"/>
        <w:snapToGrid w:val="0"/>
        <w:spacing w:line="578" w:lineRule="exact"/>
        <w:ind w:firstLine="640" w:firstLineChars="200"/>
        <w:contextualSpacing/>
        <w:jc w:val="left"/>
        <w:rPr>
          <w:rFonts w:eastAsia="黑体"/>
          <w:color w:val="000000" w:themeColor="text1"/>
          <w:kern w:val="0"/>
          <w:szCs w:val="32"/>
          <w:shd w:val="clear" w:color="auto" w:fill="FFFFFF"/>
          <w14:textFill>
            <w14:solidFill>
              <w14:schemeClr w14:val="tx1"/>
            </w14:solidFill>
          </w14:textFill>
        </w:rPr>
      </w:pPr>
      <w:r>
        <w:rPr>
          <w:rFonts w:eastAsia="黑体"/>
          <w:color w:val="000000"/>
          <w:kern w:val="0"/>
          <w:szCs w:val="32"/>
          <w:shd w:val="clear" w:color="auto" w:fill="FFFFFF"/>
        </w:rPr>
        <w:t>三、部门预算绩效分析</w:t>
      </w:r>
    </w:p>
    <w:p>
      <w:pPr>
        <w:adjustRightInd w:val="0"/>
        <w:snapToGrid w:val="0"/>
        <w:spacing w:line="578" w:lineRule="exact"/>
        <w:ind w:firstLine="643" w:firstLineChars="200"/>
        <w:contextualSpacing/>
        <w:jc w:val="left"/>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（一）部门预算总体绩效分析。</w:t>
      </w:r>
    </w:p>
    <w:p>
      <w:pPr>
        <w:adjustRightInd w:val="0"/>
        <w:snapToGrid w:val="0"/>
        <w:spacing w:line="578" w:lineRule="exact"/>
        <w:ind w:firstLine="640" w:firstLineChars="200"/>
        <w:contextualSpacing/>
        <w:jc w:val="left"/>
        <w:rPr>
          <w:rFonts w:eastAsia="楷体_GB2312"/>
          <w:color w:val="000000"/>
          <w:kern w:val="0"/>
          <w:szCs w:val="32"/>
          <w:shd w:val="clear" w:color="auto" w:fill="FFFFFF"/>
          <w:lang w:val="zh-CN"/>
        </w:rPr>
      </w:pPr>
      <w:r>
        <w:rPr>
          <w:rFonts w:eastAsia="楷体_GB2312"/>
          <w:color w:val="000000"/>
          <w:kern w:val="0"/>
          <w:szCs w:val="32"/>
          <w:shd w:val="clear" w:color="auto" w:fill="FFFFFF"/>
        </w:rPr>
        <w:t>1.</w:t>
      </w:r>
      <w:r>
        <w:rPr>
          <w:rFonts w:eastAsia="楷体_GB2312"/>
          <w:color w:val="000000"/>
          <w:kern w:val="0"/>
          <w:szCs w:val="32"/>
          <w:shd w:val="clear" w:color="auto" w:fill="FFFFFF"/>
          <w:lang w:val="zh-CN"/>
        </w:rPr>
        <w:t>履职效能。</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contextualSpacing/>
        <w:jc w:val="left"/>
        <w:textAlignment w:val="auto"/>
        <w:rPr>
          <w:rFonts w:hint="default" w:ascii="Times New Roman" w:hAnsi="Times New Roman" w:eastAsia="仿宋_GB2312" w:cs="Times New Roman"/>
          <w:color w:val="000000"/>
          <w:kern w:val="0"/>
          <w:szCs w:val="32"/>
          <w:shd w:val="clear" w:color="auto" w:fill="FFFFFF"/>
          <w:lang w:val="en-US" w:eastAsia="zh-CN"/>
        </w:rPr>
      </w:pPr>
      <w:r>
        <w:rPr>
          <w:rFonts w:hint="eastAsia" w:ascii="Times New Roman" w:hAnsi="Times New Roman" w:cs="Times New Roman"/>
          <w:color w:val="000000"/>
          <w:kern w:val="0"/>
          <w:szCs w:val="32"/>
          <w:shd w:val="clear" w:color="auto" w:fill="FFFFFF"/>
          <w:lang w:val="en-US" w:eastAsia="zh-CN"/>
        </w:rPr>
        <w:t>2025年区财政投资评审中心</w:t>
      </w:r>
      <w:r>
        <w:rPr>
          <w:rFonts w:hint="eastAsia" w:ascii="Times New Roman" w:hAnsi="Times New Roman" w:cs="Times New Roman"/>
          <w:color w:val="000000"/>
          <w:kern w:val="0"/>
          <w:szCs w:val="32"/>
          <w:shd w:val="clear" w:color="auto" w:fill="FFFFFF"/>
          <w:lang w:val="zh-CN"/>
        </w:rPr>
        <w:t>履行财政评审职责</w:t>
      </w:r>
      <w:r>
        <w:rPr>
          <w:rFonts w:hint="eastAsia" w:cs="Times New Roman"/>
          <w:color w:val="000000"/>
          <w:kern w:val="0"/>
          <w:szCs w:val="32"/>
          <w:shd w:val="clear" w:color="auto" w:fill="FFFFFF"/>
          <w:lang w:val="zh-CN"/>
        </w:rPr>
        <w:t>。</w:t>
      </w:r>
      <w:r>
        <w:rPr>
          <w:rFonts w:hint="eastAsia" w:ascii="仿宋_GB2312" w:eastAsia="仿宋_GB2312"/>
          <w:sz w:val="32"/>
          <w:szCs w:val="32"/>
        </w:rPr>
        <w:t>全年评审项目</w:t>
      </w:r>
      <w:r>
        <w:rPr>
          <w:rFonts w:hint="eastAsia" w:ascii="仿宋_GB2312" w:eastAsia="仿宋_GB2312"/>
          <w:sz w:val="32"/>
          <w:szCs w:val="32"/>
          <w:lang w:val="en-US" w:eastAsia="zh-CN"/>
        </w:rPr>
        <w:t>42</w:t>
      </w:r>
      <w:r>
        <w:rPr>
          <w:rFonts w:hint="eastAsia" w:ascii="仿宋_GB2312" w:eastAsia="仿宋_GB2312"/>
          <w:sz w:val="32"/>
          <w:szCs w:val="32"/>
        </w:rPr>
        <w:t>个</w:t>
      </w:r>
      <w:r>
        <w:rPr>
          <w:rFonts w:hint="eastAsia" w:ascii="仿宋_GB2312" w:eastAsia="仿宋_GB2312"/>
          <w:sz w:val="32"/>
          <w:szCs w:val="32"/>
          <w:lang w:eastAsia="zh-CN"/>
        </w:rPr>
        <w:t>。</w:t>
      </w:r>
      <w:r>
        <w:rPr>
          <w:rFonts w:hint="eastAsia" w:ascii="仿宋_GB2312" w:eastAsia="仿宋_GB2312"/>
          <w:sz w:val="32"/>
          <w:szCs w:val="32"/>
          <w:lang w:val="en-US" w:eastAsia="zh-CN"/>
        </w:rPr>
        <w:t>其中，</w:t>
      </w:r>
      <w:r>
        <w:rPr>
          <w:rFonts w:hint="eastAsia" w:ascii="仿宋_GB2312" w:eastAsia="仿宋_GB2312"/>
          <w:sz w:val="32"/>
          <w:szCs w:val="32"/>
        </w:rPr>
        <w:t>已评已完项目</w:t>
      </w:r>
      <w:r>
        <w:rPr>
          <w:rFonts w:hint="eastAsia" w:ascii="仿宋_GB2312" w:eastAsia="仿宋_GB2312"/>
          <w:sz w:val="32"/>
          <w:szCs w:val="32"/>
          <w:lang w:val="en-US" w:eastAsia="zh-CN"/>
        </w:rPr>
        <w:t>36</w:t>
      </w:r>
      <w:r>
        <w:rPr>
          <w:rFonts w:hint="eastAsia" w:ascii="仿宋_GB2312" w:eastAsia="仿宋_GB2312"/>
          <w:sz w:val="32"/>
          <w:szCs w:val="32"/>
        </w:rPr>
        <w:t>个，送审金额</w:t>
      </w:r>
      <w:r>
        <w:rPr>
          <w:rFonts w:hint="eastAsia" w:ascii="仿宋_GB2312" w:eastAsia="仿宋_GB2312"/>
          <w:sz w:val="32"/>
          <w:szCs w:val="32"/>
          <w:lang w:val="en-US" w:eastAsia="zh-CN"/>
        </w:rPr>
        <w:t>30356.25</w:t>
      </w:r>
      <w:r>
        <w:rPr>
          <w:rFonts w:hint="eastAsia" w:ascii="仿宋_GB2312" w:eastAsia="仿宋_GB2312"/>
          <w:sz w:val="32"/>
          <w:szCs w:val="32"/>
        </w:rPr>
        <w:t>万元，审定金额</w:t>
      </w:r>
      <w:r>
        <w:rPr>
          <w:rFonts w:hint="eastAsia" w:ascii="仿宋_GB2312" w:eastAsia="仿宋_GB2312"/>
          <w:sz w:val="32"/>
          <w:szCs w:val="32"/>
          <w:lang w:val="en-US" w:eastAsia="zh-CN"/>
        </w:rPr>
        <w:t>27833.44</w:t>
      </w:r>
      <w:r>
        <w:rPr>
          <w:rFonts w:hint="eastAsia" w:ascii="仿宋_GB2312" w:eastAsia="仿宋_GB2312"/>
          <w:sz w:val="32"/>
          <w:szCs w:val="32"/>
        </w:rPr>
        <w:t>万元，审减金额</w:t>
      </w:r>
      <w:r>
        <w:rPr>
          <w:rFonts w:hint="eastAsia" w:ascii="仿宋_GB2312" w:eastAsia="仿宋_GB2312"/>
          <w:sz w:val="32"/>
          <w:szCs w:val="32"/>
          <w:lang w:val="en-US" w:eastAsia="zh-CN"/>
        </w:rPr>
        <w:t>2522.81</w:t>
      </w:r>
      <w:r>
        <w:rPr>
          <w:rFonts w:hint="eastAsia" w:ascii="仿宋_GB2312" w:eastAsia="仿宋_GB2312"/>
          <w:sz w:val="32"/>
          <w:szCs w:val="32"/>
        </w:rPr>
        <w:t>万元，审减率</w:t>
      </w:r>
      <w:r>
        <w:rPr>
          <w:rFonts w:hint="eastAsia" w:ascii="仿宋_GB2312" w:eastAsia="仿宋_GB2312"/>
          <w:sz w:val="32"/>
          <w:szCs w:val="32"/>
          <w:lang w:val="en-US" w:eastAsia="zh-CN"/>
        </w:rPr>
        <w:t>8.31</w:t>
      </w:r>
      <w:r>
        <w:rPr>
          <w:rFonts w:hint="eastAsia" w:ascii="仿宋_GB2312" w:eastAsia="仿宋_GB2312"/>
          <w:sz w:val="32"/>
          <w:szCs w:val="32"/>
        </w:rPr>
        <w:t>%</w:t>
      </w:r>
      <w:r>
        <w:rPr>
          <w:rFonts w:hint="eastAsia" w:ascii="仿宋_GB2312"/>
          <w:sz w:val="32"/>
          <w:szCs w:val="32"/>
          <w:lang w:eastAsia="zh-CN"/>
        </w:rPr>
        <w:t>。</w:t>
      </w:r>
      <w:r>
        <w:rPr>
          <w:rFonts w:hint="eastAsia" w:ascii="Times New Roman" w:hAnsi="Times New Roman" w:cs="Times New Roman"/>
          <w:color w:val="000000"/>
          <w:kern w:val="0"/>
          <w:szCs w:val="32"/>
          <w:shd w:val="clear" w:color="auto" w:fill="FFFFFF"/>
          <w:lang w:val="zh-CN"/>
        </w:rPr>
        <w:t>按时保质完成评审任务</w:t>
      </w:r>
      <w:r>
        <w:rPr>
          <w:rFonts w:hint="eastAsia" w:cs="Times New Roman"/>
          <w:color w:val="000000"/>
          <w:kern w:val="0"/>
          <w:szCs w:val="32"/>
          <w:shd w:val="clear" w:color="auto" w:fill="FFFFFF"/>
          <w:lang w:val="zh-CN"/>
        </w:rPr>
        <w:t>，</w:t>
      </w:r>
      <w:r>
        <w:rPr>
          <w:rFonts w:hint="eastAsia" w:ascii="Times New Roman" w:hAnsi="Times New Roman" w:cs="Times New Roman"/>
          <w:color w:val="000000"/>
          <w:kern w:val="0"/>
          <w:szCs w:val="32"/>
          <w:shd w:val="clear" w:color="auto" w:fill="FFFFFF"/>
          <w:lang w:val="zh-CN"/>
        </w:rPr>
        <w:t>全力服务于区重点工程项目建设</w:t>
      </w:r>
      <w:r>
        <w:rPr>
          <w:rFonts w:hint="eastAsia" w:cs="Times New Roman"/>
          <w:color w:val="000000"/>
          <w:kern w:val="0"/>
          <w:szCs w:val="32"/>
          <w:shd w:val="clear" w:color="auto" w:fill="FFFFFF"/>
          <w:lang w:val="zh-CN"/>
        </w:rPr>
        <w:t>，</w:t>
      </w:r>
      <w:r>
        <w:rPr>
          <w:rFonts w:hint="eastAsia" w:ascii="Times New Roman" w:hAnsi="Times New Roman" w:cs="Times New Roman"/>
          <w:color w:val="000000"/>
          <w:kern w:val="0"/>
          <w:szCs w:val="32"/>
          <w:shd w:val="clear" w:color="auto" w:fill="FFFFFF"/>
          <w:lang w:val="zh-CN"/>
        </w:rPr>
        <w:t>客观公正进行项目评审，严把评审质量关</w:t>
      </w:r>
      <w:r>
        <w:rPr>
          <w:rFonts w:hint="eastAsia" w:cs="Times New Roman"/>
          <w:color w:val="000000"/>
          <w:kern w:val="0"/>
          <w:szCs w:val="32"/>
          <w:shd w:val="clear" w:color="auto" w:fill="FFFFFF"/>
          <w:lang w:val="zh-CN"/>
        </w:rPr>
        <w:t>。</w:t>
      </w:r>
      <w:r>
        <w:rPr>
          <w:rFonts w:hint="eastAsia" w:cs="Times New Roman"/>
          <w:color w:val="000000"/>
          <w:kern w:val="0"/>
          <w:szCs w:val="32"/>
          <w:shd w:val="clear" w:color="auto" w:fill="FFFFFF"/>
          <w:lang w:val="en-US" w:eastAsia="zh-CN"/>
        </w:rPr>
        <w:t>在全单位职工共同努力下出色完成各项工作目标任务。</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eastAsia="楷体_GB2312"/>
          <w:color w:val="000000"/>
          <w:kern w:val="0"/>
          <w:szCs w:val="32"/>
          <w:shd w:val="clear" w:color="auto" w:fill="FFFFFF"/>
          <w:lang w:val="zh-CN"/>
        </w:rPr>
      </w:pPr>
      <w:r>
        <w:rPr>
          <w:rFonts w:hint="eastAsia" w:eastAsia="楷体_GB2312"/>
          <w:color w:val="000000"/>
          <w:kern w:val="0"/>
          <w:szCs w:val="32"/>
          <w:shd w:val="clear" w:color="auto" w:fill="FFFFFF"/>
          <w:lang w:val="en-US" w:eastAsia="zh-CN"/>
        </w:rPr>
        <w:t>2.</w:t>
      </w:r>
      <w:r>
        <w:rPr>
          <w:rFonts w:eastAsia="楷体_GB2312"/>
          <w:color w:val="000000"/>
          <w:kern w:val="0"/>
          <w:szCs w:val="32"/>
          <w:shd w:val="clear" w:color="auto" w:fill="FFFFFF"/>
          <w:lang w:val="zh-CN"/>
        </w:rPr>
        <w:t>预算管理。</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eastAsia="楷体_GB2312"/>
          <w:color w:val="000000"/>
          <w:kern w:val="0"/>
          <w:szCs w:val="32"/>
          <w:shd w:val="clear" w:color="auto" w:fill="FFFFFF"/>
          <w:lang w:val="zh-CN"/>
        </w:rPr>
      </w:pPr>
      <w:r>
        <w:rPr>
          <w:rFonts w:hint="default" w:ascii="Times New Roman" w:hAnsi="Times New Roman" w:eastAsia="方正仿宋_GBK" w:cs="Times New Roman"/>
          <w:lang w:val="en-US" w:eastAsia="zh-CN"/>
        </w:rPr>
        <w:t>202</w:t>
      </w:r>
      <w:r>
        <w:rPr>
          <w:rFonts w:hint="eastAsia" w:ascii="Times New Roman" w:hAnsi="Times New Roman" w:eastAsia="方正仿宋_GBK" w:cs="Times New Roman"/>
          <w:lang w:val="en-US" w:eastAsia="zh-CN"/>
        </w:rPr>
        <w:t>5</w:t>
      </w:r>
      <w:r>
        <w:rPr>
          <w:rFonts w:hint="default" w:ascii="Times New Roman" w:hAnsi="Times New Roman" w:eastAsia="方正仿宋_GBK" w:cs="Times New Roman"/>
          <w:lang w:val="en-US" w:eastAsia="zh-CN"/>
        </w:rPr>
        <w:t>年西区财政投资评审中心严格按照西区财政局预算编制通知和有关要求，按时按质完成报送决算编制等工作，并按时提交部门预算编制草案，不存在应编、未编、错误列编，西区财政局根据预算编制草案，进行审核，批复202</w:t>
      </w:r>
      <w:r>
        <w:rPr>
          <w:rFonts w:hint="eastAsia" w:ascii="Times New Roman" w:hAnsi="Times New Roman" w:eastAsia="方正仿宋_GBK" w:cs="Times New Roman"/>
          <w:lang w:val="en-US" w:eastAsia="zh-CN"/>
        </w:rPr>
        <w:t>5</w:t>
      </w:r>
      <w:r>
        <w:rPr>
          <w:rFonts w:hint="default" w:ascii="Times New Roman" w:hAnsi="Times New Roman" w:eastAsia="方正仿宋_GBK" w:cs="Times New Roman"/>
          <w:lang w:val="en-US" w:eastAsia="zh-CN"/>
        </w:rPr>
        <w:t>年部门预算收入398.</w:t>
      </w:r>
      <w:r>
        <w:rPr>
          <w:rFonts w:hint="eastAsia" w:ascii="Times New Roman" w:hAnsi="Times New Roman" w:eastAsia="方正仿宋_GBK" w:cs="Times New Roman"/>
          <w:lang w:val="en-US" w:eastAsia="zh-CN"/>
        </w:rPr>
        <w:t>78</w:t>
      </w:r>
      <w:r>
        <w:rPr>
          <w:rFonts w:hint="default" w:ascii="Times New Roman" w:hAnsi="Times New Roman" w:eastAsia="方正仿宋_GBK" w:cs="Times New Roman"/>
          <w:lang w:val="en-US" w:eastAsia="zh-CN"/>
        </w:rPr>
        <w:t>万元，无自有收入。单位</w:t>
      </w:r>
      <w:r>
        <w:rPr>
          <w:rFonts w:hint="default" w:ascii="Times New Roman" w:hAnsi="Times New Roman" w:eastAsia="方正仿宋_GBK" w:cs="Times New Roman"/>
          <w:lang w:val="zh-CN" w:eastAsia="zh-CN"/>
        </w:rPr>
        <w:t>持续跟进支出执行进度</w:t>
      </w:r>
      <w:r>
        <w:rPr>
          <w:rFonts w:hint="eastAsia" w:eastAsia="方正仿宋_GBK" w:cs="Times New Roman"/>
          <w:lang w:val="zh-CN" w:eastAsia="zh-CN"/>
        </w:rPr>
        <w:t>，</w:t>
      </w:r>
      <w:r>
        <w:rPr>
          <w:rFonts w:hint="default" w:ascii="Times New Roman" w:hAnsi="Times New Roman" w:eastAsia="方正仿宋_GBK" w:cs="Times New Roman"/>
          <w:lang w:val="zh-CN" w:eastAsia="zh-CN"/>
        </w:rPr>
        <w:t>本着过紧日子的原则，严控一般性支出。</w:t>
      </w:r>
    </w:p>
    <w:p>
      <w:pPr>
        <w:numPr>
          <w:ilvl w:val="0"/>
          <w:numId w:val="0"/>
        </w:numPr>
        <w:adjustRightInd w:val="0"/>
        <w:snapToGrid w:val="0"/>
        <w:spacing w:line="578" w:lineRule="exact"/>
        <w:ind w:leftChars="200"/>
        <w:contextualSpacing/>
        <w:jc w:val="left"/>
        <w:rPr>
          <w:rFonts w:eastAsia="楷体_GB2312"/>
          <w:color w:val="000000"/>
          <w:kern w:val="0"/>
          <w:szCs w:val="32"/>
          <w:shd w:val="clear" w:color="auto" w:fill="FFFFFF"/>
          <w:lang w:val="zh-CN"/>
        </w:rPr>
      </w:pPr>
      <w:r>
        <w:rPr>
          <w:rFonts w:hint="eastAsia" w:eastAsia="楷体_GB2312"/>
          <w:color w:val="000000"/>
          <w:kern w:val="0"/>
          <w:szCs w:val="32"/>
          <w:shd w:val="clear" w:color="auto" w:fill="FFFFFF"/>
          <w:lang w:val="en-US" w:eastAsia="zh-CN"/>
        </w:rPr>
        <w:t>3.</w:t>
      </w:r>
      <w:r>
        <w:rPr>
          <w:rFonts w:eastAsia="楷体_GB2312"/>
          <w:color w:val="000000"/>
          <w:kern w:val="0"/>
          <w:szCs w:val="32"/>
          <w:shd w:val="clear" w:color="auto" w:fill="FFFFFF"/>
          <w:lang w:val="zh-CN"/>
        </w:rPr>
        <w:t>财务管理。</w:t>
      </w:r>
    </w:p>
    <w:p>
      <w:pPr>
        <w:numPr>
          <w:ilvl w:val="0"/>
          <w:numId w:val="0"/>
        </w:numPr>
        <w:adjustRightInd w:val="0"/>
        <w:snapToGrid w:val="0"/>
        <w:spacing w:line="578" w:lineRule="exact"/>
        <w:ind w:firstLine="640" w:firstLineChars="200"/>
        <w:contextualSpacing/>
        <w:jc w:val="left"/>
        <w:rPr>
          <w:rFonts w:eastAsia="楷体_GB2312"/>
          <w:color w:val="000000"/>
          <w:kern w:val="0"/>
          <w:szCs w:val="32"/>
          <w:shd w:val="clear" w:color="auto" w:fill="FFFFFF"/>
          <w:lang w:val="zh-CN"/>
        </w:rPr>
      </w:pPr>
      <w:r>
        <w:rPr>
          <w:rFonts w:hint="default" w:ascii="Times New Roman" w:hAnsi="Times New Roman" w:eastAsia="方正仿宋_GBK" w:cs="Times New Roman"/>
          <w:lang w:val="zh-CN" w:eastAsia="zh-CN"/>
        </w:rPr>
        <w:t>本单位已制定内部财务管理制度、内部控制制度等制度机制，严格执行财务管理制度；合理设置财务工作岗位，明确职责权限，并严格实行不相容岗位分离；部门资金使用符合相关财务管理制度规定。</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200"/>
        <w:textAlignment w:val="auto"/>
        <w:rPr>
          <w:rFonts w:eastAsia="楷体_GB2312"/>
          <w:color w:val="000000"/>
          <w:kern w:val="0"/>
          <w:szCs w:val="32"/>
          <w:shd w:val="clear" w:color="auto" w:fill="FFFFFF"/>
          <w:lang w:val="zh-CN"/>
        </w:rPr>
      </w:pPr>
      <w:r>
        <w:rPr>
          <w:rFonts w:hint="eastAsia" w:eastAsia="楷体_GB2312"/>
          <w:color w:val="000000"/>
          <w:kern w:val="0"/>
          <w:szCs w:val="32"/>
          <w:shd w:val="clear" w:color="auto" w:fill="FFFFFF"/>
          <w:lang w:val="en-US" w:eastAsia="zh-CN"/>
        </w:rPr>
        <w:t>4.</w:t>
      </w:r>
      <w:r>
        <w:rPr>
          <w:rFonts w:eastAsia="楷体_GB2312"/>
          <w:color w:val="000000"/>
          <w:kern w:val="0"/>
          <w:szCs w:val="32"/>
          <w:shd w:val="clear" w:color="auto" w:fill="FFFFFF"/>
          <w:lang w:val="zh-CN"/>
        </w:rPr>
        <w:t>资产管理。</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lang w:val="zh-CN"/>
        </w:rPr>
      </w:pPr>
      <w:r>
        <w:rPr>
          <w:rFonts w:hint="default" w:ascii="Times New Roman" w:hAnsi="Times New Roman" w:eastAsia="方正仿宋_GBK" w:cs="Times New Roman"/>
          <w:lang w:val="zh-CN"/>
        </w:rPr>
        <w:t>高度重视闲置资产管理，建立动态清查机制，定期梳理闲置资产明细，通过内部调剂、共享使用等方式，将闲置设备、办公用品等调配至需求科室。同时，</w:t>
      </w:r>
      <w:r>
        <w:rPr>
          <w:rFonts w:hint="default" w:ascii="Times New Roman" w:hAnsi="Times New Roman" w:eastAsia="方正仿宋_GBK" w:cs="Times New Roman"/>
          <w:lang w:val="zh-CN" w:eastAsia="zh-CN"/>
        </w:rPr>
        <w:t>在资产系统内对固定资产及状态及时进行更新</w:t>
      </w:r>
      <w:r>
        <w:rPr>
          <w:rFonts w:hint="default" w:ascii="Times New Roman" w:hAnsi="Times New Roman" w:eastAsia="方正仿宋_GBK" w:cs="Times New Roman"/>
          <w:lang w:val="zh-CN"/>
        </w:rPr>
        <w:t>，优化资源配置，显著提升资产利用率，有效避免资源浪费，为机关高效运转提供有力保障。</w:t>
      </w:r>
    </w:p>
    <w:p>
      <w:pPr>
        <w:numPr>
          <w:ilvl w:val="0"/>
          <w:numId w:val="0"/>
        </w:numPr>
        <w:adjustRightInd w:val="0"/>
        <w:snapToGrid w:val="0"/>
        <w:spacing w:line="578" w:lineRule="exact"/>
        <w:ind w:leftChars="200"/>
        <w:contextualSpacing/>
        <w:jc w:val="left"/>
        <w:rPr>
          <w:color w:val="000000"/>
          <w:kern w:val="0"/>
          <w:szCs w:val="32"/>
          <w:shd w:val="clear" w:color="auto" w:fill="FFFFFF"/>
          <w:lang w:val="zh-CN"/>
        </w:rPr>
      </w:pPr>
      <w:r>
        <w:rPr>
          <w:rFonts w:hint="eastAsia" w:eastAsia="楷体_GB2312"/>
          <w:color w:val="000000"/>
          <w:kern w:val="0"/>
          <w:szCs w:val="32"/>
          <w:shd w:val="clear" w:color="auto" w:fill="FFFFFF"/>
          <w:lang w:val="en-US" w:eastAsia="zh-CN"/>
        </w:rPr>
        <w:t>5.</w:t>
      </w:r>
      <w:r>
        <w:rPr>
          <w:rFonts w:eastAsia="楷体_GB2312"/>
          <w:color w:val="000000"/>
          <w:kern w:val="0"/>
          <w:szCs w:val="32"/>
          <w:shd w:val="clear" w:color="auto" w:fill="FFFFFF"/>
          <w:lang w:val="zh-CN"/>
        </w:rPr>
        <w:t>采购管理。</w:t>
      </w:r>
    </w:p>
    <w:p>
      <w:pPr>
        <w:numPr>
          <w:ilvl w:val="0"/>
          <w:numId w:val="0"/>
        </w:numPr>
        <w:adjustRightInd w:val="0"/>
        <w:snapToGrid w:val="0"/>
        <w:spacing w:line="578" w:lineRule="exact"/>
        <w:ind w:firstLine="640" w:firstLineChars="200"/>
        <w:contextualSpacing/>
        <w:jc w:val="left"/>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202</w:t>
      </w:r>
      <w:r>
        <w:rPr>
          <w:rFonts w:hint="eastAsia" w:ascii="Times New Roman" w:hAnsi="Times New Roman" w:eastAsia="方正仿宋_GBK" w:cs="Times New Roman"/>
          <w:lang w:val="en-US" w:eastAsia="zh-CN"/>
        </w:rPr>
        <w:t>5</w:t>
      </w:r>
      <w:r>
        <w:rPr>
          <w:rFonts w:hint="default" w:ascii="Times New Roman" w:hAnsi="Times New Roman" w:eastAsia="方正仿宋_GBK" w:cs="Times New Roman"/>
          <w:lang w:val="en-US" w:eastAsia="zh-CN"/>
        </w:rPr>
        <w:t>年西区财政投资评审中心严格</w:t>
      </w:r>
      <w:r>
        <w:rPr>
          <w:rFonts w:hint="eastAsia" w:ascii="Times New Roman" w:hAnsi="Times New Roman" w:eastAsia="方正仿宋_GBK" w:cs="Times New Roman"/>
          <w:lang w:val="zh-CN" w:eastAsia="zh-CN"/>
        </w:rPr>
        <w:t>执行政府采购促进中小企业发展相关管理办法，</w:t>
      </w:r>
      <w:r>
        <w:rPr>
          <w:rFonts w:hint="eastAsia" w:eastAsia="方正仿宋_GBK" w:cs="Times New Roman"/>
          <w:lang w:val="en-US" w:eastAsia="zh-CN"/>
        </w:rPr>
        <w:t>严格</w:t>
      </w:r>
      <w:r>
        <w:rPr>
          <w:rFonts w:hint="default" w:ascii="Times New Roman" w:hAnsi="Times New Roman" w:eastAsia="方正仿宋_GBK" w:cs="Times New Roman"/>
          <w:lang w:val="en-US" w:eastAsia="zh-CN"/>
        </w:rPr>
        <w:t>按照西区财政局</w:t>
      </w:r>
      <w:r>
        <w:rPr>
          <w:rFonts w:hint="eastAsia" w:ascii="Times New Roman" w:hAnsi="Times New Roman" w:eastAsia="方正仿宋_GBK" w:cs="Times New Roman"/>
          <w:lang w:val="en-US" w:eastAsia="zh-CN"/>
        </w:rPr>
        <w:t>政府采购</w:t>
      </w:r>
      <w:r>
        <w:rPr>
          <w:rFonts w:hint="default" w:ascii="Times New Roman" w:hAnsi="Times New Roman" w:eastAsia="方正仿宋_GBK" w:cs="Times New Roman"/>
          <w:lang w:val="en-US" w:eastAsia="zh-CN"/>
        </w:rPr>
        <w:t>通知和有关要求，</w:t>
      </w:r>
      <w:r>
        <w:rPr>
          <w:rFonts w:hint="eastAsia" w:ascii="Times New Roman" w:hAnsi="Times New Roman" w:eastAsia="方正仿宋_GBK" w:cs="Times New Roman"/>
          <w:lang w:val="en-US" w:eastAsia="zh-CN"/>
        </w:rPr>
        <w:t>完成公务车保险、</w:t>
      </w:r>
      <w:r>
        <w:rPr>
          <w:rFonts w:hint="default" w:ascii="Times New Roman" w:hAnsi="Times New Roman" w:eastAsia="方正仿宋_GBK" w:cs="Times New Roman"/>
          <w:lang w:val="en-US" w:eastAsia="zh-CN"/>
        </w:rPr>
        <w:t>车辆维修和保养服务</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车辆加油</w:t>
      </w:r>
      <w:r>
        <w:rPr>
          <w:rFonts w:hint="eastAsia" w:ascii="Times New Roman" w:hAnsi="Times New Roman" w:eastAsia="方正仿宋_GBK" w:cs="Times New Roman"/>
          <w:lang w:val="en-US" w:eastAsia="zh-CN"/>
        </w:rPr>
        <w:t>等采购。</w:t>
      </w:r>
      <w:r>
        <w:rPr>
          <w:rFonts w:hint="default" w:ascii="Times New Roman" w:hAnsi="Times New Roman" w:eastAsia="方正仿宋_GBK" w:cs="Times New Roman"/>
          <w:lang w:val="en-US" w:eastAsia="zh-CN"/>
        </w:rPr>
        <w:t>严格遵循政府采购法律法规，按批复的预算组织实施，</w:t>
      </w:r>
      <w:r>
        <w:rPr>
          <w:rFonts w:hint="eastAsia" w:ascii="Times New Roman" w:hAnsi="Times New Roman" w:eastAsia="方正仿宋_GBK" w:cs="Times New Roman"/>
          <w:lang w:val="en-US" w:eastAsia="zh-CN"/>
        </w:rPr>
        <w:t>不存在</w:t>
      </w:r>
      <w:r>
        <w:rPr>
          <w:rFonts w:hint="default" w:ascii="Times New Roman" w:hAnsi="Times New Roman" w:eastAsia="方正仿宋_GBK" w:cs="Times New Roman"/>
          <w:lang w:val="en-US" w:eastAsia="zh-CN"/>
        </w:rPr>
        <w:t>无预算</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超预算采购</w:t>
      </w:r>
      <w:r>
        <w:rPr>
          <w:rFonts w:hint="eastAsia" w:ascii="Times New Roman" w:hAnsi="Times New Roman" w:cs="Times New Roman"/>
          <w:color w:val="000000"/>
          <w:kern w:val="0"/>
          <w:szCs w:val="32"/>
          <w:shd w:val="clear" w:color="auto" w:fill="FFFFFF"/>
          <w:lang w:val="en-US" w:eastAsia="zh-CN"/>
        </w:rPr>
        <w:t>。</w:t>
      </w:r>
    </w:p>
    <w:p>
      <w:pPr>
        <w:widowControl/>
        <w:adjustRightInd w:val="0"/>
        <w:snapToGrid w:val="0"/>
        <w:spacing w:line="578" w:lineRule="exact"/>
        <w:ind w:firstLine="643" w:firstLineChars="200"/>
        <w:contextualSpacing/>
        <w:jc w:val="left"/>
        <w:rPr>
          <w:color w:val="000000"/>
          <w:kern w:val="0"/>
          <w:szCs w:val="32"/>
          <w:shd w:val="clear" w:color="auto" w:fill="FFFFFF"/>
        </w:rPr>
      </w:pPr>
      <w:r>
        <w:rPr>
          <w:rFonts w:eastAsia="楷体_GB2312"/>
          <w:b/>
          <w:bCs/>
          <w:color w:val="000000"/>
          <w:kern w:val="0"/>
          <w:szCs w:val="32"/>
          <w:shd w:val="clear" w:color="auto" w:fill="FFFFFF"/>
          <w:lang w:val="zh-CN"/>
        </w:rPr>
        <w:t>（二）部门预算项目绩效分析。</w:t>
      </w:r>
    </w:p>
    <w:p>
      <w:pPr>
        <w:adjustRightInd w:val="0"/>
        <w:snapToGrid w:val="0"/>
        <w:spacing w:line="578" w:lineRule="exact"/>
        <w:ind w:firstLine="640" w:firstLineChars="200"/>
        <w:contextualSpacing/>
        <w:jc w:val="left"/>
        <w:rPr>
          <w:color w:val="000000"/>
          <w:kern w:val="0"/>
          <w:szCs w:val="32"/>
          <w:shd w:val="clear" w:color="auto" w:fill="FFFFFF"/>
          <w:lang w:val="zh-CN"/>
        </w:rPr>
      </w:pPr>
      <w:r>
        <w:rPr>
          <w:color w:val="000000"/>
          <w:kern w:val="0"/>
          <w:szCs w:val="32"/>
          <w:shd w:val="clear" w:color="auto" w:fill="FFFFFF"/>
        </w:rPr>
        <w:t>常年项目绩效分析。</w:t>
      </w:r>
      <w:r>
        <w:rPr>
          <w:color w:val="000000"/>
          <w:kern w:val="0"/>
          <w:szCs w:val="32"/>
          <w:shd w:val="clear" w:color="auto" w:fill="FFFFFF"/>
          <w:lang w:val="zh-CN"/>
        </w:rPr>
        <w:t>该类项目总数</w:t>
      </w:r>
      <w:r>
        <w:rPr>
          <w:rFonts w:hint="eastAsia"/>
          <w:color w:val="000000"/>
          <w:kern w:val="0"/>
          <w:szCs w:val="32"/>
          <w:shd w:val="clear" w:color="auto" w:fill="FFFFFF"/>
          <w:lang w:val="en-US" w:eastAsia="zh-CN"/>
        </w:rPr>
        <w:t>2</w:t>
      </w:r>
      <w:r>
        <w:rPr>
          <w:color w:val="000000"/>
          <w:kern w:val="0"/>
          <w:szCs w:val="32"/>
          <w:shd w:val="clear" w:color="auto" w:fill="FFFFFF"/>
          <w:lang w:val="zh-CN"/>
        </w:rPr>
        <w:t>个，涉及预算总金额</w:t>
      </w:r>
      <w:r>
        <w:rPr>
          <w:color w:val="000000"/>
          <w:kern w:val="0"/>
          <w:szCs w:val="32"/>
          <w:shd w:val="clear" w:color="auto" w:fill="FFFFFF"/>
        </w:rPr>
        <w:t xml:space="preserve">   </w:t>
      </w:r>
      <w:r>
        <w:rPr>
          <w:rFonts w:hint="eastAsia"/>
          <w:color w:val="000000"/>
          <w:kern w:val="0"/>
          <w:szCs w:val="32"/>
          <w:shd w:val="clear" w:color="auto" w:fill="FFFFFF"/>
          <w:lang w:val="en-US" w:eastAsia="zh-CN"/>
        </w:rPr>
        <w:t>152.63</w:t>
      </w:r>
      <w:r>
        <w:rPr>
          <w:color w:val="000000"/>
          <w:kern w:val="0"/>
          <w:szCs w:val="32"/>
          <w:shd w:val="clear" w:color="auto" w:fill="FFFFFF"/>
          <w:lang w:val="zh-CN"/>
        </w:rPr>
        <w:t>万元，1</w:t>
      </w:r>
      <w:r>
        <w:rPr>
          <w:rFonts w:hint="eastAsia"/>
          <w:color w:val="000000"/>
          <w:kern w:val="0"/>
          <w:szCs w:val="32"/>
          <w:shd w:val="clear" w:color="auto" w:fill="FFFFFF"/>
          <w:lang w:val="zh-CN"/>
        </w:rPr>
        <w:t>—</w:t>
      </w:r>
      <w:r>
        <w:rPr>
          <w:color w:val="000000"/>
          <w:kern w:val="0"/>
          <w:szCs w:val="32"/>
          <w:shd w:val="clear" w:color="auto" w:fill="FFFFFF"/>
          <w:lang w:val="zh-CN"/>
        </w:rPr>
        <w:t>1</w:t>
      </w:r>
      <w:r>
        <w:rPr>
          <w:color w:val="000000"/>
          <w:kern w:val="0"/>
          <w:szCs w:val="32"/>
          <w:shd w:val="clear" w:color="auto" w:fill="FFFFFF"/>
        </w:rPr>
        <w:t>2</w:t>
      </w:r>
      <w:r>
        <w:rPr>
          <w:color w:val="000000"/>
          <w:kern w:val="0"/>
          <w:szCs w:val="32"/>
          <w:shd w:val="clear" w:color="auto" w:fill="FFFFFF"/>
          <w:lang w:val="zh-CN"/>
        </w:rPr>
        <w:t>月预算执行总体进度为</w:t>
      </w:r>
      <w:r>
        <w:rPr>
          <w:rFonts w:hint="eastAsia"/>
          <w:color w:val="000000"/>
          <w:kern w:val="0"/>
          <w:szCs w:val="32"/>
          <w:shd w:val="clear" w:color="auto" w:fill="FFFFFF"/>
          <w:lang w:val="en-US" w:eastAsia="zh-CN"/>
        </w:rPr>
        <w:t>100</w:t>
      </w:r>
      <w:r>
        <w:rPr>
          <w:color w:val="000000"/>
          <w:kern w:val="0"/>
          <w:szCs w:val="32"/>
          <w:shd w:val="clear" w:color="auto" w:fill="FFFFFF"/>
          <w:lang w:val="zh-CN"/>
        </w:rPr>
        <w:t>%，其中：预算结余率大于</w:t>
      </w:r>
      <w:r>
        <w:rPr>
          <w:color w:val="000000"/>
          <w:kern w:val="0"/>
          <w:szCs w:val="32"/>
          <w:shd w:val="clear" w:color="auto" w:fill="FFFFFF"/>
        </w:rPr>
        <w:t>10%</w:t>
      </w:r>
      <w:r>
        <w:rPr>
          <w:color w:val="000000"/>
          <w:kern w:val="0"/>
          <w:szCs w:val="32"/>
          <w:shd w:val="clear" w:color="auto" w:fill="FFFFFF"/>
          <w:lang w:val="zh-CN"/>
        </w:rPr>
        <w:t>的项目共计</w:t>
      </w:r>
      <w:r>
        <w:rPr>
          <w:rFonts w:hint="eastAsia"/>
          <w:color w:val="000000"/>
          <w:kern w:val="0"/>
          <w:szCs w:val="32"/>
          <w:shd w:val="clear" w:color="auto" w:fill="FFFFFF"/>
          <w:lang w:val="en-US" w:eastAsia="zh-CN"/>
        </w:rPr>
        <w:t>0</w:t>
      </w:r>
      <w:r>
        <w:rPr>
          <w:color w:val="000000"/>
          <w:kern w:val="0"/>
          <w:szCs w:val="32"/>
          <w:shd w:val="clear" w:color="auto" w:fill="FFFFFF"/>
          <w:lang w:val="zh-CN"/>
        </w:rPr>
        <w:t>个。</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eastAsia="楷体_GB2312"/>
          <w:color w:val="000000"/>
          <w:kern w:val="0"/>
          <w:szCs w:val="32"/>
          <w:shd w:val="clear" w:color="auto" w:fill="FFFFFF"/>
          <w:lang w:val="zh-CN"/>
        </w:rPr>
      </w:pPr>
      <w:r>
        <w:rPr>
          <w:rFonts w:hint="eastAsia" w:eastAsia="楷体_GB2312"/>
          <w:color w:val="000000"/>
          <w:kern w:val="0"/>
          <w:szCs w:val="32"/>
          <w:shd w:val="clear" w:color="auto" w:fill="FFFFFF"/>
          <w:lang w:val="en-US" w:eastAsia="zh-CN"/>
        </w:rPr>
        <w:t>1.</w:t>
      </w:r>
      <w:r>
        <w:rPr>
          <w:rFonts w:eastAsia="楷体_GB2312"/>
          <w:color w:val="000000"/>
          <w:kern w:val="0"/>
          <w:szCs w:val="32"/>
          <w:shd w:val="clear" w:color="auto" w:fill="FFFFFF"/>
          <w:lang w:val="zh-CN"/>
        </w:rPr>
        <w:t>项目决策。</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202</w:t>
      </w:r>
      <w:r>
        <w:rPr>
          <w:rFonts w:hint="eastAsia" w:ascii="Times New Roman" w:hAnsi="Times New Roman" w:eastAsia="方正仿宋_GBK" w:cs="Times New Roman"/>
          <w:lang w:val="en-US" w:eastAsia="zh-CN"/>
        </w:rPr>
        <w:t>5</w:t>
      </w:r>
      <w:r>
        <w:rPr>
          <w:rFonts w:hint="default" w:ascii="Times New Roman" w:hAnsi="Times New Roman" w:eastAsia="方正仿宋_GBK" w:cs="Times New Roman"/>
          <w:lang w:val="en-US" w:eastAsia="zh-CN"/>
        </w:rPr>
        <w:t>年</w:t>
      </w:r>
      <w:r>
        <w:rPr>
          <w:rFonts w:hint="default" w:ascii="Times New Roman" w:hAnsi="Times New Roman" w:eastAsia="方正仿宋_GBK" w:cs="Times New Roman"/>
          <w:lang w:val="zh-CN"/>
        </w:rPr>
        <w:t>严格按要求编制年初部门预算，严格按规定履行评估论证、申报程序。由有关股室认真核算，</w:t>
      </w:r>
      <w:r>
        <w:rPr>
          <w:rFonts w:hint="default" w:ascii="Times New Roman" w:hAnsi="Times New Roman" w:eastAsia="方正仿宋_GBK" w:cs="Times New Roman"/>
          <w:lang w:val="zh-CN" w:eastAsia="zh-CN"/>
        </w:rPr>
        <w:t>充分评估论证。达到预算项目绩效目标与计划期内的任务量、预算安排资金量相匹配，绩效目标设置科学合理、规范完整、量化细化、预算匹配。</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eastAsia="楷体_GB2312"/>
          <w:color w:val="000000"/>
          <w:kern w:val="0"/>
          <w:szCs w:val="32"/>
          <w:shd w:val="clear" w:color="auto" w:fill="FFFFFF"/>
          <w:lang w:val="zh-CN"/>
        </w:rPr>
      </w:pPr>
      <w:r>
        <w:rPr>
          <w:rFonts w:hint="eastAsia" w:eastAsia="楷体_GB2312"/>
          <w:color w:val="000000"/>
          <w:kern w:val="0"/>
          <w:szCs w:val="32"/>
          <w:shd w:val="clear" w:color="auto" w:fill="FFFFFF"/>
          <w:lang w:val="en-US" w:eastAsia="zh-CN"/>
        </w:rPr>
        <w:t>2.</w:t>
      </w:r>
      <w:r>
        <w:rPr>
          <w:rFonts w:eastAsia="楷体_GB2312"/>
          <w:color w:val="000000"/>
          <w:kern w:val="0"/>
          <w:szCs w:val="32"/>
          <w:shd w:val="clear" w:color="auto" w:fill="FFFFFF"/>
        </w:rPr>
        <w:t>项目执行</w:t>
      </w:r>
      <w:r>
        <w:rPr>
          <w:rFonts w:eastAsia="楷体_GB2312"/>
          <w:color w:val="000000"/>
          <w:kern w:val="0"/>
          <w:szCs w:val="32"/>
          <w:shd w:val="clear" w:color="auto" w:fill="FFFFFF"/>
          <w:lang w:val="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lang w:val="zh-CN" w:eastAsia="zh-CN"/>
        </w:rPr>
      </w:pPr>
      <w:r>
        <w:rPr>
          <w:rFonts w:hint="default" w:ascii="Times New Roman" w:hAnsi="Times New Roman" w:eastAsia="方正仿宋_GBK" w:cs="Times New Roman"/>
          <w:lang w:val="zh-CN" w:eastAsia="zh-CN"/>
        </w:rPr>
        <w:t>项目实施期限为202</w:t>
      </w:r>
      <w:r>
        <w:rPr>
          <w:rFonts w:hint="eastAsia" w:ascii="Times New Roman" w:hAnsi="Times New Roman" w:eastAsia="方正仿宋_GBK" w:cs="Times New Roman"/>
          <w:lang w:val="en-US" w:eastAsia="zh-CN"/>
        </w:rPr>
        <w:t>5</w:t>
      </w:r>
      <w:r>
        <w:rPr>
          <w:rFonts w:hint="default" w:ascii="Times New Roman" w:hAnsi="Times New Roman" w:eastAsia="方正仿宋_GBK" w:cs="Times New Roman"/>
          <w:lang w:val="zh-CN" w:eastAsia="zh-CN"/>
        </w:rPr>
        <w:t>年1月至12月，由</w:t>
      </w:r>
      <w:r>
        <w:rPr>
          <w:rFonts w:hint="default" w:ascii="Times New Roman" w:hAnsi="Times New Roman" w:eastAsia="方正仿宋_GBK" w:cs="Times New Roman"/>
          <w:lang w:val="en-US" w:eastAsia="zh-CN"/>
        </w:rPr>
        <w:t>西区财政投资评审中心</w:t>
      </w:r>
      <w:r>
        <w:rPr>
          <w:rFonts w:hint="default" w:ascii="Times New Roman" w:hAnsi="Times New Roman" w:eastAsia="方正仿宋_GBK" w:cs="Times New Roman"/>
          <w:lang w:val="zh-CN" w:eastAsia="zh-CN"/>
        </w:rPr>
        <w:t>申报，西区财政局审核批复，主要用于保障全区项目评审及结算工作顺利推进，提高财政资金使用效率。提升工作人员专业能力技术，做好评审工作，确保财政资金使用安全、规范有效。</w:t>
      </w:r>
      <w:r>
        <w:rPr>
          <w:rFonts w:hint="default" w:ascii="Times New Roman" w:hAnsi="Times New Roman" w:eastAsia="方正仿宋_GBK" w:cs="Times New Roman"/>
          <w:lang w:val="zh-CN"/>
        </w:rPr>
        <w:t>执行过程中，预算项目实际列支内容与绩效目标设置方向相符。</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200"/>
        <w:textAlignment w:val="auto"/>
        <w:rPr>
          <w:rFonts w:hint="eastAsia" w:eastAsia="楷体_GB2312"/>
          <w:color w:val="000000"/>
          <w:kern w:val="0"/>
          <w:szCs w:val="32"/>
          <w:shd w:val="clear" w:color="auto" w:fill="FFFFFF"/>
          <w:lang w:val="en-US" w:eastAsia="zh-CN"/>
        </w:rPr>
      </w:pPr>
      <w:r>
        <w:rPr>
          <w:rFonts w:hint="eastAsia" w:eastAsia="楷体_GB2312"/>
          <w:color w:val="000000"/>
          <w:kern w:val="0"/>
          <w:szCs w:val="32"/>
          <w:shd w:val="clear" w:color="auto" w:fill="FFFFFF"/>
          <w:lang w:val="en-US" w:eastAsia="zh-CN"/>
        </w:rPr>
        <w:t>3.</w:t>
      </w:r>
      <w:r>
        <w:rPr>
          <w:rFonts w:eastAsia="楷体_GB2312"/>
          <w:color w:val="000000"/>
          <w:kern w:val="0"/>
          <w:szCs w:val="32"/>
          <w:shd w:val="clear" w:color="auto" w:fill="FFFFFF"/>
          <w:lang w:val="zh-CN"/>
        </w:rPr>
        <w:t>目标实现。</w:t>
      </w:r>
      <w:r>
        <w:rPr>
          <w:rFonts w:hint="eastAsia" w:eastAsia="楷体_GB2312"/>
          <w:color w:val="000000"/>
          <w:kern w:val="0"/>
          <w:szCs w:val="32"/>
          <w:shd w:val="clear" w:color="auto" w:fill="FFFFFF"/>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eastAsia="楷体_GB2312"/>
          <w:color w:val="000000"/>
          <w:kern w:val="0"/>
          <w:szCs w:val="32"/>
          <w:shd w:val="clear" w:color="auto" w:fill="FFFFFF"/>
          <w:lang w:val="zh-CN"/>
        </w:rPr>
      </w:pPr>
      <w:r>
        <w:rPr>
          <w:rFonts w:hint="default" w:ascii="Times New Roman" w:hAnsi="Times New Roman" w:eastAsia="方正仿宋_GBK" w:cs="Times New Roman"/>
          <w:lang w:eastAsia="zh-CN"/>
        </w:rPr>
        <w:t>按照工作计划的顺利推进，项目评审</w:t>
      </w:r>
      <w:r>
        <w:rPr>
          <w:rFonts w:hint="default" w:ascii="Times New Roman" w:hAnsi="Times New Roman" w:eastAsia="方正仿宋_GBK" w:cs="Times New Roman"/>
          <w:lang w:val="en-US" w:eastAsia="zh-CN"/>
        </w:rPr>
        <w:t>服务费</w:t>
      </w:r>
      <w:r>
        <w:rPr>
          <w:rFonts w:hint="default" w:ascii="Times New Roman" w:hAnsi="Times New Roman" w:eastAsia="方正仿宋_GBK" w:cs="Times New Roman"/>
          <w:lang w:eastAsia="zh-CN"/>
        </w:rPr>
        <w:t>、业务经费项目专项资金的数量、质量、时效指标均达标。</w:t>
      </w:r>
      <w:r>
        <w:rPr>
          <w:rFonts w:hint="default" w:ascii="Times New Roman" w:hAnsi="Times New Roman" w:eastAsia="方正仿宋_GBK" w:cs="Times New Roman"/>
          <w:lang w:val="en-US" w:eastAsia="zh-CN"/>
        </w:rPr>
        <w:t>项目</w:t>
      </w:r>
      <w:r>
        <w:rPr>
          <w:rFonts w:hint="default" w:ascii="Times New Roman" w:hAnsi="Times New Roman" w:eastAsia="方正仿宋_GBK" w:cs="Times New Roman"/>
          <w:lang w:val="zh-CN"/>
        </w:rPr>
        <w:t>评审费用、</w:t>
      </w:r>
      <w:r>
        <w:rPr>
          <w:rFonts w:hint="default" w:ascii="Times New Roman" w:hAnsi="Times New Roman" w:eastAsia="方正仿宋_GBK" w:cs="Times New Roman"/>
          <w:lang w:val="en-US" w:eastAsia="zh-CN"/>
        </w:rPr>
        <w:t>业务经费</w:t>
      </w:r>
      <w:r>
        <w:rPr>
          <w:rFonts w:hint="default" w:ascii="Times New Roman" w:hAnsi="Times New Roman" w:eastAsia="方正仿宋_GBK" w:cs="Times New Roman"/>
          <w:lang w:val="zh-CN"/>
        </w:rPr>
        <w:t>按照标准进行支付，成本控制较好。</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leftChars="0" w:firstLine="643" w:firstLineChars="200"/>
        <w:textAlignment w:val="auto"/>
        <w:rPr>
          <w:rFonts w:eastAsia="楷体_GB2312"/>
          <w:b/>
          <w:bCs/>
          <w:szCs w:val="32"/>
          <w:lang w:val="zh-CN"/>
        </w:rPr>
      </w:pPr>
      <w:r>
        <w:rPr>
          <w:rFonts w:eastAsia="楷体_GB2312"/>
          <w:b/>
          <w:bCs/>
          <w:szCs w:val="32"/>
          <w:lang w:val="zh-CN"/>
        </w:rPr>
        <w:t>绩效结果应用情况。</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b/>
          <w:szCs w:val="32"/>
        </w:rPr>
      </w:pPr>
      <w:r>
        <w:rPr>
          <w:rFonts w:hint="default" w:ascii="Times New Roman" w:hAnsi="Times New Roman" w:eastAsia="方正仿宋_GBK" w:cs="Times New Roman"/>
          <w:lang w:eastAsia="zh-CN"/>
        </w:rPr>
        <w:t>区财政投资评审中心严格按照相关文件要求，在西区人民政府网站上公开了部门绩效评价等信息。</w:t>
      </w:r>
    </w:p>
    <w:p>
      <w:pPr>
        <w:widowControl/>
        <w:adjustRightInd w:val="0"/>
        <w:snapToGrid w:val="0"/>
        <w:spacing w:line="578" w:lineRule="exact"/>
        <w:ind w:firstLine="640" w:firstLineChars="200"/>
        <w:contextualSpacing/>
        <w:jc w:val="left"/>
        <w:rPr>
          <w:rFonts w:eastAsia="黑体"/>
          <w:color w:val="000000"/>
          <w:kern w:val="0"/>
          <w:szCs w:val="32"/>
          <w:shd w:val="clear" w:color="auto" w:fill="FFFFFF"/>
        </w:rPr>
      </w:pPr>
      <w:r>
        <w:rPr>
          <w:rFonts w:eastAsia="黑体"/>
          <w:color w:val="000000"/>
          <w:kern w:val="0"/>
          <w:szCs w:val="32"/>
          <w:shd w:val="clear" w:color="auto" w:fill="FFFFFF"/>
        </w:rPr>
        <w:t>四、评价结论及建议</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（一）评价结论。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highlight w:val="none"/>
          <w:lang w:eastAsia="zh-CN"/>
        </w:rPr>
      </w:pPr>
      <w:r>
        <w:rPr>
          <w:rFonts w:hint="default" w:ascii="Times New Roman" w:hAnsi="Times New Roman" w:eastAsia="方正仿宋_GBK" w:cs="Times New Roman"/>
        </w:rPr>
        <w:t>202</w:t>
      </w:r>
      <w:r>
        <w:rPr>
          <w:rFonts w:hint="eastAsia" w:ascii="Times New Roman" w:hAnsi="Times New Roman" w:eastAsia="方正仿宋_GBK" w:cs="Times New Roman"/>
          <w:lang w:val="en-US" w:eastAsia="zh-CN"/>
        </w:rPr>
        <w:t>5</w:t>
      </w:r>
      <w:r>
        <w:rPr>
          <w:rFonts w:hint="default" w:ascii="Times New Roman" w:hAnsi="Times New Roman" w:eastAsia="方正仿宋_GBK" w:cs="Times New Roman"/>
        </w:rPr>
        <w:t>年区财政投资评审中心通过加强预算收支管理，健全内部管理制度，严格内部管理流程，部门整体支出控制在预算范围内，财务收支平衡，有效保障了单位各项工作有序开展。</w:t>
      </w:r>
      <w:r>
        <w:rPr>
          <w:rFonts w:hint="default" w:ascii="Times New Roman" w:hAnsi="Times New Roman" w:eastAsia="方正仿宋_GBK" w:cs="Times New Roman"/>
          <w:lang w:eastAsia="zh-CN"/>
        </w:rPr>
        <w:t>按照要求，本单位对部门预算绩效进行自查，对照绩效评价指标体系进行了评分。</w:t>
      </w:r>
      <w:r>
        <w:rPr>
          <w:rFonts w:hint="default" w:ascii="Times New Roman" w:hAnsi="Times New Roman" w:eastAsia="方正仿宋_GBK" w:cs="Times New Roman"/>
          <w:highlight w:val="none"/>
          <w:lang w:val="zh-CN" w:eastAsia="zh-CN"/>
        </w:rPr>
        <w:t>部门预算总体绩效</w:t>
      </w:r>
      <w:r>
        <w:rPr>
          <w:rFonts w:hint="eastAsia" w:eastAsia="方正仿宋_GBK" w:cs="Times New Roman"/>
          <w:highlight w:val="none"/>
          <w:lang w:val="en-US" w:eastAsia="zh-CN"/>
        </w:rPr>
        <w:t>60.33</w:t>
      </w:r>
      <w:r>
        <w:rPr>
          <w:rFonts w:hint="default" w:ascii="Times New Roman" w:hAnsi="Times New Roman" w:eastAsia="方正仿宋_GBK" w:cs="Times New Roman"/>
          <w:highlight w:val="none"/>
          <w:lang w:val="en-US" w:eastAsia="zh-CN"/>
        </w:rPr>
        <w:t>分，</w:t>
      </w:r>
      <w:r>
        <w:rPr>
          <w:rFonts w:hint="default" w:ascii="Times New Roman" w:hAnsi="Times New Roman" w:eastAsia="方正仿宋_GBK" w:cs="Times New Roman"/>
          <w:highlight w:val="none"/>
          <w:lang w:val="zh-CN" w:eastAsia="zh-CN"/>
        </w:rPr>
        <w:t>项目绩效</w:t>
      </w:r>
      <w:r>
        <w:rPr>
          <w:rFonts w:hint="eastAsia" w:eastAsia="方正仿宋_GBK" w:cs="Times New Roman"/>
          <w:highlight w:val="none"/>
          <w:lang w:val="en-US" w:eastAsia="zh-CN"/>
        </w:rPr>
        <w:t>35</w:t>
      </w:r>
      <w:r>
        <w:rPr>
          <w:rFonts w:hint="default" w:ascii="Times New Roman" w:hAnsi="Times New Roman" w:eastAsia="方正仿宋_GBK" w:cs="Times New Roman"/>
          <w:highlight w:val="none"/>
          <w:lang w:val="en-US" w:eastAsia="zh-CN"/>
        </w:rPr>
        <w:t>分，总计得分</w:t>
      </w:r>
      <w:r>
        <w:rPr>
          <w:rFonts w:hint="eastAsia" w:eastAsia="方正仿宋_GBK" w:cs="Times New Roman"/>
          <w:highlight w:val="none"/>
          <w:lang w:val="en-US" w:eastAsia="zh-CN"/>
        </w:rPr>
        <w:t>95.33</w:t>
      </w:r>
      <w:r>
        <w:rPr>
          <w:rFonts w:hint="default" w:ascii="Times New Roman" w:hAnsi="Times New Roman" w:eastAsia="方正仿宋_GBK" w:cs="Times New Roman"/>
          <w:highlight w:val="none"/>
          <w:lang w:val="en-US" w:eastAsia="zh-CN"/>
        </w:rPr>
        <w:t>分。</w:t>
      </w:r>
    </w:p>
    <w:p>
      <w:pPr>
        <w:keepNext w:val="0"/>
        <w:keepLines w:val="0"/>
        <w:pageBreakBefore w:val="0"/>
        <w:widowControl w:val="0"/>
        <w:numPr>
          <w:ilvl w:val="0"/>
          <w:numId w:val="2"/>
        </w:numPr>
        <w:kinsoku/>
        <w:wordWrap/>
        <w:overflowPunct/>
        <w:topLinePunct w:val="0"/>
        <w:autoSpaceDE/>
        <w:autoSpaceDN/>
        <w:bidi w:val="0"/>
        <w:adjustRightInd/>
        <w:snapToGrid/>
        <w:spacing w:line="576" w:lineRule="exact"/>
        <w:ind w:firstLine="643" w:firstLineChars="200"/>
        <w:textAlignment w:val="auto"/>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存在问题。</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eastAsia="方正仿宋_GBK"/>
          <w:b/>
          <w:bCs/>
          <w:color w:val="000000"/>
          <w:kern w:val="0"/>
          <w:szCs w:val="32"/>
          <w:shd w:val="clear" w:color="auto" w:fill="FFFFFF"/>
          <w:lang w:val="en-US" w:eastAsia="zh-CN"/>
        </w:rPr>
      </w:pPr>
      <w:r>
        <w:rPr>
          <w:rFonts w:hint="eastAsia" w:eastAsia="方正仿宋_GBK" w:cs="Times New Roman"/>
          <w:lang w:val="en-US" w:eastAsia="zh-CN"/>
        </w:rPr>
        <w:t>无。</w:t>
      </w:r>
    </w:p>
    <w:p>
      <w:pPr>
        <w:keepNext w:val="0"/>
        <w:keepLines w:val="0"/>
        <w:pageBreakBefore w:val="0"/>
        <w:widowControl w:val="0"/>
        <w:numPr>
          <w:ilvl w:val="0"/>
          <w:numId w:val="2"/>
        </w:numPr>
        <w:kinsoku/>
        <w:wordWrap/>
        <w:overflowPunct/>
        <w:topLinePunct w:val="0"/>
        <w:autoSpaceDE/>
        <w:autoSpaceDN/>
        <w:bidi w:val="0"/>
        <w:adjustRightInd/>
        <w:snapToGrid/>
        <w:spacing w:line="576" w:lineRule="exact"/>
        <w:ind w:left="0" w:leftChars="0" w:firstLine="643" w:firstLineChars="200"/>
        <w:textAlignment w:val="auto"/>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改进建议。</w:t>
      </w:r>
      <w:bookmarkStart w:id="0" w:name="_Hlk110546638"/>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lang w:val="en-US"/>
        </w:rPr>
      </w:pPr>
      <w:r>
        <w:rPr>
          <w:rFonts w:hint="eastAsia" w:eastAsia="方正仿宋_GBK" w:cs="Times New Roman"/>
          <w:lang w:val="en-US" w:eastAsia="zh-CN"/>
        </w:rPr>
        <w:t>无</w:t>
      </w:r>
      <w:r>
        <w:rPr>
          <w:rFonts w:hint="default" w:ascii="Times New Roman" w:hAnsi="Times New Roman" w:eastAsia="方正仿宋_GBK" w:cs="Times New Roman"/>
          <w:lang w:val="en-US" w:eastAsia="zh-CN"/>
        </w:rPr>
        <w:t>。</w:t>
      </w:r>
    </w:p>
    <w:p>
      <w:pPr>
        <w:widowControl/>
        <w:adjustRightInd w:val="0"/>
        <w:snapToGrid w:val="0"/>
        <w:spacing w:line="578" w:lineRule="exact"/>
        <w:ind w:firstLine="640" w:firstLineChars="200"/>
        <w:contextualSpacing/>
        <w:jc w:val="left"/>
        <w:rPr>
          <w:kern w:val="0"/>
          <w:szCs w:val="32"/>
          <w:lang w:val="en"/>
        </w:rPr>
      </w:pPr>
    </w:p>
    <w:bookmarkEnd w:id="0"/>
    <w:p>
      <w:pPr>
        <w:spacing w:line="578" w:lineRule="exact"/>
        <w:contextualSpacing/>
        <w:rPr>
          <w:rFonts w:eastAsia="黑体"/>
          <w:szCs w:val="32"/>
        </w:rPr>
      </w:pPr>
    </w:p>
    <w:p>
      <w:pPr>
        <w:spacing w:line="578" w:lineRule="exact"/>
        <w:ind w:firstLine="640" w:firstLineChars="200"/>
        <w:rPr>
          <w:szCs w:val="32"/>
          <w:lang w:bidi="ar"/>
        </w:rPr>
      </w:pPr>
      <w:r>
        <w:rPr>
          <w:color w:val="000000"/>
          <w:kern w:val="0"/>
          <w:szCs w:val="32"/>
          <w:shd w:val="clear" w:color="auto" w:fill="FFFFFF"/>
        </w:rPr>
        <w:t>附表：</w:t>
      </w:r>
      <w:r>
        <w:rPr>
          <w:rFonts w:hint="eastAsia"/>
          <w:color w:val="000000"/>
          <w:kern w:val="0"/>
          <w:szCs w:val="32"/>
          <w:shd w:val="clear" w:color="auto" w:fill="FFFFFF"/>
        </w:rPr>
        <w:t>1.</w:t>
      </w:r>
      <w:r>
        <w:rPr>
          <w:rFonts w:hint="eastAsia"/>
          <w:szCs w:val="32"/>
          <w:lang w:bidi="ar"/>
        </w:rPr>
        <w:t>部门预算绩效自评打分表</w:t>
      </w:r>
    </w:p>
    <w:p>
      <w:pPr>
        <w:spacing w:line="578" w:lineRule="exact"/>
        <w:ind w:firstLine="1600" w:firstLineChars="500"/>
        <w:rPr>
          <w:color w:val="000000"/>
          <w:kern w:val="0"/>
          <w:szCs w:val="32"/>
          <w:shd w:val="clear" w:color="auto" w:fill="FFFFFF"/>
        </w:rPr>
      </w:pPr>
      <w:r>
        <w:rPr>
          <w:rFonts w:hint="eastAsia"/>
          <w:szCs w:val="32"/>
          <w:lang w:bidi="ar"/>
        </w:rPr>
        <w:t>2.</w:t>
      </w:r>
      <w:r>
        <w:rPr>
          <w:color w:val="000000"/>
          <w:kern w:val="0"/>
          <w:szCs w:val="32"/>
          <w:shd w:val="clear" w:color="auto" w:fill="FFFFFF"/>
        </w:rPr>
        <w:t>部门整体绩效目标完成情况自评表</w:t>
      </w:r>
    </w:p>
    <w:p>
      <w:pPr>
        <w:spacing w:line="578" w:lineRule="exact"/>
        <w:ind w:firstLine="1600" w:firstLineChars="500"/>
        <w:rPr>
          <w:szCs w:val="32"/>
          <w:lang w:bidi="ar"/>
        </w:rPr>
      </w:pPr>
    </w:p>
    <w:p>
      <w:pPr>
        <w:spacing w:line="578" w:lineRule="exact"/>
        <w:jc w:val="left"/>
        <w:rPr>
          <w:rFonts w:eastAsia="黑体"/>
        </w:rPr>
      </w:pPr>
      <w:r>
        <w:rPr>
          <w:color w:val="000000"/>
          <w:kern w:val="0"/>
          <w:szCs w:val="32"/>
          <w:shd w:val="clear" w:color="auto" w:fill="FFFFFF"/>
        </w:rPr>
        <w:br w:type="page"/>
      </w:r>
      <w:r>
        <w:rPr>
          <w:rFonts w:eastAsia="黑体"/>
        </w:rPr>
        <w:t>附表</w:t>
      </w:r>
      <w:r>
        <w:rPr>
          <w:rFonts w:hint="eastAsia" w:eastAsia="黑体"/>
        </w:rPr>
        <w:t>1</w:t>
      </w:r>
    </w:p>
    <w:p>
      <w:pPr>
        <w:widowControl/>
        <w:spacing w:line="600" w:lineRule="exact"/>
        <w:jc w:val="center"/>
        <w:textAlignment w:val="center"/>
        <w:rPr>
          <w:rFonts w:eastAsia="方正小标宋简体"/>
          <w:color w:val="000000"/>
          <w:kern w:val="0"/>
          <w:sz w:val="44"/>
          <w:szCs w:val="44"/>
          <w:lang w:bidi="ar"/>
        </w:rPr>
      </w:pPr>
      <w:r>
        <w:rPr>
          <w:rFonts w:hint="eastAsia" w:eastAsia="方正小标宋简体"/>
          <w:color w:val="000000"/>
          <w:kern w:val="0"/>
          <w:sz w:val="44"/>
          <w:szCs w:val="44"/>
          <w:lang w:bidi="ar"/>
        </w:rPr>
        <w:t>部门预算绩效自评打分表</w:t>
      </w:r>
    </w:p>
    <w:tbl>
      <w:tblPr>
        <w:tblStyle w:val="12"/>
        <w:tblW w:w="10819" w:type="dxa"/>
        <w:jc w:val="center"/>
        <w:tblLayout w:type="fixed"/>
        <w:tblCellMar>
          <w:top w:w="0" w:type="dxa"/>
          <w:left w:w="108" w:type="dxa"/>
          <w:bottom w:w="0" w:type="dxa"/>
          <w:right w:w="108" w:type="dxa"/>
        </w:tblCellMar>
      </w:tblPr>
      <w:tblGrid>
        <w:gridCol w:w="1004"/>
        <w:gridCol w:w="1462"/>
        <w:gridCol w:w="1665"/>
        <w:gridCol w:w="720"/>
        <w:gridCol w:w="4734"/>
        <w:gridCol w:w="756"/>
        <w:gridCol w:w="478"/>
      </w:tblGrid>
      <w:tr>
        <w:tblPrEx>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备注</w:t>
            </w:r>
          </w:p>
        </w:tc>
      </w:tr>
      <w:tr>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指标</w:t>
            </w:r>
            <w:r>
              <w:rPr>
                <w:rFonts w:hint="eastAsia" w:ascii="黑体" w:hAnsi="宋体" w:eastAsia="黑体" w:cs="黑体"/>
                <w:color w:val="000000"/>
                <w:kern w:val="0"/>
                <w:sz w:val="24"/>
                <w:lang w:bidi="ar"/>
              </w:rPr>
              <w:br w:type="textWrapping"/>
            </w:r>
            <w:r>
              <w:rPr>
                <w:rFonts w:hint="eastAsia" w:ascii="黑体" w:hAnsi="宋体" w:eastAsia="黑体" w:cs="黑体"/>
                <w:color w:val="000000"/>
                <w:kern w:val="0"/>
                <w:sz w:val="24"/>
                <w:lang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r>
      <w:tr>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宋体" w:hAnsi="宋体" w:eastAsia="宋体" w:cs="宋体"/>
                <w:b/>
                <w:color w:val="000000"/>
                <w:kern w:val="0"/>
                <w:sz w:val="24"/>
                <w:lang w:bidi="ar"/>
              </w:rPr>
            </w:pPr>
            <w:r>
              <w:rPr>
                <w:rFonts w:hint="eastAsia" w:ascii="宋体" w:hAnsi="宋体" w:eastAsia="宋体" w:cs="宋体"/>
                <w:b/>
                <w:color w:val="000000"/>
                <w:kern w:val="0"/>
                <w:sz w:val="24"/>
                <w:lang w:bidi="ar"/>
              </w:rPr>
              <w:t>总体绩效</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（65分）</w:t>
            </w:r>
          </w:p>
          <w:p>
            <w:pPr>
              <w:widowControl/>
              <w:spacing w:line="240" w:lineRule="exact"/>
              <w:jc w:val="center"/>
              <w:textAlignment w:val="center"/>
              <w:rPr>
                <w:rFonts w:ascii="宋体" w:hAnsi="宋体" w:eastAsia="宋体" w:cs="宋体"/>
                <w:b/>
                <w:color w:val="000000"/>
                <w:sz w:val="24"/>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履职效能</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val="en-US" w:eastAsia="zh-CN" w:bidi="ar"/>
              </w:rPr>
              <w:t>项目评审服务费、业务经费</w:t>
            </w:r>
            <w:r>
              <w:rPr>
                <w:rFonts w:hint="eastAsia" w:ascii="宋体" w:hAnsi="宋体" w:eastAsia="宋体" w:cs="宋体"/>
                <w:color w:val="000000"/>
                <w:kern w:val="0"/>
                <w:sz w:val="24"/>
                <w:lang w:bidi="ar"/>
              </w:rPr>
              <w:t>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15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14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预算管理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7.93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6</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财务管理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资产管理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1.8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p>
        </w:tc>
        <w:tc>
          <w:tcPr>
            <w:tcW w:w="1462"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采购管理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2.1</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项目绩效</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项目决策</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bookmarkStart w:id="2" w:name="_GoBack"/>
            <w:bookmarkEnd w:id="2"/>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项目执行</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目标实现</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扣分项</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0</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bl>
    <w:p>
      <w:pPr>
        <w:pStyle w:val="2"/>
        <w:spacing w:line="20" w:lineRule="exact"/>
      </w:pPr>
    </w:p>
    <w:p>
      <w:pPr>
        <w:spacing w:line="578" w:lineRule="exact"/>
        <w:jc w:val="left"/>
        <w:rPr>
          <w:rFonts w:eastAsia="黑体"/>
        </w:rPr>
      </w:pPr>
      <w:r>
        <w:rPr>
          <w:rFonts w:eastAsia="黑体"/>
        </w:rPr>
        <w:t>附表</w:t>
      </w:r>
      <w:r>
        <w:rPr>
          <w:rFonts w:hint="eastAsia" w:eastAsia="黑体"/>
        </w:rPr>
        <w:t>2</w:t>
      </w:r>
    </w:p>
    <w:tbl>
      <w:tblPr>
        <w:tblStyle w:val="12"/>
        <w:tblW w:w="10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308"/>
        <w:gridCol w:w="1347"/>
        <w:gridCol w:w="1273"/>
        <w:gridCol w:w="1100"/>
        <w:gridCol w:w="1145"/>
        <w:gridCol w:w="1289"/>
        <w:gridCol w:w="1058"/>
        <w:gridCol w:w="2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62" w:hRule="exact"/>
          <w:jc w:val="center"/>
        </w:trPr>
        <w:tc>
          <w:tcPr>
            <w:tcW w:w="10560" w:type="dxa"/>
            <w:gridSpan w:val="8"/>
            <w:tcBorders>
              <w:tl2br w:val="nil"/>
              <w:tr2bl w:val="nil"/>
            </w:tcBorders>
            <w:shd w:val="clear" w:color="auto" w:fill="auto"/>
            <w:vAlign w:val="center"/>
          </w:tcPr>
          <w:p>
            <w:pPr>
              <w:widowControl/>
              <w:spacing w:line="600" w:lineRule="exact"/>
              <w:jc w:val="center"/>
              <w:textAlignment w:val="center"/>
              <w:rPr>
                <w:rFonts w:eastAsia="黑体"/>
                <w:color w:val="000000"/>
                <w:sz w:val="28"/>
                <w:szCs w:val="28"/>
              </w:rPr>
            </w:pPr>
            <w:r>
              <w:rPr>
                <w:rFonts w:eastAsia="方正小标宋简体"/>
                <w:color w:val="000000"/>
                <w:kern w:val="0"/>
                <w:sz w:val="44"/>
                <w:szCs w:val="44"/>
                <w:lang w:bidi="ar"/>
              </w:rPr>
              <w:t>部门整体绩效目标完成情况自评表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0560" w:type="dxa"/>
            <w:gridSpan w:val="8"/>
            <w:tcBorders>
              <w:tl2br w:val="nil"/>
              <w:tr2bl w:val="nil"/>
            </w:tcBorders>
            <w:shd w:val="clear" w:color="auto" w:fill="auto"/>
            <w:vAlign w:val="center"/>
          </w:tcPr>
          <w:p>
            <w:pPr>
              <w:widowControl/>
              <w:spacing w:line="300" w:lineRule="exact"/>
              <w:jc w:val="center"/>
              <w:textAlignment w:val="center"/>
              <w:rPr>
                <w:rFonts w:eastAsia="宋体"/>
                <w:color w:val="000000"/>
                <w:sz w:val="28"/>
                <w:szCs w:val="28"/>
              </w:rPr>
            </w:pPr>
            <w:r>
              <w:rPr>
                <w:rFonts w:eastAsia="宋体"/>
                <w:color w:val="000000"/>
                <w:kern w:val="0"/>
                <w:sz w:val="28"/>
                <w:szCs w:val="28"/>
                <w:lang w:bidi="ar"/>
              </w:rPr>
              <w:t>（202</w:t>
            </w:r>
            <w:r>
              <w:rPr>
                <w:rFonts w:hint="eastAsia" w:eastAsia="宋体"/>
                <w:color w:val="000000"/>
                <w:kern w:val="0"/>
                <w:sz w:val="28"/>
                <w:szCs w:val="28"/>
                <w:lang w:val="en-US" w:eastAsia="zh-CN" w:bidi="ar"/>
              </w:rPr>
              <w:t>5</w:t>
            </w:r>
            <w:r>
              <w:rPr>
                <w:rFonts w:eastAsia="宋体"/>
                <w:color w:val="000000"/>
                <w:kern w:val="0"/>
                <w:sz w:val="28"/>
                <w:szCs w:val="28"/>
                <w:lang w:bidi="ar"/>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0560" w:type="dxa"/>
            <w:gridSpan w:val="8"/>
            <w:tcBorders>
              <w:tl2br w:val="nil"/>
              <w:tr2bl w:val="nil"/>
            </w:tcBorders>
            <w:shd w:val="clear" w:color="auto" w:fill="auto"/>
            <w:vAlign w:val="center"/>
          </w:tcPr>
          <w:p>
            <w:pPr>
              <w:widowControl/>
              <w:spacing w:line="300" w:lineRule="exact"/>
              <w:jc w:val="right"/>
              <w:textAlignment w:val="center"/>
              <w:rPr>
                <w:rFonts w:eastAsia="宋体"/>
                <w:color w:val="000000"/>
                <w:sz w:val="21"/>
                <w:szCs w:val="21"/>
              </w:rPr>
            </w:pPr>
            <w:r>
              <w:rPr>
                <w:rFonts w:eastAsia="宋体"/>
                <w:color w:val="000000"/>
                <w:kern w:val="0"/>
                <w:sz w:val="21"/>
                <w:szCs w:val="21"/>
                <w:lang w:bidi="ar"/>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3928" w:type="dxa"/>
            <w:gridSpan w:val="3"/>
            <w:tcBorders>
              <w:tl2br w:val="nil"/>
              <w:tr2bl w:val="nil"/>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部门名称</w:t>
            </w:r>
          </w:p>
        </w:tc>
        <w:tc>
          <w:tcPr>
            <w:tcW w:w="6632" w:type="dxa"/>
            <w:gridSpan w:val="5"/>
            <w:tcBorders>
              <w:tl2br w:val="nil"/>
              <w:tr2bl w:val="nil"/>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000000"/>
                <w:kern w:val="0"/>
                <w:sz w:val="24"/>
                <w:lang w:val="en-US" w:eastAsia="zh-CN" w:bidi="ar"/>
              </w:rPr>
              <w:t>攀枝花市西区财政投资评审中心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8" w:type="dxa"/>
            <w:vMerge w:val="restart"/>
            <w:tcBorders>
              <w:tl2br w:val="nil"/>
              <w:tr2bl w:val="nil"/>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年度部门整体支出预算</w:t>
            </w:r>
          </w:p>
        </w:tc>
        <w:tc>
          <w:tcPr>
            <w:tcW w:w="2620" w:type="dxa"/>
            <w:gridSpan w:val="2"/>
            <w:tcBorders>
              <w:tl2br w:val="nil"/>
              <w:tr2bl w:val="nil"/>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资金总额</w:t>
            </w:r>
          </w:p>
        </w:tc>
        <w:tc>
          <w:tcPr>
            <w:tcW w:w="2245" w:type="dxa"/>
            <w:gridSpan w:val="2"/>
            <w:tcBorders>
              <w:tl2br w:val="nil"/>
              <w:tr2bl w:val="nil"/>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财政拨款</w:t>
            </w:r>
          </w:p>
        </w:tc>
        <w:tc>
          <w:tcPr>
            <w:tcW w:w="4387" w:type="dxa"/>
            <w:gridSpan w:val="3"/>
            <w:tcBorders>
              <w:tl2br w:val="nil"/>
              <w:tr2bl w:val="nil"/>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其他资金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8" w:type="dxa"/>
            <w:vMerge w:val="continue"/>
            <w:tcBorders>
              <w:tl2br w:val="nil"/>
              <w:tr2bl w:val="nil"/>
            </w:tcBorders>
            <w:shd w:val="clear" w:color="auto" w:fill="auto"/>
            <w:vAlign w:val="center"/>
          </w:tcPr>
          <w:p>
            <w:pPr>
              <w:widowControl/>
              <w:spacing w:line="300" w:lineRule="exact"/>
              <w:jc w:val="center"/>
              <w:rPr>
                <w:rFonts w:eastAsia="宋体"/>
                <w:color w:val="000000"/>
                <w:sz w:val="24"/>
              </w:rPr>
            </w:pPr>
          </w:p>
        </w:tc>
        <w:tc>
          <w:tcPr>
            <w:tcW w:w="2620" w:type="dxa"/>
            <w:gridSpan w:val="2"/>
            <w:tcBorders>
              <w:tl2br w:val="nil"/>
              <w:tr2bl w:val="nil"/>
            </w:tcBorders>
            <w:shd w:val="clear" w:color="auto" w:fill="auto"/>
            <w:vAlign w:val="center"/>
          </w:tcPr>
          <w:p>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392.05</w:t>
            </w:r>
          </w:p>
        </w:tc>
        <w:tc>
          <w:tcPr>
            <w:tcW w:w="2245" w:type="dxa"/>
            <w:gridSpan w:val="2"/>
            <w:tcBorders>
              <w:tl2br w:val="nil"/>
              <w:tr2bl w:val="nil"/>
            </w:tcBorders>
            <w:shd w:val="clear" w:color="auto" w:fill="auto"/>
            <w:vAlign w:val="center"/>
          </w:tcPr>
          <w:p>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392.05</w:t>
            </w:r>
          </w:p>
        </w:tc>
        <w:tc>
          <w:tcPr>
            <w:tcW w:w="4387" w:type="dxa"/>
            <w:gridSpan w:val="3"/>
            <w:tcBorders>
              <w:tl2br w:val="nil"/>
              <w:tr2bl w:val="nil"/>
            </w:tcBorders>
            <w:shd w:val="clear" w:color="auto" w:fill="auto"/>
            <w:vAlign w:val="center"/>
          </w:tcPr>
          <w:p>
            <w:pPr>
              <w:widowControl/>
              <w:spacing w:line="300" w:lineRule="exact"/>
              <w:jc w:val="center"/>
              <w:textAlignment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8" w:type="dxa"/>
            <w:tcBorders>
              <w:tl2br w:val="nil"/>
              <w:tr2bl w:val="nil"/>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年度总体</w:t>
            </w:r>
          </w:p>
          <w:p>
            <w:pPr>
              <w:widowControl/>
              <w:spacing w:line="300" w:lineRule="exact"/>
              <w:jc w:val="center"/>
              <w:textAlignment w:val="center"/>
              <w:rPr>
                <w:rFonts w:eastAsia="宋体"/>
                <w:color w:val="000000"/>
                <w:sz w:val="24"/>
              </w:rPr>
            </w:pPr>
            <w:r>
              <w:rPr>
                <w:rFonts w:eastAsia="宋体"/>
                <w:color w:val="000000"/>
                <w:kern w:val="0"/>
                <w:sz w:val="24"/>
                <w:lang w:bidi="ar"/>
              </w:rPr>
              <w:t>目标</w:t>
            </w:r>
          </w:p>
        </w:tc>
        <w:tc>
          <w:tcPr>
            <w:tcW w:w="9252" w:type="dxa"/>
            <w:gridSpan w:val="7"/>
            <w:tcBorders>
              <w:tl2br w:val="nil"/>
              <w:tr2bl w:val="nil"/>
            </w:tcBorders>
            <w:shd w:val="clear" w:color="auto" w:fill="auto"/>
            <w:vAlign w:val="center"/>
          </w:tcPr>
          <w:p>
            <w:pPr>
              <w:widowControl/>
              <w:spacing w:line="300" w:lineRule="exact"/>
              <w:jc w:val="left"/>
              <w:textAlignment w:val="center"/>
              <w:rPr>
                <w:rFonts w:eastAsia="宋体"/>
                <w:color w:val="000000"/>
                <w:sz w:val="24"/>
              </w:rPr>
            </w:pPr>
            <w:r>
              <w:rPr>
                <w:rFonts w:hint="eastAsia" w:eastAsia="宋体"/>
                <w:color w:val="000000"/>
                <w:kern w:val="0"/>
                <w:sz w:val="24"/>
                <w:lang w:bidi="ar"/>
              </w:rPr>
              <w:t>一是保证单位正常运转；二是提升工作人员专业能力技术，做好评审工作，确保财政资金使用安全、规范有效；三是保障全区项目评审及结算工作顺利推进，提高财政资金使用效率。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8" w:type="dxa"/>
            <w:vMerge w:val="restart"/>
            <w:tcBorders>
              <w:tl2br w:val="nil"/>
              <w:tr2bl w:val="nil"/>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年度主要</w:t>
            </w:r>
          </w:p>
          <w:p>
            <w:pPr>
              <w:widowControl/>
              <w:spacing w:line="300" w:lineRule="exact"/>
              <w:jc w:val="center"/>
              <w:textAlignment w:val="center"/>
              <w:rPr>
                <w:rFonts w:eastAsia="宋体"/>
                <w:color w:val="000000"/>
                <w:sz w:val="24"/>
              </w:rPr>
            </w:pPr>
            <w:r>
              <w:rPr>
                <w:rFonts w:eastAsia="宋体"/>
                <w:color w:val="000000"/>
                <w:kern w:val="0"/>
                <w:sz w:val="24"/>
                <w:lang w:bidi="ar"/>
              </w:rPr>
              <w:t>任务</w:t>
            </w:r>
          </w:p>
        </w:tc>
        <w:tc>
          <w:tcPr>
            <w:tcW w:w="2620" w:type="dxa"/>
            <w:gridSpan w:val="2"/>
            <w:tcBorders>
              <w:tl2br w:val="nil"/>
              <w:tr2bl w:val="nil"/>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任务名称</w:t>
            </w:r>
          </w:p>
        </w:tc>
        <w:tc>
          <w:tcPr>
            <w:tcW w:w="6632" w:type="dxa"/>
            <w:gridSpan w:val="5"/>
            <w:tcBorders>
              <w:tl2br w:val="nil"/>
              <w:tr2bl w:val="nil"/>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主要内容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8" w:type="dxa"/>
            <w:vMerge w:val="continue"/>
            <w:tcBorders>
              <w:tl2br w:val="nil"/>
              <w:tr2bl w:val="nil"/>
            </w:tcBorders>
            <w:shd w:val="clear" w:color="auto" w:fill="auto"/>
            <w:vAlign w:val="center"/>
          </w:tcPr>
          <w:p>
            <w:pPr>
              <w:widowControl/>
              <w:spacing w:line="300" w:lineRule="exact"/>
              <w:jc w:val="center"/>
              <w:rPr>
                <w:rFonts w:eastAsia="宋体"/>
                <w:color w:val="000000"/>
                <w:sz w:val="24"/>
              </w:rPr>
            </w:pPr>
          </w:p>
        </w:tc>
        <w:tc>
          <w:tcPr>
            <w:tcW w:w="2620" w:type="dxa"/>
            <w:gridSpan w:val="2"/>
            <w:tcBorders>
              <w:tl2br w:val="nil"/>
              <w:tr2bl w:val="nil"/>
            </w:tcBorders>
            <w:shd w:val="clear" w:color="auto" w:fill="auto"/>
            <w:vAlign w:val="center"/>
          </w:tcPr>
          <w:p>
            <w:pPr>
              <w:widowControl/>
              <w:spacing w:line="300" w:lineRule="exact"/>
              <w:jc w:val="left"/>
              <w:textAlignment w:val="center"/>
              <w:rPr>
                <w:rFonts w:eastAsia="宋体"/>
                <w:color w:val="000000"/>
                <w:sz w:val="24"/>
              </w:rPr>
            </w:pPr>
            <w:r>
              <w:rPr>
                <w:rFonts w:hint="eastAsia" w:eastAsia="宋体"/>
                <w:color w:val="000000"/>
                <w:kern w:val="0"/>
                <w:sz w:val="24"/>
                <w:lang w:bidi="ar"/>
              </w:rPr>
              <w:t>基本支出（人员经费、公用经费）</w:t>
            </w:r>
          </w:p>
        </w:tc>
        <w:tc>
          <w:tcPr>
            <w:tcW w:w="6632" w:type="dxa"/>
            <w:gridSpan w:val="5"/>
            <w:tcBorders>
              <w:tl2br w:val="nil"/>
              <w:tr2bl w:val="nil"/>
            </w:tcBorders>
            <w:shd w:val="clear" w:color="auto" w:fill="auto"/>
            <w:vAlign w:val="center"/>
          </w:tcPr>
          <w:p>
            <w:pPr>
              <w:widowControl/>
              <w:spacing w:line="300" w:lineRule="exact"/>
              <w:jc w:val="left"/>
              <w:textAlignment w:val="center"/>
              <w:rPr>
                <w:rFonts w:eastAsia="宋体"/>
                <w:color w:val="000000"/>
                <w:sz w:val="24"/>
              </w:rPr>
            </w:pPr>
            <w:r>
              <w:rPr>
                <w:rFonts w:hint="eastAsia" w:eastAsia="宋体"/>
                <w:color w:val="000000"/>
                <w:kern w:val="0"/>
                <w:sz w:val="24"/>
                <w:lang w:bidi="ar"/>
              </w:rPr>
              <w:t>严格执行相关政策，保障工资及时、足额发放或社保及时、足额缴纳</w:t>
            </w:r>
            <w:r>
              <w:rPr>
                <w:rFonts w:hint="eastAsia" w:eastAsia="宋体"/>
                <w:color w:val="000000"/>
                <w:kern w:val="0"/>
                <w:sz w:val="24"/>
                <w:lang w:eastAsia="zh-CN" w:bidi="ar"/>
              </w:rPr>
              <w:t>；</w:t>
            </w:r>
            <w:r>
              <w:rPr>
                <w:rFonts w:hint="eastAsia" w:eastAsia="宋体"/>
                <w:color w:val="000000"/>
                <w:kern w:val="0"/>
                <w:sz w:val="24"/>
                <w:lang w:bidi="ar"/>
              </w:rPr>
              <w:t>严格执行预算，保障单位日常运转。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8" w:type="dxa"/>
            <w:vMerge w:val="continue"/>
            <w:tcBorders>
              <w:tl2br w:val="nil"/>
              <w:tr2bl w:val="nil"/>
            </w:tcBorders>
            <w:shd w:val="clear" w:color="auto" w:fill="auto"/>
            <w:vAlign w:val="center"/>
          </w:tcPr>
          <w:p>
            <w:pPr>
              <w:widowControl/>
              <w:spacing w:line="300" w:lineRule="exact"/>
              <w:jc w:val="center"/>
              <w:rPr>
                <w:rFonts w:eastAsia="宋体"/>
                <w:color w:val="000000"/>
                <w:sz w:val="24"/>
              </w:rPr>
            </w:pPr>
          </w:p>
        </w:tc>
        <w:tc>
          <w:tcPr>
            <w:tcW w:w="2620" w:type="dxa"/>
            <w:gridSpan w:val="2"/>
            <w:tcBorders>
              <w:tl2br w:val="nil"/>
              <w:tr2bl w:val="nil"/>
            </w:tcBorders>
            <w:shd w:val="clear" w:color="auto" w:fill="auto"/>
            <w:vAlign w:val="center"/>
          </w:tcPr>
          <w:p>
            <w:pPr>
              <w:widowControl/>
              <w:spacing w:line="300" w:lineRule="exact"/>
              <w:jc w:val="left"/>
              <w:textAlignment w:val="center"/>
              <w:rPr>
                <w:rFonts w:eastAsia="宋体"/>
                <w:color w:val="000000"/>
                <w:kern w:val="0"/>
                <w:sz w:val="24"/>
                <w:lang w:bidi="ar"/>
              </w:rPr>
            </w:pPr>
            <w:r>
              <w:rPr>
                <w:rFonts w:hint="eastAsia" w:eastAsia="宋体"/>
                <w:color w:val="000000"/>
                <w:sz w:val="24"/>
              </w:rPr>
              <w:t>项目评审服务费</w:t>
            </w:r>
          </w:p>
        </w:tc>
        <w:tc>
          <w:tcPr>
            <w:tcW w:w="6632" w:type="dxa"/>
            <w:gridSpan w:val="5"/>
            <w:tcBorders>
              <w:tl2br w:val="nil"/>
              <w:tr2bl w:val="nil"/>
            </w:tcBorders>
            <w:shd w:val="clear" w:color="auto" w:fill="auto"/>
            <w:vAlign w:val="center"/>
          </w:tcPr>
          <w:p>
            <w:pPr>
              <w:widowControl/>
              <w:spacing w:line="300" w:lineRule="exact"/>
              <w:jc w:val="left"/>
              <w:textAlignment w:val="center"/>
              <w:rPr>
                <w:rFonts w:eastAsia="宋体"/>
                <w:color w:val="000000"/>
                <w:kern w:val="0"/>
                <w:sz w:val="24"/>
                <w:lang w:bidi="ar"/>
              </w:rPr>
            </w:pPr>
            <w:r>
              <w:rPr>
                <w:rFonts w:hint="eastAsia" w:eastAsia="宋体"/>
                <w:color w:val="000000"/>
                <w:sz w:val="24"/>
              </w:rPr>
              <w:t>保障全区项目评审及结算工作顺利推进，提高财政资金使用效率。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8" w:type="dxa"/>
            <w:vMerge w:val="continue"/>
            <w:tcBorders>
              <w:tl2br w:val="nil"/>
              <w:tr2bl w:val="nil"/>
            </w:tcBorders>
            <w:shd w:val="clear" w:color="auto" w:fill="auto"/>
            <w:vAlign w:val="center"/>
          </w:tcPr>
          <w:p>
            <w:pPr>
              <w:widowControl/>
              <w:spacing w:line="300" w:lineRule="exact"/>
              <w:jc w:val="center"/>
              <w:rPr>
                <w:rFonts w:eastAsia="宋体"/>
                <w:color w:val="000000"/>
                <w:sz w:val="24"/>
              </w:rPr>
            </w:pPr>
          </w:p>
        </w:tc>
        <w:tc>
          <w:tcPr>
            <w:tcW w:w="2620" w:type="dxa"/>
            <w:gridSpan w:val="2"/>
            <w:tcBorders>
              <w:tl2br w:val="nil"/>
              <w:tr2bl w:val="nil"/>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业务经费</w:t>
            </w:r>
          </w:p>
        </w:tc>
        <w:tc>
          <w:tcPr>
            <w:tcW w:w="6632" w:type="dxa"/>
            <w:gridSpan w:val="5"/>
            <w:tcBorders>
              <w:tl2br w:val="nil"/>
              <w:tr2bl w:val="nil"/>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提升工作人员专业能力技术，做好评审工作，确保财政资金使用安全、规范有效。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8" w:type="dxa"/>
            <w:vMerge w:val="restart"/>
            <w:tcBorders>
              <w:tl2br w:val="nil"/>
              <w:tr2bl w:val="nil"/>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年度绩效</w:t>
            </w:r>
          </w:p>
          <w:p>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347" w:type="dxa"/>
            <w:tcBorders>
              <w:tl2br w:val="nil"/>
              <w:tr2bl w:val="nil"/>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一级指标</w:t>
            </w:r>
          </w:p>
        </w:tc>
        <w:tc>
          <w:tcPr>
            <w:tcW w:w="1273" w:type="dxa"/>
            <w:tcBorders>
              <w:tl2br w:val="nil"/>
              <w:tr2bl w:val="nil"/>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二级指标</w:t>
            </w:r>
          </w:p>
        </w:tc>
        <w:tc>
          <w:tcPr>
            <w:tcW w:w="1100" w:type="dxa"/>
            <w:tcBorders>
              <w:tl2br w:val="nil"/>
              <w:tr2bl w:val="nil"/>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三级指标</w:t>
            </w:r>
          </w:p>
        </w:tc>
        <w:tc>
          <w:tcPr>
            <w:tcW w:w="1145" w:type="dxa"/>
            <w:tcBorders>
              <w:tl2br w:val="nil"/>
              <w:tr2bl w:val="nil"/>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绩效指标</w:t>
            </w:r>
          </w:p>
          <w:p>
            <w:pPr>
              <w:widowControl/>
              <w:spacing w:line="300" w:lineRule="exact"/>
              <w:jc w:val="center"/>
              <w:textAlignment w:val="center"/>
              <w:rPr>
                <w:rFonts w:eastAsia="宋体"/>
                <w:color w:val="000000"/>
                <w:sz w:val="24"/>
              </w:rPr>
            </w:pPr>
            <w:r>
              <w:rPr>
                <w:rFonts w:eastAsia="宋体"/>
                <w:color w:val="000000"/>
                <w:kern w:val="0"/>
                <w:sz w:val="24"/>
                <w:lang w:bidi="ar"/>
              </w:rPr>
              <w:t>性质</w:t>
            </w:r>
          </w:p>
        </w:tc>
        <w:tc>
          <w:tcPr>
            <w:tcW w:w="1289" w:type="dxa"/>
            <w:tcBorders>
              <w:tl2br w:val="nil"/>
              <w:tr2bl w:val="nil"/>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绩效指标值</w:t>
            </w:r>
          </w:p>
        </w:tc>
        <w:tc>
          <w:tcPr>
            <w:tcW w:w="1058" w:type="dxa"/>
            <w:tcBorders>
              <w:tl2br w:val="nil"/>
              <w:tr2bl w:val="nil"/>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绩效度量单位</w:t>
            </w:r>
          </w:p>
        </w:tc>
        <w:tc>
          <w:tcPr>
            <w:tcW w:w="2040" w:type="dxa"/>
            <w:tcBorders>
              <w:tl2br w:val="nil"/>
              <w:tr2bl w:val="nil"/>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实际完成</w:t>
            </w:r>
          </w:p>
          <w:p>
            <w:pPr>
              <w:widowControl/>
              <w:spacing w:line="300" w:lineRule="exact"/>
              <w:jc w:val="center"/>
              <w:textAlignment w:val="center"/>
              <w:rPr>
                <w:rFonts w:eastAsia="宋体"/>
                <w:color w:val="000000"/>
                <w:sz w:val="24"/>
              </w:rPr>
            </w:pPr>
            <w:r>
              <w:rPr>
                <w:rFonts w:eastAsia="宋体"/>
                <w:color w:val="000000"/>
                <w:kern w:val="0"/>
                <w:sz w:val="24"/>
                <w:lang w:bidi="ar"/>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8" w:type="dxa"/>
            <w:vMerge w:val="continue"/>
            <w:tcBorders>
              <w:tl2br w:val="nil"/>
              <w:tr2bl w:val="nil"/>
            </w:tcBorders>
            <w:shd w:val="clear" w:color="auto" w:fill="auto"/>
            <w:vAlign w:val="center"/>
          </w:tcPr>
          <w:p>
            <w:pPr>
              <w:widowControl/>
              <w:spacing w:line="300" w:lineRule="exact"/>
              <w:jc w:val="center"/>
              <w:rPr>
                <w:rFonts w:eastAsia="宋体"/>
                <w:color w:val="000000"/>
                <w:sz w:val="24"/>
              </w:rPr>
            </w:pPr>
          </w:p>
        </w:tc>
        <w:tc>
          <w:tcPr>
            <w:tcW w:w="1347" w:type="dxa"/>
            <w:vMerge w:val="restart"/>
            <w:tcBorders>
              <w:tl2br w:val="nil"/>
              <w:tr2bl w:val="nil"/>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产出指标</w:t>
            </w:r>
          </w:p>
        </w:tc>
        <w:tc>
          <w:tcPr>
            <w:tcW w:w="1273" w:type="dxa"/>
            <w:vMerge w:val="restart"/>
            <w:tcBorders>
              <w:tl2br w:val="nil"/>
              <w:tr2bl w:val="nil"/>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数量指标</w:t>
            </w:r>
          </w:p>
        </w:tc>
        <w:tc>
          <w:tcPr>
            <w:tcW w:w="1100" w:type="dxa"/>
            <w:tcBorders>
              <w:tl2br w:val="nil"/>
              <w:tr2bl w:val="nil"/>
            </w:tcBorders>
            <w:shd w:val="clear" w:color="auto" w:fill="auto"/>
            <w:vAlign w:val="center"/>
          </w:tcPr>
          <w:p>
            <w:pPr>
              <w:widowControl/>
              <w:spacing w:line="300" w:lineRule="exact"/>
              <w:jc w:val="left"/>
              <w:textAlignment w:val="center"/>
              <w:rPr>
                <w:rFonts w:eastAsia="宋体"/>
                <w:color w:val="000000"/>
                <w:sz w:val="24"/>
              </w:rPr>
            </w:pPr>
            <w:r>
              <w:rPr>
                <w:rFonts w:hint="eastAsia" w:eastAsia="宋体"/>
                <w:color w:val="000000"/>
                <w:kern w:val="0"/>
                <w:sz w:val="24"/>
                <w:lang w:bidi="ar"/>
              </w:rPr>
              <w:t>按照实际情况每月支付人员工资、社保、公积金等基本支出费用</w:t>
            </w:r>
          </w:p>
        </w:tc>
        <w:tc>
          <w:tcPr>
            <w:tcW w:w="1145" w:type="dxa"/>
            <w:tcBorders>
              <w:tl2br w:val="nil"/>
              <w:tr2bl w:val="nil"/>
            </w:tcBorders>
            <w:shd w:val="clear" w:color="auto" w:fill="auto"/>
            <w:vAlign w:val="center"/>
          </w:tcPr>
          <w:p>
            <w:pPr>
              <w:widowControl/>
              <w:spacing w:line="300" w:lineRule="exact"/>
              <w:jc w:val="left"/>
              <w:textAlignment w:val="center"/>
              <w:rPr>
                <w:rFonts w:eastAsia="宋体"/>
                <w:color w:val="000000"/>
                <w:sz w:val="24"/>
              </w:rPr>
            </w:pPr>
            <w:r>
              <w:rPr>
                <w:rFonts w:hint="eastAsia" w:eastAsia="宋体"/>
                <w:color w:val="000000"/>
                <w:kern w:val="0"/>
                <w:sz w:val="24"/>
                <w:lang w:val="en-US" w:eastAsia="zh-CN" w:bidi="ar"/>
              </w:rPr>
              <w:t>＝</w:t>
            </w:r>
          </w:p>
        </w:tc>
        <w:tc>
          <w:tcPr>
            <w:tcW w:w="1289" w:type="dxa"/>
            <w:tcBorders>
              <w:tl2br w:val="nil"/>
              <w:tr2bl w:val="nil"/>
            </w:tcBorders>
            <w:shd w:val="clear" w:color="auto" w:fill="auto"/>
            <w:vAlign w:val="center"/>
          </w:tcPr>
          <w:p>
            <w:pPr>
              <w:widowControl/>
              <w:spacing w:line="300" w:lineRule="exact"/>
              <w:jc w:val="left"/>
              <w:textAlignment w:val="center"/>
              <w:rPr>
                <w:rFonts w:eastAsia="宋体"/>
                <w:color w:val="000000"/>
                <w:sz w:val="24"/>
              </w:rPr>
            </w:pPr>
            <w:r>
              <w:rPr>
                <w:rFonts w:hint="eastAsia" w:eastAsia="宋体"/>
                <w:color w:val="000000"/>
                <w:kern w:val="0"/>
                <w:sz w:val="24"/>
                <w:lang w:val="en-US" w:eastAsia="zh-CN" w:bidi="ar"/>
              </w:rPr>
              <w:t>1</w:t>
            </w:r>
          </w:p>
        </w:tc>
        <w:tc>
          <w:tcPr>
            <w:tcW w:w="1058" w:type="dxa"/>
            <w:tcBorders>
              <w:tl2br w:val="nil"/>
              <w:tr2bl w:val="nil"/>
            </w:tcBorders>
            <w:shd w:val="clear" w:color="auto" w:fill="auto"/>
            <w:vAlign w:val="center"/>
          </w:tcPr>
          <w:p>
            <w:pPr>
              <w:widowControl/>
              <w:spacing w:line="300" w:lineRule="exact"/>
              <w:jc w:val="left"/>
              <w:textAlignment w:val="center"/>
              <w:rPr>
                <w:rFonts w:eastAsia="宋体"/>
                <w:color w:val="000000"/>
                <w:sz w:val="24"/>
              </w:rPr>
            </w:pPr>
            <w:r>
              <w:rPr>
                <w:rFonts w:hint="eastAsia" w:eastAsia="宋体"/>
                <w:color w:val="000000"/>
                <w:kern w:val="0"/>
                <w:sz w:val="24"/>
                <w:lang w:val="en-US" w:eastAsia="zh-CN" w:bidi="ar"/>
              </w:rPr>
              <w:t>次</w:t>
            </w:r>
          </w:p>
        </w:tc>
        <w:tc>
          <w:tcPr>
            <w:tcW w:w="2040" w:type="dxa"/>
            <w:tcBorders>
              <w:tl2br w:val="nil"/>
              <w:tr2bl w:val="nil"/>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000000"/>
                <w:kern w:val="0"/>
                <w:sz w:val="24"/>
                <w:lang w:bidi="ar"/>
              </w:rPr>
              <w:t>每月</w:t>
            </w:r>
            <w:r>
              <w:rPr>
                <w:rFonts w:hint="eastAsia" w:eastAsia="宋体"/>
                <w:color w:val="000000"/>
                <w:kern w:val="0"/>
                <w:sz w:val="24"/>
                <w:lang w:val="en-US" w:eastAsia="zh-CN" w:bidi="ar"/>
              </w:rPr>
              <w:t>按时</w:t>
            </w:r>
            <w:r>
              <w:rPr>
                <w:rFonts w:hint="eastAsia" w:eastAsia="宋体"/>
                <w:color w:val="000000"/>
                <w:kern w:val="0"/>
                <w:sz w:val="24"/>
                <w:lang w:bidi="ar"/>
              </w:rPr>
              <w:t>支付人员工资、社保、公积金等基本支出费用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8" w:type="dxa"/>
            <w:vMerge w:val="continue"/>
            <w:tcBorders>
              <w:tl2br w:val="nil"/>
              <w:tr2bl w:val="nil"/>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l2br w:val="nil"/>
              <w:tr2bl w:val="nil"/>
            </w:tcBorders>
            <w:shd w:val="clear" w:color="auto" w:fill="auto"/>
            <w:vAlign w:val="center"/>
          </w:tcPr>
          <w:p>
            <w:pPr>
              <w:widowControl/>
              <w:spacing w:line="300" w:lineRule="exact"/>
              <w:jc w:val="center"/>
              <w:rPr>
                <w:rFonts w:eastAsia="宋体"/>
                <w:color w:val="000000"/>
                <w:sz w:val="24"/>
              </w:rPr>
            </w:pPr>
          </w:p>
        </w:tc>
        <w:tc>
          <w:tcPr>
            <w:tcW w:w="1273" w:type="dxa"/>
            <w:vMerge w:val="continue"/>
            <w:tcBorders>
              <w:tl2br w:val="nil"/>
              <w:tr2bl w:val="nil"/>
            </w:tcBorders>
            <w:shd w:val="clear" w:color="auto" w:fill="auto"/>
            <w:vAlign w:val="center"/>
          </w:tcPr>
          <w:p>
            <w:pPr>
              <w:widowControl/>
              <w:spacing w:line="300" w:lineRule="exact"/>
              <w:jc w:val="center"/>
              <w:rPr>
                <w:rFonts w:eastAsia="宋体"/>
                <w:color w:val="000000"/>
                <w:sz w:val="24"/>
              </w:rPr>
            </w:pPr>
          </w:p>
        </w:tc>
        <w:tc>
          <w:tcPr>
            <w:tcW w:w="1100" w:type="dxa"/>
            <w:tcBorders>
              <w:tl2br w:val="nil"/>
              <w:tr2bl w:val="nil"/>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评审项目数量</w:t>
            </w:r>
          </w:p>
        </w:tc>
        <w:tc>
          <w:tcPr>
            <w:tcW w:w="1145" w:type="dxa"/>
            <w:tcBorders>
              <w:tl2br w:val="nil"/>
              <w:tr2bl w:val="nil"/>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w:t>
            </w:r>
          </w:p>
        </w:tc>
        <w:tc>
          <w:tcPr>
            <w:tcW w:w="1289" w:type="dxa"/>
            <w:tcBorders>
              <w:tl2br w:val="nil"/>
              <w:tr2bl w:val="nil"/>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40</w:t>
            </w:r>
          </w:p>
        </w:tc>
        <w:tc>
          <w:tcPr>
            <w:tcW w:w="1058" w:type="dxa"/>
            <w:tcBorders>
              <w:tl2br w:val="nil"/>
              <w:tr2bl w:val="nil"/>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个</w:t>
            </w:r>
          </w:p>
        </w:tc>
        <w:tc>
          <w:tcPr>
            <w:tcW w:w="2040" w:type="dxa"/>
            <w:tcBorders>
              <w:tl2br w:val="nil"/>
              <w:tr2bl w:val="nil"/>
            </w:tcBorders>
            <w:shd w:val="clear" w:color="auto" w:fill="auto"/>
            <w:vAlign w:val="center"/>
          </w:tcPr>
          <w:p>
            <w:pPr>
              <w:widowControl/>
              <w:spacing w:line="300" w:lineRule="exact"/>
              <w:jc w:val="center"/>
              <w:rPr>
                <w:rFonts w:hint="default" w:eastAsia="宋体"/>
                <w:color w:val="000000"/>
                <w:sz w:val="24"/>
                <w:lang w:val="en-US" w:eastAsia="zh-CN"/>
              </w:rPr>
            </w:pPr>
            <w:r>
              <w:rPr>
                <w:rFonts w:hint="eastAsia" w:eastAsia="宋体"/>
                <w:color w:val="000000"/>
                <w:sz w:val="24"/>
                <w:lang w:val="en-US" w:eastAsia="zh-CN"/>
              </w:rPr>
              <w:t>实际完成42个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8" w:type="dxa"/>
            <w:vMerge w:val="continue"/>
            <w:tcBorders>
              <w:tl2br w:val="nil"/>
              <w:tr2bl w:val="nil"/>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l2br w:val="nil"/>
              <w:tr2bl w:val="nil"/>
            </w:tcBorders>
            <w:shd w:val="clear" w:color="auto" w:fill="auto"/>
            <w:vAlign w:val="center"/>
          </w:tcPr>
          <w:p>
            <w:pPr>
              <w:widowControl/>
              <w:spacing w:line="300" w:lineRule="exact"/>
              <w:jc w:val="center"/>
              <w:rPr>
                <w:rFonts w:eastAsia="宋体"/>
                <w:color w:val="000000"/>
                <w:sz w:val="24"/>
              </w:rPr>
            </w:pPr>
          </w:p>
        </w:tc>
        <w:tc>
          <w:tcPr>
            <w:tcW w:w="1273" w:type="dxa"/>
            <w:vMerge w:val="continue"/>
            <w:tcBorders>
              <w:tl2br w:val="nil"/>
              <w:tr2bl w:val="nil"/>
            </w:tcBorders>
            <w:shd w:val="clear" w:color="auto" w:fill="auto"/>
            <w:vAlign w:val="center"/>
          </w:tcPr>
          <w:p>
            <w:pPr>
              <w:widowControl/>
              <w:spacing w:line="300" w:lineRule="exact"/>
              <w:jc w:val="center"/>
              <w:rPr>
                <w:rFonts w:eastAsia="宋体"/>
                <w:color w:val="000000"/>
                <w:sz w:val="24"/>
              </w:rPr>
            </w:pPr>
          </w:p>
        </w:tc>
        <w:tc>
          <w:tcPr>
            <w:tcW w:w="1100" w:type="dxa"/>
            <w:tcBorders>
              <w:tl2br w:val="nil"/>
              <w:tr2bl w:val="nil"/>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更换办公设备、软件升级、开展各项检查等</w:t>
            </w:r>
          </w:p>
        </w:tc>
        <w:tc>
          <w:tcPr>
            <w:tcW w:w="1145" w:type="dxa"/>
            <w:tcBorders>
              <w:tl2br w:val="nil"/>
              <w:tr2bl w:val="nil"/>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w:t>
            </w:r>
          </w:p>
        </w:tc>
        <w:tc>
          <w:tcPr>
            <w:tcW w:w="1289" w:type="dxa"/>
            <w:tcBorders>
              <w:tl2br w:val="nil"/>
              <w:tr2bl w:val="nil"/>
            </w:tcBorders>
            <w:shd w:val="clear" w:color="auto" w:fill="auto"/>
            <w:vAlign w:val="center"/>
          </w:tcPr>
          <w:p>
            <w:pPr>
              <w:widowControl/>
              <w:spacing w:line="300" w:lineRule="exact"/>
              <w:jc w:val="left"/>
              <w:rPr>
                <w:rFonts w:hint="eastAsia" w:eastAsia="宋体"/>
                <w:color w:val="000000"/>
                <w:sz w:val="24"/>
                <w:lang w:val="en-US" w:eastAsia="zh-CN"/>
              </w:rPr>
            </w:pPr>
            <w:r>
              <w:rPr>
                <w:rFonts w:hint="eastAsia" w:eastAsia="宋体"/>
                <w:color w:val="000000"/>
                <w:sz w:val="24"/>
                <w:lang w:val="en-US" w:eastAsia="zh-CN"/>
              </w:rPr>
              <w:t>5</w:t>
            </w:r>
          </w:p>
        </w:tc>
        <w:tc>
          <w:tcPr>
            <w:tcW w:w="1058" w:type="dxa"/>
            <w:tcBorders>
              <w:tl2br w:val="nil"/>
              <w:tr2bl w:val="nil"/>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次</w:t>
            </w:r>
          </w:p>
        </w:tc>
        <w:tc>
          <w:tcPr>
            <w:tcW w:w="2040" w:type="dxa"/>
            <w:tcBorders>
              <w:tl2br w:val="nil"/>
              <w:tr2bl w:val="nil"/>
            </w:tcBorders>
            <w:shd w:val="clear" w:color="auto" w:fill="auto"/>
            <w:vAlign w:val="center"/>
          </w:tcPr>
          <w:p>
            <w:pPr>
              <w:widowControl/>
              <w:spacing w:line="300" w:lineRule="exact"/>
              <w:jc w:val="center"/>
              <w:rPr>
                <w:rFonts w:hint="eastAsia" w:eastAsia="宋体"/>
                <w:color w:val="000000"/>
                <w:sz w:val="24"/>
                <w:lang w:val="en-US" w:eastAsia="zh-CN"/>
              </w:rPr>
            </w:pPr>
            <w:r>
              <w:rPr>
                <w:rFonts w:hint="eastAsia" w:eastAsia="宋体"/>
                <w:color w:val="000000"/>
                <w:sz w:val="24"/>
                <w:lang w:val="en-US" w:eastAsia="zh-CN"/>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8" w:type="dxa"/>
            <w:vMerge w:val="continue"/>
            <w:tcBorders>
              <w:tl2br w:val="nil"/>
              <w:tr2bl w:val="nil"/>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l2br w:val="nil"/>
              <w:tr2bl w:val="nil"/>
            </w:tcBorders>
            <w:shd w:val="clear" w:color="auto" w:fill="auto"/>
            <w:vAlign w:val="center"/>
          </w:tcPr>
          <w:p>
            <w:pPr>
              <w:widowControl/>
              <w:spacing w:line="300" w:lineRule="exact"/>
              <w:jc w:val="center"/>
              <w:rPr>
                <w:rFonts w:eastAsia="宋体"/>
                <w:color w:val="000000"/>
                <w:sz w:val="24"/>
              </w:rPr>
            </w:pPr>
          </w:p>
        </w:tc>
        <w:tc>
          <w:tcPr>
            <w:tcW w:w="1273" w:type="dxa"/>
            <w:vMerge w:val="restart"/>
            <w:tcBorders>
              <w:tl2br w:val="nil"/>
              <w:tr2bl w:val="nil"/>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质量指标</w:t>
            </w:r>
          </w:p>
        </w:tc>
        <w:tc>
          <w:tcPr>
            <w:tcW w:w="1100" w:type="dxa"/>
            <w:tcBorders>
              <w:tl2br w:val="nil"/>
              <w:tr2bl w:val="nil"/>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日常工作完成效率</w:t>
            </w:r>
          </w:p>
        </w:tc>
        <w:tc>
          <w:tcPr>
            <w:tcW w:w="1145" w:type="dxa"/>
            <w:tcBorders>
              <w:tl2br w:val="nil"/>
              <w:tr2bl w:val="nil"/>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定性</w:t>
            </w:r>
          </w:p>
        </w:tc>
        <w:tc>
          <w:tcPr>
            <w:tcW w:w="1289" w:type="dxa"/>
            <w:tcBorders>
              <w:tl2br w:val="nil"/>
              <w:tr2bl w:val="nil"/>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优良中差</w:t>
            </w:r>
          </w:p>
        </w:tc>
        <w:tc>
          <w:tcPr>
            <w:tcW w:w="1058" w:type="dxa"/>
            <w:tcBorders>
              <w:tl2br w:val="nil"/>
              <w:tr2bl w:val="nil"/>
            </w:tcBorders>
            <w:shd w:val="clear" w:color="auto" w:fill="auto"/>
            <w:vAlign w:val="center"/>
          </w:tcPr>
          <w:p>
            <w:pPr>
              <w:widowControl/>
              <w:spacing w:line="300" w:lineRule="exact"/>
              <w:jc w:val="left"/>
              <w:rPr>
                <w:rFonts w:eastAsia="宋体"/>
                <w:color w:val="000000"/>
                <w:sz w:val="24"/>
              </w:rPr>
            </w:pPr>
          </w:p>
        </w:tc>
        <w:tc>
          <w:tcPr>
            <w:tcW w:w="2040" w:type="dxa"/>
            <w:tcBorders>
              <w:tl2br w:val="nil"/>
              <w:tr2bl w:val="nil"/>
            </w:tcBorders>
            <w:shd w:val="clear" w:color="auto" w:fill="auto"/>
            <w:vAlign w:val="center"/>
          </w:tcPr>
          <w:p>
            <w:pPr>
              <w:widowControl/>
              <w:spacing w:line="300" w:lineRule="exact"/>
              <w:jc w:val="center"/>
              <w:rPr>
                <w:rFonts w:hint="eastAsia" w:eastAsia="宋体"/>
                <w:color w:val="000000"/>
                <w:sz w:val="24"/>
                <w:lang w:eastAsia="zh-CN"/>
              </w:rPr>
            </w:pPr>
            <w:r>
              <w:rPr>
                <w:rFonts w:hint="eastAsia" w:eastAsia="宋体"/>
                <w:color w:val="000000"/>
                <w:sz w:val="24"/>
                <w:lang w:val="en-US"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8" w:type="dxa"/>
            <w:vMerge w:val="continue"/>
            <w:tcBorders>
              <w:tl2br w:val="nil"/>
              <w:tr2bl w:val="nil"/>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l2br w:val="nil"/>
              <w:tr2bl w:val="nil"/>
            </w:tcBorders>
            <w:shd w:val="clear" w:color="auto" w:fill="auto"/>
            <w:vAlign w:val="center"/>
          </w:tcPr>
          <w:p>
            <w:pPr>
              <w:widowControl/>
              <w:spacing w:line="300" w:lineRule="exact"/>
              <w:jc w:val="center"/>
              <w:rPr>
                <w:rFonts w:eastAsia="宋体"/>
                <w:color w:val="000000"/>
                <w:sz w:val="24"/>
              </w:rPr>
            </w:pPr>
          </w:p>
        </w:tc>
        <w:tc>
          <w:tcPr>
            <w:tcW w:w="1273" w:type="dxa"/>
            <w:vMerge w:val="continue"/>
            <w:tcBorders>
              <w:tl2br w:val="nil"/>
              <w:tr2bl w:val="nil"/>
            </w:tcBorders>
            <w:shd w:val="clear" w:color="auto" w:fill="auto"/>
            <w:vAlign w:val="center"/>
          </w:tcPr>
          <w:p>
            <w:pPr>
              <w:widowControl/>
              <w:spacing w:line="300" w:lineRule="exact"/>
              <w:jc w:val="center"/>
              <w:textAlignment w:val="center"/>
              <w:rPr>
                <w:rFonts w:eastAsia="宋体"/>
                <w:color w:val="000000"/>
                <w:kern w:val="0"/>
                <w:sz w:val="24"/>
                <w:lang w:bidi="ar"/>
              </w:rPr>
            </w:pPr>
          </w:p>
        </w:tc>
        <w:tc>
          <w:tcPr>
            <w:tcW w:w="1100" w:type="dxa"/>
            <w:tcBorders>
              <w:tl2br w:val="nil"/>
              <w:tr2bl w:val="nil"/>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评审结论合格率</w:t>
            </w:r>
          </w:p>
        </w:tc>
        <w:tc>
          <w:tcPr>
            <w:tcW w:w="1145" w:type="dxa"/>
            <w:tcBorders>
              <w:tl2br w:val="nil"/>
              <w:tr2bl w:val="nil"/>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w:t>
            </w:r>
          </w:p>
        </w:tc>
        <w:tc>
          <w:tcPr>
            <w:tcW w:w="1289" w:type="dxa"/>
            <w:tcBorders>
              <w:tl2br w:val="nil"/>
              <w:tr2bl w:val="nil"/>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95</w:t>
            </w:r>
          </w:p>
        </w:tc>
        <w:tc>
          <w:tcPr>
            <w:tcW w:w="1058" w:type="dxa"/>
            <w:tcBorders>
              <w:tl2br w:val="nil"/>
              <w:tr2bl w:val="nil"/>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w:t>
            </w:r>
          </w:p>
        </w:tc>
        <w:tc>
          <w:tcPr>
            <w:tcW w:w="2040" w:type="dxa"/>
            <w:tcBorders>
              <w:tl2br w:val="nil"/>
              <w:tr2bl w:val="nil"/>
            </w:tcBorders>
            <w:shd w:val="clear" w:color="auto" w:fill="auto"/>
            <w:vAlign w:val="center"/>
          </w:tcPr>
          <w:p>
            <w:pPr>
              <w:widowControl/>
              <w:spacing w:line="300" w:lineRule="exact"/>
              <w:ind w:firstLine="720" w:firstLineChars="300"/>
              <w:jc w:val="both"/>
              <w:rPr>
                <w:rFonts w:hint="default" w:eastAsia="宋体"/>
                <w:color w:val="000000"/>
                <w:sz w:val="24"/>
                <w:lang w:val="en-US"/>
              </w:rPr>
            </w:pPr>
            <w:r>
              <w:rPr>
                <w:rFonts w:hint="eastAsia" w:eastAsia="宋体"/>
                <w:color w:val="000000"/>
                <w:sz w:val="24"/>
                <w:lang w:val="en-US" w:eastAsia="zh-CN"/>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8" w:type="dxa"/>
            <w:vMerge w:val="continue"/>
            <w:tcBorders>
              <w:tl2br w:val="nil"/>
              <w:tr2bl w:val="nil"/>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l2br w:val="nil"/>
              <w:tr2bl w:val="nil"/>
            </w:tcBorders>
            <w:shd w:val="clear" w:color="auto" w:fill="auto"/>
            <w:vAlign w:val="center"/>
          </w:tcPr>
          <w:p>
            <w:pPr>
              <w:widowControl/>
              <w:spacing w:line="300" w:lineRule="exact"/>
              <w:jc w:val="center"/>
              <w:rPr>
                <w:rFonts w:eastAsia="宋体"/>
                <w:color w:val="000000"/>
                <w:sz w:val="24"/>
              </w:rPr>
            </w:pPr>
          </w:p>
        </w:tc>
        <w:tc>
          <w:tcPr>
            <w:tcW w:w="1273" w:type="dxa"/>
            <w:vMerge w:val="continue"/>
            <w:tcBorders>
              <w:tl2br w:val="nil"/>
              <w:tr2bl w:val="nil"/>
            </w:tcBorders>
            <w:shd w:val="clear" w:color="auto" w:fill="auto"/>
            <w:vAlign w:val="center"/>
          </w:tcPr>
          <w:p>
            <w:pPr>
              <w:widowControl/>
              <w:spacing w:line="300" w:lineRule="exact"/>
              <w:jc w:val="center"/>
              <w:textAlignment w:val="center"/>
              <w:rPr>
                <w:rFonts w:eastAsia="宋体"/>
                <w:color w:val="000000"/>
                <w:kern w:val="0"/>
                <w:sz w:val="24"/>
                <w:lang w:bidi="ar"/>
              </w:rPr>
            </w:pPr>
          </w:p>
        </w:tc>
        <w:tc>
          <w:tcPr>
            <w:tcW w:w="1100" w:type="dxa"/>
            <w:tcBorders>
              <w:tl2br w:val="nil"/>
              <w:tr2bl w:val="nil"/>
            </w:tcBorders>
            <w:shd w:val="clear" w:color="auto" w:fill="auto"/>
            <w:vAlign w:val="center"/>
          </w:tcPr>
          <w:p>
            <w:pPr>
              <w:widowControl/>
              <w:spacing w:line="300" w:lineRule="exact"/>
              <w:jc w:val="left"/>
              <w:rPr>
                <w:rFonts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提升办公效率</w:t>
            </w:r>
          </w:p>
        </w:tc>
        <w:tc>
          <w:tcPr>
            <w:tcW w:w="1145" w:type="dxa"/>
            <w:tcBorders>
              <w:tl2br w:val="nil"/>
              <w:tr2bl w:val="nil"/>
            </w:tcBorders>
            <w:shd w:val="clear" w:color="auto" w:fill="auto"/>
            <w:vAlign w:val="center"/>
          </w:tcPr>
          <w:p>
            <w:pPr>
              <w:widowControl/>
              <w:spacing w:line="300" w:lineRule="exact"/>
              <w:jc w:val="left"/>
              <w:rPr>
                <w:rFonts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定性</w:t>
            </w:r>
          </w:p>
        </w:tc>
        <w:tc>
          <w:tcPr>
            <w:tcW w:w="1289" w:type="dxa"/>
            <w:tcBorders>
              <w:tl2br w:val="nil"/>
              <w:tr2bl w:val="nil"/>
            </w:tcBorders>
            <w:shd w:val="clear" w:color="auto" w:fill="auto"/>
            <w:vAlign w:val="center"/>
          </w:tcPr>
          <w:p>
            <w:pPr>
              <w:widowControl/>
              <w:spacing w:line="300" w:lineRule="exact"/>
              <w:jc w:val="left"/>
              <w:rPr>
                <w:rFonts w:hint="default"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优良中差</w:t>
            </w:r>
          </w:p>
        </w:tc>
        <w:tc>
          <w:tcPr>
            <w:tcW w:w="1058" w:type="dxa"/>
            <w:tcBorders>
              <w:tl2br w:val="nil"/>
              <w:tr2bl w:val="nil"/>
            </w:tcBorders>
            <w:shd w:val="clear" w:color="auto" w:fill="auto"/>
            <w:vAlign w:val="center"/>
          </w:tcPr>
          <w:p>
            <w:pPr>
              <w:widowControl/>
              <w:spacing w:line="300" w:lineRule="exact"/>
              <w:jc w:val="left"/>
              <w:rPr>
                <w:rFonts w:hint="eastAsia"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年</w:t>
            </w:r>
          </w:p>
        </w:tc>
        <w:tc>
          <w:tcPr>
            <w:tcW w:w="2040" w:type="dxa"/>
            <w:tcBorders>
              <w:tl2br w:val="nil"/>
              <w:tr2bl w:val="nil"/>
            </w:tcBorders>
            <w:shd w:val="clear" w:color="auto" w:fill="auto"/>
            <w:vAlign w:val="center"/>
          </w:tcPr>
          <w:p>
            <w:pPr>
              <w:widowControl/>
              <w:spacing w:line="300" w:lineRule="exact"/>
              <w:jc w:val="center"/>
              <w:rPr>
                <w:rFonts w:hint="eastAsia"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8" w:type="dxa"/>
            <w:vMerge w:val="continue"/>
            <w:tcBorders>
              <w:tl2br w:val="nil"/>
              <w:tr2bl w:val="nil"/>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l2br w:val="nil"/>
              <w:tr2bl w:val="nil"/>
            </w:tcBorders>
            <w:shd w:val="clear" w:color="auto" w:fill="auto"/>
            <w:vAlign w:val="center"/>
          </w:tcPr>
          <w:p>
            <w:pPr>
              <w:widowControl/>
              <w:spacing w:line="300" w:lineRule="exact"/>
              <w:jc w:val="center"/>
              <w:rPr>
                <w:rFonts w:eastAsia="宋体"/>
                <w:color w:val="000000"/>
                <w:sz w:val="24"/>
              </w:rPr>
            </w:pPr>
          </w:p>
        </w:tc>
        <w:tc>
          <w:tcPr>
            <w:tcW w:w="1273" w:type="dxa"/>
            <w:vMerge w:val="restart"/>
            <w:tcBorders>
              <w:tl2br w:val="nil"/>
              <w:tr2bl w:val="nil"/>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时效指标</w:t>
            </w:r>
          </w:p>
        </w:tc>
        <w:tc>
          <w:tcPr>
            <w:tcW w:w="1100" w:type="dxa"/>
            <w:tcBorders>
              <w:tl2br w:val="nil"/>
              <w:tr2bl w:val="nil"/>
            </w:tcBorders>
            <w:shd w:val="clear" w:color="auto" w:fill="auto"/>
            <w:vAlign w:val="center"/>
          </w:tcPr>
          <w:p>
            <w:pPr>
              <w:widowControl/>
              <w:spacing w:line="300" w:lineRule="exact"/>
              <w:jc w:val="left"/>
              <w:rPr>
                <w:rFonts w:ascii="Times New Roman" w:hAnsi="Times New Roman" w:eastAsia="宋体" w:cs="Times New Roman"/>
                <w:color w:val="000000"/>
                <w:kern w:val="2"/>
                <w:sz w:val="24"/>
                <w:szCs w:val="24"/>
                <w:lang w:val="en-US" w:eastAsia="zh-CN" w:bidi="ar-SA"/>
              </w:rPr>
            </w:pPr>
            <w:r>
              <w:rPr>
                <w:rFonts w:hint="eastAsia" w:eastAsia="宋体"/>
                <w:color w:val="000000"/>
                <w:sz w:val="24"/>
              </w:rPr>
              <w:t>按工作时间及进度</w:t>
            </w:r>
          </w:p>
        </w:tc>
        <w:tc>
          <w:tcPr>
            <w:tcW w:w="1145" w:type="dxa"/>
            <w:tcBorders>
              <w:tl2br w:val="nil"/>
              <w:tr2bl w:val="nil"/>
            </w:tcBorders>
            <w:shd w:val="clear" w:color="auto" w:fill="auto"/>
            <w:vAlign w:val="center"/>
          </w:tcPr>
          <w:p>
            <w:pPr>
              <w:widowControl/>
              <w:spacing w:line="300" w:lineRule="exact"/>
              <w:jc w:val="left"/>
              <w:rPr>
                <w:rFonts w:hint="eastAsia"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w:t>
            </w:r>
          </w:p>
        </w:tc>
        <w:tc>
          <w:tcPr>
            <w:tcW w:w="1289" w:type="dxa"/>
            <w:tcBorders>
              <w:tl2br w:val="nil"/>
              <w:tr2bl w:val="nil"/>
            </w:tcBorders>
            <w:shd w:val="clear" w:color="auto" w:fill="auto"/>
            <w:vAlign w:val="center"/>
          </w:tcPr>
          <w:p>
            <w:pPr>
              <w:widowControl/>
              <w:spacing w:line="300" w:lineRule="exact"/>
              <w:jc w:val="left"/>
              <w:rPr>
                <w:rFonts w:hint="eastAsia"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1</w:t>
            </w:r>
          </w:p>
        </w:tc>
        <w:tc>
          <w:tcPr>
            <w:tcW w:w="1058" w:type="dxa"/>
            <w:tcBorders>
              <w:tl2br w:val="nil"/>
              <w:tr2bl w:val="nil"/>
            </w:tcBorders>
            <w:shd w:val="clear" w:color="auto" w:fill="auto"/>
            <w:vAlign w:val="center"/>
          </w:tcPr>
          <w:p>
            <w:pPr>
              <w:widowControl/>
              <w:spacing w:line="300" w:lineRule="exact"/>
              <w:jc w:val="left"/>
              <w:rPr>
                <w:rFonts w:hint="eastAsia"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年</w:t>
            </w:r>
          </w:p>
        </w:tc>
        <w:tc>
          <w:tcPr>
            <w:tcW w:w="2040" w:type="dxa"/>
            <w:tcBorders>
              <w:tl2br w:val="nil"/>
              <w:tr2bl w:val="nil"/>
            </w:tcBorders>
            <w:shd w:val="clear" w:color="auto" w:fill="auto"/>
            <w:vAlign w:val="center"/>
          </w:tcPr>
          <w:p>
            <w:pPr>
              <w:widowControl/>
              <w:spacing w:line="300" w:lineRule="exact"/>
              <w:jc w:val="center"/>
              <w:rPr>
                <w:rFonts w:ascii="Times New Roman" w:hAnsi="Times New Roman" w:eastAsia="宋体" w:cs="Times New Roman"/>
                <w:color w:val="000000"/>
                <w:kern w:val="2"/>
                <w:sz w:val="24"/>
                <w:szCs w:val="24"/>
                <w:lang w:val="en-US" w:eastAsia="zh-CN" w:bidi="ar-SA"/>
              </w:rPr>
            </w:pPr>
            <w:r>
              <w:rPr>
                <w:rFonts w:hint="eastAsia" w:eastAsia="宋体"/>
                <w:color w:val="000000"/>
                <w:kern w:val="0"/>
                <w:sz w:val="24"/>
                <w:lang w:val="en-US" w:eastAsia="zh-CN" w:bidi="ar"/>
              </w:rPr>
              <w:t>按时</w:t>
            </w:r>
            <w:r>
              <w:rPr>
                <w:rFonts w:hint="eastAsia" w:eastAsia="宋体"/>
                <w:color w:val="000000"/>
                <w:kern w:val="0"/>
                <w:sz w:val="24"/>
                <w:lang w:bidi="ar"/>
              </w:rPr>
              <w:t>支付人员工资、社保、公积金等基本支出费用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8" w:type="dxa"/>
            <w:vMerge w:val="continue"/>
            <w:tcBorders>
              <w:tl2br w:val="nil"/>
              <w:tr2bl w:val="nil"/>
            </w:tcBorders>
            <w:shd w:val="clear" w:color="auto" w:fill="auto"/>
            <w:vAlign w:val="center"/>
          </w:tcPr>
          <w:p>
            <w:pPr>
              <w:widowControl/>
              <w:spacing w:line="300" w:lineRule="exact"/>
              <w:jc w:val="center"/>
              <w:rPr>
                <w:rFonts w:eastAsia="宋体"/>
                <w:color w:val="000000"/>
                <w:sz w:val="24"/>
              </w:rPr>
            </w:pPr>
            <w:bookmarkStart w:id="1" w:name="OLE_LINK1" w:colFirst="2" w:colLast="7"/>
          </w:p>
        </w:tc>
        <w:tc>
          <w:tcPr>
            <w:tcW w:w="1347" w:type="dxa"/>
            <w:vMerge w:val="continue"/>
            <w:tcBorders>
              <w:tl2br w:val="nil"/>
              <w:tr2bl w:val="nil"/>
            </w:tcBorders>
            <w:shd w:val="clear" w:color="auto" w:fill="auto"/>
            <w:vAlign w:val="center"/>
          </w:tcPr>
          <w:p>
            <w:pPr>
              <w:widowControl/>
              <w:spacing w:line="300" w:lineRule="exact"/>
              <w:jc w:val="center"/>
              <w:rPr>
                <w:rFonts w:eastAsia="宋体"/>
                <w:color w:val="000000"/>
                <w:sz w:val="24"/>
              </w:rPr>
            </w:pPr>
          </w:p>
        </w:tc>
        <w:tc>
          <w:tcPr>
            <w:tcW w:w="1273" w:type="dxa"/>
            <w:vMerge w:val="continue"/>
            <w:tcBorders>
              <w:tl2br w:val="nil"/>
              <w:tr2bl w:val="nil"/>
            </w:tcBorders>
            <w:shd w:val="clear" w:color="auto" w:fill="auto"/>
            <w:vAlign w:val="center"/>
          </w:tcPr>
          <w:p>
            <w:pPr>
              <w:widowControl/>
              <w:spacing w:line="300" w:lineRule="exact"/>
              <w:jc w:val="center"/>
              <w:textAlignment w:val="center"/>
              <w:rPr>
                <w:rFonts w:eastAsia="宋体"/>
                <w:color w:val="000000"/>
                <w:kern w:val="0"/>
                <w:sz w:val="24"/>
                <w:lang w:bidi="ar"/>
              </w:rPr>
            </w:pPr>
          </w:p>
        </w:tc>
        <w:tc>
          <w:tcPr>
            <w:tcW w:w="1100" w:type="dxa"/>
            <w:tcBorders>
              <w:tl2br w:val="nil"/>
              <w:tr2bl w:val="nil"/>
            </w:tcBorders>
            <w:shd w:val="clear" w:color="auto" w:fill="auto"/>
            <w:vAlign w:val="center"/>
          </w:tcPr>
          <w:p>
            <w:pPr>
              <w:widowControl/>
              <w:spacing w:line="300" w:lineRule="exact"/>
              <w:jc w:val="left"/>
              <w:rPr>
                <w:rFonts w:ascii="Times New Roman" w:hAnsi="Times New Roman" w:eastAsia="宋体" w:cs="Times New Roman"/>
                <w:color w:val="000000"/>
                <w:kern w:val="2"/>
                <w:sz w:val="24"/>
                <w:szCs w:val="24"/>
                <w:lang w:val="en-US" w:eastAsia="zh-CN" w:bidi="ar-SA"/>
              </w:rPr>
            </w:pPr>
            <w:r>
              <w:rPr>
                <w:rFonts w:hint="eastAsia" w:eastAsia="宋体"/>
                <w:color w:val="000000"/>
                <w:sz w:val="24"/>
              </w:rPr>
              <w:t>按时限完成</w:t>
            </w:r>
          </w:p>
        </w:tc>
        <w:tc>
          <w:tcPr>
            <w:tcW w:w="1145" w:type="dxa"/>
            <w:tcBorders>
              <w:tl2br w:val="nil"/>
              <w:tr2bl w:val="nil"/>
            </w:tcBorders>
            <w:shd w:val="clear" w:color="auto" w:fill="auto"/>
            <w:vAlign w:val="center"/>
          </w:tcPr>
          <w:p>
            <w:pPr>
              <w:widowControl/>
              <w:spacing w:line="300" w:lineRule="exact"/>
              <w:jc w:val="left"/>
              <w:rPr>
                <w:rFonts w:hint="default"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w:t>
            </w:r>
          </w:p>
        </w:tc>
        <w:tc>
          <w:tcPr>
            <w:tcW w:w="1289" w:type="dxa"/>
            <w:tcBorders>
              <w:tl2br w:val="nil"/>
              <w:tr2bl w:val="nil"/>
            </w:tcBorders>
            <w:shd w:val="clear" w:color="auto" w:fill="auto"/>
            <w:vAlign w:val="center"/>
          </w:tcPr>
          <w:p>
            <w:pPr>
              <w:widowControl/>
              <w:spacing w:line="300" w:lineRule="exact"/>
              <w:jc w:val="left"/>
              <w:rPr>
                <w:rFonts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1</w:t>
            </w:r>
          </w:p>
        </w:tc>
        <w:tc>
          <w:tcPr>
            <w:tcW w:w="1058" w:type="dxa"/>
            <w:tcBorders>
              <w:tl2br w:val="nil"/>
              <w:tr2bl w:val="nil"/>
            </w:tcBorders>
            <w:shd w:val="clear" w:color="auto" w:fill="auto"/>
            <w:vAlign w:val="center"/>
          </w:tcPr>
          <w:p>
            <w:pPr>
              <w:widowControl/>
              <w:spacing w:line="300" w:lineRule="exact"/>
              <w:jc w:val="left"/>
              <w:rPr>
                <w:rFonts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年</w:t>
            </w:r>
          </w:p>
        </w:tc>
        <w:tc>
          <w:tcPr>
            <w:tcW w:w="2040" w:type="dxa"/>
            <w:tcBorders>
              <w:tl2br w:val="nil"/>
              <w:tr2bl w:val="nil"/>
            </w:tcBorders>
            <w:shd w:val="clear" w:color="auto" w:fill="auto"/>
            <w:vAlign w:val="center"/>
          </w:tcPr>
          <w:p>
            <w:pPr>
              <w:widowControl/>
              <w:spacing w:line="300" w:lineRule="exact"/>
              <w:jc w:val="center"/>
              <w:rPr>
                <w:rFonts w:ascii="Times New Roman" w:hAnsi="Times New Roman" w:eastAsia="宋体" w:cs="Times New Roman"/>
                <w:color w:val="000000"/>
                <w:kern w:val="2"/>
                <w:sz w:val="24"/>
                <w:szCs w:val="24"/>
                <w:lang w:val="en-US" w:eastAsia="zh-CN" w:bidi="ar-SA"/>
              </w:rPr>
            </w:pPr>
            <w:r>
              <w:rPr>
                <w:rFonts w:hint="eastAsia" w:eastAsia="宋体"/>
                <w:color w:val="000000"/>
                <w:sz w:val="24"/>
              </w:rPr>
              <w:t>按相关管理办法及合同约定时效，按时完成评审任务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8" w:type="dxa"/>
            <w:vMerge w:val="continue"/>
            <w:tcBorders>
              <w:tl2br w:val="nil"/>
              <w:tr2bl w:val="nil"/>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l2br w:val="nil"/>
              <w:tr2bl w:val="nil"/>
            </w:tcBorders>
            <w:shd w:val="clear" w:color="auto" w:fill="auto"/>
            <w:vAlign w:val="center"/>
          </w:tcPr>
          <w:p>
            <w:pPr>
              <w:widowControl/>
              <w:spacing w:line="300" w:lineRule="exact"/>
              <w:jc w:val="center"/>
              <w:rPr>
                <w:rFonts w:eastAsia="宋体"/>
                <w:color w:val="000000"/>
                <w:sz w:val="24"/>
              </w:rPr>
            </w:pPr>
          </w:p>
        </w:tc>
        <w:tc>
          <w:tcPr>
            <w:tcW w:w="1273" w:type="dxa"/>
            <w:vMerge w:val="continue"/>
            <w:tcBorders>
              <w:tl2br w:val="nil"/>
              <w:tr2bl w:val="nil"/>
            </w:tcBorders>
            <w:shd w:val="clear" w:color="auto" w:fill="auto"/>
            <w:vAlign w:val="center"/>
          </w:tcPr>
          <w:p>
            <w:pPr>
              <w:widowControl/>
              <w:spacing w:line="300" w:lineRule="exact"/>
              <w:jc w:val="center"/>
              <w:textAlignment w:val="center"/>
              <w:rPr>
                <w:rFonts w:eastAsia="宋体"/>
                <w:color w:val="000000"/>
                <w:kern w:val="0"/>
                <w:sz w:val="24"/>
                <w:lang w:bidi="ar"/>
              </w:rPr>
            </w:pPr>
          </w:p>
        </w:tc>
        <w:tc>
          <w:tcPr>
            <w:tcW w:w="1100" w:type="dxa"/>
            <w:tcBorders>
              <w:tl2br w:val="nil"/>
              <w:tr2bl w:val="nil"/>
            </w:tcBorders>
            <w:shd w:val="clear" w:color="auto" w:fill="auto"/>
            <w:vAlign w:val="center"/>
          </w:tcPr>
          <w:p>
            <w:pPr>
              <w:widowControl/>
              <w:spacing w:line="300" w:lineRule="exact"/>
              <w:jc w:val="left"/>
              <w:rPr>
                <w:rFonts w:ascii="Times New Roman" w:hAnsi="Times New Roman" w:eastAsia="宋体" w:cs="Times New Roman"/>
                <w:color w:val="000000"/>
                <w:kern w:val="2"/>
                <w:sz w:val="24"/>
                <w:szCs w:val="24"/>
                <w:lang w:val="en-US" w:eastAsia="zh-CN" w:bidi="ar-SA"/>
              </w:rPr>
            </w:pPr>
            <w:r>
              <w:rPr>
                <w:rFonts w:hint="eastAsia" w:eastAsia="宋体"/>
                <w:color w:val="000000"/>
                <w:sz w:val="24"/>
              </w:rPr>
              <w:t>按工作计划，完成时间</w:t>
            </w:r>
          </w:p>
        </w:tc>
        <w:tc>
          <w:tcPr>
            <w:tcW w:w="1145" w:type="dxa"/>
            <w:tcBorders>
              <w:tl2br w:val="nil"/>
              <w:tr2bl w:val="nil"/>
            </w:tcBorders>
            <w:shd w:val="clear" w:color="auto" w:fill="auto"/>
            <w:vAlign w:val="center"/>
          </w:tcPr>
          <w:p>
            <w:pPr>
              <w:widowControl/>
              <w:spacing w:line="300" w:lineRule="exact"/>
              <w:jc w:val="left"/>
              <w:rPr>
                <w:rFonts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w:t>
            </w:r>
          </w:p>
        </w:tc>
        <w:tc>
          <w:tcPr>
            <w:tcW w:w="1289" w:type="dxa"/>
            <w:tcBorders>
              <w:tl2br w:val="nil"/>
              <w:tr2bl w:val="nil"/>
            </w:tcBorders>
            <w:shd w:val="clear" w:color="auto" w:fill="auto"/>
            <w:vAlign w:val="center"/>
          </w:tcPr>
          <w:p>
            <w:pPr>
              <w:widowControl/>
              <w:spacing w:line="300" w:lineRule="exact"/>
              <w:jc w:val="left"/>
              <w:rPr>
                <w:rFonts w:hint="eastAsia"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1</w:t>
            </w:r>
          </w:p>
        </w:tc>
        <w:tc>
          <w:tcPr>
            <w:tcW w:w="1058" w:type="dxa"/>
            <w:tcBorders>
              <w:tl2br w:val="nil"/>
              <w:tr2bl w:val="nil"/>
            </w:tcBorders>
            <w:shd w:val="clear" w:color="auto" w:fill="auto"/>
            <w:vAlign w:val="center"/>
          </w:tcPr>
          <w:p>
            <w:pPr>
              <w:widowControl/>
              <w:spacing w:line="300" w:lineRule="exact"/>
              <w:jc w:val="left"/>
              <w:rPr>
                <w:rFonts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年</w:t>
            </w:r>
          </w:p>
        </w:tc>
        <w:tc>
          <w:tcPr>
            <w:tcW w:w="2040" w:type="dxa"/>
            <w:tcBorders>
              <w:tl2br w:val="nil"/>
              <w:tr2bl w:val="nil"/>
            </w:tcBorders>
            <w:shd w:val="clear" w:color="auto" w:fill="auto"/>
            <w:vAlign w:val="center"/>
          </w:tcPr>
          <w:p>
            <w:pPr>
              <w:widowControl/>
              <w:spacing w:line="300" w:lineRule="exact"/>
              <w:jc w:val="center"/>
              <w:rPr>
                <w:rFonts w:ascii="Times New Roman" w:hAnsi="Times New Roman" w:eastAsia="宋体" w:cs="Times New Roman"/>
                <w:color w:val="000000"/>
                <w:kern w:val="2"/>
                <w:sz w:val="24"/>
                <w:szCs w:val="24"/>
                <w:lang w:val="en-US" w:eastAsia="zh-CN" w:bidi="ar-SA"/>
              </w:rPr>
            </w:pPr>
            <w:r>
              <w:rPr>
                <w:rFonts w:hint="eastAsia" w:eastAsia="宋体"/>
                <w:color w:val="000000"/>
                <w:sz w:val="24"/>
              </w:rPr>
              <w:t>按相关合同约定时效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8" w:type="dxa"/>
            <w:vMerge w:val="continue"/>
            <w:tcBorders>
              <w:tl2br w:val="nil"/>
              <w:tr2bl w:val="nil"/>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l2br w:val="nil"/>
              <w:tr2bl w:val="nil"/>
            </w:tcBorders>
            <w:shd w:val="clear" w:color="auto" w:fill="auto"/>
            <w:vAlign w:val="center"/>
          </w:tcPr>
          <w:p>
            <w:pPr>
              <w:widowControl/>
              <w:spacing w:line="300" w:lineRule="exact"/>
              <w:jc w:val="center"/>
              <w:rPr>
                <w:rFonts w:eastAsia="宋体"/>
                <w:color w:val="000000"/>
                <w:sz w:val="24"/>
              </w:rPr>
            </w:pPr>
          </w:p>
        </w:tc>
        <w:tc>
          <w:tcPr>
            <w:tcW w:w="1273" w:type="dxa"/>
            <w:vMerge w:val="restart"/>
            <w:tcBorders>
              <w:tl2br w:val="nil"/>
              <w:tr2bl w:val="nil"/>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000000"/>
                <w:kern w:val="0"/>
                <w:sz w:val="24"/>
                <w:lang w:val="en-US" w:eastAsia="zh-CN" w:bidi="ar"/>
              </w:rPr>
              <w:t>成本指标</w:t>
            </w:r>
          </w:p>
        </w:tc>
        <w:tc>
          <w:tcPr>
            <w:tcW w:w="1100" w:type="dxa"/>
            <w:tcBorders>
              <w:tl2br w:val="nil"/>
              <w:tr2bl w:val="nil"/>
            </w:tcBorders>
            <w:shd w:val="clear" w:color="auto" w:fill="auto"/>
            <w:vAlign w:val="center"/>
          </w:tcPr>
          <w:p>
            <w:pPr>
              <w:widowControl/>
              <w:spacing w:line="300" w:lineRule="exact"/>
              <w:jc w:val="left"/>
              <w:rPr>
                <w:rFonts w:ascii="Times New Roman" w:hAnsi="Times New Roman" w:eastAsia="宋体" w:cs="Times New Roman"/>
                <w:color w:val="000000"/>
                <w:kern w:val="2"/>
                <w:sz w:val="24"/>
                <w:szCs w:val="24"/>
                <w:lang w:val="en-US" w:eastAsia="zh-CN" w:bidi="ar-SA"/>
              </w:rPr>
            </w:pPr>
            <w:r>
              <w:rPr>
                <w:rFonts w:hint="eastAsia" w:eastAsia="宋体"/>
                <w:color w:val="000000"/>
                <w:sz w:val="24"/>
              </w:rPr>
              <w:t>基本人员经费、公用经费</w:t>
            </w:r>
          </w:p>
        </w:tc>
        <w:tc>
          <w:tcPr>
            <w:tcW w:w="1145" w:type="dxa"/>
            <w:tcBorders>
              <w:tl2br w:val="nil"/>
              <w:tr2bl w:val="nil"/>
            </w:tcBorders>
            <w:shd w:val="clear" w:color="auto" w:fill="auto"/>
            <w:vAlign w:val="center"/>
          </w:tcPr>
          <w:p>
            <w:pPr>
              <w:widowControl/>
              <w:spacing w:line="300" w:lineRule="exact"/>
              <w:jc w:val="left"/>
              <w:rPr>
                <w:rFonts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w:t>
            </w:r>
          </w:p>
        </w:tc>
        <w:tc>
          <w:tcPr>
            <w:tcW w:w="1289" w:type="dxa"/>
            <w:tcBorders>
              <w:tl2br w:val="nil"/>
              <w:tr2bl w:val="nil"/>
            </w:tcBorders>
            <w:shd w:val="clear" w:color="auto" w:fill="auto"/>
            <w:vAlign w:val="center"/>
          </w:tcPr>
          <w:p>
            <w:pPr>
              <w:widowControl/>
              <w:spacing w:line="300" w:lineRule="exact"/>
              <w:jc w:val="left"/>
              <w:rPr>
                <w:rFonts w:hint="default"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239.42</w:t>
            </w:r>
          </w:p>
        </w:tc>
        <w:tc>
          <w:tcPr>
            <w:tcW w:w="1058" w:type="dxa"/>
            <w:tcBorders>
              <w:tl2br w:val="nil"/>
              <w:tr2bl w:val="nil"/>
            </w:tcBorders>
            <w:shd w:val="clear" w:color="auto" w:fill="auto"/>
            <w:vAlign w:val="center"/>
          </w:tcPr>
          <w:p>
            <w:pPr>
              <w:widowControl/>
              <w:spacing w:line="300" w:lineRule="exact"/>
              <w:jc w:val="left"/>
              <w:rPr>
                <w:rFonts w:hint="eastAsia"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万元</w:t>
            </w:r>
          </w:p>
        </w:tc>
        <w:tc>
          <w:tcPr>
            <w:tcW w:w="2040" w:type="dxa"/>
            <w:tcBorders>
              <w:tl2br w:val="nil"/>
              <w:tr2bl w:val="nil"/>
            </w:tcBorders>
            <w:shd w:val="clear" w:color="auto" w:fill="auto"/>
            <w:vAlign w:val="center"/>
          </w:tcPr>
          <w:p>
            <w:pPr>
              <w:widowControl/>
              <w:spacing w:line="300" w:lineRule="exact"/>
              <w:jc w:val="center"/>
              <w:rPr>
                <w:rFonts w:hint="default"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239.42万元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8" w:type="dxa"/>
            <w:vMerge w:val="continue"/>
            <w:tcBorders>
              <w:tl2br w:val="nil"/>
              <w:tr2bl w:val="nil"/>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l2br w:val="nil"/>
              <w:tr2bl w:val="nil"/>
            </w:tcBorders>
            <w:shd w:val="clear" w:color="auto" w:fill="auto"/>
            <w:vAlign w:val="center"/>
          </w:tcPr>
          <w:p>
            <w:pPr>
              <w:widowControl/>
              <w:spacing w:line="300" w:lineRule="exact"/>
              <w:jc w:val="center"/>
              <w:rPr>
                <w:rFonts w:eastAsia="宋体"/>
                <w:color w:val="000000"/>
                <w:sz w:val="24"/>
              </w:rPr>
            </w:pPr>
          </w:p>
        </w:tc>
        <w:tc>
          <w:tcPr>
            <w:tcW w:w="1273" w:type="dxa"/>
            <w:vMerge w:val="continue"/>
            <w:tcBorders>
              <w:tl2br w:val="nil"/>
              <w:tr2bl w:val="nil"/>
            </w:tcBorders>
            <w:shd w:val="clear" w:color="auto" w:fill="auto"/>
            <w:vAlign w:val="center"/>
          </w:tcPr>
          <w:p>
            <w:pPr>
              <w:widowControl/>
              <w:spacing w:line="300" w:lineRule="exact"/>
              <w:jc w:val="center"/>
              <w:textAlignment w:val="center"/>
              <w:rPr>
                <w:rFonts w:hint="eastAsia" w:eastAsia="宋体"/>
                <w:color w:val="000000"/>
                <w:kern w:val="0"/>
                <w:sz w:val="24"/>
                <w:lang w:val="en-US" w:eastAsia="zh-CN" w:bidi="ar"/>
              </w:rPr>
            </w:pPr>
          </w:p>
        </w:tc>
        <w:tc>
          <w:tcPr>
            <w:tcW w:w="1100" w:type="dxa"/>
            <w:tcBorders>
              <w:tl2br w:val="nil"/>
              <w:tr2bl w:val="nil"/>
            </w:tcBorders>
            <w:shd w:val="clear" w:color="auto" w:fill="auto"/>
            <w:vAlign w:val="center"/>
          </w:tcPr>
          <w:p>
            <w:pPr>
              <w:widowControl/>
              <w:spacing w:line="300" w:lineRule="exact"/>
              <w:jc w:val="left"/>
              <w:rPr>
                <w:rFonts w:ascii="Times New Roman" w:hAnsi="Times New Roman" w:eastAsia="宋体" w:cs="Times New Roman"/>
                <w:color w:val="000000"/>
                <w:kern w:val="2"/>
                <w:sz w:val="24"/>
                <w:szCs w:val="24"/>
                <w:lang w:val="en-US" w:eastAsia="zh-CN" w:bidi="ar-SA"/>
              </w:rPr>
            </w:pPr>
            <w:r>
              <w:rPr>
                <w:rFonts w:hint="eastAsia" w:eastAsia="宋体"/>
                <w:color w:val="000000"/>
                <w:sz w:val="24"/>
              </w:rPr>
              <w:t>成本控制</w:t>
            </w:r>
          </w:p>
        </w:tc>
        <w:tc>
          <w:tcPr>
            <w:tcW w:w="1145" w:type="dxa"/>
            <w:tcBorders>
              <w:tl2br w:val="nil"/>
              <w:tr2bl w:val="nil"/>
            </w:tcBorders>
            <w:shd w:val="clear" w:color="auto" w:fill="auto"/>
            <w:vAlign w:val="center"/>
          </w:tcPr>
          <w:p>
            <w:pPr>
              <w:widowControl/>
              <w:spacing w:line="300" w:lineRule="exact"/>
              <w:jc w:val="left"/>
              <w:rPr>
                <w:rFonts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w:t>
            </w:r>
          </w:p>
        </w:tc>
        <w:tc>
          <w:tcPr>
            <w:tcW w:w="1289" w:type="dxa"/>
            <w:tcBorders>
              <w:tl2br w:val="nil"/>
              <w:tr2bl w:val="nil"/>
            </w:tcBorders>
            <w:shd w:val="clear" w:color="auto" w:fill="auto"/>
            <w:vAlign w:val="center"/>
          </w:tcPr>
          <w:p>
            <w:pPr>
              <w:widowControl/>
              <w:spacing w:line="300" w:lineRule="exact"/>
              <w:jc w:val="left"/>
              <w:rPr>
                <w:rFonts w:hint="default"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150</w:t>
            </w:r>
          </w:p>
        </w:tc>
        <w:tc>
          <w:tcPr>
            <w:tcW w:w="1058" w:type="dxa"/>
            <w:tcBorders>
              <w:tl2br w:val="nil"/>
              <w:tr2bl w:val="nil"/>
            </w:tcBorders>
            <w:shd w:val="clear" w:color="auto" w:fill="auto"/>
            <w:vAlign w:val="center"/>
          </w:tcPr>
          <w:p>
            <w:pPr>
              <w:widowControl/>
              <w:spacing w:line="300" w:lineRule="exact"/>
              <w:jc w:val="left"/>
              <w:rPr>
                <w:rFonts w:hint="eastAsia"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万元</w:t>
            </w:r>
          </w:p>
        </w:tc>
        <w:tc>
          <w:tcPr>
            <w:tcW w:w="2040" w:type="dxa"/>
            <w:tcBorders>
              <w:tl2br w:val="nil"/>
              <w:tr2bl w:val="nil"/>
            </w:tcBorders>
            <w:shd w:val="clear" w:color="auto" w:fill="auto"/>
            <w:vAlign w:val="center"/>
          </w:tcPr>
          <w:p>
            <w:pPr>
              <w:widowControl/>
              <w:spacing w:line="300" w:lineRule="exact"/>
              <w:jc w:val="center"/>
              <w:rPr>
                <w:rFonts w:hint="default"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150万元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8" w:type="dxa"/>
            <w:vMerge w:val="continue"/>
            <w:tcBorders>
              <w:tl2br w:val="nil"/>
              <w:tr2bl w:val="nil"/>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l2br w:val="nil"/>
              <w:tr2bl w:val="nil"/>
            </w:tcBorders>
            <w:shd w:val="clear" w:color="auto" w:fill="auto"/>
            <w:vAlign w:val="center"/>
          </w:tcPr>
          <w:p>
            <w:pPr>
              <w:widowControl/>
              <w:spacing w:line="300" w:lineRule="exact"/>
              <w:jc w:val="center"/>
              <w:rPr>
                <w:rFonts w:eastAsia="宋体"/>
                <w:color w:val="000000"/>
                <w:sz w:val="24"/>
              </w:rPr>
            </w:pPr>
          </w:p>
        </w:tc>
        <w:tc>
          <w:tcPr>
            <w:tcW w:w="1273" w:type="dxa"/>
            <w:vMerge w:val="continue"/>
            <w:tcBorders>
              <w:tl2br w:val="nil"/>
              <w:tr2bl w:val="nil"/>
            </w:tcBorders>
            <w:shd w:val="clear" w:color="auto" w:fill="auto"/>
            <w:vAlign w:val="center"/>
          </w:tcPr>
          <w:p>
            <w:pPr>
              <w:widowControl/>
              <w:spacing w:line="300" w:lineRule="exact"/>
              <w:jc w:val="center"/>
              <w:textAlignment w:val="center"/>
              <w:rPr>
                <w:rFonts w:hint="eastAsia" w:eastAsia="宋体"/>
                <w:color w:val="000000"/>
                <w:kern w:val="0"/>
                <w:sz w:val="24"/>
                <w:lang w:val="en-US" w:eastAsia="zh-CN" w:bidi="ar"/>
              </w:rPr>
            </w:pPr>
          </w:p>
        </w:tc>
        <w:tc>
          <w:tcPr>
            <w:tcW w:w="1100" w:type="dxa"/>
            <w:tcBorders>
              <w:tl2br w:val="nil"/>
              <w:tr2bl w:val="nil"/>
            </w:tcBorders>
            <w:shd w:val="clear" w:color="auto" w:fill="auto"/>
            <w:vAlign w:val="center"/>
          </w:tcPr>
          <w:p>
            <w:pPr>
              <w:widowControl/>
              <w:spacing w:line="300" w:lineRule="exact"/>
              <w:jc w:val="left"/>
              <w:rPr>
                <w:rFonts w:ascii="Times New Roman" w:hAnsi="Times New Roman" w:eastAsia="宋体" w:cs="Times New Roman"/>
                <w:color w:val="000000"/>
                <w:kern w:val="2"/>
                <w:sz w:val="24"/>
                <w:szCs w:val="24"/>
                <w:lang w:val="en-US" w:eastAsia="zh-CN" w:bidi="ar-SA"/>
              </w:rPr>
            </w:pPr>
            <w:r>
              <w:rPr>
                <w:rFonts w:hint="eastAsia" w:eastAsia="宋体"/>
                <w:color w:val="000000"/>
                <w:sz w:val="24"/>
              </w:rPr>
              <w:t>更换办公设备、软件升级、开展各项检查等各项工作经费</w:t>
            </w:r>
          </w:p>
        </w:tc>
        <w:tc>
          <w:tcPr>
            <w:tcW w:w="1145" w:type="dxa"/>
            <w:tcBorders>
              <w:tl2br w:val="nil"/>
              <w:tr2bl w:val="nil"/>
            </w:tcBorders>
            <w:shd w:val="clear" w:color="auto" w:fill="auto"/>
            <w:vAlign w:val="center"/>
          </w:tcPr>
          <w:p>
            <w:pPr>
              <w:widowControl/>
              <w:spacing w:line="300" w:lineRule="exact"/>
              <w:jc w:val="left"/>
              <w:rPr>
                <w:rFonts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w:t>
            </w:r>
          </w:p>
        </w:tc>
        <w:tc>
          <w:tcPr>
            <w:tcW w:w="1289" w:type="dxa"/>
            <w:tcBorders>
              <w:tl2br w:val="nil"/>
              <w:tr2bl w:val="nil"/>
            </w:tcBorders>
            <w:shd w:val="clear" w:color="auto" w:fill="auto"/>
            <w:vAlign w:val="center"/>
          </w:tcPr>
          <w:p>
            <w:pPr>
              <w:widowControl/>
              <w:spacing w:line="300" w:lineRule="exact"/>
              <w:jc w:val="left"/>
              <w:rPr>
                <w:rFonts w:hint="default"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25</w:t>
            </w:r>
          </w:p>
        </w:tc>
        <w:tc>
          <w:tcPr>
            <w:tcW w:w="1058" w:type="dxa"/>
            <w:tcBorders>
              <w:tl2br w:val="nil"/>
              <w:tr2bl w:val="nil"/>
            </w:tcBorders>
            <w:shd w:val="clear" w:color="auto" w:fill="auto"/>
            <w:vAlign w:val="center"/>
          </w:tcPr>
          <w:p>
            <w:pPr>
              <w:widowControl/>
              <w:spacing w:line="300" w:lineRule="exact"/>
              <w:jc w:val="left"/>
              <w:rPr>
                <w:rFonts w:hint="eastAsia"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万元</w:t>
            </w:r>
          </w:p>
        </w:tc>
        <w:tc>
          <w:tcPr>
            <w:tcW w:w="2040" w:type="dxa"/>
            <w:tcBorders>
              <w:tl2br w:val="nil"/>
              <w:tr2bl w:val="nil"/>
            </w:tcBorders>
            <w:shd w:val="clear" w:color="auto" w:fill="auto"/>
            <w:vAlign w:val="center"/>
          </w:tcPr>
          <w:p>
            <w:pPr>
              <w:widowControl/>
              <w:spacing w:line="300" w:lineRule="exact"/>
              <w:jc w:val="center"/>
              <w:rPr>
                <w:rFonts w:hint="default"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2.63万元</w:t>
            </w:r>
          </w:p>
        </w:tc>
      </w:tr>
      <w:bookmarkEnd w:id="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8" w:type="dxa"/>
            <w:vMerge w:val="continue"/>
            <w:tcBorders>
              <w:tl2br w:val="nil"/>
              <w:tr2bl w:val="nil"/>
            </w:tcBorders>
            <w:shd w:val="clear" w:color="auto" w:fill="auto"/>
            <w:vAlign w:val="center"/>
          </w:tcPr>
          <w:p>
            <w:pPr>
              <w:widowControl/>
              <w:spacing w:line="300" w:lineRule="exact"/>
              <w:jc w:val="center"/>
              <w:rPr>
                <w:rFonts w:eastAsia="宋体"/>
                <w:color w:val="000000"/>
                <w:sz w:val="24"/>
              </w:rPr>
            </w:pPr>
          </w:p>
        </w:tc>
        <w:tc>
          <w:tcPr>
            <w:tcW w:w="1347" w:type="dxa"/>
            <w:vMerge w:val="restart"/>
            <w:tcBorders>
              <w:tl2br w:val="nil"/>
              <w:tr2bl w:val="nil"/>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效益指标</w:t>
            </w:r>
          </w:p>
        </w:tc>
        <w:tc>
          <w:tcPr>
            <w:tcW w:w="1273" w:type="dxa"/>
            <w:tcBorders>
              <w:tl2br w:val="nil"/>
              <w:tr2bl w:val="nil"/>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社会效益</w:t>
            </w:r>
          </w:p>
          <w:p>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100" w:type="dxa"/>
            <w:tcBorders>
              <w:tl2br w:val="nil"/>
              <w:tr2bl w:val="nil"/>
            </w:tcBorders>
            <w:shd w:val="clear" w:color="auto" w:fill="auto"/>
            <w:vAlign w:val="center"/>
          </w:tcPr>
          <w:p>
            <w:pPr>
              <w:widowControl/>
              <w:spacing w:line="300" w:lineRule="exact"/>
              <w:jc w:val="left"/>
              <w:rPr>
                <w:rFonts w:ascii="Times New Roman" w:hAnsi="Times New Roman" w:eastAsia="宋体" w:cs="Times New Roman"/>
                <w:color w:val="000000"/>
                <w:kern w:val="2"/>
                <w:sz w:val="24"/>
                <w:szCs w:val="24"/>
                <w:lang w:val="en-US" w:eastAsia="zh-CN" w:bidi="ar-SA"/>
              </w:rPr>
            </w:pPr>
            <w:r>
              <w:rPr>
                <w:rFonts w:hint="eastAsia" w:eastAsia="宋体"/>
                <w:color w:val="000000"/>
                <w:sz w:val="24"/>
              </w:rPr>
              <w:t>充分发挥财政评审职能，较好完成工作任务</w:t>
            </w:r>
          </w:p>
        </w:tc>
        <w:tc>
          <w:tcPr>
            <w:tcW w:w="1145" w:type="dxa"/>
            <w:tcBorders>
              <w:tl2br w:val="nil"/>
              <w:tr2bl w:val="nil"/>
            </w:tcBorders>
            <w:shd w:val="clear" w:color="auto" w:fill="auto"/>
            <w:vAlign w:val="center"/>
          </w:tcPr>
          <w:p>
            <w:pPr>
              <w:widowControl/>
              <w:spacing w:line="300" w:lineRule="exact"/>
              <w:jc w:val="left"/>
              <w:rPr>
                <w:rFonts w:ascii="Times New Roman" w:hAnsi="Times New Roman" w:eastAsia="宋体" w:cs="Times New Roman"/>
                <w:color w:val="000000"/>
                <w:kern w:val="2"/>
                <w:sz w:val="24"/>
                <w:szCs w:val="24"/>
                <w:lang w:val="en-US" w:eastAsia="zh-CN" w:bidi="ar-SA"/>
              </w:rPr>
            </w:pPr>
            <w:r>
              <w:rPr>
                <w:rFonts w:hint="eastAsia" w:eastAsia="宋体" w:cs="Times New Roman"/>
                <w:color w:val="000000"/>
                <w:kern w:val="2"/>
                <w:sz w:val="24"/>
                <w:szCs w:val="24"/>
                <w:lang w:val="en-US" w:eastAsia="zh-CN" w:bidi="ar-SA"/>
              </w:rPr>
              <w:t>定性</w:t>
            </w:r>
          </w:p>
        </w:tc>
        <w:tc>
          <w:tcPr>
            <w:tcW w:w="1289" w:type="dxa"/>
            <w:tcBorders>
              <w:tl2br w:val="nil"/>
              <w:tr2bl w:val="nil"/>
            </w:tcBorders>
            <w:shd w:val="clear" w:color="auto" w:fill="auto"/>
            <w:vAlign w:val="center"/>
          </w:tcPr>
          <w:p>
            <w:pPr>
              <w:widowControl/>
              <w:spacing w:line="300" w:lineRule="exact"/>
              <w:jc w:val="left"/>
              <w:rPr>
                <w:rFonts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优良中差</w:t>
            </w:r>
          </w:p>
        </w:tc>
        <w:tc>
          <w:tcPr>
            <w:tcW w:w="1058" w:type="dxa"/>
            <w:tcBorders>
              <w:tl2br w:val="nil"/>
              <w:tr2bl w:val="nil"/>
            </w:tcBorders>
            <w:shd w:val="clear" w:color="auto" w:fill="auto"/>
            <w:vAlign w:val="center"/>
          </w:tcPr>
          <w:p>
            <w:pPr>
              <w:widowControl/>
              <w:spacing w:line="300" w:lineRule="exact"/>
              <w:jc w:val="left"/>
              <w:rPr>
                <w:rFonts w:ascii="Times New Roman" w:hAnsi="Times New Roman" w:eastAsia="宋体" w:cs="Times New Roman"/>
                <w:color w:val="000000"/>
                <w:kern w:val="2"/>
                <w:sz w:val="24"/>
                <w:szCs w:val="24"/>
                <w:lang w:val="en-US" w:eastAsia="zh-CN" w:bidi="ar-SA"/>
              </w:rPr>
            </w:pPr>
          </w:p>
        </w:tc>
        <w:tc>
          <w:tcPr>
            <w:tcW w:w="2040" w:type="dxa"/>
            <w:tcBorders>
              <w:tl2br w:val="nil"/>
              <w:tr2bl w:val="nil"/>
            </w:tcBorders>
            <w:shd w:val="clear" w:color="auto" w:fill="auto"/>
            <w:vAlign w:val="center"/>
          </w:tcPr>
          <w:p>
            <w:pPr>
              <w:widowControl/>
              <w:spacing w:line="300" w:lineRule="exact"/>
              <w:jc w:val="center"/>
              <w:rPr>
                <w:rFonts w:hint="default" w:ascii="Times New Roman" w:hAnsi="Times New Roman" w:eastAsia="宋体" w:cs="Times New Roman"/>
                <w:color w:val="000000"/>
                <w:kern w:val="2"/>
                <w:sz w:val="24"/>
                <w:szCs w:val="24"/>
                <w:lang w:val="en-US" w:eastAsia="zh-CN" w:bidi="ar-SA"/>
              </w:rPr>
            </w:pPr>
            <w:r>
              <w:rPr>
                <w:rFonts w:hint="eastAsia" w:eastAsia="宋体" w:cs="Times New Roman"/>
                <w:color w:val="000000"/>
                <w:kern w:val="2"/>
                <w:sz w:val="24"/>
                <w:szCs w:val="24"/>
                <w:lang w:val="en-US" w:eastAsia="zh-CN" w:bidi="ar-SA"/>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8" w:type="dxa"/>
            <w:vMerge w:val="continue"/>
            <w:tcBorders>
              <w:tl2br w:val="nil"/>
              <w:tr2bl w:val="nil"/>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l2br w:val="nil"/>
              <w:tr2bl w:val="nil"/>
            </w:tcBorders>
            <w:shd w:val="clear" w:color="auto" w:fill="auto"/>
            <w:vAlign w:val="center"/>
          </w:tcPr>
          <w:p>
            <w:pPr>
              <w:widowControl/>
              <w:spacing w:line="300" w:lineRule="exact"/>
              <w:jc w:val="center"/>
              <w:rPr>
                <w:rFonts w:eastAsia="宋体"/>
                <w:color w:val="000000"/>
                <w:sz w:val="24"/>
              </w:rPr>
            </w:pPr>
          </w:p>
        </w:tc>
        <w:tc>
          <w:tcPr>
            <w:tcW w:w="1273" w:type="dxa"/>
            <w:tcBorders>
              <w:tl2br w:val="nil"/>
              <w:tr2bl w:val="nil"/>
            </w:tcBorders>
            <w:shd w:val="clear" w:color="auto" w:fill="auto"/>
            <w:vAlign w:val="center"/>
          </w:tcPr>
          <w:p>
            <w:pPr>
              <w:widowControl/>
              <w:spacing w:line="300" w:lineRule="exact"/>
              <w:jc w:val="center"/>
              <w:textAlignment w:val="center"/>
              <w:rPr>
                <w:rFonts w:hint="eastAsia" w:eastAsia="宋体"/>
                <w:color w:val="000000"/>
                <w:kern w:val="0"/>
                <w:sz w:val="24"/>
                <w:lang w:val="en-US" w:eastAsia="zh-CN" w:bidi="ar"/>
              </w:rPr>
            </w:pPr>
            <w:r>
              <w:rPr>
                <w:rFonts w:hint="eastAsia" w:eastAsia="宋体"/>
                <w:color w:val="000000"/>
                <w:kern w:val="0"/>
                <w:sz w:val="24"/>
                <w:lang w:val="en-US" w:eastAsia="zh-CN" w:bidi="ar"/>
              </w:rPr>
              <w:t>经济效益</w:t>
            </w:r>
          </w:p>
          <w:p>
            <w:pPr>
              <w:widowControl/>
              <w:spacing w:line="300" w:lineRule="exact"/>
              <w:jc w:val="center"/>
              <w:rPr>
                <w:rFonts w:eastAsia="宋体"/>
                <w:color w:val="000000"/>
                <w:sz w:val="24"/>
              </w:rPr>
            </w:pPr>
            <w:r>
              <w:rPr>
                <w:rFonts w:hint="eastAsia" w:eastAsia="宋体"/>
                <w:color w:val="000000"/>
                <w:kern w:val="0"/>
                <w:sz w:val="24"/>
                <w:lang w:val="en-US" w:eastAsia="zh-CN" w:bidi="ar"/>
              </w:rPr>
              <w:t>指标</w:t>
            </w:r>
          </w:p>
        </w:tc>
        <w:tc>
          <w:tcPr>
            <w:tcW w:w="1100" w:type="dxa"/>
            <w:tcBorders>
              <w:tl2br w:val="nil"/>
              <w:tr2bl w:val="nil"/>
            </w:tcBorders>
            <w:shd w:val="clear" w:color="auto" w:fill="auto"/>
            <w:vAlign w:val="center"/>
          </w:tcPr>
          <w:p>
            <w:pPr>
              <w:widowControl/>
              <w:spacing w:line="300" w:lineRule="exact"/>
              <w:jc w:val="left"/>
              <w:rPr>
                <w:rFonts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对预算管理工作的促进作用</w:t>
            </w:r>
          </w:p>
        </w:tc>
        <w:tc>
          <w:tcPr>
            <w:tcW w:w="1145" w:type="dxa"/>
            <w:tcBorders>
              <w:tl2br w:val="nil"/>
              <w:tr2bl w:val="nil"/>
            </w:tcBorders>
            <w:shd w:val="clear" w:color="auto" w:fill="auto"/>
            <w:vAlign w:val="center"/>
          </w:tcPr>
          <w:p>
            <w:pPr>
              <w:widowControl/>
              <w:spacing w:line="300" w:lineRule="exact"/>
              <w:jc w:val="left"/>
              <w:rPr>
                <w:rFonts w:hint="default" w:ascii="Times New Roman" w:hAnsi="Times New Roman" w:eastAsia="宋体" w:cs="Times New Roman"/>
                <w:color w:val="000000"/>
                <w:kern w:val="2"/>
                <w:sz w:val="24"/>
                <w:szCs w:val="24"/>
                <w:lang w:val="en-US" w:eastAsia="zh-CN" w:bidi="ar-SA"/>
              </w:rPr>
            </w:pPr>
            <w:r>
              <w:rPr>
                <w:rFonts w:hint="eastAsia" w:eastAsia="宋体" w:cs="Times New Roman"/>
                <w:color w:val="000000"/>
                <w:kern w:val="2"/>
                <w:sz w:val="24"/>
                <w:szCs w:val="24"/>
                <w:lang w:val="en-US" w:eastAsia="zh-CN" w:bidi="ar-SA"/>
              </w:rPr>
              <w:t>定性</w:t>
            </w:r>
          </w:p>
        </w:tc>
        <w:tc>
          <w:tcPr>
            <w:tcW w:w="1289" w:type="dxa"/>
            <w:tcBorders>
              <w:tl2br w:val="nil"/>
              <w:tr2bl w:val="nil"/>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优良中差</w:t>
            </w:r>
          </w:p>
        </w:tc>
        <w:tc>
          <w:tcPr>
            <w:tcW w:w="1058" w:type="dxa"/>
            <w:tcBorders>
              <w:tl2br w:val="nil"/>
              <w:tr2bl w:val="nil"/>
            </w:tcBorders>
            <w:shd w:val="clear" w:color="auto" w:fill="auto"/>
            <w:vAlign w:val="center"/>
          </w:tcPr>
          <w:p>
            <w:pPr>
              <w:widowControl/>
              <w:spacing w:line="300" w:lineRule="exact"/>
              <w:jc w:val="left"/>
              <w:rPr>
                <w:rFonts w:eastAsia="宋体"/>
                <w:color w:val="000000"/>
                <w:sz w:val="24"/>
              </w:rPr>
            </w:pPr>
          </w:p>
        </w:tc>
        <w:tc>
          <w:tcPr>
            <w:tcW w:w="2040" w:type="dxa"/>
            <w:tcBorders>
              <w:tl2br w:val="nil"/>
              <w:tr2bl w:val="nil"/>
            </w:tcBorders>
            <w:shd w:val="clear" w:color="auto" w:fill="auto"/>
            <w:vAlign w:val="center"/>
          </w:tcPr>
          <w:p>
            <w:pPr>
              <w:widowControl/>
              <w:spacing w:line="300" w:lineRule="exact"/>
              <w:jc w:val="center"/>
              <w:rPr>
                <w:rFonts w:hint="eastAsia" w:eastAsia="宋体"/>
                <w:color w:val="000000"/>
                <w:sz w:val="24"/>
                <w:lang w:val="en-US" w:eastAsia="zh-CN"/>
              </w:rPr>
            </w:pPr>
            <w:r>
              <w:rPr>
                <w:rFonts w:hint="eastAsia" w:eastAsia="宋体"/>
                <w:color w:val="000000"/>
                <w:sz w:val="24"/>
                <w:lang w:val="en-US"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308" w:type="dxa"/>
            <w:vMerge w:val="continue"/>
            <w:tcBorders>
              <w:tl2br w:val="nil"/>
              <w:tr2bl w:val="nil"/>
            </w:tcBorders>
            <w:shd w:val="clear" w:color="auto" w:fill="auto"/>
            <w:vAlign w:val="center"/>
          </w:tcPr>
          <w:p>
            <w:pPr>
              <w:widowControl/>
              <w:spacing w:line="300" w:lineRule="exact"/>
              <w:jc w:val="center"/>
              <w:rPr>
                <w:rFonts w:eastAsia="宋体"/>
                <w:color w:val="000000"/>
                <w:sz w:val="24"/>
              </w:rPr>
            </w:pPr>
          </w:p>
        </w:tc>
        <w:tc>
          <w:tcPr>
            <w:tcW w:w="1347" w:type="dxa"/>
            <w:tcBorders>
              <w:tl2br w:val="nil"/>
              <w:tr2bl w:val="nil"/>
            </w:tcBorders>
            <w:shd w:val="clear" w:color="auto" w:fill="auto"/>
            <w:vAlign w:val="center"/>
          </w:tcPr>
          <w:p>
            <w:pPr>
              <w:widowControl/>
              <w:spacing w:line="300" w:lineRule="exact"/>
              <w:jc w:val="center"/>
              <w:rPr>
                <w:rFonts w:eastAsia="宋体"/>
                <w:color w:val="000000"/>
                <w:sz w:val="24"/>
              </w:rPr>
            </w:pPr>
            <w:r>
              <w:rPr>
                <w:rFonts w:eastAsia="宋体"/>
                <w:color w:val="000000"/>
                <w:kern w:val="0"/>
                <w:sz w:val="24"/>
                <w:lang w:bidi="ar"/>
              </w:rPr>
              <w:t>满意度指标</w:t>
            </w:r>
          </w:p>
        </w:tc>
        <w:tc>
          <w:tcPr>
            <w:tcW w:w="1273" w:type="dxa"/>
            <w:tcBorders>
              <w:tl2br w:val="nil"/>
              <w:tr2bl w:val="nil"/>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kern w:val="2"/>
                <w:sz w:val="24"/>
                <w:szCs w:val="24"/>
                <w:lang w:val="en-US" w:eastAsia="zh-CN" w:bidi="ar-SA"/>
              </w:rPr>
            </w:pPr>
            <w:r>
              <w:rPr>
                <w:rFonts w:eastAsia="宋体"/>
                <w:color w:val="000000"/>
                <w:kern w:val="0"/>
                <w:sz w:val="24"/>
                <w:lang w:bidi="ar"/>
              </w:rPr>
              <w:t>满意度指标</w:t>
            </w:r>
          </w:p>
        </w:tc>
        <w:tc>
          <w:tcPr>
            <w:tcW w:w="1100" w:type="dxa"/>
            <w:tcBorders>
              <w:tl2br w:val="nil"/>
              <w:tr2bl w:val="nil"/>
            </w:tcBorders>
            <w:shd w:val="clear" w:color="auto" w:fill="auto"/>
            <w:vAlign w:val="center"/>
          </w:tcPr>
          <w:p>
            <w:pPr>
              <w:widowControl/>
              <w:spacing w:line="300" w:lineRule="exact"/>
              <w:jc w:val="left"/>
              <w:rPr>
                <w:rFonts w:ascii="Times New Roman" w:hAnsi="Times New Roman" w:eastAsia="宋体" w:cs="Times New Roman"/>
                <w:color w:val="000000"/>
                <w:kern w:val="2"/>
                <w:sz w:val="24"/>
                <w:szCs w:val="24"/>
                <w:lang w:val="en-US" w:eastAsia="zh-CN" w:bidi="ar-SA"/>
              </w:rPr>
            </w:pPr>
            <w:r>
              <w:rPr>
                <w:rFonts w:hint="eastAsia" w:eastAsia="宋体"/>
                <w:color w:val="000000"/>
                <w:sz w:val="24"/>
              </w:rPr>
              <w:t>本单位职工满意度、服务对象满意度</w:t>
            </w:r>
          </w:p>
        </w:tc>
        <w:tc>
          <w:tcPr>
            <w:tcW w:w="1145" w:type="dxa"/>
            <w:tcBorders>
              <w:tl2br w:val="nil"/>
              <w:tr2bl w:val="nil"/>
            </w:tcBorders>
            <w:shd w:val="clear" w:color="auto" w:fill="auto"/>
            <w:vAlign w:val="center"/>
          </w:tcPr>
          <w:p>
            <w:pPr>
              <w:widowControl/>
              <w:spacing w:line="300" w:lineRule="exact"/>
              <w:jc w:val="left"/>
              <w:rPr>
                <w:rFonts w:ascii="Times New Roman" w:hAnsi="Times New Roman" w:eastAsia="宋体" w:cs="Times New Roman"/>
                <w:color w:val="000000"/>
                <w:kern w:val="2"/>
                <w:sz w:val="24"/>
                <w:szCs w:val="24"/>
                <w:lang w:val="en-US" w:eastAsia="zh-CN" w:bidi="ar-SA"/>
              </w:rPr>
            </w:pPr>
            <w:r>
              <w:rPr>
                <w:rFonts w:hint="eastAsia" w:eastAsia="宋体" w:cs="Times New Roman"/>
                <w:color w:val="000000"/>
                <w:kern w:val="2"/>
                <w:sz w:val="24"/>
                <w:szCs w:val="24"/>
                <w:lang w:val="en-US" w:eastAsia="zh-CN" w:bidi="ar-SA"/>
              </w:rPr>
              <w:t>定性</w:t>
            </w:r>
          </w:p>
        </w:tc>
        <w:tc>
          <w:tcPr>
            <w:tcW w:w="1289" w:type="dxa"/>
            <w:tcBorders>
              <w:tl2br w:val="nil"/>
              <w:tr2bl w:val="nil"/>
            </w:tcBorders>
            <w:shd w:val="clear" w:color="auto" w:fill="auto"/>
            <w:vAlign w:val="center"/>
          </w:tcPr>
          <w:p>
            <w:pPr>
              <w:widowControl/>
              <w:spacing w:line="300" w:lineRule="exact"/>
              <w:jc w:val="left"/>
              <w:rPr>
                <w:rFonts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优良中差</w:t>
            </w:r>
          </w:p>
        </w:tc>
        <w:tc>
          <w:tcPr>
            <w:tcW w:w="1058" w:type="dxa"/>
            <w:tcBorders>
              <w:tl2br w:val="nil"/>
              <w:tr2bl w:val="nil"/>
            </w:tcBorders>
            <w:shd w:val="clear" w:color="auto" w:fill="auto"/>
            <w:vAlign w:val="center"/>
          </w:tcPr>
          <w:p>
            <w:pPr>
              <w:widowControl/>
              <w:spacing w:line="300" w:lineRule="exact"/>
              <w:jc w:val="left"/>
              <w:rPr>
                <w:rFonts w:ascii="Times New Roman" w:hAnsi="Times New Roman" w:eastAsia="宋体" w:cs="Times New Roman"/>
                <w:color w:val="000000"/>
                <w:kern w:val="2"/>
                <w:sz w:val="24"/>
                <w:szCs w:val="24"/>
                <w:lang w:val="en-US" w:eastAsia="zh-CN" w:bidi="ar-SA"/>
              </w:rPr>
            </w:pPr>
          </w:p>
        </w:tc>
        <w:tc>
          <w:tcPr>
            <w:tcW w:w="2040" w:type="dxa"/>
            <w:tcBorders>
              <w:tl2br w:val="nil"/>
              <w:tr2bl w:val="nil"/>
            </w:tcBorders>
            <w:shd w:val="clear" w:color="auto" w:fill="auto"/>
            <w:vAlign w:val="center"/>
          </w:tcPr>
          <w:p>
            <w:pPr>
              <w:widowControl/>
              <w:spacing w:line="300" w:lineRule="exact"/>
              <w:jc w:val="center"/>
              <w:rPr>
                <w:rFonts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优</w:t>
            </w:r>
          </w:p>
        </w:tc>
      </w:tr>
    </w:tbl>
    <w:p/>
    <w:sectPr>
      <w:headerReference r:id="rId3" w:type="default"/>
      <w:footerReference r:id="rId4" w:type="default"/>
      <w:pgSz w:w="11906" w:h="16838"/>
      <w:pgMar w:top="2098" w:right="1474" w:bottom="1984" w:left="1587" w:header="851" w:footer="992" w:gutter="0"/>
      <w:pgBorders>
        <w:top w:val="none" w:sz="0" w:space="0"/>
        <w:left w:val="none" w:sz="0" w:space="0"/>
        <w:bottom w:val="none" w:sz="0" w:space="0"/>
        <w:right w:val="none" w:sz="0" w:space="0"/>
      </w:pgBorders>
      <w:pgNumType w:fmt="numberInDash"/>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 w:name="方正小标宋_GBK">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ind w:right="451"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8"/>
                      <w:ind w:right="451"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45A944"/>
    <w:multiLevelType w:val="singleLevel"/>
    <w:tmpl w:val="0745A944"/>
    <w:lvl w:ilvl="0" w:tentative="0">
      <w:start w:val="2"/>
      <w:numFmt w:val="chineseCounting"/>
      <w:suff w:val="nothing"/>
      <w:lvlText w:val="（%1）"/>
      <w:lvlJc w:val="left"/>
      <w:rPr>
        <w:rFonts w:hint="eastAsia"/>
      </w:rPr>
    </w:lvl>
  </w:abstractNum>
  <w:abstractNum w:abstractNumId="1">
    <w:nsid w:val="7C26F311"/>
    <w:multiLevelType w:val="singleLevel"/>
    <w:tmpl w:val="7C26F311"/>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2ODRhNjVlZGJjMjBmOWRmZmQyMWE5YTM2NzUxYzAifQ=="/>
  </w:docVars>
  <w:rsids>
    <w:rsidRoot w:val="00EC0174"/>
    <w:rsid w:val="00006E4D"/>
    <w:rsid w:val="00021652"/>
    <w:rsid w:val="00030311"/>
    <w:rsid w:val="00030782"/>
    <w:rsid w:val="00030B66"/>
    <w:rsid w:val="0006102A"/>
    <w:rsid w:val="00065B0F"/>
    <w:rsid w:val="00065E7E"/>
    <w:rsid w:val="000820BB"/>
    <w:rsid w:val="0008241B"/>
    <w:rsid w:val="00092280"/>
    <w:rsid w:val="00097FAE"/>
    <w:rsid w:val="000A3233"/>
    <w:rsid w:val="000A3F8B"/>
    <w:rsid w:val="000A7CE3"/>
    <w:rsid w:val="000B04D6"/>
    <w:rsid w:val="000B15CE"/>
    <w:rsid w:val="000C40C6"/>
    <w:rsid w:val="000C79C1"/>
    <w:rsid w:val="000D208A"/>
    <w:rsid w:val="000E037E"/>
    <w:rsid w:val="000E3FC3"/>
    <w:rsid w:val="000F659A"/>
    <w:rsid w:val="000F77B0"/>
    <w:rsid w:val="0010235D"/>
    <w:rsid w:val="00103A47"/>
    <w:rsid w:val="00106D4D"/>
    <w:rsid w:val="001119A2"/>
    <w:rsid w:val="001221D6"/>
    <w:rsid w:val="0012510A"/>
    <w:rsid w:val="00125F67"/>
    <w:rsid w:val="001261AE"/>
    <w:rsid w:val="001348A4"/>
    <w:rsid w:val="0014117C"/>
    <w:rsid w:val="00146FE8"/>
    <w:rsid w:val="0014767B"/>
    <w:rsid w:val="00147AED"/>
    <w:rsid w:val="00177AAF"/>
    <w:rsid w:val="00183850"/>
    <w:rsid w:val="00184D9F"/>
    <w:rsid w:val="001A4749"/>
    <w:rsid w:val="001A4842"/>
    <w:rsid w:val="001A5833"/>
    <w:rsid w:val="001C2158"/>
    <w:rsid w:val="001C51F2"/>
    <w:rsid w:val="001C73AB"/>
    <w:rsid w:val="001D2EA4"/>
    <w:rsid w:val="001F47CE"/>
    <w:rsid w:val="001F5776"/>
    <w:rsid w:val="0020620D"/>
    <w:rsid w:val="002069BC"/>
    <w:rsid w:val="002069EB"/>
    <w:rsid w:val="002201B0"/>
    <w:rsid w:val="00220900"/>
    <w:rsid w:val="0022307E"/>
    <w:rsid w:val="00224D05"/>
    <w:rsid w:val="002323A3"/>
    <w:rsid w:val="00236EF7"/>
    <w:rsid w:val="0024058A"/>
    <w:rsid w:val="002410C0"/>
    <w:rsid w:val="00252894"/>
    <w:rsid w:val="00253FA6"/>
    <w:rsid w:val="00254728"/>
    <w:rsid w:val="002550E7"/>
    <w:rsid w:val="002558D4"/>
    <w:rsid w:val="002560E2"/>
    <w:rsid w:val="00264CFA"/>
    <w:rsid w:val="00270DD7"/>
    <w:rsid w:val="00276F4A"/>
    <w:rsid w:val="00280BFB"/>
    <w:rsid w:val="00280C88"/>
    <w:rsid w:val="002973A4"/>
    <w:rsid w:val="002A0195"/>
    <w:rsid w:val="002B5B34"/>
    <w:rsid w:val="002B6906"/>
    <w:rsid w:val="002B7215"/>
    <w:rsid w:val="002C0AFD"/>
    <w:rsid w:val="002C59D0"/>
    <w:rsid w:val="002D1A18"/>
    <w:rsid w:val="002D6C79"/>
    <w:rsid w:val="002E1104"/>
    <w:rsid w:val="002E3FDD"/>
    <w:rsid w:val="00300EF4"/>
    <w:rsid w:val="00301353"/>
    <w:rsid w:val="00305FF6"/>
    <w:rsid w:val="00307568"/>
    <w:rsid w:val="00311506"/>
    <w:rsid w:val="00316ADB"/>
    <w:rsid w:val="00317623"/>
    <w:rsid w:val="00335F67"/>
    <w:rsid w:val="003361E9"/>
    <w:rsid w:val="00350A65"/>
    <w:rsid w:val="00361C85"/>
    <w:rsid w:val="00371352"/>
    <w:rsid w:val="00376753"/>
    <w:rsid w:val="0038541D"/>
    <w:rsid w:val="00387818"/>
    <w:rsid w:val="00391A13"/>
    <w:rsid w:val="00391FD0"/>
    <w:rsid w:val="003A44FC"/>
    <w:rsid w:val="003B3299"/>
    <w:rsid w:val="003B6928"/>
    <w:rsid w:val="003D10A2"/>
    <w:rsid w:val="003D33B8"/>
    <w:rsid w:val="003D624D"/>
    <w:rsid w:val="003D719A"/>
    <w:rsid w:val="003F1D56"/>
    <w:rsid w:val="003F5EB7"/>
    <w:rsid w:val="003F7FE2"/>
    <w:rsid w:val="004004E7"/>
    <w:rsid w:val="00416E1A"/>
    <w:rsid w:val="00426A3F"/>
    <w:rsid w:val="004277D4"/>
    <w:rsid w:val="00461638"/>
    <w:rsid w:val="004706FA"/>
    <w:rsid w:val="00474D8D"/>
    <w:rsid w:val="00475CCD"/>
    <w:rsid w:val="00477266"/>
    <w:rsid w:val="004811BC"/>
    <w:rsid w:val="004838F2"/>
    <w:rsid w:val="00486492"/>
    <w:rsid w:val="00492CF6"/>
    <w:rsid w:val="004A4C9D"/>
    <w:rsid w:val="004C2078"/>
    <w:rsid w:val="004C228F"/>
    <w:rsid w:val="004E752F"/>
    <w:rsid w:val="004F1E37"/>
    <w:rsid w:val="00515198"/>
    <w:rsid w:val="00521C44"/>
    <w:rsid w:val="005274E1"/>
    <w:rsid w:val="00531DDF"/>
    <w:rsid w:val="00535FA6"/>
    <w:rsid w:val="00542AB7"/>
    <w:rsid w:val="0055358D"/>
    <w:rsid w:val="005540C8"/>
    <w:rsid w:val="00555809"/>
    <w:rsid w:val="00562165"/>
    <w:rsid w:val="005756AF"/>
    <w:rsid w:val="00575A4A"/>
    <w:rsid w:val="00591B6F"/>
    <w:rsid w:val="005A1DAF"/>
    <w:rsid w:val="005C17C8"/>
    <w:rsid w:val="005C2098"/>
    <w:rsid w:val="005C2E6C"/>
    <w:rsid w:val="005D0CCF"/>
    <w:rsid w:val="005D1C01"/>
    <w:rsid w:val="005E297D"/>
    <w:rsid w:val="005E3F12"/>
    <w:rsid w:val="005F627E"/>
    <w:rsid w:val="0061652E"/>
    <w:rsid w:val="006205E9"/>
    <w:rsid w:val="00622D0B"/>
    <w:rsid w:val="006270DA"/>
    <w:rsid w:val="00630B75"/>
    <w:rsid w:val="00634DFF"/>
    <w:rsid w:val="00635337"/>
    <w:rsid w:val="0064265B"/>
    <w:rsid w:val="0064519C"/>
    <w:rsid w:val="0065082E"/>
    <w:rsid w:val="006512D0"/>
    <w:rsid w:val="006560A3"/>
    <w:rsid w:val="00656301"/>
    <w:rsid w:val="006600C9"/>
    <w:rsid w:val="006701CC"/>
    <w:rsid w:val="00671F58"/>
    <w:rsid w:val="00672E61"/>
    <w:rsid w:val="006762A4"/>
    <w:rsid w:val="006900E7"/>
    <w:rsid w:val="006A00A8"/>
    <w:rsid w:val="006A482D"/>
    <w:rsid w:val="006B11E0"/>
    <w:rsid w:val="006B386A"/>
    <w:rsid w:val="006B7CB4"/>
    <w:rsid w:val="006C24D3"/>
    <w:rsid w:val="006C7917"/>
    <w:rsid w:val="006E51AE"/>
    <w:rsid w:val="0070081F"/>
    <w:rsid w:val="007018F5"/>
    <w:rsid w:val="00710897"/>
    <w:rsid w:val="00712F45"/>
    <w:rsid w:val="00734305"/>
    <w:rsid w:val="007370E1"/>
    <w:rsid w:val="007732A1"/>
    <w:rsid w:val="00774C4A"/>
    <w:rsid w:val="00782BBB"/>
    <w:rsid w:val="007A0690"/>
    <w:rsid w:val="007A078F"/>
    <w:rsid w:val="007B34D4"/>
    <w:rsid w:val="007C0633"/>
    <w:rsid w:val="007D086C"/>
    <w:rsid w:val="007F1BE1"/>
    <w:rsid w:val="007F707F"/>
    <w:rsid w:val="007F794C"/>
    <w:rsid w:val="007F7AC9"/>
    <w:rsid w:val="00803B42"/>
    <w:rsid w:val="008073EF"/>
    <w:rsid w:val="0081095C"/>
    <w:rsid w:val="00810C41"/>
    <w:rsid w:val="008212FF"/>
    <w:rsid w:val="0082593B"/>
    <w:rsid w:val="00827537"/>
    <w:rsid w:val="008468EA"/>
    <w:rsid w:val="00867140"/>
    <w:rsid w:val="00881134"/>
    <w:rsid w:val="008904F0"/>
    <w:rsid w:val="008B2F27"/>
    <w:rsid w:val="008B4A72"/>
    <w:rsid w:val="008B585E"/>
    <w:rsid w:val="008E0DA1"/>
    <w:rsid w:val="008E6C0C"/>
    <w:rsid w:val="008F1E63"/>
    <w:rsid w:val="008F3052"/>
    <w:rsid w:val="00901E19"/>
    <w:rsid w:val="009214F7"/>
    <w:rsid w:val="00921CD7"/>
    <w:rsid w:val="00940EB6"/>
    <w:rsid w:val="00944771"/>
    <w:rsid w:val="009601FC"/>
    <w:rsid w:val="00965426"/>
    <w:rsid w:val="0096654A"/>
    <w:rsid w:val="009711E4"/>
    <w:rsid w:val="00971572"/>
    <w:rsid w:val="00981E55"/>
    <w:rsid w:val="00986CEF"/>
    <w:rsid w:val="00987212"/>
    <w:rsid w:val="009A0E5F"/>
    <w:rsid w:val="009F1AF3"/>
    <w:rsid w:val="009F233E"/>
    <w:rsid w:val="00A024AB"/>
    <w:rsid w:val="00A050A5"/>
    <w:rsid w:val="00A05B8B"/>
    <w:rsid w:val="00A1372F"/>
    <w:rsid w:val="00A170EC"/>
    <w:rsid w:val="00A217B3"/>
    <w:rsid w:val="00A23D04"/>
    <w:rsid w:val="00A277D9"/>
    <w:rsid w:val="00A30CEB"/>
    <w:rsid w:val="00A31318"/>
    <w:rsid w:val="00A5432A"/>
    <w:rsid w:val="00A55F8A"/>
    <w:rsid w:val="00A9670E"/>
    <w:rsid w:val="00AA1423"/>
    <w:rsid w:val="00AB7996"/>
    <w:rsid w:val="00AC43C3"/>
    <w:rsid w:val="00AE2EAD"/>
    <w:rsid w:val="00AF77BE"/>
    <w:rsid w:val="00B11CEE"/>
    <w:rsid w:val="00B23428"/>
    <w:rsid w:val="00B264BF"/>
    <w:rsid w:val="00B3594D"/>
    <w:rsid w:val="00B42E74"/>
    <w:rsid w:val="00B46874"/>
    <w:rsid w:val="00B50E8F"/>
    <w:rsid w:val="00B51151"/>
    <w:rsid w:val="00B523E4"/>
    <w:rsid w:val="00B52B4F"/>
    <w:rsid w:val="00B6108C"/>
    <w:rsid w:val="00B649AD"/>
    <w:rsid w:val="00B64B9C"/>
    <w:rsid w:val="00B67A3E"/>
    <w:rsid w:val="00B735CC"/>
    <w:rsid w:val="00B82C95"/>
    <w:rsid w:val="00B83F87"/>
    <w:rsid w:val="00B84DFD"/>
    <w:rsid w:val="00BB4E38"/>
    <w:rsid w:val="00BC3879"/>
    <w:rsid w:val="00BD0E0D"/>
    <w:rsid w:val="00BD41BC"/>
    <w:rsid w:val="00BD55AD"/>
    <w:rsid w:val="00BE0305"/>
    <w:rsid w:val="00BF15F0"/>
    <w:rsid w:val="00BF7DF9"/>
    <w:rsid w:val="00C03559"/>
    <w:rsid w:val="00C05395"/>
    <w:rsid w:val="00C22AD7"/>
    <w:rsid w:val="00C272C1"/>
    <w:rsid w:val="00C32A68"/>
    <w:rsid w:val="00C34282"/>
    <w:rsid w:val="00C35350"/>
    <w:rsid w:val="00C3564B"/>
    <w:rsid w:val="00C53721"/>
    <w:rsid w:val="00C64D2E"/>
    <w:rsid w:val="00C70F97"/>
    <w:rsid w:val="00C7497C"/>
    <w:rsid w:val="00C757A2"/>
    <w:rsid w:val="00C75966"/>
    <w:rsid w:val="00C76577"/>
    <w:rsid w:val="00C80225"/>
    <w:rsid w:val="00C81349"/>
    <w:rsid w:val="00C93139"/>
    <w:rsid w:val="00CA08A0"/>
    <w:rsid w:val="00CA32D2"/>
    <w:rsid w:val="00CA4E07"/>
    <w:rsid w:val="00CA737D"/>
    <w:rsid w:val="00CB1EF5"/>
    <w:rsid w:val="00CC05D4"/>
    <w:rsid w:val="00CC7166"/>
    <w:rsid w:val="00CF5275"/>
    <w:rsid w:val="00CF6136"/>
    <w:rsid w:val="00D0023D"/>
    <w:rsid w:val="00D006C6"/>
    <w:rsid w:val="00D14A65"/>
    <w:rsid w:val="00D162B9"/>
    <w:rsid w:val="00D251E2"/>
    <w:rsid w:val="00D254F4"/>
    <w:rsid w:val="00D263A7"/>
    <w:rsid w:val="00D26B5D"/>
    <w:rsid w:val="00D33159"/>
    <w:rsid w:val="00D33A19"/>
    <w:rsid w:val="00D355B5"/>
    <w:rsid w:val="00D43DC3"/>
    <w:rsid w:val="00D51791"/>
    <w:rsid w:val="00D5281E"/>
    <w:rsid w:val="00D6531B"/>
    <w:rsid w:val="00D6612D"/>
    <w:rsid w:val="00D71AD9"/>
    <w:rsid w:val="00D73C02"/>
    <w:rsid w:val="00D872ED"/>
    <w:rsid w:val="00D913C6"/>
    <w:rsid w:val="00DA0236"/>
    <w:rsid w:val="00DA5D51"/>
    <w:rsid w:val="00DA5E29"/>
    <w:rsid w:val="00DA61CA"/>
    <w:rsid w:val="00DB66BB"/>
    <w:rsid w:val="00DB73AF"/>
    <w:rsid w:val="00DC2865"/>
    <w:rsid w:val="00DD0894"/>
    <w:rsid w:val="00DE1888"/>
    <w:rsid w:val="00DF1250"/>
    <w:rsid w:val="00DF6EF7"/>
    <w:rsid w:val="00E05454"/>
    <w:rsid w:val="00E074C3"/>
    <w:rsid w:val="00E23329"/>
    <w:rsid w:val="00E24D6D"/>
    <w:rsid w:val="00E341B2"/>
    <w:rsid w:val="00E42633"/>
    <w:rsid w:val="00E5699E"/>
    <w:rsid w:val="00E570E1"/>
    <w:rsid w:val="00E72773"/>
    <w:rsid w:val="00E76739"/>
    <w:rsid w:val="00E81946"/>
    <w:rsid w:val="00E82BB7"/>
    <w:rsid w:val="00E86D13"/>
    <w:rsid w:val="00E936C2"/>
    <w:rsid w:val="00E95346"/>
    <w:rsid w:val="00EA0CEF"/>
    <w:rsid w:val="00EA2E2A"/>
    <w:rsid w:val="00EA741A"/>
    <w:rsid w:val="00EB79D2"/>
    <w:rsid w:val="00EC0174"/>
    <w:rsid w:val="00ED3EEB"/>
    <w:rsid w:val="00ED5749"/>
    <w:rsid w:val="00ED5FA3"/>
    <w:rsid w:val="00ED68C4"/>
    <w:rsid w:val="00ED6A4E"/>
    <w:rsid w:val="00ED72EA"/>
    <w:rsid w:val="00EE3A4F"/>
    <w:rsid w:val="00EF10C3"/>
    <w:rsid w:val="00EF3BD2"/>
    <w:rsid w:val="00F16BCE"/>
    <w:rsid w:val="00F45DA1"/>
    <w:rsid w:val="00F5267B"/>
    <w:rsid w:val="00F53E8B"/>
    <w:rsid w:val="00F663FD"/>
    <w:rsid w:val="00F743B0"/>
    <w:rsid w:val="00F82409"/>
    <w:rsid w:val="00F8264F"/>
    <w:rsid w:val="00F833E9"/>
    <w:rsid w:val="00F84580"/>
    <w:rsid w:val="00F873DA"/>
    <w:rsid w:val="00F95982"/>
    <w:rsid w:val="00FA006C"/>
    <w:rsid w:val="00FA190E"/>
    <w:rsid w:val="00FA288B"/>
    <w:rsid w:val="00FA2997"/>
    <w:rsid w:val="00FA2C71"/>
    <w:rsid w:val="00FB2476"/>
    <w:rsid w:val="00FB3345"/>
    <w:rsid w:val="00FD0228"/>
    <w:rsid w:val="00FD3BB7"/>
    <w:rsid w:val="00FE0D93"/>
    <w:rsid w:val="00FF2572"/>
    <w:rsid w:val="00FF32AD"/>
    <w:rsid w:val="035E7BD0"/>
    <w:rsid w:val="05DC421B"/>
    <w:rsid w:val="05EE20D3"/>
    <w:rsid w:val="06A05249"/>
    <w:rsid w:val="06DF2EC6"/>
    <w:rsid w:val="07602C49"/>
    <w:rsid w:val="07C80EFB"/>
    <w:rsid w:val="0AA80AD3"/>
    <w:rsid w:val="0B3514F3"/>
    <w:rsid w:val="0C2F779B"/>
    <w:rsid w:val="0D18022F"/>
    <w:rsid w:val="0DC31556"/>
    <w:rsid w:val="0EB43F87"/>
    <w:rsid w:val="0F107EF3"/>
    <w:rsid w:val="0FB57FB7"/>
    <w:rsid w:val="10A06571"/>
    <w:rsid w:val="11FA43A7"/>
    <w:rsid w:val="15D13671"/>
    <w:rsid w:val="17CA481C"/>
    <w:rsid w:val="18335F1D"/>
    <w:rsid w:val="19281E12"/>
    <w:rsid w:val="194C6281"/>
    <w:rsid w:val="1A3D6143"/>
    <w:rsid w:val="1B3A7B84"/>
    <w:rsid w:val="1BB13295"/>
    <w:rsid w:val="1C013801"/>
    <w:rsid w:val="1CBF17DA"/>
    <w:rsid w:val="1DFD8D3B"/>
    <w:rsid w:val="1EFE38DC"/>
    <w:rsid w:val="1F010B23"/>
    <w:rsid w:val="1FB79DC9"/>
    <w:rsid w:val="1FBFC3F2"/>
    <w:rsid w:val="1FFFE033"/>
    <w:rsid w:val="207417C9"/>
    <w:rsid w:val="22031056"/>
    <w:rsid w:val="22140B6D"/>
    <w:rsid w:val="2236157A"/>
    <w:rsid w:val="22D078AB"/>
    <w:rsid w:val="232A43C0"/>
    <w:rsid w:val="23CD191B"/>
    <w:rsid w:val="25005360"/>
    <w:rsid w:val="252437BD"/>
    <w:rsid w:val="2559428A"/>
    <w:rsid w:val="262477ED"/>
    <w:rsid w:val="273870AC"/>
    <w:rsid w:val="27F352A6"/>
    <w:rsid w:val="280451E0"/>
    <w:rsid w:val="28321D4D"/>
    <w:rsid w:val="289E4AC2"/>
    <w:rsid w:val="29560A0A"/>
    <w:rsid w:val="29E4176D"/>
    <w:rsid w:val="2C054070"/>
    <w:rsid w:val="2D1403E3"/>
    <w:rsid w:val="2D527252"/>
    <w:rsid w:val="2DDC1740"/>
    <w:rsid w:val="2EAE55F2"/>
    <w:rsid w:val="2EDF4302"/>
    <w:rsid w:val="2EFE1A04"/>
    <w:rsid w:val="2FFF3854"/>
    <w:rsid w:val="316275FE"/>
    <w:rsid w:val="32042AE6"/>
    <w:rsid w:val="32817A2D"/>
    <w:rsid w:val="3324596F"/>
    <w:rsid w:val="35BBF80F"/>
    <w:rsid w:val="3772660A"/>
    <w:rsid w:val="378B76CC"/>
    <w:rsid w:val="38A02D03"/>
    <w:rsid w:val="39C71EBC"/>
    <w:rsid w:val="3A881CA1"/>
    <w:rsid w:val="3AE071C4"/>
    <w:rsid w:val="3B0B3937"/>
    <w:rsid w:val="3B736F08"/>
    <w:rsid w:val="3BE3D531"/>
    <w:rsid w:val="3BE51B6A"/>
    <w:rsid w:val="3CBA2BB4"/>
    <w:rsid w:val="3CD06FA6"/>
    <w:rsid w:val="3D431A40"/>
    <w:rsid w:val="3ECB08D6"/>
    <w:rsid w:val="3EFF42CA"/>
    <w:rsid w:val="3F14754C"/>
    <w:rsid w:val="3F6FCA38"/>
    <w:rsid w:val="3FD5AF3D"/>
    <w:rsid w:val="3FFED8BE"/>
    <w:rsid w:val="3FFF43BB"/>
    <w:rsid w:val="3FFFFC14"/>
    <w:rsid w:val="404E1296"/>
    <w:rsid w:val="409A0980"/>
    <w:rsid w:val="41696842"/>
    <w:rsid w:val="41C37A62"/>
    <w:rsid w:val="433DCF8E"/>
    <w:rsid w:val="43CC0E50"/>
    <w:rsid w:val="43E77A38"/>
    <w:rsid w:val="446F1617"/>
    <w:rsid w:val="45294080"/>
    <w:rsid w:val="4584118C"/>
    <w:rsid w:val="45FF973D"/>
    <w:rsid w:val="46183B55"/>
    <w:rsid w:val="466B0DF4"/>
    <w:rsid w:val="46845473"/>
    <w:rsid w:val="474F3279"/>
    <w:rsid w:val="47550EBA"/>
    <w:rsid w:val="493E12E4"/>
    <w:rsid w:val="494E0559"/>
    <w:rsid w:val="4A652208"/>
    <w:rsid w:val="4A706E70"/>
    <w:rsid w:val="4B2D22C7"/>
    <w:rsid w:val="4B4614E8"/>
    <w:rsid w:val="4B4B4D50"/>
    <w:rsid w:val="4BDA5C54"/>
    <w:rsid w:val="4BF7E09D"/>
    <w:rsid w:val="4D5D520F"/>
    <w:rsid w:val="4D9724CF"/>
    <w:rsid w:val="4E6D1482"/>
    <w:rsid w:val="4FB07878"/>
    <w:rsid w:val="508278E3"/>
    <w:rsid w:val="51AE022E"/>
    <w:rsid w:val="52301BF2"/>
    <w:rsid w:val="53BB74FC"/>
    <w:rsid w:val="55123D7C"/>
    <w:rsid w:val="55FDDF92"/>
    <w:rsid w:val="55FFBC03"/>
    <w:rsid w:val="56CDA72E"/>
    <w:rsid w:val="576F5916"/>
    <w:rsid w:val="577FDAE2"/>
    <w:rsid w:val="57FBE2C7"/>
    <w:rsid w:val="591B10C7"/>
    <w:rsid w:val="59D16D68"/>
    <w:rsid w:val="5A467B8D"/>
    <w:rsid w:val="5A932270"/>
    <w:rsid w:val="5B335734"/>
    <w:rsid w:val="5B557525"/>
    <w:rsid w:val="5B7F322F"/>
    <w:rsid w:val="5B982E74"/>
    <w:rsid w:val="5B99131B"/>
    <w:rsid w:val="5BCAB023"/>
    <w:rsid w:val="5BEACB58"/>
    <w:rsid w:val="5CEB2A9D"/>
    <w:rsid w:val="5D8649C7"/>
    <w:rsid w:val="5DDA9B94"/>
    <w:rsid w:val="5EAB810D"/>
    <w:rsid w:val="5EFA9846"/>
    <w:rsid w:val="5EFF9DA6"/>
    <w:rsid w:val="5F7751B9"/>
    <w:rsid w:val="5F9F7232"/>
    <w:rsid w:val="5F9F9588"/>
    <w:rsid w:val="5FBD32D2"/>
    <w:rsid w:val="5FD450B0"/>
    <w:rsid w:val="5FEF60CD"/>
    <w:rsid w:val="5FFB203D"/>
    <w:rsid w:val="5FFB8CF9"/>
    <w:rsid w:val="62C20707"/>
    <w:rsid w:val="63B034EF"/>
    <w:rsid w:val="63D23FA5"/>
    <w:rsid w:val="63DBAF21"/>
    <w:rsid w:val="63DD2C21"/>
    <w:rsid w:val="64872E45"/>
    <w:rsid w:val="65442AE4"/>
    <w:rsid w:val="6636451A"/>
    <w:rsid w:val="67DE2886"/>
    <w:rsid w:val="67DE80AA"/>
    <w:rsid w:val="683E1A6D"/>
    <w:rsid w:val="68843876"/>
    <w:rsid w:val="690A7BA1"/>
    <w:rsid w:val="697E3B47"/>
    <w:rsid w:val="69BF132E"/>
    <w:rsid w:val="6B64656D"/>
    <w:rsid w:val="6B7F84D8"/>
    <w:rsid w:val="6BE747E0"/>
    <w:rsid w:val="6BFEE5F3"/>
    <w:rsid w:val="6C604250"/>
    <w:rsid w:val="6CA43E69"/>
    <w:rsid w:val="6CAFF34E"/>
    <w:rsid w:val="6CC664D5"/>
    <w:rsid w:val="6CD56718"/>
    <w:rsid w:val="6CFFCF4F"/>
    <w:rsid w:val="6DFFF8B6"/>
    <w:rsid w:val="6E3D6323"/>
    <w:rsid w:val="6E9FE641"/>
    <w:rsid w:val="6EEDE807"/>
    <w:rsid w:val="6EEE4BE4"/>
    <w:rsid w:val="6EF65E9C"/>
    <w:rsid w:val="6F3D9197"/>
    <w:rsid w:val="6F6F75B6"/>
    <w:rsid w:val="6FAB3EC4"/>
    <w:rsid w:val="6FB6AF41"/>
    <w:rsid w:val="6FD52DA7"/>
    <w:rsid w:val="6FD894C8"/>
    <w:rsid w:val="6FE36A9E"/>
    <w:rsid w:val="6FEFB2D1"/>
    <w:rsid w:val="6FFF97E6"/>
    <w:rsid w:val="70CE5958"/>
    <w:rsid w:val="71397E03"/>
    <w:rsid w:val="71FB5B08"/>
    <w:rsid w:val="733F5077"/>
    <w:rsid w:val="73FB87D9"/>
    <w:rsid w:val="75431F28"/>
    <w:rsid w:val="75EF0FBA"/>
    <w:rsid w:val="7607C293"/>
    <w:rsid w:val="765A0CBD"/>
    <w:rsid w:val="76793C4E"/>
    <w:rsid w:val="767B0EE7"/>
    <w:rsid w:val="76D01188"/>
    <w:rsid w:val="76DF783A"/>
    <w:rsid w:val="76DFA4E8"/>
    <w:rsid w:val="778720BD"/>
    <w:rsid w:val="77A7D615"/>
    <w:rsid w:val="77FF366A"/>
    <w:rsid w:val="77FF8C96"/>
    <w:rsid w:val="77FFA8F9"/>
    <w:rsid w:val="78D14237"/>
    <w:rsid w:val="79075EAB"/>
    <w:rsid w:val="7976604B"/>
    <w:rsid w:val="79F3BC78"/>
    <w:rsid w:val="7A5B6CAA"/>
    <w:rsid w:val="7A9314AC"/>
    <w:rsid w:val="7B4F6850"/>
    <w:rsid w:val="7B5F3D7C"/>
    <w:rsid w:val="7BABD5C4"/>
    <w:rsid w:val="7BB12055"/>
    <w:rsid w:val="7BBFADBA"/>
    <w:rsid w:val="7BF7F9C6"/>
    <w:rsid w:val="7BFF492D"/>
    <w:rsid w:val="7C240B22"/>
    <w:rsid w:val="7C631402"/>
    <w:rsid w:val="7C978C63"/>
    <w:rsid w:val="7CA35AD0"/>
    <w:rsid w:val="7CD34CF9"/>
    <w:rsid w:val="7CDC31AB"/>
    <w:rsid w:val="7CDF8BC3"/>
    <w:rsid w:val="7CEB72A5"/>
    <w:rsid w:val="7D18750B"/>
    <w:rsid w:val="7D4A4219"/>
    <w:rsid w:val="7D596B27"/>
    <w:rsid w:val="7DA71A0B"/>
    <w:rsid w:val="7DDFDC39"/>
    <w:rsid w:val="7DFDEECD"/>
    <w:rsid w:val="7E140770"/>
    <w:rsid w:val="7E1A21DD"/>
    <w:rsid w:val="7E5D92FB"/>
    <w:rsid w:val="7E635AE7"/>
    <w:rsid w:val="7EE2286E"/>
    <w:rsid w:val="7EF51D64"/>
    <w:rsid w:val="7EFFF488"/>
    <w:rsid w:val="7F574612"/>
    <w:rsid w:val="7F7F4920"/>
    <w:rsid w:val="7F9C090D"/>
    <w:rsid w:val="7FB7C299"/>
    <w:rsid w:val="7FBFFB92"/>
    <w:rsid w:val="7FD76ACB"/>
    <w:rsid w:val="7FD89DA2"/>
    <w:rsid w:val="7FDBD805"/>
    <w:rsid w:val="7FDEC14D"/>
    <w:rsid w:val="7FDF8B76"/>
    <w:rsid w:val="7FDFE693"/>
    <w:rsid w:val="7FEFB5DD"/>
    <w:rsid w:val="7FEFBBD9"/>
    <w:rsid w:val="7FF03C31"/>
    <w:rsid w:val="7FFD6A57"/>
    <w:rsid w:val="7FFDA7EC"/>
    <w:rsid w:val="7FFDEA1E"/>
    <w:rsid w:val="7FFEC1F6"/>
    <w:rsid w:val="7FFF0917"/>
    <w:rsid w:val="7FFF2F52"/>
    <w:rsid w:val="8F7B4EC8"/>
    <w:rsid w:val="8FBD4480"/>
    <w:rsid w:val="8FF7AE96"/>
    <w:rsid w:val="955F5184"/>
    <w:rsid w:val="9F6311D7"/>
    <w:rsid w:val="9FF54399"/>
    <w:rsid w:val="A46D76C1"/>
    <w:rsid w:val="A7FF43C2"/>
    <w:rsid w:val="ABF66286"/>
    <w:rsid w:val="AD9E3F04"/>
    <w:rsid w:val="ADA70464"/>
    <w:rsid w:val="AFE97CD3"/>
    <w:rsid w:val="B1BF5C63"/>
    <w:rsid w:val="B1FF3A18"/>
    <w:rsid w:val="B3CDF284"/>
    <w:rsid w:val="B3E8107B"/>
    <w:rsid w:val="B579A608"/>
    <w:rsid w:val="B5F66F24"/>
    <w:rsid w:val="B7F5200A"/>
    <w:rsid w:val="BABDA1AA"/>
    <w:rsid w:val="BB1B4BF1"/>
    <w:rsid w:val="BBE5FE68"/>
    <w:rsid w:val="BBFEB9C1"/>
    <w:rsid w:val="BDF7406A"/>
    <w:rsid w:val="BE6FD8DB"/>
    <w:rsid w:val="BEEF57C2"/>
    <w:rsid w:val="BF6CD6FF"/>
    <w:rsid w:val="BF6D5596"/>
    <w:rsid w:val="BFBEBB2C"/>
    <w:rsid w:val="BFC68935"/>
    <w:rsid w:val="BFDD0F1D"/>
    <w:rsid w:val="BFDDD096"/>
    <w:rsid w:val="C5B3F496"/>
    <w:rsid w:val="C96F3E49"/>
    <w:rsid w:val="CBBF14F3"/>
    <w:rsid w:val="CBE5DCF2"/>
    <w:rsid w:val="CCFCC735"/>
    <w:rsid w:val="CEEB8A74"/>
    <w:rsid w:val="D37FB642"/>
    <w:rsid w:val="D7F99798"/>
    <w:rsid w:val="D7FF400C"/>
    <w:rsid w:val="D9DB2628"/>
    <w:rsid w:val="DBED1CD4"/>
    <w:rsid w:val="DBFBB328"/>
    <w:rsid w:val="DDD7453A"/>
    <w:rsid w:val="DE3E1FD7"/>
    <w:rsid w:val="DEBFCF8E"/>
    <w:rsid w:val="DFBE1B79"/>
    <w:rsid w:val="DFCF1FEC"/>
    <w:rsid w:val="DFE75A3D"/>
    <w:rsid w:val="DFED2117"/>
    <w:rsid w:val="DFEF594B"/>
    <w:rsid w:val="DFF3F960"/>
    <w:rsid w:val="DFFE0D61"/>
    <w:rsid w:val="E35C4B3C"/>
    <w:rsid w:val="E3A781CA"/>
    <w:rsid w:val="E5DFAB50"/>
    <w:rsid w:val="E6FC647F"/>
    <w:rsid w:val="EAE6D6D4"/>
    <w:rsid w:val="EBFBC8F1"/>
    <w:rsid w:val="EBFDF757"/>
    <w:rsid w:val="ED758B5D"/>
    <w:rsid w:val="ED76A08D"/>
    <w:rsid w:val="EDBDD81F"/>
    <w:rsid w:val="EDFDB542"/>
    <w:rsid w:val="EF0FCF96"/>
    <w:rsid w:val="EF95E20F"/>
    <w:rsid w:val="EFAF7DFF"/>
    <w:rsid w:val="EFAFB283"/>
    <w:rsid w:val="EFBDA38B"/>
    <w:rsid w:val="EFEE9A76"/>
    <w:rsid w:val="F1BF6FBC"/>
    <w:rsid w:val="F1F9A9B5"/>
    <w:rsid w:val="F3779FC2"/>
    <w:rsid w:val="F3D5C239"/>
    <w:rsid w:val="F3F37DF4"/>
    <w:rsid w:val="F3F96DE6"/>
    <w:rsid w:val="F3FBC54A"/>
    <w:rsid w:val="F47BB68A"/>
    <w:rsid w:val="F47F523E"/>
    <w:rsid w:val="F69FD6B0"/>
    <w:rsid w:val="F7E7F921"/>
    <w:rsid w:val="F7F7AC6A"/>
    <w:rsid w:val="F7FD93B9"/>
    <w:rsid w:val="F8D9A400"/>
    <w:rsid w:val="FABF64A5"/>
    <w:rsid w:val="FABF7411"/>
    <w:rsid w:val="FBA53981"/>
    <w:rsid w:val="FBE4457E"/>
    <w:rsid w:val="FBFC558A"/>
    <w:rsid w:val="FBFF71AC"/>
    <w:rsid w:val="FBFFEA2B"/>
    <w:rsid w:val="FCCB27AA"/>
    <w:rsid w:val="FCFF8F4B"/>
    <w:rsid w:val="FD9595AD"/>
    <w:rsid w:val="FDDF4F05"/>
    <w:rsid w:val="FDF9DD9A"/>
    <w:rsid w:val="FDFF2821"/>
    <w:rsid w:val="FDFFA696"/>
    <w:rsid w:val="FE7FB02B"/>
    <w:rsid w:val="FEBD0232"/>
    <w:rsid w:val="FED5A77F"/>
    <w:rsid w:val="FEDFD193"/>
    <w:rsid w:val="FEE7097E"/>
    <w:rsid w:val="FEEF8230"/>
    <w:rsid w:val="FEF1F1BE"/>
    <w:rsid w:val="FEF99316"/>
    <w:rsid w:val="FEFB20CB"/>
    <w:rsid w:val="FEFD95B3"/>
    <w:rsid w:val="FEFE4E93"/>
    <w:rsid w:val="FEFFA483"/>
    <w:rsid w:val="FF29B32D"/>
    <w:rsid w:val="FF2E6944"/>
    <w:rsid w:val="FF5F9D52"/>
    <w:rsid w:val="FF7A0B6A"/>
    <w:rsid w:val="FF7B6DC2"/>
    <w:rsid w:val="FF7FFF75"/>
    <w:rsid w:val="FF921F59"/>
    <w:rsid w:val="FFB75E44"/>
    <w:rsid w:val="FFBB1E09"/>
    <w:rsid w:val="FFBB6A0C"/>
    <w:rsid w:val="FFBD894B"/>
    <w:rsid w:val="FFBF33B3"/>
    <w:rsid w:val="FFD09362"/>
    <w:rsid w:val="FFD1DA08"/>
    <w:rsid w:val="FFD7DEDD"/>
    <w:rsid w:val="FFDE369F"/>
    <w:rsid w:val="FFEF98C9"/>
    <w:rsid w:val="FFEFCE62"/>
    <w:rsid w:val="FFF973B0"/>
    <w:rsid w:val="FFFB4F05"/>
    <w:rsid w:val="FFFEC8F5"/>
    <w:rsid w:val="FFFEF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3">
    <w:name w:val="Normal Indent"/>
    <w:basedOn w:val="1"/>
    <w:next w:val="1"/>
    <w:qFormat/>
    <w:uiPriority w:val="0"/>
    <w:pPr>
      <w:spacing w:before="156" w:beforeLines="50" w:line="360" w:lineRule="auto"/>
      <w:ind w:firstLine="480" w:firstLineChars="200"/>
    </w:pPr>
    <w:rPr>
      <w:rFonts w:eastAsia="仿宋"/>
      <w:sz w:val="24"/>
      <w:szCs w:val="23"/>
      <w:lang w:eastAsia="ar-SA"/>
    </w:rPr>
  </w:style>
  <w:style w:type="paragraph" w:styleId="4">
    <w:name w:val="Document Map"/>
    <w:basedOn w:val="1"/>
    <w:link w:val="18"/>
    <w:qFormat/>
    <w:uiPriority w:val="0"/>
    <w:rPr>
      <w:rFonts w:ascii="宋体" w:eastAsia="宋体"/>
      <w:sz w:val="18"/>
      <w:szCs w:val="18"/>
    </w:rPr>
  </w:style>
  <w:style w:type="paragraph" w:styleId="5">
    <w:name w:val="Body Text"/>
    <w:basedOn w:val="1"/>
    <w:next w:val="1"/>
    <w:qFormat/>
    <w:uiPriority w:val="0"/>
    <w:pPr>
      <w:spacing w:after="120"/>
    </w:pPr>
  </w:style>
  <w:style w:type="paragraph" w:styleId="6">
    <w:name w:val="Body Text Indent"/>
    <w:basedOn w:val="1"/>
    <w:qFormat/>
    <w:uiPriority w:val="0"/>
    <w:pPr>
      <w:spacing w:after="120"/>
      <w:ind w:left="200" w:leftChars="200"/>
    </w:pPr>
    <w:rPr>
      <w:rFonts w:ascii="仿宋_GB2312"/>
      <w:szCs w:val="32"/>
    </w:rPr>
  </w:style>
  <w:style w:type="paragraph" w:styleId="7">
    <w:name w:val="Balloon Text"/>
    <w:basedOn w:val="1"/>
    <w:semiHidden/>
    <w:qFormat/>
    <w:uiPriority w:val="0"/>
    <w:rPr>
      <w:sz w:val="18"/>
      <w:szCs w:val="18"/>
    </w:rPr>
  </w:style>
  <w:style w:type="paragraph" w:styleId="8">
    <w:name w:val="footer"/>
    <w:basedOn w:val="1"/>
    <w:link w:val="20"/>
    <w:qFormat/>
    <w:uiPriority w:val="99"/>
    <w:pPr>
      <w:tabs>
        <w:tab w:val="center" w:pos="4153"/>
        <w:tab w:val="right" w:pos="8306"/>
      </w:tabs>
      <w:snapToGrid w:val="0"/>
      <w:jc w:val="left"/>
    </w:pPr>
    <w:rPr>
      <w:rFonts w:eastAsia="宋体"/>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0">
    <w:name w:val="toc 1"/>
    <w:basedOn w:val="1"/>
    <w:next w:val="1"/>
    <w:qFormat/>
    <w:uiPriority w:val="0"/>
  </w:style>
  <w:style w:type="paragraph" w:styleId="11">
    <w:name w:val="Body Text First Indent 2"/>
    <w:basedOn w:val="6"/>
    <w:next w:val="1"/>
    <w:unhideWhenUsed/>
    <w:qFormat/>
    <w:uiPriority w:val="99"/>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page number"/>
    <w:basedOn w:val="14"/>
    <w:qFormat/>
    <w:uiPriority w:val="0"/>
  </w:style>
  <w:style w:type="paragraph" w:customStyle="1" w:styleId="16">
    <w:name w:val="四号正文"/>
    <w:basedOn w:val="1"/>
    <w:link w:val="17"/>
    <w:qFormat/>
    <w:uiPriority w:val="0"/>
    <w:pPr>
      <w:spacing w:line="360" w:lineRule="auto"/>
    </w:pPr>
    <w:rPr>
      <w:rFonts w:ascii="??" w:hAnsi="??" w:eastAsia="宋体" w:cs="宋体"/>
      <w:color w:val="000000"/>
      <w:kern w:val="0"/>
      <w:sz w:val="28"/>
      <w:szCs w:val="21"/>
    </w:rPr>
  </w:style>
  <w:style w:type="character" w:customStyle="1" w:styleId="17">
    <w:name w:val="四号正文 Char"/>
    <w:basedOn w:val="14"/>
    <w:link w:val="16"/>
    <w:qFormat/>
    <w:uiPriority w:val="0"/>
    <w:rPr>
      <w:rFonts w:ascii="??" w:hAnsi="??" w:eastAsia="宋体" w:cs="宋体"/>
      <w:color w:val="000000"/>
      <w:sz w:val="28"/>
      <w:szCs w:val="21"/>
      <w:lang w:val="en-US" w:eastAsia="zh-CN" w:bidi="ar-SA"/>
    </w:rPr>
  </w:style>
  <w:style w:type="character" w:customStyle="1" w:styleId="18">
    <w:name w:val="文档结构图 Char"/>
    <w:basedOn w:val="14"/>
    <w:link w:val="4"/>
    <w:qFormat/>
    <w:uiPriority w:val="0"/>
    <w:rPr>
      <w:rFonts w:ascii="宋体"/>
      <w:kern w:val="2"/>
      <w:sz w:val="18"/>
      <w:szCs w:val="18"/>
    </w:rPr>
  </w:style>
  <w:style w:type="paragraph" w:customStyle="1" w:styleId="19">
    <w:name w:val="a"/>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20">
    <w:name w:val="页脚 Char"/>
    <w:basedOn w:val="14"/>
    <w:link w:val="8"/>
    <w:qFormat/>
    <w:uiPriority w:val="99"/>
    <w:rPr>
      <w:kern w:val="2"/>
      <w:sz w:val="18"/>
      <w:szCs w:val="18"/>
    </w:rPr>
  </w:style>
  <w:style w:type="character" w:customStyle="1" w:styleId="21">
    <w:name w:val="font31"/>
    <w:basedOn w:val="14"/>
    <w:qFormat/>
    <w:uiPriority w:val="0"/>
    <w:rPr>
      <w:rFonts w:hint="eastAsia" w:ascii="宋体" w:hAnsi="宋体" w:eastAsia="宋体" w:cs="宋体"/>
      <w:color w:val="000000"/>
      <w:sz w:val="24"/>
      <w:szCs w:val="24"/>
      <w:u w:val="none"/>
    </w:rPr>
  </w:style>
  <w:style w:type="character" w:customStyle="1" w:styleId="22">
    <w:name w:val="font51"/>
    <w:basedOn w:val="14"/>
    <w:qFormat/>
    <w:uiPriority w:val="0"/>
    <w:rPr>
      <w:rFonts w:hint="default" w:ascii="Wingdings 2" w:hAnsi="Wingdings 2" w:eastAsia="Wingdings 2" w:cs="Wingdings 2"/>
      <w:color w:val="000000"/>
      <w:sz w:val="18"/>
      <w:szCs w:val="18"/>
      <w:u w:val="none"/>
    </w:rPr>
  </w:style>
  <w:style w:type="character" w:customStyle="1" w:styleId="23">
    <w:name w:val="font01"/>
    <w:basedOn w:val="14"/>
    <w:qFormat/>
    <w:uiPriority w:val="0"/>
    <w:rPr>
      <w:rFonts w:ascii="宋体" w:hAnsi="宋体" w:eastAsia="宋体" w:cs="宋体"/>
      <w:color w:val="000000"/>
      <w:sz w:val="18"/>
      <w:szCs w:val="18"/>
      <w:u w:val="none"/>
    </w:rPr>
  </w:style>
  <w:style w:type="character" w:customStyle="1" w:styleId="24">
    <w:name w:val="font41"/>
    <w:basedOn w:val="14"/>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PSZX</Company>
  <Pages>9</Pages>
  <Words>3614</Words>
  <Characters>3864</Characters>
  <Lines>18</Lines>
  <Paragraphs>5</Paragraphs>
  <TotalTime>15</TotalTime>
  <ScaleCrop>false</ScaleCrop>
  <LinksUpToDate>false</LinksUpToDate>
  <CharactersWithSpaces>3868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2025-03-27T08:07:00Z</dcterms:created>
  <dc:creator>陈萍</dc:creator>
  <cp:lastModifiedBy>Administrator</cp:lastModifiedBy>
  <cp:lastPrinted>2025-03-04T19:05:00Z</cp:lastPrinted>
  <dcterms:modified xsi:type="dcterms:W3CDTF">2026-06-15T03:22:26Z</dcterms:modified>
  <dc:title>区域性就业培训基地建设项目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8C87B219F8E741A8882918299656D982_13</vt:lpwstr>
  </property>
  <property fmtid="{D5CDD505-2E9C-101B-9397-08002B2CF9AE}" pid="4" name="KSOTemplateDocerSaveRecord">
    <vt:lpwstr>eyJoZGlkIjoiMTIxYWI2ZjcyNTlmMWVhMmY4YjU3MGFjYWRhMmJjMGYiLCJ1c2VySWQiOiIxNjM2NzcxNDUxIn0=</vt:lpwstr>
  </property>
</Properties>
</file>