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1DEFA">
      <w:pPr>
        <w:spacing w:line="578" w:lineRule="exact"/>
        <w:contextualSpacing/>
        <w:rPr>
          <w:rFonts w:eastAsia="黑体"/>
          <w:szCs w:val="32"/>
          <w:lang w:val="zh-CN"/>
        </w:rPr>
      </w:pPr>
      <w:r>
        <w:rPr>
          <w:rFonts w:eastAsia="黑体"/>
          <w:szCs w:val="32"/>
          <w:lang w:val="zh-CN"/>
        </w:rPr>
        <w:t>附件</w:t>
      </w:r>
      <w:r>
        <w:rPr>
          <w:rFonts w:eastAsia="黑体"/>
          <w:szCs w:val="32"/>
        </w:rPr>
        <w:t>2</w:t>
      </w:r>
    </w:p>
    <w:p w14:paraId="5C144335">
      <w:pPr>
        <w:widowControl/>
        <w:spacing w:line="578" w:lineRule="exact"/>
        <w:contextualSpacing/>
        <w:rPr>
          <w:rFonts w:eastAsia="宋体"/>
          <w:b/>
          <w:sz w:val="44"/>
          <w:szCs w:val="44"/>
          <w:shd w:val="clear" w:color="auto" w:fill="FFFFFF"/>
        </w:rPr>
      </w:pPr>
    </w:p>
    <w:p w14:paraId="3E76AF74">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14:paraId="1985B5D8">
      <w:pPr>
        <w:widowControl/>
        <w:spacing w:line="578" w:lineRule="exact"/>
        <w:contextualSpacing/>
        <w:jc w:val="center"/>
        <w:rPr>
          <w:szCs w:val="32"/>
          <w:shd w:val="clear" w:color="auto" w:fill="FFFFFF"/>
        </w:rPr>
      </w:pPr>
      <w:r>
        <w:rPr>
          <w:szCs w:val="32"/>
          <w:shd w:val="clear" w:color="auto" w:fill="FFFFFF"/>
        </w:rPr>
        <w:t>（报告范围包括机关和下属单位）</w:t>
      </w:r>
    </w:p>
    <w:p w14:paraId="5290C9F5">
      <w:pPr>
        <w:keepNext w:val="0"/>
        <w:keepLines w:val="0"/>
        <w:pageBreakBefore w:val="0"/>
        <w:widowControl/>
        <w:kinsoku/>
        <w:wordWrap/>
        <w:topLinePunct w:val="0"/>
        <w:autoSpaceDE/>
        <w:autoSpaceDN/>
        <w:bidi w:val="0"/>
        <w:adjustRightInd w:val="0"/>
        <w:snapToGrid w:val="0"/>
        <w:spacing w:line="580" w:lineRule="exact"/>
        <w:ind w:firstLine="480" w:firstLineChars="200"/>
        <w:contextualSpacing/>
        <w:jc w:val="left"/>
        <w:textAlignment w:val="auto"/>
        <w:rPr>
          <w:rFonts w:eastAsia="黑体"/>
          <w:color w:val="000000"/>
          <w:kern w:val="0"/>
          <w:sz w:val="24"/>
          <w:szCs w:val="32"/>
          <w:shd w:val="clear" w:color="auto" w:fill="FFFFFF"/>
        </w:rPr>
      </w:pPr>
    </w:p>
    <w:p w14:paraId="338426A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color w:val="000000"/>
          <w:kern w:val="0"/>
          <w:sz w:val="32"/>
          <w:szCs w:val="32"/>
          <w:shd w:val="clear" w:color="auto" w:fill="FFFFFF"/>
          <w:lang w:val="zh-CN"/>
        </w:rPr>
        <w:t>一、部门（单位）基本情况</w:t>
      </w:r>
    </w:p>
    <w:p w14:paraId="0697FDB6">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color w:val="000000"/>
          <w:kern w:val="0"/>
          <w:sz w:val="32"/>
          <w:szCs w:val="32"/>
          <w:shd w:val="clear" w:color="auto" w:fill="FFFFFF"/>
          <w:lang w:val="zh-CN"/>
        </w:rPr>
        <w:t>（一）机构组成</w:t>
      </w:r>
    </w:p>
    <w:p w14:paraId="662EC8E1">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sz w:val="32"/>
          <w:szCs w:val="32"/>
          <w:lang w:val="en-US" w:eastAsia="zh-CN"/>
        </w:rPr>
        <w:t>西区信访局为行政单位，执行政府会计制度。内设办公室和业务股，下设西区群众工作中心一个二级单位。</w:t>
      </w:r>
    </w:p>
    <w:p w14:paraId="3F9A387A">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（二）机构职能</w:t>
      </w:r>
    </w:p>
    <w:p w14:paraId="2BB1D9C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贯彻执行党和国家关于信访工作的方针、政策、法律、法规以及各级党委、政府的决策部署；提出改进和加强信访工作的建议；负责本系统、本部门依法行政工作。负责向区委、区政府反映来信来电来访中提出的重要建议、意见和问题，综合研判信访信息，开展调查研究，提出制定修改完善有关政策法规的建议。指导全区信访工作，督促检查镇、街道和区级各部门（单位）的信访工作，并总结推广信访工作经验，牵头完成信访工作宣传和信息发布。负责处理区内群众、境外人士、法人及其他组织通过信访渠道给区委、区政府及领导同志涉及本辖区权限内的来信来电，接待来访。承担处理群众进京赴省到市、区集体上访和非接待场所上访的责任。承担上级批示交办信访事项，向镇、街道及区级各部门（单位）转办、交办信访事项，督促检查重要信访事项的处理和落实。制定信访信息汇集分析机制，指导全区信访信息化建设和应用。承担区信访工作联席会议、区政府信访事项复查复核委员会日常工作，监督落实有关事项。负责职责范围内的安全生产和职业健康、生态环境保护、审批服务便民化工作。完成区委和区政府交办的其他任务。</w:t>
      </w:r>
    </w:p>
    <w:p w14:paraId="7CBC63EE">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（三）人员概况</w:t>
      </w:r>
    </w:p>
    <w:p w14:paraId="6AF2D14E">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截至2025年末，西区信访局及下属单位核定行政编制3人、事业编制5人，实有行政编制人员3人、事业编制人员5人，聘用人员4人。与上年相比，聘用人员增加1人。</w:t>
      </w:r>
    </w:p>
    <w:p w14:paraId="3B7E454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eastAsia" w:ascii="方正黑体_GBK" w:hAnsi="方正黑体_GBK" w:eastAsia="方正黑体_GBK" w:cs="方正黑体_GBK"/>
          <w:color w:val="000000"/>
          <w:kern w:val="0"/>
          <w:sz w:val="32"/>
          <w:szCs w:val="32"/>
          <w:shd w:val="clear" w:color="auto" w:fill="FFFFFF"/>
        </w:rPr>
      </w:pPr>
      <w:r>
        <w:rPr>
          <w:rFonts w:hint="eastAsia" w:ascii="方正黑体_GBK" w:hAnsi="方正黑体_GBK" w:eastAsia="方正黑体_GBK" w:cs="方正黑体_GBK"/>
          <w:color w:val="000000"/>
          <w:kern w:val="0"/>
          <w:sz w:val="32"/>
          <w:szCs w:val="32"/>
          <w:shd w:val="clear" w:color="auto" w:fill="FFFFFF"/>
        </w:rPr>
        <w:t>二、部门资金收支情况</w:t>
      </w:r>
    </w:p>
    <w:p w14:paraId="4227D0CF">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（一）收入情况</w:t>
      </w:r>
    </w:p>
    <w:p w14:paraId="1F7FDA2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rPr>
      </w:pPr>
      <w:r>
        <w:rPr>
          <w:rFonts w:hint="default" w:ascii="Times New Roman" w:hAnsi="Times New Roman" w:eastAsia="方正仿宋_GBK" w:cs="Times New Roman"/>
          <w:sz w:val="32"/>
          <w:szCs w:val="32"/>
          <w:lang w:val="en-US" w:eastAsia="zh-CN"/>
        </w:rPr>
        <w:t>西区信访局2025年全年预算收入228.10万元，其中：一般公共预算拨款收入228.10万元，占总收入100%</w:t>
      </w:r>
      <w:r>
        <w:rPr>
          <w:rFonts w:hint="default" w:ascii="Times New Roman" w:hAnsi="Times New Roman" w:eastAsia="方正仿宋_GBK" w:cs="Times New Roman"/>
          <w:sz w:val="32"/>
          <w:szCs w:val="32"/>
        </w:rPr>
        <w:t>。</w:t>
      </w:r>
    </w:p>
    <w:p w14:paraId="6F52AECB">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（二）支出情况</w:t>
      </w:r>
    </w:p>
    <w:p w14:paraId="7C1ED91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2025年财政资金支出231.</w:t>
      </w:r>
      <w:r>
        <w:rPr>
          <w:rFonts w:hint="eastAsia" w:ascii="Times New Roman" w:hAnsi="Times New Roman" w:eastAsia="方正仿宋_GBK" w:cs="Times New Roman"/>
          <w:color w:val="000000"/>
          <w:kern w:val="0"/>
          <w:sz w:val="32"/>
          <w:szCs w:val="32"/>
          <w:shd w:val="clear" w:color="auto" w:fill="FFFFFF"/>
          <w:lang w:val="en-US" w:eastAsia="zh-CN"/>
        </w:rPr>
        <w:t>79</w:t>
      </w:r>
      <w:bookmarkStart w:id="3" w:name="_GoBack"/>
      <w:bookmarkEnd w:id="3"/>
      <w:r>
        <w:rPr>
          <w:rFonts w:hint="default" w:ascii="Times New Roman" w:hAnsi="Times New Roman" w:eastAsia="方正仿宋_GBK" w:cs="Times New Roman"/>
          <w:color w:val="000000"/>
          <w:kern w:val="0"/>
          <w:sz w:val="32"/>
          <w:szCs w:val="32"/>
          <w:shd w:val="clear" w:color="auto" w:fill="FFFFFF"/>
          <w:lang w:val="zh-CN"/>
        </w:rPr>
        <w:t>万元，其中：基本支出198.64万元（人员经费187.52万元，公用经费11.12万元），项目支出33.15万元。</w:t>
      </w:r>
    </w:p>
    <w:p w14:paraId="6B81C516">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（三）结余分配和结转结余情况</w:t>
      </w:r>
    </w:p>
    <w:p w14:paraId="2FE911A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sz w:val="32"/>
          <w:szCs w:val="32"/>
          <w:lang w:eastAsia="zh-CN"/>
        </w:rPr>
        <w:t>西区信访局2025年决算报表无年末结转结余资金。年初结转结余3.70万元已在本年全部支出</w:t>
      </w:r>
      <w:r>
        <w:rPr>
          <w:rFonts w:hint="default" w:ascii="Times New Roman" w:hAnsi="Times New Roman" w:eastAsia="方正仿宋_GBK" w:cs="Times New Roman"/>
          <w:color w:val="000000"/>
          <w:kern w:val="0"/>
          <w:sz w:val="32"/>
          <w:szCs w:val="32"/>
          <w:shd w:val="clear" w:color="auto" w:fill="FFFFFF"/>
        </w:rPr>
        <w:t>。</w:t>
      </w:r>
    </w:p>
    <w:p w14:paraId="25B9974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eastAsia" w:ascii="方正黑体_GBK" w:hAnsi="方正黑体_GBK" w:eastAsia="方正黑体_GBK" w:cs="方正黑体_GBK"/>
          <w:color w:val="000000" w:themeColor="text1"/>
          <w:kern w:val="0"/>
          <w:sz w:val="32"/>
          <w:szCs w:val="32"/>
          <w:shd w:val="clear" w:color="auto" w:fill="FFFFFF"/>
          <w14:textFill>
            <w14:solidFill>
              <w14:schemeClr w14:val="tx1"/>
            </w14:solidFill>
          </w14:textFill>
        </w:rPr>
      </w:pPr>
      <w:r>
        <w:rPr>
          <w:rFonts w:hint="eastAsia" w:ascii="方正黑体_GBK" w:hAnsi="方正黑体_GBK" w:eastAsia="方正黑体_GBK" w:cs="方正黑体_GBK"/>
          <w:color w:val="000000"/>
          <w:kern w:val="0"/>
          <w:sz w:val="32"/>
          <w:szCs w:val="32"/>
          <w:shd w:val="clear" w:color="auto" w:fill="FFFFFF"/>
        </w:rPr>
        <w:t>三、部门预算绩效分析</w:t>
      </w:r>
    </w:p>
    <w:p w14:paraId="4E291190">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（一）部门预算总体绩效分析。</w:t>
      </w:r>
      <w:r>
        <w:rPr>
          <w:rFonts w:hint="default" w:ascii="Times New Roman" w:hAnsi="Times New Roman" w:eastAsia="方正仿宋_GBK" w:cs="Times New Roman"/>
          <w:color w:val="000000"/>
          <w:kern w:val="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6F32D8FD">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rPr>
        <w:t>1</w:t>
      </w:r>
      <w:r>
        <w:rPr>
          <w:rFonts w:hint="eastAsia" w:ascii="Times New Roman" w:hAnsi="Times New Roman" w:eastAsia="方正仿宋_GBK" w:cs="Times New Roman"/>
          <w:color w:val="000000"/>
          <w:kern w:val="0"/>
          <w:sz w:val="32"/>
          <w:szCs w:val="32"/>
          <w:highlight w:val="none"/>
          <w:shd w:val="clear" w:color="auto" w:fill="FFFFFF"/>
        </w:rPr>
        <w:t>．</w:t>
      </w:r>
      <w:r>
        <w:rPr>
          <w:rFonts w:hint="default" w:ascii="Times New Roman" w:hAnsi="Times New Roman" w:eastAsia="方正仿宋_GBK" w:cs="Times New Roman"/>
          <w:color w:val="000000"/>
          <w:kern w:val="0"/>
          <w:sz w:val="32"/>
          <w:szCs w:val="32"/>
          <w:highlight w:val="none"/>
          <w:shd w:val="clear" w:color="auto" w:fill="FFFFFF"/>
          <w:lang w:val="zh-CN"/>
        </w:rPr>
        <w:t>履职效能</w:t>
      </w:r>
    </w:p>
    <w:p w14:paraId="78A965B3">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b w:val="0"/>
          <w:bCs w:val="0"/>
          <w:color w:val="000000"/>
          <w:kern w:val="0"/>
          <w:sz w:val="32"/>
          <w:szCs w:val="32"/>
          <w:shd w:val="clear" w:color="auto" w:fill="FFFFFF"/>
          <w:lang w:val="en-US" w:eastAsia="zh-CN"/>
        </w:rPr>
        <w:t>多元共治抓前端，深耕矛盾纠纷源头治理。</w:t>
      </w:r>
      <w:r>
        <w:rPr>
          <w:rFonts w:hint="default" w:ascii="Times New Roman" w:hAnsi="Times New Roman" w:eastAsia="方正仿宋_GBK" w:cs="Times New Roman"/>
          <w:b/>
          <w:bCs/>
          <w:color w:val="000000"/>
          <w:kern w:val="0"/>
          <w:sz w:val="32"/>
          <w:szCs w:val="32"/>
          <w:shd w:val="clear" w:color="auto" w:fill="FFFFFF"/>
          <w:lang w:val="en-US" w:eastAsia="zh-CN"/>
        </w:rPr>
        <w:t>一是高站位。</w:t>
      </w:r>
      <w:r>
        <w:rPr>
          <w:rFonts w:hint="default" w:ascii="Times New Roman" w:hAnsi="Times New Roman" w:eastAsia="方正仿宋_GBK" w:cs="Times New Roman"/>
          <w:color w:val="000000"/>
          <w:kern w:val="0"/>
          <w:sz w:val="32"/>
          <w:szCs w:val="32"/>
          <w:shd w:val="clear" w:color="auto" w:fill="FFFFFF"/>
          <w:lang w:val="en-US" w:eastAsia="zh-CN"/>
        </w:rPr>
        <w:t>坚持党对信访工作的全面领导，区委常委会、区政府常务会共听取进京越级访治理情况多次。召开区信访联席会议，区级包案领导先后组织有关责任部门召开信访工作调度会、重点案件研判会。区级主要领导、分管领导先后多次对信访工作作出批示，对全面推进信访工作法治化作出部署，推动信访工作走深走实。</w:t>
      </w:r>
      <w:r>
        <w:rPr>
          <w:rFonts w:hint="default" w:ascii="Times New Roman" w:hAnsi="Times New Roman" w:eastAsia="方正仿宋_GBK" w:cs="Times New Roman"/>
          <w:b/>
          <w:bCs/>
          <w:color w:val="000000"/>
          <w:kern w:val="0"/>
          <w:sz w:val="32"/>
          <w:szCs w:val="32"/>
          <w:shd w:val="clear" w:color="auto" w:fill="FFFFFF"/>
          <w:lang w:val="en-US" w:eastAsia="zh-CN"/>
        </w:rPr>
        <w:t>二是全方位。</w:t>
      </w:r>
      <w:r>
        <w:rPr>
          <w:rFonts w:hint="default" w:ascii="Times New Roman" w:hAnsi="Times New Roman" w:eastAsia="方正仿宋_GBK" w:cs="Times New Roman"/>
          <w:color w:val="000000"/>
          <w:kern w:val="0"/>
          <w:sz w:val="32"/>
          <w:szCs w:val="32"/>
          <w:shd w:val="clear" w:color="auto" w:fill="FFFFFF"/>
          <w:lang w:val="en-US" w:eastAsia="zh-CN"/>
        </w:rPr>
        <w:t>深入开展信访矛盾纠纷大排查工作，坚持把社会稳定风险评估贯穿信访化解、稳控全过程，建立风险预警、应急处突联动工作机制，专班跟踪重点信访案件。</w:t>
      </w:r>
      <w:r>
        <w:rPr>
          <w:rFonts w:hint="default" w:ascii="Times New Roman" w:hAnsi="Times New Roman" w:eastAsia="方正仿宋_GBK" w:cs="Times New Roman"/>
          <w:b/>
          <w:bCs/>
          <w:color w:val="000000"/>
          <w:kern w:val="0"/>
          <w:sz w:val="32"/>
          <w:szCs w:val="32"/>
          <w:shd w:val="clear" w:color="auto" w:fill="FFFFFF"/>
          <w:lang w:val="en-US" w:eastAsia="zh-CN"/>
        </w:rPr>
        <w:t>三是广动员。</w:t>
      </w:r>
      <w:r>
        <w:rPr>
          <w:rFonts w:hint="default" w:ascii="Times New Roman" w:hAnsi="Times New Roman" w:eastAsia="方正仿宋_GBK" w:cs="Times New Roman"/>
          <w:color w:val="000000"/>
          <w:kern w:val="0"/>
          <w:sz w:val="32"/>
          <w:szCs w:val="32"/>
          <w:shd w:val="clear" w:color="auto" w:fill="FFFFFF"/>
          <w:lang w:val="en-US" w:eastAsia="zh-CN"/>
        </w:rPr>
        <w:t>结合</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四下基层</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精神和</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群腐</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工作，区信访局班子深入村社了解社情民意，实地回访督察案件，切实推动信访矛盾源头治理。</w:t>
      </w:r>
    </w:p>
    <w:p w14:paraId="5F835587">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b w:val="0"/>
          <w:bCs w:val="0"/>
          <w:color w:val="000000"/>
          <w:kern w:val="0"/>
          <w:sz w:val="32"/>
          <w:szCs w:val="32"/>
          <w:shd w:val="clear" w:color="auto" w:fill="FFFFFF"/>
          <w:lang w:val="en-US" w:eastAsia="zh-CN"/>
        </w:rPr>
        <w:t>流程管控抓中端，推进信访案件事心双解。</w:t>
      </w:r>
      <w:r>
        <w:rPr>
          <w:rFonts w:hint="default" w:ascii="Times New Roman" w:hAnsi="Times New Roman" w:eastAsia="方正仿宋_GBK" w:cs="Times New Roman"/>
          <w:b/>
          <w:bCs/>
          <w:color w:val="000000"/>
          <w:kern w:val="0"/>
          <w:sz w:val="32"/>
          <w:szCs w:val="32"/>
          <w:shd w:val="clear" w:color="auto" w:fill="FFFFFF"/>
          <w:lang w:val="en-US" w:eastAsia="zh-CN"/>
        </w:rPr>
        <w:t>一是规范流程。</w:t>
      </w:r>
      <w:r>
        <w:rPr>
          <w:rFonts w:hint="default" w:ascii="Times New Roman" w:hAnsi="Times New Roman" w:eastAsia="方正仿宋_GBK" w:cs="Times New Roman"/>
          <w:color w:val="000000"/>
          <w:kern w:val="0"/>
          <w:sz w:val="32"/>
          <w:szCs w:val="32"/>
          <w:shd w:val="clear" w:color="auto" w:fill="FFFFFF"/>
          <w:lang w:val="en-US" w:eastAsia="zh-CN"/>
        </w:rPr>
        <w:t>强化首办责任，严格按照信访法治化</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工作指南</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和</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路线图</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，通过建立专班、跟进督导、问责问效等措施，规范工作流程，彻底解决办理不规范、操作标准不统一等问题，全区到市、到省、到京信访总量实现明显下降。</w:t>
      </w:r>
      <w:r>
        <w:rPr>
          <w:rFonts w:hint="default" w:ascii="Times New Roman" w:hAnsi="Times New Roman" w:eastAsia="方正仿宋_GBK" w:cs="Times New Roman"/>
          <w:b/>
          <w:bCs/>
          <w:color w:val="000000"/>
          <w:kern w:val="0"/>
          <w:sz w:val="32"/>
          <w:szCs w:val="32"/>
          <w:shd w:val="clear" w:color="auto" w:fill="FFFFFF"/>
          <w:lang w:val="en-US" w:eastAsia="zh-CN"/>
        </w:rPr>
        <w:t>二是</w:t>
      </w:r>
      <w:r>
        <w:rPr>
          <w:rFonts w:hint="eastAsia" w:ascii="Times New Roman" w:hAnsi="Times New Roman" w:eastAsia="方正仿宋_GBK" w:cs="Times New Roman"/>
          <w:b/>
          <w:bCs/>
          <w:color w:val="000000"/>
          <w:kern w:val="0"/>
          <w:sz w:val="32"/>
          <w:szCs w:val="32"/>
          <w:shd w:val="clear" w:color="auto" w:fill="FFFFFF"/>
          <w:lang w:val="en-US" w:eastAsia="zh-CN"/>
        </w:rPr>
        <w:t>依法分类</w:t>
      </w:r>
      <w:r>
        <w:rPr>
          <w:rFonts w:hint="default" w:ascii="Times New Roman" w:hAnsi="Times New Roman" w:eastAsia="方正仿宋_GBK" w:cs="Times New Roman"/>
          <w:b/>
          <w:bCs/>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严格推行</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首问责任</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制度，对信访接待窗口受理的各类矛盾纠纷，根据问题类别实施精准转办，累计实时跟踪责任部门办理信访事项，引导信访人按涉法涉诉途径反映问题，督查办理不规范、超期办理、实体处理不到位信访事项。</w:t>
      </w:r>
      <w:r>
        <w:rPr>
          <w:rFonts w:hint="default" w:ascii="Times New Roman" w:hAnsi="Times New Roman" w:eastAsia="方正仿宋_GBK" w:cs="Times New Roman"/>
          <w:b/>
          <w:bCs/>
          <w:color w:val="000000"/>
          <w:kern w:val="0"/>
          <w:sz w:val="32"/>
          <w:szCs w:val="32"/>
          <w:shd w:val="clear" w:color="auto" w:fill="FFFFFF"/>
          <w:lang w:val="en-US" w:eastAsia="zh-CN"/>
        </w:rPr>
        <w:t>三是调解先行。</w:t>
      </w:r>
      <w:r>
        <w:rPr>
          <w:rFonts w:hint="default" w:ascii="Times New Roman" w:hAnsi="Times New Roman" w:eastAsia="方正仿宋_GBK" w:cs="Times New Roman"/>
          <w:color w:val="000000"/>
          <w:kern w:val="0"/>
          <w:sz w:val="32"/>
          <w:szCs w:val="32"/>
          <w:shd w:val="clear" w:color="auto" w:fill="FFFFFF"/>
          <w:lang w:val="en-US" w:eastAsia="zh-CN"/>
        </w:rPr>
        <w:t>坚持把调解优先贯穿到信访事项化解始终，推动人民调解、行政调解、司法调解等与信访工作协调联动，努力做到应调尽调、能调全调。西区</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三说会堂</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多元解纷模式受到省信访局主要领导高度肯定，并作为区县代表之一在全省信访系统专题会上作交流发言。</w:t>
      </w:r>
    </w:p>
    <w:p w14:paraId="437929C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联合整治抓末端，实现疑难问题攻坚治理。</w:t>
      </w:r>
      <w:r>
        <w:rPr>
          <w:rFonts w:hint="default" w:ascii="Times New Roman" w:hAnsi="Times New Roman" w:eastAsia="方正仿宋_GBK" w:cs="Times New Roman"/>
          <w:b/>
          <w:bCs/>
          <w:color w:val="000000"/>
          <w:kern w:val="0"/>
          <w:sz w:val="32"/>
          <w:szCs w:val="32"/>
          <w:shd w:val="clear" w:color="auto" w:fill="FFFFFF"/>
          <w:lang w:val="en-US" w:eastAsia="zh-CN"/>
        </w:rPr>
        <w:t>一是创新机制。</w:t>
      </w:r>
      <w:r>
        <w:rPr>
          <w:rFonts w:hint="default" w:ascii="Times New Roman" w:hAnsi="Times New Roman" w:eastAsia="方正仿宋_GBK" w:cs="Times New Roman"/>
          <w:color w:val="000000"/>
          <w:kern w:val="0"/>
          <w:sz w:val="32"/>
          <w:szCs w:val="32"/>
          <w:shd w:val="clear" w:color="auto" w:fill="FFFFFF"/>
          <w:lang w:val="en-US" w:eastAsia="zh-CN"/>
        </w:rPr>
        <w:t>建立政法、公安、街道镇、信访多级联动机制，疑难案件逐案成立信访工作专班，强化领导包案，加强信息共享、线索核查、联动处置，合力攻坚。全区信访事项及时受理率、按期答复率均为100%，信访部门满意率、责任单位满意率均达到较高水平。</w:t>
      </w:r>
      <w:r>
        <w:rPr>
          <w:rFonts w:hint="default" w:ascii="Times New Roman" w:hAnsi="Times New Roman" w:eastAsia="方正仿宋_GBK" w:cs="Times New Roman"/>
          <w:b/>
          <w:bCs/>
          <w:color w:val="000000"/>
          <w:kern w:val="0"/>
          <w:sz w:val="32"/>
          <w:szCs w:val="32"/>
          <w:shd w:val="clear" w:color="auto" w:fill="FFFFFF"/>
          <w:lang w:val="en-US" w:eastAsia="zh-CN"/>
        </w:rPr>
        <w:t>二是强化研判。</w:t>
      </w:r>
      <w:r>
        <w:rPr>
          <w:rFonts w:hint="default" w:ascii="Times New Roman" w:hAnsi="Times New Roman" w:eastAsia="方正仿宋_GBK" w:cs="Times New Roman"/>
          <w:color w:val="000000"/>
          <w:kern w:val="0"/>
          <w:sz w:val="32"/>
          <w:szCs w:val="32"/>
          <w:shd w:val="clear" w:color="auto" w:fill="FFFFFF"/>
          <w:lang w:val="en-US" w:eastAsia="zh-CN"/>
        </w:rPr>
        <w:t>定期对来访、看西区APP、区长信箱、市长信箱、麻辣社区等反映的信访事项进行汇总分析研判，实现辖区内群众诉求的综合态势、社会风险预测预警信息全要素动态展示，有针对性开展矛盾纠纷排查，有效防止各类问题无限扩大，切实维护辖区社会稳定。</w:t>
      </w:r>
      <w:r>
        <w:rPr>
          <w:rFonts w:hint="default" w:ascii="Times New Roman" w:hAnsi="Times New Roman" w:eastAsia="方正仿宋_GBK" w:cs="Times New Roman"/>
          <w:b/>
          <w:bCs/>
          <w:color w:val="000000"/>
          <w:kern w:val="0"/>
          <w:sz w:val="32"/>
          <w:szCs w:val="32"/>
          <w:shd w:val="clear" w:color="auto" w:fill="FFFFFF"/>
          <w:lang w:val="en-US" w:eastAsia="zh-CN"/>
        </w:rPr>
        <w:t>三是跟踪督办。</w:t>
      </w:r>
      <w:r>
        <w:rPr>
          <w:rFonts w:hint="default" w:ascii="Times New Roman" w:hAnsi="Times New Roman" w:eastAsia="方正仿宋_GBK" w:cs="Times New Roman"/>
          <w:color w:val="000000"/>
          <w:kern w:val="0"/>
          <w:sz w:val="32"/>
          <w:szCs w:val="32"/>
          <w:shd w:val="clear" w:color="auto" w:fill="FFFFFF"/>
          <w:lang w:val="en-US" w:eastAsia="zh-CN"/>
        </w:rPr>
        <w:t>常态化开展跟踪、催办、督办工作，推动责任单位</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快速流转、严格办理、高效回复</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，确保甄别导入顺畅、受理办理及时，进一步提升工作质效。</w:t>
      </w:r>
    </w:p>
    <w:p w14:paraId="5480ABC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扎实开展信访工作法治化建设。</w:t>
      </w:r>
      <w:r>
        <w:rPr>
          <w:rFonts w:hint="eastAsia" w:ascii="Times New Roman" w:hAnsi="Times New Roman" w:eastAsia="方正仿宋_GBK" w:cs="Times New Roman"/>
          <w:b/>
          <w:bCs/>
          <w:color w:val="000000"/>
          <w:kern w:val="0"/>
          <w:sz w:val="32"/>
          <w:szCs w:val="32"/>
          <w:shd w:val="clear" w:color="auto" w:fill="FFFFFF"/>
          <w:lang w:val="en-US" w:eastAsia="zh-CN"/>
        </w:rPr>
        <w:t>一是</w:t>
      </w:r>
      <w:r>
        <w:rPr>
          <w:rFonts w:hint="default" w:ascii="Times New Roman" w:hAnsi="Times New Roman" w:eastAsia="方正仿宋_GBK" w:cs="Times New Roman"/>
          <w:b/>
          <w:bCs/>
          <w:color w:val="000000"/>
          <w:kern w:val="0"/>
          <w:sz w:val="32"/>
          <w:szCs w:val="32"/>
          <w:shd w:val="clear" w:color="auto" w:fill="FFFFFF"/>
          <w:lang w:val="en-US" w:eastAsia="zh-CN"/>
        </w:rPr>
        <w:t>预防法治化方面</w:t>
      </w:r>
      <w:r>
        <w:rPr>
          <w:rFonts w:hint="eastAsia" w:ascii="Times New Roman" w:hAnsi="Times New Roman" w:eastAsia="方正仿宋_GBK" w:cs="Times New Roman"/>
          <w:b/>
          <w:bCs/>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健全矛盾纠纷全方位排查和构建多元化解体系，完善访调联动机制，引入</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三说会堂</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提前介入一般信访案件的化解，充分发挥信访工作联席会议作用，推动全区街道、镇实现乡镇信访工作联席会议机制全覆盖。</w:t>
      </w:r>
      <w:r>
        <w:rPr>
          <w:rFonts w:hint="eastAsia" w:ascii="Times New Roman" w:hAnsi="Times New Roman" w:eastAsia="方正仿宋_GBK" w:cs="Times New Roman"/>
          <w:b/>
          <w:bCs/>
          <w:color w:val="000000"/>
          <w:kern w:val="0"/>
          <w:sz w:val="32"/>
          <w:szCs w:val="32"/>
          <w:shd w:val="clear" w:color="auto" w:fill="FFFFFF"/>
          <w:lang w:val="en-US" w:eastAsia="zh-CN"/>
        </w:rPr>
        <w:t>二是</w:t>
      </w:r>
      <w:r>
        <w:rPr>
          <w:rFonts w:hint="default" w:ascii="Times New Roman" w:hAnsi="Times New Roman" w:eastAsia="方正仿宋_GBK" w:cs="Times New Roman"/>
          <w:b/>
          <w:bCs/>
          <w:color w:val="000000"/>
          <w:kern w:val="0"/>
          <w:sz w:val="32"/>
          <w:szCs w:val="32"/>
          <w:shd w:val="clear" w:color="auto" w:fill="FFFFFF"/>
          <w:lang w:val="en-US" w:eastAsia="zh-CN"/>
        </w:rPr>
        <w:t>受</w:t>
      </w:r>
      <w:r>
        <w:rPr>
          <w:rFonts w:hint="default" w:ascii="Times New Roman" w:hAnsi="Times New Roman" w:eastAsia="方正仿宋_GBK" w:cs="Times New Roman"/>
          <w:b/>
          <w:bCs/>
          <w:color w:val="000000"/>
          <w:kern w:val="0"/>
          <w:sz w:val="32"/>
          <w:szCs w:val="32"/>
          <w:shd w:val="clear" w:color="auto" w:fill="FFFFFF"/>
          <w:lang w:val="en-US" w:eastAsia="zh-CN"/>
        </w:rPr>
        <w:t>理法治化方面</w:t>
      </w:r>
      <w:r>
        <w:rPr>
          <w:rFonts w:hint="eastAsia" w:ascii="Times New Roman" w:hAnsi="Times New Roman" w:eastAsia="方正仿宋_GBK" w:cs="Times New Roman"/>
          <w:b/>
          <w:bCs/>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畅通和规范群众信访渠道，按照信访工作法治化</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路线图</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和工作指南要求，合理区分信访事项性质、层级，精准转送，依法转办各类投诉。</w:t>
      </w:r>
      <w:r>
        <w:rPr>
          <w:rFonts w:hint="eastAsia" w:ascii="Times New Roman" w:hAnsi="Times New Roman" w:eastAsia="方正仿宋_GBK" w:cs="Times New Roman"/>
          <w:b/>
          <w:bCs/>
          <w:color w:val="000000"/>
          <w:kern w:val="0"/>
          <w:sz w:val="32"/>
          <w:szCs w:val="32"/>
          <w:shd w:val="clear" w:color="auto" w:fill="FFFFFF"/>
          <w:lang w:val="en-US" w:eastAsia="zh-CN"/>
        </w:rPr>
        <w:t>三是</w:t>
      </w:r>
      <w:r>
        <w:rPr>
          <w:rFonts w:hint="default" w:ascii="Times New Roman" w:hAnsi="Times New Roman" w:eastAsia="方正仿宋_GBK" w:cs="Times New Roman"/>
          <w:b/>
          <w:bCs/>
          <w:color w:val="000000"/>
          <w:kern w:val="0"/>
          <w:sz w:val="32"/>
          <w:szCs w:val="32"/>
          <w:shd w:val="clear" w:color="auto" w:fill="FFFFFF"/>
          <w:lang w:val="en-US" w:eastAsia="zh-CN"/>
        </w:rPr>
        <w:t>办理法治化方面</w:t>
      </w:r>
      <w:r>
        <w:rPr>
          <w:rFonts w:hint="eastAsia" w:ascii="Times New Roman" w:hAnsi="Times New Roman" w:eastAsia="方正仿宋_GBK" w:cs="Times New Roman"/>
          <w:b/>
          <w:bCs/>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严格按照</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属地管理、分级负责，谁主管、谁负责</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的工作原则，督促镇、街道和有关责任部门依法按程序处理职责范围内的信访事项，进一步强化过程管理。</w:t>
      </w:r>
      <w:r>
        <w:rPr>
          <w:rFonts w:hint="eastAsia" w:ascii="Times New Roman" w:hAnsi="Times New Roman" w:eastAsia="方正仿宋_GBK" w:cs="Times New Roman"/>
          <w:b/>
          <w:bCs/>
          <w:color w:val="000000"/>
          <w:kern w:val="0"/>
          <w:sz w:val="32"/>
          <w:szCs w:val="32"/>
          <w:shd w:val="clear" w:color="auto" w:fill="FFFFFF"/>
          <w:lang w:val="en-US" w:eastAsia="zh-CN"/>
        </w:rPr>
        <w:t>四是</w:t>
      </w:r>
      <w:r>
        <w:rPr>
          <w:rFonts w:hint="default" w:ascii="Times New Roman" w:hAnsi="Times New Roman" w:eastAsia="方正仿宋_GBK" w:cs="Times New Roman"/>
          <w:b/>
          <w:bCs/>
          <w:color w:val="000000"/>
          <w:kern w:val="0"/>
          <w:sz w:val="32"/>
          <w:szCs w:val="32"/>
          <w:shd w:val="clear" w:color="auto" w:fill="FFFFFF"/>
          <w:lang w:val="en-US" w:eastAsia="zh-CN"/>
        </w:rPr>
        <w:t>监督追责法治化方面</w:t>
      </w:r>
      <w:r>
        <w:rPr>
          <w:rFonts w:hint="eastAsia" w:ascii="Times New Roman" w:hAnsi="Times New Roman" w:eastAsia="方正仿宋_GBK" w:cs="Times New Roman"/>
          <w:b/>
          <w:bCs/>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严格履行信访部门</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三项建议</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职责，坚持依法履职、精准提出建议，强化信访工作督查导向。</w:t>
      </w:r>
      <w:r>
        <w:rPr>
          <w:rFonts w:hint="eastAsia" w:ascii="Times New Roman" w:hAnsi="Times New Roman" w:eastAsia="方正仿宋_GBK" w:cs="Times New Roman"/>
          <w:b/>
          <w:bCs/>
          <w:color w:val="000000"/>
          <w:kern w:val="0"/>
          <w:sz w:val="32"/>
          <w:szCs w:val="32"/>
          <w:shd w:val="clear" w:color="auto" w:fill="FFFFFF"/>
          <w:lang w:val="en-US" w:eastAsia="zh-CN"/>
        </w:rPr>
        <w:t>五是</w:t>
      </w:r>
      <w:r>
        <w:rPr>
          <w:rFonts w:hint="default" w:ascii="Times New Roman" w:hAnsi="Times New Roman" w:eastAsia="方正仿宋_GBK" w:cs="Times New Roman"/>
          <w:b/>
          <w:bCs/>
          <w:color w:val="000000"/>
          <w:kern w:val="0"/>
          <w:sz w:val="32"/>
          <w:szCs w:val="32"/>
          <w:shd w:val="clear" w:color="auto" w:fill="FFFFFF"/>
          <w:lang w:val="en-US" w:eastAsia="zh-CN"/>
        </w:rPr>
        <w:t>维护秩序法治化方面</w:t>
      </w:r>
      <w:r>
        <w:rPr>
          <w:rFonts w:hint="eastAsia" w:ascii="Times New Roman" w:hAnsi="Times New Roman" w:eastAsia="方正仿宋_GBK" w:cs="Times New Roman"/>
          <w:b/>
          <w:bCs/>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主动对接市驻京办，积极配合做好调查取证等工作，依法治理初见成效。</w:t>
      </w:r>
    </w:p>
    <w:p w14:paraId="2DDC655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zh-CN"/>
        </w:rPr>
        <w:t>预算编制情况</w:t>
      </w:r>
    </w:p>
    <w:p w14:paraId="47C891E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2025年西区信访局严格按照西区财政局预算编制通知和有关要求，按时按质完成报送决算编制等工作，并按时提交部门预算编制草案，不存在应编未编、错误列编等情况。西区财政局根据预算编制草案进行审核，批复2025年部门预算216.27万元，全年预算调整为228.10万元。</w:t>
      </w:r>
    </w:p>
    <w:p w14:paraId="17859437">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3</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财务管理</w:t>
      </w:r>
    </w:p>
    <w:p w14:paraId="5B7034C3">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建立健全了财务管理制度，涵盖预算管理、收支管理、资产管理等方面，制度执行严格</w:t>
      </w:r>
      <w:r>
        <w:rPr>
          <w:rFonts w:hint="default" w:ascii="Times New Roman" w:hAnsi="Times New Roman" w:eastAsia="方正仿宋_GBK" w:cs="Times New Roman"/>
          <w:color w:val="000000"/>
          <w:kern w:val="0"/>
          <w:sz w:val="32"/>
          <w:szCs w:val="32"/>
          <w:shd w:val="clear" w:color="auto" w:fill="FFFFFF"/>
          <w:lang w:val="zh-CN" w:eastAsia="zh-CN"/>
        </w:rPr>
        <w:t>，确保财务工作有章可循；财务岗位设置科学分工，明确岗位权责，做到不相容岗位相互分离，避免兼岗带来的风险；资金使用规范，严格把控资金审批流程，确保每一笔资金都按照规定用途、标准和程序使用，杜绝挪用、滥用等违规行为，保障财务工作有序进行，维护财务安全与规范。</w:t>
      </w:r>
    </w:p>
    <w:p w14:paraId="49D6B97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4</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资产管理</w:t>
      </w:r>
    </w:p>
    <w:p w14:paraId="6A169109">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高度重视闲置资产管理，建立动态清查机制，定期梳理闲置资产明细，通过内部调剂、共享使用等方式，将闲置设备、办公用品等调配至需求科室。同时，</w:t>
      </w:r>
      <w:r>
        <w:rPr>
          <w:rFonts w:hint="default" w:ascii="Times New Roman" w:hAnsi="Times New Roman" w:eastAsia="方正仿宋_GBK" w:cs="Times New Roman"/>
          <w:color w:val="000000"/>
          <w:kern w:val="0"/>
          <w:sz w:val="32"/>
          <w:szCs w:val="32"/>
          <w:shd w:val="clear" w:color="auto" w:fill="FFFFFF"/>
          <w:lang w:val="zh-CN" w:eastAsia="zh-CN"/>
        </w:rPr>
        <w:t>在资产</w:t>
      </w:r>
      <w:r>
        <w:rPr>
          <w:rFonts w:hint="eastAsia" w:ascii="Times New Roman" w:hAnsi="Times New Roman" w:eastAsia="方正仿宋_GBK" w:cs="Times New Roman"/>
          <w:color w:val="000000"/>
          <w:kern w:val="0"/>
          <w:sz w:val="32"/>
          <w:szCs w:val="32"/>
          <w:shd w:val="clear" w:color="auto" w:fill="FFFFFF"/>
          <w:lang w:val="zh-CN" w:eastAsia="zh-CN"/>
        </w:rPr>
        <w:t>管理</w:t>
      </w:r>
      <w:r>
        <w:rPr>
          <w:rFonts w:hint="default" w:ascii="Times New Roman" w:hAnsi="Times New Roman" w:eastAsia="方正仿宋_GBK" w:cs="Times New Roman"/>
          <w:color w:val="000000"/>
          <w:kern w:val="0"/>
          <w:sz w:val="32"/>
          <w:szCs w:val="32"/>
          <w:shd w:val="clear" w:color="auto" w:fill="FFFFFF"/>
          <w:lang w:val="zh-CN" w:eastAsia="zh-CN"/>
        </w:rPr>
        <w:t>系统内对固定资产及状态及时进行更新</w:t>
      </w:r>
      <w:r>
        <w:rPr>
          <w:rFonts w:hint="default" w:ascii="Times New Roman" w:hAnsi="Times New Roman" w:eastAsia="方正仿宋_GBK" w:cs="Times New Roman"/>
          <w:color w:val="000000"/>
          <w:kern w:val="0"/>
          <w:sz w:val="32"/>
          <w:szCs w:val="32"/>
          <w:shd w:val="clear" w:color="auto" w:fill="FFFFFF"/>
          <w:lang w:val="zh-CN"/>
        </w:rPr>
        <w:t>，优化资源配置，显著提升资产利用率，有效避免资源浪费，为机关高效运转提供有力保障。</w:t>
      </w:r>
    </w:p>
    <w:p w14:paraId="38A39621">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5</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采购管理</w:t>
      </w:r>
    </w:p>
    <w:p w14:paraId="7848262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rPr>
        <w:t>严格按照采购管理文件要求执行，采购前精准预算编制，结合实际需求科学规划；采购中坚持公开透明，严格执行采购程序；采购后加强验收与监督，确保物资质量达标，同时强化档案管理，保障采购全程留痕、规范有序。2025年政府采购支出0万元</w:t>
      </w:r>
      <w:r>
        <w:rPr>
          <w:rFonts w:hint="default" w:ascii="Times New Roman" w:hAnsi="Times New Roman" w:eastAsia="方正仿宋_GBK" w:cs="Times New Roman"/>
          <w:color w:val="000000"/>
          <w:kern w:val="0"/>
          <w:sz w:val="32"/>
          <w:szCs w:val="32"/>
          <w:shd w:val="clear" w:color="auto" w:fill="FFFFFF"/>
          <w:lang w:val="zh-CN" w:eastAsia="zh-CN"/>
        </w:rPr>
        <w:t>。</w:t>
      </w:r>
    </w:p>
    <w:p w14:paraId="160F5E5B">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eastAsia" w:ascii="方正楷体_GBK" w:hAnsi="方正楷体_GBK" w:eastAsia="方正楷体_GBK" w:cs="方正楷体_GBK"/>
          <w:color w:val="000000"/>
          <w:kern w:val="0"/>
          <w:sz w:val="32"/>
          <w:szCs w:val="32"/>
          <w:shd w:val="clear" w:color="auto" w:fill="FFFFFF"/>
        </w:rPr>
      </w:pPr>
      <w:r>
        <w:rPr>
          <w:rFonts w:hint="eastAsia" w:ascii="方正楷体_GBK" w:hAnsi="方正楷体_GBK" w:eastAsia="方正楷体_GBK" w:cs="方正楷体_GBK"/>
          <w:b/>
          <w:bCs/>
          <w:color w:val="000000"/>
          <w:kern w:val="0"/>
          <w:sz w:val="32"/>
          <w:szCs w:val="32"/>
          <w:shd w:val="clear" w:color="auto" w:fill="FFFFFF"/>
          <w:lang w:val="zh-CN"/>
        </w:rPr>
        <w:t>（二）部门预算项目绩效分析</w:t>
      </w:r>
    </w:p>
    <w:p w14:paraId="07671F5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常年项目绩效分析。该类项目总数6个，涉及预算总金额33.15万元，1</w:t>
      </w:r>
      <w:r>
        <w:rPr>
          <w:rFonts w:hint="eastAsia" w:ascii="Times New Roman" w:hAnsi="Times New Roman" w:eastAsia="方正仿宋_GBK" w:cs="Times New Roman"/>
          <w:color w:val="000000"/>
          <w:kern w:val="0"/>
          <w:sz w:val="32"/>
          <w:szCs w:val="32"/>
          <w:shd w:val="clear" w:color="auto" w:fill="FFFFFF"/>
          <w:lang w:eastAsia="zh-CN"/>
        </w:rPr>
        <w:t>—</w:t>
      </w:r>
      <w:r>
        <w:rPr>
          <w:rFonts w:hint="default" w:ascii="Times New Roman" w:hAnsi="Times New Roman" w:eastAsia="方正仿宋_GBK" w:cs="Times New Roman"/>
          <w:color w:val="000000"/>
          <w:kern w:val="0"/>
          <w:sz w:val="32"/>
          <w:szCs w:val="32"/>
          <w:shd w:val="clear" w:color="auto" w:fill="FFFFFF"/>
        </w:rPr>
        <w:t>12月预算执行总体进度为100%，其中预算结余率大于10%的项目共计0个</w:t>
      </w:r>
      <w:r>
        <w:rPr>
          <w:rFonts w:hint="default" w:ascii="Times New Roman" w:hAnsi="Times New Roman" w:eastAsia="方正仿宋_GBK" w:cs="Times New Roman"/>
          <w:color w:val="000000"/>
          <w:kern w:val="0"/>
          <w:sz w:val="32"/>
          <w:szCs w:val="32"/>
          <w:shd w:val="clear" w:color="auto" w:fill="FFFFFF"/>
          <w:lang w:val="zh-CN"/>
        </w:rPr>
        <w:t>。</w:t>
      </w:r>
    </w:p>
    <w:p w14:paraId="4C66FB0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阶段（含一次性）项目绩效分析。该类项目总数6个，涉及预算总金额33.15万元，1至12月预算执行总体进度为100%，其中预算结余率大于10%的项目共计0个</w:t>
      </w:r>
      <w:r>
        <w:rPr>
          <w:rFonts w:hint="default" w:ascii="Times New Roman" w:hAnsi="Times New Roman" w:eastAsia="方正仿宋_GBK" w:cs="Times New Roman"/>
          <w:color w:val="000000"/>
          <w:kern w:val="0"/>
          <w:sz w:val="32"/>
          <w:szCs w:val="32"/>
          <w:shd w:val="clear" w:color="auto" w:fill="FFFFFF"/>
          <w:lang w:val="zh-CN"/>
        </w:rPr>
        <w:t>。</w:t>
      </w:r>
    </w:p>
    <w:p w14:paraId="1ABF67B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1</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项目决策</w:t>
      </w:r>
    </w:p>
    <w:p w14:paraId="0511027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以2025年工作安排为参考，以2025年工作计划为依据，预算安排共计33.15万元，用于驻京驻蓉信访维稳、矛盾化解和疑难信访问题、接访业务、信访稳定工作、保安费用、世运会维稳等各项工作开展，以不断提高服务对象满意度，及时发现工作存在的问题，提升服务质量。投入成本与预期产出及效果相匹配，成本测算依据充分。同时在支出过程中，严格履行政府采购程序，合理控制成本，确保资金投入与支出比例合理。当年实际支出33.15万元，执行率100%。</w:t>
      </w:r>
    </w:p>
    <w:p w14:paraId="4F6D2ABE">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2</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rPr>
        <w:t>项目执行</w:t>
      </w:r>
    </w:p>
    <w:p w14:paraId="14DC49B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项目实施期限为2025年1月</w:t>
      </w:r>
      <w:r>
        <w:rPr>
          <w:rFonts w:hint="eastAsia" w:ascii="Times New Roman" w:hAnsi="Times New Roman" w:eastAsia="方正仿宋_GBK" w:cs="Times New Roman"/>
          <w:color w:val="000000"/>
          <w:kern w:val="0"/>
          <w:sz w:val="32"/>
          <w:szCs w:val="32"/>
          <w:shd w:val="clear" w:color="auto" w:fill="FFFFFF"/>
          <w:lang w:val="zh-CN" w:eastAsia="zh-CN"/>
        </w:rPr>
        <w:t>—</w:t>
      </w:r>
      <w:r>
        <w:rPr>
          <w:rFonts w:hint="default" w:ascii="Times New Roman" w:hAnsi="Times New Roman" w:eastAsia="方正仿宋_GBK" w:cs="Times New Roman"/>
          <w:color w:val="000000"/>
          <w:kern w:val="0"/>
          <w:sz w:val="32"/>
          <w:szCs w:val="32"/>
          <w:shd w:val="clear" w:color="auto" w:fill="FFFFFF"/>
          <w:lang w:val="zh-CN" w:eastAsia="zh-CN"/>
        </w:rPr>
        <w:t>12月，由西区信访局申报，西区财政局审核批复，主要用于驻京驻蓉信访维稳、矛盾化解和疑难信访问题、接访业务、信访稳定工作、保安费用、世运会维稳等各项工作开展，加强项目实施过程中的监督审核，建立健全财政专项资金的公开机制、评审机制、跟踪检查机制，确保财政资金安全高效使用。</w:t>
      </w:r>
    </w:p>
    <w:p w14:paraId="2ED1D6B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3</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目标实现</w:t>
      </w:r>
    </w:p>
    <w:p w14:paraId="6D3CA15B">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2025年西区信访局预算资金231.79万元由区财政局纳入一体化管理平台统一管理，专款专用，资金拨付执行审批程序，使用规范，入账手续齐全</w:t>
      </w:r>
      <w:r>
        <w:rPr>
          <w:rFonts w:hint="default" w:ascii="Times New Roman" w:hAnsi="Times New Roman" w:eastAsia="方正仿宋_GBK" w:cs="Times New Roman"/>
          <w:sz w:val="32"/>
          <w:szCs w:val="32"/>
        </w:rPr>
        <w:t>。</w:t>
      </w:r>
    </w:p>
    <w:p w14:paraId="75C16496">
      <w:pPr>
        <w:keepNext w:val="0"/>
        <w:keepLines w:val="0"/>
        <w:pageBreakBefore w:val="0"/>
        <w:widowControl w:val="0"/>
        <w:numPr>
          <w:ilvl w:val="0"/>
          <w:numId w:val="0"/>
        </w:numPr>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项目的经济效益分析</w:t>
      </w:r>
    </w:p>
    <w:p w14:paraId="4DCA7A9D">
      <w:pPr>
        <w:keepNext w:val="0"/>
        <w:keepLines w:val="0"/>
        <w:pageBreakBefore w:val="0"/>
        <w:widowControl w:val="0"/>
        <w:numPr>
          <w:ilvl w:val="0"/>
          <w:numId w:val="0"/>
        </w:numPr>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w:t>
      </w:r>
    </w:p>
    <w:p w14:paraId="53D7CA62">
      <w:pPr>
        <w:keepNext w:val="0"/>
        <w:keepLines w:val="0"/>
        <w:pageBreakBefore w:val="0"/>
        <w:widowControl w:val="0"/>
        <w:numPr>
          <w:ilvl w:val="0"/>
          <w:numId w:val="0"/>
        </w:numPr>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项目的社会效益分析</w:t>
      </w:r>
    </w:p>
    <w:p w14:paraId="0F8B7AC4">
      <w:pPr>
        <w:keepNext w:val="0"/>
        <w:keepLines w:val="0"/>
        <w:pageBreakBefore w:val="0"/>
        <w:widowControl w:val="0"/>
        <w:numPr>
          <w:ilvl w:val="0"/>
          <w:numId w:val="0"/>
        </w:numPr>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通过驻京驻蓉信访维稳工作</w:t>
      </w:r>
      <w:r>
        <w:rPr>
          <w:rFonts w:hint="eastAsia" w:ascii="Times New Roman" w:hAnsi="Times New Roman" w:eastAsia="方正仿宋_GBK" w:cs="Times New Roman"/>
          <w:sz w:val="32"/>
          <w:szCs w:val="32"/>
          <w:lang w:eastAsia="zh-CN"/>
        </w:rPr>
        <w:t>经费保障</w:t>
      </w:r>
      <w:r>
        <w:rPr>
          <w:rFonts w:hint="default" w:ascii="Times New Roman" w:hAnsi="Times New Roman" w:eastAsia="方正仿宋_GBK" w:cs="Times New Roman"/>
          <w:sz w:val="32"/>
          <w:szCs w:val="32"/>
        </w:rPr>
        <w:t>，有效维护了重要时段的社会稳定。通过矛盾化解和疑难信访问题费用的投入，推动了信访积案的化解。通过接访业务费和信访稳定工作经费的保障，提高了信访事项的办理质量和效率，全区信访事项及时受理率、按期答复率均为100%，信访部门满意率、责任单位满意率均达到较高水平。通过保安费用的投入，保障了来访接待场所的安全有序运行。通过世运会维稳经费的保障，确保了重大活动期间的信访稳定。各项工作任务顺利完成，达到了预期社会效益目标。</w:t>
      </w:r>
    </w:p>
    <w:p w14:paraId="4392DBA8">
      <w:pPr>
        <w:keepNext w:val="0"/>
        <w:keepLines w:val="0"/>
        <w:pageBreakBefore w:val="0"/>
        <w:widowControl w:val="0"/>
        <w:numPr>
          <w:ilvl w:val="0"/>
          <w:numId w:val="0"/>
        </w:numPr>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项目的可持续性分析</w:t>
      </w:r>
    </w:p>
    <w:p w14:paraId="15712F40">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度较好地完成了年初制定的工作目标任务，各个项目有序开展，整体支出平稳，财务管理制度健全，资金使用规范，为今后年度项目持续开展奠定了良好基础。通过绩效自评结果的运用，不断优化项目管理流程，提高资金使用效益，确保项目能够长期稳定地发挥作用，较好地实现了效益目标。</w:t>
      </w:r>
    </w:p>
    <w:p w14:paraId="2F8538F2">
      <w:pPr>
        <w:keepNext w:val="0"/>
        <w:keepLines w:val="0"/>
        <w:pageBreakBefore w:val="0"/>
        <w:widowControl w:val="0"/>
        <w:kinsoku/>
        <w:wordWrap/>
        <w:overflowPunct w:val="0"/>
        <w:topLinePunct w:val="0"/>
        <w:autoSpaceDE/>
        <w:autoSpaceDN/>
        <w:bidi w:val="0"/>
        <w:snapToGrid w:val="0"/>
        <w:spacing w:line="580" w:lineRule="exact"/>
        <w:ind w:firstLine="643" w:firstLineChars="200"/>
        <w:jc w:val="both"/>
        <w:textAlignment w:val="auto"/>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bCs/>
          <w:color w:val="000000"/>
          <w:kern w:val="0"/>
          <w:sz w:val="32"/>
          <w:szCs w:val="32"/>
          <w:shd w:val="clear" w:color="auto" w:fill="FFFFFF"/>
          <w:lang w:val="zh-CN"/>
        </w:rPr>
        <w:t>（三）</w:t>
      </w:r>
      <w:r>
        <w:rPr>
          <w:rFonts w:hint="eastAsia" w:ascii="方正楷体_GBK" w:hAnsi="方正楷体_GBK" w:eastAsia="方正楷体_GBK" w:cs="方正楷体_GBK"/>
          <w:b/>
          <w:bCs/>
          <w:sz w:val="32"/>
          <w:szCs w:val="32"/>
          <w:lang w:val="zh-CN"/>
        </w:rPr>
        <w:t>绩效结果应用情况</w:t>
      </w:r>
    </w:p>
    <w:p w14:paraId="7B24F16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color w:val="000000"/>
          <w:kern w:val="0"/>
          <w:sz w:val="32"/>
          <w:szCs w:val="32"/>
          <w:shd w:val="clear" w:color="auto" w:fill="FFFFFF"/>
          <w:lang w:val="zh-CN"/>
        </w:rPr>
        <w:t>本单位所有开支均按照财务管理制度执行，资金的使用严格把关，机关的日常工作运行基本得到保障。绩效评价对</w:t>
      </w:r>
      <w:r>
        <w:rPr>
          <w:rFonts w:hint="eastAsia" w:ascii="Times New Roman" w:hAnsi="Times New Roman" w:eastAsia="方正仿宋_GBK" w:cs="Times New Roman"/>
          <w:color w:val="000000"/>
          <w:kern w:val="0"/>
          <w:sz w:val="32"/>
          <w:szCs w:val="32"/>
          <w:shd w:val="clear" w:color="auto" w:fill="FFFFFF"/>
          <w:lang w:val="zh-CN"/>
        </w:rPr>
        <w:t>完成</w:t>
      </w:r>
      <w:r>
        <w:rPr>
          <w:rFonts w:hint="default" w:ascii="Times New Roman" w:hAnsi="Times New Roman" w:eastAsia="方正仿宋_GBK" w:cs="Times New Roman"/>
          <w:color w:val="000000"/>
          <w:kern w:val="0"/>
          <w:sz w:val="32"/>
          <w:szCs w:val="32"/>
          <w:shd w:val="clear" w:color="auto" w:fill="FFFFFF"/>
          <w:lang w:val="zh-CN"/>
        </w:rPr>
        <w:t>全年工作目标起到积极的促进作用，强调部门目标的层层分解明确岗位职责提高执行力，为明年的工作开展及实施奠定坚实的基础。我单位将绩效自评结果运用到下一年工作的统筹安排</w:t>
      </w:r>
      <w:r>
        <w:rPr>
          <w:rFonts w:hint="eastAsia" w:ascii="Times New Roman" w:hAnsi="Times New Roman" w:eastAsia="方正仿宋_GBK" w:cs="Times New Roman"/>
          <w:color w:val="000000"/>
          <w:kern w:val="0"/>
          <w:sz w:val="32"/>
          <w:szCs w:val="32"/>
          <w:shd w:val="clear" w:color="auto" w:fill="FFFFFF"/>
          <w:lang w:val="zh-CN"/>
        </w:rPr>
        <w:t>上，按照</w:t>
      </w:r>
      <w:r>
        <w:rPr>
          <w:rFonts w:hint="default" w:ascii="Times New Roman" w:hAnsi="Times New Roman" w:eastAsia="方正仿宋_GBK" w:cs="Times New Roman"/>
          <w:color w:val="000000"/>
          <w:kern w:val="0"/>
          <w:sz w:val="32"/>
          <w:szCs w:val="32"/>
          <w:shd w:val="clear" w:color="auto" w:fill="FFFFFF"/>
          <w:lang w:val="zh-CN"/>
        </w:rPr>
        <w:t>项目资金划拨及工作任务的重要性来明确资金使用，提高工作效率</w:t>
      </w:r>
      <w:r>
        <w:rPr>
          <w:rFonts w:hint="eastAsia" w:ascii="Times New Roman" w:hAnsi="Times New Roman" w:eastAsia="方正仿宋_GBK" w:cs="Times New Roman"/>
          <w:color w:val="000000"/>
          <w:kern w:val="0"/>
          <w:sz w:val="32"/>
          <w:szCs w:val="32"/>
          <w:shd w:val="clear" w:color="auto" w:fill="FFFFFF"/>
          <w:lang w:val="zh-CN"/>
        </w:rPr>
        <w:t>和资金使用效率，</w:t>
      </w:r>
      <w:r>
        <w:rPr>
          <w:rFonts w:hint="default" w:ascii="Times New Roman" w:hAnsi="Times New Roman" w:eastAsia="方正仿宋_GBK" w:cs="Times New Roman"/>
          <w:color w:val="000000"/>
          <w:kern w:val="0"/>
          <w:sz w:val="32"/>
          <w:szCs w:val="32"/>
          <w:shd w:val="clear" w:color="auto" w:fill="FFFFFF"/>
          <w:lang w:val="zh-CN"/>
        </w:rPr>
        <w:t>保质保量完成区委区政府交办的各项工作任务。在绩效自评工作完成后</w:t>
      </w:r>
      <w:r>
        <w:rPr>
          <w:rFonts w:hint="eastAsia" w:ascii="Times New Roman" w:hAnsi="Times New Roman" w:eastAsia="方正仿宋_GBK" w:cs="Times New Roman"/>
          <w:color w:val="000000"/>
          <w:kern w:val="0"/>
          <w:sz w:val="32"/>
          <w:szCs w:val="32"/>
          <w:shd w:val="clear" w:color="auto" w:fill="FFFFFF"/>
          <w:lang w:val="zh-CN"/>
        </w:rPr>
        <w:t>，</w:t>
      </w:r>
      <w:r>
        <w:rPr>
          <w:rFonts w:hint="default" w:ascii="Times New Roman" w:hAnsi="Times New Roman" w:eastAsia="方正仿宋_GBK" w:cs="Times New Roman"/>
          <w:color w:val="000000"/>
          <w:kern w:val="0"/>
          <w:sz w:val="32"/>
          <w:szCs w:val="32"/>
          <w:shd w:val="clear" w:color="auto" w:fill="FFFFFF"/>
          <w:lang w:val="zh-CN"/>
        </w:rPr>
        <w:t>将结果放在攀枝花市西区人民政府网站政务公开栏目中公开公示。</w:t>
      </w:r>
    </w:p>
    <w:p w14:paraId="0E47482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eastAsia" w:ascii="方正黑体_GBK" w:hAnsi="方正黑体_GBK" w:eastAsia="方正黑体_GBK" w:cs="方正黑体_GBK"/>
          <w:color w:val="000000"/>
          <w:kern w:val="0"/>
          <w:sz w:val="32"/>
          <w:szCs w:val="32"/>
          <w:shd w:val="clear" w:color="auto" w:fill="FFFFFF"/>
        </w:rPr>
      </w:pPr>
      <w:r>
        <w:rPr>
          <w:rFonts w:hint="eastAsia" w:ascii="方正黑体_GBK" w:hAnsi="方正黑体_GBK" w:eastAsia="方正黑体_GBK" w:cs="方正黑体_GBK"/>
          <w:color w:val="000000"/>
          <w:kern w:val="0"/>
          <w:sz w:val="32"/>
          <w:szCs w:val="32"/>
          <w:shd w:val="clear" w:color="auto" w:fill="FFFFFF"/>
        </w:rPr>
        <w:t>四、评价结论及建议</w:t>
      </w:r>
    </w:p>
    <w:p w14:paraId="32AF0702">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eastAsia" w:ascii="方正楷体_GBK" w:hAnsi="方正楷体_GBK" w:eastAsia="方正楷体_GBK" w:cs="方正楷体_GBK"/>
          <w:b/>
          <w:bCs/>
          <w:color w:val="000000"/>
          <w:kern w:val="0"/>
          <w:sz w:val="32"/>
          <w:szCs w:val="32"/>
          <w:shd w:val="clear" w:color="auto" w:fill="FFFFFF"/>
        </w:rPr>
      </w:pPr>
      <w:r>
        <w:rPr>
          <w:rFonts w:hint="eastAsia" w:ascii="方正楷体_GBK" w:hAnsi="方正楷体_GBK" w:eastAsia="方正楷体_GBK" w:cs="方正楷体_GBK"/>
          <w:b/>
          <w:bCs/>
          <w:color w:val="000000"/>
          <w:kern w:val="0"/>
          <w:sz w:val="32"/>
          <w:szCs w:val="32"/>
          <w:shd w:val="clear" w:color="auto" w:fill="FFFFFF"/>
          <w:lang w:val="zh-CN"/>
        </w:rPr>
        <w:t>（一）评价结论</w:t>
      </w:r>
    </w:p>
    <w:p w14:paraId="6F02F78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2025年</w:t>
      </w:r>
      <w:r>
        <w:rPr>
          <w:rFonts w:hint="eastAsia" w:ascii="Times New Roman" w:hAnsi="Times New Roman" w:eastAsia="方正仿宋_GBK" w:cs="Times New Roman"/>
          <w:color w:val="000000"/>
          <w:kern w:val="0"/>
          <w:sz w:val="32"/>
          <w:szCs w:val="32"/>
          <w:shd w:val="clear" w:color="auto" w:fill="FFFFFF"/>
          <w:lang w:val="en-US" w:eastAsia="zh-CN"/>
        </w:rPr>
        <w:t>，</w:t>
      </w:r>
      <w:r>
        <w:rPr>
          <w:rFonts w:hint="default" w:ascii="Times New Roman" w:hAnsi="Times New Roman" w:eastAsia="方正仿宋_GBK" w:cs="Times New Roman"/>
          <w:color w:val="000000"/>
          <w:kern w:val="0"/>
          <w:sz w:val="32"/>
          <w:szCs w:val="32"/>
          <w:shd w:val="clear" w:color="auto" w:fill="FFFFFF"/>
          <w:lang w:val="en-US" w:eastAsia="zh-CN"/>
        </w:rPr>
        <w:t>西区信访局整体支出绩效自评较科学准确，</w:t>
      </w:r>
      <w:r>
        <w:rPr>
          <w:rFonts w:hint="eastAsia" w:ascii="Times New Roman" w:hAnsi="Times New Roman" w:eastAsia="方正仿宋_GBK" w:cs="Times New Roman"/>
          <w:color w:val="000000"/>
          <w:kern w:val="0"/>
          <w:sz w:val="32"/>
          <w:szCs w:val="32"/>
          <w:shd w:val="clear" w:color="auto" w:fill="FFFFFF"/>
          <w:lang w:val="en-US" w:eastAsia="zh-CN"/>
        </w:rPr>
        <w:t>客观</w:t>
      </w:r>
      <w:r>
        <w:rPr>
          <w:rFonts w:hint="default" w:ascii="Times New Roman" w:hAnsi="Times New Roman" w:eastAsia="方正仿宋_GBK" w:cs="Times New Roman"/>
          <w:color w:val="000000"/>
          <w:kern w:val="0"/>
          <w:sz w:val="32"/>
          <w:szCs w:val="32"/>
          <w:shd w:val="clear" w:color="auto" w:fill="FFFFFF"/>
          <w:lang w:val="en-US" w:eastAsia="zh-CN"/>
        </w:rPr>
        <w:t>真实地反映了本单位财政收支情况，</w:t>
      </w:r>
      <w:r>
        <w:rPr>
          <w:rFonts w:hint="eastAsia" w:ascii="Times New Roman" w:hAnsi="Times New Roman" w:eastAsia="方正仿宋_GBK" w:cs="Times New Roman"/>
          <w:color w:val="000000"/>
          <w:kern w:val="0"/>
          <w:sz w:val="32"/>
          <w:szCs w:val="32"/>
          <w:shd w:val="clear" w:color="auto" w:fill="FFFFFF"/>
          <w:lang w:val="en-US" w:eastAsia="zh-CN"/>
        </w:rPr>
        <w:t>圆满</w:t>
      </w:r>
      <w:r>
        <w:rPr>
          <w:rFonts w:hint="default" w:ascii="Times New Roman" w:hAnsi="Times New Roman" w:eastAsia="方正仿宋_GBK" w:cs="Times New Roman"/>
          <w:color w:val="000000"/>
          <w:kern w:val="0"/>
          <w:sz w:val="32"/>
          <w:szCs w:val="32"/>
          <w:shd w:val="clear" w:color="auto" w:fill="FFFFFF"/>
          <w:lang w:val="en-US" w:eastAsia="zh-CN"/>
        </w:rPr>
        <w:t>完成</w:t>
      </w:r>
      <w:r>
        <w:rPr>
          <w:rFonts w:hint="eastAsia" w:ascii="Times New Roman" w:hAnsi="Times New Roman" w:eastAsia="方正仿宋_GBK" w:cs="Times New Roman"/>
          <w:color w:val="000000"/>
          <w:kern w:val="0"/>
          <w:sz w:val="32"/>
          <w:szCs w:val="32"/>
          <w:shd w:val="clear" w:color="auto" w:fill="FFFFFF"/>
          <w:lang w:val="en-US" w:eastAsia="zh-CN"/>
        </w:rPr>
        <w:t>了</w:t>
      </w:r>
      <w:r>
        <w:rPr>
          <w:rFonts w:hint="default" w:ascii="Times New Roman" w:hAnsi="Times New Roman" w:eastAsia="方正仿宋_GBK" w:cs="Times New Roman"/>
          <w:color w:val="000000"/>
          <w:kern w:val="0"/>
          <w:sz w:val="32"/>
          <w:szCs w:val="32"/>
          <w:shd w:val="clear" w:color="auto" w:fill="FFFFFF"/>
          <w:lang w:val="en-US" w:eastAsia="zh-CN"/>
        </w:rPr>
        <w:t>年初绩效目标任务，自评优秀。</w:t>
      </w:r>
    </w:p>
    <w:p w14:paraId="51D9BB70">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eastAsia" w:ascii="方正楷体_GBK" w:hAnsi="方正楷体_GBK" w:eastAsia="方正楷体_GBK" w:cs="方正楷体_GBK"/>
          <w:b/>
          <w:bCs/>
          <w:color w:val="000000"/>
          <w:kern w:val="0"/>
          <w:sz w:val="32"/>
          <w:szCs w:val="32"/>
          <w:shd w:val="clear" w:color="auto" w:fill="FFFFFF"/>
          <w:lang w:val="zh-CN" w:eastAsia="zh-CN"/>
        </w:rPr>
      </w:pPr>
      <w:r>
        <w:rPr>
          <w:rFonts w:hint="eastAsia" w:ascii="方正楷体_GBK" w:hAnsi="方正楷体_GBK" w:eastAsia="方正楷体_GBK" w:cs="方正楷体_GBK"/>
          <w:b/>
          <w:bCs/>
          <w:color w:val="000000"/>
          <w:kern w:val="0"/>
          <w:sz w:val="32"/>
          <w:szCs w:val="32"/>
          <w:shd w:val="clear" w:color="auto" w:fill="FFFFFF"/>
          <w:lang w:val="zh-CN"/>
        </w:rPr>
        <w:t>（二）存在问题</w:t>
      </w:r>
    </w:p>
    <w:p w14:paraId="2FF5F49F">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Times New Roman" w:hAnsi="Times New Roman" w:eastAsia="方正仿宋_GBK" w:cs="Times New Roman"/>
          <w:b w:val="0"/>
          <w:bCs w:val="0"/>
          <w:color w:val="000000"/>
          <w:kern w:val="0"/>
          <w:sz w:val="32"/>
          <w:szCs w:val="32"/>
          <w:shd w:val="clear" w:color="auto" w:fill="FFFFFF"/>
          <w:lang w:val="en-US" w:eastAsia="zh-CN"/>
        </w:rPr>
      </w:pPr>
      <w:r>
        <w:rPr>
          <w:rFonts w:hint="default" w:ascii="Times New Roman" w:hAnsi="Times New Roman" w:eastAsia="方正仿宋_GBK" w:cs="Times New Roman"/>
          <w:b/>
          <w:bCs/>
          <w:color w:val="000000"/>
          <w:kern w:val="0"/>
          <w:sz w:val="32"/>
          <w:szCs w:val="32"/>
          <w:shd w:val="clear" w:color="auto" w:fill="FFFFFF"/>
          <w:lang w:val="zh-CN"/>
        </w:rPr>
        <w:t>一是</w:t>
      </w:r>
      <w:r>
        <w:rPr>
          <w:rFonts w:hint="default" w:ascii="Times New Roman" w:hAnsi="Times New Roman" w:eastAsia="方正仿宋_GBK" w:cs="Times New Roman"/>
          <w:color w:val="000000"/>
          <w:kern w:val="0"/>
          <w:sz w:val="32"/>
          <w:szCs w:val="32"/>
          <w:shd w:val="clear" w:color="auto" w:fill="FFFFFF"/>
          <w:lang w:val="zh-CN"/>
        </w:rPr>
        <w:t>在资金安排和使用上仍有不可预见性：如在预算执行中，有时会因临时新增重要的工作任务或者人员增加发生新的费用，而年初预算时很难精确测算相关支出，导致预算执行中需要追加经费</w:t>
      </w:r>
      <w:r>
        <w:rPr>
          <w:rFonts w:hint="eastAsia" w:ascii="Times New Roman" w:hAnsi="Times New Roman" w:eastAsia="方正仿宋_GBK" w:cs="Times New Roman"/>
          <w:color w:val="000000"/>
          <w:kern w:val="0"/>
          <w:sz w:val="32"/>
          <w:szCs w:val="32"/>
          <w:shd w:val="clear" w:color="auto" w:fill="FFFFFF"/>
          <w:lang w:val="zh-CN"/>
        </w:rPr>
        <w:t>。</w:t>
      </w:r>
      <w:r>
        <w:rPr>
          <w:rFonts w:hint="default" w:ascii="Times New Roman" w:hAnsi="Times New Roman" w:eastAsia="方正仿宋_GBK" w:cs="Times New Roman"/>
          <w:b/>
          <w:bCs/>
          <w:color w:val="000000"/>
          <w:kern w:val="0"/>
          <w:sz w:val="32"/>
          <w:szCs w:val="32"/>
          <w:shd w:val="clear" w:color="auto" w:fill="FFFFFF"/>
          <w:lang w:val="zh-CN"/>
        </w:rPr>
        <w:t>二是</w:t>
      </w:r>
      <w:r>
        <w:rPr>
          <w:rFonts w:hint="default" w:ascii="Times New Roman" w:hAnsi="Times New Roman" w:eastAsia="方正仿宋_GBK" w:cs="Times New Roman"/>
          <w:color w:val="000000"/>
          <w:kern w:val="0"/>
          <w:sz w:val="32"/>
          <w:szCs w:val="32"/>
          <w:shd w:val="clear" w:color="auto" w:fill="FFFFFF"/>
          <w:lang w:val="zh-CN"/>
        </w:rPr>
        <w:t>因为个别专项工作需按照上级安排部署开展，</w:t>
      </w:r>
      <w:r>
        <w:rPr>
          <w:rFonts w:hint="eastAsia" w:ascii="Times New Roman" w:hAnsi="Times New Roman" w:eastAsia="方正仿宋_GBK" w:cs="Times New Roman"/>
          <w:color w:val="000000"/>
          <w:kern w:val="0"/>
          <w:sz w:val="32"/>
          <w:szCs w:val="32"/>
          <w:shd w:val="clear" w:color="auto" w:fill="FFFFFF"/>
          <w:lang w:val="zh-CN"/>
        </w:rPr>
        <w:t>需延伸到下一年度，</w:t>
      </w:r>
      <w:r>
        <w:rPr>
          <w:rFonts w:hint="default" w:ascii="Times New Roman" w:hAnsi="Times New Roman" w:eastAsia="方正仿宋_GBK" w:cs="Times New Roman"/>
          <w:color w:val="000000"/>
          <w:kern w:val="0"/>
          <w:sz w:val="32"/>
          <w:szCs w:val="32"/>
          <w:shd w:val="clear" w:color="auto" w:fill="FFFFFF"/>
          <w:lang w:val="zh-CN"/>
        </w:rPr>
        <w:t>导致项目资金结转下年</w:t>
      </w:r>
      <w:r>
        <w:rPr>
          <w:rFonts w:hint="default" w:ascii="Times New Roman" w:hAnsi="Times New Roman" w:eastAsia="方正仿宋_GBK" w:cs="Times New Roman"/>
          <w:color w:val="000000"/>
          <w:kern w:val="0"/>
          <w:sz w:val="32"/>
          <w:szCs w:val="32"/>
          <w:shd w:val="clear" w:color="auto" w:fill="FFFFFF"/>
          <w:lang w:val="en-US" w:eastAsia="zh-CN"/>
        </w:rPr>
        <w:t>。</w:t>
      </w:r>
    </w:p>
    <w:p w14:paraId="58BF605E">
      <w:pPr>
        <w:keepNext w:val="0"/>
        <w:keepLines w:val="0"/>
        <w:pageBreakBefore w:val="0"/>
        <w:widowControl w:val="0"/>
        <w:kinsoku/>
        <w:wordWrap/>
        <w:overflowPunct w:val="0"/>
        <w:topLinePunct w:val="0"/>
        <w:autoSpaceDE/>
        <w:autoSpaceDN/>
        <w:bidi w:val="0"/>
        <w:adjustRightInd w:val="0"/>
        <w:snapToGrid w:val="0"/>
        <w:spacing w:line="580" w:lineRule="exact"/>
        <w:ind w:firstLine="643" w:firstLineChars="200"/>
        <w:contextualSpacing/>
        <w:jc w:val="both"/>
        <w:textAlignment w:val="auto"/>
        <w:rPr>
          <w:rFonts w:hint="default" w:ascii="方正楷体_GBK" w:hAnsi="方正楷体_GBK" w:eastAsia="方正楷体_GBK" w:cs="方正楷体_GBK"/>
          <w:b/>
          <w:bCs/>
          <w:color w:val="000000"/>
          <w:kern w:val="0"/>
          <w:sz w:val="32"/>
          <w:szCs w:val="32"/>
          <w:shd w:val="clear" w:color="auto" w:fill="FFFFFF"/>
          <w:lang w:val="en" w:eastAsia="zh-CN"/>
        </w:rPr>
      </w:pPr>
      <w:r>
        <w:rPr>
          <w:rFonts w:hint="default" w:ascii="方正楷体_GBK" w:hAnsi="方正楷体_GBK" w:eastAsia="方正楷体_GBK" w:cs="方正楷体_GBK"/>
          <w:b/>
          <w:bCs/>
          <w:color w:val="000000"/>
          <w:kern w:val="0"/>
          <w:sz w:val="32"/>
          <w:szCs w:val="32"/>
          <w:shd w:val="clear" w:color="auto" w:fill="FFFFFF"/>
          <w:lang w:val="zh-CN"/>
        </w:rPr>
        <w:t>（三）改进建议</w:t>
      </w:r>
      <w:bookmarkStart w:id="0" w:name="_Hlk110546638"/>
    </w:p>
    <w:bookmarkEnd w:id="0"/>
    <w:p w14:paraId="278F259D">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进一步完善和加强单位内部财务管理制度，加强预算编制的精准性及预算项目的可实施性，加强资金使用动态管理，确保资金使用效益最大化。</w:t>
      </w:r>
    </w:p>
    <w:p w14:paraId="16957ABB">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color w:val="000000"/>
          <w:kern w:val="0"/>
          <w:sz w:val="32"/>
          <w:szCs w:val="32"/>
          <w:shd w:val="clear" w:color="auto" w:fill="FFFFFF"/>
        </w:rPr>
      </w:pPr>
    </w:p>
    <w:p w14:paraId="2C2CEADD">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color w:val="000000"/>
          <w:kern w:val="0"/>
          <w:sz w:val="32"/>
          <w:szCs w:val="32"/>
          <w:shd w:val="clear" w:color="auto" w:fill="FFFFFF"/>
        </w:rPr>
        <w:t>附</w:t>
      </w:r>
      <w:r>
        <w:rPr>
          <w:rFonts w:hint="eastAsia" w:ascii="Times New Roman" w:hAnsi="Times New Roman" w:eastAsia="方正仿宋_GBK" w:cs="Times New Roman"/>
          <w:color w:val="000000"/>
          <w:kern w:val="0"/>
          <w:sz w:val="32"/>
          <w:szCs w:val="32"/>
          <w:shd w:val="clear" w:color="auto" w:fill="FFFFFF"/>
          <w:lang w:eastAsia="zh-CN"/>
        </w:rPr>
        <w:t>件</w:t>
      </w:r>
      <w:r>
        <w:rPr>
          <w:rFonts w:hint="default" w:ascii="Times New Roman" w:hAnsi="Times New Roman" w:eastAsia="方正仿宋_GBK" w:cs="Times New Roman"/>
          <w:color w:val="000000"/>
          <w:kern w:val="0"/>
          <w:sz w:val="32"/>
          <w:szCs w:val="32"/>
          <w:shd w:val="clear" w:color="auto" w:fill="FFFFFF"/>
        </w:rPr>
        <w:t>：1</w:t>
      </w:r>
      <w:r>
        <w:rPr>
          <w:rFonts w:hint="eastAsia"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sz w:val="32"/>
          <w:szCs w:val="32"/>
          <w:lang w:bidi="ar"/>
        </w:rPr>
        <w:t>部门预算绩效自评打分表</w:t>
      </w:r>
    </w:p>
    <w:p w14:paraId="2E62BE5D">
      <w:pPr>
        <w:keepNext w:val="0"/>
        <w:keepLines w:val="0"/>
        <w:pageBreakBefore w:val="0"/>
        <w:widowControl w:val="0"/>
        <w:numPr>
          <w:ilvl w:val="0"/>
          <w:numId w:val="0"/>
        </w:numPr>
        <w:kinsoku/>
        <w:wordWrap/>
        <w:overflowPunct w:val="0"/>
        <w:topLinePunct w:val="0"/>
        <w:autoSpaceDE/>
        <w:autoSpaceDN/>
        <w:bidi w:val="0"/>
        <w:spacing w:line="580" w:lineRule="exact"/>
        <w:ind w:firstLine="1600" w:firstLineChars="500"/>
        <w:jc w:val="both"/>
        <w:textAlignment w:val="auto"/>
        <w:rPr>
          <w:rFonts w:hint="default" w:ascii="Times New Roman" w:hAnsi="Times New Roman" w:eastAsia="方正仿宋_GBK" w:cs="Times New Roman"/>
          <w:color w:val="000000"/>
          <w:kern w:val="0"/>
          <w:sz w:val="32"/>
          <w:szCs w:val="32"/>
          <w:shd w:val="clear" w:color="auto" w:fill="FFFFFF"/>
        </w:rPr>
      </w:pPr>
      <w:r>
        <w:rPr>
          <w:rFonts w:hint="eastAsia"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rPr>
        <w:t>部门整体绩效目标完成情况自评表</w:t>
      </w:r>
    </w:p>
    <w:p w14:paraId="1FC27EA9">
      <w:pPr>
        <w:keepNext w:val="0"/>
        <w:keepLines w:val="0"/>
        <w:pageBreakBefore w:val="0"/>
        <w:widowControl w:val="0"/>
        <w:numPr>
          <w:ilvl w:val="0"/>
          <w:numId w:val="0"/>
        </w:numPr>
        <w:kinsoku/>
        <w:wordWrap/>
        <w:overflowPunct w:val="0"/>
        <w:topLinePunct w:val="0"/>
        <w:autoSpaceDE/>
        <w:autoSpaceDN/>
        <w:bidi w:val="0"/>
        <w:spacing w:line="576" w:lineRule="exact"/>
        <w:jc w:val="both"/>
        <w:textAlignment w:val="auto"/>
        <w:rPr>
          <w:rFonts w:hint="default" w:ascii="Times New Roman" w:hAnsi="Times New Roman" w:eastAsia="黑体" w:cs="Times New Roman"/>
        </w:rPr>
      </w:pPr>
      <w:r>
        <w:rPr>
          <w:rFonts w:hint="default" w:ascii="Times New Roman" w:hAnsi="Times New Roman" w:cs="Times New Roman"/>
          <w:color w:val="000000"/>
          <w:kern w:val="0"/>
          <w:szCs w:val="32"/>
          <w:shd w:val="clear" w:color="auto" w:fill="FFFFFF"/>
        </w:rPr>
        <w:br w:type="page"/>
      </w:r>
      <w:r>
        <w:rPr>
          <w:rFonts w:hint="eastAsia" w:ascii="方正黑体_GBK" w:hAnsi="方正黑体_GBK" w:eastAsia="方正黑体_GBK" w:cs="方正黑体_GBK"/>
        </w:rPr>
        <w:t>附</w:t>
      </w:r>
      <w:r>
        <w:rPr>
          <w:rFonts w:hint="eastAsia" w:ascii="方正黑体_GBK" w:hAnsi="方正黑体_GBK" w:eastAsia="方正黑体_GBK" w:cs="方正黑体_GBK"/>
          <w:lang w:eastAsia="zh-CN"/>
        </w:rPr>
        <w:t>件</w:t>
      </w:r>
      <w:r>
        <w:rPr>
          <w:rFonts w:hint="default" w:ascii="Times New Roman" w:hAnsi="Times New Roman" w:eastAsia="方正黑体_GBK" w:cs="Times New Roman"/>
        </w:rPr>
        <w:t>1</w:t>
      </w:r>
    </w:p>
    <w:p w14:paraId="3F7C8F2C">
      <w:pPr>
        <w:widowControl/>
        <w:spacing w:line="600" w:lineRule="exact"/>
        <w:jc w:val="center"/>
        <w:textAlignment w:val="center"/>
        <w:rPr>
          <w:rFonts w:hint="eastAsia" w:ascii="方正小标宋_GBK" w:hAnsi="方正小标宋_GBK" w:eastAsia="方正小标宋_GBK" w:cs="方正小标宋_GBK"/>
          <w:b/>
          <w:bCs/>
          <w:color w:val="000000"/>
          <w:kern w:val="0"/>
          <w:sz w:val="44"/>
          <w:szCs w:val="44"/>
          <w:lang w:bidi="ar"/>
        </w:rPr>
      </w:pPr>
      <w:r>
        <w:rPr>
          <w:rFonts w:hint="eastAsia" w:ascii="方正小标宋_GBK" w:hAnsi="方正小标宋_GBK" w:eastAsia="方正小标宋_GBK" w:cs="方正小标宋_GBK"/>
          <w:b/>
          <w:bCs/>
          <w:color w:val="000000"/>
          <w:kern w:val="0"/>
          <w:sz w:val="44"/>
          <w:szCs w:val="44"/>
          <w:lang w:bidi="ar"/>
        </w:rPr>
        <w:t>部门预算绩效自评打分表</w:t>
      </w:r>
    </w:p>
    <w:tbl>
      <w:tblPr>
        <w:tblStyle w:val="13"/>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59A0EF8B">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32EBA7">
            <w:pPr>
              <w:widowControl/>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D94FB">
            <w:pPr>
              <w:widowControl/>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1EF1E176">
            <w:pPr>
              <w:widowControl/>
              <w:spacing w:line="240" w:lineRule="exact"/>
              <w:jc w:val="center"/>
              <w:textAlignment w:val="center"/>
              <w:rPr>
                <w:rFonts w:hint="default" w:ascii="Times New Roman" w:hAnsi="Times New Roman" w:eastAsia="黑体" w:cs="Times New Roman"/>
                <w:color w:val="000000"/>
                <w:kern w:val="0"/>
                <w:sz w:val="24"/>
                <w:lang w:bidi="ar"/>
              </w:rPr>
            </w:pPr>
            <w:r>
              <w:rPr>
                <w:rFonts w:hint="default" w:ascii="Times New Roman" w:hAnsi="Times New Roman" w:eastAsia="黑体" w:cs="Times New Roman"/>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AEB0B44">
            <w:pPr>
              <w:widowControl/>
              <w:spacing w:line="240" w:lineRule="exact"/>
              <w:jc w:val="center"/>
              <w:textAlignment w:val="center"/>
              <w:rPr>
                <w:rFonts w:hint="default" w:ascii="Times New Roman" w:hAnsi="Times New Roman" w:eastAsia="黑体" w:cs="Times New Roman"/>
                <w:color w:val="000000"/>
                <w:kern w:val="0"/>
                <w:sz w:val="24"/>
                <w:lang w:bidi="ar"/>
              </w:rPr>
            </w:pPr>
            <w:r>
              <w:rPr>
                <w:rFonts w:hint="default" w:ascii="Times New Roman" w:hAnsi="Times New Roman" w:eastAsia="黑体" w:cs="Times New Roman"/>
                <w:color w:val="000000"/>
                <w:kern w:val="0"/>
                <w:sz w:val="24"/>
                <w:lang w:bidi="ar"/>
              </w:rPr>
              <w:t>备注</w:t>
            </w:r>
          </w:p>
        </w:tc>
      </w:tr>
      <w:tr w14:paraId="0B30847C">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248B57F5">
            <w:pPr>
              <w:widowControl/>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B2B4">
            <w:pPr>
              <w:widowControl/>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D42E">
            <w:pPr>
              <w:widowControl/>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62F3">
            <w:pPr>
              <w:widowControl/>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指标</w:t>
            </w:r>
            <w:r>
              <w:rPr>
                <w:rFonts w:hint="default" w:ascii="Times New Roman" w:hAnsi="Times New Roman" w:eastAsia="黑体" w:cs="Times New Roman"/>
                <w:color w:val="000000"/>
                <w:kern w:val="0"/>
                <w:sz w:val="24"/>
                <w:lang w:bidi="ar"/>
              </w:rPr>
              <w:br w:type="textWrapping"/>
            </w:r>
            <w:r>
              <w:rPr>
                <w:rFonts w:hint="default" w:ascii="Times New Roman" w:hAnsi="Times New Roman" w:eastAsia="黑体" w:cs="Times New Roman"/>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84ABE">
            <w:pPr>
              <w:widowControl/>
              <w:spacing w:line="240" w:lineRule="exact"/>
              <w:jc w:val="center"/>
              <w:rPr>
                <w:rFonts w:hint="default" w:ascii="Times New Roman" w:hAnsi="Times New Roman" w:eastAsia="黑体" w:cs="Times New Roman"/>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676552F8">
            <w:pPr>
              <w:widowControl/>
              <w:spacing w:line="240" w:lineRule="exact"/>
              <w:jc w:val="center"/>
              <w:rPr>
                <w:rFonts w:hint="default" w:ascii="Times New Roman" w:hAnsi="Times New Roman" w:eastAsia="黑体" w:cs="Times New Roman"/>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648A7158">
            <w:pPr>
              <w:widowControl/>
              <w:spacing w:line="240" w:lineRule="exact"/>
              <w:jc w:val="center"/>
              <w:rPr>
                <w:rFonts w:hint="default" w:ascii="Times New Roman" w:hAnsi="Times New Roman" w:eastAsia="黑体" w:cs="Times New Roman"/>
                <w:color w:val="000000"/>
                <w:sz w:val="24"/>
              </w:rPr>
            </w:pPr>
          </w:p>
        </w:tc>
      </w:tr>
      <w:tr w14:paraId="12A01B70">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23CC712D">
            <w:pPr>
              <w:widowControl/>
              <w:spacing w:line="240" w:lineRule="exact"/>
              <w:jc w:val="center"/>
              <w:textAlignment w:val="center"/>
              <w:rPr>
                <w:rFonts w:hint="default" w:ascii="Times New Roman" w:hAnsi="Times New Roman" w:eastAsia="宋体" w:cs="Times New Roman"/>
                <w:b/>
                <w:color w:val="000000"/>
                <w:kern w:val="0"/>
                <w:sz w:val="24"/>
                <w:lang w:bidi="ar"/>
              </w:rPr>
            </w:pPr>
            <w:r>
              <w:rPr>
                <w:rFonts w:hint="default" w:ascii="Times New Roman" w:hAnsi="Times New Roman" w:eastAsia="宋体" w:cs="Times New Roman"/>
                <w:b/>
                <w:color w:val="000000"/>
                <w:kern w:val="0"/>
                <w:sz w:val="24"/>
                <w:lang w:bidi="ar"/>
              </w:rPr>
              <w:t>总体绩效</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（65分）</w:t>
            </w:r>
          </w:p>
          <w:p w14:paraId="7975A7C9">
            <w:pPr>
              <w:widowControl/>
              <w:spacing w:line="240" w:lineRule="exact"/>
              <w:jc w:val="center"/>
              <w:textAlignment w:val="center"/>
              <w:rPr>
                <w:rFonts w:hint="default" w:ascii="Times New Roman" w:hAnsi="Times New Roman" w:eastAsia="宋体" w:cs="Times New Roman"/>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386F">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履职效能</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5551">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30AB263">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0FA6">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B8C3">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3ED9">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4679086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B6F697E">
            <w:pPr>
              <w:widowControl/>
              <w:spacing w:line="240" w:lineRule="exact"/>
              <w:jc w:val="center"/>
              <w:rPr>
                <w:rFonts w:hint="default" w:ascii="Times New Roman" w:hAnsi="Times New Roman" w:eastAsia="宋体"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96B57">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预算管理</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95D2">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B16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544C">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7808">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FE54">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508ABB1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8A92E14">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6B5D6">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5CD2">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3FE0">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3756">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ACBC">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6657">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56A13DF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49E8206">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E8C61">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F7ED">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A97B">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6FA6">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1AA0">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B5B7">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5923632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5F52B69">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321B8">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9CC6">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D1DF">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56AC">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4D38">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4C97">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783EB0F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1CA594F">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34BBF">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6371">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0C4D">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9A9E">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C377">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2FB2">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23612262">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7BC1217">
            <w:pPr>
              <w:widowControl/>
              <w:spacing w:line="240" w:lineRule="exact"/>
              <w:jc w:val="center"/>
              <w:rPr>
                <w:rFonts w:hint="default" w:ascii="Times New Roman" w:hAnsi="Times New Roman" w:eastAsia="宋体"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56B17">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财务管理</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4E86">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7FAB">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5BE7">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492E">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3351">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5F1F6B0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A65B479">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595C">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8871">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C26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7353">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C7F2">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20CE">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0411DBE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83BDA63">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D6372">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2F4B">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468B">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FE02">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0E8D">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5F8B">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582F8322">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0ABED15">
            <w:pPr>
              <w:widowControl/>
              <w:spacing w:line="240" w:lineRule="exact"/>
              <w:jc w:val="center"/>
              <w:rPr>
                <w:rFonts w:hint="default" w:ascii="Times New Roman" w:hAnsi="Times New Roman" w:eastAsia="宋体" w:cs="Times New Roman"/>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02209987">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资产管理</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B147">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A7FA">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BB3D">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7F04">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FD5F">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75616368">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B1845F2">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36EC2E1F">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FEA1">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0F2A">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C953">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2C78">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9821">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20FDF1D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516C675">
            <w:pPr>
              <w:widowControl/>
              <w:spacing w:line="240" w:lineRule="exact"/>
              <w:jc w:val="center"/>
              <w:textAlignment w:val="center"/>
              <w:rPr>
                <w:rFonts w:hint="default" w:ascii="Times New Roman" w:hAnsi="Times New Roman" w:eastAsia="宋体" w:cs="Times New Roman"/>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5ED71697">
            <w:pPr>
              <w:widowControl/>
              <w:spacing w:line="240" w:lineRule="exact"/>
              <w:jc w:val="center"/>
              <w:textAlignment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CA96">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006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F55D">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6270">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F392">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5D8DF5B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CD2061D">
            <w:pPr>
              <w:widowControl/>
              <w:spacing w:line="240" w:lineRule="exact"/>
              <w:jc w:val="center"/>
              <w:rPr>
                <w:rFonts w:hint="default" w:ascii="Times New Roman" w:hAnsi="Times New Roman" w:eastAsia="宋体"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2E3AC">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采购管理</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5328">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21E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2F4D">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5899">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A1CC">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400241CE">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2CDB01D8">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143A0">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327C">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74C9">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7CC4">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070D">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9C5B">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459EBF60">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3A7BD">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项目绩效</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FAA1515">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项目决策</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FB2D">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25F4">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D807">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93EF">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CE12">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0758F53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C748B">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81FB2F5">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1C7B">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B3ED">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C4DC">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69B8">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8921">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03D8C4A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A999E">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7066091">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8560">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9BD4">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CED3">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66F4">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C6B5">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1376141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E344B">
            <w:pPr>
              <w:widowControl/>
              <w:spacing w:line="240" w:lineRule="exact"/>
              <w:jc w:val="center"/>
              <w:rPr>
                <w:rFonts w:hint="default" w:ascii="Times New Roman" w:hAnsi="Times New Roman" w:eastAsia="宋体" w:cs="Times New Roman"/>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7AFF6759">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项目执行</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861C">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A3BC">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B516">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9FB7">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2B5B">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742DE6A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67CC8">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1C00ADF">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64AA90D5">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F89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D206">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DE56">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A682">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4144DB0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FD6D4">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3BFCD3C">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5290">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3754">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1DE7">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ADB5">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452E">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6DA1F21B">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194B8">
            <w:pPr>
              <w:widowControl/>
              <w:spacing w:line="240" w:lineRule="exact"/>
              <w:jc w:val="center"/>
              <w:rPr>
                <w:rFonts w:hint="default" w:ascii="Times New Roman" w:hAnsi="Times New Roman" w:eastAsia="宋体"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56FA7">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目标实现</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C104">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60E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3B12">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AE00">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BA1C">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07CF232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F66C6">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DCB69">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68FE">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7502">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B5D9">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13A7">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8ECE">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3A644BE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DECFB">
            <w:pPr>
              <w:widowControl/>
              <w:spacing w:line="240" w:lineRule="exact"/>
              <w:jc w:val="center"/>
              <w:rPr>
                <w:rFonts w:hint="default" w:ascii="Times New Roman" w:hAnsi="Times New Roman" w:eastAsia="宋体"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BE6A">
            <w:pPr>
              <w:widowControl/>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BAC9">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E80D">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280B">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6CA7">
            <w:pPr>
              <w:widowControl/>
              <w:spacing w:line="240" w:lineRule="exact"/>
              <w:jc w:val="left"/>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97A5">
            <w:pPr>
              <w:widowControl/>
              <w:spacing w:line="240" w:lineRule="exact"/>
              <w:jc w:val="left"/>
              <w:textAlignment w:val="center"/>
              <w:rPr>
                <w:rFonts w:hint="default" w:ascii="Times New Roman" w:hAnsi="Times New Roman" w:eastAsia="宋体" w:cs="Times New Roman"/>
                <w:color w:val="000000"/>
                <w:kern w:val="0"/>
                <w:sz w:val="24"/>
                <w:lang w:bidi="ar"/>
              </w:rPr>
            </w:pPr>
          </w:p>
        </w:tc>
      </w:tr>
      <w:tr w14:paraId="718CE1E3">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C642">
            <w:pPr>
              <w:widowControl/>
              <w:spacing w:line="240" w:lineRule="exact"/>
              <w:jc w:val="center"/>
              <w:textAlignment w:val="center"/>
              <w:rPr>
                <w:rFonts w:hint="default" w:ascii="Times New Roman" w:hAnsi="Times New Roman" w:eastAsia="宋体" w:cs="Times New Roman"/>
                <w:b/>
                <w:color w:val="000000"/>
                <w:sz w:val="24"/>
              </w:rPr>
            </w:pPr>
            <w:r>
              <w:rPr>
                <w:rFonts w:hint="default" w:ascii="Times New Roman" w:hAnsi="Times New Roman" w:eastAsia="宋体" w:cs="Times New Roman"/>
                <w:b/>
                <w:color w:val="000000"/>
                <w:kern w:val="0"/>
                <w:sz w:val="24"/>
                <w:lang w:bidi="ar"/>
              </w:rPr>
              <w:t>扣分项</w:t>
            </w:r>
            <w:r>
              <w:rPr>
                <w:rFonts w:hint="default" w:ascii="Times New Roman" w:hAnsi="Times New Roman" w:eastAsia="宋体" w:cs="Times New Roman"/>
                <w:b/>
                <w:color w:val="000000"/>
                <w:kern w:val="0"/>
                <w:sz w:val="24"/>
                <w:lang w:bidi="ar"/>
              </w:rPr>
              <w:br w:type="textWrapping"/>
            </w:r>
            <w:r>
              <w:rPr>
                <w:rFonts w:hint="default" w:ascii="Times New Roman" w:hAnsi="Times New Roman" w:eastAsia="宋体" w:cs="Times New Roman"/>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262E4">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06FB">
            <w:pPr>
              <w:widowControl/>
              <w:spacing w:line="24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D0C0">
            <w:pPr>
              <w:widowControl/>
              <w:spacing w:line="24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56BB">
            <w:pPr>
              <w:widowControl/>
              <w:spacing w:line="240" w:lineRule="exact"/>
              <w:jc w:val="left"/>
              <w:textAlignment w:val="center"/>
              <w:rPr>
                <w:rFonts w:hint="default" w:ascii="Times New Roman" w:hAnsi="Times New Roman" w:eastAsia="宋体" w:cs="Times New Roman"/>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8664">
            <w:pPr>
              <w:widowControl/>
              <w:spacing w:line="240" w:lineRule="exact"/>
              <w:jc w:val="left"/>
              <w:textAlignment w:val="center"/>
              <w:rPr>
                <w:rFonts w:hint="default" w:ascii="Times New Roman" w:hAnsi="Times New Roman" w:eastAsia="宋体" w:cs="Times New Roman"/>
                <w:color w:val="000000"/>
                <w:kern w:val="0"/>
                <w:sz w:val="24"/>
                <w:lang w:bidi="ar"/>
              </w:rPr>
            </w:pPr>
          </w:p>
        </w:tc>
      </w:tr>
    </w:tbl>
    <w:p w14:paraId="3D646BD1">
      <w:pPr>
        <w:pStyle w:val="18"/>
        <w:spacing w:line="20" w:lineRule="exact"/>
        <w:rPr>
          <w:rFonts w:hint="default" w:ascii="Times New Roman" w:hAnsi="Times New Roman" w:cs="Times New Roman"/>
        </w:rPr>
      </w:pPr>
    </w:p>
    <w:p w14:paraId="4302B645">
      <w:pPr>
        <w:keepNext w:val="0"/>
        <w:keepLines w:val="0"/>
        <w:pageBreakBefore w:val="0"/>
        <w:widowControl w:val="0"/>
        <w:kinsoku/>
        <w:wordWrap/>
        <w:overflowPunct w:val="0"/>
        <w:topLinePunct w:val="0"/>
        <w:autoSpaceDE/>
        <w:autoSpaceDN/>
        <w:bidi w:val="0"/>
        <w:spacing w:line="600" w:lineRule="exact"/>
        <w:jc w:val="both"/>
        <w:textAlignment w:val="auto"/>
        <w:rPr>
          <w:rFonts w:hint="default" w:ascii="方正黑体_GBK" w:hAnsi="方正黑体_GBK" w:eastAsia="方正黑体_GBK" w:cs="方正黑体_GBK"/>
        </w:rPr>
      </w:pPr>
      <w:r>
        <w:rPr>
          <w:rFonts w:hint="default" w:ascii="方正黑体_GBK" w:hAnsi="方正黑体_GBK" w:eastAsia="方正黑体_GBK" w:cs="方正黑体_GBK"/>
        </w:rPr>
        <w:t>附</w:t>
      </w:r>
      <w:r>
        <w:rPr>
          <w:rFonts w:hint="eastAsia" w:ascii="方正黑体_GBK" w:hAnsi="方正黑体_GBK" w:eastAsia="方正黑体_GBK" w:cs="方正黑体_GBK"/>
          <w:lang w:eastAsia="zh-CN"/>
        </w:rPr>
        <w:t>件</w:t>
      </w:r>
      <w:r>
        <w:rPr>
          <w:rFonts w:hint="default" w:ascii="Times New Roman" w:hAnsi="Times New Roman" w:eastAsia="方正黑体_GBK" w:cs="Times New Roman"/>
        </w:rPr>
        <w:t>2</w:t>
      </w:r>
    </w:p>
    <w:tbl>
      <w:tblPr>
        <w:tblStyle w:val="13"/>
        <w:tblW w:w="10893" w:type="dxa"/>
        <w:jc w:val="center"/>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14:paraId="53160090">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14:paraId="2FDD79DF">
            <w:pPr>
              <w:widowControl/>
              <w:spacing w:line="600" w:lineRule="exact"/>
              <w:jc w:val="center"/>
              <w:textAlignment w:val="center"/>
              <w:rPr>
                <w:rFonts w:hint="default" w:ascii="Times New Roman" w:hAnsi="Times New Roman" w:eastAsia="黑体" w:cs="Times New Roman"/>
                <w:color w:val="000000"/>
                <w:sz w:val="28"/>
                <w:szCs w:val="28"/>
              </w:rPr>
            </w:pPr>
            <w:bookmarkStart w:id="1" w:name="OLE_LINK3"/>
            <w:r>
              <w:rPr>
                <w:rFonts w:hint="eastAsia" w:ascii="方正小标宋_GBK" w:hAnsi="方正小标宋_GBK" w:eastAsia="方正小标宋_GBK" w:cs="方正小标宋_GBK"/>
                <w:b/>
                <w:bCs/>
                <w:color w:val="000000"/>
                <w:kern w:val="0"/>
                <w:sz w:val="44"/>
                <w:szCs w:val="44"/>
                <w:lang w:bidi="ar"/>
              </w:rPr>
              <w:t>部门整体绩效目标完成情况自评表</w:t>
            </w:r>
            <w:bookmarkEnd w:id="1"/>
          </w:p>
        </w:tc>
      </w:tr>
      <w:tr w14:paraId="79BAA48A">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14:paraId="62CC9E62">
            <w:pPr>
              <w:widowControl/>
              <w:spacing w:line="300" w:lineRule="exact"/>
              <w:jc w:val="center"/>
              <w:textAlignment w:val="center"/>
              <w:rPr>
                <w:rFonts w:hint="default" w:ascii="Times New Roman" w:hAnsi="Times New Roman" w:eastAsia="宋体" w:cs="Times New Roman"/>
                <w:color w:val="000000"/>
                <w:sz w:val="28"/>
                <w:szCs w:val="28"/>
              </w:rPr>
            </w:pPr>
            <w:r>
              <w:rPr>
                <w:rFonts w:hint="default" w:ascii="Times New Roman" w:hAnsi="Times New Roman" w:eastAsia="方正楷体_GBK" w:cs="Times New Roman"/>
                <w:b/>
                <w:bCs/>
                <w:color w:val="000000"/>
                <w:kern w:val="0"/>
                <w:sz w:val="28"/>
                <w:szCs w:val="28"/>
                <w:lang w:bidi="ar"/>
              </w:rPr>
              <w:t>（202</w:t>
            </w:r>
            <w:r>
              <w:rPr>
                <w:rFonts w:hint="default" w:ascii="Times New Roman" w:hAnsi="Times New Roman" w:eastAsia="方正楷体_GBK" w:cs="Times New Roman"/>
                <w:b/>
                <w:bCs/>
                <w:color w:val="000000"/>
                <w:kern w:val="0"/>
                <w:sz w:val="28"/>
                <w:szCs w:val="28"/>
                <w:lang w:val="en-US" w:eastAsia="zh-CN" w:bidi="ar"/>
              </w:rPr>
              <w:t>5</w:t>
            </w:r>
            <w:r>
              <w:rPr>
                <w:rFonts w:hint="default" w:ascii="Times New Roman" w:hAnsi="Times New Roman" w:eastAsia="方正楷体_GBK" w:cs="Times New Roman"/>
                <w:b/>
                <w:bCs/>
                <w:color w:val="000000"/>
                <w:kern w:val="0"/>
                <w:sz w:val="28"/>
                <w:szCs w:val="28"/>
                <w:lang w:bidi="ar"/>
              </w:rPr>
              <w:t>年度）</w:t>
            </w:r>
          </w:p>
        </w:tc>
      </w:tr>
      <w:tr w14:paraId="704E505F">
        <w:tblPrEx>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14:paraId="68F1CA91">
            <w:pPr>
              <w:widowControl/>
              <w:spacing w:line="300" w:lineRule="exact"/>
              <w:jc w:val="righ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单位：万元</w:t>
            </w:r>
          </w:p>
        </w:tc>
      </w:tr>
      <w:tr w14:paraId="410B7AB0">
        <w:tblPrEx>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1337F3">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0F5743">
            <w:pPr>
              <w:widowControl/>
              <w:spacing w:line="300" w:lineRule="exact"/>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eastAsia="zh-CN" w:bidi="ar"/>
              </w:rPr>
              <w:t>攀枝花市西区信访局</w:t>
            </w:r>
          </w:p>
        </w:tc>
      </w:tr>
      <w:tr w14:paraId="79232A0B">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D1CB1">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EAF8F">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E776F">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9FD77">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其他资金</w:t>
            </w:r>
          </w:p>
        </w:tc>
      </w:tr>
      <w:tr w14:paraId="2C603BEE">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CC47C">
            <w:pPr>
              <w:widowControl/>
              <w:spacing w:line="300" w:lineRule="exact"/>
              <w:jc w:val="center"/>
              <w:rPr>
                <w:rFonts w:hint="default" w:ascii="Times New Roman" w:hAnsi="Times New Roman" w:eastAsia="宋体" w:cs="Times New Roman"/>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CFF14">
            <w:pPr>
              <w:widowControl/>
              <w:spacing w:line="300" w:lineRule="exact"/>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kern w:val="0"/>
                <w:sz w:val="24"/>
                <w:lang w:val="en-US" w:eastAsia="zh-CN" w:bidi="ar"/>
              </w:rPr>
              <w:t>231.79</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29750">
            <w:pPr>
              <w:widowControl/>
              <w:spacing w:line="300" w:lineRule="exact"/>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kern w:val="0"/>
                <w:sz w:val="24"/>
                <w:lang w:val="en-US" w:eastAsia="zh-CN" w:bidi="ar"/>
              </w:rPr>
              <w:t>231.79</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C2040">
            <w:pPr>
              <w:widowControl/>
              <w:spacing w:line="300" w:lineRule="exact"/>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val="en-US" w:eastAsia="zh-CN" w:bidi="ar"/>
              </w:rPr>
              <w:t>0</w:t>
            </w:r>
          </w:p>
        </w:tc>
      </w:tr>
      <w:tr w14:paraId="12B21244">
        <w:tblPrEx>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66F2">
            <w:pPr>
              <w:widowControl/>
              <w:spacing w:line="300" w:lineRule="exact"/>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年度总体</w:t>
            </w:r>
          </w:p>
          <w:p w14:paraId="7329BC6C">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0F0FF7">
            <w:pPr>
              <w:widowControl/>
              <w:spacing w:line="30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保障本年度全局人员基本工资、津补贴支出、机关事业单位养老保险、社会保障缴费、办公费用支出、党建、差旅费、工会等福利支出。本年度内不发生重大群体信访事项，全区无重大信访问题</w:t>
            </w:r>
          </w:p>
        </w:tc>
      </w:tr>
      <w:tr w14:paraId="5F906DD4">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1C683">
            <w:pPr>
              <w:widowControl/>
              <w:spacing w:line="300" w:lineRule="exact"/>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年度主要</w:t>
            </w:r>
          </w:p>
          <w:p w14:paraId="375554F7">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6AE74">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FCBB10">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主要内容</w:t>
            </w:r>
          </w:p>
        </w:tc>
      </w:tr>
      <w:tr w14:paraId="28E2E8DD">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01D4">
            <w:pPr>
              <w:widowControl/>
              <w:spacing w:line="300" w:lineRule="exact"/>
              <w:jc w:val="center"/>
              <w:rPr>
                <w:rFonts w:hint="default" w:ascii="Times New Roman" w:hAnsi="Times New Roman" w:eastAsia="宋体" w:cs="Times New Roman"/>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35D98">
            <w:pPr>
              <w:widowControl/>
              <w:spacing w:line="300" w:lineRule="exact"/>
              <w:jc w:val="left"/>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1412E">
            <w:pPr>
              <w:widowControl/>
              <w:spacing w:line="300" w:lineRule="exact"/>
              <w:jc w:val="left"/>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完成本年度内来信、来访、来电、网上信访等工作，确保无因特殊疑难信访问题引发的进京赴省缠访、闹访，无因特殊疑难信访问题引发重大群体及极端个人事件，保障全年辖区社会稳定</w:t>
            </w:r>
          </w:p>
        </w:tc>
      </w:tr>
      <w:tr w14:paraId="16FAEDD2">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6903C">
            <w:pPr>
              <w:widowControl/>
              <w:spacing w:line="300" w:lineRule="exact"/>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年度绩效</w:t>
            </w:r>
          </w:p>
          <w:p w14:paraId="40A70F63">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7375">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4683">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E1AE">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3669">
            <w:pPr>
              <w:widowControl/>
              <w:spacing w:line="300" w:lineRule="exact"/>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绩效指标</w:t>
            </w:r>
          </w:p>
          <w:p w14:paraId="5A108E9B">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2C53">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3E6F">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CE3E">
            <w:pPr>
              <w:widowControl/>
              <w:spacing w:line="300" w:lineRule="exact"/>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实际完成</w:t>
            </w:r>
          </w:p>
          <w:p w14:paraId="1F957E70">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指标值</w:t>
            </w:r>
          </w:p>
        </w:tc>
      </w:tr>
      <w:tr w14:paraId="54FB4144">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EAA13">
            <w:pPr>
              <w:widowControl/>
              <w:spacing w:line="300" w:lineRule="exact"/>
              <w:jc w:val="center"/>
              <w:rPr>
                <w:rFonts w:hint="default" w:ascii="Times New Roman" w:hAnsi="Times New Roman" w:eastAsia="宋体" w:cs="Times New Roman"/>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CED45">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A4E8E">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372F">
            <w:pPr>
              <w:widowControl/>
              <w:spacing w:line="300" w:lineRule="exact"/>
              <w:jc w:val="left"/>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71E2">
            <w:pPr>
              <w:widowControl/>
              <w:spacing w:line="300" w:lineRule="exact"/>
              <w:jc w:val="left"/>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B072">
            <w:pPr>
              <w:widowControl/>
              <w:spacing w:line="300" w:lineRule="exact"/>
              <w:jc w:val="left"/>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F189">
            <w:pPr>
              <w:widowControl/>
              <w:spacing w:line="300" w:lineRule="exact"/>
              <w:jc w:val="left"/>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26D6">
            <w:pPr>
              <w:widowControl/>
              <w:spacing w:line="300" w:lineRule="exact"/>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kern w:val="0"/>
                <w:sz w:val="24"/>
                <w:lang w:eastAsia="zh-CN" w:bidi="ar"/>
              </w:rPr>
              <w:t>用于人员、公用经费保障</w:t>
            </w:r>
          </w:p>
        </w:tc>
      </w:tr>
      <w:tr w14:paraId="3E5E04C8">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73E99">
            <w:pPr>
              <w:widowControl/>
              <w:spacing w:line="300" w:lineRule="exact"/>
              <w:jc w:val="center"/>
              <w:rPr>
                <w:rFonts w:hint="default" w:ascii="Times New Roman" w:hAnsi="Times New Roman" w:eastAsia="宋体" w:cs="Times New Roman"/>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C7DAC">
            <w:pPr>
              <w:widowControl/>
              <w:spacing w:line="300" w:lineRule="exact"/>
              <w:jc w:val="center"/>
              <w:rPr>
                <w:rFonts w:hint="default" w:ascii="Times New Roman" w:hAnsi="Times New Roman" w:eastAsia="宋体" w:cs="Times New Roman"/>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1BC3D">
            <w:pPr>
              <w:widowControl/>
              <w:spacing w:line="300" w:lineRule="exact"/>
              <w:jc w:val="center"/>
              <w:rPr>
                <w:rFonts w:hint="default" w:ascii="Times New Roman" w:hAnsi="Times New Roman" w:eastAsia="宋体" w:cs="Times New Roman"/>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C07D">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F6EC">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0907">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5AF1">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C68E">
            <w:pPr>
              <w:widowControl/>
              <w:spacing w:line="300" w:lineRule="exact"/>
              <w:jc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用于保障驻京驻蓉信访维稳、矛盾化解和疑难信访问题、接访业务、信访稳定工作、保安费用、世运会维稳等项目正常运转</w:t>
            </w:r>
          </w:p>
        </w:tc>
      </w:tr>
      <w:tr w14:paraId="5116394E">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18C28">
            <w:pPr>
              <w:widowControl/>
              <w:spacing w:line="300" w:lineRule="exact"/>
              <w:jc w:val="center"/>
              <w:rPr>
                <w:rFonts w:hint="default" w:ascii="Times New Roman" w:hAnsi="Times New Roman" w:eastAsia="宋体" w:cs="Times New Roman"/>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E2F7D">
            <w:pPr>
              <w:widowControl/>
              <w:spacing w:line="300" w:lineRule="exact"/>
              <w:jc w:val="center"/>
              <w:rPr>
                <w:rFonts w:hint="default" w:ascii="Times New Roman" w:hAnsi="Times New Roman" w:eastAsia="宋体" w:cs="Times New Roman"/>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6C99">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C5EE">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12A1">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7C32">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0CD6">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9781">
            <w:pPr>
              <w:widowControl/>
              <w:spacing w:line="300" w:lineRule="exact"/>
              <w:jc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完成本年度内来信、来访、来电、网上信访等工作，确保无因特殊疑难信访问题引发的进京赴省缠访、闹访，无因特殊疑难信访问题引发重大群体及极端个人事件</w:t>
            </w:r>
          </w:p>
        </w:tc>
      </w:tr>
      <w:tr w14:paraId="7976D987">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BB23C">
            <w:pPr>
              <w:widowControl/>
              <w:spacing w:line="300" w:lineRule="exact"/>
              <w:jc w:val="center"/>
              <w:rPr>
                <w:rFonts w:hint="default" w:ascii="Times New Roman" w:hAnsi="Times New Roman" w:eastAsia="宋体" w:cs="Times New Roman"/>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EA25">
            <w:pPr>
              <w:widowControl/>
              <w:spacing w:line="300" w:lineRule="exact"/>
              <w:jc w:val="center"/>
              <w:rPr>
                <w:rFonts w:hint="default" w:ascii="Times New Roman" w:hAnsi="Times New Roman" w:eastAsia="宋体" w:cs="Times New Roman"/>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1BFD">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16ED">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202</w:t>
            </w:r>
            <w:r>
              <w:rPr>
                <w:rFonts w:hint="default" w:ascii="Times New Roman" w:hAnsi="Times New Roman" w:eastAsia="宋体" w:cs="Times New Roman"/>
                <w:color w:val="000000"/>
                <w:sz w:val="24"/>
                <w:lang w:val="en-US" w:eastAsia="zh-CN"/>
              </w:rPr>
              <w:t>5</w:t>
            </w:r>
            <w:r>
              <w:rPr>
                <w:rFonts w:hint="default" w:ascii="Times New Roman" w:hAnsi="Times New Roman" w:eastAsia="宋体" w:cs="Times New Roman"/>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7E1F">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FE4E">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CFCB">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F01D">
            <w:pPr>
              <w:widowControl/>
              <w:spacing w:line="300" w:lineRule="exact"/>
              <w:jc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1-12月</w:t>
            </w:r>
          </w:p>
        </w:tc>
      </w:tr>
      <w:tr w14:paraId="5845F4A0">
        <w:tblPrEx>
          <w:tblCellMar>
            <w:top w:w="15" w:type="dxa"/>
            <w:left w:w="15" w:type="dxa"/>
            <w:bottom w:w="15" w:type="dxa"/>
            <w:right w:w="15" w:type="dxa"/>
          </w:tblCellMar>
        </w:tblPrEx>
        <w:trPr>
          <w:trHeight w:val="260"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CAB59">
            <w:pPr>
              <w:widowControl/>
              <w:spacing w:line="300" w:lineRule="exact"/>
              <w:jc w:val="center"/>
              <w:rPr>
                <w:rFonts w:hint="default" w:ascii="Times New Roman" w:hAnsi="Times New Roman" w:eastAsia="宋体" w:cs="Times New Roman"/>
                <w:color w:val="000000"/>
                <w:sz w:val="24"/>
              </w:rPr>
            </w:pPr>
            <w:bookmarkStart w:id="2" w:name="OLE_LINK1" w:colFirst="2" w:colLast="7"/>
          </w:p>
        </w:tc>
        <w:tc>
          <w:tcPr>
            <w:tcW w:w="150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09EA432">
            <w:pPr>
              <w:widowControl/>
              <w:spacing w:line="300" w:lineRule="exact"/>
              <w:jc w:val="center"/>
              <w:rPr>
                <w:rFonts w:hint="default" w:ascii="Times New Roman" w:hAnsi="Times New Roman" w:eastAsia="宋体" w:cs="Times New Roman"/>
                <w:color w:val="000000"/>
                <w:sz w:val="24"/>
              </w:rPr>
            </w:pPr>
          </w:p>
        </w:tc>
        <w:tc>
          <w:tcPr>
            <w:tcW w:w="1030" w:type="dxa"/>
            <w:tcBorders>
              <w:top w:val="single" w:color="000000" w:sz="4" w:space="0"/>
              <w:left w:val="single" w:color="000000" w:sz="4" w:space="0"/>
              <w:bottom w:val="single" w:color="auto" w:sz="4" w:space="0"/>
              <w:right w:val="single" w:color="000000" w:sz="4" w:space="0"/>
            </w:tcBorders>
            <w:shd w:val="clear" w:color="auto" w:fill="auto"/>
            <w:vAlign w:val="center"/>
          </w:tcPr>
          <w:p w14:paraId="5EE439C6">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成本指标</w:t>
            </w:r>
          </w:p>
        </w:tc>
        <w:tc>
          <w:tcPr>
            <w:tcW w:w="1343" w:type="dxa"/>
            <w:tcBorders>
              <w:top w:val="single" w:color="000000" w:sz="4" w:space="0"/>
              <w:left w:val="single" w:color="000000" w:sz="4" w:space="0"/>
              <w:bottom w:val="single" w:color="auto" w:sz="4" w:space="0"/>
              <w:right w:val="single" w:color="000000" w:sz="4" w:space="0"/>
            </w:tcBorders>
            <w:shd w:val="clear" w:color="auto" w:fill="auto"/>
            <w:vAlign w:val="center"/>
          </w:tcPr>
          <w:p w14:paraId="7D14AF2D">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经费</w:t>
            </w:r>
          </w:p>
        </w:tc>
        <w:tc>
          <w:tcPr>
            <w:tcW w:w="1145" w:type="dxa"/>
            <w:tcBorders>
              <w:top w:val="single" w:color="000000" w:sz="4" w:space="0"/>
              <w:left w:val="single" w:color="000000" w:sz="4" w:space="0"/>
              <w:bottom w:val="single" w:color="auto" w:sz="4" w:space="0"/>
              <w:right w:val="single" w:color="000000" w:sz="4" w:space="0"/>
            </w:tcBorders>
            <w:shd w:val="clear" w:color="auto" w:fill="auto"/>
            <w:vAlign w:val="center"/>
          </w:tcPr>
          <w:p w14:paraId="0668A2EC">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定性</w:t>
            </w:r>
          </w:p>
        </w:tc>
        <w:tc>
          <w:tcPr>
            <w:tcW w:w="9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6952DB5">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0B33DF75">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万元</w:t>
            </w:r>
          </w:p>
        </w:tc>
        <w:tc>
          <w:tcPr>
            <w:tcW w:w="2360" w:type="dxa"/>
            <w:tcBorders>
              <w:top w:val="single" w:color="000000" w:sz="4" w:space="0"/>
              <w:left w:val="single" w:color="000000" w:sz="4" w:space="0"/>
              <w:bottom w:val="single" w:color="auto" w:sz="4" w:space="0"/>
              <w:right w:val="single" w:color="000000" w:sz="4" w:space="0"/>
            </w:tcBorders>
            <w:shd w:val="clear" w:color="auto" w:fill="auto"/>
            <w:vAlign w:val="center"/>
          </w:tcPr>
          <w:p w14:paraId="26122F23">
            <w:pPr>
              <w:widowControl/>
              <w:spacing w:line="300" w:lineRule="exact"/>
              <w:jc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231.79</w:t>
            </w:r>
          </w:p>
        </w:tc>
      </w:tr>
      <w:bookmarkEnd w:id="2"/>
      <w:tr w14:paraId="038323F5">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AEAC2A1">
            <w:pPr>
              <w:widowControl/>
              <w:spacing w:line="300" w:lineRule="exact"/>
              <w:jc w:val="center"/>
              <w:rPr>
                <w:rFonts w:hint="default" w:ascii="Times New Roman" w:hAnsi="Times New Roman" w:eastAsia="宋体" w:cs="Times New Roman"/>
                <w:color w:val="000000"/>
                <w:sz w:val="24"/>
              </w:rPr>
            </w:pP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14:paraId="2C11D099">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效益指标</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4978EB1F">
            <w:pPr>
              <w:widowControl/>
              <w:spacing w:line="300" w:lineRule="exact"/>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社会效益</w:t>
            </w:r>
          </w:p>
          <w:p w14:paraId="5CC1B2CD">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指标</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14:paraId="28F11967">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职能职责</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68F30535">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eastAsia="zh-CN" w:bidi="ar"/>
              </w:rPr>
              <w:t>定性</w:t>
            </w:r>
          </w:p>
        </w:tc>
        <w:tc>
          <w:tcPr>
            <w:tcW w:w="947" w:type="dxa"/>
            <w:tcBorders>
              <w:top w:val="single" w:color="auto" w:sz="4" w:space="0"/>
              <w:left w:val="single" w:color="auto" w:sz="4" w:space="0"/>
              <w:bottom w:val="single" w:color="auto" w:sz="4" w:space="0"/>
              <w:right w:val="single" w:color="auto" w:sz="4" w:space="0"/>
            </w:tcBorders>
            <w:shd w:val="clear" w:color="auto" w:fill="auto"/>
            <w:vAlign w:val="center"/>
          </w:tcPr>
          <w:p w14:paraId="2F9DE390">
            <w:pPr>
              <w:widowControl/>
              <w:spacing w:line="300" w:lineRule="exact"/>
              <w:jc w:val="left"/>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11DF8C8">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项</w:t>
            </w:r>
          </w:p>
        </w:tc>
        <w:tc>
          <w:tcPr>
            <w:tcW w:w="2360" w:type="dxa"/>
            <w:tcBorders>
              <w:top w:val="single" w:color="auto" w:sz="4" w:space="0"/>
              <w:left w:val="single" w:color="auto" w:sz="4" w:space="0"/>
              <w:bottom w:val="single" w:color="auto" w:sz="4" w:space="0"/>
              <w:right w:val="single" w:color="auto" w:sz="4" w:space="0"/>
            </w:tcBorders>
            <w:shd w:val="clear" w:color="auto" w:fill="auto"/>
            <w:vAlign w:val="center"/>
          </w:tcPr>
          <w:p w14:paraId="5870F2BA">
            <w:pPr>
              <w:widowControl/>
              <w:spacing w:line="300" w:lineRule="exact"/>
              <w:jc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保证机构正常运行，确保完成年度职能目标任务</w:t>
            </w:r>
          </w:p>
        </w:tc>
      </w:tr>
      <w:tr w14:paraId="0CD92E6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A63B5">
            <w:pPr>
              <w:widowControl/>
              <w:spacing w:line="300" w:lineRule="exact"/>
              <w:jc w:val="center"/>
              <w:rPr>
                <w:rFonts w:hint="default" w:ascii="Times New Roman" w:hAnsi="Times New Roman" w:eastAsia="宋体" w:cs="Times New Roman"/>
                <w:color w:val="000000"/>
                <w:sz w:val="24"/>
              </w:rPr>
            </w:pPr>
          </w:p>
        </w:tc>
        <w:tc>
          <w:tcPr>
            <w:tcW w:w="1503" w:type="dxa"/>
            <w:tcBorders>
              <w:top w:val="single" w:color="auto" w:sz="4" w:space="0"/>
              <w:left w:val="single" w:color="000000" w:sz="4" w:space="0"/>
              <w:bottom w:val="single" w:color="000000" w:sz="4" w:space="0"/>
              <w:right w:val="single" w:color="000000" w:sz="4" w:space="0"/>
            </w:tcBorders>
            <w:shd w:val="clear" w:color="auto" w:fill="auto"/>
            <w:vAlign w:val="center"/>
          </w:tcPr>
          <w:p w14:paraId="04B9B7D1">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满意度指标</w:t>
            </w:r>
          </w:p>
        </w:tc>
        <w:tc>
          <w:tcPr>
            <w:tcW w:w="1030" w:type="dxa"/>
            <w:tcBorders>
              <w:top w:val="single" w:color="auto" w:sz="4" w:space="0"/>
              <w:left w:val="single" w:color="000000" w:sz="4" w:space="0"/>
              <w:bottom w:val="single" w:color="000000" w:sz="4" w:space="0"/>
              <w:right w:val="single" w:color="000000" w:sz="4" w:space="0"/>
            </w:tcBorders>
            <w:shd w:val="clear" w:color="auto" w:fill="auto"/>
            <w:vAlign w:val="center"/>
          </w:tcPr>
          <w:p w14:paraId="3E8A7EE5">
            <w:pPr>
              <w:widowControl/>
              <w:spacing w:line="300" w:lineRule="exact"/>
              <w:jc w:val="center"/>
              <w:textAlignment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kern w:val="0"/>
                <w:sz w:val="24"/>
                <w:lang w:bidi="ar"/>
              </w:rPr>
              <w:t>满意度指标</w:t>
            </w:r>
          </w:p>
        </w:tc>
        <w:tc>
          <w:tcPr>
            <w:tcW w:w="1343" w:type="dxa"/>
            <w:tcBorders>
              <w:top w:val="single" w:color="auto" w:sz="4" w:space="0"/>
              <w:left w:val="single" w:color="000000" w:sz="4" w:space="0"/>
              <w:bottom w:val="single" w:color="000000" w:sz="4" w:space="0"/>
              <w:right w:val="single" w:color="000000" w:sz="4" w:space="0"/>
            </w:tcBorders>
            <w:shd w:val="clear" w:color="auto" w:fill="auto"/>
            <w:vAlign w:val="center"/>
          </w:tcPr>
          <w:p w14:paraId="446D727D">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满意度</w:t>
            </w:r>
          </w:p>
        </w:tc>
        <w:tc>
          <w:tcPr>
            <w:tcW w:w="1145" w:type="dxa"/>
            <w:tcBorders>
              <w:top w:val="single" w:color="auto" w:sz="4" w:space="0"/>
              <w:left w:val="single" w:color="000000" w:sz="4" w:space="0"/>
              <w:bottom w:val="single" w:color="000000" w:sz="4" w:space="0"/>
              <w:right w:val="single" w:color="000000" w:sz="4" w:space="0"/>
            </w:tcBorders>
            <w:shd w:val="clear" w:color="auto" w:fill="auto"/>
            <w:vAlign w:val="center"/>
          </w:tcPr>
          <w:p w14:paraId="64FD496F">
            <w:pPr>
              <w:widowControl/>
              <w:spacing w:line="300" w:lineRule="exact"/>
              <w:jc w:val="left"/>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抽样满意</w:t>
            </w:r>
          </w:p>
        </w:tc>
        <w:tc>
          <w:tcPr>
            <w:tcW w:w="947" w:type="dxa"/>
            <w:tcBorders>
              <w:top w:val="single" w:color="auto" w:sz="4" w:space="0"/>
              <w:left w:val="single" w:color="000000" w:sz="4" w:space="0"/>
              <w:bottom w:val="single" w:color="000000" w:sz="4" w:space="0"/>
              <w:right w:val="single" w:color="000000" w:sz="4" w:space="0"/>
            </w:tcBorders>
            <w:shd w:val="clear" w:color="auto" w:fill="auto"/>
            <w:vAlign w:val="center"/>
          </w:tcPr>
          <w:p w14:paraId="2E2F103B">
            <w:pPr>
              <w:widowControl/>
              <w:spacing w:line="300" w:lineRule="exact"/>
              <w:jc w:val="left"/>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kern w:val="0"/>
                <w:sz w:val="24"/>
                <w:lang w:val="en-US" w:eastAsia="zh-CN" w:bidi="ar"/>
              </w:rPr>
              <w:t>1</w:t>
            </w:r>
          </w:p>
        </w:tc>
        <w:tc>
          <w:tcPr>
            <w:tcW w:w="1080" w:type="dxa"/>
            <w:tcBorders>
              <w:top w:val="single" w:color="auto" w:sz="4" w:space="0"/>
              <w:left w:val="single" w:color="000000" w:sz="4" w:space="0"/>
              <w:bottom w:val="single" w:color="000000" w:sz="4" w:space="0"/>
              <w:right w:val="single" w:color="000000" w:sz="4" w:space="0"/>
            </w:tcBorders>
            <w:shd w:val="clear" w:color="auto" w:fill="auto"/>
            <w:vAlign w:val="center"/>
          </w:tcPr>
          <w:p w14:paraId="28C75CD3">
            <w:pPr>
              <w:widowControl/>
              <w:spacing w:line="300" w:lineRule="exact"/>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项</w:t>
            </w:r>
          </w:p>
        </w:tc>
        <w:tc>
          <w:tcPr>
            <w:tcW w:w="2360" w:type="dxa"/>
            <w:tcBorders>
              <w:top w:val="single" w:color="auto" w:sz="4" w:space="0"/>
              <w:left w:val="single" w:color="000000" w:sz="4" w:space="0"/>
              <w:bottom w:val="single" w:color="000000" w:sz="4" w:space="0"/>
              <w:right w:val="single" w:color="000000" w:sz="4" w:space="0"/>
            </w:tcBorders>
            <w:shd w:val="clear" w:color="auto" w:fill="auto"/>
            <w:vAlign w:val="center"/>
          </w:tcPr>
          <w:p w14:paraId="3D33098C">
            <w:pPr>
              <w:widowControl/>
              <w:spacing w:line="300" w:lineRule="exact"/>
              <w:jc w:val="cente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≥95</w:t>
            </w:r>
          </w:p>
        </w:tc>
      </w:tr>
    </w:tbl>
    <w:p w14:paraId="17C49C4F"/>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0A5B0">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BE253">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4E2C3EF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97BE253">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4E2C3EF5"/>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366D">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5B87AC5"/>
    <w:rsid w:val="0D20238E"/>
    <w:rsid w:val="0DC31556"/>
    <w:rsid w:val="1A3D6143"/>
    <w:rsid w:val="1C013801"/>
    <w:rsid w:val="1DFD8D3B"/>
    <w:rsid w:val="1ED85CF7"/>
    <w:rsid w:val="1FB79DC9"/>
    <w:rsid w:val="1FBFC3F2"/>
    <w:rsid w:val="1FFFE033"/>
    <w:rsid w:val="24A31107"/>
    <w:rsid w:val="25227A45"/>
    <w:rsid w:val="25300385"/>
    <w:rsid w:val="26BC016F"/>
    <w:rsid w:val="27F352A6"/>
    <w:rsid w:val="29560A0A"/>
    <w:rsid w:val="2C685615"/>
    <w:rsid w:val="2D527252"/>
    <w:rsid w:val="2DDC1740"/>
    <w:rsid w:val="2EAE55F2"/>
    <w:rsid w:val="2EDF4302"/>
    <w:rsid w:val="2EFE1A04"/>
    <w:rsid w:val="2FFF3854"/>
    <w:rsid w:val="35BBF80F"/>
    <w:rsid w:val="3B0B3937"/>
    <w:rsid w:val="3B736F08"/>
    <w:rsid w:val="3BE3D531"/>
    <w:rsid w:val="3D431A40"/>
    <w:rsid w:val="3EFF42CA"/>
    <w:rsid w:val="3F6FCA38"/>
    <w:rsid w:val="3FD5AF3D"/>
    <w:rsid w:val="3FFED8BE"/>
    <w:rsid w:val="3FFF43BB"/>
    <w:rsid w:val="3FFFFC14"/>
    <w:rsid w:val="42B752F3"/>
    <w:rsid w:val="433DCF8E"/>
    <w:rsid w:val="45FF973D"/>
    <w:rsid w:val="47550EBA"/>
    <w:rsid w:val="4AEF2681"/>
    <w:rsid w:val="4BF7E09D"/>
    <w:rsid w:val="4CF41AAC"/>
    <w:rsid w:val="53BB74FC"/>
    <w:rsid w:val="55FDDF92"/>
    <w:rsid w:val="55FFBC03"/>
    <w:rsid w:val="56CDA72E"/>
    <w:rsid w:val="576F5916"/>
    <w:rsid w:val="577FDAE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4CA323D"/>
    <w:rsid w:val="6636451A"/>
    <w:rsid w:val="67DE80AA"/>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5">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6">
    <w:name w:val="Document Map"/>
    <w:basedOn w:val="1"/>
    <w:link w:val="21"/>
    <w:qFormat/>
    <w:uiPriority w:val="0"/>
    <w:rPr>
      <w:rFonts w:ascii="宋体" w:eastAsia="宋体"/>
      <w:sz w:val="18"/>
      <w:szCs w:val="18"/>
    </w:rPr>
  </w:style>
  <w:style w:type="paragraph" w:styleId="7">
    <w:name w:val="Body Text"/>
    <w:basedOn w:val="1"/>
    <w:next w:val="8"/>
    <w:qFormat/>
    <w:uiPriority w:val="0"/>
    <w:pPr>
      <w:spacing w:after="120"/>
    </w:pPr>
  </w:style>
  <w:style w:type="paragraph" w:styleId="8">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9">
    <w:name w:val="Balloon Text"/>
    <w:basedOn w:val="1"/>
    <w:semiHidden/>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正文2"/>
    <w:basedOn w:val="1"/>
    <w:next w:val="1"/>
    <w:unhideWhenUsed/>
    <w:qFormat/>
    <w:uiPriority w:val="99"/>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9">
    <w:name w:val="四号正文"/>
    <w:basedOn w:val="1"/>
    <w:link w:val="20"/>
    <w:qFormat/>
    <w:uiPriority w:val="0"/>
    <w:pPr>
      <w:spacing w:line="360" w:lineRule="auto"/>
    </w:pPr>
    <w:rPr>
      <w:rFonts w:ascii="??" w:hAnsi="??" w:eastAsia="宋体" w:cs="宋体"/>
      <w:color w:val="000000"/>
      <w:kern w:val="0"/>
      <w:sz w:val="28"/>
      <w:szCs w:val="21"/>
    </w:rPr>
  </w:style>
  <w:style w:type="character" w:customStyle="1" w:styleId="20">
    <w:name w:val="四号正文 Char"/>
    <w:basedOn w:val="15"/>
    <w:link w:val="19"/>
    <w:qFormat/>
    <w:uiPriority w:val="0"/>
    <w:rPr>
      <w:rFonts w:ascii="??" w:hAnsi="??" w:eastAsia="宋体" w:cs="宋体"/>
      <w:color w:val="000000"/>
      <w:sz w:val="28"/>
      <w:szCs w:val="21"/>
      <w:lang w:val="en-US" w:eastAsia="zh-CN" w:bidi="ar-SA"/>
    </w:rPr>
  </w:style>
  <w:style w:type="character" w:customStyle="1" w:styleId="21">
    <w:name w:val="文档结构图 Char"/>
    <w:basedOn w:val="15"/>
    <w:link w:val="6"/>
    <w:qFormat/>
    <w:uiPriority w:val="0"/>
    <w:rPr>
      <w:rFonts w:ascii="宋体"/>
      <w:kern w:val="2"/>
      <w:sz w:val="18"/>
      <w:szCs w:val="18"/>
    </w:rPr>
  </w:style>
  <w:style w:type="paragraph" w:customStyle="1" w:styleId="22">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3">
    <w:name w:val="页脚 Char"/>
    <w:basedOn w:val="15"/>
    <w:link w:val="10"/>
    <w:qFormat/>
    <w:uiPriority w:val="99"/>
    <w:rPr>
      <w:kern w:val="2"/>
      <w:sz w:val="18"/>
      <w:szCs w:val="18"/>
    </w:rPr>
  </w:style>
  <w:style w:type="character" w:customStyle="1" w:styleId="24">
    <w:name w:val="font31"/>
    <w:basedOn w:val="15"/>
    <w:qFormat/>
    <w:uiPriority w:val="0"/>
    <w:rPr>
      <w:rFonts w:hint="eastAsia" w:ascii="宋体" w:hAnsi="宋体" w:eastAsia="宋体" w:cs="宋体"/>
      <w:color w:val="000000"/>
      <w:sz w:val="24"/>
      <w:szCs w:val="24"/>
      <w:u w:val="none"/>
    </w:rPr>
  </w:style>
  <w:style w:type="character" w:customStyle="1" w:styleId="25">
    <w:name w:val="font51"/>
    <w:basedOn w:val="15"/>
    <w:qFormat/>
    <w:uiPriority w:val="0"/>
    <w:rPr>
      <w:rFonts w:hint="default" w:ascii="Wingdings 2" w:hAnsi="Wingdings 2" w:eastAsia="Wingdings 2" w:cs="Wingdings 2"/>
      <w:color w:val="000000"/>
      <w:sz w:val="18"/>
      <w:szCs w:val="18"/>
      <w:u w:val="none"/>
    </w:rPr>
  </w:style>
  <w:style w:type="character" w:customStyle="1" w:styleId="26">
    <w:name w:val="font01"/>
    <w:basedOn w:val="15"/>
    <w:qFormat/>
    <w:uiPriority w:val="0"/>
    <w:rPr>
      <w:rFonts w:ascii="宋体" w:hAnsi="宋体" w:eastAsia="宋体" w:cs="宋体"/>
      <w:color w:val="000000"/>
      <w:sz w:val="18"/>
      <w:szCs w:val="18"/>
      <w:u w:val="none"/>
    </w:rPr>
  </w:style>
  <w:style w:type="character" w:customStyle="1" w:styleId="27">
    <w:name w:val="font41"/>
    <w:basedOn w:val="15"/>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13</Pages>
  <Words>5900</Words>
  <Characters>6086</Characters>
  <Lines>18</Lines>
  <Paragraphs>5</Paragraphs>
  <TotalTime>26</TotalTime>
  <ScaleCrop>false</ScaleCrop>
  <LinksUpToDate>false</LinksUpToDate>
  <CharactersWithSpaces>6086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高玮</cp:lastModifiedBy>
  <cp:lastPrinted>2026-06-17T01:28:50Z</cp:lastPrinted>
  <dcterms:modified xsi:type="dcterms:W3CDTF">2026-06-17T01:41:36Z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6870ACA9D2CF47759D45E944F0522C3E_13</vt:lpwstr>
  </property>
  <property fmtid="{D5CDD505-2E9C-101B-9397-08002B2CF9AE}" pid="4" name="KSOTemplateDocerSaveRecord">
    <vt:lpwstr>eyJoZGlkIjoiMTFjMDdiNTEyMzEzMzM0MGVjYTNlMzNkMWU4NmU3ODEiLCJ1c2VySWQiOiIxNjM4MDI1NTAxIn0=</vt:lpwstr>
  </property>
</Properties>
</file>