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6731B9">
      <w:pPr>
        <w:pStyle w:val="52"/>
        <w:keepNext w:val="0"/>
        <w:keepLines w:val="0"/>
        <w:pageBreakBefore w:val="0"/>
        <w:widowControl w:val="0"/>
        <w:kinsoku/>
        <w:wordWrap/>
        <w:overflowPunct/>
        <w:topLinePunct w:val="0"/>
        <w:autoSpaceDE/>
        <w:autoSpaceDN/>
        <w:bidi w:val="0"/>
        <w:adjustRightInd/>
        <w:snapToGrid/>
        <w:spacing w:after="0" w:line="0" w:lineRule="atLeast"/>
        <w:jc w:val="center"/>
        <w:textAlignment w:val="auto"/>
        <w:rPr>
          <w:rStyle w:val="44"/>
          <w:rFonts w:hint="eastAsia" w:ascii="方正小标宋_GBK" w:hAnsi="方正小标宋_GBK" w:eastAsia="方正小标宋_GBK" w:cs="方正小标宋_GBK"/>
          <w:b/>
          <w:bCs w:val="0"/>
          <w:sz w:val="44"/>
          <w:szCs w:val="44"/>
          <w:lang w:eastAsia="zh-CN"/>
        </w:rPr>
      </w:pPr>
      <w:r>
        <w:rPr>
          <w:rStyle w:val="44"/>
          <w:rFonts w:hint="eastAsia" w:ascii="方正小标宋_GBK" w:hAnsi="方正小标宋_GBK" w:eastAsia="方正小标宋_GBK" w:cs="方正小标宋_GBK"/>
          <w:b/>
          <w:bCs w:val="0"/>
          <w:sz w:val="44"/>
          <w:szCs w:val="44"/>
          <w:lang w:eastAsia="zh-CN"/>
        </w:rPr>
        <w:t>中共攀枝花市西区区委政法委员会</w:t>
      </w:r>
    </w:p>
    <w:p w14:paraId="35A19752">
      <w:pPr>
        <w:keepNext w:val="0"/>
        <w:keepLines w:val="0"/>
        <w:pageBreakBefore w:val="0"/>
        <w:widowControl/>
        <w:kinsoku/>
        <w:wordWrap/>
        <w:overflowPunct/>
        <w:topLinePunct w:val="0"/>
        <w:autoSpaceDE/>
        <w:autoSpaceDN/>
        <w:bidi w:val="0"/>
        <w:adjustRightInd/>
        <w:snapToGrid/>
        <w:spacing w:line="0" w:lineRule="atLeast"/>
        <w:contextualSpacing/>
        <w:jc w:val="center"/>
        <w:textAlignment w:val="auto"/>
        <w:rPr>
          <w:rFonts w:hint="eastAsia" w:ascii="方正小标宋_GBK" w:hAnsi="方正小标宋_GBK" w:eastAsia="方正小标宋_GBK" w:cs="方正小标宋_GBK"/>
          <w:b/>
          <w:bCs w:val="0"/>
          <w:sz w:val="44"/>
          <w:szCs w:val="44"/>
          <w:shd w:val="clear" w:color="auto" w:fill="FFFFFF"/>
        </w:rPr>
      </w:pPr>
      <w:bookmarkStart w:id="3" w:name="_GoBack"/>
      <w:r>
        <w:rPr>
          <w:rFonts w:hint="eastAsia" w:ascii="方正小标宋_GBK" w:hAnsi="方正小标宋_GBK" w:eastAsia="方正小标宋_GBK" w:cs="方正小标宋_GBK"/>
          <w:b/>
          <w:bCs w:val="0"/>
          <w:sz w:val="44"/>
          <w:szCs w:val="44"/>
          <w:shd w:val="clear" w:color="auto" w:fill="FFFFFF"/>
          <w:lang w:val="en-US" w:eastAsia="zh-CN"/>
        </w:rPr>
        <w:t>2025年度</w:t>
      </w:r>
      <w:r>
        <w:rPr>
          <w:rFonts w:hint="eastAsia" w:ascii="方正小标宋_GBK" w:hAnsi="方正小标宋_GBK" w:eastAsia="方正小标宋_GBK" w:cs="方正小标宋_GBK"/>
          <w:b/>
          <w:bCs w:val="0"/>
          <w:sz w:val="44"/>
          <w:szCs w:val="44"/>
          <w:shd w:val="clear" w:color="auto" w:fill="FFFFFF"/>
        </w:rPr>
        <w:t>部门预算绩效自评报告</w:t>
      </w:r>
    </w:p>
    <w:bookmarkEnd w:id="3"/>
    <w:p w14:paraId="66BEDA56">
      <w:pPr>
        <w:widowControl/>
        <w:adjustRightInd w:val="0"/>
        <w:snapToGrid w:val="0"/>
        <w:spacing w:line="578" w:lineRule="exact"/>
        <w:contextualSpacing/>
        <w:jc w:val="left"/>
        <w:rPr>
          <w:rFonts w:hint="eastAsia" w:ascii="方正仿宋_GBK" w:hAnsi="方正仿宋_GBK" w:eastAsia="方正仿宋_GBK" w:cs="方正仿宋_GBK"/>
          <w:color w:val="000000"/>
          <w:kern w:val="0"/>
          <w:sz w:val="24"/>
          <w:szCs w:val="32"/>
          <w:shd w:val="clear" w:color="auto" w:fill="FFFFFF"/>
        </w:rPr>
      </w:pPr>
    </w:p>
    <w:p w14:paraId="7B9E6FE3">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contextualSpacing/>
        <w:jc w:val="both"/>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color w:val="000000"/>
          <w:kern w:val="0"/>
          <w:sz w:val="32"/>
          <w:szCs w:val="32"/>
          <w:shd w:val="clear" w:color="auto" w:fill="FFFFFF"/>
          <w:lang w:val="zh-CN"/>
        </w:rPr>
        <w:t>一、部门（单位）基本情况</w:t>
      </w:r>
    </w:p>
    <w:p w14:paraId="132B4C90">
      <w:pPr>
        <w:keepNext w:val="0"/>
        <w:keepLines w:val="0"/>
        <w:pageBreakBefore w:val="0"/>
        <w:widowControl/>
        <w:kinsoku/>
        <w:wordWrap/>
        <w:overflowPunct/>
        <w:topLinePunct w:val="0"/>
        <w:autoSpaceDE/>
        <w:autoSpaceDN/>
        <w:bidi w:val="0"/>
        <w:adjustRightInd w:val="0"/>
        <w:snapToGrid w:val="0"/>
        <w:spacing w:line="540" w:lineRule="exact"/>
        <w:ind w:firstLine="643" w:firstLineChars="200"/>
        <w:contextualSpacing/>
        <w:jc w:val="both"/>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color w:val="000000"/>
          <w:kern w:val="0"/>
          <w:sz w:val="32"/>
          <w:szCs w:val="32"/>
          <w:shd w:val="clear" w:color="auto" w:fill="FFFFFF"/>
          <w:lang w:val="zh-CN"/>
        </w:rPr>
        <w:t>（一）机构组成。</w:t>
      </w:r>
    </w:p>
    <w:p w14:paraId="0336E4FC">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contextualSpacing/>
        <w:jc w:val="both"/>
        <w:textAlignment w:val="auto"/>
        <w:rPr>
          <w:rFonts w:hint="default" w:ascii="Times New Roman" w:hAnsi="Times New Roman" w:eastAsia="方正仿宋_GBK" w:cs="Times New Roman"/>
          <w:b/>
          <w:bCs/>
          <w:color w:val="000000"/>
          <w:kern w:val="0"/>
          <w:sz w:val="32"/>
          <w:szCs w:val="32"/>
          <w:shd w:val="clear" w:color="auto" w:fill="FFFFFF"/>
          <w:lang w:val="en-US" w:eastAsia="zh-CN"/>
        </w:rPr>
      </w:pPr>
      <w:r>
        <w:rPr>
          <w:rFonts w:hint="default" w:ascii="Times New Roman" w:hAnsi="Times New Roman" w:eastAsia="方正仿宋_GBK" w:cs="Times New Roman"/>
          <w:color w:val="000000"/>
          <w:kern w:val="0"/>
          <w:sz w:val="32"/>
          <w:szCs w:val="32"/>
          <w:shd w:val="clear" w:color="auto" w:fill="FFFFFF"/>
          <w:lang w:val="zh-CN"/>
        </w:rPr>
        <w:t>中共攀枝花市西区区委政法委员会（简称区委政法委）内设机构</w:t>
      </w:r>
      <w:r>
        <w:rPr>
          <w:rFonts w:hint="eastAsia" w:ascii="Times New Roman" w:hAnsi="Times New Roman" w:eastAsia="方正仿宋_GBK" w:cs="Times New Roman"/>
          <w:color w:val="000000"/>
          <w:kern w:val="0"/>
          <w:sz w:val="32"/>
          <w:szCs w:val="32"/>
          <w:shd w:val="clear" w:color="auto" w:fill="FFFFFF"/>
          <w:lang w:val="en-US" w:eastAsia="zh-CN"/>
        </w:rPr>
        <w:t>7</w:t>
      </w:r>
      <w:r>
        <w:rPr>
          <w:rFonts w:hint="default" w:ascii="Times New Roman" w:hAnsi="Times New Roman" w:eastAsia="方正仿宋_GBK" w:cs="Times New Roman"/>
          <w:color w:val="000000"/>
          <w:kern w:val="0"/>
          <w:sz w:val="32"/>
          <w:szCs w:val="32"/>
          <w:shd w:val="clear" w:color="auto" w:fill="FFFFFF"/>
          <w:lang w:val="zh-CN"/>
        </w:rPr>
        <w:t>个，分别是：办公室、</w:t>
      </w:r>
      <w:r>
        <w:rPr>
          <w:rFonts w:hint="eastAsia" w:ascii="Times New Roman" w:hAnsi="Times New Roman" w:eastAsia="方正仿宋_GBK" w:cs="Times New Roman"/>
          <w:color w:val="000000"/>
          <w:kern w:val="0"/>
          <w:sz w:val="32"/>
          <w:szCs w:val="32"/>
          <w:shd w:val="clear" w:color="auto" w:fill="FFFFFF"/>
          <w:lang w:val="zh-CN"/>
        </w:rPr>
        <w:t>政策研究室、政治部、</w:t>
      </w:r>
      <w:r>
        <w:rPr>
          <w:rFonts w:hint="default" w:ascii="Times New Roman" w:hAnsi="Times New Roman" w:eastAsia="方正仿宋_GBK" w:cs="Times New Roman"/>
          <w:color w:val="000000"/>
          <w:kern w:val="0"/>
          <w:sz w:val="32"/>
          <w:szCs w:val="32"/>
          <w:shd w:val="clear" w:color="auto" w:fill="FFFFFF"/>
          <w:lang w:val="zh-CN"/>
        </w:rPr>
        <w:t>维稳</w:t>
      </w:r>
      <w:r>
        <w:rPr>
          <w:rFonts w:hint="eastAsia" w:ascii="Times New Roman" w:hAnsi="Times New Roman" w:eastAsia="方正仿宋_GBK" w:cs="Times New Roman"/>
          <w:color w:val="000000"/>
          <w:kern w:val="0"/>
          <w:sz w:val="32"/>
          <w:szCs w:val="32"/>
          <w:shd w:val="clear" w:color="auto" w:fill="FFFFFF"/>
          <w:lang w:val="zh-CN"/>
        </w:rPr>
        <w:t>指</w:t>
      </w:r>
      <w:r>
        <w:rPr>
          <w:rFonts w:hint="default" w:ascii="Times New Roman" w:hAnsi="Times New Roman" w:eastAsia="方正仿宋_GBK" w:cs="Times New Roman"/>
          <w:color w:val="000000"/>
          <w:kern w:val="0"/>
          <w:sz w:val="32"/>
          <w:szCs w:val="32"/>
          <w:shd w:val="clear" w:color="auto" w:fill="FFFFFF"/>
          <w:lang w:val="zh-CN"/>
        </w:rPr>
        <w:t>导室、</w:t>
      </w:r>
      <w:r>
        <w:rPr>
          <w:rFonts w:hint="eastAsia" w:ascii="Times New Roman" w:hAnsi="Times New Roman" w:eastAsia="方正仿宋_GBK" w:cs="Times New Roman"/>
          <w:color w:val="000000"/>
          <w:kern w:val="0"/>
          <w:sz w:val="32"/>
          <w:szCs w:val="32"/>
          <w:shd w:val="clear" w:color="auto" w:fill="FFFFFF"/>
          <w:lang w:val="zh-CN"/>
        </w:rPr>
        <w:t>国家安全</w:t>
      </w:r>
      <w:r>
        <w:rPr>
          <w:rFonts w:hint="default" w:ascii="Times New Roman" w:hAnsi="Times New Roman" w:eastAsia="方正仿宋_GBK" w:cs="Times New Roman"/>
          <w:color w:val="000000"/>
          <w:kern w:val="0"/>
          <w:sz w:val="32"/>
          <w:szCs w:val="32"/>
          <w:shd w:val="clear" w:color="auto" w:fill="FFFFFF"/>
          <w:lang w:val="zh-CN"/>
        </w:rPr>
        <w:t>人民防线</w:t>
      </w:r>
      <w:r>
        <w:rPr>
          <w:rFonts w:hint="eastAsia" w:ascii="Times New Roman" w:hAnsi="Times New Roman" w:eastAsia="方正仿宋_GBK" w:cs="Times New Roman"/>
          <w:color w:val="000000"/>
          <w:kern w:val="0"/>
          <w:sz w:val="32"/>
          <w:szCs w:val="32"/>
          <w:shd w:val="clear" w:color="auto" w:fill="FFFFFF"/>
          <w:lang w:val="zh-CN"/>
        </w:rPr>
        <w:t>建设</w:t>
      </w:r>
      <w:r>
        <w:rPr>
          <w:rFonts w:hint="default" w:ascii="Times New Roman" w:hAnsi="Times New Roman" w:eastAsia="方正仿宋_GBK" w:cs="Times New Roman"/>
          <w:color w:val="000000"/>
          <w:kern w:val="0"/>
          <w:sz w:val="32"/>
          <w:szCs w:val="32"/>
          <w:shd w:val="clear" w:color="auto" w:fill="FFFFFF"/>
          <w:lang w:val="zh-CN"/>
        </w:rPr>
        <w:t>办公室、综治督导室、执法监督室</w:t>
      </w:r>
      <w:r>
        <w:rPr>
          <w:rFonts w:hint="eastAsia" w:ascii="Times New Roman" w:hAnsi="Times New Roman" w:eastAsia="方正仿宋_GBK" w:cs="Times New Roman"/>
          <w:color w:val="000000"/>
          <w:kern w:val="0"/>
          <w:sz w:val="32"/>
          <w:szCs w:val="32"/>
          <w:shd w:val="clear" w:color="auto" w:fill="FFFFFF"/>
          <w:lang w:val="zh-CN"/>
        </w:rPr>
        <w:t>、政治部</w:t>
      </w:r>
      <w:r>
        <w:rPr>
          <w:rFonts w:hint="default" w:ascii="Times New Roman" w:hAnsi="Times New Roman" w:eastAsia="方正仿宋_GBK" w:cs="Times New Roman"/>
          <w:color w:val="000000"/>
          <w:kern w:val="0"/>
          <w:sz w:val="32"/>
          <w:szCs w:val="32"/>
          <w:shd w:val="clear" w:color="auto" w:fill="FFFFFF"/>
          <w:lang w:val="zh-CN"/>
        </w:rPr>
        <w:t>。下属二级预算单位1个：攀枝花市西区社会治安综合治理工作中心</w:t>
      </w:r>
      <w:r>
        <w:rPr>
          <w:rFonts w:hint="default" w:ascii="Times New Roman" w:hAnsi="Times New Roman" w:eastAsia="方正仿宋_GBK" w:cs="Times New Roman"/>
          <w:color w:val="000000"/>
          <w:kern w:val="0"/>
          <w:sz w:val="32"/>
          <w:szCs w:val="32"/>
          <w:shd w:val="clear" w:color="auto" w:fill="FFFFFF"/>
          <w:lang w:val="zh-CN" w:eastAsia="zh-CN"/>
        </w:rPr>
        <w:t>。</w:t>
      </w:r>
    </w:p>
    <w:p w14:paraId="72BD510D">
      <w:pPr>
        <w:keepNext w:val="0"/>
        <w:keepLines w:val="0"/>
        <w:pageBreakBefore w:val="0"/>
        <w:widowControl/>
        <w:kinsoku/>
        <w:wordWrap/>
        <w:overflowPunct/>
        <w:topLinePunct w:val="0"/>
        <w:autoSpaceDE/>
        <w:autoSpaceDN/>
        <w:bidi w:val="0"/>
        <w:adjustRightInd w:val="0"/>
        <w:snapToGrid w:val="0"/>
        <w:spacing w:line="540" w:lineRule="exact"/>
        <w:ind w:firstLine="643" w:firstLineChars="200"/>
        <w:contextualSpacing/>
        <w:jc w:val="both"/>
        <w:textAlignment w:val="auto"/>
        <w:rPr>
          <w:rFonts w:hint="default" w:ascii="Times New Roman" w:hAnsi="Times New Roman" w:eastAsia="方正楷体_GBK" w:cs="Times New Roman"/>
          <w:b/>
          <w:bCs/>
          <w:color w:val="000000"/>
          <w:kern w:val="0"/>
          <w:sz w:val="32"/>
          <w:szCs w:val="32"/>
          <w:shd w:val="clear" w:color="auto" w:fill="FFFFFF"/>
          <w:lang w:val="zh-CN"/>
        </w:rPr>
      </w:pPr>
      <w:r>
        <w:rPr>
          <w:rFonts w:hint="default" w:ascii="Times New Roman" w:hAnsi="Times New Roman" w:eastAsia="方正楷体_GBK" w:cs="Times New Roman"/>
          <w:b/>
          <w:bCs/>
          <w:color w:val="000000"/>
          <w:kern w:val="0"/>
          <w:sz w:val="32"/>
          <w:szCs w:val="32"/>
          <w:shd w:val="clear" w:color="auto" w:fill="FFFFFF"/>
          <w:lang w:val="zh-CN"/>
        </w:rPr>
        <w:t>（二）机构职能。</w:t>
      </w:r>
    </w:p>
    <w:p w14:paraId="339107C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color w:val="000000"/>
          <w:kern w:val="0"/>
          <w:sz w:val="32"/>
          <w:szCs w:val="32"/>
          <w:shd w:val="clear" w:color="auto" w:fill="FFFFFF"/>
          <w:lang w:val="zh-CN"/>
        </w:rPr>
        <w:t>西区区委政法委</w:t>
      </w:r>
      <w:r>
        <w:rPr>
          <w:rFonts w:hint="default" w:ascii="Times New Roman" w:hAnsi="Times New Roman" w:eastAsia="方正仿宋_GBK" w:cs="Times New Roman"/>
          <w:kern w:val="2"/>
          <w:sz w:val="32"/>
          <w:szCs w:val="32"/>
          <w:lang w:val="en-US" w:eastAsia="zh-CN" w:bidi="ar-SA"/>
        </w:rPr>
        <w:t>的主要职责：深入贯彻党的路线方针政策和决策部署，统一政法各部门思想和行动，坚持党对政法工作的绝对领导，坚决维护党中央权威和集中统一领导。深入贯彻党中央决定和省委、市委、区委决策，对政法工作研究提出全局性部署，推进平安西区、法治西区建设，加强过硬队伍建设，深化智能化建设，坚决维护国家政治安全、确保社会大局稳定、促进社会公平正义、保障人民安居乐业。了解掌握和分析研判政法工作情况动态，分析全区社会稳定形势，创新完善多部门参与的综治维稳工作机制，构建矛盾纠纷多元化解体系和机制，协调推动预防、化解影响稳定的社会矛盾和风险，协调应对和处置重大突发事件，统筹推动全区反分裂斗争和维护稳定工作。加强对政法工作的督查，统筹协调维护政治安全、社会治安综合治理、维护社会稳定、反邪教有关法律法规政策的实施工作；指导全区政法系统网络安全和智能化建设工作。组织开展政法领域的调查研究，研究拟订全区政法工作的政策措施，及时向区委提出建议。掌握分析政法舆情动态，指导协调政法部门媒体网络宣传工作，指导政法部门做好涉及政法工作的重大宣传和舆论引导工作。</w:t>
      </w:r>
    </w:p>
    <w:p w14:paraId="3C96706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bCs/>
          <w:color w:val="000000"/>
          <w:kern w:val="0"/>
          <w:sz w:val="32"/>
          <w:szCs w:val="32"/>
          <w:shd w:val="clear" w:color="auto" w:fill="FFFFFF"/>
          <w:lang w:val="zh-CN"/>
        </w:rPr>
      </w:pPr>
      <w:r>
        <w:rPr>
          <w:rFonts w:hint="default" w:ascii="Times New Roman" w:hAnsi="Times New Roman" w:eastAsia="方正仿宋_GBK" w:cs="Times New Roman"/>
          <w:kern w:val="2"/>
          <w:sz w:val="32"/>
          <w:szCs w:val="32"/>
          <w:lang w:val="en-US" w:eastAsia="zh-CN" w:bidi="ar-SA"/>
        </w:rPr>
        <w:t>监督和支持政法各部门依法行使职权，指导和协调政法各部门密切配合，研究和协调重大、疑难案件，推进严格执法、公正司法。组织研究政法改革中带有方向性、倾向性和普遍性的重大问题，深化政法改革。指导推动政法系统党的建设和政法队伍建设，协助区级有关职能部门管理监督政法领导干部，代管攀枝花市西区法学会。</w:t>
      </w:r>
    </w:p>
    <w:p w14:paraId="67023558">
      <w:pPr>
        <w:keepNext w:val="0"/>
        <w:keepLines w:val="0"/>
        <w:pageBreakBefore w:val="0"/>
        <w:widowControl/>
        <w:kinsoku/>
        <w:wordWrap/>
        <w:overflowPunct/>
        <w:topLinePunct w:val="0"/>
        <w:autoSpaceDE/>
        <w:autoSpaceDN/>
        <w:bidi w:val="0"/>
        <w:adjustRightInd w:val="0"/>
        <w:snapToGrid w:val="0"/>
        <w:spacing w:line="540" w:lineRule="exact"/>
        <w:ind w:firstLine="643" w:firstLineChars="200"/>
        <w:contextualSpacing/>
        <w:jc w:val="both"/>
        <w:textAlignment w:val="auto"/>
        <w:rPr>
          <w:rFonts w:hint="default" w:ascii="Times New Roman" w:hAnsi="Times New Roman" w:eastAsia="方正楷体_GBK" w:cs="Times New Roman"/>
          <w:b/>
          <w:bCs/>
          <w:color w:val="000000"/>
          <w:kern w:val="0"/>
          <w:sz w:val="32"/>
          <w:szCs w:val="32"/>
          <w:shd w:val="clear" w:color="auto" w:fill="FFFFFF"/>
          <w:lang w:val="zh-CN"/>
        </w:rPr>
      </w:pPr>
      <w:r>
        <w:rPr>
          <w:rFonts w:hint="default" w:ascii="Times New Roman" w:hAnsi="Times New Roman" w:eastAsia="方正楷体_GBK" w:cs="Times New Roman"/>
          <w:b/>
          <w:bCs/>
          <w:color w:val="000000"/>
          <w:kern w:val="0"/>
          <w:sz w:val="32"/>
          <w:szCs w:val="32"/>
          <w:shd w:val="clear" w:color="auto" w:fill="FFFFFF"/>
          <w:lang w:val="zh-CN"/>
        </w:rPr>
        <w:t>（三）人员概况。</w:t>
      </w:r>
    </w:p>
    <w:p w14:paraId="4EB0E8D2">
      <w:pPr>
        <w:keepNext w:val="0"/>
        <w:keepLines w:val="0"/>
        <w:pageBreakBefore w:val="0"/>
        <w:numPr>
          <w:ilvl w:val="0"/>
          <w:numId w:val="0"/>
        </w:numPr>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方正仿宋_GBK" w:cs="Times New Roman"/>
          <w:color w:val="000000"/>
          <w:kern w:val="0"/>
          <w:sz w:val="32"/>
          <w:szCs w:val="32"/>
          <w:shd w:val="clear" w:color="auto" w:fill="FFFFFF"/>
        </w:rPr>
      </w:pPr>
      <w:r>
        <w:rPr>
          <w:rFonts w:hint="default" w:ascii="Times New Roman" w:hAnsi="Times New Roman" w:eastAsia="方正仿宋_GBK" w:cs="Times New Roman"/>
          <w:sz w:val="32"/>
          <w:szCs w:val="32"/>
        </w:rPr>
        <w:t>根据2025年度部门决算数据，截至2025年末，我单位编制内实有人员20人（其中：公务员5人，事业人员14人，机关</w:t>
      </w:r>
      <w:r>
        <w:rPr>
          <w:rFonts w:hint="eastAsia" w:ascii="Times New Roman" w:hAnsi="Times New Roman" w:eastAsia="方正仿宋_GBK" w:cs="Times New Roman"/>
          <w:sz w:val="32"/>
          <w:szCs w:val="32"/>
          <w:lang w:eastAsia="zh-CN"/>
        </w:rPr>
        <w:t>工勤</w:t>
      </w:r>
      <w:r>
        <w:rPr>
          <w:rFonts w:hint="default" w:ascii="Times New Roman" w:hAnsi="Times New Roman" w:eastAsia="方正仿宋_GBK" w:cs="Times New Roman"/>
          <w:sz w:val="32"/>
          <w:szCs w:val="32"/>
        </w:rPr>
        <w:t>1人），</w:t>
      </w:r>
      <w:r>
        <w:rPr>
          <w:rFonts w:hint="eastAsia" w:ascii="Times New Roman" w:hAnsi="Times New Roman" w:eastAsia="方正仿宋_GBK" w:cs="Times New Roman"/>
          <w:sz w:val="32"/>
          <w:szCs w:val="32"/>
          <w:lang w:eastAsia="zh-CN"/>
        </w:rPr>
        <w:t>聘用</w:t>
      </w:r>
      <w:r>
        <w:rPr>
          <w:rFonts w:hint="default" w:ascii="Times New Roman" w:hAnsi="Times New Roman" w:eastAsia="方正仿宋_GBK" w:cs="Times New Roman"/>
          <w:sz w:val="32"/>
          <w:szCs w:val="32"/>
        </w:rPr>
        <w:t>人员3人。与上年相比，事业人员增加1人，编制内实有人数净增加1人。</w:t>
      </w:r>
    </w:p>
    <w:p w14:paraId="51C86C22">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contextualSpacing/>
        <w:jc w:val="both"/>
        <w:textAlignment w:val="auto"/>
        <w:rPr>
          <w:rFonts w:hint="default" w:ascii="Times New Roman" w:hAnsi="Times New Roman" w:eastAsia="方正黑体_GBK" w:cs="Times New Roman"/>
          <w:b w:val="0"/>
          <w:bCs w:val="0"/>
          <w:color w:val="000000"/>
          <w:kern w:val="0"/>
          <w:sz w:val="32"/>
          <w:szCs w:val="32"/>
          <w:shd w:val="clear" w:color="auto" w:fill="FFFFFF"/>
          <w:lang w:val="zh-CN"/>
        </w:rPr>
      </w:pPr>
      <w:r>
        <w:rPr>
          <w:rFonts w:hint="default" w:ascii="Times New Roman" w:hAnsi="Times New Roman" w:eastAsia="方正黑体_GBK" w:cs="Times New Roman"/>
          <w:b w:val="0"/>
          <w:bCs w:val="0"/>
          <w:color w:val="000000"/>
          <w:kern w:val="0"/>
          <w:sz w:val="32"/>
          <w:szCs w:val="32"/>
          <w:shd w:val="clear" w:color="auto" w:fill="FFFFFF"/>
          <w:lang w:val="zh-CN"/>
        </w:rPr>
        <w:t>二、部门资金收支情况</w:t>
      </w:r>
    </w:p>
    <w:p w14:paraId="4C294E21">
      <w:pPr>
        <w:keepNext w:val="0"/>
        <w:keepLines w:val="0"/>
        <w:pageBreakBefore w:val="0"/>
        <w:widowControl/>
        <w:kinsoku/>
        <w:wordWrap/>
        <w:overflowPunct/>
        <w:topLinePunct w:val="0"/>
        <w:autoSpaceDE/>
        <w:autoSpaceDN/>
        <w:bidi w:val="0"/>
        <w:adjustRightInd w:val="0"/>
        <w:snapToGrid w:val="0"/>
        <w:spacing w:line="540" w:lineRule="exact"/>
        <w:ind w:firstLine="643" w:firstLineChars="200"/>
        <w:contextualSpacing/>
        <w:jc w:val="both"/>
        <w:textAlignment w:val="auto"/>
        <w:rPr>
          <w:rFonts w:hint="default" w:ascii="Times New Roman" w:hAnsi="Times New Roman" w:eastAsia="方正楷体_GBK" w:cs="Times New Roman"/>
          <w:b/>
          <w:bCs/>
          <w:color w:val="000000"/>
          <w:kern w:val="0"/>
          <w:sz w:val="32"/>
          <w:szCs w:val="32"/>
          <w:shd w:val="clear" w:color="auto" w:fill="FFFFFF"/>
          <w:lang w:val="zh-CN"/>
        </w:rPr>
      </w:pPr>
      <w:r>
        <w:rPr>
          <w:rFonts w:hint="default" w:ascii="Times New Roman" w:hAnsi="Times New Roman" w:eastAsia="方正楷体_GBK" w:cs="Times New Roman"/>
          <w:b/>
          <w:bCs/>
          <w:color w:val="000000"/>
          <w:kern w:val="0"/>
          <w:sz w:val="32"/>
          <w:szCs w:val="32"/>
          <w:shd w:val="clear" w:color="auto" w:fill="FFFFFF"/>
          <w:lang w:val="zh-CN"/>
        </w:rPr>
        <w:t>（一）收入情况。</w:t>
      </w:r>
    </w:p>
    <w:p w14:paraId="5AC5AF13">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方正仿宋_GBK" w:cs="Times New Roman"/>
          <w:b/>
          <w:bCs/>
          <w:color w:val="000000"/>
          <w:kern w:val="0"/>
          <w:sz w:val="32"/>
          <w:szCs w:val="32"/>
          <w:shd w:val="clear" w:color="auto" w:fill="FFFFFF"/>
        </w:rPr>
      </w:pPr>
      <w:r>
        <w:rPr>
          <w:rFonts w:hint="default" w:ascii="Times New Roman" w:hAnsi="Times New Roman" w:eastAsia="方正仿宋_GBK" w:cs="Times New Roman"/>
          <w:sz w:val="32"/>
          <w:szCs w:val="32"/>
          <w:lang w:val="en-US" w:eastAsia="zh-CN"/>
        </w:rPr>
        <w:t>区委政法委2025年度全年决算收入556.62万元，其中：一般公共预算财政拨款收入499.94万元，占总收入89.82%；政府性基金预算财政拨款收入56.68万元，占总收入10.18%。本年收入较上年度增加12.38万元，增长2.28%，主要原因是追加安排了综合治理中心业务用房改造装修等项目</w:t>
      </w:r>
      <w:r>
        <w:rPr>
          <w:rFonts w:hint="default" w:ascii="Times New Roman" w:hAnsi="Times New Roman" w:eastAsia="方正仿宋_GBK" w:cs="Times New Roman"/>
          <w:sz w:val="32"/>
          <w:szCs w:val="32"/>
        </w:rPr>
        <w:t>。</w:t>
      </w:r>
    </w:p>
    <w:p w14:paraId="4F2A51AB">
      <w:pPr>
        <w:keepNext w:val="0"/>
        <w:keepLines w:val="0"/>
        <w:pageBreakBefore w:val="0"/>
        <w:widowControl/>
        <w:kinsoku/>
        <w:wordWrap/>
        <w:overflowPunct/>
        <w:topLinePunct w:val="0"/>
        <w:autoSpaceDE/>
        <w:autoSpaceDN/>
        <w:bidi w:val="0"/>
        <w:adjustRightInd w:val="0"/>
        <w:snapToGrid w:val="0"/>
        <w:spacing w:line="540" w:lineRule="exact"/>
        <w:ind w:firstLine="643" w:firstLineChars="200"/>
        <w:contextualSpacing/>
        <w:jc w:val="both"/>
        <w:textAlignment w:val="auto"/>
        <w:rPr>
          <w:rFonts w:hint="default" w:ascii="Times New Roman" w:hAnsi="Times New Roman" w:eastAsia="方正楷体_GBK" w:cs="Times New Roman"/>
          <w:b/>
          <w:bCs/>
          <w:color w:val="000000"/>
          <w:kern w:val="0"/>
          <w:sz w:val="32"/>
          <w:szCs w:val="32"/>
          <w:shd w:val="clear" w:color="auto" w:fill="FFFFFF"/>
          <w:lang w:val="zh-CN"/>
        </w:rPr>
      </w:pPr>
      <w:r>
        <w:rPr>
          <w:rFonts w:hint="default" w:ascii="Times New Roman" w:hAnsi="Times New Roman" w:eastAsia="方正楷体_GBK" w:cs="Times New Roman"/>
          <w:b/>
          <w:bCs/>
          <w:color w:val="000000"/>
          <w:kern w:val="0"/>
          <w:sz w:val="32"/>
          <w:szCs w:val="32"/>
          <w:shd w:val="clear" w:color="auto" w:fill="FFFFFF"/>
          <w:lang w:val="zh-CN"/>
        </w:rPr>
        <w:t>（二）支出情况。</w:t>
      </w:r>
    </w:p>
    <w:p w14:paraId="34668078">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lang w:val="zh-CN"/>
        </w:rPr>
        <w:t>2025年度决算支出617.83万元（含使用年初结转结余61.21万元），其中：基本支出446.40万元，占比72.26%（人员经费421.38万元，公用经费25.02万元）；项目支出171.42万元，占比27.74%。按经济分类：工资福利支出418.56万元，商品和服务支出185.31万元，对个人和家庭的补助2.82万元，资本性支出11.13万元。</w:t>
      </w:r>
    </w:p>
    <w:p w14:paraId="52F44EF1">
      <w:pPr>
        <w:keepNext w:val="0"/>
        <w:keepLines w:val="0"/>
        <w:pageBreakBefore w:val="0"/>
        <w:widowControl/>
        <w:kinsoku/>
        <w:wordWrap/>
        <w:overflowPunct/>
        <w:topLinePunct w:val="0"/>
        <w:autoSpaceDE/>
        <w:autoSpaceDN/>
        <w:bidi w:val="0"/>
        <w:adjustRightInd w:val="0"/>
        <w:snapToGrid w:val="0"/>
        <w:spacing w:line="540" w:lineRule="exact"/>
        <w:ind w:firstLine="643" w:firstLineChars="200"/>
        <w:contextualSpacing/>
        <w:jc w:val="both"/>
        <w:textAlignment w:val="auto"/>
        <w:rPr>
          <w:rFonts w:hint="default" w:ascii="Times New Roman" w:hAnsi="Times New Roman" w:eastAsia="方正楷体_GBK" w:cs="Times New Roman"/>
          <w:b/>
          <w:bCs/>
          <w:color w:val="000000"/>
          <w:kern w:val="0"/>
          <w:sz w:val="32"/>
          <w:szCs w:val="32"/>
          <w:shd w:val="clear" w:color="auto" w:fill="FFFFFF"/>
          <w:lang w:val="zh-CN"/>
        </w:rPr>
      </w:pPr>
      <w:r>
        <w:rPr>
          <w:rFonts w:hint="default" w:ascii="Times New Roman" w:hAnsi="Times New Roman" w:eastAsia="方正楷体_GBK" w:cs="Times New Roman"/>
          <w:b/>
          <w:bCs/>
          <w:color w:val="000000"/>
          <w:kern w:val="0"/>
          <w:sz w:val="32"/>
          <w:szCs w:val="32"/>
          <w:shd w:val="clear" w:color="auto" w:fill="FFFFFF"/>
          <w:lang w:val="zh-CN"/>
        </w:rPr>
        <w:t>（三）结余分配和结转结余情况。</w:t>
      </w:r>
    </w:p>
    <w:p w14:paraId="61CA2C3D">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方正仿宋_GBK" w:cs="Times New Roman"/>
          <w:color w:val="000000"/>
          <w:kern w:val="0"/>
          <w:sz w:val="32"/>
          <w:szCs w:val="32"/>
          <w:shd w:val="clear" w:color="auto" w:fill="FFFFFF"/>
        </w:rPr>
      </w:pPr>
      <w:r>
        <w:rPr>
          <w:rFonts w:hint="default" w:ascii="Times New Roman" w:hAnsi="Times New Roman" w:eastAsia="方正仿宋_GBK" w:cs="Times New Roman"/>
          <w:sz w:val="32"/>
          <w:szCs w:val="32"/>
          <w:lang w:eastAsia="zh-CN"/>
        </w:rPr>
        <w:t>区委政法委2025年度决算无年末结转结余资金。年初结转结余61.21万元（均为项目支出结转），已在本年全部支出</w:t>
      </w:r>
      <w:r>
        <w:rPr>
          <w:rFonts w:hint="default" w:ascii="Times New Roman" w:hAnsi="Times New Roman" w:eastAsia="方正仿宋_GBK" w:cs="Times New Roman"/>
          <w:color w:val="000000"/>
          <w:kern w:val="0"/>
          <w:sz w:val="32"/>
          <w:szCs w:val="32"/>
          <w:shd w:val="clear" w:color="auto" w:fill="FFFFFF"/>
        </w:rPr>
        <w:t>。</w:t>
      </w:r>
    </w:p>
    <w:p w14:paraId="4A872983">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contextualSpacing/>
        <w:jc w:val="both"/>
        <w:textAlignment w:val="auto"/>
        <w:rPr>
          <w:rFonts w:hint="default" w:ascii="Times New Roman" w:hAnsi="Times New Roman" w:eastAsia="方正黑体_GBK" w:cs="Times New Roman"/>
          <w:b w:val="0"/>
          <w:bCs w:val="0"/>
          <w:color w:val="000000"/>
          <w:kern w:val="0"/>
          <w:sz w:val="32"/>
          <w:szCs w:val="32"/>
          <w:shd w:val="clear" w:color="auto" w:fill="FFFFFF"/>
          <w:lang w:val="zh-CN"/>
        </w:rPr>
      </w:pPr>
      <w:r>
        <w:rPr>
          <w:rFonts w:hint="default" w:ascii="Times New Roman" w:hAnsi="Times New Roman" w:eastAsia="方正黑体_GBK" w:cs="Times New Roman"/>
          <w:b w:val="0"/>
          <w:bCs w:val="0"/>
          <w:color w:val="000000"/>
          <w:kern w:val="0"/>
          <w:sz w:val="32"/>
          <w:szCs w:val="32"/>
          <w:shd w:val="clear" w:color="auto" w:fill="FFFFFF"/>
          <w:lang w:val="zh-CN"/>
        </w:rPr>
        <w:t>三、部门预算绩效分析</w:t>
      </w:r>
    </w:p>
    <w:p w14:paraId="4BD2ED6B">
      <w:pPr>
        <w:keepNext w:val="0"/>
        <w:keepLines w:val="0"/>
        <w:pageBreakBefore w:val="0"/>
        <w:kinsoku/>
        <w:wordWrap/>
        <w:overflowPunct/>
        <w:topLinePunct w:val="0"/>
        <w:autoSpaceDE/>
        <w:autoSpaceDN/>
        <w:bidi w:val="0"/>
        <w:adjustRightInd w:val="0"/>
        <w:snapToGrid w:val="0"/>
        <w:spacing w:line="600" w:lineRule="exact"/>
        <w:ind w:firstLine="643" w:firstLineChars="200"/>
        <w:contextualSpacing/>
        <w:jc w:val="both"/>
        <w:textAlignment w:val="auto"/>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楷体_GBK" w:cs="Times New Roman"/>
          <w:b/>
          <w:bCs/>
          <w:color w:val="000000"/>
          <w:kern w:val="0"/>
          <w:sz w:val="32"/>
          <w:szCs w:val="32"/>
          <w:shd w:val="clear" w:color="auto" w:fill="FFFFFF"/>
          <w:lang w:val="zh-CN"/>
        </w:rPr>
        <w:t>（一）部门预算总体绩效分析。</w:t>
      </w:r>
      <w:r>
        <w:rPr>
          <w:rFonts w:hint="default" w:ascii="Times New Roman" w:hAnsi="Times New Roman" w:eastAsia="方正仿宋_GBK" w:cs="Times New Roman"/>
          <w:color w:val="000000"/>
          <w:kern w:val="0"/>
          <w:sz w:val="32"/>
          <w:szCs w:val="32"/>
          <w:shd w:val="clear" w:color="auto" w:fill="FFFFFF"/>
          <w:lang w:val="zh-CN"/>
        </w:rPr>
        <w:t>根据部门预算绩效评价指标体系“总体绩效”涉及二、三级指标进行逐项绩效分析并评分，依次包括履职效能、预算管理、财务管理、资产管理、采购管理等情况。</w:t>
      </w:r>
    </w:p>
    <w:p w14:paraId="4D2A6578">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both"/>
        <w:textAlignment w:val="auto"/>
        <w:rPr>
          <w:rFonts w:hint="default" w:ascii="Times New Roman" w:hAnsi="Times New Roman" w:eastAsia="方正仿宋_GBK" w:cs="Times New Roman"/>
          <w:b/>
          <w:bCs/>
          <w:color w:val="000000"/>
          <w:kern w:val="0"/>
          <w:sz w:val="32"/>
          <w:szCs w:val="32"/>
          <w:shd w:val="clear" w:color="auto" w:fill="FFFFFF"/>
          <w:lang w:val="zh-CN"/>
        </w:rPr>
      </w:pPr>
      <w:r>
        <w:rPr>
          <w:rFonts w:hint="default" w:ascii="Times New Roman" w:hAnsi="Times New Roman" w:eastAsia="方正仿宋_GBK" w:cs="Times New Roman"/>
          <w:b/>
          <w:bCs/>
          <w:color w:val="000000"/>
          <w:kern w:val="0"/>
          <w:sz w:val="32"/>
          <w:szCs w:val="32"/>
          <w:shd w:val="clear" w:color="auto" w:fill="FFFFFF"/>
          <w:lang w:val="zh-CN"/>
        </w:rPr>
        <w:t>1.履职效能。</w:t>
      </w:r>
    </w:p>
    <w:p w14:paraId="788148E4">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9"/>
        <w:rPr>
          <w:rFonts w:hint="default" w:ascii="Times New Roman" w:hAnsi="Times New Roman" w:eastAsia="方正仿宋_GBK" w:cs="Times New Roman"/>
          <w:color w:val="000000"/>
          <w:kern w:val="0"/>
          <w:sz w:val="32"/>
          <w:szCs w:val="32"/>
          <w:shd w:val="clear" w:color="auto" w:fill="FFFFFF"/>
          <w:lang w:val="en-US" w:eastAsia="zh-CN" w:bidi="ar-SA"/>
        </w:rPr>
      </w:pPr>
      <w:r>
        <w:rPr>
          <w:rFonts w:hint="default" w:ascii="Times New Roman" w:hAnsi="Times New Roman" w:eastAsia="方正仿宋_GBK" w:cs="Times New Roman"/>
          <w:color w:val="000000"/>
          <w:kern w:val="0"/>
          <w:sz w:val="32"/>
          <w:szCs w:val="32"/>
          <w:shd w:val="clear" w:color="auto" w:fill="FFFFFF"/>
          <w:lang w:val="en-US" w:eastAsia="zh-CN" w:bidi="ar-SA"/>
        </w:rPr>
        <w:t>2025年，区委政法委紧扣区委、区政府中心工作，忠诚履行维护国家政治安全、确保社会大局稳定、促进社会公平正义、保障人民安居乐业的职责使命。</w:t>
      </w:r>
    </w:p>
    <w:p w14:paraId="769AF72B">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outlineLvl w:val="9"/>
        <w:rPr>
          <w:rFonts w:hint="default" w:ascii="Times New Roman" w:hAnsi="Times New Roman" w:eastAsia="方正仿宋_GBK" w:cs="Times New Roman"/>
          <w:color w:val="000000"/>
          <w:kern w:val="0"/>
          <w:sz w:val="32"/>
          <w:szCs w:val="32"/>
          <w:shd w:val="clear" w:color="auto" w:fill="FFFFFF"/>
          <w:lang w:val="en-US" w:eastAsia="zh-CN" w:bidi="ar-SA"/>
        </w:rPr>
      </w:pPr>
      <w:r>
        <w:rPr>
          <w:rFonts w:hint="default" w:ascii="Times New Roman" w:hAnsi="Times New Roman" w:eastAsia="方正仿宋_GBK" w:cs="Times New Roman"/>
          <w:b/>
          <w:bCs/>
          <w:color w:val="000000"/>
          <w:kern w:val="0"/>
          <w:sz w:val="32"/>
          <w:szCs w:val="32"/>
          <w:shd w:val="clear" w:color="auto" w:fill="FFFFFF"/>
          <w:lang w:val="en-US" w:eastAsia="zh-CN" w:bidi="ar-SA"/>
        </w:rPr>
        <w:t>（1）推进政治建设，党管政法工作开启新篇章。</w:t>
      </w:r>
      <w:r>
        <w:rPr>
          <w:rFonts w:hint="default" w:ascii="Times New Roman" w:hAnsi="Times New Roman" w:eastAsia="方正仿宋_GBK" w:cs="Times New Roman"/>
          <w:color w:val="000000"/>
          <w:kern w:val="0"/>
          <w:sz w:val="32"/>
          <w:szCs w:val="32"/>
          <w:shd w:val="clear" w:color="auto" w:fill="FFFFFF"/>
          <w:lang w:val="en-US" w:eastAsia="zh-CN" w:bidi="ar-SA"/>
        </w:rPr>
        <w:t xml:space="preserve"> 分层分类开展政治轮训，组织政法干警参加各类培训600余人次。认真贯彻《中国共产党政法工作条例》，专题向区委、区政府汇报政法工作11次。建立“执行110”工作机制，开展案件评查100余件，成功化解涉法涉诉信访案件3件，同比下降50%。</w:t>
      </w:r>
    </w:p>
    <w:p w14:paraId="511F8C95">
      <w:pPr>
        <w:pStyle w:val="6"/>
        <w:keepNext w:val="0"/>
        <w:keepLines w:val="0"/>
        <w:pageBreakBefore w:val="0"/>
        <w:widowControl w:val="0"/>
        <w:kinsoku/>
        <w:wordWrap/>
        <w:overflowPunct/>
        <w:topLinePunct w:val="0"/>
        <w:autoSpaceDE/>
        <w:autoSpaceDN/>
        <w:bidi w:val="0"/>
        <w:adjustRightInd/>
        <w:snapToGrid/>
        <w:spacing w:after="0" w:line="600" w:lineRule="exact"/>
        <w:ind w:firstLine="643" w:firstLineChars="200"/>
        <w:jc w:val="both"/>
        <w:textAlignment w:val="auto"/>
        <w:outlineLvl w:val="9"/>
        <w:rPr>
          <w:rFonts w:hint="default" w:ascii="Times New Roman" w:hAnsi="Times New Roman" w:eastAsia="方正仿宋_GBK" w:cs="Times New Roman"/>
          <w:color w:val="000000"/>
          <w:kern w:val="0"/>
          <w:sz w:val="32"/>
          <w:szCs w:val="32"/>
          <w:shd w:val="clear" w:color="auto" w:fill="FFFFFF"/>
          <w:lang w:val="en-US" w:eastAsia="zh-CN" w:bidi="ar-SA"/>
        </w:rPr>
      </w:pPr>
      <w:r>
        <w:rPr>
          <w:rFonts w:hint="default" w:ascii="Times New Roman" w:hAnsi="Times New Roman" w:eastAsia="方正仿宋_GBK" w:cs="Times New Roman"/>
          <w:b/>
          <w:bCs/>
          <w:color w:val="000000"/>
          <w:kern w:val="0"/>
          <w:sz w:val="32"/>
          <w:szCs w:val="32"/>
          <w:shd w:val="clear" w:color="auto" w:fill="FFFFFF"/>
          <w:lang w:val="en-US" w:eastAsia="zh-CN" w:bidi="ar-SA"/>
        </w:rPr>
        <w:t xml:space="preserve">（2）推进法治建设，服务保障经济展现新作为。 </w:t>
      </w:r>
      <w:r>
        <w:rPr>
          <w:rFonts w:hint="default" w:ascii="Times New Roman" w:hAnsi="Times New Roman" w:eastAsia="方正仿宋_GBK" w:cs="Times New Roman"/>
          <w:color w:val="000000"/>
          <w:kern w:val="0"/>
          <w:sz w:val="32"/>
          <w:szCs w:val="32"/>
          <w:shd w:val="clear" w:color="auto" w:fill="FFFFFF"/>
          <w:lang w:val="en-US" w:eastAsia="zh-CN" w:bidi="ar-SA"/>
        </w:rPr>
        <w:t>首席法律咨询专家提供咨询意见40余条、化解疑难复杂纠纷14件。为25家民营企业开展“法治体检”等服务40余次。审结全国首例消费者起诉销售假冒“攀枝花芒果”案，被多家媒体宣传报道。办理涉园区案件104件，公安“一窗通办”窗口满意度达100%。</w:t>
      </w:r>
    </w:p>
    <w:p w14:paraId="18DF1112">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hint="default" w:ascii="Times New Roman" w:hAnsi="Times New Roman" w:eastAsia="方正仿宋_GBK" w:cs="Times New Roman"/>
          <w:color w:val="000000"/>
          <w:kern w:val="0"/>
          <w:sz w:val="32"/>
          <w:szCs w:val="32"/>
          <w:shd w:val="clear" w:color="auto" w:fill="FFFFFF"/>
          <w:lang w:val="en-US" w:eastAsia="zh-CN" w:bidi="ar-SA"/>
        </w:rPr>
      </w:pPr>
      <w:r>
        <w:rPr>
          <w:rFonts w:hint="default" w:ascii="Times New Roman" w:hAnsi="Times New Roman" w:eastAsia="方正仿宋_GBK" w:cs="Times New Roman"/>
          <w:b/>
          <w:bCs/>
          <w:color w:val="000000"/>
          <w:kern w:val="0"/>
          <w:sz w:val="32"/>
          <w:szCs w:val="32"/>
          <w:shd w:val="clear" w:color="auto" w:fill="FFFFFF"/>
          <w:lang w:val="en-US" w:eastAsia="zh-CN"/>
        </w:rPr>
        <w:t>（3）推进基础建设，社会安定和谐开创新局面。</w:t>
      </w:r>
      <w:r>
        <w:rPr>
          <w:rFonts w:hint="default" w:ascii="Times New Roman" w:hAnsi="Times New Roman" w:eastAsia="方正楷体_GBK" w:cs="Times New Roman"/>
          <w:b/>
          <w:bCs/>
          <w:color w:val="000000"/>
          <w:kern w:val="0"/>
          <w:sz w:val="32"/>
          <w:szCs w:val="32"/>
          <w:shd w:val="clear" w:color="auto" w:fill="FFFFFF"/>
          <w:lang w:val="en-US" w:eastAsia="zh-CN"/>
        </w:rPr>
        <w:t xml:space="preserve"> </w:t>
      </w:r>
      <w:r>
        <w:rPr>
          <w:rFonts w:hint="default" w:ascii="Times New Roman" w:hAnsi="Times New Roman" w:eastAsia="方正仿宋_GBK" w:cs="Times New Roman"/>
          <w:color w:val="000000"/>
          <w:kern w:val="0"/>
          <w:sz w:val="32"/>
          <w:szCs w:val="32"/>
          <w:shd w:val="clear" w:color="auto" w:fill="FFFFFF"/>
          <w:lang w:val="en-US" w:eastAsia="zh-CN" w:bidi="ar-SA"/>
        </w:rPr>
        <w:t>开展5次影响社会稳定矛盾摸排，排查领域性问题21个。收集涉稳情报线索540余条，完成风险评估126项。检查旅馆业、学校、危爆单位等700余家次，整改隐患400余处。圆满完成特殊敏感时段安保维稳工作。</w:t>
      </w:r>
    </w:p>
    <w:p w14:paraId="039EA91B">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hint="default" w:ascii="Times New Roman" w:hAnsi="Times New Roman" w:eastAsia="方正仿宋_GBK" w:cs="Times New Roman"/>
          <w:color w:val="000000"/>
          <w:kern w:val="0"/>
          <w:sz w:val="32"/>
          <w:szCs w:val="32"/>
          <w:shd w:val="clear" w:color="auto" w:fill="FFFFFF"/>
          <w:lang w:val="en-US" w:eastAsia="zh-CN" w:bidi="ar-SA"/>
        </w:rPr>
      </w:pPr>
      <w:r>
        <w:rPr>
          <w:rFonts w:hint="default" w:ascii="Times New Roman" w:hAnsi="Times New Roman" w:eastAsia="方正仿宋_GBK" w:cs="Times New Roman"/>
          <w:b/>
          <w:bCs/>
          <w:color w:val="000000"/>
          <w:kern w:val="0"/>
          <w:sz w:val="32"/>
          <w:szCs w:val="32"/>
          <w:shd w:val="clear" w:color="auto" w:fill="FFFFFF"/>
          <w:lang w:val="en-US" w:eastAsia="zh-CN"/>
        </w:rPr>
        <w:t>（4）推进平安建设，基层社会治理激发新动能。</w:t>
      </w:r>
      <w:r>
        <w:rPr>
          <w:rFonts w:hint="default" w:ascii="Times New Roman" w:hAnsi="Times New Roman" w:eastAsia="方正仿宋_GBK" w:cs="Times New Roman"/>
          <w:color w:val="000000"/>
          <w:kern w:val="0"/>
          <w:sz w:val="32"/>
          <w:szCs w:val="32"/>
          <w:shd w:val="clear" w:color="auto" w:fill="FFFFFF"/>
          <w:lang w:val="en-US" w:eastAsia="zh-CN" w:bidi="ar-SA"/>
        </w:rPr>
        <w:t xml:space="preserve"> 创建省级“六无”平安村（社区）1个。专职网格员上报治安隐患1818件，化解矛盾纠纷430件。排查各类矛盾纠纷1993件，通过“三说会堂”机制化解疑难复杂纠纷500余件，获市委主要领导肯定批示。联合侦破涉案3000余万元的制售假冒伪劣农药案，在央视播出。审结恶势力犯罪团伙案件，抓获犯罪嫌疑人30人。</w:t>
      </w:r>
    </w:p>
    <w:p w14:paraId="0CE9FEC0">
      <w:pPr>
        <w:keepNext w:val="0"/>
        <w:keepLines w:val="0"/>
        <w:pageBreakBefore w:val="0"/>
        <w:kinsoku/>
        <w:wordWrap/>
        <w:overflowPunct/>
        <w:topLinePunct w:val="0"/>
        <w:autoSpaceDE/>
        <w:autoSpaceDN/>
        <w:bidi w:val="0"/>
        <w:adjustRightInd w:val="0"/>
        <w:snapToGrid w:val="0"/>
        <w:spacing w:line="600" w:lineRule="exact"/>
        <w:ind w:firstLine="643" w:firstLineChars="200"/>
        <w:contextualSpacing/>
        <w:jc w:val="both"/>
        <w:textAlignment w:val="auto"/>
        <w:rPr>
          <w:rFonts w:hint="default" w:ascii="Times New Roman" w:hAnsi="Times New Roman" w:eastAsia="方正仿宋_GBK" w:cs="Times New Roman"/>
          <w:color w:val="000000"/>
          <w:kern w:val="0"/>
          <w:sz w:val="32"/>
          <w:szCs w:val="32"/>
          <w:shd w:val="clear" w:color="auto" w:fill="FFFFFF"/>
          <w:lang w:val="zh-CN" w:eastAsia="zh-CN" w:bidi="ar-SA"/>
        </w:rPr>
      </w:pPr>
      <w:r>
        <w:rPr>
          <w:rFonts w:hint="default" w:ascii="Times New Roman" w:hAnsi="Times New Roman" w:eastAsia="方正仿宋_GBK" w:cs="Times New Roman"/>
          <w:b/>
          <w:bCs/>
          <w:color w:val="000000"/>
          <w:kern w:val="0"/>
          <w:sz w:val="32"/>
          <w:szCs w:val="32"/>
          <w:shd w:val="clear" w:color="auto" w:fill="FFFFFF"/>
          <w:lang w:val="en-US" w:eastAsia="zh-CN"/>
        </w:rPr>
        <w:t xml:space="preserve">（5）推进队伍建设，锻造政法铁军呈现新面貌。 </w:t>
      </w:r>
      <w:r>
        <w:rPr>
          <w:rFonts w:hint="default" w:ascii="Times New Roman" w:hAnsi="Times New Roman" w:eastAsia="方正仿宋_GBK" w:cs="Times New Roman"/>
          <w:color w:val="000000"/>
          <w:kern w:val="0"/>
          <w:sz w:val="32"/>
          <w:szCs w:val="32"/>
          <w:shd w:val="clear" w:color="auto" w:fill="FFFFFF"/>
          <w:lang w:val="en-US" w:eastAsia="zh-CN" w:bidi="ar-SA"/>
        </w:rPr>
        <w:t>开展谈心交心18人次，观看警示教育片3次。系统实施人才培养工程，选派2名领导干部参与区委巡察。全区政法系统3名领导干部获提拔，2人进一步使用，87名干警、18个集体荣获表彰奖励。</w:t>
      </w:r>
    </w:p>
    <w:p w14:paraId="4D1B8228">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both"/>
        <w:textAlignment w:val="auto"/>
        <w:rPr>
          <w:rFonts w:hint="default" w:ascii="Times New Roman" w:hAnsi="Times New Roman" w:eastAsia="方正仿宋_GBK" w:cs="Times New Roman"/>
          <w:b/>
          <w:bCs/>
          <w:color w:val="000000"/>
          <w:kern w:val="0"/>
          <w:sz w:val="32"/>
          <w:szCs w:val="32"/>
          <w:shd w:val="clear" w:color="auto" w:fill="FFFFFF"/>
          <w:lang w:val="zh-CN"/>
        </w:rPr>
      </w:pPr>
      <w:r>
        <w:rPr>
          <w:rFonts w:hint="default" w:ascii="Times New Roman" w:hAnsi="Times New Roman" w:eastAsia="方正仿宋_GBK" w:cs="Times New Roman"/>
          <w:b/>
          <w:bCs/>
          <w:color w:val="000000"/>
          <w:kern w:val="0"/>
          <w:sz w:val="32"/>
          <w:szCs w:val="32"/>
          <w:shd w:val="clear" w:color="auto" w:fill="FFFFFF"/>
          <w:lang w:val="en-US" w:eastAsia="zh-CN"/>
        </w:rPr>
        <w:t>2.</w:t>
      </w:r>
      <w:r>
        <w:rPr>
          <w:rFonts w:hint="default" w:ascii="Times New Roman" w:hAnsi="Times New Roman" w:eastAsia="方正仿宋_GBK" w:cs="Times New Roman"/>
          <w:b/>
          <w:bCs/>
          <w:color w:val="000000"/>
          <w:kern w:val="0"/>
          <w:sz w:val="32"/>
          <w:szCs w:val="32"/>
          <w:shd w:val="clear" w:color="auto" w:fill="FFFFFF"/>
          <w:lang w:val="zh-CN"/>
        </w:rPr>
        <w:t>预算编制情况。</w:t>
      </w:r>
    </w:p>
    <w:p w14:paraId="275CEAD6">
      <w:pPr>
        <w:keepNext w:val="0"/>
        <w:keepLines w:val="0"/>
        <w:pageBreakBefore w:val="0"/>
        <w:numPr>
          <w:ilvl w:val="0"/>
          <w:numId w:val="0"/>
        </w:numPr>
        <w:kinsoku/>
        <w:wordWrap/>
        <w:overflowPunct/>
        <w:topLinePunct w:val="0"/>
        <w:autoSpaceDE/>
        <w:autoSpaceDN/>
        <w:bidi w:val="0"/>
        <w:adjustRightInd w:val="0"/>
        <w:snapToGrid w:val="0"/>
        <w:spacing w:line="600" w:lineRule="exact"/>
        <w:ind w:firstLine="640" w:firstLineChars="200"/>
        <w:contextualSpacing/>
        <w:jc w:val="both"/>
        <w:textAlignment w:val="auto"/>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lang w:val="en-US" w:eastAsia="zh-CN"/>
        </w:rPr>
        <w:t>2025年，区委政法委严格按照“二上二下”流程编制预算。年初预算收入519.59万元，全年预算调整为556.62万元，决算收入556.62万元。预决算差异率7.13%，主要原因是年中追加了项目资金。预算编制做到了应编尽编，但在项目支出的精细化测算方面仍有提升空间。</w:t>
      </w:r>
    </w:p>
    <w:p w14:paraId="5B8065EA">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both"/>
        <w:textAlignment w:val="auto"/>
        <w:rPr>
          <w:rFonts w:hint="default" w:ascii="Times New Roman" w:hAnsi="Times New Roman" w:eastAsia="方正仿宋_GBK" w:cs="Times New Roman"/>
          <w:b/>
          <w:bCs/>
          <w:color w:val="000000"/>
          <w:kern w:val="0"/>
          <w:sz w:val="32"/>
          <w:szCs w:val="32"/>
          <w:shd w:val="clear" w:color="auto" w:fill="FFFFFF"/>
          <w:lang w:val="zh-CN"/>
        </w:rPr>
      </w:pPr>
      <w:r>
        <w:rPr>
          <w:rFonts w:hint="default" w:ascii="Times New Roman" w:hAnsi="Times New Roman" w:eastAsia="方正仿宋_GBK" w:cs="Times New Roman"/>
          <w:b/>
          <w:bCs/>
          <w:color w:val="000000"/>
          <w:kern w:val="0"/>
          <w:sz w:val="32"/>
          <w:szCs w:val="32"/>
          <w:shd w:val="clear" w:color="auto" w:fill="FFFFFF"/>
          <w:lang w:val="zh-CN"/>
        </w:rPr>
        <w:t>3.财务管理。</w:t>
      </w:r>
    </w:p>
    <w:p w14:paraId="17B619A2">
      <w:pPr>
        <w:keepNext w:val="0"/>
        <w:keepLines w:val="0"/>
        <w:pageBreakBefore w:val="0"/>
        <w:kinsoku/>
        <w:wordWrap/>
        <w:overflowPunct/>
        <w:topLinePunct w:val="0"/>
        <w:autoSpaceDE/>
        <w:autoSpaceDN/>
        <w:bidi w:val="0"/>
        <w:adjustRightInd w:val="0"/>
        <w:snapToGrid w:val="0"/>
        <w:spacing w:line="600" w:lineRule="exact"/>
        <w:ind w:firstLine="640" w:firstLineChars="200"/>
        <w:contextualSpacing/>
        <w:jc w:val="both"/>
        <w:textAlignment w:val="auto"/>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lang w:val="zh-CN"/>
        </w:rPr>
        <w:t>我单位建立了较为完善的财务管理制度体系，涵盖预算、收支、资产、采购等方面。在岗位设置上，严格做到不相容岗位相互分离，分别设置会计、出纳、资产管理员、采购经办等岗位，重大资金支出经部务会集体研究决定。在资金使用上，严格执行“先审批、后支出”程序，所有支出均需逐级审批。在会计核算上，严格执行政府会计准则制度，做到日清月结、账实相符。在内部监督上，定期开展财务自查，每年接受审计部门审计。2025年度无违规违纪现象</w:t>
      </w:r>
      <w:r>
        <w:rPr>
          <w:rFonts w:hint="default" w:ascii="Times New Roman" w:hAnsi="Times New Roman" w:eastAsia="方正仿宋_GBK" w:cs="Times New Roman"/>
          <w:color w:val="000000"/>
          <w:kern w:val="0"/>
          <w:sz w:val="32"/>
          <w:szCs w:val="32"/>
          <w:shd w:val="clear" w:color="auto" w:fill="FFFFFF"/>
          <w:lang w:val="zh-CN" w:eastAsia="zh-CN"/>
        </w:rPr>
        <w:t>。</w:t>
      </w:r>
    </w:p>
    <w:p w14:paraId="1E38344A">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both"/>
        <w:textAlignment w:val="auto"/>
        <w:rPr>
          <w:rFonts w:hint="default" w:ascii="Times New Roman" w:hAnsi="Times New Roman" w:eastAsia="方正仿宋_GBK" w:cs="Times New Roman"/>
          <w:b/>
          <w:bCs/>
          <w:color w:val="000000"/>
          <w:kern w:val="0"/>
          <w:sz w:val="32"/>
          <w:szCs w:val="32"/>
          <w:shd w:val="clear" w:color="auto" w:fill="FFFFFF"/>
          <w:lang w:val="zh-CN"/>
        </w:rPr>
      </w:pPr>
      <w:r>
        <w:rPr>
          <w:rFonts w:hint="default" w:ascii="Times New Roman" w:hAnsi="Times New Roman" w:eastAsia="方正仿宋_GBK" w:cs="Times New Roman"/>
          <w:b/>
          <w:bCs/>
          <w:color w:val="000000"/>
          <w:kern w:val="0"/>
          <w:sz w:val="32"/>
          <w:szCs w:val="32"/>
          <w:shd w:val="clear" w:color="auto" w:fill="FFFFFF"/>
          <w:lang w:val="zh-CN"/>
        </w:rPr>
        <w:t>4.资产管理。</w:t>
      </w:r>
    </w:p>
    <w:p w14:paraId="794EB05F">
      <w:pPr>
        <w:keepNext w:val="0"/>
        <w:keepLines w:val="0"/>
        <w:pageBreakBefore w:val="0"/>
        <w:kinsoku/>
        <w:wordWrap/>
        <w:overflowPunct/>
        <w:topLinePunct w:val="0"/>
        <w:autoSpaceDE/>
        <w:autoSpaceDN/>
        <w:bidi w:val="0"/>
        <w:adjustRightInd w:val="0"/>
        <w:snapToGrid w:val="0"/>
        <w:spacing w:line="600" w:lineRule="exact"/>
        <w:ind w:firstLine="640" w:firstLineChars="200"/>
        <w:contextualSpacing/>
        <w:jc w:val="both"/>
        <w:textAlignment w:val="auto"/>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lang w:val="zh-CN"/>
        </w:rPr>
        <w:t>我单位按照国有资产管理规定，建立了“统一领导、归口管理、专人负责”的资产管理机制。办公室为归口管理部门，指定专人担任资产管理员，负责资产的全流程管理。在资产购置环节，坚持“先调剂、后配置”原则。在资产使用环节，建立领用台账，做到“一物一卡”，每半年开展一次全面盘点。在资产处置环节，严格按规定履行评估、报批、处置程序。截至2025年末，我单位无房屋及车辆资产，银行存款年末余额17.44万元，资产账实相符，管理规范。</w:t>
      </w:r>
    </w:p>
    <w:p w14:paraId="2F7641A5">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both"/>
        <w:textAlignment w:val="auto"/>
        <w:rPr>
          <w:rFonts w:hint="default" w:ascii="Times New Roman" w:hAnsi="Times New Roman" w:eastAsia="方正仿宋_GBK" w:cs="Times New Roman"/>
          <w:b/>
          <w:bCs/>
          <w:color w:val="000000"/>
          <w:kern w:val="0"/>
          <w:sz w:val="32"/>
          <w:szCs w:val="32"/>
          <w:shd w:val="clear" w:color="auto" w:fill="FFFFFF"/>
          <w:lang w:val="zh-CN"/>
        </w:rPr>
      </w:pPr>
      <w:r>
        <w:rPr>
          <w:rFonts w:hint="default" w:ascii="Times New Roman" w:hAnsi="Times New Roman" w:eastAsia="方正仿宋_GBK" w:cs="Times New Roman"/>
          <w:b/>
          <w:bCs/>
          <w:color w:val="000000"/>
          <w:kern w:val="0"/>
          <w:sz w:val="32"/>
          <w:szCs w:val="32"/>
          <w:shd w:val="clear" w:color="auto" w:fill="FFFFFF"/>
          <w:lang w:val="zh-CN"/>
        </w:rPr>
        <w:t>5.采购管理。</w:t>
      </w:r>
    </w:p>
    <w:p w14:paraId="052B34E5">
      <w:pPr>
        <w:keepNext w:val="0"/>
        <w:keepLines w:val="0"/>
        <w:pageBreakBefore w:val="0"/>
        <w:kinsoku/>
        <w:wordWrap/>
        <w:overflowPunct/>
        <w:topLinePunct w:val="0"/>
        <w:autoSpaceDE/>
        <w:autoSpaceDN/>
        <w:bidi w:val="0"/>
        <w:adjustRightInd w:val="0"/>
        <w:snapToGrid w:val="0"/>
        <w:spacing w:line="600" w:lineRule="exact"/>
        <w:ind w:firstLine="640" w:firstLineChars="200"/>
        <w:contextualSpacing/>
        <w:jc w:val="both"/>
        <w:textAlignment w:val="auto"/>
        <w:rPr>
          <w:rFonts w:hint="default" w:ascii="Times New Roman" w:hAnsi="Times New Roman" w:eastAsia="方正仿宋_GBK" w:cs="Times New Roman"/>
          <w:color w:val="000000"/>
          <w:kern w:val="0"/>
          <w:sz w:val="32"/>
          <w:szCs w:val="32"/>
          <w:shd w:val="clear" w:color="auto" w:fill="FFFFFF"/>
          <w:lang w:val="zh-CN" w:eastAsia="zh-CN"/>
        </w:rPr>
      </w:pPr>
      <w:r>
        <w:rPr>
          <w:rFonts w:hint="default" w:ascii="Times New Roman" w:hAnsi="Times New Roman" w:eastAsia="方正仿宋_GBK" w:cs="Times New Roman"/>
          <w:color w:val="000000"/>
          <w:kern w:val="0"/>
          <w:sz w:val="32"/>
          <w:szCs w:val="32"/>
          <w:shd w:val="clear" w:color="auto" w:fill="FFFFFF"/>
          <w:lang w:val="zh-CN"/>
        </w:rPr>
        <w:t>我单位严格按照政府采购法及相关规定开展采购工作。预算编制阶段，各业务股室申报需求，财务室审核后编制政府采购预算，确保“无预算不采购”。采购实施阶段，按规定方式和程序组织采购。合同管理阶段，及时签订合同并公示。验收结算阶段，成立验收小组对采购标的逐项核对，验收合格后方可支付。2025年，我单位政府采购支出合计75.07万元，其中：政府采购货物支出5.07万元，政府采购服务支出70.00万元。授予中小企业合同金额2.02万元（其中授予小微企业0.25万元），采购程序规范，未发生投诉或违规情形</w:t>
      </w:r>
      <w:r>
        <w:rPr>
          <w:rFonts w:hint="default" w:ascii="Times New Roman" w:hAnsi="Times New Roman" w:eastAsia="方正仿宋_GBK" w:cs="Times New Roman"/>
          <w:color w:val="000000"/>
          <w:kern w:val="0"/>
          <w:sz w:val="32"/>
          <w:szCs w:val="32"/>
          <w:shd w:val="clear" w:color="auto" w:fill="FFFFFF"/>
          <w:lang w:val="zh-CN" w:eastAsia="zh-CN"/>
        </w:rPr>
        <w:t>。</w:t>
      </w:r>
    </w:p>
    <w:p w14:paraId="28A8BD4E">
      <w:pPr>
        <w:keepNext w:val="0"/>
        <w:keepLines w:val="0"/>
        <w:pageBreakBefore w:val="0"/>
        <w:widowControl/>
        <w:kinsoku/>
        <w:wordWrap/>
        <w:overflowPunct/>
        <w:topLinePunct w:val="0"/>
        <w:autoSpaceDE/>
        <w:autoSpaceDN/>
        <w:bidi w:val="0"/>
        <w:adjustRightInd w:val="0"/>
        <w:snapToGrid w:val="0"/>
        <w:spacing w:line="540" w:lineRule="exact"/>
        <w:ind w:firstLine="643" w:firstLineChars="200"/>
        <w:contextualSpacing/>
        <w:jc w:val="both"/>
        <w:textAlignment w:val="auto"/>
        <w:rPr>
          <w:rFonts w:hint="eastAsia" w:ascii="Times New Roman" w:hAnsi="Times New Roman" w:eastAsia="方正楷体_GBK" w:cs="Times New Roman"/>
          <w:b/>
          <w:bCs/>
          <w:color w:val="000000"/>
          <w:kern w:val="0"/>
          <w:sz w:val="32"/>
          <w:szCs w:val="32"/>
          <w:shd w:val="clear" w:color="auto" w:fill="FFFFFF"/>
          <w:lang w:val="zh-CN"/>
        </w:rPr>
      </w:pPr>
      <w:r>
        <w:rPr>
          <w:rFonts w:hint="eastAsia" w:ascii="Times New Roman" w:hAnsi="Times New Roman" w:eastAsia="方正楷体_GBK" w:cs="Times New Roman"/>
          <w:b/>
          <w:bCs/>
          <w:color w:val="000000"/>
          <w:kern w:val="0"/>
          <w:sz w:val="32"/>
          <w:szCs w:val="32"/>
          <w:shd w:val="clear" w:color="auto" w:fill="FFFFFF"/>
          <w:lang w:val="zh-CN"/>
        </w:rPr>
        <w:t>（二）部门预算项目绩效分析。</w:t>
      </w:r>
    </w:p>
    <w:p w14:paraId="3B4D04AD">
      <w:pPr>
        <w:keepNext w:val="0"/>
        <w:keepLines w:val="0"/>
        <w:pageBreakBefore w:val="0"/>
        <w:kinsoku/>
        <w:wordWrap/>
        <w:overflowPunct/>
        <w:topLinePunct w:val="0"/>
        <w:autoSpaceDE/>
        <w:autoSpaceDN/>
        <w:bidi w:val="0"/>
        <w:adjustRightInd w:val="0"/>
        <w:snapToGrid w:val="0"/>
        <w:spacing w:line="600" w:lineRule="exact"/>
        <w:ind w:firstLine="640" w:firstLineChars="200"/>
        <w:contextualSpacing/>
        <w:jc w:val="both"/>
        <w:textAlignment w:val="auto"/>
        <w:rPr>
          <w:rFonts w:hint="default" w:ascii="Times New Roman" w:hAnsi="Times New Roman" w:eastAsia="方正仿宋_GBK" w:cs="Times New Roman"/>
          <w:color w:val="000000"/>
          <w:kern w:val="0"/>
          <w:sz w:val="32"/>
          <w:szCs w:val="32"/>
          <w:shd w:val="clear" w:color="auto" w:fill="FFFFFF"/>
          <w:lang w:eastAsia="zh-CN"/>
        </w:rPr>
      </w:pPr>
      <w:r>
        <w:rPr>
          <w:rFonts w:hint="default" w:ascii="Times New Roman" w:hAnsi="Times New Roman" w:eastAsia="方正仿宋_GBK" w:cs="Times New Roman"/>
          <w:color w:val="000000"/>
          <w:kern w:val="0"/>
          <w:sz w:val="32"/>
          <w:szCs w:val="32"/>
          <w:shd w:val="clear" w:color="auto" w:fill="FFFFFF"/>
        </w:rPr>
        <w:t>2025年，我单位共有运转类—其他运转类和特定目标类项目7个，涉及项目支出决算总额171.42万元（含使用上年结转61.21万元）。所有项目均已完成，无年末结转结余</w:t>
      </w:r>
      <w:r>
        <w:rPr>
          <w:rFonts w:hint="default" w:ascii="Times New Roman" w:hAnsi="Times New Roman" w:eastAsia="方正仿宋_GBK" w:cs="Times New Roman"/>
          <w:color w:val="000000"/>
          <w:kern w:val="0"/>
          <w:sz w:val="32"/>
          <w:szCs w:val="32"/>
          <w:shd w:val="clear" w:color="auto" w:fill="FFFFFF"/>
          <w:lang w:eastAsia="zh-CN"/>
        </w:rPr>
        <w:t>。</w:t>
      </w:r>
    </w:p>
    <w:p w14:paraId="05DA5CF9">
      <w:pPr>
        <w:keepNext w:val="0"/>
        <w:keepLines w:val="0"/>
        <w:pageBreakBefore w:val="0"/>
        <w:kinsoku/>
        <w:wordWrap/>
        <w:overflowPunct/>
        <w:topLinePunct w:val="0"/>
        <w:autoSpaceDE/>
        <w:autoSpaceDN/>
        <w:bidi w:val="0"/>
        <w:adjustRightInd w:val="0"/>
        <w:snapToGrid w:val="0"/>
        <w:spacing w:line="600" w:lineRule="exact"/>
        <w:ind w:firstLine="640" w:firstLineChars="200"/>
        <w:contextualSpacing/>
        <w:jc w:val="both"/>
        <w:textAlignment w:val="auto"/>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rPr>
        <w:t>常年项目绩效分析。该类项目指预算年度内持续实施的常态化工作。2025年，我单位常年项目共计4个，涉及预算总金额61.78万元，具体包括：社会治安防控专项工作经费6.50万元、扫黑除恶专项经费2.50万元、矛盾纠纷多元化解（大调解）经费0.70万元、区法学会经费保障0.74万元。1至12月预算执行总体进度为100%，所有项目均按计划完成支出，无预算结余</w:t>
      </w:r>
      <w:r>
        <w:rPr>
          <w:rFonts w:hint="default" w:ascii="Times New Roman" w:hAnsi="Times New Roman" w:eastAsia="方正仿宋_GBK" w:cs="Times New Roman"/>
          <w:color w:val="000000"/>
          <w:kern w:val="0"/>
          <w:sz w:val="32"/>
          <w:szCs w:val="32"/>
          <w:shd w:val="clear" w:color="auto" w:fill="FFFFFF"/>
          <w:lang w:val="zh-CN"/>
        </w:rPr>
        <w:t>。</w:t>
      </w:r>
    </w:p>
    <w:p w14:paraId="4741D236">
      <w:pPr>
        <w:keepNext w:val="0"/>
        <w:keepLines w:val="0"/>
        <w:pageBreakBefore w:val="0"/>
        <w:kinsoku/>
        <w:wordWrap/>
        <w:overflowPunct/>
        <w:topLinePunct w:val="0"/>
        <w:autoSpaceDE/>
        <w:autoSpaceDN/>
        <w:bidi w:val="0"/>
        <w:adjustRightInd w:val="0"/>
        <w:snapToGrid w:val="0"/>
        <w:spacing w:line="600" w:lineRule="exact"/>
        <w:ind w:firstLine="640" w:firstLineChars="200"/>
        <w:contextualSpacing/>
        <w:jc w:val="both"/>
        <w:textAlignment w:val="auto"/>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rPr>
        <w:t>阶段（含一次性）项目绩效分析。该类项目指有明确实施期限或一次性完成的工作任务。2025年，我单位阶段及一次性项目共计3个，涉及预算总金额109.64万元，具体包括：综合治理中心业务用房改造装修项目39.85万元、雪亮工程及综治中心运维服务项目39.48万元、一站式矛调中心改造费用15.48万元（另有世运会维稳经费、铁路护路联防专项资金等项目按进度完成）。1至12月预算执行总体进度为100%，所有项目均按计划完成支出，无预算结余</w:t>
      </w:r>
      <w:r>
        <w:rPr>
          <w:rFonts w:hint="default" w:ascii="Times New Roman" w:hAnsi="Times New Roman" w:eastAsia="方正仿宋_GBK" w:cs="Times New Roman"/>
          <w:color w:val="000000"/>
          <w:kern w:val="0"/>
          <w:sz w:val="32"/>
          <w:szCs w:val="32"/>
          <w:shd w:val="clear" w:color="auto" w:fill="FFFFFF"/>
          <w:lang w:val="zh-CN"/>
        </w:rPr>
        <w:t>。</w:t>
      </w:r>
    </w:p>
    <w:p w14:paraId="3928F4F4">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both"/>
        <w:textAlignment w:val="auto"/>
        <w:rPr>
          <w:rFonts w:hint="default" w:ascii="Times New Roman" w:hAnsi="Times New Roman" w:eastAsia="方正仿宋_GBK" w:cs="Times New Roman"/>
          <w:b/>
          <w:bCs/>
          <w:color w:val="000000"/>
          <w:kern w:val="0"/>
          <w:sz w:val="32"/>
          <w:szCs w:val="32"/>
          <w:shd w:val="clear" w:color="auto" w:fill="FFFFFF"/>
          <w:lang w:val="zh-CN"/>
        </w:rPr>
      </w:pPr>
      <w:r>
        <w:rPr>
          <w:rFonts w:hint="default" w:ascii="Times New Roman" w:hAnsi="Times New Roman" w:eastAsia="方正仿宋_GBK" w:cs="Times New Roman"/>
          <w:b/>
          <w:bCs/>
          <w:color w:val="000000"/>
          <w:kern w:val="0"/>
          <w:sz w:val="32"/>
          <w:szCs w:val="32"/>
          <w:shd w:val="clear" w:color="auto" w:fill="FFFFFF"/>
          <w:lang w:val="zh-CN"/>
        </w:rPr>
        <w:t>1.项目决策。</w:t>
      </w:r>
    </w:p>
    <w:p w14:paraId="4BC92A42">
      <w:pPr>
        <w:keepNext w:val="0"/>
        <w:keepLines w:val="0"/>
        <w:pageBreakBefore w:val="0"/>
        <w:kinsoku/>
        <w:wordWrap/>
        <w:overflowPunct/>
        <w:topLinePunct w:val="0"/>
        <w:autoSpaceDE/>
        <w:autoSpaceDN/>
        <w:bidi w:val="0"/>
        <w:adjustRightInd w:val="0"/>
        <w:snapToGrid w:val="0"/>
        <w:spacing w:line="600" w:lineRule="exact"/>
        <w:ind w:firstLine="640" w:firstLineChars="200"/>
        <w:contextualSpacing/>
        <w:jc w:val="both"/>
        <w:textAlignment w:val="auto"/>
        <w:rPr>
          <w:rFonts w:hint="default" w:ascii="Times New Roman" w:hAnsi="Times New Roman" w:eastAsia="方正仿宋_GBK" w:cs="Times New Roman"/>
          <w:color w:val="000000"/>
          <w:kern w:val="0"/>
          <w:sz w:val="32"/>
          <w:szCs w:val="32"/>
          <w:shd w:val="clear" w:color="auto" w:fill="FFFFFF"/>
          <w:lang w:val="zh-CN" w:eastAsia="zh-CN"/>
        </w:rPr>
      </w:pPr>
      <w:r>
        <w:rPr>
          <w:rFonts w:hint="default" w:ascii="Times New Roman" w:hAnsi="Times New Roman" w:eastAsia="方正仿宋_GBK" w:cs="Times New Roman"/>
          <w:color w:val="000000"/>
          <w:kern w:val="0"/>
          <w:sz w:val="32"/>
          <w:szCs w:val="32"/>
          <w:shd w:val="clear" w:color="auto" w:fill="FFFFFF"/>
          <w:lang w:val="zh-CN" w:eastAsia="zh-CN"/>
        </w:rPr>
        <w:t>上述项目依据年度政法重点工作任务设立。社会治安防控专项工作经费主要用于社会面巡逻管控、重点部位安全防范等；扫黑除恶专项经费主要用于线索核查、案件办理及行业整治；综合治理中心业务用房改造装修项目和一站式矛调中心改造费用主要用于场所建设及功能提升；雪亮工程及综治中心运维服务项目主要用于视频监控系统及综治平台日常运维。所有项目设立均履行了评估论证程序，绩效目标与预算资金匹配，决策程序规范。</w:t>
      </w:r>
    </w:p>
    <w:p w14:paraId="4BDD3A9D">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both"/>
        <w:textAlignment w:val="auto"/>
        <w:rPr>
          <w:rFonts w:hint="default" w:ascii="Times New Roman" w:hAnsi="Times New Roman" w:eastAsia="方正仿宋_GBK" w:cs="Times New Roman"/>
          <w:b/>
          <w:bCs/>
          <w:color w:val="000000"/>
          <w:kern w:val="0"/>
          <w:sz w:val="32"/>
          <w:szCs w:val="32"/>
          <w:shd w:val="clear" w:color="auto" w:fill="FFFFFF"/>
          <w:lang w:val="zh-CN"/>
        </w:rPr>
      </w:pPr>
      <w:r>
        <w:rPr>
          <w:rFonts w:hint="default" w:ascii="Times New Roman" w:hAnsi="Times New Roman" w:eastAsia="方正仿宋_GBK" w:cs="Times New Roman"/>
          <w:b/>
          <w:bCs/>
          <w:color w:val="000000"/>
          <w:kern w:val="0"/>
          <w:sz w:val="32"/>
          <w:szCs w:val="32"/>
          <w:shd w:val="clear" w:color="auto" w:fill="FFFFFF"/>
          <w:lang w:val="zh-CN"/>
        </w:rPr>
        <w:t>2.项目执行。</w:t>
      </w:r>
    </w:p>
    <w:p w14:paraId="3B059DF1">
      <w:pPr>
        <w:keepNext w:val="0"/>
        <w:keepLines w:val="0"/>
        <w:pageBreakBefore w:val="0"/>
        <w:kinsoku/>
        <w:wordWrap/>
        <w:overflowPunct/>
        <w:topLinePunct w:val="0"/>
        <w:autoSpaceDE/>
        <w:autoSpaceDN/>
        <w:bidi w:val="0"/>
        <w:adjustRightInd w:val="0"/>
        <w:snapToGrid w:val="0"/>
        <w:spacing w:line="600" w:lineRule="exact"/>
        <w:ind w:firstLine="640" w:firstLineChars="200"/>
        <w:contextualSpacing/>
        <w:jc w:val="both"/>
        <w:textAlignment w:val="auto"/>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lang w:val="zh-CN"/>
        </w:rPr>
        <w:t>所有项目均按计划在2025年1至12月实施完毕，资金拨付严格执行审批程序，专款专用，使用规范。项目支出决算总额171.42万元（其中使用当年财政拨款110.22万元，使用年初结转结余61.21万元），预算执行率达到100%，无结转结余资金。</w:t>
      </w:r>
    </w:p>
    <w:p w14:paraId="12C552B9">
      <w:pPr>
        <w:keepNext w:val="0"/>
        <w:keepLines w:val="0"/>
        <w:pageBreakBefore w:val="0"/>
        <w:kinsoku/>
        <w:wordWrap/>
        <w:overflowPunct/>
        <w:topLinePunct w:val="0"/>
        <w:autoSpaceDE/>
        <w:autoSpaceDN/>
        <w:bidi w:val="0"/>
        <w:adjustRightInd w:val="0"/>
        <w:snapToGrid w:val="0"/>
        <w:spacing w:line="600" w:lineRule="exact"/>
        <w:ind w:firstLine="640" w:firstLineChars="200"/>
        <w:contextualSpacing/>
        <w:jc w:val="both"/>
        <w:textAlignment w:val="auto"/>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lang w:val="zh-CN"/>
        </w:rPr>
        <w:t>社会治安防控专项工作经费6.50万元用于“135”快速反应点位值守、公安武警联勤及24小时屯警街面等；扫黑除恶专项经费2.50万元用于线索核查及案件办理；雪亮工程及综治中心运维服务项目39.48万元用于视频监控及综治平台日常运行维护；综合治理中心业务用房改造装修项目39.85万元用于业务用房功能改造；一站式矛调中心改造费用15.48万元用于矛盾纠纷调解中心建设；其余项目均按计划完成了支出。</w:t>
      </w:r>
    </w:p>
    <w:p w14:paraId="5E2C7515">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both"/>
        <w:textAlignment w:val="auto"/>
        <w:rPr>
          <w:rFonts w:hint="default" w:ascii="Times New Roman" w:hAnsi="Times New Roman" w:eastAsia="方正仿宋_GBK" w:cs="Times New Roman"/>
          <w:b/>
          <w:bCs/>
          <w:color w:val="000000"/>
          <w:kern w:val="0"/>
          <w:sz w:val="32"/>
          <w:szCs w:val="32"/>
          <w:shd w:val="clear" w:color="auto" w:fill="FFFFFF"/>
          <w:lang w:val="zh-CN"/>
        </w:rPr>
      </w:pPr>
      <w:r>
        <w:rPr>
          <w:rFonts w:hint="default" w:ascii="Times New Roman" w:hAnsi="Times New Roman" w:eastAsia="方正仿宋_GBK" w:cs="Times New Roman"/>
          <w:b/>
          <w:bCs/>
          <w:color w:val="000000"/>
          <w:kern w:val="0"/>
          <w:sz w:val="32"/>
          <w:szCs w:val="32"/>
          <w:shd w:val="clear" w:color="auto" w:fill="FFFFFF"/>
          <w:lang w:val="zh-CN"/>
        </w:rPr>
        <w:t>3.目标实现。</w:t>
      </w:r>
    </w:p>
    <w:p w14:paraId="40F37BFB">
      <w:pPr>
        <w:keepNext w:val="0"/>
        <w:keepLines w:val="0"/>
        <w:pageBreakBefore w:val="0"/>
        <w:kinsoku/>
        <w:wordWrap/>
        <w:overflowPunct/>
        <w:topLinePunct w:val="0"/>
        <w:autoSpaceDE/>
        <w:autoSpaceDN/>
        <w:bidi w:val="0"/>
        <w:adjustRightInd w:val="0"/>
        <w:snapToGrid w:val="0"/>
        <w:spacing w:line="600" w:lineRule="exact"/>
        <w:ind w:firstLine="640" w:firstLineChars="200"/>
        <w:contextualSpacing/>
        <w:jc w:val="both"/>
        <w:textAlignment w:val="auto"/>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lang w:val="zh-CN"/>
        </w:rPr>
        <w:t>2025年，区委政法委各项目均按计划完成年度工作任务，项目资金使用规范，绩效目标基本实现。具体分析如下：</w:t>
      </w:r>
    </w:p>
    <w:p w14:paraId="639B6291">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both"/>
        <w:textAlignment w:val="auto"/>
        <w:rPr>
          <w:rFonts w:hint="default" w:ascii="Times New Roman" w:hAnsi="Times New Roman" w:eastAsia="方正仿宋_GBK" w:cs="Times New Roman"/>
          <w:b/>
          <w:bCs/>
          <w:color w:val="000000"/>
          <w:kern w:val="0"/>
          <w:sz w:val="32"/>
          <w:szCs w:val="32"/>
          <w:shd w:val="clear" w:color="auto" w:fill="FFFFFF"/>
          <w:lang w:val="zh-CN"/>
        </w:rPr>
      </w:pPr>
      <w:r>
        <w:rPr>
          <w:rFonts w:hint="default" w:ascii="Times New Roman" w:hAnsi="Times New Roman" w:eastAsia="方正仿宋_GBK" w:cs="Times New Roman"/>
          <w:b/>
          <w:bCs/>
          <w:color w:val="000000"/>
          <w:kern w:val="0"/>
          <w:sz w:val="32"/>
          <w:szCs w:val="32"/>
          <w:shd w:val="clear" w:color="auto" w:fill="FFFFFF"/>
          <w:lang w:val="zh-CN" w:eastAsia="zh-CN"/>
        </w:rPr>
        <w:t>（</w:t>
      </w:r>
      <w:r>
        <w:rPr>
          <w:rFonts w:hint="default" w:ascii="Times New Roman" w:hAnsi="Times New Roman" w:eastAsia="方正仿宋_GBK" w:cs="Times New Roman"/>
          <w:b/>
          <w:bCs/>
          <w:color w:val="000000"/>
          <w:kern w:val="0"/>
          <w:sz w:val="32"/>
          <w:szCs w:val="32"/>
          <w:shd w:val="clear" w:color="auto" w:fill="FFFFFF"/>
          <w:lang w:val="en-US" w:eastAsia="zh-CN"/>
        </w:rPr>
        <w:t>1）</w:t>
      </w:r>
      <w:r>
        <w:rPr>
          <w:rFonts w:hint="default" w:ascii="Times New Roman" w:hAnsi="Times New Roman" w:eastAsia="方正仿宋_GBK" w:cs="Times New Roman"/>
          <w:b/>
          <w:bCs/>
          <w:color w:val="000000"/>
          <w:kern w:val="0"/>
          <w:sz w:val="32"/>
          <w:szCs w:val="32"/>
          <w:shd w:val="clear" w:color="auto" w:fill="FFFFFF"/>
          <w:lang w:val="zh-CN"/>
        </w:rPr>
        <w:t>项目的经济效益分析。</w:t>
      </w:r>
    </w:p>
    <w:p w14:paraId="052843FC">
      <w:pPr>
        <w:keepNext w:val="0"/>
        <w:keepLines w:val="0"/>
        <w:pageBreakBefore w:val="0"/>
        <w:kinsoku/>
        <w:wordWrap/>
        <w:overflowPunct/>
        <w:topLinePunct w:val="0"/>
        <w:autoSpaceDE/>
        <w:autoSpaceDN/>
        <w:bidi w:val="0"/>
        <w:adjustRightInd w:val="0"/>
        <w:snapToGrid w:val="0"/>
        <w:spacing w:line="600" w:lineRule="exact"/>
        <w:ind w:firstLine="640" w:firstLineChars="200"/>
        <w:contextualSpacing/>
        <w:jc w:val="both"/>
        <w:textAlignment w:val="auto"/>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lang w:val="zh-CN"/>
        </w:rPr>
        <w:t>2025年，我单位各项目支出均严格按照预算批复执行，资金使用规范，未出现超预算情况。通过优化法治营商环境，为25家民营企业开展“法治体检”等服务40余次，有效降低了企业法律风险。通过扫黑除恶、治安防控等项目的实施，有力维护了辖区经济秩序，为全区经济社会发展营造了良好环境。</w:t>
      </w:r>
    </w:p>
    <w:p w14:paraId="06228260">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both"/>
        <w:textAlignment w:val="auto"/>
        <w:rPr>
          <w:rFonts w:hint="default" w:ascii="Times New Roman" w:hAnsi="Times New Roman" w:eastAsia="方正仿宋_GBK" w:cs="Times New Roman"/>
          <w:b/>
          <w:bCs/>
          <w:color w:val="000000"/>
          <w:kern w:val="0"/>
          <w:sz w:val="32"/>
          <w:szCs w:val="32"/>
          <w:shd w:val="clear" w:color="auto" w:fill="FFFFFF"/>
          <w:lang w:val="zh-CN"/>
        </w:rPr>
      </w:pPr>
      <w:r>
        <w:rPr>
          <w:rFonts w:hint="default" w:ascii="Times New Roman" w:hAnsi="Times New Roman" w:eastAsia="方正仿宋_GBK" w:cs="Times New Roman"/>
          <w:b/>
          <w:bCs/>
          <w:color w:val="000000"/>
          <w:kern w:val="0"/>
          <w:sz w:val="32"/>
          <w:szCs w:val="32"/>
          <w:shd w:val="clear" w:color="auto" w:fill="FFFFFF"/>
          <w:lang w:val="zh-CN" w:eastAsia="zh-CN"/>
        </w:rPr>
        <w:t>（</w:t>
      </w:r>
      <w:r>
        <w:rPr>
          <w:rFonts w:hint="default" w:ascii="Times New Roman" w:hAnsi="Times New Roman" w:eastAsia="方正仿宋_GBK" w:cs="Times New Roman"/>
          <w:b/>
          <w:bCs/>
          <w:color w:val="000000"/>
          <w:kern w:val="0"/>
          <w:sz w:val="32"/>
          <w:szCs w:val="32"/>
          <w:shd w:val="clear" w:color="auto" w:fill="FFFFFF"/>
          <w:lang w:val="en-US" w:eastAsia="zh-CN"/>
        </w:rPr>
        <w:t>2）</w:t>
      </w:r>
      <w:r>
        <w:rPr>
          <w:rFonts w:hint="default" w:ascii="Times New Roman" w:hAnsi="Times New Roman" w:eastAsia="方正仿宋_GBK" w:cs="Times New Roman"/>
          <w:b/>
          <w:bCs/>
          <w:color w:val="000000"/>
          <w:kern w:val="0"/>
          <w:sz w:val="32"/>
          <w:szCs w:val="32"/>
          <w:shd w:val="clear" w:color="auto" w:fill="FFFFFF"/>
          <w:lang w:val="zh-CN"/>
        </w:rPr>
        <w:t>项目的社会效益分析。</w:t>
      </w:r>
    </w:p>
    <w:p w14:paraId="0BAEC09B">
      <w:pPr>
        <w:keepNext w:val="0"/>
        <w:keepLines w:val="0"/>
        <w:pageBreakBefore w:val="0"/>
        <w:kinsoku/>
        <w:wordWrap/>
        <w:overflowPunct/>
        <w:topLinePunct w:val="0"/>
        <w:autoSpaceDE/>
        <w:autoSpaceDN/>
        <w:bidi w:val="0"/>
        <w:adjustRightInd w:val="0"/>
        <w:snapToGrid w:val="0"/>
        <w:spacing w:line="600" w:lineRule="exact"/>
        <w:ind w:firstLine="640" w:firstLineChars="200"/>
        <w:contextualSpacing/>
        <w:jc w:val="both"/>
        <w:textAlignment w:val="auto"/>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lang w:val="zh-CN" w:eastAsia="zh-CN"/>
        </w:rPr>
        <w:t>通过政治建设和法治建设，全区政法干警政治素养和业务能力显著提升，执法司法公信力不断增强。通过基础建设和平安建设，全区社会大局持续平稳，矛盾纠纷化解率大幅提升，网格化管理体系不断完善，群众安全感、满意度持续提升。通过队伍建设，政法队伍凝聚力和战斗力进一步增强</w:t>
      </w:r>
      <w:r>
        <w:rPr>
          <w:rFonts w:hint="default" w:ascii="Times New Roman" w:hAnsi="Times New Roman" w:eastAsia="方正仿宋_GBK" w:cs="Times New Roman"/>
          <w:color w:val="000000"/>
          <w:kern w:val="0"/>
          <w:sz w:val="32"/>
          <w:szCs w:val="32"/>
          <w:shd w:val="clear" w:color="auto" w:fill="FFFFFF"/>
          <w:lang w:val="zh-CN"/>
        </w:rPr>
        <w:t>。</w:t>
      </w:r>
    </w:p>
    <w:p w14:paraId="18EDB953">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both"/>
        <w:textAlignment w:val="auto"/>
        <w:rPr>
          <w:rFonts w:hint="default" w:ascii="Times New Roman" w:hAnsi="Times New Roman" w:eastAsia="方正仿宋_GBK" w:cs="Times New Roman"/>
          <w:b/>
          <w:bCs/>
          <w:color w:val="000000"/>
          <w:kern w:val="0"/>
          <w:sz w:val="32"/>
          <w:szCs w:val="32"/>
          <w:shd w:val="clear" w:color="auto" w:fill="FFFFFF"/>
          <w:lang w:val="zh-CN"/>
        </w:rPr>
      </w:pPr>
      <w:r>
        <w:rPr>
          <w:rFonts w:hint="default" w:ascii="Times New Roman" w:hAnsi="Times New Roman" w:eastAsia="方正仿宋_GBK" w:cs="Times New Roman"/>
          <w:b/>
          <w:bCs/>
          <w:color w:val="000000"/>
          <w:kern w:val="0"/>
          <w:sz w:val="32"/>
          <w:szCs w:val="32"/>
          <w:shd w:val="clear" w:color="auto" w:fill="FFFFFF"/>
          <w:lang w:val="zh-CN" w:eastAsia="zh-CN"/>
        </w:rPr>
        <w:t>（</w:t>
      </w:r>
      <w:r>
        <w:rPr>
          <w:rFonts w:hint="default" w:ascii="Times New Roman" w:hAnsi="Times New Roman" w:eastAsia="方正仿宋_GBK" w:cs="Times New Roman"/>
          <w:b/>
          <w:bCs/>
          <w:color w:val="000000"/>
          <w:kern w:val="0"/>
          <w:sz w:val="32"/>
          <w:szCs w:val="32"/>
          <w:shd w:val="clear" w:color="auto" w:fill="FFFFFF"/>
          <w:lang w:val="en-US" w:eastAsia="zh-CN"/>
        </w:rPr>
        <w:t>3）</w:t>
      </w:r>
      <w:r>
        <w:rPr>
          <w:rFonts w:hint="default" w:ascii="Times New Roman" w:hAnsi="Times New Roman" w:eastAsia="方正仿宋_GBK" w:cs="Times New Roman"/>
          <w:b/>
          <w:bCs/>
          <w:color w:val="000000"/>
          <w:kern w:val="0"/>
          <w:sz w:val="32"/>
          <w:szCs w:val="32"/>
          <w:shd w:val="clear" w:color="auto" w:fill="FFFFFF"/>
          <w:lang w:val="zh-CN"/>
        </w:rPr>
        <w:t>项目的可持续性分析。</w:t>
      </w:r>
    </w:p>
    <w:p w14:paraId="1A50C4E2">
      <w:pPr>
        <w:keepNext w:val="0"/>
        <w:keepLines w:val="0"/>
        <w:pageBreakBefore w:val="0"/>
        <w:kinsoku/>
        <w:wordWrap/>
        <w:overflowPunct/>
        <w:topLinePunct w:val="0"/>
        <w:autoSpaceDE/>
        <w:autoSpaceDN/>
        <w:bidi w:val="0"/>
        <w:adjustRightInd w:val="0"/>
        <w:snapToGrid w:val="0"/>
        <w:spacing w:line="600" w:lineRule="exact"/>
        <w:ind w:firstLine="640" w:firstLineChars="200"/>
        <w:contextualSpacing/>
        <w:jc w:val="both"/>
        <w:textAlignment w:val="auto"/>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lang w:val="zh-CN" w:eastAsia="zh-CN"/>
        </w:rPr>
        <w:t xml:space="preserve"> 2025年度各项目有序开展，整体支出平稳，较好地实现了社会效益和可持续效益目标。“雪亮工程”及综治中心运维机制、“三说会堂”多元解纷机制等已建立健全，为后续工作奠定了基础。项目资金投入形成的治理能力和制度成果，将在今后较长时间内持续发挥作用</w:t>
      </w:r>
      <w:r>
        <w:rPr>
          <w:rFonts w:hint="default" w:ascii="Times New Roman" w:hAnsi="Times New Roman" w:eastAsia="方正仿宋_GBK" w:cs="Times New Roman"/>
          <w:color w:val="000000"/>
          <w:kern w:val="0"/>
          <w:sz w:val="32"/>
          <w:szCs w:val="32"/>
          <w:shd w:val="clear" w:color="auto" w:fill="FFFFFF"/>
          <w:lang w:val="zh-CN"/>
        </w:rPr>
        <w:t>。</w:t>
      </w:r>
    </w:p>
    <w:p w14:paraId="1169EB82">
      <w:pPr>
        <w:keepNext w:val="0"/>
        <w:keepLines w:val="0"/>
        <w:pageBreakBefore w:val="0"/>
        <w:widowControl/>
        <w:kinsoku/>
        <w:wordWrap/>
        <w:overflowPunct/>
        <w:topLinePunct w:val="0"/>
        <w:autoSpaceDE/>
        <w:autoSpaceDN/>
        <w:bidi w:val="0"/>
        <w:adjustRightInd w:val="0"/>
        <w:snapToGrid w:val="0"/>
        <w:spacing w:line="540" w:lineRule="exact"/>
        <w:ind w:firstLine="643" w:firstLineChars="200"/>
        <w:contextualSpacing/>
        <w:jc w:val="both"/>
        <w:textAlignment w:val="auto"/>
        <w:rPr>
          <w:rFonts w:hint="default" w:ascii="Times New Roman" w:hAnsi="Times New Roman" w:eastAsia="方正楷体_GBK" w:cs="Times New Roman"/>
          <w:b/>
          <w:bCs/>
          <w:color w:val="000000"/>
          <w:kern w:val="0"/>
          <w:sz w:val="32"/>
          <w:szCs w:val="32"/>
          <w:shd w:val="clear" w:color="auto" w:fill="FFFFFF"/>
          <w:lang w:val="zh-CN"/>
        </w:rPr>
      </w:pPr>
      <w:r>
        <w:rPr>
          <w:rFonts w:hint="default" w:ascii="Times New Roman" w:hAnsi="Times New Roman" w:eastAsia="方正楷体_GBK" w:cs="Times New Roman"/>
          <w:b/>
          <w:bCs/>
          <w:color w:val="000000"/>
          <w:kern w:val="0"/>
          <w:sz w:val="32"/>
          <w:szCs w:val="32"/>
          <w:shd w:val="clear" w:color="auto" w:fill="FFFFFF"/>
          <w:lang w:val="zh-CN"/>
        </w:rPr>
        <w:t>（三）绩效结果应用情况。</w:t>
      </w:r>
    </w:p>
    <w:p w14:paraId="1AEC2ED2">
      <w:pPr>
        <w:keepNext w:val="0"/>
        <w:keepLines w:val="0"/>
        <w:pageBreakBefore w:val="0"/>
        <w:kinsoku/>
        <w:wordWrap/>
        <w:overflowPunct/>
        <w:topLinePunct w:val="0"/>
        <w:autoSpaceDE/>
        <w:autoSpaceDN/>
        <w:bidi w:val="0"/>
        <w:adjustRightInd w:val="0"/>
        <w:snapToGrid w:val="0"/>
        <w:spacing w:line="600" w:lineRule="exact"/>
        <w:ind w:firstLine="640" w:firstLineChars="200"/>
        <w:contextualSpacing/>
        <w:jc w:val="both"/>
        <w:textAlignment w:val="auto"/>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lang w:val="zh-CN"/>
        </w:rPr>
        <w:t>我单位将绩效自评结果作为下一年度预算安排和完善管理的重要依据。对评价中发现的问题，及时调整资金分配策略，优化项目设置。同时，按照政务公开要求，将绩效自评报告在攀枝花市西区人民政府网站进行公开，自觉接受社会监督。</w:t>
      </w:r>
    </w:p>
    <w:p w14:paraId="45D89AAC">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contextualSpacing/>
        <w:jc w:val="both"/>
        <w:textAlignment w:val="auto"/>
        <w:rPr>
          <w:rFonts w:hint="default" w:ascii="Times New Roman" w:hAnsi="Times New Roman" w:eastAsia="方正黑体_GBK" w:cs="Times New Roman"/>
          <w:b w:val="0"/>
          <w:bCs w:val="0"/>
          <w:color w:val="000000"/>
          <w:kern w:val="0"/>
          <w:sz w:val="32"/>
          <w:szCs w:val="32"/>
          <w:shd w:val="clear" w:color="auto" w:fill="FFFFFF"/>
          <w:lang w:val="zh-CN"/>
        </w:rPr>
      </w:pPr>
      <w:r>
        <w:rPr>
          <w:rFonts w:hint="default" w:ascii="Times New Roman" w:hAnsi="Times New Roman" w:eastAsia="方正黑体_GBK" w:cs="Times New Roman"/>
          <w:b w:val="0"/>
          <w:bCs w:val="0"/>
          <w:color w:val="000000"/>
          <w:kern w:val="0"/>
          <w:sz w:val="32"/>
          <w:szCs w:val="32"/>
          <w:shd w:val="clear" w:color="auto" w:fill="FFFFFF"/>
          <w:lang w:val="zh-CN"/>
        </w:rPr>
        <w:t>四、评价结论及建议</w:t>
      </w:r>
    </w:p>
    <w:p w14:paraId="62F0E603">
      <w:pPr>
        <w:keepNext w:val="0"/>
        <w:keepLines w:val="0"/>
        <w:pageBreakBefore w:val="0"/>
        <w:widowControl/>
        <w:kinsoku/>
        <w:wordWrap/>
        <w:overflowPunct/>
        <w:topLinePunct w:val="0"/>
        <w:autoSpaceDE/>
        <w:autoSpaceDN/>
        <w:bidi w:val="0"/>
        <w:adjustRightInd w:val="0"/>
        <w:snapToGrid w:val="0"/>
        <w:spacing w:line="540" w:lineRule="exact"/>
        <w:ind w:firstLine="643" w:firstLineChars="200"/>
        <w:contextualSpacing/>
        <w:jc w:val="both"/>
        <w:textAlignment w:val="auto"/>
        <w:rPr>
          <w:rFonts w:hint="default" w:ascii="Times New Roman" w:hAnsi="Times New Roman" w:eastAsia="方正楷体_GBK" w:cs="Times New Roman"/>
          <w:b/>
          <w:bCs/>
          <w:color w:val="000000"/>
          <w:kern w:val="0"/>
          <w:sz w:val="32"/>
          <w:szCs w:val="32"/>
          <w:shd w:val="clear" w:color="auto" w:fill="FFFFFF"/>
          <w:lang w:val="zh-CN"/>
        </w:rPr>
      </w:pPr>
      <w:r>
        <w:rPr>
          <w:rFonts w:hint="default" w:ascii="Times New Roman" w:hAnsi="Times New Roman" w:eastAsia="方正楷体_GBK" w:cs="Times New Roman"/>
          <w:b/>
          <w:bCs/>
          <w:color w:val="000000"/>
          <w:kern w:val="0"/>
          <w:sz w:val="32"/>
          <w:szCs w:val="32"/>
          <w:shd w:val="clear" w:color="auto" w:fill="FFFFFF"/>
          <w:lang w:val="zh-CN"/>
        </w:rPr>
        <w:t>（一）评价结论。</w:t>
      </w:r>
    </w:p>
    <w:p w14:paraId="0013978A">
      <w:pPr>
        <w:keepNext w:val="0"/>
        <w:keepLines w:val="0"/>
        <w:pageBreakBefore w:val="0"/>
        <w:kinsoku/>
        <w:wordWrap/>
        <w:overflowPunct/>
        <w:topLinePunct w:val="0"/>
        <w:autoSpaceDE/>
        <w:autoSpaceDN/>
        <w:bidi w:val="0"/>
        <w:adjustRightInd w:val="0"/>
        <w:snapToGrid w:val="0"/>
        <w:spacing w:line="600" w:lineRule="exact"/>
        <w:ind w:firstLine="640" w:firstLineChars="200"/>
        <w:contextualSpacing/>
        <w:jc w:val="both"/>
        <w:textAlignment w:val="auto"/>
        <w:rPr>
          <w:rFonts w:hint="default" w:ascii="Times New Roman" w:hAnsi="Times New Roman" w:eastAsia="方正仿宋_GBK" w:cs="Times New Roman"/>
          <w:color w:val="000000"/>
          <w:kern w:val="0"/>
          <w:sz w:val="32"/>
          <w:szCs w:val="32"/>
          <w:shd w:val="clear" w:color="auto" w:fill="FFFFFF"/>
          <w:lang w:val="en-US" w:eastAsia="zh-CN"/>
        </w:rPr>
      </w:pPr>
      <w:r>
        <w:rPr>
          <w:rFonts w:hint="default" w:ascii="Times New Roman" w:hAnsi="Times New Roman" w:eastAsia="方正仿宋_GBK" w:cs="Times New Roman"/>
          <w:color w:val="000000"/>
          <w:kern w:val="0"/>
          <w:sz w:val="32"/>
          <w:szCs w:val="32"/>
          <w:shd w:val="clear" w:color="auto" w:fill="FFFFFF"/>
          <w:lang w:val="en-US" w:eastAsia="zh-CN"/>
        </w:rPr>
        <w:t>2025年，区委政法委预算执行进度符合要求，资金使用规范，履职效能显著，较好地完成了年初设定的各项绩效目标。评价得分97分，其中总体绩效62分，项目绩效35分，自评等级为“优秀”。</w:t>
      </w:r>
    </w:p>
    <w:p w14:paraId="6EDFFB00">
      <w:pPr>
        <w:keepNext w:val="0"/>
        <w:keepLines w:val="0"/>
        <w:pageBreakBefore w:val="0"/>
        <w:widowControl/>
        <w:kinsoku/>
        <w:wordWrap/>
        <w:overflowPunct/>
        <w:topLinePunct w:val="0"/>
        <w:autoSpaceDE/>
        <w:autoSpaceDN/>
        <w:bidi w:val="0"/>
        <w:adjustRightInd w:val="0"/>
        <w:snapToGrid w:val="0"/>
        <w:spacing w:line="540" w:lineRule="exact"/>
        <w:ind w:firstLine="643" w:firstLineChars="200"/>
        <w:contextualSpacing/>
        <w:jc w:val="both"/>
        <w:textAlignment w:val="auto"/>
        <w:rPr>
          <w:rFonts w:hint="default" w:ascii="Times New Roman" w:hAnsi="Times New Roman" w:eastAsia="方正楷体_GBK" w:cs="Times New Roman"/>
          <w:b/>
          <w:bCs/>
          <w:color w:val="000000"/>
          <w:kern w:val="0"/>
          <w:sz w:val="32"/>
          <w:szCs w:val="32"/>
          <w:shd w:val="clear" w:color="auto" w:fill="FFFFFF"/>
          <w:lang w:val="zh-CN" w:eastAsia="zh-CN"/>
        </w:rPr>
      </w:pPr>
      <w:r>
        <w:rPr>
          <w:rFonts w:hint="default" w:ascii="Times New Roman" w:hAnsi="Times New Roman" w:eastAsia="方正楷体_GBK" w:cs="Times New Roman"/>
          <w:b/>
          <w:bCs/>
          <w:color w:val="000000"/>
          <w:kern w:val="0"/>
          <w:sz w:val="32"/>
          <w:szCs w:val="32"/>
          <w:shd w:val="clear" w:color="auto" w:fill="FFFFFF"/>
          <w:lang w:val="zh-CN"/>
        </w:rPr>
        <w:t>（二）存在问题。</w:t>
      </w:r>
    </w:p>
    <w:p w14:paraId="184C6669">
      <w:pPr>
        <w:keepNext w:val="0"/>
        <w:keepLines w:val="0"/>
        <w:pageBreakBefore w:val="0"/>
        <w:kinsoku/>
        <w:wordWrap/>
        <w:overflowPunct/>
        <w:topLinePunct w:val="0"/>
        <w:autoSpaceDE/>
        <w:autoSpaceDN/>
        <w:bidi w:val="0"/>
        <w:adjustRightInd w:val="0"/>
        <w:snapToGrid w:val="0"/>
        <w:spacing w:line="600" w:lineRule="exact"/>
        <w:ind w:firstLine="640" w:firstLineChars="200"/>
        <w:contextualSpacing/>
        <w:jc w:val="both"/>
        <w:textAlignment w:val="auto"/>
        <w:rPr>
          <w:rFonts w:hint="default" w:ascii="Times New Roman" w:hAnsi="Times New Roman" w:eastAsia="方正仿宋_GBK" w:cs="Times New Roman"/>
          <w:color w:val="000000"/>
          <w:kern w:val="0"/>
          <w:sz w:val="32"/>
          <w:szCs w:val="32"/>
          <w:shd w:val="clear" w:color="auto" w:fill="FFFFFF"/>
          <w:lang w:val="en-US" w:eastAsia="zh-CN"/>
        </w:rPr>
      </w:pPr>
      <w:r>
        <w:rPr>
          <w:rFonts w:hint="default" w:ascii="Times New Roman" w:hAnsi="Times New Roman" w:eastAsia="方正仿宋_GBK" w:cs="Times New Roman"/>
          <w:color w:val="000000"/>
          <w:kern w:val="0"/>
          <w:sz w:val="32"/>
          <w:szCs w:val="32"/>
          <w:shd w:val="clear" w:color="auto" w:fill="FFFFFF"/>
          <w:lang w:val="zh-CN" w:eastAsia="zh-CN"/>
        </w:rPr>
        <w:t>一是预算编制精准度有待提高。年初预算与年终决算存在一定差异，主要由于部分上级转移支付资金和追加项目无法在年初准确预计。二是公用经费压减空间需进一步挖掘。本年公用经费决算数25.02万元，较年初预算34.57万元有所压减，但部分科目支出仍可进一步厉行节约</w:t>
      </w:r>
      <w:r>
        <w:rPr>
          <w:rFonts w:hint="default" w:ascii="Times New Roman" w:hAnsi="Times New Roman" w:eastAsia="方正仿宋_GBK" w:cs="Times New Roman"/>
          <w:color w:val="000000"/>
          <w:kern w:val="0"/>
          <w:sz w:val="32"/>
          <w:szCs w:val="32"/>
          <w:shd w:val="clear" w:color="auto" w:fill="FFFFFF"/>
          <w:lang w:val="en-US" w:eastAsia="zh-CN"/>
        </w:rPr>
        <w:t>。</w:t>
      </w:r>
    </w:p>
    <w:p w14:paraId="171A5A76">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contextualSpacing/>
        <w:jc w:val="both"/>
        <w:textAlignment w:val="auto"/>
        <w:rPr>
          <w:rFonts w:hint="default" w:ascii="Times New Roman" w:hAnsi="Times New Roman" w:eastAsia="方正仿宋_GBK" w:cs="Times New Roman"/>
          <w:kern w:val="0"/>
          <w:sz w:val="32"/>
          <w:szCs w:val="32"/>
          <w:lang w:val="en" w:eastAsia="zh-CN"/>
        </w:rPr>
      </w:pPr>
      <w:r>
        <w:rPr>
          <w:rFonts w:hint="default" w:ascii="Times New Roman" w:hAnsi="Times New Roman" w:eastAsia="方正仿宋_GBK" w:cs="Times New Roman"/>
          <w:b/>
          <w:bCs/>
          <w:color w:val="000000"/>
          <w:kern w:val="0"/>
          <w:sz w:val="32"/>
          <w:szCs w:val="32"/>
          <w:shd w:val="clear" w:color="auto" w:fill="FFFFFF"/>
          <w:lang w:val="zh-CN"/>
        </w:rPr>
        <w:t>（三）改进建议。</w:t>
      </w:r>
      <w:bookmarkStart w:id="0" w:name="_Hlk110546638"/>
    </w:p>
    <w:bookmarkEnd w:id="0"/>
    <w:p w14:paraId="66D21B14">
      <w:pPr>
        <w:keepNext w:val="0"/>
        <w:keepLines w:val="0"/>
        <w:pageBreakBefore w:val="0"/>
        <w:kinsoku/>
        <w:wordWrap/>
        <w:overflowPunct/>
        <w:topLinePunct w:val="0"/>
        <w:autoSpaceDE/>
        <w:autoSpaceDN/>
        <w:bidi w:val="0"/>
        <w:adjustRightInd w:val="0"/>
        <w:snapToGrid w:val="0"/>
        <w:spacing w:line="600" w:lineRule="exact"/>
        <w:ind w:firstLine="640" w:firstLineChars="200"/>
        <w:contextualSpacing/>
        <w:jc w:val="both"/>
        <w:textAlignment w:val="auto"/>
        <w:rPr>
          <w:rFonts w:hint="default" w:ascii="Times New Roman" w:hAnsi="Times New Roman" w:eastAsia="方正仿宋_GBK" w:cs="Times New Roman"/>
          <w:color w:val="000000"/>
          <w:kern w:val="0"/>
          <w:sz w:val="32"/>
          <w:szCs w:val="32"/>
          <w:shd w:val="clear" w:color="auto" w:fill="FFFFFF"/>
          <w:lang w:val="en-US" w:eastAsia="zh-CN"/>
        </w:rPr>
      </w:pPr>
      <w:r>
        <w:rPr>
          <w:rFonts w:hint="default" w:ascii="Times New Roman" w:hAnsi="Times New Roman" w:eastAsia="方正仿宋_GBK" w:cs="Times New Roman"/>
          <w:color w:val="000000"/>
          <w:kern w:val="0"/>
          <w:sz w:val="32"/>
          <w:szCs w:val="32"/>
          <w:shd w:val="clear" w:color="auto" w:fill="FFFFFF"/>
          <w:lang w:val="en-US" w:eastAsia="zh-CN"/>
        </w:rPr>
        <w:t>一是强化预算编制科学性。加强对各项支出需求的测算，提高年初预算到位率，减少预算执行中的调整。二是深化绩效管理。将绩效评价结果与预算安排挂钩，形成反馈机制，切实提高财政资金使用效益。三是持续厉行节约。严格控制“三公”经费及会议费、培训费等一般性支出，降低行政运行成本。</w:t>
      </w:r>
    </w:p>
    <w:p w14:paraId="46F458FE">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方正仿宋_GBK" w:cs="Times New Roman"/>
          <w:color w:val="000000"/>
          <w:kern w:val="0"/>
          <w:sz w:val="32"/>
          <w:szCs w:val="32"/>
          <w:shd w:val="clear" w:color="auto" w:fill="FFFFFF"/>
        </w:rPr>
      </w:pPr>
    </w:p>
    <w:p w14:paraId="314E09F4">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color w:val="000000"/>
          <w:kern w:val="0"/>
          <w:sz w:val="32"/>
          <w:szCs w:val="32"/>
          <w:shd w:val="clear" w:color="auto" w:fill="FFFFFF"/>
        </w:rPr>
        <w:t>附</w:t>
      </w:r>
      <w:r>
        <w:rPr>
          <w:rFonts w:hint="eastAsia" w:ascii="Times New Roman" w:hAnsi="Times New Roman" w:eastAsia="方正仿宋_GBK" w:cs="Times New Roman"/>
          <w:color w:val="000000"/>
          <w:kern w:val="0"/>
          <w:sz w:val="32"/>
          <w:szCs w:val="32"/>
          <w:shd w:val="clear" w:color="auto" w:fill="FFFFFF"/>
          <w:lang w:eastAsia="zh-CN"/>
        </w:rPr>
        <w:t>件</w:t>
      </w:r>
      <w:r>
        <w:rPr>
          <w:rFonts w:hint="default" w:ascii="Times New Roman" w:hAnsi="Times New Roman" w:eastAsia="方正仿宋_GBK" w:cs="Times New Roman"/>
          <w:color w:val="000000"/>
          <w:kern w:val="0"/>
          <w:sz w:val="32"/>
          <w:szCs w:val="32"/>
          <w:shd w:val="clear" w:color="auto" w:fill="FFFFFF"/>
        </w:rPr>
        <w:t>：1.</w:t>
      </w:r>
      <w:r>
        <w:rPr>
          <w:rFonts w:hint="default" w:ascii="Times New Roman" w:hAnsi="Times New Roman" w:eastAsia="方正仿宋_GBK" w:cs="Times New Roman"/>
          <w:sz w:val="32"/>
          <w:szCs w:val="32"/>
          <w:lang w:bidi="ar"/>
        </w:rPr>
        <w:t>部门预算绩效自评打分表</w:t>
      </w:r>
    </w:p>
    <w:p w14:paraId="627A9CAC">
      <w:pPr>
        <w:keepNext w:val="0"/>
        <w:keepLines w:val="0"/>
        <w:pageBreakBefore w:val="0"/>
        <w:kinsoku/>
        <w:wordWrap/>
        <w:overflowPunct/>
        <w:topLinePunct w:val="0"/>
        <w:autoSpaceDE/>
        <w:autoSpaceDN/>
        <w:bidi w:val="0"/>
        <w:spacing w:line="600" w:lineRule="exact"/>
        <w:ind w:firstLine="1600" w:firstLineChars="500"/>
        <w:textAlignment w:val="auto"/>
        <w:rPr>
          <w:rFonts w:hint="default" w:ascii="Times New Roman" w:hAnsi="Times New Roman" w:eastAsia="方正仿宋_GBK" w:cs="Times New Roman"/>
          <w:color w:val="000000"/>
          <w:kern w:val="0"/>
          <w:sz w:val="32"/>
          <w:szCs w:val="32"/>
          <w:shd w:val="clear" w:color="auto" w:fill="FFFFFF"/>
        </w:rPr>
      </w:pPr>
      <w:r>
        <w:rPr>
          <w:rFonts w:hint="default" w:ascii="Times New Roman" w:hAnsi="Times New Roman" w:eastAsia="方正仿宋_GBK" w:cs="Times New Roman"/>
          <w:sz w:val="32"/>
          <w:szCs w:val="32"/>
          <w:lang w:bidi="ar"/>
        </w:rPr>
        <w:t>2.</w:t>
      </w:r>
      <w:r>
        <w:rPr>
          <w:rFonts w:hint="default" w:ascii="Times New Roman" w:hAnsi="Times New Roman" w:eastAsia="方正仿宋_GBK" w:cs="Times New Roman"/>
          <w:color w:val="000000"/>
          <w:kern w:val="0"/>
          <w:sz w:val="32"/>
          <w:szCs w:val="32"/>
          <w:shd w:val="clear" w:color="auto" w:fill="FFFFFF"/>
        </w:rPr>
        <w:t>部门整体绩效目标完成情况自评表</w:t>
      </w:r>
    </w:p>
    <w:p w14:paraId="65E85F69">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default" w:ascii="Times New Roman" w:hAnsi="Times New Roman" w:eastAsia="方正仿宋_GBK" w:cs="Times New Roman"/>
          <w:color w:val="000000"/>
          <w:kern w:val="0"/>
          <w:szCs w:val="32"/>
          <w:shd w:val="clear" w:color="auto" w:fill="FFFFFF"/>
        </w:rPr>
      </w:pPr>
    </w:p>
    <w:p w14:paraId="52A37F37">
      <w:pPr>
        <w:pStyle w:val="2"/>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rPr>
      </w:pPr>
    </w:p>
    <w:p w14:paraId="4CED4566">
      <w:pPr>
        <w:keepNext w:val="0"/>
        <w:keepLines w:val="0"/>
        <w:pageBreakBefore w:val="0"/>
        <w:kinsoku/>
        <w:wordWrap/>
        <w:overflowPunct/>
        <w:topLinePunct w:val="0"/>
        <w:autoSpaceDE/>
        <w:autoSpaceDN/>
        <w:bidi w:val="0"/>
        <w:spacing w:line="600" w:lineRule="exact"/>
        <w:ind w:firstLine="3520" w:firstLineChars="1100"/>
        <w:jc w:val="left"/>
        <w:textAlignment w:val="auto"/>
        <w:rPr>
          <w:rFonts w:hint="default" w:ascii="Times New Roman" w:hAnsi="Times New Roman" w:eastAsia="方正仿宋_GBK" w:cs="Times New Roman"/>
          <w:color w:val="000000"/>
          <w:kern w:val="0"/>
          <w:sz w:val="32"/>
          <w:szCs w:val="32"/>
          <w:shd w:val="clear" w:color="auto" w:fill="FFFFFF"/>
          <w:lang w:eastAsia="zh-CN"/>
        </w:rPr>
      </w:pPr>
      <w:r>
        <w:rPr>
          <w:rFonts w:hint="default" w:ascii="Times New Roman" w:hAnsi="Times New Roman" w:eastAsia="方正仿宋_GBK" w:cs="Times New Roman"/>
          <w:color w:val="000000"/>
          <w:kern w:val="0"/>
          <w:sz w:val="32"/>
          <w:szCs w:val="32"/>
          <w:shd w:val="clear" w:color="auto" w:fill="FFFFFF"/>
          <w:lang w:eastAsia="zh-CN"/>
        </w:rPr>
        <w:t>中共攀枝花市西区区委政法委员会</w:t>
      </w:r>
    </w:p>
    <w:p w14:paraId="79D0B8BD">
      <w:pPr>
        <w:keepNext w:val="0"/>
        <w:keepLines w:val="0"/>
        <w:pageBreakBefore w:val="0"/>
        <w:kinsoku/>
        <w:wordWrap/>
        <w:overflowPunct/>
        <w:topLinePunct w:val="0"/>
        <w:autoSpaceDE/>
        <w:autoSpaceDN/>
        <w:bidi w:val="0"/>
        <w:spacing w:line="600" w:lineRule="exact"/>
        <w:ind w:firstLine="4800" w:firstLineChars="1500"/>
        <w:jc w:val="left"/>
        <w:textAlignment w:val="auto"/>
        <w:rPr>
          <w:rFonts w:hint="default" w:ascii="Times New Roman" w:hAnsi="Times New Roman" w:eastAsia="方正仿宋_GBK" w:cs="Times New Roman"/>
        </w:rPr>
      </w:pPr>
      <w:r>
        <w:rPr>
          <w:rFonts w:hint="default" w:ascii="Times New Roman" w:hAnsi="Times New Roman" w:eastAsia="方正仿宋_GBK" w:cs="Times New Roman"/>
          <w:color w:val="000000"/>
          <w:kern w:val="0"/>
          <w:sz w:val="32"/>
          <w:szCs w:val="32"/>
          <w:shd w:val="clear" w:color="auto" w:fill="FFFFFF"/>
          <w:lang w:val="en-US" w:eastAsia="zh-CN"/>
        </w:rPr>
        <w:t>2026年6月17日</w:t>
      </w:r>
      <w:r>
        <w:rPr>
          <w:rFonts w:hint="default" w:ascii="Times New Roman" w:hAnsi="Times New Roman" w:eastAsia="方正仿宋_GBK" w:cs="Times New Roman"/>
          <w:color w:val="000000"/>
          <w:kern w:val="0"/>
          <w:sz w:val="32"/>
          <w:szCs w:val="32"/>
          <w:shd w:val="clear" w:color="auto" w:fill="FFFFFF"/>
        </w:rPr>
        <w:br w:type="page"/>
      </w:r>
      <w:r>
        <w:rPr>
          <w:rFonts w:hint="eastAsia" w:ascii="方正黑体_GBK" w:hAnsi="方正黑体_GBK" w:eastAsia="方正黑体_GBK" w:cs="方正黑体_GBK"/>
          <w:sz w:val="32"/>
          <w:szCs w:val="32"/>
        </w:rPr>
        <w:t>附</w:t>
      </w:r>
      <w:r>
        <w:rPr>
          <w:rFonts w:hint="eastAsia" w:ascii="方正黑体_GBK" w:hAnsi="方正黑体_GBK" w:eastAsia="方正黑体_GBK" w:cs="方正黑体_GBK"/>
          <w:sz w:val="32"/>
          <w:szCs w:val="32"/>
          <w:lang w:eastAsia="zh-CN"/>
        </w:rPr>
        <w:t>件</w:t>
      </w:r>
      <w:r>
        <w:rPr>
          <w:rFonts w:hint="eastAsia" w:ascii="方正黑体_GBK" w:hAnsi="方正黑体_GBK" w:eastAsia="方正黑体_GBK" w:cs="方正黑体_GBK"/>
          <w:sz w:val="32"/>
          <w:szCs w:val="32"/>
        </w:rPr>
        <w:t>1</w:t>
      </w:r>
    </w:p>
    <w:p w14:paraId="66E10F05">
      <w:pPr>
        <w:widowControl/>
        <w:spacing w:line="600" w:lineRule="exact"/>
        <w:jc w:val="center"/>
        <w:textAlignment w:val="center"/>
        <w:rPr>
          <w:rFonts w:hint="eastAsia" w:ascii="方正公文小标宋" w:hAnsi="方正公文小标宋" w:eastAsia="方正公文小标宋" w:cs="方正公文小标宋"/>
          <w:color w:val="000000"/>
          <w:kern w:val="0"/>
          <w:sz w:val="44"/>
          <w:szCs w:val="44"/>
          <w:lang w:bidi="ar"/>
        </w:rPr>
      </w:pPr>
      <w:r>
        <w:rPr>
          <w:rFonts w:hint="eastAsia" w:ascii="方正公文小标宋" w:hAnsi="方正公文小标宋" w:eastAsia="方正公文小标宋" w:cs="方正公文小标宋"/>
          <w:color w:val="000000"/>
          <w:kern w:val="0"/>
          <w:sz w:val="44"/>
          <w:szCs w:val="44"/>
          <w:lang w:bidi="ar"/>
        </w:rPr>
        <w:t>部门预算绩效自评打分表</w:t>
      </w:r>
    </w:p>
    <w:tbl>
      <w:tblPr>
        <w:tblStyle w:val="15"/>
        <w:tblW w:w="10819" w:type="dxa"/>
        <w:jc w:val="center"/>
        <w:tblLayout w:type="fixed"/>
        <w:tblCellMar>
          <w:top w:w="0" w:type="dxa"/>
          <w:left w:w="108" w:type="dxa"/>
          <w:bottom w:w="0" w:type="dxa"/>
          <w:right w:w="108" w:type="dxa"/>
        </w:tblCellMar>
      </w:tblPr>
      <w:tblGrid>
        <w:gridCol w:w="1004"/>
        <w:gridCol w:w="1462"/>
        <w:gridCol w:w="1665"/>
        <w:gridCol w:w="720"/>
        <w:gridCol w:w="4734"/>
        <w:gridCol w:w="756"/>
        <w:gridCol w:w="478"/>
      </w:tblGrid>
      <w:tr w14:paraId="1294B661">
        <w:tblPrEx>
          <w:tblCellMar>
            <w:top w:w="0" w:type="dxa"/>
            <w:left w:w="108" w:type="dxa"/>
            <w:bottom w:w="0" w:type="dxa"/>
            <w:right w:w="108" w:type="dxa"/>
          </w:tblCellMar>
        </w:tblPrEx>
        <w:trPr>
          <w:trHeight w:val="23" w:hRule="atLeast"/>
          <w:jc w:val="center"/>
        </w:trPr>
        <w:tc>
          <w:tcPr>
            <w:tcW w:w="48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F814F5B">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绩效评价指标指标分值</w:t>
            </w:r>
          </w:p>
        </w:tc>
        <w:tc>
          <w:tcPr>
            <w:tcW w:w="4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FE5C2B">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指标解释</w:t>
            </w:r>
          </w:p>
        </w:tc>
        <w:tc>
          <w:tcPr>
            <w:tcW w:w="756" w:type="dxa"/>
            <w:vMerge w:val="restart"/>
            <w:tcBorders>
              <w:top w:val="single" w:color="000000" w:sz="4" w:space="0"/>
              <w:left w:val="single" w:color="000000" w:sz="4" w:space="0"/>
              <w:right w:val="single" w:color="000000" w:sz="4" w:space="0"/>
            </w:tcBorders>
            <w:shd w:val="clear" w:color="auto" w:fill="auto"/>
            <w:vAlign w:val="center"/>
          </w:tcPr>
          <w:p w14:paraId="52B3F218">
            <w:pPr>
              <w:widowControl/>
              <w:spacing w:line="240" w:lineRule="exact"/>
              <w:jc w:val="center"/>
              <w:textAlignment w:val="center"/>
              <w:rPr>
                <w:rFonts w:hint="default" w:ascii="Times New Roman" w:hAnsi="Times New Roman" w:eastAsia="方正仿宋_GBK" w:cs="Times New Roman"/>
                <w:color w:val="000000"/>
                <w:kern w:val="0"/>
                <w:sz w:val="24"/>
                <w:lang w:bidi="ar"/>
              </w:rPr>
            </w:pPr>
            <w:r>
              <w:rPr>
                <w:rFonts w:hint="default" w:ascii="Times New Roman" w:hAnsi="Times New Roman" w:eastAsia="方正仿宋_GBK" w:cs="Times New Roman"/>
                <w:color w:val="000000"/>
                <w:kern w:val="0"/>
                <w:sz w:val="24"/>
                <w:lang w:bidi="ar"/>
              </w:rPr>
              <w:t>自评得分</w:t>
            </w:r>
          </w:p>
        </w:tc>
        <w:tc>
          <w:tcPr>
            <w:tcW w:w="478" w:type="dxa"/>
            <w:vMerge w:val="restart"/>
            <w:tcBorders>
              <w:top w:val="single" w:color="000000" w:sz="4" w:space="0"/>
              <w:left w:val="single" w:color="000000" w:sz="4" w:space="0"/>
              <w:right w:val="single" w:color="000000" w:sz="4" w:space="0"/>
            </w:tcBorders>
            <w:shd w:val="clear" w:color="auto" w:fill="auto"/>
            <w:vAlign w:val="center"/>
          </w:tcPr>
          <w:p w14:paraId="5B9AB499">
            <w:pPr>
              <w:widowControl/>
              <w:spacing w:line="240" w:lineRule="exact"/>
              <w:jc w:val="center"/>
              <w:textAlignment w:val="center"/>
              <w:rPr>
                <w:rFonts w:hint="default" w:ascii="Times New Roman" w:hAnsi="Times New Roman" w:eastAsia="方正仿宋_GBK" w:cs="Times New Roman"/>
                <w:color w:val="000000"/>
                <w:kern w:val="0"/>
                <w:sz w:val="24"/>
                <w:lang w:bidi="ar"/>
              </w:rPr>
            </w:pPr>
            <w:r>
              <w:rPr>
                <w:rFonts w:hint="default" w:ascii="Times New Roman" w:hAnsi="Times New Roman" w:eastAsia="方正仿宋_GBK" w:cs="Times New Roman"/>
                <w:color w:val="000000"/>
                <w:kern w:val="0"/>
                <w:sz w:val="24"/>
                <w:lang w:bidi="ar"/>
              </w:rPr>
              <w:t>备注</w:t>
            </w:r>
          </w:p>
        </w:tc>
      </w:tr>
      <w:tr w14:paraId="7F3341C4">
        <w:tblPrEx>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nil"/>
            </w:tcBorders>
            <w:shd w:val="clear" w:color="auto" w:fill="auto"/>
            <w:vAlign w:val="center"/>
          </w:tcPr>
          <w:p w14:paraId="0B648DDA">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一级指标</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FFC5F">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二级指标</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967DC">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三级指标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1D184">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指标</w:t>
            </w:r>
            <w:r>
              <w:rPr>
                <w:rFonts w:hint="default" w:ascii="Times New Roman" w:hAnsi="Times New Roman" w:eastAsia="方正仿宋_GBK" w:cs="Times New Roman"/>
                <w:color w:val="000000"/>
                <w:kern w:val="0"/>
                <w:sz w:val="24"/>
                <w:lang w:bidi="ar"/>
              </w:rPr>
              <w:br w:type="textWrapping"/>
            </w:r>
            <w:r>
              <w:rPr>
                <w:rFonts w:hint="default" w:ascii="Times New Roman" w:hAnsi="Times New Roman" w:eastAsia="方正仿宋_GBK" w:cs="Times New Roman"/>
                <w:color w:val="000000"/>
                <w:kern w:val="0"/>
                <w:sz w:val="24"/>
                <w:lang w:bidi="ar"/>
              </w:rPr>
              <w:t>分值</w:t>
            </w:r>
          </w:p>
        </w:tc>
        <w:tc>
          <w:tcPr>
            <w:tcW w:w="4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DEA84D">
            <w:pPr>
              <w:widowControl/>
              <w:spacing w:line="240" w:lineRule="exact"/>
              <w:jc w:val="center"/>
              <w:rPr>
                <w:rFonts w:hint="default" w:ascii="Times New Roman" w:hAnsi="Times New Roman" w:eastAsia="方正仿宋_GBK" w:cs="Times New Roman"/>
                <w:color w:val="000000"/>
                <w:sz w:val="24"/>
              </w:rPr>
            </w:pPr>
          </w:p>
        </w:tc>
        <w:tc>
          <w:tcPr>
            <w:tcW w:w="756" w:type="dxa"/>
            <w:vMerge w:val="continue"/>
            <w:tcBorders>
              <w:left w:val="single" w:color="000000" w:sz="4" w:space="0"/>
              <w:bottom w:val="single" w:color="000000" w:sz="4" w:space="0"/>
              <w:right w:val="single" w:color="000000" w:sz="4" w:space="0"/>
            </w:tcBorders>
            <w:shd w:val="clear" w:color="auto" w:fill="auto"/>
            <w:vAlign w:val="center"/>
          </w:tcPr>
          <w:p w14:paraId="6F2621DE">
            <w:pPr>
              <w:widowControl/>
              <w:spacing w:line="240" w:lineRule="exact"/>
              <w:jc w:val="center"/>
              <w:rPr>
                <w:rFonts w:hint="default" w:ascii="Times New Roman" w:hAnsi="Times New Roman" w:eastAsia="方正仿宋_GBK" w:cs="Times New Roman"/>
                <w:color w:val="000000"/>
                <w:sz w:val="24"/>
              </w:rPr>
            </w:pPr>
          </w:p>
        </w:tc>
        <w:tc>
          <w:tcPr>
            <w:tcW w:w="478" w:type="dxa"/>
            <w:vMerge w:val="continue"/>
            <w:tcBorders>
              <w:left w:val="single" w:color="000000" w:sz="4" w:space="0"/>
              <w:bottom w:val="single" w:color="000000" w:sz="4" w:space="0"/>
              <w:right w:val="single" w:color="000000" w:sz="4" w:space="0"/>
            </w:tcBorders>
            <w:shd w:val="clear" w:color="auto" w:fill="auto"/>
            <w:vAlign w:val="center"/>
          </w:tcPr>
          <w:p w14:paraId="54F341D4">
            <w:pPr>
              <w:widowControl/>
              <w:spacing w:line="240" w:lineRule="exact"/>
              <w:jc w:val="center"/>
              <w:rPr>
                <w:rFonts w:hint="default" w:ascii="Times New Roman" w:hAnsi="Times New Roman" w:eastAsia="方正仿宋_GBK" w:cs="Times New Roman"/>
                <w:color w:val="000000"/>
                <w:sz w:val="24"/>
              </w:rPr>
            </w:pPr>
          </w:p>
        </w:tc>
      </w:tr>
      <w:tr w14:paraId="3BCFBCFB">
        <w:tblPrEx>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right w:val="single" w:color="000000" w:sz="4" w:space="0"/>
            </w:tcBorders>
            <w:shd w:val="clear" w:color="auto" w:fill="auto"/>
            <w:vAlign w:val="center"/>
          </w:tcPr>
          <w:p w14:paraId="60A3DC97">
            <w:pPr>
              <w:widowControl/>
              <w:spacing w:line="240" w:lineRule="exact"/>
              <w:jc w:val="left"/>
              <w:textAlignment w:val="center"/>
              <w:rPr>
                <w:rFonts w:hint="default" w:ascii="Times New Roman" w:hAnsi="Times New Roman" w:eastAsia="方正仿宋_GBK" w:cs="Times New Roman"/>
                <w:b/>
                <w:color w:val="000000"/>
                <w:kern w:val="0"/>
                <w:sz w:val="24"/>
                <w:lang w:bidi="ar"/>
              </w:rPr>
            </w:pPr>
            <w:r>
              <w:rPr>
                <w:rFonts w:hint="default" w:ascii="Times New Roman" w:hAnsi="Times New Roman" w:eastAsia="方正仿宋_GBK" w:cs="Times New Roman"/>
                <w:b/>
                <w:color w:val="000000"/>
                <w:kern w:val="0"/>
                <w:sz w:val="24"/>
                <w:lang w:bidi="ar"/>
              </w:rPr>
              <w:t>总体绩效（65分）</w:t>
            </w:r>
          </w:p>
          <w:p w14:paraId="61446014">
            <w:pPr>
              <w:widowControl/>
              <w:spacing w:line="240" w:lineRule="exact"/>
              <w:jc w:val="center"/>
              <w:textAlignment w:val="center"/>
              <w:rPr>
                <w:rFonts w:hint="default" w:ascii="Times New Roman" w:hAnsi="Times New Roman" w:eastAsia="方正仿宋_GBK" w:cs="Times New Roman"/>
                <w:b/>
                <w:color w:val="000000"/>
                <w:sz w:val="24"/>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7686A">
            <w:pPr>
              <w:widowControl/>
              <w:spacing w:line="240" w:lineRule="exact"/>
              <w:jc w:val="center"/>
              <w:textAlignment w:val="center"/>
              <w:rPr>
                <w:rFonts w:hint="default" w:ascii="Times New Roman" w:hAnsi="Times New Roman" w:eastAsia="方正仿宋_GBK" w:cs="Times New Roman"/>
                <w:b/>
                <w:color w:val="000000"/>
                <w:sz w:val="24"/>
              </w:rPr>
            </w:pPr>
            <w:r>
              <w:rPr>
                <w:rFonts w:hint="default" w:ascii="Times New Roman" w:hAnsi="Times New Roman" w:eastAsia="方正仿宋_GBK" w:cs="Times New Roman"/>
                <w:b/>
                <w:color w:val="000000"/>
                <w:kern w:val="0"/>
                <w:sz w:val="24"/>
                <w:lang w:bidi="ar"/>
              </w:rPr>
              <w:t>履职效能</w:t>
            </w:r>
            <w:r>
              <w:rPr>
                <w:rFonts w:hint="default" w:ascii="Times New Roman" w:hAnsi="Times New Roman" w:eastAsia="方正仿宋_GBK" w:cs="Times New Roman"/>
                <w:b/>
                <w:color w:val="000000"/>
                <w:kern w:val="0"/>
                <w:sz w:val="24"/>
                <w:lang w:bidi="ar"/>
              </w:rPr>
              <w:br w:type="textWrapping"/>
            </w:r>
            <w:r>
              <w:rPr>
                <w:rFonts w:hint="default" w:ascii="Times New Roman" w:hAnsi="Times New Roman" w:eastAsia="方正仿宋_GBK" w:cs="Times New Roman"/>
                <w:b/>
                <w:color w:val="000000"/>
                <w:kern w:val="0"/>
                <w:sz w:val="24"/>
                <w:lang w:bidi="ar"/>
              </w:rPr>
              <w:t>（15分）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D2B85">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eastAsia="zh-CN" w:bidi="ar"/>
              </w:rPr>
              <w:t>单位职责</w:t>
            </w:r>
          </w:p>
        </w:tc>
        <w:tc>
          <w:tcPr>
            <w:tcW w:w="720" w:type="dxa"/>
            <w:tcBorders>
              <w:top w:val="nil"/>
              <w:left w:val="single" w:color="000000" w:sz="4" w:space="0"/>
              <w:bottom w:val="single" w:color="000000" w:sz="4" w:space="0"/>
              <w:right w:val="single" w:color="000000" w:sz="4" w:space="0"/>
            </w:tcBorders>
            <w:shd w:val="clear" w:color="auto" w:fill="auto"/>
            <w:vAlign w:val="center"/>
          </w:tcPr>
          <w:p w14:paraId="5015430B">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15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67ECE">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部门整体绩效目标中选定3-5个核心职能目标，反映该项职能目标完成效果情况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441EF">
            <w:pPr>
              <w:widowControl/>
              <w:spacing w:line="240" w:lineRule="exact"/>
              <w:jc w:val="center"/>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15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8B7DB">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3FD6D397">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6F8DCB18">
            <w:pPr>
              <w:widowControl/>
              <w:spacing w:line="240" w:lineRule="exact"/>
              <w:jc w:val="center"/>
              <w:rPr>
                <w:rFonts w:hint="default" w:ascii="Times New Roman" w:hAnsi="Times New Roman" w:eastAsia="方正仿宋_GBK" w:cs="Times New Roman"/>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EF2DD8">
            <w:pPr>
              <w:widowControl/>
              <w:spacing w:line="240" w:lineRule="exact"/>
              <w:jc w:val="center"/>
              <w:textAlignment w:val="center"/>
              <w:rPr>
                <w:rFonts w:hint="default" w:ascii="Times New Roman" w:hAnsi="Times New Roman" w:eastAsia="方正仿宋_GBK" w:cs="Times New Roman"/>
                <w:b/>
                <w:color w:val="000000"/>
                <w:sz w:val="24"/>
              </w:rPr>
            </w:pPr>
            <w:r>
              <w:rPr>
                <w:rFonts w:hint="default" w:ascii="Times New Roman" w:hAnsi="Times New Roman" w:eastAsia="方正仿宋_GBK" w:cs="Times New Roman"/>
                <w:b/>
                <w:color w:val="000000"/>
                <w:kern w:val="0"/>
                <w:sz w:val="24"/>
                <w:lang w:bidi="ar"/>
              </w:rPr>
              <w:t>预算管理</w:t>
            </w:r>
            <w:r>
              <w:rPr>
                <w:rFonts w:hint="default" w:ascii="Times New Roman" w:hAnsi="Times New Roman" w:eastAsia="方正仿宋_GBK" w:cs="Times New Roman"/>
                <w:b/>
                <w:color w:val="000000"/>
                <w:kern w:val="0"/>
                <w:sz w:val="24"/>
                <w:lang w:bidi="ar"/>
              </w:rPr>
              <w:br w:type="textWrapping"/>
            </w:r>
            <w:r>
              <w:rPr>
                <w:rFonts w:hint="default" w:ascii="Times New Roman" w:hAnsi="Times New Roman" w:eastAsia="方正仿宋_GBK" w:cs="Times New Roman"/>
                <w:b/>
                <w:color w:val="000000"/>
                <w:kern w:val="0"/>
                <w:sz w:val="24"/>
                <w:lang w:bidi="ar"/>
              </w:rPr>
              <w:t>（25分）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6C9CF">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预算编制质量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0FF66">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8</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46837">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部门是否严格按要求编制年初部门预算，年初预算编制的科学性和准确性</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5FE40">
            <w:pPr>
              <w:widowControl/>
              <w:spacing w:line="240" w:lineRule="exact"/>
              <w:jc w:val="center"/>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8</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994C0">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4A88C462">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689AD1E1">
            <w:pPr>
              <w:widowControl/>
              <w:spacing w:line="240" w:lineRule="exact"/>
              <w:jc w:val="center"/>
              <w:rPr>
                <w:rFonts w:hint="default" w:ascii="Times New Roman" w:hAnsi="Times New Roman" w:eastAsia="方正仿宋_GBK" w:cs="Times New Roman"/>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B0F62F">
            <w:pPr>
              <w:widowControl/>
              <w:spacing w:line="240" w:lineRule="exact"/>
              <w:jc w:val="center"/>
              <w:rPr>
                <w:rFonts w:hint="default" w:ascii="Times New Roman" w:hAnsi="Times New Roman" w:eastAsia="方正仿宋_GBK"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5EA8B">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单位收入统筹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54DF1">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570AF">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部门统筹自有收入程度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4C347">
            <w:pPr>
              <w:widowControl/>
              <w:spacing w:line="240" w:lineRule="exact"/>
              <w:jc w:val="center"/>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BA3DF">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4C0C783D">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37298BB9">
            <w:pPr>
              <w:widowControl/>
              <w:spacing w:line="240" w:lineRule="exact"/>
              <w:jc w:val="center"/>
              <w:rPr>
                <w:rFonts w:hint="default" w:ascii="Times New Roman" w:hAnsi="Times New Roman" w:eastAsia="方正仿宋_GBK" w:cs="Times New Roman"/>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14D15E">
            <w:pPr>
              <w:widowControl/>
              <w:spacing w:line="240" w:lineRule="exact"/>
              <w:jc w:val="center"/>
              <w:rPr>
                <w:rFonts w:hint="default" w:ascii="Times New Roman" w:hAnsi="Times New Roman" w:eastAsia="方正仿宋_GBK"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C9B60">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支出执行进度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12F1E">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6</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572E5">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部门1至6月、1至10月预算执行情况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6EB2F">
            <w:pPr>
              <w:widowControl/>
              <w:spacing w:line="240" w:lineRule="exact"/>
              <w:jc w:val="center"/>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84341">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24D32029">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022D3FB8">
            <w:pPr>
              <w:widowControl/>
              <w:spacing w:line="240" w:lineRule="exact"/>
              <w:jc w:val="center"/>
              <w:rPr>
                <w:rFonts w:hint="default" w:ascii="Times New Roman" w:hAnsi="Times New Roman" w:eastAsia="方正仿宋_GBK" w:cs="Times New Roman"/>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E5A785">
            <w:pPr>
              <w:widowControl/>
              <w:spacing w:line="240" w:lineRule="exact"/>
              <w:jc w:val="center"/>
              <w:rPr>
                <w:rFonts w:hint="default" w:ascii="Times New Roman" w:hAnsi="Times New Roman" w:eastAsia="方正仿宋_GBK"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35B25">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预算年终结余</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DE332">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FB0F8">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部门整体年终预算结余情况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DA6B0">
            <w:pPr>
              <w:widowControl/>
              <w:spacing w:line="240" w:lineRule="exact"/>
              <w:jc w:val="center"/>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1.5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69F0C">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11BC2AF9">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12CDB17A">
            <w:pPr>
              <w:widowControl/>
              <w:spacing w:line="240" w:lineRule="exact"/>
              <w:jc w:val="center"/>
              <w:rPr>
                <w:rFonts w:hint="default" w:ascii="Times New Roman" w:hAnsi="Times New Roman" w:eastAsia="方正仿宋_GBK" w:cs="Times New Roman"/>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4906FB">
            <w:pPr>
              <w:widowControl/>
              <w:spacing w:line="240" w:lineRule="exact"/>
              <w:jc w:val="center"/>
              <w:rPr>
                <w:rFonts w:hint="default" w:ascii="Times New Roman" w:hAnsi="Times New Roman" w:eastAsia="方正仿宋_GBK"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F2FC4">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严控一般性支出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02637">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F87CC">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部门严控“三公”经费、会议、培训、差旅、办节办展、办公设备购置、信息网络及软件购置更新、课题经费等8项一般性支出情况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1179B">
            <w:pPr>
              <w:widowControl/>
              <w:spacing w:line="240" w:lineRule="exact"/>
              <w:jc w:val="center"/>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44661">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1CD8F3AF">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514983B3">
            <w:pPr>
              <w:widowControl/>
              <w:spacing w:line="240" w:lineRule="exact"/>
              <w:jc w:val="center"/>
              <w:rPr>
                <w:rFonts w:hint="default" w:ascii="Times New Roman" w:hAnsi="Times New Roman" w:eastAsia="方正仿宋_GBK" w:cs="Times New Roman"/>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790D34">
            <w:pPr>
              <w:widowControl/>
              <w:spacing w:line="240" w:lineRule="exact"/>
              <w:jc w:val="center"/>
              <w:textAlignment w:val="center"/>
              <w:rPr>
                <w:rFonts w:hint="default" w:ascii="Times New Roman" w:hAnsi="Times New Roman" w:eastAsia="方正仿宋_GBK" w:cs="Times New Roman"/>
                <w:b/>
                <w:color w:val="000000"/>
                <w:sz w:val="24"/>
              </w:rPr>
            </w:pPr>
            <w:r>
              <w:rPr>
                <w:rFonts w:hint="default" w:ascii="Times New Roman" w:hAnsi="Times New Roman" w:eastAsia="方正仿宋_GBK" w:cs="Times New Roman"/>
                <w:b/>
                <w:color w:val="000000"/>
                <w:kern w:val="0"/>
                <w:sz w:val="24"/>
                <w:lang w:bidi="ar"/>
              </w:rPr>
              <w:t>财务管理</w:t>
            </w:r>
            <w:r>
              <w:rPr>
                <w:rFonts w:hint="default" w:ascii="Times New Roman" w:hAnsi="Times New Roman" w:eastAsia="方正仿宋_GBK" w:cs="Times New Roman"/>
                <w:b/>
                <w:color w:val="000000"/>
                <w:kern w:val="0"/>
                <w:sz w:val="24"/>
                <w:lang w:bidi="ar"/>
              </w:rPr>
              <w:br w:type="textWrapping"/>
            </w:r>
            <w:r>
              <w:rPr>
                <w:rFonts w:hint="default" w:ascii="Times New Roman" w:hAnsi="Times New Roman" w:eastAsia="方正仿宋_GBK" w:cs="Times New Roman"/>
                <w:b/>
                <w:color w:val="000000"/>
                <w:kern w:val="0"/>
                <w:sz w:val="24"/>
                <w:lang w:bidi="ar"/>
              </w:rPr>
              <w:t>（10分）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599D8">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财务管理制度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30F39">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F8751">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部门财务管理制度建立情况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AF710">
            <w:pPr>
              <w:widowControl/>
              <w:spacing w:line="240" w:lineRule="exact"/>
              <w:jc w:val="center"/>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A4137">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764F57ED">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0E80DA2F">
            <w:pPr>
              <w:widowControl/>
              <w:spacing w:line="240" w:lineRule="exact"/>
              <w:jc w:val="center"/>
              <w:rPr>
                <w:rFonts w:hint="default" w:ascii="Times New Roman" w:hAnsi="Times New Roman" w:eastAsia="方正仿宋_GBK" w:cs="Times New Roman"/>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6AB90E">
            <w:pPr>
              <w:widowControl/>
              <w:spacing w:line="240" w:lineRule="exact"/>
              <w:jc w:val="center"/>
              <w:rPr>
                <w:rFonts w:hint="default" w:ascii="Times New Roman" w:hAnsi="Times New Roman" w:eastAsia="方正仿宋_GBK"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9615C">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财务岗位设置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BE5CE">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EB362">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部门财务岗位设置是否符合相关财务管理制度要求</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BC713">
            <w:pPr>
              <w:widowControl/>
              <w:spacing w:line="240" w:lineRule="exact"/>
              <w:jc w:val="center"/>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C1F77">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7164FCA3">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456651D6">
            <w:pPr>
              <w:widowControl/>
              <w:spacing w:line="240" w:lineRule="exact"/>
              <w:jc w:val="center"/>
              <w:rPr>
                <w:rFonts w:hint="default" w:ascii="Times New Roman" w:hAnsi="Times New Roman" w:eastAsia="方正仿宋_GBK" w:cs="Times New Roman"/>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4AD7E7">
            <w:pPr>
              <w:widowControl/>
              <w:spacing w:line="240" w:lineRule="exact"/>
              <w:jc w:val="center"/>
              <w:rPr>
                <w:rFonts w:hint="default" w:ascii="Times New Roman" w:hAnsi="Times New Roman" w:eastAsia="方正仿宋_GBK"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4B6E9">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资金使用规范</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DA48C">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487D6">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部门资金使用是否符合相关财务管理制度规定</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7292E">
            <w:pPr>
              <w:widowControl/>
              <w:spacing w:line="240" w:lineRule="exact"/>
              <w:jc w:val="center"/>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C3FA8">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3F60015D">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43A41CE5">
            <w:pPr>
              <w:widowControl/>
              <w:spacing w:line="240" w:lineRule="exact"/>
              <w:jc w:val="center"/>
              <w:rPr>
                <w:rFonts w:hint="default" w:ascii="Times New Roman" w:hAnsi="Times New Roman" w:eastAsia="方正仿宋_GBK" w:cs="Times New Roman"/>
                <w:b/>
                <w:color w:val="000000"/>
                <w:sz w:val="24"/>
              </w:rPr>
            </w:pPr>
          </w:p>
        </w:tc>
        <w:tc>
          <w:tcPr>
            <w:tcW w:w="1462" w:type="dxa"/>
            <w:vMerge w:val="restart"/>
            <w:tcBorders>
              <w:top w:val="single" w:color="000000" w:sz="4" w:space="0"/>
              <w:left w:val="single" w:color="000000" w:sz="4" w:space="0"/>
              <w:right w:val="single" w:color="000000" w:sz="4" w:space="0"/>
            </w:tcBorders>
            <w:shd w:val="clear" w:color="auto" w:fill="auto"/>
            <w:vAlign w:val="center"/>
          </w:tcPr>
          <w:p w14:paraId="3232D021">
            <w:pPr>
              <w:widowControl/>
              <w:spacing w:line="240" w:lineRule="exact"/>
              <w:jc w:val="center"/>
              <w:textAlignment w:val="center"/>
              <w:rPr>
                <w:rFonts w:hint="default" w:ascii="Times New Roman" w:hAnsi="Times New Roman" w:eastAsia="方正仿宋_GBK" w:cs="Times New Roman"/>
                <w:b/>
                <w:color w:val="000000"/>
                <w:sz w:val="24"/>
              </w:rPr>
            </w:pPr>
            <w:r>
              <w:rPr>
                <w:rFonts w:hint="default" w:ascii="Times New Roman" w:hAnsi="Times New Roman" w:eastAsia="方正仿宋_GBK" w:cs="Times New Roman"/>
                <w:b/>
                <w:color w:val="000000"/>
                <w:kern w:val="0"/>
                <w:sz w:val="24"/>
                <w:lang w:bidi="ar"/>
              </w:rPr>
              <w:t>资产管理</w:t>
            </w:r>
            <w:r>
              <w:rPr>
                <w:rFonts w:hint="default" w:ascii="Times New Roman" w:hAnsi="Times New Roman" w:eastAsia="方正仿宋_GBK" w:cs="Times New Roman"/>
                <w:b/>
                <w:color w:val="000000"/>
                <w:kern w:val="0"/>
                <w:sz w:val="24"/>
                <w:lang w:bidi="ar"/>
              </w:rPr>
              <w:br w:type="textWrapping"/>
            </w:r>
            <w:r>
              <w:rPr>
                <w:rFonts w:hint="default" w:ascii="Times New Roman" w:hAnsi="Times New Roman" w:eastAsia="方正仿宋_GBK" w:cs="Times New Roman"/>
                <w:b/>
                <w:color w:val="000000"/>
                <w:kern w:val="0"/>
                <w:sz w:val="24"/>
                <w:lang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80077">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人均资产变化率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1247E">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CF9AF">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部门人均资产变化情况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4CA45">
            <w:pPr>
              <w:widowControl/>
              <w:spacing w:line="240" w:lineRule="exact"/>
              <w:jc w:val="center"/>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2.5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2B040">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2ED6B859">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49183E8F">
            <w:pPr>
              <w:widowControl/>
              <w:spacing w:line="240" w:lineRule="exact"/>
              <w:jc w:val="center"/>
              <w:rPr>
                <w:rFonts w:hint="default" w:ascii="Times New Roman" w:hAnsi="Times New Roman" w:eastAsia="方正仿宋_GBK" w:cs="Times New Roman"/>
                <w:b/>
                <w:color w:val="000000"/>
                <w:sz w:val="24"/>
              </w:rPr>
            </w:pPr>
          </w:p>
        </w:tc>
        <w:tc>
          <w:tcPr>
            <w:tcW w:w="1462" w:type="dxa"/>
            <w:vMerge w:val="continue"/>
            <w:tcBorders>
              <w:left w:val="single" w:color="000000" w:sz="4" w:space="0"/>
              <w:right w:val="single" w:color="000000" w:sz="4" w:space="0"/>
            </w:tcBorders>
            <w:shd w:val="clear" w:color="auto" w:fill="auto"/>
            <w:vAlign w:val="center"/>
          </w:tcPr>
          <w:p w14:paraId="4084AE94">
            <w:pPr>
              <w:widowControl/>
              <w:spacing w:line="240" w:lineRule="exact"/>
              <w:jc w:val="center"/>
              <w:rPr>
                <w:rFonts w:hint="default" w:ascii="Times New Roman" w:hAnsi="Times New Roman" w:eastAsia="方正仿宋_GBK"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25016">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资产利用率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C14D9">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4BA17">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部门资产超最低使用年限情况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6EBCB">
            <w:pPr>
              <w:widowControl/>
              <w:spacing w:line="240" w:lineRule="exact"/>
              <w:jc w:val="center"/>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43BE2">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628445FC">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4659EC7E">
            <w:pPr>
              <w:widowControl/>
              <w:spacing w:line="240" w:lineRule="exact"/>
              <w:jc w:val="center"/>
              <w:textAlignment w:val="center"/>
              <w:rPr>
                <w:rFonts w:hint="default" w:ascii="Times New Roman" w:hAnsi="Times New Roman" w:eastAsia="方正仿宋_GBK" w:cs="Times New Roman"/>
                <w:b/>
                <w:color w:val="000000"/>
                <w:sz w:val="24"/>
              </w:rPr>
            </w:pPr>
          </w:p>
        </w:tc>
        <w:tc>
          <w:tcPr>
            <w:tcW w:w="1462" w:type="dxa"/>
            <w:vMerge w:val="continue"/>
            <w:tcBorders>
              <w:left w:val="single" w:color="000000" w:sz="4" w:space="0"/>
              <w:bottom w:val="single" w:color="000000" w:sz="4" w:space="0"/>
              <w:right w:val="single" w:color="000000" w:sz="4" w:space="0"/>
            </w:tcBorders>
            <w:shd w:val="clear" w:color="auto" w:fill="auto"/>
            <w:vAlign w:val="center"/>
          </w:tcPr>
          <w:p w14:paraId="433FF906">
            <w:pPr>
              <w:widowControl/>
              <w:spacing w:line="240" w:lineRule="exact"/>
              <w:jc w:val="center"/>
              <w:textAlignment w:val="center"/>
              <w:rPr>
                <w:rFonts w:hint="default" w:ascii="Times New Roman" w:hAnsi="Times New Roman" w:eastAsia="方正仿宋_GBK"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A8EB8">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资产盘活率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59AFE">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DCECC">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部门闲置一年以上的资产盘活情况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C5094">
            <w:pPr>
              <w:widowControl/>
              <w:spacing w:line="240" w:lineRule="exact"/>
              <w:jc w:val="center"/>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E30A2">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39770C69">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67EDD308">
            <w:pPr>
              <w:widowControl/>
              <w:spacing w:line="240" w:lineRule="exact"/>
              <w:jc w:val="center"/>
              <w:rPr>
                <w:rFonts w:hint="default" w:ascii="Times New Roman" w:hAnsi="Times New Roman" w:eastAsia="方正仿宋_GBK" w:cs="Times New Roman"/>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40998A">
            <w:pPr>
              <w:widowControl/>
              <w:spacing w:line="240" w:lineRule="exact"/>
              <w:jc w:val="center"/>
              <w:textAlignment w:val="center"/>
              <w:rPr>
                <w:rFonts w:hint="default" w:ascii="Times New Roman" w:hAnsi="Times New Roman" w:eastAsia="方正仿宋_GBK" w:cs="Times New Roman"/>
                <w:b/>
                <w:color w:val="000000"/>
                <w:sz w:val="24"/>
              </w:rPr>
            </w:pPr>
            <w:r>
              <w:rPr>
                <w:rFonts w:hint="default" w:ascii="Times New Roman" w:hAnsi="Times New Roman" w:eastAsia="方正仿宋_GBK" w:cs="Times New Roman"/>
                <w:b/>
                <w:color w:val="000000"/>
                <w:kern w:val="0"/>
                <w:sz w:val="24"/>
                <w:lang w:bidi="ar"/>
              </w:rPr>
              <w:t>采购管理</w:t>
            </w:r>
            <w:r>
              <w:rPr>
                <w:rFonts w:hint="default" w:ascii="Times New Roman" w:hAnsi="Times New Roman" w:eastAsia="方正仿宋_GBK" w:cs="Times New Roman"/>
                <w:b/>
                <w:color w:val="000000"/>
                <w:kern w:val="0"/>
                <w:sz w:val="24"/>
                <w:lang w:bidi="ar"/>
              </w:rPr>
              <w:br w:type="textWrapping"/>
            </w:r>
            <w:r>
              <w:rPr>
                <w:rFonts w:hint="default" w:ascii="Times New Roman" w:hAnsi="Times New Roman" w:eastAsia="方正仿宋_GBK" w:cs="Times New Roman"/>
                <w:b/>
                <w:color w:val="000000"/>
                <w:kern w:val="0"/>
                <w:sz w:val="24"/>
                <w:lang w:bidi="ar"/>
              </w:rPr>
              <w:t>（6分）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33E52">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支持中小企业发展</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FBF2F">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F4992">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部门是否严格执行政府采购促进中小企业发展相关管理办法</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09A0B">
            <w:pPr>
              <w:widowControl/>
              <w:spacing w:line="240" w:lineRule="exact"/>
              <w:jc w:val="center"/>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23799">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60A6518A">
        <w:tblPrEx>
          <w:tblCellMar>
            <w:top w:w="0" w:type="dxa"/>
            <w:left w:w="108" w:type="dxa"/>
            <w:bottom w:w="0" w:type="dxa"/>
            <w:right w:w="108" w:type="dxa"/>
          </w:tblCellMar>
        </w:tblPrEx>
        <w:trPr>
          <w:trHeight w:val="225" w:hRule="atLeast"/>
          <w:jc w:val="center"/>
        </w:trPr>
        <w:tc>
          <w:tcPr>
            <w:tcW w:w="1004" w:type="dxa"/>
            <w:vMerge w:val="continue"/>
            <w:tcBorders>
              <w:left w:val="single" w:color="000000" w:sz="4" w:space="0"/>
              <w:bottom w:val="single" w:color="000000" w:sz="4" w:space="0"/>
              <w:right w:val="single" w:color="000000" w:sz="4" w:space="0"/>
            </w:tcBorders>
            <w:shd w:val="clear" w:color="auto" w:fill="auto"/>
            <w:vAlign w:val="center"/>
          </w:tcPr>
          <w:p w14:paraId="31A50B86">
            <w:pPr>
              <w:widowControl/>
              <w:spacing w:line="240" w:lineRule="exact"/>
              <w:jc w:val="center"/>
              <w:rPr>
                <w:rFonts w:hint="default" w:ascii="Times New Roman" w:hAnsi="Times New Roman" w:eastAsia="方正仿宋_GBK" w:cs="Times New Roman"/>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DECAFF">
            <w:pPr>
              <w:widowControl/>
              <w:spacing w:line="240" w:lineRule="exact"/>
              <w:jc w:val="center"/>
              <w:rPr>
                <w:rFonts w:hint="default" w:ascii="Times New Roman" w:hAnsi="Times New Roman" w:eastAsia="方正仿宋_GBK"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11C9E">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采购执行率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1A0B7">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68104">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部门政府采购项目资金支付比例情况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F6BA1">
            <w:pPr>
              <w:widowControl/>
              <w:spacing w:line="240" w:lineRule="exact"/>
              <w:jc w:val="center"/>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A422A">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488AF7EA">
        <w:tblPrEx>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BA1B05">
            <w:pPr>
              <w:widowControl/>
              <w:spacing w:line="240" w:lineRule="exact"/>
              <w:jc w:val="left"/>
              <w:textAlignment w:val="center"/>
              <w:rPr>
                <w:rFonts w:hint="default" w:ascii="Times New Roman" w:hAnsi="Times New Roman" w:eastAsia="方正仿宋_GBK" w:cs="Times New Roman"/>
                <w:b/>
                <w:color w:val="000000"/>
                <w:sz w:val="24"/>
              </w:rPr>
            </w:pPr>
            <w:r>
              <w:rPr>
                <w:rFonts w:hint="default" w:ascii="Times New Roman" w:hAnsi="Times New Roman" w:eastAsia="方正仿宋_GBK" w:cs="Times New Roman"/>
                <w:b/>
                <w:color w:val="000000"/>
                <w:kern w:val="0"/>
                <w:sz w:val="24"/>
                <w:lang w:bidi="ar"/>
              </w:rPr>
              <w:t>项目绩效（35分）</w:t>
            </w: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14:paraId="30243236">
            <w:pPr>
              <w:widowControl/>
              <w:spacing w:line="240" w:lineRule="exact"/>
              <w:jc w:val="center"/>
              <w:textAlignment w:val="center"/>
              <w:rPr>
                <w:rFonts w:hint="default" w:ascii="Times New Roman" w:hAnsi="Times New Roman" w:eastAsia="方正仿宋_GBK" w:cs="Times New Roman"/>
                <w:b/>
                <w:color w:val="000000"/>
                <w:sz w:val="24"/>
              </w:rPr>
            </w:pPr>
            <w:r>
              <w:rPr>
                <w:rFonts w:hint="default" w:ascii="Times New Roman" w:hAnsi="Times New Roman" w:eastAsia="方正仿宋_GBK" w:cs="Times New Roman"/>
                <w:b/>
                <w:color w:val="000000"/>
                <w:kern w:val="0"/>
                <w:sz w:val="24"/>
                <w:lang w:bidi="ar"/>
              </w:rPr>
              <w:t>项目决策</w:t>
            </w:r>
            <w:r>
              <w:rPr>
                <w:rFonts w:hint="default" w:ascii="Times New Roman" w:hAnsi="Times New Roman" w:eastAsia="方正仿宋_GBK" w:cs="Times New Roman"/>
                <w:b/>
                <w:color w:val="000000"/>
                <w:kern w:val="0"/>
                <w:sz w:val="24"/>
                <w:lang w:bidi="ar"/>
              </w:rPr>
              <w:br w:type="textWrapping"/>
            </w:r>
            <w:r>
              <w:rPr>
                <w:rFonts w:hint="default" w:ascii="Times New Roman" w:hAnsi="Times New Roman" w:eastAsia="方正仿宋_GBK" w:cs="Times New Roman"/>
                <w:b/>
                <w:color w:val="000000"/>
                <w:kern w:val="0"/>
                <w:sz w:val="24"/>
                <w:lang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F4A91">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决策程序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0B05C">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3F27E">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部门预算项目设立是否按规定履行评估论证、申报程序</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CAE19">
            <w:pPr>
              <w:widowControl/>
              <w:spacing w:line="240" w:lineRule="exact"/>
              <w:jc w:val="center"/>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3AE44">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734D7925">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DAF627">
            <w:pPr>
              <w:widowControl/>
              <w:spacing w:line="240" w:lineRule="exact"/>
              <w:jc w:val="center"/>
              <w:rPr>
                <w:rFonts w:hint="default" w:ascii="Times New Roman" w:hAnsi="Times New Roman" w:eastAsia="方正仿宋_GBK" w:cs="Times New Roman"/>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44AD4170">
            <w:pPr>
              <w:widowControl/>
              <w:spacing w:line="240" w:lineRule="exact"/>
              <w:jc w:val="center"/>
              <w:rPr>
                <w:rFonts w:hint="default" w:ascii="Times New Roman" w:hAnsi="Times New Roman" w:eastAsia="方正仿宋_GBK"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38B57">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目标设置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1F209">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2E7DB">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部门预算项目绩效目标与计划期内的任务量、预算安排的资金量匹配情况，绩效目标设置是否科学合理、规范完整、量化细化、预算匹配</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74967">
            <w:pPr>
              <w:widowControl/>
              <w:spacing w:line="240" w:lineRule="exact"/>
              <w:jc w:val="center"/>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48B77">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1C98862A">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D01909">
            <w:pPr>
              <w:widowControl/>
              <w:spacing w:line="240" w:lineRule="exact"/>
              <w:jc w:val="center"/>
              <w:rPr>
                <w:rFonts w:hint="default" w:ascii="Times New Roman" w:hAnsi="Times New Roman" w:eastAsia="方正仿宋_GBK" w:cs="Times New Roman"/>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2D20A3D7">
            <w:pPr>
              <w:widowControl/>
              <w:spacing w:line="240" w:lineRule="exact"/>
              <w:jc w:val="center"/>
              <w:rPr>
                <w:rFonts w:hint="default" w:ascii="Times New Roman" w:hAnsi="Times New Roman" w:eastAsia="方正仿宋_GBK"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3F701">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项目入库</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BBC80">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7A406">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部门预算项目是否在规定时间完成项目入库</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3CA3E">
            <w:pPr>
              <w:widowControl/>
              <w:spacing w:line="240" w:lineRule="exact"/>
              <w:jc w:val="center"/>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2D8F4">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0293F272">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12575E">
            <w:pPr>
              <w:widowControl/>
              <w:spacing w:line="240" w:lineRule="exact"/>
              <w:jc w:val="center"/>
              <w:rPr>
                <w:rFonts w:hint="default" w:ascii="Times New Roman" w:hAnsi="Times New Roman" w:eastAsia="方正仿宋_GBK" w:cs="Times New Roman"/>
                <w:b/>
                <w:color w:val="000000"/>
                <w:sz w:val="24"/>
              </w:rPr>
            </w:pP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14:paraId="44A5DA07">
            <w:pPr>
              <w:widowControl/>
              <w:spacing w:line="240" w:lineRule="exact"/>
              <w:jc w:val="center"/>
              <w:textAlignment w:val="center"/>
              <w:rPr>
                <w:rFonts w:hint="default" w:ascii="Times New Roman" w:hAnsi="Times New Roman" w:eastAsia="方正仿宋_GBK" w:cs="Times New Roman"/>
                <w:b/>
                <w:color w:val="000000"/>
                <w:sz w:val="24"/>
              </w:rPr>
            </w:pPr>
            <w:r>
              <w:rPr>
                <w:rFonts w:hint="default" w:ascii="Times New Roman" w:hAnsi="Times New Roman" w:eastAsia="方正仿宋_GBK" w:cs="Times New Roman"/>
                <w:b/>
                <w:color w:val="000000"/>
                <w:kern w:val="0"/>
                <w:sz w:val="24"/>
                <w:lang w:bidi="ar"/>
              </w:rPr>
              <w:t>项目执行</w:t>
            </w:r>
            <w:r>
              <w:rPr>
                <w:rFonts w:hint="default" w:ascii="Times New Roman" w:hAnsi="Times New Roman" w:eastAsia="方正仿宋_GBK" w:cs="Times New Roman"/>
                <w:b/>
                <w:color w:val="000000"/>
                <w:kern w:val="0"/>
                <w:sz w:val="24"/>
                <w:lang w:bidi="ar"/>
              </w:rPr>
              <w:br w:type="textWrapping"/>
            </w:r>
            <w:r>
              <w:rPr>
                <w:rFonts w:hint="default" w:ascii="Times New Roman" w:hAnsi="Times New Roman" w:eastAsia="方正仿宋_GBK" w:cs="Times New Roman"/>
                <w:b/>
                <w:color w:val="000000"/>
                <w:kern w:val="0"/>
                <w:sz w:val="24"/>
                <w:lang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708B6">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执行同向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9E4EB">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8D804">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部门预算项目实际列支内容是否与绩效目标设置方向相符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AFD64">
            <w:pPr>
              <w:widowControl/>
              <w:spacing w:line="240" w:lineRule="exact"/>
              <w:jc w:val="center"/>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63674">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273D2812">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12D3BD">
            <w:pPr>
              <w:widowControl/>
              <w:spacing w:line="240" w:lineRule="exact"/>
              <w:jc w:val="center"/>
              <w:rPr>
                <w:rFonts w:hint="default" w:ascii="Times New Roman" w:hAnsi="Times New Roman" w:eastAsia="方正仿宋_GBK" w:cs="Times New Roman"/>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1294CBD5">
            <w:pPr>
              <w:widowControl/>
              <w:spacing w:line="240" w:lineRule="exact"/>
              <w:jc w:val="center"/>
              <w:rPr>
                <w:rFonts w:hint="default" w:ascii="Times New Roman" w:hAnsi="Times New Roman" w:eastAsia="方正仿宋_GBK" w:cs="Times New Roman"/>
                <w:b/>
                <w:color w:val="000000"/>
                <w:sz w:val="24"/>
              </w:rPr>
            </w:pPr>
          </w:p>
        </w:tc>
        <w:tc>
          <w:tcPr>
            <w:tcW w:w="1665" w:type="dxa"/>
            <w:tcBorders>
              <w:top w:val="single" w:color="000000" w:sz="4" w:space="0"/>
              <w:left w:val="single" w:color="000000" w:sz="4" w:space="0"/>
              <w:bottom w:val="nil"/>
              <w:right w:val="single" w:color="000000" w:sz="4" w:space="0"/>
            </w:tcBorders>
            <w:shd w:val="clear" w:color="auto" w:fill="auto"/>
            <w:vAlign w:val="center"/>
          </w:tcPr>
          <w:p w14:paraId="0C572293">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项目调整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F417E">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93C41">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部门预算项目是否采取对应调整措施</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2A509">
            <w:pPr>
              <w:widowControl/>
              <w:spacing w:line="240" w:lineRule="exact"/>
              <w:jc w:val="center"/>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1279C">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794645D0">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1FC4F7">
            <w:pPr>
              <w:widowControl/>
              <w:spacing w:line="240" w:lineRule="exact"/>
              <w:jc w:val="center"/>
              <w:rPr>
                <w:rFonts w:hint="default" w:ascii="Times New Roman" w:hAnsi="Times New Roman" w:eastAsia="方正仿宋_GBK" w:cs="Times New Roman"/>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0E275AA9">
            <w:pPr>
              <w:widowControl/>
              <w:spacing w:line="240" w:lineRule="exact"/>
              <w:jc w:val="center"/>
              <w:rPr>
                <w:rFonts w:hint="default" w:ascii="Times New Roman" w:hAnsi="Times New Roman" w:eastAsia="方正仿宋_GBK"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BAFBE">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执行结果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D7001">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F4AC7">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部门预算项目预算执行情况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8DC19">
            <w:pPr>
              <w:widowControl/>
              <w:spacing w:line="240" w:lineRule="exact"/>
              <w:jc w:val="center"/>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10E5F">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5C598945">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CAA3EE">
            <w:pPr>
              <w:widowControl/>
              <w:spacing w:line="240" w:lineRule="exact"/>
              <w:jc w:val="center"/>
              <w:rPr>
                <w:rFonts w:hint="default" w:ascii="Times New Roman" w:hAnsi="Times New Roman" w:eastAsia="方正仿宋_GBK" w:cs="Times New Roman"/>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117171">
            <w:pPr>
              <w:widowControl/>
              <w:spacing w:line="240" w:lineRule="exact"/>
              <w:jc w:val="center"/>
              <w:textAlignment w:val="center"/>
              <w:rPr>
                <w:rFonts w:hint="default" w:ascii="Times New Roman" w:hAnsi="Times New Roman" w:eastAsia="方正仿宋_GBK" w:cs="Times New Roman"/>
                <w:b/>
                <w:color w:val="000000"/>
                <w:sz w:val="24"/>
              </w:rPr>
            </w:pPr>
            <w:r>
              <w:rPr>
                <w:rFonts w:hint="default" w:ascii="Times New Roman" w:hAnsi="Times New Roman" w:eastAsia="方正仿宋_GBK" w:cs="Times New Roman"/>
                <w:b/>
                <w:color w:val="000000"/>
                <w:kern w:val="0"/>
                <w:sz w:val="24"/>
                <w:lang w:bidi="ar"/>
              </w:rPr>
              <w:t>目标实现</w:t>
            </w:r>
            <w:r>
              <w:rPr>
                <w:rFonts w:hint="default" w:ascii="Times New Roman" w:hAnsi="Times New Roman" w:eastAsia="方正仿宋_GBK" w:cs="Times New Roman"/>
                <w:b/>
                <w:color w:val="000000"/>
                <w:kern w:val="0"/>
                <w:sz w:val="24"/>
                <w:lang w:bidi="ar"/>
              </w:rPr>
              <w:br w:type="textWrapping"/>
            </w:r>
            <w:r>
              <w:rPr>
                <w:rFonts w:hint="default" w:ascii="Times New Roman" w:hAnsi="Times New Roman" w:eastAsia="方正仿宋_GBK" w:cs="Times New Roman"/>
                <w:b/>
                <w:color w:val="000000"/>
                <w:kern w:val="0"/>
                <w:sz w:val="24"/>
                <w:lang w:bidi="ar"/>
              </w:rPr>
              <w:t>（11分）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F3615">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目标完成</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C5D9A">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5FBA0">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部门预算项目绩效目标数量指标完成情况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BBB9B">
            <w:pPr>
              <w:widowControl/>
              <w:spacing w:line="240" w:lineRule="exact"/>
              <w:jc w:val="center"/>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D3835">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2557354A">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BC057D">
            <w:pPr>
              <w:widowControl/>
              <w:spacing w:line="240" w:lineRule="exact"/>
              <w:jc w:val="center"/>
              <w:rPr>
                <w:rFonts w:hint="default" w:ascii="Times New Roman" w:hAnsi="Times New Roman" w:eastAsia="方正仿宋_GBK" w:cs="Times New Roman"/>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10BEAF">
            <w:pPr>
              <w:widowControl/>
              <w:spacing w:line="240" w:lineRule="exact"/>
              <w:jc w:val="center"/>
              <w:rPr>
                <w:rFonts w:hint="default" w:ascii="Times New Roman" w:hAnsi="Times New Roman" w:eastAsia="方正仿宋_GBK"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C8D57">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目标偏离</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DBACD">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E74C0">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部门预算项目绩效目标数量指标实现程度与预期目标的偏离情况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47CC0">
            <w:pPr>
              <w:widowControl/>
              <w:spacing w:line="240" w:lineRule="exact"/>
              <w:jc w:val="center"/>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EB21C">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5DD6E7B3">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6C9AB0">
            <w:pPr>
              <w:widowControl/>
              <w:spacing w:line="240" w:lineRule="exact"/>
              <w:jc w:val="center"/>
              <w:rPr>
                <w:rFonts w:hint="default" w:ascii="Times New Roman" w:hAnsi="Times New Roman" w:eastAsia="方正仿宋_GBK" w:cs="Times New Roman"/>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25E18F">
            <w:pPr>
              <w:widowControl/>
              <w:spacing w:line="240" w:lineRule="exact"/>
              <w:jc w:val="center"/>
              <w:rPr>
                <w:rFonts w:hint="default" w:ascii="Times New Roman" w:hAnsi="Times New Roman" w:eastAsia="方正仿宋_GBK"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BF6F3">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实现效果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DEEF5">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81A08">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部门预算项目绩效目标效益指标实施效果</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A788B">
            <w:pPr>
              <w:widowControl/>
              <w:spacing w:line="240" w:lineRule="exact"/>
              <w:jc w:val="center"/>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09A46">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1F36013F">
        <w:tblPrEx>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01D49">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b/>
                <w:color w:val="000000"/>
                <w:sz w:val="24"/>
              </w:rPr>
            </w:pPr>
            <w:r>
              <w:rPr>
                <w:rFonts w:hint="default" w:ascii="Times New Roman" w:hAnsi="Times New Roman" w:eastAsia="方正仿宋_GBK" w:cs="Times New Roman"/>
                <w:b/>
                <w:color w:val="000000"/>
                <w:kern w:val="0"/>
                <w:sz w:val="24"/>
                <w:lang w:bidi="ar"/>
              </w:rPr>
              <w:t>扣分项</w:t>
            </w:r>
            <w:r>
              <w:rPr>
                <w:rFonts w:hint="default" w:ascii="Times New Roman" w:hAnsi="Times New Roman" w:eastAsia="方正仿宋_GBK" w:cs="Times New Roman"/>
                <w:b/>
                <w:color w:val="000000"/>
                <w:kern w:val="0"/>
                <w:sz w:val="24"/>
                <w:lang w:bidi="ar"/>
              </w:rPr>
              <w:br w:type="textWrapping"/>
            </w:r>
            <w:r>
              <w:rPr>
                <w:rFonts w:hint="default" w:ascii="Times New Roman" w:hAnsi="Times New Roman" w:eastAsia="方正仿宋_GBK" w:cs="Times New Roman"/>
                <w:b/>
                <w:color w:val="000000"/>
                <w:kern w:val="0"/>
                <w:sz w:val="24"/>
                <w:lang w:bidi="ar"/>
              </w:rPr>
              <w:t>（1分）</w:t>
            </w:r>
          </w:p>
        </w:tc>
        <w:tc>
          <w:tcPr>
            <w:tcW w:w="3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012D07">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被评价部门配合度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14DBF">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C91ED">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被评价对象工作配合情况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6615F">
            <w:pPr>
              <w:widowControl/>
              <w:spacing w:line="240" w:lineRule="exact"/>
              <w:jc w:val="center"/>
              <w:textAlignment w:val="center"/>
              <w:rPr>
                <w:rFonts w:hint="default" w:ascii="Times New Roman" w:hAnsi="Times New Roman" w:eastAsia="方正仿宋_GBK" w:cs="Times New Roman"/>
                <w:color w:val="000000"/>
                <w:kern w:val="0"/>
                <w:sz w:val="24"/>
                <w:lang w:bidi="ar"/>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5AF54">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bl>
    <w:p w14:paraId="6B1C4EAB">
      <w:pPr>
        <w:spacing w:line="578" w:lineRule="exact"/>
        <w:jc w:val="left"/>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w:t>
      </w:r>
      <w:r>
        <w:rPr>
          <w:rFonts w:hint="eastAsia" w:ascii="方正黑体_GBK" w:hAnsi="方正黑体_GBK" w:eastAsia="方正黑体_GBK" w:cs="方正黑体_GBK"/>
          <w:sz w:val="32"/>
          <w:szCs w:val="32"/>
          <w:lang w:eastAsia="zh-CN"/>
        </w:rPr>
        <w:t>件</w:t>
      </w:r>
      <w:r>
        <w:rPr>
          <w:rFonts w:hint="eastAsia" w:ascii="方正黑体_GBK" w:hAnsi="方正黑体_GBK" w:eastAsia="方正黑体_GBK" w:cs="方正黑体_GBK"/>
          <w:sz w:val="32"/>
          <w:szCs w:val="32"/>
        </w:rPr>
        <w:t>2</w:t>
      </w:r>
    </w:p>
    <w:tbl>
      <w:tblPr>
        <w:tblStyle w:val="15"/>
        <w:tblW w:w="10893" w:type="dxa"/>
        <w:jc w:val="center"/>
        <w:tblLayout w:type="fixed"/>
        <w:tblCellMar>
          <w:top w:w="15" w:type="dxa"/>
          <w:left w:w="15" w:type="dxa"/>
          <w:bottom w:w="15" w:type="dxa"/>
          <w:right w:w="15" w:type="dxa"/>
        </w:tblCellMar>
      </w:tblPr>
      <w:tblGrid>
        <w:gridCol w:w="1485"/>
        <w:gridCol w:w="1503"/>
        <w:gridCol w:w="1030"/>
        <w:gridCol w:w="1343"/>
        <w:gridCol w:w="1145"/>
        <w:gridCol w:w="947"/>
        <w:gridCol w:w="1080"/>
        <w:gridCol w:w="2360"/>
      </w:tblGrid>
      <w:tr w14:paraId="48367738">
        <w:tblPrEx>
          <w:tblCellMar>
            <w:top w:w="15" w:type="dxa"/>
            <w:left w:w="15" w:type="dxa"/>
            <w:bottom w:w="15" w:type="dxa"/>
            <w:right w:w="15" w:type="dxa"/>
          </w:tblCellMar>
        </w:tblPrEx>
        <w:trPr>
          <w:trHeight w:val="762" w:hRule="exact"/>
          <w:jc w:val="center"/>
        </w:trPr>
        <w:tc>
          <w:tcPr>
            <w:tcW w:w="10893" w:type="dxa"/>
            <w:gridSpan w:val="8"/>
            <w:shd w:val="clear" w:color="auto" w:fill="auto"/>
            <w:vAlign w:val="center"/>
          </w:tcPr>
          <w:p w14:paraId="5DC825E2">
            <w:pPr>
              <w:widowControl/>
              <w:spacing w:line="600" w:lineRule="exact"/>
              <w:jc w:val="center"/>
              <w:textAlignment w:val="center"/>
              <w:rPr>
                <w:rFonts w:hint="default" w:ascii="Times New Roman" w:hAnsi="Times New Roman" w:eastAsia="方正仿宋_GBK" w:cs="Times New Roman"/>
                <w:color w:val="000000"/>
                <w:sz w:val="28"/>
                <w:szCs w:val="28"/>
              </w:rPr>
            </w:pPr>
            <w:bookmarkStart w:id="1" w:name="OLE_LINK3"/>
            <w:r>
              <w:rPr>
                <w:rFonts w:hint="eastAsia" w:ascii="方正公文小标宋" w:hAnsi="方正公文小标宋" w:eastAsia="方正公文小标宋" w:cs="方正公文小标宋"/>
                <w:color w:val="000000"/>
                <w:kern w:val="0"/>
                <w:sz w:val="44"/>
                <w:szCs w:val="44"/>
                <w:lang w:bidi="ar"/>
              </w:rPr>
              <w:t>部门整体绩效目标完成情况自评表</w:t>
            </w:r>
            <w:bookmarkEnd w:id="1"/>
          </w:p>
        </w:tc>
      </w:tr>
      <w:tr w14:paraId="15BA1FE6">
        <w:tblPrEx>
          <w:tblCellMar>
            <w:top w:w="15" w:type="dxa"/>
            <w:left w:w="15" w:type="dxa"/>
            <w:bottom w:w="15" w:type="dxa"/>
            <w:right w:w="15" w:type="dxa"/>
          </w:tblCellMar>
        </w:tblPrEx>
        <w:trPr>
          <w:trHeight w:val="23" w:hRule="atLeast"/>
          <w:jc w:val="center"/>
        </w:trPr>
        <w:tc>
          <w:tcPr>
            <w:tcW w:w="10893" w:type="dxa"/>
            <w:gridSpan w:val="8"/>
            <w:shd w:val="clear" w:color="auto" w:fill="auto"/>
            <w:vAlign w:val="center"/>
          </w:tcPr>
          <w:p w14:paraId="6A8331E1">
            <w:pPr>
              <w:widowControl/>
              <w:spacing w:line="300" w:lineRule="exact"/>
              <w:jc w:val="center"/>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kern w:val="0"/>
                <w:sz w:val="28"/>
                <w:szCs w:val="28"/>
                <w:lang w:bidi="ar"/>
              </w:rPr>
              <w:t>（</w:t>
            </w:r>
            <w:r>
              <w:rPr>
                <w:rFonts w:hint="default" w:ascii="Times New Roman" w:hAnsi="Times New Roman" w:eastAsia="方正仿宋_GBK" w:cs="Times New Roman"/>
                <w:color w:val="000000"/>
                <w:kern w:val="0"/>
                <w:sz w:val="28"/>
                <w:szCs w:val="28"/>
                <w:lang w:eastAsia="zh-CN" w:bidi="ar"/>
              </w:rPr>
              <w:t>2025年</w:t>
            </w:r>
            <w:r>
              <w:rPr>
                <w:rFonts w:hint="default" w:ascii="Times New Roman" w:hAnsi="Times New Roman" w:eastAsia="方正仿宋_GBK" w:cs="Times New Roman"/>
                <w:color w:val="000000"/>
                <w:kern w:val="0"/>
                <w:sz w:val="28"/>
                <w:szCs w:val="28"/>
                <w:lang w:bidi="ar"/>
              </w:rPr>
              <w:t>度）</w:t>
            </w:r>
          </w:p>
        </w:tc>
      </w:tr>
      <w:tr w14:paraId="62D5C5FE">
        <w:tblPrEx>
          <w:tblCellMar>
            <w:top w:w="15" w:type="dxa"/>
            <w:left w:w="15" w:type="dxa"/>
            <w:bottom w:w="15" w:type="dxa"/>
            <w:right w:w="15" w:type="dxa"/>
          </w:tblCellMar>
        </w:tblPrEx>
        <w:trPr>
          <w:trHeight w:val="23" w:hRule="atLeast"/>
          <w:jc w:val="center"/>
        </w:trPr>
        <w:tc>
          <w:tcPr>
            <w:tcW w:w="10893" w:type="dxa"/>
            <w:gridSpan w:val="8"/>
            <w:tcBorders>
              <w:bottom w:val="single" w:color="000000" w:sz="4" w:space="0"/>
            </w:tcBorders>
            <w:shd w:val="clear" w:color="auto" w:fill="auto"/>
            <w:vAlign w:val="center"/>
          </w:tcPr>
          <w:p w14:paraId="5F201550">
            <w:pPr>
              <w:widowControl/>
              <w:spacing w:line="300" w:lineRule="exact"/>
              <w:jc w:val="right"/>
              <w:textAlignment w:val="center"/>
              <w:rPr>
                <w:rFonts w:hint="default" w:ascii="Times New Roman" w:hAnsi="Times New Roman" w:eastAsia="方正仿宋_GBK" w:cs="Times New Roman"/>
                <w:color w:val="000000"/>
                <w:sz w:val="21"/>
                <w:szCs w:val="21"/>
              </w:rPr>
            </w:pPr>
            <w:r>
              <w:rPr>
                <w:rFonts w:hint="default" w:ascii="Times New Roman" w:hAnsi="Times New Roman" w:eastAsia="方正仿宋_GBK" w:cs="Times New Roman"/>
                <w:color w:val="000000"/>
                <w:kern w:val="0"/>
                <w:sz w:val="21"/>
                <w:szCs w:val="21"/>
                <w:lang w:bidi="ar"/>
              </w:rPr>
              <w:t>单位：万元</w:t>
            </w:r>
          </w:p>
        </w:tc>
      </w:tr>
      <w:tr w14:paraId="1CE65302">
        <w:tblPrEx>
          <w:tblCellMar>
            <w:top w:w="15" w:type="dxa"/>
            <w:left w:w="15" w:type="dxa"/>
            <w:bottom w:w="15" w:type="dxa"/>
            <w:right w:w="15" w:type="dxa"/>
          </w:tblCellMar>
        </w:tblPrEx>
        <w:trPr>
          <w:trHeight w:val="23" w:hRule="atLeast"/>
          <w:jc w:val="center"/>
        </w:trPr>
        <w:tc>
          <w:tcPr>
            <w:tcW w:w="40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157DA2">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部门名称</w:t>
            </w:r>
          </w:p>
        </w:tc>
        <w:tc>
          <w:tcPr>
            <w:tcW w:w="687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483BBAB">
            <w:pPr>
              <w:widowControl/>
              <w:spacing w:line="300" w:lineRule="exact"/>
              <w:jc w:val="center"/>
              <w:textAlignment w:val="center"/>
              <w:rPr>
                <w:rFonts w:hint="default" w:ascii="Times New Roman" w:hAnsi="Times New Roman" w:eastAsia="方正仿宋_GBK" w:cs="Times New Roman"/>
                <w:color w:val="000000"/>
                <w:sz w:val="24"/>
                <w:lang w:eastAsia="zh-CN"/>
              </w:rPr>
            </w:pPr>
            <w:r>
              <w:rPr>
                <w:rFonts w:hint="default" w:ascii="Times New Roman" w:hAnsi="Times New Roman" w:eastAsia="方正仿宋_GBK" w:cs="Times New Roman"/>
                <w:color w:val="000000"/>
                <w:kern w:val="0"/>
                <w:sz w:val="24"/>
                <w:lang w:eastAsia="zh-CN" w:bidi="ar"/>
              </w:rPr>
              <w:t>中共攀枝花市西区区委政法委员会</w:t>
            </w:r>
          </w:p>
        </w:tc>
      </w:tr>
      <w:tr w14:paraId="62101DB6">
        <w:tblPrEx>
          <w:tblCellMar>
            <w:top w:w="15" w:type="dxa"/>
            <w:left w:w="15" w:type="dxa"/>
            <w:bottom w:w="15" w:type="dxa"/>
            <w:right w:w="15" w:type="dxa"/>
          </w:tblCellMar>
        </w:tblPrEx>
        <w:trPr>
          <w:trHeight w:val="23" w:hRule="atLeast"/>
          <w:jc w:val="center"/>
        </w:trPr>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FAF299">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年度部门整体支出预算</w:t>
            </w: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CBCAB6">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资金总额</w:t>
            </w:r>
          </w:p>
        </w:tc>
        <w:tc>
          <w:tcPr>
            <w:tcW w:w="24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2B500F">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财政拨款</w:t>
            </w:r>
          </w:p>
        </w:tc>
        <w:tc>
          <w:tcPr>
            <w:tcW w:w="43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3EB41C">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其他资金</w:t>
            </w:r>
          </w:p>
        </w:tc>
      </w:tr>
      <w:tr w14:paraId="35284EC0">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319D19">
            <w:pPr>
              <w:widowControl/>
              <w:spacing w:line="300" w:lineRule="exact"/>
              <w:jc w:val="center"/>
              <w:rPr>
                <w:rFonts w:hint="default" w:ascii="Times New Roman" w:hAnsi="Times New Roman" w:eastAsia="方正仿宋_GBK" w:cs="Times New Roman"/>
                <w:color w:val="000000"/>
                <w:sz w:val="24"/>
              </w:rPr>
            </w:pP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9369A1">
            <w:pPr>
              <w:widowControl/>
              <w:spacing w:line="300" w:lineRule="exact"/>
              <w:jc w:val="center"/>
              <w:textAlignment w:val="center"/>
              <w:rPr>
                <w:rFonts w:hint="default" w:ascii="Times New Roman" w:hAnsi="Times New Roman" w:eastAsia="方正仿宋_GBK" w:cs="Times New Roman"/>
                <w:color w:val="000000"/>
                <w:sz w:val="24"/>
                <w:lang w:val="en-US" w:eastAsia="zh-CN"/>
              </w:rPr>
            </w:pPr>
            <w:r>
              <w:rPr>
                <w:rFonts w:hint="default" w:ascii="Times New Roman" w:hAnsi="Times New Roman" w:eastAsia="方正仿宋_GBK" w:cs="Times New Roman"/>
                <w:color w:val="000000"/>
                <w:kern w:val="0"/>
                <w:sz w:val="24"/>
                <w:lang w:val="en-US" w:eastAsia="zh-CN" w:bidi="ar"/>
              </w:rPr>
              <w:t>617.83</w:t>
            </w:r>
          </w:p>
        </w:tc>
        <w:tc>
          <w:tcPr>
            <w:tcW w:w="24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79EC1B">
            <w:pPr>
              <w:widowControl/>
              <w:spacing w:line="300" w:lineRule="exact"/>
              <w:jc w:val="center"/>
              <w:textAlignment w:val="center"/>
              <w:rPr>
                <w:rFonts w:hint="default" w:ascii="Times New Roman" w:hAnsi="Times New Roman" w:eastAsia="方正仿宋_GBK" w:cs="Times New Roman"/>
                <w:color w:val="000000"/>
                <w:sz w:val="24"/>
                <w:lang w:val="en-US" w:eastAsia="zh-CN"/>
              </w:rPr>
            </w:pPr>
            <w:r>
              <w:rPr>
                <w:rFonts w:hint="default" w:ascii="Times New Roman" w:hAnsi="Times New Roman" w:eastAsia="方正仿宋_GBK" w:cs="Times New Roman"/>
                <w:color w:val="000000"/>
                <w:kern w:val="0"/>
                <w:sz w:val="24"/>
                <w:lang w:val="en-US" w:eastAsia="zh-CN" w:bidi="ar"/>
              </w:rPr>
              <w:t>617.83</w:t>
            </w:r>
          </w:p>
        </w:tc>
        <w:tc>
          <w:tcPr>
            <w:tcW w:w="43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AB661B">
            <w:pPr>
              <w:widowControl/>
              <w:spacing w:line="300" w:lineRule="exact"/>
              <w:jc w:val="center"/>
              <w:textAlignment w:val="center"/>
              <w:rPr>
                <w:rFonts w:hint="default" w:ascii="Times New Roman" w:hAnsi="Times New Roman" w:eastAsia="方正仿宋_GBK" w:cs="Times New Roman"/>
                <w:color w:val="000000"/>
                <w:sz w:val="24"/>
                <w:lang w:eastAsia="zh-CN"/>
              </w:rPr>
            </w:pPr>
            <w:r>
              <w:rPr>
                <w:rFonts w:hint="default" w:ascii="Times New Roman" w:hAnsi="Times New Roman" w:eastAsia="方正仿宋_GBK" w:cs="Times New Roman"/>
                <w:color w:val="000000"/>
                <w:kern w:val="0"/>
                <w:sz w:val="24"/>
                <w:lang w:val="en-US" w:eastAsia="zh-CN" w:bidi="ar"/>
              </w:rPr>
              <w:t>0</w:t>
            </w:r>
          </w:p>
        </w:tc>
      </w:tr>
      <w:tr w14:paraId="4531AD9D">
        <w:tblPrEx>
          <w:tblCellMar>
            <w:top w:w="15" w:type="dxa"/>
            <w:left w:w="15" w:type="dxa"/>
            <w:bottom w:w="15" w:type="dxa"/>
            <w:right w:w="15" w:type="dxa"/>
          </w:tblCellMar>
        </w:tblPrEx>
        <w:trPr>
          <w:trHeight w:val="23" w:hRule="atLeast"/>
          <w:jc w:val="center"/>
        </w:trPr>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6DF95">
            <w:pPr>
              <w:widowControl/>
              <w:spacing w:line="300" w:lineRule="exact"/>
              <w:jc w:val="center"/>
              <w:textAlignment w:val="center"/>
              <w:rPr>
                <w:rFonts w:hint="default" w:ascii="Times New Roman" w:hAnsi="Times New Roman" w:eastAsia="方正仿宋_GBK" w:cs="Times New Roman"/>
                <w:color w:val="000000"/>
                <w:kern w:val="0"/>
                <w:sz w:val="24"/>
                <w:lang w:bidi="ar"/>
              </w:rPr>
            </w:pPr>
            <w:r>
              <w:rPr>
                <w:rFonts w:hint="default" w:ascii="Times New Roman" w:hAnsi="Times New Roman" w:eastAsia="方正仿宋_GBK" w:cs="Times New Roman"/>
                <w:color w:val="000000"/>
                <w:kern w:val="0"/>
                <w:sz w:val="24"/>
                <w:lang w:bidi="ar"/>
              </w:rPr>
              <w:t>年度总体</w:t>
            </w:r>
          </w:p>
          <w:p w14:paraId="3E9F44C1">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目标</w:t>
            </w:r>
          </w:p>
        </w:tc>
        <w:tc>
          <w:tcPr>
            <w:tcW w:w="940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6CD407F">
            <w:pPr>
              <w:widowControl/>
              <w:spacing w:line="30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i w:val="0"/>
                <w:iCs w:val="0"/>
                <w:caps w:val="0"/>
                <w:color w:val="0F1115"/>
                <w:spacing w:val="0"/>
                <w:sz w:val="22"/>
                <w:szCs w:val="22"/>
                <w:shd w:val="clear" w:fill="FFFFFF"/>
              </w:rPr>
              <w:t>全区政法工作在区委的坚强领导下，紧紧围绕中央、省、市政法工作会议及区委的部署要求，始终坚持稳中求进工作总基调，全力以赴“防风险、保安全、护稳定、促发展”，深入推进西区政法工作“五大行动”，有力维护辖区政治安全、社会安定、群众安宁，切实为高质量发展建设共同富裕试验区、加快“一区一城”建设提供坚强保障</w:t>
            </w:r>
            <w:r>
              <w:rPr>
                <w:rFonts w:hint="default" w:ascii="Times New Roman" w:hAnsi="Times New Roman" w:eastAsia="方正仿宋_GBK" w:cs="Times New Roman"/>
                <w:color w:val="000000"/>
                <w:kern w:val="0"/>
                <w:sz w:val="24"/>
                <w:lang w:bidi="ar"/>
              </w:rPr>
              <w:t>。</w:t>
            </w:r>
          </w:p>
        </w:tc>
      </w:tr>
      <w:tr w14:paraId="554670C2">
        <w:tblPrEx>
          <w:tblCellMar>
            <w:top w:w="15" w:type="dxa"/>
            <w:left w:w="15" w:type="dxa"/>
            <w:bottom w:w="15" w:type="dxa"/>
            <w:right w:w="15" w:type="dxa"/>
          </w:tblCellMar>
        </w:tblPrEx>
        <w:trPr>
          <w:trHeight w:val="23" w:hRule="atLeast"/>
          <w:jc w:val="center"/>
        </w:trPr>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3FABC8">
            <w:pPr>
              <w:widowControl/>
              <w:spacing w:line="300" w:lineRule="exact"/>
              <w:jc w:val="center"/>
              <w:textAlignment w:val="center"/>
              <w:rPr>
                <w:rFonts w:hint="default" w:ascii="Times New Roman" w:hAnsi="Times New Roman" w:eastAsia="方正仿宋_GBK" w:cs="Times New Roman"/>
                <w:color w:val="000000"/>
                <w:kern w:val="0"/>
                <w:sz w:val="24"/>
                <w:lang w:bidi="ar"/>
              </w:rPr>
            </w:pPr>
            <w:r>
              <w:rPr>
                <w:rFonts w:hint="default" w:ascii="Times New Roman" w:hAnsi="Times New Roman" w:eastAsia="方正仿宋_GBK" w:cs="Times New Roman"/>
                <w:color w:val="000000"/>
                <w:kern w:val="0"/>
                <w:sz w:val="24"/>
                <w:lang w:bidi="ar"/>
              </w:rPr>
              <w:t>年度主要</w:t>
            </w:r>
          </w:p>
          <w:p w14:paraId="60ADA591">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任务</w:t>
            </w: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D712B0">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任务名称</w:t>
            </w:r>
          </w:p>
        </w:tc>
        <w:tc>
          <w:tcPr>
            <w:tcW w:w="687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207F24">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主要内容</w:t>
            </w:r>
          </w:p>
        </w:tc>
      </w:tr>
      <w:tr w14:paraId="429D4559">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4CCE11">
            <w:pPr>
              <w:widowControl/>
              <w:spacing w:line="300" w:lineRule="exact"/>
              <w:jc w:val="center"/>
              <w:rPr>
                <w:rFonts w:hint="default" w:ascii="Times New Roman" w:hAnsi="Times New Roman" w:eastAsia="方正仿宋_GBK" w:cs="Times New Roman"/>
                <w:color w:val="000000"/>
                <w:sz w:val="24"/>
              </w:rPr>
            </w:pP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BEC5C8">
            <w:pPr>
              <w:widowControl/>
              <w:spacing w:line="300" w:lineRule="exact"/>
              <w:jc w:val="left"/>
              <w:textAlignment w:val="center"/>
              <w:rPr>
                <w:rFonts w:hint="default" w:ascii="Times New Roman" w:hAnsi="Times New Roman" w:eastAsia="方正仿宋_GBK" w:cs="Times New Roman"/>
                <w:color w:val="000000"/>
                <w:sz w:val="24"/>
                <w:lang w:eastAsia="zh-CN"/>
              </w:rPr>
            </w:pPr>
            <w:r>
              <w:rPr>
                <w:rFonts w:hint="default" w:ascii="Times New Roman" w:hAnsi="Times New Roman" w:eastAsia="方正仿宋_GBK" w:cs="Times New Roman"/>
                <w:color w:val="000000"/>
                <w:sz w:val="24"/>
                <w:lang w:eastAsia="zh-CN"/>
              </w:rPr>
              <w:t>整体目标</w:t>
            </w:r>
          </w:p>
        </w:tc>
        <w:tc>
          <w:tcPr>
            <w:tcW w:w="687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39DA39">
            <w:pPr>
              <w:widowControl/>
              <w:spacing w:line="30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一是按时足额发放职工工资、津补贴，及时缴纳职工社保和公积金，及时支付日常办公开支，确保单位财务正常运转。二是围绕政法委中心工作，全面做好维稳督导、综治督导、执法监督、扫黑除恶、平安建设、网格化管理、矛盾纠纷多元化解等各项工作。三是有序推进政治建设、法治建设、基础建设、平安建设、队伍建设等专项工作，圆满完成各项工作任务</w:t>
            </w:r>
          </w:p>
        </w:tc>
      </w:tr>
      <w:tr w14:paraId="441CC646">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186975">
            <w:pPr>
              <w:widowControl/>
              <w:spacing w:line="300" w:lineRule="exact"/>
              <w:jc w:val="center"/>
              <w:rPr>
                <w:rFonts w:hint="default" w:ascii="Times New Roman" w:hAnsi="Times New Roman" w:eastAsia="方正仿宋_GBK" w:cs="Times New Roman"/>
                <w:color w:val="000000"/>
                <w:sz w:val="24"/>
              </w:rPr>
            </w:pP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F372C1">
            <w:pPr>
              <w:widowControl/>
              <w:spacing w:line="300" w:lineRule="exact"/>
              <w:jc w:val="left"/>
              <w:rPr>
                <w:rFonts w:hint="default" w:ascii="Times New Roman" w:hAnsi="Times New Roman" w:eastAsia="方正仿宋_GBK" w:cs="Times New Roman"/>
                <w:color w:val="000000"/>
                <w:sz w:val="24"/>
              </w:rPr>
            </w:pPr>
          </w:p>
        </w:tc>
        <w:tc>
          <w:tcPr>
            <w:tcW w:w="687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03A98E">
            <w:pPr>
              <w:widowControl/>
              <w:spacing w:line="300" w:lineRule="exact"/>
              <w:jc w:val="left"/>
              <w:rPr>
                <w:rFonts w:hint="default" w:ascii="Times New Roman" w:hAnsi="Times New Roman" w:eastAsia="方正仿宋_GBK" w:cs="Times New Roman"/>
                <w:color w:val="000000"/>
                <w:sz w:val="24"/>
              </w:rPr>
            </w:pPr>
          </w:p>
        </w:tc>
      </w:tr>
      <w:tr w14:paraId="4408E501">
        <w:tblPrEx>
          <w:tblCellMar>
            <w:top w:w="15" w:type="dxa"/>
            <w:left w:w="15" w:type="dxa"/>
            <w:bottom w:w="15" w:type="dxa"/>
            <w:right w:w="15" w:type="dxa"/>
          </w:tblCellMar>
        </w:tblPrEx>
        <w:trPr>
          <w:trHeight w:val="23" w:hRule="atLeast"/>
          <w:jc w:val="center"/>
        </w:trPr>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79A156">
            <w:pPr>
              <w:widowControl/>
              <w:spacing w:line="300" w:lineRule="exact"/>
              <w:jc w:val="center"/>
              <w:textAlignment w:val="center"/>
              <w:rPr>
                <w:rFonts w:hint="default" w:ascii="Times New Roman" w:hAnsi="Times New Roman" w:eastAsia="方正仿宋_GBK" w:cs="Times New Roman"/>
                <w:color w:val="000000"/>
                <w:kern w:val="0"/>
                <w:sz w:val="24"/>
                <w:lang w:bidi="ar"/>
              </w:rPr>
            </w:pPr>
            <w:r>
              <w:rPr>
                <w:rFonts w:hint="default" w:ascii="Times New Roman" w:hAnsi="Times New Roman" w:eastAsia="方正仿宋_GBK" w:cs="Times New Roman"/>
                <w:color w:val="000000"/>
                <w:kern w:val="0"/>
                <w:sz w:val="24"/>
                <w:lang w:bidi="ar"/>
              </w:rPr>
              <w:t>年度绩效</w:t>
            </w:r>
          </w:p>
          <w:p w14:paraId="43B581BE">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指标</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71795">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一级指标</w:t>
            </w: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2B48B">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二级指标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EB26A">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三级指标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6D834">
            <w:pPr>
              <w:widowControl/>
              <w:spacing w:line="300" w:lineRule="exact"/>
              <w:jc w:val="center"/>
              <w:textAlignment w:val="center"/>
              <w:rPr>
                <w:rFonts w:hint="default" w:ascii="Times New Roman" w:hAnsi="Times New Roman" w:eastAsia="方正仿宋_GBK" w:cs="Times New Roman"/>
                <w:color w:val="000000"/>
                <w:kern w:val="0"/>
                <w:sz w:val="24"/>
                <w:lang w:bidi="ar"/>
              </w:rPr>
            </w:pPr>
            <w:r>
              <w:rPr>
                <w:rFonts w:hint="default" w:ascii="Times New Roman" w:hAnsi="Times New Roman" w:eastAsia="方正仿宋_GBK" w:cs="Times New Roman"/>
                <w:color w:val="000000"/>
                <w:kern w:val="0"/>
                <w:sz w:val="24"/>
                <w:lang w:bidi="ar"/>
              </w:rPr>
              <w:t>绩效指标</w:t>
            </w:r>
          </w:p>
          <w:p w14:paraId="1CF6B627">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性质</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8019C">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绩效指标值</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E0D52">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绩效度量单位</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D9905">
            <w:pPr>
              <w:widowControl/>
              <w:spacing w:line="300" w:lineRule="exact"/>
              <w:jc w:val="center"/>
              <w:textAlignment w:val="center"/>
              <w:rPr>
                <w:rFonts w:hint="default" w:ascii="Times New Roman" w:hAnsi="Times New Roman" w:eastAsia="方正仿宋_GBK" w:cs="Times New Roman"/>
                <w:color w:val="000000"/>
                <w:kern w:val="0"/>
                <w:sz w:val="24"/>
                <w:lang w:bidi="ar"/>
              </w:rPr>
            </w:pPr>
            <w:r>
              <w:rPr>
                <w:rFonts w:hint="default" w:ascii="Times New Roman" w:hAnsi="Times New Roman" w:eastAsia="方正仿宋_GBK" w:cs="Times New Roman"/>
                <w:color w:val="000000"/>
                <w:kern w:val="0"/>
                <w:sz w:val="24"/>
                <w:lang w:bidi="ar"/>
              </w:rPr>
              <w:t>实际完成</w:t>
            </w:r>
          </w:p>
          <w:p w14:paraId="5AA9B042">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指标值</w:t>
            </w:r>
          </w:p>
        </w:tc>
      </w:tr>
      <w:tr w14:paraId="7D95113E">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BFF94D">
            <w:pPr>
              <w:widowControl/>
              <w:spacing w:line="300" w:lineRule="exact"/>
              <w:jc w:val="center"/>
              <w:rPr>
                <w:rFonts w:hint="default" w:ascii="Times New Roman" w:hAnsi="Times New Roman" w:eastAsia="方正仿宋_GBK" w:cs="Times New Roman"/>
                <w:color w:val="000000"/>
                <w:sz w:val="24"/>
              </w:rPr>
            </w:pPr>
          </w:p>
        </w:tc>
        <w:tc>
          <w:tcPr>
            <w:tcW w:w="15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057974">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产出指标</w:t>
            </w:r>
          </w:p>
        </w:tc>
        <w:tc>
          <w:tcPr>
            <w:tcW w:w="10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DEA753">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数量指标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42956">
            <w:pPr>
              <w:widowControl/>
              <w:spacing w:line="300" w:lineRule="exact"/>
              <w:jc w:val="center"/>
              <w:textAlignment w:val="center"/>
              <w:rPr>
                <w:rFonts w:hint="default" w:ascii="Times New Roman" w:hAnsi="Times New Roman" w:eastAsia="方正仿宋_GBK" w:cs="Times New Roman"/>
                <w:color w:val="000000"/>
                <w:sz w:val="24"/>
                <w:lang w:eastAsia="zh-CN"/>
              </w:rPr>
            </w:pPr>
            <w:r>
              <w:rPr>
                <w:rFonts w:hint="default" w:ascii="Times New Roman" w:hAnsi="Times New Roman" w:eastAsia="方正仿宋_GBK" w:cs="Times New Roman"/>
                <w:color w:val="000000"/>
                <w:kern w:val="0"/>
                <w:sz w:val="24"/>
                <w:lang w:eastAsia="zh-CN" w:bidi="ar"/>
              </w:rPr>
              <w:t>基本支出</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89036">
            <w:pPr>
              <w:widowControl/>
              <w:spacing w:line="300" w:lineRule="exact"/>
              <w:jc w:val="center"/>
              <w:textAlignment w:val="center"/>
              <w:rPr>
                <w:rFonts w:hint="default" w:ascii="Times New Roman" w:hAnsi="Times New Roman" w:eastAsia="方正仿宋_GBK" w:cs="Times New Roman"/>
                <w:color w:val="000000"/>
                <w:sz w:val="24"/>
                <w:lang w:eastAsia="zh-CN"/>
              </w:rPr>
            </w:pPr>
            <w:r>
              <w:rPr>
                <w:rFonts w:hint="default" w:ascii="Times New Roman" w:hAnsi="Times New Roman" w:eastAsia="方正仿宋_GBK" w:cs="Times New Roman"/>
                <w:color w:val="000000"/>
                <w:kern w:val="0"/>
                <w:sz w:val="24"/>
                <w:lang w:eastAsia="zh-CN" w:bidi="ar"/>
              </w:rPr>
              <w:t>定性</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65BCE">
            <w:pPr>
              <w:widowControl/>
              <w:spacing w:line="300" w:lineRule="exact"/>
              <w:jc w:val="center"/>
              <w:textAlignment w:val="center"/>
              <w:rPr>
                <w:rFonts w:hint="default" w:ascii="Times New Roman" w:hAnsi="Times New Roman" w:eastAsia="方正仿宋_GBK" w:cs="Times New Roman"/>
                <w:color w:val="000000"/>
                <w:sz w:val="24"/>
                <w:lang w:eastAsia="zh-CN"/>
              </w:rPr>
            </w:pPr>
            <w:r>
              <w:rPr>
                <w:rFonts w:hint="default" w:ascii="Times New Roman" w:hAnsi="Times New Roman" w:eastAsia="方正仿宋_GBK" w:cs="Times New Roman"/>
                <w:color w:val="000000"/>
                <w:kern w:val="0"/>
                <w:sz w:val="24"/>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BD9BD">
            <w:pPr>
              <w:widowControl/>
              <w:spacing w:line="300" w:lineRule="exact"/>
              <w:jc w:val="center"/>
              <w:textAlignment w:val="center"/>
              <w:rPr>
                <w:rFonts w:hint="default" w:ascii="Times New Roman" w:hAnsi="Times New Roman" w:eastAsia="方正仿宋_GBK" w:cs="Times New Roman"/>
                <w:color w:val="000000"/>
                <w:sz w:val="24"/>
                <w:lang w:eastAsia="zh-CN"/>
              </w:rPr>
            </w:pPr>
            <w:r>
              <w:rPr>
                <w:rFonts w:hint="default" w:ascii="Times New Roman" w:hAnsi="Times New Roman" w:eastAsia="方正仿宋_GBK" w:cs="Times New Roman"/>
                <w:color w:val="000000"/>
                <w:kern w:val="0"/>
                <w:sz w:val="24"/>
                <w:lang w:eastAsia="zh-CN" w:bidi="ar"/>
              </w:rPr>
              <w:t>项</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345E3">
            <w:pPr>
              <w:widowControl/>
              <w:spacing w:line="300" w:lineRule="exact"/>
              <w:jc w:val="center"/>
              <w:textAlignment w:val="center"/>
              <w:rPr>
                <w:rFonts w:hint="default" w:ascii="Times New Roman" w:hAnsi="Times New Roman" w:eastAsia="方正仿宋_GBK" w:cs="Times New Roman"/>
                <w:color w:val="000000"/>
                <w:sz w:val="24"/>
                <w:lang w:eastAsia="zh-CN"/>
              </w:rPr>
            </w:pPr>
            <w:r>
              <w:rPr>
                <w:rFonts w:hint="default" w:ascii="Times New Roman" w:hAnsi="Times New Roman" w:eastAsia="方正仿宋_GBK" w:cs="Times New Roman"/>
                <w:color w:val="000000"/>
                <w:sz w:val="24"/>
                <w:lang w:val="en-US" w:eastAsia="zh-CN"/>
              </w:rPr>
              <w:t>完成</w:t>
            </w:r>
          </w:p>
        </w:tc>
      </w:tr>
      <w:tr w14:paraId="6DFDA247">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6D8AFD">
            <w:pPr>
              <w:widowControl/>
              <w:spacing w:line="300" w:lineRule="exact"/>
              <w:jc w:val="center"/>
              <w:rPr>
                <w:rFonts w:hint="default" w:ascii="Times New Roman" w:hAnsi="Times New Roman" w:eastAsia="方正仿宋_GBK" w:cs="Times New Roman"/>
                <w:color w:val="000000"/>
                <w:sz w:val="24"/>
              </w:rPr>
            </w:pPr>
          </w:p>
        </w:tc>
        <w:tc>
          <w:tcPr>
            <w:tcW w:w="1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F7A0CA">
            <w:pPr>
              <w:widowControl/>
              <w:spacing w:line="300" w:lineRule="exact"/>
              <w:jc w:val="center"/>
              <w:rPr>
                <w:rFonts w:hint="default" w:ascii="Times New Roman" w:hAnsi="Times New Roman" w:eastAsia="方正仿宋_GBK" w:cs="Times New Roman"/>
                <w:color w:val="000000"/>
                <w:sz w:val="24"/>
              </w:rPr>
            </w:pPr>
          </w:p>
        </w:tc>
        <w:tc>
          <w:tcPr>
            <w:tcW w:w="10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504145">
            <w:pPr>
              <w:widowControl/>
              <w:spacing w:line="300" w:lineRule="exact"/>
              <w:jc w:val="center"/>
              <w:rPr>
                <w:rFonts w:hint="default" w:ascii="Times New Roman" w:hAnsi="Times New Roman" w:eastAsia="方正仿宋_GBK" w:cs="Times New Roman"/>
                <w:color w:val="000000"/>
                <w:sz w:val="24"/>
              </w:rPr>
            </w:pP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B78D4">
            <w:pPr>
              <w:widowControl/>
              <w:spacing w:line="300" w:lineRule="exac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项目支出</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1AF44">
            <w:pPr>
              <w:widowControl/>
              <w:spacing w:line="300" w:lineRule="exac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eastAsia="zh-CN" w:bidi="ar"/>
              </w:rPr>
              <w:t>定性</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B1A3D">
            <w:pPr>
              <w:widowControl/>
              <w:spacing w:line="300" w:lineRule="exac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9010E">
            <w:pPr>
              <w:widowControl/>
              <w:spacing w:line="300" w:lineRule="exact"/>
              <w:jc w:val="center"/>
              <w:rPr>
                <w:rFonts w:hint="default" w:ascii="Times New Roman" w:hAnsi="Times New Roman" w:eastAsia="方正仿宋_GBK" w:cs="Times New Roman"/>
                <w:color w:val="000000"/>
                <w:sz w:val="24"/>
                <w:lang w:eastAsia="zh-CN"/>
              </w:rPr>
            </w:pPr>
            <w:r>
              <w:rPr>
                <w:rFonts w:hint="default" w:ascii="Times New Roman" w:hAnsi="Times New Roman" w:eastAsia="方正仿宋_GBK" w:cs="Times New Roman"/>
                <w:color w:val="000000"/>
                <w:sz w:val="24"/>
                <w:lang w:eastAsia="zh-CN"/>
              </w:rPr>
              <w:t>项</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3B23D">
            <w:pPr>
              <w:widowControl/>
              <w:spacing w:line="300" w:lineRule="exact"/>
              <w:jc w:val="center"/>
              <w:rPr>
                <w:rFonts w:hint="default" w:ascii="Times New Roman" w:hAnsi="Times New Roman" w:eastAsia="方正仿宋_GBK" w:cs="Times New Roman"/>
                <w:color w:val="000000"/>
                <w:sz w:val="24"/>
                <w:lang w:eastAsia="zh-CN"/>
              </w:rPr>
            </w:pPr>
            <w:r>
              <w:rPr>
                <w:rFonts w:hint="default" w:ascii="Times New Roman" w:hAnsi="Times New Roman" w:eastAsia="方正仿宋_GBK" w:cs="Times New Roman"/>
                <w:color w:val="000000"/>
                <w:sz w:val="24"/>
                <w:lang w:val="en-US" w:eastAsia="zh-CN"/>
              </w:rPr>
              <w:t>完成</w:t>
            </w:r>
          </w:p>
        </w:tc>
      </w:tr>
      <w:tr w14:paraId="7B6D401A">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7FDB00">
            <w:pPr>
              <w:widowControl/>
              <w:spacing w:line="300" w:lineRule="exact"/>
              <w:jc w:val="center"/>
              <w:rPr>
                <w:rFonts w:hint="default" w:ascii="Times New Roman" w:hAnsi="Times New Roman" w:eastAsia="方正仿宋_GBK" w:cs="Times New Roman"/>
                <w:color w:val="000000"/>
                <w:sz w:val="24"/>
              </w:rPr>
            </w:pPr>
          </w:p>
        </w:tc>
        <w:tc>
          <w:tcPr>
            <w:tcW w:w="1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6272E0">
            <w:pPr>
              <w:widowControl/>
              <w:spacing w:line="300" w:lineRule="exact"/>
              <w:jc w:val="center"/>
              <w:rPr>
                <w:rFonts w:hint="default" w:ascii="Times New Roman" w:hAnsi="Times New Roman" w:eastAsia="方正仿宋_GBK" w:cs="Times New Roman"/>
                <w:color w:val="000000"/>
                <w:sz w:val="24"/>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49A26">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质量指标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1CFE6">
            <w:pPr>
              <w:widowControl/>
              <w:spacing w:line="300" w:lineRule="exac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按工作进度</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53B7A">
            <w:pPr>
              <w:widowControl/>
              <w:spacing w:line="300" w:lineRule="exac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eastAsia="zh-CN" w:bidi="ar"/>
              </w:rPr>
              <w:t>定性</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9152F">
            <w:pPr>
              <w:widowControl/>
              <w:spacing w:line="300" w:lineRule="exac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6945D">
            <w:pPr>
              <w:widowControl/>
              <w:spacing w:line="300" w:lineRule="exact"/>
              <w:jc w:val="center"/>
              <w:rPr>
                <w:rFonts w:hint="default" w:ascii="Times New Roman" w:hAnsi="Times New Roman" w:eastAsia="方正仿宋_GBK" w:cs="Times New Roman"/>
                <w:color w:val="000000"/>
                <w:sz w:val="24"/>
                <w:lang w:eastAsia="zh-CN"/>
              </w:rPr>
            </w:pPr>
            <w:r>
              <w:rPr>
                <w:rFonts w:hint="default" w:ascii="Times New Roman" w:hAnsi="Times New Roman" w:eastAsia="方正仿宋_GBK" w:cs="Times New Roman"/>
                <w:color w:val="000000"/>
                <w:sz w:val="24"/>
                <w:lang w:eastAsia="zh-CN"/>
              </w:rPr>
              <w:t>次</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07155">
            <w:pPr>
              <w:widowControl/>
              <w:spacing w:line="300" w:lineRule="exact"/>
              <w:jc w:val="center"/>
              <w:rPr>
                <w:rFonts w:hint="default" w:ascii="Times New Roman" w:hAnsi="Times New Roman" w:eastAsia="方正仿宋_GBK" w:cs="Times New Roman"/>
                <w:color w:val="000000"/>
                <w:sz w:val="24"/>
                <w:lang w:val="en-US" w:eastAsia="zh-CN"/>
              </w:rPr>
            </w:pPr>
            <w:r>
              <w:rPr>
                <w:rFonts w:hint="default" w:ascii="Times New Roman" w:hAnsi="Times New Roman" w:eastAsia="方正仿宋_GBK" w:cs="Times New Roman"/>
                <w:color w:val="000000"/>
                <w:sz w:val="24"/>
                <w:lang w:val="en-US" w:eastAsia="zh-CN"/>
              </w:rPr>
              <w:t>完成</w:t>
            </w:r>
          </w:p>
        </w:tc>
      </w:tr>
      <w:tr w14:paraId="640646BC">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34A95E">
            <w:pPr>
              <w:widowControl/>
              <w:spacing w:line="300" w:lineRule="exact"/>
              <w:jc w:val="center"/>
              <w:rPr>
                <w:rFonts w:hint="default" w:ascii="Times New Roman" w:hAnsi="Times New Roman" w:eastAsia="方正仿宋_GBK" w:cs="Times New Roman"/>
                <w:color w:val="000000"/>
                <w:sz w:val="24"/>
              </w:rPr>
            </w:pPr>
          </w:p>
        </w:tc>
        <w:tc>
          <w:tcPr>
            <w:tcW w:w="1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B41F64">
            <w:pPr>
              <w:widowControl/>
              <w:spacing w:line="300" w:lineRule="exact"/>
              <w:jc w:val="center"/>
              <w:rPr>
                <w:rFonts w:hint="default" w:ascii="Times New Roman" w:hAnsi="Times New Roman" w:eastAsia="方正仿宋_GBK" w:cs="Times New Roman"/>
                <w:color w:val="000000"/>
                <w:sz w:val="24"/>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3B6AA">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时效指标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F7F0B">
            <w:pPr>
              <w:widowControl/>
              <w:spacing w:line="300" w:lineRule="exact"/>
              <w:jc w:val="center"/>
              <w:rPr>
                <w:rFonts w:hint="default" w:ascii="Times New Roman" w:hAnsi="Times New Roman" w:eastAsia="方正仿宋_GBK" w:cs="Times New Roman"/>
                <w:color w:val="000000"/>
                <w:sz w:val="24"/>
                <w:lang w:eastAsia="zh-CN"/>
              </w:rPr>
            </w:pPr>
            <w:r>
              <w:rPr>
                <w:rFonts w:hint="default" w:ascii="Times New Roman" w:hAnsi="Times New Roman" w:eastAsia="方正仿宋_GBK" w:cs="Times New Roman"/>
                <w:color w:val="000000"/>
                <w:sz w:val="24"/>
                <w:lang w:eastAsia="zh-CN"/>
              </w:rPr>
              <w:t>2025年</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4E3C9">
            <w:pPr>
              <w:widowControl/>
              <w:spacing w:line="300" w:lineRule="exac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eastAsia="zh-CN" w:bidi="ar"/>
              </w:rPr>
              <w:t>定性</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5A58B">
            <w:pPr>
              <w:widowControl/>
              <w:spacing w:line="300" w:lineRule="exac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09421">
            <w:pPr>
              <w:widowControl/>
              <w:spacing w:line="300" w:lineRule="exact"/>
              <w:jc w:val="center"/>
              <w:rPr>
                <w:rFonts w:hint="default" w:ascii="Times New Roman" w:hAnsi="Times New Roman" w:eastAsia="方正仿宋_GBK" w:cs="Times New Roman"/>
                <w:color w:val="000000"/>
                <w:sz w:val="24"/>
                <w:lang w:eastAsia="zh-CN"/>
              </w:rPr>
            </w:pPr>
            <w:r>
              <w:rPr>
                <w:rFonts w:hint="default" w:ascii="Times New Roman" w:hAnsi="Times New Roman" w:eastAsia="方正仿宋_GBK" w:cs="Times New Roman"/>
                <w:color w:val="000000"/>
                <w:sz w:val="24"/>
                <w:lang w:eastAsia="zh-CN"/>
              </w:rPr>
              <w:t>时间</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C1D1A">
            <w:pPr>
              <w:widowControl/>
              <w:spacing w:line="300" w:lineRule="exac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1-12月</w:t>
            </w:r>
          </w:p>
        </w:tc>
      </w:tr>
      <w:tr w14:paraId="195CB2AD">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937F4E">
            <w:pPr>
              <w:widowControl/>
              <w:spacing w:line="300" w:lineRule="exact"/>
              <w:jc w:val="center"/>
              <w:rPr>
                <w:rFonts w:hint="default" w:ascii="Times New Roman" w:hAnsi="Times New Roman" w:eastAsia="方正仿宋_GBK" w:cs="Times New Roman"/>
                <w:color w:val="000000"/>
                <w:sz w:val="24"/>
              </w:rPr>
            </w:pPr>
            <w:bookmarkStart w:id="2" w:name="OLE_LINK1" w:colFirst="2" w:colLast="7"/>
          </w:p>
        </w:tc>
        <w:tc>
          <w:tcPr>
            <w:tcW w:w="1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5CAD5F">
            <w:pPr>
              <w:widowControl/>
              <w:spacing w:line="300" w:lineRule="exact"/>
              <w:jc w:val="center"/>
              <w:rPr>
                <w:rFonts w:hint="default" w:ascii="Times New Roman" w:hAnsi="Times New Roman" w:eastAsia="方正仿宋_GBK" w:cs="Times New Roman"/>
                <w:color w:val="000000"/>
                <w:sz w:val="24"/>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73A39">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val="en-US" w:eastAsia="zh-CN" w:bidi="ar"/>
              </w:rPr>
              <w:t>成本指标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44EDC">
            <w:pPr>
              <w:widowControl/>
              <w:spacing w:line="300" w:lineRule="exact"/>
              <w:jc w:val="center"/>
              <w:rPr>
                <w:rFonts w:hint="default" w:ascii="Times New Roman" w:hAnsi="Times New Roman" w:eastAsia="方正仿宋_GBK" w:cs="Times New Roman"/>
                <w:color w:val="000000"/>
                <w:sz w:val="24"/>
                <w:lang w:eastAsia="zh-CN"/>
              </w:rPr>
            </w:pPr>
            <w:r>
              <w:rPr>
                <w:rFonts w:hint="default" w:ascii="Times New Roman" w:hAnsi="Times New Roman" w:eastAsia="方正仿宋_GBK" w:cs="Times New Roman"/>
                <w:color w:val="000000"/>
                <w:sz w:val="24"/>
                <w:lang w:eastAsia="zh-CN"/>
              </w:rPr>
              <w:t>经费</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0BB82">
            <w:pPr>
              <w:widowControl/>
              <w:spacing w:line="300" w:lineRule="exac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eastAsia="zh-CN" w:bidi="ar"/>
              </w:rPr>
              <w:t>定性</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7B0EB">
            <w:pPr>
              <w:widowControl/>
              <w:spacing w:line="300" w:lineRule="exac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E89F1">
            <w:pPr>
              <w:widowControl/>
              <w:spacing w:line="300" w:lineRule="exac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eastAsia="zh-CN" w:bidi="ar"/>
              </w:rPr>
              <w:t>万元</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B967A">
            <w:pPr>
              <w:widowControl/>
              <w:spacing w:line="300" w:lineRule="exact"/>
              <w:jc w:val="center"/>
              <w:rPr>
                <w:rFonts w:hint="default" w:ascii="Times New Roman" w:hAnsi="Times New Roman" w:eastAsia="方正仿宋_GBK" w:cs="Times New Roman"/>
                <w:color w:val="000000"/>
                <w:sz w:val="24"/>
                <w:lang w:val="en-US" w:eastAsia="zh-CN"/>
              </w:rPr>
            </w:pPr>
            <w:r>
              <w:rPr>
                <w:rFonts w:hint="default" w:ascii="Times New Roman" w:hAnsi="Times New Roman" w:eastAsia="方正仿宋_GBK" w:cs="Times New Roman"/>
                <w:color w:val="000000"/>
                <w:sz w:val="24"/>
                <w:lang w:val="en-US" w:eastAsia="zh-CN"/>
              </w:rPr>
              <w:t>617.83</w:t>
            </w:r>
          </w:p>
        </w:tc>
      </w:tr>
      <w:bookmarkEnd w:id="2"/>
      <w:tr w14:paraId="0A4C32D6">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C378C9">
            <w:pPr>
              <w:widowControl/>
              <w:spacing w:line="300" w:lineRule="exact"/>
              <w:jc w:val="center"/>
              <w:rPr>
                <w:rFonts w:hint="default" w:ascii="Times New Roman" w:hAnsi="Times New Roman" w:eastAsia="方正仿宋_GBK" w:cs="Times New Roman"/>
                <w:color w:val="000000"/>
                <w:sz w:val="24"/>
              </w:rPr>
            </w:pPr>
          </w:p>
        </w:tc>
        <w:tc>
          <w:tcPr>
            <w:tcW w:w="1503" w:type="dxa"/>
            <w:tcBorders>
              <w:top w:val="single" w:color="000000" w:sz="4" w:space="0"/>
              <w:left w:val="single" w:color="000000" w:sz="4" w:space="0"/>
              <w:right w:val="single" w:color="000000" w:sz="4" w:space="0"/>
            </w:tcBorders>
            <w:shd w:val="clear" w:color="auto" w:fill="auto"/>
            <w:vAlign w:val="center"/>
          </w:tcPr>
          <w:p w14:paraId="570D96BA">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效益指标</w:t>
            </w:r>
          </w:p>
        </w:tc>
        <w:tc>
          <w:tcPr>
            <w:tcW w:w="1030" w:type="dxa"/>
            <w:tcBorders>
              <w:top w:val="single" w:color="000000" w:sz="4" w:space="0"/>
              <w:left w:val="single" w:color="000000" w:sz="4" w:space="0"/>
              <w:right w:val="single" w:color="000000" w:sz="4" w:space="0"/>
            </w:tcBorders>
            <w:shd w:val="clear" w:color="auto" w:fill="auto"/>
            <w:vAlign w:val="center"/>
          </w:tcPr>
          <w:p w14:paraId="595D4764">
            <w:pPr>
              <w:widowControl/>
              <w:spacing w:line="300" w:lineRule="exact"/>
              <w:jc w:val="center"/>
              <w:textAlignment w:val="center"/>
              <w:rPr>
                <w:rFonts w:hint="default" w:ascii="Times New Roman" w:hAnsi="Times New Roman" w:eastAsia="方正仿宋_GBK" w:cs="Times New Roman"/>
                <w:color w:val="000000"/>
                <w:kern w:val="0"/>
                <w:sz w:val="24"/>
                <w:lang w:bidi="ar"/>
              </w:rPr>
            </w:pPr>
            <w:r>
              <w:rPr>
                <w:rFonts w:hint="default" w:ascii="Times New Roman" w:hAnsi="Times New Roman" w:eastAsia="方正仿宋_GBK" w:cs="Times New Roman"/>
                <w:color w:val="000000"/>
                <w:kern w:val="0"/>
                <w:sz w:val="24"/>
                <w:lang w:bidi="ar"/>
              </w:rPr>
              <w:t>社会效益</w:t>
            </w:r>
          </w:p>
          <w:p w14:paraId="02523D89">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4D8C1">
            <w:pPr>
              <w:widowControl/>
              <w:spacing w:line="300" w:lineRule="exac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职能职责</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3E305">
            <w:pPr>
              <w:widowControl/>
              <w:spacing w:line="300" w:lineRule="exac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eastAsia="zh-CN" w:bidi="ar"/>
              </w:rPr>
              <w:t>定性</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55CDE">
            <w:pPr>
              <w:widowControl/>
              <w:spacing w:line="300" w:lineRule="exac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6FADC">
            <w:pPr>
              <w:widowControl/>
              <w:spacing w:line="300" w:lineRule="exact"/>
              <w:jc w:val="center"/>
              <w:rPr>
                <w:rFonts w:hint="default" w:ascii="Times New Roman" w:hAnsi="Times New Roman" w:eastAsia="方正仿宋_GBK" w:cs="Times New Roman"/>
                <w:color w:val="000000"/>
                <w:sz w:val="24"/>
                <w:lang w:eastAsia="zh-CN"/>
              </w:rPr>
            </w:pPr>
            <w:r>
              <w:rPr>
                <w:rFonts w:hint="default" w:ascii="Times New Roman" w:hAnsi="Times New Roman" w:eastAsia="方正仿宋_GBK" w:cs="Times New Roman"/>
                <w:color w:val="000000"/>
                <w:sz w:val="24"/>
                <w:lang w:eastAsia="zh-CN"/>
              </w:rPr>
              <w:t>项</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7E875">
            <w:pPr>
              <w:widowControl/>
              <w:spacing w:line="300" w:lineRule="exac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保证机构正常运行，确保完成年度职能目标任务</w:t>
            </w:r>
          </w:p>
        </w:tc>
      </w:tr>
      <w:tr w14:paraId="0FAE6770">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0C5898">
            <w:pPr>
              <w:widowControl/>
              <w:spacing w:line="300" w:lineRule="exact"/>
              <w:jc w:val="center"/>
              <w:rPr>
                <w:rFonts w:hint="default" w:ascii="Times New Roman" w:hAnsi="Times New Roman" w:eastAsia="方正仿宋_GBK" w:cs="Times New Roman"/>
                <w:color w:val="000000"/>
                <w:sz w:val="24"/>
              </w:rPr>
            </w:pP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0ABC2">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满意度指标</w:t>
            </w: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33D12">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满意度指标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C6D10">
            <w:pPr>
              <w:widowControl/>
              <w:spacing w:line="300" w:lineRule="exact"/>
              <w:jc w:val="center"/>
              <w:rPr>
                <w:rFonts w:hint="default" w:ascii="Times New Roman" w:hAnsi="Times New Roman" w:eastAsia="方正仿宋_GBK" w:cs="Times New Roman"/>
                <w:color w:val="000000"/>
                <w:sz w:val="24"/>
                <w:lang w:eastAsia="zh-CN"/>
              </w:rPr>
            </w:pPr>
            <w:r>
              <w:rPr>
                <w:rFonts w:hint="default" w:ascii="Times New Roman" w:hAnsi="Times New Roman" w:eastAsia="方正仿宋_GBK" w:cs="Times New Roman"/>
                <w:color w:val="000000"/>
                <w:sz w:val="24"/>
                <w:lang w:eastAsia="zh-CN"/>
              </w:rPr>
              <w:t>满意度</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405E3">
            <w:pPr>
              <w:widowControl/>
              <w:spacing w:line="300" w:lineRule="exact"/>
              <w:jc w:val="center"/>
              <w:rPr>
                <w:rFonts w:hint="default" w:ascii="Times New Roman" w:hAnsi="Times New Roman" w:eastAsia="方正仿宋_GBK" w:cs="Times New Roman"/>
                <w:color w:val="000000"/>
                <w:sz w:val="24"/>
                <w:lang w:val="en-US" w:eastAsia="zh-CN"/>
              </w:rPr>
            </w:pPr>
            <w:r>
              <w:rPr>
                <w:rFonts w:hint="default" w:ascii="Times New Roman" w:hAnsi="Times New Roman" w:eastAsia="方正仿宋_GBK" w:cs="Times New Roman"/>
                <w:color w:val="000000"/>
                <w:sz w:val="24"/>
                <w:lang w:eastAsia="zh-CN"/>
              </w:rPr>
              <w:t>抽样满意</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B9FFB">
            <w:pPr>
              <w:widowControl/>
              <w:spacing w:line="300" w:lineRule="exact"/>
              <w:jc w:val="center"/>
              <w:rPr>
                <w:rFonts w:hint="default" w:ascii="Times New Roman" w:hAnsi="Times New Roman" w:eastAsia="方正仿宋_GBK" w:cs="Times New Roman"/>
                <w:color w:val="000000"/>
                <w:sz w:val="24"/>
                <w:lang w:val="en-US" w:eastAsia="zh-CN"/>
              </w:rPr>
            </w:pPr>
            <w:r>
              <w:rPr>
                <w:rFonts w:hint="default" w:ascii="Times New Roman" w:hAnsi="Times New Roman" w:eastAsia="方正仿宋_GBK" w:cs="Times New Roman"/>
                <w:color w:val="000000"/>
                <w:kern w:val="0"/>
                <w:sz w:val="24"/>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1A433">
            <w:pPr>
              <w:widowControl/>
              <w:spacing w:line="300" w:lineRule="exact"/>
              <w:jc w:val="center"/>
              <w:rPr>
                <w:rFonts w:hint="default" w:ascii="Times New Roman" w:hAnsi="Times New Roman" w:eastAsia="方正仿宋_GBK" w:cs="Times New Roman"/>
                <w:color w:val="000000"/>
                <w:sz w:val="24"/>
                <w:lang w:eastAsia="zh-CN"/>
              </w:rPr>
            </w:pPr>
            <w:r>
              <w:rPr>
                <w:rFonts w:hint="default" w:ascii="Times New Roman" w:hAnsi="Times New Roman" w:eastAsia="方正仿宋_GBK" w:cs="Times New Roman"/>
                <w:color w:val="000000"/>
                <w:sz w:val="24"/>
                <w:lang w:eastAsia="zh-CN"/>
              </w:rPr>
              <w:t>项</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EB854">
            <w:pPr>
              <w:widowControl/>
              <w:spacing w:line="300" w:lineRule="exac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≥95</w:t>
            </w:r>
          </w:p>
        </w:tc>
      </w:tr>
    </w:tbl>
    <w:p w14:paraId="3B48BA29">
      <w:pPr>
        <w:rPr>
          <w:rFonts w:hint="default" w:ascii="Times New Roman" w:hAnsi="Times New Roman" w:cs="Times New Roman"/>
        </w:rPr>
      </w:pPr>
    </w:p>
    <w:p w14:paraId="74197309">
      <w:pPr>
        <w:pStyle w:val="2"/>
        <w:rPr>
          <w:rFonts w:hint="default" w:ascii="Times New Roman" w:hAnsi="Times New Roman" w:cs="Times New Roman"/>
        </w:rPr>
      </w:pPr>
    </w:p>
    <w:p w14:paraId="1660E694">
      <w:pPr>
        <w:rPr>
          <w:rFonts w:hint="default" w:ascii="Times New Roman" w:hAnsi="Times New Roman" w:cs="Times New Roman"/>
        </w:rPr>
      </w:pPr>
    </w:p>
    <w:p w14:paraId="0876FF20">
      <w:pPr>
        <w:pStyle w:val="2"/>
        <w:rPr>
          <w:rFonts w:hint="default" w:ascii="Times New Roman" w:hAnsi="Times New Roman" w:cs="Times New Roman"/>
        </w:rPr>
      </w:pPr>
    </w:p>
    <w:p w14:paraId="64B95E18">
      <w:pPr>
        <w:rPr>
          <w:rFonts w:hint="default" w:ascii="Times New Roman" w:hAnsi="Times New Roman" w:cs="Times New Roman"/>
        </w:rPr>
      </w:pPr>
    </w:p>
    <w:p w14:paraId="1D307FA7">
      <w:pPr>
        <w:pStyle w:val="2"/>
        <w:rPr>
          <w:rFonts w:hint="default" w:ascii="Times New Roman" w:hAnsi="Times New Roman" w:cs="Times New Roman"/>
        </w:rPr>
      </w:pPr>
    </w:p>
    <w:p w14:paraId="05F8BBF1">
      <w:pPr>
        <w:rPr>
          <w:rFonts w:hint="default" w:ascii="Times New Roman" w:hAnsi="Times New Roman" w:cs="Times New Roman"/>
        </w:rPr>
      </w:pPr>
    </w:p>
    <w:p w14:paraId="735E0F0B">
      <w:pPr>
        <w:pStyle w:val="2"/>
        <w:rPr>
          <w:rFonts w:hint="default" w:ascii="Times New Roman" w:hAnsi="Times New Roman" w:cs="Times New Roman"/>
        </w:rPr>
      </w:pPr>
    </w:p>
    <w:p w14:paraId="0FAB5F2B">
      <w:pPr>
        <w:rPr>
          <w:rFonts w:hint="default" w:ascii="Times New Roman" w:hAnsi="Times New Roman" w:cs="Times New Roman"/>
        </w:rPr>
      </w:pPr>
    </w:p>
    <w:p w14:paraId="45ECB9BB">
      <w:pPr>
        <w:pStyle w:val="2"/>
        <w:rPr>
          <w:rFonts w:hint="default" w:ascii="Times New Roman" w:hAnsi="Times New Roman" w:cs="Times New Roman"/>
        </w:rPr>
      </w:pPr>
    </w:p>
    <w:p w14:paraId="4713586C">
      <w:pPr>
        <w:rPr>
          <w:rFonts w:hint="default" w:ascii="Times New Roman" w:hAnsi="Times New Roman" w:cs="Times New Roman"/>
        </w:rPr>
      </w:pPr>
    </w:p>
    <w:p w14:paraId="384B8592">
      <w:pPr>
        <w:pStyle w:val="2"/>
        <w:rPr>
          <w:rFonts w:hint="default" w:ascii="Times New Roman" w:hAnsi="Times New Roman" w:cs="Times New Roman"/>
        </w:rPr>
      </w:pPr>
    </w:p>
    <w:p w14:paraId="68320CD6">
      <w:pPr>
        <w:rPr>
          <w:rFonts w:hint="default" w:ascii="Times New Roman" w:hAnsi="Times New Roman" w:cs="Times New Roman"/>
        </w:rPr>
      </w:pPr>
    </w:p>
    <w:p w14:paraId="305D954C">
      <w:pPr>
        <w:pStyle w:val="2"/>
        <w:rPr>
          <w:rFonts w:hint="default" w:ascii="Times New Roman" w:hAnsi="Times New Roman" w:cs="Times New Roman"/>
        </w:rPr>
      </w:pPr>
    </w:p>
    <w:p w14:paraId="498F7732">
      <w:pPr>
        <w:rPr>
          <w:rFonts w:hint="default" w:ascii="Times New Roman" w:hAnsi="Times New Roman" w:cs="Times New Roman"/>
        </w:rPr>
      </w:pPr>
    </w:p>
    <w:p w14:paraId="044C20C2">
      <w:pPr>
        <w:pStyle w:val="2"/>
        <w:rPr>
          <w:rFonts w:hint="default" w:ascii="Times New Roman" w:hAnsi="Times New Roman" w:cs="Times New Roman"/>
        </w:rPr>
      </w:pPr>
    </w:p>
    <w:p w14:paraId="291C89B4">
      <w:pPr>
        <w:rPr>
          <w:rFonts w:hint="default" w:ascii="Times New Roman" w:hAnsi="Times New Roman" w:cs="Times New Roman"/>
        </w:rPr>
      </w:pPr>
    </w:p>
    <w:p w14:paraId="1DA8FCD7">
      <w:pPr>
        <w:pStyle w:val="2"/>
        <w:rPr>
          <w:rFonts w:hint="default" w:ascii="Times New Roman" w:hAnsi="Times New Roman" w:cs="Times New Roman"/>
        </w:rPr>
      </w:pPr>
    </w:p>
    <w:p w14:paraId="3B6FED4A">
      <w:pPr>
        <w:rPr>
          <w:rFonts w:hint="default" w:ascii="Times New Roman" w:hAnsi="Times New Roman" w:cs="Times New Roman"/>
        </w:rPr>
      </w:pPr>
    </w:p>
    <w:p w14:paraId="41F9F84A">
      <w:pPr>
        <w:pStyle w:val="2"/>
        <w:rPr>
          <w:rFonts w:hint="default" w:ascii="Times New Roman" w:hAnsi="Times New Roman" w:cs="Times New Roman"/>
        </w:rPr>
      </w:pPr>
    </w:p>
    <w:p w14:paraId="526696E0">
      <w:pPr>
        <w:rPr>
          <w:rFonts w:hint="default" w:ascii="Times New Roman" w:hAnsi="Times New Roman" w:cs="Times New Roman"/>
        </w:rPr>
      </w:pPr>
    </w:p>
    <w:p w14:paraId="3CC846B1">
      <w:pPr>
        <w:pStyle w:val="2"/>
        <w:rPr>
          <w:rFonts w:hint="default" w:ascii="Times New Roman" w:hAnsi="Times New Roman" w:cs="Times New Roman"/>
        </w:rPr>
      </w:pPr>
    </w:p>
    <w:p w14:paraId="0B4BBB42">
      <w:pPr>
        <w:pStyle w:val="2"/>
        <w:rPr>
          <w:rFonts w:hint="default"/>
        </w:rPr>
      </w:pPr>
    </w:p>
    <w:p w14:paraId="612A8199">
      <w:pPr>
        <w:pStyle w:val="20"/>
        <w:ind w:left="0" w:leftChars="0" w:firstLine="0" w:firstLineChars="0"/>
        <w:rPr>
          <w:rFonts w:hint="default" w:ascii="Times New Roman" w:hAnsi="Times New Roman" w:eastAsia="方正仿宋_GB2312" w:cs="Times New Roman"/>
          <w:color w:val="000000"/>
          <w:sz w:val="32"/>
          <w:szCs w:val="32"/>
          <w:lang w:val="zh-CN"/>
        </w:rPr>
      </w:pPr>
    </w:p>
    <w:p w14:paraId="5F910A2B">
      <w:pPr>
        <w:pBdr>
          <w:top w:val="single" w:color="auto" w:sz="4" w:space="1"/>
          <w:bottom w:val="single" w:color="auto" w:sz="4" w:space="3"/>
        </w:pBdr>
        <w:spacing w:line="400" w:lineRule="exact"/>
        <w:ind w:firstLine="280" w:firstLineChars="100"/>
        <w:jc w:val="both"/>
        <w:rPr>
          <w:rFonts w:hint="default" w:ascii="Times New Roman" w:hAnsi="Times New Roman" w:eastAsia="方正仿宋_GB2312" w:cs="Times New Roman"/>
          <w:sz w:val="32"/>
          <w:szCs w:val="32"/>
          <w:u w:val="single"/>
          <w:lang w:val="en-US" w:eastAsia="zh-CN"/>
        </w:rPr>
      </w:pPr>
      <w:r>
        <w:rPr>
          <w:rFonts w:hint="default" w:ascii="Times New Roman" w:hAnsi="Times New Roman" w:eastAsia="方正仿宋_GB2312" w:cs="Times New Roman"/>
          <w:color w:val="000000"/>
          <w:spacing w:val="-20"/>
          <w:sz w:val="32"/>
          <w:szCs w:val="32"/>
        </w:rPr>
        <w:t xml:space="preserve">中共攀枝花市西区区委政法委员会      </w:t>
      </w:r>
      <w:r>
        <w:rPr>
          <w:rFonts w:hint="default" w:ascii="Times New Roman" w:hAnsi="Times New Roman" w:eastAsia="方正仿宋_GB2312" w:cs="Times New Roman"/>
          <w:color w:val="000000"/>
          <w:sz w:val="32"/>
          <w:szCs w:val="32"/>
        </w:rPr>
        <w:t xml:space="preserve">  </w:t>
      </w:r>
      <w:r>
        <w:rPr>
          <w:rFonts w:hint="eastAsia" w:ascii="Times New Roman" w:hAnsi="Times New Roman" w:eastAsia="方正仿宋_GB2312" w:cs="Times New Roman"/>
          <w:color w:val="000000"/>
          <w:sz w:val="32"/>
          <w:szCs w:val="32"/>
          <w:lang w:val="en-US" w:eastAsia="zh-CN"/>
        </w:rPr>
        <w:t xml:space="preserve"> </w:t>
      </w:r>
      <w:r>
        <w:rPr>
          <w:rFonts w:hint="default" w:ascii="Times New Roman" w:hAnsi="Times New Roman" w:eastAsia="方正仿宋_GB2312" w:cs="Times New Roman"/>
          <w:color w:val="000000"/>
          <w:sz w:val="32"/>
          <w:szCs w:val="32"/>
        </w:rPr>
        <w:t>202</w:t>
      </w:r>
      <w:r>
        <w:rPr>
          <w:rFonts w:hint="eastAsia" w:ascii="Times New Roman" w:hAnsi="Times New Roman" w:eastAsia="方正仿宋_GB2312" w:cs="Times New Roman"/>
          <w:color w:val="000000"/>
          <w:sz w:val="32"/>
          <w:szCs w:val="32"/>
          <w:lang w:val="en-US" w:eastAsia="zh-CN"/>
        </w:rPr>
        <w:t>6</w:t>
      </w:r>
      <w:r>
        <w:rPr>
          <w:rFonts w:hint="default" w:ascii="Times New Roman" w:hAnsi="Times New Roman" w:eastAsia="方正仿宋_GB2312" w:cs="Times New Roman"/>
          <w:color w:val="000000"/>
          <w:sz w:val="32"/>
          <w:szCs w:val="32"/>
        </w:rPr>
        <w:t>年</w:t>
      </w:r>
      <w:r>
        <w:rPr>
          <w:rFonts w:hint="eastAsia" w:ascii="Times New Roman" w:hAnsi="Times New Roman" w:eastAsia="方正仿宋_GB2312" w:cs="Times New Roman"/>
          <w:color w:val="000000"/>
          <w:sz w:val="32"/>
          <w:szCs w:val="32"/>
          <w:lang w:val="en-US" w:eastAsia="zh-CN"/>
        </w:rPr>
        <w:t>6</w:t>
      </w:r>
      <w:r>
        <w:rPr>
          <w:rFonts w:hint="default" w:ascii="Times New Roman" w:hAnsi="Times New Roman" w:eastAsia="方正仿宋_GB2312" w:cs="Times New Roman"/>
          <w:color w:val="000000"/>
          <w:sz w:val="32"/>
          <w:szCs w:val="32"/>
        </w:rPr>
        <w:t>月</w:t>
      </w:r>
      <w:r>
        <w:rPr>
          <w:rFonts w:hint="eastAsia" w:ascii="Times New Roman" w:hAnsi="Times New Roman" w:eastAsia="方正仿宋_GB2312" w:cs="Times New Roman"/>
          <w:color w:val="000000"/>
          <w:sz w:val="32"/>
          <w:szCs w:val="32"/>
          <w:lang w:val="en-US" w:eastAsia="zh-CN"/>
        </w:rPr>
        <w:t>17</w:t>
      </w:r>
      <w:r>
        <w:rPr>
          <w:rFonts w:hint="default" w:ascii="Times New Roman" w:hAnsi="Times New Roman" w:eastAsia="方正仿宋_GB2312" w:cs="Times New Roman"/>
          <w:color w:val="000000"/>
          <w:spacing w:val="-20"/>
          <w:sz w:val="32"/>
          <w:szCs w:val="32"/>
        </w:rPr>
        <w:t>日印发</w:t>
      </w:r>
    </w:p>
    <w:sectPr>
      <w:headerReference r:id="rId3" w:type="default"/>
      <w:footerReference r:id="rId4" w:type="default"/>
      <w:pgSz w:w="11911" w:h="16838"/>
      <w:pgMar w:top="2098" w:right="1474" w:bottom="1984" w:left="1587" w:header="907" w:footer="1644" w:gutter="0"/>
      <w:pgNumType w:fmt="decimal"/>
      <w:cols w:space="720" w:num="1"/>
      <w:docGrid w:type="lines" w:linePitch="5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6BA06D26-3A2A-4B0D-81DF-7CDC5DB6C639}"/>
  </w:font>
  <w:font w:name="Microsoft JhengHei">
    <w:panose1 w:val="020B0604030504040204"/>
    <w:charset w:val="88"/>
    <w:family w:val="swiss"/>
    <w:pitch w:val="default"/>
    <w:sig w:usb0="000002A7" w:usb1="28CF4400" w:usb2="00000016" w:usb3="00000000" w:csb0="00100009"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embedRegular r:id="rId2" w:fontKey="{AC837566-8F55-4CBF-90CE-3BA4EEAFCC74}"/>
  </w:font>
  <w:font w:name="方正仿宋_GBK">
    <w:panose1 w:val="03000509000000000000"/>
    <w:charset w:val="86"/>
    <w:family w:val="script"/>
    <w:pitch w:val="default"/>
    <w:sig w:usb0="00000001" w:usb1="080E0000" w:usb2="00000000" w:usb3="00000000" w:csb0="00040000" w:csb1="00000000"/>
    <w:embedRegular r:id="rId3" w:fontKey="{9354D4AC-B614-43D0-AB83-C348C89A09A4}"/>
  </w:font>
  <w:font w:name="方正黑体_GBK">
    <w:panose1 w:val="03000509000000000000"/>
    <w:charset w:val="86"/>
    <w:family w:val="script"/>
    <w:pitch w:val="default"/>
    <w:sig w:usb0="00000001" w:usb1="080E0000" w:usb2="00000000" w:usb3="00000000" w:csb0="00040000" w:csb1="00000000"/>
    <w:embedRegular r:id="rId4" w:fontKey="{29D82BFC-B75B-40AE-B52F-C45A608BDE04}"/>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auto"/>
    <w:pitch w:val="default"/>
    <w:sig w:usb0="00000000" w:usb1="00000000" w:usb2="0000003F" w:usb3="00000000" w:csb0="603F01FF" w:csb1="FFFF0000"/>
  </w:font>
  <w:font w:name="方正小标宋简体">
    <w:panose1 w:val="02010601030101010101"/>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embedRegular r:id="rId5" w:fontKey="{570C1E2C-F8F9-41B0-8F06-E99BBAFDE096}"/>
  </w:font>
  <w:font w:name="方正公文小标宋">
    <w:altName w:val="宋体"/>
    <w:panose1 w:val="02000500000000000000"/>
    <w:charset w:val="86"/>
    <w:family w:val="auto"/>
    <w:pitch w:val="default"/>
    <w:sig w:usb0="00000000" w:usb1="00000000" w:usb2="00000016" w:usb3="00000000" w:csb0="00040001" w:csb1="00000000"/>
    <w:embedRegular r:id="rId6" w:fontKey="{5268AC9E-1866-43FA-8695-11487EAFB61C}"/>
  </w:font>
  <w:font w:name="方正仿宋_GB2312">
    <w:panose1 w:val="02000000000000000000"/>
    <w:charset w:val="86"/>
    <w:family w:val="auto"/>
    <w:pitch w:val="default"/>
    <w:sig w:usb0="A00002BF" w:usb1="184F6CFA" w:usb2="00000012" w:usb3="00000000" w:csb0="00040001" w:csb1="00000000"/>
    <w:embedRegular r:id="rId7" w:fontKey="{DFFEBDF6-18A4-438D-9380-E9F032456CD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3510E">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0973E4">
                          <w:pPr>
                            <w:pStyle w:val="9"/>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lang w:eastAsia="zh-CN"/>
                            </w:rPr>
                            <w:t xml:space="preserve">— </w:t>
                          </w:r>
                          <w:r>
                            <w:rPr>
                              <w:rFonts w:hint="eastAsia" w:asciiTheme="minorEastAsia" w:hAnsiTheme="minorEastAsia" w:cstheme="minorEastAsia"/>
                              <w:sz w:val="28"/>
                              <w:szCs w:val="28"/>
                              <w:lang w:eastAsia="zh-CN"/>
                            </w:rPr>
                            <w:fldChar w:fldCharType="begin"/>
                          </w:r>
                          <w:r>
                            <w:rPr>
                              <w:rFonts w:hint="eastAsia" w:asciiTheme="minorEastAsia" w:hAnsiTheme="minorEastAsia" w:cstheme="minorEastAsia"/>
                              <w:sz w:val="28"/>
                              <w:szCs w:val="28"/>
                              <w:lang w:eastAsia="zh-CN"/>
                            </w:rPr>
                            <w:instrText xml:space="preserve"> PAGE  \* MERGEFORMAT </w:instrText>
                          </w:r>
                          <w:r>
                            <w:rPr>
                              <w:rFonts w:hint="eastAsia" w:asciiTheme="minorEastAsia" w:hAnsiTheme="minorEastAsia" w:cstheme="minorEastAsia"/>
                              <w:sz w:val="28"/>
                              <w:szCs w:val="28"/>
                              <w:lang w:eastAsia="zh-CN"/>
                            </w:rPr>
                            <w:fldChar w:fldCharType="separate"/>
                          </w:r>
                          <w:r>
                            <w:rPr>
                              <w:rFonts w:hint="eastAsia" w:asciiTheme="minorEastAsia" w:hAnsiTheme="minorEastAsia" w:cstheme="minorEastAsia"/>
                              <w:sz w:val="28"/>
                              <w:szCs w:val="28"/>
                              <w:lang w:eastAsia="zh-CN"/>
                            </w:rPr>
                            <w:t>16</w:t>
                          </w:r>
                          <w:r>
                            <w:rPr>
                              <w:rFonts w:hint="eastAsia" w:asciiTheme="minorEastAsia" w:hAnsiTheme="minorEastAsia" w:cstheme="minorEastAsia"/>
                              <w:sz w:val="28"/>
                              <w:szCs w:val="28"/>
                              <w:lang w:eastAsia="zh-CN"/>
                            </w:rPr>
                            <w:fldChar w:fldCharType="end"/>
                          </w:r>
                          <w:r>
                            <w:rPr>
                              <w:rFonts w:hint="eastAsia" w:asciiTheme="minorEastAsia" w:hAnsiTheme="minorEastAsia" w:cstheme="minorEastAsia"/>
                              <w:sz w:val="28"/>
                              <w:szCs w:val="28"/>
                              <w:lang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5A0973E4">
                    <w:pPr>
                      <w:pStyle w:val="9"/>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lang w:eastAsia="zh-CN"/>
                      </w:rPr>
                      <w:t xml:space="preserve">— </w:t>
                    </w:r>
                    <w:r>
                      <w:rPr>
                        <w:rFonts w:hint="eastAsia" w:asciiTheme="minorEastAsia" w:hAnsiTheme="minorEastAsia" w:cstheme="minorEastAsia"/>
                        <w:sz w:val="28"/>
                        <w:szCs w:val="28"/>
                        <w:lang w:eastAsia="zh-CN"/>
                      </w:rPr>
                      <w:fldChar w:fldCharType="begin"/>
                    </w:r>
                    <w:r>
                      <w:rPr>
                        <w:rFonts w:hint="eastAsia" w:asciiTheme="minorEastAsia" w:hAnsiTheme="minorEastAsia" w:cstheme="minorEastAsia"/>
                        <w:sz w:val="28"/>
                        <w:szCs w:val="28"/>
                        <w:lang w:eastAsia="zh-CN"/>
                      </w:rPr>
                      <w:instrText xml:space="preserve"> PAGE  \* MERGEFORMAT </w:instrText>
                    </w:r>
                    <w:r>
                      <w:rPr>
                        <w:rFonts w:hint="eastAsia" w:asciiTheme="minorEastAsia" w:hAnsiTheme="minorEastAsia" w:cstheme="minorEastAsia"/>
                        <w:sz w:val="28"/>
                        <w:szCs w:val="28"/>
                        <w:lang w:eastAsia="zh-CN"/>
                      </w:rPr>
                      <w:fldChar w:fldCharType="separate"/>
                    </w:r>
                    <w:r>
                      <w:rPr>
                        <w:rFonts w:hint="eastAsia" w:asciiTheme="minorEastAsia" w:hAnsiTheme="minorEastAsia" w:cstheme="minorEastAsia"/>
                        <w:sz w:val="28"/>
                        <w:szCs w:val="28"/>
                        <w:lang w:eastAsia="zh-CN"/>
                      </w:rPr>
                      <w:t>16</w:t>
                    </w:r>
                    <w:r>
                      <w:rPr>
                        <w:rFonts w:hint="eastAsia" w:asciiTheme="minorEastAsia" w:hAnsiTheme="minorEastAsia" w:cstheme="minorEastAsia"/>
                        <w:sz w:val="28"/>
                        <w:szCs w:val="28"/>
                        <w:lang w:eastAsia="zh-CN"/>
                      </w:rPr>
                      <w:fldChar w:fldCharType="end"/>
                    </w:r>
                    <w:r>
                      <w:rPr>
                        <w:rFonts w:hint="eastAsia" w:asciiTheme="minorEastAsia" w:hAnsiTheme="minorEastAsia" w:cstheme="minorEastAsia"/>
                        <w:sz w:val="28"/>
                        <w:szCs w:val="28"/>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C936F">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zNGQyMWIwYmQwZjNkNmEzYTE3NWRkNWFhNWI2NGQifQ=="/>
  </w:docVars>
  <w:rsids>
    <w:rsidRoot w:val="00FA0507"/>
    <w:rsid w:val="00062C77"/>
    <w:rsid w:val="000715F4"/>
    <w:rsid w:val="000A4CCD"/>
    <w:rsid w:val="000A7BB7"/>
    <w:rsid w:val="000F43BA"/>
    <w:rsid w:val="001123E8"/>
    <w:rsid w:val="00113BFF"/>
    <w:rsid w:val="00131127"/>
    <w:rsid w:val="001436BE"/>
    <w:rsid w:val="001617DE"/>
    <w:rsid w:val="001A00BC"/>
    <w:rsid w:val="001A4898"/>
    <w:rsid w:val="001D7691"/>
    <w:rsid w:val="001E4FBE"/>
    <w:rsid w:val="00230755"/>
    <w:rsid w:val="00242C62"/>
    <w:rsid w:val="002460B4"/>
    <w:rsid w:val="002475F7"/>
    <w:rsid w:val="002548F6"/>
    <w:rsid w:val="00255B95"/>
    <w:rsid w:val="00263333"/>
    <w:rsid w:val="002714F3"/>
    <w:rsid w:val="00290296"/>
    <w:rsid w:val="002E511F"/>
    <w:rsid w:val="002F496E"/>
    <w:rsid w:val="00302686"/>
    <w:rsid w:val="00317431"/>
    <w:rsid w:val="00356519"/>
    <w:rsid w:val="00381E15"/>
    <w:rsid w:val="00407883"/>
    <w:rsid w:val="00415F24"/>
    <w:rsid w:val="004170DA"/>
    <w:rsid w:val="00465D8A"/>
    <w:rsid w:val="00483495"/>
    <w:rsid w:val="004D0841"/>
    <w:rsid w:val="00510DB0"/>
    <w:rsid w:val="00535DDC"/>
    <w:rsid w:val="00576FC4"/>
    <w:rsid w:val="005827FE"/>
    <w:rsid w:val="005B4115"/>
    <w:rsid w:val="005C066E"/>
    <w:rsid w:val="005C2532"/>
    <w:rsid w:val="005C463E"/>
    <w:rsid w:val="005E7EAE"/>
    <w:rsid w:val="00611CBC"/>
    <w:rsid w:val="006669BA"/>
    <w:rsid w:val="006A4872"/>
    <w:rsid w:val="00776E64"/>
    <w:rsid w:val="007B528C"/>
    <w:rsid w:val="00817F78"/>
    <w:rsid w:val="00826AED"/>
    <w:rsid w:val="0085137B"/>
    <w:rsid w:val="008D2B89"/>
    <w:rsid w:val="008E1FB1"/>
    <w:rsid w:val="008F2474"/>
    <w:rsid w:val="00942467"/>
    <w:rsid w:val="00973FFD"/>
    <w:rsid w:val="00A21B40"/>
    <w:rsid w:val="00A353AD"/>
    <w:rsid w:val="00A424CA"/>
    <w:rsid w:val="00A43691"/>
    <w:rsid w:val="00AA26D4"/>
    <w:rsid w:val="00AA4BD1"/>
    <w:rsid w:val="00AC0AE7"/>
    <w:rsid w:val="00AC7B20"/>
    <w:rsid w:val="00B34086"/>
    <w:rsid w:val="00B53916"/>
    <w:rsid w:val="00B6658D"/>
    <w:rsid w:val="00B96C86"/>
    <w:rsid w:val="00BB022B"/>
    <w:rsid w:val="00BB2B85"/>
    <w:rsid w:val="00BE2FE6"/>
    <w:rsid w:val="00C1389B"/>
    <w:rsid w:val="00C13B12"/>
    <w:rsid w:val="00C22790"/>
    <w:rsid w:val="00C52A1F"/>
    <w:rsid w:val="00C603AE"/>
    <w:rsid w:val="00C60A78"/>
    <w:rsid w:val="00C87040"/>
    <w:rsid w:val="00CA0793"/>
    <w:rsid w:val="00CD0C6C"/>
    <w:rsid w:val="00CE4953"/>
    <w:rsid w:val="00D14CF0"/>
    <w:rsid w:val="00D21902"/>
    <w:rsid w:val="00D3706E"/>
    <w:rsid w:val="00D547BA"/>
    <w:rsid w:val="00D56298"/>
    <w:rsid w:val="00D6152E"/>
    <w:rsid w:val="00D86197"/>
    <w:rsid w:val="00D97758"/>
    <w:rsid w:val="00DB62C6"/>
    <w:rsid w:val="00DC1AEA"/>
    <w:rsid w:val="00DE3F90"/>
    <w:rsid w:val="00E334F1"/>
    <w:rsid w:val="00E40081"/>
    <w:rsid w:val="00E779A9"/>
    <w:rsid w:val="00EE0A23"/>
    <w:rsid w:val="00EF6C72"/>
    <w:rsid w:val="00F0646D"/>
    <w:rsid w:val="00F15A3A"/>
    <w:rsid w:val="00F21F89"/>
    <w:rsid w:val="00F42D7F"/>
    <w:rsid w:val="00F4484C"/>
    <w:rsid w:val="00FA0507"/>
    <w:rsid w:val="00FA7FFA"/>
    <w:rsid w:val="00FB6CD4"/>
    <w:rsid w:val="01091791"/>
    <w:rsid w:val="021F634E"/>
    <w:rsid w:val="02D97A4F"/>
    <w:rsid w:val="035C171C"/>
    <w:rsid w:val="047563BF"/>
    <w:rsid w:val="04D651DB"/>
    <w:rsid w:val="06254D06"/>
    <w:rsid w:val="069A01B7"/>
    <w:rsid w:val="072B0FB7"/>
    <w:rsid w:val="0877555B"/>
    <w:rsid w:val="09202B8C"/>
    <w:rsid w:val="0960351A"/>
    <w:rsid w:val="0AD40564"/>
    <w:rsid w:val="0ADB7197"/>
    <w:rsid w:val="0B247374"/>
    <w:rsid w:val="0B5F25DB"/>
    <w:rsid w:val="0B7849E6"/>
    <w:rsid w:val="0B7A42BB"/>
    <w:rsid w:val="0BA8707A"/>
    <w:rsid w:val="0BF64289"/>
    <w:rsid w:val="0DF73FD2"/>
    <w:rsid w:val="0EA33097"/>
    <w:rsid w:val="0F7B6E1C"/>
    <w:rsid w:val="0FC14B5C"/>
    <w:rsid w:val="104D6442"/>
    <w:rsid w:val="11AA3420"/>
    <w:rsid w:val="120E7E53"/>
    <w:rsid w:val="12687FCE"/>
    <w:rsid w:val="13443F2F"/>
    <w:rsid w:val="150A66AF"/>
    <w:rsid w:val="15316332"/>
    <w:rsid w:val="15F5025B"/>
    <w:rsid w:val="163671EE"/>
    <w:rsid w:val="178D5376"/>
    <w:rsid w:val="186340A8"/>
    <w:rsid w:val="1A0918A1"/>
    <w:rsid w:val="1AD201CC"/>
    <w:rsid w:val="1B6948B5"/>
    <w:rsid w:val="1BD417C5"/>
    <w:rsid w:val="1C3778A2"/>
    <w:rsid w:val="1CB02E3D"/>
    <w:rsid w:val="1D0F0F82"/>
    <w:rsid w:val="1DB55626"/>
    <w:rsid w:val="1DB6761A"/>
    <w:rsid w:val="1DCB426C"/>
    <w:rsid w:val="1E806629"/>
    <w:rsid w:val="1F3371EF"/>
    <w:rsid w:val="1F672950"/>
    <w:rsid w:val="20C84600"/>
    <w:rsid w:val="2164183D"/>
    <w:rsid w:val="22721109"/>
    <w:rsid w:val="22FB6E9F"/>
    <w:rsid w:val="2317348D"/>
    <w:rsid w:val="24A26904"/>
    <w:rsid w:val="24D23B60"/>
    <w:rsid w:val="25E15B81"/>
    <w:rsid w:val="25E60A73"/>
    <w:rsid w:val="262413C8"/>
    <w:rsid w:val="264E519F"/>
    <w:rsid w:val="269F7958"/>
    <w:rsid w:val="27715C8F"/>
    <w:rsid w:val="27A74D74"/>
    <w:rsid w:val="27B8643F"/>
    <w:rsid w:val="280E0AB6"/>
    <w:rsid w:val="28460EE6"/>
    <w:rsid w:val="28B94C65"/>
    <w:rsid w:val="28D772EB"/>
    <w:rsid w:val="2A404BBB"/>
    <w:rsid w:val="2A8D5961"/>
    <w:rsid w:val="2CED4F9F"/>
    <w:rsid w:val="2CFF5A86"/>
    <w:rsid w:val="2DCBE4C1"/>
    <w:rsid w:val="2E5C48E6"/>
    <w:rsid w:val="2EF35FAE"/>
    <w:rsid w:val="2F141450"/>
    <w:rsid w:val="2F5C0FBF"/>
    <w:rsid w:val="2F5D35C4"/>
    <w:rsid w:val="302503E9"/>
    <w:rsid w:val="302D3DFF"/>
    <w:rsid w:val="30782C0F"/>
    <w:rsid w:val="30937A49"/>
    <w:rsid w:val="321626E0"/>
    <w:rsid w:val="33694419"/>
    <w:rsid w:val="337B4EF0"/>
    <w:rsid w:val="338559C3"/>
    <w:rsid w:val="339B64CD"/>
    <w:rsid w:val="339E298D"/>
    <w:rsid w:val="3466350D"/>
    <w:rsid w:val="34D643A8"/>
    <w:rsid w:val="34F54AF9"/>
    <w:rsid w:val="367B5207"/>
    <w:rsid w:val="378F185E"/>
    <w:rsid w:val="3829429D"/>
    <w:rsid w:val="38785727"/>
    <w:rsid w:val="388F4F9A"/>
    <w:rsid w:val="38F505FF"/>
    <w:rsid w:val="39AB650D"/>
    <w:rsid w:val="39C944DB"/>
    <w:rsid w:val="39FA1D12"/>
    <w:rsid w:val="3A52627F"/>
    <w:rsid w:val="3ADC46CB"/>
    <w:rsid w:val="3B3F4A55"/>
    <w:rsid w:val="3B450A85"/>
    <w:rsid w:val="3BBF54A8"/>
    <w:rsid w:val="3BC44F5A"/>
    <w:rsid w:val="3BE24E81"/>
    <w:rsid w:val="3CFD2C40"/>
    <w:rsid w:val="3D8A5DF5"/>
    <w:rsid w:val="3DB77087"/>
    <w:rsid w:val="3DDF1AA4"/>
    <w:rsid w:val="3E157CEF"/>
    <w:rsid w:val="3E1971FE"/>
    <w:rsid w:val="3E6026CD"/>
    <w:rsid w:val="3F133AFA"/>
    <w:rsid w:val="3FB49D44"/>
    <w:rsid w:val="40041ED1"/>
    <w:rsid w:val="407C4E5B"/>
    <w:rsid w:val="408E3D89"/>
    <w:rsid w:val="41395EB0"/>
    <w:rsid w:val="41A76E15"/>
    <w:rsid w:val="41C55588"/>
    <w:rsid w:val="41E304D3"/>
    <w:rsid w:val="41F011A8"/>
    <w:rsid w:val="436A2B2B"/>
    <w:rsid w:val="43751664"/>
    <w:rsid w:val="43782F65"/>
    <w:rsid w:val="43F860E9"/>
    <w:rsid w:val="44472BCC"/>
    <w:rsid w:val="45CE23BD"/>
    <w:rsid w:val="4660510E"/>
    <w:rsid w:val="47213261"/>
    <w:rsid w:val="475A6773"/>
    <w:rsid w:val="48DB4EAF"/>
    <w:rsid w:val="49027F37"/>
    <w:rsid w:val="49F259D3"/>
    <w:rsid w:val="4B4C5CA0"/>
    <w:rsid w:val="4B9177DA"/>
    <w:rsid w:val="4B963A09"/>
    <w:rsid w:val="4E0833CC"/>
    <w:rsid w:val="4EBC7D13"/>
    <w:rsid w:val="4F8D1DDB"/>
    <w:rsid w:val="4F983AD3"/>
    <w:rsid w:val="4FFC486B"/>
    <w:rsid w:val="500A5F3D"/>
    <w:rsid w:val="50AF5D81"/>
    <w:rsid w:val="523367A6"/>
    <w:rsid w:val="5419780A"/>
    <w:rsid w:val="54DD2ADB"/>
    <w:rsid w:val="54EE4B19"/>
    <w:rsid w:val="55404E47"/>
    <w:rsid w:val="55886F58"/>
    <w:rsid w:val="55AC288F"/>
    <w:rsid w:val="55BD03C1"/>
    <w:rsid w:val="560F7EF4"/>
    <w:rsid w:val="561A0928"/>
    <w:rsid w:val="56E7781E"/>
    <w:rsid w:val="583552FD"/>
    <w:rsid w:val="58407B49"/>
    <w:rsid w:val="58591AE9"/>
    <w:rsid w:val="58FF0CA3"/>
    <w:rsid w:val="59376DAF"/>
    <w:rsid w:val="594A1ED2"/>
    <w:rsid w:val="59771406"/>
    <w:rsid w:val="59C26B25"/>
    <w:rsid w:val="5B1F3B03"/>
    <w:rsid w:val="5BDF4143"/>
    <w:rsid w:val="5CA75654"/>
    <w:rsid w:val="5D311402"/>
    <w:rsid w:val="5E8C1A84"/>
    <w:rsid w:val="5EB84469"/>
    <w:rsid w:val="5ED66BCF"/>
    <w:rsid w:val="5EFC4D1C"/>
    <w:rsid w:val="5F105C3D"/>
    <w:rsid w:val="5F6C1DCC"/>
    <w:rsid w:val="5FA62942"/>
    <w:rsid w:val="5FEC409C"/>
    <w:rsid w:val="610EC9D1"/>
    <w:rsid w:val="61314591"/>
    <w:rsid w:val="61B22BF5"/>
    <w:rsid w:val="62C7367F"/>
    <w:rsid w:val="6320666B"/>
    <w:rsid w:val="63E36016"/>
    <w:rsid w:val="64287F2B"/>
    <w:rsid w:val="64346872"/>
    <w:rsid w:val="64722EF6"/>
    <w:rsid w:val="64DF3541"/>
    <w:rsid w:val="651B0204"/>
    <w:rsid w:val="659550EE"/>
    <w:rsid w:val="66AB26EF"/>
    <w:rsid w:val="67652757"/>
    <w:rsid w:val="678834BD"/>
    <w:rsid w:val="67AFE531"/>
    <w:rsid w:val="67FF8572"/>
    <w:rsid w:val="688E4077"/>
    <w:rsid w:val="68CE6840"/>
    <w:rsid w:val="694F3806"/>
    <w:rsid w:val="696E6382"/>
    <w:rsid w:val="69E3A10B"/>
    <w:rsid w:val="6A785773"/>
    <w:rsid w:val="6AC975E8"/>
    <w:rsid w:val="6B24724A"/>
    <w:rsid w:val="6B680BAF"/>
    <w:rsid w:val="6CE7342A"/>
    <w:rsid w:val="6D212198"/>
    <w:rsid w:val="6D7B3F8F"/>
    <w:rsid w:val="6E816409"/>
    <w:rsid w:val="6F457B85"/>
    <w:rsid w:val="6F6F5C85"/>
    <w:rsid w:val="6F7F0C8C"/>
    <w:rsid w:val="71B60327"/>
    <w:rsid w:val="71E83735"/>
    <w:rsid w:val="722079FA"/>
    <w:rsid w:val="726545B0"/>
    <w:rsid w:val="73F3787C"/>
    <w:rsid w:val="741B5936"/>
    <w:rsid w:val="751A3F38"/>
    <w:rsid w:val="756845CD"/>
    <w:rsid w:val="75C877A5"/>
    <w:rsid w:val="7641171E"/>
    <w:rsid w:val="76636B42"/>
    <w:rsid w:val="781354EA"/>
    <w:rsid w:val="782F13D2"/>
    <w:rsid w:val="785726D7"/>
    <w:rsid w:val="785D7F74"/>
    <w:rsid w:val="78FB5758"/>
    <w:rsid w:val="79711576"/>
    <w:rsid w:val="79FF3026"/>
    <w:rsid w:val="7A112AB4"/>
    <w:rsid w:val="7AC53F07"/>
    <w:rsid w:val="7B590514"/>
    <w:rsid w:val="7BC11697"/>
    <w:rsid w:val="7BC32CA3"/>
    <w:rsid w:val="7BE748B9"/>
    <w:rsid w:val="7BEF978C"/>
    <w:rsid w:val="7CFD5CCC"/>
    <w:rsid w:val="7D782ED3"/>
    <w:rsid w:val="7DDFE044"/>
    <w:rsid w:val="7DF34241"/>
    <w:rsid w:val="7DFEFE5D"/>
    <w:rsid w:val="7E4234E1"/>
    <w:rsid w:val="7E8B4E88"/>
    <w:rsid w:val="7EAD5374"/>
    <w:rsid w:val="7EEEF849"/>
    <w:rsid w:val="7F1D1F7C"/>
    <w:rsid w:val="7F7F4088"/>
    <w:rsid w:val="7FA91A6A"/>
    <w:rsid w:val="7FE78632"/>
    <w:rsid w:val="7FF64583"/>
    <w:rsid w:val="89F9FE2C"/>
    <w:rsid w:val="9EFB9A1A"/>
    <w:rsid w:val="ADF97C8D"/>
    <w:rsid w:val="BBF7CF0E"/>
    <w:rsid w:val="BF776F9E"/>
    <w:rsid w:val="DF7F03C4"/>
    <w:rsid w:val="E4BF6B41"/>
    <w:rsid w:val="E68E3900"/>
    <w:rsid w:val="E6DDA1A0"/>
    <w:rsid w:val="EBFDFCE7"/>
    <w:rsid w:val="ED7F8D37"/>
    <w:rsid w:val="EFF73684"/>
    <w:rsid w:val="F73FA963"/>
    <w:rsid w:val="F75CDDF4"/>
    <w:rsid w:val="F778F1A8"/>
    <w:rsid w:val="F78746CC"/>
    <w:rsid w:val="F7D870F2"/>
    <w:rsid w:val="F7FE5B16"/>
    <w:rsid w:val="F7FF4625"/>
    <w:rsid w:val="F95A9FA1"/>
    <w:rsid w:val="FABFA184"/>
    <w:rsid w:val="FB7735E5"/>
    <w:rsid w:val="FEFD4255"/>
    <w:rsid w:val="FFABB7A0"/>
    <w:rsid w:val="FFDDFA2F"/>
    <w:rsid w:val="FFFB59D8"/>
    <w:rsid w:val="FFFECA50"/>
    <w:rsid w:val="FFFFD5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1"/>
    <w:pPr>
      <w:ind w:left="244" w:right="326"/>
      <w:jc w:val="center"/>
      <w:outlineLvl w:val="0"/>
    </w:pPr>
    <w:rPr>
      <w:rFonts w:ascii="Microsoft JhengHei" w:hAnsi="Microsoft JhengHei" w:eastAsia="Microsoft JhengHei" w:cs="Microsoft JhengHei"/>
      <w:b/>
      <w:bCs/>
      <w:sz w:val="38"/>
      <w:szCs w:val="38"/>
      <w:lang w:val="zh-CN" w:bidi="zh-CN"/>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Salutation"/>
    <w:basedOn w:val="1"/>
    <w:next w:val="1"/>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4">
    <w:name w:val="Normal Indent"/>
    <w:basedOn w:val="1"/>
    <w:qFormat/>
    <w:uiPriority w:val="0"/>
    <w:pPr>
      <w:ind w:firstLine="200" w:firstLineChars="200"/>
    </w:pPr>
    <w:rPr>
      <w:rFonts w:ascii="Calibri" w:hAnsi="Calibri" w:eastAsia="宋体" w:cs="Times New Roman"/>
    </w:rPr>
  </w:style>
  <w:style w:type="paragraph" w:styleId="5">
    <w:name w:val="index 5"/>
    <w:basedOn w:val="1"/>
    <w:next w:val="1"/>
    <w:qFormat/>
    <w:uiPriority w:val="0"/>
    <w:pPr>
      <w:spacing w:line="340" w:lineRule="exact"/>
      <w:jc w:val="left"/>
    </w:pPr>
  </w:style>
  <w:style w:type="paragraph" w:styleId="6">
    <w:name w:val="Body Text"/>
    <w:basedOn w:val="1"/>
    <w:next w:val="5"/>
    <w:qFormat/>
    <w:uiPriority w:val="0"/>
    <w:pPr>
      <w:spacing w:after="120"/>
    </w:pPr>
    <w:rPr>
      <w:rFonts w:eastAsia="仿宋_GB2312"/>
    </w:rPr>
  </w:style>
  <w:style w:type="paragraph" w:styleId="7">
    <w:name w:val="Body Text Indent"/>
    <w:basedOn w:val="1"/>
    <w:unhideWhenUsed/>
    <w:qFormat/>
    <w:uiPriority w:val="99"/>
    <w:pPr>
      <w:spacing w:after="120"/>
      <w:ind w:left="420" w:leftChars="200"/>
    </w:pPr>
  </w:style>
  <w:style w:type="paragraph" w:styleId="8">
    <w:name w:val="Body Text Indent 2"/>
    <w:basedOn w:val="1"/>
    <w:qFormat/>
    <w:uiPriority w:val="0"/>
    <w:pPr>
      <w:spacing w:after="120" w:line="480" w:lineRule="auto"/>
      <w:ind w:left="420"/>
    </w:pPr>
  </w:style>
  <w:style w:type="paragraph" w:styleId="9">
    <w:name w:val="footer"/>
    <w:basedOn w:val="1"/>
    <w:link w:val="28"/>
    <w:semiHidden/>
    <w:unhideWhenUsed/>
    <w:qFormat/>
    <w:uiPriority w:val="99"/>
    <w:pPr>
      <w:tabs>
        <w:tab w:val="center" w:pos="4153"/>
        <w:tab w:val="right" w:pos="8306"/>
      </w:tabs>
      <w:snapToGrid w:val="0"/>
      <w:jc w:val="left"/>
    </w:pPr>
    <w:rPr>
      <w:sz w:val="18"/>
      <w:szCs w:val="18"/>
    </w:rPr>
  </w:style>
  <w:style w:type="paragraph" w:styleId="10">
    <w:name w:val="header"/>
    <w:basedOn w:val="1"/>
    <w:link w:val="2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jc w:val="left"/>
    </w:pPr>
    <w:rPr>
      <w:rFonts w:ascii="Times New Roman" w:hAnsi="Times New Roman" w:eastAsia="仿宋_GB2312" w:cs="Times New Roman"/>
      <w:kern w:val="0"/>
      <w:sz w:val="24"/>
      <w:szCs w:val="24"/>
    </w:rPr>
  </w:style>
  <w:style w:type="paragraph" w:styleId="12">
    <w:name w:val="Title"/>
    <w:basedOn w:val="1"/>
    <w:next w:val="1"/>
    <w:qFormat/>
    <w:uiPriority w:val="0"/>
    <w:pPr>
      <w:spacing w:line="0" w:lineRule="atLeast"/>
      <w:jc w:val="center"/>
      <w:outlineLvl w:val="0"/>
    </w:pPr>
    <w:rPr>
      <w:rFonts w:eastAsia="方正小标宋_GBK"/>
      <w:b/>
      <w:bCs/>
      <w:sz w:val="38"/>
      <w:szCs w:val="32"/>
    </w:rPr>
  </w:style>
  <w:style w:type="paragraph" w:styleId="13">
    <w:name w:val="Body Text First Indent"/>
    <w:basedOn w:val="6"/>
    <w:next w:val="14"/>
    <w:qFormat/>
    <w:uiPriority w:val="0"/>
    <w:pPr>
      <w:spacing w:after="0"/>
      <w:ind w:firstLine="420" w:firstLineChars="100"/>
    </w:pPr>
    <w:rPr>
      <w:rFonts w:eastAsia="仿宋_GB2312"/>
      <w:sz w:val="32"/>
    </w:rPr>
  </w:style>
  <w:style w:type="paragraph" w:styleId="14">
    <w:name w:val="Body Text First Indent 2"/>
    <w:basedOn w:val="7"/>
    <w:unhideWhenUsed/>
    <w:qFormat/>
    <w:uiPriority w:val="99"/>
    <w:pPr>
      <w:ind w:firstLine="420" w:firstLineChars="200"/>
    </w:p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Hyperlink"/>
    <w:basedOn w:val="17"/>
    <w:semiHidden/>
    <w:unhideWhenUsed/>
    <w:qFormat/>
    <w:uiPriority w:val="99"/>
    <w:rPr>
      <w:color w:val="0000FF"/>
      <w:u w:val="single"/>
    </w:rPr>
  </w:style>
  <w:style w:type="paragraph" w:customStyle="1" w:styleId="20">
    <w:name w:val="_Style 5"/>
    <w:qFormat/>
    <w:uiPriority w:val="99"/>
    <w:pPr>
      <w:widowControl w:val="0"/>
      <w:ind w:firstLine="200" w:firstLineChars="200"/>
      <w:jc w:val="both"/>
    </w:pPr>
    <w:rPr>
      <w:rFonts w:hint="eastAsia" w:ascii="Calibri" w:hAnsi="Calibri" w:eastAsia="宋体" w:cs="Times New Roman"/>
      <w:kern w:val="2"/>
      <w:sz w:val="24"/>
      <w:lang w:val="en-US" w:eastAsia="zh-CN" w:bidi="ar-SA"/>
    </w:rPr>
  </w:style>
  <w:style w:type="paragraph" w:customStyle="1" w:styleId="21">
    <w:name w:val="样式1"/>
    <w:basedOn w:val="1"/>
    <w:qFormat/>
    <w:uiPriority w:val="0"/>
    <w:rPr>
      <w:b/>
      <w:color w:val="538135"/>
      <w:sz w:val="28"/>
    </w:rPr>
  </w:style>
  <w:style w:type="paragraph" w:customStyle="1" w:styleId="22">
    <w:name w:val="msonormal"/>
    <w:basedOn w:val="1"/>
    <w:qFormat/>
    <w:uiPriority w:val="0"/>
    <w:pPr>
      <w:spacing w:before="100" w:beforeAutospacing="1" w:after="100" w:afterAutospacing="1"/>
    </w:pPr>
    <w:rPr>
      <w:rFonts w:ascii="宋体"/>
      <w:sz w:val="24"/>
      <w:szCs w:val="24"/>
    </w:rPr>
  </w:style>
  <w:style w:type="paragraph" w:customStyle="1" w:styleId="23">
    <w:name w:val="Body Text First Indent 21"/>
    <w:basedOn w:val="24"/>
    <w:qFormat/>
    <w:uiPriority w:val="99"/>
    <w:pPr>
      <w:ind w:firstLine="420" w:firstLineChars="200"/>
    </w:pPr>
  </w:style>
  <w:style w:type="paragraph" w:customStyle="1" w:styleId="24">
    <w:name w:val="Body Text Indent1"/>
    <w:basedOn w:val="25"/>
    <w:qFormat/>
    <w:uiPriority w:val="99"/>
    <w:pPr>
      <w:ind w:left="420" w:leftChars="200"/>
    </w:pPr>
    <w:rPr>
      <w:rFonts w:cs="Calibri"/>
      <w:sz w:val="24"/>
    </w:rPr>
  </w:style>
  <w:style w:type="paragraph" w:customStyle="1" w:styleId="25">
    <w:name w:val="正文 New New New"/>
    <w:qFormat/>
    <w:uiPriority w:val="0"/>
    <w:pPr>
      <w:widowControl w:val="0"/>
      <w:jc w:val="both"/>
    </w:pPr>
    <w:rPr>
      <w:rFonts w:ascii="Calibri" w:hAnsi="Calibri" w:eastAsia="宋体" w:cs="Times New Roman"/>
      <w:kern w:val="2"/>
      <w:sz w:val="21"/>
      <w:szCs w:val="22"/>
      <w:lang w:val="en-US" w:eastAsia="zh-CN" w:bidi="ar-SA"/>
    </w:rPr>
  </w:style>
  <w:style w:type="paragraph" w:styleId="26">
    <w:name w:val="List Paragraph"/>
    <w:basedOn w:val="1"/>
    <w:qFormat/>
    <w:uiPriority w:val="34"/>
    <w:pPr>
      <w:ind w:firstLine="420" w:firstLineChars="200"/>
    </w:pPr>
  </w:style>
  <w:style w:type="character" w:customStyle="1" w:styleId="27">
    <w:name w:val="页眉 Char"/>
    <w:basedOn w:val="17"/>
    <w:link w:val="10"/>
    <w:semiHidden/>
    <w:qFormat/>
    <w:uiPriority w:val="99"/>
    <w:rPr>
      <w:sz w:val="18"/>
      <w:szCs w:val="18"/>
    </w:rPr>
  </w:style>
  <w:style w:type="character" w:customStyle="1" w:styleId="28">
    <w:name w:val="页脚 Char"/>
    <w:basedOn w:val="17"/>
    <w:link w:val="9"/>
    <w:semiHidden/>
    <w:qFormat/>
    <w:uiPriority w:val="99"/>
    <w:rPr>
      <w:sz w:val="18"/>
      <w:szCs w:val="18"/>
    </w:rPr>
  </w:style>
  <w:style w:type="paragraph" w:customStyle="1" w:styleId="29">
    <w:name w:val="Default"/>
    <w:basedOn w:val="1"/>
    <w:qFormat/>
    <w:uiPriority w:val="99"/>
    <w:pPr>
      <w:autoSpaceDE w:val="0"/>
      <w:autoSpaceDN w:val="0"/>
    </w:pPr>
    <w:rPr>
      <w:color w:val="000000"/>
      <w:sz w:val="24"/>
    </w:rPr>
  </w:style>
  <w:style w:type="character" w:customStyle="1" w:styleId="30">
    <w:name w:val="font11"/>
    <w:basedOn w:val="17"/>
    <w:qFormat/>
    <w:uiPriority w:val="0"/>
    <w:rPr>
      <w:rFonts w:hint="default" w:ascii="Times New Roman" w:hAnsi="Times New Roman" w:cs="Times New Roman"/>
      <w:color w:val="000000"/>
      <w:sz w:val="24"/>
      <w:szCs w:val="24"/>
      <w:u w:val="none"/>
    </w:rPr>
  </w:style>
  <w:style w:type="character" w:customStyle="1" w:styleId="31">
    <w:name w:val="font71"/>
    <w:basedOn w:val="17"/>
    <w:qFormat/>
    <w:uiPriority w:val="0"/>
    <w:rPr>
      <w:rFonts w:hint="eastAsia" w:ascii="方正仿宋_GBK" w:hAnsi="方正仿宋_GBK" w:eastAsia="方正仿宋_GBK" w:cs="方正仿宋_GBK"/>
      <w:color w:val="000000"/>
      <w:sz w:val="24"/>
      <w:szCs w:val="24"/>
      <w:u w:val="none"/>
    </w:rPr>
  </w:style>
  <w:style w:type="character" w:customStyle="1" w:styleId="32">
    <w:name w:val="font31"/>
    <w:basedOn w:val="17"/>
    <w:qFormat/>
    <w:uiPriority w:val="0"/>
    <w:rPr>
      <w:rFonts w:hint="default" w:ascii="Times New Roman" w:hAnsi="Times New Roman" w:cs="Times New Roman"/>
      <w:b/>
      <w:bCs/>
      <w:color w:val="000000"/>
      <w:sz w:val="24"/>
      <w:szCs w:val="24"/>
      <w:u w:val="none"/>
    </w:rPr>
  </w:style>
  <w:style w:type="character" w:customStyle="1" w:styleId="33">
    <w:name w:val="font21"/>
    <w:basedOn w:val="17"/>
    <w:qFormat/>
    <w:uiPriority w:val="0"/>
    <w:rPr>
      <w:rFonts w:hint="eastAsia" w:ascii="方正黑体_GBK" w:hAnsi="方正黑体_GBK" w:eastAsia="方正黑体_GBK" w:cs="方正黑体_GBK"/>
      <w:color w:val="000000"/>
      <w:sz w:val="24"/>
      <w:szCs w:val="24"/>
      <w:u w:val="none"/>
    </w:rPr>
  </w:style>
  <w:style w:type="character" w:customStyle="1" w:styleId="34">
    <w:name w:val="font51"/>
    <w:basedOn w:val="17"/>
    <w:qFormat/>
    <w:uiPriority w:val="0"/>
    <w:rPr>
      <w:rFonts w:hint="default" w:ascii="Times New Roman" w:hAnsi="Times New Roman" w:cs="Times New Roman"/>
      <w:color w:val="000000"/>
      <w:sz w:val="24"/>
      <w:szCs w:val="24"/>
      <w:u w:val="none"/>
    </w:rPr>
  </w:style>
  <w:style w:type="character" w:customStyle="1" w:styleId="35">
    <w:name w:val="font41"/>
    <w:basedOn w:val="17"/>
    <w:qFormat/>
    <w:uiPriority w:val="0"/>
    <w:rPr>
      <w:rFonts w:hint="default" w:ascii="Times New Roman" w:hAnsi="Times New Roman" w:cs="Times New Roman"/>
      <w:b/>
      <w:bCs/>
      <w:color w:val="000000"/>
      <w:sz w:val="24"/>
      <w:szCs w:val="24"/>
      <w:u w:val="none"/>
    </w:rPr>
  </w:style>
  <w:style w:type="character" w:customStyle="1" w:styleId="36">
    <w:name w:val="font61"/>
    <w:basedOn w:val="17"/>
    <w:qFormat/>
    <w:uiPriority w:val="0"/>
    <w:rPr>
      <w:rFonts w:hint="default" w:ascii="Times New Roman" w:hAnsi="Times New Roman" w:cs="Times New Roman"/>
      <w:color w:val="000000"/>
      <w:sz w:val="24"/>
      <w:szCs w:val="24"/>
      <w:u w:val="none"/>
    </w:rPr>
  </w:style>
  <w:style w:type="character" w:customStyle="1" w:styleId="37">
    <w:name w:val="font131"/>
    <w:basedOn w:val="17"/>
    <w:qFormat/>
    <w:uiPriority w:val="0"/>
    <w:rPr>
      <w:rFonts w:hint="eastAsia" w:ascii="方正仿宋_GBK" w:hAnsi="方正仿宋_GBK" w:eastAsia="方正仿宋_GBK" w:cs="方正仿宋_GBK"/>
      <w:color w:val="000000"/>
      <w:sz w:val="24"/>
      <w:szCs w:val="24"/>
      <w:u w:val="none"/>
    </w:rPr>
  </w:style>
  <w:style w:type="character" w:customStyle="1" w:styleId="38">
    <w:name w:val="font01"/>
    <w:basedOn w:val="17"/>
    <w:qFormat/>
    <w:uiPriority w:val="0"/>
    <w:rPr>
      <w:rFonts w:hint="default" w:ascii="Times New Roman" w:hAnsi="Times New Roman" w:cs="Times New Roman"/>
      <w:color w:val="000000"/>
      <w:sz w:val="24"/>
      <w:szCs w:val="24"/>
      <w:u w:val="none"/>
    </w:rPr>
  </w:style>
  <w:style w:type="character" w:customStyle="1" w:styleId="39">
    <w:name w:val="font101"/>
    <w:basedOn w:val="17"/>
    <w:qFormat/>
    <w:uiPriority w:val="0"/>
    <w:rPr>
      <w:rFonts w:hint="eastAsia" w:ascii="方正仿宋_GBK" w:hAnsi="方正仿宋_GBK" w:eastAsia="方正仿宋_GBK" w:cs="方正仿宋_GBK"/>
      <w:color w:val="000000"/>
      <w:sz w:val="22"/>
      <w:szCs w:val="22"/>
      <w:u w:val="none"/>
    </w:rPr>
  </w:style>
  <w:style w:type="character" w:customStyle="1" w:styleId="40">
    <w:name w:val="font81"/>
    <w:basedOn w:val="17"/>
    <w:qFormat/>
    <w:uiPriority w:val="0"/>
    <w:rPr>
      <w:rFonts w:hint="eastAsia" w:ascii="方正仿宋_GBK" w:hAnsi="方正仿宋_GBK" w:eastAsia="方正仿宋_GBK" w:cs="方正仿宋_GBK"/>
      <w:color w:val="000000"/>
      <w:sz w:val="25"/>
      <w:szCs w:val="25"/>
      <w:u w:val="none"/>
    </w:rPr>
  </w:style>
  <w:style w:type="character" w:customStyle="1" w:styleId="41">
    <w:name w:val="font91"/>
    <w:basedOn w:val="17"/>
    <w:qFormat/>
    <w:uiPriority w:val="0"/>
    <w:rPr>
      <w:rFonts w:hint="default" w:ascii="Times New Roman" w:hAnsi="Times New Roman" w:cs="Times New Roman"/>
      <w:color w:val="000000"/>
      <w:sz w:val="24"/>
      <w:szCs w:val="24"/>
      <w:u w:val="none"/>
    </w:rPr>
  </w:style>
  <w:style w:type="character" w:customStyle="1" w:styleId="42">
    <w:name w:val="font141"/>
    <w:basedOn w:val="17"/>
    <w:qFormat/>
    <w:uiPriority w:val="0"/>
    <w:rPr>
      <w:rFonts w:hint="eastAsia" w:ascii="方正仿宋_GBK" w:hAnsi="方正仿宋_GBK" w:eastAsia="方正仿宋_GBK" w:cs="方正仿宋_GBK"/>
      <w:color w:val="000000"/>
      <w:sz w:val="25"/>
      <w:szCs w:val="25"/>
      <w:u w:val="none"/>
    </w:rPr>
  </w:style>
  <w:style w:type="character" w:customStyle="1" w:styleId="43">
    <w:name w:val="font121"/>
    <w:basedOn w:val="17"/>
    <w:qFormat/>
    <w:uiPriority w:val="0"/>
    <w:rPr>
      <w:rFonts w:hint="default" w:ascii="Times New Roman" w:hAnsi="Times New Roman" w:cs="Times New Roman"/>
      <w:color w:val="000000"/>
      <w:sz w:val="25"/>
      <w:szCs w:val="25"/>
      <w:u w:val="none"/>
    </w:rPr>
  </w:style>
  <w:style w:type="character" w:customStyle="1" w:styleId="44">
    <w:name w:val="NormalCharacter"/>
    <w:semiHidden/>
    <w:qFormat/>
    <w:uiPriority w:val="0"/>
    <w:rPr>
      <w:lang w:val="en-US" w:eastAsia="zh-CN" w:bidi="ar-SA"/>
    </w:rPr>
  </w:style>
  <w:style w:type="paragraph" w:customStyle="1" w:styleId="45">
    <w:name w:val="无间隔1"/>
    <w:qFormat/>
    <w:uiPriority w:val="0"/>
    <w:pPr>
      <w:widowControl w:val="0"/>
      <w:jc w:val="center"/>
    </w:pPr>
    <w:rPr>
      <w:rFonts w:ascii="Times New Roman" w:hAnsi="Times New Roman" w:eastAsia="仿宋" w:cs="Times New Roman"/>
      <w:kern w:val="2"/>
      <w:sz w:val="24"/>
      <w:szCs w:val="22"/>
      <w:lang w:val="en-US" w:eastAsia="zh-CN" w:bidi="ar-SA"/>
    </w:rPr>
  </w:style>
  <w:style w:type="paragraph" w:customStyle="1" w:styleId="46">
    <w:name w:val="msonormalhead"/>
    <w:basedOn w:val="1"/>
    <w:qFormat/>
    <w:uiPriority w:val="0"/>
    <w:pPr>
      <w:jc w:val="left"/>
    </w:pPr>
    <w:rPr>
      <w:rFonts w:ascii="Calibri" w:hAnsi="Calibri"/>
      <w:kern w:val="0"/>
      <w:sz w:val="22"/>
    </w:rPr>
  </w:style>
  <w:style w:type="paragraph" w:customStyle="1" w:styleId="47">
    <w:name w:val="正文首行缩进 21"/>
    <w:basedOn w:val="48"/>
    <w:next w:val="1"/>
    <w:qFormat/>
    <w:uiPriority w:val="0"/>
    <w:pPr>
      <w:ind w:firstLine="420" w:firstLineChars="200"/>
    </w:pPr>
    <w:rPr>
      <w:rFonts w:ascii="Times New Roman" w:eastAsia="宋体"/>
    </w:rPr>
  </w:style>
  <w:style w:type="paragraph" w:customStyle="1" w:styleId="48">
    <w:name w:val="正文文本缩进1"/>
    <w:basedOn w:val="1"/>
    <w:qFormat/>
    <w:uiPriority w:val="0"/>
    <w:pPr>
      <w:spacing w:line="600" w:lineRule="atLeast"/>
      <w:ind w:firstLine="600"/>
    </w:pPr>
    <w:rPr>
      <w:rFonts w:ascii="仿宋_GB2312" w:hAnsi="Times New Roman" w:eastAsia="仿宋_GB2312"/>
      <w:b/>
      <w:bCs/>
      <w:sz w:val="30"/>
      <w:szCs w:val="30"/>
    </w:rPr>
  </w:style>
  <w:style w:type="character" w:customStyle="1" w:styleId="49">
    <w:name w:val="fontstyle41"/>
    <w:basedOn w:val="17"/>
    <w:qFormat/>
    <w:uiPriority w:val="0"/>
    <w:rPr>
      <w:rFonts w:ascii="方正仿宋_GBK" w:eastAsia="方正仿宋_GBK" w:cs="Times New Roman"/>
      <w:color w:val="000000"/>
      <w:sz w:val="34"/>
      <w:szCs w:val="34"/>
    </w:rPr>
  </w:style>
  <w:style w:type="paragraph" w:customStyle="1" w:styleId="50">
    <w:name w:val="UserStyle_0"/>
    <w:basedOn w:val="51"/>
    <w:qFormat/>
    <w:uiPriority w:val="0"/>
    <w:pPr>
      <w:ind w:firstLine="200" w:firstLineChars="200"/>
      <w:jc w:val="both"/>
      <w:textAlignment w:val="baseline"/>
    </w:pPr>
    <w:rPr>
      <w:rFonts w:ascii="Calibri" w:hAnsi="Calibri" w:eastAsia="宋体" w:cs="Times New Roman"/>
      <w:kern w:val="2"/>
      <w:sz w:val="24"/>
      <w:lang w:val="en-US" w:eastAsia="zh-CN" w:bidi="ar-SA"/>
    </w:rPr>
  </w:style>
  <w:style w:type="paragraph" w:customStyle="1" w:styleId="51">
    <w:name w:val="UserStyle_1"/>
    <w:basedOn w:val="1"/>
    <w:qFormat/>
    <w:uiPriority w:val="0"/>
    <w:pPr>
      <w:ind w:left="420" w:leftChars="200"/>
    </w:pPr>
    <w:rPr>
      <w:kern w:val="0"/>
      <w:sz w:val="20"/>
      <w:szCs w:val="20"/>
    </w:rPr>
  </w:style>
  <w:style w:type="paragraph" w:customStyle="1" w:styleId="52">
    <w:name w:val="BodyText"/>
    <w:basedOn w:val="1"/>
    <w:qFormat/>
    <w:uiPriority w:val="0"/>
    <w:pPr>
      <w:spacing w:after="120"/>
    </w:pPr>
  </w:style>
  <w:style w:type="paragraph" w:customStyle="1" w:styleId="53">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13</Pages>
  <Words>6009</Words>
  <Characters>6395</Characters>
  <Lines>60</Lines>
  <Paragraphs>16</Paragraphs>
  <TotalTime>0</TotalTime>
  <ScaleCrop>false</ScaleCrop>
  <LinksUpToDate>false</LinksUpToDate>
  <CharactersWithSpaces>6421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2023-04-29T08:36:00Z</dcterms:created>
  <dc:creator>China</dc:creator>
  <cp:lastModifiedBy>明航</cp:lastModifiedBy>
  <cp:lastPrinted>2026-06-17T16:08:00Z</cp:lastPrinted>
  <dcterms:modified xsi:type="dcterms:W3CDTF">2026-06-17T10:19:02Z</dcterms:modified>
  <cp:revision>105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0D66669A5DD64166BE43E7941B95FB2F_13</vt:lpwstr>
  </property>
  <property fmtid="{D5CDD505-2E9C-101B-9397-08002B2CF9AE}" pid="4" name="KSOTemplateDocerSaveRecord">
    <vt:lpwstr>eyJoZGlkIjoiYWY3N2E2OGVlOGExNDQ0NDNlNTA3NGQxOTQ3ZDZjMDYiLCJ1c2VySWQiOiIxNjM3MDMzOTAzIn0=</vt:lpwstr>
  </property>
</Properties>
</file>