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  <w:t>部门整体绩效目标完成情况自评表</w:t>
      </w:r>
    </w:p>
    <w:bookmarkEnd w:id="1"/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jc w:val="center"/>
        <w:textAlignment w:val="auto"/>
        <w:outlineLvl w:val="4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2025年度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eastAsia="zh-CN" w:bidi="ar"/>
        </w:rPr>
        <w:t>）</w:t>
      </w:r>
    </w:p>
    <w:tbl>
      <w:tblPr>
        <w:tblStyle w:val="4"/>
        <w:tblW w:w="105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286"/>
        <w:gridCol w:w="959"/>
        <w:gridCol w:w="2173"/>
        <w:gridCol w:w="924"/>
        <w:gridCol w:w="129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righ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西区陶家渡街道办事处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4196.37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4196.37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年度总体目标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在区委、区政府的领导下，加强政治建设、基层党组织建设，推进各项事业平稳健康发展。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年度主要任务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保障员工薪资福利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全年按时发放行政事业、行政临聘、社区干部、网格员、公益性岗位等人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员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工资及社医保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确保全单位工作正常运转和有序开展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；完成项目工作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有序开展基层自治、对外宣传、组织文体活动、开展燃气安全等入户排查、对生病困难的党员同志和建档立卡困户走访慰问、对辖区重点人群开展谈心谈话重点稳控，接受省、市、区各业务主管部门工作指导及检查监督，完善街办各类制度，优化健全各类办事流程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年度绩效指标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绩效指标性质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绩效指标值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绩效度量单位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实际完成指标值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保障员工薪资福利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＝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组织环境卫生集中整治活动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≥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保障全年工作计划有序推进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维持街办日常运转，确保各项项目实施经费充足，保质保量完成各项工作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全年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全年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1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成本指标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成本控制在4196.37万元以内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≤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4196.37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4196.37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社会效益指标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巩固基层治理成果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巩固基层治理成果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持续提高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生态效益指标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提升人居环境，贯彻绿水青山理念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提升人居环境，贯彻绿水青山理念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经济效益指标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完成2025年既定经济工作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完成2025年既定经济工作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outlineLvl w:val="9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超任务持续增长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满意度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不断提高为民服务能力，提升群众满意度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≥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B4666"/>
    <w:rsid w:val="2C8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2026-06-17T09:59:00Z</dcterms:created>
  <dc:creator>收发员</dc:creator>
  <cp:lastModifiedBy>收发员</cp:lastModifiedBy>
  <dcterms:modified xsi:type="dcterms:W3CDTF">2026-06-17T10:03:06Z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