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DC145">
      <w:pPr>
        <w:spacing w:line="578" w:lineRule="exact"/>
        <w:contextualSpacing/>
        <w:rPr>
          <w:rFonts w:eastAsia="黑体"/>
          <w:szCs w:val="32"/>
          <w:lang w:val="zh-CN"/>
        </w:rPr>
      </w:pPr>
      <w:r>
        <w:rPr>
          <w:rFonts w:eastAsia="黑体"/>
          <w:szCs w:val="32"/>
          <w:lang w:val="zh-CN"/>
        </w:rPr>
        <w:t>附件</w:t>
      </w:r>
      <w:r>
        <w:rPr>
          <w:rFonts w:eastAsia="黑体"/>
          <w:szCs w:val="32"/>
        </w:rPr>
        <w:t>2</w:t>
      </w:r>
    </w:p>
    <w:p w14:paraId="77DBE7A6">
      <w:pPr>
        <w:widowControl/>
        <w:spacing w:line="578" w:lineRule="exact"/>
        <w:contextualSpacing/>
        <w:rPr>
          <w:rFonts w:eastAsia="宋体"/>
          <w:b/>
          <w:sz w:val="44"/>
          <w:szCs w:val="44"/>
          <w:shd w:val="clear" w:color="auto" w:fill="FFFFFF"/>
        </w:rPr>
      </w:pPr>
    </w:p>
    <w:p w14:paraId="31784829">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w:t>
      </w:r>
      <w:bookmarkStart w:id="3" w:name="_GoBack"/>
      <w:bookmarkEnd w:id="3"/>
      <w:r>
        <w:rPr>
          <w:rFonts w:eastAsia="方正小标宋简体"/>
          <w:bCs/>
          <w:sz w:val="44"/>
          <w:szCs w:val="44"/>
          <w:shd w:val="clear" w:color="auto" w:fill="FFFFFF"/>
        </w:rPr>
        <w:t>告</w:t>
      </w:r>
    </w:p>
    <w:p w14:paraId="43706B85">
      <w:pPr>
        <w:widowControl/>
        <w:spacing w:line="578" w:lineRule="exact"/>
        <w:contextualSpacing/>
        <w:jc w:val="center"/>
        <w:rPr>
          <w:szCs w:val="32"/>
          <w:shd w:val="clear" w:color="auto" w:fill="FFFFFF"/>
        </w:rPr>
      </w:pPr>
      <w:r>
        <w:rPr>
          <w:szCs w:val="32"/>
          <w:shd w:val="clear" w:color="auto" w:fill="FFFFFF"/>
        </w:rPr>
        <w:t>（报告范围包括机关和下属单位）</w:t>
      </w:r>
    </w:p>
    <w:p w14:paraId="43DC3E00">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5C5021DE">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14:paraId="22017532">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rPr>
      </w:pPr>
      <w:r>
        <w:rPr>
          <w:rFonts w:eastAsia="楷体_GB2312"/>
          <w:b/>
          <w:bCs/>
          <w:color w:val="000000"/>
          <w:kern w:val="0"/>
          <w:szCs w:val="32"/>
          <w:shd w:val="clear" w:color="auto" w:fill="FFFFFF"/>
          <w:lang w:val="zh-CN"/>
        </w:rPr>
        <w:t>（一）机构组成。</w:t>
      </w:r>
    </w:p>
    <w:p w14:paraId="32AE4D08">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楷体_GB2312"/>
          <w:b/>
          <w:bCs/>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西区团委</w:t>
      </w:r>
      <w:r>
        <w:rPr>
          <w:rFonts w:hint="eastAsia" w:ascii="Times New Roman" w:hAnsi="Times New Roman" w:cs="Times New Roman"/>
          <w:color w:val="000000"/>
          <w:kern w:val="0"/>
          <w:szCs w:val="32"/>
          <w:shd w:val="clear" w:color="auto" w:fill="FFFFFF"/>
          <w:lang w:val="en-US" w:eastAsia="zh-CN"/>
        </w:rPr>
        <w:t>内设股室0个，下属二级单位1个，其中行政单位0个，参照公务员法管理的事业单位0个，其他事业单位1个，攀枝花市西区青少年活动中心</w:t>
      </w:r>
      <w:r>
        <w:rPr>
          <w:rFonts w:hint="eastAsia" w:ascii="楷体_GB2312" w:hAnsi="楷体_GB2312" w:eastAsia="楷体_GB2312" w:cs="楷体_GB2312"/>
          <w:i w:val="0"/>
          <w:caps w:val="0"/>
          <w:color w:val="333333"/>
          <w:spacing w:val="0"/>
          <w:kern w:val="2"/>
          <w:sz w:val="32"/>
          <w:szCs w:val="32"/>
          <w:shd w:val="clear" w:fill="FFFFFF"/>
          <w:lang w:val="en-US" w:eastAsia="zh-CN" w:bidi="ar-SA"/>
        </w:rPr>
        <w:t>。</w:t>
      </w:r>
    </w:p>
    <w:p w14:paraId="19F50DED">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14:paraId="33B1D0F7">
      <w:pPr>
        <w:keepNext w:val="0"/>
        <w:keepLines w:val="0"/>
        <w:pageBreakBefore w:val="0"/>
        <w:kinsoku/>
        <w:wordWrap/>
        <w:overflowPunct/>
        <w:topLinePunct w:val="0"/>
        <w:autoSpaceDE/>
        <w:autoSpaceDN/>
        <w:bidi w:val="0"/>
        <w:spacing w:line="360" w:lineRule="auto"/>
        <w:ind w:firstLine="640" w:firstLineChars="200"/>
        <w:textAlignment w:val="auto"/>
        <w:rPr>
          <w:rFonts w:hint="eastAsia" w:eastAsia="仿宋"/>
          <w:b/>
          <w:bCs/>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zh-CN" w:eastAsia="zh-CN"/>
        </w:rPr>
        <w:t>西区团委主要职责：认真贯彻区委、团市委和有关决议和方针、政策、领导全区共青团、青联、学联和少先队工作，抓好青少年教育工作。认真贯彻有关青少年事业的法律、法规、制定我区青少年工作方针和青少年事业发展规划，协助区委、区政府处理、协调与青少年利益相关的事务，维护青少年合法权益。负责对全区青少年活动阵地、青少年服务机构的建设进行规划和管理；指导和管理全区性青年社团组织。调查青年思想动态和青年工作状况，研究青少年工作理论和新形势下青少年思想教育中出现的新问题，提出相应对策，开展好各种寓教于乐的活动。协助教育主管部门做好全区中、小学校学生的教育管理工作，开展好假期社会实践活动，优化青少年成长环境，维护学校稳定和社会安定团结。坚持“党建带团建”的基本原则，切实加强共青团的基层组织建设，特别是农村、社区新经济组织团的组织建设，逐步建立与社会主义市场经济相适应的团的工作运行机制。在全区青年中继续推进新世纪读书计划、“保护母亲河”行动和青年科技创新行动，深化争得“青年岗位能手”、争创“青年文明号”、“争当青年致富能手”、“争创青年文明户”和创新创效活动，动员和组织青年在推动先进生产力的发展中发挥积极作用。认真贯彻实施青年统战工作政策，做好我去青年统战对象的团结教育工作，维护祖国统一和民族团结；协同有关部门抓好全区青少年对外交流、交往工作。积极协调配合有关部门做好青少年的教育工作</w:t>
      </w:r>
      <w:r>
        <w:rPr>
          <w:rFonts w:hint="eastAsia" w:ascii="仿宋" w:hAnsi="仿宋" w:eastAsia="仿宋"/>
          <w:sz w:val="32"/>
          <w:szCs w:val="32"/>
          <w:lang w:eastAsia="zh-CN"/>
        </w:rPr>
        <w:t>。</w:t>
      </w:r>
    </w:p>
    <w:p w14:paraId="6EA97260">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14:paraId="2293D3D4">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根据2025年度部门决算数据，截至2025年末，我单位年末实有人数4人（行政人员2人，事业人员1人，聘用人员1人）。与上年相比减少1人。</w:t>
      </w:r>
    </w:p>
    <w:p w14:paraId="4721ADB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14:paraId="4AB6BF12">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14:paraId="7B457A8F">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rPr>
      </w:pPr>
      <w:r>
        <w:rPr>
          <w:rFonts w:hint="eastAsia" w:ascii="Times New Roman" w:hAnsi="Times New Roman" w:cs="Times New Roman"/>
          <w:color w:val="000000"/>
          <w:kern w:val="0"/>
          <w:szCs w:val="32"/>
          <w:shd w:val="clear" w:color="auto" w:fill="FFFFFF"/>
          <w:lang w:val="en-US" w:eastAsia="zh-CN"/>
        </w:rPr>
        <w:t>团区委2025年度全年决算收入91.64万元，其中：一般公共预算财政拨款收入88.34万元，占总收入96.40%；年初结转结余3.30万元，占总收入3.60%。本年收入较上年度减少36.37万元，下降28.41%，主要原因是人员经费及项目经费减少</w:t>
      </w:r>
      <w:r>
        <w:rPr>
          <w:rFonts w:ascii="Times New Roman" w:hAnsi="Times New Roman" w:cs="Times New Roman"/>
          <w:szCs w:val="32"/>
        </w:rPr>
        <w:t>。</w:t>
      </w:r>
    </w:p>
    <w:p w14:paraId="6F4C9D98">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14:paraId="315AAE2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2025年度决算支出91.64万元，其中：基本支出67.99万元，占比74.19%（人员经费62.87万元，公用经费5.12万元）；项目支出23.64万元，占比25.81%。按经济分类：工资福利支出62.87万元，商品和服务支出28.77万元。</w:t>
      </w:r>
    </w:p>
    <w:p w14:paraId="658CC2B9">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14:paraId="617A898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cs="Times New Roman"/>
          <w:color w:val="000000"/>
          <w:kern w:val="0"/>
          <w:szCs w:val="32"/>
          <w:shd w:val="clear" w:color="auto" w:fill="FFFFFF"/>
          <w:lang w:val="en-US" w:eastAsia="zh-CN"/>
        </w:rPr>
        <w:t>团区委2025年度决算无年末结转结余资金。年初结转结余3.30万元已在本年全部支出</w:t>
      </w:r>
      <w:r>
        <w:rPr>
          <w:color w:val="000000"/>
          <w:kern w:val="0"/>
          <w:szCs w:val="32"/>
          <w:shd w:val="clear" w:color="auto" w:fill="FFFFFF"/>
        </w:rPr>
        <w:t>。</w:t>
      </w:r>
    </w:p>
    <w:p w14:paraId="11119625">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14:paraId="1758E4A1">
      <w:pPr>
        <w:keepNext w:val="0"/>
        <w:keepLines w:val="0"/>
        <w:pageBreakBefore w:val="0"/>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1B2AFAD8">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r>
        <w:rPr>
          <w:color w:val="000000"/>
          <w:kern w:val="0"/>
          <w:szCs w:val="32"/>
          <w:shd w:val="clear" w:color="auto" w:fill="FFFFFF"/>
          <w:lang w:val="zh-CN"/>
        </w:rPr>
        <w:t>部门整体绩效目标中选定3</w:t>
      </w:r>
      <w:r>
        <w:rPr>
          <w:rFonts w:hint="eastAsia"/>
          <w:color w:val="000000"/>
          <w:kern w:val="0"/>
          <w:szCs w:val="32"/>
          <w:shd w:val="clear" w:color="auto" w:fill="FFFFFF"/>
          <w:lang w:val="zh-CN"/>
        </w:rPr>
        <w:t>—</w:t>
      </w:r>
      <w:r>
        <w:rPr>
          <w:color w:val="000000"/>
          <w:kern w:val="0"/>
          <w:szCs w:val="32"/>
          <w:shd w:val="clear" w:color="auto" w:fill="FFFFFF"/>
          <w:lang w:val="zh-CN"/>
        </w:rPr>
        <w:t>5个核心职能目标，对职能目标完成效果情况绩效分析。</w:t>
      </w:r>
    </w:p>
    <w:p w14:paraId="685E4114">
      <w:pPr>
        <w:pStyle w:val="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b w:val="0"/>
          <w:color w:val="000000"/>
          <w:kern w:val="0"/>
          <w:sz w:val="32"/>
          <w:szCs w:val="32"/>
          <w:shd w:val="clear" w:color="auto" w:fill="FFFFFF"/>
          <w:lang w:val="en-US" w:eastAsia="zh-CN" w:bidi="ar-SA"/>
        </w:rPr>
      </w:pPr>
      <w:r>
        <w:rPr>
          <w:rFonts w:hint="eastAsia" w:ascii="Times New Roman" w:hAnsi="Times New Roman" w:eastAsia="仿宋_GB2312" w:cs="Times New Roman"/>
          <w:b w:val="0"/>
          <w:color w:val="000000"/>
          <w:kern w:val="0"/>
          <w:sz w:val="32"/>
          <w:szCs w:val="32"/>
          <w:shd w:val="clear" w:color="auto" w:fill="FFFFFF"/>
          <w:lang w:val="en-US" w:eastAsia="zh-CN" w:bidi="ar-SA"/>
        </w:rPr>
        <w:t>2025年，团区委紧紧围绕区委、区政府中心工作，认真履行引领凝聚青年、组织动员青年、联系服务青年的职责使命，着力提升团的引领力、组织力、服务力和大局贡献度</w:t>
      </w:r>
      <w:r>
        <w:rPr>
          <w:rFonts w:hint="eastAsia" w:eastAsia="仿宋_GB2312" w:cs="Times New Roman"/>
          <w:b w:val="0"/>
          <w:color w:val="000000"/>
          <w:kern w:val="0"/>
          <w:sz w:val="32"/>
          <w:szCs w:val="32"/>
          <w:shd w:val="clear" w:color="auto" w:fill="FFFFFF"/>
          <w:lang w:val="en-US" w:eastAsia="zh-CN" w:bidi="ar-SA"/>
        </w:rPr>
        <w:t>。</w:t>
      </w:r>
    </w:p>
    <w:p w14:paraId="5D43D905">
      <w:pPr>
        <w:pStyle w:val="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eastAsia" w:ascii="Times New Roman" w:hAnsi="Times New Roman" w:eastAsia="仿宋_GB2312" w:cs="Times New Roman"/>
          <w:b w:val="0"/>
          <w:color w:val="000000"/>
          <w:kern w:val="0"/>
          <w:sz w:val="32"/>
          <w:szCs w:val="32"/>
          <w:shd w:val="clear" w:color="auto" w:fill="FFFFFF"/>
          <w:lang w:val="en-US" w:eastAsia="zh-CN" w:bidi="ar-SA"/>
        </w:rPr>
        <w:t>（1）</w:t>
      </w:r>
      <w:r>
        <w:rPr>
          <w:rFonts w:hint="default" w:ascii="Times New Roman" w:hAnsi="Times New Roman" w:eastAsia="仿宋_GB2312" w:cs="Times New Roman"/>
          <w:b w:val="0"/>
          <w:color w:val="000000"/>
          <w:kern w:val="0"/>
          <w:sz w:val="32"/>
          <w:szCs w:val="32"/>
          <w:shd w:val="clear" w:color="auto" w:fill="FFFFFF"/>
          <w:lang w:val="en-US" w:eastAsia="zh-CN" w:bidi="ar-SA"/>
        </w:rPr>
        <w:t>聚焦思想引领，筑牢青年理想信念根基。 线上依托“青年大学习”主题团课、“红领巾爱学习”主题队课督促各级团支部、学校少先队常态化抓好学习教育。线下组织开展全民国家安全教育日宣讲活动、示范性入团仪式、“跨越青春，担当未来”成人仪式活动、学习贯彻党的二十届三中全会精神宣讲会等各类主题教育活动，覆盖青联委员及团员青年60余人次。</w:t>
      </w:r>
    </w:p>
    <w:p w14:paraId="3C8BD007">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default" w:ascii="Times New Roman" w:hAnsi="Times New Roman" w:eastAsia="仿宋_GB2312" w:cs="Times New Roman"/>
          <w:b w:val="0"/>
          <w:color w:val="000000"/>
          <w:kern w:val="0"/>
          <w:sz w:val="32"/>
          <w:szCs w:val="32"/>
          <w:shd w:val="clear" w:color="auto" w:fill="FFFFFF"/>
          <w:lang w:val="en-US" w:eastAsia="zh-CN" w:bidi="ar-SA"/>
        </w:rPr>
        <w:t>（</w:t>
      </w:r>
      <w:r>
        <w:rPr>
          <w:rFonts w:hint="eastAsia" w:ascii="Times New Roman" w:hAnsi="Times New Roman" w:eastAsia="仿宋_GB2312" w:cs="Times New Roman"/>
          <w:b w:val="0"/>
          <w:color w:val="000000"/>
          <w:kern w:val="0"/>
          <w:sz w:val="32"/>
          <w:szCs w:val="32"/>
          <w:shd w:val="clear" w:color="auto" w:fill="FFFFFF"/>
          <w:lang w:val="en-US" w:eastAsia="zh-CN" w:bidi="ar-SA"/>
        </w:rPr>
        <w:t>2</w:t>
      </w:r>
      <w:r>
        <w:rPr>
          <w:rFonts w:hint="default" w:ascii="Times New Roman" w:hAnsi="Times New Roman" w:eastAsia="仿宋_GB2312" w:cs="Times New Roman"/>
          <w:b w:val="0"/>
          <w:color w:val="000000"/>
          <w:kern w:val="0"/>
          <w:sz w:val="32"/>
          <w:szCs w:val="32"/>
          <w:shd w:val="clear" w:color="auto" w:fill="FFFFFF"/>
          <w:lang w:val="en-US" w:eastAsia="zh-CN" w:bidi="ar-SA"/>
        </w:rPr>
        <w:t>）聚焦改革强基，不断强化团组织自身建设。 选派2名同志到团区委挂职锻炼，形成“一正一副一兼两挂”的领导班子。聘任9名大学生为镇（街道）团（工）委兼职副书记。严把团员入口关，发展新团员412人，接收团员355人。开展“红领巾小主播”主题微队课活动，2名少先队员作品入选团市委优秀作品展。全区共16人荣获市级“红领巾奖章”个人三星章、6个集体获集体三星章。</w:t>
      </w:r>
    </w:p>
    <w:p w14:paraId="0614367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default" w:ascii="Times New Roman" w:hAnsi="Times New Roman" w:eastAsia="仿宋_GB2312" w:cs="Times New Roman"/>
          <w:b w:val="0"/>
          <w:color w:val="000000"/>
          <w:kern w:val="0"/>
          <w:sz w:val="32"/>
          <w:szCs w:val="32"/>
          <w:shd w:val="clear" w:color="auto" w:fill="FFFFFF"/>
          <w:lang w:val="en-US" w:eastAsia="zh-CN" w:bidi="ar-SA"/>
        </w:rPr>
        <w:t>（</w:t>
      </w:r>
      <w:r>
        <w:rPr>
          <w:rFonts w:hint="eastAsia" w:ascii="Times New Roman" w:hAnsi="Times New Roman" w:eastAsia="仿宋_GB2312" w:cs="Times New Roman"/>
          <w:b w:val="0"/>
          <w:color w:val="000000"/>
          <w:kern w:val="0"/>
          <w:sz w:val="32"/>
          <w:szCs w:val="32"/>
          <w:shd w:val="clear" w:color="auto" w:fill="FFFFFF"/>
          <w:lang w:val="en-US" w:eastAsia="zh-CN" w:bidi="ar-SA"/>
        </w:rPr>
        <w:t>3</w:t>
      </w:r>
      <w:r>
        <w:rPr>
          <w:rFonts w:hint="default" w:ascii="Times New Roman" w:hAnsi="Times New Roman" w:eastAsia="仿宋_GB2312" w:cs="Times New Roman"/>
          <w:b w:val="0"/>
          <w:color w:val="000000"/>
          <w:kern w:val="0"/>
          <w:sz w:val="32"/>
          <w:szCs w:val="32"/>
          <w:shd w:val="clear" w:color="auto" w:fill="FFFFFF"/>
          <w:lang w:val="en-US" w:eastAsia="zh-CN" w:bidi="ar-SA"/>
        </w:rPr>
        <w:t>）聚焦青年主体，切实满足青年成长需求。 持续深化“暖冬行动”“微心愿”等品牌工作，走访慰问困境儿童，发放慰问金1500元及慰问物资。开展“共青团与人大代表、政协委员面对面”活动，举办各类法治宣传教育活动，发放普法宣传资料1000余份。组织少先队员开展“书信手拉手”活动，组织辖区84名城乡留守儿童、困境儿童开展暑期公益夏令营活动。联合区青少年活动中心开展第二十期圆梦蒲公英公益课程培训活动，开设八门课程，累计惠及青少年1337人次</w:t>
      </w:r>
      <w:r>
        <w:rPr>
          <w:rFonts w:hint="eastAsia" w:cs="Times New Roman"/>
          <w:b w:val="0"/>
          <w:color w:val="000000"/>
          <w:kern w:val="0"/>
          <w:sz w:val="32"/>
          <w:szCs w:val="32"/>
          <w:shd w:val="clear" w:color="auto" w:fill="FFFFFF"/>
          <w:lang w:val="en-US" w:eastAsia="zh-CN" w:bidi="ar-SA"/>
        </w:rPr>
        <w:t>。</w:t>
      </w:r>
    </w:p>
    <w:p w14:paraId="145FDFDF">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en-US" w:eastAsia="zh-CN"/>
        </w:rPr>
        <w:t>（4）</w:t>
      </w:r>
      <w:r>
        <w:rPr>
          <w:rFonts w:hint="default" w:ascii="Times New Roman" w:hAnsi="Times New Roman" w:cs="Times New Roman"/>
          <w:color w:val="000000"/>
          <w:kern w:val="0"/>
          <w:szCs w:val="32"/>
          <w:shd w:val="clear" w:color="auto" w:fill="FFFFFF"/>
          <w:lang w:val="en-US" w:eastAsia="zh-CN"/>
        </w:rPr>
        <w:t>聚焦中心任务，凝聚青年助力“共富”建设。 贯彻落实好“青年工作联席会”工作机制，推动青年发展型城市建设工作纳入“十五五”规划。搭建“创青春”平台，推荐2个创业项目参加市级比赛，与2家区属酒店签署青年驿站免费入住协议。组织开展“返家乡”和“逐梦计划”社会实践活动，累计发布实践岗位226个，98名大学生完成双选。深化“青志愿”品牌工程，全区各级团组织在“志愿四川”平台发布志愿服务1790场，参与志愿服务人数1680人，累计志愿服务时长68000余小时</w:t>
      </w:r>
      <w:r>
        <w:rPr>
          <w:rFonts w:hint="eastAsia" w:ascii="Times New Roman" w:hAnsi="Times New Roman" w:cs="Times New Roman"/>
          <w:color w:val="000000"/>
          <w:kern w:val="0"/>
          <w:szCs w:val="32"/>
          <w:shd w:val="clear" w:color="auto" w:fill="FFFFFF"/>
          <w:lang w:val="en-US" w:eastAsia="zh-CN"/>
        </w:rPr>
        <w:t>。</w:t>
      </w:r>
    </w:p>
    <w:p w14:paraId="08274721">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en-US" w:eastAsia="zh-CN"/>
        </w:rPr>
        <w:t>（5）聚焦重点领域，靶向发力促进青年发展。 开展“青春之约 五四之旅”等五个系列惠青主题活动，为广大青年送上免费领取文创雪糕、景区门票等福利。积极推动“青年夜校”项目，开设摄影培训课和户外拓展课。组织开展青年职工联谊活动、返乡大学生联谊主题活动、七夕主题活动等，累计覆盖青年300余人次。</w:t>
      </w:r>
    </w:p>
    <w:p w14:paraId="53992063">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14:paraId="06034800">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2025年，团区委严格按照“二上二下”流程编制预算。年初预算收入84.86万元，全年预算调整为91.64万元，决算收入91.64万元。财政拨款收入预决算差异率-4.46%，预算编制基本准确。</w:t>
      </w:r>
    </w:p>
    <w:p w14:paraId="7D62D104">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14:paraId="277B1017">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我单位建立了较为完善的财务管理制度体系，涵盖预算、收支、资产、采购等方面。在岗位设置上，严格做到不相容岗位相互分离，分别设置会计、出纳、资产管理员等岗位，重大资金支出经书记办公会集体研究决定。在资金使用上，严格执行“先审批、后支出”程序，所有支出均需逐级审批。在会计核算上，严格执行政府会计准则制度，做到日清月结、账实相符。在内部监督上，定期开展财务自查，每年接受审计部门审计。2025年度无违规违纪现象</w:t>
      </w:r>
      <w:r>
        <w:rPr>
          <w:rFonts w:hint="eastAsia" w:ascii="Times New Roman" w:hAnsi="Times New Roman" w:cs="Times New Roman"/>
          <w:color w:val="000000"/>
          <w:kern w:val="0"/>
          <w:szCs w:val="32"/>
          <w:shd w:val="clear" w:color="auto" w:fill="FFFFFF"/>
          <w:lang w:val="zh-CN" w:eastAsia="zh-CN"/>
        </w:rPr>
        <w:t>。</w:t>
      </w:r>
    </w:p>
    <w:p w14:paraId="0CF58C69">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14:paraId="380FB9A8">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我单位按照国有资产管理规定，建立了“统一领导、归口管理、专人负责”的资产管理机制。办公室为归口管理部门，指定专人担任资产管理员，负责资产的全流程管理。在资产购置环节，坚持“先调剂、后配置”原则。在资产使用环节，建立领用台账，做到“一物一卡”，每半年开展一次全面盘点。在资产处置环节，严格按规定履行评估、报批、处置程序。截至2025年末，我单位无房屋及车辆资产，资产账实相符，管理规范资产利用率，有效避免资源浪费，为机关高效运转提供有力保障。</w:t>
      </w:r>
    </w:p>
    <w:p w14:paraId="0DE7D32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14:paraId="4F290234">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我单位严格按照政府采购法及相关规定开展采购工作。预算编制阶段，各业务股室申报需求，财务室审核后编制政府采购预算，确保“无预算不采购”。采购实施阶段，按规定方式和程序组织采购。合同管理阶段，及时签订合同并公示。验收结算阶段，成立验收小组对采购标的逐项核对，验收合格后方可支付。2025年，我单位无政府采购支出</w:t>
      </w:r>
      <w:r>
        <w:rPr>
          <w:rFonts w:hint="eastAsia" w:ascii="Times New Roman" w:hAnsi="Times New Roman" w:cs="Times New Roman"/>
          <w:color w:val="000000"/>
          <w:kern w:val="0"/>
          <w:szCs w:val="32"/>
          <w:shd w:val="clear" w:color="auto" w:fill="FFFFFF"/>
          <w:lang w:val="zh-CN" w:eastAsia="zh-CN"/>
        </w:rPr>
        <w:t>。</w:t>
      </w:r>
    </w:p>
    <w:p w14:paraId="764333D3">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14:paraId="0DB189F1">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zh-CN"/>
        </w:rPr>
        <w:t>2025年，我单位共有运转类—其他运转类和特定目标类项目7个，涉及项目支出决算总额23.64万元。所有项目均已完成，无年末结转结余</w:t>
      </w:r>
      <w:r>
        <w:rPr>
          <w:rFonts w:hint="eastAsia" w:ascii="Times New Roman" w:hAnsi="Times New Roman" w:cs="Times New Roman"/>
          <w:color w:val="000000"/>
          <w:kern w:val="0"/>
          <w:szCs w:val="32"/>
          <w:shd w:val="clear" w:color="auto" w:fill="FFFFFF"/>
          <w:lang w:val="zh-CN" w:eastAsia="zh-CN"/>
        </w:rPr>
        <w:t>。</w:t>
      </w:r>
    </w:p>
    <w:p w14:paraId="2ECA6C94">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常年项目绩效分析。</w:t>
      </w:r>
      <w:r>
        <w:rPr>
          <w:rFonts w:hint="eastAsia"/>
          <w:color w:val="000000"/>
          <w:kern w:val="0"/>
          <w:szCs w:val="32"/>
          <w:shd w:val="clear" w:color="auto" w:fill="FFFFFF"/>
          <w:lang w:val="zh-CN"/>
        </w:rPr>
        <w:t>该类项目指预算年度内持续实施的常态化工作。2025年，我单位常年项目共计7个，涉及预算总金额23.64万元，具体包括：团委工作活动经费、志愿服务事业发展经费、少先队工作项目、关工委经费等。1至12月预算执行总体进度为99.16%，所有项目均按计划完成支出，无预算结余大于10%的项目</w:t>
      </w:r>
      <w:r>
        <w:rPr>
          <w:color w:val="000000"/>
          <w:kern w:val="0"/>
          <w:szCs w:val="32"/>
          <w:shd w:val="clear" w:color="auto" w:fill="FFFFFF"/>
          <w:lang w:val="zh-CN"/>
        </w:rPr>
        <w:t>。</w:t>
      </w:r>
    </w:p>
    <w:p w14:paraId="7C1E02DA">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阶段（</w:t>
      </w:r>
      <w:r>
        <w:rPr>
          <w:rFonts w:hint="eastAsia"/>
          <w:color w:val="000000"/>
          <w:kern w:val="0"/>
          <w:szCs w:val="32"/>
          <w:shd w:val="clear" w:color="auto" w:fill="FFFFFF"/>
        </w:rPr>
        <w:t>含</w:t>
      </w:r>
      <w:r>
        <w:rPr>
          <w:color w:val="000000"/>
          <w:kern w:val="0"/>
          <w:szCs w:val="32"/>
          <w:shd w:val="clear" w:color="auto" w:fill="FFFFFF"/>
        </w:rPr>
        <w:t>一次性）项目绩效分析。</w:t>
      </w:r>
      <w:r>
        <w:rPr>
          <w:rFonts w:hint="eastAsia"/>
          <w:color w:val="000000"/>
          <w:kern w:val="0"/>
          <w:szCs w:val="32"/>
          <w:shd w:val="clear" w:color="auto" w:fill="FFFFFF"/>
          <w:lang w:val="zh-CN"/>
        </w:rPr>
        <w:t>该类项目指有明确实施期限或一次性完成的工作任务。2025年，我单位阶段及一次性项目共计7个，涉及预算总金额23.64万元，具体包括：团委工作活动经费、志愿服务事业发展经费、少先队工作项目、关工委经费等。1至12月预算执行总体进度为99.16%，所有项目均按计划完成支出，无预算结余大于10%的项目</w:t>
      </w:r>
      <w:r>
        <w:rPr>
          <w:color w:val="000000"/>
          <w:kern w:val="0"/>
          <w:szCs w:val="32"/>
          <w:shd w:val="clear" w:color="auto" w:fill="FFFFFF"/>
          <w:lang w:val="zh-CN"/>
        </w:rPr>
        <w:t>。</w:t>
      </w:r>
    </w:p>
    <w:p w14:paraId="5E1E11B3">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14:paraId="01890399">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上述项目依据年度共青团重点工作任务设立。团委工作活动经费主要用于组织开展各类团属活动、青少年思想引领、基层团组织建设等；志愿服务事业发展经费主要用于组织青年志愿服务活动、志愿者培训及保障等；少先队工作项目主要用于少先队主题活动、辅导员培训等；关工委经费主要用于关心下一代工作、关爱困境青少年活动等。所有项目设立均履行了评估论证程序，绩效目标与预算资金匹配，决策程序规范。</w:t>
      </w:r>
    </w:p>
    <w:p w14:paraId="2779B477">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14:paraId="068ADE24">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所有项目均按计划在2025年1至12月实施完毕，资金拨付严格执行审批程序，专款专用，使用规范。项目支出决算总额23.64万元（含使用年初结转结余3.30万元），预算执行率达到99.16%，无结转结余资金。</w:t>
      </w:r>
    </w:p>
    <w:p w14:paraId="62244007">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团委工作活动经费用于团属活动开展及组织建设；志愿服务事业发展经费用于志愿服务活动组织及保障；少先队工作项目用于少先队主题教育活动；关工委经费用于关心下一代工作及关爱活动。</w:t>
      </w:r>
    </w:p>
    <w:p w14:paraId="02F85CB3">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14:paraId="6545E018">
      <w:pPr>
        <w:keepNext w:val="0"/>
        <w:keepLines w:val="0"/>
        <w:pageBreakBefore w:val="0"/>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val="en-US" w:eastAsia="zh-CN"/>
        </w:rPr>
        <w:t>2025年，团区委各项目均按计划完成年度工作任务，项目资金使用规范，绩效目标基本实现。具体分析如下：</w:t>
      </w:r>
    </w:p>
    <w:p w14:paraId="510F2D64">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14:paraId="67FC4034">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 xml:space="preserve"> 2025年，我单位各项目支出均严格按照预算批复执行，资金使用规范，未出现超预算情况。通过项目的实施，有效凝聚了青年力量，为辖区经济社会发展贡献了青春力量，间接促进了社会和谐稳定。</w:t>
      </w:r>
    </w:p>
    <w:p w14:paraId="13E30DB6">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14:paraId="27F7F108">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通过思想政治引领，广泛开展主题教育活动，引导广大青少年坚定理想信念。通过服务青年成长发展，开展社会实践和实习岗位，服务青年就业创业需求。通过围绕中心服务大局，组织青年志愿者参与各项重点工作，展现青年担当。通过夯实基层团组织建设，提升团组织活力和凝聚力。各项工作的开展，有效服务了辖区青少年群体，提升了共青团组织的社会影响力。</w:t>
      </w:r>
    </w:p>
    <w:p w14:paraId="70B20BE8">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14:paraId="28200AD4">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各项目有序开展，整体支出平稳，较好地实现了社会效益和可持续效益目标。共青团基层组织运行机制、志愿服务常态化机制等已建立健全，为后续工作奠定了基础。项目资金投入形成的品牌活动和阵地，将在今后较长时间内持续发挥作用</w:t>
      </w:r>
      <w:r>
        <w:rPr>
          <w:szCs w:val="32"/>
        </w:rPr>
        <w:t>。</w:t>
      </w:r>
    </w:p>
    <w:p w14:paraId="073C7A67">
      <w:pPr>
        <w:keepNext w:val="0"/>
        <w:keepLines w:val="0"/>
        <w:pageBreakBefore w:val="0"/>
        <w:kinsoku/>
        <w:wordWrap/>
        <w:overflowPunct/>
        <w:topLinePunct w:val="0"/>
        <w:autoSpaceDE/>
        <w:autoSpaceDN/>
        <w:bidi w:val="0"/>
        <w:snapToGrid w:val="0"/>
        <w:spacing w:line="360" w:lineRule="auto"/>
        <w:ind w:firstLine="643"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14:paraId="473599B8">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我单位将绩效自评结果作为下一年度预算安排和完善管理的重要依据。对评价中发现的问题，及时调整资金分配策略，优化项目设置。同时，按照政务公开要求，将绩效自评报告在攀枝花市西区人民政府网站进行公开，自觉接受社会监督。</w:t>
      </w:r>
    </w:p>
    <w:p w14:paraId="35A10972">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14:paraId="48980BE1">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14:paraId="426101FF">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eastAsia"/>
          <w:szCs w:val="32"/>
          <w:lang w:val="en-US" w:eastAsia="zh-CN"/>
        </w:rPr>
        <w:t>2025年，团区委预算执行进度符合要求，资金使用规范，履职效能显著，较好地完成了年初设定的各项绩效目标。根据决算量化评价表得分98分，自评等级为“优秀”。</w:t>
      </w:r>
    </w:p>
    <w:p w14:paraId="38DE5690">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b/>
          <w:bCs/>
          <w:color w:val="000000"/>
          <w:kern w:val="0"/>
          <w:szCs w:val="32"/>
          <w:shd w:val="clear" w:color="auto" w:fill="FFFFFF"/>
          <w:lang w:val="zh-CN" w:eastAsia="zh-CN"/>
        </w:rPr>
      </w:pPr>
      <w:r>
        <w:rPr>
          <w:rFonts w:eastAsia="楷体_GB2312"/>
          <w:b/>
          <w:bCs/>
          <w:color w:val="000000"/>
          <w:kern w:val="0"/>
          <w:szCs w:val="32"/>
          <w:shd w:val="clear" w:color="auto" w:fill="FFFFFF"/>
          <w:lang w:val="zh-CN"/>
        </w:rPr>
        <w:t>（二）存在问题。</w:t>
      </w:r>
    </w:p>
    <w:p w14:paraId="38481E29">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一是预算编制精准度有待提高。年初预算与年终决算存在一定差异，主要由于人员经费及项目经费在执行过程中有所调整。二是项目支出规模较小，难以全面支撑共青团各项工作的深入开展</w:t>
      </w:r>
      <w:r>
        <w:rPr>
          <w:rFonts w:hint="eastAsia"/>
          <w:szCs w:val="32"/>
          <w:lang w:val="en-US" w:eastAsia="zh-CN"/>
        </w:rPr>
        <w:t>。</w:t>
      </w:r>
    </w:p>
    <w:p w14:paraId="46685E7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（三）改进建议。</w:t>
      </w:r>
      <w:bookmarkStart w:id="0" w:name="_Hlk110546638"/>
    </w:p>
    <w:bookmarkEnd w:id="0"/>
    <w:p w14:paraId="2CD05F6F">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cs="Times New Roman"/>
          <w:szCs w:val="32"/>
          <w:lang w:val="en-US" w:eastAsia="zh-CN" w:bidi="ar"/>
        </w:rPr>
      </w:pPr>
      <w:r>
        <w:rPr>
          <w:rFonts w:hint="eastAsia" w:ascii="Times New Roman" w:hAnsi="Times New Roman" w:cs="Times New Roman"/>
          <w:szCs w:val="32"/>
          <w:lang w:val="en-US" w:eastAsia="zh-CN" w:bidi="ar"/>
        </w:rPr>
        <w:t>一是强化预算编制科学性。加强对各项支出需求的测算，提高年初预算到位率，减少预算执行中的调整。二是深化绩效管理。将绩效评价结果与预算安排挂钩，形成反馈机制，切实提高财政资金使用效益。三是积极争取财政支持。加大项目经费投入力度，为共青团各项工作提供更有力的资金保障。</w:t>
      </w:r>
    </w:p>
    <w:p w14:paraId="5450891E">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14:paraId="25DF1B9B">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14:paraId="187CB144">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14:paraId="7103B822">
      <w:pPr>
        <w:spacing w:line="578" w:lineRule="exact"/>
        <w:ind w:firstLine="1600" w:firstLineChars="500"/>
        <w:rPr>
          <w:szCs w:val="32"/>
          <w:lang w:bidi="ar"/>
        </w:rPr>
      </w:pPr>
    </w:p>
    <w:p w14:paraId="207DB84E">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14:paraId="73CCAF15">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4"/>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6B3A9524">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BD7AFE">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EDAAD">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7C421F4E">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09CDCBA5">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6855A701">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7CB6EA0D">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63DF">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F027">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93F">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0888C">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05A0BF57">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7254A4B">
            <w:pPr>
              <w:widowControl/>
              <w:spacing w:line="240" w:lineRule="exact"/>
              <w:jc w:val="center"/>
              <w:rPr>
                <w:rFonts w:ascii="黑体" w:hAnsi="宋体" w:eastAsia="黑体" w:cs="黑体"/>
                <w:color w:val="000000"/>
                <w:sz w:val="24"/>
              </w:rPr>
            </w:pPr>
          </w:p>
        </w:tc>
      </w:tr>
      <w:tr w14:paraId="1739D3A4">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2D30E27B">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14:paraId="138BED95">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F36C">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8CE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3FF53C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DA6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E32A">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ADB0">
            <w:pPr>
              <w:widowControl/>
              <w:spacing w:line="240" w:lineRule="exact"/>
              <w:jc w:val="left"/>
              <w:textAlignment w:val="center"/>
              <w:rPr>
                <w:rFonts w:ascii="宋体" w:hAnsi="宋体" w:eastAsia="宋体" w:cs="宋体"/>
                <w:color w:val="000000"/>
                <w:kern w:val="0"/>
                <w:sz w:val="24"/>
                <w:lang w:bidi="ar"/>
              </w:rPr>
            </w:pPr>
          </w:p>
        </w:tc>
      </w:tr>
      <w:tr w14:paraId="697B31F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826D12E">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2B8CB">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767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43F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D28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8FD8">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6F84">
            <w:pPr>
              <w:widowControl/>
              <w:spacing w:line="240" w:lineRule="exact"/>
              <w:jc w:val="left"/>
              <w:textAlignment w:val="center"/>
              <w:rPr>
                <w:rFonts w:ascii="宋体" w:hAnsi="宋体" w:eastAsia="宋体" w:cs="宋体"/>
                <w:color w:val="000000"/>
                <w:kern w:val="0"/>
                <w:sz w:val="24"/>
                <w:lang w:bidi="ar"/>
              </w:rPr>
            </w:pPr>
          </w:p>
        </w:tc>
      </w:tr>
      <w:tr w14:paraId="0478F7C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EFBA503">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45FB0">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0BE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CF3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D42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AC8A">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540D">
            <w:pPr>
              <w:widowControl/>
              <w:spacing w:line="240" w:lineRule="exact"/>
              <w:jc w:val="left"/>
              <w:textAlignment w:val="center"/>
              <w:rPr>
                <w:rFonts w:ascii="宋体" w:hAnsi="宋体" w:eastAsia="宋体" w:cs="宋体"/>
                <w:color w:val="000000"/>
                <w:kern w:val="0"/>
                <w:sz w:val="24"/>
                <w:lang w:bidi="ar"/>
              </w:rPr>
            </w:pPr>
          </w:p>
        </w:tc>
      </w:tr>
      <w:tr w14:paraId="7B302B3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1801C10">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B329E">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6AF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9AA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C51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7034">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5448">
            <w:pPr>
              <w:widowControl/>
              <w:spacing w:line="240" w:lineRule="exact"/>
              <w:jc w:val="left"/>
              <w:textAlignment w:val="center"/>
              <w:rPr>
                <w:rFonts w:ascii="宋体" w:hAnsi="宋体" w:eastAsia="宋体" w:cs="宋体"/>
                <w:color w:val="000000"/>
                <w:kern w:val="0"/>
                <w:sz w:val="24"/>
                <w:lang w:bidi="ar"/>
              </w:rPr>
            </w:pPr>
          </w:p>
        </w:tc>
      </w:tr>
      <w:tr w14:paraId="5BEB45A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10C5B56">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21E49">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ED1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6F9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8F7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BCBB">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520D">
            <w:pPr>
              <w:widowControl/>
              <w:spacing w:line="240" w:lineRule="exact"/>
              <w:jc w:val="left"/>
              <w:textAlignment w:val="center"/>
              <w:rPr>
                <w:rFonts w:ascii="宋体" w:hAnsi="宋体" w:eastAsia="宋体" w:cs="宋体"/>
                <w:color w:val="000000"/>
                <w:kern w:val="0"/>
                <w:sz w:val="24"/>
                <w:lang w:bidi="ar"/>
              </w:rPr>
            </w:pPr>
          </w:p>
        </w:tc>
      </w:tr>
      <w:tr w14:paraId="7D6F1E5F">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F4A3086">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66130">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417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B2E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B0C2">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6A3E">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6A90">
            <w:pPr>
              <w:widowControl/>
              <w:spacing w:line="240" w:lineRule="exact"/>
              <w:jc w:val="left"/>
              <w:textAlignment w:val="center"/>
              <w:rPr>
                <w:rFonts w:ascii="宋体" w:hAnsi="宋体" w:eastAsia="宋体" w:cs="宋体"/>
                <w:color w:val="000000"/>
                <w:kern w:val="0"/>
                <w:sz w:val="24"/>
                <w:lang w:bidi="ar"/>
              </w:rPr>
            </w:pPr>
          </w:p>
        </w:tc>
      </w:tr>
      <w:tr w14:paraId="7B3C5B7B">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62A4B9D">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9DAF8">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FFC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41A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FDC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4E84">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C143">
            <w:pPr>
              <w:widowControl/>
              <w:spacing w:line="240" w:lineRule="exact"/>
              <w:jc w:val="left"/>
              <w:textAlignment w:val="center"/>
              <w:rPr>
                <w:rFonts w:ascii="宋体" w:hAnsi="宋体" w:eastAsia="宋体" w:cs="宋体"/>
                <w:color w:val="000000"/>
                <w:kern w:val="0"/>
                <w:sz w:val="24"/>
                <w:lang w:bidi="ar"/>
              </w:rPr>
            </w:pPr>
          </w:p>
        </w:tc>
      </w:tr>
      <w:tr w14:paraId="526A0CEE">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F42FBE5">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31B2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16B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CED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5ED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C389">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DA49">
            <w:pPr>
              <w:widowControl/>
              <w:spacing w:line="240" w:lineRule="exact"/>
              <w:jc w:val="left"/>
              <w:textAlignment w:val="center"/>
              <w:rPr>
                <w:rFonts w:ascii="宋体" w:hAnsi="宋体" w:eastAsia="宋体" w:cs="宋体"/>
                <w:color w:val="000000"/>
                <w:kern w:val="0"/>
                <w:sz w:val="24"/>
                <w:lang w:bidi="ar"/>
              </w:rPr>
            </w:pPr>
          </w:p>
        </w:tc>
      </w:tr>
      <w:tr w14:paraId="6CD5090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876801D">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3043A">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9B3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3D1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EE6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820A">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9C71">
            <w:pPr>
              <w:widowControl/>
              <w:spacing w:line="240" w:lineRule="exact"/>
              <w:jc w:val="left"/>
              <w:textAlignment w:val="center"/>
              <w:rPr>
                <w:rFonts w:ascii="宋体" w:hAnsi="宋体" w:eastAsia="宋体" w:cs="宋体"/>
                <w:color w:val="000000"/>
                <w:kern w:val="0"/>
                <w:sz w:val="24"/>
                <w:lang w:bidi="ar"/>
              </w:rPr>
            </w:pPr>
          </w:p>
        </w:tc>
      </w:tr>
      <w:tr w14:paraId="0FE44ADE">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541080B">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2B27C5B2">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B60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71B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F1A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9B42">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52F0">
            <w:pPr>
              <w:widowControl/>
              <w:spacing w:line="240" w:lineRule="exact"/>
              <w:jc w:val="left"/>
              <w:textAlignment w:val="center"/>
              <w:rPr>
                <w:rFonts w:ascii="宋体" w:hAnsi="宋体" w:eastAsia="宋体" w:cs="宋体"/>
                <w:color w:val="000000"/>
                <w:kern w:val="0"/>
                <w:sz w:val="24"/>
                <w:lang w:bidi="ar"/>
              </w:rPr>
            </w:pPr>
          </w:p>
        </w:tc>
      </w:tr>
      <w:tr w14:paraId="7630761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03C34C4">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07854EDE">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5C6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F68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A38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5FD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A427">
            <w:pPr>
              <w:widowControl/>
              <w:spacing w:line="240" w:lineRule="exact"/>
              <w:jc w:val="left"/>
              <w:textAlignment w:val="center"/>
              <w:rPr>
                <w:rFonts w:ascii="宋体" w:hAnsi="宋体" w:eastAsia="宋体" w:cs="宋体"/>
                <w:color w:val="000000"/>
                <w:kern w:val="0"/>
                <w:sz w:val="24"/>
                <w:lang w:bidi="ar"/>
              </w:rPr>
            </w:pPr>
          </w:p>
        </w:tc>
      </w:tr>
      <w:tr w14:paraId="75916876">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D65C4E1">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5D5C947D">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8AF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AD8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1AD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B16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7AEA">
            <w:pPr>
              <w:widowControl/>
              <w:spacing w:line="240" w:lineRule="exact"/>
              <w:jc w:val="left"/>
              <w:textAlignment w:val="center"/>
              <w:rPr>
                <w:rFonts w:ascii="宋体" w:hAnsi="宋体" w:eastAsia="宋体" w:cs="宋体"/>
                <w:color w:val="000000"/>
                <w:kern w:val="0"/>
                <w:sz w:val="24"/>
                <w:lang w:bidi="ar"/>
              </w:rPr>
            </w:pPr>
          </w:p>
        </w:tc>
      </w:tr>
      <w:tr w14:paraId="459A562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2700D9F">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9A09D">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66D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444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FC1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A954">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DE75">
            <w:pPr>
              <w:widowControl/>
              <w:spacing w:line="240" w:lineRule="exact"/>
              <w:jc w:val="left"/>
              <w:textAlignment w:val="center"/>
              <w:rPr>
                <w:rFonts w:ascii="宋体" w:hAnsi="宋体" w:eastAsia="宋体" w:cs="宋体"/>
                <w:color w:val="000000"/>
                <w:kern w:val="0"/>
                <w:sz w:val="24"/>
                <w:lang w:bidi="ar"/>
              </w:rPr>
            </w:pPr>
          </w:p>
        </w:tc>
      </w:tr>
      <w:tr w14:paraId="00CF7395">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41CA6D37">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DDE3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6FB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215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8862">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524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C367">
            <w:pPr>
              <w:widowControl/>
              <w:spacing w:line="240" w:lineRule="exact"/>
              <w:jc w:val="left"/>
              <w:textAlignment w:val="center"/>
              <w:rPr>
                <w:rFonts w:ascii="宋体" w:hAnsi="宋体" w:eastAsia="宋体" w:cs="宋体"/>
                <w:color w:val="000000"/>
                <w:kern w:val="0"/>
                <w:sz w:val="24"/>
                <w:lang w:bidi="ar"/>
              </w:rPr>
            </w:pPr>
          </w:p>
        </w:tc>
      </w:tr>
      <w:tr w14:paraId="675A5D71">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A7C56">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1F89D58F">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C2E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F02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A29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6D2B">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5949">
            <w:pPr>
              <w:widowControl/>
              <w:spacing w:line="240" w:lineRule="exact"/>
              <w:jc w:val="left"/>
              <w:textAlignment w:val="center"/>
              <w:rPr>
                <w:rFonts w:ascii="宋体" w:hAnsi="宋体" w:eastAsia="宋体" w:cs="宋体"/>
                <w:color w:val="000000"/>
                <w:kern w:val="0"/>
                <w:sz w:val="24"/>
                <w:lang w:bidi="ar"/>
              </w:rPr>
            </w:pPr>
          </w:p>
        </w:tc>
      </w:tr>
      <w:tr w14:paraId="7D59AF2F">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382D">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7CB5A79">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94A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067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930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1D6D">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7CD7">
            <w:pPr>
              <w:widowControl/>
              <w:spacing w:line="240" w:lineRule="exact"/>
              <w:jc w:val="left"/>
              <w:textAlignment w:val="center"/>
              <w:rPr>
                <w:rFonts w:ascii="宋体" w:hAnsi="宋体" w:eastAsia="宋体" w:cs="宋体"/>
                <w:color w:val="000000"/>
                <w:kern w:val="0"/>
                <w:sz w:val="24"/>
                <w:lang w:bidi="ar"/>
              </w:rPr>
            </w:pPr>
          </w:p>
        </w:tc>
      </w:tr>
      <w:tr w14:paraId="33B35ED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0DB5B">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D89BD82">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4D4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067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4816">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9A5B">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9D6E">
            <w:pPr>
              <w:widowControl/>
              <w:spacing w:line="240" w:lineRule="exact"/>
              <w:jc w:val="left"/>
              <w:textAlignment w:val="center"/>
              <w:rPr>
                <w:rFonts w:ascii="宋体" w:hAnsi="宋体" w:eastAsia="宋体" w:cs="宋体"/>
                <w:color w:val="000000"/>
                <w:kern w:val="0"/>
                <w:sz w:val="24"/>
                <w:lang w:bidi="ar"/>
              </w:rPr>
            </w:pPr>
          </w:p>
        </w:tc>
      </w:tr>
      <w:tr w14:paraId="2660F68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E8CBF">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F930148">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E76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B37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B7A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18B7">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FC12">
            <w:pPr>
              <w:widowControl/>
              <w:spacing w:line="240" w:lineRule="exact"/>
              <w:jc w:val="left"/>
              <w:textAlignment w:val="center"/>
              <w:rPr>
                <w:rFonts w:ascii="宋体" w:hAnsi="宋体" w:eastAsia="宋体" w:cs="宋体"/>
                <w:color w:val="000000"/>
                <w:kern w:val="0"/>
                <w:sz w:val="24"/>
                <w:lang w:bidi="ar"/>
              </w:rPr>
            </w:pPr>
          </w:p>
        </w:tc>
      </w:tr>
      <w:tr w14:paraId="06229E0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62160">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7B40A14">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377FF28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264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2A3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FC5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846B">
            <w:pPr>
              <w:widowControl/>
              <w:spacing w:line="240" w:lineRule="exact"/>
              <w:jc w:val="left"/>
              <w:textAlignment w:val="center"/>
              <w:rPr>
                <w:rFonts w:ascii="宋体" w:hAnsi="宋体" w:eastAsia="宋体" w:cs="宋体"/>
                <w:color w:val="000000"/>
                <w:kern w:val="0"/>
                <w:sz w:val="24"/>
                <w:lang w:bidi="ar"/>
              </w:rPr>
            </w:pPr>
          </w:p>
        </w:tc>
      </w:tr>
      <w:tr w14:paraId="70C5687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E4716">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5126155">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DEE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3B1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3D2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CD7A">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6EA0">
            <w:pPr>
              <w:widowControl/>
              <w:spacing w:line="240" w:lineRule="exact"/>
              <w:jc w:val="left"/>
              <w:textAlignment w:val="center"/>
              <w:rPr>
                <w:rFonts w:ascii="宋体" w:hAnsi="宋体" w:eastAsia="宋体" w:cs="宋体"/>
                <w:color w:val="000000"/>
                <w:kern w:val="0"/>
                <w:sz w:val="24"/>
                <w:lang w:bidi="ar"/>
              </w:rPr>
            </w:pPr>
          </w:p>
        </w:tc>
      </w:tr>
      <w:tr w14:paraId="4056F80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B0EAA">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B59D4">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5AC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113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219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A797">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8E34">
            <w:pPr>
              <w:widowControl/>
              <w:spacing w:line="240" w:lineRule="exact"/>
              <w:jc w:val="left"/>
              <w:textAlignment w:val="center"/>
              <w:rPr>
                <w:rFonts w:ascii="宋体" w:hAnsi="宋体" w:eastAsia="宋体" w:cs="宋体"/>
                <w:color w:val="000000"/>
                <w:kern w:val="0"/>
                <w:sz w:val="24"/>
                <w:lang w:bidi="ar"/>
              </w:rPr>
            </w:pPr>
          </w:p>
        </w:tc>
      </w:tr>
      <w:tr w14:paraId="1D1D596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F72E">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BE99D">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1FC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8B2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E3D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2A2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2E67">
            <w:pPr>
              <w:widowControl/>
              <w:spacing w:line="240" w:lineRule="exact"/>
              <w:jc w:val="left"/>
              <w:textAlignment w:val="center"/>
              <w:rPr>
                <w:rFonts w:ascii="宋体" w:hAnsi="宋体" w:eastAsia="宋体" w:cs="宋体"/>
                <w:color w:val="000000"/>
                <w:kern w:val="0"/>
                <w:sz w:val="24"/>
                <w:lang w:bidi="ar"/>
              </w:rPr>
            </w:pPr>
          </w:p>
        </w:tc>
      </w:tr>
      <w:tr w14:paraId="3F3583B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0B30E">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DB34E">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BD9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E50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9BD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5E03">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5674">
            <w:pPr>
              <w:widowControl/>
              <w:spacing w:line="240" w:lineRule="exact"/>
              <w:jc w:val="left"/>
              <w:textAlignment w:val="center"/>
              <w:rPr>
                <w:rFonts w:ascii="宋体" w:hAnsi="宋体" w:eastAsia="宋体" w:cs="宋体"/>
                <w:color w:val="000000"/>
                <w:kern w:val="0"/>
                <w:sz w:val="24"/>
                <w:lang w:bidi="ar"/>
              </w:rPr>
            </w:pPr>
          </w:p>
        </w:tc>
      </w:tr>
      <w:tr w14:paraId="677DB178">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AB17">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1539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1F4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7E4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E157">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8AAA">
            <w:pPr>
              <w:widowControl/>
              <w:spacing w:line="240" w:lineRule="exact"/>
              <w:jc w:val="left"/>
              <w:textAlignment w:val="center"/>
              <w:rPr>
                <w:rFonts w:ascii="宋体" w:hAnsi="宋体" w:eastAsia="宋体" w:cs="宋体"/>
                <w:color w:val="000000"/>
                <w:kern w:val="0"/>
                <w:sz w:val="24"/>
                <w:lang w:bidi="ar"/>
              </w:rPr>
            </w:pPr>
          </w:p>
        </w:tc>
      </w:tr>
    </w:tbl>
    <w:p w14:paraId="782FFED4">
      <w:pPr>
        <w:pStyle w:val="18"/>
        <w:spacing w:line="20" w:lineRule="exact"/>
      </w:pPr>
    </w:p>
    <w:p w14:paraId="53A9703E">
      <w:pPr>
        <w:spacing w:line="578" w:lineRule="exact"/>
        <w:jc w:val="left"/>
        <w:rPr>
          <w:rFonts w:eastAsia="黑体"/>
        </w:rPr>
      </w:pPr>
      <w:r>
        <w:rPr>
          <w:rFonts w:eastAsia="黑体"/>
        </w:rPr>
        <w:t>附表</w:t>
      </w:r>
      <w:r>
        <w:rPr>
          <w:rFonts w:hint="eastAsia" w:eastAsia="黑体"/>
        </w:rPr>
        <w:t>2</w:t>
      </w:r>
    </w:p>
    <w:tbl>
      <w:tblPr>
        <w:tblStyle w:val="14"/>
        <w:tblW w:w="10893" w:type="dxa"/>
        <w:jc w:val="center"/>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14:paraId="2AE79DA7">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14:paraId="52339774">
            <w:pPr>
              <w:widowControl/>
              <w:spacing w:line="600" w:lineRule="exact"/>
              <w:jc w:val="center"/>
              <w:textAlignment w:val="center"/>
              <w:rPr>
                <w:rFonts w:eastAsia="黑体"/>
                <w:color w:val="000000"/>
                <w:sz w:val="28"/>
                <w:szCs w:val="28"/>
              </w:rPr>
            </w:pPr>
            <w:bookmarkStart w:id="1" w:name="OLE_LINK3"/>
            <w:r>
              <w:rPr>
                <w:rFonts w:eastAsia="方正小标宋简体"/>
                <w:color w:val="000000"/>
                <w:kern w:val="0"/>
                <w:sz w:val="44"/>
                <w:szCs w:val="44"/>
                <w:lang w:bidi="ar"/>
              </w:rPr>
              <w:t>部门整体绩效目标完成情况自评表</w:t>
            </w:r>
            <w:bookmarkEnd w:id="1"/>
          </w:p>
        </w:tc>
      </w:tr>
      <w:tr w14:paraId="5D72BEC6">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14:paraId="31A7C974">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14:paraId="33D1B646">
        <w:tblPrEx>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14:paraId="5FDC6EB3">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69303FBB">
        <w:tblPrEx>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3260D">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C034A6">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西区团委</w:t>
            </w:r>
          </w:p>
        </w:tc>
      </w:tr>
      <w:tr w14:paraId="1C249BBB">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FDF36">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1AE5F">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CC5C7">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13E8BE">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6DD03458">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287F9">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5517C">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91.64</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A8819">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91.64</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C7934">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14:paraId="561E8861">
        <w:tblPrEx>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0E11">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51DBA915">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6C5545">
            <w:pPr>
              <w:widowControl/>
              <w:spacing w:line="300" w:lineRule="exact"/>
              <w:jc w:val="left"/>
              <w:textAlignment w:val="center"/>
              <w:rPr>
                <w:rFonts w:eastAsia="宋体"/>
                <w:color w:val="000000"/>
                <w:sz w:val="24"/>
              </w:rPr>
            </w:pPr>
            <w:r>
              <w:rPr>
                <w:rFonts w:hint="eastAsia" w:eastAsia="宋体"/>
                <w:color w:val="000000"/>
                <w:kern w:val="0"/>
                <w:sz w:val="24"/>
                <w:lang w:bidi="ar"/>
              </w:rPr>
              <w:t>紧抓青少年的思想引领，采取多形式向青少年开展宣传教育，感悟我国在共产党领导下各方面翻天覆地的变化，教育青少年为中华民族的伟大复兴而努力</w:t>
            </w:r>
          </w:p>
        </w:tc>
      </w:tr>
      <w:tr w14:paraId="6A8E8F1D">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C9653">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05761339">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FF796">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C60F4A">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5635F6C2">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620F6">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48DAB">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7FAC9B">
            <w:pPr>
              <w:widowControl/>
              <w:spacing w:line="300" w:lineRule="exact"/>
              <w:jc w:val="left"/>
              <w:textAlignment w:val="center"/>
              <w:rPr>
                <w:rFonts w:eastAsia="宋体"/>
                <w:color w:val="000000"/>
                <w:sz w:val="24"/>
              </w:rPr>
            </w:pPr>
            <w:r>
              <w:rPr>
                <w:rFonts w:hint="eastAsia" w:eastAsia="宋体"/>
                <w:color w:val="000000"/>
                <w:kern w:val="0"/>
                <w:sz w:val="24"/>
                <w:lang w:bidi="ar"/>
              </w:rPr>
              <w:t>一是按时足额发放职工工资、津补贴，及时缴纳职工社保和公积金，及时支付日常办公开支，确保单位财务正常运转。二是围绕共青团中心工作，全面做好思想政治引领、服务青年成长发展、组织青年志愿服务、夯实基层团组织建设等各项工作。三是有序推进团委工作、志愿服务、少先队工作、关工委工作等重点工作，圆满完成各项工作任务</w:t>
            </w:r>
          </w:p>
        </w:tc>
      </w:tr>
      <w:tr w14:paraId="4702B4E6">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9740D">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14D84">
            <w:pPr>
              <w:widowControl/>
              <w:spacing w:line="300" w:lineRule="exact"/>
              <w:jc w:val="left"/>
              <w:rPr>
                <w:rFonts w:eastAsia="宋体"/>
                <w:color w:val="000000"/>
                <w:sz w:val="24"/>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E9BEF3">
            <w:pPr>
              <w:widowControl/>
              <w:spacing w:line="300" w:lineRule="exact"/>
              <w:jc w:val="left"/>
              <w:rPr>
                <w:rFonts w:eastAsia="宋体"/>
                <w:color w:val="000000"/>
                <w:sz w:val="24"/>
              </w:rPr>
            </w:pPr>
          </w:p>
        </w:tc>
      </w:tr>
      <w:tr w14:paraId="65C324F4">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C1217">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419DF1E8">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6F1A">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E913">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239F">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2E70">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399F3525">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8F25">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5362">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DA47">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681F011C">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633F9A1E">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83398">
            <w:pPr>
              <w:widowControl/>
              <w:spacing w:line="300" w:lineRule="exact"/>
              <w:jc w:val="center"/>
              <w:rPr>
                <w:rFonts w:eastAsia="宋体"/>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6C4C3">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F1013">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A892">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87AD">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39E2">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499A">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0C41">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人员、公用</w:t>
            </w:r>
          </w:p>
        </w:tc>
      </w:tr>
      <w:tr w14:paraId="5BCF58C4">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83958">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B3D13">
            <w:pPr>
              <w:widowControl/>
              <w:spacing w:line="300" w:lineRule="exact"/>
              <w:jc w:val="center"/>
              <w:rPr>
                <w:rFonts w:eastAsia="宋体"/>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ECE91">
            <w:pPr>
              <w:widowControl/>
              <w:spacing w:line="300" w:lineRule="exact"/>
              <w:jc w:val="center"/>
              <w:rPr>
                <w:rFonts w:eastAsia="宋体"/>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ADE8">
            <w:pPr>
              <w:widowControl/>
              <w:spacing w:line="300" w:lineRule="exact"/>
              <w:jc w:val="left"/>
              <w:rPr>
                <w:rFonts w:eastAsia="宋体"/>
                <w:color w:val="000000"/>
                <w:sz w:val="24"/>
              </w:rPr>
            </w:pPr>
            <w:r>
              <w:rPr>
                <w:rFonts w:hint="eastAsia" w:eastAsia="宋体"/>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E925">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AC75">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2E28">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1DB1">
            <w:pPr>
              <w:widowControl/>
              <w:spacing w:line="300" w:lineRule="exact"/>
              <w:jc w:val="center"/>
              <w:rPr>
                <w:rFonts w:hint="eastAsia" w:eastAsia="宋体"/>
                <w:color w:val="000000"/>
                <w:sz w:val="24"/>
                <w:lang w:eastAsia="zh-CN"/>
              </w:rPr>
            </w:pPr>
            <w:r>
              <w:rPr>
                <w:rFonts w:hint="eastAsia" w:eastAsia="宋体"/>
                <w:color w:val="000000"/>
                <w:sz w:val="24"/>
                <w:lang w:eastAsia="zh-CN"/>
              </w:rPr>
              <w:t>保障关工委等项目正常运转</w:t>
            </w:r>
          </w:p>
        </w:tc>
      </w:tr>
      <w:tr w14:paraId="6EEC583F">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75E6B">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9E861">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EA62">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1CF6">
            <w:pPr>
              <w:widowControl/>
              <w:spacing w:line="300" w:lineRule="exact"/>
              <w:jc w:val="left"/>
              <w:rPr>
                <w:rFonts w:eastAsia="宋体"/>
                <w:color w:val="000000"/>
                <w:sz w:val="24"/>
              </w:rPr>
            </w:pPr>
            <w:r>
              <w:rPr>
                <w:rFonts w:hint="eastAsia" w:eastAsia="宋体"/>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DF24">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620D">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6084">
            <w:pPr>
              <w:widowControl/>
              <w:spacing w:line="300" w:lineRule="exact"/>
              <w:jc w:val="left"/>
              <w:rPr>
                <w:rFonts w:hint="eastAsia" w:eastAsia="宋体"/>
                <w:color w:val="000000"/>
                <w:sz w:val="24"/>
                <w:lang w:eastAsia="zh-CN"/>
              </w:rPr>
            </w:pPr>
            <w:r>
              <w:rPr>
                <w:rFonts w:hint="eastAsia" w:eastAsia="宋体"/>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0969">
            <w:pPr>
              <w:widowControl/>
              <w:spacing w:line="300" w:lineRule="exact"/>
              <w:jc w:val="center"/>
              <w:rPr>
                <w:rFonts w:hint="eastAsia" w:eastAsia="宋体"/>
                <w:color w:val="000000"/>
                <w:sz w:val="24"/>
                <w:lang w:eastAsia="zh-CN"/>
              </w:rPr>
            </w:pPr>
            <w:r>
              <w:rPr>
                <w:rFonts w:hint="eastAsia" w:eastAsia="宋体"/>
                <w:color w:val="000000"/>
                <w:kern w:val="0"/>
                <w:sz w:val="24"/>
                <w:lang w:eastAsia="zh-CN" w:bidi="ar"/>
              </w:rPr>
              <w:t>完成</w:t>
            </w:r>
          </w:p>
        </w:tc>
      </w:tr>
      <w:tr w14:paraId="69318A83">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72E10">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71AC0">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1A2C">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8628">
            <w:pPr>
              <w:widowControl/>
              <w:spacing w:line="300" w:lineRule="exact"/>
              <w:jc w:val="left"/>
              <w:rPr>
                <w:rFonts w:eastAsia="宋体"/>
                <w:color w:val="000000"/>
                <w:sz w:val="24"/>
              </w:rPr>
            </w:pPr>
            <w:r>
              <w:rPr>
                <w:rFonts w:hint="eastAsia" w:eastAsia="宋体"/>
                <w:color w:val="000000"/>
                <w:sz w:val="24"/>
              </w:rPr>
              <w:t>202</w:t>
            </w:r>
            <w:r>
              <w:rPr>
                <w:rFonts w:hint="eastAsia" w:eastAsia="宋体"/>
                <w:color w:val="000000"/>
                <w:sz w:val="24"/>
                <w:lang w:val="en-US" w:eastAsia="zh-CN"/>
              </w:rPr>
              <w:t>5</w:t>
            </w:r>
            <w:r>
              <w:rPr>
                <w:rFonts w:hint="eastAsia" w:eastAsia="宋体"/>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8CF6">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4D48">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5712">
            <w:pPr>
              <w:widowControl/>
              <w:spacing w:line="300" w:lineRule="exact"/>
              <w:jc w:val="left"/>
              <w:rPr>
                <w:rFonts w:hint="eastAsia" w:eastAsia="宋体"/>
                <w:color w:val="000000"/>
                <w:sz w:val="24"/>
                <w:lang w:eastAsia="zh-CN"/>
              </w:rPr>
            </w:pPr>
            <w:r>
              <w:rPr>
                <w:rFonts w:hint="eastAsia" w:eastAsia="宋体"/>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253F">
            <w:pPr>
              <w:widowControl/>
              <w:spacing w:line="300" w:lineRule="exact"/>
              <w:jc w:val="center"/>
              <w:rPr>
                <w:rFonts w:eastAsia="宋体"/>
                <w:color w:val="000000"/>
                <w:sz w:val="24"/>
              </w:rPr>
            </w:pPr>
            <w:r>
              <w:rPr>
                <w:rFonts w:hint="eastAsia" w:eastAsia="宋体"/>
                <w:color w:val="000000"/>
                <w:sz w:val="24"/>
              </w:rPr>
              <w:t>1-12月</w:t>
            </w:r>
          </w:p>
        </w:tc>
      </w:tr>
      <w:tr w14:paraId="6AD53CB8">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B6A8">
            <w:pPr>
              <w:widowControl/>
              <w:spacing w:line="300" w:lineRule="exact"/>
              <w:jc w:val="center"/>
              <w:rPr>
                <w:rFonts w:eastAsia="宋体"/>
                <w:color w:val="000000"/>
                <w:sz w:val="24"/>
              </w:rPr>
            </w:pPr>
            <w:bookmarkStart w:id="2"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A8C0F">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D324">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9141">
            <w:pPr>
              <w:widowControl/>
              <w:spacing w:line="300" w:lineRule="exact"/>
              <w:jc w:val="left"/>
              <w:rPr>
                <w:rFonts w:hint="eastAsia" w:eastAsia="宋体"/>
                <w:color w:val="000000"/>
                <w:sz w:val="24"/>
                <w:lang w:eastAsia="zh-CN"/>
              </w:rPr>
            </w:pPr>
            <w:r>
              <w:rPr>
                <w:rFonts w:hint="eastAsia" w:eastAsia="宋体"/>
                <w:color w:val="000000"/>
                <w:sz w:val="24"/>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A940">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0AF5">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1151">
            <w:pPr>
              <w:widowControl/>
              <w:spacing w:line="300" w:lineRule="exact"/>
              <w:jc w:val="left"/>
              <w:rPr>
                <w:rFonts w:eastAsia="宋体"/>
                <w:color w:val="000000"/>
                <w:sz w:val="24"/>
              </w:rPr>
            </w:pPr>
            <w:r>
              <w:rPr>
                <w:rFonts w:hint="eastAsia" w:eastAsia="宋体"/>
                <w:color w:val="000000"/>
                <w:kern w:val="0"/>
                <w:sz w:val="24"/>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8F28">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91.64</w:t>
            </w:r>
          </w:p>
        </w:tc>
      </w:tr>
      <w:bookmarkEnd w:id="2"/>
      <w:tr w14:paraId="0C7F06CB">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54702">
            <w:pPr>
              <w:widowControl/>
              <w:spacing w:line="300" w:lineRule="exact"/>
              <w:jc w:val="center"/>
              <w:rPr>
                <w:rFonts w:eastAsia="宋体"/>
                <w:color w:val="000000"/>
                <w:sz w:val="24"/>
              </w:rPr>
            </w:pPr>
          </w:p>
        </w:tc>
        <w:tc>
          <w:tcPr>
            <w:tcW w:w="1503" w:type="dxa"/>
            <w:tcBorders>
              <w:top w:val="single" w:color="000000" w:sz="4" w:space="0"/>
              <w:left w:val="single" w:color="000000" w:sz="4" w:space="0"/>
              <w:right w:val="single" w:color="000000" w:sz="4" w:space="0"/>
            </w:tcBorders>
            <w:shd w:val="clear" w:color="auto" w:fill="auto"/>
            <w:vAlign w:val="center"/>
          </w:tcPr>
          <w:p w14:paraId="189596D1">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14:paraId="5FEF4563">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14:paraId="210A8E1D">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426B">
            <w:pPr>
              <w:widowControl/>
              <w:spacing w:line="300" w:lineRule="exact"/>
              <w:jc w:val="left"/>
              <w:rPr>
                <w:rFonts w:eastAsia="宋体"/>
                <w:color w:val="000000"/>
                <w:sz w:val="24"/>
              </w:rPr>
            </w:pPr>
            <w:r>
              <w:rPr>
                <w:rFonts w:hint="eastAsia" w:eastAsia="宋体"/>
                <w:color w:val="000000"/>
                <w:sz w:val="24"/>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BF53">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F276">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31DD">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10DC">
            <w:pPr>
              <w:widowControl/>
              <w:spacing w:line="300" w:lineRule="exact"/>
              <w:jc w:val="center"/>
              <w:rPr>
                <w:rFonts w:eastAsia="宋体"/>
                <w:color w:val="000000"/>
                <w:sz w:val="24"/>
              </w:rPr>
            </w:pPr>
            <w:r>
              <w:rPr>
                <w:rFonts w:hint="eastAsia" w:eastAsia="宋体"/>
                <w:color w:val="000000"/>
                <w:sz w:val="24"/>
              </w:rPr>
              <w:t>保证机构正常运行，确保完成年度职能目标任务</w:t>
            </w:r>
          </w:p>
        </w:tc>
      </w:tr>
      <w:tr w14:paraId="14F4B804">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E1017">
            <w:pPr>
              <w:widowControl/>
              <w:spacing w:line="300" w:lineRule="exact"/>
              <w:jc w:val="center"/>
              <w:rPr>
                <w:rFonts w:eastAsia="宋体"/>
                <w:color w:val="000000"/>
                <w:sz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0E49">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E5C7">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7729">
            <w:pPr>
              <w:widowControl/>
              <w:spacing w:line="300" w:lineRule="exact"/>
              <w:jc w:val="left"/>
              <w:rPr>
                <w:rFonts w:hint="eastAsia" w:eastAsia="宋体"/>
                <w:color w:val="000000"/>
                <w:sz w:val="24"/>
                <w:lang w:eastAsia="zh-CN"/>
              </w:rPr>
            </w:pPr>
            <w:r>
              <w:rPr>
                <w:rFonts w:hint="eastAsia" w:eastAsia="宋体"/>
                <w:color w:val="000000"/>
                <w:sz w:val="24"/>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7BF5">
            <w:pPr>
              <w:widowControl/>
              <w:spacing w:line="300" w:lineRule="exact"/>
              <w:jc w:val="left"/>
              <w:rPr>
                <w:rFonts w:hint="default" w:eastAsia="宋体"/>
                <w:color w:val="000000"/>
                <w:sz w:val="24"/>
                <w:lang w:val="en-US" w:eastAsia="zh-CN"/>
              </w:rPr>
            </w:pPr>
            <w:r>
              <w:rPr>
                <w:rFonts w:hint="eastAsia" w:eastAsia="宋体"/>
                <w:color w:val="000000"/>
                <w:sz w:val="24"/>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7C3C">
            <w:pPr>
              <w:widowControl/>
              <w:spacing w:line="300" w:lineRule="exact"/>
              <w:jc w:val="left"/>
              <w:rPr>
                <w:rFonts w:hint="default" w:eastAsia="宋体"/>
                <w:color w:val="000000"/>
                <w:sz w:val="24"/>
                <w:lang w:val="en-US"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303D">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EDC0">
            <w:pPr>
              <w:widowControl/>
              <w:spacing w:line="300" w:lineRule="exact"/>
              <w:jc w:val="center"/>
              <w:rPr>
                <w:rFonts w:eastAsia="宋体"/>
                <w:color w:val="000000"/>
                <w:sz w:val="24"/>
              </w:rPr>
            </w:pPr>
            <w:r>
              <w:rPr>
                <w:rFonts w:hint="eastAsia" w:eastAsia="宋体"/>
                <w:color w:val="000000"/>
                <w:sz w:val="24"/>
              </w:rPr>
              <w:t>≥95</w:t>
            </w:r>
          </w:p>
        </w:tc>
      </w:tr>
    </w:tbl>
    <w:p w14:paraId="4EC0FD08"/>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C4D71">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A1295">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4792D9A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C6A1295">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4792D9AC"/>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13DF">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5B87AC5"/>
    <w:rsid w:val="0D20238E"/>
    <w:rsid w:val="0DC31556"/>
    <w:rsid w:val="1A3D6143"/>
    <w:rsid w:val="1C013801"/>
    <w:rsid w:val="1DFD8D3B"/>
    <w:rsid w:val="1FB79DC9"/>
    <w:rsid w:val="1FBFC3F2"/>
    <w:rsid w:val="1FFFE033"/>
    <w:rsid w:val="24A31107"/>
    <w:rsid w:val="27F352A6"/>
    <w:rsid w:val="29560A0A"/>
    <w:rsid w:val="2C685615"/>
    <w:rsid w:val="2D527252"/>
    <w:rsid w:val="2DDC1740"/>
    <w:rsid w:val="2EAE55F2"/>
    <w:rsid w:val="2EDF4302"/>
    <w:rsid w:val="2EFE1A04"/>
    <w:rsid w:val="2FFF3854"/>
    <w:rsid w:val="30CE7103"/>
    <w:rsid w:val="35BBF80F"/>
    <w:rsid w:val="3B0B3937"/>
    <w:rsid w:val="3B736F08"/>
    <w:rsid w:val="3BE3D531"/>
    <w:rsid w:val="3D431A40"/>
    <w:rsid w:val="3EFF42CA"/>
    <w:rsid w:val="3F6FCA38"/>
    <w:rsid w:val="3FD5AF3D"/>
    <w:rsid w:val="3FFED8BE"/>
    <w:rsid w:val="3FFF43BB"/>
    <w:rsid w:val="3FFFFC14"/>
    <w:rsid w:val="42B752F3"/>
    <w:rsid w:val="433DCF8E"/>
    <w:rsid w:val="45FF973D"/>
    <w:rsid w:val="47550EBA"/>
    <w:rsid w:val="4AEF2681"/>
    <w:rsid w:val="4BF7E09D"/>
    <w:rsid w:val="53BB74FC"/>
    <w:rsid w:val="55FDDF92"/>
    <w:rsid w:val="55FFBC03"/>
    <w:rsid w:val="56CDA72E"/>
    <w:rsid w:val="576F5916"/>
    <w:rsid w:val="577FDAE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3E33FB8"/>
    <w:rsid w:val="6636451A"/>
    <w:rsid w:val="67DE80AA"/>
    <w:rsid w:val="697E3B47"/>
    <w:rsid w:val="69BF132E"/>
    <w:rsid w:val="6A641C54"/>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0"/>
    <w:pPr>
      <w:outlineLvl w:val="1"/>
    </w:pPr>
    <w:rPr>
      <w:rFonts w:eastAsia="方正楷体_GBK"/>
      <w:b/>
    </w:rPr>
  </w:style>
  <w:style w:type="paragraph" w:styleId="2">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5">
    <w:name w:val="Document Map"/>
    <w:basedOn w:val="1"/>
    <w:link w:val="21"/>
    <w:qFormat/>
    <w:uiPriority w:val="0"/>
    <w:rPr>
      <w:rFonts w:ascii="宋体" w:eastAsia="宋体"/>
      <w:sz w:val="18"/>
      <w:szCs w:val="18"/>
    </w:rPr>
  </w:style>
  <w:style w:type="paragraph" w:styleId="6">
    <w:name w:val="Body Text"/>
    <w:basedOn w:val="1"/>
    <w:next w:val="7"/>
    <w:qFormat/>
    <w:uiPriority w:val="0"/>
    <w:pPr>
      <w:spacing w:after="120"/>
    </w:pPr>
  </w:style>
  <w:style w:type="paragraph" w:styleId="7">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8">
    <w:name w:val="Body Text Indent"/>
    <w:basedOn w:val="1"/>
    <w:qFormat/>
    <w:uiPriority w:val="0"/>
    <w:pPr>
      <w:spacing w:after="120"/>
      <w:ind w:left="200" w:leftChars="200"/>
    </w:pPr>
    <w:rPr>
      <w:rFonts w:ascii="仿宋_GB2312"/>
      <w:szCs w:val="32"/>
    </w:rPr>
  </w:style>
  <w:style w:type="paragraph" w:styleId="9">
    <w:name w:val="Balloon Text"/>
    <w:basedOn w:val="1"/>
    <w:semiHidden/>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style>
  <w:style w:type="paragraph" w:styleId="13">
    <w:name w:val="Body Text First Indent 2"/>
    <w:basedOn w:val="8"/>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9">
    <w:name w:val="四号正文"/>
    <w:basedOn w:val="1"/>
    <w:link w:val="20"/>
    <w:qFormat/>
    <w:uiPriority w:val="0"/>
    <w:pPr>
      <w:spacing w:line="360" w:lineRule="auto"/>
    </w:pPr>
    <w:rPr>
      <w:rFonts w:ascii="??" w:hAnsi="??" w:eastAsia="宋体" w:cs="宋体"/>
      <w:color w:val="000000"/>
      <w:kern w:val="0"/>
      <w:sz w:val="28"/>
      <w:szCs w:val="21"/>
    </w:rPr>
  </w:style>
  <w:style w:type="character" w:customStyle="1" w:styleId="20">
    <w:name w:val="四号正文 Char"/>
    <w:basedOn w:val="16"/>
    <w:link w:val="19"/>
    <w:qFormat/>
    <w:uiPriority w:val="0"/>
    <w:rPr>
      <w:rFonts w:ascii="??" w:hAnsi="??" w:eastAsia="宋体" w:cs="宋体"/>
      <w:color w:val="000000"/>
      <w:sz w:val="28"/>
      <w:szCs w:val="21"/>
      <w:lang w:val="en-US" w:eastAsia="zh-CN" w:bidi="ar-SA"/>
    </w:rPr>
  </w:style>
  <w:style w:type="character" w:customStyle="1" w:styleId="21">
    <w:name w:val="文档结构图 Char"/>
    <w:basedOn w:val="16"/>
    <w:link w:val="5"/>
    <w:qFormat/>
    <w:uiPriority w:val="0"/>
    <w:rPr>
      <w:rFonts w:ascii="宋体"/>
      <w:kern w:val="2"/>
      <w:sz w:val="18"/>
      <w:szCs w:val="18"/>
    </w:rPr>
  </w:style>
  <w:style w:type="paragraph" w:customStyle="1" w:styleId="22">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3">
    <w:name w:val="页脚 Char"/>
    <w:basedOn w:val="16"/>
    <w:link w:val="10"/>
    <w:qFormat/>
    <w:uiPriority w:val="99"/>
    <w:rPr>
      <w:kern w:val="2"/>
      <w:sz w:val="18"/>
      <w:szCs w:val="18"/>
    </w:rPr>
  </w:style>
  <w:style w:type="character" w:customStyle="1" w:styleId="24">
    <w:name w:val="font31"/>
    <w:basedOn w:val="16"/>
    <w:qFormat/>
    <w:uiPriority w:val="0"/>
    <w:rPr>
      <w:rFonts w:hint="eastAsia" w:ascii="宋体" w:hAnsi="宋体" w:eastAsia="宋体" w:cs="宋体"/>
      <w:color w:val="000000"/>
      <w:sz w:val="24"/>
      <w:szCs w:val="24"/>
      <w:u w:val="none"/>
    </w:rPr>
  </w:style>
  <w:style w:type="character" w:customStyle="1" w:styleId="25">
    <w:name w:val="font51"/>
    <w:basedOn w:val="16"/>
    <w:qFormat/>
    <w:uiPriority w:val="0"/>
    <w:rPr>
      <w:rFonts w:hint="default" w:ascii="Wingdings 2" w:hAnsi="Wingdings 2" w:eastAsia="Wingdings 2" w:cs="Wingdings 2"/>
      <w:color w:val="000000"/>
      <w:sz w:val="18"/>
      <w:szCs w:val="18"/>
      <w:u w:val="none"/>
    </w:rPr>
  </w:style>
  <w:style w:type="character" w:customStyle="1" w:styleId="26">
    <w:name w:val="font01"/>
    <w:basedOn w:val="16"/>
    <w:qFormat/>
    <w:uiPriority w:val="0"/>
    <w:rPr>
      <w:rFonts w:ascii="宋体" w:hAnsi="宋体" w:eastAsia="宋体" w:cs="宋体"/>
      <w:color w:val="000000"/>
      <w:sz w:val="18"/>
      <w:szCs w:val="18"/>
      <w:u w:val="none"/>
    </w:rPr>
  </w:style>
  <w:style w:type="character" w:customStyle="1" w:styleId="27">
    <w:name w:val="font41"/>
    <w:basedOn w:val="16"/>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13</Pages>
  <Words>5930</Words>
  <Characters>6159</Characters>
  <Lines>18</Lines>
  <Paragraphs>5</Paragraphs>
  <TotalTime>10</TotalTime>
  <ScaleCrop>false</ScaleCrop>
  <LinksUpToDate>false</LinksUpToDate>
  <CharactersWithSpaces>6163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从头再来</cp:lastModifiedBy>
  <cp:lastPrinted>2025-03-04T19:05:00Z</cp:lastPrinted>
  <dcterms:modified xsi:type="dcterms:W3CDTF">2026-06-06T11:27:11Z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6870ACA9D2CF47759D45E944F0522C3E_13</vt:lpwstr>
  </property>
  <property fmtid="{D5CDD505-2E9C-101B-9397-08002B2CF9AE}" pid="4" name="KSOTemplateDocerSaveRecord">
    <vt:lpwstr>eyJoZGlkIjoiNmFjYjIzMjc3NzgwMDBhMDQ5MWE4NDg4YzVlOGNmMTAiLCJ1c2VySWQiOiI1NjY2NzMwMjAifQ==</vt:lpwstr>
  </property>
</Properties>
</file>