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98E80">
      <w:pPr>
        <w:spacing w:line="578" w:lineRule="exact"/>
        <w:contextualSpacing/>
        <w:rPr>
          <w:rFonts w:eastAsia="黑体"/>
          <w:szCs w:val="32"/>
          <w:lang w:val="zh-CN"/>
        </w:rPr>
      </w:pPr>
      <w:r>
        <w:rPr>
          <w:rFonts w:eastAsia="黑体"/>
          <w:szCs w:val="32"/>
          <w:lang w:val="zh-CN"/>
        </w:rPr>
        <w:t>附件</w:t>
      </w:r>
      <w:r>
        <w:rPr>
          <w:rFonts w:eastAsia="黑体"/>
          <w:szCs w:val="32"/>
        </w:rPr>
        <w:t>2</w:t>
      </w:r>
    </w:p>
    <w:p w14:paraId="5B3C03B2">
      <w:pPr>
        <w:widowControl/>
        <w:spacing w:line="578" w:lineRule="exact"/>
        <w:contextualSpacing/>
        <w:rPr>
          <w:rFonts w:eastAsia="宋体"/>
          <w:b/>
          <w:sz w:val="44"/>
          <w:szCs w:val="44"/>
          <w:shd w:val="clear" w:color="auto" w:fill="FFFFFF"/>
        </w:rPr>
      </w:pPr>
    </w:p>
    <w:p w14:paraId="1B3E7747">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自评</w:t>
      </w:r>
      <w:r>
        <w:rPr>
          <w:rFonts w:eastAsia="方正小标宋简体"/>
          <w:bCs/>
          <w:sz w:val="44"/>
          <w:szCs w:val="44"/>
          <w:shd w:val="clear" w:color="auto" w:fill="FFFFFF"/>
        </w:rPr>
        <w:t>报告</w:t>
      </w:r>
    </w:p>
    <w:p w14:paraId="0846FCB2">
      <w:pPr>
        <w:widowControl/>
        <w:spacing w:line="578" w:lineRule="exact"/>
        <w:contextualSpacing/>
        <w:jc w:val="center"/>
        <w:rPr>
          <w:szCs w:val="32"/>
          <w:shd w:val="clear" w:color="auto" w:fill="FFFFFF"/>
        </w:rPr>
      </w:pPr>
      <w:r>
        <w:rPr>
          <w:szCs w:val="32"/>
          <w:shd w:val="clear" w:color="auto" w:fill="FFFFFF"/>
        </w:rPr>
        <w:t>（报告范围包括机关和下属</w:t>
      </w:r>
      <w:bookmarkStart w:id="3" w:name="_GoBack"/>
      <w:bookmarkEnd w:id="3"/>
      <w:r>
        <w:rPr>
          <w:szCs w:val="32"/>
          <w:shd w:val="clear" w:color="auto" w:fill="FFFFFF"/>
        </w:rPr>
        <w:t>单位）</w:t>
      </w:r>
    </w:p>
    <w:p w14:paraId="45E68E96">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14:paraId="7C636906">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szCs w:val="32"/>
        </w:rPr>
      </w:pPr>
      <w:r>
        <w:rPr>
          <w:rFonts w:eastAsia="黑体"/>
          <w:color w:val="000000"/>
          <w:kern w:val="0"/>
          <w:szCs w:val="32"/>
          <w:shd w:val="clear" w:color="auto" w:fill="FFFFFF"/>
          <w:lang w:val="zh-CN"/>
        </w:rPr>
        <w:t>一、部门（单位）基本情况</w:t>
      </w:r>
    </w:p>
    <w:p w14:paraId="7A3FBBEC">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szCs w:val="32"/>
        </w:rPr>
      </w:pPr>
      <w:r>
        <w:rPr>
          <w:rFonts w:eastAsia="楷体_GB2312"/>
          <w:b/>
          <w:bCs/>
          <w:color w:val="000000"/>
          <w:kern w:val="0"/>
          <w:szCs w:val="32"/>
          <w:shd w:val="clear" w:color="auto" w:fill="FFFFFF"/>
          <w:lang w:val="zh-CN"/>
        </w:rPr>
        <w:t>（一）机构组成。</w:t>
      </w:r>
    </w:p>
    <w:p w14:paraId="18B093D5">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eastAsia="楷体_GB2312"/>
          <w:b/>
          <w:bCs/>
          <w:color w:val="000000"/>
          <w:kern w:val="0"/>
          <w:szCs w:val="32"/>
          <w:shd w:val="clear" w:color="auto" w:fill="FFFFFF"/>
          <w:lang w:val="zh-CN" w:eastAsia="zh-CN"/>
        </w:rPr>
      </w:pPr>
      <w:r>
        <w:rPr>
          <w:rFonts w:hint="eastAsia" w:ascii="Times New Roman" w:hAnsi="Times New Roman" w:cs="Times New Roman"/>
          <w:color w:val="000000"/>
          <w:kern w:val="0"/>
          <w:szCs w:val="32"/>
          <w:shd w:val="clear" w:color="auto" w:fill="FFFFFF"/>
          <w:lang w:val="zh-CN" w:eastAsia="zh-CN"/>
        </w:rPr>
        <w:t>西区团委</w:t>
      </w:r>
      <w:r>
        <w:rPr>
          <w:rFonts w:hint="eastAsia" w:ascii="Times New Roman" w:hAnsi="Times New Roman" w:cs="Times New Roman"/>
          <w:color w:val="000000"/>
          <w:kern w:val="0"/>
          <w:szCs w:val="32"/>
          <w:shd w:val="clear" w:color="auto" w:fill="FFFFFF"/>
          <w:lang w:val="en-US" w:eastAsia="zh-CN"/>
        </w:rPr>
        <w:t>内设股室0个，下属二级单位1个，其中行政单位0个，参照公务员法管理的事业单位0个，其他事业单位1个，攀枝花市西区青少年活动中心</w:t>
      </w:r>
      <w:r>
        <w:rPr>
          <w:rFonts w:hint="eastAsia" w:ascii="楷体_GB2312" w:hAnsi="楷体_GB2312" w:eastAsia="楷体_GB2312" w:cs="楷体_GB2312"/>
          <w:i w:val="0"/>
          <w:caps w:val="0"/>
          <w:color w:val="333333"/>
          <w:spacing w:val="0"/>
          <w:kern w:val="2"/>
          <w:sz w:val="32"/>
          <w:szCs w:val="32"/>
          <w:shd w:val="clear" w:fill="FFFFFF"/>
          <w:lang w:val="en-US" w:eastAsia="zh-CN" w:bidi="ar-SA"/>
        </w:rPr>
        <w:t>。</w:t>
      </w:r>
    </w:p>
    <w:p w14:paraId="0A6E727E">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（二）机构职能。</w:t>
      </w:r>
    </w:p>
    <w:p w14:paraId="5480CA11">
      <w:pPr>
        <w:keepNext w:val="0"/>
        <w:keepLines w:val="0"/>
        <w:pageBreakBefore w:val="0"/>
        <w:kinsoku/>
        <w:wordWrap/>
        <w:overflowPunct/>
        <w:topLinePunct w:val="0"/>
        <w:autoSpaceDE/>
        <w:autoSpaceDN/>
        <w:bidi w:val="0"/>
        <w:spacing w:line="360" w:lineRule="auto"/>
        <w:ind w:firstLine="640" w:firstLineChars="200"/>
        <w:textAlignment w:val="auto"/>
        <w:rPr>
          <w:rFonts w:hint="eastAsia" w:eastAsia="仿宋"/>
          <w:b/>
          <w:bCs/>
          <w:color w:val="000000"/>
          <w:kern w:val="0"/>
          <w:szCs w:val="32"/>
          <w:shd w:val="clear" w:color="auto" w:fill="FFFFFF"/>
          <w:lang w:val="en-US" w:eastAsia="zh-CN"/>
        </w:rPr>
      </w:pPr>
      <w:r>
        <w:rPr>
          <w:rFonts w:hint="eastAsia" w:ascii="Times New Roman" w:hAnsi="Times New Roman" w:cs="Times New Roman"/>
          <w:color w:val="000000"/>
          <w:kern w:val="0"/>
          <w:szCs w:val="32"/>
          <w:shd w:val="clear" w:color="auto" w:fill="FFFFFF"/>
          <w:lang w:val="zh-CN" w:eastAsia="zh-CN"/>
        </w:rPr>
        <w:t>西区团委主要职责：认真贯彻区委、团市委和有关决议和方针、政策、领导全区共青团、青联、学联和少先队工作，抓好青少年教育工作。认真贯彻有关青少年事业的法律、法规、制定我区青少年工作方针和青少年事业发展规划，协助区委、区政府处理、协调与青少年利益相关的事务，维护青少年合法权益。负责对全区青少年活动阵地、青少年服务机构的建设进行规划和管理；指导和管理全区性青年社团组织。调查青年思想动态和青年工作状况，研究青少年工作理论和新形势下青少年思想教育中出现的新问题，提出相应对策，开展好各种寓教于乐的活动。协助教育主管部门做好全区中、小学校学生的教育管理工作，开展好假期社会实践活动，优化青少年成长环境，维护学校稳定和社会安定团结。坚持“党建带团建”的基本原则，切实加强共青团的基层组织建设，特别是农村、社区新经济组织团的组织建设，逐步建立与社会主义市场经济相适应的团的工作运行机制。在全区青年中继续推进新世纪读书计划、“保护母亲河”行动和青年科技创新行动，深化争得“青年岗位能手”、争创“青年文明号”、“争当青年致富能手”、“争创青年文明户”和创新创效活动，动员和组织青年在推动先进生产力的发展中发挥积极作用。认真贯彻实施青年统战工作政策，做好我去青年统战对象的团结教育工作，维护祖国统一和民族团结；协同有关部门抓好全区青少年对外交流、交往工作。积极协调配合有关部门做好青少年的教育工作</w:t>
      </w:r>
      <w:r>
        <w:rPr>
          <w:rFonts w:hint="eastAsia" w:ascii="仿宋" w:hAnsi="仿宋" w:eastAsia="仿宋"/>
          <w:sz w:val="32"/>
          <w:szCs w:val="32"/>
          <w:lang w:eastAsia="zh-CN"/>
        </w:rPr>
        <w:t>。</w:t>
      </w:r>
    </w:p>
    <w:p w14:paraId="0C8D1597">
      <w:pPr>
        <w:keepNext w:val="0"/>
        <w:keepLines w:val="0"/>
        <w:pageBreakBefore w:val="0"/>
        <w:numPr>
          <w:ilvl w:val="0"/>
          <w:numId w:val="0"/>
        </w:numPr>
        <w:kinsoku/>
        <w:wordWrap/>
        <w:overflowPunct/>
        <w:topLinePunct w:val="0"/>
        <w:autoSpaceDE/>
        <w:autoSpaceDN/>
        <w:bidi w:val="0"/>
        <w:spacing w:line="360" w:lineRule="auto"/>
        <w:ind w:firstLine="643" w:firstLineChars="200"/>
        <w:textAlignment w:val="auto"/>
        <w:rPr>
          <w:rFonts w:eastAsia="楷体_GB2312"/>
          <w:b/>
          <w:bCs/>
          <w:color w:val="000000"/>
          <w:kern w:val="0"/>
          <w:szCs w:val="32"/>
          <w:shd w:val="clear" w:color="auto" w:fill="FFFFFF"/>
          <w:lang w:val="zh-CN"/>
        </w:rPr>
      </w:pPr>
      <w:r>
        <w:rPr>
          <w:rFonts w:hint="eastAsia" w:eastAsia="楷体_GB2312"/>
          <w:b/>
          <w:bCs/>
          <w:color w:val="000000"/>
          <w:kern w:val="0"/>
          <w:szCs w:val="32"/>
          <w:shd w:val="clear" w:color="auto" w:fill="FFFFFF"/>
          <w:lang w:val="zh-CN"/>
        </w:rPr>
        <w:t>（三）</w:t>
      </w:r>
      <w:r>
        <w:rPr>
          <w:rFonts w:eastAsia="楷体_GB2312"/>
          <w:b/>
          <w:bCs/>
          <w:color w:val="000000"/>
          <w:kern w:val="0"/>
          <w:szCs w:val="32"/>
          <w:shd w:val="clear" w:color="auto" w:fill="FFFFFF"/>
          <w:lang w:val="zh-CN"/>
        </w:rPr>
        <w:t>人员概况。</w:t>
      </w:r>
    </w:p>
    <w:p w14:paraId="4D0BCAFE">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eastAsia="黑体"/>
          <w:color w:val="000000"/>
          <w:kern w:val="0"/>
          <w:szCs w:val="32"/>
          <w:shd w:val="clear" w:color="auto" w:fill="FFFFFF"/>
        </w:rPr>
      </w:pPr>
      <w:r>
        <w:rPr>
          <w:rFonts w:hint="eastAsia" w:ascii="Times New Roman" w:hAnsi="Times New Roman" w:cs="Times New Roman"/>
          <w:color w:val="000000"/>
          <w:kern w:val="0"/>
          <w:szCs w:val="32"/>
          <w:shd w:val="clear" w:color="auto" w:fill="FFFFFF"/>
          <w:lang w:val="zh-CN" w:eastAsia="zh-CN"/>
        </w:rPr>
        <w:t>进一步完善和加强单位内部财务管理制度，加强预算编制精准性及预算项目可实施性，加强资金使用动态管理，确保资金使用效益最大化</w:t>
      </w:r>
      <w:r>
        <w:rPr>
          <w:rFonts w:hint="eastAsia" w:ascii="Times New Roman" w:hAnsi="Times New Roman"/>
          <w:sz w:val="32"/>
          <w:szCs w:val="32"/>
          <w:lang w:val="en-US" w:eastAsia="zh-CN"/>
        </w:rPr>
        <w:t>。</w:t>
      </w:r>
    </w:p>
    <w:p w14:paraId="334A03E1">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二、部门资金收支情况</w:t>
      </w:r>
    </w:p>
    <w:p w14:paraId="32A7340E">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ascii="Times New Roman" w:hAnsi="Times New Roman" w:cs="Times New Roman"/>
          <w:b/>
          <w:bCs/>
          <w:szCs w:val="32"/>
          <w:lang w:val="zh-CN"/>
        </w:rPr>
      </w:pPr>
      <w:r>
        <w:rPr>
          <w:rFonts w:eastAsia="楷体_GB2312"/>
          <w:b/>
          <w:bCs/>
          <w:color w:val="000000"/>
          <w:kern w:val="0"/>
          <w:szCs w:val="32"/>
          <w:shd w:val="clear" w:color="auto" w:fill="FFFFFF"/>
          <w:lang w:val="zh-CN"/>
        </w:rPr>
        <w:t>（一）收入情况</w:t>
      </w:r>
      <w:r>
        <w:rPr>
          <w:rFonts w:ascii="Times New Roman" w:hAnsi="Times New Roman" w:cs="Times New Roman"/>
          <w:b/>
          <w:bCs/>
          <w:szCs w:val="32"/>
          <w:lang w:val="zh-CN"/>
        </w:rPr>
        <w:t>。</w:t>
      </w:r>
    </w:p>
    <w:p w14:paraId="1BE63BC1">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b/>
          <w:bCs/>
          <w:color w:val="000000"/>
          <w:kern w:val="0"/>
          <w:szCs w:val="32"/>
          <w:shd w:val="clear" w:color="auto" w:fill="FFFFFF"/>
        </w:rPr>
      </w:pPr>
      <w:r>
        <w:rPr>
          <w:rFonts w:hint="eastAsia" w:ascii="Times New Roman" w:hAnsi="Times New Roman" w:cs="Times New Roman"/>
          <w:color w:val="000000"/>
          <w:kern w:val="0"/>
          <w:szCs w:val="32"/>
          <w:shd w:val="clear" w:color="auto" w:fill="FFFFFF"/>
          <w:lang w:val="en-US" w:eastAsia="zh-CN"/>
        </w:rPr>
        <w:t>2025年度，西区团委及下属活动中心全年决算收入合计174.52万元。其中：西区团委决算收入91.64万元（一般公共预算财政拨款收入88.34万元，占比96.40%；年初结转结余3.30万元，占比3.60%），本年收入较上年度减少36.37万元，下降28.41%，主要原因是人员经费及项目经费减少；西区青少年活动中心决算收入82.88万元（全部为一般公共预算财政拨款收入，占总收入100%）</w:t>
      </w:r>
      <w:r>
        <w:rPr>
          <w:rFonts w:ascii="Times New Roman" w:hAnsi="Times New Roman" w:cs="Times New Roman"/>
          <w:szCs w:val="32"/>
        </w:rPr>
        <w:t>。</w:t>
      </w:r>
    </w:p>
    <w:p w14:paraId="53587B65">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szCs w:val="32"/>
          <w:lang w:val="zh-CN"/>
        </w:rPr>
      </w:pPr>
      <w:r>
        <w:rPr>
          <w:rFonts w:eastAsia="楷体_GB2312"/>
          <w:b/>
          <w:bCs/>
          <w:color w:val="000000"/>
          <w:kern w:val="0"/>
          <w:szCs w:val="32"/>
          <w:shd w:val="clear" w:color="auto" w:fill="FFFFFF"/>
          <w:lang w:val="zh-CN"/>
        </w:rPr>
        <w:t>（二）支出情况。</w:t>
      </w:r>
    </w:p>
    <w:p w14:paraId="1939B73D">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ascii="Times New Roman" w:hAnsi="Times New Roman" w:cs="Times New Roman"/>
          <w:color w:val="000000"/>
          <w:kern w:val="0"/>
          <w:szCs w:val="32"/>
          <w:shd w:val="clear" w:color="auto" w:fill="FFFFFF"/>
          <w:lang w:val="zh-CN"/>
        </w:rPr>
      </w:pPr>
      <w:r>
        <w:rPr>
          <w:rFonts w:hint="eastAsia" w:ascii="Times New Roman" w:hAnsi="Times New Roman" w:cs="Times New Roman"/>
          <w:color w:val="000000"/>
          <w:kern w:val="0"/>
          <w:szCs w:val="32"/>
          <w:shd w:val="clear" w:color="auto" w:fill="FFFFFF"/>
          <w:lang w:val="zh-CN"/>
        </w:rPr>
        <w:t>2025年度，西区团委及下属活动中心财政资金支出合计174.52万元。其中：西区团委支出91.64万元（基本支出67.99万元，占比74.19%，含人员经费62.87万元、公用经费5.12万元；项目支出23.64万元，占比25.81%），按经济分类：工资福利支出62.87万元，商品和服务支出28.77万元；西区青少年活动中心支出82.88万元（基本支出81.93万元，含人员经费78.40万元、公用经费3.53万元；项目支出0.95万元）。</w:t>
      </w:r>
    </w:p>
    <w:p w14:paraId="47562323">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（三）</w:t>
      </w:r>
      <w:r>
        <w:rPr>
          <w:rFonts w:eastAsia="楷体_GB2312"/>
          <w:b/>
          <w:szCs w:val="32"/>
        </w:rPr>
        <w:t>结余分配和结转结余情况。</w:t>
      </w:r>
    </w:p>
    <w:p w14:paraId="7AC18AD9">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cs="Times New Roman"/>
          <w:color w:val="000000"/>
          <w:kern w:val="0"/>
          <w:szCs w:val="32"/>
          <w:shd w:val="clear" w:color="auto" w:fill="FFFFFF"/>
          <w:lang w:val="en-US" w:eastAsia="zh-CN"/>
        </w:rPr>
        <w:t>2025年度，西区团委及下属活动中心均无年末结转结余资金。西区团委年初结转结余3.30万元已在本年全部支出</w:t>
      </w:r>
      <w:r>
        <w:rPr>
          <w:color w:val="000000"/>
          <w:kern w:val="0"/>
          <w:szCs w:val="32"/>
          <w:shd w:val="clear" w:color="auto" w:fill="FFFFFF"/>
        </w:rPr>
        <w:t>。</w:t>
      </w:r>
    </w:p>
    <w:p w14:paraId="0F205E69">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themeColor="text1"/>
          <w:kern w:val="0"/>
          <w:szCs w:val="32"/>
          <w:shd w:val="clear" w:color="auto" w:fill="FFFFFF"/>
          <w14:textFill>
            <w14:solidFill>
              <w14:schemeClr w14:val="tx1"/>
            </w14:solidFill>
          </w14:textFill>
        </w:rPr>
      </w:pPr>
      <w:r>
        <w:rPr>
          <w:rFonts w:eastAsia="黑体"/>
          <w:color w:val="000000"/>
          <w:kern w:val="0"/>
          <w:szCs w:val="32"/>
          <w:shd w:val="clear" w:color="auto" w:fill="FFFFFF"/>
        </w:rPr>
        <w:t>三、部门预算绩效分析</w:t>
      </w:r>
    </w:p>
    <w:p w14:paraId="0E7FE0E7">
      <w:pPr>
        <w:keepNext w:val="0"/>
        <w:keepLines w:val="0"/>
        <w:pageBreakBefore w:val="0"/>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lang w:val="zh-CN"/>
        </w:rPr>
      </w:pPr>
      <w:r>
        <w:rPr>
          <w:rFonts w:eastAsia="楷体_GB2312"/>
          <w:b/>
          <w:bCs/>
          <w:color w:val="000000"/>
          <w:kern w:val="0"/>
          <w:szCs w:val="32"/>
          <w:shd w:val="clear" w:color="auto" w:fill="FFFFFF"/>
          <w:lang w:val="zh-CN"/>
        </w:rPr>
        <w:t>（一）部门预算总体绩效分析。</w:t>
      </w:r>
      <w:r>
        <w:rPr>
          <w:color w:val="000000"/>
          <w:kern w:val="0"/>
          <w:szCs w:val="32"/>
          <w:shd w:val="clear" w:color="auto" w:fill="FFFFFF"/>
          <w:lang w:val="zh-CN"/>
        </w:rPr>
        <w:t>根据部门预算绩效评价指标体系“总体绩效”涉及二、三级指标进行逐项绩效分析并评分，依次包括履职效能、预算管理、财务管理、资产管理、采购管理等情况。</w:t>
      </w:r>
    </w:p>
    <w:p w14:paraId="57982BCF">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履职效能。</w:t>
      </w:r>
      <w:r>
        <w:rPr>
          <w:color w:val="000000"/>
          <w:kern w:val="0"/>
          <w:szCs w:val="32"/>
          <w:shd w:val="clear" w:color="auto" w:fill="FFFFFF"/>
          <w:lang w:val="zh-CN"/>
        </w:rPr>
        <w:t>部门整体绩效目标中选定3</w:t>
      </w:r>
      <w:r>
        <w:rPr>
          <w:rFonts w:hint="eastAsia"/>
          <w:color w:val="000000"/>
          <w:kern w:val="0"/>
          <w:szCs w:val="32"/>
          <w:shd w:val="clear" w:color="auto" w:fill="FFFFFF"/>
          <w:lang w:val="zh-CN"/>
        </w:rPr>
        <w:t>—</w:t>
      </w:r>
      <w:r>
        <w:rPr>
          <w:color w:val="000000"/>
          <w:kern w:val="0"/>
          <w:szCs w:val="32"/>
          <w:shd w:val="clear" w:color="auto" w:fill="FFFFFF"/>
          <w:lang w:val="zh-CN"/>
        </w:rPr>
        <w:t>5个核心职能目标，对职能目标完成效果情况绩效分析。</w:t>
      </w:r>
    </w:p>
    <w:p w14:paraId="57822292">
      <w:pPr>
        <w:pStyle w:val="3"/>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default" w:ascii="Times New Roman" w:hAnsi="Times New Roman" w:eastAsia="仿宋_GB2312" w:cs="Times New Roman"/>
          <w:b w:val="0"/>
          <w:color w:val="000000"/>
          <w:kern w:val="0"/>
          <w:sz w:val="32"/>
          <w:szCs w:val="32"/>
          <w:shd w:val="clear" w:color="auto" w:fill="FFFFFF"/>
          <w:lang w:val="en-US" w:eastAsia="zh-CN" w:bidi="ar-SA"/>
        </w:rPr>
      </w:pPr>
      <w:r>
        <w:rPr>
          <w:rFonts w:hint="eastAsia" w:ascii="Times New Roman" w:hAnsi="Times New Roman" w:eastAsia="仿宋_GB2312" w:cs="Times New Roman"/>
          <w:b w:val="0"/>
          <w:color w:val="000000"/>
          <w:kern w:val="0"/>
          <w:sz w:val="32"/>
          <w:szCs w:val="32"/>
          <w:shd w:val="clear" w:color="auto" w:fill="FFFFFF"/>
          <w:lang w:val="en-US" w:eastAsia="zh-CN" w:bidi="ar-SA"/>
        </w:rPr>
        <w:t>（1）</w:t>
      </w:r>
      <w:r>
        <w:rPr>
          <w:rFonts w:hint="default" w:ascii="Times New Roman" w:hAnsi="Times New Roman" w:eastAsia="仿宋_GB2312" w:cs="Times New Roman"/>
          <w:b w:val="0"/>
          <w:color w:val="000000"/>
          <w:kern w:val="0"/>
          <w:sz w:val="32"/>
          <w:szCs w:val="32"/>
          <w:shd w:val="clear" w:color="auto" w:fill="FFFFFF"/>
          <w:lang w:val="en-US" w:eastAsia="zh-CN" w:bidi="ar-SA"/>
        </w:rPr>
        <w:t>聚焦思想引领，筑牢青年理想信念根基。线上依托“青年大学习”主题团课、“红领巾爱学习”主题队课督促各级团支部、学校少先队常态化抓好学习教育。线下组织开展了全民国家安全教育日宣讲活动、示范性入团仪式、“跨越青春，担当未来”成人仪式活动、学习贯彻党的二十届三中全会精神宣讲会等各类主题教育活动，覆盖青联委员及团员青年60余人次。活动中心组织参加了攀枝花市2025年“红领巾爱祖国 童心筑梦奔共富”新队员入队仪式暨主题队日活动，参加了攀枝花市2025年“红领巾爱祖国 争做强国好少年”中国少年先锋队建队75周年主题日暨喜迎攀枝花开发建设60周年活动，参加了2025年攀枝花市少先队辅导员专题培训，参加了省总工会开展的“中国梦·劳动美——凝心铸魂跟党走团结奋斗新征程”四川省劳模工匠宣讲团走进攀枝花主题宣讲活动，选派5名优秀学员参加了“老少同声颂党恩·携手奋进新征程”青少年民族团结进步夏令营活动。</w:t>
      </w:r>
    </w:p>
    <w:p w14:paraId="45869EF6">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_GB2312" w:cs="Times New Roman"/>
          <w:b w:val="0"/>
          <w:color w:val="000000"/>
          <w:kern w:val="0"/>
          <w:sz w:val="32"/>
          <w:szCs w:val="32"/>
          <w:shd w:val="clear" w:color="auto" w:fill="FFFFFF"/>
          <w:lang w:val="en-US" w:eastAsia="zh-CN" w:bidi="ar-SA"/>
        </w:rPr>
      </w:pPr>
      <w:r>
        <w:rPr>
          <w:rFonts w:hint="default" w:ascii="Times New Roman" w:hAnsi="Times New Roman" w:eastAsia="仿宋_GB2312" w:cs="Times New Roman"/>
          <w:b w:val="0"/>
          <w:color w:val="000000"/>
          <w:kern w:val="0"/>
          <w:sz w:val="32"/>
          <w:szCs w:val="32"/>
          <w:shd w:val="clear" w:color="auto" w:fill="FFFFFF"/>
          <w:lang w:val="en-US" w:eastAsia="zh-CN" w:bidi="ar-SA"/>
        </w:rPr>
        <w:t>（</w:t>
      </w:r>
      <w:r>
        <w:rPr>
          <w:rFonts w:hint="eastAsia" w:ascii="Times New Roman" w:hAnsi="Times New Roman" w:eastAsia="仿宋_GB2312" w:cs="Times New Roman"/>
          <w:b w:val="0"/>
          <w:color w:val="000000"/>
          <w:kern w:val="0"/>
          <w:sz w:val="32"/>
          <w:szCs w:val="32"/>
          <w:shd w:val="clear" w:color="auto" w:fill="FFFFFF"/>
          <w:lang w:val="en-US" w:eastAsia="zh-CN" w:bidi="ar-SA"/>
        </w:rPr>
        <w:t>2</w:t>
      </w:r>
      <w:r>
        <w:rPr>
          <w:rFonts w:hint="default" w:ascii="Times New Roman" w:hAnsi="Times New Roman" w:eastAsia="仿宋_GB2312" w:cs="Times New Roman"/>
          <w:b w:val="0"/>
          <w:color w:val="000000"/>
          <w:kern w:val="0"/>
          <w:sz w:val="32"/>
          <w:szCs w:val="32"/>
          <w:shd w:val="clear" w:color="auto" w:fill="FFFFFF"/>
          <w:lang w:val="en-US" w:eastAsia="zh-CN" w:bidi="ar-SA"/>
        </w:rPr>
        <w:t>）聚焦改革强基，不断强化团组织自身建设。选派2名同志到团区委挂职锻炼，形成“一正一副一兼两挂”的领导班子。聘任9名大学生为镇（街道）团（工）委兼职副书记。严把团员入口关，发展新团员412人，接收团员355人。开展“红领巾小主播”主题微队课活动，2名少先队员作品入选团市委优秀作品展。全区共16人荣获市级“红领巾奖章”个人三星章、6个集体获集体三星章。</w:t>
      </w:r>
    </w:p>
    <w:p w14:paraId="4091EF00">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eastAsia="仿宋_GB2312" w:cs="Times New Roman"/>
          <w:b w:val="0"/>
          <w:color w:val="000000"/>
          <w:kern w:val="0"/>
          <w:sz w:val="32"/>
          <w:szCs w:val="32"/>
          <w:shd w:val="clear" w:color="auto" w:fill="FFFFFF"/>
          <w:lang w:val="zh-CN" w:eastAsia="zh-CN" w:bidi="ar-SA"/>
        </w:rPr>
      </w:pPr>
      <w:r>
        <w:rPr>
          <w:rFonts w:hint="default" w:ascii="Times New Roman" w:hAnsi="Times New Roman" w:eastAsia="仿宋_GB2312" w:cs="Times New Roman"/>
          <w:b w:val="0"/>
          <w:color w:val="000000"/>
          <w:kern w:val="0"/>
          <w:sz w:val="32"/>
          <w:szCs w:val="32"/>
          <w:shd w:val="clear" w:color="auto" w:fill="FFFFFF"/>
          <w:lang w:val="en-US" w:eastAsia="zh-CN" w:bidi="ar-SA"/>
        </w:rPr>
        <w:t>（</w:t>
      </w:r>
      <w:r>
        <w:rPr>
          <w:rFonts w:hint="eastAsia" w:ascii="Times New Roman" w:hAnsi="Times New Roman" w:eastAsia="仿宋_GB2312" w:cs="Times New Roman"/>
          <w:b w:val="0"/>
          <w:color w:val="000000"/>
          <w:kern w:val="0"/>
          <w:sz w:val="32"/>
          <w:szCs w:val="32"/>
          <w:shd w:val="clear" w:color="auto" w:fill="FFFFFF"/>
          <w:lang w:val="en-US" w:eastAsia="zh-CN" w:bidi="ar-SA"/>
        </w:rPr>
        <w:t>3</w:t>
      </w:r>
      <w:r>
        <w:rPr>
          <w:rFonts w:hint="default" w:ascii="Times New Roman" w:hAnsi="Times New Roman" w:eastAsia="仿宋_GB2312" w:cs="Times New Roman"/>
          <w:b w:val="0"/>
          <w:color w:val="000000"/>
          <w:kern w:val="0"/>
          <w:sz w:val="32"/>
          <w:szCs w:val="32"/>
          <w:shd w:val="clear" w:color="auto" w:fill="FFFFFF"/>
          <w:lang w:val="en-US" w:eastAsia="zh-CN" w:bidi="ar-SA"/>
        </w:rPr>
        <w:t>）聚焦青年主体，切实满足青年成长需求。持续深化“暖冬行动”“微心愿”等品牌工作，走访慰问困境儿童，发放慰问金1500元及慰问物资。开展“共青团与人大代表、政协委员面对面”活动，举办各类法治宣传教育活动，发放普法宣传资料1000余份。组织少先队员开展“书信手拉手”活动，组织辖区84名城乡留守儿童、困境儿童开展暑期公益夏令营活动。联合区青少年活动中心开展第二十期圆梦蒲公英公益课程培训活动，开设八门课程，累计惠及青少年1337人次。活动中心继续开展“圆梦蒲公英”寒暑假公益课程培训，共开课5天、180个课时，开设书法、美术、素描、口才、古筝、吉他、民族舞和足球等八门课程，共有1337名青少年参加培训，继续为8名抗疫一线医务工作者子女提供272节特长免费培训</w:t>
      </w:r>
      <w:r>
        <w:rPr>
          <w:rFonts w:hint="eastAsia" w:ascii="Times New Roman" w:hAnsi="Times New Roman" w:eastAsia="仿宋_GB2312" w:cs="Times New Roman"/>
          <w:b w:val="0"/>
          <w:color w:val="000000"/>
          <w:kern w:val="0"/>
          <w:sz w:val="32"/>
          <w:szCs w:val="32"/>
          <w:shd w:val="clear" w:color="auto" w:fill="FFFFFF"/>
          <w:lang w:val="en-US" w:eastAsia="zh-CN" w:bidi="ar-SA"/>
        </w:rPr>
        <w:t>。</w:t>
      </w:r>
    </w:p>
    <w:p w14:paraId="3EBB2FE3">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eastAsia="仿宋_GB2312" w:cs="Times New Roman"/>
          <w:b w:val="0"/>
          <w:color w:val="000000"/>
          <w:kern w:val="0"/>
          <w:sz w:val="32"/>
          <w:szCs w:val="32"/>
          <w:shd w:val="clear" w:color="auto" w:fill="FFFFFF"/>
          <w:lang w:val="en-US" w:eastAsia="zh-CN" w:bidi="ar-SA"/>
        </w:rPr>
      </w:pPr>
      <w:r>
        <w:rPr>
          <w:rFonts w:hint="eastAsia" w:ascii="Times New Roman" w:hAnsi="Times New Roman" w:eastAsia="仿宋_GB2312" w:cs="Times New Roman"/>
          <w:b w:val="0"/>
          <w:color w:val="000000"/>
          <w:kern w:val="0"/>
          <w:sz w:val="32"/>
          <w:szCs w:val="32"/>
          <w:shd w:val="clear" w:color="auto" w:fill="FFFFFF"/>
          <w:lang w:val="en-US" w:eastAsia="zh-CN" w:bidi="ar-SA"/>
        </w:rPr>
        <w:t>（4）聚焦中心任务，凝聚青年助力“共富”建设。贯彻落实好“青年工作联席会”工作机制，推动青年发展型城市建设工作纳入“十五五”规划。搭建“创青春”平台，推荐2个创业项目参加市级比赛，与2家区属酒店签署青年驿站免费入住协议。组织开展“返家乡”和“逐梦计划”社会实践活动，累计发布实践岗位226个，98名大学生完成双选。深化“青志愿”品牌工程，全区各级团组织在“志愿四川”平台发布志愿服务1790场，参与志愿服务人数1680人，累计志愿服务时长68000余小时</w:t>
      </w:r>
      <w:r>
        <w:rPr>
          <w:rFonts w:hint="eastAsia" w:cs="Times New Roman"/>
          <w:b w:val="0"/>
          <w:color w:val="000000"/>
          <w:kern w:val="0"/>
          <w:sz w:val="32"/>
          <w:szCs w:val="32"/>
          <w:shd w:val="clear" w:color="auto" w:fill="FFFFFF"/>
          <w:lang w:val="en-US" w:eastAsia="zh-CN" w:bidi="ar-SA"/>
        </w:rPr>
        <w:t>。</w:t>
      </w:r>
    </w:p>
    <w:p w14:paraId="2929E5C0">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eastAsia="仿宋_GB2312" w:cs="Times New Roman"/>
          <w:b w:val="0"/>
          <w:color w:val="000000"/>
          <w:kern w:val="0"/>
          <w:sz w:val="32"/>
          <w:szCs w:val="32"/>
          <w:shd w:val="clear" w:color="auto" w:fill="FFFFFF"/>
          <w:lang w:val="en-US" w:eastAsia="zh-CN" w:bidi="ar-SA"/>
        </w:rPr>
      </w:pPr>
      <w:r>
        <w:rPr>
          <w:rFonts w:hint="eastAsia" w:ascii="Times New Roman" w:hAnsi="Times New Roman" w:eastAsia="仿宋_GB2312" w:cs="Times New Roman"/>
          <w:b w:val="0"/>
          <w:color w:val="000000"/>
          <w:kern w:val="0"/>
          <w:sz w:val="32"/>
          <w:szCs w:val="32"/>
          <w:shd w:val="clear" w:color="auto" w:fill="FFFFFF"/>
          <w:lang w:val="en-US" w:eastAsia="zh-CN" w:bidi="ar-SA"/>
        </w:rPr>
        <w:t>（5）聚焦重点领域，靶向发力促进青年发展。</w:t>
      </w:r>
    </w:p>
    <w:p w14:paraId="6841F8B6">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eastAsia="仿宋_GB2312" w:cs="Times New Roman"/>
          <w:b w:val="0"/>
          <w:color w:val="000000"/>
          <w:kern w:val="0"/>
          <w:sz w:val="32"/>
          <w:szCs w:val="32"/>
          <w:shd w:val="clear" w:color="auto" w:fill="FFFFFF"/>
          <w:lang w:val="en-US" w:eastAsia="zh-CN" w:bidi="ar-SA"/>
        </w:rPr>
      </w:pPr>
      <w:r>
        <w:rPr>
          <w:rFonts w:hint="eastAsia" w:ascii="Times New Roman" w:hAnsi="Times New Roman" w:eastAsia="仿宋_GB2312" w:cs="Times New Roman"/>
          <w:b w:val="0"/>
          <w:color w:val="000000"/>
          <w:kern w:val="0"/>
          <w:sz w:val="32"/>
          <w:szCs w:val="32"/>
          <w:shd w:val="clear" w:color="auto" w:fill="FFFFFF"/>
          <w:lang w:val="en-US" w:eastAsia="zh-CN" w:bidi="ar-SA"/>
        </w:rPr>
        <w:t>开展“青春之约 五四之旅”等五个系列惠青主题活动，为广大青年送上免费领取文创雪糕、景区门票等福利。积极推动“青年夜校”项目，开设摄影培训课和户外拓展课。组织开展青年职工联谊活动、返乡大学生联谊主题活动、七夕主题活动等，累计覆盖青年300余人次</w:t>
      </w:r>
      <w:r>
        <w:rPr>
          <w:rFonts w:hint="eastAsia" w:cs="Times New Roman"/>
          <w:b w:val="0"/>
          <w:color w:val="000000"/>
          <w:kern w:val="0"/>
          <w:sz w:val="32"/>
          <w:szCs w:val="32"/>
          <w:shd w:val="clear" w:color="auto" w:fill="FFFFFF"/>
          <w:lang w:val="en-US" w:eastAsia="zh-CN" w:bidi="ar-SA"/>
        </w:rPr>
        <w:t>。</w:t>
      </w:r>
    </w:p>
    <w:p w14:paraId="183AC019">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en-US" w:eastAsia="zh-CN"/>
        </w:rPr>
      </w:pPr>
      <w:r>
        <w:rPr>
          <w:rFonts w:hint="eastAsia" w:ascii="Times New Roman" w:hAnsi="Times New Roman" w:cs="Times New Roman"/>
          <w:color w:val="000000"/>
          <w:kern w:val="0"/>
          <w:szCs w:val="32"/>
          <w:shd w:val="clear" w:color="auto" w:fill="FFFFFF"/>
          <w:lang w:val="en-US" w:eastAsia="zh-CN"/>
        </w:rPr>
        <w:t>（6）持续开展公益活动和家庭教育。</w:t>
      </w:r>
    </w:p>
    <w:p w14:paraId="0863919C">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en-US" w:eastAsia="zh-CN"/>
        </w:rPr>
      </w:pPr>
      <w:r>
        <w:rPr>
          <w:rFonts w:hint="eastAsia" w:ascii="Times New Roman" w:hAnsi="Times New Roman" w:cs="Times New Roman"/>
          <w:color w:val="000000"/>
          <w:kern w:val="0"/>
          <w:szCs w:val="32"/>
          <w:shd w:val="clear" w:color="auto" w:fill="FFFFFF"/>
          <w:lang w:val="en-US" w:eastAsia="zh-CN"/>
        </w:rPr>
        <w:t>活动中心组织古筝班学员参加攀枝花2025年三角梅文化艺术节古筝表演；开展全民国家安全教育日宣讲活动；开展“攀枝花市西区青少年活动中心共‘富’梦想六一活动展”，评选出24名优秀学员并予以奖励；举办“我们一起过重阳”公益活动，评出9组家庭的优秀视频和15件优秀作品；选派21名学员参加“新时代·蜀少年2025攀枝花市青少年文化艺术展演”舞蹈、古筝、书法、绘画四大类比赛；组织51名少先队员及家长开展“红领巾话信仰，携手共‘富’未来”口才户外实践活动。在市十中开展《和家长好好说话》家庭教育讲座，与75名学生共同探讨如何与家长进行有效沟通；在陶家渡卫生服务中心开展“阳光心理，健康人生”团体沙盘，对青少年进行系统的心理健康辅导。采用线上指导、线下教学、集中集训方式组织学员备战考级，共有124名学员参加书法、素描、美术、彩铅、民族舞、古筝的考级</w:t>
      </w:r>
      <w:r>
        <w:rPr>
          <w:rFonts w:hint="eastAsia" w:cs="Times New Roman"/>
          <w:color w:val="000000"/>
          <w:kern w:val="0"/>
          <w:szCs w:val="32"/>
          <w:shd w:val="clear" w:color="auto" w:fill="FFFFFF"/>
          <w:lang w:val="en-US" w:eastAsia="zh-CN"/>
        </w:rPr>
        <w:t>。</w:t>
      </w:r>
    </w:p>
    <w:p w14:paraId="02062C33">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hint="eastAsia" w:eastAsia="楷体_GB2312"/>
          <w:color w:val="000000"/>
          <w:kern w:val="0"/>
          <w:szCs w:val="32"/>
          <w:shd w:val="clear" w:color="auto" w:fill="FFFFFF"/>
          <w:lang w:val="en-US" w:eastAsia="zh-CN"/>
        </w:rPr>
        <w:t>2.</w:t>
      </w:r>
      <w:r>
        <w:rPr>
          <w:rFonts w:eastAsia="楷体_GB2312"/>
          <w:color w:val="000000"/>
          <w:kern w:val="0"/>
          <w:szCs w:val="32"/>
          <w:shd w:val="clear" w:color="auto" w:fill="FFFFFF"/>
          <w:lang w:val="zh-CN"/>
        </w:rPr>
        <w:t>预算</w:t>
      </w:r>
      <w:r>
        <w:rPr>
          <w:rFonts w:hint="eastAsia" w:eastAsia="楷体_GB2312"/>
          <w:color w:val="000000"/>
          <w:kern w:val="0"/>
          <w:szCs w:val="32"/>
          <w:shd w:val="clear" w:color="auto" w:fill="FFFFFF"/>
          <w:lang w:val="zh-CN"/>
        </w:rPr>
        <w:t>编制情况</w:t>
      </w:r>
      <w:r>
        <w:rPr>
          <w:rFonts w:eastAsia="楷体_GB2312"/>
          <w:color w:val="000000"/>
          <w:kern w:val="0"/>
          <w:szCs w:val="32"/>
          <w:shd w:val="clear" w:color="auto" w:fill="FFFFFF"/>
          <w:lang w:val="zh-CN"/>
        </w:rPr>
        <w:t>。</w:t>
      </w:r>
    </w:p>
    <w:p w14:paraId="38CF287F">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color w:val="000000"/>
          <w:kern w:val="0"/>
          <w:szCs w:val="32"/>
          <w:shd w:val="clear" w:color="auto" w:fill="FFFFFF"/>
          <w:lang w:val="zh-CN"/>
        </w:rPr>
      </w:pPr>
      <w:r>
        <w:rPr>
          <w:rFonts w:hint="eastAsia"/>
          <w:color w:val="000000"/>
          <w:kern w:val="0"/>
          <w:szCs w:val="32"/>
          <w:shd w:val="clear" w:color="auto" w:fill="FFFFFF"/>
          <w:lang w:val="en-US" w:eastAsia="zh-CN"/>
        </w:rPr>
        <w:t>2025年，西区团委及下属活动中心严格按照“二上二下”流程和西区财政局预算编制通知要求编制预算。西区团委年初预算收入84.86万元，全年预算调整为91.64万元，决算收入91.64万元，财政拨款收入预决算差异率-4.46%。西区青少年活动中心批复年初预算79.07万元，全年预算调整为82.88万元，决算收入82.88万元。预算编制基本准确，不存在应编未编、错误列编等情况。</w:t>
      </w:r>
    </w:p>
    <w:p w14:paraId="23F250A3">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财务管理。</w:t>
      </w:r>
    </w:p>
    <w:p w14:paraId="2EF0476B">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西区团委及下属活动中心均建立了较为完善的财务管理制度体系，涵盖预算管理、收支管理、资产管理、采购管理等方面。在岗位设置上，严格做到不相容岗位相互分离，分别设置会计、出纳、资产管理员等岗位，重大资金支出经会议集体研究决定。在资金使用上，严格执行“先审批、后支出”程序，所有支出均需逐级审批。在会计核算上，严格执行政府会计准则制度，做到日清月结、账实相符。在内部监督上，定期开展财务自查，每年接受审计部门审计。2025年度无违规违纪现象</w:t>
      </w:r>
      <w:r>
        <w:rPr>
          <w:rFonts w:hint="eastAsia" w:ascii="Times New Roman" w:hAnsi="Times New Roman" w:cs="Times New Roman"/>
          <w:color w:val="000000"/>
          <w:kern w:val="0"/>
          <w:szCs w:val="32"/>
          <w:shd w:val="clear" w:color="auto" w:fill="FFFFFF"/>
          <w:lang w:val="zh-CN" w:eastAsia="zh-CN"/>
        </w:rPr>
        <w:t>。</w:t>
      </w:r>
    </w:p>
    <w:p w14:paraId="5DA4FCDC">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4.</w:t>
      </w:r>
      <w:r>
        <w:rPr>
          <w:rFonts w:eastAsia="楷体_GB2312"/>
          <w:color w:val="000000"/>
          <w:kern w:val="0"/>
          <w:szCs w:val="32"/>
          <w:shd w:val="clear" w:color="auto" w:fill="FFFFFF"/>
          <w:lang w:val="zh-CN"/>
        </w:rPr>
        <w:t>资产管理。</w:t>
      </w:r>
    </w:p>
    <w:p w14:paraId="36D3FBBD">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ascii="Times New Roman" w:hAnsi="Times New Roman" w:cs="Times New Roman"/>
          <w:color w:val="000000"/>
          <w:kern w:val="0"/>
          <w:szCs w:val="32"/>
          <w:shd w:val="clear" w:color="auto" w:fill="FFFFFF"/>
          <w:lang w:val="zh-CN"/>
        </w:rPr>
      </w:pPr>
      <w:r>
        <w:rPr>
          <w:rFonts w:hint="default" w:ascii="Times New Roman" w:hAnsi="Times New Roman" w:cs="Times New Roman"/>
          <w:color w:val="000000"/>
          <w:kern w:val="0"/>
          <w:szCs w:val="32"/>
          <w:shd w:val="clear" w:color="auto" w:fill="FFFFFF"/>
          <w:lang w:val="zh-CN"/>
        </w:rPr>
        <w:t>西区团委及下属活动中心按照国有资产管理规定，建立了“统一领导、归口管理、专人负责”的资产管理机制。在资产购置环节，坚持“先调剂、后配置”原则。在资产使用环节，建立领用台账，做到“一物一卡”，每半年开展一次全面盘点。在资产处置环节，严格按规定履行评估、报批、处置程序。建立动态清查机制，定期梳理闲置资产明细，通过内部调剂、共享使用等方式盘活闲置资产。截至2025年末，西区团委无房屋及车辆资产，活动中心房屋面积2398平方米，资产账实相符，管理规范。</w:t>
      </w:r>
    </w:p>
    <w:p w14:paraId="158134C5">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5.</w:t>
      </w:r>
      <w:r>
        <w:rPr>
          <w:rFonts w:eastAsia="楷体_GB2312"/>
          <w:color w:val="000000"/>
          <w:kern w:val="0"/>
          <w:szCs w:val="32"/>
          <w:shd w:val="clear" w:color="auto" w:fill="FFFFFF"/>
          <w:lang w:val="zh-CN"/>
        </w:rPr>
        <w:t>采购管理。</w:t>
      </w:r>
    </w:p>
    <w:p w14:paraId="1944728A">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default" w:ascii="Times New Roman" w:hAnsi="Times New Roman" w:cs="Times New Roman"/>
          <w:color w:val="000000"/>
          <w:kern w:val="0"/>
          <w:szCs w:val="32"/>
          <w:shd w:val="clear" w:color="auto" w:fill="FFFFFF"/>
          <w:lang w:val="zh-CN"/>
        </w:rPr>
        <w:t>西区团委及下属活动中心严格按照政府采购法及相关规定开展采购工作。预算编制阶段，各业务股室申报需求，财务室审核后编制政府采购预算，确保“无预算不采购”。采购实施阶段，按规定方式和程序组织采购。合同管理阶段，及时签订合同并公示。验收结算阶段，成立验收小组对采购标的逐项核对，验收合格后方可支付。2025年，西区团委无政府采购支出，西区青少年活动中心政府采购支出3149元，全部授予中小企业</w:t>
      </w:r>
      <w:r>
        <w:rPr>
          <w:rFonts w:hint="eastAsia" w:ascii="Times New Roman" w:hAnsi="Times New Roman" w:cs="Times New Roman"/>
          <w:color w:val="000000"/>
          <w:kern w:val="0"/>
          <w:szCs w:val="32"/>
          <w:shd w:val="clear" w:color="auto" w:fill="FFFFFF"/>
          <w:lang w:val="zh-CN" w:eastAsia="zh-CN"/>
        </w:rPr>
        <w:t>。</w:t>
      </w:r>
    </w:p>
    <w:p w14:paraId="0F169226">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color w:val="000000"/>
          <w:kern w:val="0"/>
          <w:szCs w:val="32"/>
          <w:shd w:val="clear" w:color="auto" w:fill="FFFFFF"/>
        </w:rPr>
      </w:pPr>
      <w:r>
        <w:rPr>
          <w:rFonts w:eastAsia="楷体_GB2312"/>
          <w:b/>
          <w:bCs/>
          <w:color w:val="000000"/>
          <w:kern w:val="0"/>
          <w:szCs w:val="32"/>
          <w:shd w:val="clear" w:color="auto" w:fill="FFFFFF"/>
          <w:lang w:val="zh-CN"/>
        </w:rPr>
        <w:t>（二）部门预算项目绩效分析。</w:t>
      </w:r>
    </w:p>
    <w:p w14:paraId="6FAB51E3">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cs="Times New Roman"/>
          <w:color w:val="000000"/>
          <w:kern w:val="0"/>
          <w:szCs w:val="32"/>
          <w:shd w:val="clear" w:color="auto" w:fill="FFFFFF"/>
          <w:lang w:val="zh-CN" w:eastAsia="zh-CN"/>
        </w:rPr>
      </w:pPr>
      <w:r>
        <w:rPr>
          <w:rFonts w:hint="eastAsia" w:cs="Times New Roman"/>
          <w:color w:val="000000"/>
          <w:kern w:val="0"/>
          <w:szCs w:val="32"/>
          <w:shd w:val="clear" w:color="auto" w:fill="FFFFFF"/>
          <w:lang w:val="en-US" w:eastAsia="zh-CN"/>
        </w:rPr>
        <w:t>2025年，西区团委及下属活动中心共有运转类—其他运转类和特定目标类项目8个，涉及项目支出决算总额24.59万元。所有项目均已完成，无年末结转结余</w:t>
      </w:r>
      <w:r>
        <w:rPr>
          <w:rFonts w:hint="eastAsia" w:cs="Times New Roman"/>
          <w:color w:val="000000"/>
          <w:kern w:val="0"/>
          <w:szCs w:val="32"/>
          <w:shd w:val="clear" w:color="auto" w:fill="FFFFFF"/>
          <w:lang w:val="zh-CN" w:eastAsia="zh-CN"/>
        </w:rPr>
        <w:t>。</w:t>
      </w:r>
    </w:p>
    <w:p w14:paraId="3411D4EA">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cs="Times New Roman"/>
          <w:color w:val="000000"/>
          <w:kern w:val="0"/>
          <w:szCs w:val="32"/>
          <w:shd w:val="clear" w:color="auto" w:fill="FFFFFF"/>
          <w:lang w:val="en-US" w:eastAsia="zh-CN"/>
        </w:rPr>
      </w:pPr>
      <w:r>
        <w:rPr>
          <w:rFonts w:hint="eastAsia" w:cs="Times New Roman"/>
          <w:color w:val="000000"/>
          <w:kern w:val="0"/>
          <w:szCs w:val="32"/>
          <w:shd w:val="clear" w:color="auto" w:fill="FFFFFF"/>
          <w:lang w:val="en-US" w:eastAsia="zh-CN"/>
        </w:rPr>
        <w:t>常年项目绩效分析。该类项目指预算年度内持续实施的常态化工作。2025年，常年项目共计8个，涉及预算总金额24.59万元，具体包括：团委工作活动经费、志愿服务事业发展经费、少先队工作项目、关工委经费、日常活动及维护经费等。1至12月预算执行总体进度为99.16%，所有项目均按计划完成支出，无预算结余大于10%的项目</w:t>
      </w:r>
    </w:p>
    <w:p w14:paraId="047DF399">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cs="Times New Roman"/>
          <w:color w:val="000000"/>
          <w:kern w:val="0"/>
          <w:szCs w:val="32"/>
          <w:shd w:val="clear" w:color="auto" w:fill="FFFFFF"/>
          <w:lang w:val="zh-CN" w:eastAsia="zh-CN"/>
        </w:rPr>
      </w:pPr>
      <w:r>
        <w:rPr>
          <w:rFonts w:hint="eastAsia" w:cs="Times New Roman"/>
          <w:color w:val="000000"/>
          <w:kern w:val="0"/>
          <w:szCs w:val="32"/>
          <w:shd w:val="clear" w:color="auto" w:fill="FFFFFF"/>
          <w:lang w:val="en-US" w:eastAsia="zh-CN"/>
        </w:rPr>
        <w:t>阶段（含一次性）项目绩效分析。</w:t>
      </w:r>
      <w:r>
        <w:rPr>
          <w:rFonts w:hint="eastAsia" w:cs="Times New Roman"/>
          <w:color w:val="000000"/>
          <w:kern w:val="0"/>
          <w:szCs w:val="32"/>
          <w:shd w:val="clear" w:color="auto" w:fill="FFFFFF"/>
          <w:lang w:val="zh-CN" w:eastAsia="zh-CN"/>
        </w:rPr>
        <w:t>该类项目指有明确实施期限或一次性完成的工作任务。2025年，阶段及一次性项目共计8个，涉及预算总金额24.59万元。1至12月预算执行总体进度为99.16%，所有项目均按计划完成支出，无预算结余大于10%的项目。</w:t>
      </w:r>
    </w:p>
    <w:p w14:paraId="566333C0">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1.</w:t>
      </w:r>
      <w:r>
        <w:rPr>
          <w:rFonts w:eastAsia="楷体_GB2312"/>
          <w:color w:val="000000"/>
          <w:kern w:val="0"/>
          <w:szCs w:val="32"/>
          <w:shd w:val="clear" w:color="auto" w:fill="FFFFFF"/>
          <w:lang w:val="zh-CN"/>
        </w:rPr>
        <w:t>项目决策。</w:t>
      </w:r>
    </w:p>
    <w:p w14:paraId="001993A8">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cs="Times New Roman"/>
          <w:color w:val="000000"/>
          <w:kern w:val="0"/>
          <w:szCs w:val="32"/>
          <w:shd w:val="clear" w:color="auto" w:fill="FFFFFF"/>
          <w:lang w:val="zh-CN" w:eastAsia="zh-CN"/>
        </w:rPr>
      </w:pPr>
      <w:r>
        <w:rPr>
          <w:rFonts w:hint="eastAsia" w:ascii="Times New Roman" w:hAnsi="Times New Roman" w:cs="Times New Roman"/>
          <w:color w:val="000000"/>
          <w:kern w:val="0"/>
          <w:szCs w:val="32"/>
          <w:shd w:val="clear" w:color="auto" w:fill="FFFFFF"/>
          <w:lang w:val="zh-CN" w:eastAsia="zh-CN"/>
        </w:rPr>
        <w:t>上述项目依据年度共青团重点工作任务设立。团委工作活动经费主要用于组织开展各类团属活动、青少年思想引领、基层团组织建设等；志愿服务事业发展经费主要用于组织青年志愿服务活动、志愿者培训及保障等；少先队工作项目主要用于少先队主题活动、辅导员培训等；关工委经费主要用于关心下一代工作、关爱困境青少年活动等；日常活动及维护经费主要用于活动中心日常活动开展及场地设施维护。所有项目设立均履行了评估论证程序，绩效目标与预算资金匹配，决策程序规范。当年实际支出24.59万元，执行率99.16%。</w:t>
      </w:r>
    </w:p>
    <w:p w14:paraId="469B89A1">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2.项目执行</w:t>
      </w:r>
      <w:r>
        <w:rPr>
          <w:rFonts w:eastAsia="楷体_GB2312"/>
          <w:color w:val="000000"/>
          <w:kern w:val="0"/>
          <w:szCs w:val="32"/>
          <w:shd w:val="clear" w:color="auto" w:fill="FFFFFF"/>
          <w:lang w:val="zh-CN"/>
        </w:rPr>
        <w:t>。</w:t>
      </w:r>
    </w:p>
    <w:p w14:paraId="40006A13">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default" w:cs="Times New Roman"/>
          <w:color w:val="000000"/>
          <w:kern w:val="0"/>
          <w:szCs w:val="32"/>
          <w:shd w:val="clear" w:color="auto" w:fill="FFFFFF"/>
          <w:lang w:val="zh-CN" w:eastAsia="zh-CN"/>
        </w:rPr>
      </w:pPr>
      <w:r>
        <w:rPr>
          <w:rFonts w:hint="eastAsia" w:cs="Times New Roman"/>
          <w:color w:val="000000"/>
          <w:kern w:val="0"/>
          <w:szCs w:val="32"/>
          <w:shd w:val="clear" w:color="auto" w:fill="FFFFFF"/>
          <w:lang w:val="zh-CN" w:eastAsia="zh-CN"/>
        </w:rPr>
        <w:t>所有项目均按计划在2025年1至12月实施完毕，资金拨付严格执行审批程序，专款专用，使用规范。项目支出决算总额24.59万元（西区团委23.64万元，含使用年初结转结余3.30万元；活动中心0.95万元），预算执行率达到99.16%，无结转结余资金。</w:t>
      </w:r>
    </w:p>
    <w:p w14:paraId="0EF90DDE">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楷体_GB2312"/>
          <w:color w:val="000000"/>
          <w:kern w:val="0"/>
          <w:szCs w:val="32"/>
          <w:shd w:val="clear" w:color="auto" w:fill="FFFFFF"/>
          <w:lang w:val="zh-CN"/>
        </w:rPr>
      </w:pPr>
      <w:r>
        <w:rPr>
          <w:rFonts w:eastAsia="楷体_GB2312"/>
          <w:color w:val="000000"/>
          <w:kern w:val="0"/>
          <w:szCs w:val="32"/>
          <w:shd w:val="clear" w:color="auto" w:fill="FFFFFF"/>
        </w:rPr>
        <w:t>3.</w:t>
      </w:r>
      <w:r>
        <w:rPr>
          <w:rFonts w:eastAsia="楷体_GB2312"/>
          <w:color w:val="000000"/>
          <w:kern w:val="0"/>
          <w:szCs w:val="32"/>
          <w:shd w:val="clear" w:color="auto" w:fill="FFFFFF"/>
          <w:lang w:val="zh-CN"/>
        </w:rPr>
        <w:t>目标实现。</w:t>
      </w:r>
    </w:p>
    <w:p w14:paraId="3A89EE86">
      <w:pPr>
        <w:keepNext w:val="0"/>
        <w:keepLines w:val="0"/>
        <w:pageBreakBefore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cs="Times New Roman"/>
          <w:color w:val="000000"/>
          <w:kern w:val="0"/>
          <w:szCs w:val="32"/>
          <w:shd w:val="clear" w:color="auto" w:fill="FFFFFF"/>
          <w:lang w:val="zh-CN" w:eastAsia="zh-CN"/>
        </w:rPr>
      </w:pPr>
      <w:r>
        <w:rPr>
          <w:rFonts w:hint="eastAsia" w:cs="Times New Roman"/>
          <w:color w:val="000000"/>
          <w:kern w:val="0"/>
          <w:szCs w:val="32"/>
          <w:shd w:val="clear" w:color="auto" w:fill="FFFFFF"/>
          <w:lang w:val="en-US" w:eastAsia="zh-CN"/>
        </w:rPr>
        <w:t>2025年，西区团委及下属活动中心各项目均按计划完成年度工作任务，项目资金由区财政局纳入一体化管理平台统一管理，专款专用，资金拨付执行审批程序，使用规范，入账手续齐全</w:t>
      </w:r>
      <w:r>
        <w:rPr>
          <w:rFonts w:hint="eastAsia" w:cs="Times New Roman"/>
          <w:color w:val="000000"/>
          <w:kern w:val="0"/>
          <w:szCs w:val="32"/>
          <w:shd w:val="clear" w:color="auto" w:fill="FFFFFF"/>
          <w:lang w:val="zh-CN" w:eastAsia="zh-CN"/>
        </w:rPr>
        <w:t>。</w:t>
      </w:r>
    </w:p>
    <w:p w14:paraId="178204E5">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1）</w:t>
      </w:r>
      <w:r>
        <w:rPr>
          <w:rFonts w:hint="eastAsia"/>
          <w:szCs w:val="32"/>
        </w:rPr>
        <w:t>项目的经济效益分析。</w:t>
      </w:r>
    </w:p>
    <w:p w14:paraId="546FDED1">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rPr>
        <w:t>各项目支出均严格按照预算批复执行，资金使用符合项目预算批复，项目开展不超预算成本。资金拨付报账有完整的审批程序和手续，财务人员定期或不定期对资金使用、管理情况进行自查和检查，财务会计资料信息真实、及时、完整，资金使用安全规范。</w:t>
      </w:r>
    </w:p>
    <w:p w14:paraId="58ABBAB4">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2）</w:t>
      </w:r>
      <w:r>
        <w:rPr>
          <w:rFonts w:hint="eastAsia"/>
          <w:szCs w:val="32"/>
        </w:rPr>
        <w:t>项目的社会效益分析。</w:t>
      </w:r>
    </w:p>
    <w:p w14:paraId="43D6421A">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rPr>
        <w:t>通过思想政治引领，广泛开展主题教育活动，引导广大青少年坚定理想信念。通过服务青年成长发展，开展社会实践和实习岗位，服务青年就业创业需求。通过围绕中心服务大局，组织青年志愿者参与各项重点工作，展现青年担当。通过夯实基层团组织建设，提升团组织活力和凝聚力。活动中心寒暑假公益课程共开课5天、180个课时，开设八门课程，1337名青少年参加培训，继续为8名抗疫一线医务工作者子女提供272节免费培训。各项工作任务顺利完成，有效服务了辖区青少年群体，提升了共青团组织的社会影响力，达到预期社会效益目标。</w:t>
      </w:r>
    </w:p>
    <w:p w14:paraId="3BC93572">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eastAsia"/>
          <w:szCs w:val="32"/>
        </w:rPr>
      </w:pPr>
      <w:r>
        <w:rPr>
          <w:rFonts w:hint="eastAsia"/>
          <w:szCs w:val="32"/>
          <w:lang w:eastAsia="zh-CN"/>
        </w:rPr>
        <w:t>（</w:t>
      </w:r>
      <w:r>
        <w:rPr>
          <w:rFonts w:hint="eastAsia"/>
          <w:szCs w:val="32"/>
          <w:lang w:val="en-US" w:eastAsia="zh-CN"/>
        </w:rPr>
        <w:t>3）</w:t>
      </w:r>
      <w:r>
        <w:rPr>
          <w:rFonts w:hint="eastAsia"/>
          <w:szCs w:val="32"/>
        </w:rPr>
        <w:t>项目的可持续性分析。</w:t>
      </w:r>
    </w:p>
    <w:p w14:paraId="030A83EE">
      <w:pPr>
        <w:keepNext w:val="0"/>
        <w:keepLines w:val="0"/>
        <w:pageBreakBefore w:val="0"/>
        <w:kinsoku/>
        <w:wordWrap/>
        <w:overflowPunct/>
        <w:topLinePunct w:val="0"/>
        <w:autoSpaceDE/>
        <w:autoSpaceDN/>
        <w:bidi w:val="0"/>
        <w:spacing w:line="360" w:lineRule="auto"/>
        <w:ind w:firstLine="640" w:firstLineChars="200"/>
        <w:textAlignment w:val="auto"/>
        <w:rPr>
          <w:szCs w:val="32"/>
        </w:rPr>
      </w:pPr>
      <w:r>
        <w:rPr>
          <w:rFonts w:hint="eastAsia"/>
          <w:szCs w:val="32"/>
        </w:rPr>
        <w:t>2025年度较好完成年初制定的工作目标任务，项目有序开展，整体支出平稳，财务管理制度健全，资金使用规范，共青团基层组织运行机制、志愿服务常态化机制等已建立健全，为今后年度项目持续开展奠定良好基础。通过绩效自评结果运用，不断优化项目管理流程，提高资金使用效益，确保项目长期稳定发挥作用</w:t>
      </w:r>
      <w:r>
        <w:rPr>
          <w:szCs w:val="32"/>
        </w:rPr>
        <w:t>。</w:t>
      </w:r>
    </w:p>
    <w:p w14:paraId="614B94F3">
      <w:pPr>
        <w:keepNext w:val="0"/>
        <w:keepLines w:val="0"/>
        <w:pageBreakBefore w:val="0"/>
        <w:kinsoku/>
        <w:wordWrap/>
        <w:overflowPunct/>
        <w:topLinePunct w:val="0"/>
        <w:autoSpaceDE/>
        <w:autoSpaceDN/>
        <w:bidi w:val="0"/>
        <w:snapToGrid w:val="0"/>
        <w:spacing w:line="360" w:lineRule="auto"/>
        <w:ind w:firstLine="643" w:firstLineChars="200"/>
        <w:textAlignment w:val="auto"/>
        <w:rPr>
          <w:b/>
          <w:szCs w:val="32"/>
        </w:rPr>
      </w:pPr>
      <w:r>
        <w:rPr>
          <w:rFonts w:eastAsia="楷体_GB2312"/>
          <w:b/>
          <w:bCs/>
          <w:color w:val="000000"/>
          <w:kern w:val="0"/>
          <w:szCs w:val="32"/>
          <w:shd w:val="clear" w:color="auto" w:fill="FFFFFF"/>
          <w:lang w:val="zh-CN"/>
        </w:rPr>
        <w:t>（三）</w:t>
      </w:r>
      <w:r>
        <w:rPr>
          <w:rFonts w:eastAsia="楷体_GB2312"/>
          <w:b/>
          <w:bCs/>
          <w:szCs w:val="32"/>
          <w:lang w:val="zh-CN"/>
        </w:rPr>
        <w:t>绩效结果应用情况。</w:t>
      </w:r>
    </w:p>
    <w:p w14:paraId="2F0C13DF">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hint="eastAsia" w:ascii="仿宋" w:hAnsi="仿宋" w:eastAsia="仿宋"/>
          <w:color w:val="000000"/>
          <w:kern w:val="0"/>
          <w:szCs w:val="32"/>
          <w:shd w:val="clear" w:color="auto" w:fill="FFFFFF"/>
          <w:lang w:val="zh-CN"/>
        </w:rPr>
        <w:t>西区团委及下属活动中心所有开支均按照财务管理制度执行，资金使用严格把关，日常工作运行基本得到保障。绩效评价对全年工作目标起到积极促进作用，为明年工作开展奠定基础。绩效自评结果运用于下一年工作统筹安排、项目资金划拨及资金使用优先排序。绩效自评工作完成后，结果在攀枝花市西区人民政府网站政务公开栏目公开公示。</w:t>
      </w:r>
    </w:p>
    <w:p w14:paraId="327CB314">
      <w:pPr>
        <w:keepNext w:val="0"/>
        <w:keepLines w:val="0"/>
        <w:pageBreakBefore w:val="0"/>
        <w:widowControl/>
        <w:kinsoku/>
        <w:wordWrap/>
        <w:overflowPunct/>
        <w:topLinePunct w:val="0"/>
        <w:autoSpaceDE/>
        <w:autoSpaceDN/>
        <w:bidi w:val="0"/>
        <w:adjustRightInd w:val="0"/>
        <w:snapToGrid w:val="0"/>
        <w:spacing w:line="360" w:lineRule="auto"/>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四、评价结论及建议</w:t>
      </w:r>
    </w:p>
    <w:p w14:paraId="778483EE">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eastAsia="楷体_GB2312"/>
          <w:b/>
          <w:bCs/>
          <w:color w:val="000000"/>
          <w:kern w:val="0"/>
          <w:szCs w:val="32"/>
          <w:shd w:val="clear" w:color="auto" w:fill="FFFFFF"/>
        </w:rPr>
      </w:pPr>
      <w:r>
        <w:rPr>
          <w:rFonts w:eastAsia="楷体_GB2312"/>
          <w:b/>
          <w:bCs/>
          <w:color w:val="000000"/>
          <w:kern w:val="0"/>
          <w:szCs w:val="32"/>
          <w:shd w:val="clear" w:color="auto" w:fill="FFFFFF"/>
          <w:lang w:val="zh-CN"/>
        </w:rPr>
        <w:t>（一）评价结论。</w:t>
      </w:r>
    </w:p>
    <w:p w14:paraId="0D9F2DB2">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default"/>
          <w:szCs w:val="32"/>
          <w:lang w:val="en-US" w:eastAsia="zh-CN"/>
        </w:rPr>
      </w:pPr>
      <w:r>
        <w:rPr>
          <w:rFonts w:hint="eastAsia"/>
          <w:szCs w:val="32"/>
          <w:lang w:val="en-US" w:eastAsia="zh-CN"/>
        </w:rPr>
        <w:t>2025年，西区团委及下属活动中心预算执行进度符合要求，资金使用规范，履职效能显著，较好地完成了年初设定的各项绩效目标，真实反映了本单位财政收支情况，自评等级为“优秀”。</w:t>
      </w:r>
    </w:p>
    <w:p w14:paraId="78A9EB93">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eastAsia="楷体_GB2312"/>
          <w:b/>
          <w:bCs/>
          <w:color w:val="000000"/>
          <w:kern w:val="0"/>
          <w:szCs w:val="32"/>
          <w:shd w:val="clear" w:color="auto" w:fill="FFFFFF"/>
          <w:lang w:val="zh-CN" w:eastAsia="zh-CN"/>
        </w:rPr>
      </w:pPr>
      <w:r>
        <w:rPr>
          <w:rFonts w:eastAsia="楷体_GB2312"/>
          <w:b/>
          <w:bCs/>
          <w:color w:val="000000"/>
          <w:kern w:val="0"/>
          <w:szCs w:val="32"/>
          <w:shd w:val="clear" w:color="auto" w:fill="FFFFFF"/>
          <w:lang w:val="zh-CN"/>
        </w:rPr>
        <w:t>（二）存在问题。</w:t>
      </w:r>
    </w:p>
    <w:p w14:paraId="7B751800">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hint="default"/>
          <w:szCs w:val="32"/>
          <w:lang w:val="en-US" w:eastAsia="zh-CN"/>
        </w:rPr>
      </w:pPr>
      <w:r>
        <w:rPr>
          <w:rFonts w:hint="default"/>
          <w:szCs w:val="32"/>
          <w:lang w:val="en-US" w:eastAsia="zh-CN"/>
        </w:rPr>
        <w:t>一是预算编制精准度有待提高。年初预算与年终决算存在一定差异，主要由于人员经费及项目经费在执行过程中有所调整。二是资金安排和使用仍有不可预见性，因临时新增工作任务或人员增加产生新费用，年初预算难以精确测算，导致预算执行中需要追加经费。三是项目支出规模较小，难以全面支撑共青团各项工作的深入开展。四是个别项目支出执行率未达100%，因工作安排调整，实际支出略低于预算</w:t>
      </w:r>
      <w:r>
        <w:rPr>
          <w:rFonts w:hint="eastAsia"/>
          <w:szCs w:val="32"/>
          <w:lang w:val="en-US" w:eastAsia="zh-CN"/>
        </w:rPr>
        <w:t>。</w:t>
      </w:r>
    </w:p>
    <w:p w14:paraId="4319D007">
      <w:pPr>
        <w:keepNext w:val="0"/>
        <w:keepLines w:val="0"/>
        <w:pageBreakBefore w:val="0"/>
        <w:widowControl/>
        <w:kinsoku/>
        <w:wordWrap/>
        <w:overflowPunct/>
        <w:topLinePunct w:val="0"/>
        <w:autoSpaceDE/>
        <w:autoSpaceDN/>
        <w:bidi w:val="0"/>
        <w:adjustRightInd w:val="0"/>
        <w:snapToGrid w:val="0"/>
        <w:spacing w:line="360" w:lineRule="auto"/>
        <w:ind w:firstLine="643" w:firstLineChars="200"/>
        <w:contextualSpacing/>
        <w:jc w:val="left"/>
        <w:textAlignment w:val="auto"/>
        <w:rPr>
          <w:rFonts w:hint="eastAsia" w:eastAsia="楷体_GB2312"/>
          <w:kern w:val="0"/>
          <w:szCs w:val="32"/>
          <w:lang w:val="en" w:eastAsia="zh-CN"/>
        </w:rPr>
      </w:pPr>
      <w:r>
        <w:rPr>
          <w:rFonts w:eastAsia="楷体_GB2312"/>
          <w:b/>
          <w:bCs/>
          <w:color w:val="000000"/>
          <w:kern w:val="0"/>
          <w:szCs w:val="32"/>
          <w:shd w:val="clear" w:color="auto" w:fill="FFFFFF"/>
          <w:lang w:val="zh-CN"/>
        </w:rPr>
        <w:t>（三）改进建议。</w:t>
      </w:r>
      <w:bookmarkStart w:id="0" w:name="_Hlk110546638"/>
    </w:p>
    <w:bookmarkEnd w:id="0"/>
    <w:p w14:paraId="4D8A8014">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Times New Roman" w:hAnsi="Times New Roman" w:cs="Times New Roman"/>
          <w:szCs w:val="32"/>
          <w:lang w:val="en-US" w:eastAsia="zh-CN" w:bidi="ar"/>
        </w:rPr>
      </w:pPr>
      <w:r>
        <w:rPr>
          <w:rFonts w:hint="eastAsia" w:ascii="Times New Roman" w:hAnsi="Times New Roman" w:cs="Times New Roman"/>
          <w:szCs w:val="32"/>
          <w:lang w:val="en-US" w:eastAsia="zh-CN" w:bidi="ar"/>
        </w:rPr>
        <w:t>一是强化预算编制科学性。加强对各项支出需求的测算，提高年初预算到位率，减少预算执行中的调整。二是深化绩效管理。将绩效评价结果与预算安排挂钩，形成反馈机制，切实提高财政资金使用效益。三是进一步完善和加强单位内部财务管理制度，加强预算编制精准性及预算项目可实施性。四是积极争取财政支持，加大项目经费投入力度，为共青团各项工作提供更有力的资金保障。</w:t>
      </w:r>
    </w:p>
    <w:p w14:paraId="17223846">
      <w:pPr>
        <w:keepNext w:val="0"/>
        <w:keepLines w:val="0"/>
        <w:pageBreakBefore w:val="0"/>
        <w:kinsoku/>
        <w:wordWrap/>
        <w:overflowPunct/>
        <w:topLinePunct w:val="0"/>
        <w:autoSpaceDE/>
        <w:autoSpaceDN/>
        <w:bidi w:val="0"/>
        <w:spacing w:line="360" w:lineRule="auto"/>
        <w:ind w:firstLine="640" w:firstLineChars="200"/>
        <w:textAlignment w:val="auto"/>
        <w:rPr>
          <w:color w:val="000000"/>
          <w:kern w:val="0"/>
          <w:szCs w:val="32"/>
          <w:shd w:val="clear" w:color="auto" w:fill="FFFFFF"/>
        </w:rPr>
      </w:pPr>
    </w:p>
    <w:p w14:paraId="6B894A46">
      <w:pPr>
        <w:keepNext w:val="0"/>
        <w:keepLines w:val="0"/>
        <w:pageBreakBefore w:val="0"/>
        <w:kinsoku/>
        <w:wordWrap/>
        <w:overflowPunct/>
        <w:topLinePunct w:val="0"/>
        <w:autoSpaceDE/>
        <w:autoSpaceDN/>
        <w:bidi w:val="0"/>
        <w:spacing w:line="360" w:lineRule="auto"/>
        <w:ind w:firstLine="640" w:firstLineChars="200"/>
        <w:textAlignment w:val="auto"/>
        <w:rPr>
          <w:szCs w:val="32"/>
          <w:lang w:bidi="ar"/>
        </w:rPr>
      </w:pPr>
      <w:r>
        <w:rPr>
          <w:color w:val="000000"/>
          <w:kern w:val="0"/>
          <w:szCs w:val="32"/>
          <w:shd w:val="clear" w:color="auto" w:fill="FFFFFF"/>
        </w:rPr>
        <w:t>附表：</w:t>
      </w:r>
      <w:r>
        <w:rPr>
          <w:rFonts w:hint="eastAsia"/>
          <w:color w:val="000000"/>
          <w:kern w:val="0"/>
          <w:szCs w:val="32"/>
          <w:shd w:val="clear" w:color="auto" w:fill="FFFFFF"/>
        </w:rPr>
        <w:t>1.</w:t>
      </w:r>
      <w:r>
        <w:rPr>
          <w:rFonts w:hint="eastAsia"/>
          <w:szCs w:val="32"/>
          <w:lang w:bidi="ar"/>
        </w:rPr>
        <w:t>部门预算绩效自评打分表</w:t>
      </w:r>
    </w:p>
    <w:p w14:paraId="66701358">
      <w:pPr>
        <w:keepNext w:val="0"/>
        <w:keepLines w:val="0"/>
        <w:pageBreakBefore w:val="0"/>
        <w:kinsoku/>
        <w:wordWrap/>
        <w:overflowPunct/>
        <w:topLinePunct w:val="0"/>
        <w:autoSpaceDE/>
        <w:autoSpaceDN/>
        <w:bidi w:val="0"/>
        <w:spacing w:line="360" w:lineRule="auto"/>
        <w:ind w:firstLine="640" w:firstLineChars="200"/>
        <w:textAlignment w:val="auto"/>
        <w:rPr>
          <w:color w:val="000000"/>
          <w:kern w:val="0"/>
          <w:szCs w:val="32"/>
          <w:shd w:val="clear" w:color="auto" w:fill="FFFFFF"/>
        </w:rPr>
      </w:pPr>
      <w:r>
        <w:rPr>
          <w:rFonts w:hint="eastAsia"/>
          <w:szCs w:val="32"/>
          <w:lang w:bidi="ar"/>
        </w:rPr>
        <w:t>2.</w:t>
      </w:r>
      <w:r>
        <w:rPr>
          <w:color w:val="000000"/>
          <w:kern w:val="0"/>
          <w:szCs w:val="32"/>
          <w:shd w:val="clear" w:color="auto" w:fill="FFFFFF"/>
        </w:rPr>
        <w:t>部门整体绩效目标完成情况自评表</w:t>
      </w:r>
    </w:p>
    <w:p w14:paraId="314BB7FE">
      <w:pPr>
        <w:spacing w:line="578" w:lineRule="exact"/>
        <w:ind w:firstLine="1600" w:firstLineChars="500"/>
        <w:rPr>
          <w:szCs w:val="32"/>
          <w:lang w:bidi="ar"/>
        </w:rPr>
      </w:pPr>
    </w:p>
    <w:p w14:paraId="52739A43">
      <w:pPr>
        <w:spacing w:line="578" w:lineRule="exact"/>
        <w:jc w:val="left"/>
        <w:rPr>
          <w:rFonts w:eastAsia="黑体"/>
        </w:rPr>
      </w:pPr>
      <w:r>
        <w:rPr>
          <w:color w:val="000000"/>
          <w:kern w:val="0"/>
          <w:szCs w:val="32"/>
          <w:shd w:val="clear" w:color="auto" w:fill="FFFFFF"/>
        </w:rPr>
        <w:br w:type="page"/>
      </w:r>
      <w:r>
        <w:rPr>
          <w:rFonts w:eastAsia="黑体"/>
        </w:rPr>
        <w:t>附表</w:t>
      </w:r>
      <w:r>
        <w:rPr>
          <w:rFonts w:hint="eastAsia" w:eastAsia="黑体"/>
        </w:rPr>
        <w:t>1</w:t>
      </w:r>
    </w:p>
    <w:p w14:paraId="613A79DC">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4"/>
        <w:tblW w:w="10819" w:type="dxa"/>
        <w:jc w:val="center"/>
        <w:tblLayout w:type="fixed"/>
        <w:tblCellMar>
          <w:top w:w="0" w:type="dxa"/>
          <w:left w:w="108" w:type="dxa"/>
          <w:bottom w:w="0" w:type="dxa"/>
          <w:right w:w="108" w:type="dxa"/>
        </w:tblCellMar>
      </w:tblPr>
      <w:tblGrid>
        <w:gridCol w:w="1004"/>
        <w:gridCol w:w="1462"/>
        <w:gridCol w:w="1665"/>
        <w:gridCol w:w="720"/>
        <w:gridCol w:w="4734"/>
        <w:gridCol w:w="756"/>
        <w:gridCol w:w="478"/>
      </w:tblGrid>
      <w:tr w14:paraId="47D40498">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B7B17E">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FDE02B">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3936737B">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11067963">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14:paraId="5A27ED52">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2F481E2A">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3769B">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47DA">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59B5">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2E190">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73582117">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7CD56A92">
            <w:pPr>
              <w:widowControl/>
              <w:spacing w:line="240" w:lineRule="exact"/>
              <w:jc w:val="center"/>
              <w:rPr>
                <w:rFonts w:ascii="黑体" w:hAnsi="宋体" w:eastAsia="黑体" w:cs="黑体"/>
                <w:color w:val="000000"/>
                <w:sz w:val="24"/>
              </w:rPr>
            </w:pPr>
          </w:p>
        </w:tc>
      </w:tr>
      <w:tr w14:paraId="6EB1ACBE">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right w:val="single" w:color="000000" w:sz="4" w:space="0"/>
            </w:tcBorders>
            <w:shd w:val="clear" w:color="auto" w:fill="auto"/>
            <w:vAlign w:val="center"/>
          </w:tcPr>
          <w:p w14:paraId="74146A53">
            <w:pPr>
              <w:widowControl/>
              <w:spacing w:line="240" w:lineRule="exact"/>
              <w:jc w:val="center"/>
              <w:textAlignment w:val="center"/>
              <w:rPr>
                <w:rFonts w:hint="eastAsia" w:ascii="宋体" w:hAnsi="宋体" w:eastAsia="宋体" w:cs="宋体"/>
                <w:b/>
                <w:color w:val="000000"/>
                <w:kern w:val="0"/>
                <w:sz w:val="24"/>
                <w:lang w:bidi="ar"/>
              </w:rPr>
            </w:pPr>
            <w:r>
              <w:rPr>
                <w:rFonts w:hint="eastAsia" w:ascii="宋体" w:hAnsi="宋体" w:eastAsia="宋体" w:cs="宋体"/>
                <w:b/>
                <w:color w:val="000000"/>
                <w:kern w:val="0"/>
                <w:sz w:val="24"/>
                <w:lang w:bidi="ar"/>
              </w:rPr>
              <w:t>总体绩效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（65分）</w:t>
            </w:r>
          </w:p>
          <w:p w14:paraId="3991610D">
            <w:pPr>
              <w:widowControl/>
              <w:spacing w:line="240" w:lineRule="exact"/>
              <w:jc w:val="center"/>
              <w:textAlignment w:val="center"/>
              <w:rPr>
                <w:rFonts w:ascii="宋体" w:hAnsi="宋体" w:eastAsia="宋体" w:cs="宋体"/>
                <w:b/>
                <w:color w:val="000000"/>
                <w:sz w:val="24"/>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AF437">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履职效能</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D65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eastAsia="zh-CN" w:bidi="ar"/>
              </w:rPr>
              <w:t>单位职责</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2B44764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50F8">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4DAA">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06F5">
            <w:pPr>
              <w:widowControl/>
              <w:spacing w:line="240" w:lineRule="exact"/>
              <w:jc w:val="left"/>
              <w:textAlignment w:val="center"/>
              <w:rPr>
                <w:rFonts w:ascii="宋体" w:hAnsi="宋体" w:eastAsia="宋体" w:cs="宋体"/>
                <w:color w:val="000000"/>
                <w:kern w:val="0"/>
                <w:sz w:val="24"/>
                <w:lang w:bidi="ar"/>
              </w:rPr>
            </w:pPr>
          </w:p>
        </w:tc>
      </w:tr>
      <w:tr w14:paraId="1187FF79">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1B68DD5">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35DBE">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预算管理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793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0AA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EE8D">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AB93">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A088B">
            <w:pPr>
              <w:widowControl/>
              <w:spacing w:line="240" w:lineRule="exact"/>
              <w:jc w:val="left"/>
              <w:textAlignment w:val="center"/>
              <w:rPr>
                <w:rFonts w:ascii="宋体" w:hAnsi="宋体" w:eastAsia="宋体" w:cs="宋体"/>
                <w:color w:val="000000"/>
                <w:kern w:val="0"/>
                <w:sz w:val="24"/>
                <w:lang w:bidi="ar"/>
              </w:rPr>
            </w:pPr>
          </w:p>
        </w:tc>
      </w:tr>
      <w:tr w14:paraId="06EBF5BB">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246F528">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BFB07">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9404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C9D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DC60">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488D">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8500">
            <w:pPr>
              <w:widowControl/>
              <w:spacing w:line="240" w:lineRule="exact"/>
              <w:jc w:val="left"/>
              <w:textAlignment w:val="center"/>
              <w:rPr>
                <w:rFonts w:ascii="宋体" w:hAnsi="宋体" w:eastAsia="宋体" w:cs="宋体"/>
                <w:color w:val="000000"/>
                <w:kern w:val="0"/>
                <w:sz w:val="24"/>
                <w:lang w:bidi="ar"/>
              </w:rPr>
            </w:pPr>
          </w:p>
        </w:tc>
      </w:tr>
      <w:tr w14:paraId="5EE73CED">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D830D8F">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C8462">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7188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72A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8F7A">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232B">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8210">
            <w:pPr>
              <w:widowControl/>
              <w:spacing w:line="240" w:lineRule="exact"/>
              <w:jc w:val="left"/>
              <w:textAlignment w:val="center"/>
              <w:rPr>
                <w:rFonts w:ascii="宋体" w:hAnsi="宋体" w:eastAsia="宋体" w:cs="宋体"/>
                <w:color w:val="000000"/>
                <w:kern w:val="0"/>
                <w:sz w:val="24"/>
                <w:lang w:bidi="ar"/>
              </w:rPr>
            </w:pPr>
          </w:p>
        </w:tc>
      </w:tr>
      <w:tr w14:paraId="321BE46A">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7A0AD77">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81A51">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DA6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DDB6">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983CD">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AB3CE">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BD134">
            <w:pPr>
              <w:widowControl/>
              <w:spacing w:line="240" w:lineRule="exact"/>
              <w:jc w:val="left"/>
              <w:textAlignment w:val="center"/>
              <w:rPr>
                <w:rFonts w:ascii="宋体" w:hAnsi="宋体" w:eastAsia="宋体" w:cs="宋体"/>
                <w:color w:val="000000"/>
                <w:kern w:val="0"/>
                <w:sz w:val="24"/>
                <w:lang w:bidi="ar"/>
              </w:rPr>
            </w:pPr>
          </w:p>
        </w:tc>
      </w:tr>
      <w:tr w14:paraId="526BFE6F">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98F9D25">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E0956">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E96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B3DE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B99DB">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76D3">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BF06E">
            <w:pPr>
              <w:widowControl/>
              <w:spacing w:line="240" w:lineRule="exact"/>
              <w:jc w:val="left"/>
              <w:textAlignment w:val="center"/>
              <w:rPr>
                <w:rFonts w:ascii="宋体" w:hAnsi="宋体" w:eastAsia="宋体" w:cs="宋体"/>
                <w:color w:val="000000"/>
                <w:kern w:val="0"/>
                <w:sz w:val="24"/>
                <w:lang w:bidi="ar"/>
              </w:rPr>
            </w:pPr>
          </w:p>
        </w:tc>
      </w:tr>
      <w:tr w14:paraId="72345D33">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15025AF0">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62E79">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财务管理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96B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544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5ECB9">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6970F">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0BD6">
            <w:pPr>
              <w:widowControl/>
              <w:spacing w:line="240" w:lineRule="exact"/>
              <w:jc w:val="left"/>
              <w:textAlignment w:val="center"/>
              <w:rPr>
                <w:rFonts w:ascii="宋体" w:hAnsi="宋体" w:eastAsia="宋体" w:cs="宋体"/>
                <w:color w:val="000000"/>
                <w:kern w:val="0"/>
                <w:sz w:val="24"/>
                <w:lang w:bidi="ar"/>
              </w:rPr>
            </w:pPr>
          </w:p>
        </w:tc>
      </w:tr>
      <w:tr w14:paraId="1E062AF9">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BC13346">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F72E7">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6AF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D9F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D4BE">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F5701">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A52D9">
            <w:pPr>
              <w:widowControl/>
              <w:spacing w:line="240" w:lineRule="exact"/>
              <w:jc w:val="left"/>
              <w:textAlignment w:val="center"/>
              <w:rPr>
                <w:rFonts w:ascii="宋体" w:hAnsi="宋体" w:eastAsia="宋体" w:cs="宋体"/>
                <w:color w:val="000000"/>
                <w:kern w:val="0"/>
                <w:sz w:val="24"/>
                <w:lang w:bidi="ar"/>
              </w:rPr>
            </w:pPr>
          </w:p>
        </w:tc>
      </w:tr>
      <w:tr w14:paraId="7E6704F7">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43F55BAE">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6C190">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9D3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352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C127A">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2C7E">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069DF">
            <w:pPr>
              <w:widowControl/>
              <w:spacing w:line="240" w:lineRule="exact"/>
              <w:jc w:val="left"/>
              <w:textAlignment w:val="center"/>
              <w:rPr>
                <w:rFonts w:ascii="宋体" w:hAnsi="宋体" w:eastAsia="宋体" w:cs="宋体"/>
                <w:color w:val="000000"/>
                <w:kern w:val="0"/>
                <w:sz w:val="24"/>
                <w:lang w:bidi="ar"/>
              </w:rPr>
            </w:pPr>
          </w:p>
        </w:tc>
      </w:tr>
      <w:tr w14:paraId="238A1FBC">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EE36FDD">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right w:val="single" w:color="000000" w:sz="4" w:space="0"/>
            </w:tcBorders>
            <w:shd w:val="clear" w:color="auto" w:fill="auto"/>
            <w:vAlign w:val="center"/>
          </w:tcPr>
          <w:p w14:paraId="4A6471C5">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资产管理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778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1CB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45EA">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921DC">
            <w:pPr>
              <w:widowControl/>
              <w:spacing w:line="240" w:lineRule="exact"/>
              <w:jc w:val="left"/>
              <w:textAlignment w:val="center"/>
              <w:rPr>
                <w:rFonts w:hint="default"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2.5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B961">
            <w:pPr>
              <w:widowControl/>
              <w:spacing w:line="240" w:lineRule="exact"/>
              <w:jc w:val="left"/>
              <w:textAlignment w:val="center"/>
              <w:rPr>
                <w:rFonts w:ascii="宋体" w:hAnsi="宋体" w:eastAsia="宋体" w:cs="宋体"/>
                <w:color w:val="000000"/>
                <w:kern w:val="0"/>
                <w:sz w:val="24"/>
                <w:lang w:bidi="ar"/>
              </w:rPr>
            </w:pPr>
          </w:p>
        </w:tc>
      </w:tr>
      <w:tr w14:paraId="05C25300">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267EBD4A">
            <w:pPr>
              <w:widowControl/>
              <w:spacing w:line="240" w:lineRule="exact"/>
              <w:jc w:val="center"/>
              <w:rPr>
                <w:rFonts w:ascii="宋体" w:hAnsi="宋体" w:eastAsia="宋体" w:cs="宋体"/>
                <w:b/>
                <w:color w:val="000000"/>
                <w:sz w:val="24"/>
              </w:rPr>
            </w:pPr>
          </w:p>
        </w:tc>
        <w:tc>
          <w:tcPr>
            <w:tcW w:w="1462" w:type="dxa"/>
            <w:vMerge w:val="continue"/>
            <w:tcBorders>
              <w:left w:val="single" w:color="000000" w:sz="4" w:space="0"/>
              <w:right w:val="single" w:color="000000" w:sz="4" w:space="0"/>
            </w:tcBorders>
            <w:shd w:val="clear" w:color="auto" w:fill="auto"/>
            <w:vAlign w:val="center"/>
          </w:tcPr>
          <w:p w14:paraId="65596FEA">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3293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610F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0F3C">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DF45">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C3F2">
            <w:pPr>
              <w:widowControl/>
              <w:spacing w:line="240" w:lineRule="exact"/>
              <w:jc w:val="left"/>
              <w:textAlignment w:val="center"/>
              <w:rPr>
                <w:rFonts w:ascii="宋体" w:hAnsi="宋体" w:eastAsia="宋体" w:cs="宋体"/>
                <w:color w:val="000000"/>
                <w:kern w:val="0"/>
                <w:sz w:val="24"/>
                <w:lang w:bidi="ar"/>
              </w:rPr>
            </w:pPr>
          </w:p>
        </w:tc>
      </w:tr>
      <w:tr w14:paraId="10B40237">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B5D6723">
            <w:pPr>
              <w:widowControl/>
              <w:spacing w:line="240" w:lineRule="exact"/>
              <w:jc w:val="center"/>
              <w:textAlignment w:val="center"/>
              <w:rPr>
                <w:rFonts w:ascii="宋体" w:hAnsi="宋体" w:eastAsia="宋体" w:cs="宋体"/>
                <w:b/>
                <w:color w:val="000000"/>
                <w:sz w:val="24"/>
              </w:rPr>
            </w:pPr>
          </w:p>
        </w:tc>
        <w:tc>
          <w:tcPr>
            <w:tcW w:w="1462" w:type="dxa"/>
            <w:vMerge w:val="continue"/>
            <w:tcBorders>
              <w:left w:val="single" w:color="000000" w:sz="4" w:space="0"/>
              <w:bottom w:val="single" w:color="000000" w:sz="4" w:space="0"/>
              <w:right w:val="single" w:color="000000" w:sz="4" w:space="0"/>
            </w:tcBorders>
            <w:shd w:val="clear" w:color="auto" w:fill="auto"/>
            <w:vAlign w:val="center"/>
          </w:tcPr>
          <w:p w14:paraId="5A260E10">
            <w:pPr>
              <w:widowControl/>
              <w:spacing w:line="240" w:lineRule="exact"/>
              <w:jc w:val="center"/>
              <w:textAlignment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9F85">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9B21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AAFD0">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D7856">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3F49D">
            <w:pPr>
              <w:widowControl/>
              <w:spacing w:line="240" w:lineRule="exact"/>
              <w:jc w:val="left"/>
              <w:textAlignment w:val="center"/>
              <w:rPr>
                <w:rFonts w:ascii="宋体" w:hAnsi="宋体" w:eastAsia="宋体" w:cs="宋体"/>
                <w:color w:val="000000"/>
                <w:kern w:val="0"/>
                <w:sz w:val="24"/>
                <w:lang w:bidi="ar"/>
              </w:rPr>
            </w:pPr>
          </w:p>
        </w:tc>
      </w:tr>
      <w:tr w14:paraId="6C639C6D">
        <w:tblPrEx>
          <w:tblCellMar>
            <w:top w:w="0" w:type="dxa"/>
            <w:left w:w="108" w:type="dxa"/>
            <w:bottom w:w="0" w:type="dxa"/>
            <w:right w:w="108" w:type="dxa"/>
          </w:tblCellMar>
        </w:tblPrEx>
        <w:trPr>
          <w:trHeight w:val="23" w:hRule="atLeast"/>
          <w:jc w:val="center"/>
        </w:trPr>
        <w:tc>
          <w:tcPr>
            <w:tcW w:w="1004" w:type="dxa"/>
            <w:vMerge w:val="continue"/>
            <w:tcBorders>
              <w:left w:val="single" w:color="000000" w:sz="4" w:space="0"/>
              <w:right w:val="single" w:color="000000" w:sz="4" w:space="0"/>
            </w:tcBorders>
            <w:shd w:val="clear" w:color="auto" w:fill="auto"/>
            <w:vAlign w:val="center"/>
          </w:tcPr>
          <w:p w14:paraId="5870B3EC">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C801E5">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采购管理</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BB9A4">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ED36E">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9B09">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F7EE2">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A09D">
            <w:pPr>
              <w:widowControl/>
              <w:spacing w:line="240" w:lineRule="exact"/>
              <w:jc w:val="left"/>
              <w:textAlignment w:val="center"/>
              <w:rPr>
                <w:rFonts w:ascii="宋体" w:hAnsi="宋体" w:eastAsia="宋体" w:cs="宋体"/>
                <w:color w:val="000000"/>
                <w:kern w:val="0"/>
                <w:sz w:val="24"/>
                <w:lang w:bidi="ar"/>
              </w:rPr>
            </w:pPr>
          </w:p>
        </w:tc>
      </w:tr>
      <w:tr w14:paraId="4A1E7BED">
        <w:tblPrEx>
          <w:tblCellMar>
            <w:top w:w="0" w:type="dxa"/>
            <w:left w:w="108" w:type="dxa"/>
            <w:bottom w:w="0" w:type="dxa"/>
            <w:right w:w="108" w:type="dxa"/>
          </w:tblCellMar>
        </w:tblPrEx>
        <w:trPr>
          <w:trHeight w:val="225" w:hRule="atLeast"/>
          <w:jc w:val="center"/>
        </w:trPr>
        <w:tc>
          <w:tcPr>
            <w:tcW w:w="1004" w:type="dxa"/>
            <w:vMerge w:val="continue"/>
            <w:tcBorders>
              <w:left w:val="single" w:color="000000" w:sz="4" w:space="0"/>
              <w:bottom w:val="single" w:color="000000" w:sz="4" w:space="0"/>
              <w:right w:val="single" w:color="000000" w:sz="4" w:space="0"/>
            </w:tcBorders>
            <w:shd w:val="clear" w:color="auto" w:fill="auto"/>
            <w:vAlign w:val="center"/>
          </w:tcPr>
          <w:p w14:paraId="7F544E12">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FC104">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D9AB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DAA8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26030">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C0B3">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83D7">
            <w:pPr>
              <w:widowControl/>
              <w:spacing w:line="240" w:lineRule="exact"/>
              <w:jc w:val="left"/>
              <w:textAlignment w:val="center"/>
              <w:rPr>
                <w:rFonts w:ascii="宋体" w:hAnsi="宋体" w:eastAsia="宋体" w:cs="宋体"/>
                <w:color w:val="000000"/>
                <w:kern w:val="0"/>
                <w:sz w:val="24"/>
                <w:lang w:bidi="ar"/>
              </w:rPr>
            </w:pPr>
          </w:p>
        </w:tc>
      </w:tr>
      <w:tr w14:paraId="677E3263">
        <w:tblPrEx>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7ABEB0">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项目绩效</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4AE0D357">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项目决策</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32B1">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5D5B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6960">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D887">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17EB">
            <w:pPr>
              <w:widowControl/>
              <w:spacing w:line="240" w:lineRule="exact"/>
              <w:jc w:val="left"/>
              <w:textAlignment w:val="center"/>
              <w:rPr>
                <w:rFonts w:ascii="宋体" w:hAnsi="宋体" w:eastAsia="宋体" w:cs="宋体"/>
                <w:color w:val="000000"/>
                <w:kern w:val="0"/>
                <w:sz w:val="24"/>
                <w:lang w:bidi="ar"/>
              </w:rPr>
            </w:pPr>
          </w:p>
        </w:tc>
      </w:tr>
      <w:tr w14:paraId="6E312460">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64AE8">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F4D9D12">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8EBB1">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9759B">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D9810">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CC31">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0197">
            <w:pPr>
              <w:widowControl/>
              <w:spacing w:line="240" w:lineRule="exact"/>
              <w:jc w:val="left"/>
              <w:textAlignment w:val="center"/>
              <w:rPr>
                <w:rFonts w:ascii="宋体" w:hAnsi="宋体" w:eastAsia="宋体" w:cs="宋体"/>
                <w:color w:val="000000"/>
                <w:kern w:val="0"/>
                <w:sz w:val="24"/>
                <w:lang w:bidi="ar"/>
              </w:rPr>
            </w:pPr>
          </w:p>
        </w:tc>
      </w:tr>
      <w:tr w14:paraId="71FF6E2C">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5AD31">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6C48F98F">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56A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015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4AF8">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A756">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002A">
            <w:pPr>
              <w:widowControl/>
              <w:spacing w:line="240" w:lineRule="exact"/>
              <w:jc w:val="left"/>
              <w:textAlignment w:val="center"/>
              <w:rPr>
                <w:rFonts w:ascii="宋体" w:hAnsi="宋体" w:eastAsia="宋体" w:cs="宋体"/>
                <w:color w:val="000000"/>
                <w:kern w:val="0"/>
                <w:sz w:val="24"/>
                <w:lang w:bidi="ar"/>
              </w:rPr>
            </w:pPr>
          </w:p>
        </w:tc>
      </w:tr>
      <w:tr w14:paraId="10820FF7">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5D81A">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0F32FB97">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项目执行</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E9E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0F58">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31BD">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3D54D">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8ED79">
            <w:pPr>
              <w:widowControl/>
              <w:spacing w:line="240" w:lineRule="exact"/>
              <w:jc w:val="left"/>
              <w:textAlignment w:val="center"/>
              <w:rPr>
                <w:rFonts w:ascii="宋体" w:hAnsi="宋体" w:eastAsia="宋体" w:cs="宋体"/>
                <w:color w:val="000000"/>
                <w:kern w:val="0"/>
                <w:sz w:val="24"/>
                <w:lang w:bidi="ar"/>
              </w:rPr>
            </w:pPr>
          </w:p>
        </w:tc>
      </w:tr>
      <w:tr w14:paraId="2949FAE1">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9E850">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7FBABF59">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179355C3">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A281">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F4A5">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B096D">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89C03">
            <w:pPr>
              <w:widowControl/>
              <w:spacing w:line="240" w:lineRule="exact"/>
              <w:jc w:val="left"/>
              <w:textAlignment w:val="center"/>
              <w:rPr>
                <w:rFonts w:ascii="宋体" w:hAnsi="宋体" w:eastAsia="宋体" w:cs="宋体"/>
                <w:color w:val="000000"/>
                <w:kern w:val="0"/>
                <w:sz w:val="24"/>
                <w:lang w:bidi="ar"/>
              </w:rPr>
            </w:pPr>
          </w:p>
        </w:tc>
      </w:tr>
      <w:tr w14:paraId="7B397E98">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6EB18">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2DD78C2">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2770">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357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5CAF">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8213">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4591">
            <w:pPr>
              <w:widowControl/>
              <w:spacing w:line="240" w:lineRule="exact"/>
              <w:jc w:val="left"/>
              <w:textAlignment w:val="center"/>
              <w:rPr>
                <w:rFonts w:ascii="宋体" w:hAnsi="宋体" w:eastAsia="宋体" w:cs="宋体"/>
                <w:color w:val="000000"/>
                <w:kern w:val="0"/>
                <w:sz w:val="24"/>
                <w:lang w:bidi="ar"/>
              </w:rPr>
            </w:pPr>
          </w:p>
        </w:tc>
      </w:tr>
      <w:tr w14:paraId="4A3FEDE7">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A4535">
            <w:pPr>
              <w:widowControl/>
              <w:spacing w:line="240" w:lineRule="exact"/>
              <w:jc w:val="center"/>
              <w:rPr>
                <w:rFonts w:ascii="宋体" w:hAnsi="宋体" w:eastAsia="宋体" w:cs="宋体"/>
                <w:b/>
                <w:color w:val="000000"/>
                <w:sz w:val="24"/>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AB01BA">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目标实现</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E3149">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278A">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3589">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280F">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904DE">
            <w:pPr>
              <w:widowControl/>
              <w:spacing w:line="240" w:lineRule="exact"/>
              <w:jc w:val="left"/>
              <w:textAlignment w:val="center"/>
              <w:rPr>
                <w:rFonts w:ascii="宋体" w:hAnsi="宋体" w:eastAsia="宋体" w:cs="宋体"/>
                <w:color w:val="000000"/>
                <w:kern w:val="0"/>
                <w:sz w:val="24"/>
                <w:lang w:bidi="ar"/>
              </w:rPr>
            </w:pPr>
          </w:p>
        </w:tc>
      </w:tr>
      <w:tr w14:paraId="5FB88673">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D9DDA">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7D45F">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52A7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D58B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946FC">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B516">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D4D8">
            <w:pPr>
              <w:widowControl/>
              <w:spacing w:line="240" w:lineRule="exact"/>
              <w:jc w:val="left"/>
              <w:textAlignment w:val="center"/>
              <w:rPr>
                <w:rFonts w:ascii="宋体" w:hAnsi="宋体" w:eastAsia="宋体" w:cs="宋体"/>
                <w:color w:val="000000"/>
                <w:kern w:val="0"/>
                <w:sz w:val="24"/>
                <w:lang w:bidi="ar"/>
              </w:rPr>
            </w:pPr>
          </w:p>
        </w:tc>
      </w:tr>
      <w:tr w14:paraId="0DDF7861">
        <w:tblPrEx>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B3DDB">
            <w:pPr>
              <w:widowControl/>
              <w:spacing w:line="240" w:lineRule="exact"/>
              <w:jc w:val="center"/>
              <w:rPr>
                <w:rFonts w:ascii="宋体" w:hAnsi="宋体" w:eastAsia="宋体" w:cs="宋体"/>
                <w:b/>
                <w:color w:val="000000"/>
                <w:sz w:val="24"/>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5CB40">
            <w:pPr>
              <w:widowControl/>
              <w:spacing w:line="240" w:lineRule="exact"/>
              <w:jc w:val="center"/>
              <w:rPr>
                <w:rFonts w:ascii="宋体" w:hAnsi="宋体" w:eastAsia="宋体" w:cs="宋体"/>
                <w:b/>
                <w:color w:val="000000"/>
                <w:sz w:val="24"/>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EE0C">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BF97">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BF132">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A40D">
            <w:pPr>
              <w:widowControl/>
              <w:spacing w:line="240" w:lineRule="exact"/>
              <w:jc w:val="left"/>
              <w:textAlignment w:val="center"/>
              <w:rPr>
                <w:rFonts w:hint="eastAsia" w:ascii="宋体" w:hAnsi="宋体" w:eastAsia="宋体" w:cs="宋体"/>
                <w:color w:val="000000"/>
                <w:kern w:val="0"/>
                <w:sz w:val="24"/>
                <w:lang w:val="en-US" w:eastAsia="zh-CN" w:bidi="ar"/>
              </w:rPr>
            </w:pPr>
            <w:r>
              <w:rPr>
                <w:rFonts w:hint="eastAsia" w:ascii="宋体" w:hAnsi="宋体" w:eastAsia="宋体" w:cs="宋体"/>
                <w:color w:val="000000"/>
                <w:kern w:val="0"/>
                <w:sz w:val="24"/>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148D">
            <w:pPr>
              <w:widowControl/>
              <w:spacing w:line="240" w:lineRule="exact"/>
              <w:jc w:val="left"/>
              <w:textAlignment w:val="center"/>
              <w:rPr>
                <w:rFonts w:ascii="宋体" w:hAnsi="宋体" w:eastAsia="宋体" w:cs="宋体"/>
                <w:color w:val="000000"/>
                <w:kern w:val="0"/>
                <w:sz w:val="24"/>
                <w:lang w:bidi="ar"/>
              </w:rPr>
            </w:pPr>
          </w:p>
        </w:tc>
      </w:tr>
      <w:tr w14:paraId="6283FDF5">
        <w:tblPrEx>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5BD8">
            <w:pPr>
              <w:widowControl/>
              <w:spacing w:line="240" w:lineRule="exact"/>
              <w:jc w:val="center"/>
              <w:textAlignment w:val="center"/>
              <w:rPr>
                <w:rFonts w:ascii="宋体" w:hAnsi="宋体" w:eastAsia="宋体" w:cs="宋体"/>
                <w:b/>
                <w:color w:val="000000"/>
                <w:sz w:val="24"/>
              </w:rPr>
            </w:pPr>
            <w:r>
              <w:rPr>
                <w:rFonts w:hint="eastAsia" w:ascii="宋体" w:hAnsi="宋体" w:eastAsia="宋体" w:cs="宋体"/>
                <w:b/>
                <w:color w:val="000000"/>
                <w:kern w:val="0"/>
                <w:sz w:val="24"/>
                <w:lang w:bidi="ar"/>
              </w:rPr>
              <w:t>扣分项</w:t>
            </w:r>
            <w:r>
              <w:rPr>
                <w:rFonts w:hint="eastAsia" w:ascii="宋体" w:hAnsi="宋体" w:eastAsia="宋体" w:cs="宋体"/>
                <w:b/>
                <w:color w:val="000000"/>
                <w:kern w:val="0"/>
                <w:sz w:val="24"/>
                <w:lang w:bidi="ar"/>
              </w:rPr>
              <w:br w:type="textWrapping"/>
            </w:r>
            <w:r>
              <w:rPr>
                <w:rFonts w:hint="eastAsia" w:ascii="宋体" w:hAnsi="宋体" w:eastAsia="宋体" w:cs="宋体"/>
                <w:b/>
                <w:color w:val="000000"/>
                <w:kern w:val="0"/>
                <w:sz w:val="24"/>
                <w:lang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0FBC2D">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088F">
            <w:pPr>
              <w:widowControl/>
              <w:spacing w:line="240" w:lineRule="exact"/>
              <w:jc w:val="center"/>
              <w:textAlignment w:val="center"/>
              <w:rPr>
                <w:rFonts w:ascii="宋体" w:hAnsi="宋体" w:eastAsia="宋体" w:cs="宋体"/>
                <w:color w:val="000000"/>
                <w:sz w:val="24"/>
              </w:rPr>
            </w:pPr>
            <w:r>
              <w:rPr>
                <w:rFonts w:hint="eastAsia" w:ascii="宋体" w:hAnsi="宋体" w:eastAsia="宋体" w:cs="宋体"/>
                <w:color w:val="000000"/>
                <w:kern w:val="0"/>
                <w:sz w:val="24"/>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40DA">
            <w:pPr>
              <w:widowControl/>
              <w:spacing w:line="240" w:lineRule="exact"/>
              <w:jc w:val="left"/>
              <w:textAlignment w:val="center"/>
              <w:rPr>
                <w:rFonts w:ascii="宋体" w:hAnsi="宋体" w:eastAsia="宋体" w:cs="宋体"/>
                <w:color w:val="000000"/>
                <w:sz w:val="24"/>
              </w:rPr>
            </w:pPr>
            <w:r>
              <w:rPr>
                <w:rFonts w:hint="eastAsia" w:ascii="宋体" w:hAnsi="宋体" w:eastAsia="宋体" w:cs="宋体"/>
                <w:color w:val="000000"/>
                <w:kern w:val="0"/>
                <w:sz w:val="24"/>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C860">
            <w:pPr>
              <w:widowControl/>
              <w:spacing w:line="240" w:lineRule="exact"/>
              <w:jc w:val="left"/>
              <w:textAlignment w:val="center"/>
              <w:rPr>
                <w:rFonts w:ascii="宋体" w:hAnsi="宋体" w:eastAsia="宋体" w:cs="宋体"/>
                <w:color w:val="000000"/>
                <w:kern w:val="0"/>
                <w:sz w:val="24"/>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5190">
            <w:pPr>
              <w:widowControl/>
              <w:spacing w:line="240" w:lineRule="exact"/>
              <w:jc w:val="left"/>
              <w:textAlignment w:val="center"/>
              <w:rPr>
                <w:rFonts w:ascii="宋体" w:hAnsi="宋体" w:eastAsia="宋体" w:cs="宋体"/>
                <w:color w:val="000000"/>
                <w:kern w:val="0"/>
                <w:sz w:val="24"/>
                <w:lang w:bidi="ar"/>
              </w:rPr>
            </w:pPr>
          </w:p>
        </w:tc>
      </w:tr>
    </w:tbl>
    <w:p w14:paraId="5533CAC8">
      <w:pPr>
        <w:pStyle w:val="18"/>
        <w:spacing w:line="20" w:lineRule="exact"/>
      </w:pPr>
    </w:p>
    <w:p w14:paraId="73A1830A">
      <w:pPr>
        <w:spacing w:line="578" w:lineRule="exact"/>
        <w:jc w:val="left"/>
        <w:rPr>
          <w:rFonts w:eastAsia="黑体"/>
        </w:rPr>
      </w:pPr>
      <w:r>
        <w:rPr>
          <w:rFonts w:eastAsia="黑体"/>
        </w:rPr>
        <w:t>附表</w:t>
      </w:r>
      <w:r>
        <w:rPr>
          <w:rFonts w:hint="eastAsia" w:eastAsia="黑体"/>
        </w:rPr>
        <w:t>2</w:t>
      </w:r>
    </w:p>
    <w:tbl>
      <w:tblPr>
        <w:tblStyle w:val="14"/>
        <w:tblW w:w="10893" w:type="dxa"/>
        <w:jc w:val="center"/>
        <w:tblLayout w:type="fixed"/>
        <w:tblCellMar>
          <w:top w:w="15" w:type="dxa"/>
          <w:left w:w="15" w:type="dxa"/>
          <w:bottom w:w="15" w:type="dxa"/>
          <w:right w:w="15" w:type="dxa"/>
        </w:tblCellMar>
      </w:tblPr>
      <w:tblGrid>
        <w:gridCol w:w="1485"/>
        <w:gridCol w:w="1503"/>
        <w:gridCol w:w="1030"/>
        <w:gridCol w:w="1343"/>
        <w:gridCol w:w="1145"/>
        <w:gridCol w:w="947"/>
        <w:gridCol w:w="1080"/>
        <w:gridCol w:w="2360"/>
      </w:tblGrid>
      <w:tr w14:paraId="450C8077">
        <w:tblPrEx>
          <w:tblCellMar>
            <w:top w:w="15" w:type="dxa"/>
            <w:left w:w="15" w:type="dxa"/>
            <w:bottom w:w="15" w:type="dxa"/>
            <w:right w:w="15" w:type="dxa"/>
          </w:tblCellMar>
        </w:tblPrEx>
        <w:trPr>
          <w:trHeight w:val="762" w:hRule="exact"/>
          <w:jc w:val="center"/>
        </w:trPr>
        <w:tc>
          <w:tcPr>
            <w:tcW w:w="10893" w:type="dxa"/>
            <w:gridSpan w:val="8"/>
            <w:shd w:val="clear" w:color="auto" w:fill="auto"/>
            <w:vAlign w:val="center"/>
          </w:tcPr>
          <w:p w14:paraId="4D2CA7C1">
            <w:pPr>
              <w:widowControl/>
              <w:spacing w:line="600" w:lineRule="exact"/>
              <w:jc w:val="center"/>
              <w:textAlignment w:val="center"/>
              <w:rPr>
                <w:rFonts w:eastAsia="黑体"/>
                <w:color w:val="000000"/>
                <w:sz w:val="28"/>
                <w:szCs w:val="28"/>
              </w:rPr>
            </w:pPr>
            <w:bookmarkStart w:id="1" w:name="OLE_LINK3"/>
            <w:r>
              <w:rPr>
                <w:rFonts w:eastAsia="方正小标宋简体"/>
                <w:color w:val="000000"/>
                <w:kern w:val="0"/>
                <w:sz w:val="44"/>
                <w:szCs w:val="44"/>
                <w:lang w:bidi="ar"/>
              </w:rPr>
              <w:t>部门整体绩效目标完成情况自评表</w:t>
            </w:r>
            <w:bookmarkEnd w:id="1"/>
          </w:p>
        </w:tc>
      </w:tr>
      <w:tr w14:paraId="2B94F042">
        <w:tblPrEx>
          <w:tblCellMar>
            <w:top w:w="15" w:type="dxa"/>
            <w:left w:w="15" w:type="dxa"/>
            <w:bottom w:w="15" w:type="dxa"/>
            <w:right w:w="15" w:type="dxa"/>
          </w:tblCellMar>
        </w:tblPrEx>
        <w:trPr>
          <w:trHeight w:val="23" w:hRule="atLeast"/>
          <w:jc w:val="center"/>
        </w:trPr>
        <w:tc>
          <w:tcPr>
            <w:tcW w:w="10893" w:type="dxa"/>
            <w:gridSpan w:val="8"/>
            <w:shd w:val="clear" w:color="auto" w:fill="auto"/>
            <w:vAlign w:val="center"/>
          </w:tcPr>
          <w:p w14:paraId="52BFFCC6">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val="en-US" w:eastAsia="zh-CN" w:bidi="ar"/>
              </w:rPr>
              <w:t>5</w:t>
            </w:r>
            <w:r>
              <w:rPr>
                <w:rFonts w:eastAsia="宋体"/>
                <w:color w:val="000000"/>
                <w:kern w:val="0"/>
                <w:sz w:val="28"/>
                <w:szCs w:val="28"/>
                <w:lang w:bidi="ar"/>
              </w:rPr>
              <w:t>年度）</w:t>
            </w:r>
          </w:p>
        </w:tc>
      </w:tr>
      <w:tr w14:paraId="5C0E61C0">
        <w:tblPrEx>
          <w:tblCellMar>
            <w:top w:w="15" w:type="dxa"/>
            <w:left w:w="15" w:type="dxa"/>
            <w:bottom w:w="15" w:type="dxa"/>
            <w:right w:w="15" w:type="dxa"/>
          </w:tblCellMar>
        </w:tblPrEx>
        <w:trPr>
          <w:trHeight w:val="23" w:hRule="atLeast"/>
          <w:jc w:val="center"/>
        </w:trPr>
        <w:tc>
          <w:tcPr>
            <w:tcW w:w="10893" w:type="dxa"/>
            <w:gridSpan w:val="8"/>
            <w:tcBorders>
              <w:bottom w:val="single" w:color="000000" w:sz="4" w:space="0"/>
            </w:tcBorders>
            <w:shd w:val="clear" w:color="auto" w:fill="auto"/>
            <w:vAlign w:val="center"/>
          </w:tcPr>
          <w:p w14:paraId="44700C9F">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1A1AAB42">
        <w:tblPrEx>
          <w:tblCellMar>
            <w:top w:w="15" w:type="dxa"/>
            <w:left w:w="15" w:type="dxa"/>
            <w:bottom w:w="15" w:type="dxa"/>
            <w:right w:w="15" w:type="dxa"/>
          </w:tblCellMar>
        </w:tblPrEx>
        <w:trPr>
          <w:trHeight w:val="23" w:hRule="atLeast"/>
          <w:jc w:val="center"/>
        </w:trPr>
        <w:tc>
          <w:tcPr>
            <w:tcW w:w="40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243FFB">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3C4A8">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西区团委</w:t>
            </w:r>
          </w:p>
        </w:tc>
      </w:tr>
      <w:tr w14:paraId="0F88CCCF">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592C12">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2A0FA">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7F61D">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2B3144">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14:paraId="1ED3E459">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34293">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A071C8">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174.52</w:t>
            </w:r>
          </w:p>
        </w:tc>
        <w:tc>
          <w:tcPr>
            <w:tcW w:w="24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AA586">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174.52</w:t>
            </w:r>
          </w:p>
        </w:tc>
        <w:tc>
          <w:tcPr>
            <w:tcW w:w="4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561150">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bidi="ar"/>
              </w:rPr>
              <w:t>0</w:t>
            </w:r>
          </w:p>
        </w:tc>
      </w:tr>
      <w:tr w14:paraId="45E38C0B">
        <w:tblPrEx>
          <w:tblCellMar>
            <w:top w:w="15" w:type="dxa"/>
            <w:left w:w="15" w:type="dxa"/>
            <w:bottom w:w="15" w:type="dxa"/>
            <w:right w:w="15" w:type="dxa"/>
          </w:tblCellMar>
        </w:tblPrEx>
        <w:trPr>
          <w:trHeight w:val="23" w:hRule="atLeast"/>
          <w:jc w:val="center"/>
        </w:trPr>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6B86">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14:paraId="2B7C68B0">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40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DB1EB95">
            <w:pPr>
              <w:widowControl/>
              <w:spacing w:line="300" w:lineRule="exact"/>
              <w:jc w:val="left"/>
              <w:textAlignment w:val="center"/>
              <w:rPr>
                <w:rFonts w:eastAsia="宋体"/>
                <w:color w:val="000000"/>
                <w:sz w:val="24"/>
              </w:rPr>
            </w:pPr>
            <w:r>
              <w:rPr>
                <w:rFonts w:hint="eastAsia" w:eastAsia="宋体"/>
                <w:color w:val="000000"/>
                <w:kern w:val="0"/>
                <w:sz w:val="24"/>
                <w:lang w:bidi="ar"/>
              </w:rPr>
              <w:t>紧抓青少年思想引领，采取多形式向青少年开展宣传教育，教育青少年为中华民族的伟大复兴而努力，全面保障职工人员经费，保障单位日常运行，认真履行单位职能职责，紧紧围绕共青团中心工作和青少年公益培训两大主题开展各项工作</w:t>
            </w:r>
          </w:p>
        </w:tc>
      </w:tr>
      <w:tr w14:paraId="32A2F3E7">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AECD5">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14:paraId="1A2AC8F7">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7A023">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DD832A">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14:paraId="1561D040">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C58FF">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6AB2D1">
            <w:pPr>
              <w:widowControl/>
              <w:spacing w:line="300" w:lineRule="exact"/>
              <w:jc w:val="left"/>
              <w:textAlignment w:val="center"/>
              <w:rPr>
                <w:rFonts w:hint="eastAsia" w:eastAsia="宋体"/>
                <w:color w:val="000000"/>
                <w:sz w:val="24"/>
                <w:lang w:eastAsia="zh-CN"/>
              </w:rPr>
            </w:pPr>
            <w:r>
              <w:rPr>
                <w:rFonts w:hint="eastAsia" w:eastAsia="宋体"/>
                <w:color w:val="000000"/>
                <w:sz w:val="24"/>
                <w:lang w:eastAsia="zh-CN"/>
              </w:rPr>
              <w:t>整体目标</w:t>
            </w: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C64FB6">
            <w:pPr>
              <w:widowControl/>
              <w:spacing w:line="300" w:lineRule="exact"/>
              <w:jc w:val="left"/>
              <w:textAlignment w:val="center"/>
              <w:rPr>
                <w:rFonts w:eastAsia="宋体"/>
                <w:color w:val="000000"/>
                <w:sz w:val="24"/>
              </w:rPr>
            </w:pPr>
            <w:r>
              <w:rPr>
                <w:rFonts w:hint="eastAsia" w:eastAsia="宋体"/>
                <w:color w:val="000000"/>
                <w:kern w:val="0"/>
                <w:sz w:val="24"/>
                <w:lang w:bidi="ar"/>
              </w:rPr>
              <w:t>全面保障职工人员经费，保障单位日常运行，认真履行单位职能职责，全力以赴完成各项工作任务，为西区经济社会发展做出积极贡献。活动中心坚持以人为本的办学理念，完善学校与家庭和社会的“三位一体”工作网络，紧紧围绕公益活动和特长培训两大主题开展工作</w:t>
            </w:r>
          </w:p>
        </w:tc>
      </w:tr>
      <w:tr w14:paraId="5E2F9210">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E1591">
            <w:pPr>
              <w:widowControl/>
              <w:spacing w:line="300" w:lineRule="exact"/>
              <w:jc w:val="center"/>
              <w:rPr>
                <w:rFonts w:eastAsia="宋体"/>
                <w:color w:val="000000"/>
                <w:sz w:val="24"/>
              </w:rPr>
            </w:pP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36CA9">
            <w:pPr>
              <w:widowControl/>
              <w:spacing w:line="300" w:lineRule="exact"/>
              <w:jc w:val="left"/>
              <w:rPr>
                <w:rFonts w:eastAsia="宋体"/>
                <w:color w:val="000000"/>
                <w:sz w:val="24"/>
              </w:rPr>
            </w:pPr>
          </w:p>
        </w:tc>
        <w:tc>
          <w:tcPr>
            <w:tcW w:w="6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3F1924">
            <w:pPr>
              <w:widowControl/>
              <w:spacing w:line="300" w:lineRule="exact"/>
              <w:jc w:val="left"/>
              <w:rPr>
                <w:rFonts w:eastAsia="宋体"/>
                <w:color w:val="000000"/>
                <w:sz w:val="24"/>
              </w:rPr>
            </w:pPr>
          </w:p>
        </w:tc>
      </w:tr>
      <w:tr w14:paraId="4FD78234">
        <w:tblPrEx>
          <w:tblCellMar>
            <w:top w:w="15" w:type="dxa"/>
            <w:left w:w="15" w:type="dxa"/>
            <w:bottom w:w="15" w:type="dxa"/>
            <w:right w:w="15" w:type="dxa"/>
          </w:tblCellMar>
        </w:tblPrEx>
        <w:trPr>
          <w:trHeight w:val="23" w:hRule="atLeast"/>
          <w:jc w:val="center"/>
        </w:trPr>
        <w:tc>
          <w:tcPr>
            <w:tcW w:w="14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1C947">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14:paraId="77F0C909">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E473B">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20BD">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35EF">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0188">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14:paraId="3AD9CF15">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4EA7">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53956">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58E1">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14:paraId="353409B2">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14:paraId="4DA7C417">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D8070">
            <w:pPr>
              <w:widowControl/>
              <w:spacing w:line="300" w:lineRule="exact"/>
              <w:jc w:val="center"/>
              <w:rPr>
                <w:rFonts w:eastAsia="宋体"/>
                <w:color w:val="000000"/>
                <w:sz w:val="24"/>
              </w:rPr>
            </w:pPr>
          </w:p>
        </w:tc>
        <w:tc>
          <w:tcPr>
            <w:tcW w:w="1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7F358C">
            <w:pPr>
              <w:widowControl/>
              <w:spacing w:line="300" w:lineRule="exact"/>
              <w:jc w:val="center"/>
              <w:textAlignment w:val="center"/>
              <w:rPr>
                <w:rFonts w:eastAsia="宋体"/>
                <w:color w:val="000000"/>
                <w:sz w:val="24"/>
              </w:rPr>
            </w:pPr>
            <w:r>
              <w:rPr>
                <w:rFonts w:eastAsia="宋体"/>
                <w:color w:val="000000"/>
                <w:kern w:val="0"/>
                <w:sz w:val="24"/>
                <w:lang w:bidi="ar"/>
              </w:rPr>
              <w:t>产出指标</w:t>
            </w:r>
          </w:p>
        </w:tc>
        <w:tc>
          <w:tcPr>
            <w:tcW w:w="1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FF5916">
            <w:pPr>
              <w:widowControl/>
              <w:spacing w:line="300" w:lineRule="exact"/>
              <w:jc w:val="center"/>
              <w:textAlignment w:val="center"/>
              <w:rPr>
                <w:rFonts w:eastAsia="宋体"/>
                <w:color w:val="000000"/>
                <w:sz w:val="24"/>
              </w:rPr>
            </w:pPr>
            <w:r>
              <w:rPr>
                <w:rFonts w:eastAsia="宋体"/>
                <w:color w:val="000000"/>
                <w:kern w:val="0"/>
                <w:sz w:val="24"/>
                <w:lang w:bidi="ar"/>
              </w:rPr>
              <w:t>数量指标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306A">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基本支出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B0EF">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856D">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9D26E">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CCC8A">
            <w:pPr>
              <w:widowControl/>
              <w:spacing w:line="300" w:lineRule="exact"/>
              <w:jc w:val="center"/>
              <w:textAlignment w:val="center"/>
              <w:rPr>
                <w:rFonts w:hint="eastAsia" w:eastAsia="宋体"/>
                <w:color w:val="000000"/>
                <w:sz w:val="24"/>
                <w:lang w:eastAsia="zh-CN"/>
              </w:rPr>
            </w:pPr>
            <w:r>
              <w:rPr>
                <w:rFonts w:hint="eastAsia" w:eastAsia="宋体"/>
                <w:color w:val="000000"/>
                <w:sz w:val="24"/>
                <w:lang w:eastAsia="zh-CN"/>
              </w:rPr>
              <w:t>完成</w:t>
            </w:r>
          </w:p>
        </w:tc>
      </w:tr>
      <w:tr w14:paraId="660263CC">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776C0">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FA80D">
            <w:pPr>
              <w:widowControl/>
              <w:spacing w:line="300" w:lineRule="exact"/>
              <w:jc w:val="center"/>
              <w:rPr>
                <w:rFonts w:eastAsia="宋体"/>
                <w:color w:val="000000"/>
                <w:sz w:val="24"/>
              </w:rPr>
            </w:pPr>
          </w:p>
        </w:tc>
        <w:tc>
          <w:tcPr>
            <w:tcW w:w="1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8FA13">
            <w:pPr>
              <w:widowControl/>
              <w:spacing w:line="300" w:lineRule="exact"/>
              <w:jc w:val="center"/>
              <w:rPr>
                <w:rFonts w:eastAsia="宋体"/>
                <w:color w:val="000000"/>
                <w:sz w:val="24"/>
              </w:rPr>
            </w:pP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FAE2">
            <w:pPr>
              <w:widowControl/>
              <w:spacing w:line="300" w:lineRule="exact"/>
              <w:jc w:val="left"/>
              <w:rPr>
                <w:rFonts w:eastAsia="宋体"/>
                <w:color w:val="000000"/>
                <w:sz w:val="24"/>
              </w:rPr>
            </w:pPr>
            <w:r>
              <w:rPr>
                <w:rFonts w:hint="eastAsia" w:eastAsia="宋体"/>
                <w:color w:val="000000"/>
                <w:sz w:val="24"/>
              </w:rPr>
              <w:t>项目支出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6A11">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1766">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47D6">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DC3E">
            <w:pPr>
              <w:widowControl/>
              <w:spacing w:line="300" w:lineRule="exact"/>
              <w:jc w:val="center"/>
              <w:rPr>
                <w:rFonts w:hint="eastAsia" w:eastAsia="宋体"/>
                <w:color w:val="000000"/>
                <w:sz w:val="24"/>
                <w:lang w:eastAsia="zh-CN"/>
              </w:rPr>
            </w:pPr>
            <w:r>
              <w:rPr>
                <w:rFonts w:hint="eastAsia" w:eastAsia="宋体"/>
                <w:color w:val="000000"/>
                <w:sz w:val="24"/>
                <w:lang w:eastAsia="zh-CN"/>
              </w:rPr>
              <w:t>完成</w:t>
            </w:r>
          </w:p>
        </w:tc>
      </w:tr>
      <w:tr w14:paraId="7E457DC0">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3FB9B">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10971">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5C26">
            <w:pPr>
              <w:widowControl/>
              <w:spacing w:line="300" w:lineRule="exact"/>
              <w:jc w:val="center"/>
              <w:textAlignment w:val="center"/>
              <w:rPr>
                <w:rFonts w:eastAsia="宋体"/>
                <w:color w:val="000000"/>
                <w:sz w:val="24"/>
              </w:rPr>
            </w:pPr>
            <w:r>
              <w:rPr>
                <w:rFonts w:eastAsia="宋体"/>
                <w:color w:val="000000"/>
                <w:kern w:val="0"/>
                <w:sz w:val="24"/>
                <w:lang w:bidi="ar"/>
              </w:rPr>
              <w:t>质量指标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259C">
            <w:pPr>
              <w:widowControl/>
              <w:spacing w:line="300" w:lineRule="exact"/>
              <w:jc w:val="left"/>
              <w:rPr>
                <w:rFonts w:eastAsia="宋体"/>
                <w:color w:val="000000"/>
                <w:sz w:val="24"/>
              </w:rPr>
            </w:pPr>
            <w:r>
              <w:rPr>
                <w:rFonts w:hint="eastAsia" w:eastAsia="宋体"/>
                <w:color w:val="000000"/>
                <w:sz w:val="24"/>
              </w:rPr>
              <w:t>按工作进度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0F0CC">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A4D11">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0621">
            <w:pPr>
              <w:widowControl/>
              <w:spacing w:line="300" w:lineRule="exact"/>
              <w:jc w:val="left"/>
              <w:rPr>
                <w:rFonts w:hint="eastAsia" w:eastAsia="宋体"/>
                <w:color w:val="000000"/>
                <w:sz w:val="24"/>
                <w:lang w:eastAsia="zh-CN"/>
              </w:rPr>
            </w:pPr>
            <w:r>
              <w:rPr>
                <w:rFonts w:hint="eastAsia" w:eastAsia="宋体"/>
                <w:color w:val="000000"/>
                <w:sz w:val="24"/>
                <w:lang w:eastAsia="zh-CN"/>
              </w:rPr>
              <w:t>次</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EE1B7">
            <w:pPr>
              <w:widowControl/>
              <w:spacing w:line="300" w:lineRule="exact"/>
              <w:jc w:val="center"/>
              <w:rPr>
                <w:rFonts w:eastAsia="宋体"/>
                <w:color w:val="000000"/>
                <w:sz w:val="24"/>
              </w:rPr>
            </w:pPr>
            <w:r>
              <w:rPr>
                <w:rFonts w:hint="eastAsia" w:eastAsia="宋体"/>
                <w:color w:val="000000"/>
                <w:sz w:val="24"/>
                <w:lang w:eastAsia="zh-CN"/>
              </w:rPr>
              <w:t>完成</w:t>
            </w:r>
          </w:p>
        </w:tc>
      </w:tr>
      <w:tr w14:paraId="497D8E09">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3A04A">
            <w:pPr>
              <w:widowControl/>
              <w:spacing w:line="300" w:lineRule="exact"/>
              <w:jc w:val="center"/>
              <w:rPr>
                <w:rFonts w:eastAsia="宋体"/>
                <w:color w:val="000000"/>
                <w:sz w:val="24"/>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3234C">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2F1F">
            <w:pPr>
              <w:widowControl/>
              <w:spacing w:line="300" w:lineRule="exact"/>
              <w:jc w:val="center"/>
              <w:textAlignment w:val="center"/>
              <w:rPr>
                <w:rFonts w:eastAsia="宋体"/>
                <w:color w:val="000000"/>
                <w:sz w:val="24"/>
              </w:rPr>
            </w:pPr>
            <w:r>
              <w:rPr>
                <w:rFonts w:eastAsia="宋体"/>
                <w:color w:val="000000"/>
                <w:kern w:val="0"/>
                <w:sz w:val="24"/>
                <w:lang w:bidi="ar"/>
              </w:rPr>
              <w:t>时效指标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9EB5">
            <w:pPr>
              <w:widowControl/>
              <w:spacing w:line="300" w:lineRule="exact"/>
              <w:jc w:val="left"/>
              <w:rPr>
                <w:rFonts w:eastAsia="宋体"/>
                <w:color w:val="000000"/>
                <w:sz w:val="24"/>
              </w:rPr>
            </w:pPr>
            <w:r>
              <w:rPr>
                <w:rFonts w:hint="eastAsia" w:eastAsia="宋体"/>
                <w:color w:val="000000"/>
                <w:sz w:val="24"/>
              </w:rPr>
              <w:t>202</w:t>
            </w:r>
            <w:r>
              <w:rPr>
                <w:rFonts w:hint="eastAsia" w:eastAsia="宋体"/>
                <w:color w:val="000000"/>
                <w:sz w:val="24"/>
                <w:lang w:val="en-US" w:eastAsia="zh-CN"/>
              </w:rPr>
              <w:t>5</w:t>
            </w:r>
            <w:r>
              <w:rPr>
                <w:rFonts w:hint="eastAsia" w:eastAsia="宋体"/>
                <w:color w:val="000000"/>
                <w:sz w:val="24"/>
              </w:rPr>
              <w:t>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9ED4">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3564">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A78A6">
            <w:pPr>
              <w:widowControl/>
              <w:spacing w:line="300" w:lineRule="exact"/>
              <w:jc w:val="left"/>
              <w:rPr>
                <w:rFonts w:hint="eastAsia" w:eastAsia="宋体"/>
                <w:color w:val="000000"/>
                <w:sz w:val="24"/>
                <w:lang w:eastAsia="zh-CN"/>
              </w:rPr>
            </w:pPr>
            <w:r>
              <w:rPr>
                <w:rFonts w:hint="eastAsia" w:eastAsia="宋体"/>
                <w:color w:val="000000"/>
                <w:sz w:val="24"/>
                <w:lang w:eastAsia="zh-CN"/>
              </w:rPr>
              <w:t>时间</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8B76">
            <w:pPr>
              <w:widowControl/>
              <w:spacing w:line="300" w:lineRule="exact"/>
              <w:jc w:val="center"/>
              <w:rPr>
                <w:rFonts w:eastAsia="宋体"/>
                <w:color w:val="000000"/>
                <w:sz w:val="24"/>
              </w:rPr>
            </w:pPr>
            <w:r>
              <w:rPr>
                <w:rFonts w:hint="eastAsia" w:eastAsia="宋体"/>
                <w:color w:val="000000"/>
                <w:sz w:val="24"/>
              </w:rPr>
              <w:t>1-12月</w:t>
            </w:r>
          </w:p>
        </w:tc>
      </w:tr>
      <w:tr w14:paraId="63888CB0">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34FB0">
            <w:pPr>
              <w:widowControl/>
              <w:spacing w:line="300" w:lineRule="exact"/>
              <w:jc w:val="center"/>
              <w:rPr>
                <w:rFonts w:eastAsia="宋体"/>
                <w:color w:val="000000"/>
                <w:sz w:val="24"/>
              </w:rPr>
            </w:pPr>
            <w:bookmarkStart w:id="2" w:name="OLE_LINK1" w:colFirst="2" w:colLast="7"/>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FA35D">
            <w:pPr>
              <w:widowControl/>
              <w:spacing w:line="300" w:lineRule="exact"/>
              <w:jc w:val="center"/>
              <w:rPr>
                <w:rFonts w:eastAsia="宋体"/>
                <w:color w:val="000000"/>
                <w:sz w:val="24"/>
              </w:rPr>
            </w:pP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A962C">
            <w:pPr>
              <w:widowControl/>
              <w:spacing w:line="300" w:lineRule="exact"/>
              <w:jc w:val="center"/>
              <w:textAlignment w:val="center"/>
              <w:rPr>
                <w:rFonts w:eastAsia="宋体"/>
                <w:color w:val="000000"/>
                <w:sz w:val="24"/>
              </w:rPr>
            </w:pPr>
            <w:r>
              <w:rPr>
                <w:rFonts w:hint="eastAsia" w:eastAsia="宋体"/>
                <w:color w:val="000000"/>
                <w:kern w:val="0"/>
                <w:sz w:val="24"/>
                <w:lang w:val="en-US" w:eastAsia="zh-CN" w:bidi="ar"/>
              </w:rPr>
              <w:t>成本指标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27953">
            <w:pPr>
              <w:widowControl/>
              <w:spacing w:line="300" w:lineRule="exact"/>
              <w:jc w:val="left"/>
              <w:rPr>
                <w:rFonts w:hint="eastAsia" w:eastAsia="宋体"/>
                <w:color w:val="000000"/>
                <w:sz w:val="24"/>
                <w:lang w:eastAsia="zh-CN"/>
              </w:rPr>
            </w:pPr>
            <w:r>
              <w:rPr>
                <w:rFonts w:hint="eastAsia" w:eastAsia="宋体"/>
                <w:color w:val="000000"/>
                <w:sz w:val="24"/>
                <w:lang w:eastAsia="zh-CN"/>
              </w:rPr>
              <w:t>经费</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59E77">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A42C">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56D7">
            <w:pPr>
              <w:widowControl/>
              <w:spacing w:line="300" w:lineRule="exact"/>
              <w:jc w:val="left"/>
              <w:rPr>
                <w:rFonts w:eastAsia="宋体"/>
                <w:color w:val="000000"/>
                <w:sz w:val="24"/>
              </w:rPr>
            </w:pPr>
            <w:r>
              <w:rPr>
                <w:rFonts w:hint="eastAsia" w:eastAsia="宋体"/>
                <w:color w:val="000000"/>
                <w:kern w:val="0"/>
                <w:sz w:val="24"/>
                <w:lang w:eastAsia="zh-CN" w:bidi="ar"/>
              </w:rPr>
              <w:t>万元</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A76B4">
            <w:pPr>
              <w:widowControl/>
              <w:spacing w:line="300" w:lineRule="exact"/>
              <w:jc w:val="center"/>
              <w:rPr>
                <w:rFonts w:eastAsia="宋体"/>
                <w:color w:val="000000"/>
                <w:sz w:val="24"/>
              </w:rPr>
            </w:pPr>
            <w:r>
              <w:rPr>
                <w:rFonts w:hint="eastAsia" w:eastAsia="宋体"/>
                <w:color w:val="000000"/>
                <w:kern w:val="0"/>
                <w:sz w:val="24"/>
                <w:lang w:val="en-US" w:eastAsia="zh-CN" w:bidi="ar"/>
              </w:rPr>
              <w:t>174.52</w:t>
            </w:r>
          </w:p>
        </w:tc>
      </w:tr>
      <w:bookmarkEnd w:id="2"/>
      <w:tr w14:paraId="4433E2D3">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A112A">
            <w:pPr>
              <w:widowControl/>
              <w:spacing w:line="300" w:lineRule="exact"/>
              <w:jc w:val="center"/>
              <w:rPr>
                <w:rFonts w:eastAsia="宋体"/>
                <w:color w:val="000000"/>
                <w:sz w:val="24"/>
              </w:rPr>
            </w:pPr>
          </w:p>
        </w:tc>
        <w:tc>
          <w:tcPr>
            <w:tcW w:w="1503" w:type="dxa"/>
            <w:tcBorders>
              <w:top w:val="single" w:color="000000" w:sz="4" w:space="0"/>
              <w:left w:val="single" w:color="000000" w:sz="4" w:space="0"/>
              <w:right w:val="single" w:color="000000" w:sz="4" w:space="0"/>
            </w:tcBorders>
            <w:shd w:val="clear" w:color="auto" w:fill="auto"/>
            <w:vAlign w:val="center"/>
          </w:tcPr>
          <w:p w14:paraId="0C4BC030">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030" w:type="dxa"/>
            <w:tcBorders>
              <w:top w:val="single" w:color="000000" w:sz="4" w:space="0"/>
              <w:left w:val="single" w:color="000000" w:sz="4" w:space="0"/>
              <w:right w:val="single" w:color="000000" w:sz="4" w:space="0"/>
            </w:tcBorders>
            <w:shd w:val="clear" w:color="auto" w:fill="auto"/>
            <w:vAlign w:val="center"/>
          </w:tcPr>
          <w:p w14:paraId="4DE4F8D9">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社会效益</w:t>
            </w:r>
          </w:p>
          <w:p w14:paraId="16D76D87">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67423">
            <w:pPr>
              <w:widowControl/>
              <w:spacing w:line="300" w:lineRule="exact"/>
              <w:jc w:val="left"/>
              <w:rPr>
                <w:rFonts w:eastAsia="宋体"/>
                <w:color w:val="000000"/>
                <w:sz w:val="24"/>
              </w:rPr>
            </w:pPr>
            <w:r>
              <w:rPr>
                <w:rFonts w:hint="eastAsia" w:eastAsia="宋体"/>
                <w:color w:val="000000"/>
                <w:sz w:val="24"/>
              </w:rPr>
              <w:t>职能职责</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7545">
            <w:pPr>
              <w:widowControl/>
              <w:spacing w:line="300" w:lineRule="exact"/>
              <w:jc w:val="left"/>
              <w:rPr>
                <w:rFonts w:eastAsia="宋体"/>
                <w:color w:val="000000"/>
                <w:sz w:val="24"/>
              </w:rPr>
            </w:pPr>
            <w:r>
              <w:rPr>
                <w:rFonts w:hint="eastAsia" w:eastAsia="宋体"/>
                <w:color w:val="000000"/>
                <w:kern w:val="0"/>
                <w:sz w:val="24"/>
                <w:lang w:eastAsia="zh-CN" w:bidi="ar"/>
              </w:rPr>
              <w:t>定性</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268A">
            <w:pPr>
              <w:widowControl/>
              <w:spacing w:line="300" w:lineRule="exact"/>
              <w:jc w:val="left"/>
              <w:rPr>
                <w:rFonts w:eastAsia="宋体"/>
                <w:color w:val="000000"/>
                <w:sz w:val="24"/>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215C">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C034C">
            <w:pPr>
              <w:widowControl/>
              <w:spacing w:line="300" w:lineRule="exact"/>
              <w:jc w:val="center"/>
              <w:rPr>
                <w:rFonts w:eastAsia="宋体"/>
                <w:color w:val="000000"/>
                <w:sz w:val="24"/>
              </w:rPr>
            </w:pPr>
            <w:r>
              <w:rPr>
                <w:rFonts w:hint="eastAsia" w:eastAsia="宋体"/>
                <w:color w:val="000000"/>
                <w:sz w:val="24"/>
              </w:rPr>
              <w:t>保证机构正常运行，确保完成年度职能目标任务</w:t>
            </w:r>
          </w:p>
        </w:tc>
      </w:tr>
      <w:tr w14:paraId="17BD3803">
        <w:tblPrEx>
          <w:tblCellMar>
            <w:top w:w="15" w:type="dxa"/>
            <w:left w:w="15" w:type="dxa"/>
            <w:bottom w:w="15" w:type="dxa"/>
            <w:right w:w="15" w:type="dxa"/>
          </w:tblCellMar>
        </w:tblPrEx>
        <w:trPr>
          <w:trHeight w:val="23" w:hRule="atLeast"/>
          <w:jc w:val="center"/>
        </w:trPr>
        <w:tc>
          <w:tcPr>
            <w:tcW w:w="14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E6973">
            <w:pPr>
              <w:widowControl/>
              <w:spacing w:line="300" w:lineRule="exact"/>
              <w:jc w:val="center"/>
              <w:rPr>
                <w:rFonts w:eastAsia="宋体"/>
                <w:color w:val="000000"/>
                <w:sz w:val="24"/>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8BD2">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0D65">
            <w:pPr>
              <w:widowControl/>
              <w:spacing w:line="300" w:lineRule="exact"/>
              <w:jc w:val="center"/>
              <w:textAlignment w:val="center"/>
              <w:rPr>
                <w:rFonts w:eastAsia="宋体"/>
                <w:color w:val="000000"/>
                <w:sz w:val="24"/>
              </w:rPr>
            </w:pPr>
            <w:r>
              <w:rPr>
                <w:rFonts w:eastAsia="宋体"/>
                <w:color w:val="000000"/>
                <w:kern w:val="0"/>
                <w:sz w:val="24"/>
                <w:lang w:bidi="ar"/>
              </w:rPr>
              <w:t>满意度指标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68175">
            <w:pPr>
              <w:widowControl/>
              <w:spacing w:line="300" w:lineRule="exact"/>
              <w:jc w:val="left"/>
              <w:rPr>
                <w:rFonts w:hint="eastAsia" w:eastAsia="宋体"/>
                <w:color w:val="000000"/>
                <w:sz w:val="24"/>
                <w:lang w:eastAsia="zh-CN"/>
              </w:rPr>
            </w:pPr>
            <w:r>
              <w:rPr>
                <w:rFonts w:hint="eastAsia" w:eastAsia="宋体"/>
                <w:color w:val="000000"/>
                <w:sz w:val="24"/>
                <w:lang w:eastAsia="zh-CN"/>
              </w:rPr>
              <w:t>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2BB3A">
            <w:pPr>
              <w:widowControl/>
              <w:spacing w:line="300" w:lineRule="exact"/>
              <w:jc w:val="left"/>
              <w:rPr>
                <w:rFonts w:hint="default" w:eastAsia="宋体"/>
                <w:color w:val="000000"/>
                <w:sz w:val="24"/>
                <w:lang w:val="en-US" w:eastAsia="zh-CN"/>
              </w:rPr>
            </w:pPr>
            <w:r>
              <w:rPr>
                <w:rFonts w:hint="eastAsia" w:eastAsia="宋体"/>
                <w:color w:val="000000"/>
                <w:sz w:val="24"/>
                <w:lang w:eastAsia="zh-CN"/>
              </w:rPr>
              <w:t>抽样满意</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8DCA">
            <w:pPr>
              <w:widowControl/>
              <w:spacing w:line="300" w:lineRule="exact"/>
              <w:jc w:val="left"/>
              <w:rPr>
                <w:rFonts w:hint="default" w:eastAsia="宋体"/>
                <w:color w:val="000000"/>
                <w:sz w:val="24"/>
                <w:lang w:val="en-US" w:eastAsia="zh-CN"/>
              </w:rPr>
            </w:pPr>
            <w:r>
              <w:rPr>
                <w:rFonts w:hint="eastAsia" w:eastAsia="宋体"/>
                <w:color w:val="000000"/>
                <w:kern w:val="0"/>
                <w:sz w:val="24"/>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E821">
            <w:pPr>
              <w:widowControl/>
              <w:spacing w:line="300" w:lineRule="exact"/>
              <w:jc w:val="left"/>
              <w:rPr>
                <w:rFonts w:hint="eastAsia" w:eastAsia="宋体"/>
                <w:color w:val="000000"/>
                <w:sz w:val="24"/>
                <w:lang w:eastAsia="zh-CN"/>
              </w:rPr>
            </w:pPr>
            <w:r>
              <w:rPr>
                <w:rFonts w:hint="eastAsia" w:eastAsia="宋体"/>
                <w:color w:val="000000"/>
                <w:sz w:val="24"/>
                <w:lang w:eastAsia="zh-CN"/>
              </w:rPr>
              <w:t>项</w:t>
            </w:r>
          </w:p>
        </w:tc>
        <w:tc>
          <w:tcPr>
            <w:tcW w:w="2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B4B2">
            <w:pPr>
              <w:widowControl/>
              <w:spacing w:line="300" w:lineRule="exact"/>
              <w:jc w:val="center"/>
              <w:rPr>
                <w:rFonts w:eastAsia="宋体"/>
                <w:color w:val="000000"/>
                <w:sz w:val="24"/>
              </w:rPr>
            </w:pPr>
            <w:r>
              <w:rPr>
                <w:rFonts w:hint="eastAsia" w:eastAsia="宋体"/>
                <w:color w:val="000000"/>
                <w:sz w:val="24"/>
              </w:rPr>
              <w:t>≥95</w:t>
            </w:r>
          </w:p>
        </w:tc>
      </w:tr>
    </w:tbl>
    <w:p w14:paraId="5D39C2F8"/>
    <w:sectPr>
      <w:headerReference r:id="rId3" w:type="default"/>
      <w:footerReference r:id="rId4" w:type="default"/>
      <w:pgSz w:w="11906" w:h="16838"/>
      <w:pgMar w:top="2098" w:right="1474" w:bottom="1984" w:left="1587"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98F71">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CCB75F">
                          <w:pPr>
                            <w:pStyle w:val="10"/>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2AD0B624"/>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ECCB75F">
                    <w:pPr>
                      <w:pStyle w:val="10"/>
                      <w:ind w:right="451" w:rightChars="141"/>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p w14:paraId="2AD0B624"/>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32C4B">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M0MzQxYTRlNjk4MDU3ODhkODNhNzlhZWNhNGRmZDIifQ=="/>
  </w:docVars>
  <w:rsids>
    <w:rsidRoot w:val="00EC0174"/>
    <w:rsid w:val="00006E4D"/>
    <w:rsid w:val="00021652"/>
    <w:rsid w:val="00030311"/>
    <w:rsid w:val="00030782"/>
    <w:rsid w:val="00030B66"/>
    <w:rsid w:val="0006102A"/>
    <w:rsid w:val="00065B0F"/>
    <w:rsid w:val="00065E7E"/>
    <w:rsid w:val="000820BB"/>
    <w:rsid w:val="0008241B"/>
    <w:rsid w:val="00092280"/>
    <w:rsid w:val="00097FAE"/>
    <w:rsid w:val="000A3233"/>
    <w:rsid w:val="000A3F8B"/>
    <w:rsid w:val="000A7CE3"/>
    <w:rsid w:val="000B04D6"/>
    <w:rsid w:val="000B15CE"/>
    <w:rsid w:val="000C40C6"/>
    <w:rsid w:val="000C79C1"/>
    <w:rsid w:val="000D208A"/>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61C85"/>
    <w:rsid w:val="00371352"/>
    <w:rsid w:val="00376753"/>
    <w:rsid w:val="0038541D"/>
    <w:rsid w:val="00387818"/>
    <w:rsid w:val="00391A13"/>
    <w:rsid w:val="00391FD0"/>
    <w:rsid w:val="003A44FC"/>
    <w:rsid w:val="003B3299"/>
    <w:rsid w:val="003B6928"/>
    <w:rsid w:val="003D10A2"/>
    <w:rsid w:val="003D33B8"/>
    <w:rsid w:val="003D624D"/>
    <w:rsid w:val="003D719A"/>
    <w:rsid w:val="003F1D56"/>
    <w:rsid w:val="003F5EB7"/>
    <w:rsid w:val="003F7FE2"/>
    <w:rsid w:val="004004E7"/>
    <w:rsid w:val="00416E1A"/>
    <w:rsid w:val="00426A3F"/>
    <w:rsid w:val="004277D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42AB7"/>
    <w:rsid w:val="0055358D"/>
    <w:rsid w:val="005540C8"/>
    <w:rsid w:val="00555809"/>
    <w:rsid w:val="00562165"/>
    <w:rsid w:val="005756AF"/>
    <w:rsid w:val="00575A4A"/>
    <w:rsid w:val="00591B6F"/>
    <w:rsid w:val="005A1DAF"/>
    <w:rsid w:val="005C17C8"/>
    <w:rsid w:val="005C2098"/>
    <w:rsid w:val="005C2E6C"/>
    <w:rsid w:val="005D0CCF"/>
    <w:rsid w:val="005D1C01"/>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732A1"/>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3594D"/>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E0305"/>
    <w:rsid w:val="00BF15F0"/>
    <w:rsid w:val="00BF7DF9"/>
    <w:rsid w:val="00C03559"/>
    <w:rsid w:val="00C05395"/>
    <w:rsid w:val="00C22AD7"/>
    <w:rsid w:val="00C272C1"/>
    <w:rsid w:val="00C32A68"/>
    <w:rsid w:val="00C34282"/>
    <w:rsid w:val="00C35350"/>
    <w:rsid w:val="00C3564B"/>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55B5"/>
    <w:rsid w:val="00D43DC3"/>
    <w:rsid w:val="00D51791"/>
    <w:rsid w:val="00D5281E"/>
    <w:rsid w:val="00D6531B"/>
    <w:rsid w:val="00D6612D"/>
    <w:rsid w:val="00D71AD9"/>
    <w:rsid w:val="00D73C02"/>
    <w:rsid w:val="00D872ED"/>
    <w:rsid w:val="00D913C6"/>
    <w:rsid w:val="00DA0236"/>
    <w:rsid w:val="00DA5D51"/>
    <w:rsid w:val="00DA5E29"/>
    <w:rsid w:val="00DA61CA"/>
    <w:rsid w:val="00DB66BB"/>
    <w:rsid w:val="00DB73AF"/>
    <w:rsid w:val="00DC2865"/>
    <w:rsid w:val="00DD0894"/>
    <w:rsid w:val="00DE1888"/>
    <w:rsid w:val="00DF1250"/>
    <w:rsid w:val="00DF6EF7"/>
    <w:rsid w:val="00E05454"/>
    <w:rsid w:val="00E074C3"/>
    <w:rsid w:val="00E23329"/>
    <w:rsid w:val="00E24D6D"/>
    <w:rsid w:val="00E341B2"/>
    <w:rsid w:val="00E42633"/>
    <w:rsid w:val="00E5699E"/>
    <w:rsid w:val="00E570E1"/>
    <w:rsid w:val="00E72773"/>
    <w:rsid w:val="00E76739"/>
    <w:rsid w:val="00E81946"/>
    <w:rsid w:val="00E82BB7"/>
    <w:rsid w:val="00E86D13"/>
    <w:rsid w:val="00E936C2"/>
    <w:rsid w:val="00E95346"/>
    <w:rsid w:val="00EA0CEF"/>
    <w:rsid w:val="00EA2E2A"/>
    <w:rsid w:val="00EA741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2476"/>
    <w:rsid w:val="00FB3345"/>
    <w:rsid w:val="00FD0228"/>
    <w:rsid w:val="00FD3BB7"/>
    <w:rsid w:val="00FE0D93"/>
    <w:rsid w:val="00FF2572"/>
    <w:rsid w:val="00FF32AD"/>
    <w:rsid w:val="05B87AC5"/>
    <w:rsid w:val="0D20238E"/>
    <w:rsid w:val="0DC31556"/>
    <w:rsid w:val="1A3D6143"/>
    <w:rsid w:val="1C013801"/>
    <w:rsid w:val="1DFD8D3B"/>
    <w:rsid w:val="1FB79DC9"/>
    <w:rsid w:val="1FBFC3F2"/>
    <w:rsid w:val="1FFFE033"/>
    <w:rsid w:val="24A31107"/>
    <w:rsid w:val="27F352A6"/>
    <w:rsid w:val="29560A0A"/>
    <w:rsid w:val="2C685615"/>
    <w:rsid w:val="2CFC1334"/>
    <w:rsid w:val="2D527252"/>
    <w:rsid w:val="2DDC1740"/>
    <w:rsid w:val="2EAE55F2"/>
    <w:rsid w:val="2EDF4302"/>
    <w:rsid w:val="2EFE1A04"/>
    <w:rsid w:val="2FFF3854"/>
    <w:rsid w:val="30CE7103"/>
    <w:rsid w:val="35BBF80F"/>
    <w:rsid w:val="3B0B3937"/>
    <w:rsid w:val="3B736F08"/>
    <w:rsid w:val="3BE3D531"/>
    <w:rsid w:val="3D431A40"/>
    <w:rsid w:val="3EFF42CA"/>
    <w:rsid w:val="3F6FCA38"/>
    <w:rsid w:val="3FD5AF3D"/>
    <w:rsid w:val="3FFED8BE"/>
    <w:rsid w:val="3FFF43BB"/>
    <w:rsid w:val="3FFFFC14"/>
    <w:rsid w:val="42B752F3"/>
    <w:rsid w:val="433DCF8E"/>
    <w:rsid w:val="45FE2F18"/>
    <w:rsid w:val="45FF973D"/>
    <w:rsid w:val="47550EBA"/>
    <w:rsid w:val="4AEF2681"/>
    <w:rsid w:val="4BF7E09D"/>
    <w:rsid w:val="53BB74FC"/>
    <w:rsid w:val="55FDDF92"/>
    <w:rsid w:val="55FFBC03"/>
    <w:rsid w:val="56CDA72E"/>
    <w:rsid w:val="576F5916"/>
    <w:rsid w:val="577FDAE2"/>
    <w:rsid w:val="57FBE2C7"/>
    <w:rsid w:val="5B335734"/>
    <w:rsid w:val="5B7F322F"/>
    <w:rsid w:val="5BCAB023"/>
    <w:rsid w:val="5BEACB58"/>
    <w:rsid w:val="5D8649C7"/>
    <w:rsid w:val="5DDA9B94"/>
    <w:rsid w:val="5EAB810D"/>
    <w:rsid w:val="5EFA9846"/>
    <w:rsid w:val="5EFF9DA6"/>
    <w:rsid w:val="5F7751B9"/>
    <w:rsid w:val="5F9F7232"/>
    <w:rsid w:val="5F9F9588"/>
    <w:rsid w:val="5FBD32D2"/>
    <w:rsid w:val="5FD450B0"/>
    <w:rsid w:val="5FEF60CD"/>
    <w:rsid w:val="5FFB203D"/>
    <w:rsid w:val="5FFB8CF9"/>
    <w:rsid w:val="63DBAF21"/>
    <w:rsid w:val="63E33FB8"/>
    <w:rsid w:val="6636451A"/>
    <w:rsid w:val="67DE80AA"/>
    <w:rsid w:val="697E3B47"/>
    <w:rsid w:val="69BF132E"/>
    <w:rsid w:val="6B7F84D8"/>
    <w:rsid w:val="6BFEE5F3"/>
    <w:rsid w:val="6CAFF34E"/>
    <w:rsid w:val="6CFFCF4F"/>
    <w:rsid w:val="6DFFF8B6"/>
    <w:rsid w:val="6E491A40"/>
    <w:rsid w:val="6E9FE641"/>
    <w:rsid w:val="6EEDE807"/>
    <w:rsid w:val="6EEE4BE4"/>
    <w:rsid w:val="6EF65E9C"/>
    <w:rsid w:val="6F3D9197"/>
    <w:rsid w:val="6F6F75B6"/>
    <w:rsid w:val="6FAB3EC4"/>
    <w:rsid w:val="6FB6AF41"/>
    <w:rsid w:val="6FD52DA7"/>
    <w:rsid w:val="6FD894C8"/>
    <w:rsid w:val="6FE36A9E"/>
    <w:rsid w:val="6FEFB2D1"/>
    <w:rsid w:val="6FFF97E6"/>
    <w:rsid w:val="71397E03"/>
    <w:rsid w:val="71FB5B08"/>
    <w:rsid w:val="73FB87D9"/>
    <w:rsid w:val="75EF0FBA"/>
    <w:rsid w:val="7607C293"/>
    <w:rsid w:val="76793C4E"/>
    <w:rsid w:val="767B0EE7"/>
    <w:rsid w:val="76DF783A"/>
    <w:rsid w:val="76DFA4E8"/>
    <w:rsid w:val="774C1DDA"/>
    <w:rsid w:val="776800BB"/>
    <w:rsid w:val="778720BD"/>
    <w:rsid w:val="77A7D615"/>
    <w:rsid w:val="77FF366A"/>
    <w:rsid w:val="77FF8C96"/>
    <w:rsid w:val="77FFA8F9"/>
    <w:rsid w:val="7976604B"/>
    <w:rsid w:val="79F3BC78"/>
    <w:rsid w:val="7A5B6CAA"/>
    <w:rsid w:val="7A9314AC"/>
    <w:rsid w:val="7B4F6850"/>
    <w:rsid w:val="7BABD5C4"/>
    <w:rsid w:val="7BB12055"/>
    <w:rsid w:val="7BBFADBA"/>
    <w:rsid w:val="7BF7F9C6"/>
    <w:rsid w:val="7BFF492D"/>
    <w:rsid w:val="7C631402"/>
    <w:rsid w:val="7C978C63"/>
    <w:rsid w:val="7CA35AD0"/>
    <w:rsid w:val="7CDF8BC3"/>
    <w:rsid w:val="7CEB72A5"/>
    <w:rsid w:val="7D034479"/>
    <w:rsid w:val="7D18750B"/>
    <w:rsid w:val="7DDFDC39"/>
    <w:rsid w:val="7DFDEECD"/>
    <w:rsid w:val="7E140770"/>
    <w:rsid w:val="7E5D92FB"/>
    <w:rsid w:val="7E635AE7"/>
    <w:rsid w:val="7EF51D64"/>
    <w:rsid w:val="7EFFF488"/>
    <w:rsid w:val="7F574612"/>
    <w:rsid w:val="7F7F4920"/>
    <w:rsid w:val="7FB7C299"/>
    <w:rsid w:val="7FBFFB92"/>
    <w:rsid w:val="7FD76ACB"/>
    <w:rsid w:val="7FD89DA2"/>
    <w:rsid w:val="7FDBD805"/>
    <w:rsid w:val="7FDEC14D"/>
    <w:rsid w:val="7FDF8B76"/>
    <w:rsid w:val="7FDFE693"/>
    <w:rsid w:val="7FEFB5DD"/>
    <w:rsid w:val="7FEFBBD9"/>
    <w:rsid w:val="7FFD6A57"/>
    <w:rsid w:val="7FFDA7EC"/>
    <w:rsid w:val="7FFDEA1E"/>
    <w:rsid w:val="7FFEC1F6"/>
    <w:rsid w:val="7FFF0917"/>
    <w:rsid w:val="7FFF2F52"/>
    <w:rsid w:val="8F7B4EC8"/>
    <w:rsid w:val="8FBD4480"/>
    <w:rsid w:val="8FF7AE96"/>
    <w:rsid w:val="955F5184"/>
    <w:rsid w:val="9F6311D7"/>
    <w:rsid w:val="9FF54399"/>
    <w:rsid w:val="A46D76C1"/>
    <w:rsid w:val="A7FF43C2"/>
    <w:rsid w:val="ABF66286"/>
    <w:rsid w:val="AD9E3F04"/>
    <w:rsid w:val="ADA70464"/>
    <w:rsid w:val="AFE97CD3"/>
    <w:rsid w:val="B1BF5C63"/>
    <w:rsid w:val="B1FF3A18"/>
    <w:rsid w:val="B3CDF284"/>
    <w:rsid w:val="B3E8107B"/>
    <w:rsid w:val="B579A608"/>
    <w:rsid w:val="B5F66F24"/>
    <w:rsid w:val="B7F5200A"/>
    <w:rsid w:val="BABDA1AA"/>
    <w:rsid w:val="BB1B4BF1"/>
    <w:rsid w:val="BBE5FE68"/>
    <w:rsid w:val="BBFEB9C1"/>
    <w:rsid w:val="BDF7406A"/>
    <w:rsid w:val="BE6FD8DB"/>
    <w:rsid w:val="BEEF57C2"/>
    <w:rsid w:val="BF6CD6FF"/>
    <w:rsid w:val="BF6D5596"/>
    <w:rsid w:val="BFBEBB2C"/>
    <w:rsid w:val="BFC68935"/>
    <w:rsid w:val="BFDD0F1D"/>
    <w:rsid w:val="BFDDD096"/>
    <w:rsid w:val="C5B3F496"/>
    <w:rsid w:val="C96F3E49"/>
    <w:rsid w:val="CBBF14F3"/>
    <w:rsid w:val="CBE5DCF2"/>
    <w:rsid w:val="CCFCC735"/>
    <w:rsid w:val="CEEB8A74"/>
    <w:rsid w:val="D37FB642"/>
    <w:rsid w:val="D7F99798"/>
    <w:rsid w:val="D7FF400C"/>
    <w:rsid w:val="D9DB2628"/>
    <w:rsid w:val="DBED1CD4"/>
    <w:rsid w:val="DBFBB328"/>
    <w:rsid w:val="DDD7453A"/>
    <w:rsid w:val="DE3E1FD7"/>
    <w:rsid w:val="DEBFCF8E"/>
    <w:rsid w:val="DFBE1B79"/>
    <w:rsid w:val="DFCF1FEC"/>
    <w:rsid w:val="DFE75A3D"/>
    <w:rsid w:val="DFED2117"/>
    <w:rsid w:val="DFEF594B"/>
    <w:rsid w:val="DFF3F960"/>
    <w:rsid w:val="DFFE0D61"/>
    <w:rsid w:val="E35C4B3C"/>
    <w:rsid w:val="E3A781CA"/>
    <w:rsid w:val="E5DFAB50"/>
    <w:rsid w:val="E6FC647F"/>
    <w:rsid w:val="EAE6D6D4"/>
    <w:rsid w:val="EBFBC8F1"/>
    <w:rsid w:val="EBFDF757"/>
    <w:rsid w:val="ED758B5D"/>
    <w:rsid w:val="ED76A08D"/>
    <w:rsid w:val="EDBDD81F"/>
    <w:rsid w:val="EDFDB542"/>
    <w:rsid w:val="EF0FCF96"/>
    <w:rsid w:val="EF95E20F"/>
    <w:rsid w:val="EFAF7DFF"/>
    <w:rsid w:val="EFAFB283"/>
    <w:rsid w:val="EFBDA38B"/>
    <w:rsid w:val="EFEE9A76"/>
    <w:rsid w:val="F1BF6FBC"/>
    <w:rsid w:val="F1F9A9B5"/>
    <w:rsid w:val="F3779FC2"/>
    <w:rsid w:val="F3D5C239"/>
    <w:rsid w:val="F3F37DF4"/>
    <w:rsid w:val="F3F96DE6"/>
    <w:rsid w:val="F3FBC54A"/>
    <w:rsid w:val="F47BB68A"/>
    <w:rsid w:val="F47F523E"/>
    <w:rsid w:val="F69FD6B0"/>
    <w:rsid w:val="F7E7F921"/>
    <w:rsid w:val="F7F7AC6A"/>
    <w:rsid w:val="F7FD93B9"/>
    <w:rsid w:val="F8D9A400"/>
    <w:rsid w:val="FABF64A5"/>
    <w:rsid w:val="FABF7411"/>
    <w:rsid w:val="FBA53981"/>
    <w:rsid w:val="FBE4457E"/>
    <w:rsid w:val="FBFC558A"/>
    <w:rsid w:val="FBFF71AC"/>
    <w:rsid w:val="FBFFEA2B"/>
    <w:rsid w:val="FCCB27AA"/>
    <w:rsid w:val="FCFF8F4B"/>
    <w:rsid w:val="FD9595AD"/>
    <w:rsid w:val="FDDF4F05"/>
    <w:rsid w:val="FDF9DD9A"/>
    <w:rsid w:val="FDFF2821"/>
    <w:rsid w:val="FDFFA696"/>
    <w:rsid w:val="FE7FB02B"/>
    <w:rsid w:val="FEBD0232"/>
    <w:rsid w:val="FED5A77F"/>
    <w:rsid w:val="FEDFD193"/>
    <w:rsid w:val="FEE7097E"/>
    <w:rsid w:val="FEEF8230"/>
    <w:rsid w:val="FEF1F1BE"/>
    <w:rsid w:val="FEF99316"/>
    <w:rsid w:val="FEFB20CB"/>
    <w:rsid w:val="FEFD95B3"/>
    <w:rsid w:val="FEFE4E93"/>
    <w:rsid w:val="FEFFA483"/>
    <w:rsid w:val="FF29B32D"/>
    <w:rsid w:val="FF2E6944"/>
    <w:rsid w:val="FF5F9D52"/>
    <w:rsid w:val="FF7A0B6A"/>
    <w:rsid w:val="FF7B6DC2"/>
    <w:rsid w:val="FF7FFF75"/>
    <w:rsid w:val="FF921F59"/>
    <w:rsid w:val="FFB75E44"/>
    <w:rsid w:val="FFBB1E09"/>
    <w:rsid w:val="FFBB6A0C"/>
    <w:rsid w:val="FFBD894B"/>
    <w:rsid w:val="FFBF33B3"/>
    <w:rsid w:val="FFD09362"/>
    <w:rsid w:val="FFD1DA08"/>
    <w:rsid w:val="FFD7DEDD"/>
    <w:rsid w:val="FFDE369F"/>
    <w:rsid w:val="FFEF98C9"/>
    <w:rsid w:val="FFEFCE62"/>
    <w:rsid w:val="FFF973B0"/>
    <w:rsid w:val="FFFB4F05"/>
    <w:rsid w:val="FFFEC8F5"/>
    <w:rsid w:val="FFFEF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unhideWhenUsed/>
    <w:qFormat/>
    <w:uiPriority w:val="0"/>
    <w:pPr>
      <w:outlineLvl w:val="1"/>
    </w:pPr>
    <w:rPr>
      <w:rFonts w:eastAsia="方正楷体_GBK"/>
      <w:b/>
    </w:rPr>
  </w:style>
  <w:style w:type="paragraph" w:styleId="2">
    <w:name w:val="heading 3"/>
    <w:basedOn w:val="1"/>
    <w:next w:val="1"/>
    <w:qFormat/>
    <w:uiPriority w:val="0"/>
    <w:pPr>
      <w:keepNext/>
      <w:keepLines/>
      <w:spacing w:line="560" w:lineRule="exact"/>
      <w:ind w:firstLine="720" w:firstLineChars="200"/>
      <w:outlineLvl w:val="2"/>
    </w:pPr>
    <w:rPr>
      <w:rFonts w:eastAsia="楷体_GB2312"/>
      <w:b/>
      <w:kern w:val="0"/>
      <w:sz w:val="32"/>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spacing w:before="156" w:beforeLines="50" w:line="360" w:lineRule="auto"/>
      <w:ind w:firstLine="480" w:firstLineChars="200"/>
    </w:pPr>
    <w:rPr>
      <w:rFonts w:eastAsia="仿宋"/>
      <w:sz w:val="24"/>
      <w:szCs w:val="23"/>
      <w:lang w:eastAsia="ar-SA"/>
    </w:rPr>
  </w:style>
  <w:style w:type="paragraph" w:styleId="5">
    <w:name w:val="Document Map"/>
    <w:basedOn w:val="1"/>
    <w:link w:val="21"/>
    <w:qFormat/>
    <w:uiPriority w:val="0"/>
    <w:rPr>
      <w:rFonts w:ascii="宋体" w:eastAsia="宋体"/>
      <w:sz w:val="18"/>
      <w:szCs w:val="18"/>
    </w:rPr>
  </w:style>
  <w:style w:type="paragraph" w:styleId="6">
    <w:name w:val="Body Text"/>
    <w:basedOn w:val="1"/>
    <w:next w:val="7"/>
    <w:qFormat/>
    <w:uiPriority w:val="0"/>
    <w:pPr>
      <w:spacing w:after="120"/>
    </w:pPr>
  </w:style>
  <w:style w:type="paragraph" w:styleId="7">
    <w:name w:val="Block Text"/>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8">
    <w:name w:val="Body Text Indent"/>
    <w:basedOn w:val="1"/>
    <w:qFormat/>
    <w:uiPriority w:val="0"/>
    <w:pPr>
      <w:spacing w:after="120"/>
      <w:ind w:left="200" w:leftChars="200"/>
    </w:pPr>
    <w:rPr>
      <w:rFonts w:ascii="仿宋_GB2312"/>
      <w:szCs w:val="32"/>
    </w:rPr>
  </w:style>
  <w:style w:type="paragraph" w:styleId="9">
    <w:name w:val="Balloon Text"/>
    <w:basedOn w:val="1"/>
    <w:semiHidden/>
    <w:qFormat/>
    <w:uiPriority w:val="0"/>
    <w:rPr>
      <w:sz w:val="18"/>
      <w:szCs w:val="18"/>
    </w:rPr>
  </w:style>
  <w:style w:type="paragraph" w:styleId="10">
    <w:name w:val="footer"/>
    <w:basedOn w:val="1"/>
    <w:link w:val="23"/>
    <w:qFormat/>
    <w:uiPriority w:val="99"/>
    <w:pPr>
      <w:tabs>
        <w:tab w:val="center" w:pos="4153"/>
        <w:tab w:val="right" w:pos="8306"/>
      </w:tabs>
      <w:snapToGrid w:val="0"/>
      <w:jc w:val="left"/>
    </w:pPr>
    <w:rPr>
      <w:rFonts w:eastAsia="宋体"/>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2">
    <w:name w:val="toc 1"/>
    <w:basedOn w:val="1"/>
    <w:next w:val="1"/>
    <w:qFormat/>
    <w:uiPriority w:val="0"/>
  </w:style>
  <w:style w:type="paragraph" w:styleId="13">
    <w:name w:val="Body Text First Indent 2"/>
    <w:basedOn w:val="8"/>
    <w:unhideWhenUsed/>
    <w:qFormat/>
    <w:uiPriority w:val="99"/>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19">
    <w:name w:val="四号正文"/>
    <w:basedOn w:val="1"/>
    <w:link w:val="20"/>
    <w:qFormat/>
    <w:uiPriority w:val="0"/>
    <w:pPr>
      <w:spacing w:line="360" w:lineRule="auto"/>
    </w:pPr>
    <w:rPr>
      <w:rFonts w:ascii="??" w:hAnsi="??" w:eastAsia="宋体" w:cs="宋体"/>
      <w:color w:val="000000"/>
      <w:kern w:val="0"/>
      <w:sz w:val="28"/>
      <w:szCs w:val="21"/>
    </w:rPr>
  </w:style>
  <w:style w:type="character" w:customStyle="1" w:styleId="20">
    <w:name w:val="四号正文 Char"/>
    <w:basedOn w:val="16"/>
    <w:link w:val="19"/>
    <w:qFormat/>
    <w:uiPriority w:val="0"/>
    <w:rPr>
      <w:rFonts w:ascii="??" w:hAnsi="??" w:eastAsia="宋体" w:cs="宋体"/>
      <w:color w:val="000000"/>
      <w:sz w:val="28"/>
      <w:szCs w:val="21"/>
      <w:lang w:val="en-US" w:eastAsia="zh-CN" w:bidi="ar-SA"/>
    </w:rPr>
  </w:style>
  <w:style w:type="character" w:customStyle="1" w:styleId="21">
    <w:name w:val="文档结构图 Char"/>
    <w:basedOn w:val="16"/>
    <w:link w:val="5"/>
    <w:qFormat/>
    <w:uiPriority w:val="0"/>
    <w:rPr>
      <w:rFonts w:ascii="宋体"/>
      <w:kern w:val="2"/>
      <w:sz w:val="18"/>
      <w:szCs w:val="18"/>
    </w:rPr>
  </w:style>
  <w:style w:type="paragraph" w:customStyle="1" w:styleId="22">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3">
    <w:name w:val="页脚 Char"/>
    <w:basedOn w:val="16"/>
    <w:link w:val="10"/>
    <w:qFormat/>
    <w:uiPriority w:val="99"/>
    <w:rPr>
      <w:kern w:val="2"/>
      <w:sz w:val="18"/>
      <w:szCs w:val="18"/>
    </w:rPr>
  </w:style>
  <w:style w:type="character" w:customStyle="1" w:styleId="24">
    <w:name w:val="font31"/>
    <w:basedOn w:val="16"/>
    <w:qFormat/>
    <w:uiPriority w:val="0"/>
    <w:rPr>
      <w:rFonts w:hint="eastAsia" w:ascii="宋体" w:hAnsi="宋体" w:eastAsia="宋体" w:cs="宋体"/>
      <w:color w:val="000000"/>
      <w:sz w:val="24"/>
      <w:szCs w:val="24"/>
      <w:u w:val="none"/>
    </w:rPr>
  </w:style>
  <w:style w:type="character" w:customStyle="1" w:styleId="25">
    <w:name w:val="font51"/>
    <w:basedOn w:val="16"/>
    <w:qFormat/>
    <w:uiPriority w:val="0"/>
    <w:rPr>
      <w:rFonts w:hint="default" w:ascii="Wingdings 2" w:hAnsi="Wingdings 2" w:eastAsia="Wingdings 2" w:cs="Wingdings 2"/>
      <w:color w:val="000000"/>
      <w:sz w:val="18"/>
      <w:szCs w:val="18"/>
      <w:u w:val="none"/>
    </w:rPr>
  </w:style>
  <w:style w:type="character" w:customStyle="1" w:styleId="26">
    <w:name w:val="font01"/>
    <w:basedOn w:val="16"/>
    <w:qFormat/>
    <w:uiPriority w:val="0"/>
    <w:rPr>
      <w:rFonts w:ascii="宋体" w:hAnsi="宋体" w:eastAsia="宋体" w:cs="宋体"/>
      <w:color w:val="000000"/>
      <w:sz w:val="18"/>
      <w:szCs w:val="18"/>
      <w:u w:val="none"/>
    </w:rPr>
  </w:style>
  <w:style w:type="character" w:customStyle="1" w:styleId="27">
    <w:name w:val="font41"/>
    <w:basedOn w:val="16"/>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15</Pages>
  <Words>5976</Words>
  <Characters>6218</Characters>
  <Lines>18</Lines>
  <Paragraphs>5</Paragraphs>
  <TotalTime>9</TotalTime>
  <ScaleCrop>false</ScaleCrop>
  <LinksUpToDate>false</LinksUpToDate>
  <CharactersWithSpaces>6222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2025-03-27T08:07:00Z</dcterms:created>
  <dc:creator>陈萍</dc:creator>
  <cp:lastModifiedBy>从头再来</cp:lastModifiedBy>
  <cp:lastPrinted>2025-03-04T19:05:00Z</cp:lastPrinted>
  <dcterms:modified xsi:type="dcterms:W3CDTF">2026-06-06T11:58:08Z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0A44A30447E74AC7BD20F31ACE7329E3</vt:lpwstr>
  </property>
  <property fmtid="{D5CDD505-2E9C-101B-9397-08002B2CF9AE}" pid="4" name="KSOTemplateDocerSaveRecord">
    <vt:lpwstr>eyJoZGlkIjoiNmFjYjIzMjc3NzgwMDBhMDQ5MWE4NDg4YzVlOGNmMTAiLCJ1c2VySWQiOiI1NjY2NzMwMjAifQ==</vt:lpwstr>
  </property>
</Properties>
</file>