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864" w:leftChars="-270" w:right="-691" w:rightChars="-216" w:firstLine="142" w:firstLineChars="21"/>
        <w:jc w:val="center"/>
        <w:textAlignment w:val="baseline"/>
        <w:rPr>
          <w:rFonts w:hint="eastAsia" w:ascii="方正小标宋_GBK" w:hAnsi="Arial Unicode MS" w:eastAsia="方正小标宋_GBK"/>
          <w:snapToGrid w:val="0"/>
          <w:color w:val="FF0000"/>
          <w:w w:val="85"/>
          <w:sz w:val="80"/>
          <w:szCs w:val="80"/>
        </w:rPr>
      </w:pPr>
      <w:r>
        <w:rPr>
          <w:rFonts w:hint="eastAsia" w:ascii="方正小标宋_GBK" w:hAnsi="Arial Unicode MS" w:eastAsia="方正小标宋_GBK"/>
          <w:snapToGrid w:val="0"/>
          <w:color w:val="FF0000"/>
          <w:w w:val="85"/>
          <w:sz w:val="80"/>
          <w:szCs w:val="80"/>
        </w:rPr>
        <w:t>攀枝花市西区残疾人联合会文件</w:t>
      </w:r>
      <w:r>
        <w:rPr>
          <w:rFonts w:hint="eastAsia" w:eastAsia="仿宋_GB2312"/>
          <w:spacing w:val="-4"/>
          <w:sz w:val="32"/>
          <w:szCs w:val="32"/>
        </w:rPr>
        <w:t xml:space="preserve">                        </w:t>
      </w:r>
    </w:p>
    <w:p>
      <w:pPr>
        <w:ind w:firstLine="320" w:firstLineChars="100"/>
        <w:rPr>
          <w:rFonts w:hint="eastAsia" w:ascii="Times New Roman" w:hAnsi="Times New Roman" w:eastAsia="方正仿宋_GBK" w:cs="Times New Roman"/>
          <w:sz w:val="32"/>
          <w:szCs w:val="32"/>
        </w:rPr>
      </w:pPr>
      <w:r>
        <w:rPr>
          <w:rFonts w:hint="default" w:ascii="Times New Roman" w:hAnsi="Times New Roman" w:eastAsia="方正仿宋_GBK" w:cs="Times New Roman"/>
          <w:b w:val="0"/>
          <w:bCs/>
          <w:sz w:val="32"/>
          <w:szCs w:val="32"/>
          <w:lang w:val="en-US" w:eastAsia="zh-CN"/>
        </w:rPr>
        <w:t>攀</w:t>
      </w:r>
      <w:r>
        <w:rPr>
          <w:rFonts w:hint="eastAsia" w:ascii="Times New Roman" w:hAnsi="Times New Roman" w:eastAsia="方正仿宋_GBK" w:cs="Times New Roman"/>
          <w:b w:val="0"/>
          <w:bCs/>
          <w:sz w:val="32"/>
          <w:szCs w:val="32"/>
          <w:lang w:val="en-US" w:eastAsia="zh-CN"/>
        </w:rPr>
        <w:t>西残联</w:t>
      </w:r>
      <w:r>
        <w:rPr>
          <w:rFonts w:hint="default" w:ascii="Times New Roman" w:hAnsi="Times New Roman" w:eastAsia="方正仿宋_GBK" w:cs="Times New Roman"/>
          <w:b w:val="0"/>
          <w:bCs/>
          <w:sz w:val="32"/>
          <w:szCs w:val="32"/>
          <w:lang w:val="en-US" w:eastAsia="zh-CN"/>
        </w:rPr>
        <w:t>〔20</w:t>
      </w:r>
      <w:r>
        <w:rPr>
          <w:rFonts w:hint="eastAsia" w:ascii="Times New Roman" w:hAnsi="Times New Roman" w:eastAsia="方正仿宋_GBK" w:cs="Times New Roman"/>
          <w:b w:val="0"/>
          <w:bCs/>
          <w:sz w:val="32"/>
          <w:szCs w:val="32"/>
          <w:lang w:val="en-US" w:eastAsia="zh-CN"/>
        </w:rPr>
        <w:t>26</w:t>
      </w:r>
      <w:r>
        <w:rPr>
          <w:rFonts w:hint="default" w:ascii="Times New Roman" w:hAnsi="Times New Roman" w:eastAsia="方正仿宋_GBK" w:cs="Times New Roman"/>
          <w:b w:val="0"/>
          <w:bCs/>
          <w:sz w:val="32"/>
          <w:szCs w:val="32"/>
          <w:lang w:val="en-US" w:eastAsia="zh-CN"/>
        </w:rPr>
        <w:t>〕</w:t>
      </w:r>
      <w:r>
        <w:rPr>
          <w:rFonts w:hint="eastAsia" w:eastAsia="方正仿宋_GBK" w:cs="Times New Roman"/>
          <w:b w:val="0"/>
          <w:bCs/>
          <w:sz w:val="32"/>
          <w:szCs w:val="32"/>
          <w:lang w:val="en-US" w:eastAsia="zh-CN"/>
        </w:rPr>
        <w:t>9</w:t>
      </w:r>
      <w:r>
        <w:rPr>
          <w:rFonts w:hint="eastAsia" w:ascii="Times New Roman" w:hAnsi="Times New Roman" w:eastAsia="方正仿宋_GBK" w:cs="Times New Roman"/>
          <w:b w:val="0"/>
          <w:bCs/>
          <w:sz w:val="32"/>
          <w:szCs w:val="32"/>
          <w:lang w:val="en-US" w:eastAsia="zh-CN"/>
        </w:rPr>
        <w:t xml:space="preserve">号 </w:t>
      </w:r>
      <w:r>
        <w:rPr>
          <w:rFonts w:hint="eastAsia" w:eastAsia="仿宋_GB2312"/>
          <w:spacing w:val="-4"/>
          <w:sz w:val="32"/>
          <w:szCs w:val="32"/>
        </w:rPr>
        <w:t xml:space="preserve">                   </w:t>
      </w:r>
      <w:r>
        <w:rPr>
          <w:rFonts w:hint="eastAsia" w:ascii="Times New Roman" w:hAnsi="Times New Roman" w:eastAsia="方正仿宋_GBK" w:cs="Times New Roman"/>
          <w:sz w:val="32"/>
          <w:szCs w:val="32"/>
        </w:rPr>
        <w:t xml:space="preserve"> 签发人：关  婷</w:t>
      </w:r>
    </w:p>
    <w:p>
      <w:pPr>
        <w:spacing w:line="560" w:lineRule="exact"/>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小标宋_GBK" w:cs="Times New Roman"/>
          <w:spacing w:val="-4"/>
          <w:sz w:val="32"/>
          <w:szCs w:val="32"/>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-5080</wp:posOffset>
                </wp:positionV>
                <wp:extent cx="5772785" cy="11430"/>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772785" cy="1143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75pt;margin-top:-0.4pt;height:0.9pt;width:454.55pt;z-index:251660288;mso-width-relative:page;mso-height-relative:page;" filled="f" stroked="t" coordsize="21600,21600" o:gfxdata="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62xbX&#10;AAAABgEAAA8AAAAAAAAAAQAgAAAAIgAAAGRycy9kb3ducmV2LnhtbFBLAQIUABQAAAAIAIdO4kAT&#10;M0qX6AEAAKUDAAAOAAAAAAAAAAEAIAAAACYBAABkcnMvZTJvRG9jLnhtbFBLBQYAAAAABgAGAFkB&#10;AACABQAAAAA=&#10;">
                <v:fill on="f" focussize="0,0"/>
                <v:stroke weight="2.25pt" color="#FF0000" joinstyle="round"/>
                <v:imagedata o:title=""/>
                <o:lock v:ext="edit" aspectratio="f"/>
              </v:line>
            </w:pict>
          </mc:Fallback>
        </mc:AlternateContent>
      </w:r>
    </w:p>
    <w:p>
      <w:pPr>
        <w:pStyle w:val="7"/>
        <w:spacing w:line="0" w:lineRule="atLeast"/>
        <w:jc w:val="center"/>
        <w:rPr>
          <w:rFonts w:hint="default" w:ascii="Times New Roman" w:hAnsi="Times New Roman" w:eastAsia="方正小标宋_GBK" w:cs="Times New Roman"/>
          <w:b/>
          <w:sz w:val="44"/>
          <w:szCs w:val="44"/>
          <w:lang w:val="en-US" w:eastAsia="zh-CN"/>
        </w:rPr>
      </w:pPr>
      <w:r>
        <w:rPr>
          <w:rFonts w:hint="default" w:ascii="Times New Roman" w:hAnsi="Times New Roman" w:eastAsia="方正小标宋_GBK" w:cs="Times New Roman"/>
          <w:b/>
          <w:sz w:val="44"/>
          <w:szCs w:val="44"/>
          <w:lang w:val="en-US" w:eastAsia="zh-CN"/>
        </w:rPr>
        <w:t>攀枝花市西区残疾人联合会</w:t>
      </w:r>
    </w:p>
    <w:p>
      <w:pPr>
        <w:widowControl/>
        <w:spacing w:line="578" w:lineRule="exact"/>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lang w:eastAsia="zh-CN"/>
        </w:rPr>
        <w:t>区残联</w:t>
      </w:r>
      <w:r>
        <w:rPr>
          <w:rFonts w:eastAsia="方正小标宋简体"/>
          <w:bCs/>
          <w:sz w:val="44"/>
          <w:szCs w:val="44"/>
          <w:shd w:val="clear" w:color="auto" w:fill="FFFFFF"/>
        </w:rPr>
        <w:t>预算绩效</w:t>
      </w:r>
      <w:r>
        <w:rPr>
          <w:rFonts w:hint="eastAsia" w:eastAsia="方正小标宋简体"/>
          <w:bCs/>
          <w:sz w:val="44"/>
          <w:szCs w:val="44"/>
          <w:shd w:val="clear" w:color="auto" w:fill="FFFFFF"/>
        </w:rPr>
        <w:t>自评</w:t>
      </w:r>
      <w:r>
        <w:rPr>
          <w:rFonts w:eastAsia="方正小标宋简体"/>
          <w:bCs/>
          <w:sz w:val="44"/>
          <w:szCs w:val="44"/>
          <w:shd w:val="clear" w:color="auto" w:fill="FFFFFF"/>
        </w:rPr>
        <w:t>报告</w:t>
      </w:r>
    </w:p>
    <w:p>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szCs w:val="32"/>
        </w:rPr>
      </w:pPr>
      <w:r>
        <w:rPr>
          <w:rFonts w:eastAsia="黑体"/>
          <w:color w:val="000000"/>
          <w:kern w:val="0"/>
          <w:szCs w:val="32"/>
          <w:shd w:val="clear" w:color="auto" w:fill="FFFFFF"/>
          <w:lang w:val="zh-CN"/>
        </w:rPr>
        <w:t>一、部门（单位）基本情况</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szCs w:val="32"/>
        </w:rPr>
      </w:pPr>
      <w:r>
        <w:rPr>
          <w:rFonts w:eastAsia="楷体_GB2312"/>
          <w:b/>
          <w:bCs/>
          <w:color w:val="000000"/>
          <w:kern w:val="0"/>
          <w:szCs w:val="32"/>
          <w:shd w:val="clear" w:color="auto" w:fill="FFFFFF"/>
          <w:lang w:val="zh-CN"/>
        </w:rPr>
        <w:t>（一）机构组成。</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b/>
          <w:bCs/>
          <w:color w:val="000000"/>
          <w:kern w:val="0"/>
          <w:szCs w:val="32"/>
          <w:shd w:val="clear" w:color="auto" w:fill="FFFFFF"/>
          <w:lang w:val="zh-CN"/>
        </w:rPr>
      </w:pPr>
      <w:r>
        <w:rPr>
          <w:rFonts w:hint="default" w:ascii="Times New Roman" w:hAnsi="Times New Roman" w:eastAsia="仿宋_GB2312" w:cs="Times New Roman"/>
          <w:sz w:val="32"/>
          <w:szCs w:val="32"/>
          <w:lang w:val="en-US" w:eastAsia="zh-CN"/>
        </w:rPr>
        <w:t>西区残联无内设机构，无下属单位</w:t>
      </w:r>
      <w:r>
        <w:rPr>
          <w:rFonts w:hint="eastAsia" w:ascii="Times New Roman" w:hAnsi="Times New Roman" w:cs="Times New Roman"/>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（二）机构职能。</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eastAsia="仿宋_GB2312"/>
          <w:b/>
          <w:bCs/>
          <w:color w:val="000000"/>
          <w:kern w:val="0"/>
          <w:szCs w:val="32"/>
          <w:shd w:val="clear" w:color="auto" w:fill="FFFFFF"/>
          <w:lang w:val="zh-CN" w:eastAsia="zh-CN"/>
        </w:rPr>
      </w:pPr>
      <w:r>
        <w:rPr>
          <w:rFonts w:hint="eastAsia" w:ascii="仿宋_GB2312" w:hAnsi="仿宋_GB2312" w:eastAsia="仿宋_GB2312" w:cs="仿宋_GB2312"/>
          <w:sz w:val="32"/>
          <w:szCs w:val="32"/>
          <w:lang w:eastAsia="zh-CN"/>
        </w:rPr>
        <w:t>西区残联职能职责：</w:t>
      </w:r>
      <w:r>
        <w:rPr>
          <w:rFonts w:hint="eastAsia" w:ascii="仿宋_GB2312" w:hAnsi="仿宋_GB2312" w:eastAsia="仿宋_GB2312" w:cs="仿宋_GB2312"/>
          <w:sz w:val="32"/>
          <w:szCs w:val="32"/>
        </w:rPr>
        <w:t>听取残疾人意见，反映残疾人要求，维护残疾人的合法权益，为残疾人</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开展残疾人康复、扶贫、劳动就业、职业培训、文化体育、服务、无障碍设施和残疾预防工作，创造良好的社会环境和条件，扶助残疾人平等参与社会生活。承担区政府残疾人工作协调委员会的日常工作，履行综合、组织、协调和服务的职责;核发辖区残疾人的《残疾人证》;承办区委、区政府和市残联交办的其他事项</w:t>
      </w:r>
      <w:r>
        <w:rPr>
          <w:rFonts w:hint="eastAsia" w:ascii="仿宋_GB2312" w:hAnsi="仿宋_GB2312" w:cs="仿宋_GB2312"/>
          <w:sz w:val="32"/>
          <w:szCs w:val="32"/>
          <w:lang w:eastAsia="zh-CN"/>
        </w:rPr>
        <w:t>。</w:t>
      </w:r>
    </w:p>
    <w:p>
      <w:pPr>
        <w:keepNext w:val="0"/>
        <w:keepLines w:val="0"/>
        <w:pageBreakBefore w:val="0"/>
        <w:numPr>
          <w:ilvl w:val="0"/>
          <w:numId w:val="0"/>
        </w:numPr>
        <w:kinsoku/>
        <w:wordWrap/>
        <w:overflowPunct/>
        <w:topLinePunct w:val="0"/>
        <w:autoSpaceDE/>
        <w:autoSpaceDN/>
        <w:bidi w:val="0"/>
        <w:spacing w:line="360" w:lineRule="auto"/>
        <w:ind w:firstLine="643" w:firstLineChars="200"/>
        <w:textAlignment w:val="auto"/>
        <w:rPr>
          <w:rFonts w:hint="eastAsia" w:eastAsia="楷体_GB2312"/>
          <w:b/>
          <w:bCs/>
          <w:color w:val="000000"/>
          <w:kern w:val="0"/>
          <w:szCs w:val="32"/>
          <w:shd w:val="clear" w:color="auto" w:fill="FFFFFF"/>
          <w:lang w:val="zh-CN"/>
        </w:rPr>
      </w:pPr>
    </w:p>
    <w:p>
      <w:pPr>
        <w:keepNext w:val="0"/>
        <w:keepLines w:val="0"/>
        <w:pageBreakBefore w:val="0"/>
        <w:numPr>
          <w:ilvl w:val="0"/>
          <w:numId w:val="0"/>
        </w:numPr>
        <w:kinsoku/>
        <w:wordWrap/>
        <w:overflowPunct/>
        <w:topLinePunct w:val="0"/>
        <w:autoSpaceDE/>
        <w:autoSpaceDN/>
        <w:bidi w:val="0"/>
        <w:spacing w:line="360" w:lineRule="auto"/>
        <w:ind w:firstLine="643" w:firstLineChars="200"/>
        <w:textAlignment w:val="auto"/>
        <w:rPr>
          <w:rFonts w:eastAsia="楷体_GB2312"/>
          <w:b/>
          <w:bCs/>
          <w:color w:val="000000"/>
          <w:kern w:val="0"/>
          <w:szCs w:val="32"/>
          <w:shd w:val="clear" w:color="auto" w:fill="FFFFFF"/>
          <w:lang w:val="zh-CN"/>
        </w:rPr>
      </w:pPr>
      <w:r>
        <w:rPr>
          <w:rFonts w:hint="eastAsia" w:eastAsia="楷体_GB2312"/>
          <w:b/>
          <w:bCs/>
          <w:color w:val="000000"/>
          <w:kern w:val="0"/>
          <w:szCs w:val="32"/>
          <w:shd w:val="clear" w:color="auto" w:fill="FFFFFF"/>
          <w:lang w:val="zh-CN"/>
        </w:rPr>
        <w:t>（三）</w:t>
      </w:r>
      <w:r>
        <w:rPr>
          <w:rFonts w:eastAsia="楷体_GB2312"/>
          <w:b/>
          <w:bCs/>
          <w:color w:val="000000"/>
          <w:kern w:val="0"/>
          <w:szCs w:val="32"/>
          <w:shd w:val="clear" w:color="auto" w:fill="FFFFFF"/>
          <w:lang w:val="zh-CN"/>
        </w:rPr>
        <w:t>人员概况。</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eastAsia="黑体"/>
          <w:color w:val="000000"/>
          <w:kern w:val="0"/>
          <w:szCs w:val="32"/>
          <w:shd w:val="clear" w:color="auto" w:fill="FFFFFF"/>
        </w:rPr>
      </w:pPr>
      <w:r>
        <w:rPr>
          <w:rFonts w:hint="eastAsia"/>
          <w:szCs w:val="32"/>
        </w:rPr>
        <w:t>截至2025年末，西区残联参公编制2人，事业编制1人，临聘编制1人。实际在岗参公2人，事业1人，临聘在编1人，退休2人。聘请量服工作人员3人</w:t>
      </w:r>
      <w:r>
        <w:rPr>
          <w:szCs w:val="32"/>
        </w:rPr>
        <w:t>。</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二、部门资金收支情况</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ascii="Times New Roman" w:hAnsi="Times New Roman" w:cs="Times New Roman"/>
          <w:b/>
          <w:bCs/>
          <w:szCs w:val="32"/>
          <w:lang w:val="zh-CN"/>
        </w:rPr>
      </w:pPr>
      <w:r>
        <w:rPr>
          <w:rFonts w:eastAsia="楷体_GB2312"/>
          <w:b/>
          <w:bCs/>
          <w:color w:val="000000"/>
          <w:kern w:val="0"/>
          <w:szCs w:val="32"/>
          <w:shd w:val="clear" w:color="auto" w:fill="FFFFFF"/>
          <w:lang w:val="zh-CN"/>
        </w:rPr>
        <w:t>（一）收入情况</w:t>
      </w:r>
      <w:r>
        <w:rPr>
          <w:rFonts w:ascii="Times New Roman" w:hAnsi="Times New Roman" w:cs="Times New Roman"/>
          <w:b/>
          <w:bCs/>
          <w:szCs w:val="32"/>
          <w:lang w:val="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b/>
          <w:bCs/>
          <w:color w:val="000000"/>
          <w:kern w:val="0"/>
          <w:szCs w:val="32"/>
          <w:shd w:val="clear" w:color="auto" w:fill="FFFFFF"/>
        </w:rPr>
      </w:pPr>
      <w:r>
        <w:rPr>
          <w:rFonts w:hint="eastAsia"/>
          <w:color w:val="000000"/>
          <w:kern w:val="0"/>
          <w:szCs w:val="32"/>
          <w:shd w:val="clear" w:color="auto" w:fill="FFFFFF"/>
          <w:lang w:val="en-US" w:eastAsia="zh-CN"/>
        </w:rPr>
        <w:t>西区残联2025年全年预算收入357.54万元，其中：一般公共预算拨款收入335.74万元，占总收入93.90%；政府性基金预算拨款收入21.80万元，占总收入6.10%</w:t>
      </w:r>
      <w:r>
        <w:rPr>
          <w:rFonts w:ascii="Times New Roman" w:hAnsi="Times New Roman" w:cs="Times New Roman"/>
          <w:szCs w:val="32"/>
        </w:rPr>
        <w:t>。</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szCs w:val="32"/>
          <w:lang w:val="zh-CN"/>
        </w:rPr>
      </w:pPr>
      <w:r>
        <w:rPr>
          <w:rFonts w:eastAsia="楷体_GB2312"/>
          <w:b/>
          <w:bCs/>
          <w:color w:val="000000"/>
          <w:kern w:val="0"/>
          <w:szCs w:val="32"/>
          <w:shd w:val="clear" w:color="auto" w:fill="FFFFFF"/>
          <w:lang w:val="zh-CN"/>
        </w:rPr>
        <w:t>（二）支出情况。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2025年财政资金支出357.54万元，其中：基本支出105.56万元（人员经费97.94万元，公用经费7.62万元），项目支出251.98万元。</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（三）</w:t>
      </w:r>
      <w:r>
        <w:rPr>
          <w:rFonts w:eastAsia="楷体_GB2312"/>
          <w:b/>
          <w:szCs w:val="32"/>
        </w:rPr>
        <w:t>结余分配和结转结余情况。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hint="eastAsia" w:cs="Times New Roman"/>
          <w:color w:val="000000"/>
          <w:kern w:val="0"/>
          <w:szCs w:val="32"/>
          <w:shd w:val="clear" w:color="auto" w:fill="FFFFFF"/>
          <w:lang w:val="en-US" w:eastAsia="zh-CN"/>
        </w:rPr>
        <w:t>西区残联2025年决算报表收回单位国库集中支付结余资金安排残疾人事业发展相关项目11.98万元</w:t>
      </w:r>
      <w:r>
        <w:rPr>
          <w:color w:val="000000"/>
          <w:kern w:val="0"/>
          <w:szCs w:val="32"/>
          <w:shd w:val="clear" w:color="auto" w:fill="FFFFFF"/>
        </w:rPr>
        <w:t>。</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themeColor="text1"/>
          <w:kern w:val="0"/>
          <w:szCs w:val="32"/>
          <w:shd w:val="clear" w:color="auto" w:fill="FFFFFF"/>
          <w14:textFill>
            <w14:solidFill>
              <w14:schemeClr w14:val="tx1"/>
            </w14:solidFill>
          </w14:textFill>
        </w:rPr>
      </w:pPr>
      <w:r>
        <w:rPr>
          <w:rFonts w:eastAsia="黑体"/>
          <w:color w:val="000000"/>
          <w:kern w:val="0"/>
          <w:szCs w:val="32"/>
          <w:shd w:val="clear" w:color="auto" w:fill="FFFFFF"/>
        </w:rPr>
        <w:t>三、部门预算绩效分析</w:t>
      </w:r>
    </w:p>
    <w:p>
      <w:pPr>
        <w:keepNext w:val="0"/>
        <w:keepLines w:val="0"/>
        <w:pageBreakBefore w:val="0"/>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（一）部门预算总体绩效分析。</w:t>
      </w:r>
      <w:r>
        <w:rPr>
          <w:color w:val="000000"/>
          <w:kern w:val="0"/>
          <w:szCs w:val="32"/>
          <w:shd w:val="clear" w:color="auto" w:fill="FFFFFF"/>
          <w:lang w:val="zh-CN"/>
        </w:rPr>
        <w:t>根据部门预算绩效评价指标体系“总体绩效”涉及二、三级指标进行逐项绩效分析并评分，依次包括履职效能、预算管理、财务管理、资产管理、采购管理等情况。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履职效能。</w:t>
      </w:r>
      <w:r>
        <w:rPr>
          <w:color w:val="000000"/>
          <w:kern w:val="0"/>
          <w:szCs w:val="32"/>
          <w:shd w:val="clear" w:color="auto" w:fill="FFFFFF"/>
          <w:lang w:val="zh-CN"/>
        </w:rPr>
        <w:t>部门整体绩效目标中选定3</w:t>
      </w:r>
      <w:r>
        <w:rPr>
          <w:rFonts w:hint="eastAsia"/>
          <w:color w:val="000000"/>
          <w:kern w:val="0"/>
          <w:szCs w:val="32"/>
          <w:shd w:val="clear" w:color="auto" w:fill="FFFFFF"/>
          <w:lang w:val="zh-CN"/>
        </w:rPr>
        <w:t>—</w:t>
      </w:r>
      <w:r>
        <w:rPr>
          <w:color w:val="000000"/>
          <w:kern w:val="0"/>
          <w:szCs w:val="32"/>
          <w:shd w:val="clear" w:color="auto" w:fill="FFFFFF"/>
          <w:lang w:val="zh-CN"/>
        </w:rPr>
        <w:t>5个核心职能目标，对职能目标完成效果情况绩效分析。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color w:val="000000"/>
          <w:kern w:val="0"/>
          <w:szCs w:val="32"/>
          <w:shd w:val="clear" w:color="auto" w:fill="FFFFFF"/>
        </w:rPr>
      </w:pPr>
      <w:r>
        <w:rPr>
          <w:rFonts w:hint="eastAsia"/>
          <w:color w:val="000000"/>
          <w:kern w:val="0"/>
          <w:szCs w:val="32"/>
          <w:shd w:val="clear" w:color="auto" w:fill="FFFFFF"/>
          <w:lang w:eastAsia="zh-CN"/>
        </w:rPr>
        <w:t>（</w:t>
      </w:r>
      <w:r>
        <w:rPr>
          <w:rFonts w:hint="eastAsia"/>
          <w:color w:val="000000"/>
          <w:kern w:val="0"/>
          <w:szCs w:val="32"/>
          <w:shd w:val="clear" w:color="auto" w:fill="FFFFFF"/>
          <w:lang w:val="en-US" w:eastAsia="zh-CN"/>
        </w:rPr>
        <w:t>1</w:t>
      </w:r>
      <w:r>
        <w:rPr>
          <w:rFonts w:hint="eastAsia"/>
          <w:color w:val="000000"/>
          <w:kern w:val="0"/>
          <w:szCs w:val="32"/>
          <w:shd w:val="clear" w:color="auto" w:fill="FFFFFF"/>
          <w:lang w:eastAsia="zh-CN"/>
        </w:rPr>
        <w:t>）</w:t>
      </w:r>
      <w:r>
        <w:rPr>
          <w:rFonts w:hint="eastAsia"/>
          <w:color w:val="000000"/>
          <w:kern w:val="0"/>
          <w:szCs w:val="32"/>
          <w:shd w:val="clear" w:color="auto" w:fill="FFFFFF"/>
        </w:rPr>
        <w:t>强化政治引领，抓好主题教育学习贯彻。持续用习近平新时代中国特色社会主义思想武装头脑，深入学习贯彻落实党的二十大精神和习近平总书记关于残疾人工作的重要指示批示精神，按照区委部署，扎实开展好学习贯彻习近平新时代中国特色社会主义思想主题教育及西区高质量发展建设共同富裕试验区的部署，结合残疾人工作特点，大力开展“惠民生、办实事”活动，以开展“消底、提低、扩中”“公共服务均衡可及”等工作为契机，促进残疾人事业全面健康发展，推动共同富裕试验区建设和涉残疾民生实事工作落实。在主题教育中，注重把理论学习、调查研究、推动发展、检视整改等贯通融合起来，强化涉残民生实事办理，积极协调组织市第二人民医院残疾评定专家深入大宝鼎街道、陶家渡街道、玉泉街道、清香坪街道、格里坪镇开展上门鉴定评残服务，残联工作员与医院专家一同为11名出行困难的肢体重度残疾人进行上门评残，真正做到解残疾人所困、解残疾人所盼。</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color w:val="000000"/>
          <w:kern w:val="0"/>
          <w:szCs w:val="32"/>
          <w:shd w:val="clear" w:color="auto" w:fill="FFFFFF"/>
        </w:rPr>
      </w:pPr>
      <w:r>
        <w:rPr>
          <w:rFonts w:hint="eastAsia"/>
          <w:color w:val="000000"/>
          <w:kern w:val="0"/>
          <w:szCs w:val="32"/>
          <w:shd w:val="clear" w:color="auto" w:fill="FFFFFF"/>
          <w:lang w:eastAsia="zh-CN"/>
        </w:rPr>
        <w:t>（</w:t>
      </w:r>
      <w:r>
        <w:rPr>
          <w:rFonts w:hint="eastAsia"/>
          <w:color w:val="000000"/>
          <w:kern w:val="0"/>
          <w:szCs w:val="32"/>
          <w:shd w:val="clear" w:color="auto" w:fill="FFFFFF"/>
          <w:lang w:val="en-US" w:eastAsia="zh-CN"/>
        </w:rPr>
        <w:t>2）</w:t>
      </w:r>
      <w:r>
        <w:rPr>
          <w:rFonts w:hint="eastAsia"/>
          <w:color w:val="000000"/>
          <w:kern w:val="0"/>
          <w:szCs w:val="32"/>
          <w:shd w:val="clear" w:color="auto" w:fill="FFFFFF"/>
        </w:rPr>
        <w:t>强化履职尽责，党的建设工作稳步推进。认真履行党建第一责任人职责，主要负责人做到重大决策、重点工作亲自安排、定期督促，定期听取各股室履行党建工作职责情况报告，加强党员干部职工的理论学习、工作落实等情况的监督检查，确保党员干部职工思想不散、工作不拖、纪律不松，持续推动全面从严治党深入开展。积极参加群团联合党支部认真开展“三会一课”、“主题党日”活动等形式多样的学习活动。召开党风廉政建设工作专题会2次，细化了党风廉政建设责任清单。严格执行财经纪律，提高财务管理水平，进一步强化财务相关政策法规的学习，建立健全相关制度，严格执行内控制度，严把财务审核、审批及报账流程，坚决做到执行财经纪律不走样。组织全体干部职工在办公室学习和观看警示教育片，以案为镜，防微杜渐，真正做到预防在先、标本兼治。切实抓好党风廉政建设责任制落实，始终坚持把讲政治贯穿于党风廉政建设全过程，认真落实党风廉政建设主体责任和“一岗双责”，把党风廉政建设与残疾人工作同部署、同落实、同检查。会同派驻纪检组持续加强政治纪律、组织纪律、工作纪律和生活纪律等落实情况的监督检查，把严的要求贯穿到党员干部的日常工作、生活之中。充分运用“四种形态”强化日常监督，定期开展节前集体廉政谈话、党员和职工谈心谈话等，对苗头性、倾向性问题做到早发现、早提醒、早处置。深入开展移风易俗禁止高价彩礼、违规吃喝违规饮酒、公职人员违规从事营利活动、办公用房火灾隐患、公务用车突出问题等专项整治工作。定期开展作风督查，严肃上下班等工作纪律，严格落实请销假制度，把“严”的规矩立起来，形成良好的工作氛围。</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color w:val="000000"/>
          <w:kern w:val="0"/>
          <w:szCs w:val="32"/>
          <w:shd w:val="clear" w:color="auto" w:fill="FFFFFF"/>
        </w:rPr>
      </w:pPr>
      <w:r>
        <w:rPr>
          <w:rFonts w:hint="eastAsia"/>
          <w:color w:val="000000"/>
          <w:kern w:val="0"/>
          <w:szCs w:val="32"/>
          <w:shd w:val="clear" w:color="auto" w:fill="FFFFFF"/>
          <w:lang w:eastAsia="zh-CN"/>
        </w:rPr>
        <w:t>（</w:t>
      </w:r>
      <w:r>
        <w:rPr>
          <w:rFonts w:hint="eastAsia"/>
          <w:color w:val="000000"/>
          <w:kern w:val="0"/>
          <w:szCs w:val="32"/>
          <w:shd w:val="clear" w:color="auto" w:fill="FFFFFF"/>
          <w:lang w:val="en-US" w:eastAsia="zh-CN"/>
        </w:rPr>
        <w:t>3）</w:t>
      </w:r>
      <w:r>
        <w:rPr>
          <w:rFonts w:hint="eastAsia"/>
          <w:color w:val="000000"/>
          <w:kern w:val="0"/>
          <w:szCs w:val="32"/>
          <w:shd w:val="clear" w:color="auto" w:fill="FFFFFF"/>
        </w:rPr>
        <w:t>强化安全保障，坚决打好重点工作攻坚战。坚持把森林草原防灭火、全国文明城市创建、国家卫生城市创建等重点工作作为重大的政治任务，全力以赴，强化统筹，坚决打好重点工作、中心工作攻坚战。牢固树立“人民至上、生命至上、安全第一”理念，会同包保联创的小宝鼎社区，切实抓好全国文明城市创建工作、国家卫生城市创建工作。做好人员统筹安排，组织干部职工下沉小宝鼎社区和苏铁中路主干道，开展好道路交通文明劝导、小区环境卫生整治等工作。</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color w:val="000000"/>
          <w:kern w:val="0"/>
          <w:szCs w:val="32"/>
          <w:shd w:val="clear" w:color="auto" w:fill="FFFFFF"/>
        </w:rPr>
      </w:pPr>
      <w:r>
        <w:rPr>
          <w:rFonts w:hint="eastAsia"/>
          <w:color w:val="000000"/>
          <w:kern w:val="0"/>
          <w:szCs w:val="32"/>
          <w:shd w:val="clear" w:color="auto" w:fill="FFFFFF"/>
          <w:lang w:eastAsia="zh-CN"/>
        </w:rPr>
        <w:t>（</w:t>
      </w:r>
      <w:r>
        <w:rPr>
          <w:rFonts w:hint="eastAsia"/>
          <w:color w:val="000000"/>
          <w:kern w:val="0"/>
          <w:szCs w:val="32"/>
          <w:shd w:val="clear" w:color="auto" w:fill="FFFFFF"/>
          <w:lang w:val="en-US" w:eastAsia="zh-CN"/>
        </w:rPr>
        <w:t>4）</w:t>
      </w:r>
      <w:r>
        <w:rPr>
          <w:rFonts w:hint="eastAsia"/>
          <w:color w:val="000000"/>
          <w:kern w:val="0"/>
          <w:szCs w:val="32"/>
          <w:shd w:val="clear" w:color="auto" w:fill="FFFFFF"/>
        </w:rPr>
        <w:t>强化统筹协调，抓实残疾人共同富裕工作。持续推进巩固拓展脱贫攻坚成果同乡村振兴有效衔接，以促进残疾人全面发展和共同富裕为主线，不断增进残疾人民生福祉，推动残联人事业健康发展。认真落实省委省政府《关于支持攀枝花高质量发展建设共同富裕试验区的决定》和《攀枝花推进残疾人事业高质量发展促进共同富裕的工作方案（2022-2025年）》等部署要求，加强与清香坪街道和杨家坪社区“两委”成员的沟通对接，结合杨家坪社区的实际，联动开展杨家坪社区残疾人共同富裕基本场景建设工作，依托该社区现有资源，进一步对接上级残联和社会慈善组织，共谋壮大慈善共富基金。指导杨家坪社区加强残疾人活动阵地建设，依托社区现有场地，规范建设“残疾人之家”，借助辖区产业发展丰富资源，助力残疾人就业增收，有序推动杨家坪社区共同富裕基本场景建设工作开展。</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color w:val="000000"/>
          <w:kern w:val="0"/>
          <w:szCs w:val="32"/>
          <w:shd w:val="clear" w:color="auto" w:fill="FFFFFF"/>
        </w:rPr>
      </w:pPr>
      <w:r>
        <w:rPr>
          <w:rFonts w:hint="eastAsia"/>
          <w:color w:val="000000"/>
          <w:kern w:val="0"/>
          <w:szCs w:val="32"/>
          <w:shd w:val="clear" w:color="auto" w:fill="FFFFFF"/>
          <w:lang w:eastAsia="zh-CN"/>
        </w:rPr>
        <w:t>（</w:t>
      </w:r>
      <w:r>
        <w:rPr>
          <w:rFonts w:hint="eastAsia"/>
          <w:color w:val="000000"/>
          <w:kern w:val="0"/>
          <w:szCs w:val="32"/>
          <w:shd w:val="clear" w:color="auto" w:fill="FFFFFF"/>
          <w:lang w:val="en-US" w:eastAsia="zh-CN"/>
        </w:rPr>
        <w:t>5）</w:t>
      </w:r>
      <w:r>
        <w:rPr>
          <w:rFonts w:hint="eastAsia"/>
          <w:color w:val="000000"/>
          <w:kern w:val="0"/>
          <w:szCs w:val="32"/>
          <w:shd w:val="clear" w:color="auto" w:fill="FFFFFF"/>
        </w:rPr>
        <w:t>强化就业帮扶，提升残疾人创业增收能力。高度重视惠残政策落实与增强残疾人造血能力同向发力，不断加强残疾人技能培训，增强残疾人就业和增收能力。为加快全区残疾人事业发展，以推动高质量发展建设共同富裕实验区为主线，扎实推进残疾人就业创业工作，推动“十四五”时期残疾人较为充分、较高质量就业，对全区残疾人就业创业现状进行了专题调研。针对有条件的公益企业、残疾人辅助性就业机构和就业帮扶基地为残疾人多渠道搭建就业平台，目前辖区内已有5家企业安置9名残疾人就业，65名残疾人以居家灵活就业方式通过多措并举，助力残疾人实现了就业增收。</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color w:val="000000"/>
          <w:kern w:val="0"/>
          <w:szCs w:val="32"/>
          <w:shd w:val="clear" w:color="auto" w:fill="FFFFFF"/>
          <w:lang w:eastAsia="zh-CN"/>
        </w:rPr>
      </w:pPr>
      <w:r>
        <w:rPr>
          <w:rFonts w:hint="eastAsia"/>
          <w:color w:val="000000"/>
          <w:kern w:val="0"/>
          <w:szCs w:val="32"/>
          <w:shd w:val="clear" w:color="auto" w:fill="FFFFFF"/>
          <w:lang w:eastAsia="zh-CN"/>
        </w:rPr>
        <w:t>（</w:t>
      </w:r>
      <w:r>
        <w:rPr>
          <w:rFonts w:hint="eastAsia"/>
          <w:color w:val="000000"/>
          <w:kern w:val="0"/>
          <w:szCs w:val="32"/>
          <w:shd w:val="clear" w:color="auto" w:fill="FFFFFF"/>
          <w:lang w:val="en-US" w:eastAsia="zh-CN"/>
        </w:rPr>
        <w:t>6）</w:t>
      </w:r>
      <w:r>
        <w:rPr>
          <w:rFonts w:hint="eastAsia"/>
          <w:color w:val="000000"/>
          <w:kern w:val="0"/>
          <w:szCs w:val="32"/>
          <w:shd w:val="clear" w:color="auto" w:fill="FFFFFF"/>
        </w:rPr>
        <w:t>亮点突出，强力推动残疾人工作。康复工作方面，救助0-6岁儿童康复7名，7-12岁儿童康复6名；残疾人基本型辅具适配209名；听力残疾人助听器适配1名；精神病服药申请172名；精神病住院申请61名；残疾人基本医疗保险确定1749人；残疾人家庭医生签约签约405人；全国残疾人服务信息平台儿童康复救助录入13人。维权工作方面，残疾人家庭无障碍改造39人；温暖万家行走访慰问400户残疾人；为19人发放机动轮椅车燃油补贴。教就工作方面，全国联网认证企业按比例安置残疾人就业审核34家企事业单位；残疾人两项补贴审核中困难残疾人重度护理补贴审核1344人，困难残疾人生活补贴审核655人；全国残疾人服务信息平台就业录入25人，新增农村就业2人，就业调查录入85人；推荐4名残疾人就业；筛选50名城乡残疾人职业技能培训人员和50名农村困难残疾人实用技术培训人员；对65人进行居家灵活就业补贴资格审查；对90名残疾人进行托养服务；协同区教体局、镇（街道）向42名残疾学生发放补助资金4.2万元。宣文化体育工作方面，开展宣传活动3次，发放宣传资料超过700余份；为残疾人送去20本励志书籍；积极组织辖区残疾人参加省第十届运动会，获得1金2银2铜成绩；联合玉泉街道开展第24次全国爱耳日宣传活动；开展文化进家庭“五个一”观影活动；在第三十三次全国助残日期间开展主题宣传活动；杨家坪社区和苏铁社区两个全省残疾人健身示范点组织残疾人开展文化体育活动两场，参加的残疾人100余人</w:t>
      </w:r>
      <w:r>
        <w:rPr>
          <w:rFonts w:hint="eastAsia"/>
          <w:color w:val="000000"/>
          <w:kern w:val="0"/>
          <w:szCs w:val="32"/>
          <w:shd w:val="clear" w:color="auto" w:fill="FFFFFF"/>
          <w:lang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hint="eastAsia" w:eastAsia="楷体_GB2312"/>
          <w:color w:val="000000"/>
          <w:kern w:val="0"/>
          <w:szCs w:val="32"/>
          <w:shd w:val="clear" w:color="auto" w:fill="FFFFFF"/>
          <w:lang w:val="en-US" w:eastAsia="zh-CN"/>
        </w:rPr>
        <w:t>2.</w:t>
      </w:r>
      <w:r>
        <w:rPr>
          <w:rFonts w:eastAsia="楷体_GB2312"/>
          <w:color w:val="000000"/>
          <w:kern w:val="0"/>
          <w:szCs w:val="32"/>
          <w:shd w:val="clear" w:color="auto" w:fill="FFFFFF"/>
          <w:lang w:val="zh-CN"/>
        </w:rPr>
        <w:t>预算</w:t>
      </w:r>
      <w:r>
        <w:rPr>
          <w:rFonts w:hint="eastAsia" w:eastAsia="楷体_GB2312"/>
          <w:color w:val="000000"/>
          <w:kern w:val="0"/>
          <w:szCs w:val="32"/>
          <w:shd w:val="clear" w:color="auto" w:fill="FFFFFF"/>
          <w:lang w:val="zh-CN"/>
        </w:rPr>
        <w:t>编制情况</w:t>
      </w:r>
      <w:r>
        <w:rPr>
          <w:rFonts w:eastAsia="楷体_GB2312"/>
          <w:color w:val="000000"/>
          <w:kern w:val="0"/>
          <w:szCs w:val="32"/>
          <w:shd w:val="clear" w:color="auto" w:fill="FFFFFF"/>
          <w:lang w:val="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hint="eastAsia"/>
          <w:color w:val="000000"/>
          <w:kern w:val="0"/>
          <w:szCs w:val="32"/>
          <w:shd w:val="clear" w:color="auto" w:fill="FFFFFF"/>
          <w:lang w:val="en-US" w:eastAsia="zh-CN"/>
        </w:rPr>
        <w:t>2025年西区残联严格按照西区财政局预算编制通知和有关要求，按时按质完成报送决算编制等工作，并按时提交部门预算编制草案，不存在应编未编、错误列编等情况。西区财政局根据预算编制草案进行审核，批复2025年部门预算262.89万元，全年预算调整为357.54万元。</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财务管理。</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kern w:val="0"/>
          <w:szCs w:val="32"/>
          <w:shd w:val="clear" w:color="auto" w:fill="FFFFFF"/>
          <w:lang w:val="zh-CN"/>
        </w:rPr>
        <w:t>建立健全了财务管理制度，涵盖预算管理、收支管理、资产管理等方面，制度执行严格，确保财务工作有章可循。财务岗位设置科学分工，明确岗位权责，做到不相容岗位相互分离，避免兼岗带来的风险。资金使用规范上，严格把控资金审批流程，确保每一笔资金都按照规定用途、标准和程序使用，杜绝挪用、滥用等违规行为，保障财务工作有序进行，维护财务安全与规范</w:t>
      </w:r>
      <w:r>
        <w:rPr>
          <w:rFonts w:hint="eastAsia" w:ascii="Times New Roman" w:hAnsi="Times New Roman" w:cs="Times New Roman"/>
          <w:color w:val="000000"/>
          <w:kern w:val="0"/>
          <w:szCs w:val="32"/>
          <w:shd w:val="clear" w:color="auto" w:fill="FFFFFF"/>
          <w:lang w:val="zh-CN" w:eastAsia="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4.</w:t>
      </w:r>
      <w:r>
        <w:rPr>
          <w:rFonts w:eastAsia="楷体_GB2312"/>
          <w:color w:val="000000"/>
          <w:kern w:val="0"/>
          <w:szCs w:val="32"/>
          <w:shd w:val="clear" w:color="auto" w:fill="FFFFFF"/>
          <w:lang w:val="zh-CN"/>
        </w:rPr>
        <w:t>资产管理。</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kern w:val="0"/>
          <w:szCs w:val="32"/>
          <w:shd w:val="clear" w:color="auto" w:fill="FFFFFF"/>
          <w:lang w:val="zh-CN"/>
        </w:rPr>
        <w:t>高度重视闲置资产管理，建立动态清查机制，定期梳理闲置资产明细，通过内部调剂、共享使用等方式，将闲置设备、办公用品等调配至需求科室。同时，</w:t>
      </w:r>
      <w:r>
        <w:rPr>
          <w:rFonts w:hint="default" w:ascii="Times New Roman" w:hAnsi="Times New Roman" w:cs="Times New Roman"/>
          <w:color w:val="000000"/>
          <w:kern w:val="0"/>
          <w:szCs w:val="32"/>
          <w:shd w:val="clear" w:color="auto" w:fill="FFFFFF"/>
          <w:lang w:val="zh-CN" w:eastAsia="zh-CN"/>
        </w:rPr>
        <w:t>在资产系统内对固定资产及状态及时进行更新</w:t>
      </w:r>
      <w:r>
        <w:rPr>
          <w:rFonts w:hint="default" w:ascii="Times New Roman" w:hAnsi="Times New Roman" w:cs="Times New Roman"/>
          <w:color w:val="000000"/>
          <w:kern w:val="0"/>
          <w:szCs w:val="32"/>
          <w:shd w:val="clear" w:color="auto" w:fill="FFFFFF"/>
          <w:lang w:val="zh-CN"/>
        </w:rPr>
        <w:t>，优化资源配置，显著提升资产利用率，有效避免资源浪费，为机关高效运转提供有力保障。</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5.</w:t>
      </w:r>
      <w:r>
        <w:rPr>
          <w:rFonts w:eastAsia="楷体_GB2312"/>
          <w:color w:val="000000"/>
          <w:kern w:val="0"/>
          <w:szCs w:val="32"/>
          <w:shd w:val="clear" w:color="auto" w:fill="FFFFFF"/>
          <w:lang w:val="zh-CN"/>
        </w:rPr>
        <w:t>采购管理。</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eastAsia="zh-CN"/>
        </w:rPr>
      </w:pPr>
      <w:r>
        <w:rPr>
          <w:rFonts w:hint="default" w:ascii="Times New Roman" w:hAnsi="Times New Roman" w:cs="Times New Roman"/>
          <w:color w:val="000000"/>
          <w:kern w:val="0"/>
          <w:szCs w:val="32"/>
          <w:shd w:val="clear" w:color="auto" w:fill="FFFFFF"/>
          <w:lang w:val="zh-CN"/>
        </w:rPr>
        <w:t>严格按照采购管理文件要求执行，采购前精准预算编制，结合实际需求科学规划；采购中坚持公开透明，严格执行采购程序；采购后加强验收与监督，确保物资质量达标，同时强化档案管理，保障采购全程留痕、规范有序</w:t>
      </w:r>
      <w:r>
        <w:rPr>
          <w:rFonts w:hint="eastAsia" w:ascii="Times New Roman" w:hAnsi="Times New Roman" w:cs="Times New Roman"/>
          <w:color w:val="000000"/>
          <w:kern w:val="0"/>
          <w:szCs w:val="32"/>
          <w:shd w:val="clear" w:color="auto" w:fill="FFFFFF"/>
          <w:lang w:val="zh-CN"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rPr>
      </w:pPr>
      <w:r>
        <w:rPr>
          <w:rFonts w:eastAsia="楷体_GB2312"/>
          <w:b/>
          <w:bCs/>
          <w:color w:val="000000"/>
          <w:kern w:val="0"/>
          <w:szCs w:val="32"/>
          <w:shd w:val="clear" w:color="auto" w:fill="FFFFFF"/>
          <w:lang w:val="zh-CN"/>
        </w:rPr>
        <w:t>（二）部门预算项目绩效分析。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hint="eastAsia"/>
          <w:color w:val="000000"/>
          <w:kern w:val="0"/>
          <w:szCs w:val="32"/>
          <w:shd w:val="clear" w:color="auto" w:fill="FFFFFF"/>
        </w:rPr>
        <w:t>常年项目绩效分析。该类项目总数1个，涉及预算总金额251.98万元，1至12月预算执行总体进度为100%，其中预算结余率大于10%的项目共计0个</w:t>
      </w:r>
      <w:r>
        <w:rPr>
          <w:color w:val="000000"/>
          <w:kern w:val="0"/>
          <w:szCs w:val="32"/>
          <w:shd w:val="clear" w:color="auto" w:fill="FFFFFF"/>
          <w:lang w:val="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hint="eastAsia"/>
          <w:color w:val="000000"/>
          <w:kern w:val="0"/>
          <w:szCs w:val="32"/>
          <w:shd w:val="clear" w:color="auto" w:fill="FFFFFF"/>
        </w:rPr>
        <w:t>阶段（含一次性）项目绩效分析。该类项目总数1个，涉及预算总金额251.98万元，1至12月预算执行总体进度为100%，其中预算结余率大于10%的项目共计0个</w:t>
      </w:r>
      <w:r>
        <w:rPr>
          <w:color w:val="000000"/>
          <w:kern w:val="0"/>
          <w:szCs w:val="32"/>
          <w:shd w:val="clear" w:color="auto" w:fill="FFFFFF"/>
          <w:lang w:val="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项目决策。</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eastAsia="zh-CN"/>
        </w:rPr>
      </w:pPr>
      <w:r>
        <w:rPr>
          <w:rFonts w:hint="eastAsia" w:ascii="Times New Roman" w:hAnsi="Times New Roman" w:cs="Times New Roman"/>
          <w:color w:val="000000"/>
          <w:kern w:val="0"/>
          <w:szCs w:val="32"/>
          <w:shd w:val="clear" w:color="auto" w:fill="FFFFFF"/>
          <w:lang w:val="zh-CN" w:eastAsia="zh-CN"/>
        </w:rPr>
        <w:t>以2025年工作安排为参考，以2025年工作计划为依据，预算安排共计357.54万元，以不断提高服务对象满意度，及时发现工作存在的问题，提升服务质量，提高政策知晓率。投入成本与预期产出及效果相匹配，成本测算依据充分。同时在支出过程中，严格履行政府采购程序，合理控制成本，确保资金投入与支出比例合理。当年实际支出357.54万元，执行率100%。</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2.项目执行</w:t>
      </w:r>
      <w:r>
        <w:rPr>
          <w:rFonts w:eastAsia="楷体_GB2312"/>
          <w:color w:val="000000"/>
          <w:kern w:val="0"/>
          <w:szCs w:val="32"/>
          <w:shd w:val="clear" w:color="auto" w:fill="FFFFFF"/>
          <w:lang w:val="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项目实施期限为2025年1月至12月，由西区残联申报，西区财政局审核批复，主要用于残疾人就业帮扶项目、残疾人康复帮扶项目、残疾人事业发展补助项目等各项工作开展，加强项目实施过程中的监督审核，建立健全财政专项资金的公开机制、评审机制、跟踪检查机制，确保财政资金安全高效使用。</w:t>
      </w:r>
    </w:p>
    <w:p>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目标实现。</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val="en-US" w:eastAsia="zh-CN"/>
        </w:rPr>
        <w:t>2025年西区残联预算资金357.54万元由区财政局纳入一体化管理平台统一管理，专款专用，资金拨付执行审批程序，使用规范，入账手续齐全</w:t>
      </w:r>
      <w:r>
        <w:rPr>
          <w:rFonts w:hint="eastAsia"/>
          <w:szCs w:val="32"/>
        </w:rPr>
        <w:t>。</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1）</w:t>
      </w:r>
      <w:r>
        <w:rPr>
          <w:rFonts w:hint="eastAsia"/>
          <w:szCs w:val="32"/>
        </w:rPr>
        <w:t>项目的经济效益分析。</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rPr>
        <w:t>专项工作经费的预算符合国家财经法规和财务管理制度以及有关资金管理办法的规定，资金的拨付报账有完整的审批程序和手续，资金使用符合项目预算批复，项目开展不超预算成本。严格执行项目管理制度，同时财务人员定期或不定期对资金使用、管理情况进行自查和检查，做到财务会计资料信息真实、及时、完整，资金的拨付有完整的审批程序和手续，各项制度执行落实较好，资金使用较为安全规范。项目开展控制在预算范围内。</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2）</w:t>
      </w:r>
      <w:r>
        <w:rPr>
          <w:rFonts w:hint="eastAsia"/>
          <w:szCs w:val="32"/>
        </w:rPr>
        <w:t>项目的社会效益分析。</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default" w:ascii="Times New Roman" w:hAnsi="Times New Roman" w:eastAsia="仿宋_GB2312" w:cs="Times New Roman"/>
          <w:sz w:val="32"/>
          <w:szCs w:val="32"/>
          <w:lang w:val="en-US" w:eastAsia="zh-CN"/>
        </w:rPr>
        <w:t>通过残疾人就业帮扶项目的实施，促进残疾人就业，进一步改善了残疾人生活状况，提高了残疾人生存发展水平。通过残疾人康复帮扶项目，对残疾人实施了康复救助、家庭医生签约服务，为残疾人适配了基本的生活辅具，验配了助听器，对残疾人家庭实施了无障碍改造，让残疾人的生活出行更加便捷，能积极地参与社会生活。通过其他残疾人事业帮扶项目，缓解了残疾人困难，完成了全年的绩效目标，被帮扶的残疾人满意度达基本满意及以上</w:t>
      </w:r>
      <w:r>
        <w:rPr>
          <w:rFonts w:hint="eastAsia"/>
          <w:szCs w:val="32"/>
        </w:rPr>
        <w:t>。</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3）</w:t>
      </w:r>
      <w:r>
        <w:rPr>
          <w:rFonts w:hint="eastAsia"/>
          <w:szCs w:val="32"/>
        </w:rPr>
        <w:t>项目的可持续性分析。</w:t>
      </w:r>
    </w:p>
    <w:p>
      <w:pPr>
        <w:keepNext w:val="0"/>
        <w:keepLines w:val="0"/>
        <w:pageBreakBefore w:val="0"/>
        <w:kinsoku/>
        <w:wordWrap/>
        <w:overflowPunct/>
        <w:topLinePunct w:val="0"/>
        <w:autoSpaceDE/>
        <w:autoSpaceDN/>
        <w:bidi w:val="0"/>
        <w:spacing w:line="360" w:lineRule="auto"/>
        <w:ind w:firstLine="640" w:firstLineChars="200"/>
        <w:textAlignment w:val="auto"/>
        <w:rPr>
          <w:szCs w:val="32"/>
        </w:rPr>
      </w:pPr>
      <w:r>
        <w:rPr>
          <w:rFonts w:hint="eastAsia"/>
          <w:szCs w:val="32"/>
        </w:rPr>
        <w:t>2025年度较好地完成了年初制定的工作目标任务，各个项目有序开展，整体支出平稳，较好地实现了社会效益和可持续效益目标</w:t>
      </w:r>
      <w:r>
        <w:rPr>
          <w:szCs w:val="32"/>
        </w:rPr>
        <w:t>。</w:t>
      </w:r>
    </w:p>
    <w:p>
      <w:pPr>
        <w:keepNext w:val="0"/>
        <w:keepLines w:val="0"/>
        <w:pageBreakBefore w:val="0"/>
        <w:kinsoku/>
        <w:wordWrap/>
        <w:overflowPunct/>
        <w:topLinePunct w:val="0"/>
        <w:autoSpaceDE/>
        <w:autoSpaceDN/>
        <w:bidi w:val="0"/>
        <w:snapToGrid w:val="0"/>
        <w:spacing w:line="360" w:lineRule="auto"/>
        <w:ind w:firstLine="643" w:firstLineChars="200"/>
        <w:textAlignment w:val="auto"/>
        <w:rPr>
          <w:b/>
          <w:szCs w:val="32"/>
        </w:rPr>
      </w:pPr>
      <w:r>
        <w:rPr>
          <w:rFonts w:eastAsia="楷体_GB2312"/>
          <w:b/>
          <w:bCs/>
          <w:color w:val="000000"/>
          <w:kern w:val="0"/>
          <w:szCs w:val="32"/>
          <w:shd w:val="clear" w:color="auto" w:fill="FFFFFF"/>
          <w:lang w:val="zh-CN"/>
        </w:rPr>
        <w:t>（三）</w:t>
      </w:r>
      <w:r>
        <w:rPr>
          <w:rFonts w:eastAsia="楷体_GB2312"/>
          <w:b/>
          <w:bCs/>
          <w:szCs w:val="32"/>
          <w:lang w:val="zh-CN"/>
        </w:rPr>
        <w:t>绩效结果应用情况。</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hint="eastAsia" w:ascii="仿宋" w:hAnsi="仿宋" w:eastAsia="仿宋"/>
          <w:color w:val="000000"/>
          <w:kern w:val="0"/>
          <w:szCs w:val="32"/>
          <w:shd w:val="clear" w:color="auto" w:fill="FFFFFF"/>
          <w:lang w:val="zh-CN"/>
        </w:rPr>
        <w:t>本单位所有开支均按照财务管理制度执行，资金的使用严格把关，机关的日常工作运行基本得到保障。绩效评价对全年工作目标起到积极的促进作用，强调部门目标的层层分解与传递以明确岗位职责提高执行力，为明年的工作开展及实施奠定坚实的基础。我单位将绩效自评结果运用到下一年工作的统筹安排、项目资金划拨及按照工作任务的重要性来明确资金使用上，以提高工作效率保质保量完成区委区政府交办的各项工作任务。在绩效自评工作完成后将结果放在攀枝花市西区人民政府网站政务公开栏目中公开公示。</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eastAsia="楷体_GB2312"/>
          <w:b/>
          <w:bCs/>
          <w:color w:val="000000"/>
          <w:kern w:val="0"/>
          <w:szCs w:val="32"/>
          <w:shd w:val="clear" w:color="auto" w:fill="FFFFFF"/>
        </w:rPr>
      </w:pPr>
      <w:r>
        <w:rPr>
          <w:rFonts w:eastAsia="楷体_GB2312"/>
          <w:b/>
          <w:bCs/>
          <w:color w:val="000000"/>
          <w:kern w:val="0"/>
          <w:szCs w:val="32"/>
          <w:shd w:val="clear" w:color="auto" w:fill="FFFFFF"/>
          <w:lang w:val="zh-CN"/>
        </w:rPr>
        <w:t>（一）评价结论。</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default"/>
          <w:szCs w:val="32"/>
          <w:lang w:val="en-US" w:eastAsia="zh-CN"/>
        </w:rPr>
      </w:pPr>
      <w:r>
        <w:rPr>
          <w:rFonts w:hint="eastAsia"/>
          <w:szCs w:val="32"/>
          <w:lang w:val="en-US" w:eastAsia="zh-CN"/>
        </w:rPr>
        <w:t>2025年西区残联整体支出绩效自评较科学准确，真实地反映了本单位财政收支情况，较好完成年初绩效目标任务，自评优秀。</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eastAsia="楷体_GB2312"/>
          <w:b/>
          <w:bCs/>
          <w:color w:val="000000"/>
          <w:kern w:val="0"/>
          <w:szCs w:val="32"/>
          <w:shd w:val="clear" w:color="auto" w:fill="FFFFFF"/>
          <w:lang w:val="zh-CN" w:eastAsia="zh-CN"/>
        </w:rPr>
      </w:pPr>
      <w:r>
        <w:rPr>
          <w:rFonts w:eastAsia="楷体_GB2312"/>
          <w:b/>
          <w:bCs/>
          <w:color w:val="000000"/>
          <w:kern w:val="0"/>
          <w:szCs w:val="32"/>
          <w:shd w:val="clear" w:color="auto" w:fill="FFFFFF"/>
          <w:lang w:val="zh-CN"/>
        </w:rPr>
        <w:t>（二）存在问题。</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default"/>
          <w:szCs w:val="32"/>
          <w:lang w:val="en-US" w:eastAsia="zh-CN"/>
        </w:rPr>
      </w:pPr>
      <w:r>
        <w:rPr>
          <w:rFonts w:hint="default"/>
          <w:szCs w:val="32"/>
          <w:lang w:val="en-US" w:eastAsia="zh-CN"/>
        </w:rPr>
        <w:t>一是在资金安排和使用上仍有不可预见性，如在预算执行中，有时会因临时新增重要的工作任务或者人员增加发生新的费用，而年初预算时很难精确测算相关支出，导致预算执行中需要追加经费。二是因为个别专项工作需按照上级部门安排部署开展，本年度无法完成，导致项目资金结转下年</w:t>
      </w:r>
      <w:r>
        <w:rPr>
          <w:rFonts w:hint="eastAsia"/>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eastAsia="楷体_GB2312"/>
          <w:kern w:val="0"/>
          <w:szCs w:val="32"/>
          <w:lang w:val="en" w:eastAsia="zh-CN"/>
        </w:rPr>
      </w:pPr>
      <w:r>
        <w:rPr>
          <w:rFonts w:eastAsia="楷体_GB2312"/>
          <w:b/>
          <w:bCs/>
          <w:color w:val="000000"/>
          <w:kern w:val="0"/>
          <w:szCs w:val="32"/>
          <w:shd w:val="clear" w:color="auto" w:fill="FFFFFF"/>
          <w:lang w:val="zh-CN"/>
        </w:rPr>
        <w:t>（三）改进建议。</w:t>
      </w:r>
      <w:bookmarkStart w:id="0" w:name="_Hlk110546638"/>
    </w:p>
    <w:bookmarkEnd w:id="0"/>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lang w:val="en-US" w:eastAsia="zh-CN"/>
        </w:rPr>
      </w:pPr>
      <w:r>
        <w:rPr>
          <w:rFonts w:hint="eastAsia"/>
          <w:szCs w:val="32"/>
          <w:lang w:val="en-US" w:eastAsia="zh-CN"/>
        </w:rPr>
        <w:t>进一步完善和加强单位内部财务管理制度，加强预算编制的精准性及预算项目的可实施性，加强资金使用动态管理，确保资金使用效益最大化。</w:t>
      </w:r>
    </w:p>
    <w:p>
      <w:pPr>
        <w:keepNext w:val="0"/>
        <w:keepLines w:val="0"/>
        <w:pageBreakBefore w:val="0"/>
        <w:kinsoku/>
        <w:wordWrap/>
        <w:overflowPunct/>
        <w:topLinePunct w:val="0"/>
        <w:autoSpaceDE/>
        <w:autoSpaceDN/>
        <w:bidi w:val="0"/>
        <w:spacing w:line="360" w:lineRule="auto"/>
        <w:ind w:firstLine="640" w:firstLineChars="200"/>
        <w:textAlignment w:val="auto"/>
        <w:rPr>
          <w:color w:val="000000"/>
          <w:kern w:val="0"/>
          <w:szCs w:val="32"/>
          <w:shd w:val="clear" w:color="auto" w:fill="FFFFFF"/>
        </w:rPr>
      </w:pPr>
    </w:p>
    <w:p>
      <w:pPr>
        <w:keepNext w:val="0"/>
        <w:keepLines w:val="0"/>
        <w:pageBreakBefore w:val="0"/>
        <w:kinsoku/>
        <w:wordWrap/>
        <w:overflowPunct/>
        <w:topLinePunct w:val="0"/>
        <w:autoSpaceDE/>
        <w:autoSpaceDN/>
        <w:bidi w:val="0"/>
        <w:spacing w:line="360" w:lineRule="auto"/>
        <w:ind w:firstLine="640" w:firstLineChars="200"/>
        <w:textAlignment w:val="auto"/>
        <w:rPr>
          <w:szCs w:val="32"/>
          <w:lang w:bidi="ar"/>
        </w:rPr>
      </w:pPr>
      <w:r>
        <w:rPr>
          <w:color w:val="000000"/>
          <w:kern w:val="0"/>
          <w:szCs w:val="32"/>
          <w:shd w:val="clear" w:color="auto" w:fill="FFFFFF"/>
        </w:rPr>
        <w:t>附表：</w:t>
      </w:r>
      <w:r>
        <w:rPr>
          <w:rFonts w:hint="eastAsia"/>
          <w:color w:val="000000"/>
          <w:kern w:val="0"/>
          <w:szCs w:val="32"/>
          <w:shd w:val="clear" w:color="auto" w:fill="FFFFFF"/>
        </w:rPr>
        <w:t>1.</w:t>
      </w:r>
      <w:r>
        <w:rPr>
          <w:rFonts w:hint="eastAsia"/>
          <w:szCs w:val="32"/>
          <w:lang w:bidi="ar"/>
        </w:rPr>
        <w:t>部门预算绩效自评打分表</w:t>
      </w:r>
    </w:p>
    <w:p>
      <w:pPr>
        <w:keepNext w:val="0"/>
        <w:keepLines w:val="0"/>
        <w:pageBreakBefore w:val="0"/>
        <w:kinsoku/>
        <w:wordWrap/>
        <w:overflowPunct/>
        <w:topLinePunct w:val="0"/>
        <w:autoSpaceDE/>
        <w:autoSpaceDN/>
        <w:bidi w:val="0"/>
        <w:spacing w:line="360" w:lineRule="auto"/>
        <w:ind w:firstLine="1600" w:firstLineChars="500"/>
        <w:textAlignment w:val="auto"/>
        <w:rPr>
          <w:color w:val="000000"/>
          <w:kern w:val="0"/>
          <w:szCs w:val="32"/>
          <w:shd w:val="clear" w:color="auto" w:fill="FFFFFF"/>
        </w:rPr>
      </w:pPr>
      <w:r>
        <w:rPr>
          <w:rFonts w:hint="eastAsia"/>
          <w:szCs w:val="32"/>
          <w:lang w:bidi="ar"/>
        </w:rPr>
        <w:t>2.</w:t>
      </w:r>
      <w:r>
        <w:rPr>
          <w:color w:val="000000"/>
          <w:kern w:val="0"/>
          <w:szCs w:val="32"/>
          <w:shd w:val="clear" w:color="auto" w:fill="FFFFFF"/>
        </w:rPr>
        <w:t>部门整体绩效目标完成情况自评表</w:t>
      </w:r>
    </w:p>
    <w:p>
      <w:pPr>
        <w:spacing w:line="578" w:lineRule="exact"/>
        <w:ind w:firstLine="1600" w:firstLineChars="500"/>
        <w:rPr>
          <w:szCs w:val="32"/>
          <w:lang w:bidi="ar"/>
        </w:rPr>
      </w:pPr>
    </w:p>
    <w:p>
      <w:pPr>
        <w:pStyle w:val="9"/>
        <w:ind w:left="0" w:leftChars="0" w:firstLine="4800" w:firstLineChars="1500"/>
        <w:rPr>
          <w:rFonts w:hint="eastAsia" w:ascii="Times New Roman" w:hAnsi="Times New Roman" w:eastAsia="方正仿宋_GBK" w:cs="Times New Roman"/>
          <w:kern w:val="2"/>
          <w:sz w:val="32"/>
          <w:szCs w:val="32"/>
          <w:lang w:val="en-US" w:eastAsia="zh-CN" w:bidi="ar-SA"/>
        </w:rPr>
      </w:pPr>
    </w:p>
    <w:p>
      <w:pPr>
        <w:pStyle w:val="9"/>
        <w:ind w:left="0" w:leftChars="0" w:firstLine="4800" w:firstLineChars="1500"/>
        <w:rPr>
          <w:rFonts w:hint="eastAsia" w:ascii="Times New Roman" w:hAnsi="Times New Roman" w:eastAsia="方正仿宋_GBK" w:cs="Times New Roman"/>
          <w:kern w:val="2"/>
          <w:sz w:val="32"/>
          <w:szCs w:val="32"/>
          <w:lang w:val="en-US" w:eastAsia="zh-CN" w:bidi="ar-SA"/>
        </w:rPr>
      </w:pPr>
    </w:p>
    <w:p>
      <w:pPr>
        <w:pStyle w:val="9"/>
        <w:ind w:left="0" w:leftChars="0" w:firstLine="4800" w:firstLineChars="15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攀枝花市西区残疾人联合会</w:t>
      </w:r>
    </w:p>
    <w:p>
      <w:pPr>
        <w:pStyle w:val="9"/>
        <w:ind w:firstLine="5120" w:firstLineChars="1600"/>
        <w:rPr>
          <w:rFonts w:hint="eastAsia" w:ascii="Times New Roman" w:hAnsi="Times New Roman" w:eastAsia="方正仿宋_GBK" w:cs="Times New Roman"/>
          <w:kern w:val="2"/>
          <w:sz w:val="32"/>
          <w:szCs w:val="32"/>
          <w:lang w:val="en-US" w:eastAsia="zh-CN" w:bidi="ar-SA"/>
        </w:rPr>
      </w:pPr>
      <w:bookmarkStart w:id="3" w:name="_GoBack"/>
      <w:bookmarkEnd w:id="3"/>
      <w:r>
        <w:rPr>
          <w:rFonts w:hint="eastAsia" w:ascii="Times New Roman" w:hAnsi="Times New Roman" w:eastAsia="方正仿宋_GBK" w:cs="Times New Roman"/>
          <w:kern w:val="2"/>
          <w:sz w:val="32"/>
          <w:szCs w:val="32"/>
          <w:lang w:val="en-US" w:eastAsia="zh-CN" w:bidi="ar-SA"/>
        </w:rPr>
        <w:t>2026年6月15日</w:t>
      </w:r>
    </w:p>
    <w:p>
      <w:pPr>
        <w:spacing w:line="578" w:lineRule="exact"/>
        <w:jc w:val="left"/>
        <w:rPr>
          <w:rFonts w:eastAsia="黑体"/>
        </w:rPr>
      </w:pPr>
      <w:r>
        <w:rPr>
          <w:color w:val="000000"/>
          <w:kern w:val="0"/>
          <w:szCs w:val="32"/>
          <w:shd w:val="clear" w:color="auto" w:fill="FFFFFF"/>
        </w:rPr>
        <w:br w:type="page"/>
      </w:r>
      <w:r>
        <w:rPr>
          <w:rFonts w:hint="eastAsia" w:ascii="黑体" w:hAnsi="黑体" w:eastAsia="黑体" w:cs="黑体"/>
          <w:sz w:val="28"/>
          <w:szCs w:val="28"/>
        </w:rPr>
        <w:t>附表1</w:t>
      </w:r>
    </w:p>
    <w:p>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4"/>
        <w:tblW w:w="10819" w:type="dxa"/>
        <w:jc w:val="center"/>
        <w:tblInd w:w="0" w:type="dxa"/>
        <w:tblLayout w:type="fixed"/>
        <w:tblCellMar>
          <w:top w:w="0" w:type="dxa"/>
          <w:left w:w="108" w:type="dxa"/>
          <w:bottom w:w="0" w:type="dxa"/>
          <w:right w:w="108" w:type="dxa"/>
        </w:tblCellMar>
      </w:tblPr>
      <w:tblGrid>
        <w:gridCol w:w="1004"/>
        <w:gridCol w:w="1462"/>
        <w:gridCol w:w="1665"/>
        <w:gridCol w:w="720"/>
        <w:gridCol w:w="4734"/>
        <w:gridCol w:w="756"/>
        <w:gridCol w:w="478"/>
      </w:tblGrid>
      <w:tr>
        <w:tblPrEx>
          <w:tblLayout w:type="fixed"/>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黑体" w:hAnsi="宋体" w:eastAsia="黑体" w:cs="黑体"/>
                <w:color w:val="000000"/>
                <w:kern w:val="0"/>
                <w:sz w:val="21"/>
                <w:szCs w:val="21"/>
                <w:lang w:bidi="ar"/>
              </w:rPr>
            </w:pPr>
            <w:r>
              <w:rPr>
                <w:rFonts w:hint="eastAsia" w:ascii="黑体" w:hAnsi="宋体" w:eastAsia="黑体" w:cs="黑体"/>
                <w:color w:val="000000"/>
                <w:kern w:val="0"/>
                <w:sz w:val="21"/>
                <w:szCs w:val="21"/>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黑体" w:hAnsi="宋体" w:eastAsia="黑体" w:cs="黑体"/>
                <w:color w:val="000000"/>
                <w:kern w:val="0"/>
                <w:sz w:val="21"/>
                <w:szCs w:val="21"/>
                <w:lang w:bidi="ar"/>
              </w:rPr>
            </w:pPr>
            <w:r>
              <w:rPr>
                <w:rFonts w:hint="eastAsia" w:ascii="黑体" w:hAnsi="宋体" w:eastAsia="黑体" w:cs="黑体"/>
                <w:color w:val="000000"/>
                <w:kern w:val="0"/>
                <w:sz w:val="21"/>
                <w:szCs w:val="21"/>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黑体" w:hAnsi="宋体" w:eastAsia="黑体" w:cs="黑体"/>
                <w:color w:val="000000"/>
                <w:kern w:val="0"/>
                <w:sz w:val="21"/>
                <w:szCs w:val="21"/>
                <w:lang w:bidi="ar"/>
              </w:rPr>
            </w:pPr>
            <w:r>
              <w:rPr>
                <w:rFonts w:hint="eastAsia" w:ascii="黑体" w:hAnsi="宋体" w:eastAsia="黑体" w:cs="黑体"/>
                <w:color w:val="000000"/>
                <w:kern w:val="0"/>
                <w:sz w:val="21"/>
                <w:szCs w:val="21"/>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黑体" w:hAnsi="宋体" w:eastAsia="黑体" w:cs="黑体"/>
                <w:color w:val="000000"/>
                <w:kern w:val="0"/>
                <w:sz w:val="21"/>
                <w:szCs w:val="21"/>
                <w:lang w:bidi="ar"/>
              </w:rPr>
            </w:pPr>
            <w:r>
              <w:rPr>
                <w:rFonts w:hint="eastAsia" w:ascii="黑体" w:hAnsi="宋体" w:eastAsia="黑体" w:cs="黑体"/>
                <w:color w:val="000000"/>
                <w:kern w:val="0"/>
                <w:sz w:val="21"/>
                <w:szCs w:val="21"/>
                <w:lang w:bidi="ar"/>
              </w:rPr>
              <w:t>备注</w:t>
            </w:r>
          </w:p>
        </w:tc>
      </w:tr>
      <w:tr>
        <w:tblPrEx>
          <w:tblLayout w:type="fixed"/>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hint="eastAsia" w:ascii="黑体" w:hAnsi="宋体" w:eastAsia="黑体" w:cs="黑体"/>
                <w:color w:val="000000"/>
                <w:kern w:val="0"/>
                <w:sz w:val="21"/>
                <w:szCs w:val="21"/>
                <w:lang w:bidi="ar"/>
              </w:rPr>
            </w:pPr>
            <w:r>
              <w:rPr>
                <w:rFonts w:hint="eastAsia" w:ascii="黑体" w:hAnsi="宋体" w:eastAsia="黑体" w:cs="黑体"/>
                <w:color w:val="000000"/>
                <w:kern w:val="0"/>
                <w:sz w:val="21"/>
                <w:szCs w:val="21"/>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黑体" w:hAnsi="宋体" w:eastAsia="黑体" w:cs="黑体"/>
                <w:color w:val="000000"/>
                <w:kern w:val="0"/>
                <w:sz w:val="21"/>
                <w:szCs w:val="21"/>
                <w:lang w:bidi="ar"/>
              </w:rPr>
            </w:pPr>
            <w:r>
              <w:rPr>
                <w:rFonts w:hint="eastAsia" w:ascii="黑体" w:hAnsi="宋体" w:eastAsia="黑体" w:cs="黑体"/>
                <w:color w:val="000000"/>
                <w:kern w:val="0"/>
                <w:sz w:val="21"/>
                <w:szCs w:val="21"/>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黑体" w:hAnsi="宋体" w:eastAsia="黑体" w:cs="黑体"/>
                <w:color w:val="000000"/>
                <w:kern w:val="0"/>
                <w:sz w:val="21"/>
                <w:szCs w:val="21"/>
                <w:lang w:bidi="ar"/>
              </w:rPr>
            </w:pPr>
            <w:r>
              <w:rPr>
                <w:rFonts w:hint="eastAsia" w:ascii="黑体" w:hAnsi="宋体" w:eastAsia="黑体" w:cs="黑体"/>
                <w:color w:val="000000"/>
                <w:kern w:val="0"/>
                <w:sz w:val="21"/>
                <w:szCs w:val="21"/>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黑体" w:hAnsi="宋体" w:eastAsia="黑体" w:cs="黑体"/>
                <w:color w:val="000000"/>
                <w:kern w:val="0"/>
                <w:sz w:val="21"/>
                <w:szCs w:val="21"/>
                <w:lang w:bidi="ar"/>
              </w:rPr>
            </w:pPr>
            <w:r>
              <w:rPr>
                <w:rFonts w:hint="eastAsia" w:ascii="黑体" w:hAnsi="宋体" w:eastAsia="黑体" w:cs="黑体"/>
                <w:color w:val="000000"/>
                <w:kern w:val="0"/>
                <w:sz w:val="21"/>
                <w:szCs w:val="21"/>
                <w:lang w:bidi="ar"/>
              </w:rPr>
              <w:t>指标</w:t>
            </w:r>
            <w:r>
              <w:rPr>
                <w:rFonts w:hint="eastAsia" w:ascii="黑体" w:hAnsi="宋体" w:eastAsia="黑体" w:cs="黑体"/>
                <w:color w:val="000000"/>
                <w:kern w:val="0"/>
                <w:sz w:val="21"/>
                <w:szCs w:val="21"/>
                <w:lang w:bidi="ar"/>
              </w:rPr>
              <w:br w:type="textWrapping"/>
            </w:r>
            <w:r>
              <w:rPr>
                <w:rFonts w:hint="eastAsia" w:ascii="黑体" w:hAnsi="宋体" w:eastAsia="黑体" w:cs="黑体"/>
                <w:color w:val="000000"/>
                <w:kern w:val="0"/>
                <w:sz w:val="21"/>
                <w:szCs w:val="21"/>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黑体" w:hAnsi="宋体" w:eastAsia="黑体" w:cs="黑体"/>
                <w:color w:val="000000"/>
                <w:kern w:val="0"/>
                <w:sz w:val="21"/>
                <w:szCs w:val="21"/>
                <w:lang w:bidi="ar"/>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r>
      <w:tr>
        <w:tblPrEx>
          <w:tblLayout w:type="fixed"/>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总体绩效</w:t>
            </w:r>
            <w:r>
              <w:rPr>
                <w:rFonts w:hint="eastAsia" w:eastAsia="宋体"/>
                <w:color w:val="000000"/>
                <w:kern w:val="0"/>
                <w:sz w:val="18"/>
                <w:szCs w:val="18"/>
                <w:lang w:bidi="ar"/>
              </w:rPr>
              <w:br w:type="textWrapping"/>
            </w:r>
            <w:r>
              <w:rPr>
                <w:rFonts w:hint="eastAsia" w:eastAsia="宋体"/>
                <w:color w:val="000000"/>
                <w:kern w:val="0"/>
                <w:sz w:val="18"/>
                <w:szCs w:val="18"/>
                <w:lang w:bidi="ar"/>
              </w:rPr>
              <w:t>（65分）</w:t>
            </w:r>
          </w:p>
          <w:p>
            <w:pPr>
              <w:widowControl/>
              <w:spacing w:line="240" w:lineRule="exact"/>
              <w:jc w:val="center"/>
              <w:textAlignment w:val="center"/>
              <w:rPr>
                <w:rFonts w:ascii="宋体" w:hAnsi="宋体" w:eastAsia="宋体" w:cs="宋体"/>
                <w:b/>
                <w:color w:val="000000"/>
                <w:sz w:val="24"/>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履职效能</w:t>
            </w:r>
            <w:r>
              <w:rPr>
                <w:rFonts w:hint="eastAsia" w:eastAsia="宋体"/>
                <w:color w:val="000000"/>
                <w:kern w:val="0"/>
                <w:sz w:val="18"/>
                <w:szCs w:val="18"/>
                <w:lang w:bidi="ar"/>
              </w:rPr>
              <w:br w:type="textWrapping"/>
            </w:r>
            <w:r>
              <w:rPr>
                <w:rFonts w:hint="eastAsia" w:eastAsia="宋体"/>
                <w:color w:val="000000"/>
                <w:kern w:val="0"/>
                <w:sz w:val="18"/>
                <w:szCs w:val="18"/>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eastAsia="zh-CN" w:bidi="ar"/>
              </w:rPr>
              <w:t>单位职责</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default" w:eastAsia="宋体"/>
                <w:color w:val="000000"/>
                <w:kern w:val="0"/>
                <w:sz w:val="18"/>
                <w:szCs w:val="18"/>
                <w:lang w:val="en-US" w:eastAsia="zh-CN" w:bidi="ar"/>
              </w:rPr>
            </w:pPr>
            <w:r>
              <w:rPr>
                <w:rFonts w:hint="eastAsia" w:eastAsia="宋体"/>
                <w:color w:val="000000"/>
                <w:kern w:val="0"/>
                <w:sz w:val="18"/>
                <w:szCs w:val="18"/>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预算管理</w:t>
            </w:r>
            <w:r>
              <w:rPr>
                <w:rFonts w:hint="eastAsia" w:eastAsia="宋体"/>
                <w:color w:val="000000"/>
                <w:kern w:val="0"/>
                <w:sz w:val="18"/>
                <w:szCs w:val="18"/>
                <w:lang w:bidi="ar"/>
              </w:rPr>
              <w:br w:type="textWrapping"/>
            </w:r>
            <w:r>
              <w:rPr>
                <w:rFonts w:hint="eastAsia" w:eastAsia="宋体"/>
                <w:color w:val="000000"/>
                <w:kern w:val="0"/>
                <w:sz w:val="18"/>
                <w:szCs w:val="18"/>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default" w:eastAsia="宋体"/>
                <w:color w:val="000000"/>
                <w:kern w:val="0"/>
                <w:sz w:val="18"/>
                <w:szCs w:val="18"/>
                <w:lang w:val="en-US" w:eastAsia="zh-CN" w:bidi="ar"/>
              </w:rPr>
            </w:pPr>
            <w:r>
              <w:rPr>
                <w:rFonts w:hint="eastAsia" w:eastAsia="宋体"/>
                <w:color w:val="000000"/>
                <w:kern w:val="0"/>
                <w:sz w:val="18"/>
                <w:szCs w:val="18"/>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财务管理</w:t>
            </w:r>
            <w:r>
              <w:rPr>
                <w:rFonts w:hint="eastAsia" w:eastAsia="宋体"/>
                <w:color w:val="000000"/>
                <w:kern w:val="0"/>
                <w:sz w:val="18"/>
                <w:szCs w:val="18"/>
                <w:lang w:bidi="ar"/>
              </w:rPr>
              <w:br w:type="textWrapping"/>
            </w:r>
            <w:r>
              <w:rPr>
                <w:rFonts w:hint="eastAsia" w:eastAsia="宋体"/>
                <w:color w:val="000000"/>
                <w:kern w:val="0"/>
                <w:sz w:val="18"/>
                <w:szCs w:val="18"/>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资产管理</w:t>
            </w:r>
            <w:r>
              <w:rPr>
                <w:rFonts w:hint="eastAsia" w:eastAsia="宋体"/>
                <w:color w:val="000000"/>
                <w:kern w:val="0"/>
                <w:sz w:val="18"/>
                <w:szCs w:val="18"/>
                <w:lang w:bidi="ar"/>
              </w:rPr>
              <w:br w:type="textWrapping"/>
            </w:r>
            <w:r>
              <w:rPr>
                <w:rFonts w:hint="eastAsia" w:eastAsia="宋体"/>
                <w:color w:val="000000"/>
                <w:kern w:val="0"/>
                <w:sz w:val="18"/>
                <w:szCs w:val="18"/>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default" w:eastAsia="宋体"/>
                <w:color w:val="000000"/>
                <w:kern w:val="0"/>
                <w:sz w:val="18"/>
                <w:szCs w:val="18"/>
                <w:lang w:val="en-US" w:eastAsia="zh-CN" w:bidi="ar"/>
              </w:rPr>
            </w:pPr>
            <w:r>
              <w:rPr>
                <w:rFonts w:hint="eastAsia" w:eastAsia="宋体"/>
                <w:color w:val="000000"/>
                <w:kern w:val="0"/>
                <w:sz w:val="18"/>
                <w:szCs w:val="18"/>
                <w:lang w:val="en-US" w:eastAsia="zh-CN" w:bidi="ar"/>
              </w:rPr>
              <w:t>2.5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left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采购管理</w:t>
            </w:r>
            <w:r>
              <w:rPr>
                <w:rFonts w:hint="eastAsia" w:eastAsia="宋体"/>
                <w:color w:val="000000"/>
                <w:kern w:val="0"/>
                <w:sz w:val="18"/>
                <w:szCs w:val="18"/>
                <w:lang w:bidi="ar"/>
              </w:rPr>
              <w:br w:type="textWrapping"/>
            </w:r>
            <w:r>
              <w:rPr>
                <w:rFonts w:hint="eastAsia" w:eastAsia="宋体"/>
                <w:color w:val="000000"/>
                <w:kern w:val="0"/>
                <w:sz w:val="18"/>
                <w:szCs w:val="18"/>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25"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项目绩效</w:t>
            </w:r>
            <w:r>
              <w:rPr>
                <w:rFonts w:hint="eastAsia" w:eastAsia="宋体"/>
                <w:color w:val="000000"/>
                <w:kern w:val="0"/>
                <w:sz w:val="18"/>
                <w:szCs w:val="18"/>
                <w:lang w:bidi="ar"/>
              </w:rPr>
              <w:br w:type="textWrapping"/>
            </w:r>
            <w:r>
              <w:rPr>
                <w:rFonts w:hint="eastAsia" w:eastAsia="宋体"/>
                <w:color w:val="000000"/>
                <w:kern w:val="0"/>
                <w:sz w:val="18"/>
                <w:szCs w:val="18"/>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项目决策</w:t>
            </w:r>
            <w:r>
              <w:rPr>
                <w:rFonts w:hint="eastAsia" w:eastAsia="宋体"/>
                <w:color w:val="000000"/>
                <w:kern w:val="0"/>
                <w:sz w:val="18"/>
                <w:szCs w:val="18"/>
                <w:lang w:bidi="ar"/>
              </w:rPr>
              <w:br w:type="textWrapping"/>
            </w:r>
            <w:r>
              <w:rPr>
                <w:rFonts w:hint="eastAsia" w:eastAsia="宋体"/>
                <w:color w:val="000000"/>
                <w:kern w:val="0"/>
                <w:sz w:val="18"/>
                <w:szCs w:val="18"/>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项目执行</w:t>
            </w:r>
            <w:r>
              <w:rPr>
                <w:rFonts w:hint="eastAsia" w:eastAsia="宋体"/>
                <w:color w:val="000000"/>
                <w:kern w:val="0"/>
                <w:sz w:val="18"/>
                <w:szCs w:val="18"/>
                <w:lang w:bidi="ar"/>
              </w:rPr>
              <w:br w:type="textWrapping"/>
            </w:r>
            <w:r>
              <w:rPr>
                <w:rFonts w:hint="eastAsia" w:eastAsia="宋体"/>
                <w:color w:val="000000"/>
                <w:kern w:val="0"/>
                <w:sz w:val="18"/>
                <w:szCs w:val="18"/>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目标实现</w:t>
            </w:r>
            <w:r>
              <w:rPr>
                <w:rFonts w:hint="eastAsia" w:eastAsia="宋体"/>
                <w:color w:val="000000"/>
                <w:kern w:val="0"/>
                <w:sz w:val="18"/>
                <w:szCs w:val="18"/>
                <w:lang w:bidi="ar"/>
              </w:rPr>
              <w:br w:type="textWrapping"/>
            </w:r>
            <w:r>
              <w:rPr>
                <w:rFonts w:hint="eastAsia" w:eastAsia="宋体"/>
                <w:color w:val="000000"/>
                <w:kern w:val="0"/>
                <w:sz w:val="18"/>
                <w:szCs w:val="18"/>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r>
      <w:tr>
        <w:tblPrEx>
          <w:tblLayout w:type="fixed"/>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val="en-US" w:eastAsia="zh-CN" w:bidi="ar"/>
              </w:rPr>
            </w:pPr>
            <w:r>
              <w:rPr>
                <w:rFonts w:hint="eastAsia" w:eastAsia="宋体"/>
                <w:color w:val="000000"/>
                <w:kern w:val="0"/>
                <w:sz w:val="18"/>
                <w:szCs w:val="18"/>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r>
      <w:tr>
        <w:tblPrEx>
          <w:tblLayout w:type="fixed"/>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扣分项</w:t>
            </w:r>
            <w:r>
              <w:rPr>
                <w:rFonts w:hint="eastAsia" w:eastAsia="宋体"/>
                <w:color w:val="000000"/>
                <w:kern w:val="0"/>
                <w:sz w:val="18"/>
                <w:szCs w:val="18"/>
                <w:lang w:bidi="ar"/>
              </w:rPr>
              <w:br w:type="textWrapping"/>
            </w:r>
            <w:r>
              <w:rPr>
                <w:rFonts w:hint="eastAsia" w:eastAsia="宋体"/>
                <w:color w:val="000000"/>
                <w:kern w:val="0"/>
                <w:sz w:val="18"/>
                <w:szCs w:val="18"/>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r>
              <w:rPr>
                <w:rFonts w:hint="eastAsia" w:eastAsia="宋体"/>
                <w:color w:val="000000"/>
                <w:kern w:val="0"/>
                <w:sz w:val="18"/>
                <w:szCs w:val="18"/>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18"/>
                <w:szCs w:val="18"/>
                <w:lang w:bidi="ar"/>
              </w:rPr>
            </w:pPr>
          </w:p>
        </w:tc>
      </w:tr>
    </w:tbl>
    <w:p>
      <w:pPr>
        <w:pStyle w:val="18"/>
        <w:spacing w:line="20" w:lineRule="exact"/>
      </w:pPr>
    </w:p>
    <w:p>
      <w:pPr>
        <w:spacing w:line="578" w:lineRule="exact"/>
        <w:jc w:val="left"/>
        <w:rPr>
          <w:rFonts w:hint="eastAsia" w:ascii="黑体" w:hAnsi="黑体" w:eastAsia="黑体" w:cs="黑体"/>
          <w:sz w:val="28"/>
          <w:szCs w:val="28"/>
        </w:rPr>
      </w:pPr>
      <w:r>
        <w:rPr>
          <w:rFonts w:hint="eastAsia" w:ascii="黑体" w:hAnsi="黑体" w:eastAsia="黑体" w:cs="黑体"/>
          <w:sz w:val="28"/>
          <w:szCs w:val="28"/>
        </w:rPr>
        <w:t>附表2</w:t>
      </w:r>
    </w:p>
    <w:tbl>
      <w:tblPr>
        <w:tblStyle w:val="14"/>
        <w:tblW w:w="10893" w:type="dxa"/>
        <w:jc w:val="center"/>
        <w:tblInd w:w="0" w:type="dxa"/>
        <w:tblLayout w:type="fixed"/>
        <w:tblCellMar>
          <w:top w:w="15" w:type="dxa"/>
          <w:left w:w="15" w:type="dxa"/>
          <w:bottom w:w="15" w:type="dxa"/>
          <w:right w:w="15" w:type="dxa"/>
        </w:tblCellMar>
      </w:tblPr>
      <w:tblGrid>
        <w:gridCol w:w="1485"/>
        <w:gridCol w:w="1503"/>
        <w:gridCol w:w="1030"/>
        <w:gridCol w:w="1343"/>
        <w:gridCol w:w="1145"/>
        <w:gridCol w:w="947"/>
        <w:gridCol w:w="1080"/>
        <w:gridCol w:w="2360"/>
      </w:tblGrid>
      <w:tr>
        <w:tblPrEx>
          <w:tblLayout w:type="fixed"/>
          <w:tblCellMar>
            <w:top w:w="15" w:type="dxa"/>
            <w:left w:w="15" w:type="dxa"/>
            <w:bottom w:w="15" w:type="dxa"/>
            <w:right w:w="15" w:type="dxa"/>
          </w:tblCellMar>
        </w:tblPrEx>
        <w:trPr>
          <w:trHeight w:val="762" w:hRule="exact"/>
          <w:jc w:val="center"/>
        </w:trPr>
        <w:tc>
          <w:tcPr>
            <w:tcW w:w="10893" w:type="dxa"/>
            <w:gridSpan w:val="8"/>
            <w:shd w:val="clear" w:color="auto" w:fill="auto"/>
            <w:vAlign w:val="center"/>
          </w:tcPr>
          <w:p>
            <w:pPr>
              <w:widowControl/>
              <w:spacing w:line="600" w:lineRule="exact"/>
              <w:jc w:val="center"/>
              <w:textAlignment w:val="center"/>
              <w:rPr>
                <w:rFonts w:eastAsia="黑体"/>
                <w:color w:val="000000"/>
                <w:sz w:val="28"/>
                <w:szCs w:val="28"/>
              </w:rPr>
            </w:pPr>
            <w:bookmarkStart w:id="1" w:name="OLE_LINK3"/>
            <w:r>
              <w:rPr>
                <w:rFonts w:eastAsia="方正小标宋简体"/>
                <w:color w:val="000000"/>
                <w:kern w:val="0"/>
                <w:sz w:val="44"/>
                <w:szCs w:val="44"/>
                <w:lang w:bidi="ar"/>
              </w:rPr>
              <w:t>部门整体绩效目标完成情况自评表</w:t>
            </w:r>
            <w:bookmarkEnd w:id="1"/>
          </w:p>
        </w:tc>
      </w:tr>
      <w:tr>
        <w:tblPrEx>
          <w:tblLayout w:type="fixed"/>
          <w:tblCellMar>
            <w:top w:w="15" w:type="dxa"/>
            <w:left w:w="15" w:type="dxa"/>
            <w:bottom w:w="15" w:type="dxa"/>
            <w:right w:w="15" w:type="dxa"/>
          </w:tblCellMar>
        </w:tblPrEx>
        <w:trPr>
          <w:trHeight w:val="23" w:hRule="atLeast"/>
          <w:jc w:val="center"/>
        </w:trPr>
        <w:tc>
          <w:tcPr>
            <w:tcW w:w="10893" w:type="dxa"/>
            <w:gridSpan w:val="8"/>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5</w:t>
            </w:r>
            <w:r>
              <w:rPr>
                <w:rFonts w:eastAsia="宋体"/>
                <w:color w:val="000000"/>
                <w:kern w:val="0"/>
                <w:sz w:val="28"/>
                <w:szCs w:val="28"/>
                <w:lang w:bidi="ar"/>
              </w:rPr>
              <w:t>年度）</w:t>
            </w:r>
          </w:p>
        </w:tc>
      </w:tr>
      <w:tr>
        <w:tblPrEx>
          <w:tblLayout w:type="fixed"/>
          <w:tblCellMar>
            <w:top w:w="15" w:type="dxa"/>
            <w:left w:w="15" w:type="dxa"/>
            <w:bottom w:w="15" w:type="dxa"/>
            <w:right w:w="15" w:type="dxa"/>
          </w:tblCellMar>
        </w:tblPrEx>
        <w:trPr>
          <w:trHeight w:val="329" w:hRule="atLeast"/>
          <w:jc w:val="center"/>
        </w:trPr>
        <w:tc>
          <w:tcPr>
            <w:tcW w:w="10893" w:type="dxa"/>
            <w:gridSpan w:val="8"/>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Layout w:type="fixed"/>
          <w:tblCellMar>
            <w:top w:w="15" w:type="dxa"/>
            <w:left w:w="15" w:type="dxa"/>
            <w:bottom w:w="15" w:type="dxa"/>
            <w:right w:w="15" w:type="dxa"/>
          </w:tblCellMar>
        </w:tblPrEx>
        <w:trPr>
          <w:trHeight w:val="449" w:hRule="atLeast"/>
          <w:jc w:val="center"/>
        </w:trPr>
        <w:tc>
          <w:tcPr>
            <w:tcW w:w="4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部门名称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18"/>
                <w:szCs w:val="18"/>
                <w:lang w:eastAsia="zh-CN"/>
              </w:rPr>
            </w:pPr>
            <w:r>
              <w:rPr>
                <w:rFonts w:hint="eastAsia" w:eastAsia="宋体"/>
                <w:color w:val="000000"/>
                <w:kern w:val="0"/>
                <w:sz w:val="18"/>
                <w:szCs w:val="18"/>
                <w:lang w:eastAsia="zh-CN" w:bidi="ar"/>
              </w:rPr>
              <w:t>西区残联</w:t>
            </w:r>
          </w:p>
        </w:tc>
      </w:tr>
      <w:tr>
        <w:tblPrEx>
          <w:tblLayout w:type="fixed"/>
          <w:tblCellMar>
            <w:top w:w="15" w:type="dxa"/>
            <w:left w:w="15" w:type="dxa"/>
            <w:bottom w:w="15" w:type="dxa"/>
            <w:right w:w="15" w:type="dxa"/>
          </w:tblCellMar>
        </w:tblPrEx>
        <w:trPr>
          <w:trHeight w:val="431"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年度部门整体支出预算</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资金总额</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其他资金</w:t>
            </w:r>
          </w:p>
        </w:tc>
      </w:tr>
      <w:tr>
        <w:tblPrEx>
          <w:tblLayout w:type="fixed"/>
          <w:tblCellMar>
            <w:top w:w="15" w:type="dxa"/>
            <w:left w:w="15" w:type="dxa"/>
            <w:bottom w:w="15" w:type="dxa"/>
            <w:right w:w="15" w:type="dxa"/>
          </w:tblCellMar>
        </w:tblPrEx>
        <w:trPr>
          <w:trHeight w:val="467"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18"/>
                <w:szCs w:val="18"/>
                <w:lang w:val="en-US" w:eastAsia="zh-CN"/>
              </w:rPr>
            </w:pPr>
            <w:r>
              <w:rPr>
                <w:rFonts w:hint="eastAsia" w:eastAsia="宋体"/>
                <w:color w:val="000000"/>
                <w:kern w:val="0"/>
                <w:sz w:val="18"/>
                <w:szCs w:val="18"/>
                <w:lang w:val="en-US" w:eastAsia="zh-CN" w:bidi="ar"/>
              </w:rPr>
              <w:t>357.54</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18"/>
                <w:szCs w:val="18"/>
                <w:lang w:val="en-US" w:eastAsia="zh-CN"/>
              </w:rPr>
            </w:pPr>
            <w:r>
              <w:rPr>
                <w:rFonts w:hint="eastAsia" w:eastAsia="宋体"/>
                <w:color w:val="000000"/>
                <w:kern w:val="0"/>
                <w:sz w:val="18"/>
                <w:szCs w:val="18"/>
                <w:lang w:val="en-US" w:eastAsia="zh-CN" w:bidi="ar"/>
              </w:rPr>
              <w:t>357.54</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18"/>
                <w:szCs w:val="18"/>
                <w:lang w:eastAsia="zh-CN"/>
              </w:rPr>
            </w:pPr>
            <w:r>
              <w:rPr>
                <w:rFonts w:hint="eastAsia" w:eastAsia="宋体"/>
                <w:color w:val="000000"/>
                <w:kern w:val="0"/>
                <w:sz w:val="18"/>
                <w:szCs w:val="18"/>
                <w:lang w:val="en-US" w:eastAsia="zh-CN" w:bidi="ar"/>
              </w:rPr>
              <w:t>0</w:t>
            </w:r>
          </w:p>
        </w:tc>
      </w:tr>
      <w:tr>
        <w:tblPrEx>
          <w:tblLayout w:type="fixed"/>
          <w:tblCellMar>
            <w:top w:w="15" w:type="dxa"/>
            <w:left w:w="15" w:type="dxa"/>
            <w:bottom w:w="15" w:type="dxa"/>
            <w:right w:w="15" w:type="dxa"/>
          </w:tblCellMar>
        </w:tblPrEx>
        <w:trPr>
          <w:trHeight w:val="1122" w:hRule="atLeast"/>
          <w:jc w:val="center"/>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年度总体</w:t>
            </w:r>
          </w:p>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目标</w:t>
            </w:r>
          </w:p>
        </w:tc>
        <w:tc>
          <w:tcPr>
            <w:tcW w:w="940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18"/>
                <w:szCs w:val="18"/>
              </w:rPr>
            </w:pPr>
            <w:r>
              <w:rPr>
                <w:rFonts w:hint="eastAsia" w:eastAsia="宋体"/>
                <w:color w:val="000000"/>
                <w:kern w:val="0"/>
                <w:sz w:val="18"/>
                <w:szCs w:val="18"/>
                <w:lang w:bidi="ar"/>
              </w:rPr>
              <w:t>残疾人康复专项大力推进了残疾人康复保障体系和服务体系建设，在实践中解决了部分残疾人迫切需要解决的困难，推动了残疾人基本公共服务的提升，扩大了残疾人事业的影响；以上项目的顺利实施，让理解、尊重、关心、帮助残疾人的理念深入人心，弘扬了扶残助残的社会新风尚。</w:t>
            </w:r>
          </w:p>
        </w:tc>
      </w:tr>
      <w:tr>
        <w:tblPrEx>
          <w:tblLayout w:type="fixed"/>
          <w:tblCellMar>
            <w:top w:w="15" w:type="dxa"/>
            <w:left w:w="15" w:type="dxa"/>
            <w:bottom w:w="15" w:type="dxa"/>
            <w:right w:w="15" w:type="dxa"/>
          </w:tblCellMar>
        </w:tblPrEx>
        <w:trPr>
          <w:trHeight w:val="430"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年度主要</w:t>
            </w:r>
          </w:p>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任务</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任务名称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主要内容</w:t>
            </w:r>
          </w:p>
        </w:tc>
      </w:tr>
      <w:tr>
        <w:tblPrEx>
          <w:tblLayout w:type="fixed"/>
          <w:tblCellMar>
            <w:top w:w="15" w:type="dxa"/>
            <w:left w:w="15" w:type="dxa"/>
            <w:bottom w:w="15" w:type="dxa"/>
            <w:right w:w="15" w:type="dxa"/>
          </w:tblCellMar>
        </w:tblPrEx>
        <w:trPr>
          <w:trHeight w:val="749"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18"/>
                <w:szCs w:val="18"/>
                <w:lang w:eastAsia="zh-CN"/>
              </w:rPr>
            </w:pPr>
            <w:r>
              <w:rPr>
                <w:rFonts w:hint="eastAsia" w:eastAsia="宋体"/>
                <w:color w:val="000000"/>
                <w:sz w:val="18"/>
                <w:szCs w:val="18"/>
                <w:lang w:eastAsia="zh-CN"/>
              </w:rPr>
              <w:t>整体目标</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18"/>
                <w:szCs w:val="18"/>
              </w:rPr>
            </w:pPr>
            <w:r>
              <w:rPr>
                <w:rFonts w:hint="eastAsia" w:eastAsia="宋体"/>
                <w:color w:val="000000"/>
                <w:kern w:val="0"/>
                <w:sz w:val="18"/>
                <w:szCs w:val="18"/>
                <w:lang w:bidi="ar"/>
              </w:rPr>
              <w:t>全面保障职工人员经费，保障单位日常运行，认真履行单位职能职责，全力以赴完成各项工作任务，为西区经济社会发展做出积极贡献</w:t>
            </w:r>
          </w:p>
        </w:tc>
      </w:tr>
      <w:tr>
        <w:tblPrEx>
          <w:tblLayout w:type="fixed"/>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p>
        </w:tc>
      </w:tr>
      <w:tr>
        <w:tblPrEx>
          <w:tblLayout w:type="fixed"/>
          <w:tblCellMar>
            <w:top w:w="15" w:type="dxa"/>
            <w:left w:w="15" w:type="dxa"/>
            <w:bottom w:w="15" w:type="dxa"/>
            <w:right w:w="15" w:type="dxa"/>
          </w:tblCellMar>
        </w:tblPrEx>
        <w:trPr>
          <w:trHeight w:val="70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年度绩效</w:t>
            </w:r>
          </w:p>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指标</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一级指标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二级指标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绩效指标</w:t>
            </w:r>
          </w:p>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性质</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绩效指标值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绩效度量单位</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实际完成</w:t>
            </w:r>
          </w:p>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指标值</w:t>
            </w:r>
          </w:p>
        </w:tc>
      </w:tr>
      <w:tr>
        <w:tblPrEx>
          <w:tblLayout w:type="fixed"/>
          <w:tblCellMar>
            <w:top w:w="15" w:type="dxa"/>
            <w:left w:w="15" w:type="dxa"/>
            <w:bottom w:w="15" w:type="dxa"/>
            <w:right w:w="15" w:type="dxa"/>
          </w:tblCellMar>
        </w:tblPrEx>
        <w:trPr>
          <w:trHeight w:val="40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产出指标</w:t>
            </w:r>
          </w:p>
        </w:tc>
        <w:tc>
          <w:tcPr>
            <w:tcW w:w="1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18"/>
                <w:szCs w:val="18"/>
                <w:lang w:eastAsia="zh-CN"/>
              </w:rPr>
            </w:pPr>
            <w:r>
              <w:rPr>
                <w:rFonts w:hint="eastAsia" w:eastAsia="宋体"/>
                <w:color w:val="000000"/>
                <w:kern w:val="0"/>
                <w:sz w:val="18"/>
                <w:szCs w:val="18"/>
                <w:lang w:eastAsia="zh-CN" w:bidi="ar"/>
              </w:rPr>
              <w:t>基本支出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18"/>
                <w:szCs w:val="18"/>
                <w:lang w:eastAsia="zh-CN"/>
              </w:rPr>
            </w:pPr>
            <w:r>
              <w:rPr>
                <w:rFonts w:hint="eastAsia" w:eastAsia="宋体"/>
                <w:color w:val="000000"/>
                <w:kern w:val="0"/>
                <w:sz w:val="18"/>
                <w:szCs w:val="18"/>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18"/>
                <w:szCs w:val="18"/>
                <w:lang w:eastAsia="zh-CN"/>
              </w:rPr>
            </w:pPr>
            <w:r>
              <w:rPr>
                <w:rFonts w:hint="eastAsia" w:eastAsia="宋体"/>
                <w:color w:val="000000"/>
                <w:kern w:val="0"/>
                <w:sz w:val="18"/>
                <w:szCs w:val="18"/>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18"/>
                <w:szCs w:val="18"/>
                <w:lang w:eastAsia="zh-CN"/>
              </w:rPr>
            </w:pPr>
            <w:r>
              <w:rPr>
                <w:rFonts w:hint="eastAsia" w:eastAsia="宋体"/>
                <w:color w:val="000000"/>
                <w:kern w:val="0"/>
                <w:sz w:val="18"/>
                <w:szCs w:val="18"/>
                <w:lang w:eastAsia="zh-CN" w:bidi="ar"/>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18"/>
                <w:szCs w:val="18"/>
                <w:lang w:eastAsia="zh-CN"/>
              </w:rPr>
            </w:pPr>
            <w:r>
              <w:rPr>
                <w:rFonts w:hint="eastAsia" w:eastAsia="宋体"/>
                <w:color w:val="000000"/>
                <w:kern w:val="0"/>
                <w:sz w:val="18"/>
                <w:szCs w:val="18"/>
                <w:lang w:eastAsia="zh-CN" w:bidi="ar"/>
              </w:rPr>
              <w:t>用于人员、公用经费保障</w:t>
            </w:r>
          </w:p>
        </w:tc>
      </w:tr>
      <w:tr>
        <w:tblPrEx>
          <w:tblLayout w:type="fixed"/>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sz w:val="18"/>
                <w:szCs w:val="18"/>
              </w:rPr>
              <w:t>项目支出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18"/>
                <w:szCs w:val="18"/>
                <w:lang w:eastAsia="zh-CN"/>
              </w:rPr>
            </w:pPr>
            <w:r>
              <w:rPr>
                <w:rFonts w:hint="eastAsia" w:eastAsia="宋体"/>
                <w:color w:val="000000"/>
                <w:sz w:val="18"/>
                <w:szCs w:val="18"/>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eastAsia="宋体"/>
                <w:color w:val="000000"/>
                <w:sz w:val="18"/>
                <w:szCs w:val="18"/>
                <w:lang w:eastAsia="zh-CN"/>
              </w:rPr>
            </w:pPr>
            <w:r>
              <w:rPr>
                <w:rFonts w:hint="default" w:eastAsia="宋体"/>
                <w:color w:val="000000"/>
                <w:sz w:val="18"/>
                <w:szCs w:val="18"/>
                <w:lang w:val="en-US" w:eastAsia="zh-CN"/>
              </w:rPr>
              <w:t>用于保障残疾人康复、残疾人就业、残疾人事业发展等项目正常运转</w:t>
            </w:r>
          </w:p>
        </w:tc>
      </w:tr>
      <w:tr>
        <w:tblPrEx>
          <w:tblLayout w:type="fixed"/>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sz w:val="18"/>
                <w:szCs w:val="18"/>
              </w:rPr>
              <w:t>按工作进度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18"/>
                <w:szCs w:val="18"/>
                <w:lang w:eastAsia="zh-CN"/>
              </w:rPr>
            </w:pPr>
            <w:r>
              <w:rPr>
                <w:rFonts w:hint="eastAsia" w:eastAsia="宋体"/>
                <w:color w:val="000000"/>
                <w:sz w:val="18"/>
                <w:szCs w:val="18"/>
                <w:lang w:eastAsia="zh-CN"/>
              </w:rPr>
              <w:t>次</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r>
              <w:rPr>
                <w:rFonts w:hint="eastAsia" w:eastAsia="宋体"/>
                <w:color w:val="000000"/>
                <w:sz w:val="18"/>
                <w:szCs w:val="18"/>
              </w:rPr>
              <w:t>通过残疾人就业与扶贫项目的实施，促进了残疾人就业，进一步改善了残疾人生活状况</w:t>
            </w:r>
          </w:p>
        </w:tc>
      </w:tr>
      <w:tr>
        <w:tblPrEx>
          <w:tblLayout w:type="fixed"/>
          <w:tblCellMar>
            <w:top w:w="15" w:type="dxa"/>
            <w:left w:w="15" w:type="dxa"/>
            <w:bottom w:w="15" w:type="dxa"/>
            <w:right w:w="15" w:type="dxa"/>
          </w:tblCellMar>
        </w:tblPrEx>
        <w:trPr>
          <w:trHeight w:val="421"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sz w:val="18"/>
                <w:szCs w:val="18"/>
              </w:rPr>
              <w:t>202</w:t>
            </w:r>
            <w:r>
              <w:rPr>
                <w:rFonts w:hint="eastAsia" w:eastAsia="宋体"/>
                <w:color w:val="000000"/>
                <w:sz w:val="18"/>
                <w:szCs w:val="18"/>
                <w:lang w:val="en-US" w:eastAsia="zh-CN"/>
              </w:rPr>
              <w:t>5</w:t>
            </w:r>
            <w:r>
              <w:rPr>
                <w:rFonts w:hint="eastAsia" w:eastAsia="宋体"/>
                <w:color w:val="000000"/>
                <w:sz w:val="18"/>
                <w:szCs w:val="18"/>
              </w:rPr>
              <w:t>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18"/>
                <w:szCs w:val="18"/>
                <w:lang w:eastAsia="zh-CN"/>
              </w:rPr>
            </w:pPr>
            <w:r>
              <w:rPr>
                <w:rFonts w:hint="eastAsia" w:eastAsia="宋体"/>
                <w:color w:val="000000"/>
                <w:sz w:val="18"/>
                <w:szCs w:val="18"/>
                <w:lang w:eastAsia="zh-CN"/>
              </w:rPr>
              <w:t>时间</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r>
              <w:rPr>
                <w:rFonts w:hint="eastAsia" w:eastAsia="宋体"/>
                <w:color w:val="000000"/>
                <w:sz w:val="18"/>
                <w:szCs w:val="18"/>
              </w:rPr>
              <w:t>1-12月</w:t>
            </w:r>
          </w:p>
        </w:tc>
      </w:tr>
      <w:tr>
        <w:tblPrEx>
          <w:tblLayout w:type="fixed"/>
          <w:tblCellMar>
            <w:top w:w="15" w:type="dxa"/>
            <w:left w:w="15" w:type="dxa"/>
            <w:bottom w:w="15" w:type="dxa"/>
            <w:right w:w="15" w:type="dxa"/>
          </w:tblCellMar>
        </w:tblPrEx>
        <w:trPr>
          <w:trHeight w:val="440"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bookmarkStart w:id="2" w:name="OLE_LINK1" w:colFirst="2" w:colLast="7"/>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hint="eastAsia" w:eastAsia="宋体"/>
                <w:color w:val="000000"/>
                <w:kern w:val="0"/>
                <w:sz w:val="18"/>
                <w:szCs w:val="18"/>
                <w:lang w:val="en-US" w:eastAsia="zh-CN" w:bidi="ar"/>
              </w:rPr>
              <w:t>成本指标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18"/>
                <w:szCs w:val="18"/>
                <w:lang w:eastAsia="zh-CN"/>
              </w:rPr>
            </w:pPr>
            <w:r>
              <w:rPr>
                <w:rFonts w:hint="eastAsia" w:eastAsia="宋体"/>
                <w:color w:val="000000"/>
                <w:sz w:val="18"/>
                <w:szCs w:val="18"/>
                <w:lang w:eastAsia="zh-CN"/>
              </w:rPr>
              <w:t>经费</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eastAsia="zh-CN" w:bidi="ar"/>
              </w:rPr>
              <w:t>万元</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default" w:eastAsia="宋体"/>
                <w:color w:val="000000"/>
                <w:sz w:val="18"/>
                <w:szCs w:val="18"/>
                <w:lang w:val="en-US" w:eastAsia="zh-CN"/>
              </w:rPr>
            </w:pPr>
            <w:r>
              <w:rPr>
                <w:rFonts w:hint="eastAsia" w:eastAsia="宋体"/>
                <w:color w:val="000000"/>
                <w:sz w:val="18"/>
                <w:szCs w:val="18"/>
                <w:lang w:val="en-US" w:eastAsia="zh-CN"/>
              </w:rPr>
              <w:t>357.54</w:t>
            </w:r>
          </w:p>
        </w:tc>
      </w:tr>
      <w:bookmarkEnd w:id="2"/>
      <w:tr>
        <w:tblPrEx>
          <w:tblLayout w:type="fixed"/>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503"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效益指标</w:t>
            </w:r>
          </w:p>
        </w:tc>
        <w:tc>
          <w:tcPr>
            <w:tcW w:w="1030"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社会效益</w:t>
            </w:r>
          </w:p>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sz w:val="18"/>
                <w:szCs w:val="18"/>
              </w:rPr>
              <w:t>职能职责</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kern w:val="0"/>
                <w:sz w:val="18"/>
                <w:szCs w:val="18"/>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18"/>
                <w:szCs w:val="18"/>
                <w:lang w:eastAsia="zh-CN"/>
              </w:rPr>
            </w:pPr>
            <w:r>
              <w:rPr>
                <w:rFonts w:hint="eastAsia" w:eastAsia="宋体"/>
                <w:color w:val="000000"/>
                <w:sz w:val="18"/>
                <w:szCs w:val="18"/>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r>
              <w:rPr>
                <w:rFonts w:hint="eastAsia" w:eastAsia="宋体"/>
                <w:color w:val="000000"/>
                <w:sz w:val="18"/>
                <w:szCs w:val="18"/>
              </w:rPr>
              <w:t>保证机构正常运行，确保完成年度职能目标任务</w:t>
            </w:r>
          </w:p>
        </w:tc>
      </w:tr>
      <w:tr>
        <w:tblPrEx>
          <w:tblLayout w:type="fixed"/>
          <w:tblCellMar>
            <w:top w:w="15" w:type="dxa"/>
            <w:left w:w="15" w:type="dxa"/>
            <w:bottom w:w="15" w:type="dxa"/>
            <w:right w:w="15" w:type="dxa"/>
          </w:tblCellMar>
        </w:tblPrEx>
        <w:trPr>
          <w:trHeight w:val="625"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满意度指标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lang w:bidi="ar"/>
              </w:rPr>
              <w:t>满意度指标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18"/>
                <w:szCs w:val="18"/>
                <w:lang w:eastAsia="zh-CN"/>
              </w:rPr>
            </w:pPr>
            <w:r>
              <w:rPr>
                <w:rFonts w:hint="eastAsia" w:eastAsia="宋体"/>
                <w:color w:val="000000"/>
                <w:sz w:val="18"/>
                <w:szCs w:val="18"/>
                <w:lang w:eastAsia="zh-CN"/>
              </w:rPr>
              <w:t>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18"/>
                <w:szCs w:val="18"/>
                <w:lang w:val="en-US" w:eastAsia="zh-CN"/>
              </w:rPr>
            </w:pPr>
            <w:r>
              <w:rPr>
                <w:rFonts w:hint="eastAsia" w:eastAsia="宋体"/>
                <w:color w:val="000000"/>
                <w:sz w:val="18"/>
                <w:szCs w:val="18"/>
                <w:lang w:eastAsia="zh-CN"/>
              </w:rPr>
              <w:t>抽样满意</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18"/>
                <w:szCs w:val="18"/>
                <w:lang w:val="en-US" w:eastAsia="zh-CN"/>
              </w:rPr>
            </w:pPr>
            <w:r>
              <w:rPr>
                <w:rFonts w:hint="eastAsia" w:eastAsia="宋体"/>
                <w:color w:val="000000"/>
                <w:kern w:val="0"/>
                <w:sz w:val="18"/>
                <w:szCs w:val="18"/>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18"/>
                <w:szCs w:val="18"/>
                <w:lang w:eastAsia="zh-CN"/>
              </w:rPr>
            </w:pPr>
            <w:r>
              <w:rPr>
                <w:rFonts w:hint="eastAsia" w:eastAsia="宋体"/>
                <w:color w:val="000000"/>
                <w:sz w:val="18"/>
                <w:szCs w:val="18"/>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18"/>
                <w:szCs w:val="18"/>
              </w:rPr>
            </w:pPr>
            <w:r>
              <w:rPr>
                <w:rFonts w:hint="eastAsia" w:eastAsia="宋体"/>
                <w:color w:val="000000"/>
                <w:sz w:val="18"/>
                <w:szCs w:val="18"/>
              </w:rPr>
              <w:t>≥95</w:t>
            </w:r>
          </w:p>
        </w:tc>
      </w:tr>
    </w:tbl>
    <w:p>
      <w:pPr>
        <w:pStyle w:val="7"/>
        <w:rPr>
          <w:rFonts w:hint="eastAsia" w:ascii="Times New Roman" w:hAnsi="Times New Roman" w:eastAsia="方正仿宋_GBK" w:cs="Times New Roman"/>
          <w:sz w:val="32"/>
          <w:szCs w:val="32"/>
          <w:lang w:val="en-US" w:eastAsia="zh-CN"/>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pStyle w:val="7"/>
        <w:rPr>
          <w:rFonts w:hint="default" w:ascii="Times New Roman" w:hAnsi="Times New Roman" w:eastAsia="方正仿宋_GBK" w:cs="Times New Roman"/>
          <w:sz w:val="33"/>
          <w:szCs w:val="33"/>
        </w:rPr>
      </w:pPr>
    </w:p>
    <w:p>
      <w:pPr>
        <w:rPr>
          <w:rFonts w:hint="default"/>
        </w:rPr>
      </w:pPr>
    </w:p>
    <w:p>
      <w:pPr>
        <w:tabs>
          <w:tab w:val="center" w:pos="4156"/>
          <w:tab w:val="left" w:pos="7700"/>
        </w:tabs>
        <w:spacing w:line="600" w:lineRule="exact"/>
        <w:ind w:firstLine="280" w:firstLineChars="100"/>
        <w:jc w:val="left"/>
      </w:pPr>
      <w:r>
        <w:rPr>
          <w:rFonts w:eastAsia="方正仿宋_GBK"/>
          <w:sz w:val="28"/>
          <w:szCs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63500</wp:posOffset>
                </wp:positionV>
                <wp:extent cx="55880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588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5pt;height:0pt;width:440pt;z-index:251664384;mso-width-relative:page;mso-height-relative:page;" filled="f" stroked="t" coordsize="21600,21600" o:gfxdata="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D26rSAAAABgEAAA8AAAAAAAAAAQAg&#10;AAAAIgAAAGRycy9kb3ducmV2LnhtbFBLAQIUABQAAAAIAIdO4kB4LQZJ2wEAAJYDAAAOAAAAAAAA&#10;AAEAIAAAACEBAABkcnMvZTJvRG9jLnhtbFBLBQYAAAAABgAGAFkBAABuBQAAAAA=&#10;">
                <v:fill on="f" focussize="0,0"/>
                <v:stroke color="#000000" joinstyle="round"/>
                <v:imagedata o:title=""/>
                <o:lock v:ext="edit" aspectratio="f"/>
              </v:line>
            </w:pict>
          </mc:Fallback>
        </mc:AlternateContent>
      </w:r>
      <w:r>
        <w:rPr>
          <w:rFonts w:eastAsia="方正仿宋_GBK"/>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387350</wp:posOffset>
                </wp:positionV>
                <wp:extent cx="560705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0705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0.5pt;height:0pt;width:441.5pt;z-index:251665408;mso-width-relative:page;mso-height-relative:page;" filled="f" stroked="t" coordsize="21600,21600" o:gfxdata="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E0y0y0wAAAAYBAAAPAAAAAAAAAAEA&#10;IAAAACIAAABkcnMvZG93bnJldi54bWxQSwECFAAUAAAACACHTuJAyQf789sBAACWAwAADgAAAAAA&#10;AAABACAAAAAiAQAAZHJzL2Uyb0RvYy54bWxQSwUGAAAAAAYABgBZAQAAbwUAAAAA&#10;">
                <v:fill on="f" focussize="0,0"/>
                <v:stroke color="#000000" joinstyle="round"/>
                <v:imagedata o:title=""/>
                <o:lock v:ext="edit" aspectratio="f"/>
              </v:line>
            </w:pict>
          </mc:Fallback>
        </mc:AlternateContent>
      </w:r>
      <w:r>
        <w:rPr>
          <w:rFonts w:eastAsia="方正仿宋_GBK"/>
          <w:sz w:val="28"/>
          <w:szCs w:val="28"/>
        </w:rPr>
        <w:t>攀枝花市西区</w:t>
      </w:r>
      <w:r>
        <w:rPr>
          <w:rFonts w:hint="eastAsia" w:eastAsia="方正仿宋_GBK"/>
          <w:sz w:val="28"/>
          <w:szCs w:val="28"/>
          <w:lang w:eastAsia="zh-CN"/>
        </w:rPr>
        <w:t>残疾人联合会</w:t>
      </w:r>
      <w:r>
        <w:rPr>
          <w:rFonts w:eastAsia="方正仿宋_GBK"/>
          <w:sz w:val="28"/>
          <w:szCs w:val="28"/>
        </w:rPr>
        <w:t>办公室</w:t>
      </w:r>
      <w:r>
        <w:rPr>
          <w:rFonts w:hint="eastAsia" w:eastAsia="方正仿宋_GBK"/>
          <w:sz w:val="28"/>
          <w:szCs w:val="28"/>
        </w:rPr>
        <w:t xml:space="preserve">   </w:t>
      </w:r>
      <w:r>
        <w:rPr>
          <w:rFonts w:eastAsia="方正仿宋_GBK"/>
          <w:sz w:val="28"/>
          <w:szCs w:val="28"/>
        </w:rPr>
        <w:t xml:space="preserve">    </w:t>
      </w:r>
      <w:r>
        <w:rPr>
          <w:rFonts w:hint="eastAsia" w:eastAsia="方正仿宋_GBK"/>
          <w:sz w:val="28"/>
          <w:szCs w:val="28"/>
        </w:rPr>
        <w:t xml:space="preserve">  </w:t>
      </w:r>
      <w:r>
        <w:rPr>
          <w:rFonts w:hint="eastAsia" w:ascii="Times New Roman" w:hAnsi="Times New Roman" w:eastAsia="方正仿宋_GBK" w:cs="Times New Roman"/>
          <w:kern w:val="2"/>
          <w:sz w:val="28"/>
          <w:szCs w:val="28"/>
          <w:lang w:val="en-US" w:eastAsia="zh-CN" w:bidi="ar-SA"/>
        </w:rPr>
        <w:t>2026年6月15日印发</w:t>
      </w:r>
    </w:p>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11"/>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bordersDoNotSurroundHeader w:val="1"/>
  <w:bordersDoNotSurroundFooter w:val="1"/>
  <w:documentProtection w:enforcement="0"/>
  <w:defaultTabStop w:val="420"/>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zQxYTRlNjk4MDU3ODhkODNhNzlhZWNhNGRmZDI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161778D"/>
    <w:rsid w:val="019438E7"/>
    <w:rsid w:val="05B87AC5"/>
    <w:rsid w:val="0D20238E"/>
    <w:rsid w:val="0DC31556"/>
    <w:rsid w:val="1A3D6143"/>
    <w:rsid w:val="1C013801"/>
    <w:rsid w:val="1DFD8D3B"/>
    <w:rsid w:val="1FB79DC9"/>
    <w:rsid w:val="1FBFC3F2"/>
    <w:rsid w:val="1FFFE033"/>
    <w:rsid w:val="24A31107"/>
    <w:rsid w:val="27F352A6"/>
    <w:rsid w:val="290B2B85"/>
    <w:rsid w:val="29560A0A"/>
    <w:rsid w:val="2A6A2028"/>
    <w:rsid w:val="2C685615"/>
    <w:rsid w:val="2D527252"/>
    <w:rsid w:val="2DDC1740"/>
    <w:rsid w:val="2EAE55F2"/>
    <w:rsid w:val="2EDF4302"/>
    <w:rsid w:val="2EFE1A04"/>
    <w:rsid w:val="2FFF3854"/>
    <w:rsid w:val="30CE7103"/>
    <w:rsid w:val="35BBF80F"/>
    <w:rsid w:val="3B0B3937"/>
    <w:rsid w:val="3B736F08"/>
    <w:rsid w:val="3BE3D531"/>
    <w:rsid w:val="3D431A40"/>
    <w:rsid w:val="3EFF42CA"/>
    <w:rsid w:val="3F6FCA38"/>
    <w:rsid w:val="3FD5AF3D"/>
    <w:rsid w:val="3FFED8BE"/>
    <w:rsid w:val="3FFF43BB"/>
    <w:rsid w:val="3FFFFC14"/>
    <w:rsid w:val="42B752F3"/>
    <w:rsid w:val="433DCF8E"/>
    <w:rsid w:val="44D119E4"/>
    <w:rsid w:val="45FF973D"/>
    <w:rsid w:val="46425CDD"/>
    <w:rsid w:val="47550EBA"/>
    <w:rsid w:val="4AEF2681"/>
    <w:rsid w:val="4BF7E09D"/>
    <w:rsid w:val="53BB74FC"/>
    <w:rsid w:val="55FDDF92"/>
    <w:rsid w:val="55FFBC03"/>
    <w:rsid w:val="56CDA72E"/>
    <w:rsid w:val="575344C9"/>
    <w:rsid w:val="576F5916"/>
    <w:rsid w:val="577FDAE2"/>
    <w:rsid w:val="57F97A62"/>
    <w:rsid w:val="57FBE2C7"/>
    <w:rsid w:val="5B335734"/>
    <w:rsid w:val="5B7F322F"/>
    <w:rsid w:val="5BCAB023"/>
    <w:rsid w:val="5BEACB58"/>
    <w:rsid w:val="5D8649C7"/>
    <w:rsid w:val="5DDA9B94"/>
    <w:rsid w:val="5EAB810D"/>
    <w:rsid w:val="5EFA9846"/>
    <w:rsid w:val="5EFF9DA6"/>
    <w:rsid w:val="5F7751B9"/>
    <w:rsid w:val="5F9F7232"/>
    <w:rsid w:val="5F9F9588"/>
    <w:rsid w:val="5FBD32D2"/>
    <w:rsid w:val="5FD450B0"/>
    <w:rsid w:val="5FEF60CD"/>
    <w:rsid w:val="5FFB203D"/>
    <w:rsid w:val="5FFB8CF9"/>
    <w:rsid w:val="63DBAF21"/>
    <w:rsid w:val="6636451A"/>
    <w:rsid w:val="67DE80AA"/>
    <w:rsid w:val="697E3B47"/>
    <w:rsid w:val="69BF132E"/>
    <w:rsid w:val="6B7F84D8"/>
    <w:rsid w:val="6BFEE5F3"/>
    <w:rsid w:val="6CAFF34E"/>
    <w:rsid w:val="6CFFCF4F"/>
    <w:rsid w:val="6DFFF8B6"/>
    <w:rsid w:val="6E491A40"/>
    <w:rsid w:val="6E9FE641"/>
    <w:rsid w:val="6EEDE807"/>
    <w:rsid w:val="6EEE4BE4"/>
    <w:rsid w:val="6EF65E9C"/>
    <w:rsid w:val="6F3D9197"/>
    <w:rsid w:val="6F6F75B6"/>
    <w:rsid w:val="6FAB3EC4"/>
    <w:rsid w:val="6FB6AF41"/>
    <w:rsid w:val="6FD52DA7"/>
    <w:rsid w:val="6FD894C8"/>
    <w:rsid w:val="6FE36A9E"/>
    <w:rsid w:val="6FEFB2D1"/>
    <w:rsid w:val="6FFF97E6"/>
    <w:rsid w:val="71397E03"/>
    <w:rsid w:val="71FB5B08"/>
    <w:rsid w:val="73FB87D9"/>
    <w:rsid w:val="75EF0FBA"/>
    <w:rsid w:val="7607C293"/>
    <w:rsid w:val="76793C4E"/>
    <w:rsid w:val="767B0EE7"/>
    <w:rsid w:val="76DF783A"/>
    <w:rsid w:val="76DFA4E8"/>
    <w:rsid w:val="774C1DDA"/>
    <w:rsid w:val="776800BB"/>
    <w:rsid w:val="778720BD"/>
    <w:rsid w:val="77A7D615"/>
    <w:rsid w:val="77FF366A"/>
    <w:rsid w:val="77FF8C96"/>
    <w:rsid w:val="77FFA8F9"/>
    <w:rsid w:val="7976604B"/>
    <w:rsid w:val="79F3BC78"/>
    <w:rsid w:val="7A5B6CAA"/>
    <w:rsid w:val="7A9314AC"/>
    <w:rsid w:val="7B4F6850"/>
    <w:rsid w:val="7BABD5C4"/>
    <w:rsid w:val="7BB12055"/>
    <w:rsid w:val="7BBFADBA"/>
    <w:rsid w:val="7BF7F9C6"/>
    <w:rsid w:val="7BFF492D"/>
    <w:rsid w:val="7C631402"/>
    <w:rsid w:val="7C978C63"/>
    <w:rsid w:val="7CA35AD0"/>
    <w:rsid w:val="7CDF8BC3"/>
    <w:rsid w:val="7CEB72A5"/>
    <w:rsid w:val="7D18750B"/>
    <w:rsid w:val="7DDFDC39"/>
    <w:rsid w:val="7DFDEECD"/>
    <w:rsid w:val="7E140770"/>
    <w:rsid w:val="7E5D92FB"/>
    <w:rsid w:val="7E635AE7"/>
    <w:rsid w:val="7EF51D64"/>
    <w:rsid w:val="7EFFF488"/>
    <w:rsid w:val="7F574612"/>
    <w:rsid w:val="7F7F4920"/>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3"/>
    <w:basedOn w:val="1"/>
    <w:next w:val="1"/>
    <w:qFormat/>
    <w:uiPriority w:val="0"/>
    <w:pPr>
      <w:keepNext/>
      <w:keepLines/>
      <w:spacing w:line="560" w:lineRule="exact"/>
      <w:ind w:firstLine="720" w:firstLineChars="200"/>
      <w:outlineLvl w:val="2"/>
    </w:pPr>
    <w:rPr>
      <w:rFonts w:eastAsia="楷体_GB2312"/>
      <w:b/>
      <w:kern w:val="0"/>
      <w:sz w:val="32"/>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qFormat/>
    <w:uiPriority w:val="0"/>
    <w:pPr>
      <w:spacing w:after="120"/>
      <w:ind w:left="200" w:leftChars="200"/>
    </w:pPr>
    <w:rPr>
      <w:rFonts w:ascii="仿宋_GB2312"/>
      <w:szCs w:val="32"/>
    </w:rPr>
  </w:style>
  <w:style w:type="paragraph" w:styleId="5">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6">
    <w:name w:val="Document Map"/>
    <w:basedOn w:val="1"/>
    <w:link w:val="21"/>
    <w:qFormat/>
    <w:uiPriority w:val="0"/>
    <w:rPr>
      <w:rFonts w:ascii="宋体" w:eastAsia="宋体"/>
      <w:sz w:val="18"/>
      <w:szCs w:val="18"/>
    </w:rPr>
  </w:style>
  <w:style w:type="paragraph" w:styleId="7">
    <w:name w:val="Body Text"/>
    <w:basedOn w:val="1"/>
    <w:next w:val="8"/>
    <w:qFormat/>
    <w:uiPriority w:val="0"/>
    <w:pPr>
      <w:spacing w:after="120"/>
    </w:pPr>
  </w:style>
  <w:style w:type="paragraph" w:styleId="8">
    <w:name w:val="Block Text"/>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9">
    <w:name w:val="Body Text Indent 2"/>
    <w:basedOn w:val="1"/>
    <w:qFormat/>
    <w:uiPriority w:val="0"/>
    <w:pPr>
      <w:spacing w:line="480" w:lineRule="auto"/>
      <w:ind w:left="200" w:leftChars="200"/>
    </w:pPr>
    <w:rPr>
      <w:szCs w:val="24"/>
    </w:rPr>
  </w:style>
  <w:style w:type="paragraph" w:styleId="10">
    <w:name w:val="Balloon Text"/>
    <w:basedOn w:val="1"/>
    <w:semiHidden/>
    <w:qFormat/>
    <w:uiPriority w:val="0"/>
    <w:rPr>
      <w:sz w:val="18"/>
      <w:szCs w:val="18"/>
    </w:rPr>
  </w:style>
  <w:style w:type="paragraph" w:styleId="11">
    <w:name w:val="footer"/>
    <w:basedOn w:val="1"/>
    <w:link w:val="23"/>
    <w:qFormat/>
    <w:uiPriority w:val="99"/>
    <w:pPr>
      <w:tabs>
        <w:tab w:val="center" w:pos="4153"/>
        <w:tab w:val="right" w:pos="8306"/>
      </w:tabs>
      <w:snapToGrid w:val="0"/>
      <w:jc w:val="left"/>
    </w:pPr>
    <w:rPr>
      <w:rFonts w:eastAsia="宋体"/>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3">
    <w:name w:val="toc 1"/>
    <w:basedOn w:val="1"/>
    <w:next w:val="1"/>
    <w:qFormat/>
    <w:uiPriority w:val="0"/>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7">
    <w:name w:val="page number"/>
    <w:basedOn w:val="16"/>
    <w:qFormat/>
    <w:uiPriority w:val="0"/>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9">
    <w:name w:val="四号正文"/>
    <w:basedOn w:val="1"/>
    <w:link w:val="20"/>
    <w:qFormat/>
    <w:uiPriority w:val="0"/>
    <w:pPr>
      <w:spacing w:line="360" w:lineRule="auto"/>
    </w:pPr>
    <w:rPr>
      <w:rFonts w:ascii="??" w:hAnsi="??" w:eastAsia="宋体" w:cs="宋体"/>
      <w:color w:val="000000"/>
      <w:kern w:val="0"/>
      <w:sz w:val="28"/>
      <w:szCs w:val="21"/>
    </w:rPr>
  </w:style>
  <w:style w:type="character" w:customStyle="1" w:styleId="20">
    <w:name w:val="四号正文 Char"/>
    <w:basedOn w:val="16"/>
    <w:link w:val="19"/>
    <w:qFormat/>
    <w:uiPriority w:val="0"/>
    <w:rPr>
      <w:rFonts w:ascii="??" w:hAnsi="??" w:eastAsia="宋体" w:cs="宋体"/>
      <w:color w:val="000000"/>
      <w:sz w:val="28"/>
      <w:szCs w:val="21"/>
      <w:lang w:val="en-US" w:eastAsia="zh-CN" w:bidi="ar-SA"/>
    </w:rPr>
  </w:style>
  <w:style w:type="character" w:customStyle="1" w:styleId="21">
    <w:name w:val="文档结构图 Char"/>
    <w:basedOn w:val="16"/>
    <w:link w:val="6"/>
    <w:qFormat/>
    <w:uiPriority w:val="0"/>
    <w:rPr>
      <w:rFonts w:ascii="宋体"/>
      <w:kern w:val="2"/>
      <w:sz w:val="18"/>
      <w:szCs w:val="18"/>
    </w:rPr>
  </w:style>
  <w:style w:type="paragraph" w:customStyle="1" w:styleId="22">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3">
    <w:name w:val="页脚 Char"/>
    <w:basedOn w:val="16"/>
    <w:link w:val="11"/>
    <w:qFormat/>
    <w:uiPriority w:val="99"/>
    <w:rPr>
      <w:kern w:val="2"/>
      <w:sz w:val="18"/>
      <w:szCs w:val="18"/>
    </w:rPr>
  </w:style>
  <w:style w:type="character" w:customStyle="1" w:styleId="24">
    <w:name w:val="font31"/>
    <w:basedOn w:val="16"/>
    <w:qFormat/>
    <w:uiPriority w:val="0"/>
    <w:rPr>
      <w:rFonts w:hint="eastAsia" w:ascii="宋体" w:hAnsi="宋体" w:eastAsia="宋体" w:cs="宋体"/>
      <w:color w:val="000000"/>
      <w:sz w:val="24"/>
      <w:szCs w:val="24"/>
      <w:u w:val="none"/>
    </w:rPr>
  </w:style>
  <w:style w:type="character" w:customStyle="1" w:styleId="25">
    <w:name w:val="font51"/>
    <w:basedOn w:val="16"/>
    <w:qFormat/>
    <w:uiPriority w:val="0"/>
    <w:rPr>
      <w:rFonts w:hint="default" w:ascii="Wingdings 2" w:hAnsi="Wingdings 2" w:eastAsia="Wingdings 2" w:cs="Wingdings 2"/>
      <w:color w:val="000000"/>
      <w:sz w:val="18"/>
      <w:szCs w:val="18"/>
      <w:u w:val="none"/>
    </w:rPr>
  </w:style>
  <w:style w:type="character" w:customStyle="1" w:styleId="26">
    <w:name w:val="font01"/>
    <w:basedOn w:val="16"/>
    <w:qFormat/>
    <w:uiPriority w:val="0"/>
    <w:rPr>
      <w:rFonts w:ascii="宋体" w:hAnsi="宋体" w:eastAsia="宋体" w:cs="宋体"/>
      <w:color w:val="000000"/>
      <w:sz w:val="18"/>
      <w:szCs w:val="18"/>
      <w:u w:val="none"/>
    </w:rPr>
  </w:style>
  <w:style w:type="character" w:customStyle="1" w:styleId="27">
    <w:name w:val="font41"/>
    <w:basedOn w:val="16"/>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14</Pages>
  <Words>5524</Words>
  <Characters>5726</Characters>
  <Lines>18</Lines>
  <Paragraphs>5</Paragraphs>
  <TotalTime>4</TotalTime>
  <ScaleCrop>false</ScaleCrop>
  <LinksUpToDate>false</LinksUpToDate>
  <CharactersWithSpaces>5726</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2025-03-27T08:07:00Z</dcterms:created>
  <dc:creator>陈萍</dc:creator>
  <cp:lastModifiedBy>Administrator</cp:lastModifiedBy>
  <cp:lastPrinted>2025-03-04T19:05:00Z</cp:lastPrinted>
  <dcterms:modified xsi:type="dcterms:W3CDTF">2025-12-31T07:40:56Z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6870ACA9D2CF47759D45E944F0522C3E_13</vt:lpwstr>
  </property>
  <property fmtid="{D5CDD505-2E9C-101B-9397-08002B2CF9AE}" pid="4" name="KSOTemplateDocerSaveRecord">
    <vt:lpwstr>eyJoZGlkIjoiNmFjYjIzMjc3NzgwMDBhMDQ5MWE4NDg4YzVlOGNmMTAiLCJ1c2VySWQiOiI1NjY2NzMwMjAifQ==</vt:lpwstr>
  </property>
</Properties>
</file>