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附表1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rPr>
          <w:rFonts w:hint="default" w:ascii="Times New Roman" w:hAnsi="Times New Roman" w:cs="Times New Roman"/>
          <w:sz w:val="44"/>
          <w:szCs w:val="4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6"/>
        <w:tblW w:w="101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199"/>
        <w:gridCol w:w="1563"/>
        <w:gridCol w:w="677"/>
        <w:gridCol w:w="4445"/>
        <w:gridCol w:w="710"/>
        <w:gridCol w:w="4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5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总体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（65分）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基本公共卫生服务、基本药物制度、重大传染病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履职效果</w:t>
            </w:r>
          </w:p>
        </w:tc>
        <w:tc>
          <w:tcPr>
            <w:tcW w:w="6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预算编制质量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单位收入统筹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部门统筹自有收入程度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支出执行进度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部门1至6月、1至10月预算执行情况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预算年终结余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部门整体年终预算结余情况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严控一般性支出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财务管理制度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部门财务管理制度建立情况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财务岗位设置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部门财务岗位设置是否符合相关财务管理制度要求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资金使用规范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部门资金使用是否符合相关财务管理制度规定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人均资产变化率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部门人均资产变化情况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资产利用率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部门资产超最低使用年限情况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资产盘活率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部门闲置一年以上的资产盘活情况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支持中小企业发展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采购执行率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部门政府采购项目资金支付比例情况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决策程序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部门预算项目设立是否按规定履行评估论证、申报程序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目标设置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项目入库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部门预算项目是否在规定时间完成项目入库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执行同向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部门预算项目实际列支内容是否与绩效目标设置方向相符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项目调整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部门预算项目是否采取对应调整措施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执行结果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部门预算项目预算执行情况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9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目标完成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部门预算项目绩效目标数量指标完成情况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目标偏离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9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实现效果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部门预算项目绩效目标效益指标实施效果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2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被评价部门配合度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4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被评价对象工作配合情况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907" w:footer="1644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615B2"/>
    <w:rsid w:val="020440A9"/>
    <w:rsid w:val="2D8615B2"/>
    <w:rsid w:val="2FDC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3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2026-06-17T02:37:00Z</dcterms:created>
  <dc:creator>Administrator</dc:creator>
  <cp:lastModifiedBy>胡丽蓉</cp:lastModifiedBy>
  <dcterms:modified xsi:type="dcterms:W3CDTF">2026-06-17T03:13:58Z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AFA4D6DD5A8E49E58273B1F8B8D3994C_11</vt:lpwstr>
  </property>
  <property fmtid="{D5CDD505-2E9C-101B-9397-08002B2CF9AE}" pid="4" name="KSOTemplateDocerSaveRecord">
    <vt:lpwstr>eyJoZGlkIjoiYzVmYjgwY2Y1ODNlZWUwZDlmNDFjMzEwYmM4NjAyMzMifQ==</vt:lpwstr>
  </property>
</Properties>
</file>