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附表</w:t>
      </w:r>
      <w:r>
        <w:rPr>
          <w:rFonts w:hint="default" w:ascii="Times New Roman" w:hAnsi="Times New Roman" w:eastAsia="方正黑体_GBK" w:cs="Times New Roma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center"/>
        <w:rPr>
          <w:rFonts w:hint="default" w:ascii="Times New Roman" w:hAnsi="Times New Roman" w:eastAsia="方正小标宋_GBK" w:cs="Times New Roman"/>
          <w:b/>
          <w:bCs/>
          <w:color w:val="000000"/>
          <w:kern w:val="0"/>
          <w:sz w:val="44"/>
          <w:szCs w:val="44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center"/>
        <w:rPr>
          <w:rFonts w:hint="default" w:ascii="Times New Roman" w:hAnsi="Times New Roman" w:eastAsia="方正小标宋_GBK" w:cs="Times New Roman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b/>
          <w:bCs/>
          <w:color w:val="000000"/>
          <w:kern w:val="0"/>
          <w:sz w:val="44"/>
          <w:szCs w:val="44"/>
          <w:lang w:bidi="ar"/>
        </w:rPr>
        <w:t>部门预算绩效自评打分表</w:t>
      </w:r>
    </w:p>
    <w:tbl>
      <w:tblPr>
        <w:tblStyle w:val="5"/>
        <w:tblW w:w="998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904"/>
        <w:gridCol w:w="2256"/>
        <w:gridCol w:w="876"/>
        <w:gridCol w:w="3216"/>
        <w:gridCol w:w="591"/>
        <w:gridCol w:w="4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</w:rPr>
            </w:pPr>
            <w:bookmarkStart w:id="0" w:name="_GoBack"/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lang w:bidi="ar"/>
              </w:rPr>
              <w:t>绩效评价指标指标分值</w:t>
            </w:r>
          </w:p>
        </w:tc>
        <w:tc>
          <w:tcPr>
            <w:tcW w:w="3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4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lang w:bidi="ar"/>
              </w:rPr>
              <w:t>指标分值</w:t>
            </w:r>
          </w:p>
        </w:tc>
        <w:tc>
          <w:tcPr>
            <w:tcW w:w="3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</w:p>
        </w:tc>
        <w:tc>
          <w:tcPr>
            <w:tcW w:w="59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</w:p>
        </w:tc>
        <w:tc>
          <w:tcPr>
            <w:tcW w:w="49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总体绩效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（65分）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履职效能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基本公共卫生服务、基本药物制度、乡村医生养老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履职效果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15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预算编制质量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单位收入统筹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部门统筹自有收入程度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支出执行进度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部门1至6月、1至10月预算执行情况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预算年终结余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部门整体年终预算结余情况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严控一般性支出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财务管理制度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部门财务管理制度建立情况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财务岗位设置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部门财务岗位设置是否符合相关财务管理制度要求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资金使用规范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部门资金使用是否符合相关财务管理制度规定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人均资产变化率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部门人均资产变化情况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资产利用率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部门资产超最低使用年限情况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资产盘活率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部门闲置一年以上的资产盘活情况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支持中小企业发展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部门是否严格执行政府采购促进中小企业发展相关管理办法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采购执行率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部门政府采购项目资金支付比例情况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项目绩效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（35分）</w:t>
            </w:r>
          </w:p>
        </w:tc>
        <w:tc>
          <w:tcPr>
            <w:tcW w:w="9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决策程序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部门预算项目设立是否按规定履行评估论证、申报程序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目标设置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项目入库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部门预算项目是否在规定时间完成项目入库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执行同向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部门预算项目实际列支内容是否与绩效目标设置方向相符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项目调整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部门预算项目是否采取对应调整措施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执行结果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部门预算项目预算执行情况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目标完成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部门预算项目绩效目标数量指标完成情况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目标偏离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实现效果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部门预算项目绩效目标效益指标实施效果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3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被评价部门配合度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被评价对象工作配合情况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bookmarkEnd w:id="0"/>
    </w:tbl>
    <w:p>
      <w:pPr>
        <w:pStyle w:val="7"/>
        <w:spacing w:line="20" w:lineRule="exact"/>
      </w:pPr>
    </w:p>
    <w:p>
      <w:pPr>
        <w:pStyle w:val="8"/>
      </w:pPr>
    </w:p>
    <w:sectPr>
      <w:footerReference r:id="rId3" w:type="default"/>
      <w:pgSz w:w="11906" w:h="16838"/>
      <w:pgMar w:top="2098" w:right="1474" w:bottom="1984" w:left="1587" w:header="907" w:footer="1644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043326"/>
    <w:rsid w:val="57A1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标题 5（有编号）（绿盟科技）"/>
    <w:next w:val="8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8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2026-06-17T02:35:00Z</dcterms:created>
  <dc:creator>Administrator</dc:creator>
  <cp:lastModifiedBy>胡丽蓉</cp:lastModifiedBy>
  <dcterms:modified xsi:type="dcterms:W3CDTF">2026-06-17T02:42:50Z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eyJoZGlkIjoiMTczNGM0NTdhMmI5N2FiZWU4YjJkOTk3ZDUxOTEyY2QiLCJ1c2VySWQiOiIxMTY1MTEzOTYwIn0=</vt:lpwstr>
  </property>
  <property fmtid="{D5CDD505-2E9C-101B-9397-08002B2CF9AE}" pid="4" name="ICV">
    <vt:lpwstr>27C0BD91CFA849B69060761607331CB3_12</vt:lpwstr>
  </property>
</Properties>
</file>