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8" w:lineRule="exact"/>
        <w:jc w:val="left"/>
        <w:rPr>
          <w:rFonts w:eastAsia="黑体"/>
        </w:rPr>
      </w:pPr>
      <w:r>
        <w:rPr>
          <w:rFonts w:eastAsia="黑体"/>
        </w:rPr>
        <w:t>附表</w:t>
      </w:r>
      <w:r>
        <w:rPr>
          <w:rFonts w:hint="eastAsia" w:eastAsia="黑体"/>
        </w:rPr>
        <w:t>1</w:t>
      </w:r>
    </w:p>
    <w:p>
      <w:pPr>
        <w:widowControl/>
        <w:spacing w:line="600" w:lineRule="exact"/>
        <w:jc w:val="center"/>
        <w:textAlignment w:val="center"/>
        <w:rPr>
          <w:rFonts w:eastAsia="方正小标宋简体"/>
          <w:color w:val="000000"/>
          <w:kern w:val="0"/>
          <w:sz w:val="44"/>
          <w:szCs w:val="44"/>
          <w:lang w:bidi="ar"/>
        </w:rPr>
      </w:pPr>
      <w:bookmarkStart w:id="0" w:name="_GoBack"/>
      <w:r>
        <w:rPr>
          <w:rFonts w:hint="eastAsia" w:eastAsia="方正小标宋简体"/>
          <w:color w:val="000000"/>
          <w:kern w:val="0"/>
          <w:sz w:val="44"/>
          <w:szCs w:val="44"/>
          <w:lang w:bidi="ar"/>
        </w:rPr>
        <w:t>部门预算绩效自评打分表</w:t>
      </w:r>
    </w:p>
    <w:bookmarkEnd w:id="0"/>
    <w:tbl>
      <w:tblPr>
        <w:tblStyle w:val="3"/>
        <w:tblW w:w="1082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1462"/>
        <w:gridCol w:w="1665"/>
        <w:gridCol w:w="720"/>
        <w:gridCol w:w="4735"/>
        <w:gridCol w:w="756"/>
        <w:gridCol w:w="47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48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绩效评价指标指标分值</w:t>
            </w:r>
          </w:p>
        </w:tc>
        <w:tc>
          <w:tcPr>
            <w:tcW w:w="47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指标解释</w:t>
            </w:r>
          </w:p>
        </w:tc>
        <w:tc>
          <w:tcPr>
            <w:tcW w:w="7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自评得分</w:t>
            </w:r>
          </w:p>
        </w:tc>
        <w:tc>
          <w:tcPr>
            <w:tcW w:w="47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一级指标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二级指标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三级指标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指标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分值</w:t>
            </w:r>
          </w:p>
        </w:tc>
        <w:tc>
          <w:tcPr>
            <w:tcW w:w="4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7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  <w:tc>
          <w:tcPr>
            <w:tcW w:w="47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宋体" w:eastAsia="黑体" w:cs="黑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00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总体绩效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（65分）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履职效能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（15分）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XX履职效果</w:t>
            </w:r>
          </w:p>
        </w:tc>
        <w:tc>
          <w:tcPr>
            <w:tcW w:w="7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4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部门整体绩效目标中选定3-5个核心职能目标，反映该项职能目标完成效果情况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15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预算管理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（25分）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预算编制质量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4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部门是否严格按要求编制年初部门预算，年初预算编制的科学性和准确性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7.5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单位收入统筹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部门统筹自有收入程度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支出执行进度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4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部门1至6月、1至10月预算执行情况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5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预算年终结余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4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部门整体年终预算结余情况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2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严控一般性支出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4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部门严控“三公”经费、会议、培训、差旅、办节办展、办公设备购置、信息网络及软件购置更新、课题经费等8项一般性支出情况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5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财务管理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（10分）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财务管理制度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部门财务管理制度建立情况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财务岗位设置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4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部门财务岗位设置是否符合相关财务管理制度要求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2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资金使用规范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部门资金使用是否符合相关财务管理制度规定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资产管理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（9分）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人均资产变化率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部门人均资产变化情况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2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资产利用率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部门资产超最低使用年限情况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资产盘活率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部门闲置一年以上的资产盘活情况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采购管理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（6分）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支持中小企业发展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部门是否严格执行政府采购促进中小企业发展相关管理办法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采购执行率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部门政府采购项目资金支付比例情况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2.8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0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项目绩效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（35分）</w:t>
            </w: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项目决策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（12分）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决策程序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部门预算项目设立是否按规定履行评估论证、申报程序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目标设置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部门预算项目绩效目标与计划期内的任务量、预算安排的资金量匹配情况，绩效目标设置是否科学合理、规范完整、量化细化、预算匹配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项目入库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部门预算项目是否在规定时间完成项目入库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项目执行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（12分）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执行同向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部门预算项目实际列支内容是否与绩效目标设置方向相符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项目调整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部门预算项目是否采取对应调整措施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执行结果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部门预算项目预算执行情况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3.4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目标实现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（11分）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目标完成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部门预算项目绩效目标数量指标完成情况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目标偏离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部门预算项目绩效目标数量指标实现程度与预期目标的偏离情况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实现效果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部门预算项目绩效目标效益指标实施效果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扣分项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（10分）</w:t>
            </w:r>
          </w:p>
        </w:tc>
        <w:tc>
          <w:tcPr>
            <w:tcW w:w="3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被评价部门配合度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4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被评价对象工作配合情况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D4523A"/>
    <w:rsid w:val="0ED45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2026-06-08T03:27:00Z</dcterms:created>
  <dc:creator>Administrator</dc:creator>
  <cp:lastModifiedBy>Administrator</cp:lastModifiedBy>
  <dcterms:modified xsi:type="dcterms:W3CDTF">2026-06-08T03:28:23Z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