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0" w:lineRule="atLeast"/>
        <w:contextualSpacing/>
        <w:jc w:val="center"/>
        <w:rPr>
          <w:rFonts w:eastAsia="方正小标宋_GBK"/>
          <w:b/>
          <w:bCs/>
          <w:sz w:val="44"/>
          <w:szCs w:val="44"/>
          <w:shd w:val="clear" w:color="auto" w:fill="FFFFFF"/>
        </w:rPr>
      </w:pPr>
      <w:r>
        <w:rPr>
          <w:rFonts w:hint="eastAsia" w:eastAsia="方正小标宋_GBK"/>
          <w:b/>
          <w:bCs/>
          <w:sz w:val="44"/>
          <w:szCs w:val="44"/>
          <w:shd w:val="clear" w:color="auto" w:fill="FFFFFF"/>
        </w:rPr>
        <w:t>中共攀枝花市西区区委统一战线工作部</w:t>
      </w:r>
    </w:p>
    <w:p>
      <w:pPr>
        <w:widowControl/>
        <w:spacing w:line="0" w:lineRule="atLeast"/>
        <w:contextualSpacing/>
        <w:jc w:val="center"/>
        <w:rPr>
          <w:rFonts w:eastAsia="方正小标宋_GBK"/>
          <w:b/>
          <w:bCs/>
          <w:sz w:val="44"/>
          <w:szCs w:val="44"/>
          <w:shd w:val="clear" w:color="auto" w:fill="FFFFFF"/>
        </w:rPr>
      </w:pPr>
      <w:r>
        <w:rPr>
          <w:rFonts w:hint="eastAsia" w:eastAsia="方正小标宋_GBK"/>
          <w:b/>
          <w:bCs/>
          <w:sz w:val="44"/>
          <w:szCs w:val="44"/>
          <w:shd w:val="clear" w:color="auto" w:fill="FFFFFF"/>
        </w:rPr>
        <w:t>2025年</w:t>
      </w:r>
      <w:r>
        <w:rPr>
          <w:rFonts w:eastAsia="方正小标宋_GBK"/>
          <w:b/>
          <w:bCs/>
          <w:sz w:val="44"/>
          <w:szCs w:val="44"/>
          <w:shd w:val="clear" w:color="auto" w:fill="FFFFFF"/>
        </w:rPr>
        <w:t>部门预算绩效自评报告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hint="eastAsia" w:ascii="方正黑体_GBK" w:eastAsia="方正黑体_GBK"/>
          <w:szCs w:val="32"/>
        </w:rPr>
      </w:pPr>
      <w:r>
        <w:rPr>
          <w:rFonts w:hint="eastAsia" w:ascii="方正黑体_GBK" w:eastAsia="方正黑体_GBK"/>
          <w:color w:val="000000"/>
          <w:kern w:val="0"/>
          <w:szCs w:val="32"/>
          <w:shd w:val="clear" w:color="auto" w:fill="FFFFFF"/>
          <w:lang w:val="zh-CN"/>
        </w:rPr>
        <w:t>一、部门基本情况</w:t>
      </w:r>
    </w:p>
    <w:p>
      <w:pPr>
        <w:pStyle w:val="27"/>
        <w:ind w:firstLine="643"/>
        <w:rPr>
          <w:rFonts w:hint="eastAsia" w:ascii="方正楷体_GBK" w:eastAsia="方正楷体_GBK"/>
          <w:b/>
          <w:bCs/>
          <w:color w:val="000000"/>
          <w:kern w:val="0"/>
          <w:szCs w:val="32"/>
          <w:shd w:val="clear" w:color="auto" w:fill="FFFFFF"/>
          <w:lang w:val="zh-CN"/>
        </w:rPr>
      </w:pPr>
      <w:r>
        <w:rPr>
          <w:rFonts w:hint="eastAsia" w:ascii="方正楷体_GBK" w:eastAsia="方正楷体_GBK"/>
          <w:b/>
          <w:bCs/>
          <w:color w:val="000000"/>
          <w:kern w:val="0"/>
          <w:szCs w:val="32"/>
          <w:shd w:val="clear" w:color="auto" w:fill="FFFFFF"/>
          <w:lang w:val="zh-CN"/>
        </w:rPr>
        <w:t>（一）机构组成。</w:t>
      </w:r>
    </w:p>
    <w:p>
      <w:pPr>
        <w:pStyle w:val="27"/>
        <w:rPr>
          <w:rFonts w:eastAsia="方正仿宋_GBK"/>
          <w:szCs w:val="32"/>
          <w:lang w:val="zh-CN"/>
        </w:rPr>
      </w:pPr>
      <w:r>
        <w:rPr>
          <w:rFonts w:eastAsia="方正仿宋_GBK"/>
          <w:szCs w:val="32"/>
          <w:lang w:val="zh-CN"/>
        </w:rPr>
        <w:t>区委统战部下设三股室一中心，即综合股（</w:t>
      </w:r>
      <w:r>
        <w:rPr>
          <w:rFonts w:hint="eastAsia" w:eastAsia="方正仿宋_GBK"/>
          <w:szCs w:val="32"/>
          <w:lang w:val="zh-CN"/>
        </w:rPr>
        <w:t>区</w:t>
      </w:r>
      <w:r>
        <w:rPr>
          <w:rFonts w:hint="eastAsia" w:eastAsia="方正仿宋_GBK"/>
          <w:szCs w:val="32"/>
        </w:rPr>
        <w:t>委</w:t>
      </w:r>
      <w:r>
        <w:rPr>
          <w:rFonts w:eastAsia="方正仿宋_GBK"/>
          <w:szCs w:val="32"/>
          <w:lang w:val="zh-CN"/>
        </w:rPr>
        <w:t>侨台办）、民族宗教股、党外人士股，区统战和民宗工作服务中心（非独立核算事业单位）。</w:t>
      </w:r>
    </w:p>
    <w:p>
      <w:pPr>
        <w:widowControl/>
        <w:numPr>
          <w:ilvl w:val="0"/>
          <w:numId w:val="1"/>
        </w:numPr>
        <w:adjustRightInd w:val="0"/>
        <w:snapToGrid w:val="0"/>
        <w:spacing w:line="578" w:lineRule="exact"/>
        <w:ind w:firstLine="643" w:firstLineChars="200"/>
        <w:contextualSpacing/>
        <w:jc w:val="left"/>
        <w:rPr>
          <w:rFonts w:hint="eastAsia" w:ascii="方正楷体_GBK" w:eastAsia="方正楷体_GBK"/>
          <w:b/>
          <w:bCs/>
          <w:color w:val="000000"/>
          <w:kern w:val="0"/>
          <w:szCs w:val="32"/>
          <w:shd w:val="clear" w:color="auto" w:fill="FFFFFF"/>
          <w:lang w:val="zh-CN"/>
        </w:rPr>
      </w:pPr>
      <w:r>
        <w:rPr>
          <w:rFonts w:hint="eastAsia" w:ascii="方正楷体_GBK" w:eastAsia="方正楷体_GBK"/>
          <w:b/>
          <w:bCs/>
          <w:color w:val="000000"/>
          <w:kern w:val="0"/>
          <w:szCs w:val="32"/>
          <w:shd w:val="clear" w:color="auto" w:fill="FFFFFF"/>
          <w:lang w:val="zh-CN"/>
        </w:rPr>
        <w:t>机构职能。</w:t>
      </w:r>
    </w:p>
    <w:p>
      <w:pPr>
        <w:pStyle w:val="27"/>
        <w:rPr>
          <w:rFonts w:eastAsia="仿宋_GB2312"/>
        </w:rPr>
      </w:pPr>
      <w:r>
        <w:rPr>
          <w:rFonts w:hint="eastAsia"/>
        </w:rPr>
        <w:t xml:space="preserve"> </w:t>
      </w:r>
      <w:r>
        <w:rPr>
          <w:rFonts w:eastAsia="方正仿宋_GBK"/>
          <w:szCs w:val="32"/>
          <w:lang w:val="zh-CN"/>
        </w:rPr>
        <w:t>略</w:t>
      </w:r>
    </w:p>
    <w:p>
      <w:pPr>
        <w:pStyle w:val="27"/>
        <w:ind w:firstLine="643"/>
        <w:rPr>
          <w:szCs w:val="32"/>
        </w:rPr>
      </w:pPr>
      <w:r>
        <w:rPr>
          <w:rFonts w:ascii="方正楷体_GBK" w:eastAsia="方正楷体_GBK"/>
          <w:b/>
          <w:bCs/>
          <w:color w:val="000000"/>
          <w:kern w:val="0"/>
          <w:szCs w:val="32"/>
          <w:shd w:val="clear" w:color="auto" w:fill="FFFFFF"/>
          <w:lang w:val="zh-CN"/>
        </w:rPr>
        <w:t>（三）人员概况</w:t>
      </w:r>
      <w:r>
        <w:rPr>
          <w:rFonts w:eastAsia="楷体_GB2312"/>
          <w:b/>
          <w:bCs/>
          <w:color w:val="000000"/>
          <w:kern w:val="0"/>
          <w:szCs w:val="32"/>
          <w:shd w:val="clear" w:color="auto" w:fill="FFFFFF"/>
          <w:lang w:val="zh-CN"/>
        </w:rPr>
        <w:t>。</w:t>
      </w:r>
      <w:r>
        <w:rPr>
          <w:rFonts w:eastAsia="方正仿宋_GBK"/>
          <w:szCs w:val="32"/>
          <w:lang w:val="zh-CN"/>
        </w:rPr>
        <w:t>截至202</w:t>
      </w:r>
      <w:r>
        <w:rPr>
          <w:rFonts w:hint="eastAsia" w:eastAsia="方正仿宋_GBK"/>
          <w:szCs w:val="32"/>
        </w:rPr>
        <w:t>5</w:t>
      </w:r>
      <w:r>
        <w:rPr>
          <w:rFonts w:eastAsia="方正仿宋_GBK"/>
          <w:szCs w:val="32"/>
          <w:lang w:val="zh-CN"/>
        </w:rPr>
        <w:t>年末，区委统战部实有在职人员1</w:t>
      </w:r>
      <w:r>
        <w:rPr>
          <w:rFonts w:hint="eastAsia" w:eastAsia="方正仿宋_GBK"/>
          <w:szCs w:val="32"/>
        </w:rPr>
        <w:t>1</w:t>
      </w:r>
      <w:r>
        <w:rPr>
          <w:rFonts w:eastAsia="方正仿宋_GBK"/>
          <w:szCs w:val="32"/>
          <w:lang w:val="zh-CN"/>
        </w:rPr>
        <w:t>人，其中行政编制6人，事业编制4人，临聘人员1人；退休</w:t>
      </w:r>
      <w:r>
        <w:rPr>
          <w:rFonts w:hint="eastAsia" w:eastAsia="方正仿宋_GBK"/>
          <w:szCs w:val="32"/>
        </w:rPr>
        <w:t>干部</w:t>
      </w:r>
      <w:r>
        <w:rPr>
          <w:rFonts w:eastAsia="方正仿宋_GBK"/>
          <w:szCs w:val="32"/>
          <w:lang w:val="zh-CN"/>
        </w:rPr>
        <w:t>3人，共计14人。</w:t>
      </w:r>
    </w:p>
    <w:p>
      <w:pPr>
        <w:widowControl/>
        <w:adjustRightInd w:val="0"/>
        <w:snapToGrid w:val="0"/>
        <w:spacing w:line="578" w:lineRule="exact"/>
        <w:ind w:firstLine="640" w:firstLineChars="200"/>
        <w:contextualSpacing/>
        <w:jc w:val="left"/>
        <w:rPr>
          <w:rFonts w:ascii="方正黑体_GBK" w:eastAsia="方正黑体_GBK"/>
          <w:szCs w:val="32"/>
        </w:rPr>
      </w:pPr>
      <w:r>
        <w:rPr>
          <w:rFonts w:ascii="方正黑体_GBK" w:eastAsia="方正黑体_GBK"/>
          <w:szCs w:val="32"/>
        </w:rPr>
        <w:t>二、部门资金收支情况</w:t>
      </w:r>
    </w:p>
    <w:p>
      <w:pPr>
        <w:pStyle w:val="27"/>
        <w:ind w:firstLine="643"/>
        <w:rPr>
          <w:rFonts w:ascii="方正楷体_GBK" w:eastAsia="方正楷体_GBK"/>
          <w:b/>
          <w:bCs/>
          <w:color w:val="000000"/>
          <w:kern w:val="0"/>
          <w:szCs w:val="32"/>
          <w:shd w:val="clear" w:color="auto" w:fill="FFFFFF"/>
          <w:lang w:val="zh-CN"/>
        </w:rPr>
      </w:pPr>
      <w:r>
        <w:rPr>
          <w:rFonts w:ascii="方正楷体_GBK" w:eastAsia="方正楷体_GBK"/>
          <w:b/>
          <w:bCs/>
          <w:color w:val="000000"/>
          <w:kern w:val="0"/>
          <w:szCs w:val="32"/>
          <w:shd w:val="clear" w:color="auto" w:fill="FFFFFF"/>
          <w:lang w:val="zh-CN"/>
        </w:rPr>
        <w:t>（一）收入情况</w:t>
      </w:r>
    </w:p>
    <w:p>
      <w:pPr>
        <w:pStyle w:val="10"/>
        <w:shd w:val="clear" w:color="auto" w:fill="FFFFFF"/>
        <w:spacing w:before="0" w:beforeAutospacing="0" w:after="0" w:afterAutospacing="0" w:line="579" w:lineRule="exact"/>
        <w:ind w:firstLine="640" w:firstLineChars="200"/>
        <w:jc w:val="both"/>
        <w:rPr>
          <w:rFonts w:ascii="Times New Roman" w:hAnsi="Times New Roman" w:eastAsia="方正仿宋_GBK" w:cs="Times New Roman"/>
          <w:kern w:val="2"/>
          <w:sz w:val="32"/>
          <w:szCs w:val="32"/>
          <w:lang w:val="zh-CN"/>
        </w:rPr>
      </w:pPr>
      <w:r>
        <w:rPr>
          <w:rFonts w:hint="eastAsia" w:ascii="Times New Roman" w:hAnsi="Times New Roman" w:eastAsia="方正仿宋_GBK" w:cs="Times New Roman"/>
          <w:kern w:val="2"/>
          <w:sz w:val="32"/>
          <w:szCs w:val="32"/>
          <w:lang w:val="zh-CN"/>
        </w:rPr>
        <w:t>区委统战部202</w:t>
      </w:r>
      <w:r>
        <w:rPr>
          <w:rFonts w:hint="eastAsia" w:ascii="Times New Roman" w:hAnsi="Times New Roman" w:eastAsia="方正仿宋_GBK" w:cs="Times New Roman"/>
          <w:kern w:val="2"/>
          <w:sz w:val="32"/>
          <w:szCs w:val="32"/>
        </w:rPr>
        <w:t>5</w:t>
      </w:r>
      <w:r>
        <w:rPr>
          <w:rFonts w:hint="eastAsia" w:ascii="Times New Roman" w:hAnsi="Times New Roman" w:eastAsia="方正仿宋_GBK" w:cs="Times New Roman"/>
          <w:kern w:val="2"/>
          <w:sz w:val="32"/>
          <w:szCs w:val="32"/>
          <w:lang w:val="zh-CN"/>
        </w:rPr>
        <w:t>年收入</w:t>
      </w:r>
      <w:r>
        <w:rPr>
          <w:rFonts w:hint="eastAsia" w:ascii="Times New Roman" w:hAnsi="Times New Roman" w:eastAsia="方正仿宋_GBK" w:cs="Times New Roman"/>
          <w:kern w:val="2"/>
          <w:sz w:val="32"/>
          <w:szCs w:val="32"/>
        </w:rPr>
        <w:t>年初</w:t>
      </w:r>
      <w:r>
        <w:rPr>
          <w:rFonts w:hint="eastAsia" w:ascii="Times New Roman" w:hAnsi="Times New Roman" w:eastAsia="方正仿宋_GBK" w:cs="Times New Roman"/>
          <w:kern w:val="2"/>
          <w:sz w:val="32"/>
          <w:szCs w:val="32"/>
          <w:lang w:val="zh-CN"/>
        </w:rPr>
        <w:t>预算总额为</w:t>
      </w:r>
      <w:r>
        <w:rPr>
          <w:rFonts w:hint="eastAsia" w:ascii="Times New Roman" w:hAnsi="Times New Roman" w:eastAsia="方正仿宋_GBK" w:cs="Times New Roman"/>
          <w:kern w:val="2"/>
          <w:sz w:val="32"/>
          <w:szCs w:val="32"/>
        </w:rPr>
        <w:t>274.24</w:t>
      </w:r>
      <w:r>
        <w:rPr>
          <w:rFonts w:hint="eastAsia" w:ascii="Times New Roman" w:hAnsi="Times New Roman" w:eastAsia="方正仿宋_GBK" w:cs="Times New Roman"/>
          <w:kern w:val="2"/>
          <w:sz w:val="32"/>
          <w:szCs w:val="32"/>
          <w:lang w:val="zh-CN"/>
        </w:rPr>
        <w:t>万元，与上年度相比，减少</w:t>
      </w:r>
      <w:r>
        <w:rPr>
          <w:rFonts w:hint="eastAsia" w:ascii="Times New Roman" w:hAnsi="Times New Roman" w:eastAsia="方正仿宋_GBK" w:cs="Times New Roman"/>
          <w:kern w:val="2"/>
          <w:sz w:val="32"/>
          <w:szCs w:val="32"/>
        </w:rPr>
        <w:t>12.97</w:t>
      </w:r>
      <w:r>
        <w:rPr>
          <w:rFonts w:hint="eastAsia" w:ascii="Times New Roman" w:hAnsi="Times New Roman" w:eastAsia="方正仿宋_GBK" w:cs="Times New Roman"/>
          <w:kern w:val="2"/>
          <w:sz w:val="32"/>
          <w:szCs w:val="32"/>
          <w:lang w:val="zh-CN"/>
        </w:rPr>
        <w:t>万元，增长率为</w:t>
      </w:r>
      <w:r>
        <w:rPr>
          <w:rFonts w:hint="eastAsia" w:ascii="Times New Roman" w:hAnsi="Times New Roman" w:eastAsia="方正仿宋_GBK" w:cs="Times New Roman"/>
          <w:kern w:val="2"/>
          <w:sz w:val="32"/>
          <w:szCs w:val="32"/>
        </w:rPr>
        <w:t>-4.51</w:t>
      </w:r>
      <w:r>
        <w:rPr>
          <w:rFonts w:hint="eastAsia" w:ascii="Times New Roman" w:hAnsi="Times New Roman" w:eastAsia="方正仿宋_GBK" w:cs="Times New Roman"/>
          <w:kern w:val="2"/>
          <w:sz w:val="32"/>
          <w:szCs w:val="32"/>
          <w:lang w:val="zh-CN"/>
        </w:rPr>
        <w:t xml:space="preserve"> %。其中一般公共预算财政拨款收入</w:t>
      </w:r>
      <w:r>
        <w:rPr>
          <w:rFonts w:hint="eastAsia" w:ascii="Times New Roman" w:hAnsi="Times New Roman" w:eastAsia="方正仿宋_GBK" w:cs="Times New Roman"/>
          <w:kern w:val="2"/>
          <w:sz w:val="32"/>
          <w:szCs w:val="32"/>
        </w:rPr>
        <w:t>年初预算274.24万元</w:t>
      </w:r>
      <w:r>
        <w:rPr>
          <w:rFonts w:hint="eastAsia" w:ascii="Times New Roman" w:hAnsi="Times New Roman" w:eastAsia="方正仿宋_GBK" w:cs="Times New Roman"/>
          <w:kern w:val="2"/>
          <w:sz w:val="32"/>
          <w:szCs w:val="32"/>
          <w:lang w:val="zh-CN"/>
        </w:rPr>
        <w:t>，</w:t>
      </w:r>
      <w:r>
        <w:rPr>
          <w:rFonts w:hint="eastAsia" w:ascii="Times New Roman" w:hAnsi="Times New Roman" w:eastAsia="方正仿宋_GBK" w:cs="Times New Roman"/>
          <w:kern w:val="2"/>
          <w:sz w:val="32"/>
          <w:szCs w:val="32"/>
        </w:rPr>
        <w:t>比上年增加49.53万元，</w:t>
      </w:r>
      <w:r>
        <w:rPr>
          <w:rFonts w:hint="eastAsia" w:ascii="Times New Roman" w:hAnsi="Times New Roman" w:eastAsia="方正仿宋_GBK" w:cs="Times New Roman"/>
          <w:kern w:val="2"/>
          <w:sz w:val="32"/>
          <w:szCs w:val="32"/>
          <w:lang w:val="zh-CN"/>
        </w:rPr>
        <w:t>政府性基金预算财政拨款收入</w:t>
      </w:r>
      <w:r>
        <w:rPr>
          <w:rFonts w:hint="eastAsia" w:ascii="Times New Roman" w:hAnsi="Times New Roman" w:eastAsia="方正仿宋_GBK" w:cs="Times New Roman"/>
          <w:kern w:val="2"/>
          <w:sz w:val="32"/>
          <w:szCs w:val="32"/>
        </w:rPr>
        <w:t>年初预算0万元，比上年减少62.5万元</w:t>
      </w:r>
      <w:r>
        <w:rPr>
          <w:rFonts w:hint="eastAsia" w:ascii="Times New Roman" w:hAnsi="Times New Roman" w:eastAsia="方正仿宋_GBK" w:cs="Times New Roman"/>
          <w:kern w:val="2"/>
          <w:sz w:val="32"/>
          <w:szCs w:val="32"/>
          <w:lang w:val="zh-CN"/>
        </w:rPr>
        <w:t>。</w:t>
      </w:r>
    </w:p>
    <w:p>
      <w:pPr>
        <w:pStyle w:val="27"/>
        <w:ind w:firstLine="643"/>
        <w:rPr>
          <w:rFonts w:ascii="方正楷体_GBK" w:eastAsia="方正楷体_GBK"/>
          <w:b/>
          <w:bCs/>
          <w:color w:val="000000"/>
          <w:kern w:val="0"/>
          <w:szCs w:val="32"/>
          <w:shd w:val="clear" w:color="auto" w:fill="FFFFFF"/>
          <w:lang w:val="zh-CN"/>
        </w:rPr>
      </w:pPr>
      <w:r>
        <w:rPr>
          <w:rFonts w:hint="eastAsia" w:ascii="方正楷体_GBK" w:eastAsia="方正楷体_GBK"/>
          <w:b/>
          <w:bCs/>
          <w:color w:val="000000"/>
          <w:kern w:val="0"/>
          <w:szCs w:val="32"/>
          <w:shd w:val="clear" w:color="auto" w:fill="FFFFFF"/>
          <w:lang w:val="zh-CN"/>
        </w:rPr>
        <w:t>（二）</w:t>
      </w:r>
      <w:r>
        <w:rPr>
          <w:rFonts w:ascii="方正楷体_GBK" w:eastAsia="方正楷体_GBK"/>
          <w:b/>
          <w:bCs/>
          <w:color w:val="000000"/>
          <w:kern w:val="0"/>
          <w:szCs w:val="32"/>
          <w:shd w:val="clear" w:color="auto" w:fill="FFFFFF"/>
          <w:lang w:val="zh-CN"/>
        </w:rPr>
        <w:t>支出情况</w:t>
      </w:r>
    </w:p>
    <w:p>
      <w:pPr>
        <w:widowControl/>
        <w:adjustRightInd w:val="0"/>
        <w:snapToGrid w:val="0"/>
        <w:spacing w:line="578" w:lineRule="exact"/>
        <w:ind w:firstLine="640" w:firstLineChars="200"/>
        <w:contextualSpacing/>
        <w:jc w:val="left"/>
        <w:rPr>
          <w:rFonts w:eastAsia="方正仿宋_GBK"/>
          <w:szCs w:val="32"/>
        </w:rPr>
      </w:pPr>
      <w:r>
        <w:rPr>
          <w:rFonts w:hint="eastAsia" w:eastAsia="方正仿宋_GBK"/>
          <w:szCs w:val="32"/>
        </w:rPr>
        <w:t>区委统战部2025年本年度总支出276.83万元，一般公共服务支出209.37万元，占比75.63 %，社会保障和就业支出28.41万元，占比10.26 %，卫生健康支出20.69万元，占比7.47%，城乡社区支出2万元，占比0.72%，住房保障支出16.36万元，占比5.91%。</w:t>
      </w:r>
    </w:p>
    <w:p>
      <w:pPr>
        <w:pStyle w:val="27"/>
        <w:ind w:firstLine="643"/>
        <w:rPr>
          <w:rFonts w:ascii="方正楷体_GBK" w:eastAsia="方正楷体_GBK"/>
          <w:b/>
          <w:bCs/>
          <w:color w:val="000000"/>
          <w:kern w:val="0"/>
          <w:szCs w:val="32"/>
          <w:shd w:val="clear" w:color="auto" w:fill="FFFFFF"/>
          <w:lang w:val="zh-CN"/>
        </w:rPr>
      </w:pPr>
      <w:r>
        <w:rPr>
          <w:rFonts w:ascii="方正楷体_GBK" w:eastAsia="方正楷体_GBK"/>
          <w:b/>
          <w:bCs/>
          <w:color w:val="000000"/>
          <w:kern w:val="0"/>
          <w:szCs w:val="32"/>
          <w:shd w:val="clear" w:color="auto" w:fill="FFFFFF"/>
          <w:lang w:val="zh-CN"/>
        </w:rPr>
        <w:t>（三）结余分配和结转结余情况</w:t>
      </w:r>
    </w:p>
    <w:p>
      <w:pPr>
        <w:widowControl/>
        <w:adjustRightInd w:val="0"/>
        <w:snapToGrid w:val="0"/>
        <w:spacing w:line="578" w:lineRule="exact"/>
        <w:ind w:firstLine="640" w:firstLineChars="200"/>
        <w:contextualSpacing/>
        <w:jc w:val="left"/>
        <w:rPr>
          <w:lang w:val="zh-CN"/>
        </w:rPr>
      </w:pPr>
      <w:r>
        <w:rPr>
          <w:rFonts w:hint="eastAsia" w:eastAsia="方正仿宋_GBK"/>
          <w:szCs w:val="32"/>
          <w:lang w:val="zh-CN"/>
        </w:rPr>
        <w:t>区委统战部</w:t>
      </w:r>
      <w:r>
        <w:rPr>
          <w:rFonts w:eastAsia="方正仿宋_GBK"/>
          <w:szCs w:val="32"/>
          <w:lang w:val="zh-CN"/>
        </w:rPr>
        <w:t>202</w:t>
      </w:r>
      <w:r>
        <w:rPr>
          <w:rFonts w:hint="eastAsia" w:eastAsia="方正仿宋_GBK"/>
          <w:szCs w:val="32"/>
        </w:rPr>
        <w:t>5</w:t>
      </w:r>
      <w:r>
        <w:rPr>
          <w:rFonts w:eastAsia="方正仿宋_GBK"/>
          <w:szCs w:val="32"/>
          <w:lang w:val="zh-CN"/>
        </w:rPr>
        <w:t>年年末结转结余资金0万元</w:t>
      </w:r>
      <w:r>
        <w:rPr>
          <w:rFonts w:hint="eastAsia" w:eastAsia="方正仿宋_GBK"/>
          <w:szCs w:val="32"/>
          <w:lang w:val="zh-CN"/>
        </w:rPr>
        <w:t>。</w:t>
      </w:r>
    </w:p>
    <w:p>
      <w:pPr>
        <w:widowControl/>
        <w:adjustRightInd w:val="0"/>
        <w:snapToGrid w:val="0"/>
        <w:spacing w:line="578" w:lineRule="exact"/>
        <w:ind w:firstLine="640" w:firstLineChars="200"/>
        <w:contextualSpacing/>
        <w:jc w:val="left"/>
        <w:rPr>
          <w:rFonts w:ascii="方正黑体_GBK" w:eastAsia="方正黑体_GBK"/>
          <w:szCs w:val="32"/>
        </w:rPr>
      </w:pPr>
      <w:r>
        <w:rPr>
          <w:rFonts w:ascii="方正黑体_GBK" w:eastAsia="方正黑体_GBK"/>
          <w:szCs w:val="32"/>
        </w:rPr>
        <w:t>三、部门预算绩效分析</w:t>
      </w:r>
    </w:p>
    <w:p>
      <w:pPr>
        <w:pStyle w:val="27"/>
        <w:ind w:firstLine="643"/>
        <w:rPr>
          <w:rFonts w:ascii="方正楷体_GBK" w:eastAsia="方正楷体_GBK"/>
          <w:b/>
          <w:bCs/>
          <w:color w:val="000000"/>
          <w:kern w:val="0"/>
          <w:szCs w:val="32"/>
          <w:shd w:val="clear" w:color="auto" w:fill="FFFFFF"/>
          <w:lang w:val="zh-CN"/>
        </w:rPr>
      </w:pPr>
      <w:r>
        <w:rPr>
          <w:rFonts w:ascii="方正楷体_GBK" w:eastAsia="方正楷体_GBK"/>
          <w:b/>
          <w:bCs/>
          <w:color w:val="000000"/>
          <w:kern w:val="0"/>
          <w:szCs w:val="32"/>
          <w:shd w:val="clear" w:color="auto" w:fill="FFFFFF"/>
          <w:lang w:val="zh-CN"/>
        </w:rPr>
        <w:t>（一）部门预算总体绩效分析</w:t>
      </w:r>
    </w:p>
    <w:p>
      <w:pPr>
        <w:widowControl/>
        <w:adjustRightInd w:val="0"/>
        <w:snapToGrid w:val="0"/>
        <w:spacing w:line="578" w:lineRule="exact"/>
        <w:ind w:firstLine="640" w:firstLineChars="200"/>
        <w:contextualSpacing/>
        <w:jc w:val="left"/>
        <w:rPr>
          <w:rFonts w:eastAsia="方正仿宋_GBK"/>
          <w:b/>
          <w:szCs w:val="32"/>
          <w:lang w:val="zh-CN"/>
        </w:rPr>
      </w:pPr>
      <w:r>
        <w:rPr>
          <w:rFonts w:hint="eastAsia" w:eastAsia="方正仿宋_GBK"/>
          <w:b/>
          <w:szCs w:val="32"/>
          <w:lang w:val="zh-CN"/>
        </w:rPr>
        <w:t>1.履职效能</w:t>
      </w:r>
    </w:p>
    <w:p>
      <w:pPr>
        <w:spacing w:line="576" w:lineRule="exact"/>
        <w:ind w:firstLine="640" w:firstLineChars="200"/>
        <w:jc w:val="left"/>
        <w:rPr>
          <w:rFonts w:eastAsia="方正仿宋_GBK"/>
          <w:szCs w:val="32"/>
        </w:rPr>
      </w:pPr>
      <w:r>
        <w:rPr>
          <w:rFonts w:hint="eastAsia" w:eastAsia="方正仿宋_GBK"/>
          <w:b/>
          <w:szCs w:val="32"/>
          <w:lang w:val="zh-CN"/>
        </w:rPr>
        <w:t>一是</w:t>
      </w:r>
      <w:r>
        <w:rPr>
          <w:rFonts w:hint="eastAsia" w:eastAsia="方正仿宋_GBK"/>
          <w:szCs w:val="32"/>
          <w:lang w:val="zh-CN"/>
        </w:rPr>
        <w:t>筑牢</w:t>
      </w:r>
      <w:r>
        <w:rPr>
          <w:rFonts w:hint="eastAsia" w:eastAsia="方正仿宋_GBK"/>
          <w:szCs w:val="32"/>
        </w:rPr>
        <w:t>思想</w:t>
      </w:r>
      <w:r>
        <w:rPr>
          <w:rFonts w:hint="eastAsia" w:eastAsia="方正仿宋_GBK"/>
          <w:szCs w:val="32"/>
          <w:lang w:val="zh-CN"/>
        </w:rPr>
        <w:t>根基。</w:t>
      </w:r>
      <w:r>
        <w:rPr>
          <w:rFonts w:hint="eastAsia" w:eastAsia="方正仿宋_GBK"/>
          <w:szCs w:val="32"/>
        </w:rPr>
        <w:t>持续巩固 “大统战” 工作格局，健全统战工作领导体系与运行机制。深化思想政治引领，累计开展理论学习、主题交流活动70余场，搭建多元宣传阵地。严守安全工作底线，常态化开展走访排查，及时整改各类安全隐患，抓实网络舆情监测管控。</w:t>
      </w:r>
    </w:p>
    <w:p>
      <w:pPr>
        <w:spacing w:line="576" w:lineRule="exact"/>
        <w:ind w:firstLine="640" w:firstLineChars="200"/>
        <w:jc w:val="left"/>
        <w:rPr>
          <w:rFonts w:eastAsia="方正仿宋_GBK"/>
          <w:szCs w:val="32"/>
          <w:lang w:val="zh-CN"/>
        </w:rPr>
      </w:pPr>
      <w:r>
        <w:rPr>
          <w:rFonts w:hint="eastAsia" w:eastAsia="方正仿宋_GBK"/>
          <w:b/>
          <w:szCs w:val="32"/>
          <w:lang w:val="zh-CN"/>
        </w:rPr>
        <w:t>二是</w:t>
      </w:r>
      <w:r>
        <w:rPr>
          <w:rFonts w:hint="eastAsia" w:eastAsia="方正仿宋_GBK"/>
          <w:szCs w:val="32"/>
          <w:lang w:val="zh-CN"/>
        </w:rPr>
        <w:t>服务发展大局。</w:t>
      </w:r>
      <w:r>
        <w:rPr>
          <w:rFonts w:hint="eastAsia" w:eastAsia="方正仿宋_GBK"/>
          <w:szCs w:val="32"/>
        </w:rPr>
        <w:t>紧扣共同富裕试验区建设目标，落地全市统一战线助力西区发展36项合作事项，推动多个公益项目落地见效。充分发挥党外人士智力优势，组织开展调研30余次，收集提案、意见建议近60条。全力促进民营经济健康发展和民营经济人士健康成长，深入推进“万企兴万村”行动，开展政策宣讲、政企座谈等工作，切实</w:t>
      </w:r>
      <w:r>
        <w:rPr>
          <w:rFonts w:hint="eastAsia" w:eastAsia="方正仿宋_GBK"/>
          <w:szCs w:val="32"/>
          <w:lang w:val="zh-CN"/>
        </w:rPr>
        <w:t>为企业纾困解难。</w:t>
      </w:r>
    </w:p>
    <w:p>
      <w:pPr>
        <w:spacing w:line="576" w:lineRule="exact"/>
        <w:ind w:firstLine="640" w:firstLineChars="200"/>
        <w:jc w:val="left"/>
        <w:rPr>
          <w:rFonts w:eastAsia="方正仿宋_GBK"/>
          <w:szCs w:val="32"/>
        </w:rPr>
      </w:pPr>
      <w:r>
        <w:rPr>
          <w:rFonts w:hint="eastAsia" w:eastAsia="方正仿宋_GBK"/>
          <w:b/>
          <w:szCs w:val="32"/>
          <w:lang w:val="zh-CN"/>
        </w:rPr>
        <w:t>三是</w:t>
      </w:r>
      <w:r>
        <w:rPr>
          <w:rFonts w:hint="eastAsia" w:eastAsia="方正仿宋_GBK"/>
          <w:szCs w:val="32"/>
          <w:lang w:val="zh-CN"/>
        </w:rPr>
        <w:t>做好党外人士工作。</w:t>
      </w:r>
      <w:r>
        <w:rPr>
          <w:rFonts w:hint="eastAsia" w:eastAsia="方正仿宋_GBK"/>
          <w:szCs w:val="32"/>
        </w:rPr>
        <w:t>严格落实多党合作制度，召开政党协商会议4次，围绕重要文件制定、重点工作推进广泛听取党外人士意见。有序完成各民主党派基层组织换届工作。扎实开展主题教育，统筹做好党外知识分子、新的社会阶层人士工作，推进无党派人士梯队建设，顺利完成区新联会换届。加强统战干部队伍建设</w:t>
      </w:r>
      <w:r>
        <w:rPr>
          <w:rFonts w:hint="eastAsia" w:eastAsia="方正仿宋_GBK"/>
          <w:szCs w:val="32"/>
          <w:lang w:val="zh-CN"/>
        </w:rPr>
        <w:t>，</w:t>
      </w:r>
      <w:r>
        <w:rPr>
          <w:rFonts w:hint="eastAsia" w:eastAsia="方正仿宋_GBK"/>
          <w:szCs w:val="32"/>
        </w:rPr>
        <w:t>实现三级统战队伍全员培训。</w:t>
      </w:r>
    </w:p>
    <w:p>
      <w:pPr>
        <w:spacing w:line="576" w:lineRule="exact"/>
        <w:ind w:firstLine="640" w:firstLineChars="200"/>
        <w:jc w:val="left"/>
        <w:rPr>
          <w:rFonts w:eastAsia="方正仿宋_GBK"/>
          <w:szCs w:val="32"/>
        </w:rPr>
      </w:pPr>
      <w:r>
        <w:rPr>
          <w:rFonts w:hint="eastAsia" w:eastAsia="方正仿宋_GBK"/>
          <w:b/>
          <w:szCs w:val="32"/>
          <w:lang w:val="zh-CN"/>
        </w:rPr>
        <w:t>四是</w:t>
      </w:r>
      <w:r>
        <w:rPr>
          <w:rFonts w:hint="eastAsia" w:eastAsia="方正仿宋_GBK"/>
          <w:szCs w:val="32"/>
          <w:lang w:val="zh-CN"/>
        </w:rPr>
        <w:t>做好民族宗教工作。</w:t>
      </w:r>
      <w:r>
        <w:rPr>
          <w:rFonts w:hint="eastAsia" w:eastAsia="方正仿宋_GBK"/>
          <w:szCs w:val="32"/>
        </w:rPr>
        <w:t>扎实推进民族团结进步创建工作，广泛开展宣传教育，培育特色工作品牌，积极争取省级专项资金助力项目建设。深入推进宗教中国化工作，规范管理宗教事务，督促各宗教活动场所健全管理制度、依法依规运转。</w:t>
      </w:r>
    </w:p>
    <w:p>
      <w:pPr>
        <w:spacing w:line="576" w:lineRule="exact"/>
        <w:ind w:firstLine="640" w:firstLineChars="200"/>
        <w:jc w:val="left"/>
        <w:rPr>
          <w:rFonts w:eastAsia="方正仿宋_GBK"/>
          <w:szCs w:val="32"/>
          <w:lang w:val="zh-CN"/>
        </w:rPr>
      </w:pPr>
      <w:r>
        <w:rPr>
          <w:rFonts w:hint="eastAsia" w:eastAsia="方正仿宋_GBK"/>
          <w:b/>
          <w:szCs w:val="32"/>
          <w:lang w:val="zh-CN"/>
        </w:rPr>
        <w:t>五是</w:t>
      </w:r>
      <w:r>
        <w:rPr>
          <w:rFonts w:hint="eastAsia" w:eastAsia="方正仿宋_GBK"/>
          <w:szCs w:val="32"/>
          <w:lang w:val="zh-CN"/>
        </w:rPr>
        <w:t>做好港澳台侨工作。不断加强基层台联、侨联组织建设，指导动力站社区打造“四心”服务品牌，该品牌先后获评国家级、省级先进典型。依托传统节庆开展座谈交流、走访慰问，按时足额发放早期归侨生活补助；组织志愿服务队伍开展文艺展演、政策宣讲等活动，丰富服务形式。</w:t>
      </w:r>
    </w:p>
    <w:p>
      <w:pPr>
        <w:spacing w:line="576" w:lineRule="exact"/>
        <w:ind w:firstLine="640" w:firstLineChars="200"/>
        <w:jc w:val="left"/>
        <w:rPr>
          <w:rFonts w:eastAsia="方正仿宋_GBK"/>
          <w:szCs w:val="32"/>
          <w:lang w:val="zh-CN"/>
        </w:rPr>
      </w:pPr>
      <w:r>
        <w:rPr>
          <w:rFonts w:hint="eastAsia" w:eastAsia="方正仿宋_GBK"/>
          <w:b/>
          <w:szCs w:val="32"/>
          <w:lang w:val="zh-CN"/>
        </w:rPr>
        <w:t>2.预算管理。</w:t>
      </w:r>
      <w:r>
        <w:rPr>
          <w:rFonts w:hint="eastAsia" w:eastAsia="方正仿宋_GBK"/>
          <w:szCs w:val="32"/>
        </w:rPr>
        <w:t>严格遵照《中华人民共和国预算法》及实施条例开展预算管理工作，持续强化预算刚性约束，提升预算执行效能，从严压减一般性支出。预算编制上，全面核查预算内容的合规性、合理性与完整性。经比对研判，本年度预算数据精准度较高，收支项目实现全覆盖，编制质量良好。收入管理方面，单位收入全部为财政拨款，历年产生的利息收入均按规定全额上缴区财政局，做到收入统筹规范管理。支出管控环节，定期对比支出计划与实际执行情况，分析资金拨付时效及支出结构，科学统筹调度资金，全力保障单位年度各项工作稳步推进。预算结余方面，本年度区级财政资金、上级转移支付资金均已全部执行到位，年末无结余资金。</w:t>
      </w:r>
    </w:p>
    <w:p>
      <w:pPr>
        <w:spacing w:line="576" w:lineRule="exact"/>
        <w:ind w:firstLine="640" w:firstLineChars="200"/>
        <w:jc w:val="left"/>
        <w:rPr>
          <w:rFonts w:hint="eastAsia" w:eastAsia="方正仿宋_GBK"/>
          <w:szCs w:val="32"/>
          <w:lang w:val="zh-CN"/>
        </w:rPr>
      </w:pPr>
      <w:r>
        <w:rPr>
          <w:rFonts w:hint="eastAsia" w:eastAsia="方正仿宋_GBK"/>
          <w:b/>
          <w:szCs w:val="32"/>
          <w:lang w:val="zh-CN"/>
        </w:rPr>
        <w:t>3.财务管理。</w:t>
      </w:r>
      <w:r>
        <w:rPr>
          <w:rFonts w:hint="eastAsia" w:eastAsia="方正仿宋_GBK"/>
          <w:szCs w:val="32"/>
          <w:lang w:val="zh-CN"/>
        </w:rPr>
        <w:t>建立了完善的财务管理制度，针对预算管理、会计核算、内部控制等关键环节作出明确规定，为各项财务工作合规、高效开展筑牢制度基础。单位财务岗位设置科学合理，岗位职责划分清晰，有效保障财务工作高质高效运转。资金管理严格遵循各项规章制度，2025年度所有支出均在部门预算批复范围内执行，全程规范有序。经查，未发现挤占、截留、挪用资金及虚列支出等违规问题，资金使用合法合规，各项财务制度落地执行到位。</w:t>
      </w:r>
    </w:p>
    <w:p>
      <w:pPr>
        <w:spacing w:line="576" w:lineRule="exact"/>
        <w:ind w:firstLine="640" w:firstLineChars="200"/>
        <w:jc w:val="both"/>
        <w:rPr>
          <w:rFonts w:eastAsia="方正仿宋_GBK"/>
          <w:szCs w:val="32"/>
          <w:lang w:val="zh-CN"/>
        </w:rPr>
      </w:pPr>
      <w:r>
        <w:rPr>
          <w:rFonts w:hint="eastAsia" w:eastAsia="方正仿宋_GBK"/>
          <w:b/>
          <w:szCs w:val="32"/>
          <w:lang w:val="zh-CN"/>
        </w:rPr>
        <w:t>4.资产管理。</w:t>
      </w:r>
      <w:r>
        <w:rPr>
          <w:rFonts w:hint="eastAsia" w:eastAsia="方正仿宋_GBK"/>
          <w:szCs w:val="32"/>
        </w:rPr>
        <w:t>严格遵照《事业单位国有资产管理暂行办法》规定开展资产管理工作。单位健全资产管理制度，明晰管控范围与工作目标，规范资产购置、使用、处置全流程审批；落实不相容岗位分离制度，梳理业务流程与关键管控节点，强化资产配置监管，推动资产合理高效利用，切实保障国有资产安全完整。同时，严格依照会计制度规范计提资产折旧，并将全部行政事业性国有资产纳入四川省行政事业单位资产管理信息系统，实现动态化管理。2025年度资产情况如下：期初资产总额23.64万元，期末资产总额52.58万元，其中固定资产8.52万元、无形资产0.75万元、公共基础设施43.31万元。本年度期初人均资产率214.91%，期末人均资产率478%，人均资产变化率122.42%。</w:t>
      </w:r>
    </w:p>
    <w:p>
      <w:pPr>
        <w:spacing w:line="576" w:lineRule="exact"/>
        <w:ind w:firstLine="640" w:firstLineChars="200"/>
        <w:jc w:val="left"/>
        <w:rPr>
          <w:rFonts w:eastAsia="方正仿宋_GBK"/>
          <w:szCs w:val="32"/>
        </w:rPr>
      </w:pPr>
      <w:r>
        <w:rPr>
          <w:rFonts w:hint="eastAsia" w:eastAsia="方正仿宋_GBK"/>
          <w:b/>
          <w:szCs w:val="32"/>
          <w:lang w:val="zh-CN"/>
        </w:rPr>
        <w:t>5.</w:t>
      </w:r>
      <w:r>
        <w:rPr>
          <w:rFonts w:hint="eastAsia" w:eastAsia="方正仿宋_GBK"/>
          <w:b/>
          <w:szCs w:val="32"/>
        </w:rPr>
        <w:t>采购管理。</w:t>
      </w:r>
      <w:r>
        <w:rPr>
          <w:rFonts w:hint="eastAsia" w:eastAsia="方正仿宋_GBK"/>
          <w:szCs w:val="32"/>
        </w:rPr>
        <w:t>落实《中华人民共和国政府采购法》《中华人民共和国中小企业促进法》等法规要求，持续优化采购相关举措，加大对中小企业扶持力度。同时不断精简流程、提升采购工作效率与灵活度，适配市场变化，全面提高采购管理质效。精准编制政府采购预算，保障预算与采购计划目录相统一，从源头规避预算偏差影响采购开展。结合年度工作及支出进度，科学统筹、有序制定采购计划。</w:t>
      </w:r>
    </w:p>
    <w:p>
      <w:pPr>
        <w:pStyle w:val="27"/>
        <w:ind w:firstLine="643"/>
        <w:rPr>
          <w:rFonts w:ascii="方正楷体_GBK" w:eastAsia="方正楷体_GBK"/>
          <w:b/>
          <w:bCs/>
          <w:color w:val="000000"/>
          <w:kern w:val="0"/>
          <w:szCs w:val="32"/>
          <w:shd w:val="clear" w:color="auto" w:fill="FFFFFF"/>
          <w:lang w:val="zh-CN"/>
        </w:rPr>
      </w:pPr>
      <w:r>
        <w:rPr>
          <w:rFonts w:ascii="方正楷体_GBK" w:eastAsia="方正楷体_GBK"/>
          <w:b/>
          <w:bCs/>
          <w:color w:val="000000"/>
          <w:kern w:val="0"/>
          <w:szCs w:val="32"/>
          <w:shd w:val="clear" w:color="auto" w:fill="FFFFFF"/>
          <w:lang w:val="zh-CN"/>
        </w:rPr>
        <w:t>（二）部门预算项目绩效分析</w:t>
      </w:r>
    </w:p>
    <w:p>
      <w:pPr>
        <w:pStyle w:val="27"/>
        <w:rPr>
          <w:rFonts w:eastAsia="方正仿宋_GBK"/>
          <w:szCs w:val="32"/>
          <w:lang w:val="zh-CN"/>
        </w:rPr>
      </w:pPr>
      <w:r>
        <w:rPr>
          <w:rFonts w:hint="eastAsia" w:eastAsia="方正仿宋_GBK"/>
          <w:szCs w:val="32"/>
          <w:lang w:val="zh-CN"/>
        </w:rPr>
        <w:t>常年项目绩效分析。该类项目总数</w:t>
      </w:r>
      <w:r>
        <w:rPr>
          <w:rFonts w:hint="eastAsia" w:eastAsia="方正仿宋_GBK"/>
          <w:szCs w:val="32"/>
        </w:rPr>
        <w:t>6</w:t>
      </w:r>
      <w:r>
        <w:rPr>
          <w:rFonts w:hint="eastAsia" w:eastAsia="方正仿宋_GBK"/>
          <w:szCs w:val="32"/>
          <w:lang w:val="zh-CN"/>
        </w:rPr>
        <w:t>个，涉及预算总金额</w:t>
      </w:r>
      <w:r>
        <w:rPr>
          <w:rFonts w:hint="eastAsia" w:eastAsia="方正仿宋_GBK"/>
          <w:szCs w:val="32"/>
        </w:rPr>
        <w:t>27.49</w:t>
      </w:r>
      <w:r>
        <w:rPr>
          <w:rFonts w:hint="eastAsia" w:eastAsia="方正仿宋_GBK"/>
          <w:szCs w:val="32"/>
          <w:lang w:val="zh-CN"/>
        </w:rPr>
        <w:t>万元，1</w:t>
      </w:r>
      <w:r>
        <w:rPr>
          <w:rFonts w:hint="eastAsia"/>
          <w:color w:val="000000"/>
          <w:kern w:val="0"/>
          <w:szCs w:val="32"/>
          <w:shd w:val="clear" w:color="auto" w:fill="FFFFFF"/>
          <w:lang w:val="zh-CN"/>
        </w:rPr>
        <w:t>—</w:t>
      </w:r>
      <w:r>
        <w:rPr>
          <w:rFonts w:hint="eastAsia" w:eastAsia="方正仿宋_GBK"/>
          <w:szCs w:val="32"/>
          <w:lang w:val="zh-CN"/>
        </w:rPr>
        <w:t>12月预算执行总体进度为100%，其中：预算结余率大于10%的项目共计0个。</w:t>
      </w:r>
    </w:p>
    <w:p>
      <w:pPr>
        <w:adjustRightInd w:val="0"/>
        <w:snapToGrid w:val="0"/>
        <w:spacing w:line="578" w:lineRule="exact"/>
        <w:ind w:firstLine="640" w:firstLineChars="200"/>
        <w:contextualSpacing/>
        <w:jc w:val="left"/>
        <w:rPr>
          <w:rFonts w:eastAsia="方正仿宋_GBK"/>
          <w:szCs w:val="32"/>
          <w:lang w:val="zh-CN"/>
        </w:rPr>
      </w:pPr>
      <w:r>
        <w:rPr>
          <w:rFonts w:eastAsia="方正仿宋_GBK"/>
          <w:szCs w:val="32"/>
          <w:lang w:val="zh-CN"/>
        </w:rPr>
        <w:t>阶段（</w:t>
      </w:r>
      <w:r>
        <w:rPr>
          <w:rFonts w:hint="eastAsia" w:eastAsia="方正仿宋_GBK"/>
          <w:szCs w:val="32"/>
          <w:lang w:val="zh-CN"/>
        </w:rPr>
        <w:t>含</w:t>
      </w:r>
      <w:r>
        <w:rPr>
          <w:rFonts w:eastAsia="方正仿宋_GBK"/>
          <w:szCs w:val="32"/>
          <w:lang w:val="zh-CN"/>
        </w:rPr>
        <w:t>一次性）项目绩效分析。该类项目总数</w:t>
      </w:r>
      <w:r>
        <w:rPr>
          <w:rFonts w:hint="eastAsia" w:eastAsia="方正仿宋_GBK"/>
          <w:szCs w:val="32"/>
        </w:rPr>
        <w:t>2</w:t>
      </w:r>
      <w:r>
        <w:rPr>
          <w:rFonts w:eastAsia="方正仿宋_GBK"/>
          <w:szCs w:val="32"/>
          <w:lang w:val="zh-CN"/>
        </w:rPr>
        <w:t>个，涉及预算总金额</w:t>
      </w:r>
      <w:r>
        <w:rPr>
          <w:rFonts w:hint="eastAsia" w:eastAsia="方正仿宋_GBK"/>
          <w:szCs w:val="32"/>
        </w:rPr>
        <w:t>7</w:t>
      </w:r>
      <w:r>
        <w:rPr>
          <w:rFonts w:eastAsia="方正仿宋_GBK"/>
          <w:szCs w:val="32"/>
          <w:lang w:val="zh-CN"/>
        </w:rPr>
        <w:t>万元，1</w:t>
      </w:r>
      <w:r>
        <w:rPr>
          <w:rFonts w:hint="eastAsia"/>
          <w:color w:val="000000"/>
          <w:kern w:val="0"/>
          <w:szCs w:val="32"/>
          <w:shd w:val="clear" w:color="auto" w:fill="FFFFFF"/>
          <w:lang w:val="zh-CN"/>
        </w:rPr>
        <w:t>—</w:t>
      </w:r>
      <w:r>
        <w:rPr>
          <w:color w:val="000000"/>
          <w:kern w:val="0"/>
          <w:szCs w:val="32"/>
          <w:shd w:val="clear" w:color="auto" w:fill="FFFFFF"/>
          <w:lang w:val="zh-CN"/>
        </w:rPr>
        <w:t>1</w:t>
      </w:r>
      <w:r>
        <w:rPr>
          <w:color w:val="000000"/>
          <w:kern w:val="0"/>
          <w:szCs w:val="32"/>
          <w:shd w:val="clear" w:color="auto" w:fill="FFFFFF"/>
        </w:rPr>
        <w:t>2</w:t>
      </w:r>
      <w:r>
        <w:rPr>
          <w:rFonts w:eastAsia="方正仿宋_GBK"/>
          <w:szCs w:val="32"/>
          <w:lang w:val="zh-CN"/>
        </w:rPr>
        <w:t>月预算执行总体进度为</w:t>
      </w:r>
      <w:r>
        <w:rPr>
          <w:rFonts w:hint="eastAsia" w:eastAsia="方正仿宋_GBK"/>
          <w:szCs w:val="32"/>
        </w:rPr>
        <w:t>100</w:t>
      </w:r>
      <w:r>
        <w:rPr>
          <w:rFonts w:eastAsia="方正仿宋_GBK"/>
          <w:szCs w:val="32"/>
          <w:lang w:val="zh-CN"/>
        </w:rPr>
        <w:t>%，其中：预算结余率大于10%的项目共计</w:t>
      </w:r>
      <w:r>
        <w:rPr>
          <w:rFonts w:hint="eastAsia" w:eastAsia="方正仿宋_GBK"/>
          <w:szCs w:val="32"/>
        </w:rPr>
        <w:t>0</w:t>
      </w:r>
      <w:r>
        <w:rPr>
          <w:rFonts w:eastAsia="方正仿宋_GBK"/>
          <w:szCs w:val="32"/>
          <w:lang w:val="zh-CN"/>
        </w:rPr>
        <w:t>个。</w:t>
      </w:r>
    </w:p>
    <w:p>
      <w:pPr>
        <w:pStyle w:val="27"/>
        <w:ind w:firstLine="643"/>
        <w:rPr>
          <w:rFonts w:eastAsia="方正仿宋_GBK"/>
          <w:szCs w:val="32"/>
          <w:lang w:val="zh-CN"/>
        </w:rPr>
      </w:pPr>
      <w:r>
        <w:rPr>
          <w:rFonts w:hint="eastAsia" w:eastAsia="方正仿宋_GBK"/>
          <w:b/>
          <w:szCs w:val="32"/>
        </w:rPr>
        <w:t>1.</w:t>
      </w:r>
      <w:r>
        <w:rPr>
          <w:rFonts w:eastAsia="方正仿宋_GBK"/>
          <w:b/>
          <w:szCs w:val="32"/>
          <w:lang w:val="zh-CN"/>
        </w:rPr>
        <w:t>项目决策。</w:t>
      </w:r>
      <w:r>
        <w:rPr>
          <w:rFonts w:eastAsia="方正仿宋_GBK"/>
          <w:szCs w:val="32"/>
          <w:lang w:val="zh-CN"/>
        </w:rPr>
        <w:t>结合工作实际与项目发展规划，采用科学论证方式，对拟申报预算的政策及项目开展综合评估，重点研判申报必要性、投入经济性、绩效目标合理性、实施方案可行性与成本核算等内容，并细化设定三级绩效目标。严格遵循 “谁申请资金，谁设定目标” 原则，在项目库填报项目信息时，同步完成部门整体支出、专项项目支出两类绩效目标申报。绩效目标将作为预算编制、绩效监控及绩效评价的重要依据。</w:t>
      </w:r>
    </w:p>
    <w:p>
      <w:pPr>
        <w:pStyle w:val="27"/>
        <w:ind w:firstLine="643"/>
        <w:rPr>
          <w:rFonts w:eastAsia="方正仿宋_GBK"/>
          <w:szCs w:val="32"/>
          <w:lang w:val="zh-CN"/>
        </w:rPr>
      </w:pPr>
      <w:r>
        <w:rPr>
          <w:rFonts w:eastAsia="方正仿宋_GBK"/>
          <w:b/>
          <w:szCs w:val="32"/>
          <w:lang w:val="zh-CN"/>
        </w:rPr>
        <w:t>2.项目执行。</w:t>
      </w:r>
      <w:r>
        <w:rPr>
          <w:rFonts w:hint="eastAsia" w:eastAsia="方正仿宋_GBK"/>
          <w:szCs w:val="32"/>
          <w:lang w:val="zh-CN"/>
        </w:rPr>
        <w:t>202</w:t>
      </w:r>
      <w:r>
        <w:rPr>
          <w:rFonts w:hint="eastAsia" w:eastAsia="方正仿宋_GBK"/>
          <w:szCs w:val="32"/>
        </w:rPr>
        <w:t>5</w:t>
      </w:r>
      <w:r>
        <w:rPr>
          <w:rFonts w:hint="eastAsia" w:eastAsia="方正仿宋_GBK"/>
          <w:szCs w:val="32"/>
          <w:lang w:val="zh-CN"/>
        </w:rPr>
        <w:t>年人员类经费预算</w:t>
      </w:r>
      <w:r>
        <w:rPr>
          <w:rFonts w:hint="eastAsia" w:eastAsia="方正仿宋_GBK"/>
          <w:szCs w:val="32"/>
        </w:rPr>
        <w:t>225.66</w:t>
      </w:r>
      <w:r>
        <w:rPr>
          <w:rFonts w:hint="eastAsia" w:eastAsia="方正仿宋_GBK"/>
          <w:szCs w:val="32"/>
          <w:lang w:val="zh-CN"/>
        </w:rPr>
        <w:t>万元，支出完成</w:t>
      </w:r>
      <w:r>
        <w:rPr>
          <w:rFonts w:hint="eastAsia" w:eastAsia="方正仿宋_GBK"/>
          <w:szCs w:val="32"/>
        </w:rPr>
        <w:t>225.66</w:t>
      </w:r>
      <w:r>
        <w:rPr>
          <w:rFonts w:hint="eastAsia" w:eastAsia="方正仿宋_GBK"/>
          <w:szCs w:val="32"/>
          <w:lang w:val="zh-CN"/>
        </w:rPr>
        <w:t>万元，执行率100%。绩效管理：按时完成了全体干部职工的工资发放；社会保障缴费、住房公积金的缴纳。</w:t>
      </w:r>
    </w:p>
    <w:p>
      <w:pPr>
        <w:pStyle w:val="27"/>
        <w:rPr>
          <w:rFonts w:eastAsia="方正仿宋_GBK"/>
          <w:szCs w:val="32"/>
          <w:lang w:val="zh-CN"/>
        </w:rPr>
      </w:pPr>
      <w:r>
        <w:rPr>
          <w:rFonts w:hint="eastAsia" w:eastAsia="方正仿宋_GBK"/>
          <w:szCs w:val="32"/>
          <w:lang w:val="zh-CN"/>
        </w:rPr>
        <w:t>202</w:t>
      </w:r>
      <w:r>
        <w:rPr>
          <w:rFonts w:hint="eastAsia" w:eastAsia="方正仿宋_GBK"/>
          <w:szCs w:val="32"/>
        </w:rPr>
        <w:t>5</w:t>
      </w:r>
      <w:r>
        <w:rPr>
          <w:rFonts w:hint="eastAsia" w:eastAsia="方正仿宋_GBK"/>
          <w:szCs w:val="32"/>
          <w:lang w:val="zh-CN"/>
        </w:rPr>
        <w:t>年公用经费预算</w:t>
      </w:r>
      <w:r>
        <w:rPr>
          <w:rFonts w:hint="eastAsia" w:eastAsia="方正仿宋_GBK"/>
          <w:szCs w:val="32"/>
        </w:rPr>
        <w:t>16.68</w:t>
      </w:r>
      <w:r>
        <w:rPr>
          <w:rFonts w:hint="eastAsia" w:eastAsia="方正仿宋_GBK"/>
          <w:szCs w:val="32"/>
          <w:lang w:val="zh-CN"/>
        </w:rPr>
        <w:t>万元，支出完成</w:t>
      </w:r>
      <w:r>
        <w:rPr>
          <w:rFonts w:hint="eastAsia" w:eastAsia="方正仿宋_GBK"/>
          <w:szCs w:val="32"/>
        </w:rPr>
        <w:t>16.68</w:t>
      </w:r>
      <w:r>
        <w:rPr>
          <w:rFonts w:hint="eastAsia" w:eastAsia="方正仿宋_GBK"/>
          <w:szCs w:val="32"/>
          <w:lang w:val="zh-CN"/>
        </w:rPr>
        <w:t>万元</w:t>
      </w:r>
      <w:r>
        <w:rPr>
          <w:rFonts w:eastAsia="方正仿宋_GBK"/>
          <w:szCs w:val="32"/>
          <w:lang w:val="zh-CN"/>
        </w:rPr>
        <w:t>，</w:t>
      </w:r>
      <w:r>
        <w:rPr>
          <w:rFonts w:hint="eastAsia" w:eastAsia="方正仿宋_GBK"/>
          <w:szCs w:val="32"/>
          <w:lang w:val="zh-CN"/>
        </w:rPr>
        <w:t>执行率100%。绩效管理：公用经费按定额和定员标准进行编制，预算真实、准确无误。</w:t>
      </w:r>
    </w:p>
    <w:p>
      <w:pPr>
        <w:pStyle w:val="27"/>
        <w:rPr>
          <w:rFonts w:eastAsia="方正仿宋_GBK"/>
          <w:szCs w:val="32"/>
        </w:rPr>
      </w:pPr>
      <w:r>
        <w:rPr>
          <w:rFonts w:hint="eastAsia" w:eastAsia="方正仿宋_GBK"/>
          <w:szCs w:val="32"/>
        </w:rPr>
        <w:t>2025年项目支出共计34.49万元，主要用于宗教活动场所维修改造、统战事务运转保障、早期归侨生活补助发放，以及民主党派、知联会、新联会调研活动、民族宗教日常事务、民族团结进步示范创建等工作。资金管理上，严格执行审核管控制度，对照预算时序进度规范资金拨付，严守资金使用合规底线。坚持全局统筹调度，对项目资金统一规划、统一监管，充分释放资金效能，实现使用效益最大化。绩效管理方面，紧扣年度绩效目标，建立事前审批报备、事中动态监控、事后综合考评的全流程管理体系。本年度完成8个项目绩效分析，围绕数量、质量、时效、成本四类指标逐项研判，细化工作计划、明确时序节点与任务目标，各项执行情况均符合项目方案要求。</w:t>
      </w:r>
    </w:p>
    <w:p>
      <w:pPr>
        <w:pStyle w:val="27"/>
        <w:ind w:firstLine="643"/>
        <w:rPr>
          <w:rFonts w:eastAsia="方正仿宋_GBK"/>
          <w:szCs w:val="32"/>
          <w:lang w:val="zh-CN"/>
        </w:rPr>
      </w:pPr>
      <w:r>
        <w:rPr>
          <w:rFonts w:eastAsia="方正仿宋_GBK"/>
          <w:b/>
          <w:szCs w:val="32"/>
          <w:lang w:val="zh-CN"/>
        </w:rPr>
        <w:t>3.目标实现。</w:t>
      </w:r>
      <w:r>
        <w:rPr>
          <w:rFonts w:hint="eastAsia" w:eastAsia="方正仿宋_GBK"/>
          <w:szCs w:val="32"/>
        </w:rPr>
        <w:t>预算资金主要用于保障单位日常运转、履行职责以及落实区委、区政府交办的各项工作任务。我部合理把控各项目资金执行节奏，严格践行“过紧日子”的要求，预算管控到位，全年各项职能目标均圆满完成。</w:t>
      </w:r>
    </w:p>
    <w:p>
      <w:pPr>
        <w:pStyle w:val="27"/>
        <w:ind w:firstLine="643"/>
        <w:rPr>
          <w:rFonts w:ascii="方正楷体_GBK" w:eastAsia="方正楷体_GBK"/>
          <w:b/>
          <w:bCs/>
          <w:color w:val="000000"/>
          <w:kern w:val="0"/>
          <w:szCs w:val="32"/>
          <w:shd w:val="clear" w:color="auto" w:fill="FFFFFF"/>
          <w:lang w:val="zh-CN"/>
        </w:rPr>
      </w:pPr>
      <w:r>
        <w:rPr>
          <w:rFonts w:ascii="方正楷体_GBK" w:eastAsia="方正楷体_GBK"/>
          <w:b/>
          <w:bCs/>
          <w:color w:val="000000"/>
          <w:kern w:val="0"/>
          <w:szCs w:val="32"/>
          <w:shd w:val="clear" w:color="auto" w:fill="FFFFFF"/>
          <w:lang w:val="zh-CN"/>
        </w:rPr>
        <w:t>（三）绩效结果应用情况</w:t>
      </w:r>
    </w:p>
    <w:p>
      <w:pPr>
        <w:pStyle w:val="27"/>
        <w:rPr>
          <w:rFonts w:eastAsia="方正仿宋_GBK"/>
          <w:szCs w:val="32"/>
          <w:lang w:val="zh-CN"/>
        </w:rPr>
      </w:pPr>
      <w:r>
        <w:rPr>
          <w:rFonts w:hint="eastAsia" w:eastAsia="方正仿宋_GBK"/>
          <w:szCs w:val="32"/>
          <w:lang w:val="zh-CN"/>
        </w:rPr>
        <w:t>本次绩效自评成果将全面运用于后续绩效管理工作，持续做实绩效评价、规范内部管理。通过自评复盘，全面掌握项目经费使用成效，总结资金管理经验，为下一年度提升资金使用效益、规范财政支出、优化预算编制及强化绩效目标管理提供有力支撑。</w:t>
      </w:r>
    </w:p>
    <w:p>
      <w:pPr>
        <w:pStyle w:val="27"/>
        <w:ind w:firstLine="643"/>
        <w:rPr>
          <w:rFonts w:eastAsia="方正仿宋_GBK"/>
          <w:szCs w:val="32"/>
          <w:lang w:val="zh-CN"/>
        </w:rPr>
      </w:pPr>
      <w:r>
        <w:rPr>
          <w:rFonts w:hint="eastAsia" w:eastAsia="方正仿宋_GBK"/>
          <w:b/>
          <w:szCs w:val="32"/>
          <w:lang w:val="zh-CN"/>
        </w:rPr>
        <w:t>1.内部应用方面。</w:t>
      </w:r>
      <w:r>
        <w:rPr>
          <w:rFonts w:hint="eastAsia" w:eastAsia="方正仿宋_GBK"/>
          <w:szCs w:val="32"/>
          <w:lang w:val="zh-CN"/>
        </w:rPr>
        <w:t>严格对照区财政局印发的《攀枝花市西区单位财政资金绩效管理工作考评细则》，将项目绩效目标设定、绩效自评等情况纳入部门考核体系，考核结果作为后续项目资金分配的重要参考。</w:t>
      </w:r>
    </w:p>
    <w:p>
      <w:pPr>
        <w:pStyle w:val="27"/>
        <w:ind w:firstLine="643"/>
        <w:rPr>
          <w:rFonts w:eastAsia="方正仿宋_GBK"/>
          <w:szCs w:val="32"/>
          <w:lang w:val="zh-CN"/>
        </w:rPr>
      </w:pPr>
      <w:r>
        <w:rPr>
          <w:rFonts w:hint="eastAsia" w:eastAsia="方正仿宋_GBK"/>
          <w:b/>
          <w:szCs w:val="32"/>
          <w:lang w:val="zh-CN"/>
        </w:rPr>
        <w:t>2.信息公开方面。</w:t>
      </w:r>
      <w:r>
        <w:rPr>
          <w:rFonts w:hint="eastAsia" w:eastAsia="方正仿宋_GBK"/>
          <w:szCs w:val="32"/>
          <w:lang w:val="zh-CN"/>
        </w:rPr>
        <w:t>依照预算绩效管理相关规定，高质量完成绩效自评工作，及时报送预算执行问题、改进建议及整改落实情况，并按要求在攀枝花市西区人民政府网站公开绩效自评信息。</w:t>
      </w:r>
    </w:p>
    <w:p>
      <w:pPr>
        <w:pStyle w:val="27"/>
        <w:ind w:firstLine="643"/>
        <w:rPr>
          <w:rFonts w:eastAsia="方正仿宋_GBK"/>
          <w:b/>
          <w:szCs w:val="32"/>
          <w:lang w:val="zh-CN"/>
        </w:rPr>
      </w:pPr>
      <w:r>
        <w:rPr>
          <w:rFonts w:hint="eastAsia" w:eastAsia="方正仿宋_GBK"/>
          <w:b/>
          <w:szCs w:val="32"/>
          <w:lang w:val="zh-CN"/>
        </w:rPr>
        <w:t>3.应用反馈方面。</w:t>
      </w:r>
    </w:p>
    <w:p>
      <w:pPr>
        <w:pStyle w:val="27"/>
        <w:rPr>
          <w:rFonts w:eastAsia="方正仿宋_GBK"/>
          <w:szCs w:val="32"/>
          <w:lang w:val="zh-CN"/>
        </w:rPr>
      </w:pPr>
      <w:r>
        <w:rPr>
          <w:rFonts w:hint="eastAsia" w:eastAsia="方正仿宋_GBK"/>
          <w:szCs w:val="32"/>
          <w:lang w:val="zh-CN"/>
        </w:rPr>
        <w:t>（</w:t>
      </w:r>
      <w:r>
        <w:rPr>
          <w:rFonts w:hint="eastAsia" w:eastAsia="方正仿宋_GBK"/>
          <w:szCs w:val="32"/>
        </w:rPr>
        <w:t>1</w:t>
      </w:r>
      <w:r>
        <w:rPr>
          <w:rFonts w:hint="eastAsia" w:eastAsia="方正仿宋_GBK"/>
          <w:szCs w:val="32"/>
          <w:lang w:val="zh-CN"/>
        </w:rPr>
        <w:t>）强化支出全过程管控。对纳入预算管理的项目资金，全程跟踪项目实施进度，合理申报用款计划，保障资金及时拨付、规范使用。</w:t>
      </w:r>
    </w:p>
    <w:p>
      <w:pPr>
        <w:pStyle w:val="27"/>
        <w:rPr>
          <w:rFonts w:eastAsia="方正仿宋_GBK"/>
          <w:szCs w:val="32"/>
          <w:lang w:val="zh-CN"/>
        </w:rPr>
      </w:pPr>
      <w:r>
        <w:rPr>
          <w:rFonts w:hint="eastAsia" w:eastAsia="方正仿宋_GBK"/>
          <w:szCs w:val="32"/>
          <w:lang w:val="zh-CN"/>
        </w:rPr>
        <w:t>（</w:t>
      </w:r>
      <w:r>
        <w:rPr>
          <w:rFonts w:hint="eastAsia" w:eastAsia="方正仿宋_GBK"/>
          <w:szCs w:val="32"/>
        </w:rPr>
        <w:t>2</w:t>
      </w:r>
      <w:r>
        <w:rPr>
          <w:rFonts w:hint="eastAsia" w:eastAsia="方正仿宋_GBK"/>
          <w:szCs w:val="32"/>
          <w:lang w:val="zh-CN"/>
        </w:rPr>
        <w:t>）从严管控 “三公” 经费。2025年持续落实中央八项规定及其实施细则、省级十项规定精神与《党政机关厉行节约反对浪费条例》，抓实 “三公” 经费、会议费、培训费管理，各项支出得到有效控制。</w:t>
      </w:r>
      <w:bookmarkStart w:id="1" w:name="_GoBack"/>
      <w:bookmarkEnd w:id="1"/>
    </w:p>
    <w:p>
      <w:pPr>
        <w:widowControl/>
        <w:adjustRightInd w:val="0"/>
        <w:snapToGrid w:val="0"/>
        <w:spacing w:line="578" w:lineRule="exact"/>
        <w:ind w:firstLine="640" w:firstLineChars="200"/>
        <w:contextualSpacing/>
        <w:jc w:val="left"/>
        <w:rPr>
          <w:rFonts w:ascii="方正黑体_GBK" w:eastAsia="方正黑体_GBK"/>
          <w:szCs w:val="32"/>
        </w:rPr>
      </w:pPr>
      <w:r>
        <w:rPr>
          <w:rFonts w:ascii="方正黑体_GBK" w:eastAsia="方正黑体_GBK"/>
          <w:szCs w:val="32"/>
        </w:rPr>
        <w:t>四、评价结论及建议</w:t>
      </w:r>
    </w:p>
    <w:p>
      <w:pPr>
        <w:pStyle w:val="27"/>
        <w:ind w:firstLine="643"/>
        <w:rPr>
          <w:rFonts w:eastAsia="方正仿宋_GBK"/>
          <w:szCs w:val="32"/>
          <w:lang w:val="zh-CN"/>
        </w:rPr>
      </w:pPr>
      <w:r>
        <w:rPr>
          <w:rFonts w:ascii="方正楷体_GBK" w:eastAsia="方正楷体_GBK"/>
          <w:b/>
          <w:bCs/>
          <w:color w:val="000000"/>
          <w:kern w:val="0"/>
          <w:szCs w:val="32"/>
          <w:shd w:val="clear" w:color="auto" w:fill="FFFFFF"/>
          <w:lang w:val="zh-CN"/>
        </w:rPr>
        <w:t>（一）评价结论。</w:t>
      </w:r>
      <w:r>
        <w:rPr>
          <w:rFonts w:hint="eastAsia" w:eastAsia="方正仿宋_GBK"/>
          <w:szCs w:val="32"/>
          <w:lang w:val="zh-CN"/>
        </w:rPr>
        <w:t>本次绩效评价梳理总结资金使用规律，进一步提升资金使用效益，压实资金管理责任，保障各项目有序实施。工作中对项目概况、资金管理、任务完成、实施效益及问题整改等环节实施动态监管，有效强化工作人员绩效理念与主体责任。坚持将评价结果作为预算编制的重要参考，全面兼顾财政资金使用的经济性、效率性、效益性与可持续性。结合预决算资料、财务凭证、工作台账及实地核查情况，对照评价指标完成逐项打分，本次自评总得分为96分。总体来看，2025年度部门整体支出绩效</w:t>
      </w:r>
      <w:r>
        <w:rPr>
          <w:rFonts w:hint="eastAsia" w:eastAsia="方正仿宋_GBK"/>
          <w:szCs w:val="32"/>
        </w:rPr>
        <w:t>良好</w:t>
      </w:r>
      <w:r>
        <w:rPr>
          <w:rFonts w:hint="eastAsia" w:eastAsia="方正仿宋_GBK"/>
          <w:szCs w:val="32"/>
          <w:lang w:val="zh-CN"/>
        </w:rPr>
        <w:t>，圆满完成年初既定预算任务，全面履行各项职能职责，顺利实现预设绩效目标。</w:t>
      </w:r>
    </w:p>
    <w:p>
      <w:pPr>
        <w:pStyle w:val="27"/>
        <w:ind w:firstLine="643"/>
        <w:rPr>
          <w:rFonts w:ascii="方正楷体_GBK" w:eastAsia="方正楷体_GBK"/>
          <w:b/>
          <w:bCs/>
          <w:color w:val="000000"/>
          <w:kern w:val="0"/>
          <w:szCs w:val="32"/>
          <w:shd w:val="clear" w:color="auto" w:fill="FFFFFF"/>
          <w:lang w:val="zh-CN"/>
        </w:rPr>
      </w:pPr>
      <w:r>
        <w:rPr>
          <w:rFonts w:ascii="方正楷体_GBK" w:eastAsia="方正楷体_GBK"/>
          <w:b/>
          <w:bCs/>
          <w:color w:val="000000"/>
          <w:kern w:val="0"/>
          <w:szCs w:val="32"/>
          <w:shd w:val="clear" w:color="auto" w:fill="FFFFFF"/>
          <w:lang w:val="zh-CN"/>
        </w:rPr>
        <w:t>（二）存在问题</w:t>
      </w:r>
    </w:p>
    <w:p>
      <w:pPr>
        <w:pStyle w:val="27"/>
        <w:rPr>
          <w:rFonts w:eastAsia="方正仿宋_GBK"/>
          <w:szCs w:val="32"/>
          <w:lang w:val="zh-CN"/>
        </w:rPr>
      </w:pPr>
      <w:r>
        <w:rPr>
          <w:rFonts w:hint="eastAsia" w:eastAsia="方正仿宋_GBK"/>
          <w:szCs w:val="32"/>
          <w:lang w:val="zh-CN"/>
        </w:rPr>
        <w:t>部分资金使用效率仍有提升空间。</w:t>
      </w:r>
    </w:p>
    <w:p>
      <w:pPr>
        <w:pStyle w:val="27"/>
        <w:ind w:firstLine="643"/>
        <w:rPr>
          <w:rFonts w:ascii="方正楷体_GBK" w:eastAsia="方正楷体_GBK"/>
          <w:b/>
          <w:bCs/>
          <w:color w:val="000000"/>
          <w:kern w:val="0"/>
          <w:szCs w:val="32"/>
          <w:shd w:val="clear" w:color="auto" w:fill="FFFFFF"/>
          <w:lang w:val="zh-CN"/>
        </w:rPr>
      </w:pPr>
      <w:r>
        <w:rPr>
          <w:rFonts w:ascii="方正楷体_GBK" w:eastAsia="方正楷体_GBK"/>
          <w:b/>
          <w:bCs/>
          <w:color w:val="000000"/>
          <w:kern w:val="0"/>
          <w:szCs w:val="32"/>
          <w:shd w:val="clear" w:color="auto" w:fill="FFFFFF"/>
          <w:lang w:val="zh-CN"/>
        </w:rPr>
        <w:t>（三）改进建议</w:t>
      </w:r>
    </w:p>
    <w:p>
      <w:pPr>
        <w:pStyle w:val="27"/>
        <w:ind w:firstLine="643"/>
        <w:rPr>
          <w:rFonts w:eastAsia="方正仿宋_GBK"/>
          <w:szCs w:val="32"/>
          <w:lang w:val="zh-CN"/>
        </w:rPr>
      </w:pPr>
      <w:r>
        <w:rPr>
          <w:rFonts w:hint="eastAsia" w:eastAsia="方正仿宋_GBK"/>
          <w:b/>
          <w:szCs w:val="32"/>
          <w:lang w:val="zh-CN"/>
        </w:rPr>
        <w:t>一是</w:t>
      </w:r>
      <w:r>
        <w:rPr>
          <w:rFonts w:hint="eastAsia" w:eastAsia="方正仿宋_GBK"/>
          <w:szCs w:val="32"/>
          <w:lang w:val="zh-CN"/>
        </w:rPr>
        <w:t>加强业务能力建设，常态化开展资金运行分析，持续提升绩效评价工作质量。</w:t>
      </w:r>
      <w:r>
        <w:rPr>
          <w:rFonts w:hint="eastAsia" w:eastAsia="方正仿宋_GBK"/>
          <w:b/>
          <w:szCs w:val="32"/>
          <w:lang w:val="zh-CN"/>
        </w:rPr>
        <w:t>二是</w:t>
      </w:r>
      <w:r>
        <w:rPr>
          <w:rFonts w:hint="eastAsia" w:eastAsia="方正仿宋_GBK"/>
          <w:szCs w:val="32"/>
          <w:lang w:val="zh-CN"/>
        </w:rPr>
        <w:t>在严守资金使用规范的基础上，树牢绩效导向，严格落实绩效评价结果与预算安排联动机制，定期梳理评估报告。</w:t>
      </w:r>
      <w:r>
        <w:rPr>
          <w:rFonts w:hint="eastAsia" w:eastAsia="方正仿宋_GBK"/>
          <w:b/>
          <w:szCs w:val="32"/>
          <w:lang w:val="zh-CN"/>
        </w:rPr>
        <w:t>三是</w:t>
      </w:r>
      <w:r>
        <w:rPr>
          <w:rFonts w:hint="eastAsia" w:eastAsia="方正仿宋_GBK"/>
          <w:szCs w:val="32"/>
          <w:lang w:val="zh-CN"/>
        </w:rPr>
        <w:t>强化部门自主监控，动态调整绩效目标与资金配置，清理盘活低效、闲置资金，持续提升财政资金使用效能。</w:t>
      </w:r>
    </w:p>
    <w:p>
      <w:pPr>
        <w:spacing w:line="578" w:lineRule="exact"/>
        <w:ind w:firstLine="660" w:firstLineChars="200"/>
        <w:rPr>
          <w:rFonts w:hint="eastAsia" w:eastAsia="方正仿宋_GBK"/>
          <w:sz w:val="33"/>
          <w:szCs w:val="33"/>
          <w:lang w:val="zh-CN"/>
        </w:rPr>
      </w:pPr>
    </w:p>
    <w:p>
      <w:pPr>
        <w:spacing w:line="578" w:lineRule="exact"/>
        <w:ind w:firstLine="660" w:firstLineChars="200"/>
        <w:rPr>
          <w:rFonts w:eastAsia="方正仿宋_GBK"/>
          <w:sz w:val="33"/>
          <w:szCs w:val="33"/>
          <w:lang w:val="zh-CN"/>
        </w:rPr>
      </w:pPr>
      <w:r>
        <w:rPr>
          <w:rFonts w:eastAsia="方正仿宋_GBK"/>
          <w:sz w:val="33"/>
          <w:szCs w:val="33"/>
          <w:lang w:val="zh-CN"/>
        </w:rPr>
        <w:t>附表：</w:t>
      </w:r>
      <w:r>
        <w:rPr>
          <w:rFonts w:hint="eastAsia" w:eastAsia="方正仿宋_GBK"/>
          <w:sz w:val="33"/>
          <w:szCs w:val="33"/>
          <w:lang w:val="zh-CN"/>
        </w:rPr>
        <w:t>1.部门预算绩效自评打分表</w:t>
      </w:r>
    </w:p>
    <w:p>
      <w:pPr>
        <w:spacing w:line="578" w:lineRule="exact"/>
        <w:ind w:firstLine="1650" w:firstLineChars="500"/>
        <w:rPr>
          <w:rFonts w:eastAsia="方正仿宋_GBK"/>
          <w:sz w:val="33"/>
          <w:szCs w:val="33"/>
          <w:lang w:val="zh-CN"/>
        </w:rPr>
      </w:pPr>
      <w:r>
        <w:rPr>
          <w:rFonts w:hint="eastAsia" w:eastAsia="方正仿宋_GBK"/>
          <w:sz w:val="33"/>
          <w:szCs w:val="33"/>
          <w:lang w:val="zh-CN"/>
        </w:rPr>
        <w:t>2.</w:t>
      </w:r>
      <w:r>
        <w:rPr>
          <w:rFonts w:eastAsia="方正仿宋_GBK"/>
          <w:sz w:val="33"/>
          <w:szCs w:val="33"/>
          <w:lang w:val="zh-CN"/>
        </w:rPr>
        <w:t>部门整体绩效目标完成情况自评表</w:t>
      </w: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r>
        <w:rPr>
          <w:rFonts w:hint="eastAsia" w:ascii="方正黑体_GBK" w:eastAsia="方正黑体_GBK"/>
        </w:rPr>
        <w:t>附表</w:t>
      </w:r>
      <w:r>
        <w:rPr>
          <w:rFonts w:hint="eastAsia" w:eastAsia="黑体"/>
        </w:rPr>
        <w:t>1</w:t>
      </w:r>
    </w:p>
    <w:p>
      <w:pPr>
        <w:widowControl/>
        <w:spacing w:line="0" w:lineRule="atLeast"/>
        <w:jc w:val="center"/>
        <w:textAlignment w:val="center"/>
        <w:rPr>
          <w:rFonts w:eastAsia="方正小标宋简体"/>
          <w:b/>
          <w:color w:val="000000"/>
          <w:kern w:val="0"/>
          <w:sz w:val="44"/>
          <w:szCs w:val="44"/>
        </w:rPr>
      </w:pPr>
      <w:r>
        <w:rPr>
          <w:rFonts w:hint="eastAsia" w:eastAsia="方正小标宋简体"/>
          <w:b/>
          <w:color w:val="000000"/>
          <w:kern w:val="0"/>
          <w:sz w:val="44"/>
          <w:szCs w:val="44"/>
        </w:rPr>
        <w:t>部门预算绩效自评打分表</w:t>
      </w:r>
    </w:p>
    <w:p>
      <w:pPr>
        <w:pStyle w:val="2"/>
      </w:pPr>
    </w:p>
    <w:tbl>
      <w:tblPr>
        <w:tblStyle w:val="12"/>
        <w:tblW w:w="10296" w:type="dxa"/>
        <w:jc w:val="center"/>
        <w:tblInd w:w="0" w:type="dxa"/>
        <w:tblLayout w:type="fixed"/>
        <w:tblCellMar>
          <w:top w:w="0" w:type="dxa"/>
          <w:left w:w="108" w:type="dxa"/>
          <w:bottom w:w="0" w:type="dxa"/>
          <w:right w:w="108" w:type="dxa"/>
        </w:tblCellMar>
      </w:tblPr>
      <w:tblGrid>
        <w:gridCol w:w="1004"/>
        <w:gridCol w:w="1462"/>
        <w:gridCol w:w="1665"/>
        <w:gridCol w:w="720"/>
        <w:gridCol w:w="4170"/>
        <w:gridCol w:w="795"/>
        <w:gridCol w:w="480"/>
      </w:tblGrid>
      <w:tr>
        <w:tblPrEx>
          <w:tblLayout w:type="fixed"/>
          <w:tblCellMar>
            <w:top w:w="0" w:type="dxa"/>
            <w:left w:w="108" w:type="dxa"/>
            <w:bottom w:w="0" w:type="dxa"/>
            <w:right w:w="108" w:type="dxa"/>
          </w:tblCellMar>
        </w:tblPrEx>
        <w:trPr>
          <w:trHeight w:val="390"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绩效评价指标指标分值</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指标解释</w:t>
            </w:r>
          </w:p>
        </w:tc>
        <w:tc>
          <w:tcPr>
            <w:tcW w:w="795"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480"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tblPrEx>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95"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8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Layout w:type="fixed"/>
          <w:tblCellMar>
            <w:top w:w="0" w:type="dxa"/>
            <w:left w:w="108" w:type="dxa"/>
            <w:bottom w:w="0" w:type="dxa"/>
            <w:right w:w="108" w:type="dxa"/>
          </w:tblCellMar>
        </w:tblPrEx>
        <w:trPr>
          <w:trHeight w:val="585"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总体绩效</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（65分）</w:t>
            </w:r>
          </w:p>
          <w:p>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履职效能</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15</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部门整体绩效目标中选定3-5个核心职能目标，反映该项职能目标完成效果情况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15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预算管理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8</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部门是否严格按要求编制年初部门预算，年初预算编制的科学性和准确性</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部门统筹自有收入程度</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6</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部门1至6月、1至10月预算执行情况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rFonts w:hint="eastAsia"/>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2</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部门整体年终预算结余情况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rFonts w:hint="eastAsia"/>
                <w:color w:val="000000"/>
                <w:kern w:val="0"/>
                <w:sz w:val="21"/>
                <w:szCs w:val="21"/>
              </w:rPr>
              <w:t>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5</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部门严控“三公”经费、会议、培训、差旅、办节办展、办公设备购置、信息网络及软件购置更新、课题经费等8项一般性支出情况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rFonts w:hint="eastAsia" w:hAnsi="仿宋_GB2312"/>
                <w:kern w:val="0"/>
                <w:sz w:val="21"/>
                <w:szCs w:val="21"/>
              </w:rPr>
              <w:t>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财务管理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部门财务管理制度建立情况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2</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部门财务岗位设置是否符合相关财务管理制度要求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部门资金使用是否符合相关财务管理制度规定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3</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部门人均资产变化情况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3</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部门资产超最低使用年限情况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3</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部门闲置一年以上的资产盘活情况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采购管理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3</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部门是否严格执行政府采购促进中小企业发展相关管理办法</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3</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部门政府采购项目资金支付比例情况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项目绩效</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项目决策</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部门预算项目设立是否按规定履行评估论证、申报程序</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部门预算项目绩效目标与计划期内的任务量、预算安排的资金量匹配情况，绩效目标设置是否科学合理、规范完整、量化细化、预算匹配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部门预算项目是否在规定时间完成项目入库</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项目执行</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部门预算项目实际列支内容是否与绩效目标设置方向相符</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部门预算项目是否采取对应调整措施</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部门预算项目预算执行情况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rFonts w:hint="eastAsia"/>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目标实现</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部门预算项目绩效目标数量指标完成情况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部门预算项目绩效目标数量指标实现程度与预期目标的偏离情况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3</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部门预算项目绩效目标效益指标实施效果</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扣分项</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被评价对象工作配合情况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kern w:val="0"/>
                <w:sz w:val="24"/>
              </w:rPr>
            </w:pPr>
            <w:r>
              <w:rPr>
                <w:color w:val="000000"/>
                <w:kern w:val="0"/>
                <w:sz w:val="21"/>
                <w:szCs w:val="21"/>
              </w:rPr>
              <w:t>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bl>
    <w:p>
      <w:pPr>
        <w:spacing w:line="578" w:lineRule="exact"/>
        <w:jc w:val="left"/>
        <w:rPr>
          <w:rFonts w:hint="eastAsia" w:ascii="方正黑体_GBK" w:eastAsia="方正黑体_GBK"/>
        </w:rPr>
      </w:pPr>
    </w:p>
    <w:p>
      <w:pPr>
        <w:spacing w:line="578" w:lineRule="exact"/>
        <w:jc w:val="left"/>
        <w:rPr>
          <w:rFonts w:eastAsia="黑体"/>
        </w:rPr>
      </w:pPr>
      <w:r>
        <w:rPr>
          <w:rFonts w:hint="eastAsia" w:ascii="方正黑体_GBK" w:eastAsia="方正黑体_GBK"/>
        </w:rPr>
        <w:t>附表</w:t>
      </w:r>
      <w:r>
        <w:rPr>
          <w:rFonts w:eastAsia="黑体"/>
        </w:rPr>
        <w:t>2</w:t>
      </w:r>
    </w:p>
    <w:tbl>
      <w:tblPr>
        <w:tblStyle w:val="12"/>
        <w:tblW w:w="8875" w:type="dxa"/>
        <w:jc w:val="center"/>
        <w:tblInd w:w="0" w:type="dxa"/>
        <w:tblLayout w:type="fixed"/>
        <w:tblCellMar>
          <w:top w:w="15" w:type="dxa"/>
          <w:left w:w="15" w:type="dxa"/>
          <w:bottom w:w="15" w:type="dxa"/>
          <w:right w:w="15" w:type="dxa"/>
        </w:tblCellMar>
      </w:tblPr>
      <w:tblGrid>
        <w:gridCol w:w="1094"/>
        <w:gridCol w:w="1131"/>
        <w:gridCol w:w="1070"/>
        <w:gridCol w:w="1011"/>
        <w:gridCol w:w="871"/>
        <w:gridCol w:w="1083"/>
        <w:gridCol w:w="888"/>
        <w:gridCol w:w="1727"/>
      </w:tblGrid>
      <w:tr>
        <w:tblPrEx>
          <w:tblLayout w:type="fixed"/>
          <w:tblCellMar>
            <w:top w:w="15" w:type="dxa"/>
            <w:left w:w="15" w:type="dxa"/>
            <w:bottom w:w="15" w:type="dxa"/>
            <w:right w:w="15" w:type="dxa"/>
          </w:tblCellMar>
        </w:tblPrEx>
        <w:trPr>
          <w:trHeight w:val="762" w:hRule="exact"/>
          <w:jc w:val="center"/>
        </w:trPr>
        <w:tc>
          <w:tcPr>
            <w:tcW w:w="8875" w:type="dxa"/>
            <w:gridSpan w:val="8"/>
            <w:shd w:val="clear" w:color="auto" w:fill="auto"/>
            <w:vAlign w:val="center"/>
          </w:tcPr>
          <w:p>
            <w:pPr>
              <w:widowControl/>
              <w:spacing w:line="0" w:lineRule="atLeast"/>
              <w:jc w:val="center"/>
              <w:textAlignment w:val="center"/>
              <w:rPr>
                <w:rFonts w:eastAsia="黑体"/>
                <w:b/>
                <w:color w:val="000000"/>
                <w:sz w:val="28"/>
                <w:szCs w:val="28"/>
              </w:rPr>
            </w:pPr>
            <w:r>
              <w:rPr>
                <w:rFonts w:ascii="方正小标宋_GBK" w:eastAsia="方正小标宋_GBK"/>
                <w:b/>
                <w:color w:val="000000"/>
                <w:kern w:val="0"/>
                <w:sz w:val="44"/>
                <w:szCs w:val="44"/>
              </w:rPr>
              <w:t>部门整体绩效目标完成情况自评表</w:t>
            </w:r>
          </w:p>
        </w:tc>
      </w:tr>
      <w:tr>
        <w:tblPrEx>
          <w:tblLayout w:type="fixed"/>
          <w:tblCellMar>
            <w:top w:w="15" w:type="dxa"/>
            <w:left w:w="15" w:type="dxa"/>
            <w:bottom w:w="15" w:type="dxa"/>
            <w:right w:w="15" w:type="dxa"/>
          </w:tblCellMar>
        </w:tblPrEx>
        <w:trPr>
          <w:trHeight w:val="23" w:hRule="atLeast"/>
          <w:jc w:val="center"/>
        </w:trPr>
        <w:tc>
          <w:tcPr>
            <w:tcW w:w="8875" w:type="dxa"/>
            <w:gridSpan w:val="8"/>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rPr>
              <w:t>（202</w:t>
            </w:r>
            <w:r>
              <w:rPr>
                <w:rFonts w:hint="eastAsia" w:eastAsia="宋体"/>
                <w:color w:val="000000"/>
                <w:kern w:val="0"/>
                <w:sz w:val="28"/>
                <w:szCs w:val="28"/>
              </w:rPr>
              <w:t>5</w:t>
            </w:r>
            <w:r>
              <w:rPr>
                <w:rFonts w:eastAsia="宋体"/>
                <w:color w:val="000000"/>
                <w:kern w:val="0"/>
                <w:sz w:val="28"/>
                <w:szCs w:val="28"/>
              </w:rPr>
              <w:t>年度）</w:t>
            </w:r>
          </w:p>
        </w:tc>
      </w:tr>
      <w:tr>
        <w:tblPrEx>
          <w:tblLayout w:type="fixed"/>
          <w:tblCellMar>
            <w:top w:w="15" w:type="dxa"/>
            <w:left w:w="15" w:type="dxa"/>
            <w:bottom w:w="15" w:type="dxa"/>
            <w:right w:w="15" w:type="dxa"/>
          </w:tblCellMar>
        </w:tblPrEx>
        <w:trPr>
          <w:trHeight w:val="23" w:hRule="atLeast"/>
          <w:jc w:val="center"/>
        </w:trPr>
        <w:tc>
          <w:tcPr>
            <w:tcW w:w="8875" w:type="dxa"/>
            <w:gridSpan w:val="8"/>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blPrEx>
          <w:tblLayout w:type="fixed"/>
          <w:tblCellMar>
            <w:top w:w="15" w:type="dxa"/>
            <w:left w:w="15" w:type="dxa"/>
            <w:bottom w:w="15" w:type="dxa"/>
            <w:right w:w="15" w:type="dxa"/>
          </w:tblCellMar>
        </w:tblPrEx>
        <w:trPr>
          <w:trHeight w:val="23" w:hRule="atLeast"/>
          <w:jc w:val="center"/>
        </w:trPr>
        <w:tc>
          <w:tcPr>
            <w:tcW w:w="3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eastAsia="宋体"/>
                <w:color w:val="000000"/>
                <w:kern w:val="0"/>
                <w:sz w:val="18"/>
                <w:szCs w:val="18"/>
              </w:rPr>
              <w:t>部门名称</w:t>
            </w:r>
          </w:p>
        </w:tc>
        <w:tc>
          <w:tcPr>
            <w:tcW w:w="55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hint="eastAsia" w:eastAsia="宋体"/>
                <w:color w:val="000000"/>
                <w:sz w:val="18"/>
                <w:szCs w:val="18"/>
              </w:rPr>
              <w:t>中共攀枝花市西区区委统一战线工作部</w:t>
            </w:r>
          </w:p>
        </w:tc>
      </w:tr>
      <w:tr>
        <w:tblPrEx>
          <w:tblLayout w:type="fixed"/>
          <w:tblCellMar>
            <w:top w:w="15" w:type="dxa"/>
            <w:left w:w="15" w:type="dxa"/>
            <w:bottom w:w="15" w:type="dxa"/>
            <w:right w:w="15" w:type="dxa"/>
          </w:tblCellMar>
        </w:tblPrEx>
        <w:trPr>
          <w:trHeight w:val="23" w:hRule="atLeast"/>
          <w:jc w:val="center"/>
        </w:trPr>
        <w:tc>
          <w:tcPr>
            <w:tcW w:w="1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eastAsia="宋体"/>
                <w:color w:val="000000"/>
                <w:kern w:val="0"/>
                <w:sz w:val="18"/>
                <w:szCs w:val="18"/>
              </w:rPr>
              <w:t>年度部门整体支出预算</w:t>
            </w:r>
          </w:p>
        </w:tc>
        <w:tc>
          <w:tcPr>
            <w:tcW w:w="22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eastAsia="宋体"/>
                <w:color w:val="000000"/>
                <w:kern w:val="0"/>
                <w:sz w:val="18"/>
                <w:szCs w:val="18"/>
              </w:rPr>
              <w:t>资金总额</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eastAsia="宋体"/>
                <w:color w:val="000000"/>
                <w:kern w:val="0"/>
                <w:sz w:val="18"/>
                <w:szCs w:val="18"/>
              </w:rPr>
              <w:t>财政拨款</w:t>
            </w:r>
          </w:p>
        </w:tc>
        <w:tc>
          <w:tcPr>
            <w:tcW w:w="3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eastAsia="宋体"/>
                <w:color w:val="000000"/>
                <w:kern w:val="0"/>
                <w:sz w:val="18"/>
                <w:szCs w:val="18"/>
              </w:rPr>
              <w:t>其他资金</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eastAsia="宋体"/>
                <w:color w:val="000000"/>
                <w:sz w:val="18"/>
                <w:szCs w:val="18"/>
              </w:rPr>
            </w:pPr>
          </w:p>
        </w:tc>
        <w:tc>
          <w:tcPr>
            <w:tcW w:w="22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hint="eastAsia" w:eastAsia="宋体"/>
                <w:color w:val="000000"/>
                <w:sz w:val="18"/>
                <w:szCs w:val="18"/>
              </w:rPr>
              <w:t>276.83</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hint="eastAsia" w:eastAsia="宋体"/>
                <w:sz w:val="18"/>
                <w:szCs w:val="18"/>
              </w:rPr>
              <w:t>276.83</w:t>
            </w:r>
          </w:p>
        </w:tc>
        <w:tc>
          <w:tcPr>
            <w:tcW w:w="36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eastAsia="宋体"/>
                <w:color w:val="000000"/>
                <w:kern w:val="0"/>
                <w:sz w:val="18"/>
                <w:szCs w:val="18"/>
              </w:rPr>
              <w:t>0</w:t>
            </w:r>
          </w:p>
        </w:tc>
      </w:tr>
      <w:tr>
        <w:tblPrEx>
          <w:tblLayout w:type="fixed"/>
          <w:tblCellMar>
            <w:top w:w="15" w:type="dxa"/>
            <w:left w:w="15" w:type="dxa"/>
            <w:bottom w:w="15" w:type="dxa"/>
            <w:right w:w="15" w:type="dxa"/>
          </w:tblCellMar>
        </w:tblPrEx>
        <w:trPr>
          <w:trHeight w:val="1624" w:hRule="atLeast"/>
          <w:jc w:val="center"/>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kern w:val="0"/>
                <w:sz w:val="18"/>
                <w:szCs w:val="18"/>
              </w:rPr>
            </w:pPr>
            <w:r>
              <w:rPr>
                <w:rFonts w:eastAsia="宋体"/>
                <w:color w:val="000000"/>
                <w:kern w:val="0"/>
                <w:sz w:val="18"/>
                <w:szCs w:val="18"/>
              </w:rPr>
              <w:t>年度总体</w:t>
            </w:r>
          </w:p>
          <w:p>
            <w:pPr>
              <w:widowControl/>
              <w:spacing w:line="240" w:lineRule="exact"/>
              <w:jc w:val="center"/>
              <w:textAlignment w:val="center"/>
              <w:rPr>
                <w:rFonts w:eastAsia="宋体"/>
                <w:color w:val="000000"/>
                <w:sz w:val="18"/>
                <w:szCs w:val="18"/>
              </w:rPr>
            </w:pPr>
            <w:r>
              <w:rPr>
                <w:rFonts w:eastAsia="宋体"/>
                <w:color w:val="000000"/>
                <w:kern w:val="0"/>
                <w:sz w:val="18"/>
                <w:szCs w:val="18"/>
              </w:rPr>
              <w:t>目标</w:t>
            </w:r>
          </w:p>
        </w:tc>
        <w:tc>
          <w:tcPr>
            <w:tcW w:w="778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1.拨付各民主党派活动经费，保障其开展活动；保障各民主党派履行“参政议政、民主监督，参加中国共产党领导的政治协商”职能。2.对宗教场所进行补助，加强对场所老旧设施设备的维修维护，确保场所和人身安全。4.落实属地各项创建工作，助力攀枝花市创建全国民族团结进步示范市；开展传统节假日、火把节、丰收节等各民族节日活动。5.召开区委统战工作领导小组会议和全区统战工作会议，建立健全全区统战工作机制和网络，构建“大统战”工作格局，推动中央、省委、市委、区委关于统战工作的决策部署落地落实。</w:t>
            </w:r>
          </w:p>
        </w:tc>
      </w:tr>
      <w:tr>
        <w:tblPrEx>
          <w:tblLayout w:type="fixed"/>
          <w:tblCellMar>
            <w:top w:w="15" w:type="dxa"/>
            <w:left w:w="15" w:type="dxa"/>
            <w:bottom w:w="15" w:type="dxa"/>
            <w:right w:w="15" w:type="dxa"/>
          </w:tblCellMar>
        </w:tblPrEx>
        <w:trPr>
          <w:trHeight w:val="23" w:hRule="atLeast"/>
          <w:jc w:val="center"/>
        </w:trPr>
        <w:tc>
          <w:tcPr>
            <w:tcW w:w="109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kern w:val="0"/>
                <w:sz w:val="18"/>
                <w:szCs w:val="18"/>
              </w:rPr>
            </w:pPr>
            <w:r>
              <w:rPr>
                <w:rFonts w:eastAsia="宋体"/>
                <w:color w:val="000000"/>
                <w:kern w:val="0"/>
                <w:sz w:val="18"/>
                <w:szCs w:val="18"/>
              </w:rPr>
              <w:t>年度主要</w:t>
            </w:r>
          </w:p>
          <w:p>
            <w:pPr>
              <w:widowControl/>
              <w:spacing w:line="240" w:lineRule="exact"/>
              <w:jc w:val="center"/>
              <w:textAlignment w:val="center"/>
              <w:rPr>
                <w:rFonts w:eastAsia="宋体"/>
                <w:color w:val="000000"/>
                <w:sz w:val="18"/>
                <w:szCs w:val="18"/>
              </w:rPr>
            </w:pPr>
            <w:r>
              <w:rPr>
                <w:rFonts w:eastAsia="宋体"/>
                <w:color w:val="000000"/>
                <w:kern w:val="0"/>
                <w:sz w:val="18"/>
                <w:szCs w:val="18"/>
              </w:rPr>
              <w:t>任务</w:t>
            </w:r>
          </w:p>
        </w:tc>
        <w:tc>
          <w:tcPr>
            <w:tcW w:w="22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eastAsia="宋体"/>
                <w:color w:val="000000"/>
                <w:kern w:val="0"/>
                <w:sz w:val="18"/>
                <w:szCs w:val="18"/>
              </w:rPr>
              <w:t>任务名称</w:t>
            </w:r>
          </w:p>
        </w:tc>
        <w:tc>
          <w:tcPr>
            <w:tcW w:w="55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sz w:val="18"/>
                <w:szCs w:val="18"/>
              </w:rPr>
            </w:pPr>
            <w:r>
              <w:rPr>
                <w:rFonts w:eastAsia="宋体"/>
                <w:color w:val="000000"/>
                <w:kern w:val="0"/>
                <w:sz w:val="18"/>
                <w:szCs w:val="18"/>
              </w:rPr>
              <w:t>主要内容</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eastAsia="宋体"/>
                <w:color w:val="000000"/>
                <w:sz w:val="18"/>
                <w:szCs w:val="18"/>
              </w:rPr>
            </w:pPr>
          </w:p>
        </w:tc>
        <w:tc>
          <w:tcPr>
            <w:tcW w:w="22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民主党派工作</w:t>
            </w:r>
          </w:p>
        </w:tc>
        <w:tc>
          <w:tcPr>
            <w:tcW w:w="55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支持各民主党派、工商联、无党派代表人士开展调查研究，积极建言献策；全年召开民主党派协商通报会、座谈会4次以上。支持各民主党派加强思想建设、组织建设、领导班子建设、制度建设、作风建设、创新实践基地建设。</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22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民族宗教工作</w:t>
            </w:r>
          </w:p>
        </w:tc>
        <w:tc>
          <w:tcPr>
            <w:tcW w:w="55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加强民族宗教事务管理，及时排查、调处民族宗教领域矛盾纠纷，确保不发生重大责任事件。深入开展依法治区及宗教活动场所“六进一创”活动，进一步巩固督查整改成果。开展民族团结进步示范区创建工作，促进民族团结进步示范区示范单位提质增效。</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22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党外代表人士工作</w:t>
            </w:r>
          </w:p>
        </w:tc>
        <w:tc>
          <w:tcPr>
            <w:tcW w:w="55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加强无党派代表人士培养，认真落实“双走访、双报告”制度，统筹做好无党派人士向民主党派输送工作。选派党外代表人士参加省市各类培训班。指导新的社会阶层人士联谊会、党外知识分子联谊部开展各项活动。</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22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经济领域统战工作</w:t>
            </w:r>
          </w:p>
        </w:tc>
        <w:tc>
          <w:tcPr>
            <w:tcW w:w="55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加强非公有制经济代表人士的思想教育和政治引领工作，搭建促进非公有制经济“两个健康”服务平台。</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22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对台侨务工作</w:t>
            </w:r>
          </w:p>
        </w:tc>
        <w:tc>
          <w:tcPr>
            <w:tcW w:w="55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加强与“三胞三属”的联系，积极为“三胞三属”排忧解难，走访慰问生活困难的台侨属，为辖区5位早期归国华侨发放生活补助。指导区侨联开展各项活动，丰富玉泉街道动力站社区 “侨之家”活动内容，有效推进侨务工作。</w:t>
            </w:r>
          </w:p>
        </w:tc>
      </w:tr>
      <w:tr>
        <w:tblPrEx>
          <w:tblLayout w:type="fixed"/>
          <w:tblCellMar>
            <w:top w:w="15" w:type="dxa"/>
            <w:left w:w="15" w:type="dxa"/>
            <w:bottom w:w="15" w:type="dxa"/>
            <w:right w:w="15" w:type="dxa"/>
          </w:tblCellMar>
        </w:tblPrEx>
        <w:trPr>
          <w:trHeight w:val="23" w:hRule="atLeast"/>
          <w:jc w:val="center"/>
        </w:trPr>
        <w:tc>
          <w:tcPr>
            <w:tcW w:w="109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年度绩效</w:t>
            </w:r>
          </w:p>
          <w:p>
            <w:pPr>
              <w:widowControl/>
              <w:spacing w:line="240" w:lineRule="exact"/>
              <w:jc w:val="left"/>
              <w:textAlignment w:val="center"/>
              <w:rPr>
                <w:rFonts w:eastAsia="宋体"/>
                <w:color w:val="000000"/>
                <w:sz w:val="18"/>
                <w:szCs w:val="18"/>
              </w:rPr>
            </w:pPr>
            <w:r>
              <w:rPr>
                <w:rFonts w:eastAsia="宋体"/>
                <w:color w:val="000000"/>
                <w:sz w:val="18"/>
                <w:szCs w:val="18"/>
              </w:rPr>
              <w:t>指标</w:t>
            </w:r>
          </w:p>
          <w:p>
            <w:pPr>
              <w:widowControl/>
              <w:spacing w:line="240" w:lineRule="exact"/>
              <w:jc w:val="left"/>
              <w:textAlignment w:val="center"/>
              <w:rPr>
                <w:rFonts w:eastAsia="宋体"/>
                <w:color w:val="000000"/>
                <w:sz w:val="18"/>
                <w:szCs w:val="18"/>
              </w:rPr>
            </w:pPr>
          </w:p>
          <w:p>
            <w:pPr>
              <w:widowControl/>
              <w:spacing w:line="240" w:lineRule="exact"/>
              <w:jc w:val="left"/>
              <w:textAlignment w:val="center"/>
              <w:rPr>
                <w:rFonts w:eastAsia="宋体"/>
                <w:color w:val="000000"/>
                <w:sz w:val="18"/>
                <w:szCs w:val="18"/>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一级指标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二级指标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三级指标</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绩效指标</w:t>
            </w:r>
          </w:p>
          <w:p>
            <w:pPr>
              <w:widowControl/>
              <w:spacing w:line="240" w:lineRule="exact"/>
              <w:jc w:val="left"/>
              <w:textAlignment w:val="center"/>
              <w:rPr>
                <w:rFonts w:eastAsia="宋体"/>
                <w:color w:val="000000"/>
                <w:sz w:val="18"/>
                <w:szCs w:val="18"/>
              </w:rPr>
            </w:pPr>
            <w:r>
              <w:rPr>
                <w:rFonts w:eastAsia="宋体"/>
                <w:color w:val="000000"/>
                <w:sz w:val="18"/>
                <w:szCs w:val="18"/>
              </w:rPr>
              <w:t>性质</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绩效指标值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绩效度量单位</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实际完成</w:t>
            </w:r>
          </w:p>
          <w:p>
            <w:pPr>
              <w:widowControl/>
              <w:spacing w:line="240" w:lineRule="exact"/>
              <w:jc w:val="left"/>
              <w:textAlignment w:val="center"/>
              <w:rPr>
                <w:rFonts w:eastAsia="宋体"/>
                <w:color w:val="000000"/>
                <w:sz w:val="18"/>
                <w:szCs w:val="18"/>
              </w:rPr>
            </w:pPr>
            <w:r>
              <w:rPr>
                <w:rFonts w:eastAsia="宋体"/>
                <w:color w:val="000000"/>
                <w:sz w:val="18"/>
                <w:szCs w:val="18"/>
              </w:rPr>
              <w:t>指标值</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产出指标</w:t>
            </w:r>
          </w:p>
        </w:tc>
        <w:tc>
          <w:tcPr>
            <w:tcW w:w="1070"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数量指标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各民主党派重点课题调研</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8</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个</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sz w:val="18"/>
                <w:szCs w:val="18"/>
              </w:rPr>
            </w:pPr>
            <w:r>
              <w:rPr>
                <w:rFonts w:hint="eastAsia" w:eastAsia="宋体"/>
                <w:sz w:val="18"/>
                <w:szCs w:val="18"/>
              </w:rPr>
              <w:t>7</w:t>
            </w:r>
            <w:r>
              <w:rPr>
                <w:rFonts w:eastAsia="宋体"/>
                <w:sz w:val="18"/>
                <w:szCs w:val="18"/>
              </w:rPr>
              <w:t>个</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民族团结进步示范单位提质增效</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10</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个</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sz w:val="18"/>
                <w:szCs w:val="18"/>
              </w:rPr>
            </w:pPr>
            <w:r>
              <w:rPr>
                <w:rFonts w:hint="eastAsia" w:eastAsia="宋体"/>
                <w:sz w:val="18"/>
                <w:szCs w:val="18"/>
              </w:rPr>
              <w:t>10个</w:t>
            </w:r>
          </w:p>
        </w:tc>
      </w:tr>
      <w:tr>
        <w:tblPrEx>
          <w:tblLayout w:type="fixed"/>
          <w:tblCellMar>
            <w:top w:w="15" w:type="dxa"/>
            <w:left w:w="15" w:type="dxa"/>
            <w:bottom w:w="15" w:type="dxa"/>
            <w:right w:w="15" w:type="dxa"/>
          </w:tblCellMar>
        </w:tblPrEx>
        <w:trPr>
          <w:trHeight w:val="417"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会议次数</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6</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次</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sz w:val="18"/>
                <w:szCs w:val="18"/>
              </w:rPr>
            </w:pPr>
            <w:r>
              <w:rPr>
                <w:rFonts w:eastAsia="宋体"/>
                <w:sz w:val="18"/>
                <w:szCs w:val="18"/>
              </w:rPr>
              <w:t>12次</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民主党派、知联分会、新联会、侨联等统战团体开展活动</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5</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次</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sz w:val="18"/>
                <w:szCs w:val="18"/>
              </w:rPr>
            </w:pPr>
            <w:r>
              <w:rPr>
                <w:rFonts w:hint="eastAsia" w:eastAsia="宋体"/>
                <w:sz w:val="18"/>
                <w:szCs w:val="18"/>
              </w:rPr>
              <w:t>9</w:t>
            </w:r>
            <w:r>
              <w:rPr>
                <w:rFonts w:eastAsia="宋体"/>
                <w:sz w:val="18"/>
                <w:szCs w:val="18"/>
              </w:rPr>
              <w:t>次</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早期归国华侨发放生活补助</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5</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人</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5人</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质量指标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民主党派事务完成率</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定性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优良中低差</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其他</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民族团结进步示范单位完成率</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定性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优良中低差</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其他</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领导工作小组会议完成率</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定性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优良中低差</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其他</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民主党派、知联分会、新联会、侨联等统战团体开展活动率</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定性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优良中低差</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其他</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早期归国华侨发放生活补助率</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定性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优良中低差</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其他</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时效指标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按工作计划推进</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年</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1年</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bookmarkStart w:id="0" w:name="OLE_LINK1" w:colFirst="2" w:colLast="7"/>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成本指标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人员经费及公用经费</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ascii="微软雅黑" w:hAnsi="微软雅黑" w:eastAsia="微软雅黑" w:cs="微软雅黑"/>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2</w:t>
            </w:r>
            <w:r>
              <w:rPr>
                <w:rFonts w:hint="eastAsia" w:eastAsia="宋体"/>
                <w:color w:val="000000"/>
                <w:sz w:val="18"/>
                <w:szCs w:val="18"/>
              </w:rPr>
              <w:t>42.34</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万元</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2</w:t>
            </w:r>
            <w:r>
              <w:rPr>
                <w:rFonts w:hint="eastAsia" w:eastAsia="宋体"/>
                <w:color w:val="000000"/>
                <w:sz w:val="18"/>
                <w:szCs w:val="18"/>
              </w:rPr>
              <w:t>42.34</w:t>
            </w:r>
            <w:r>
              <w:rPr>
                <w:rFonts w:eastAsia="宋体"/>
                <w:color w:val="000000"/>
                <w:sz w:val="18"/>
                <w:szCs w:val="18"/>
              </w:rPr>
              <w:t>万元</w:t>
            </w:r>
          </w:p>
        </w:tc>
      </w:tr>
      <w:tr>
        <w:tblPrEx>
          <w:tblLayout w:type="fixed"/>
          <w:tblCellMar>
            <w:top w:w="15" w:type="dxa"/>
            <w:left w:w="15" w:type="dxa"/>
            <w:bottom w:w="15" w:type="dxa"/>
            <w:right w:w="15" w:type="dxa"/>
          </w:tblCellMar>
        </w:tblPrEx>
        <w:trPr>
          <w:trHeight w:val="39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项目经费</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ascii="微软雅黑" w:hAnsi="微软雅黑" w:eastAsia="微软雅黑" w:cs="微软雅黑"/>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34.49</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万元</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34.49</w:t>
            </w:r>
            <w:r>
              <w:rPr>
                <w:rFonts w:eastAsia="宋体"/>
                <w:color w:val="000000"/>
                <w:sz w:val="18"/>
                <w:szCs w:val="18"/>
              </w:rPr>
              <w:t>万元</w:t>
            </w:r>
          </w:p>
        </w:tc>
      </w:tr>
      <w:bookmarkEnd w:id="0"/>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131"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效益指标</w:t>
            </w:r>
          </w:p>
        </w:tc>
        <w:tc>
          <w:tcPr>
            <w:tcW w:w="1070" w:type="dxa"/>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社会效益</w:t>
            </w:r>
          </w:p>
          <w:p>
            <w:pPr>
              <w:widowControl/>
              <w:spacing w:line="240" w:lineRule="exact"/>
              <w:jc w:val="left"/>
              <w:textAlignment w:val="center"/>
              <w:rPr>
                <w:rFonts w:eastAsia="宋体"/>
                <w:color w:val="000000"/>
                <w:sz w:val="18"/>
                <w:szCs w:val="18"/>
              </w:rPr>
            </w:pPr>
            <w:r>
              <w:rPr>
                <w:rFonts w:eastAsia="宋体"/>
                <w:color w:val="000000"/>
                <w:sz w:val="18"/>
                <w:szCs w:val="18"/>
              </w:rPr>
              <w:t>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发挥统战团体、民宗、各民主党派作用</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定性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优良中低差</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其他</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可持续影响指标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履行部门工作职能</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定性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优良中低差</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hint="eastAsia" w:eastAsia="宋体"/>
                <w:color w:val="000000"/>
                <w:sz w:val="18"/>
                <w:szCs w:val="18"/>
              </w:rPr>
              <w:t>其他</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优</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eastAsia="宋体"/>
                <w:color w:val="000000"/>
                <w:sz w:val="18"/>
                <w:szCs w:val="18"/>
              </w:rPr>
            </w:pPr>
          </w:p>
        </w:tc>
        <w:tc>
          <w:tcPr>
            <w:tcW w:w="1131"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满意度指标</w:t>
            </w:r>
          </w:p>
        </w:tc>
        <w:tc>
          <w:tcPr>
            <w:tcW w:w="1070"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服务对象满意度指标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各民主党派满意度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90</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90%</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eastAsia="宋体"/>
                <w:color w:val="000000"/>
                <w:sz w:val="18"/>
                <w:szCs w:val="18"/>
              </w:rPr>
            </w:pPr>
          </w:p>
        </w:tc>
        <w:tc>
          <w:tcPr>
            <w:tcW w:w="1131"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kern w:val="0"/>
                <w:sz w:val="18"/>
                <w:szCs w:val="18"/>
              </w:rPr>
            </w:pPr>
          </w:p>
        </w:tc>
        <w:tc>
          <w:tcPr>
            <w:tcW w:w="1070"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kern w:val="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宗教场所满意度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90</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90%</w:t>
            </w:r>
          </w:p>
        </w:tc>
      </w:tr>
      <w:tr>
        <w:tblPrEx>
          <w:tblLayout w:type="fixed"/>
          <w:tblCellMar>
            <w:top w:w="15" w:type="dxa"/>
            <w:left w:w="15" w:type="dxa"/>
            <w:bottom w:w="15" w:type="dxa"/>
            <w:right w:w="15" w:type="dxa"/>
          </w:tblCellMar>
        </w:tblPrEx>
        <w:trPr>
          <w:trHeight w:val="23" w:hRule="atLeast"/>
          <w:jc w:val="center"/>
        </w:trPr>
        <w:tc>
          <w:tcPr>
            <w:tcW w:w="109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eastAsia="宋体"/>
                <w:color w:val="000000"/>
                <w:sz w:val="18"/>
                <w:szCs w:val="18"/>
              </w:rPr>
            </w:pPr>
          </w:p>
        </w:tc>
        <w:tc>
          <w:tcPr>
            <w:tcW w:w="113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kern w:val="0"/>
                <w:sz w:val="18"/>
                <w:szCs w:val="18"/>
              </w:rPr>
            </w:pPr>
          </w:p>
        </w:tc>
        <w:tc>
          <w:tcPr>
            <w:tcW w:w="107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eastAsia="宋体"/>
                <w:color w:val="000000"/>
                <w:kern w:val="0"/>
                <w:sz w:val="18"/>
                <w:szCs w:val="18"/>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全区统战工作对象满意度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90</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eastAsia="宋体"/>
                <w:color w:val="000000"/>
                <w:sz w:val="18"/>
                <w:szCs w:val="18"/>
              </w:rPr>
            </w:pPr>
            <w:r>
              <w:rPr>
                <w:rFonts w:eastAsia="宋体"/>
                <w:color w:val="000000"/>
                <w:sz w:val="18"/>
                <w:szCs w:val="18"/>
              </w:rPr>
              <w:t>90%</w:t>
            </w:r>
          </w:p>
        </w:tc>
      </w:tr>
    </w:tbl>
    <w:p>
      <w:pPr>
        <w:spacing w:line="240" w:lineRule="exact"/>
        <w:rPr>
          <w:rFonts w:eastAsia="黑体"/>
          <w:sz w:val="18"/>
          <w:szCs w:val="18"/>
        </w:rPr>
      </w:pPr>
    </w:p>
    <w:p>
      <w:pPr>
        <w:pStyle w:val="17"/>
        <w:spacing w:before="0" w:after="0" w:line="578" w:lineRule="exact"/>
        <w:ind w:firstLine="482" w:firstLineChars="200"/>
      </w:pPr>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仿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path/>
          <v:fill on="f" focussize="0,0"/>
          <v:stroke on="f" weight="0.5pt" joinstyle="miter"/>
          <v:imagedata o:title=""/>
          <o:lock v:ext="edit"/>
          <v:textbox inset="0mm,0mm,0mm,0mm" style="mso-fit-shape-to-text:t;">
            <w:txbxContent>
              <w:p>
                <w:pPr>
                  <w:pStyle w:val="7"/>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0D42B9"/>
    <w:multiLevelType w:val="singleLevel"/>
    <w:tmpl w:val="DB0D42B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60"/>
  <w:drawingGridVerticalSpacing w:val="435"/>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2FDA"/>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66D"/>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53AC7"/>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2F25"/>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36278"/>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1090901"/>
    <w:rsid w:val="02346342"/>
    <w:rsid w:val="07341783"/>
    <w:rsid w:val="08BC172D"/>
    <w:rsid w:val="0ADB595B"/>
    <w:rsid w:val="0AFC4C34"/>
    <w:rsid w:val="0DC31556"/>
    <w:rsid w:val="0FA666C2"/>
    <w:rsid w:val="118D5F4D"/>
    <w:rsid w:val="173519F9"/>
    <w:rsid w:val="18793646"/>
    <w:rsid w:val="1A3D6143"/>
    <w:rsid w:val="1B3D5B74"/>
    <w:rsid w:val="1B4D54EF"/>
    <w:rsid w:val="1C013801"/>
    <w:rsid w:val="1DFD8D3B"/>
    <w:rsid w:val="1E7A3264"/>
    <w:rsid w:val="1FA90754"/>
    <w:rsid w:val="1FB79DC9"/>
    <w:rsid w:val="1FBFC3F2"/>
    <w:rsid w:val="1FFFE033"/>
    <w:rsid w:val="2251655F"/>
    <w:rsid w:val="25005360"/>
    <w:rsid w:val="275C47EB"/>
    <w:rsid w:val="27F352A6"/>
    <w:rsid w:val="29560A0A"/>
    <w:rsid w:val="2D527252"/>
    <w:rsid w:val="2DDC1740"/>
    <w:rsid w:val="2EAE55F2"/>
    <w:rsid w:val="2EDF4302"/>
    <w:rsid w:val="2EFE1A04"/>
    <w:rsid w:val="2FFF3854"/>
    <w:rsid w:val="337072D0"/>
    <w:rsid w:val="348719D7"/>
    <w:rsid w:val="35BBF80F"/>
    <w:rsid w:val="363C29AB"/>
    <w:rsid w:val="39F52CCE"/>
    <w:rsid w:val="3B0B3937"/>
    <w:rsid w:val="3B736F08"/>
    <w:rsid w:val="3BE3D531"/>
    <w:rsid w:val="3D265FA4"/>
    <w:rsid w:val="3D431A40"/>
    <w:rsid w:val="3DC454CB"/>
    <w:rsid w:val="3EFF42CA"/>
    <w:rsid w:val="3F6FCA38"/>
    <w:rsid w:val="3FD5AF3D"/>
    <w:rsid w:val="3FFED8BE"/>
    <w:rsid w:val="3FFF43BB"/>
    <w:rsid w:val="3FFFFC14"/>
    <w:rsid w:val="40A81CB4"/>
    <w:rsid w:val="42B2707B"/>
    <w:rsid w:val="433DCF8E"/>
    <w:rsid w:val="453B494A"/>
    <w:rsid w:val="45FF973D"/>
    <w:rsid w:val="47550EBA"/>
    <w:rsid w:val="480040C8"/>
    <w:rsid w:val="493E12E4"/>
    <w:rsid w:val="49F529DE"/>
    <w:rsid w:val="4BF7E09D"/>
    <w:rsid w:val="4D3D0454"/>
    <w:rsid w:val="53384AAB"/>
    <w:rsid w:val="53BB74FC"/>
    <w:rsid w:val="55FDDF92"/>
    <w:rsid w:val="55FFBC03"/>
    <w:rsid w:val="56CDA72E"/>
    <w:rsid w:val="576F5916"/>
    <w:rsid w:val="577A0EE2"/>
    <w:rsid w:val="577FDAE2"/>
    <w:rsid w:val="57FBE2C7"/>
    <w:rsid w:val="59553369"/>
    <w:rsid w:val="5B335734"/>
    <w:rsid w:val="5B7F322F"/>
    <w:rsid w:val="5BCAB023"/>
    <w:rsid w:val="5BEACB58"/>
    <w:rsid w:val="5D8649C7"/>
    <w:rsid w:val="5D8E5F07"/>
    <w:rsid w:val="5DDA9B94"/>
    <w:rsid w:val="5EAB810D"/>
    <w:rsid w:val="5EFA9846"/>
    <w:rsid w:val="5EFF9DA6"/>
    <w:rsid w:val="5F7751B9"/>
    <w:rsid w:val="5F9F7232"/>
    <w:rsid w:val="5F9F9588"/>
    <w:rsid w:val="5FBD32D2"/>
    <w:rsid w:val="5FD450B0"/>
    <w:rsid w:val="5FEF60CD"/>
    <w:rsid w:val="5FFB203D"/>
    <w:rsid w:val="5FFB8CF9"/>
    <w:rsid w:val="63901DA0"/>
    <w:rsid w:val="63DBAF21"/>
    <w:rsid w:val="6636451A"/>
    <w:rsid w:val="67DE80AA"/>
    <w:rsid w:val="697E3B47"/>
    <w:rsid w:val="69BF132E"/>
    <w:rsid w:val="6B7F84D8"/>
    <w:rsid w:val="6BB676E5"/>
    <w:rsid w:val="6BFEE5F3"/>
    <w:rsid w:val="6CAFF34E"/>
    <w:rsid w:val="6CFFCF4F"/>
    <w:rsid w:val="6DFFF8B6"/>
    <w:rsid w:val="6E9979A3"/>
    <w:rsid w:val="6E9FE641"/>
    <w:rsid w:val="6EC02D06"/>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8720BD"/>
    <w:rsid w:val="77A7D615"/>
    <w:rsid w:val="77FF366A"/>
    <w:rsid w:val="77FF8C96"/>
    <w:rsid w:val="77FFA8F9"/>
    <w:rsid w:val="795D2937"/>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463B8B"/>
    <w:rsid w:val="7DDFDC39"/>
    <w:rsid w:val="7DE03F6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DFFB38C"/>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Indent"/>
    <w:basedOn w:val="1"/>
    <w:next w:val="1"/>
    <w:qFormat/>
    <w:uiPriority w:val="0"/>
    <w:pPr>
      <w:spacing w:beforeLines="50" w:line="360" w:lineRule="auto"/>
      <w:ind w:firstLine="480" w:firstLineChars="200"/>
    </w:pPr>
    <w:rPr>
      <w:rFonts w:eastAsia="仿宋"/>
      <w:sz w:val="24"/>
      <w:szCs w:val="23"/>
      <w:lang w:eastAsia="ar-SA"/>
    </w:rPr>
  </w:style>
  <w:style w:type="paragraph" w:styleId="4">
    <w:name w:val="Document Map"/>
    <w:basedOn w:val="1"/>
    <w:link w:val="20"/>
    <w:qFormat/>
    <w:uiPriority w:val="0"/>
    <w:rPr>
      <w:rFonts w:ascii="宋体" w:eastAsia="宋体"/>
      <w:sz w:val="18"/>
      <w:szCs w:val="18"/>
    </w:rPr>
  </w:style>
  <w:style w:type="paragraph" w:styleId="5">
    <w:name w:val="Body Text Indent"/>
    <w:basedOn w:val="1"/>
    <w:qFormat/>
    <w:uiPriority w:val="0"/>
    <w:pPr>
      <w:spacing w:after="120"/>
      <w:ind w:left="200" w:leftChars="200"/>
    </w:pPr>
    <w:rPr>
      <w:rFonts w:ascii="仿宋_GB2312"/>
      <w:szCs w:val="32"/>
    </w:rPr>
  </w:style>
  <w:style w:type="paragraph" w:styleId="6">
    <w:name w:val="Balloon Text"/>
    <w:basedOn w:val="1"/>
    <w:semiHidden/>
    <w:qFormat/>
    <w:uiPriority w:val="0"/>
    <w:rPr>
      <w:sz w:val="18"/>
      <w:szCs w:val="18"/>
    </w:rPr>
  </w:style>
  <w:style w:type="paragraph" w:styleId="7">
    <w:name w:val="footer"/>
    <w:basedOn w:val="1"/>
    <w:link w:val="22"/>
    <w:qFormat/>
    <w:uiPriority w:val="99"/>
    <w:pPr>
      <w:tabs>
        <w:tab w:val="center" w:pos="4153"/>
        <w:tab w:val="right" w:pos="8306"/>
      </w:tabs>
      <w:snapToGrid w:val="0"/>
      <w:jc w:val="left"/>
    </w:pPr>
    <w:rPr>
      <w:rFonts w:eastAsia="宋体"/>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toc 1"/>
    <w:basedOn w:val="1"/>
    <w:next w:val="1"/>
    <w:qFormat/>
    <w:uiPriority w:val="0"/>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5">
    <w:name w:val="Strong"/>
    <w:basedOn w:val="14"/>
    <w:qFormat/>
    <w:uiPriority w:val="0"/>
    <w:rPr>
      <w:b/>
    </w:rPr>
  </w:style>
  <w:style w:type="character" w:styleId="16">
    <w:name w:val="page number"/>
    <w:basedOn w:val="14"/>
    <w:qFormat/>
    <w:uiPriority w:val="0"/>
  </w:style>
  <w:style w:type="paragraph" w:customStyle="1" w:styleId="17">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四号正文"/>
    <w:basedOn w:val="1"/>
    <w:link w:val="19"/>
    <w:qFormat/>
    <w:uiPriority w:val="0"/>
    <w:pPr>
      <w:spacing w:line="360" w:lineRule="auto"/>
    </w:pPr>
    <w:rPr>
      <w:rFonts w:ascii="??" w:hAnsi="??" w:eastAsia="宋体" w:cs="宋体"/>
      <w:color w:val="000000"/>
      <w:kern w:val="0"/>
      <w:sz w:val="28"/>
      <w:szCs w:val="21"/>
    </w:rPr>
  </w:style>
  <w:style w:type="character" w:customStyle="1" w:styleId="19">
    <w:name w:val="四号正文 Char"/>
    <w:basedOn w:val="14"/>
    <w:link w:val="18"/>
    <w:qFormat/>
    <w:uiPriority w:val="0"/>
    <w:rPr>
      <w:rFonts w:ascii="??" w:hAnsi="??" w:eastAsia="宋体" w:cs="宋体"/>
      <w:color w:val="000000"/>
      <w:sz w:val="28"/>
      <w:szCs w:val="21"/>
      <w:lang w:val="en-US" w:eastAsia="zh-CN" w:bidi="ar-SA"/>
    </w:rPr>
  </w:style>
  <w:style w:type="character" w:customStyle="1" w:styleId="20">
    <w:name w:val="文档结构图 Char"/>
    <w:basedOn w:val="14"/>
    <w:link w:val="4"/>
    <w:qFormat/>
    <w:uiPriority w:val="0"/>
    <w:rPr>
      <w:rFonts w:ascii="宋体"/>
      <w:kern w:val="2"/>
      <w:sz w:val="18"/>
      <w:szCs w:val="18"/>
    </w:rPr>
  </w:style>
  <w:style w:type="paragraph" w:customStyle="1" w:styleId="21">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页脚 Char"/>
    <w:basedOn w:val="14"/>
    <w:link w:val="7"/>
    <w:qFormat/>
    <w:uiPriority w:val="99"/>
    <w:rPr>
      <w:kern w:val="2"/>
      <w:sz w:val="18"/>
      <w:szCs w:val="18"/>
    </w:rPr>
  </w:style>
  <w:style w:type="character" w:customStyle="1" w:styleId="23">
    <w:name w:val="font31"/>
    <w:basedOn w:val="14"/>
    <w:qFormat/>
    <w:uiPriority w:val="0"/>
    <w:rPr>
      <w:rFonts w:hint="eastAsia" w:ascii="宋体" w:hAnsi="宋体" w:eastAsia="宋体" w:cs="宋体"/>
      <w:color w:val="000000"/>
      <w:sz w:val="24"/>
      <w:szCs w:val="24"/>
      <w:u w:val="none"/>
    </w:rPr>
  </w:style>
  <w:style w:type="character" w:customStyle="1" w:styleId="24">
    <w:name w:val="font51"/>
    <w:basedOn w:val="14"/>
    <w:qFormat/>
    <w:uiPriority w:val="0"/>
    <w:rPr>
      <w:rFonts w:hint="default" w:ascii="Wingdings 2" w:hAnsi="Wingdings 2" w:eastAsia="Wingdings 2" w:cs="Wingdings 2"/>
      <w:color w:val="000000"/>
      <w:sz w:val="18"/>
      <w:szCs w:val="18"/>
      <w:u w:val="none"/>
    </w:rPr>
  </w:style>
  <w:style w:type="character" w:customStyle="1" w:styleId="25">
    <w:name w:val="font01"/>
    <w:basedOn w:val="14"/>
    <w:qFormat/>
    <w:uiPriority w:val="0"/>
    <w:rPr>
      <w:rFonts w:ascii="宋体" w:hAnsi="宋体" w:eastAsia="宋体" w:cs="宋体"/>
      <w:color w:val="000000"/>
      <w:sz w:val="18"/>
      <w:szCs w:val="18"/>
      <w:u w:val="none"/>
    </w:rPr>
  </w:style>
  <w:style w:type="character" w:customStyle="1" w:styleId="26">
    <w:name w:val="font41"/>
    <w:basedOn w:val="14"/>
    <w:qFormat/>
    <w:uiPriority w:val="0"/>
    <w:rPr>
      <w:rFonts w:ascii="宋体" w:hAnsi="宋体" w:eastAsia="宋体" w:cs="宋体"/>
      <w:color w:val="000000"/>
      <w:sz w:val="18"/>
      <w:szCs w:val="18"/>
      <w:u w:val="none"/>
    </w:rPr>
  </w:style>
  <w:style w:type="paragraph" w:customStyle="1" w:styleId="27">
    <w:name w:val="常用样式（方正仿宋简）"/>
    <w:basedOn w:val="1"/>
    <w:next w:val="1"/>
    <w:qFormat/>
    <w:uiPriority w:val="0"/>
    <w:pPr>
      <w:spacing w:line="560" w:lineRule="exact"/>
      <w:ind w:firstLine="640" w:firstLineChars="200"/>
    </w:pPr>
    <w:rPr>
      <w:rFonts w:eastAsia="方正仿宋简体"/>
    </w:rPr>
  </w:style>
  <w:style w:type="paragraph" w:customStyle="1" w:styleId="28">
    <w:name w:val="正文-公1"/>
    <w:basedOn w:val="29"/>
    <w:next w:val="1"/>
    <w:qFormat/>
    <w:uiPriority w:val="0"/>
    <w:pPr>
      <w:ind w:firstLine="200" w:firstLineChars="200"/>
    </w:pPr>
  </w:style>
  <w:style w:type="paragraph" w:customStyle="1" w:styleId="29">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8"/>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11</Pages>
  <Words>999</Words>
  <Characters>5695</Characters>
  <Lines>47</Lines>
  <Paragraphs>13</Paragraphs>
  <TotalTime>31</TotalTime>
  <ScaleCrop>false</ScaleCrop>
  <LinksUpToDate>false</LinksUpToDate>
  <CharactersWithSpaces>6681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2025-03-27T16:07:00Z</dcterms:created>
  <dc:creator>陈萍</dc:creator>
  <cp:lastModifiedBy>Administrator</cp:lastModifiedBy>
  <cp:lastPrinted>2025-03-05T03:05:00Z</cp:lastPrinted>
  <dcterms:modified xsi:type="dcterms:W3CDTF">2026-06-17T00:39:26Z</dcterms:modified>
  <dc:title>区域性就业培训基地建设项目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E4D37F7C29D564901A182A6AC6AB643D_43</vt:lpwstr>
  </property>
  <property fmtid="{D5CDD505-2E9C-101B-9397-08002B2CF9AE}" pid="4" name="KSOTemplateDocerSaveRecord">
    <vt:lpwstr>eyJoZGlkIjoiMTIxYWI2ZjcyNTlmMWVhMmY4YjU3MGFjYWRhMmJjMGYiLCJ1c2VySWQiOiIxNjM2NzcxNDUxIn0=</vt:lpwstr>
  </property>
</Properties>
</file>