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8" w:lineRule="exact"/>
        <w:contextualSpacing/>
        <w:rPr>
          <w:rFonts w:eastAsia="黑体"/>
          <w:szCs w:val="32"/>
          <w:lang w:val="zh-CN"/>
        </w:rPr>
      </w:pPr>
      <w:r>
        <w:rPr>
          <w:rFonts w:eastAsia="黑体"/>
          <w:szCs w:val="32"/>
          <w:lang w:val="zh-CN"/>
        </w:rPr>
        <w:t>附件</w:t>
      </w:r>
      <w:r>
        <w:rPr>
          <w:rFonts w:eastAsia="黑体"/>
          <w:szCs w:val="32"/>
        </w:rPr>
        <w:t>2</w:t>
      </w:r>
    </w:p>
    <w:p>
      <w:pPr>
        <w:widowControl/>
        <w:spacing w:line="578" w:lineRule="exact"/>
        <w:contextualSpacing/>
        <w:rPr>
          <w:rFonts w:eastAsia="宋体"/>
          <w:b/>
          <w:sz w:val="44"/>
          <w:szCs w:val="44"/>
          <w:shd w:val="clear" w:color="auto" w:fill="FFFFFF"/>
        </w:rPr>
      </w:pPr>
    </w:p>
    <w:p>
      <w:pPr>
        <w:widowControl/>
        <w:spacing w:line="578" w:lineRule="exact"/>
        <w:contextualSpacing/>
        <w:jc w:val="center"/>
        <w:rPr>
          <w:rFonts w:eastAsia="方正小标宋简体"/>
          <w:bCs/>
          <w:sz w:val="44"/>
          <w:szCs w:val="44"/>
          <w:shd w:val="clear" w:color="auto" w:fill="FFFFFF"/>
        </w:rPr>
      </w:pPr>
      <w:r>
        <w:rPr>
          <w:rFonts w:hint="eastAsia" w:eastAsia="方正小标宋简体"/>
          <w:bCs/>
          <w:sz w:val="44"/>
          <w:szCs w:val="44"/>
          <w:shd w:val="clear" w:color="auto" w:fill="FFFFFF"/>
          <w:lang w:val="en-US" w:eastAsia="zh-CN"/>
        </w:rPr>
        <w:t>攀枝花市西区工商联</w:t>
      </w:r>
      <w:r>
        <w:rPr>
          <w:rFonts w:eastAsia="方正小标宋简体"/>
          <w:bCs/>
          <w:sz w:val="44"/>
          <w:szCs w:val="44"/>
          <w:shd w:val="clear" w:color="auto" w:fill="FFFFFF"/>
        </w:rPr>
        <w:t>部门预算绩效</w:t>
      </w:r>
      <w:r>
        <w:rPr>
          <w:rFonts w:hint="eastAsia" w:eastAsia="方正小标宋简体"/>
          <w:bCs/>
          <w:sz w:val="44"/>
          <w:szCs w:val="44"/>
          <w:shd w:val="clear" w:color="auto" w:fill="FFFFFF"/>
        </w:rPr>
        <w:t>自评</w:t>
      </w:r>
      <w:r>
        <w:rPr>
          <w:rFonts w:eastAsia="方正小标宋简体"/>
          <w:bCs/>
          <w:sz w:val="44"/>
          <w:szCs w:val="44"/>
          <w:shd w:val="clear" w:color="auto" w:fill="FFFFFF"/>
        </w:rPr>
        <w:t>报告</w:t>
      </w:r>
    </w:p>
    <w:p>
      <w:pPr>
        <w:widowControl/>
        <w:adjustRightInd w:val="0"/>
        <w:snapToGrid w:val="0"/>
        <w:spacing w:line="578" w:lineRule="exact"/>
        <w:ind w:firstLine="480" w:firstLineChars="200"/>
        <w:contextualSpacing/>
        <w:jc w:val="left"/>
        <w:rPr>
          <w:rFonts w:eastAsia="黑体"/>
          <w:color w:val="000000"/>
          <w:kern w:val="0"/>
          <w:sz w:val="24"/>
          <w:szCs w:val="32"/>
          <w:shd w:val="clear" w:color="auto" w:fill="FFFFFF"/>
        </w:rPr>
      </w:pP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szCs w:val="32"/>
        </w:rPr>
      </w:pPr>
      <w:r>
        <w:rPr>
          <w:rFonts w:eastAsia="黑体"/>
          <w:color w:val="000000"/>
          <w:kern w:val="0"/>
          <w:szCs w:val="32"/>
          <w:shd w:val="clear" w:color="auto" w:fill="FFFFFF"/>
          <w:lang w:val="zh-CN"/>
        </w:rPr>
        <w:t>一、部门（单位）基本情况</w:t>
      </w:r>
    </w:p>
    <w:p>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szCs w:val="32"/>
        </w:rPr>
      </w:pPr>
      <w:r>
        <w:rPr>
          <w:rFonts w:eastAsia="楷体_GB2312"/>
          <w:b/>
          <w:bCs/>
          <w:color w:val="000000"/>
          <w:kern w:val="0"/>
          <w:szCs w:val="32"/>
          <w:shd w:val="clear" w:color="auto" w:fill="FFFFFF"/>
          <w:lang w:val="zh-CN"/>
        </w:rPr>
        <w:t>（一）机构组成。</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楷体_GB2312"/>
          <w:b/>
          <w:bCs/>
          <w:color w:val="000000"/>
          <w:kern w:val="0"/>
          <w:szCs w:val="32"/>
          <w:shd w:val="clear" w:color="auto" w:fill="FFFFFF"/>
          <w:lang w:val="zh-CN"/>
        </w:rPr>
      </w:pPr>
      <w:r>
        <w:rPr>
          <w:rFonts w:hint="eastAsia"/>
          <w:color w:val="000000"/>
          <w:kern w:val="0"/>
          <w:szCs w:val="32"/>
          <w:shd w:val="clear" w:color="auto" w:fill="FFFFFF"/>
          <w:lang w:val="zh-CN"/>
        </w:rPr>
        <w:t>西区工商联无内设机构。</w:t>
      </w:r>
    </w:p>
    <w:p>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rFonts w:eastAsia="楷体_GB2312"/>
          <w:b/>
          <w:bCs/>
          <w:color w:val="000000"/>
          <w:kern w:val="0"/>
          <w:szCs w:val="32"/>
          <w:shd w:val="clear" w:color="auto" w:fill="FFFFFF"/>
          <w:lang w:val="zh-CN"/>
        </w:rPr>
      </w:pPr>
      <w:r>
        <w:rPr>
          <w:rFonts w:eastAsia="楷体_GB2312"/>
          <w:b/>
          <w:bCs/>
          <w:color w:val="000000"/>
          <w:kern w:val="0"/>
          <w:szCs w:val="32"/>
          <w:shd w:val="clear" w:color="auto" w:fill="FFFFFF"/>
          <w:lang w:val="zh-CN"/>
        </w:rPr>
        <w:t>（二）机构职能。</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eastAsia="楷体_GB2312"/>
          <w:b/>
          <w:bCs/>
          <w:color w:val="000000"/>
          <w:kern w:val="0"/>
          <w:szCs w:val="32"/>
          <w:shd w:val="clear" w:color="auto" w:fill="FFFFFF"/>
          <w:lang w:val="zh-CN"/>
        </w:rPr>
      </w:pPr>
      <w:r>
        <w:rPr>
          <w:rFonts w:hint="eastAsia"/>
          <w:color w:val="000000"/>
          <w:kern w:val="0"/>
          <w:szCs w:val="32"/>
          <w:shd w:val="clear" w:color="auto" w:fill="FFFFFF"/>
          <w:lang w:val="zh-CN"/>
        </w:rPr>
        <w:t>西区工商联主要职责：</w:t>
      </w:r>
      <w:r>
        <w:rPr>
          <w:rFonts w:hint="eastAsia" w:ascii="Times New Roman" w:hAnsi="Times New Roman" w:eastAsia="仿宋_GB2312" w:cs="Times New Roman"/>
          <w:color w:val="000000"/>
          <w:sz w:val="32"/>
          <w:szCs w:val="32"/>
          <w:lang w:eastAsia="zh-CN"/>
        </w:rPr>
        <w:t>参与区委、区政府大政方针及政治、经济、社会生活中的重要问题的政治协商，发挥民主监督作用，参政议政</w:t>
      </w:r>
      <w:r>
        <w:rPr>
          <w:rFonts w:hint="eastAsia"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eastAsia="zh-CN"/>
        </w:rPr>
        <w:t>引导会员积极参加国家经济建设，推动社会主义市场经济体制逐步完善，促进社会全面发展</w:t>
      </w:r>
      <w:r>
        <w:rPr>
          <w:rFonts w:hint="eastAsia"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eastAsia="zh-CN"/>
        </w:rPr>
        <w:t>做好工商界代表人士政治安排的推荐工作</w:t>
      </w:r>
      <w:r>
        <w:rPr>
          <w:rFonts w:hint="eastAsia"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eastAsia="zh-CN"/>
        </w:rPr>
        <w:t>指导同业公会和行业商会等专业组织的工作</w:t>
      </w:r>
      <w:r>
        <w:rPr>
          <w:rFonts w:hint="eastAsia"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eastAsia="zh-CN"/>
        </w:rPr>
        <w:t>发扬自我教育的优良传统，宣传、贯彻党和国家的方针政策，加强和改进思想政治工作，坚持对广大会员进行团结、帮助、引导、教育，促进非公有制经济健康发展，提倡爱国、敬业、守法，提高会员素质</w:t>
      </w:r>
      <w:r>
        <w:rPr>
          <w:rFonts w:hint="eastAsia"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eastAsia="zh-CN"/>
        </w:rPr>
        <w:t>代表并维护会员的合法权益，反映会员的意见、要求和建议为会员提供有关证明，协调关系，参与调解经济纠纷</w:t>
      </w:r>
      <w:r>
        <w:rPr>
          <w:rFonts w:hint="eastAsia"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eastAsia="zh-CN"/>
        </w:rPr>
        <w:t>引导会员把自身企业的发展与国家发展结合起来，把个人富裕与全体人民的共同富裕结合起来，把遵守市场规则与发扬社会主义道德结合起来，弘扬中华民族传统，先富帮后富，走共同富裕的道路，热心社会公益事业，积极参加扶贫光彩事业</w:t>
      </w:r>
      <w:r>
        <w:rPr>
          <w:rFonts w:hint="eastAsia"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eastAsia="zh-CN"/>
        </w:rPr>
        <w:t>为会员提供信息、培训、科技、管理、法律、会计、审计、融资、咨询等服务，帮助会员改进经营管理、完善财务制度，照章纳税，提高自身素质和生产技术、产品质量等</w:t>
      </w:r>
      <w:r>
        <w:rPr>
          <w:rFonts w:hint="eastAsia"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eastAsia="zh-CN"/>
        </w:rPr>
        <w:t>组织会员出国、出境考察访问，举办和参加各种对内对外展销会、交易会，帮助会员开拓国内、国际市场；增进与香港、澳门特别行政区、台湾地区和世界各国工商社团及工商经济界人士的联系和友谊，促进经济、技术和贸易合作的发展，协助引进资金、技术、人</w:t>
      </w:r>
      <w:r>
        <w:rPr>
          <w:rFonts w:hint="eastAsia" w:ascii="Times New Roman" w:hAnsi="Times New Roman" w:cs="Times New Roman"/>
          <w:color w:val="000000"/>
          <w:sz w:val="32"/>
          <w:szCs w:val="32"/>
          <w:lang w:eastAsia="zh-CN"/>
        </w:rPr>
        <w:t>。</w:t>
      </w:r>
    </w:p>
    <w:p>
      <w:pPr>
        <w:keepNext w:val="0"/>
        <w:keepLines w:val="0"/>
        <w:pageBreakBefore w:val="0"/>
        <w:numPr>
          <w:ilvl w:val="0"/>
          <w:numId w:val="0"/>
        </w:numPr>
        <w:kinsoku/>
        <w:wordWrap/>
        <w:overflowPunct/>
        <w:topLinePunct w:val="0"/>
        <w:autoSpaceDE/>
        <w:autoSpaceDN/>
        <w:bidi w:val="0"/>
        <w:spacing w:line="360" w:lineRule="auto"/>
        <w:ind w:firstLine="643" w:firstLineChars="200"/>
        <w:textAlignment w:val="auto"/>
        <w:rPr>
          <w:rFonts w:eastAsia="楷体_GB2312"/>
          <w:b/>
          <w:bCs/>
          <w:color w:val="000000"/>
          <w:kern w:val="0"/>
          <w:szCs w:val="32"/>
          <w:shd w:val="clear" w:color="auto" w:fill="FFFFFF"/>
          <w:lang w:val="zh-CN"/>
        </w:rPr>
      </w:pPr>
      <w:r>
        <w:rPr>
          <w:rFonts w:hint="eastAsia" w:eastAsia="楷体_GB2312"/>
          <w:b/>
          <w:bCs/>
          <w:color w:val="000000"/>
          <w:kern w:val="0"/>
          <w:szCs w:val="32"/>
          <w:shd w:val="clear" w:color="auto" w:fill="FFFFFF"/>
          <w:lang w:val="zh-CN"/>
        </w:rPr>
        <w:t>（三）</w:t>
      </w:r>
      <w:r>
        <w:rPr>
          <w:rFonts w:eastAsia="楷体_GB2312"/>
          <w:b/>
          <w:bCs/>
          <w:color w:val="000000"/>
          <w:kern w:val="0"/>
          <w:szCs w:val="32"/>
          <w:shd w:val="clear" w:color="auto" w:fill="FFFFFF"/>
          <w:lang w:val="zh-CN"/>
        </w:rPr>
        <w:t>人员概况。</w:t>
      </w:r>
    </w:p>
    <w:p>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eastAsia="黑体"/>
          <w:color w:val="000000"/>
          <w:kern w:val="0"/>
          <w:szCs w:val="32"/>
          <w:shd w:val="clear" w:color="auto" w:fill="FFFFFF"/>
        </w:rPr>
      </w:pPr>
      <w:bookmarkStart w:id="0" w:name="OLE_LINK2"/>
      <w:r>
        <w:rPr>
          <w:rFonts w:hint="eastAsia"/>
          <w:szCs w:val="32"/>
        </w:rPr>
        <w:t>截至2025年末，西区工商联在编职工人员共计3人，其中行政编制</w:t>
      </w:r>
      <w:r>
        <w:rPr>
          <w:rFonts w:hint="eastAsia"/>
          <w:szCs w:val="32"/>
          <w:lang w:val="en-US" w:eastAsia="zh-CN"/>
        </w:rPr>
        <w:t>2</w:t>
      </w:r>
      <w:r>
        <w:rPr>
          <w:rFonts w:hint="eastAsia"/>
          <w:szCs w:val="32"/>
        </w:rPr>
        <w:t>人</w:t>
      </w:r>
      <w:r>
        <w:rPr>
          <w:rFonts w:hint="eastAsia"/>
          <w:szCs w:val="32"/>
          <w:lang w:eastAsia="zh-CN"/>
        </w:rPr>
        <w:t>、</w:t>
      </w:r>
      <w:bookmarkStart w:id="4" w:name="_GoBack"/>
      <w:bookmarkEnd w:id="4"/>
      <w:r>
        <w:rPr>
          <w:rFonts w:hint="eastAsia"/>
          <w:szCs w:val="32"/>
        </w:rPr>
        <w:t>聘用人员1人。实有职工人员共计4人，与上年相比无变化</w:t>
      </w:r>
      <w:r>
        <w:rPr>
          <w:szCs w:val="32"/>
        </w:rPr>
        <w:t>。</w:t>
      </w:r>
    </w:p>
    <w:bookmarkEnd w:id="0"/>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黑体"/>
          <w:color w:val="000000"/>
          <w:kern w:val="0"/>
          <w:szCs w:val="32"/>
          <w:shd w:val="clear" w:color="auto" w:fill="FFFFFF"/>
        </w:rPr>
      </w:pPr>
      <w:r>
        <w:rPr>
          <w:rFonts w:eastAsia="黑体"/>
          <w:color w:val="000000"/>
          <w:kern w:val="0"/>
          <w:szCs w:val="32"/>
          <w:shd w:val="clear" w:color="auto" w:fill="FFFFFF"/>
        </w:rPr>
        <w:t>二、部门资金收支情况</w:t>
      </w:r>
    </w:p>
    <w:p>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rFonts w:ascii="Times New Roman" w:hAnsi="Times New Roman" w:cs="Times New Roman"/>
          <w:b/>
          <w:bCs/>
          <w:szCs w:val="32"/>
          <w:lang w:val="zh-CN"/>
        </w:rPr>
      </w:pPr>
      <w:r>
        <w:rPr>
          <w:rFonts w:eastAsia="楷体_GB2312"/>
          <w:b/>
          <w:bCs/>
          <w:color w:val="000000"/>
          <w:kern w:val="0"/>
          <w:szCs w:val="32"/>
          <w:shd w:val="clear" w:color="auto" w:fill="FFFFFF"/>
          <w:lang w:val="zh-CN"/>
        </w:rPr>
        <w:t>（一）收入情况</w:t>
      </w:r>
      <w:r>
        <w:rPr>
          <w:rFonts w:ascii="Times New Roman" w:hAnsi="Times New Roman" w:cs="Times New Roman"/>
          <w:b/>
          <w:bCs/>
          <w:szCs w:val="32"/>
          <w:lang w:val="zh-CN"/>
        </w:rPr>
        <w:t>。</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楷体_GB2312"/>
          <w:b/>
          <w:bCs/>
          <w:color w:val="000000"/>
          <w:kern w:val="0"/>
          <w:szCs w:val="32"/>
          <w:shd w:val="clear" w:color="auto" w:fill="FFFFFF"/>
        </w:rPr>
      </w:pPr>
      <w:r>
        <w:rPr>
          <w:rFonts w:hint="eastAsia"/>
          <w:color w:val="000000"/>
          <w:kern w:val="0"/>
          <w:szCs w:val="32"/>
          <w:shd w:val="clear" w:color="auto" w:fill="FFFFFF"/>
          <w:lang w:val="en-US" w:eastAsia="zh-CN"/>
        </w:rPr>
        <w:t>西区工商联2025年全年预算收入84.96万元，其中：一般公共预算拨款收入84.96万元，占总收入100%</w:t>
      </w:r>
      <w:r>
        <w:rPr>
          <w:rFonts w:ascii="Times New Roman" w:hAnsi="Times New Roman" w:cs="Times New Roman"/>
          <w:szCs w:val="32"/>
        </w:rPr>
        <w:t>。</w:t>
      </w:r>
    </w:p>
    <w:p>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szCs w:val="32"/>
          <w:lang w:val="zh-CN"/>
        </w:rPr>
      </w:pPr>
      <w:r>
        <w:rPr>
          <w:rFonts w:eastAsia="楷体_GB2312"/>
          <w:b/>
          <w:bCs/>
          <w:color w:val="000000"/>
          <w:kern w:val="0"/>
          <w:szCs w:val="32"/>
          <w:shd w:val="clear" w:color="auto" w:fill="FFFFFF"/>
          <w:lang w:val="zh-CN"/>
        </w:rPr>
        <w:t>（二）支出情况。</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ascii="Times New Roman" w:hAnsi="Times New Roman" w:cs="Times New Roman"/>
          <w:color w:val="000000"/>
          <w:kern w:val="0"/>
          <w:szCs w:val="32"/>
          <w:shd w:val="clear" w:color="auto" w:fill="FFFFFF"/>
          <w:lang w:val="zh-CN"/>
        </w:rPr>
      </w:pPr>
      <w:r>
        <w:rPr>
          <w:rFonts w:hint="eastAsia" w:ascii="Times New Roman" w:hAnsi="Times New Roman" w:cs="Times New Roman"/>
          <w:color w:val="000000"/>
          <w:kern w:val="0"/>
          <w:szCs w:val="32"/>
          <w:shd w:val="clear" w:color="auto" w:fill="FFFFFF"/>
          <w:lang w:val="zh-CN"/>
        </w:rPr>
        <w:t>2025年财政资金支出84.96万元，其中：基本支出79.11万元（人员经费73.50万元，公用经费5.61万元），项目支出5.86万元。</w:t>
      </w:r>
    </w:p>
    <w:p>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color w:val="000000"/>
          <w:kern w:val="0"/>
          <w:szCs w:val="32"/>
          <w:shd w:val="clear" w:color="auto" w:fill="FFFFFF"/>
          <w:lang w:val="zh-CN"/>
        </w:rPr>
      </w:pPr>
      <w:r>
        <w:rPr>
          <w:rFonts w:eastAsia="楷体_GB2312"/>
          <w:b/>
          <w:bCs/>
          <w:color w:val="000000"/>
          <w:kern w:val="0"/>
          <w:szCs w:val="32"/>
          <w:shd w:val="clear" w:color="auto" w:fill="FFFFFF"/>
          <w:lang w:val="zh-CN"/>
        </w:rPr>
        <w:t>（三）</w:t>
      </w:r>
      <w:r>
        <w:rPr>
          <w:rFonts w:eastAsia="楷体_GB2312"/>
          <w:b/>
          <w:szCs w:val="32"/>
        </w:rPr>
        <w:t>结余分配和结转结余情况。</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黑体"/>
          <w:color w:val="000000"/>
          <w:kern w:val="0"/>
          <w:szCs w:val="32"/>
          <w:shd w:val="clear" w:color="auto" w:fill="FFFFFF"/>
        </w:rPr>
      </w:pPr>
      <w:r>
        <w:rPr>
          <w:rFonts w:hint="eastAsia" w:cs="Times New Roman"/>
          <w:color w:val="000000"/>
          <w:kern w:val="0"/>
          <w:szCs w:val="32"/>
          <w:shd w:val="clear" w:color="auto" w:fill="FFFFFF"/>
          <w:lang w:val="en-US" w:eastAsia="zh-CN"/>
        </w:rPr>
        <w:t>西区工商联2025年决算报表无结转结余</w:t>
      </w:r>
      <w:r>
        <w:rPr>
          <w:color w:val="000000"/>
          <w:kern w:val="0"/>
          <w:szCs w:val="32"/>
          <w:shd w:val="clear" w:color="auto" w:fill="FFFFFF"/>
        </w:rPr>
        <w:t>。</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黑体"/>
          <w:color w:val="000000" w:themeColor="text1"/>
          <w:kern w:val="0"/>
          <w:szCs w:val="32"/>
          <w:shd w:val="clear" w:color="auto" w:fill="FFFFFF"/>
          <w14:textFill>
            <w14:solidFill>
              <w14:schemeClr w14:val="tx1"/>
            </w14:solidFill>
          </w14:textFill>
        </w:rPr>
      </w:pPr>
      <w:r>
        <w:rPr>
          <w:rFonts w:eastAsia="黑体"/>
          <w:color w:val="000000"/>
          <w:kern w:val="0"/>
          <w:szCs w:val="32"/>
          <w:shd w:val="clear" w:color="auto" w:fill="FFFFFF"/>
        </w:rPr>
        <w:t>三、部门预算绩效分析</w:t>
      </w:r>
    </w:p>
    <w:p>
      <w:pPr>
        <w:keepNext w:val="0"/>
        <w:keepLines w:val="0"/>
        <w:pageBreakBefore w:val="0"/>
        <w:kinsoku/>
        <w:wordWrap/>
        <w:overflowPunct/>
        <w:topLinePunct w:val="0"/>
        <w:autoSpaceDE/>
        <w:autoSpaceDN/>
        <w:bidi w:val="0"/>
        <w:adjustRightInd w:val="0"/>
        <w:snapToGrid w:val="0"/>
        <w:spacing w:line="360" w:lineRule="auto"/>
        <w:ind w:firstLine="643" w:firstLineChars="200"/>
        <w:contextualSpacing/>
        <w:jc w:val="left"/>
        <w:textAlignment w:val="auto"/>
        <w:rPr>
          <w:color w:val="000000"/>
          <w:kern w:val="0"/>
          <w:szCs w:val="32"/>
          <w:shd w:val="clear" w:color="auto" w:fill="FFFFFF"/>
          <w:lang w:val="zh-CN"/>
        </w:rPr>
      </w:pPr>
      <w:r>
        <w:rPr>
          <w:rFonts w:eastAsia="楷体_GB2312"/>
          <w:b/>
          <w:bCs/>
          <w:color w:val="000000"/>
          <w:kern w:val="0"/>
          <w:szCs w:val="32"/>
          <w:shd w:val="clear" w:color="auto" w:fill="FFFFFF"/>
          <w:lang w:val="zh-CN"/>
        </w:rPr>
        <w:t>（一）部门预算总体绩效分析。</w:t>
      </w:r>
      <w:r>
        <w:rPr>
          <w:color w:val="000000"/>
          <w:kern w:val="0"/>
          <w:szCs w:val="32"/>
          <w:shd w:val="clear" w:color="auto" w:fill="FFFFFF"/>
          <w:lang w:val="zh-CN"/>
        </w:rPr>
        <w:t>根据部门预算绩效评价指标体系“总体绩效”涉及二、三级指标进行逐项绩效分析并评分，依次包括履职效能、预算管理、财务管理、资产管理、采购管理等情况。</w:t>
      </w:r>
    </w:p>
    <w:p>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color w:val="000000"/>
          <w:kern w:val="0"/>
          <w:szCs w:val="32"/>
          <w:shd w:val="clear" w:color="auto" w:fill="FFFFFF"/>
          <w:lang w:val="zh-CN"/>
        </w:rPr>
      </w:pPr>
      <w:r>
        <w:rPr>
          <w:rFonts w:eastAsia="楷体_GB2312"/>
          <w:color w:val="000000"/>
          <w:kern w:val="0"/>
          <w:szCs w:val="32"/>
          <w:shd w:val="clear" w:color="auto" w:fill="FFFFFF"/>
        </w:rPr>
        <w:t>1.</w:t>
      </w:r>
      <w:r>
        <w:rPr>
          <w:rFonts w:eastAsia="楷体_GB2312"/>
          <w:color w:val="000000"/>
          <w:kern w:val="0"/>
          <w:szCs w:val="32"/>
          <w:shd w:val="clear" w:color="auto" w:fill="FFFFFF"/>
          <w:lang w:val="zh-CN"/>
        </w:rPr>
        <w:t>履职效能。</w:t>
      </w:r>
      <w:r>
        <w:rPr>
          <w:color w:val="000000"/>
          <w:kern w:val="0"/>
          <w:szCs w:val="32"/>
          <w:shd w:val="clear" w:color="auto" w:fill="FFFFFF"/>
          <w:lang w:val="zh-CN"/>
        </w:rPr>
        <w:t>部门整体绩效目标中选定3</w:t>
      </w:r>
      <w:r>
        <w:rPr>
          <w:rFonts w:hint="eastAsia"/>
          <w:color w:val="000000"/>
          <w:kern w:val="0"/>
          <w:szCs w:val="32"/>
          <w:shd w:val="clear" w:color="auto" w:fill="FFFFFF"/>
          <w:lang w:val="zh-CN"/>
        </w:rPr>
        <w:t>—</w:t>
      </w:r>
      <w:r>
        <w:rPr>
          <w:color w:val="000000"/>
          <w:kern w:val="0"/>
          <w:szCs w:val="32"/>
          <w:shd w:val="clear" w:color="auto" w:fill="FFFFFF"/>
          <w:lang w:val="zh-CN"/>
        </w:rPr>
        <w:t>5个核心职能目标，对职能目标完成效果情况绩效分析。</w:t>
      </w:r>
    </w:p>
    <w:p>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ascii="Times New Roman" w:hAnsi="Times New Roman" w:cs="Times New Roman"/>
          <w:color w:val="000000"/>
          <w:kern w:val="0"/>
          <w:szCs w:val="32"/>
          <w:shd w:val="clear" w:color="auto" w:fill="FFFFFF"/>
          <w:lang w:val="en-US" w:eastAsia="zh-CN"/>
        </w:rPr>
      </w:pPr>
      <w:r>
        <w:rPr>
          <w:rFonts w:hint="eastAsia" w:cs="Times New Roman"/>
          <w:color w:val="000000"/>
          <w:kern w:val="0"/>
          <w:szCs w:val="32"/>
          <w:shd w:val="clear" w:color="auto" w:fill="FFFFFF"/>
          <w:lang w:val="en-US" w:eastAsia="zh-CN"/>
        </w:rPr>
        <w:t>（1）</w:t>
      </w:r>
      <w:r>
        <w:rPr>
          <w:rFonts w:hint="eastAsia" w:ascii="Times New Roman" w:hAnsi="Times New Roman" w:cs="Times New Roman"/>
          <w:color w:val="000000"/>
          <w:kern w:val="0"/>
          <w:szCs w:val="32"/>
          <w:shd w:val="clear" w:color="auto" w:fill="FFFFFF"/>
          <w:lang w:val="en-US" w:eastAsia="zh-CN"/>
        </w:rPr>
        <w:t>强化思想政治引导。区工商联组织引导民营经济人士增强“四个意识”、坚定“四个自信”，以实际行动做到“两个维护”。讲好民营经济统战故事，持续擦亮西区民营经济统战工作品牌，通过川商、四川统一战线、攀枝花日报、同心攀枝花、市工商联网站和“看西区”APP等平台，刊登相关宣传报道共计27篇。组织引导民营企业履行社会责任，参与社会公益事业和共同富裕建设，捐款捐物共计金额22.8万元。</w:t>
      </w:r>
    </w:p>
    <w:p>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ascii="Times New Roman" w:hAnsi="Times New Roman" w:cs="Times New Roman"/>
          <w:color w:val="000000"/>
          <w:kern w:val="0"/>
          <w:szCs w:val="32"/>
          <w:shd w:val="clear" w:color="auto" w:fill="FFFFFF"/>
          <w:lang w:val="en-US" w:eastAsia="zh-CN"/>
        </w:rPr>
      </w:pPr>
      <w:r>
        <w:rPr>
          <w:rFonts w:hint="eastAsia" w:cs="Times New Roman"/>
          <w:color w:val="000000"/>
          <w:kern w:val="0"/>
          <w:szCs w:val="32"/>
          <w:shd w:val="clear" w:color="auto" w:fill="FFFFFF"/>
          <w:lang w:val="en-US" w:eastAsia="zh-CN"/>
        </w:rPr>
        <w:t>（2）</w:t>
      </w:r>
      <w:r>
        <w:rPr>
          <w:rFonts w:hint="eastAsia" w:ascii="Times New Roman" w:hAnsi="Times New Roman" w:cs="Times New Roman"/>
          <w:color w:val="000000"/>
          <w:kern w:val="0"/>
          <w:szCs w:val="32"/>
          <w:shd w:val="clear" w:color="auto" w:fill="FFFFFF"/>
          <w:lang w:val="en-US" w:eastAsia="zh-CN"/>
        </w:rPr>
        <w:t>稳步推进“万企兴万村”行动。制定印发《西区“万企兴万村”行动实施方案》，成立以区委常委、区委统战部部长唐晨，区政协副主席、区工商联主席姜泽先为双组长的西区“万企兴万村”行动工作小组，向上争取6家市工商联执委企业，同时协调匹配7家区工商联执委企业，根据西区6个村情况及诉求，制定帮扶清单。11月13日，西区举办“万企兴万村”助力乡村振兴现场推进会暨结对共建签约仪式，13家企业代表分别与西区6个村签订《结对共建协议书》，实现西区村企结对全覆盖。</w:t>
      </w:r>
    </w:p>
    <w:p>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ascii="Times New Roman" w:hAnsi="Times New Roman" w:cs="Times New Roman"/>
          <w:color w:val="000000"/>
          <w:kern w:val="0"/>
          <w:szCs w:val="32"/>
          <w:shd w:val="clear" w:color="auto" w:fill="FFFFFF"/>
          <w:lang w:val="en-US" w:eastAsia="zh-CN"/>
        </w:rPr>
      </w:pPr>
      <w:r>
        <w:rPr>
          <w:rFonts w:hint="eastAsia" w:cs="Times New Roman"/>
          <w:color w:val="000000"/>
          <w:kern w:val="0"/>
          <w:szCs w:val="32"/>
          <w:shd w:val="clear" w:color="auto" w:fill="FFFFFF"/>
          <w:lang w:val="en-US" w:eastAsia="zh-CN"/>
        </w:rPr>
        <w:t>（3）</w:t>
      </w:r>
      <w:r>
        <w:rPr>
          <w:rFonts w:hint="eastAsia" w:ascii="Times New Roman" w:hAnsi="Times New Roman" w:cs="Times New Roman"/>
          <w:color w:val="000000"/>
          <w:kern w:val="0"/>
          <w:szCs w:val="32"/>
          <w:shd w:val="clear" w:color="auto" w:fill="FFFFFF"/>
          <w:lang w:val="en-US" w:eastAsia="zh-CN"/>
        </w:rPr>
        <w:t>持续开展助企行动。着力优化走访服务企业机制，畅通政企联络“直通车”。开展西区2025年规上工业企业需协调解决事项收集活动，起草《攀枝花市西区统一战线服务全区经济高质量发展实施方案（草案）》，共走访企业12次50家次，收集企业建设、生产中存在的问题12条。积极向上争取支持，将午跃科技、嘉兆丰等企业反映的关于希望纳入省残联、中残联辅具采购平台等6条诉求报送至省市工商联，其中午跃科技的3条诉求已被纳入2025年第6次四川省委统战部部长与统战代表人士沟通协商“面对面+键对键”活动。开展“面对面+键对键”活动6次，收集46个问题，已解决42个，办结率91.3%，满意度98%。</w:t>
      </w:r>
    </w:p>
    <w:p>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default" w:ascii="Times New Roman" w:hAnsi="Times New Roman" w:cs="Times New Roman"/>
          <w:color w:val="000000"/>
          <w:kern w:val="0"/>
          <w:szCs w:val="32"/>
          <w:shd w:val="clear" w:color="auto" w:fill="FFFFFF"/>
          <w:lang w:val="zh-CN"/>
        </w:rPr>
      </w:pPr>
      <w:r>
        <w:rPr>
          <w:rFonts w:hint="eastAsia" w:cs="Times New Roman"/>
          <w:color w:val="000000"/>
          <w:kern w:val="0"/>
          <w:szCs w:val="32"/>
          <w:shd w:val="clear" w:color="auto" w:fill="FFFFFF"/>
          <w:lang w:val="en-US" w:eastAsia="zh-CN"/>
        </w:rPr>
        <w:t>（4）</w:t>
      </w:r>
      <w:r>
        <w:rPr>
          <w:rFonts w:hint="eastAsia" w:ascii="Times New Roman" w:hAnsi="Times New Roman" w:cs="Times New Roman"/>
          <w:color w:val="000000"/>
          <w:kern w:val="0"/>
          <w:szCs w:val="32"/>
          <w:shd w:val="clear" w:color="auto" w:fill="FFFFFF"/>
          <w:lang w:val="en-US" w:eastAsia="zh-CN"/>
        </w:rPr>
        <w:t>法律护航企业发展。依托全省首家“园区检察官法律工作站”开展法律进企业活动，形成“单位+企业”法律服务机制，运用与西区法院、西区检察院、西区司法局建立的服务企业法律“绿色通道”，开展“法律进企业”和“万所联万会”活动，加大法律知识宣传普及。已服务非公企业40余家，发放法律、税务等宣传资料300余份。与区检察院签订《关于进一步建立健全西区人民检察院与西区工商业联合会沟通联系机制》，共同对民营企业进行重点风险预警防范，化解涉企矛盾纠纷，持续为民营企业发展提供高效服务和法治保障。</w:t>
      </w:r>
    </w:p>
    <w:p>
      <w:pPr>
        <w:keepNext w:val="0"/>
        <w:keepLines w:val="0"/>
        <w:pageBreakBefore w:val="0"/>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楷体_GB2312"/>
          <w:color w:val="000000"/>
          <w:kern w:val="0"/>
          <w:szCs w:val="32"/>
          <w:shd w:val="clear" w:color="auto" w:fill="FFFFFF"/>
          <w:lang w:val="zh-CN"/>
        </w:rPr>
      </w:pPr>
      <w:r>
        <w:rPr>
          <w:rFonts w:hint="eastAsia" w:eastAsia="楷体_GB2312"/>
          <w:color w:val="000000"/>
          <w:kern w:val="0"/>
          <w:szCs w:val="32"/>
          <w:shd w:val="clear" w:color="auto" w:fill="FFFFFF"/>
          <w:lang w:val="en-US" w:eastAsia="zh-CN"/>
        </w:rPr>
        <w:t>2.</w:t>
      </w:r>
      <w:r>
        <w:rPr>
          <w:rFonts w:eastAsia="楷体_GB2312"/>
          <w:color w:val="000000"/>
          <w:kern w:val="0"/>
          <w:szCs w:val="32"/>
          <w:shd w:val="clear" w:color="auto" w:fill="FFFFFF"/>
          <w:lang w:val="zh-CN"/>
        </w:rPr>
        <w:t>预算</w:t>
      </w:r>
      <w:r>
        <w:rPr>
          <w:rFonts w:hint="eastAsia" w:eastAsia="楷体_GB2312"/>
          <w:color w:val="000000"/>
          <w:kern w:val="0"/>
          <w:szCs w:val="32"/>
          <w:shd w:val="clear" w:color="auto" w:fill="FFFFFF"/>
          <w:lang w:val="zh-CN"/>
        </w:rPr>
        <w:t>编制情况</w:t>
      </w:r>
      <w:r>
        <w:rPr>
          <w:rFonts w:eastAsia="楷体_GB2312"/>
          <w:color w:val="000000"/>
          <w:kern w:val="0"/>
          <w:szCs w:val="32"/>
          <w:shd w:val="clear" w:color="auto" w:fill="FFFFFF"/>
          <w:lang w:val="zh-CN"/>
        </w:rPr>
        <w:t>。</w:t>
      </w:r>
    </w:p>
    <w:p>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color w:val="000000"/>
          <w:kern w:val="0"/>
          <w:szCs w:val="32"/>
          <w:shd w:val="clear" w:color="auto" w:fill="FFFFFF"/>
          <w:lang w:val="zh-CN"/>
        </w:rPr>
      </w:pPr>
      <w:r>
        <w:rPr>
          <w:rFonts w:hint="eastAsia"/>
          <w:color w:val="000000"/>
          <w:kern w:val="0"/>
          <w:szCs w:val="32"/>
          <w:shd w:val="clear" w:color="auto" w:fill="FFFFFF"/>
          <w:lang w:val="en-US" w:eastAsia="zh-CN"/>
        </w:rPr>
        <w:t>2025年西区工商联严格按照西区财政局预算编制通知和有关要求，按时按质完成报送决算编制等工作，并按时提交部门预算编制草案，不存在应编未编、错误列编等情况。西区财政局根据预算编制草案进行审核，批复2025年部门预算72.76万元，全年预算调整为84.96万元。</w:t>
      </w:r>
    </w:p>
    <w:p>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楷体_GB2312"/>
          <w:color w:val="000000"/>
          <w:kern w:val="0"/>
          <w:szCs w:val="32"/>
          <w:shd w:val="clear" w:color="auto" w:fill="FFFFFF"/>
          <w:lang w:val="zh-CN"/>
        </w:rPr>
      </w:pPr>
      <w:r>
        <w:rPr>
          <w:rFonts w:eastAsia="楷体_GB2312"/>
          <w:color w:val="000000"/>
          <w:kern w:val="0"/>
          <w:szCs w:val="32"/>
          <w:shd w:val="clear" w:color="auto" w:fill="FFFFFF"/>
        </w:rPr>
        <w:t>3.</w:t>
      </w:r>
      <w:r>
        <w:rPr>
          <w:rFonts w:eastAsia="楷体_GB2312"/>
          <w:color w:val="000000"/>
          <w:kern w:val="0"/>
          <w:szCs w:val="32"/>
          <w:shd w:val="clear" w:color="auto" w:fill="FFFFFF"/>
          <w:lang w:val="zh-CN"/>
        </w:rPr>
        <w:t>财务管理。</w:t>
      </w:r>
    </w:p>
    <w:p>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ascii="Times New Roman" w:hAnsi="Times New Roman" w:cs="Times New Roman"/>
          <w:color w:val="000000"/>
          <w:kern w:val="0"/>
          <w:szCs w:val="32"/>
          <w:shd w:val="clear" w:color="auto" w:fill="FFFFFF"/>
          <w:lang w:val="zh-CN"/>
        </w:rPr>
      </w:pPr>
      <w:r>
        <w:rPr>
          <w:rFonts w:hint="default" w:ascii="Times New Roman" w:hAnsi="Times New Roman" w:cs="Times New Roman"/>
          <w:color w:val="000000"/>
          <w:kern w:val="0"/>
          <w:szCs w:val="32"/>
          <w:shd w:val="clear" w:color="auto" w:fill="FFFFFF"/>
          <w:lang w:val="zh-CN"/>
        </w:rPr>
        <w:t>建立健全了财务管理制度，涵盖预算管理、收支管理、资产管理等方面，制度执行严格，确保财务工作有章可循。财务岗位设置科学分工，明确岗位权责，做到不相容岗位相互分离，避免兼岗带来的风险。资金使用规范上，严格把控资金审批流程，确保每一笔资金都按照规定用途、标准和程序使用，杜绝挪用、滥用等违规行为，保障财务工作有序进行，维护财务安全与规范</w:t>
      </w:r>
      <w:r>
        <w:rPr>
          <w:rFonts w:hint="eastAsia" w:ascii="Times New Roman" w:hAnsi="Times New Roman" w:cs="Times New Roman"/>
          <w:color w:val="000000"/>
          <w:kern w:val="0"/>
          <w:szCs w:val="32"/>
          <w:shd w:val="clear" w:color="auto" w:fill="FFFFFF"/>
          <w:lang w:val="zh-CN" w:eastAsia="zh-CN"/>
        </w:rPr>
        <w:t>。</w:t>
      </w:r>
    </w:p>
    <w:p>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楷体_GB2312"/>
          <w:color w:val="000000"/>
          <w:kern w:val="0"/>
          <w:szCs w:val="32"/>
          <w:shd w:val="clear" w:color="auto" w:fill="FFFFFF"/>
          <w:lang w:val="zh-CN"/>
        </w:rPr>
      </w:pPr>
      <w:r>
        <w:rPr>
          <w:rFonts w:eastAsia="楷体_GB2312"/>
          <w:color w:val="000000"/>
          <w:kern w:val="0"/>
          <w:szCs w:val="32"/>
          <w:shd w:val="clear" w:color="auto" w:fill="FFFFFF"/>
        </w:rPr>
        <w:t>4.</w:t>
      </w:r>
      <w:r>
        <w:rPr>
          <w:rFonts w:eastAsia="楷体_GB2312"/>
          <w:color w:val="000000"/>
          <w:kern w:val="0"/>
          <w:szCs w:val="32"/>
          <w:shd w:val="clear" w:color="auto" w:fill="FFFFFF"/>
          <w:lang w:val="zh-CN"/>
        </w:rPr>
        <w:t>资产管理。</w:t>
      </w:r>
    </w:p>
    <w:p>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ascii="Times New Roman" w:hAnsi="Times New Roman" w:cs="Times New Roman"/>
          <w:color w:val="000000"/>
          <w:kern w:val="0"/>
          <w:szCs w:val="32"/>
          <w:shd w:val="clear" w:color="auto" w:fill="FFFFFF"/>
          <w:lang w:val="zh-CN"/>
        </w:rPr>
      </w:pPr>
      <w:r>
        <w:rPr>
          <w:rFonts w:hint="default" w:ascii="Times New Roman" w:hAnsi="Times New Roman" w:cs="Times New Roman"/>
          <w:color w:val="000000"/>
          <w:kern w:val="0"/>
          <w:szCs w:val="32"/>
          <w:shd w:val="clear" w:color="auto" w:fill="FFFFFF"/>
          <w:lang w:val="zh-CN"/>
        </w:rPr>
        <w:t>高度重视闲置资产管理，建立动态清查机制，定期梳理闲置资产明细，通过内部调剂、共享使用等方式，将闲置设备、办公用品等调配至需求科室。同时，在资产系统内对固定资产及状态及时进行更新，优化资源配置，显著提升资产利用率，有效避免资源浪费，为机关高效运转提供有力保障。</w:t>
      </w:r>
    </w:p>
    <w:p>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楷体_GB2312"/>
          <w:color w:val="000000"/>
          <w:kern w:val="0"/>
          <w:szCs w:val="32"/>
          <w:shd w:val="clear" w:color="auto" w:fill="FFFFFF"/>
          <w:lang w:val="zh-CN"/>
        </w:rPr>
      </w:pPr>
      <w:r>
        <w:rPr>
          <w:rFonts w:eastAsia="楷体_GB2312"/>
          <w:color w:val="000000"/>
          <w:kern w:val="0"/>
          <w:szCs w:val="32"/>
          <w:shd w:val="clear" w:color="auto" w:fill="FFFFFF"/>
        </w:rPr>
        <w:t>5.</w:t>
      </w:r>
      <w:r>
        <w:rPr>
          <w:rFonts w:eastAsia="楷体_GB2312"/>
          <w:color w:val="000000"/>
          <w:kern w:val="0"/>
          <w:szCs w:val="32"/>
          <w:shd w:val="clear" w:color="auto" w:fill="FFFFFF"/>
          <w:lang w:val="zh-CN"/>
        </w:rPr>
        <w:t>采购管理。</w:t>
      </w:r>
    </w:p>
    <w:p>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ascii="Times New Roman" w:hAnsi="Times New Roman" w:cs="Times New Roman"/>
          <w:color w:val="000000"/>
          <w:kern w:val="0"/>
          <w:szCs w:val="32"/>
          <w:shd w:val="clear" w:color="auto" w:fill="FFFFFF"/>
          <w:lang w:val="zh-CN" w:eastAsia="zh-CN"/>
        </w:rPr>
      </w:pPr>
      <w:r>
        <w:rPr>
          <w:rFonts w:hint="default" w:ascii="Times New Roman" w:hAnsi="Times New Roman" w:cs="Times New Roman"/>
          <w:color w:val="000000"/>
          <w:kern w:val="0"/>
          <w:szCs w:val="32"/>
          <w:shd w:val="clear" w:color="auto" w:fill="FFFFFF"/>
          <w:lang w:val="zh-CN"/>
        </w:rPr>
        <w:t>严格按照采购管理文件要求执行，采购前精准预算编制，结合实际需求科学规划；采购中坚持公开透明，严格执行采购程序；采购后加强验收与监督，确保物资质量达标，同时强化档案管理，保障采购全程留痕、规范有序。2025年政府采购支出2.83万元</w:t>
      </w:r>
      <w:r>
        <w:rPr>
          <w:rFonts w:hint="eastAsia" w:ascii="Times New Roman" w:hAnsi="Times New Roman" w:cs="Times New Roman"/>
          <w:color w:val="000000"/>
          <w:kern w:val="0"/>
          <w:szCs w:val="32"/>
          <w:shd w:val="clear" w:color="auto" w:fill="FFFFFF"/>
          <w:lang w:val="zh-CN" w:eastAsia="zh-CN"/>
        </w:rPr>
        <w:t>。</w:t>
      </w:r>
    </w:p>
    <w:p>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color w:val="000000"/>
          <w:kern w:val="0"/>
          <w:szCs w:val="32"/>
          <w:shd w:val="clear" w:color="auto" w:fill="FFFFFF"/>
        </w:rPr>
      </w:pPr>
      <w:r>
        <w:rPr>
          <w:rFonts w:eastAsia="楷体_GB2312"/>
          <w:b/>
          <w:bCs/>
          <w:color w:val="000000"/>
          <w:kern w:val="0"/>
          <w:szCs w:val="32"/>
          <w:shd w:val="clear" w:color="auto" w:fill="FFFFFF"/>
          <w:lang w:val="zh-CN"/>
        </w:rPr>
        <w:t>（二）部门预算项目绩效分析。</w:t>
      </w:r>
    </w:p>
    <w:p>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color w:val="000000"/>
          <w:kern w:val="0"/>
          <w:szCs w:val="32"/>
          <w:shd w:val="clear" w:color="auto" w:fill="FFFFFF"/>
          <w:lang w:val="zh-CN"/>
        </w:rPr>
      </w:pPr>
      <w:r>
        <w:rPr>
          <w:color w:val="000000"/>
          <w:kern w:val="0"/>
          <w:szCs w:val="32"/>
          <w:shd w:val="clear" w:color="auto" w:fill="FFFFFF"/>
        </w:rPr>
        <w:t>常年项目绩效分析。</w:t>
      </w:r>
      <w:r>
        <w:rPr>
          <w:rFonts w:hint="eastAsia"/>
          <w:color w:val="000000"/>
          <w:kern w:val="0"/>
          <w:szCs w:val="32"/>
          <w:shd w:val="clear" w:color="auto" w:fill="FFFFFF"/>
          <w:lang w:val="zh-CN"/>
        </w:rPr>
        <w:t>该类项目总数2个，涉及预算总金额5.86万元，1至12月预算执行总体进度为100%，其中预算结余率大于10%的项目共计0个</w:t>
      </w:r>
      <w:r>
        <w:rPr>
          <w:color w:val="000000"/>
          <w:kern w:val="0"/>
          <w:szCs w:val="32"/>
          <w:shd w:val="clear" w:color="auto" w:fill="FFFFFF"/>
          <w:lang w:val="zh-CN"/>
        </w:rPr>
        <w:t>。</w:t>
      </w:r>
    </w:p>
    <w:p>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color w:val="000000"/>
          <w:kern w:val="0"/>
          <w:szCs w:val="32"/>
          <w:shd w:val="clear" w:color="auto" w:fill="FFFFFF"/>
          <w:lang w:val="zh-CN"/>
        </w:rPr>
      </w:pPr>
      <w:r>
        <w:rPr>
          <w:color w:val="000000"/>
          <w:kern w:val="0"/>
          <w:szCs w:val="32"/>
          <w:shd w:val="clear" w:color="auto" w:fill="FFFFFF"/>
        </w:rPr>
        <w:t>阶段（</w:t>
      </w:r>
      <w:r>
        <w:rPr>
          <w:rFonts w:hint="eastAsia"/>
          <w:color w:val="000000"/>
          <w:kern w:val="0"/>
          <w:szCs w:val="32"/>
          <w:shd w:val="clear" w:color="auto" w:fill="FFFFFF"/>
        </w:rPr>
        <w:t>含</w:t>
      </w:r>
      <w:r>
        <w:rPr>
          <w:color w:val="000000"/>
          <w:kern w:val="0"/>
          <w:szCs w:val="32"/>
          <w:shd w:val="clear" w:color="auto" w:fill="FFFFFF"/>
        </w:rPr>
        <w:t>一次性）项目绩效分析。</w:t>
      </w:r>
      <w:r>
        <w:rPr>
          <w:rFonts w:hint="eastAsia"/>
          <w:color w:val="000000"/>
          <w:kern w:val="0"/>
          <w:szCs w:val="32"/>
          <w:shd w:val="clear" w:color="auto" w:fill="FFFFFF"/>
          <w:lang w:val="zh-CN"/>
        </w:rPr>
        <w:t>该类项目总数2个，涉及预算总金额5.86万元，1至12月预算执行总体进度为100%，其中预算结余率大于10%的项目共计0个</w:t>
      </w:r>
      <w:r>
        <w:rPr>
          <w:color w:val="000000"/>
          <w:kern w:val="0"/>
          <w:szCs w:val="32"/>
          <w:shd w:val="clear" w:color="auto" w:fill="FFFFFF"/>
          <w:lang w:val="zh-CN"/>
        </w:rPr>
        <w:t>。</w:t>
      </w:r>
    </w:p>
    <w:p>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楷体_GB2312"/>
          <w:color w:val="000000"/>
          <w:kern w:val="0"/>
          <w:szCs w:val="32"/>
          <w:shd w:val="clear" w:color="auto" w:fill="FFFFFF"/>
          <w:lang w:val="zh-CN"/>
        </w:rPr>
      </w:pPr>
      <w:r>
        <w:rPr>
          <w:rFonts w:eastAsia="楷体_GB2312"/>
          <w:color w:val="000000"/>
          <w:kern w:val="0"/>
          <w:szCs w:val="32"/>
          <w:shd w:val="clear" w:color="auto" w:fill="FFFFFF"/>
        </w:rPr>
        <w:t>1.</w:t>
      </w:r>
      <w:r>
        <w:rPr>
          <w:rFonts w:eastAsia="楷体_GB2312"/>
          <w:color w:val="000000"/>
          <w:kern w:val="0"/>
          <w:szCs w:val="32"/>
          <w:shd w:val="clear" w:color="auto" w:fill="FFFFFF"/>
          <w:lang w:val="zh-CN"/>
        </w:rPr>
        <w:t>项目决策。</w:t>
      </w:r>
    </w:p>
    <w:p>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ascii="Times New Roman" w:hAnsi="Times New Roman" w:cs="Times New Roman"/>
          <w:color w:val="000000"/>
          <w:kern w:val="0"/>
          <w:szCs w:val="32"/>
          <w:shd w:val="clear" w:color="auto" w:fill="FFFFFF"/>
          <w:lang w:val="zh-CN" w:eastAsia="zh-CN"/>
        </w:rPr>
      </w:pPr>
      <w:r>
        <w:rPr>
          <w:rFonts w:hint="eastAsia" w:ascii="Times New Roman" w:hAnsi="Times New Roman" w:cs="Times New Roman"/>
          <w:color w:val="000000"/>
          <w:kern w:val="0"/>
          <w:szCs w:val="32"/>
          <w:shd w:val="clear" w:color="auto" w:fill="FFFFFF"/>
          <w:lang w:val="zh-CN" w:eastAsia="zh-CN"/>
        </w:rPr>
        <w:t>以2025年工作安排为参考，以2025年工作计划为依据，预算安排共计5.86万元，用于换届选举及联系协调非公企业经费项目和购买社会服务费项目，以不断提高服务对象满意度，及时发现工作存在的问题，提升服务质量，提高政策知晓率。投入成本与预期产出及效果相匹配，成本测算依据充分。同时在支出过程中，严格履行政府采购程序，合理控制成本，确保资金投入与支出比例合理。当年实际支出5.86万元，执行率100%。</w:t>
      </w:r>
    </w:p>
    <w:p>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楷体_GB2312"/>
          <w:color w:val="000000"/>
          <w:kern w:val="0"/>
          <w:szCs w:val="32"/>
          <w:shd w:val="clear" w:color="auto" w:fill="FFFFFF"/>
          <w:lang w:val="zh-CN"/>
        </w:rPr>
      </w:pPr>
      <w:r>
        <w:rPr>
          <w:rFonts w:eastAsia="楷体_GB2312"/>
          <w:color w:val="000000"/>
          <w:kern w:val="0"/>
          <w:szCs w:val="32"/>
          <w:shd w:val="clear" w:color="auto" w:fill="FFFFFF"/>
        </w:rPr>
        <w:t>2.项目执行</w:t>
      </w:r>
      <w:r>
        <w:rPr>
          <w:rFonts w:eastAsia="楷体_GB2312"/>
          <w:color w:val="000000"/>
          <w:kern w:val="0"/>
          <w:szCs w:val="32"/>
          <w:shd w:val="clear" w:color="auto" w:fill="FFFFFF"/>
          <w:lang w:val="zh-CN"/>
        </w:rPr>
        <w:t>。</w:t>
      </w:r>
    </w:p>
    <w:p>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default" w:ascii="Times New Roman" w:hAnsi="Times New Roman" w:cs="Times New Roman"/>
          <w:color w:val="000000"/>
          <w:kern w:val="0"/>
          <w:szCs w:val="32"/>
          <w:shd w:val="clear" w:color="auto" w:fill="FFFFFF"/>
          <w:lang w:val="zh-CN"/>
        </w:rPr>
      </w:pPr>
      <w:r>
        <w:rPr>
          <w:rFonts w:hint="eastAsia" w:ascii="Times New Roman" w:hAnsi="Times New Roman" w:cs="Times New Roman"/>
          <w:color w:val="000000"/>
          <w:kern w:val="0"/>
          <w:szCs w:val="32"/>
          <w:shd w:val="clear" w:color="auto" w:fill="FFFFFF"/>
          <w:lang w:val="zh-CN"/>
        </w:rPr>
        <w:t>项目实施期限为2025年1月至12月，由区工商联申报，西区财政局审核批复，主要用于换届选举、联系协调非公企业经费和购买社会服务费等各项工作开展，加强项目实施过程中的监督审核，建立健全财政专项资金的公开机制、评审机制、跟踪检查机制，确保财政资金安全高效使用。</w:t>
      </w:r>
    </w:p>
    <w:p>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楷体_GB2312"/>
          <w:color w:val="000000"/>
          <w:kern w:val="0"/>
          <w:szCs w:val="32"/>
          <w:shd w:val="clear" w:color="auto" w:fill="FFFFFF"/>
          <w:lang w:val="zh-CN"/>
        </w:rPr>
      </w:pPr>
      <w:r>
        <w:rPr>
          <w:rFonts w:eastAsia="楷体_GB2312"/>
          <w:color w:val="000000"/>
          <w:kern w:val="0"/>
          <w:szCs w:val="32"/>
          <w:shd w:val="clear" w:color="auto" w:fill="FFFFFF"/>
        </w:rPr>
        <w:t>3.</w:t>
      </w:r>
      <w:r>
        <w:rPr>
          <w:rFonts w:eastAsia="楷体_GB2312"/>
          <w:color w:val="000000"/>
          <w:kern w:val="0"/>
          <w:szCs w:val="32"/>
          <w:shd w:val="clear" w:color="auto" w:fill="FFFFFF"/>
          <w:lang w:val="zh-CN"/>
        </w:rPr>
        <w:t>目标实现。</w:t>
      </w:r>
    </w:p>
    <w:p>
      <w:pPr>
        <w:keepNext w:val="0"/>
        <w:keepLines w:val="0"/>
        <w:pageBreakBefore w:val="0"/>
        <w:kinsoku/>
        <w:wordWrap/>
        <w:overflowPunct/>
        <w:topLinePunct w:val="0"/>
        <w:autoSpaceDE/>
        <w:autoSpaceDN/>
        <w:bidi w:val="0"/>
        <w:spacing w:line="360" w:lineRule="auto"/>
        <w:ind w:firstLine="640" w:firstLineChars="200"/>
        <w:textAlignment w:val="auto"/>
        <w:rPr>
          <w:rFonts w:hint="eastAsia"/>
          <w:szCs w:val="32"/>
        </w:rPr>
      </w:pPr>
      <w:r>
        <w:rPr>
          <w:rFonts w:hint="eastAsia"/>
          <w:szCs w:val="32"/>
          <w:lang w:val="en-US" w:eastAsia="zh-CN"/>
        </w:rPr>
        <w:t>2025年西区工商联预算资金84.96万元由区财政局纳入一体化管理平台统一管理，专款专用，资金拨付执行审批程序，使用规范，入账手续齐全</w:t>
      </w:r>
      <w:r>
        <w:rPr>
          <w:rFonts w:hint="eastAsia"/>
          <w:szCs w:val="32"/>
        </w:rPr>
        <w:t>。</w:t>
      </w:r>
    </w:p>
    <w:p>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hint="eastAsia"/>
          <w:szCs w:val="32"/>
        </w:rPr>
      </w:pPr>
      <w:r>
        <w:rPr>
          <w:rFonts w:hint="eastAsia"/>
          <w:szCs w:val="32"/>
          <w:lang w:eastAsia="zh-CN"/>
        </w:rPr>
        <w:t>（</w:t>
      </w:r>
      <w:r>
        <w:rPr>
          <w:rFonts w:hint="eastAsia"/>
          <w:szCs w:val="32"/>
          <w:lang w:val="en-US" w:eastAsia="zh-CN"/>
        </w:rPr>
        <w:t>1）</w:t>
      </w:r>
      <w:r>
        <w:rPr>
          <w:rFonts w:hint="eastAsia"/>
          <w:szCs w:val="32"/>
        </w:rPr>
        <w:t>项目的经济效益分析。</w:t>
      </w:r>
    </w:p>
    <w:p>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hint="eastAsia"/>
          <w:szCs w:val="32"/>
        </w:rPr>
      </w:pPr>
      <w:r>
        <w:rPr>
          <w:rFonts w:hint="eastAsia"/>
          <w:szCs w:val="32"/>
        </w:rPr>
        <w:t>专项工作经费的预算符合国家财经法规和财务管理制度以及有关资金管理办法的规定，资金的拨付报账有完整的审批程序和手续，资金使用符合项目预算批复，项目开展不超预算成本。严格执行项目管理制度，同时财务人员定期或不定期对资金使用、管理情况进行自查和检查，做到财务会计资料信息真实、及时、完整，资金的拨付有完整的审批程序和手续，各项制度执行落实较好，资金使用较为安全规范。项目开展控制在预算范围内。</w:t>
      </w:r>
    </w:p>
    <w:p>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hint="eastAsia"/>
          <w:szCs w:val="32"/>
        </w:rPr>
      </w:pPr>
      <w:r>
        <w:rPr>
          <w:rFonts w:hint="eastAsia"/>
          <w:szCs w:val="32"/>
          <w:lang w:eastAsia="zh-CN"/>
        </w:rPr>
        <w:t>（</w:t>
      </w:r>
      <w:r>
        <w:rPr>
          <w:rFonts w:hint="eastAsia"/>
          <w:szCs w:val="32"/>
          <w:lang w:val="en-US" w:eastAsia="zh-CN"/>
        </w:rPr>
        <w:t>2）</w:t>
      </w:r>
      <w:r>
        <w:rPr>
          <w:rFonts w:hint="eastAsia"/>
          <w:szCs w:val="32"/>
        </w:rPr>
        <w:t>项目的社会效益分析。</w:t>
      </w:r>
    </w:p>
    <w:p>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hint="eastAsia"/>
          <w:szCs w:val="32"/>
        </w:rPr>
      </w:pPr>
      <w:r>
        <w:rPr>
          <w:rFonts w:hint="eastAsia"/>
          <w:szCs w:val="32"/>
        </w:rPr>
        <w:t>通过换届选举及联系协调非公企业经费项目的实施，保障了工商联换届选举工作顺利开展，加强了与非公企业的联系协调，促进了非公有制经济健康发展和非公有制经济人士健康成长。通过购买社会服务费项目的实施，为会员提供了信息、培训、科技、管理、法律、会计、审计、融资、咨询等服务，帮助会员改进经营管理、完善财务制度，顺利完成了各项工作任务，达到了预期社会效益目标。</w:t>
      </w:r>
    </w:p>
    <w:p>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hint="eastAsia"/>
          <w:szCs w:val="32"/>
        </w:rPr>
      </w:pPr>
      <w:r>
        <w:rPr>
          <w:rFonts w:hint="eastAsia"/>
          <w:szCs w:val="32"/>
          <w:lang w:eastAsia="zh-CN"/>
        </w:rPr>
        <w:t>（</w:t>
      </w:r>
      <w:r>
        <w:rPr>
          <w:rFonts w:hint="eastAsia"/>
          <w:szCs w:val="32"/>
          <w:lang w:val="en-US" w:eastAsia="zh-CN"/>
        </w:rPr>
        <w:t>3）</w:t>
      </w:r>
      <w:r>
        <w:rPr>
          <w:rFonts w:hint="eastAsia"/>
          <w:szCs w:val="32"/>
        </w:rPr>
        <w:t>项目的可持续性分析。</w:t>
      </w:r>
    </w:p>
    <w:p>
      <w:pPr>
        <w:keepNext w:val="0"/>
        <w:keepLines w:val="0"/>
        <w:pageBreakBefore w:val="0"/>
        <w:kinsoku/>
        <w:wordWrap/>
        <w:overflowPunct/>
        <w:topLinePunct w:val="0"/>
        <w:autoSpaceDE/>
        <w:autoSpaceDN/>
        <w:bidi w:val="0"/>
        <w:spacing w:line="360" w:lineRule="auto"/>
        <w:ind w:firstLine="640" w:firstLineChars="200"/>
        <w:textAlignment w:val="auto"/>
        <w:rPr>
          <w:szCs w:val="32"/>
        </w:rPr>
      </w:pPr>
      <w:r>
        <w:rPr>
          <w:rFonts w:hint="eastAsia"/>
          <w:szCs w:val="32"/>
        </w:rPr>
        <w:t>2025年度较好地完成了年初制定的工作目标任务，各个项目有序开展，整体支出平稳，财务管理制度健全，资金使用规范，为今后年度项目持续开展奠定了良好基础。通过绩效自评结果的运用，不断优化项目管理流程，提高资金使用效益，确保项目能够长期稳定地发挥作用，较好地实现了可持续效益目标</w:t>
      </w:r>
      <w:r>
        <w:rPr>
          <w:szCs w:val="32"/>
        </w:rPr>
        <w:t>。</w:t>
      </w:r>
    </w:p>
    <w:p>
      <w:pPr>
        <w:keepNext w:val="0"/>
        <w:keepLines w:val="0"/>
        <w:pageBreakBefore w:val="0"/>
        <w:kinsoku/>
        <w:wordWrap/>
        <w:overflowPunct/>
        <w:topLinePunct w:val="0"/>
        <w:autoSpaceDE/>
        <w:autoSpaceDN/>
        <w:bidi w:val="0"/>
        <w:snapToGrid w:val="0"/>
        <w:spacing w:line="360" w:lineRule="auto"/>
        <w:ind w:firstLine="643" w:firstLineChars="200"/>
        <w:textAlignment w:val="auto"/>
        <w:rPr>
          <w:b/>
          <w:szCs w:val="32"/>
        </w:rPr>
      </w:pPr>
      <w:r>
        <w:rPr>
          <w:rFonts w:eastAsia="楷体_GB2312"/>
          <w:b/>
          <w:bCs/>
          <w:color w:val="000000"/>
          <w:kern w:val="0"/>
          <w:szCs w:val="32"/>
          <w:shd w:val="clear" w:color="auto" w:fill="FFFFFF"/>
          <w:lang w:val="zh-CN"/>
        </w:rPr>
        <w:t>（三）</w:t>
      </w:r>
      <w:r>
        <w:rPr>
          <w:rFonts w:eastAsia="楷体_GB2312"/>
          <w:b/>
          <w:bCs/>
          <w:szCs w:val="32"/>
          <w:lang w:val="zh-CN"/>
        </w:rPr>
        <w:t>绩效结果应用情况。</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黑体"/>
          <w:color w:val="000000"/>
          <w:kern w:val="0"/>
          <w:szCs w:val="32"/>
          <w:shd w:val="clear" w:color="auto" w:fill="FFFFFF"/>
        </w:rPr>
      </w:pPr>
      <w:r>
        <w:rPr>
          <w:rFonts w:hint="eastAsia" w:ascii="仿宋" w:hAnsi="仿宋" w:eastAsia="仿宋"/>
          <w:color w:val="000000"/>
          <w:kern w:val="0"/>
          <w:szCs w:val="32"/>
          <w:shd w:val="clear" w:color="auto" w:fill="FFFFFF"/>
          <w:lang w:val="zh-CN"/>
        </w:rPr>
        <w:t>本单位所有开支均按照财务管理制度执行，资金的使用严格把关，机关的日常工作运行基本得到保障。绩效评价对全年工作目标起到积极的促进作用，强调部门目标的层层分解与传递以明确岗位职责提高执行力，为明年的工作开展及实施奠定坚实的基础。我单位将绩效自评结果运用到下一年工作的统筹安排、项目资金划拨及按照工作任务的重要性来明确资金使用上，以提高工作效率保质保量完成区委区政府交办的各项工作任务。在绩效自评工作完成后将结果放在攀枝花市西区人民政府网站政务公开栏目中公开公示。</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黑体"/>
          <w:color w:val="000000"/>
          <w:kern w:val="0"/>
          <w:szCs w:val="32"/>
          <w:shd w:val="clear" w:color="auto" w:fill="FFFFFF"/>
        </w:rPr>
      </w:pPr>
      <w:r>
        <w:rPr>
          <w:rFonts w:eastAsia="黑体"/>
          <w:color w:val="000000"/>
          <w:kern w:val="0"/>
          <w:szCs w:val="32"/>
          <w:shd w:val="clear" w:color="auto" w:fill="FFFFFF"/>
        </w:rPr>
        <w:t>四、评价结论及建议</w:t>
      </w:r>
    </w:p>
    <w:p>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rFonts w:eastAsia="楷体_GB2312"/>
          <w:b/>
          <w:bCs/>
          <w:color w:val="000000"/>
          <w:kern w:val="0"/>
          <w:szCs w:val="32"/>
          <w:shd w:val="clear" w:color="auto" w:fill="FFFFFF"/>
        </w:rPr>
      </w:pPr>
      <w:r>
        <w:rPr>
          <w:rFonts w:eastAsia="楷体_GB2312"/>
          <w:b/>
          <w:bCs/>
          <w:color w:val="000000"/>
          <w:kern w:val="0"/>
          <w:szCs w:val="32"/>
          <w:shd w:val="clear" w:color="auto" w:fill="FFFFFF"/>
          <w:lang w:val="zh-CN"/>
        </w:rPr>
        <w:t>（一）评价结论。</w:t>
      </w:r>
    </w:p>
    <w:p>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hint="default"/>
          <w:szCs w:val="32"/>
          <w:lang w:val="en-US" w:eastAsia="zh-CN"/>
        </w:rPr>
      </w:pPr>
      <w:r>
        <w:rPr>
          <w:rFonts w:hint="eastAsia"/>
          <w:szCs w:val="32"/>
          <w:lang w:val="en-US" w:eastAsia="zh-CN"/>
        </w:rPr>
        <w:t>2025年西区工商联整体支出绩效自评较科学准确，真实地反映了本单位财政收支情况，较好完成年初绩效目标任务，自评优秀。</w:t>
      </w:r>
    </w:p>
    <w:p>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rFonts w:hint="eastAsia" w:eastAsia="楷体_GB2312"/>
          <w:b/>
          <w:bCs/>
          <w:color w:val="000000"/>
          <w:kern w:val="0"/>
          <w:szCs w:val="32"/>
          <w:shd w:val="clear" w:color="auto" w:fill="FFFFFF"/>
          <w:lang w:val="zh-CN" w:eastAsia="zh-CN"/>
        </w:rPr>
      </w:pPr>
      <w:r>
        <w:rPr>
          <w:rFonts w:eastAsia="楷体_GB2312"/>
          <w:b/>
          <w:bCs/>
          <w:color w:val="000000"/>
          <w:kern w:val="0"/>
          <w:szCs w:val="32"/>
          <w:shd w:val="clear" w:color="auto" w:fill="FFFFFF"/>
          <w:lang w:val="zh-CN"/>
        </w:rPr>
        <w:t>（二）存在问题。</w:t>
      </w:r>
    </w:p>
    <w:p>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hint="default"/>
          <w:szCs w:val="32"/>
          <w:lang w:val="en-US" w:eastAsia="zh-CN"/>
        </w:rPr>
      </w:pPr>
      <w:r>
        <w:rPr>
          <w:rFonts w:hint="default"/>
          <w:szCs w:val="32"/>
          <w:lang w:val="en-US" w:eastAsia="zh-CN"/>
        </w:rPr>
        <w:t>一是在资金安排和使用上仍有不可预见性，如在预算执行中，有时会因临时新增重要的工作任务或者人员增加发生新的费用，而年初预算时很难精确测算相关支出，导致预算执行中需要追加经费。二是因为个别专项工作需按照上级部门安排部署开展，本年度无法完成，导致项目资金结转下年</w:t>
      </w:r>
      <w:r>
        <w:rPr>
          <w:rFonts w:hint="eastAsia"/>
          <w:szCs w:val="32"/>
          <w:lang w:val="en-US" w:eastAsia="zh-CN"/>
        </w:rPr>
        <w:t>。</w:t>
      </w:r>
    </w:p>
    <w:p>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rFonts w:hint="eastAsia" w:eastAsia="楷体_GB2312"/>
          <w:kern w:val="0"/>
          <w:szCs w:val="32"/>
          <w:lang w:val="en" w:eastAsia="zh-CN"/>
        </w:rPr>
      </w:pPr>
      <w:r>
        <w:rPr>
          <w:rFonts w:eastAsia="楷体_GB2312"/>
          <w:b/>
          <w:bCs/>
          <w:color w:val="000000"/>
          <w:kern w:val="0"/>
          <w:szCs w:val="32"/>
          <w:shd w:val="clear" w:color="auto" w:fill="FFFFFF"/>
          <w:lang w:val="zh-CN"/>
        </w:rPr>
        <w:t>（三）改进建议。</w:t>
      </w:r>
      <w:bookmarkStart w:id="1" w:name="_Hlk110546638"/>
    </w:p>
    <w:bookmarkEnd w:id="1"/>
    <w:p>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hint="eastAsia"/>
          <w:szCs w:val="32"/>
          <w:lang w:val="en-US" w:eastAsia="zh-CN"/>
        </w:rPr>
      </w:pPr>
      <w:r>
        <w:rPr>
          <w:rFonts w:hint="eastAsia"/>
          <w:szCs w:val="32"/>
          <w:lang w:val="en-US" w:eastAsia="zh-CN"/>
        </w:rPr>
        <w:t>进一步完善和加强单位内部财务管理制度，加强预算编制的精准性及预算项目的可实施性，加强资金使用动态管理，确保资金使用效益最大化。</w:t>
      </w:r>
    </w:p>
    <w:p>
      <w:pPr>
        <w:keepNext w:val="0"/>
        <w:keepLines w:val="0"/>
        <w:pageBreakBefore w:val="0"/>
        <w:kinsoku/>
        <w:wordWrap/>
        <w:overflowPunct/>
        <w:topLinePunct w:val="0"/>
        <w:autoSpaceDE/>
        <w:autoSpaceDN/>
        <w:bidi w:val="0"/>
        <w:spacing w:line="360" w:lineRule="auto"/>
        <w:ind w:firstLine="640" w:firstLineChars="200"/>
        <w:textAlignment w:val="auto"/>
        <w:rPr>
          <w:color w:val="000000"/>
          <w:kern w:val="0"/>
          <w:szCs w:val="32"/>
          <w:shd w:val="clear" w:color="auto" w:fill="FFFFFF"/>
        </w:rPr>
      </w:pPr>
    </w:p>
    <w:p>
      <w:pPr>
        <w:keepNext w:val="0"/>
        <w:keepLines w:val="0"/>
        <w:pageBreakBefore w:val="0"/>
        <w:kinsoku/>
        <w:wordWrap/>
        <w:overflowPunct/>
        <w:topLinePunct w:val="0"/>
        <w:autoSpaceDE/>
        <w:autoSpaceDN/>
        <w:bidi w:val="0"/>
        <w:spacing w:line="360" w:lineRule="auto"/>
        <w:ind w:firstLine="640" w:firstLineChars="200"/>
        <w:textAlignment w:val="auto"/>
        <w:rPr>
          <w:szCs w:val="32"/>
          <w:lang w:bidi="ar"/>
        </w:rPr>
      </w:pPr>
      <w:r>
        <w:rPr>
          <w:color w:val="000000"/>
          <w:kern w:val="0"/>
          <w:szCs w:val="32"/>
          <w:shd w:val="clear" w:color="auto" w:fill="FFFFFF"/>
        </w:rPr>
        <w:t>附表：</w:t>
      </w:r>
      <w:r>
        <w:rPr>
          <w:rFonts w:hint="eastAsia"/>
          <w:color w:val="000000"/>
          <w:kern w:val="0"/>
          <w:szCs w:val="32"/>
          <w:shd w:val="clear" w:color="auto" w:fill="FFFFFF"/>
        </w:rPr>
        <w:t>1.</w:t>
      </w:r>
      <w:r>
        <w:rPr>
          <w:rFonts w:hint="eastAsia"/>
          <w:szCs w:val="32"/>
          <w:lang w:bidi="ar"/>
        </w:rPr>
        <w:t>部门预算绩效自评打分表</w:t>
      </w:r>
    </w:p>
    <w:p>
      <w:pPr>
        <w:keepNext w:val="0"/>
        <w:keepLines w:val="0"/>
        <w:pageBreakBefore w:val="0"/>
        <w:kinsoku/>
        <w:wordWrap/>
        <w:overflowPunct/>
        <w:topLinePunct w:val="0"/>
        <w:autoSpaceDE/>
        <w:autoSpaceDN/>
        <w:bidi w:val="0"/>
        <w:spacing w:line="360" w:lineRule="auto"/>
        <w:ind w:firstLine="640" w:firstLineChars="200"/>
        <w:textAlignment w:val="auto"/>
        <w:rPr>
          <w:color w:val="000000"/>
          <w:kern w:val="0"/>
          <w:szCs w:val="32"/>
          <w:shd w:val="clear" w:color="auto" w:fill="FFFFFF"/>
        </w:rPr>
      </w:pPr>
      <w:r>
        <w:rPr>
          <w:rFonts w:hint="eastAsia"/>
          <w:szCs w:val="32"/>
          <w:lang w:bidi="ar"/>
        </w:rPr>
        <w:t>2.</w:t>
      </w:r>
      <w:r>
        <w:rPr>
          <w:color w:val="000000"/>
          <w:kern w:val="0"/>
          <w:szCs w:val="32"/>
          <w:shd w:val="clear" w:color="auto" w:fill="FFFFFF"/>
        </w:rPr>
        <w:t>部门整体绩效目标完成情况自评表</w:t>
      </w:r>
    </w:p>
    <w:p>
      <w:pPr>
        <w:spacing w:line="578" w:lineRule="exact"/>
        <w:ind w:firstLine="1600" w:firstLineChars="500"/>
        <w:rPr>
          <w:szCs w:val="32"/>
          <w:lang w:bidi="ar"/>
        </w:rPr>
      </w:pPr>
    </w:p>
    <w:p>
      <w:pPr>
        <w:spacing w:line="578" w:lineRule="exact"/>
        <w:jc w:val="left"/>
        <w:rPr>
          <w:rFonts w:eastAsia="黑体"/>
        </w:rPr>
      </w:pPr>
      <w:r>
        <w:rPr>
          <w:color w:val="000000"/>
          <w:kern w:val="0"/>
          <w:szCs w:val="32"/>
          <w:shd w:val="clear" w:color="auto" w:fill="FFFFFF"/>
        </w:rPr>
        <w:br w:type="page"/>
      </w:r>
      <w:r>
        <w:rPr>
          <w:rFonts w:eastAsia="黑体"/>
        </w:rPr>
        <w:t>附表</w:t>
      </w:r>
      <w:r>
        <w:rPr>
          <w:rFonts w:hint="eastAsia" w:eastAsia="黑体"/>
        </w:rPr>
        <w:t>1</w:t>
      </w:r>
    </w:p>
    <w:p>
      <w:pPr>
        <w:widowControl/>
        <w:spacing w:line="600" w:lineRule="exact"/>
        <w:jc w:val="center"/>
        <w:textAlignment w:val="center"/>
        <w:rPr>
          <w:rFonts w:eastAsia="方正小标宋简体"/>
          <w:color w:val="000000"/>
          <w:kern w:val="0"/>
          <w:sz w:val="44"/>
          <w:szCs w:val="44"/>
          <w:lang w:bidi="ar"/>
        </w:rPr>
      </w:pPr>
      <w:r>
        <w:rPr>
          <w:rFonts w:hint="eastAsia" w:eastAsia="方正小标宋简体"/>
          <w:color w:val="000000"/>
          <w:kern w:val="0"/>
          <w:sz w:val="44"/>
          <w:szCs w:val="44"/>
          <w:lang w:bidi="ar"/>
        </w:rPr>
        <w:t>部门预算绩效自评打分表</w:t>
      </w:r>
    </w:p>
    <w:tbl>
      <w:tblPr>
        <w:tblStyle w:val="17"/>
        <w:tblW w:w="10819" w:type="dxa"/>
        <w:jc w:val="center"/>
        <w:tblInd w:w="0" w:type="dxa"/>
        <w:tblLayout w:type="fixed"/>
        <w:tblCellMar>
          <w:top w:w="0" w:type="dxa"/>
          <w:left w:w="108" w:type="dxa"/>
          <w:bottom w:w="0" w:type="dxa"/>
          <w:right w:w="108" w:type="dxa"/>
        </w:tblCellMar>
      </w:tblPr>
      <w:tblGrid>
        <w:gridCol w:w="1004"/>
        <w:gridCol w:w="1462"/>
        <w:gridCol w:w="1665"/>
        <w:gridCol w:w="720"/>
        <w:gridCol w:w="4734"/>
        <w:gridCol w:w="756"/>
        <w:gridCol w:w="478"/>
      </w:tblGrid>
      <w:tr>
        <w:tblPrEx>
          <w:tblLayout w:type="fixed"/>
          <w:tblCellMar>
            <w:top w:w="0" w:type="dxa"/>
            <w:left w:w="108" w:type="dxa"/>
            <w:bottom w:w="0" w:type="dxa"/>
            <w:right w:w="108" w:type="dxa"/>
          </w:tblCellMar>
        </w:tblPrEx>
        <w:trPr>
          <w:trHeight w:val="23" w:hRule="atLeast"/>
          <w:jc w:val="center"/>
        </w:trPr>
        <w:tc>
          <w:tcPr>
            <w:tcW w:w="48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绩效评价指标指标分值</w:t>
            </w:r>
          </w:p>
        </w:tc>
        <w:tc>
          <w:tcPr>
            <w:tcW w:w="4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指标解释</w:t>
            </w:r>
          </w:p>
        </w:tc>
        <w:tc>
          <w:tcPr>
            <w:tcW w:w="756"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kern w:val="0"/>
                <w:sz w:val="24"/>
                <w:lang w:bidi="ar"/>
              </w:rPr>
            </w:pPr>
            <w:r>
              <w:rPr>
                <w:rFonts w:hint="eastAsia" w:ascii="黑体" w:hAnsi="宋体" w:eastAsia="黑体" w:cs="黑体"/>
                <w:color w:val="000000"/>
                <w:kern w:val="0"/>
                <w:sz w:val="24"/>
                <w:lang w:bidi="ar"/>
              </w:rPr>
              <w:t>自评得分</w:t>
            </w:r>
          </w:p>
        </w:tc>
        <w:tc>
          <w:tcPr>
            <w:tcW w:w="478"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kern w:val="0"/>
                <w:sz w:val="24"/>
                <w:lang w:bidi="ar"/>
              </w:rPr>
            </w:pPr>
            <w:r>
              <w:rPr>
                <w:rFonts w:hint="eastAsia" w:ascii="黑体" w:hAnsi="宋体" w:eastAsia="黑体" w:cs="黑体"/>
                <w:color w:val="000000"/>
                <w:kern w:val="0"/>
                <w:sz w:val="24"/>
                <w:lang w:bidi="ar"/>
              </w:rPr>
              <w:t>备注</w:t>
            </w:r>
          </w:p>
        </w:tc>
      </w:tr>
      <w:tr>
        <w:tblPrEx>
          <w:tblLayout w:type="fixed"/>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nil"/>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一级指标</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二级指标</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三级指标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指标</w:t>
            </w:r>
            <w:r>
              <w:rPr>
                <w:rFonts w:hint="eastAsia" w:ascii="黑体" w:hAnsi="宋体" w:eastAsia="黑体" w:cs="黑体"/>
                <w:color w:val="000000"/>
                <w:kern w:val="0"/>
                <w:sz w:val="24"/>
                <w:lang w:bidi="ar"/>
              </w:rPr>
              <w:br w:type="textWrapping"/>
            </w:r>
            <w:r>
              <w:rPr>
                <w:rFonts w:hint="eastAsia" w:ascii="黑体" w:hAnsi="宋体" w:eastAsia="黑体" w:cs="黑体"/>
                <w:color w:val="000000"/>
                <w:kern w:val="0"/>
                <w:sz w:val="24"/>
                <w:lang w:bidi="ar"/>
              </w:rPr>
              <w:t>分值</w:t>
            </w:r>
          </w:p>
        </w:tc>
        <w:tc>
          <w:tcPr>
            <w:tcW w:w="4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黑体" w:hAnsi="宋体" w:eastAsia="黑体" w:cs="黑体"/>
                <w:color w:val="000000"/>
                <w:sz w:val="24"/>
              </w:rPr>
            </w:pPr>
          </w:p>
        </w:tc>
        <w:tc>
          <w:tcPr>
            <w:tcW w:w="756"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黑体" w:hAnsi="宋体" w:eastAsia="黑体" w:cs="黑体"/>
                <w:color w:val="000000"/>
                <w:sz w:val="24"/>
              </w:rPr>
            </w:pPr>
          </w:p>
        </w:tc>
        <w:tc>
          <w:tcPr>
            <w:tcW w:w="478"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黑体" w:hAnsi="宋体" w:eastAsia="黑体" w:cs="黑体"/>
                <w:color w:val="00000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宋体" w:hAnsi="宋体" w:eastAsia="宋体" w:cs="宋体"/>
                <w:b/>
                <w:color w:val="000000"/>
                <w:kern w:val="0"/>
                <w:sz w:val="24"/>
                <w:lang w:bidi="ar"/>
              </w:rPr>
            </w:pPr>
            <w:r>
              <w:rPr>
                <w:rFonts w:hint="eastAsia" w:ascii="宋体" w:hAnsi="宋体" w:eastAsia="宋体" w:cs="宋体"/>
                <w:b/>
                <w:color w:val="000000"/>
                <w:kern w:val="0"/>
                <w:sz w:val="24"/>
                <w:lang w:bidi="ar"/>
              </w:rPr>
              <w:t>总体绩效</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（65分）</w:t>
            </w:r>
          </w:p>
          <w:p>
            <w:pPr>
              <w:widowControl/>
              <w:spacing w:line="240" w:lineRule="exact"/>
              <w:jc w:val="center"/>
              <w:textAlignment w:val="center"/>
              <w:rPr>
                <w:rFonts w:ascii="宋体" w:hAnsi="宋体" w:eastAsia="宋体" w:cs="宋体"/>
                <w:b/>
                <w:color w:val="000000"/>
                <w:sz w:val="24"/>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履职效能</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eastAsia="zh-CN" w:bidi="ar"/>
              </w:rPr>
              <w:t>单位职责</w:t>
            </w:r>
          </w:p>
        </w:tc>
        <w:tc>
          <w:tcPr>
            <w:tcW w:w="720" w:type="dxa"/>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15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部门整体绩效目标中选定3-5个核心职能目标，反映该项职能目标完成效果情况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15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预算管理</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（25分）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预算编制质量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8</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部门是否严格按要求编制年初部门预算，年初预算编制的科学性和准确性</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8</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单位收入统筹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部门统筹自有收入程度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支出执行进度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6</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部门1至6月、1至10月预算执行情况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预算年终结余</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部门整体年终预算结余情况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1.5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严控一般性支出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部门严控“三公”经费、会议、培训、差旅、办节办展、办公设备购置、信息网络及软件购置更新、课题经费等8项一般性支出情况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财务管理</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（10分）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财务管理制度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部门财务管理制度建立情况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财务岗位设置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部门财务岗位设置是否符合相关财务管理制度要求</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资金使用规范</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部门资金使用是否符合相关财务管理制度规定</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资产管理</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人均资产变化率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部门人均资产变化情况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2.5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资产利用率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部门资产超最低使用年限情况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p>
        </w:tc>
        <w:tc>
          <w:tcPr>
            <w:tcW w:w="1462"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资产盘活率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部门闲置一年以上的资产盘活情况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采购管理</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（6分）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支持中小企业发展</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部门是否严格执行政府采购促进中小企业发展相关管理办法</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Layout w:type="fixed"/>
          <w:tblCellMar>
            <w:top w:w="0" w:type="dxa"/>
            <w:left w:w="108" w:type="dxa"/>
            <w:bottom w:w="0" w:type="dxa"/>
            <w:right w:w="108" w:type="dxa"/>
          </w:tblCellMar>
        </w:tblPrEx>
        <w:trPr>
          <w:trHeight w:val="225" w:hRule="atLeast"/>
          <w:jc w:val="center"/>
        </w:trPr>
        <w:tc>
          <w:tcPr>
            <w:tcW w:w="1004"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采购执行率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部门政府采购项目资金支付比例情况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Layout w:type="fixed"/>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项目绩效</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（35分）</w:t>
            </w: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项目决策</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决策程序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部门预算项目设立是否按规定履行评估论证、申报程序</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目标设置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部门预算项目绩效目标与计划期内的任务量、预算安排的资金量匹配情况，绩效目标设置是否科学合理、规范完整、量化细化、预算匹配</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项目入库</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部门预算项目是否在规定时间完成项目入库</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项目执行</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执行同向</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部门预算项目实际列支内容是否与绩效目标设置方向相符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项目调整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部门预算项目是否采取对应调整措施</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执行结果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目标实现</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（11分）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目标完成</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部门预算项目绩效目标数量指标完成情况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目标偏离</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部门预算项目绩效目标数量指标实现程度与预期目标的偏离情况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实现效果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部门预算项目绩效目标效益指标实施效果</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Layout w:type="fixed"/>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扣分项</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（10分）</w:t>
            </w:r>
          </w:p>
        </w:tc>
        <w:tc>
          <w:tcPr>
            <w:tcW w:w="3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被评价部门配合度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被评价对象工作配合情况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bl>
    <w:p>
      <w:pPr>
        <w:pStyle w:val="19"/>
        <w:spacing w:line="20" w:lineRule="exact"/>
      </w:pPr>
    </w:p>
    <w:p>
      <w:pPr>
        <w:spacing w:line="578" w:lineRule="exact"/>
        <w:jc w:val="left"/>
        <w:rPr>
          <w:rFonts w:eastAsia="黑体"/>
        </w:rPr>
      </w:pPr>
      <w:r>
        <w:rPr>
          <w:rFonts w:eastAsia="黑体"/>
        </w:rPr>
        <w:t>附表</w:t>
      </w:r>
      <w:r>
        <w:rPr>
          <w:rFonts w:hint="eastAsia" w:eastAsia="黑体"/>
        </w:rPr>
        <w:t>2</w:t>
      </w:r>
    </w:p>
    <w:tbl>
      <w:tblPr>
        <w:tblStyle w:val="17"/>
        <w:tblW w:w="10893" w:type="dxa"/>
        <w:jc w:val="center"/>
        <w:tblInd w:w="0" w:type="dxa"/>
        <w:tblLayout w:type="fixed"/>
        <w:tblCellMar>
          <w:top w:w="15" w:type="dxa"/>
          <w:left w:w="15" w:type="dxa"/>
          <w:bottom w:w="15" w:type="dxa"/>
          <w:right w:w="15" w:type="dxa"/>
        </w:tblCellMar>
      </w:tblPr>
      <w:tblGrid>
        <w:gridCol w:w="1485"/>
        <w:gridCol w:w="1503"/>
        <w:gridCol w:w="1030"/>
        <w:gridCol w:w="1343"/>
        <w:gridCol w:w="1145"/>
        <w:gridCol w:w="947"/>
        <w:gridCol w:w="1080"/>
        <w:gridCol w:w="2360"/>
      </w:tblGrid>
      <w:tr>
        <w:tblPrEx>
          <w:tblLayout w:type="fixed"/>
          <w:tblCellMar>
            <w:top w:w="15" w:type="dxa"/>
            <w:left w:w="15" w:type="dxa"/>
            <w:bottom w:w="15" w:type="dxa"/>
            <w:right w:w="15" w:type="dxa"/>
          </w:tblCellMar>
        </w:tblPrEx>
        <w:trPr>
          <w:trHeight w:val="762" w:hRule="exact"/>
          <w:jc w:val="center"/>
        </w:trPr>
        <w:tc>
          <w:tcPr>
            <w:tcW w:w="10893" w:type="dxa"/>
            <w:gridSpan w:val="8"/>
            <w:shd w:val="clear" w:color="auto" w:fill="auto"/>
            <w:vAlign w:val="center"/>
          </w:tcPr>
          <w:p>
            <w:pPr>
              <w:widowControl/>
              <w:spacing w:line="600" w:lineRule="exact"/>
              <w:jc w:val="center"/>
              <w:textAlignment w:val="center"/>
              <w:rPr>
                <w:rFonts w:eastAsia="黑体"/>
                <w:color w:val="000000"/>
                <w:sz w:val="28"/>
                <w:szCs w:val="28"/>
              </w:rPr>
            </w:pPr>
            <w:bookmarkStart w:id="2" w:name="OLE_LINK3"/>
            <w:r>
              <w:rPr>
                <w:rFonts w:eastAsia="方正小标宋简体"/>
                <w:color w:val="000000"/>
                <w:kern w:val="0"/>
                <w:sz w:val="44"/>
                <w:szCs w:val="44"/>
                <w:lang w:bidi="ar"/>
              </w:rPr>
              <w:t>部门整体绩效目标完成情况自评表</w:t>
            </w:r>
            <w:bookmarkEnd w:id="2"/>
          </w:p>
        </w:tc>
      </w:tr>
      <w:tr>
        <w:tblPrEx>
          <w:tblLayout w:type="fixed"/>
          <w:tblCellMar>
            <w:top w:w="15" w:type="dxa"/>
            <w:left w:w="15" w:type="dxa"/>
            <w:bottom w:w="15" w:type="dxa"/>
            <w:right w:w="15" w:type="dxa"/>
          </w:tblCellMar>
        </w:tblPrEx>
        <w:trPr>
          <w:trHeight w:val="23" w:hRule="atLeast"/>
          <w:jc w:val="center"/>
        </w:trPr>
        <w:tc>
          <w:tcPr>
            <w:tcW w:w="10893" w:type="dxa"/>
            <w:gridSpan w:val="8"/>
            <w:shd w:val="clear" w:color="auto" w:fill="auto"/>
            <w:vAlign w:val="center"/>
          </w:tcPr>
          <w:p>
            <w:pPr>
              <w:widowControl/>
              <w:spacing w:line="300" w:lineRule="exact"/>
              <w:jc w:val="center"/>
              <w:textAlignment w:val="center"/>
              <w:rPr>
                <w:rFonts w:eastAsia="宋体"/>
                <w:color w:val="000000"/>
                <w:sz w:val="28"/>
                <w:szCs w:val="28"/>
              </w:rPr>
            </w:pPr>
            <w:r>
              <w:rPr>
                <w:rFonts w:eastAsia="宋体"/>
                <w:color w:val="000000"/>
                <w:kern w:val="0"/>
                <w:sz w:val="28"/>
                <w:szCs w:val="28"/>
                <w:lang w:bidi="ar"/>
              </w:rPr>
              <w:t>（202</w:t>
            </w:r>
            <w:r>
              <w:rPr>
                <w:rFonts w:hint="eastAsia" w:eastAsia="宋体"/>
                <w:color w:val="000000"/>
                <w:kern w:val="0"/>
                <w:sz w:val="28"/>
                <w:szCs w:val="28"/>
                <w:lang w:val="en-US" w:eastAsia="zh-CN" w:bidi="ar"/>
              </w:rPr>
              <w:t>5</w:t>
            </w:r>
            <w:r>
              <w:rPr>
                <w:rFonts w:eastAsia="宋体"/>
                <w:color w:val="000000"/>
                <w:kern w:val="0"/>
                <w:sz w:val="28"/>
                <w:szCs w:val="28"/>
                <w:lang w:bidi="ar"/>
              </w:rPr>
              <w:t>年度）</w:t>
            </w:r>
          </w:p>
        </w:tc>
      </w:tr>
      <w:tr>
        <w:tblPrEx>
          <w:tblLayout w:type="fixed"/>
          <w:tblCellMar>
            <w:top w:w="15" w:type="dxa"/>
            <w:left w:w="15" w:type="dxa"/>
            <w:bottom w:w="15" w:type="dxa"/>
            <w:right w:w="15" w:type="dxa"/>
          </w:tblCellMar>
        </w:tblPrEx>
        <w:trPr>
          <w:trHeight w:val="23" w:hRule="atLeast"/>
          <w:jc w:val="center"/>
        </w:trPr>
        <w:tc>
          <w:tcPr>
            <w:tcW w:w="10893" w:type="dxa"/>
            <w:gridSpan w:val="8"/>
            <w:tcBorders>
              <w:bottom w:val="single" w:color="000000" w:sz="4" w:space="0"/>
            </w:tcBorders>
            <w:shd w:val="clear" w:color="auto" w:fill="auto"/>
            <w:vAlign w:val="center"/>
          </w:tcPr>
          <w:p>
            <w:pPr>
              <w:widowControl/>
              <w:spacing w:line="300" w:lineRule="exact"/>
              <w:jc w:val="right"/>
              <w:textAlignment w:val="center"/>
              <w:rPr>
                <w:rFonts w:eastAsia="宋体"/>
                <w:color w:val="000000"/>
                <w:sz w:val="21"/>
                <w:szCs w:val="21"/>
              </w:rPr>
            </w:pPr>
            <w:r>
              <w:rPr>
                <w:rFonts w:eastAsia="宋体"/>
                <w:color w:val="000000"/>
                <w:kern w:val="0"/>
                <w:sz w:val="21"/>
                <w:szCs w:val="21"/>
                <w:lang w:bidi="ar"/>
              </w:rPr>
              <w:t>单位：万元</w:t>
            </w:r>
          </w:p>
        </w:tc>
      </w:tr>
      <w:tr>
        <w:tblPrEx>
          <w:tblLayout w:type="fixed"/>
          <w:tblCellMar>
            <w:top w:w="15" w:type="dxa"/>
            <w:left w:w="15" w:type="dxa"/>
            <w:bottom w:w="15" w:type="dxa"/>
            <w:right w:w="15" w:type="dxa"/>
          </w:tblCellMar>
        </w:tblPrEx>
        <w:trPr>
          <w:trHeight w:val="23" w:hRule="atLeast"/>
          <w:jc w:val="center"/>
        </w:trPr>
        <w:tc>
          <w:tcPr>
            <w:tcW w:w="40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部门名称</w:t>
            </w:r>
          </w:p>
        </w:tc>
        <w:tc>
          <w:tcPr>
            <w:tcW w:w="687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eastAsia="宋体"/>
                <w:color w:val="000000"/>
                <w:sz w:val="24"/>
                <w:lang w:eastAsia="zh-CN"/>
              </w:rPr>
            </w:pPr>
            <w:r>
              <w:rPr>
                <w:rFonts w:hint="eastAsia" w:eastAsia="宋体"/>
                <w:color w:val="000000"/>
                <w:kern w:val="0"/>
                <w:sz w:val="24"/>
                <w:lang w:eastAsia="zh-CN" w:bidi="ar"/>
              </w:rPr>
              <w:t>西区工商联</w:t>
            </w:r>
          </w:p>
        </w:tc>
      </w:tr>
      <w:tr>
        <w:tblPrEx>
          <w:tblLayout w:type="fixed"/>
          <w:tblCellMar>
            <w:top w:w="15" w:type="dxa"/>
            <w:left w:w="15" w:type="dxa"/>
            <w:bottom w:w="15" w:type="dxa"/>
            <w:right w:w="15" w:type="dxa"/>
          </w:tblCellMar>
        </w:tblPrEx>
        <w:trPr>
          <w:trHeight w:val="23" w:hRule="atLeast"/>
          <w:jc w:val="center"/>
        </w:trPr>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年度部门整体支出预算</w:t>
            </w:r>
          </w:p>
        </w:tc>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资金总额</w:t>
            </w:r>
          </w:p>
        </w:tc>
        <w:tc>
          <w:tcPr>
            <w:tcW w:w="24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财政拨款</w:t>
            </w:r>
          </w:p>
        </w:tc>
        <w:tc>
          <w:tcPr>
            <w:tcW w:w="43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其他资金</w:t>
            </w:r>
          </w:p>
        </w:tc>
      </w:tr>
      <w:tr>
        <w:tblPrEx>
          <w:tblLayout w:type="fixed"/>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default" w:eastAsia="宋体"/>
                <w:color w:val="000000"/>
                <w:sz w:val="24"/>
                <w:lang w:val="en-US" w:eastAsia="zh-CN"/>
              </w:rPr>
            </w:pPr>
            <w:r>
              <w:rPr>
                <w:rFonts w:hint="eastAsia" w:eastAsia="宋体"/>
                <w:color w:val="000000"/>
                <w:kern w:val="0"/>
                <w:sz w:val="24"/>
                <w:lang w:val="en-US" w:eastAsia="zh-CN" w:bidi="ar"/>
              </w:rPr>
              <w:t>84.96</w:t>
            </w:r>
          </w:p>
        </w:tc>
        <w:tc>
          <w:tcPr>
            <w:tcW w:w="24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default" w:eastAsia="宋体"/>
                <w:color w:val="000000"/>
                <w:sz w:val="24"/>
                <w:lang w:val="en-US" w:eastAsia="zh-CN"/>
              </w:rPr>
            </w:pPr>
            <w:r>
              <w:rPr>
                <w:rFonts w:hint="eastAsia" w:eastAsia="宋体"/>
                <w:color w:val="000000"/>
                <w:kern w:val="0"/>
                <w:sz w:val="24"/>
                <w:lang w:val="en-US" w:eastAsia="zh-CN" w:bidi="ar"/>
              </w:rPr>
              <w:t>84.96</w:t>
            </w:r>
          </w:p>
        </w:tc>
        <w:tc>
          <w:tcPr>
            <w:tcW w:w="43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eastAsia="宋体"/>
                <w:color w:val="000000"/>
                <w:sz w:val="24"/>
                <w:lang w:eastAsia="zh-CN"/>
              </w:rPr>
            </w:pPr>
            <w:r>
              <w:rPr>
                <w:rFonts w:hint="eastAsia" w:eastAsia="宋体"/>
                <w:color w:val="000000"/>
                <w:kern w:val="0"/>
                <w:sz w:val="24"/>
                <w:lang w:val="en-US" w:eastAsia="zh-CN" w:bidi="ar"/>
              </w:rPr>
              <w:t>0</w:t>
            </w:r>
          </w:p>
        </w:tc>
      </w:tr>
      <w:tr>
        <w:tblPrEx>
          <w:tblLayout w:type="fixed"/>
          <w:tblCellMar>
            <w:top w:w="15" w:type="dxa"/>
            <w:left w:w="15" w:type="dxa"/>
            <w:bottom w:w="15" w:type="dxa"/>
            <w:right w:w="15" w:type="dxa"/>
          </w:tblCellMar>
        </w:tblPrEx>
        <w:trPr>
          <w:trHeight w:val="23" w:hRule="atLeast"/>
          <w:jc w:val="center"/>
        </w:trPr>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年度总体</w:t>
            </w:r>
          </w:p>
          <w:p>
            <w:pPr>
              <w:widowControl/>
              <w:spacing w:line="300" w:lineRule="exact"/>
              <w:jc w:val="center"/>
              <w:textAlignment w:val="center"/>
              <w:rPr>
                <w:rFonts w:eastAsia="宋体"/>
                <w:color w:val="000000"/>
                <w:sz w:val="24"/>
              </w:rPr>
            </w:pPr>
            <w:r>
              <w:rPr>
                <w:rFonts w:eastAsia="宋体"/>
                <w:color w:val="000000"/>
                <w:kern w:val="0"/>
                <w:sz w:val="24"/>
                <w:lang w:bidi="ar"/>
              </w:rPr>
              <w:t>目标</w:t>
            </w:r>
          </w:p>
        </w:tc>
        <w:tc>
          <w:tcPr>
            <w:tcW w:w="940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sz w:val="24"/>
              </w:rPr>
            </w:pPr>
            <w:r>
              <w:rPr>
                <w:rFonts w:hint="eastAsia" w:eastAsia="宋体"/>
                <w:color w:val="000000"/>
                <w:kern w:val="0"/>
                <w:sz w:val="24"/>
                <w:lang w:bidi="ar"/>
              </w:rPr>
              <w:t>发挥区工商联作为政府与企业的桥梁纽带作用，勇于担当、围绕中心、服务大局，当好民营企业“娘家人”，充分激发民营企业干事创业活力，有力地促进非公有制经济健康发展和非公有制经济人士健康成长，奋力推动西区民营经济高质量发展</w:t>
            </w:r>
          </w:p>
        </w:tc>
      </w:tr>
      <w:tr>
        <w:tblPrEx>
          <w:tblLayout w:type="fixed"/>
          <w:tblCellMar>
            <w:top w:w="15" w:type="dxa"/>
            <w:left w:w="15" w:type="dxa"/>
            <w:bottom w:w="15" w:type="dxa"/>
            <w:right w:w="15" w:type="dxa"/>
          </w:tblCellMar>
        </w:tblPrEx>
        <w:trPr>
          <w:trHeight w:val="23" w:hRule="atLeast"/>
          <w:jc w:val="center"/>
        </w:trPr>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年度主要</w:t>
            </w:r>
          </w:p>
          <w:p>
            <w:pPr>
              <w:widowControl/>
              <w:spacing w:line="300" w:lineRule="exact"/>
              <w:jc w:val="center"/>
              <w:textAlignment w:val="center"/>
              <w:rPr>
                <w:rFonts w:eastAsia="宋体"/>
                <w:color w:val="000000"/>
                <w:sz w:val="24"/>
              </w:rPr>
            </w:pPr>
            <w:r>
              <w:rPr>
                <w:rFonts w:eastAsia="宋体"/>
                <w:color w:val="000000"/>
                <w:kern w:val="0"/>
                <w:sz w:val="24"/>
                <w:lang w:bidi="ar"/>
              </w:rPr>
              <w:t>任务</w:t>
            </w:r>
          </w:p>
        </w:tc>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任务名称</w:t>
            </w:r>
          </w:p>
        </w:tc>
        <w:tc>
          <w:tcPr>
            <w:tcW w:w="687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主要内容</w:t>
            </w:r>
          </w:p>
        </w:tc>
      </w:tr>
      <w:tr>
        <w:tblPrEx>
          <w:tblLayout w:type="fixed"/>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sz w:val="24"/>
                <w:lang w:eastAsia="zh-CN"/>
              </w:rPr>
            </w:pPr>
            <w:r>
              <w:rPr>
                <w:rFonts w:hint="eastAsia" w:eastAsia="宋体"/>
                <w:color w:val="000000"/>
                <w:sz w:val="24"/>
                <w:lang w:eastAsia="zh-CN"/>
              </w:rPr>
              <w:t>整体目标</w:t>
            </w:r>
          </w:p>
        </w:tc>
        <w:tc>
          <w:tcPr>
            <w:tcW w:w="687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sz w:val="24"/>
              </w:rPr>
            </w:pPr>
            <w:r>
              <w:rPr>
                <w:rFonts w:hint="eastAsia" w:eastAsia="宋体"/>
                <w:color w:val="000000"/>
                <w:kern w:val="0"/>
                <w:sz w:val="24"/>
                <w:lang w:bidi="ar"/>
              </w:rPr>
              <w:t>全面保障职工人员经费，保障单位日常运行，认真履行单位职能职责，全力以赴完成各项工作任务，为西区经济社会发展做出积极贡献</w:t>
            </w:r>
          </w:p>
        </w:tc>
      </w:tr>
      <w:tr>
        <w:tblPrEx>
          <w:tblLayout w:type="fixed"/>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p>
        </w:tc>
        <w:tc>
          <w:tcPr>
            <w:tcW w:w="687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p>
        </w:tc>
      </w:tr>
      <w:tr>
        <w:tblPrEx>
          <w:tblLayout w:type="fixed"/>
          <w:tblCellMar>
            <w:top w:w="15" w:type="dxa"/>
            <w:left w:w="15" w:type="dxa"/>
            <w:bottom w:w="15" w:type="dxa"/>
            <w:right w:w="15" w:type="dxa"/>
          </w:tblCellMar>
        </w:tblPrEx>
        <w:trPr>
          <w:trHeight w:val="23" w:hRule="atLeast"/>
          <w:jc w:val="center"/>
        </w:trPr>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年度绩效</w:t>
            </w:r>
          </w:p>
          <w:p>
            <w:pPr>
              <w:widowControl/>
              <w:spacing w:line="300" w:lineRule="exact"/>
              <w:jc w:val="center"/>
              <w:textAlignment w:val="center"/>
              <w:rPr>
                <w:rFonts w:eastAsia="宋体"/>
                <w:color w:val="000000"/>
                <w:sz w:val="24"/>
              </w:rPr>
            </w:pPr>
            <w:r>
              <w:rPr>
                <w:rFonts w:eastAsia="宋体"/>
                <w:color w:val="000000"/>
                <w:kern w:val="0"/>
                <w:sz w:val="24"/>
                <w:lang w:bidi="ar"/>
              </w:rPr>
              <w:t>指标</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一级指标</w:t>
            </w: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二级指标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三级指标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绩效指标</w:t>
            </w:r>
          </w:p>
          <w:p>
            <w:pPr>
              <w:widowControl/>
              <w:spacing w:line="300" w:lineRule="exact"/>
              <w:jc w:val="center"/>
              <w:textAlignment w:val="center"/>
              <w:rPr>
                <w:rFonts w:eastAsia="宋体"/>
                <w:color w:val="000000"/>
                <w:sz w:val="24"/>
              </w:rPr>
            </w:pPr>
            <w:r>
              <w:rPr>
                <w:rFonts w:eastAsia="宋体"/>
                <w:color w:val="000000"/>
                <w:kern w:val="0"/>
                <w:sz w:val="24"/>
                <w:lang w:bidi="ar"/>
              </w:rPr>
              <w:t>性质</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绩效指标值</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绩效度量单位</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实际完成</w:t>
            </w:r>
          </w:p>
          <w:p>
            <w:pPr>
              <w:widowControl/>
              <w:spacing w:line="300" w:lineRule="exact"/>
              <w:jc w:val="center"/>
              <w:textAlignment w:val="center"/>
              <w:rPr>
                <w:rFonts w:eastAsia="宋体"/>
                <w:color w:val="000000"/>
                <w:sz w:val="24"/>
              </w:rPr>
            </w:pPr>
            <w:r>
              <w:rPr>
                <w:rFonts w:eastAsia="宋体"/>
                <w:color w:val="000000"/>
                <w:kern w:val="0"/>
                <w:sz w:val="24"/>
                <w:lang w:bidi="ar"/>
              </w:rPr>
              <w:t>指标值</w:t>
            </w:r>
          </w:p>
        </w:tc>
      </w:tr>
      <w:tr>
        <w:tblPrEx>
          <w:tblLayout w:type="fixed"/>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5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产出指标</w:t>
            </w:r>
          </w:p>
        </w:tc>
        <w:tc>
          <w:tcPr>
            <w:tcW w:w="10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数量指标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sz w:val="24"/>
                <w:lang w:eastAsia="zh-CN"/>
              </w:rPr>
            </w:pPr>
            <w:r>
              <w:rPr>
                <w:rFonts w:hint="eastAsia" w:eastAsia="宋体"/>
                <w:color w:val="000000"/>
                <w:kern w:val="0"/>
                <w:sz w:val="24"/>
                <w:lang w:eastAsia="zh-CN" w:bidi="ar"/>
              </w:rPr>
              <w:t>基本支出</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sz w:val="24"/>
                <w:lang w:eastAsia="zh-CN"/>
              </w:rPr>
            </w:pPr>
            <w:r>
              <w:rPr>
                <w:rFonts w:hint="eastAsia" w:eastAsia="宋体"/>
                <w:color w:val="000000"/>
                <w:kern w:val="0"/>
                <w:sz w:val="24"/>
                <w:lang w:eastAsia="zh-CN" w:bidi="ar"/>
              </w:rPr>
              <w:t>定性</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sz w:val="24"/>
                <w:lang w:eastAsia="zh-CN"/>
              </w:rPr>
            </w:pPr>
            <w:r>
              <w:rPr>
                <w:rFonts w:hint="eastAsia" w:eastAsia="宋体"/>
                <w:color w:val="000000"/>
                <w:kern w:val="0"/>
                <w:sz w:val="24"/>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sz w:val="24"/>
                <w:lang w:eastAsia="zh-CN"/>
              </w:rPr>
            </w:pPr>
            <w:r>
              <w:rPr>
                <w:rFonts w:hint="eastAsia" w:eastAsia="宋体"/>
                <w:color w:val="000000"/>
                <w:kern w:val="0"/>
                <w:sz w:val="24"/>
                <w:lang w:eastAsia="zh-CN" w:bidi="ar"/>
              </w:rPr>
              <w:t>项</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eastAsia="宋体"/>
                <w:color w:val="000000"/>
                <w:sz w:val="24"/>
                <w:lang w:eastAsia="zh-CN"/>
              </w:rPr>
            </w:pPr>
            <w:r>
              <w:rPr>
                <w:rFonts w:hint="eastAsia" w:eastAsia="宋体"/>
                <w:color w:val="000000"/>
                <w:kern w:val="0"/>
                <w:sz w:val="24"/>
                <w:lang w:eastAsia="zh-CN" w:bidi="ar"/>
              </w:rPr>
              <w:t>人员、公用</w:t>
            </w:r>
          </w:p>
        </w:tc>
      </w:tr>
      <w:tr>
        <w:tblPrEx>
          <w:tblLayout w:type="fixed"/>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5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0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项目支出</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kern w:val="0"/>
                <w:sz w:val="24"/>
                <w:lang w:eastAsia="zh-CN" w:bidi="ar"/>
              </w:rPr>
              <w:t>定性</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kern w:val="0"/>
                <w:sz w:val="24"/>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eastAsia="zh-CN"/>
              </w:rPr>
            </w:pPr>
            <w:r>
              <w:rPr>
                <w:rFonts w:hint="eastAsia" w:eastAsia="宋体"/>
                <w:color w:val="000000"/>
                <w:sz w:val="24"/>
                <w:lang w:eastAsia="zh-CN"/>
              </w:rPr>
              <w:t>项</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hint="eastAsia" w:eastAsia="宋体"/>
                <w:color w:val="000000"/>
                <w:sz w:val="24"/>
                <w:lang w:eastAsia="zh-CN"/>
              </w:rPr>
            </w:pPr>
            <w:r>
              <w:rPr>
                <w:rFonts w:hint="eastAsia" w:eastAsia="宋体"/>
                <w:color w:val="000000"/>
                <w:sz w:val="24"/>
                <w:lang w:eastAsia="zh-CN"/>
              </w:rPr>
              <w:t xml:space="preserve">西区工商联根据上一年度工作开展情况，规划制定下一年度的绩效目标  </w:t>
            </w:r>
          </w:p>
        </w:tc>
      </w:tr>
      <w:tr>
        <w:tblPrEx>
          <w:tblLayout w:type="fixed"/>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5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质量指标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按工作进度</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kern w:val="0"/>
                <w:sz w:val="24"/>
                <w:lang w:eastAsia="zh-CN" w:bidi="ar"/>
              </w:rPr>
              <w:t>定性</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kern w:val="0"/>
                <w:sz w:val="24"/>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eastAsia="zh-CN"/>
              </w:rPr>
            </w:pPr>
            <w:r>
              <w:rPr>
                <w:rFonts w:hint="eastAsia" w:eastAsia="宋体"/>
                <w:color w:val="000000"/>
                <w:sz w:val="24"/>
                <w:lang w:eastAsia="zh-CN"/>
              </w:rPr>
              <w:t>次</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r>
              <w:rPr>
                <w:rFonts w:hint="eastAsia" w:eastAsia="宋体"/>
                <w:color w:val="000000"/>
                <w:kern w:val="0"/>
                <w:sz w:val="24"/>
                <w:lang w:bidi="ar"/>
              </w:rPr>
              <w:t>勇于担当、围绕中心、服务大局</w:t>
            </w:r>
          </w:p>
        </w:tc>
      </w:tr>
      <w:tr>
        <w:tblPrEx>
          <w:tblLayout w:type="fixed"/>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5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时效指标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202</w:t>
            </w:r>
            <w:r>
              <w:rPr>
                <w:rFonts w:hint="eastAsia" w:eastAsia="宋体"/>
                <w:color w:val="000000"/>
                <w:sz w:val="24"/>
                <w:lang w:val="en-US" w:eastAsia="zh-CN"/>
              </w:rPr>
              <w:t>5</w:t>
            </w:r>
            <w:r>
              <w:rPr>
                <w:rFonts w:hint="eastAsia" w:eastAsia="宋体"/>
                <w:color w:val="000000"/>
                <w:sz w:val="24"/>
              </w:rPr>
              <w:t>年</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kern w:val="0"/>
                <w:sz w:val="24"/>
                <w:lang w:eastAsia="zh-CN" w:bidi="ar"/>
              </w:rPr>
              <w:t>定性</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kern w:val="0"/>
                <w:sz w:val="24"/>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eastAsia="zh-CN"/>
              </w:rPr>
            </w:pPr>
            <w:r>
              <w:rPr>
                <w:rFonts w:hint="eastAsia" w:eastAsia="宋体"/>
                <w:color w:val="000000"/>
                <w:sz w:val="24"/>
                <w:lang w:eastAsia="zh-CN"/>
              </w:rPr>
              <w:t>时间</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r>
              <w:rPr>
                <w:rFonts w:hint="eastAsia" w:eastAsia="宋体"/>
                <w:color w:val="000000"/>
                <w:sz w:val="24"/>
              </w:rPr>
              <w:t>1-12月</w:t>
            </w:r>
          </w:p>
        </w:tc>
      </w:tr>
      <w:tr>
        <w:tblPrEx>
          <w:tblLayout w:type="fixed"/>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bookmarkStart w:id="3" w:name="OLE_LINK1" w:colFirst="2" w:colLast="7"/>
          </w:p>
        </w:tc>
        <w:tc>
          <w:tcPr>
            <w:tcW w:w="15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hint="eastAsia" w:eastAsia="宋体"/>
                <w:color w:val="000000"/>
                <w:kern w:val="0"/>
                <w:sz w:val="24"/>
                <w:lang w:val="en-US" w:eastAsia="zh-CN" w:bidi="ar"/>
              </w:rPr>
              <w:t>成本指标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eastAsia="zh-CN"/>
              </w:rPr>
            </w:pPr>
            <w:r>
              <w:rPr>
                <w:rFonts w:hint="eastAsia" w:eastAsia="宋体"/>
                <w:color w:val="000000"/>
                <w:sz w:val="24"/>
                <w:lang w:eastAsia="zh-CN"/>
              </w:rPr>
              <w:t>经费</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kern w:val="0"/>
                <w:sz w:val="24"/>
                <w:lang w:eastAsia="zh-CN" w:bidi="ar"/>
              </w:rPr>
              <w:t>定性</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kern w:val="0"/>
                <w:sz w:val="24"/>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kern w:val="0"/>
                <w:sz w:val="24"/>
                <w:lang w:eastAsia="zh-CN" w:bidi="ar"/>
              </w:rPr>
              <w:t>万元</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hint="default" w:eastAsia="宋体"/>
                <w:color w:val="000000"/>
                <w:sz w:val="24"/>
                <w:lang w:val="en-US" w:eastAsia="zh-CN"/>
              </w:rPr>
            </w:pPr>
            <w:r>
              <w:rPr>
                <w:rFonts w:hint="eastAsia" w:eastAsia="宋体"/>
                <w:color w:val="000000"/>
                <w:sz w:val="24"/>
                <w:lang w:val="en-US" w:eastAsia="zh-CN"/>
              </w:rPr>
              <w:t>84.96</w:t>
            </w:r>
          </w:p>
        </w:tc>
      </w:tr>
      <w:bookmarkEnd w:id="3"/>
      <w:tr>
        <w:tblPrEx>
          <w:tblLayout w:type="fixed"/>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503" w:type="dxa"/>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效益指标</w:t>
            </w:r>
          </w:p>
        </w:tc>
        <w:tc>
          <w:tcPr>
            <w:tcW w:w="1030" w:type="dxa"/>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社会效益</w:t>
            </w:r>
          </w:p>
          <w:p>
            <w:pPr>
              <w:widowControl/>
              <w:spacing w:line="300" w:lineRule="exact"/>
              <w:jc w:val="center"/>
              <w:textAlignment w:val="center"/>
              <w:rPr>
                <w:rFonts w:eastAsia="宋体"/>
                <w:color w:val="000000"/>
                <w:sz w:val="24"/>
              </w:rPr>
            </w:pPr>
            <w:r>
              <w:rPr>
                <w:rFonts w:eastAsia="宋体"/>
                <w:color w:val="000000"/>
                <w:kern w:val="0"/>
                <w:sz w:val="24"/>
                <w:lang w:bidi="ar"/>
              </w:rPr>
              <w:t>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职能职责</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kern w:val="0"/>
                <w:sz w:val="24"/>
                <w:lang w:eastAsia="zh-CN" w:bidi="ar"/>
              </w:rPr>
              <w:t>定性</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kern w:val="0"/>
                <w:sz w:val="24"/>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eastAsia="zh-CN"/>
              </w:rPr>
            </w:pPr>
            <w:r>
              <w:rPr>
                <w:rFonts w:hint="eastAsia" w:eastAsia="宋体"/>
                <w:color w:val="000000"/>
                <w:sz w:val="24"/>
                <w:lang w:eastAsia="zh-CN"/>
              </w:rPr>
              <w:t>项</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r>
              <w:rPr>
                <w:rFonts w:hint="eastAsia" w:eastAsia="宋体"/>
                <w:color w:val="000000"/>
                <w:sz w:val="24"/>
              </w:rPr>
              <w:t>保证机构正常运行，确保完成年度职能目标任务</w:t>
            </w:r>
          </w:p>
        </w:tc>
      </w:tr>
      <w:tr>
        <w:tblPrEx>
          <w:tblLayout w:type="fixed"/>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满意度指标</w:t>
            </w: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满意度指标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eastAsia="zh-CN"/>
              </w:rPr>
            </w:pPr>
            <w:r>
              <w:rPr>
                <w:rFonts w:hint="eastAsia" w:eastAsia="宋体"/>
                <w:color w:val="000000"/>
                <w:sz w:val="24"/>
                <w:lang w:eastAsia="zh-CN"/>
              </w:rPr>
              <w:t>满意度</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eastAsia="zh-CN"/>
              </w:rPr>
              <w:t>抽样满意</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kern w:val="0"/>
                <w:sz w:val="24"/>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eastAsia="zh-CN"/>
              </w:rPr>
            </w:pPr>
            <w:r>
              <w:rPr>
                <w:rFonts w:hint="eastAsia" w:eastAsia="宋体"/>
                <w:color w:val="000000"/>
                <w:sz w:val="24"/>
                <w:lang w:eastAsia="zh-CN"/>
              </w:rPr>
              <w:t>项</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r>
              <w:rPr>
                <w:rFonts w:hint="eastAsia" w:eastAsia="宋体"/>
                <w:color w:val="000000"/>
                <w:sz w:val="24"/>
              </w:rPr>
              <w:t>≥95</w:t>
            </w:r>
          </w:p>
        </w:tc>
      </w:tr>
    </w:tbl>
    <w:p/>
    <w:sectPr>
      <w:headerReference r:id="rId3" w:type="default"/>
      <w:footerReference r:id="rId4" w:type="default"/>
      <w:pgSz w:w="11906" w:h="16838"/>
      <w:pgMar w:top="2098" w:right="1474" w:bottom="1984" w:left="1587" w:header="851" w:footer="992" w:gutter="0"/>
      <w:pgNumType w:fmt="numberInDash"/>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Wingdings 2">
    <w:altName w:val="Wingdings"/>
    <w:panose1 w:val="05020102010507070707"/>
    <w:charset w:val="02"/>
    <w:family w:val="roman"/>
    <w:pitch w:val="default"/>
    <w:sig w:usb0="00000000" w:usb1="00000000" w:usb2="00000000" w:usb3="00000000" w:csb0="80000000" w:csb1="0000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ind w:right="451" w:rightChars="141"/>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4 -</w:t>
                          </w:r>
                          <w:r>
                            <w:rPr>
                              <w:rFonts w:ascii="宋体" w:hAnsi="宋体"/>
                              <w:sz w:val="28"/>
                              <w:szCs w:val="28"/>
                            </w:rPr>
                            <w:fldChar w:fldCharType="end"/>
                          </w:r>
                        </w:p>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v:fill on="f" focussize="0,0"/>
              <v:stroke on="f" weight="0.5pt"/>
              <v:imagedata o:title=""/>
              <o:lock v:ext="edit" aspectratio="f"/>
              <v:textbox inset="0mm,0mm,0mm,0mm" style="mso-fit-shape-to-text:t;">
                <w:txbxContent>
                  <w:p>
                    <w:pPr>
                      <w:pStyle w:val="7"/>
                      <w:ind w:right="451" w:rightChars="141"/>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4 -</w:t>
                    </w:r>
                    <w:r>
                      <w:rPr>
                        <w:rFonts w:ascii="宋体" w:hAnsi="宋体"/>
                        <w:sz w:val="28"/>
                        <w:szCs w:val="28"/>
                      </w:rPr>
                      <w:fldChar w:fldCharType="end"/>
                    </w:r>
                  </w:p>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60"/>
  <w:drawingGridVerticalSpacing w:val="435"/>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M0MzQxYTRlNjk4MDU3ODhkODNhNzlhZWNhNGRmZDIifQ=="/>
  </w:docVars>
  <w:rsids>
    <w:rsidRoot w:val="00EC0174"/>
    <w:rsid w:val="00006E4D"/>
    <w:rsid w:val="00021652"/>
    <w:rsid w:val="00030311"/>
    <w:rsid w:val="00030782"/>
    <w:rsid w:val="00030B66"/>
    <w:rsid w:val="0006102A"/>
    <w:rsid w:val="00065B0F"/>
    <w:rsid w:val="00065E7E"/>
    <w:rsid w:val="000820BB"/>
    <w:rsid w:val="0008241B"/>
    <w:rsid w:val="00092280"/>
    <w:rsid w:val="00097FAE"/>
    <w:rsid w:val="000A3233"/>
    <w:rsid w:val="000A3F8B"/>
    <w:rsid w:val="000A7CE3"/>
    <w:rsid w:val="000B04D6"/>
    <w:rsid w:val="000B15CE"/>
    <w:rsid w:val="000C40C6"/>
    <w:rsid w:val="000C79C1"/>
    <w:rsid w:val="000D208A"/>
    <w:rsid w:val="000E037E"/>
    <w:rsid w:val="000F659A"/>
    <w:rsid w:val="000F77B0"/>
    <w:rsid w:val="0010235D"/>
    <w:rsid w:val="00103A47"/>
    <w:rsid w:val="00106D4D"/>
    <w:rsid w:val="001119A2"/>
    <w:rsid w:val="001221D6"/>
    <w:rsid w:val="0012510A"/>
    <w:rsid w:val="00125F67"/>
    <w:rsid w:val="001261AE"/>
    <w:rsid w:val="001348A4"/>
    <w:rsid w:val="0014117C"/>
    <w:rsid w:val="00146FE8"/>
    <w:rsid w:val="0014767B"/>
    <w:rsid w:val="00147AED"/>
    <w:rsid w:val="00177AAF"/>
    <w:rsid w:val="00183850"/>
    <w:rsid w:val="00184D9F"/>
    <w:rsid w:val="001A4749"/>
    <w:rsid w:val="001A4842"/>
    <w:rsid w:val="001A5833"/>
    <w:rsid w:val="001C2158"/>
    <w:rsid w:val="001C51F2"/>
    <w:rsid w:val="001C73AB"/>
    <w:rsid w:val="001D2EA4"/>
    <w:rsid w:val="001F47CE"/>
    <w:rsid w:val="001F5776"/>
    <w:rsid w:val="0020620D"/>
    <w:rsid w:val="002069BC"/>
    <w:rsid w:val="002069EB"/>
    <w:rsid w:val="002201B0"/>
    <w:rsid w:val="00220900"/>
    <w:rsid w:val="0022307E"/>
    <w:rsid w:val="00224D05"/>
    <w:rsid w:val="002323A3"/>
    <w:rsid w:val="00236EF7"/>
    <w:rsid w:val="0024058A"/>
    <w:rsid w:val="002410C0"/>
    <w:rsid w:val="00252894"/>
    <w:rsid w:val="00253FA6"/>
    <w:rsid w:val="00254728"/>
    <w:rsid w:val="002550E7"/>
    <w:rsid w:val="002558D4"/>
    <w:rsid w:val="002560E2"/>
    <w:rsid w:val="00264CFA"/>
    <w:rsid w:val="00270DD7"/>
    <w:rsid w:val="00276F4A"/>
    <w:rsid w:val="00280BFB"/>
    <w:rsid w:val="00280C88"/>
    <w:rsid w:val="002973A4"/>
    <w:rsid w:val="002A0195"/>
    <w:rsid w:val="002B5B34"/>
    <w:rsid w:val="002B6906"/>
    <w:rsid w:val="002B7215"/>
    <w:rsid w:val="002C0AFD"/>
    <w:rsid w:val="002C59D0"/>
    <w:rsid w:val="002D1A18"/>
    <w:rsid w:val="002D6C79"/>
    <w:rsid w:val="002E1104"/>
    <w:rsid w:val="002E3FDD"/>
    <w:rsid w:val="00300EF4"/>
    <w:rsid w:val="00301353"/>
    <w:rsid w:val="00305FF6"/>
    <w:rsid w:val="00307568"/>
    <w:rsid w:val="00311506"/>
    <w:rsid w:val="00316ADB"/>
    <w:rsid w:val="00317623"/>
    <w:rsid w:val="00335F67"/>
    <w:rsid w:val="003361E9"/>
    <w:rsid w:val="00350A65"/>
    <w:rsid w:val="00361C85"/>
    <w:rsid w:val="00371352"/>
    <w:rsid w:val="00376753"/>
    <w:rsid w:val="0038541D"/>
    <w:rsid w:val="00387818"/>
    <w:rsid w:val="00391A13"/>
    <w:rsid w:val="00391FD0"/>
    <w:rsid w:val="003A44FC"/>
    <w:rsid w:val="003B3299"/>
    <w:rsid w:val="003B6928"/>
    <w:rsid w:val="003D10A2"/>
    <w:rsid w:val="003D33B8"/>
    <w:rsid w:val="003D624D"/>
    <w:rsid w:val="003D719A"/>
    <w:rsid w:val="003F1D56"/>
    <w:rsid w:val="003F5EB7"/>
    <w:rsid w:val="003F7FE2"/>
    <w:rsid w:val="004004E7"/>
    <w:rsid w:val="00416E1A"/>
    <w:rsid w:val="00426A3F"/>
    <w:rsid w:val="004277D4"/>
    <w:rsid w:val="00461638"/>
    <w:rsid w:val="004706FA"/>
    <w:rsid w:val="00474D8D"/>
    <w:rsid w:val="00475CCD"/>
    <w:rsid w:val="00477266"/>
    <w:rsid w:val="004811BC"/>
    <w:rsid w:val="004838F2"/>
    <w:rsid w:val="00486492"/>
    <w:rsid w:val="00492CF6"/>
    <w:rsid w:val="004A4C9D"/>
    <w:rsid w:val="004C2078"/>
    <w:rsid w:val="004C228F"/>
    <w:rsid w:val="004E752F"/>
    <w:rsid w:val="004F1E37"/>
    <w:rsid w:val="00515198"/>
    <w:rsid w:val="00521C44"/>
    <w:rsid w:val="005274E1"/>
    <w:rsid w:val="00531DDF"/>
    <w:rsid w:val="00535FA6"/>
    <w:rsid w:val="00542AB7"/>
    <w:rsid w:val="0055358D"/>
    <w:rsid w:val="005540C8"/>
    <w:rsid w:val="00555809"/>
    <w:rsid w:val="00562165"/>
    <w:rsid w:val="005756AF"/>
    <w:rsid w:val="00575A4A"/>
    <w:rsid w:val="00591B6F"/>
    <w:rsid w:val="005A1DAF"/>
    <w:rsid w:val="005C17C8"/>
    <w:rsid w:val="005C2098"/>
    <w:rsid w:val="005C2E6C"/>
    <w:rsid w:val="005D0CCF"/>
    <w:rsid w:val="005D1C01"/>
    <w:rsid w:val="005E297D"/>
    <w:rsid w:val="005E3F12"/>
    <w:rsid w:val="005F627E"/>
    <w:rsid w:val="0061652E"/>
    <w:rsid w:val="006205E9"/>
    <w:rsid w:val="00622D0B"/>
    <w:rsid w:val="006270DA"/>
    <w:rsid w:val="00630B75"/>
    <w:rsid w:val="00634DFF"/>
    <w:rsid w:val="00635337"/>
    <w:rsid w:val="0064265B"/>
    <w:rsid w:val="0064519C"/>
    <w:rsid w:val="0065082E"/>
    <w:rsid w:val="006512D0"/>
    <w:rsid w:val="006560A3"/>
    <w:rsid w:val="00656301"/>
    <w:rsid w:val="006600C9"/>
    <w:rsid w:val="006701CC"/>
    <w:rsid w:val="00671F58"/>
    <w:rsid w:val="006762A4"/>
    <w:rsid w:val="006900E7"/>
    <w:rsid w:val="006A00A8"/>
    <w:rsid w:val="006A482D"/>
    <w:rsid w:val="006B11E0"/>
    <w:rsid w:val="006B386A"/>
    <w:rsid w:val="006B7CB4"/>
    <w:rsid w:val="006C24D3"/>
    <w:rsid w:val="006C7917"/>
    <w:rsid w:val="006E51AE"/>
    <w:rsid w:val="0070081F"/>
    <w:rsid w:val="007018F5"/>
    <w:rsid w:val="00710897"/>
    <w:rsid w:val="00712F45"/>
    <w:rsid w:val="00734305"/>
    <w:rsid w:val="007370E1"/>
    <w:rsid w:val="007732A1"/>
    <w:rsid w:val="00774C4A"/>
    <w:rsid w:val="00782BBB"/>
    <w:rsid w:val="007A0690"/>
    <w:rsid w:val="007A078F"/>
    <w:rsid w:val="007B34D4"/>
    <w:rsid w:val="007C0633"/>
    <w:rsid w:val="007D086C"/>
    <w:rsid w:val="007F1BE1"/>
    <w:rsid w:val="007F707F"/>
    <w:rsid w:val="007F794C"/>
    <w:rsid w:val="007F7AC9"/>
    <w:rsid w:val="00803B42"/>
    <w:rsid w:val="008073EF"/>
    <w:rsid w:val="0081095C"/>
    <w:rsid w:val="00810C41"/>
    <w:rsid w:val="008212FF"/>
    <w:rsid w:val="0082593B"/>
    <w:rsid w:val="00827537"/>
    <w:rsid w:val="008468EA"/>
    <w:rsid w:val="00867140"/>
    <w:rsid w:val="00881134"/>
    <w:rsid w:val="008904F0"/>
    <w:rsid w:val="008B2F27"/>
    <w:rsid w:val="008B4A72"/>
    <w:rsid w:val="008B585E"/>
    <w:rsid w:val="008E6C0C"/>
    <w:rsid w:val="008F1E63"/>
    <w:rsid w:val="008F3052"/>
    <w:rsid w:val="00901E19"/>
    <w:rsid w:val="009214F7"/>
    <w:rsid w:val="00921CD7"/>
    <w:rsid w:val="00940EB6"/>
    <w:rsid w:val="00944771"/>
    <w:rsid w:val="009601FC"/>
    <w:rsid w:val="00965426"/>
    <w:rsid w:val="0096654A"/>
    <w:rsid w:val="009711E4"/>
    <w:rsid w:val="00971572"/>
    <w:rsid w:val="00981E55"/>
    <w:rsid w:val="00986CEF"/>
    <w:rsid w:val="00987212"/>
    <w:rsid w:val="009A0E5F"/>
    <w:rsid w:val="009F1AF3"/>
    <w:rsid w:val="009F233E"/>
    <w:rsid w:val="00A024AB"/>
    <w:rsid w:val="00A050A5"/>
    <w:rsid w:val="00A05B8B"/>
    <w:rsid w:val="00A1372F"/>
    <w:rsid w:val="00A170EC"/>
    <w:rsid w:val="00A217B3"/>
    <w:rsid w:val="00A23D04"/>
    <w:rsid w:val="00A277D9"/>
    <w:rsid w:val="00A30CEB"/>
    <w:rsid w:val="00A31318"/>
    <w:rsid w:val="00A5432A"/>
    <w:rsid w:val="00A55F8A"/>
    <w:rsid w:val="00A9670E"/>
    <w:rsid w:val="00AA1423"/>
    <w:rsid w:val="00AB7996"/>
    <w:rsid w:val="00AC43C3"/>
    <w:rsid w:val="00AE2EAD"/>
    <w:rsid w:val="00AF77BE"/>
    <w:rsid w:val="00B11CEE"/>
    <w:rsid w:val="00B23428"/>
    <w:rsid w:val="00B264BF"/>
    <w:rsid w:val="00B3594D"/>
    <w:rsid w:val="00B42E74"/>
    <w:rsid w:val="00B46874"/>
    <w:rsid w:val="00B50E8F"/>
    <w:rsid w:val="00B51151"/>
    <w:rsid w:val="00B523E4"/>
    <w:rsid w:val="00B52B4F"/>
    <w:rsid w:val="00B6108C"/>
    <w:rsid w:val="00B649AD"/>
    <w:rsid w:val="00B64B9C"/>
    <w:rsid w:val="00B67A3E"/>
    <w:rsid w:val="00B735CC"/>
    <w:rsid w:val="00B82C95"/>
    <w:rsid w:val="00B83F87"/>
    <w:rsid w:val="00B84DFD"/>
    <w:rsid w:val="00BB4E38"/>
    <w:rsid w:val="00BC3879"/>
    <w:rsid w:val="00BD0E0D"/>
    <w:rsid w:val="00BD41BC"/>
    <w:rsid w:val="00BD55AD"/>
    <w:rsid w:val="00BE0305"/>
    <w:rsid w:val="00BF15F0"/>
    <w:rsid w:val="00BF7DF9"/>
    <w:rsid w:val="00C03559"/>
    <w:rsid w:val="00C05395"/>
    <w:rsid w:val="00C22AD7"/>
    <w:rsid w:val="00C272C1"/>
    <w:rsid w:val="00C32A68"/>
    <w:rsid w:val="00C34282"/>
    <w:rsid w:val="00C35350"/>
    <w:rsid w:val="00C3564B"/>
    <w:rsid w:val="00C53721"/>
    <w:rsid w:val="00C64D2E"/>
    <w:rsid w:val="00C70F97"/>
    <w:rsid w:val="00C7497C"/>
    <w:rsid w:val="00C757A2"/>
    <w:rsid w:val="00C75966"/>
    <w:rsid w:val="00C76577"/>
    <w:rsid w:val="00C80225"/>
    <w:rsid w:val="00C81349"/>
    <w:rsid w:val="00C93139"/>
    <w:rsid w:val="00CA08A0"/>
    <w:rsid w:val="00CA32D2"/>
    <w:rsid w:val="00CA4E07"/>
    <w:rsid w:val="00CA737D"/>
    <w:rsid w:val="00CB1EF5"/>
    <w:rsid w:val="00CC05D4"/>
    <w:rsid w:val="00CC7166"/>
    <w:rsid w:val="00CF5275"/>
    <w:rsid w:val="00CF6136"/>
    <w:rsid w:val="00D0023D"/>
    <w:rsid w:val="00D006C6"/>
    <w:rsid w:val="00D14A65"/>
    <w:rsid w:val="00D162B9"/>
    <w:rsid w:val="00D251E2"/>
    <w:rsid w:val="00D254F4"/>
    <w:rsid w:val="00D263A7"/>
    <w:rsid w:val="00D26B5D"/>
    <w:rsid w:val="00D33159"/>
    <w:rsid w:val="00D33A19"/>
    <w:rsid w:val="00D355B5"/>
    <w:rsid w:val="00D43DC3"/>
    <w:rsid w:val="00D51791"/>
    <w:rsid w:val="00D5281E"/>
    <w:rsid w:val="00D6531B"/>
    <w:rsid w:val="00D6612D"/>
    <w:rsid w:val="00D71AD9"/>
    <w:rsid w:val="00D73C02"/>
    <w:rsid w:val="00D872ED"/>
    <w:rsid w:val="00D913C6"/>
    <w:rsid w:val="00DA0236"/>
    <w:rsid w:val="00DA5D51"/>
    <w:rsid w:val="00DA5E29"/>
    <w:rsid w:val="00DA61CA"/>
    <w:rsid w:val="00DB66BB"/>
    <w:rsid w:val="00DB73AF"/>
    <w:rsid w:val="00DC2865"/>
    <w:rsid w:val="00DD0894"/>
    <w:rsid w:val="00DE1888"/>
    <w:rsid w:val="00DF1250"/>
    <w:rsid w:val="00DF6EF7"/>
    <w:rsid w:val="00E05454"/>
    <w:rsid w:val="00E074C3"/>
    <w:rsid w:val="00E23329"/>
    <w:rsid w:val="00E24D6D"/>
    <w:rsid w:val="00E341B2"/>
    <w:rsid w:val="00E42633"/>
    <w:rsid w:val="00E5699E"/>
    <w:rsid w:val="00E570E1"/>
    <w:rsid w:val="00E72773"/>
    <w:rsid w:val="00E76739"/>
    <w:rsid w:val="00E81946"/>
    <w:rsid w:val="00E82BB7"/>
    <w:rsid w:val="00E86D13"/>
    <w:rsid w:val="00E936C2"/>
    <w:rsid w:val="00E95346"/>
    <w:rsid w:val="00EA0CEF"/>
    <w:rsid w:val="00EA2E2A"/>
    <w:rsid w:val="00EA741A"/>
    <w:rsid w:val="00EB79D2"/>
    <w:rsid w:val="00EC0174"/>
    <w:rsid w:val="00ED3EEB"/>
    <w:rsid w:val="00ED5749"/>
    <w:rsid w:val="00ED5FA3"/>
    <w:rsid w:val="00ED68C4"/>
    <w:rsid w:val="00ED6A4E"/>
    <w:rsid w:val="00ED72EA"/>
    <w:rsid w:val="00EE3A4F"/>
    <w:rsid w:val="00EF10C3"/>
    <w:rsid w:val="00EF3BD2"/>
    <w:rsid w:val="00F16BCE"/>
    <w:rsid w:val="00F45DA1"/>
    <w:rsid w:val="00F5267B"/>
    <w:rsid w:val="00F53E8B"/>
    <w:rsid w:val="00F663FD"/>
    <w:rsid w:val="00F743B0"/>
    <w:rsid w:val="00F82409"/>
    <w:rsid w:val="00F8264F"/>
    <w:rsid w:val="00F833E9"/>
    <w:rsid w:val="00F84580"/>
    <w:rsid w:val="00F873DA"/>
    <w:rsid w:val="00F95982"/>
    <w:rsid w:val="00FA006C"/>
    <w:rsid w:val="00FA190E"/>
    <w:rsid w:val="00FA288B"/>
    <w:rsid w:val="00FA2997"/>
    <w:rsid w:val="00FA2C71"/>
    <w:rsid w:val="00FB2476"/>
    <w:rsid w:val="00FB3345"/>
    <w:rsid w:val="00FD0228"/>
    <w:rsid w:val="00FD3BB7"/>
    <w:rsid w:val="00FE0D93"/>
    <w:rsid w:val="00FF2572"/>
    <w:rsid w:val="00FF32AD"/>
    <w:rsid w:val="05B87AC5"/>
    <w:rsid w:val="0D20238E"/>
    <w:rsid w:val="0DC31556"/>
    <w:rsid w:val="1A3D6143"/>
    <w:rsid w:val="1C013801"/>
    <w:rsid w:val="1DFD8D3B"/>
    <w:rsid w:val="1E057B9B"/>
    <w:rsid w:val="1FB79DC9"/>
    <w:rsid w:val="1FBFC3F2"/>
    <w:rsid w:val="1FFFE033"/>
    <w:rsid w:val="24A31107"/>
    <w:rsid w:val="27F352A6"/>
    <w:rsid w:val="29560A0A"/>
    <w:rsid w:val="2C685615"/>
    <w:rsid w:val="2D527252"/>
    <w:rsid w:val="2DDC1740"/>
    <w:rsid w:val="2EAE55F2"/>
    <w:rsid w:val="2EDF4302"/>
    <w:rsid w:val="2EFE1A04"/>
    <w:rsid w:val="2FFF3854"/>
    <w:rsid w:val="30CE7103"/>
    <w:rsid w:val="35BBF80F"/>
    <w:rsid w:val="3B0B3937"/>
    <w:rsid w:val="3B736F08"/>
    <w:rsid w:val="3BE3D531"/>
    <w:rsid w:val="3D431A40"/>
    <w:rsid w:val="3E1B346B"/>
    <w:rsid w:val="3EFF42CA"/>
    <w:rsid w:val="3F6FCA38"/>
    <w:rsid w:val="3FD5AF3D"/>
    <w:rsid w:val="3FFED8BE"/>
    <w:rsid w:val="3FFF43BB"/>
    <w:rsid w:val="3FFFFC14"/>
    <w:rsid w:val="404655AF"/>
    <w:rsid w:val="42B752F3"/>
    <w:rsid w:val="433DCF8E"/>
    <w:rsid w:val="45FF973D"/>
    <w:rsid w:val="47550EBA"/>
    <w:rsid w:val="496536EF"/>
    <w:rsid w:val="4AEF2681"/>
    <w:rsid w:val="4BF7E09D"/>
    <w:rsid w:val="50D47EC3"/>
    <w:rsid w:val="53BB74FC"/>
    <w:rsid w:val="55FDDF92"/>
    <w:rsid w:val="55FFBC03"/>
    <w:rsid w:val="56CDA72E"/>
    <w:rsid w:val="576F5916"/>
    <w:rsid w:val="577FDAE2"/>
    <w:rsid w:val="57FBE2C7"/>
    <w:rsid w:val="59E738BB"/>
    <w:rsid w:val="5B335734"/>
    <w:rsid w:val="5B7F322F"/>
    <w:rsid w:val="5BCAB023"/>
    <w:rsid w:val="5BEACB58"/>
    <w:rsid w:val="5D8649C7"/>
    <w:rsid w:val="5DDA9B94"/>
    <w:rsid w:val="5EAB810D"/>
    <w:rsid w:val="5EFA9846"/>
    <w:rsid w:val="5EFF9DA6"/>
    <w:rsid w:val="5F7751B9"/>
    <w:rsid w:val="5F9F7232"/>
    <w:rsid w:val="5F9F9588"/>
    <w:rsid w:val="5FBD32D2"/>
    <w:rsid w:val="5FD450B0"/>
    <w:rsid w:val="5FEF60CD"/>
    <w:rsid w:val="5FFB203D"/>
    <w:rsid w:val="5FFB8CF9"/>
    <w:rsid w:val="63DBAF21"/>
    <w:rsid w:val="6636451A"/>
    <w:rsid w:val="67DE80AA"/>
    <w:rsid w:val="697E3B47"/>
    <w:rsid w:val="69BF132E"/>
    <w:rsid w:val="6B7F84D8"/>
    <w:rsid w:val="6BFEE5F3"/>
    <w:rsid w:val="6CAFF34E"/>
    <w:rsid w:val="6CFFCF4F"/>
    <w:rsid w:val="6DFFF8B6"/>
    <w:rsid w:val="6E491A40"/>
    <w:rsid w:val="6E9FE641"/>
    <w:rsid w:val="6EEDE807"/>
    <w:rsid w:val="6EEE4BE4"/>
    <w:rsid w:val="6EF65E9C"/>
    <w:rsid w:val="6F3D9197"/>
    <w:rsid w:val="6F6F75B6"/>
    <w:rsid w:val="6FAB3EC4"/>
    <w:rsid w:val="6FB6AF41"/>
    <w:rsid w:val="6FD52DA7"/>
    <w:rsid w:val="6FD894C8"/>
    <w:rsid w:val="6FE36A9E"/>
    <w:rsid w:val="6FEFB2D1"/>
    <w:rsid w:val="6FFF97E6"/>
    <w:rsid w:val="71397E03"/>
    <w:rsid w:val="71FB5B08"/>
    <w:rsid w:val="73FB87D9"/>
    <w:rsid w:val="75EF0FBA"/>
    <w:rsid w:val="7607C293"/>
    <w:rsid w:val="76793C4E"/>
    <w:rsid w:val="767B0EE7"/>
    <w:rsid w:val="76DF783A"/>
    <w:rsid w:val="76DFA4E8"/>
    <w:rsid w:val="774C1DDA"/>
    <w:rsid w:val="776800BB"/>
    <w:rsid w:val="778720BD"/>
    <w:rsid w:val="77A7D615"/>
    <w:rsid w:val="77FF366A"/>
    <w:rsid w:val="77FF8C96"/>
    <w:rsid w:val="77FFA8F9"/>
    <w:rsid w:val="7976604B"/>
    <w:rsid w:val="79F3BC78"/>
    <w:rsid w:val="7A5B6CAA"/>
    <w:rsid w:val="7A9314AC"/>
    <w:rsid w:val="7B4F6850"/>
    <w:rsid w:val="7BABD5C4"/>
    <w:rsid w:val="7BB12055"/>
    <w:rsid w:val="7BBFADBA"/>
    <w:rsid w:val="7BF7F9C6"/>
    <w:rsid w:val="7BFF492D"/>
    <w:rsid w:val="7C631402"/>
    <w:rsid w:val="7C978C63"/>
    <w:rsid w:val="7CA35AD0"/>
    <w:rsid w:val="7CDF8BC3"/>
    <w:rsid w:val="7CEB72A5"/>
    <w:rsid w:val="7D18750B"/>
    <w:rsid w:val="7DDFDC39"/>
    <w:rsid w:val="7DFDEECD"/>
    <w:rsid w:val="7E140770"/>
    <w:rsid w:val="7E5D92FB"/>
    <w:rsid w:val="7E635AE7"/>
    <w:rsid w:val="7EF51D64"/>
    <w:rsid w:val="7EFFF488"/>
    <w:rsid w:val="7F574612"/>
    <w:rsid w:val="7F7F4920"/>
    <w:rsid w:val="7FB7C299"/>
    <w:rsid w:val="7FBFFB92"/>
    <w:rsid w:val="7FD76ACB"/>
    <w:rsid w:val="7FD89DA2"/>
    <w:rsid w:val="7FDBD805"/>
    <w:rsid w:val="7FDEC14D"/>
    <w:rsid w:val="7FDF8B76"/>
    <w:rsid w:val="7FDFE693"/>
    <w:rsid w:val="7FEFB5DD"/>
    <w:rsid w:val="7FEFBBD9"/>
    <w:rsid w:val="7FFD6A57"/>
    <w:rsid w:val="7FFDA7EC"/>
    <w:rsid w:val="7FFDEA1E"/>
    <w:rsid w:val="7FFEC1F6"/>
    <w:rsid w:val="7FFF0917"/>
    <w:rsid w:val="7FFF2F52"/>
    <w:rsid w:val="8F7B4EC8"/>
    <w:rsid w:val="8FBD4480"/>
    <w:rsid w:val="8FF7AE96"/>
    <w:rsid w:val="955F5184"/>
    <w:rsid w:val="9F6311D7"/>
    <w:rsid w:val="9FF54399"/>
    <w:rsid w:val="A46D76C1"/>
    <w:rsid w:val="A7FF43C2"/>
    <w:rsid w:val="ABF66286"/>
    <w:rsid w:val="AD9E3F04"/>
    <w:rsid w:val="ADA70464"/>
    <w:rsid w:val="AFE97CD3"/>
    <w:rsid w:val="B1BF5C63"/>
    <w:rsid w:val="B1FF3A18"/>
    <w:rsid w:val="B3CDF284"/>
    <w:rsid w:val="B3E8107B"/>
    <w:rsid w:val="B579A608"/>
    <w:rsid w:val="B5F66F24"/>
    <w:rsid w:val="B7F5200A"/>
    <w:rsid w:val="BABDA1AA"/>
    <w:rsid w:val="BB1B4BF1"/>
    <w:rsid w:val="BBE5FE68"/>
    <w:rsid w:val="BBFEB9C1"/>
    <w:rsid w:val="BDF7406A"/>
    <w:rsid w:val="BE6FD8DB"/>
    <w:rsid w:val="BEEF57C2"/>
    <w:rsid w:val="BF6CD6FF"/>
    <w:rsid w:val="BF6D5596"/>
    <w:rsid w:val="BFBEBB2C"/>
    <w:rsid w:val="BFC68935"/>
    <w:rsid w:val="BFDD0F1D"/>
    <w:rsid w:val="BFDDD096"/>
    <w:rsid w:val="C5B3F496"/>
    <w:rsid w:val="C96F3E49"/>
    <w:rsid w:val="CBBF14F3"/>
    <w:rsid w:val="CBE5DCF2"/>
    <w:rsid w:val="CCFCC735"/>
    <w:rsid w:val="CEEB8A74"/>
    <w:rsid w:val="D37FB642"/>
    <w:rsid w:val="D7F99798"/>
    <w:rsid w:val="D7FF400C"/>
    <w:rsid w:val="D9DB2628"/>
    <w:rsid w:val="DBED1CD4"/>
    <w:rsid w:val="DBFBB328"/>
    <w:rsid w:val="DDD7453A"/>
    <w:rsid w:val="DE3E1FD7"/>
    <w:rsid w:val="DEBFCF8E"/>
    <w:rsid w:val="DFBE1B79"/>
    <w:rsid w:val="DFCF1FEC"/>
    <w:rsid w:val="DFE75A3D"/>
    <w:rsid w:val="DFED2117"/>
    <w:rsid w:val="DFEF594B"/>
    <w:rsid w:val="DFF3F960"/>
    <w:rsid w:val="DFFE0D61"/>
    <w:rsid w:val="E35C4B3C"/>
    <w:rsid w:val="E3A781CA"/>
    <w:rsid w:val="E5DFAB50"/>
    <w:rsid w:val="E6FC647F"/>
    <w:rsid w:val="EAE6D6D4"/>
    <w:rsid w:val="EBFBC8F1"/>
    <w:rsid w:val="EBFDF757"/>
    <w:rsid w:val="ED758B5D"/>
    <w:rsid w:val="ED76A08D"/>
    <w:rsid w:val="EDBDD81F"/>
    <w:rsid w:val="EDFDB542"/>
    <w:rsid w:val="EF0FCF96"/>
    <w:rsid w:val="EF95E20F"/>
    <w:rsid w:val="EFAF7DFF"/>
    <w:rsid w:val="EFAFB283"/>
    <w:rsid w:val="EFBDA38B"/>
    <w:rsid w:val="EFEE9A76"/>
    <w:rsid w:val="F1BF6FBC"/>
    <w:rsid w:val="F1F9A9B5"/>
    <w:rsid w:val="F3779FC2"/>
    <w:rsid w:val="F3D5C239"/>
    <w:rsid w:val="F3F37DF4"/>
    <w:rsid w:val="F3F96DE6"/>
    <w:rsid w:val="F3FBC54A"/>
    <w:rsid w:val="F47BB68A"/>
    <w:rsid w:val="F47F523E"/>
    <w:rsid w:val="F69FD6B0"/>
    <w:rsid w:val="F7E7F921"/>
    <w:rsid w:val="F7F7AC6A"/>
    <w:rsid w:val="F7FD93B9"/>
    <w:rsid w:val="F8D9A400"/>
    <w:rsid w:val="FABF64A5"/>
    <w:rsid w:val="FABF7411"/>
    <w:rsid w:val="FBA53981"/>
    <w:rsid w:val="FBE4457E"/>
    <w:rsid w:val="FBFC558A"/>
    <w:rsid w:val="FBFF71AC"/>
    <w:rsid w:val="FBFFEA2B"/>
    <w:rsid w:val="FCCB27AA"/>
    <w:rsid w:val="FCFF8F4B"/>
    <w:rsid w:val="FD9595AD"/>
    <w:rsid w:val="FDDF4F05"/>
    <w:rsid w:val="FDF9DD9A"/>
    <w:rsid w:val="FDFF2821"/>
    <w:rsid w:val="FDFFA696"/>
    <w:rsid w:val="FE7FB02B"/>
    <w:rsid w:val="FEBD0232"/>
    <w:rsid w:val="FED5A77F"/>
    <w:rsid w:val="FEDFD193"/>
    <w:rsid w:val="FEE7097E"/>
    <w:rsid w:val="FEEF8230"/>
    <w:rsid w:val="FEF1F1BE"/>
    <w:rsid w:val="FEF99316"/>
    <w:rsid w:val="FEFB20CB"/>
    <w:rsid w:val="FEFD95B3"/>
    <w:rsid w:val="FEFE4E93"/>
    <w:rsid w:val="FEFFA483"/>
    <w:rsid w:val="FF29B32D"/>
    <w:rsid w:val="FF2E6944"/>
    <w:rsid w:val="FF5F9D52"/>
    <w:rsid w:val="FF7A0B6A"/>
    <w:rsid w:val="FF7B6DC2"/>
    <w:rsid w:val="FF7FFF75"/>
    <w:rsid w:val="FF921F59"/>
    <w:rsid w:val="FFB75E44"/>
    <w:rsid w:val="FFBB1E09"/>
    <w:rsid w:val="FFBB6A0C"/>
    <w:rsid w:val="FFBD894B"/>
    <w:rsid w:val="FFBF33B3"/>
    <w:rsid w:val="FFD09362"/>
    <w:rsid w:val="FFD1DA08"/>
    <w:rsid w:val="FFD7DEDD"/>
    <w:rsid w:val="FFDE369F"/>
    <w:rsid w:val="FFEF98C9"/>
    <w:rsid w:val="FFEFCE62"/>
    <w:rsid w:val="FFF973B0"/>
    <w:rsid w:val="FFFB4F05"/>
    <w:rsid w:val="FFFEC8F5"/>
    <w:rsid w:val="FFFEFE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8">
    <w:name w:val="heading 3"/>
    <w:basedOn w:val="1"/>
    <w:next w:val="1"/>
    <w:qFormat/>
    <w:uiPriority w:val="0"/>
    <w:pPr>
      <w:keepNext/>
      <w:keepLines/>
      <w:spacing w:line="560" w:lineRule="exact"/>
      <w:ind w:firstLine="720" w:firstLineChars="200"/>
      <w:outlineLvl w:val="2"/>
    </w:pPr>
    <w:rPr>
      <w:rFonts w:eastAsia="楷体_GB2312"/>
      <w:b/>
      <w:kern w:val="0"/>
      <w:sz w:val="32"/>
      <w:szCs w:val="20"/>
    </w:rPr>
  </w:style>
  <w:style w:type="character" w:default="1" w:styleId="15">
    <w:name w:val="Default Paragraph Font"/>
    <w:semiHidden/>
    <w:unhideWhenUsed/>
    <w:qFormat/>
    <w:uiPriority w:val="1"/>
  </w:style>
  <w:style w:type="table" w:default="1" w:styleId="17">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w:basedOn w:val="3"/>
    <w:next w:val="4"/>
    <w:unhideWhenUsed/>
    <w:qFormat/>
    <w:uiPriority w:val="99"/>
    <w:pPr>
      <w:spacing w:after="0"/>
      <w:ind w:firstLine="100" w:firstLineChars="100"/>
    </w:pPr>
    <w:rPr>
      <w:kern w:val="0"/>
      <w:sz w:val="24"/>
    </w:rPr>
  </w:style>
  <w:style w:type="paragraph" w:styleId="3">
    <w:name w:val="Body Text"/>
    <w:basedOn w:val="1"/>
    <w:next w:val="1"/>
    <w:qFormat/>
    <w:uiPriority w:val="0"/>
    <w:pPr>
      <w:spacing w:after="120"/>
    </w:pPr>
  </w:style>
  <w:style w:type="paragraph" w:styleId="4">
    <w:name w:val="Body Text First Indent 2"/>
    <w:basedOn w:val="5"/>
    <w:unhideWhenUsed/>
    <w:qFormat/>
    <w:uiPriority w:val="99"/>
    <w:pPr>
      <w:ind w:firstLine="420" w:firstLineChars="200"/>
    </w:pPr>
  </w:style>
  <w:style w:type="paragraph" w:styleId="5">
    <w:name w:val="Body Text Indent"/>
    <w:basedOn w:val="1"/>
    <w:next w:val="6"/>
    <w:qFormat/>
    <w:uiPriority w:val="0"/>
    <w:pPr>
      <w:spacing w:after="120"/>
      <w:ind w:left="200" w:leftChars="200"/>
    </w:pPr>
    <w:rPr>
      <w:rFonts w:ascii="仿宋_GB2312"/>
      <w:szCs w:val="32"/>
    </w:rPr>
  </w:style>
  <w:style w:type="paragraph" w:styleId="6">
    <w:name w:val="Normal (Web)"/>
    <w:basedOn w:val="1"/>
    <w:next w:val="7"/>
    <w:qFormat/>
    <w:uiPriority w:val="0"/>
    <w:pPr>
      <w:widowControl/>
      <w:spacing w:before="100" w:beforeAutospacing="1" w:after="100" w:afterAutospacing="1"/>
      <w:jc w:val="left"/>
    </w:pPr>
    <w:rPr>
      <w:rFonts w:ascii="宋体" w:hAnsi="宋体" w:cs="宋体"/>
      <w:kern w:val="0"/>
      <w:sz w:val="24"/>
    </w:rPr>
  </w:style>
  <w:style w:type="paragraph" w:styleId="7">
    <w:name w:val="footer"/>
    <w:basedOn w:val="1"/>
    <w:next w:val="6"/>
    <w:link w:val="24"/>
    <w:qFormat/>
    <w:uiPriority w:val="99"/>
    <w:pPr>
      <w:tabs>
        <w:tab w:val="center" w:pos="4153"/>
        <w:tab w:val="right" w:pos="8306"/>
      </w:tabs>
      <w:snapToGrid w:val="0"/>
      <w:jc w:val="left"/>
    </w:pPr>
    <w:rPr>
      <w:rFonts w:eastAsia="宋体"/>
      <w:sz w:val="18"/>
      <w:szCs w:val="18"/>
    </w:rPr>
  </w:style>
  <w:style w:type="paragraph" w:styleId="9">
    <w:name w:val="Normal Indent"/>
    <w:basedOn w:val="1"/>
    <w:next w:val="1"/>
    <w:qFormat/>
    <w:uiPriority w:val="0"/>
    <w:pPr>
      <w:spacing w:before="156" w:beforeLines="50" w:line="360" w:lineRule="auto"/>
      <w:ind w:firstLine="480" w:firstLineChars="200"/>
    </w:pPr>
    <w:rPr>
      <w:rFonts w:eastAsia="仿宋"/>
      <w:sz w:val="24"/>
      <w:szCs w:val="23"/>
      <w:lang w:eastAsia="ar-SA"/>
    </w:rPr>
  </w:style>
  <w:style w:type="paragraph" w:styleId="10">
    <w:name w:val="Document Map"/>
    <w:basedOn w:val="1"/>
    <w:link w:val="22"/>
    <w:qFormat/>
    <w:uiPriority w:val="0"/>
    <w:rPr>
      <w:rFonts w:ascii="宋体" w:eastAsia="宋体"/>
      <w:sz w:val="18"/>
      <w:szCs w:val="18"/>
    </w:rPr>
  </w:style>
  <w:style w:type="paragraph" w:styleId="11">
    <w:name w:val="Block Text"/>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paragraph" w:styleId="12">
    <w:name w:val="Balloon Text"/>
    <w:basedOn w:val="1"/>
    <w:semiHidden/>
    <w:qFormat/>
    <w:uiPriority w:val="0"/>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14">
    <w:name w:val="toc 1"/>
    <w:basedOn w:val="1"/>
    <w:next w:val="1"/>
    <w:qFormat/>
    <w:uiPriority w:val="0"/>
  </w:style>
  <w:style w:type="character" w:styleId="16">
    <w:name w:val="page number"/>
    <w:basedOn w:val="15"/>
    <w:qFormat/>
    <w:uiPriority w:val="0"/>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9">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customStyle="1" w:styleId="20">
    <w:name w:val="四号正文"/>
    <w:basedOn w:val="1"/>
    <w:link w:val="21"/>
    <w:qFormat/>
    <w:uiPriority w:val="0"/>
    <w:pPr>
      <w:spacing w:line="360" w:lineRule="auto"/>
    </w:pPr>
    <w:rPr>
      <w:rFonts w:ascii="??" w:hAnsi="??" w:eastAsia="宋体" w:cs="宋体"/>
      <w:color w:val="000000"/>
      <w:kern w:val="0"/>
      <w:sz w:val="28"/>
      <w:szCs w:val="21"/>
    </w:rPr>
  </w:style>
  <w:style w:type="character" w:customStyle="1" w:styleId="21">
    <w:name w:val="四号正文 Char"/>
    <w:basedOn w:val="15"/>
    <w:link w:val="20"/>
    <w:qFormat/>
    <w:uiPriority w:val="0"/>
    <w:rPr>
      <w:rFonts w:ascii="??" w:hAnsi="??" w:eastAsia="宋体" w:cs="宋体"/>
      <w:color w:val="000000"/>
      <w:sz w:val="28"/>
      <w:szCs w:val="21"/>
      <w:lang w:val="en-US" w:eastAsia="zh-CN" w:bidi="ar-SA"/>
    </w:rPr>
  </w:style>
  <w:style w:type="character" w:customStyle="1" w:styleId="22">
    <w:name w:val="文档结构图 Char"/>
    <w:basedOn w:val="15"/>
    <w:link w:val="10"/>
    <w:qFormat/>
    <w:uiPriority w:val="0"/>
    <w:rPr>
      <w:rFonts w:ascii="宋体"/>
      <w:kern w:val="2"/>
      <w:sz w:val="18"/>
      <w:szCs w:val="18"/>
    </w:rPr>
  </w:style>
  <w:style w:type="paragraph" w:customStyle="1" w:styleId="23">
    <w:name w:val="a"/>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24">
    <w:name w:val="页脚 Char"/>
    <w:basedOn w:val="15"/>
    <w:link w:val="7"/>
    <w:qFormat/>
    <w:uiPriority w:val="99"/>
    <w:rPr>
      <w:kern w:val="2"/>
      <w:sz w:val="18"/>
      <w:szCs w:val="18"/>
    </w:rPr>
  </w:style>
  <w:style w:type="character" w:customStyle="1" w:styleId="25">
    <w:name w:val="font31"/>
    <w:basedOn w:val="15"/>
    <w:qFormat/>
    <w:uiPriority w:val="0"/>
    <w:rPr>
      <w:rFonts w:hint="eastAsia" w:ascii="宋体" w:hAnsi="宋体" w:eastAsia="宋体" w:cs="宋体"/>
      <w:color w:val="000000"/>
      <w:sz w:val="24"/>
      <w:szCs w:val="24"/>
      <w:u w:val="none"/>
    </w:rPr>
  </w:style>
  <w:style w:type="character" w:customStyle="1" w:styleId="26">
    <w:name w:val="font51"/>
    <w:basedOn w:val="15"/>
    <w:qFormat/>
    <w:uiPriority w:val="0"/>
    <w:rPr>
      <w:rFonts w:hint="default" w:ascii="Wingdings 2" w:hAnsi="Wingdings 2" w:eastAsia="Wingdings 2" w:cs="Wingdings 2"/>
      <w:color w:val="000000"/>
      <w:sz w:val="18"/>
      <w:szCs w:val="18"/>
      <w:u w:val="none"/>
    </w:rPr>
  </w:style>
  <w:style w:type="character" w:customStyle="1" w:styleId="27">
    <w:name w:val="font01"/>
    <w:basedOn w:val="15"/>
    <w:qFormat/>
    <w:uiPriority w:val="0"/>
    <w:rPr>
      <w:rFonts w:ascii="宋体" w:hAnsi="宋体" w:eastAsia="宋体" w:cs="宋体"/>
      <w:color w:val="000000"/>
      <w:sz w:val="18"/>
      <w:szCs w:val="18"/>
      <w:u w:val="none"/>
    </w:rPr>
  </w:style>
  <w:style w:type="character" w:customStyle="1" w:styleId="28">
    <w:name w:val="font41"/>
    <w:basedOn w:val="15"/>
    <w:qFormat/>
    <w:uiPriority w:val="0"/>
    <w:rPr>
      <w:rFonts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PSZX</Company>
  <Pages>12</Pages>
  <Words>5018</Words>
  <Characters>5215</Characters>
  <Lines>18</Lines>
  <Paragraphs>5</Paragraphs>
  <TotalTime>5</TotalTime>
  <ScaleCrop>false</ScaleCrop>
  <LinksUpToDate>false</LinksUpToDate>
  <CharactersWithSpaces>5217</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2025-03-27T08:07:00Z</dcterms:created>
  <dc:creator>陈萍</dc:creator>
  <cp:lastModifiedBy>Administrator</cp:lastModifiedBy>
  <cp:lastPrinted>2025-03-04T19:05:00Z</cp:lastPrinted>
  <dcterms:modified xsi:type="dcterms:W3CDTF">2026-06-15T02:07:08Z</dcterms:modified>
  <dc:title>区域性就业培训基地建设项目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y fmtid="{D5CDD505-2E9C-101B-9397-08002B2CF9AE}" pid="3" name="ICV">
    <vt:lpwstr>6870ACA9D2CF47759D45E944F0522C3E_13</vt:lpwstr>
  </property>
  <property fmtid="{D5CDD505-2E9C-101B-9397-08002B2CF9AE}" pid="4" name="KSOTemplateDocerSaveRecord">
    <vt:lpwstr>eyJoZGlkIjoiNmFjYjIzMjc3NzgwMDBhMDQ5MWE4NDg4YzVlOGNmMTAiLCJ1c2VySWQiOiI1NjY2NzMwMjAifQ==</vt:lpwstr>
  </property>
</Properties>
</file>