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187D6">
      <w:pPr>
        <w:spacing w:line="578" w:lineRule="exact"/>
        <w:contextualSpacing/>
        <w:rPr>
          <w:rFonts w:eastAsia="黑体"/>
          <w:szCs w:val="32"/>
          <w:lang w:val="zh-CN"/>
        </w:rPr>
      </w:pPr>
      <w:r>
        <w:rPr>
          <w:rFonts w:eastAsia="黑体"/>
          <w:szCs w:val="32"/>
          <w:lang w:val="zh-CN"/>
        </w:rPr>
        <w:t>附件</w:t>
      </w:r>
      <w:r>
        <w:rPr>
          <w:rFonts w:eastAsia="黑体"/>
          <w:szCs w:val="32"/>
        </w:rPr>
        <w:t>2</w:t>
      </w:r>
    </w:p>
    <w:p w14:paraId="0D1D05D4">
      <w:pPr>
        <w:widowControl/>
        <w:spacing w:line="578" w:lineRule="exact"/>
        <w:contextualSpacing/>
        <w:rPr>
          <w:rFonts w:eastAsia="宋体"/>
          <w:b/>
          <w:sz w:val="44"/>
          <w:szCs w:val="44"/>
          <w:shd w:val="clear" w:color="auto" w:fill="FFFFFF"/>
        </w:rPr>
      </w:pPr>
    </w:p>
    <w:p w14:paraId="2908EEDE">
      <w:pPr>
        <w:widowControl/>
        <w:spacing w:line="578" w:lineRule="exact"/>
        <w:contextualSpacing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z w:val="44"/>
          <w:szCs w:val="44"/>
          <w:shd w:val="clear" w:color="auto" w:fill="FFFFFF"/>
        </w:rPr>
        <w:t>部门预算绩效</w:t>
      </w:r>
      <w:r>
        <w:rPr>
          <w:rFonts w:hint="eastAsia" w:eastAsia="方正小标宋简体"/>
          <w:bCs/>
          <w:sz w:val="44"/>
          <w:szCs w:val="44"/>
          <w:shd w:val="clear" w:color="auto" w:fill="FFFFFF"/>
        </w:rPr>
        <w:t>自评</w:t>
      </w:r>
      <w:r>
        <w:rPr>
          <w:rFonts w:eastAsia="方正小标宋简体"/>
          <w:bCs/>
          <w:sz w:val="44"/>
          <w:szCs w:val="44"/>
          <w:shd w:val="clear" w:color="auto" w:fill="FFFFFF"/>
        </w:rPr>
        <w:t>报告</w:t>
      </w:r>
    </w:p>
    <w:p w14:paraId="7D86071A">
      <w:pPr>
        <w:widowControl/>
        <w:spacing w:line="578" w:lineRule="exact"/>
        <w:contextualSpacing/>
        <w:jc w:val="center"/>
        <w:rPr>
          <w:szCs w:val="32"/>
          <w:shd w:val="clear" w:color="auto" w:fill="FFFFFF"/>
        </w:rPr>
      </w:pPr>
      <w:r>
        <w:rPr>
          <w:szCs w:val="32"/>
          <w:shd w:val="clear" w:color="auto" w:fill="FFFFFF"/>
        </w:rPr>
        <w:t>（报告范围包括机关和下属单位）</w:t>
      </w:r>
    </w:p>
    <w:p w14:paraId="498AA163">
      <w:pPr>
        <w:widowControl/>
        <w:adjustRightInd w:val="0"/>
        <w:snapToGrid w:val="0"/>
        <w:spacing w:line="578" w:lineRule="exact"/>
        <w:ind w:firstLine="480" w:firstLineChars="200"/>
        <w:contextualSpacing/>
        <w:jc w:val="left"/>
        <w:rPr>
          <w:rFonts w:eastAsia="黑体"/>
          <w:color w:val="000000"/>
          <w:kern w:val="0"/>
          <w:sz w:val="24"/>
          <w:szCs w:val="32"/>
          <w:shd w:val="clear" w:color="auto" w:fill="FFFFFF"/>
        </w:rPr>
      </w:pPr>
    </w:p>
    <w:p w14:paraId="6326C3E8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szCs w:val="32"/>
        </w:rPr>
      </w:pPr>
      <w:r>
        <w:rPr>
          <w:rFonts w:eastAsia="黑体"/>
          <w:color w:val="000000"/>
          <w:kern w:val="0"/>
          <w:szCs w:val="32"/>
          <w:shd w:val="clear" w:color="auto" w:fill="FFFFFF"/>
          <w:lang w:val="zh-CN"/>
        </w:rPr>
        <w:t>一、部门（单位）基本情况</w:t>
      </w:r>
    </w:p>
    <w:p w14:paraId="01EF9C70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szCs w:val="32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（一）机构组成。</w:t>
      </w:r>
    </w:p>
    <w:p w14:paraId="38488744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 w:eastAsia="仿宋_GB2312"/>
          <w:szCs w:val="32"/>
          <w:lang w:val="en-US" w:eastAsia="zh-CN"/>
        </w:rPr>
      </w:pPr>
      <w:r>
        <w:rPr>
          <w:rFonts w:hint="eastAsia"/>
          <w:szCs w:val="32"/>
          <w:lang w:val="zh-CN"/>
        </w:rPr>
        <w:t>攀枝花市西区公务服务中心为公益一类事业单位。下属二级预算单位0个，内设机构根据单位实际运作情况设置，无独立核算的下属单位</w:t>
      </w:r>
      <w:r>
        <w:rPr>
          <w:rFonts w:hint="eastAsia"/>
          <w:szCs w:val="32"/>
          <w:lang w:val="zh-CN" w:eastAsia="zh-CN"/>
        </w:rPr>
        <w:t>。</w:t>
      </w:r>
    </w:p>
    <w:p w14:paraId="127F8D5F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（二）机构职能。</w:t>
      </w:r>
    </w:p>
    <w:p w14:paraId="2EAD0024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szCs w:val="32"/>
          <w:lang w:val="zh-CN"/>
        </w:rPr>
      </w:pPr>
      <w:r>
        <w:rPr>
          <w:rFonts w:hint="eastAsia"/>
          <w:szCs w:val="32"/>
          <w:lang w:val="zh-CN"/>
        </w:rPr>
        <w:t>承办区委、区政府领导有关公务服务工作的批示和决定；完成区四大班子及友邻市、县（区）来西区考察工作的公务服务；负责区内公务服务的组织、协调、指导、检查、督促；协助落实在西区召开的大型会议及重要活动的公务服务工作；负责安排到西区进行投资、洽谈业务等大型活动的服务工作。</w:t>
      </w:r>
    </w:p>
    <w:p w14:paraId="3DA252AC">
      <w:pPr>
        <w:spacing w:line="600" w:lineRule="exact"/>
        <w:ind w:firstLine="643" w:firstLineChars="200"/>
        <w:rPr>
          <w:szCs w:val="32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（三）人员概况。</w:t>
      </w:r>
    </w:p>
    <w:p w14:paraId="4B77DA8C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szCs w:val="32"/>
          <w:lang w:val="zh-CN"/>
        </w:rPr>
      </w:pPr>
      <w:r>
        <w:rPr>
          <w:rFonts w:hint="eastAsia"/>
          <w:szCs w:val="32"/>
          <w:lang w:val="zh-CN"/>
        </w:rPr>
        <w:t>截至2025年末，单位编制内实有人数4人，与上年持平；另有其他人员（聘用人员）2人。</w:t>
      </w:r>
    </w:p>
    <w:p w14:paraId="0B95C315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二、部门资金收支情况</w:t>
      </w:r>
    </w:p>
    <w:p w14:paraId="4063F7E3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（一）收入情况。</w:t>
      </w:r>
    </w:p>
    <w:p w14:paraId="177BE100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szCs w:val="32"/>
          <w:lang w:val="zh-CN"/>
        </w:rPr>
      </w:pPr>
      <w:r>
        <w:rPr>
          <w:rFonts w:hint="eastAsia"/>
          <w:szCs w:val="32"/>
          <w:lang w:val="zh-CN"/>
        </w:rPr>
        <w:t>2025年，攀枝花市西区公务服务中心年初预算收入159.26万元。决算报表收入总计96.22万元，全部为一般公共预算财政拨款收入。</w:t>
      </w:r>
    </w:p>
    <w:p w14:paraId="675A003B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szCs w:val="32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（二）支出情况。</w:t>
      </w:r>
    </w:p>
    <w:p w14:paraId="28C3FD9A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2025年，年初预算支出159.26万元。决算报表支出总计96.22万元，其中：基本支出90.14万元，项目支出6.08万元。基本支出主要用于人员工资福利及日常公用经费保障；项目支出主要为接待协调费支出，有效保障了全年公务接待、商务接待及各项大型活动接待任务的顺利完成。</w:t>
      </w:r>
    </w:p>
    <w:p w14:paraId="081CAFD3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</w:t>
      </w:r>
      <w:r>
        <w:rPr>
          <w:rFonts w:eastAsia="楷体_GB2312"/>
          <w:b/>
          <w:szCs w:val="32"/>
        </w:rPr>
        <w:t>结余分配和结转结余情况。</w:t>
      </w:r>
    </w:p>
    <w:p w14:paraId="36DE614C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2025年，攀枝花市西区公务服务中心无年末结转和结余资金。</w:t>
      </w:r>
    </w:p>
    <w:p w14:paraId="23068AF9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黑体"/>
          <w:color w:val="000000" w:themeColor="text1"/>
          <w:kern w:val="0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三、部门预算绩效分析</w:t>
      </w:r>
    </w:p>
    <w:p w14:paraId="4A16D472">
      <w:pPr>
        <w:adjustRightInd w:val="0"/>
        <w:snapToGrid w:val="0"/>
        <w:spacing w:line="578" w:lineRule="exact"/>
        <w:ind w:firstLine="643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（一）部门预算总体绩效分析。</w:t>
      </w:r>
      <w:r>
        <w:rPr>
          <w:color w:val="000000"/>
          <w:kern w:val="0"/>
          <w:szCs w:val="32"/>
          <w:shd w:val="clear" w:color="auto" w:fill="FFFFFF"/>
          <w:lang w:val="zh-CN"/>
        </w:rPr>
        <w:t>根据部门预算绩效评价指标体系“总体绩效”涉及二、三级指标进行逐项绩效分析并评分，依次包括履职效能、预算管理、财务管理、资产管理、采购管理等情况。</w:t>
      </w:r>
    </w:p>
    <w:p w14:paraId="1C892C2C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1.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履职效能。</w:t>
      </w:r>
    </w:p>
    <w:p w14:paraId="070251D6">
      <w:pPr>
        <w:adjustRightInd w:val="0"/>
        <w:snapToGrid w:val="0"/>
        <w:spacing w:line="578" w:lineRule="exact"/>
        <w:ind w:firstLine="643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b/>
          <w:bCs/>
          <w:color w:val="000000"/>
          <w:kern w:val="0"/>
          <w:szCs w:val="32"/>
          <w:shd w:val="clear" w:color="auto" w:fill="FFFFFF"/>
          <w:lang w:val="zh-CN"/>
        </w:rPr>
        <w:t>一是公务接待保障方面。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全年接待各级领导及来宾84批84次，其中公务接待39批39次，商务接待45批45次，严格按《攀枝花市西区党政机关国内公务接待管理实施办法》执行，未发生违规接待事件。</w:t>
      </w:r>
    </w:p>
    <w:p w14:paraId="7F05E403">
      <w:pPr>
        <w:adjustRightInd w:val="0"/>
        <w:snapToGrid w:val="0"/>
        <w:spacing w:line="578" w:lineRule="exact"/>
        <w:ind w:firstLine="643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b/>
          <w:bCs/>
          <w:color w:val="000000"/>
          <w:kern w:val="0"/>
          <w:szCs w:val="32"/>
          <w:shd w:val="clear" w:color="auto" w:fill="FFFFFF"/>
          <w:lang w:val="zh-CN"/>
        </w:rPr>
        <w:t>二是大型活动服务方面。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配合完成攀枝花2025年水墨金沙“沙滩音乐啤酒活动周”活动、第37届四川省“晚霞杯”桥牌赛暨2025年四川省社区桥牌赛、“牢记嘱托，同心奋进”读书分享会等重大活动，保障工作得到领导和来宾好评。</w:t>
      </w:r>
    </w:p>
    <w:p w14:paraId="6E1E730A">
      <w:pPr>
        <w:adjustRightInd w:val="0"/>
        <w:snapToGrid w:val="0"/>
        <w:spacing w:line="578" w:lineRule="exact"/>
        <w:ind w:firstLine="643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b/>
          <w:bCs/>
          <w:color w:val="000000"/>
          <w:kern w:val="0"/>
          <w:szCs w:val="32"/>
          <w:shd w:val="clear" w:color="auto" w:fill="FFFFFF"/>
          <w:lang w:val="zh-CN"/>
        </w:rPr>
        <w:t>三是业务指导协调方面。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指导区级部门接待及配合完成重要招商引资接待31次，协调区委党校、河门口街道在火红年华等地设立接待点，有效提升了接待服务质量和水平。</w:t>
      </w:r>
    </w:p>
    <w:p w14:paraId="6369D46B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2.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预算管理。</w:t>
      </w:r>
    </w:p>
    <w:p w14:paraId="00B9A675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 w:eastAsia="仿宋_GB2312"/>
          <w:color w:val="000000"/>
          <w:kern w:val="0"/>
          <w:szCs w:val="32"/>
          <w:shd w:val="clear" w:color="auto" w:fill="FFFFFF"/>
          <w:lang w:val="en-US" w:eastAsia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预算编制质量方面，年初预算159.26万元，全年预算96.22万元，调减39.56%，预算编制精准度有待提高。单位收入统筹方面，无非财政拨款收入，财政拨款已全部纳入预算管理。支出执行进度方面，1至12月预算执行进度为100%，资金支付及时。预算年终结余方面，年末无结转结余，控制良好。严控一般性支出方面，“三公”经费决算4.65万元，较年初预算46.5万元下降90%，有效落实了“过紧日子”要求。</w:t>
      </w:r>
    </w:p>
    <w:p w14:paraId="72762E47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3.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财务管理。</w:t>
      </w:r>
    </w:p>
    <w:p w14:paraId="7C3C2F42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财务管理制度方面，建立了《“三重一大”决策实施细则》等内控制度，制度健全。财务岗位设置方面，设有财务负责人和填表人岗位，职责清晰，符合相关财务管理制度要求。资金使用规范方面，资金使用严格履行审批程序，账表相符，无违规违纪情况</w:t>
      </w:r>
    </w:p>
    <w:p w14:paraId="5ACF3345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4.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资产管理。</w:t>
      </w:r>
    </w:p>
    <w:p w14:paraId="1880691E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 w:eastAsia="仿宋_GB2312"/>
          <w:color w:val="000000"/>
          <w:kern w:val="0"/>
          <w:szCs w:val="32"/>
          <w:shd w:val="clear" w:color="auto" w:fill="FFFFFF"/>
          <w:lang w:eastAsia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</w:rPr>
        <w:t>2025年，单位资产管理规范有序。一是人均资产变化率方面，年末资产总额与上年基本持平，在编人员无变动，人均资产无重大波动。二是资产利用率方面，公务用车及办公设备均正常在用，资产利用率较高。三是资产盘活率方面，无闲置一年以上资产，不存在资产盘活问题</w:t>
      </w:r>
      <w:r>
        <w:rPr>
          <w:rFonts w:hint="eastAsia"/>
          <w:color w:val="000000"/>
          <w:kern w:val="0"/>
          <w:szCs w:val="32"/>
          <w:shd w:val="clear" w:color="auto" w:fill="FFFFFF"/>
          <w:lang w:eastAsia="zh-CN"/>
        </w:rPr>
        <w:t>。</w:t>
      </w:r>
    </w:p>
    <w:p w14:paraId="445F76B2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5.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采购管理。</w:t>
      </w:r>
    </w:p>
    <w:p w14:paraId="6DBBC625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2025年，单位严格执行政府采购相关规定。一是支持中小企业发展方面，全年政府采购支出0.67万元，均为服务类采购，已按规定面向中小企业采购。二是采购执行率方面，政府采购资金支付比例为100%，执行情况良好。</w:t>
      </w:r>
    </w:p>
    <w:p w14:paraId="2DB6133C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color w:val="000000"/>
          <w:kern w:val="0"/>
          <w:szCs w:val="32"/>
          <w:shd w:val="clear" w:color="auto" w:fill="FFFFFF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（二）部门预算项目绩效分析。</w:t>
      </w:r>
      <w:r>
        <w:rPr>
          <w:color w:val="000000"/>
          <w:kern w:val="0"/>
          <w:szCs w:val="32"/>
          <w:shd w:val="clear" w:color="auto" w:fill="FFFFFF"/>
          <w:lang w:val="zh-CN"/>
        </w:rPr>
        <w:t>填报以下数据，并根据部门预算绩效评价指标体系“项目绩效”涉及二、三级指标进行逐项绩效分析并评分，依次包括项目</w:t>
      </w:r>
      <w:r>
        <w:rPr>
          <w:color w:val="000000"/>
          <w:kern w:val="0"/>
          <w:szCs w:val="32"/>
          <w:shd w:val="clear" w:color="auto" w:fill="FFFFFF"/>
        </w:rPr>
        <w:t>决策、项目执行、目标实现等情况。</w:t>
      </w:r>
    </w:p>
    <w:p w14:paraId="763F140D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</w:rPr>
      </w:pPr>
      <w:r>
        <w:rPr>
          <w:rFonts w:hint="eastAsia"/>
          <w:color w:val="000000"/>
          <w:kern w:val="0"/>
          <w:szCs w:val="32"/>
          <w:shd w:val="clear" w:color="auto" w:fill="FFFFFF"/>
        </w:rPr>
        <w:t>常年项目绩效分析：该类项目总数0个，涉及预算总金额0万元。</w:t>
      </w:r>
    </w:p>
    <w:p w14:paraId="140B92EA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</w:rPr>
        <w:t>阶段（含一次性）项目绩效分析：该类项目总数1个，涉及预算总金额8万元，1至12月预算执行总体进度为76%，其中：预算结余率大于10%的项目共计1个</w:t>
      </w:r>
      <w:r>
        <w:rPr>
          <w:color w:val="000000"/>
          <w:kern w:val="0"/>
          <w:szCs w:val="32"/>
          <w:shd w:val="clear" w:color="auto" w:fill="FFFFFF"/>
          <w:lang w:val="zh-CN"/>
        </w:rPr>
        <w:t>。</w:t>
      </w:r>
    </w:p>
    <w:p w14:paraId="6A0AE835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1.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项目决策。</w:t>
      </w:r>
    </w:p>
    <w:p w14:paraId="3983A213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eastAsia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</w:rPr>
        <w:t>项目设立依据充分，符合单位职能，已按规定履行申报程序。绩效目标设置基本合理，但在接待批次数量化预测上存在一定偏差。项目已按规定时间完成项目入库</w:t>
      </w:r>
      <w:r>
        <w:rPr>
          <w:rFonts w:hint="eastAsia"/>
          <w:color w:val="000000"/>
          <w:kern w:val="0"/>
          <w:szCs w:val="32"/>
          <w:shd w:val="clear" w:color="auto" w:fill="FFFFFF"/>
          <w:lang w:eastAsia="zh-CN"/>
        </w:rPr>
        <w:t>。</w:t>
      </w:r>
    </w:p>
    <w:p w14:paraId="148A5968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2.项目执行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。</w:t>
      </w:r>
    </w:p>
    <w:p w14:paraId="680D82CA">
      <w:pPr>
        <w:spacing w:line="578" w:lineRule="exact"/>
        <w:ind w:firstLine="640" w:firstLineChars="200"/>
        <w:rPr>
          <w:rFonts w:hint="eastAsia" w:eastAsia="仿宋_GB2312"/>
          <w:szCs w:val="32"/>
          <w:lang w:eastAsia="zh-CN"/>
        </w:rPr>
      </w:pPr>
      <w:r>
        <w:rPr>
          <w:rFonts w:hint="eastAsia"/>
          <w:szCs w:val="32"/>
        </w:rPr>
        <w:t>资金使用方向严格用于公务及商务接待协调，与绩效目标一致。项目预算执行率为76%，预算结余率24%，预算编制准确性不足，未及时申请调整</w:t>
      </w:r>
      <w:r>
        <w:rPr>
          <w:rFonts w:hint="eastAsia"/>
          <w:szCs w:val="32"/>
          <w:lang w:eastAsia="zh-CN"/>
        </w:rPr>
        <w:t>。</w:t>
      </w:r>
    </w:p>
    <w:p w14:paraId="0878E39E"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3.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目标实现。</w:t>
      </w:r>
    </w:p>
    <w:p w14:paraId="2646E5FC">
      <w:pPr>
        <w:spacing w:line="578" w:lineRule="exact"/>
        <w:ind w:firstLine="640" w:firstLineChars="200"/>
        <w:rPr>
          <w:szCs w:val="32"/>
        </w:rPr>
      </w:pPr>
      <w:r>
        <w:rPr>
          <w:rFonts w:hint="eastAsia"/>
          <w:szCs w:val="32"/>
          <w:lang w:val="en-US" w:eastAsia="zh-CN"/>
        </w:rPr>
        <w:t>项目确保了全年接待工作的顺利运转，完成了既定的工作任务。通过精细化的接待服务，有效宣传了西区形象，助力招商引资，为全区经济社会发展提供了坚实的后勤保障</w:t>
      </w:r>
      <w:r>
        <w:rPr>
          <w:szCs w:val="32"/>
        </w:rPr>
        <w:t>。</w:t>
      </w:r>
    </w:p>
    <w:p w14:paraId="25AB5488">
      <w:pPr>
        <w:snapToGrid w:val="0"/>
        <w:spacing w:line="600" w:lineRule="exact"/>
        <w:ind w:firstLine="643" w:firstLineChars="200"/>
        <w:rPr>
          <w:b/>
          <w:szCs w:val="32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</w:t>
      </w:r>
      <w:r>
        <w:rPr>
          <w:rFonts w:eastAsia="楷体_GB2312"/>
          <w:b/>
          <w:bCs/>
          <w:szCs w:val="32"/>
          <w:lang w:val="zh-CN"/>
        </w:rPr>
        <w:t>绩效结果应用情况。</w:t>
      </w:r>
    </w:p>
    <w:p w14:paraId="00E90081">
      <w:pPr>
        <w:widowControl/>
        <w:adjustRightInd w:val="0"/>
        <w:snapToGrid w:val="0"/>
        <w:spacing w:line="578" w:lineRule="exact"/>
        <w:ind w:firstLine="608" w:firstLineChars="200"/>
        <w:contextualSpacing/>
        <w:jc w:val="left"/>
        <w:rPr>
          <w:rFonts w:hint="eastAsia" w:eastAsia="仿宋_GB2312"/>
          <w:w w:val="95"/>
          <w:kern w:val="0"/>
          <w:szCs w:val="32"/>
          <w:lang w:eastAsia="zh-CN"/>
        </w:rPr>
      </w:pPr>
      <w:r>
        <w:rPr>
          <w:rFonts w:hint="eastAsia"/>
          <w:w w:val="95"/>
          <w:kern w:val="0"/>
          <w:szCs w:val="32"/>
        </w:rPr>
        <w:t>内部应用方面，将绩效评价结果作为次年预算安排的重要参考，对预算执行率偏低的“接待协调费”项目进行压减或重新测算。信息公开方面，已按要求在区政府门户网站公开2025年部门决算及绩效自评信息。整改反馈方面，针对预算编制不精准的问题，已组织财务人员复盘，将在下一年度加强预算需求测算</w:t>
      </w:r>
      <w:r>
        <w:rPr>
          <w:rFonts w:hint="eastAsia"/>
          <w:w w:val="95"/>
          <w:kern w:val="0"/>
          <w:szCs w:val="32"/>
          <w:lang w:eastAsia="zh-CN"/>
        </w:rPr>
        <w:t>。</w:t>
      </w:r>
    </w:p>
    <w:p w14:paraId="052F8559"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四、评价结论及建议</w:t>
      </w:r>
    </w:p>
    <w:p w14:paraId="309FCB2C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（一）评价结论。</w:t>
      </w:r>
    </w:p>
    <w:p w14:paraId="25CD35D3">
      <w:pPr>
        <w:spacing w:line="578" w:lineRule="exact"/>
        <w:ind w:firstLine="640" w:firstLineChars="200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2025年，攀枝花市西区公务服务中心整体支出绩效良好，有效保障了机构正常运转和区域公务活动的顺利开展。“三公”经费控制得力，资金使用合规。存在的主要问题是预算编制准确性不足、项目预算执行率偏低。</w:t>
      </w:r>
    </w:p>
    <w:p w14:paraId="6CA33203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（二）存在问题。</w:t>
      </w:r>
    </w:p>
    <w:p w14:paraId="3ABCEFB5">
      <w:pPr>
        <w:spacing w:line="578" w:lineRule="exact"/>
        <w:ind w:firstLine="640" w:firstLineChars="200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1.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预算编制精确度不够。年初预算159.26万元与实际决算96.22万元偏差较大，偏差率达39.56%。</w:t>
      </w:r>
    </w:p>
    <w:p w14:paraId="272ED996">
      <w:pPr>
        <w:spacing w:line="578" w:lineRule="exact"/>
        <w:ind w:firstLine="640" w:firstLineChars="200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2.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项目支出预算执行率偏低。“接待协调费”项目年初预算8万元，实际支出6.08万元，预算结余率24%，年初需求测算不够细致。</w:t>
      </w:r>
    </w:p>
    <w:p w14:paraId="5D7A956A">
      <w:pPr>
        <w:spacing w:line="578" w:lineRule="exact"/>
        <w:ind w:firstLine="640" w:firstLineChars="200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3.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绩效目标设置不够量化。部分绩效指标未设置可量化的目标值，不利于过程监控和效果评价。</w:t>
      </w:r>
    </w:p>
    <w:p w14:paraId="5436EC5F">
      <w:pPr>
        <w:widowControl/>
        <w:adjustRightInd w:val="0"/>
        <w:snapToGrid w:val="0"/>
        <w:spacing w:line="578" w:lineRule="exact"/>
        <w:ind w:firstLine="643" w:firstLineChars="200"/>
        <w:contextualSpacing/>
        <w:jc w:val="left"/>
        <w:rPr>
          <w:kern w:val="0"/>
          <w:szCs w:val="32"/>
          <w:lang w:val="e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（三）改进建议。</w:t>
      </w:r>
      <w:bookmarkStart w:id="0" w:name="_Hlk110546638"/>
    </w:p>
    <w:bookmarkEnd w:id="0"/>
    <w:p w14:paraId="455CC5EC">
      <w:pPr>
        <w:spacing w:line="578" w:lineRule="exact"/>
        <w:ind w:firstLine="640" w:firstLineChars="200"/>
        <w:rPr>
          <w:rFonts w:hint="eastAsia"/>
          <w:color w:val="000000"/>
          <w:kern w:val="0"/>
          <w:szCs w:val="32"/>
          <w:shd w:val="clear" w:color="auto" w:fill="FFFFFF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1.</w:t>
      </w:r>
      <w:r>
        <w:rPr>
          <w:rFonts w:hint="eastAsia"/>
          <w:color w:val="000000"/>
          <w:kern w:val="0"/>
          <w:szCs w:val="32"/>
          <w:shd w:val="clear" w:color="auto" w:fill="FFFFFF"/>
        </w:rPr>
        <w:t>预算编制精确度不够。年初预算159.26万元与实际决算96.22万元偏差较大，偏差率达39.56%。</w:t>
      </w:r>
    </w:p>
    <w:p w14:paraId="0279F908">
      <w:pPr>
        <w:spacing w:line="578" w:lineRule="exact"/>
        <w:ind w:firstLine="640" w:firstLineChars="200"/>
        <w:rPr>
          <w:rFonts w:hint="eastAsia"/>
          <w:color w:val="000000"/>
          <w:kern w:val="0"/>
          <w:szCs w:val="32"/>
          <w:shd w:val="clear" w:color="auto" w:fill="FFFFFF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2.</w:t>
      </w:r>
      <w:r>
        <w:rPr>
          <w:rFonts w:hint="eastAsia"/>
          <w:color w:val="000000"/>
          <w:kern w:val="0"/>
          <w:szCs w:val="32"/>
          <w:shd w:val="clear" w:color="auto" w:fill="FFFFFF"/>
        </w:rPr>
        <w:t>项目支出预算执行率偏低。“接待协调费”项目年初预算8万元，实际支出6.08万元，预算结余率24%，年初需求测算不够细致。</w:t>
      </w:r>
    </w:p>
    <w:p w14:paraId="5D1C562E">
      <w:pPr>
        <w:spacing w:line="578" w:lineRule="exact"/>
        <w:ind w:firstLine="640" w:firstLineChars="200"/>
        <w:rPr>
          <w:rFonts w:hint="eastAsia" w:eastAsia="仿宋_GB2312"/>
          <w:color w:val="000000"/>
          <w:kern w:val="0"/>
          <w:szCs w:val="32"/>
          <w:shd w:val="clear" w:color="auto" w:fill="FFFFFF"/>
          <w:lang w:eastAsia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3.</w:t>
      </w:r>
      <w:r>
        <w:rPr>
          <w:rFonts w:hint="eastAsia"/>
          <w:color w:val="000000"/>
          <w:kern w:val="0"/>
          <w:szCs w:val="32"/>
          <w:shd w:val="clear" w:color="auto" w:fill="FFFFFF"/>
        </w:rPr>
        <w:t>绩效目标设置不够量化。部分绩效指标未设置可量化的目标值，不利于过程监控和效果评价</w:t>
      </w:r>
      <w:r>
        <w:rPr>
          <w:rFonts w:hint="eastAsia"/>
          <w:color w:val="000000"/>
          <w:kern w:val="0"/>
          <w:szCs w:val="32"/>
          <w:shd w:val="clear" w:color="auto" w:fill="FFFFFF"/>
          <w:lang w:eastAsia="zh-CN"/>
        </w:rPr>
        <w:t>。</w:t>
      </w:r>
    </w:p>
    <w:p w14:paraId="287D396E">
      <w:pPr>
        <w:spacing w:line="578" w:lineRule="exact"/>
        <w:ind w:firstLine="640" w:firstLineChars="200"/>
        <w:rPr>
          <w:szCs w:val="32"/>
          <w:lang w:bidi="ar"/>
        </w:rPr>
      </w:pPr>
      <w:r>
        <w:rPr>
          <w:color w:val="000000"/>
          <w:kern w:val="0"/>
          <w:szCs w:val="32"/>
          <w:shd w:val="clear" w:color="auto" w:fill="FFFFFF"/>
        </w:rPr>
        <w:t>附表：</w:t>
      </w:r>
      <w:r>
        <w:rPr>
          <w:rFonts w:hint="eastAsia"/>
          <w:color w:val="000000"/>
          <w:kern w:val="0"/>
          <w:szCs w:val="32"/>
          <w:shd w:val="clear" w:color="auto" w:fill="FFFFFF"/>
        </w:rPr>
        <w:t>1.</w:t>
      </w:r>
      <w:r>
        <w:rPr>
          <w:rFonts w:hint="eastAsia"/>
          <w:szCs w:val="32"/>
          <w:lang w:bidi="ar"/>
        </w:rPr>
        <w:t>部门预算绩效自评打分表</w:t>
      </w:r>
    </w:p>
    <w:p w14:paraId="560B897B">
      <w:pPr>
        <w:spacing w:line="578" w:lineRule="exact"/>
        <w:ind w:firstLine="1600" w:firstLineChars="500"/>
        <w:rPr>
          <w:color w:val="000000"/>
          <w:kern w:val="0"/>
          <w:szCs w:val="32"/>
          <w:shd w:val="clear" w:color="auto" w:fill="FFFFFF"/>
        </w:rPr>
      </w:pPr>
      <w:r>
        <w:rPr>
          <w:rFonts w:hint="eastAsia"/>
          <w:szCs w:val="32"/>
          <w:lang w:bidi="ar"/>
        </w:rPr>
        <w:t>2.</w:t>
      </w:r>
      <w:r>
        <w:rPr>
          <w:color w:val="000000"/>
          <w:kern w:val="0"/>
          <w:szCs w:val="32"/>
          <w:shd w:val="clear" w:color="auto" w:fill="FFFFFF"/>
        </w:rPr>
        <w:t>部门整体绩效目标完成情况自评表</w:t>
      </w:r>
    </w:p>
    <w:p w14:paraId="0A676C98">
      <w:pPr>
        <w:spacing w:line="578" w:lineRule="exact"/>
        <w:ind w:firstLine="1600" w:firstLineChars="500"/>
        <w:rPr>
          <w:szCs w:val="32"/>
          <w:lang w:bidi="ar"/>
        </w:rPr>
      </w:pPr>
    </w:p>
    <w:p w14:paraId="104CB17C">
      <w:pPr>
        <w:pStyle w:val="16"/>
        <w:spacing w:line="20" w:lineRule="exact"/>
      </w:pPr>
      <w:r>
        <w:rPr>
          <w:color w:val="000000"/>
          <w:kern w:val="0"/>
          <w:szCs w:val="32"/>
          <w:shd w:val="clear" w:color="auto" w:fill="FFFFFF"/>
        </w:rPr>
        <w:br w:type="page"/>
      </w:r>
      <w:bookmarkStart w:id="1" w:name="_GoBack"/>
      <w:bookmarkEnd w:id="1"/>
    </w:p>
    <w:p w14:paraId="77C4A994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190E6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D36A9F"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68FEFA8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D36A9F">
                    <w:pPr>
                      <w:pStyle w:val="8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68FEFA8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A3196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40D689D"/>
    <w:rsid w:val="0DC31556"/>
    <w:rsid w:val="0ECF0164"/>
    <w:rsid w:val="16460BCC"/>
    <w:rsid w:val="1A3D6143"/>
    <w:rsid w:val="1C013801"/>
    <w:rsid w:val="1DFD8D3B"/>
    <w:rsid w:val="1FB79DC9"/>
    <w:rsid w:val="1FBFC3F2"/>
    <w:rsid w:val="1FFFE033"/>
    <w:rsid w:val="25005360"/>
    <w:rsid w:val="27F352A6"/>
    <w:rsid w:val="29560A0A"/>
    <w:rsid w:val="2D527252"/>
    <w:rsid w:val="2DDC1740"/>
    <w:rsid w:val="2EAE55F2"/>
    <w:rsid w:val="2EDF4302"/>
    <w:rsid w:val="2EFE1A04"/>
    <w:rsid w:val="2FFF3854"/>
    <w:rsid w:val="35BBF80F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33DCF8E"/>
    <w:rsid w:val="45FF973D"/>
    <w:rsid w:val="47550EBA"/>
    <w:rsid w:val="493E12E4"/>
    <w:rsid w:val="4BF7E09D"/>
    <w:rsid w:val="53BB74FC"/>
    <w:rsid w:val="55FDDF92"/>
    <w:rsid w:val="55FFBC03"/>
    <w:rsid w:val="56CDA72E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DBAF21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560" w:lineRule="exact"/>
      <w:ind w:firstLine="720" w:firstLineChars="200"/>
      <w:outlineLvl w:val="2"/>
    </w:pPr>
    <w:rPr>
      <w:rFonts w:eastAsia="楷体_GB2312"/>
      <w:b/>
      <w:kern w:val="0"/>
      <w:sz w:val="32"/>
      <w:szCs w:val="20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9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17">
    <w:name w:val="四号正文"/>
    <w:basedOn w:val="1"/>
    <w:link w:val="18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8">
    <w:name w:val="四号正文 Char"/>
    <w:basedOn w:val="14"/>
    <w:link w:val="17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9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20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1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2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4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7</Pages>
  <Words>3813</Words>
  <Characters>4011</Characters>
  <Lines>18</Lines>
  <Paragraphs>5</Paragraphs>
  <TotalTime>2</TotalTime>
  <ScaleCrop>false</ScaleCrop>
  <LinksUpToDate>false</LinksUpToDate>
  <CharactersWithSpaces>4011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lenovo</cp:lastModifiedBy>
  <cp:lastPrinted>2025-03-04T19:05:00Z</cp:lastPrinted>
  <dcterms:modified xsi:type="dcterms:W3CDTF">2026-06-16T01:16:46Z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eyJoZGlkIjoiMmY2YmUxZjk2NzRmYTg5MDQ2ZDU3YTM2YzM2MGI4ZDIiLCJ1c2VySWQiOiI1NDQ5OTk1MzQifQ==</vt:lpwstr>
  </property>
</Properties>
</file>