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left"/>
        <w:rPr>
          <w:rFonts w:hint="default" w:ascii="Times New Roman" w:hAnsi="Times New Roman" w:eastAsia="方正黑体_GBK" w:cs="Times New Roman"/>
        </w:rPr>
      </w:pPr>
      <w:r>
        <w:rPr>
          <w:rFonts w:hint="default" w:ascii="Times New Roman" w:hAnsi="Times New Roman" w:eastAsia="方正黑体_GBK" w:cs="Times New Roman"/>
        </w:rPr>
        <w:t>附表2</w:t>
      </w:r>
    </w:p>
    <w:p>
      <w:pPr>
        <w:adjustRightInd w:val="0"/>
        <w:snapToGrid w:val="0"/>
        <w:spacing w:line="0" w:lineRule="atLeast"/>
        <w:jc w:val="center"/>
        <w:rPr>
          <w:rFonts w:hint="default" w:ascii="Times New Roman" w:hAnsi="Times New Roman" w:eastAsia="方正小标宋_GBK" w:cs="Times New Roman"/>
          <w:b/>
          <w:bCs/>
          <w:sz w:val="44"/>
          <w:szCs w:val="44"/>
        </w:rPr>
      </w:pPr>
    </w:p>
    <w:tbl>
      <w:tblPr>
        <w:tblStyle w:val="13"/>
        <w:tblW w:w="10560" w:type="dxa"/>
        <w:jc w:val="center"/>
        <w:tblInd w:w="0" w:type="dxa"/>
        <w:tblLayout w:type="fixed"/>
        <w:tblCellMar>
          <w:top w:w="15" w:type="dxa"/>
          <w:left w:w="15" w:type="dxa"/>
          <w:bottom w:w="15" w:type="dxa"/>
          <w:right w:w="15" w:type="dxa"/>
        </w:tblCellMar>
      </w:tblPr>
      <w:tblGrid>
        <w:gridCol w:w="1308"/>
        <w:gridCol w:w="1347"/>
        <w:gridCol w:w="1273"/>
        <w:gridCol w:w="1100"/>
        <w:gridCol w:w="1145"/>
        <w:gridCol w:w="1789"/>
        <w:gridCol w:w="885"/>
        <w:gridCol w:w="1713"/>
      </w:tblGrid>
      <w:tr>
        <w:tblPrEx>
          <w:tblLayout w:type="fixed"/>
          <w:tblCellMar>
            <w:top w:w="15" w:type="dxa"/>
            <w:left w:w="15" w:type="dxa"/>
            <w:bottom w:w="15" w:type="dxa"/>
            <w:right w:w="15" w:type="dxa"/>
          </w:tblCellMar>
        </w:tblPrEx>
        <w:trPr>
          <w:trHeight w:val="759" w:hRule="exact"/>
          <w:jc w:val="center"/>
        </w:trPr>
        <w:tc>
          <w:tcPr>
            <w:tcW w:w="10560" w:type="dxa"/>
            <w:gridSpan w:val="8"/>
            <w:shd w:val="clear" w:color="auto" w:fill="auto"/>
            <w:vAlign w:val="center"/>
          </w:tcPr>
          <w:p>
            <w:pPr>
              <w:widowControl w:val="0"/>
              <w:adjustRightInd w:val="0"/>
              <w:snapToGrid w:val="0"/>
              <w:spacing w:line="0" w:lineRule="atLeast"/>
              <w:jc w:val="center"/>
              <w:textAlignment w:val="center"/>
              <w:rPr>
                <w:rFonts w:hint="default" w:ascii="Times New Roman" w:hAnsi="Times New Roman" w:eastAsia="方正小标宋_GBK" w:cs="Times New Roman"/>
                <w:b/>
                <w:bCs/>
                <w:color w:val="000000"/>
                <w:sz w:val="44"/>
                <w:szCs w:val="44"/>
              </w:rPr>
            </w:pPr>
            <w:r>
              <w:rPr>
                <w:rFonts w:hint="eastAsia" w:eastAsia="方正小标宋_GBK" w:cs="Times New Roman"/>
                <w:b/>
                <w:bCs/>
                <w:color w:val="000000"/>
                <w:kern w:val="0"/>
                <w:sz w:val="44"/>
                <w:szCs w:val="44"/>
                <w:lang w:val="en-US" w:eastAsia="zh-CN" w:bidi="ar"/>
              </w:rPr>
              <w:t>部门</w:t>
            </w:r>
            <w:bookmarkStart w:id="0" w:name="_GoBack"/>
            <w:bookmarkEnd w:id="0"/>
            <w:r>
              <w:rPr>
                <w:rFonts w:hint="default" w:ascii="Times New Roman" w:hAnsi="Times New Roman" w:eastAsia="方正小标宋_GBK" w:cs="Times New Roman"/>
                <w:b/>
                <w:bCs/>
                <w:color w:val="000000"/>
                <w:kern w:val="0"/>
                <w:sz w:val="44"/>
                <w:szCs w:val="44"/>
                <w:lang w:bidi="ar"/>
              </w:rPr>
              <w:t>整体绩效目标完成情况自评表</w:t>
            </w:r>
          </w:p>
        </w:tc>
      </w:tr>
      <w:tr>
        <w:tblPrEx>
          <w:tblLayout w:type="fixed"/>
          <w:tblCellMar>
            <w:top w:w="15" w:type="dxa"/>
            <w:left w:w="15" w:type="dxa"/>
            <w:bottom w:w="15" w:type="dxa"/>
            <w:right w:w="15" w:type="dxa"/>
          </w:tblCellMar>
        </w:tblPrEx>
        <w:trPr>
          <w:trHeight w:val="471" w:hRule="atLeast"/>
          <w:jc w:val="center"/>
        </w:trPr>
        <w:tc>
          <w:tcPr>
            <w:tcW w:w="10560" w:type="dxa"/>
            <w:gridSpan w:val="8"/>
            <w:shd w:val="clear" w:color="auto" w:fill="auto"/>
            <w:vAlign w:val="center"/>
          </w:tcPr>
          <w:p>
            <w:pPr>
              <w:widowControl w:val="0"/>
              <w:adjustRightInd w:val="0"/>
              <w:snapToGrid w:val="0"/>
              <w:spacing w:line="0" w:lineRule="atLeast"/>
              <w:jc w:val="center"/>
              <w:textAlignment w:val="center"/>
              <w:rPr>
                <w:rFonts w:hint="default" w:ascii="Times New Roman" w:hAnsi="Times New Roman" w:eastAsia="方正小标宋_GBK" w:cs="Times New Roman"/>
                <w:color w:val="000000"/>
                <w:sz w:val="44"/>
                <w:szCs w:val="44"/>
              </w:rPr>
            </w:pPr>
            <w:r>
              <w:rPr>
                <w:rFonts w:hint="default" w:ascii="Times New Roman" w:hAnsi="Times New Roman" w:eastAsia="方正楷体_GBK" w:cs="Times New Roman"/>
                <w:b/>
                <w:bCs/>
                <w:color w:val="000000"/>
                <w:kern w:val="0"/>
                <w:sz w:val="32"/>
                <w:szCs w:val="32"/>
                <w:lang w:bidi="ar"/>
              </w:rPr>
              <w:t>（202</w:t>
            </w:r>
            <w:r>
              <w:rPr>
                <w:rFonts w:hint="default" w:ascii="Times New Roman" w:hAnsi="Times New Roman" w:eastAsia="方正楷体_GBK" w:cs="Times New Roman"/>
                <w:b/>
                <w:bCs/>
                <w:color w:val="000000"/>
                <w:kern w:val="0"/>
                <w:sz w:val="32"/>
                <w:szCs w:val="32"/>
                <w:lang w:val="en-US" w:eastAsia="zh-CN" w:bidi="ar"/>
              </w:rPr>
              <w:t>5</w:t>
            </w:r>
            <w:r>
              <w:rPr>
                <w:rFonts w:hint="default" w:ascii="Times New Roman" w:hAnsi="Times New Roman" w:eastAsia="方正楷体_GBK" w:cs="Times New Roman"/>
                <w:b/>
                <w:bCs/>
                <w:color w:val="000000"/>
                <w:kern w:val="0"/>
                <w:sz w:val="32"/>
                <w:szCs w:val="32"/>
                <w:lang w:bidi="ar"/>
              </w:rPr>
              <w:t>年度）</w:t>
            </w:r>
          </w:p>
        </w:tc>
      </w:tr>
      <w:tr>
        <w:tblPrEx>
          <w:tblLayout w:type="fixed"/>
          <w:tblCellMar>
            <w:top w:w="15" w:type="dxa"/>
            <w:left w:w="15" w:type="dxa"/>
            <w:bottom w:w="15" w:type="dxa"/>
            <w:right w:w="15" w:type="dxa"/>
          </w:tblCellMar>
        </w:tblPrEx>
        <w:trPr>
          <w:trHeight w:val="323" w:hRule="atLeast"/>
          <w:jc w:val="center"/>
        </w:trPr>
        <w:tc>
          <w:tcPr>
            <w:tcW w:w="10560" w:type="dxa"/>
            <w:gridSpan w:val="8"/>
            <w:tcBorders>
              <w:bottom w:val="single" w:color="000000" w:sz="4" w:space="0"/>
            </w:tcBorders>
            <w:shd w:val="clear" w:color="auto" w:fill="auto"/>
            <w:vAlign w:val="center"/>
          </w:tcPr>
          <w:p>
            <w:pPr>
              <w:widowControl w:val="0"/>
              <w:spacing w:line="300" w:lineRule="exact"/>
              <w:jc w:val="righ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单位：万元</w:t>
            </w:r>
          </w:p>
        </w:tc>
      </w:tr>
      <w:tr>
        <w:tblPrEx>
          <w:tblLayout w:type="fixed"/>
          <w:tblCellMar>
            <w:top w:w="15" w:type="dxa"/>
            <w:left w:w="15" w:type="dxa"/>
            <w:bottom w:w="15" w:type="dxa"/>
            <w:right w:w="15" w:type="dxa"/>
          </w:tblCellMar>
        </w:tblPrEx>
        <w:trPr>
          <w:trHeight w:val="332"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部门名称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lang w:eastAsia="zh-CN"/>
              </w:rPr>
            </w:pPr>
            <w:r>
              <w:rPr>
                <w:rFonts w:hint="default" w:ascii="Times New Roman" w:hAnsi="Times New Roman" w:eastAsia="方正仿宋_GBK" w:cs="Times New Roman"/>
                <w:color w:val="000000"/>
                <w:kern w:val="0"/>
                <w:sz w:val="18"/>
                <w:szCs w:val="18"/>
                <w:lang w:eastAsia="zh-CN" w:bidi="ar"/>
              </w:rPr>
              <w:t>攀枝花市西区卫生健康局</w:t>
            </w:r>
          </w:p>
        </w:tc>
      </w:tr>
      <w:tr>
        <w:tblPrEx>
          <w:tblLayout w:type="fixed"/>
          <w:tblCellMar>
            <w:top w:w="15" w:type="dxa"/>
            <w:left w:w="15" w:type="dxa"/>
            <w:bottom w:w="15" w:type="dxa"/>
            <w:right w:w="15" w:type="dxa"/>
          </w:tblCellMar>
        </w:tblPrEx>
        <w:trPr>
          <w:trHeight w:val="332"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rPr>
            </w:pPr>
            <w:r>
              <w:rPr>
                <w:rFonts w:hint="default" w:ascii="Times New Roman" w:hAnsi="Times New Roman" w:eastAsia="方正仿宋_GBK" w:cs="Times New Roman"/>
                <w:color w:val="000000"/>
                <w:kern w:val="0"/>
                <w:sz w:val="18"/>
                <w:szCs w:val="18"/>
                <w:lang w:bidi="ar"/>
              </w:rPr>
              <w:t>其他资金</w:t>
            </w:r>
          </w:p>
        </w:tc>
      </w:tr>
      <w:tr>
        <w:tblPrEx>
          <w:tblLayout w:type="fixed"/>
          <w:tblCellMar>
            <w:top w:w="15" w:type="dxa"/>
            <w:left w:w="15" w:type="dxa"/>
            <w:bottom w:w="15" w:type="dxa"/>
            <w:right w:w="15" w:type="dxa"/>
          </w:tblCellMar>
        </w:tblPrEx>
        <w:trPr>
          <w:trHeight w:val="367"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sz w:val="18"/>
                <w:szCs w:val="18"/>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lang w:val="en-US" w:eastAsia="zh-CN"/>
              </w:rPr>
            </w:pPr>
            <w:r>
              <w:rPr>
                <w:rFonts w:hint="default" w:ascii="Times New Roman" w:hAnsi="Times New Roman" w:eastAsia="方正仿宋_GBK" w:cs="Times New Roman"/>
                <w:color w:val="000000"/>
                <w:sz w:val="18"/>
                <w:szCs w:val="18"/>
                <w:lang w:val="en-US" w:eastAsia="zh-CN"/>
              </w:rPr>
              <w:t>1929.71</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lang w:val="en-US" w:eastAsia="zh-CN"/>
              </w:rPr>
            </w:pPr>
            <w:r>
              <w:rPr>
                <w:rFonts w:hint="default" w:ascii="Times New Roman" w:hAnsi="Times New Roman" w:eastAsia="方正仿宋_GBK" w:cs="Times New Roman"/>
                <w:color w:val="000000"/>
                <w:sz w:val="18"/>
                <w:szCs w:val="18"/>
                <w:lang w:val="en-US" w:eastAsia="zh-CN"/>
              </w:rPr>
              <w:t>1929.71</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sz w:val="18"/>
                <w:szCs w:val="18"/>
              </w:rPr>
            </w:pPr>
          </w:p>
        </w:tc>
      </w:tr>
      <w:tr>
        <w:tblPrEx>
          <w:tblLayout w:type="fixed"/>
          <w:tblCellMar>
            <w:top w:w="15" w:type="dxa"/>
            <w:left w:w="15" w:type="dxa"/>
            <w:bottom w:w="15" w:type="dxa"/>
            <w:right w:w="15" w:type="dxa"/>
          </w:tblCellMar>
        </w:tblPrEx>
        <w:trPr>
          <w:trHeight w:val="1055"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年度总体</w:t>
            </w:r>
          </w:p>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目标</w:t>
            </w:r>
          </w:p>
        </w:tc>
        <w:tc>
          <w:tcPr>
            <w:tcW w:w="92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numPr>
                <w:ilvl w:val="-1"/>
                <w:numId w:val="0"/>
              </w:numPr>
              <w:spacing w:line="300" w:lineRule="exact"/>
              <w:jc w:val="left"/>
              <w:textAlignment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color w:val="000000"/>
                <w:kern w:val="0"/>
                <w:sz w:val="18"/>
                <w:szCs w:val="18"/>
                <w:lang w:val="en-US" w:eastAsia="zh-CN" w:bidi="ar"/>
              </w:rPr>
              <w:t>1.</w:t>
            </w:r>
            <w:r>
              <w:rPr>
                <w:rFonts w:hint="default" w:ascii="Times New Roman" w:hAnsi="Times New Roman" w:eastAsia="方正仿宋_GBK" w:cs="Times New Roman"/>
                <w:color w:val="000000"/>
                <w:kern w:val="0"/>
                <w:sz w:val="18"/>
                <w:szCs w:val="18"/>
                <w:lang w:bidi="ar"/>
              </w:rPr>
              <w:t>基本支出：保障</w:t>
            </w:r>
            <w:r>
              <w:rPr>
                <w:rFonts w:hint="default" w:ascii="Times New Roman" w:hAnsi="Times New Roman" w:eastAsia="方正仿宋_GBK" w:cs="Times New Roman"/>
                <w:color w:val="000000"/>
                <w:kern w:val="0"/>
                <w:sz w:val="18"/>
                <w:szCs w:val="18"/>
                <w:lang w:eastAsia="zh-CN" w:bidi="ar"/>
              </w:rPr>
              <w:t>单位职工</w:t>
            </w:r>
            <w:r>
              <w:rPr>
                <w:rFonts w:hint="default" w:ascii="Times New Roman" w:hAnsi="Times New Roman" w:eastAsia="方正仿宋_GBK" w:cs="Times New Roman"/>
                <w:color w:val="000000"/>
                <w:kern w:val="0"/>
                <w:sz w:val="18"/>
                <w:szCs w:val="18"/>
                <w:lang w:bidi="ar"/>
              </w:rPr>
              <w:t>员工每月工资、福利等发放及</w:t>
            </w:r>
            <w:r>
              <w:rPr>
                <w:rFonts w:hint="default" w:ascii="Times New Roman" w:hAnsi="Times New Roman" w:eastAsia="方正仿宋_GBK" w:cs="Times New Roman"/>
                <w:color w:val="000000"/>
                <w:kern w:val="0"/>
                <w:sz w:val="18"/>
                <w:szCs w:val="18"/>
                <w:lang w:eastAsia="zh-CN" w:bidi="ar"/>
              </w:rPr>
              <w:t>机构</w:t>
            </w:r>
            <w:r>
              <w:rPr>
                <w:rFonts w:hint="default" w:ascii="Times New Roman" w:hAnsi="Times New Roman" w:eastAsia="方正仿宋_GBK" w:cs="Times New Roman"/>
                <w:color w:val="000000"/>
                <w:kern w:val="0"/>
                <w:sz w:val="18"/>
                <w:szCs w:val="18"/>
                <w:lang w:bidi="ar"/>
              </w:rPr>
              <w:t xml:space="preserve">公用经费的合理支出。 </w:t>
            </w:r>
          </w:p>
          <w:p>
            <w:pPr>
              <w:widowControl w:val="0"/>
              <w:numPr>
                <w:ilvl w:val="-1"/>
                <w:numId w:val="0"/>
              </w:numPr>
              <w:spacing w:line="300" w:lineRule="exact"/>
              <w:jc w:val="left"/>
              <w:textAlignment w:val="center"/>
              <w:rPr>
                <w:rFonts w:hint="default" w:ascii="Times New Roman" w:hAnsi="Times New Roman" w:eastAsia="方正仿宋_GBK" w:cs="Times New Roman"/>
                <w:sz w:val="18"/>
                <w:szCs w:val="18"/>
                <w:highlight w:val="none"/>
                <w:lang w:eastAsia="zh-CN"/>
              </w:rPr>
            </w:pPr>
            <w:r>
              <w:rPr>
                <w:rFonts w:hint="default" w:ascii="Times New Roman" w:hAnsi="Times New Roman" w:eastAsia="方正仿宋_GBK" w:cs="Times New Roman"/>
                <w:sz w:val="18"/>
                <w:szCs w:val="18"/>
                <w:highlight w:val="none"/>
              </w:rPr>
              <w:t>2.落实育儿补贴政策，为辖区范围内符合条件并按政策生育二孩、三孩的攀枝花户籍家庭发放补贴，有效缓解辖区内育儿家庭抚养压力，提高家庭生育意愿，强化计划生育利益导向机制，引导群众按政策生育，促进人口长期均衡发展</w:t>
            </w:r>
            <w:r>
              <w:rPr>
                <w:rFonts w:hint="default" w:ascii="Times New Roman" w:hAnsi="Times New Roman" w:eastAsia="方正仿宋_GBK" w:cs="Times New Roman"/>
                <w:sz w:val="18"/>
                <w:szCs w:val="18"/>
                <w:highlight w:val="none"/>
                <w:lang w:eastAsia="zh-CN"/>
              </w:rPr>
              <w:t>。</w:t>
            </w:r>
          </w:p>
          <w:p>
            <w:pPr>
              <w:widowControl w:val="0"/>
              <w:numPr>
                <w:ilvl w:val="-1"/>
                <w:numId w:val="0"/>
              </w:numPr>
              <w:spacing w:line="300" w:lineRule="exact"/>
              <w:jc w:val="left"/>
              <w:textAlignment w:val="center"/>
              <w:rPr>
                <w:rFonts w:hint="default" w:ascii="Times New Roman" w:hAnsi="Times New Roman" w:eastAsia="方正仿宋_GBK" w:cs="Times New Roman"/>
                <w:sz w:val="18"/>
                <w:szCs w:val="18"/>
                <w:highlight w:val="none"/>
                <w:lang w:val="en-US" w:eastAsia="zh-CN"/>
              </w:rPr>
            </w:pPr>
            <w:r>
              <w:rPr>
                <w:rFonts w:hint="default" w:ascii="Times New Roman" w:hAnsi="Times New Roman" w:eastAsia="方正仿宋_GBK" w:cs="Times New Roman"/>
                <w:sz w:val="18"/>
                <w:szCs w:val="18"/>
                <w:highlight w:val="none"/>
                <w:lang w:val="en-US" w:eastAsia="zh-CN"/>
              </w:rPr>
              <w:t xml:space="preserve">3.落实计划生育利益导向政策，加大对计划生育特殊困难家庭的帮扶力度，强化户籍人口和流动人口信息的登记网络，提升对人口信息的登记管理，使基层对辖区居民的分布和数量得到及时登记和准确录入。充分调动群众按政策生育的积极性，促进人口长期均衡发展，为建设现代化区域中心城市提供人口支撑。         </w:t>
            </w:r>
            <w:r>
              <w:rPr>
                <w:rFonts w:hint="default" w:ascii="Times New Roman" w:hAnsi="Times New Roman" w:eastAsia="方正仿宋_GBK" w:cs="Times New Roman"/>
                <w:sz w:val="18"/>
                <w:szCs w:val="18"/>
                <w:lang w:val="en-US" w:eastAsia="zh-CN"/>
              </w:rPr>
              <w:t xml:space="preserve">                                                                    </w:t>
            </w:r>
            <w:r>
              <w:rPr>
                <w:rFonts w:hint="default" w:ascii="Times New Roman" w:hAnsi="Times New Roman" w:eastAsia="方正仿宋_GBK" w:cs="Times New Roman"/>
                <w:sz w:val="18"/>
                <w:szCs w:val="18"/>
                <w:highlight w:val="none"/>
                <w:lang w:val="en-US" w:eastAsia="zh-CN"/>
              </w:rPr>
              <w:t xml:space="preserve">4.加强对各单位传染病管理工作人员进行培训，提升综合防治能力。进行传染病网络直报信息系统软硬件的升级、维护等提升工作效率，提高法定传染病报告管理质量，促进传染病信息报告管理的科学、规范、及时、准确。                                                                                            5.落实“政府组织领导、部门各负其责、全社会共同参与”的防治机制，完成艾滋病各项目标任务；及时发现和规范治疗管理结核病患者，持续降低结核病的感染、发病与死亡，确保结核病疫情稳步下降，提高群众健康水平。                                                                                        6.规范严重精神障碍患者随访、分类管理，开展患者健康体检，开展精神卫生宣传教育等工作，提高群众心理健康水平，构建和谐社会环境。 </w:t>
            </w:r>
          </w:p>
          <w:p>
            <w:pPr>
              <w:widowControl w:val="0"/>
              <w:numPr>
                <w:ilvl w:val="-1"/>
                <w:numId w:val="0"/>
              </w:numPr>
              <w:spacing w:line="300" w:lineRule="exact"/>
              <w:jc w:val="left"/>
              <w:textAlignment w:val="center"/>
              <w:rPr>
                <w:rFonts w:hint="default" w:ascii="Times New Roman" w:hAnsi="Times New Roman" w:eastAsia="方正仿宋_GBK" w:cs="Times New Roman"/>
                <w:sz w:val="18"/>
                <w:szCs w:val="18"/>
                <w:highlight w:val="none"/>
                <w:lang w:val="en-US" w:eastAsia="zh-CN"/>
              </w:rPr>
            </w:pPr>
            <w:r>
              <w:rPr>
                <w:rFonts w:hint="default" w:ascii="Times New Roman" w:hAnsi="Times New Roman" w:eastAsia="方正仿宋_GBK" w:cs="Times New Roman"/>
                <w:sz w:val="18"/>
                <w:szCs w:val="18"/>
                <w:highlight w:val="none"/>
                <w:lang w:val="en-US" w:eastAsia="zh-CN"/>
              </w:rPr>
              <w:t>7推动基层红十字会组织建设、“三献”宣传、全民应急救护培训、人道主义救助慰问、志愿者服务等工作上新台阶，通过开展红十字应急救护知识培训等，进一步传播应急救护知识与技能，进一步提高群众在面对意外伤害和突发疾病情况下的自我保护意识和自救互救能力，进一步提高红十字会的影响力，当好党和政府在人道领域的助手和桥梁作</w:t>
            </w:r>
            <w:r>
              <w:rPr>
                <w:rFonts w:hint="default" w:ascii="Times New Roman" w:hAnsi="Times New Roman" w:eastAsia="方正仿宋_GBK" w:cs="Times New Roman"/>
                <w:i w:val="0"/>
                <w:caps w:val="0"/>
                <w:color w:val="000000"/>
                <w:spacing w:val="0"/>
                <w:sz w:val="21"/>
                <w:szCs w:val="21"/>
                <w:highlight w:val="none"/>
                <w:shd w:val="clear" w:fill="FFFFFF"/>
              </w:rPr>
              <w:t>用。</w:t>
            </w:r>
          </w:p>
          <w:p>
            <w:pPr>
              <w:widowControl w:val="0"/>
              <w:numPr>
                <w:ilvl w:val="-1"/>
                <w:numId w:val="0"/>
              </w:numPr>
              <w:spacing w:line="300" w:lineRule="exact"/>
              <w:jc w:val="left"/>
              <w:textAlignment w:val="center"/>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highlight w:val="none"/>
                <w:lang w:val="en-US" w:eastAsia="zh-CN"/>
              </w:rPr>
              <w:t>8.通过对公共区域病媒生物集中消杀，有效控制病媒生物密度，确保通过2025年春、秋季病媒生物防制考核评估。</w:t>
            </w:r>
          </w:p>
          <w:p>
            <w:pPr>
              <w:widowControl w:val="0"/>
              <w:numPr>
                <w:ilvl w:val="-1"/>
                <w:numId w:val="0"/>
              </w:numPr>
              <w:spacing w:line="300" w:lineRule="exact"/>
              <w:jc w:val="left"/>
              <w:textAlignment w:val="center"/>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lang w:val="en-US" w:eastAsia="zh-CN"/>
              </w:rPr>
              <w:t>9</w:t>
            </w:r>
            <w:r>
              <w:rPr>
                <w:rFonts w:hint="default" w:ascii="Times New Roman" w:hAnsi="Times New Roman" w:eastAsia="方正仿宋_GBK" w:cs="Times New Roman"/>
                <w:sz w:val="18"/>
                <w:szCs w:val="18"/>
                <w:highlight w:val="none"/>
                <w:lang w:val="en-US" w:eastAsia="zh-CN"/>
              </w:rPr>
              <w:t>.组织宣传活动，积极动员广大干部职工及群众参与到无偿献血活动中，完成市级下达给西区无偿献血考核指标任务千人口无偿献血率达到13.8%。</w:t>
            </w:r>
          </w:p>
        </w:tc>
      </w:tr>
      <w:tr>
        <w:tblPrEx>
          <w:tblLayout w:type="fixed"/>
          <w:tblCellMar>
            <w:top w:w="15" w:type="dxa"/>
            <w:left w:w="15" w:type="dxa"/>
            <w:bottom w:w="15" w:type="dxa"/>
            <w:right w:w="15" w:type="dxa"/>
          </w:tblCellMar>
        </w:tblPrEx>
        <w:trPr>
          <w:trHeight w:val="332"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年度主要</w:t>
            </w:r>
          </w:p>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任务名称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主要内容</w:t>
            </w:r>
          </w:p>
        </w:tc>
      </w:tr>
      <w:tr>
        <w:tblPrEx>
          <w:tblLayout w:type="fixed"/>
          <w:tblCellMar>
            <w:top w:w="15" w:type="dxa"/>
            <w:left w:w="15" w:type="dxa"/>
            <w:bottom w:w="15" w:type="dxa"/>
            <w:right w:w="15" w:type="dxa"/>
          </w:tblCellMar>
        </w:tblPrEx>
        <w:trPr>
          <w:trHeight w:val="489"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color w:val="000000"/>
                <w:kern w:val="0"/>
                <w:sz w:val="18"/>
                <w:szCs w:val="18"/>
                <w:lang w:val="en-US" w:eastAsia="zh-CN" w:bidi="ar"/>
              </w:rPr>
              <w:t>基本支出</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保障员工每月工资、福利等发放及公用经费的合理支出</w:t>
            </w:r>
          </w:p>
        </w:tc>
      </w:tr>
      <w:tr>
        <w:tblPrEx>
          <w:tblLayout w:type="fixed"/>
          <w:tblCellMar>
            <w:top w:w="15" w:type="dxa"/>
            <w:left w:w="15" w:type="dxa"/>
            <w:bottom w:w="15" w:type="dxa"/>
            <w:right w:w="15" w:type="dxa"/>
          </w:tblCellMar>
        </w:tblPrEx>
        <w:trPr>
          <w:trHeight w:val="9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none"/>
                <w:lang w:eastAsia="zh-CN" w:bidi="ar"/>
              </w:rPr>
            </w:pPr>
            <w:r>
              <w:rPr>
                <w:rFonts w:hint="default" w:ascii="Times New Roman" w:hAnsi="Times New Roman" w:eastAsia="方正仿宋_GBK" w:cs="Times New Roman"/>
                <w:color w:val="000000"/>
                <w:kern w:val="0"/>
                <w:sz w:val="18"/>
                <w:szCs w:val="18"/>
                <w:highlight w:val="none"/>
                <w:lang w:eastAsia="zh-CN" w:bidi="ar"/>
              </w:rPr>
              <w:t>育儿补贴金</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none"/>
                <w:lang w:bidi="ar"/>
              </w:rPr>
            </w:pPr>
            <w:r>
              <w:rPr>
                <w:rFonts w:hint="default" w:ascii="Times New Roman" w:hAnsi="Times New Roman" w:eastAsia="方正仿宋_GBK" w:cs="Times New Roman"/>
                <w:color w:val="000000"/>
                <w:kern w:val="0"/>
                <w:sz w:val="18"/>
                <w:szCs w:val="18"/>
                <w:highlight w:val="none"/>
                <w:lang w:bidi="ar"/>
              </w:rPr>
              <w:t>全面落实育儿补贴政策，指导格里坪镇、各街道按照《攀枝花市发放育儿补贴金实施细则》标准完成2025年度育儿补贴年审，发放2025年度育儿补贴1220户共计372.22万元。通过落实育儿补贴政策，充分调动群众按政策生育的积极性，促进人口长期均衡发展，为建设现代化区域中心城市提供人口支撑，完成结果达到预期。</w:t>
            </w:r>
          </w:p>
        </w:tc>
      </w:tr>
      <w:tr>
        <w:tblPrEx>
          <w:tblLayout w:type="fixed"/>
          <w:tblCellMar>
            <w:top w:w="15" w:type="dxa"/>
            <w:left w:w="15" w:type="dxa"/>
            <w:bottom w:w="15" w:type="dxa"/>
            <w:right w:w="15" w:type="dxa"/>
          </w:tblCellMar>
        </w:tblPrEx>
        <w:trPr>
          <w:trHeight w:val="751"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none"/>
                <w:lang w:bidi="ar"/>
              </w:rPr>
            </w:pPr>
            <w:r>
              <w:rPr>
                <w:rFonts w:hint="default" w:ascii="Times New Roman" w:hAnsi="Times New Roman" w:eastAsia="方正仿宋_GBK" w:cs="Times New Roman"/>
                <w:color w:val="000000"/>
                <w:kern w:val="0"/>
                <w:sz w:val="18"/>
                <w:szCs w:val="18"/>
                <w:highlight w:val="none"/>
                <w:lang w:bidi="ar"/>
              </w:rPr>
              <w:t>计划生育服务</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none"/>
                <w:lang w:bidi="ar"/>
              </w:rPr>
            </w:pPr>
            <w:r>
              <w:rPr>
                <w:rFonts w:hint="default" w:ascii="Times New Roman" w:hAnsi="Times New Roman" w:eastAsia="方正仿宋_GBK" w:cs="Times New Roman"/>
                <w:color w:val="000000"/>
                <w:kern w:val="0"/>
                <w:sz w:val="18"/>
                <w:szCs w:val="18"/>
                <w:highlight w:val="none"/>
                <w:lang w:bidi="ar"/>
              </w:rPr>
              <w:t>组织召开攀枝花市西区2025年人口家庭发展工作部署会，对全区人口和家庭发展重点工作进行安排部署。完成2025年计划生育服务各类项目申报、审核等工作，资格确认准确率100%，足额兑现农村部分计划生育家庭奖励扶助、计划生育家庭特别扶助等10项资金共计897.46万元。落实计划生育特殊家庭“双岗”联系人制度，在春节、国庆节前对计划生育特殊家庭进行走访慰问，有效缓解计划生育特殊家庭在生产、生活、医疗和养老等方面的困难，持续改善和保障民生，促进社会和谐。2025年未出现计划生育特殊家庭越级上访的情况。</w:t>
            </w:r>
          </w:p>
        </w:tc>
      </w:tr>
      <w:tr>
        <w:tblPrEx>
          <w:tblLayout w:type="fixed"/>
          <w:tblCellMar>
            <w:top w:w="15" w:type="dxa"/>
            <w:left w:w="15" w:type="dxa"/>
            <w:bottom w:w="15" w:type="dxa"/>
            <w:right w:w="15" w:type="dxa"/>
          </w:tblCellMar>
        </w:tblPrEx>
        <w:trPr>
          <w:trHeight w:val="625"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none"/>
                <w:lang w:bidi="ar"/>
              </w:rPr>
            </w:pPr>
            <w:r>
              <w:rPr>
                <w:rFonts w:hint="default" w:ascii="Times New Roman" w:hAnsi="Times New Roman" w:eastAsia="方正仿宋_GBK" w:cs="Times New Roman"/>
                <w:color w:val="000000"/>
                <w:kern w:val="0"/>
                <w:sz w:val="18"/>
                <w:szCs w:val="18"/>
                <w:highlight w:val="none"/>
                <w:lang w:bidi="ar"/>
              </w:rPr>
              <w:t>公共区域病媒生物防制</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none"/>
                <w:lang w:bidi="ar"/>
              </w:rPr>
            </w:pPr>
            <w:r>
              <w:rPr>
                <w:rFonts w:hint="default" w:ascii="Times New Roman" w:hAnsi="Times New Roman" w:eastAsia="方正仿宋_GBK" w:cs="Times New Roman"/>
                <w:color w:val="000000"/>
                <w:kern w:val="0"/>
                <w:sz w:val="18"/>
                <w:szCs w:val="18"/>
                <w:highlight w:val="none"/>
                <w:lang w:bidi="ar"/>
              </w:rPr>
              <w:t>通过对公共区域病媒生物集中消杀，有效控制病媒生物密度，确保通过2025年春、秋季病媒生物防制考核评估。</w:t>
            </w:r>
          </w:p>
        </w:tc>
      </w:tr>
      <w:tr>
        <w:tblPrEx>
          <w:tblLayout w:type="fixed"/>
          <w:tblCellMar>
            <w:top w:w="15" w:type="dxa"/>
            <w:left w:w="15" w:type="dxa"/>
            <w:bottom w:w="15" w:type="dxa"/>
            <w:right w:w="15" w:type="dxa"/>
          </w:tblCellMar>
        </w:tblPrEx>
        <w:trPr>
          <w:trHeight w:val="332"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color w:val="000000"/>
                <w:kern w:val="0"/>
                <w:sz w:val="18"/>
                <w:szCs w:val="18"/>
                <w:lang w:eastAsia="zh-CN" w:bidi="ar"/>
              </w:rPr>
              <w:t>传染病信息报告管理工作</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加强传染病报告管理，全面开展传染病疫情监测，突发急性传染病有效处置率100％，有效预防、控制和消除传染病的发生和流行，保障群众身体健康。</w:t>
            </w:r>
          </w:p>
        </w:tc>
      </w:tr>
      <w:tr>
        <w:tblPrEx>
          <w:tblLayout w:type="fixed"/>
          <w:tblCellMar>
            <w:top w:w="15" w:type="dxa"/>
            <w:left w:w="15" w:type="dxa"/>
            <w:bottom w:w="15" w:type="dxa"/>
            <w:right w:w="15" w:type="dxa"/>
          </w:tblCellMar>
        </w:tblPrEx>
        <w:trPr>
          <w:trHeight w:val="1025"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none"/>
                <w:lang w:bidi="ar"/>
              </w:rPr>
            </w:pPr>
            <w:r>
              <w:rPr>
                <w:rFonts w:hint="default" w:ascii="Times New Roman" w:hAnsi="Times New Roman" w:eastAsia="方正仿宋_GBK" w:cs="Times New Roman"/>
                <w:color w:val="000000"/>
                <w:kern w:val="0"/>
                <w:sz w:val="18"/>
                <w:szCs w:val="18"/>
                <w:highlight w:val="none"/>
                <w:lang w:bidi="ar"/>
              </w:rPr>
              <w:t>重大传染病预防控制工作</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none"/>
                <w:lang w:bidi="ar"/>
              </w:rPr>
            </w:pPr>
            <w:r>
              <w:rPr>
                <w:rFonts w:hint="default" w:ascii="Times New Roman" w:hAnsi="Times New Roman" w:eastAsia="方正仿宋_GBK" w:cs="Times New Roman"/>
                <w:color w:val="000000"/>
                <w:kern w:val="0"/>
                <w:sz w:val="18"/>
                <w:szCs w:val="18"/>
                <w:highlight w:val="none"/>
                <w:lang w:bidi="ar"/>
              </w:rPr>
              <w:t>落实“政府组织领导、部门各负其责、全社会共同参与”的防治机制，完成艾滋病各项目标任务，不断扩大检测覆盖面，最大限度发现艾滋病病毒感染者和病人，降低艾滋病流行水平；及时发现和规范治疗管理结核病患者，持续降低结核病的感染、发病与死亡，确保结核病疫情稳步下降，提高群众健康水平；加大麻风病早期发现力度，落实监测措施，提高防控能力；提升严重精神障碍患者的管理水平，开展随访管理，提高治疗依从性，保持患者病情稳定，维护和谐稳定的社会环境；开展宣传引导，提高居民重大传染病防控意识和自我防护能力。</w:t>
            </w:r>
          </w:p>
        </w:tc>
      </w:tr>
      <w:tr>
        <w:tblPrEx>
          <w:tblLayout w:type="fixed"/>
          <w:tblCellMar>
            <w:top w:w="15" w:type="dxa"/>
            <w:left w:w="15" w:type="dxa"/>
            <w:bottom w:w="15" w:type="dxa"/>
            <w:right w:w="15" w:type="dxa"/>
          </w:tblCellMar>
        </w:tblPrEx>
        <w:trPr>
          <w:trHeight w:val="625"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红十字专项</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highlight w:val="none"/>
                <w:lang w:bidi="ar"/>
              </w:rPr>
              <w:t>全年开展应急救护培训≥12场，新增持证救护员≥400人，发放宣传资料≥5000份；走访慰问困难群众60户以上；开展三献主题宣传活动≥4场；志愿者服务保障100人次以上。通过推进主责主业，年度实现辖区群众应急救护知晓率稳步提升，困难群众得到人道帮扶，无偿献血、器官捐献社会氛围持续优化，群众满意度≥90%。</w:t>
            </w:r>
          </w:p>
        </w:tc>
      </w:tr>
      <w:tr>
        <w:tblPrEx>
          <w:tblLayout w:type="fixed"/>
          <w:tblCellMar>
            <w:top w:w="15" w:type="dxa"/>
            <w:left w:w="15" w:type="dxa"/>
            <w:bottom w:w="15" w:type="dxa"/>
            <w:right w:w="15" w:type="dxa"/>
          </w:tblCellMar>
        </w:tblPrEx>
        <w:trPr>
          <w:trHeight w:val="918"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yellow"/>
                <w:lang w:bidi="ar"/>
              </w:rPr>
            </w:pPr>
            <w:r>
              <w:rPr>
                <w:rFonts w:hint="default" w:ascii="Times New Roman" w:hAnsi="Times New Roman" w:eastAsia="方正仿宋_GBK" w:cs="Times New Roman"/>
                <w:color w:val="000000"/>
                <w:kern w:val="0"/>
                <w:sz w:val="18"/>
                <w:szCs w:val="18"/>
                <w:highlight w:val="none"/>
                <w:lang w:bidi="ar"/>
              </w:rPr>
              <w:t>无偿献血</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highlight w:val="yellow"/>
                <w:lang w:bidi="ar"/>
              </w:rPr>
            </w:pPr>
            <w:r>
              <w:rPr>
                <w:rFonts w:hint="default" w:ascii="Times New Roman" w:hAnsi="Times New Roman" w:eastAsia="方正仿宋_GBK" w:cs="Times New Roman"/>
                <w:color w:val="000000"/>
                <w:kern w:val="0"/>
                <w:sz w:val="18"/>
                <w:szCs w:val="18"/>
                <w:highlight w:val="none"/>
                <w:lang w:bidi="ar"/>
              </w:rPr>
              <w:t>根据《攀枝花市卫生健康委员会关于做好2025年攀枝花市血液管理工作的通知》，要求预算2025年目标任务所需经费。开展无偿献血团体宣传招募、培训，完成1600人次团体无偿献血任务，购买无偿献血纪念品</w:t>
            </w:r>
            <w:r>
              <w:rPr>
                <w:rFonts w:hint="default" w:ascii="Times New Roman" w:hAnsi="Times New Roman" w:eastAsia="方正仿宋_GBK" w:cs="Times New Roman"/>
                <w:i w:val="0"/>
                <w:caps w:val="0"/>
                <w:color w:val="000000"/>
                <w:spacing w:val="0"/>
                <w:sz w:val="21"/>
                <w:szCs w:val="21"/>
                <w:shd w:val="clear" w:fill="FFFFFF"/>
              </w:rPr>
              <w:t>。</w:t>
            </w:r>
          </w:p>
        </w:tc>
      </w:tr>
      <w:tr>
        <w:tblPrEx>
          <w:tblLayout w:type="fixed"/>
          <w:tblCellMar>
            <w:top w:w="15" w:type="dxa"/>
            <w:left w:w="15" w:type="dxa"/>
            <w:bottom w:w="15" w:type="dxa"/>
            <w:right w:w="15" w:type="dxa"/>
          </w:tblCellMar>
        </w:tblPrEx>
        <w:trPr>
          <w:trHeight w:val="625"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精神卫生及社会心理服务体系建设工作</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left"/>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依法开展全区严重精神障碍患者管理服务工作，开展严重精神障碍重点人群综合干预工作，包括严重精神障碍患者精神卫生公益宣传、培训等。</w:t>
            </w:r>
          </w:p>
        </w:tc>
      </w:tr>
      <w:tr>
        <w:tblPrEx>
          <w:tblLayout w:type="fixed"/>
          <w:tblCellMar>
            <w:top w:w="15" w:type="dxa"/>
            <w:left w:w="15" w:type="dxa"/>
            <w:bottom w:w="15" w:type="dxa"/>
            <w:right w:w="15" w:type="dxa"/>
          </w:tblCellMar>
        </w:tblPrEx>
        <w:trPr>
          <w:trHeight w:val="625"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年度绩效</w:t>
            </w:r>
          </w:p>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绩效指标</w:t>
            </w:r>
          </w:p>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性质</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绩效指标值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绩效度量单位</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实际完成</w:t>
            </w:r>
          </w:p>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指标值</w:t>
            </w:r>
          </w:p>
        </w:tc>
      </w:tr>
      <w:tr>
        <w:tblPrEx>
          <w:tblLayout w:type="fixed"/>
          <w:tblCellMar>
            <w:top w:w="15" w:type="dxa"/>
            <w:left w:w="15" w:type="dxa"/>
            <w:bottom w:w="15" w:type="dxa"/>
            <w:right w:w="15" w:type="dxa"/>
          </w:tblCellMar>
        </w:tblPrEx>
        <w:trPr>
          <w:trHeight w:val="918" w:hRule="atLeast"/>
          <w:jc w:val="center"/>
        </w:trPr>
        <w:tc>
          <w:tcPr>
            <w:tcW w:w="130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restart"/>
            <w:tcBorders>
              <w:top w:val="single" w:color="000000" w:sz="4" w:space="0"/>
              <w:left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定量</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val="en-US" w:eastAsia="zh-CN" w:bidi="ar"/>
              </w:rPr>
              <w:t>足额保障2025年</w:t>
            </w:r>
            <w:r>
              <w:rPr>
                <w:rFonts w:hint="default" w:ascii="Times New Roman" w:hAnsi="Times New Roman" w:eastAsia="方正仿宋_GBK" w:cs="Times New Roman"/>
                <w:color w:val="000000"/>
                <w:kern w:val="0"/>
                <w:sz w:val="18"/>
                <w:szCs w:val="18"/>
                <w:lang w:bidi="ar"/>
              </w:rPr>
              <w:t>人员经费及公用经</w:t>
            </w:r>
            <w:r>
              <w:rPr>
                <w:rFonts w:hint="default" w:ascii="Times New Roman" w:hAnsi="Times New Roman" w:eastAsia="方正仿宋_GBK" w:cs="Times New Roman"/>
                <w:color w:val="000000"/>
                <w:kern w:val="0"/>
                <w:sz w:val="18"/>
                <w:szCs w:val="18"/>
                <w:lang w:val="en-US" w:eastAsia="zh-CN" w:bidi="ar"/>
              </w:rPr>
              <w:t>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人</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val="en-US" w:eastAsia="zh-CN" w:bidi="ar"/>
              </w:rPr>
              <w:t>37人：其中</w:t>
            </w:r>
            <w:r>
              <w:rPr>
                <w:rFonts w:hint="default" w:ascii="Times New Roman" w:hAnsi="Times New Roman" w:eastAsia="方正仿宋_GBK" w:cs="Times New Roman"/>
                <w:color w:val="000000"/>
                <w:kern w:val="0"/>
                <w:sz w:val="18"/>
                <w:szCs w:val="18"/>
                <w:lang w:eastAsia="zh-CN" w:bidi="ar"/>
              </w:rPr>
              <w:t>在职</w:t>
            </w:r>
            <w:r>
              <w:rPr>
                <w:rFonts w:hint="default" w:ascii="Times New Roman" w:hAnsi="Times New Roman" w:eastAsia="方正仿宋_GBK" w:cs="Times New Roman"/>
                <w:color w:val="000000"/>
                <w:kern w:val="0"/>
                <w:sz w:val="18"/>
                <w:szCs w:val="18"/>
                <w:lang w:bidi="ar"/>
              </w:rPr>
              <w:t>职工1</w:t>
            </w:r>
            <w:r>
              <w:rPr>
                <w:rFonts w:hint="default" w:ascii="Times New Roman" w:hAnsi="Times New Roman" w:eastAsia="方正仿宋_GBK" w:cs="Times New Roman"/>
                <w:color w:val="000000"/>
                <w:kern w:val="0"/>
                <w:sz w:val="18"/>
                <w:szCs w:val="18"/>
                <w:lang w:val="en-US" w:eastAsia="zh-CN" w:bidi="ar"/>
              </w:rPr>
              <w:t>5</w:t>
            </w:r>
            <w:r>
              <w:rPr>
                <w:rFonts w:hint="default" w:ascii="Times New Roman" w:hAnsi="Times New Roman" w:eastAsia="方正仿宋_GBK" w:cs="Times New Roman"/>
                <w:color w:val="000000"/>
                <w:kern w:val="0"/>
                <w:sz w:val="18"/>
                <w:szCs w:val="18"/>
                <w:lang w:bidi="ar"/>
              </w:rPr>
              <w:t>人，卫生特别服务岗聘用2</w:t>
            </w:r>
            <w:r>
              <w:rPr>
                <w:rFonts w:hint="default" w:ascii="Times New Roman" w:hAnsi="Times New Roman" w:eastAsia="方正仿宋_GBK" w:cs="Times New Roman"/>
                <w:color w:val="000000"/>
                <w:kern w:val="0"/>
                <w:sz w:val="18"/>
                <w:szCs w:val="18"/>
                <w:lang w:val="en-US" w:eastAsia="zh-CN" w:bidi="ar"/>
              </w:rPr>
              <w:t>2</w:t>
            </w:r>
            <w:r>
              <w:rPr>
                <w:rFonts w:hint="default" w:ascii="Times New Roman" w:hAnsi="Times New Roman" w:eastAsia="方正仿宋_GBK" w:cs="Times New Roman"/>
                <w:color w:val="000000"/>
                <w:kern w:val="0"/>
                <w:sz w:val="18"/>
                <w:szCs w:val="18"/>
                <w:lang w:bidi="ar"/>
              </w:rPr>
              <w:t>人。</w:t>
            </w:r>
          </w:p>
        </w:tc>
      </w:tr>
      <w:tr>
        <w:tblPrEx>
          <w:tblLayout w:type="fixed"/>
          <w:tblCellMar>
            <w:top w:w="15" w:type="dxa"/>
            <w:left w:w="15" w:type="dxa"/>
            <w:bottom w:w="15" w:type="dxa"/>
            <w:right w:w="15" w:type="dxa"/>
          </w:tblCellMar>
        </w:tblPrEx>
        <w:trPr>
          <w:trHeight w:val="1797" w:hRule="atLeast"/>
          <w:jc w:val="center"/>
        </w:trPr>
        <w:tc>
          <w:tcPr>
            <w:tcW w:w="130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left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各类特定目标类项目支出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color w:val="000000"/>
                <w:kern w:val="0"/>
                <w:sz w:val="18"/>
                <w:szCs w:val="18"/>
                <w:lang w:eastAsia="zh-CN" w:bidi="ar"/>
              </w:rPr>
              <w:t>定量</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eastAsia="zh-CN" w:bidi="ar"/>
              </w:rPr>
              <w:t>完成育儿补贴、</w:t>
            </w:r>
            <w:r>
              <w:rPr>
                <w:rFonts w:hint="default" w:ascii="Times New Roman" w:hAnsi="Times New Roman" w:eastAsia="方正仿宋_GBK" w:cs="Times New Roman"/>
                <w:color w:val="000000"/>
                <w:kern w:val="0"/>
                <w:sz w:val="18"/>
                <w:szCs w:val="18"/>
                <w:lang w:bidi="ar"/>
              </w:rPr>
              <w:t>计划生育、公共区域病媒生物防治、红十字专项、</w:t>
            </w:r>
            <w:r>
              <w:rPr>
                <w:rFonts w:hint="default" w:ascii="Times New Roman" w:hAnsi="Times New Roman" w:eastAsia="方正仿宋_GBK" w:cs="Times New Roman"/>
                <w:color w:val="000000"/>
                <w:kern w:val="0"/>
                <w:sz w:val="18"/>
                <w:szCs w:val="18"/>
                <w:lang w:eastAsia="zh-CN" w:bidi="ar"/>
              </w:rPr>
              <w:t>无偿献血、传染病信息报告管理、</w:t>
            </w:r>
            <w:r>
              <w:rPr>
                <w:rFonts w:hint="default" w:ascii="Times New Roman" w:hAnsi="Times New Roman" w:eastAsia="方正仿宋_GBK" w:cs="Times New Roman"/>
                <w:color w:val="000000"/>
                <w:kern w:val="0"/>
                <w:sz w:val="18"/>
                <w:szCs w:val="18"/>
                <w:lang w:bidi="ar"/>
              </w:rPr>
              <w:t>重大传染病</w:t>
            </w:r>
            <w:r>
              <w:rPr>
                <w:rFonts w:hint="default" w:ascii="Times New Roman" w:hAnsi="Times New Roman" w:eastAsia="方正仿宋_GBK" w:cs="Times New Roman"/>
                <w:color w:val="000000"/>
                <w:kern w:val="0"/>
                <w:sz w:val="18"/>
                <w:szCs w:val="18"/>
                <w:lang w:eastAsia="zh-CN" w:bidi="ar"/>
              </w:rPr>
              <w:t>预</w:t>
            </w:r>
            <w:r>
              <w:rPr>
                <w:rFonts w:hint="default" w:ascii="Times New Roman" w:hAnsi="Times New Roman" w:eastAsia="方正仿宋_GBK" w:cs="Times New Roman"/>
                <w:color w:val="000000"/>
                <w:kern w:val="0"/>
                <w:sz w:val="18"/>
                <w:szCs w:val="18"/>
                <w:lang w:bidi="ar"/>
              </w:rPr>
              <w:t>防</w:t>
            </w:r>
            <w:r>
              <w:rPr>
                <w:rFonts w:hint="default" w:ascii="Times New Roman" w:hAnsi="Times New Roman" w:eastAsia="方正仿宋_GBK" w:cs="Times New Roman"/>
                <w:color w:val="000000"/>
                <w:kern w:val="0"/>
                <w:sz w:val="18"/>
                <w:szCs w:val="18"/>
                <w:lang w:eastAsia="zh-CN" w:bidi="ar"/>
              </w:rPr>
              <w:t>控</w:t>
            </w:r>
            <w:r>
              <w:rPr>
                <w:rFonts w:hint="default" w:ascii="Times New Roman" w:hAnsi="Times New Roman" w:eastAsia="方正仿宋_GBK" w:cs="Times New Roman"/>
                <w:color w:val="000000"/>
                <w:kern w:val="0"/>
                <w:sz w:val="18"/>
                <w:szCs w:val="18"/>
                <w:lang w:bidi="ar"/>
              </w:rPr>
              <w:t>治等</w:t>
            </w:r>
            <w:r>
              <w:rPr>
                <w:rFonts w:hint="default" w:ascii="Times New Roman" w:hAnsi="Times New Roman" w:eastAsia="方正仿宋_GBK" w:cs="Times New Roman"/>
                <w:color w:val="000000"/>
                <w:kern w:val="0"/>
                <w:sz w:val="18"/>
                <w:szCs w:val="18"/>
                <w:lang w:val="en-US" w:eastAsia="zh-CN" w:bidi="ar"/>
              </w:rPr>
              <w:t>项目目标完成率。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100%</w:t>
            </w:r>
          </w:p>
        </w:tc>
      </w:tr>
      <w:tr>
        <w:tblPrEx>
          <w:tblLayout w:type="fixed"/>
          <w:tblCellMar>
            <w:top w:w="15" w:type="dxa"/>
            <w:left w:w="15" w:type="dxa"/>
            <w:bottom w:w="15" w:type="dxa"/>
            <w:right w:w="15" w:type="dxa"/>
          </w:tblCellMar>
        </w:tblPrEx>
        <w:trPr>
          <w:trHeight w:val="625" w:hRule="atLeast"/>
          <w:jc w:val="center"/>
        </w:trPr>
        <w:tc>
          <w:tcPr>
            <w:tcW w:w="130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left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保障日常工作运行</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eastAsia="zh-CN" w:bidi="ar"/>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正常运行日常事务</w:t>
            </w:r>
            <w:r>
              <w:rPr>
                <w:rFonts w:hint="default" w:ascii="Times New Roman" w:hAnsi="Times New Roman" w:eastAsia="方正仿宋_GBK" w:cs="Times New Roman"/>
                <w:color w:val="000000"/>
                <w:kern w:val="0"/>
                <w:sz w:val="18"/>
                <w:szCs w:val="18"/>
                <w:lang w:eastAsia="zh-CN" w:bidi="ar"/>
              </w:rPr>
              <w:t>，</w:t>
            </w:r>
            <w:r>
              <w:rPr>
                <w:rFonts w:hint="default" w:ascii="Times New Roman" w:hAnsi="Times New Roman" w:eastAsia="方正仿宋_GBK" w:cs="Times New Roman"/>
                <w:color w:val="000000"/>
                <w:kern w:val="0"/>
                <w:sz w:val="18"/>
                <w:szCs w:val="18"/>
                <w:lang w:val="en-US" w:eastAsia="zh-CN" w:bidi="ar"/>
              </w:rPr>
              <w:t>完成单位正常运转</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val="en-US" w:eastAsia="zh-CN" w:bidi="ar"/>
              </w:rPr>
              <w:t>其他</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val="en-US" w:eastAsia="zh-CN" w:bidi="ar"/>
              </w:rPr>
              <w:t>已完成</w:t>
            </w:r>
          </w:p>
        </w:tc>
      </w:tr>
      <w:tr>
        <w:tblPrEx>
          <w:tblLayout w:type="fixed"/>
          <w:tblCellMar>
            <w:top w:w="15" w:type="dxa"/>
            <w:left w:w="15" w:type="dxa"/>
            <w:bottom w:w="15" w:type="dxa"/>
            <w:right w:w="15" w:type="dxa"/>
          </w:tblCellMar>
        </w:tblPrEx>
        <w:trPr>
          <w:trHeight w:val="625" w:hRule="atLeast"/>
          <w:jc w:val="center"/>
        </w:trPr>
        <w:tc>
          <w:tcPr>
            <w:tcW w:w="130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left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continue"/>
            <w:tcBorders>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职能职责</w:t>
            </w:r>
            <w:r>
              <w:rPr>
                <w:rFonts w:hint="default" w:ascii="Times New Roman" w:hAnsi="Times New Roman" w:eastAsia="方正仿宋_GBK" w:cs="Times New Roman"/>
                <w:color w:val="000000"/>
                <w:kern w:val="0"/>
                <w:sz w:val="18"/>
                <w:szCs w:val="18"/>
                <w:lang w:val="en-US" w:eastAsia="zh-CN" w:bidi="ar"/>
              </w:rPr>
              <w:t xml:space="preserve">  </w:t>
            </w:r>
            <w:r>
              <w:rPr>
                <w:rFonts w:hint="default" w:ascii="Times New Roman" w:hAnsi="Times New Roman" w:eastAsia="方正仿宋_GBK" w:cs="Times New Roman"/>
                <w:color w:val="000000"/>
                <w:kern w:val="0"/>
                <w:sz w:val="18"/>
                <w:szCs w:val="18"/>
                <w:lang w:bidi="ar"/>
              </w:rPr>
              <w:t>项目</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eastAsia="zh-CN" w:bidi="ar"/>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val="en-US" w:eastAsia="zh-CN" w:bidi="ar"/>
              </w:rPr>
              <w:t>做好总体目标要求，完成目标任务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val="en-US" w:eastAsia="zh-CN" w:bidi="ar"/>
              </w:rPr>
              <w:t>其他</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val="en-US" w:eastAsia="zh-CN" w:bidi="ar"/>
              </w:rPr>
              <w:t>较上年提高</w:t>
            </w:r>
          </w:p>
        </w:tc>
      </w:tr>
      <w:tr>
        <w:tblPrEx>
          <w:tblLayout w:type="fixed"/>
          <w:tblCellMar>
            <w:top w:w="15" w:type="dxa"/>
            <w:left w:w="15" w:type="dxa"/>
            <w:bottom w:w="15" w:type="dxa"/>
            <w:right w:w="15" w:type="dxa"/>
          </w:tblCellMar>
        </w:tblPrEx>
        <w:trPr>
          <w:trHeight w:val="332" w:hRule="atLeast"/>
          <w:jc w:val="center"/>
        </w:trPr>
        <w:tc>
          <w:tcPr>
            <w:tcW w:w="1308"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left w:val="single" w:color="auto" w:sz="4" w:space="0"/>
              <w:bottom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rPr>
              <w:t>全年开展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eastAsia="zh-CN"/>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rPr>
              <w:t>全年开展</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其他</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已完成</w:t>
            </w:r>
          </w:p>
        </w:tc>
      </w:tr>
      <w:tr>
        <w:tblPrEx>
          <w:tblLayout w:type="fixed"/>
          <w:tblCellMar>
            <w:top w:w="15" w:type="dxa"/>
            <w:left w:w="15" w:type="dxa"/>
            <w:bottom w:w="15" w:type="dxa"/>
            <w:right w:w="15" w:type="dxa"/>
          </w:tblCellMar>
        </w:tblPrEx>
        <w:trPr>
          <w:trHeight w:val="332" w:hRule="atLeast"/>
          <w:jc w:val="center"/>
        </w:trPr>
        <w:tc>
          <w:tcPr>
            <w:tcW w:w="130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val="en-US" w:eastAsia="zh-CN" w:bidi="ar"/>
              </w:rPr>
              <w:t>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定量</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rPr>
              <w:t>人员经费、公用经费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万元</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b w:val="0"/>
                <w:bCs w:val="0"/>
                <w:color w:val="auto"/>
                <w:sz w:val="18"/>
                <w:szCs w:val="18"/>
                <w:highlight w:val="none"/>
                <w:lang w:val="en-US" w:eastAsia="zh-CN"/>
              </w:rPr>
              <w:t>411.51</w:t>
            </w:r>
            <w:r>
              <w:rPr>
                <w:rFonts w:hint="default" w:ascii="Times New Roman" w:hAnsi="Times New Roman" w:eastAsia="方正仿宋_GBK" w:cs="Times New Roman"/>
                <w:color w:val="000000"/>
                <w:kern w:val="0"/>
                <w:sz w:val="18"/>
                <w:szCs w:val="18"/>
                <w:highlight w:val="none"/>
                <w:lang w:eastAsia="zh-CN" w:bidi="ar"/>
              </w:rPr>
              <w:t>万</w:t>
            </w:r>
            <w:r>
              <w:rPr>
                <w:rFonts w:hint="default" w:ascii="Times New Roman" w:hAnsi="Times New Roman" w:eastAsia="方正仿宋_GBK" w:cs="Times New Roman"/>
                <w:color w:val="000000"/>
                <w:kern w:val="0"/>
                <w:sz w:val="18"/>
                <w:szCs w:val="18"/>
                <w:lang w:eastAsia="zh-CN" w:bidi="ar"/>
              </w:rPr>
              <w:t>元</w:t>
            </w:r>
          </w:p>
        </w:tc>
      </w:tr>
      <w:tr>
        <w:tblPrEx>
          <w:tblLayout w:type="fixed"/>
          <w:tblCellMar>
            <w:top w:w="15" w:type="dxa"/>
            <w:left w:w="15" w:type="dxa"/>
            <w:bottom w:w="15" w:type="dxa"/>
            <w:right w:w="15" w:type="dxa"/>
          </w:tblCellMar>
        </w:tblPrEx>
        <w:trPr>
          <w:trHeight w:val="2089" w:hRule="atLeast"/>
          <w:jc w:val="center"/>
        </w:trPr>
        <w:tc>
          <w:tcPr>
            <w:tcW w:w="130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continue"/>
            <w:tcBorders>
              <w:left w:val="single" w:color="000000" w:sz="4" w:space="0"/>
              <w:bottom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eastAsia="zh-CN" w:bidi="ar"/>
              </w:rPr>
              <w:t>项目支出</w:t>
            </w:r>
            <w:r>
              <w:rPr>
                <w:rFonts w:hint="default" w:ascii="Times New Roman" w:hAnsi="Times New Roman" w:eastAsia="方正仿宋_GBK" w:cs="Times New Roman"/>
                <w:color w:val="000000"/>
                <w:kern w:val="0"/>
                <w:sz w:val="18"/>
                <w:szCs w:val="18"/>
                <w:lang w:val="en-US" w:eastAsia="zh-CN" w:bidi="ar"/>
              </w:rPr>
              <w:t xml:space="preserve"> </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定量</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color w:val="000000"/>
                <w:kern w:val="0"/>
                <w:sz w:val="18"/>
                <w:szCs w:val="18"/>
                <w:lang w:eastAsia="zh-CN" w:bidi="ar"/>
              </w:rPr>
              <w:t>完成计划生育服务、</w:t>
            </w:r>
            <w:r>
              <w:rPr>
                <w:rFonts w:hint="default" w:ascii="Times New Roman" w:hAnsi="Times New Roman" w:eastAsia="方正仿宋_GBK" w:cs="Times New Roman"/>
                <w:color w:val="000000"/>
                <w:kern w:val="0"/>
                <w:sz w:val="18"/>
                <w:szCs w:val="18"/>
                <w:lang w:bidi="ar"/>
              </w:rPr>
              <w:t>公共区域病媒生物防制</w:t>
            </w:r>
            <w:r>
              <w:rPr>
                <w:rFonts w:hint="default" w:ascii="Times New Roman" w:hAnsi="Times New Roman" w:eastAsia="方正仿宋_GBK" w:cs="Times New Roman"/>
                <w:color w:val="000000"/>
                <w:kern w:val="0"/>
                <w:sz w:val="18"/>
                <w:szCs w:val="18"/>
                <w:lang w:eastAsia="zh-CN" w:bidi="ar"/>
              </w:rPr>
              <w:t>、</w:t>
            </w:r>
            <w:r>
              <w:rPr>
                <w:rFonts w:hint="default" w:ascii="Times New Roman" w:hAnsi="Times New Roman" w:eastAsia="方正仿宋_GBK" w:cs="Times New Roman"/>
                <w:color w:val="000000"/>
                <w:kern w:val="0"/>
                <w:sz w:val="18"/>
                <w:szCs w:val="18"/>
                <w:lang w:bidi="ar"/>
              </w:rPr>
              <w:t>普惠托育服务</w:t>
            </w:r>
            <w:r>
              <w:rPr>
                <w:rFonts w:hint="default" w:ascii="Times New Roman" w:hAnsi="Times New Roman" w:eastAsia="方正仿宋_GBK" w:cs="Times New Roman"/>
                <w:color w:val="000000"/>
                <w:kern w:val="0"/>
                <w:sz w:val="18"/>
                <w:szCs w:val="18"/>
                <w:lang w:eastAsia="zh-CN" w:bidi="ar"/>
              </w:rPr>
              <w:t>、</w:t>
            </w:r>
            <w:r>
              <w:rPr>
                <w:rFonts w:hint="default" w:ascii="Times New Roman" w:hAnsi="Times New Roman" w:eastAsia="方正仿宋_GBK" w:cs="Times New Roman"/>
                <w:color w:val="000000"/>
                <w:kern w:val="0"/>
                <w:sz w:val="18"/>
                <w:szCs w:val="18"/>
                <w:lang w:bidi="ar"/>
              </w:rPr>
              <w:t>红十字专项</w:t>
            </w:r>
            <w:r>
              <w:rPr>
                <w:rFonts w:hint="default" w:ascii="Times New Roman" w:hAnsi="Times New Roman" w:eastAsia="方正仿宋_GBK" w:cs="Times New Roman"/>
                <w:color w:val="000000"/>
                <w:kern w:val="0"/>
                <w:sz w:val="18"/>
                <w:szCs w:val="18"/>
                <w:lang w:eastAsia="zh-CN" w:bidi="ar"/>
              </w:rPr>
              <w:t>、</w:t>
            </w:r>
            <w:r>
              <w:rPr>
                <w:rFonts w:hint="default" w:ascii="Times New Roman" w:hAnsi="Times New Roman" w:eastAsia="方正仿宋_GBK" w:cs="Times New Roman"/>
                <w:color w:val="000000"/>
                <w:kern w:val="0"/>
                <w:sz w:val="18"/>
                <w:szCs w:val="18"/>
                <w:lang w:bidi="ar"/>
              </w:rPr>
              <w:t>重大传染病预防控制工作</w:t>
            </w:r>
            <w:r>
              <w:rPr>
                <w:rFonts w:hint="default" w:ascii="Times New Roman" w:hAnsi="Times New Roman" w:eastAsia="方正仿宋_GBK" w:cs="Times New Roman"/>
                <w:color w:val="000000"/>
                <w:kern w:val="0"/>
                <w:sz w:val="18"/>
                <w:szCs w:val="18"/>
                <w:lang w:eastAsia="zh-CN" w:bidi="ar"/>
              </w:rPr>
              <w:t>、</w:t>
            </w:r>
            <w:r>
              <w:rPr>
                <w:rFonts w:hint="default" w:ascii="Times New Roman" w:hAnsi="Times New Roman" w:eastAsia="方正仿宋_GBK" w:cs="Times New Roman"/>
                <w:color w:val="000000"/>
                <w:kern w:val="0"/>
                <w:sz w:val="18"/>
                <w:szCs w:val="18"/>
                <w:lang w:bidi="ar"/>
              </w:rPr>
              <w:t>精神卫生及社会心理服务体系建设工作</w:t>
            </w:r>
            <w:r>
              <w:rPr>
                <w:rFonts w:hint="default" w:ascii="Times New Roman" w:hAnsi="Times New Roman" w:eastAsia="方正仿宋_GBK" w:cs="Times New Roman"/>
                <w:color w:val="000000"/>
                <w:kern w:val="0"/>
                <w:sz w:val="18"/>
                <w:szCs w:val="18"/>
                <w:lang w:eastAsia="zh-CN" w:bidi="ar"/>
              </w:rPr>
              <w:t>等项目资金</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color w:val="000000"/>
                <w:kern w:val="0"/>
                <w:sz w:val="18"/>
                <w:szCs w:val="18"/>
                <w:lang w:eastAsia="zh-CN" w:bidi="ar"/>
              </w:rPr>
              <w:t>万元</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b w:val="0"/>
                <w:bCs w:val="0"/>
                <w:color w:val="auto"/>
                <w:sz w:val="18"/>
                <w:szCs w:val="18"/>
                <w:lang w:val="en-US" w:eastAsia="zh-CN"/>
              </w:rPr>
              <w:t>1518.2万元</w:t>
            </w:r>
          </w:p>
        </w:tc>
      </w:tr>
      <w:tr>
        <w:tblPrEx>
          <w:tblLayout w:type="fixed"/>
          <w:tblCellMar>
            <w:top w:w="15" w:type="dxa"/>
            <w:left w:w="15" w:type="dxa"/>
            <w:bottom w:w="15" w:type="dxa"/>
            <w:right w:w="15" w:type="dxa"/>
          </w:tblCellMar>
        </w:tblPrEx>
        <w:trPr>
          <w:trHeight w:val="1211" w:hRule="atLeast"/>
          <w:jc w:val="center"/>
        </w:trPr>
        <w:tc>
          <w:tcPr>
            <w:tcW w:w="130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效益指标</w:t>
            </w:r>
          </w:p>
        </w:tc>
        <w:tc>
          <w:tcPr>
            <w:tcW w:w="1273" w:type="dxa"/>
            <w:vMerge w:val="restart"/>
            <w:tcBorders>
              <w:top w:val="single" w:color="auto" w:sz="4" w:space="0"/>
              <w:left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社会效益</w:t>
            </w:r>
          </w:p>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指标</w:t>
            </w:r>
          </w:p>
        </w:tc>
        <w:tc>
          <w:tcPr>
            <w:tcW w:w="110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全部街道达到国家病媒生物密度控制水平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eastAsia="zh-CN"/>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病媒生物密度指标达C级标准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其他</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color w:val="000000"/>
                <w:kern w:val="0"/>
                <w:sz w:val="18"/>
                <w:szCs w:val="18"/>
                <w:lang w:eastAsia="zh-CN" w:bidi="ar"/>
              </w:rPr>
              <w:t>达标</w:t>
            </w:r>
          </w:p>
        </w:tc>
      </w:tr>
      <w:tr>
        <w:tblPrEx>
          <w:tblLayout w:type="fixed"/>
          <w:tblCellMar>
            <w:top w:w="15" w:type="dxa"/>
            <w:left w:w="15" w:type="dxa"/>
            <w:bottom w:w="15" w:type="dxa"/>
            <w:right w:w="15" w:type="dxa"/>
          </w:tblCellMar>
        </w:tblPrEx>
        <w:trPr>
          <w:trHeight w:val="1953" w:hRule="atLeast"/>
          <w:jc w:val="center"/>
        </w:trPr>
        <w:tc>
          <w:tcPr>
            <w:tcW w:w="130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continue"/>
            <w:tcBorders>
              <w:left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10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维护社会稳定，有效促进计生事业发展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eastAsia="zh-CN"/>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提高了计划生育家庭对国家计生政策的满意度，融洽了干群关系，有力地促进了贯彻国家计划生育政策的执行</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color w:val="000000"/>
                <w:kern w:val="0"/>
                <w:sz w:val="18"/>
                <w:szCs w:val="18"/>
                <w:lang w:val="en-US" w:eastAsia="zh-CN" w:bidi="ar"/>
              </w:rPr>
              <w:t>其他</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eastAsia="zh-CN" w:bidi="ar"/>
              </w:rPr>
            </w:pPr>
            <w:r>
              <w:rPr>
                <w:rFonts w:hint="default" w:ascii="Times New Roman" w:hAnsi="Times New Roman" w:eastAsia="方正仿宋_GBK" w:cs="Times New Roman"/>
                <w:color w:val="000000"/>
                <w:kern w:val="0"/>
                <w:sz w:val="18"/>
                <w:szCs w:val="18"/>
                <w:lang w:val="en-US" w:eastAsia="zh-CN" w:bidi="ar"/>
              </w:rPr>
              <w:t>较上年提高</w:t>
            </w:r>
          </w:p>
        </w:tc>
      </w:tr>
      <w:tr>
        <w:tblPrEx>
          <w:tblLayout w:type="fixed"/>
          <w:tblCellMar>
            <w:top w:w="15" w:type="dxa"/>
            <w:left w:w="15" w:type="dxa"/>
            <w:bottom w:w="15" w:type="dxa"/>
            <w:right w:w="15" w:type="dxa"/>
          </w:tblCellMar>
        </w:tblPrEx>
        <w:trPr>
          <w:trHeight w:val="1211" w:hRule="atLeast"/>
          <w:jc w:val="center"/>
        </w:trPr>
        <w:tc>
          <w:tcPr>
            <w:tcW w:w="130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continue"/>
            <w:tcBorders>
              <w:left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10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组织无偿献血活动，传递救死扶伤正能量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eastAsia="zh-CN"/>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保障临床用血全部来自无偿献血，传递救死扶伤正能量</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其他</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val="en-US" w:eastAsia="zh-CN" w:bidi="ar"/>
              </w:rPr>
            </w:pPr>
            <w:r>
              <w:rPr>
                <w:rFonts w:hint="default" w:ascii="Times New Roman" w:hAnsi="Times New Roman" w:eastAsia="方正仿宋_GBK" w:cs="Times New Roman"/>
                <w:color w:val="000000"/>
                <w:kern w:val="0"/>
                <w:sz w:val="18"/>
                <w:szCs w:val="18"/>
                <w:lang w:val="en-US" w:eastAsia="zh-CN" w:bidi="ar"/>
              </w:rPr>
              <w:t>完成</w:t>
            </w:r>
          </w:p>
        </w:tc>
      </w:tr>
      <w:tr>
        <w:tblPrEx>
          <w:tblLayout w:type="fixed"/>
          <w:tblCellMar>
            <w:top w:w="15" w:type="dxa"/>
            <w:left w:w="15" w:type="dxa"/>
            <w:bottom w:w="15" w:type="dxa"/>
            <w:right w:w="15" w:type="dxa"/>
          </w:tblCellMar>
        </w:tblPrEx>
        <w:trPr>
          <w:trHeight w:val="625" w:hRule="atLeast"/>
          <w:jc w:val="center"/>
        </w:trPr>
        <w:tc>
          <w:tcPr>
            <w:tcW w:w="130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continue"/>
            <w:tcBorders>
              <w:left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10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减轻毒品危害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eastAsia="zh-CN"/>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减轻吸毒人群对毒品的依赖和经济负担</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i w:val="0"/>
                <w:color w:val="000000"/>
                <w:kern w:val="0"/>
                <w:sz w:val="18"/>
                <w:szCs w:val="18"/>
                <w:u w:val="none"/>
                <w:lang w:val="en-US" w:eastAsia="zh-CN" w:bidi="ar"/>
              </w:rPr>
              <w:t>100%</w:t>
            </w:r>
          </w:p>
        </w:tc>
      </w:tr>
      <w:tr>
        <w:tblPrEx>
          <w:tblLayout w:type="fixed"/>
          <w:tblCellMar>
            <w:top w:w="15" w:type="dxa"/>
            <w:left w:w="15" w:type="dxa"/>
            <w:bottom w:w="15" w:type="dxa"/>
            <w:right w:w="15" w:type="dxa"/>
          </w:tblCellMar>
        </w:tblPrEx>
        <w:trPr>
          <w:trHeight w:val="3554" w:hRule="atLeast"/>
          <w:jc w:val="center"/>
        </w:trPr>
        <w:tc>
          <w:tcPr>
            <w:tcW w:w="1308"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273" w:type="dxa"/>
            <w:vMerge w:val="continue"/>
            <w:tcBorders>
              <w:left w:val="single" w:color="auto" w:sz="4" w:space="0"/>
              <w:right w:val="single" w:color="auto"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10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社会心理服务体系</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eastAsia="zh-CN"/>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建立健全党政领导、部门协同、社会参与的工作机制，搭建社会心理服务平台，作为推动基层平安建设的重要内容，基本形成自尊自信、理性平和、积极向上的社会心态，预防和减少因矛盾突出、生活失意、心态失衡、行为失常等导致的极端案(事)件发生。</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val="en-US" w:bidi="ar"/>
              </w:rPr>
            </w:pPr>
            <w:r>
              <w:rPr>
                <w:rFonts w:hint="default" w:ascii="Times New Roman" w:hAnsi="Times New Roman" w:eastAsia="方正仿宋_GBK" w:cs="Times New Roman"/>
                <w:color w:val="000000"/>
                <w:kern w:val="0"/>
                <w:sz w:val="18"/>
                <w:szCs w:val="18"/>
                <w:lang w:val="en-US" w:eastAsia="zh-CN" w:bidi="ar"/>
              </w:rPr>
              <w:t>100%</w:t>
            </w:r>
          </w:p>
        </w:tc>
      </w:tr>
      <w:tr>
        <w:tblPrEx>
          <w:tblLayout w:type="fixed"/>
          <w:tblCellMar>
            <w:top w:w="15" w:type="dxa"/>
            <w:left w:w="15" w:type="dxa"/>
            <w:bottom w:w="15" w:type="dxa"/>
            <w:right w:w="15" w:type="dxa"/>
          </w:tblCellMar>
        </w:tblPrEx>
        <w:trPr>
          <w:trHeight w:val="635" w:hRule="atLeast"/>
          <w:jc w:val="center"/>
        </w:trPr>
        <w:tc>
          <w:tcPr>
            <w:tcW w:w="1308"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p>
        </w:tc>
        <w:tc>
          <w:tcPr>
            <w:tcW w:w="134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textAlignment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0"/>
                <w:sz w:val="18"/>
                <w:szCs w:val="18"/>
                <w:lang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rPr>
              <w:t>服务对象满意度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kern w:val="2"/>
                <w:sz w:val="18"/>
                <w:szCs w:val="18"/>
                <w:lang w:val="en-US" w:eastAsia="zh-CN" w:bidi="ar-SA"/>
              </w:rPr>
              <w:t>定性</w:t>
            </w:r>
          </w:p>
        </w:tc>
        <w:tc>
          <w:tcPr>
            <w:tcW w:w="1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辖区居民满意度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其他</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pacing w:line="300" w:lineRule="exact"/>
              <w:jc w:val="center"/>
              <w:rPr>
                <w:rFonts w:hint="default" w:ascii="Times New Roman" w:hAnsi="Times New Roman" w:eastAsia="方正仿宋_GBK" w:cs="Times New Roman"/>
                <w:color w:val="000000"/>
                <w:kern w:val="0"/>
                <w:sz w:val="18"/>
                <w:szCs w:val="18"/>
                <w:lang w:bidi="ar"/>
              </w:rPr>
            </w:pPr>
            <w:r>
              <w:rPr>
                <w:rFonts w:hint="default" w:ascii="Times New Roman" w:hAnsi="Times New Roman" w:eastAsia="方正仿宋_GBK" w:cs="Times New Roman"/>
                <w:color w:val="000000"/>
                <w:sz w:val="18"/>
                <w:szCs w:val="18"/>
                <w:lang w:val="en-US" w:eastAsia="zh-CN"/>
              </w:rPr>
              <w:t>满意</w:t>
            </w:r>
          </w:p>
        </w:tc>
      </w:tr>
    </w:tbl>
    <w:p>
      <w:pPr>
        <w:widowControl w:val="0"/>
        <w:spacing w:line="300" w:lineRule="exact"/>
        <w:jc w:val="both"/>
        <w:textAlignment w:val="center"/>
        <w:rPr>
          <w:rFonts w:hint="default" w:ascii="Times New Roman" w:hAnsi="Times New Roman" w:cs="Times New Roman" w:eastAsiaTheme="minorEastAsia"/>
          <w:sz w:val="18"/>
          <w:szCs w:val="18"/>
        </w:rPr>
      </w:pPr>
    </w:p>
    <w:sectPr>
      <w:footerReference r:id="rId3" w:type="default"/>
      <w:pgSz w:w="11906" w:h="16838"/>
      <w:pgMar w:top="2098" w:right="1474" w:bottom="1984" w:left="1588" w:header="907" w:footer="1644" w:gutter="0"/>
      <w:pgNumType w:fmt="decimal"/>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 w:name="KGWebUrl" w:val="http://10.3.1.25:80/seeyon/officeservlet"/>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444"/>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037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2A95F74"/>
    <w:rsid w:val="03772F34"/>
    <w:rsid w:val="03FB3334"/>
    <w:rsid w:val="05D760BB"/>
    <w:rsid w:val="06041F97"/>
    <w:rsid w:val="08144790"/>
    <w:rsid w:val="0AC959D7"/>
    <w:rsid w:val="0B055058"/>
    <w:rsid w:val="0B684647"/>
    <w:rsid w:val="0BF540B8"/>
    <w:rsid w:val="0C7542DD"/>
    <w:rsid w:val="0DC31556"/>
    <w:rsid w:val="0DDC666E"/>
    <w:rsid w:val="0E6A7D0E"/>
    <w:rsid w:val="10A92D08"/>
    <w:rsid w:val="12EE6356"/>
    <w:rsid w:val="12F86442"/>
    <w:rsid w:val="14AA5F0C"/>
    <w:rsid w:val="14ED0600"/>
    <w:rsid w:val="155304AF"/>
    <w:rsid w:val="16731B31"/>
    <w:rsid w:val="16AD3DF1"/>
    <w:rsid w:val="175E43D3"/>
    <w:rsid w:val="19FC0EC6"/>
    <w:rsid w:val="1A3D6143"/>
    <w:rsid w:val="1B3B29AD"/>
    <w:rsid w:val="1B6127ED"/>
    <w:rsid w:val="1C013801"/>
    <w:rsid w:val="1DFD8D3B"/>
    <w:rsid w:val="1E3A009C"/>
    <w:rsid w:val="1E97554C"/>
    <w:rsid w:val="1EBC23E6"/>
    <w:rsid w:val="1FA85B6C"/>
    <w:rsid w:val="1FB79DC9"/>
    <w:rsid w:val="1FBFC3F2"/>
    <w:rsid w:val="1FD75EEF"/>
    <w:rsid w:val="1FFFE033"/>
    <w:rsid w:val="211267DB"/>
    <w:rsid w:val="2117636F"/>
    <w:rsid w:val="22AC37EF"/>
    <w:rsid w:val="247F4BAE"/>
    <w:rsid w:val="24FE6AE2"/>
    <w:rsid w:val="250C2CFC"/>
    <w:rsid w:val="257C63D5"/>
    <w:rsid w:val="259250BF"/>
    <w:rsid w:val="25CC75E6"/>
    <w:rsid w:val="26657A78"/>
    <w:rsid w:val="26792088"/>
    <w:rsid w:val="26B274D8"/>
    <w:rsid w:val="272F7B96"/>
    <w:rsid w:val="279947C7"/>
    <w:rsid w:val="27F352A6"/>
    <w:rsid w:val="28860E34"/>
    <w:rsid w:val="29560A0A"/>
    <w:rsid w:val="29D27F48"/>
    <w:rsid w:val="2B984FA8"/>
    <w:rsid w:val="2D527252"/>
    <w:rsid w:val="2D597BEF"/>
    <w:rsid w:val="2D84403B"/>
    <w:rsid w:val="2DAB6C10"/>
    <w:rsid w:val="2DDC1740"/>
    <w:rsid w:val="2E787804"/>
    <w:rsid w:val="2EAE55F2"/>
    <w:rsid w:val="2EDF4302"/>
    <w:rsid w:val="2EFE1A04"/>
    <w:rsid w:val="2F316265"/>
    <w:rsid w:val="2F33128D"/>
    <w:rsid w:val="2FFF3854"/>
    <w:rsid w:val="30220DEE"/>
    <w:rsid w:val="30F05369"/>
    <w:rsid w:val="319D2B9D"/>
    <w:rsid w:val="31CE6672"/>
    <w:rsid w:val="321067FB"/>
    <w:rsid w:val="327F5475"/>
    <w:rsid w:val="32C21624"/>
    <w:rsid w:val="34093BEC"/>
    <w:rsid w:val="341E2768"/>
    <w:rsid w:val="343A7C9E"/>
    <w:rsid w:val="357F1600"/>
    <w:rsid w:val="35BBF80F"/>
    <w:rsid w:val="35E50D7D"/>
    <w:rsid w:val="37D23654"/>
    <w:rsid w:val="3AF93422"/>
    <w:rsid w:val="3B0B3937"/>
    <w:rsid w:val="3B736F08"/>
    <w:rsid w:val="3BE3D531"/>
    <w:rsid w:val="3D431A40"/>
    <w:rsid w:val="3D6E2BAE"/>
    <w:rsid w:val="3DCE396C"/>
    <w:rsid w:val="3E385887"/>
    <w:rsid w:val="3EFF42CA"/>
    <w:rsid w:val="3F6FCA38"/>
    <w:rsid w:val="3FD5AF3D"/>
    <w:rsid w:val="3FFED8BE"/>
    <w:rsid w:val="3FFF43BB"/>
    <w:rsid w:val="3FFFFC14"/>
    <w:rsid w:val="410D64BA"/>
    <w:rsid w:val="42222F9E"/>
    <w:rsid w:val="433DCF8E"/>
    <w:rsid w:val="439D6CCB"/>
    <w:rsid w:val="45945254"/>
    <w:rsid w:val="45C17776"/>
    <w:rsid w:val="45FF973D"/>
    <w:rsid w:val="47550EBA"/>
    <w:rsid w:val="47DE59DD"/>
    <w:rsid w:val="48951347"/>
    <w:rsid w:val="48DA642A"/>
    <w:rsid w:val="4A5C07CE"/>
    <w:rsid w:val="4A743D04"/>
    <w:rsid w:val="4AD57525"/>
    <w:rsid w:val="4B5A553F"/>
    <w:rsid w:val="4BC5601A"/>
    <w:rsid w:val="4BF7E09D"/>
    <w:rsid w:val="4C474F82"/>
    <w:rsid w:val="4CC5608C"/>
    <w:rsid w:val="4CF617A0"/>
    <w:rsid w:val="4D220584"/>
    <w:rsid w:val="4F123780"/>
    <w:rsid w:val="507C2A18"/>
    <w:rsid w:val="51B16025"/>
    <w:rsid w:val="51B337A3"/>
    <w:rsid w:val="51E66232"/>
    <w:rsid w:val="526D2588"/>
    <w:rsid w:val="53186A3D"/>
    <w:rsid w:val="53BB74FC"/>
    <w:rsid w:val="54D471E9"/>
    <w:rsid w:val="54F76D17"/>
    <w:rsid w:val="55562098"/>
    <w:rsid w:val="55D6F5AF"/>
    <w:rsid w:val="55FDDF92"/>
    <w:rsid w:val="55FFBC03"/>
    <w:rsid w:val="56CDA72E"/>
    <w:rsid w:val="571F783C"/>
    <w:rsid w:val="576F5916"/>
    <w:rsid w:val="577FDAE2"/>
    <w:rsid w:val="57FBE2C7"/>
    <w:rsid w:val="58D7552E"/>
    <w:rsid w:val="58F21C8F"/>
    <w:rsid w:val="58FA5A7D"/>
    <w:rsid w:val="5902501C"/>
    <w:rsid w:val="5954518E"/>
    <w:rsid w:val="599E4A48"/>
    <w:rsid w:val="59E81470"/>
    <w:rsid w:val="59E9072E"/>
    <w:rsid w:val="5B335734"/>
    <w:rsid w:val="5B7220D8"/>
    <w:rsid w:val="5B7F322F"/>
    <w:rsid w:val="5BCAB023"/>
    <w:rsid w:val="5BEACB58"/>
    <w:rsid w:val="5CAC2548"/>
    <w:rsid w:val="5CF54591"/>
    <w:rsid w:val="5D8649C7"/>
    <w:rsid w:val="5DDA9B94"/>
    <w:rsid w:val="5E635B42"/>
    <w:rsid w:val="5EAB810D"/>
    <w:rsid w:val="5EFA9846"/>
    <w:rsid w:val="5EFF9DA6"/>
    <w:rsid w:val="5F042168"/>
    <w:rsid w:val="5F7751B9"/>
    <w:rsid w:val="5F9F7232"/>
    <w:rsid w:val="5F9F9588"/>
    <w:rsid w:val="5FA45B30"/>
    <w:rsid w:val="5FB534B7"/>
    <w:rsid w:val="5FBD32D2"/>
    <w:rsid w:val="5FD450B0"/>
    <w:rsid w:val="5FEF60CD"/>
    <w:rsid w:val="5FFB203D"/>
    <w:rsid w:val="5FFB8CF9"/>
    <w:rsid w:val="611D5B83"/>
    <w:rsid w:val="6220213F"/>
    <w:rsid w:val="62281AF8"/>
    <w:rsid w:val="623D38DA"/>
    <w:rsid w:val="62A40365"/>
    <w:rsid w:val="6337334B"/>
    <w:rsid w:val="63DBAF21"/>
    <w:rsid w:val="64491D15"/>
    <w:rsid w:val="645C76B6"/>
    <w:rsid w:val="64C33766"/>
    <w:rsid w:val="6636451A"/>
    <w:rsid w:val="67977571"/>
    <w:rsid w:val="67DE80AA"/>
    <w:rsid w:val="67F66850"/>
    <w:rsid w:val="68D53152"/>
    <w:rsid w:val="6969699C"/>
    <w:rsid w:val="697E3B47"/>
    <w:rsid w:val="69BF132E"/>
    <w:rsid w:val="6A2F18C8"/>
    <w:rsid w:val="6A324F45"/>
    <w:rsid w:val="6A4130A4"/>
    <w:rsid w:val="6B7F84D8"/>
    <w:rsid w:val="6BD6446A"/>
    <w:rsid w:val="6BFEE5F3"/>
    <w:rsid w:val="6C995306"/>
    <w:rsid w:val="6CA21B03"/>
    <w:rsid w:val="6CAFF34E"/>
    <w:rsid w:val="6CFFCF4F"/>
    <w:rsid w:val="6DFFF8B6"/>
    <w:rsid w:val="6E9FE641"/>
    <w:rsid w:val="6EE66094"/>
    <w:rsid w:val="6EEDE807"/>
    <w:rsid w:val="6EEE4BE4"/>
    <w:rsid w:val="6EF65E9C"/>
    <w:rsid w:val="6F3D9197"/>
    <w:rsid w:val="6F6F75B6"/>
    <w:rsid w:val="6FAB3EC4"/>
    <w:rsid w:val="6FB6AF41"/>
    <w:rsid w:val="6FD52DA7"/>
    <w:rsid w:val="6FD894C8"/>
    <w:rsid w:val="6FE36A9E"/>
    <w:rsid w:val="6FEFB2D1"/>
    <w:rsid w:val="6FFF97E6"/>
    <w:rsid w:val="706F5F82"/>
    <w:rsid w:val="70D2761D"/>
    <w:rsid w:val="71397E03"/>
    <w:rsid w:val="713E1F1F"/>
    <w:rsid w:val="716B60E0"/>
    <w:rsid w:val="71A417BF"/>
    <w:rsid w:val="71FB5B08"/>
    <w:rsid w:val="72A14E50"/>
    <w:rsid w:val="72BB3F84"/>
    <w:rsid w:val="72C2419F"/>
    <w:rsid w:val="73542CB5"/>
    <w:rsid w:val="73FB87D9"/>
    <w:rsid w:val="748B016B"/>
    <w:rsid w:val="74AE7EBD"/>
    <w:rsid w:val="74C908AF"/>
    <w:rsid w:val="75EF0FBA"/>
    <w:rsid w:val="7607C293"/>
    <w:rsid w:val="76793C4E"/>
    <w:rsid w:val="767B0EE7"/>
    <w:rsid w:val="76DF783A"/>
    <w:rsid w:val="76DFA4E8"/>
    <w:rsid w:val="7753565C"/>
    <w:rsid w:val="778720BD"/>
    <w:rsid w:val="77A7D615"/>
    <w:rsid w:val="77FF366A"/>
    <w:rsid w:val="77FF8C96"/>
    <w:rsid w:val="77FFA8F9"/>
    <w:rsid w:val="78463797"/>
    <w:rsid w:val="7976604B"/>
    <w:rsid w:val="798F4029"/>
    <w:rsid w:val="79D158A9"/>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283BDB"/>
    <w:rsid w:val="7D6D369C"/>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
    <w:next w:val="1"/>
    <w:qFormat/>
    <w:uiPriority w:val="0"/>
    <w:pPr>
      <w:widowControl w:val="0"/>
      <w:spacing w:after="120"/>
      <w:jc w:val="both"/>
    </w:pPr>
    <w:rPr>
      <w:rFonts w:ascii="Times New Roman" w:hAnsi="Times New Roman" w:eastAsia="仿宋_GB2312" w:cs="Times New Roman"/>
      <w:kern w:val="2"/>
      <w:sz w:val="32"/>
      <w:szCs w:val="24"/>
      <w:lang w:val="en-US" w:eastAsia="zh-CN" w:bidi="ar-SA"/>
    </w:rPr>
  </w:style>
  <w:style w:type="paragraph" w:styleId="3">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4">
    <w:name w:val="Document Map"/>
    <w:basedOn w:val="1"/>
    <w:link w:val="23"/>
    <w:qFormat/>
    <w:uiPriority w:val="0"/>
    <w:rPr>
      <w:rFonts w:ascii="宋体" w:eastAsia="宋体"/>
      <w:sz w:val="18"/>
      <w:szCs w:val="18"/>
    </w:rPr>
  </w:style>
  <w:style w:type="paragraph" w:styleId="5">
    <w:name w:val="Body Text"/>
    <w:basedOn w:val="1"/>
    <w:next w:val="1"/>
    <w:qFormat/>
    <w:uiPriority w:val="0"/>
    <w:pPr>
      <w:spacing w:after="120"/>
    </w:pPr>
  </w:style>
  <w:style w:type="paragraph" w:styleId="6">
    <w:name w:val="Body Text Indent"/>
    <w:basedOn w:val="1"/>
    <w:qFormat/>
    <w:uiPriority w:val="0"/>
    <w:pPr>
      <w:spacing w:after="120"/>
      <w:ind w:left="200" w:leftChars="200"/>
    </w:pPr>
    <w:rPr>
      <w:rFonts w:ascii="仿宋_GB2312"/>
      <w:szCs w:val="32"/>
    </w:rPr>
  </w:style>
  <w:style w:type="paragraph" w:styleId="7">
    <w:name w:val="Balloon Text"/>
    <w:basedOn w:val="1"/>
    <w:semiHidden/>
    <w:qFormat/>
    <w:uiPriority w:val="0"/>
    <w:rPr>
      <w:sz w:val="18"/>
      <w:szCs w:val="18"/>
    </w:rPr>
  </w:style>
  <w:style w:type="paragraph" w:styleId="8">
    <w:name w:val="footer"/>
    <w:basedOn w:val="1"/>
    <w:link w:val="25"/>
    <w:qFormat/>
    <w:uiPriority w:val="99"/>
    <w:pPr>
      <w:tabs>
        <w:tab w:val="center" w:pos="4153"/>
        <w:tab w:val="right" w:pos="8306"/>
      </w:tabs>
      <w:snapToGrid w:val="0"/>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0">
    <w:name w:val="toc 1"/>
    <w:basedOn w:val="1"/>
    <w:next w:val="1"/>
    <w:qFormat/>
    <w:uiPriority w:val="0"/>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标题 5（有编号）（绿盟科技）"/>
    <w:next w:val="18"/>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9">
    <w:name w:val="UserStyle_0"/>
    <w:qFormat/>
    <w:uiPriority w:val="0"/>
    <w:pPr>
      <w:textAlignment w:val="baseline"/>
    </w:pPr>
    <w:rPr>
      <w:rFonts w:ascii="仿宋_GB2312" w:hAnsi="Times New Roman" w:eastAsia="仿宋_GB2312" w:cs="Times New Roman"/>
      <w:color w:val="000000"/>
      <w:sz w:val="24"/>
      <w:szCs w:val="24"/>
      <w:lang w:val="en-US" w:eastAsia="zh-CN" w:bidi="ar-SA"/>
    </w:rPr>
  </w:style>
  <w:style w:type="paragraph" w:customStyle="1" w:styleId="20">
    <w:name w:val="_Style 5"/>
    <w:qFormat/>
    <w:uiPriority w:val="99"/>
    <w:pPr>
      <w:widowControl w:val="0"/>
      <w:ind w:firstLine="200" w:firstLineChars="200"/>
      <w:jc w:val="both"/>
    </w:pPr>
    <w:rPr>
      <w:rFonts w:hint="eastAsia" w:ascii="Times New Roman" w:hAnsi="Times New Roman" w:eastAsia="宋体" w:cs="Times New Roman"/>
      <w:kern w:val="2"/>
      <w:sz w:val="24"/>
      <w:lang w:val="en-US" w:eastAsia="zh-CN" w:bidi="ar-SA"/>
    </w:rPr>
  </w:style>
  <w:style w:type="paragraph" w:customStyle="1" w:styleId="21">
    <w:name w:val="四号正文"/>
    <w:basedOn w:val="1"/>
    <w:link w:val="22"/>
    <w:qFormat/>
    <w:uiPriority w:val="0"/>
    <w:pPr>
      <w:spacing w:line="360" w:lineRule="auto"/>
    </w:pPr>
    <w:rPr>
      <w:rFonts w:ascii="??" w:hAnsi="??" w:eastAsia="宋体" w:cs="宋体"/>
      <w:color w:val="000000"/>
      <w:kern w:val="0"/>
      <w:sz w:val="28"/>
      <w:szCs w:val="21"/>
    </w:rPr>
  </w:style>
  <w:style w:type="character" w:customStyle="1" w:styleId="22">
    <w:name w:val="四号正文 Char"/>
    <w:basedOn w:val="15"/>
    <w:link w:val="21"/>
    <w:qFormat/>
    <w:uiPriority w:val="0"/>
    <w:rPr>
      <w:rFonts w:ascii="??" w:hAnsi="??" w:eastAsia="宋体" w:cs="宋体"/>
      <w:color w:val="000000"/>
      <w:sz w:val="28"/>
      <w:szCs w:val="21"/>
      <w:lang w:val="en-US" w:eastAsia="zh-CN" w:bidi="ar-SA"/>
    </w:rPr>
  </w:style>
  <w:style w:type="character" w:customStyle="1" w:styleId="23">
    <w:name w:val="文档结构图 Char"/>
    <w:basedOn w:val="15"/>
    <w:link w:val="4"/>
    <w:qFormat/>
    <w:uiPriority w:val="0"/>
    <w:rPr>
      <w:rFonts w:ascii="宋体"/>
      <w:kern w:val="2"/>
      <w:sz w:val="18"/>
      <w:szCs w:val="18"/>
    </w:rPr>
  </w:style>
  <w:style w:type="paragraph" w:customStyle="1" w:styleId="24">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5">
    <w:name w:val="页脚 Char"/>
    <w:basedOn w:val="15"/>
    <w:link w:val="8"/>
    <w:qFormat/>
    <w:uiPriority w:val="99"/>
    <w:rPr>
      <w:kern w:val="2"/>
      <w:sz w:val="18"/>
      <w:szCs w:val="18"/>
    </w:rPr>
  </w:style>
  <w:style w:type="character" w:customStyle="1" w:styleId="26">
    <w:name w:val="font31"/>
    <w:basedOn w:val="15"/>
    <w:qFormat/>
    <w:uiPriority w:val="0"/>
    <w:rPr>
      <w:rFonts w:hint="eastAsia" w:ascii="宋体" w:hAnsi="宋体" w:eastAsia="宋体" w:cs="宋体"/>
      <w:color w:val="000000"/>
      <w:sz w:val="24"/>
      <w:szCs w:val="24"/>
      <w:u w:val="none"/>
    </w:rPr>
  </w:style>
  <w:style w:type="character" w:customStyle="1" w:styleId="27">
    <w:name w:val="font51"/>
    <w:basedOn w:val="15"/>
    <w:qFormat/>
    <w:uiPriority w:val="0"/>
    <w:rPr>
      <w:rFonts w:hint="default" w:ascii="Wingdings 2" w:hAnsi="Wingdings 2" w:eastAsia="Wingdings 2" w:cs="Wingdings 2"/>
      <w:color w:val="000000"/>
      <w:sz w:val="18"/>
      <w:szCs w:val="18"/>
      <w:u w:val="none"/>
    </w:rPr>
  </w:style>
  <w:style w:type="character" w:customStyle="1" w:styleId="28">
    <w:name w:val="font01"/>
    <w:basedOn w:val="15"/>
    <w:qFormat/>
    <w:uiPriority w:val="0"/>
    <w:rPr>
      <w:rFonts w:ascii="宋体" w:hAnsi="宋体" w:eastAsia="宋体" w:cs="宋体"/>
      <w:color w:val="000000"/>
      <w:sz w:val="18"/>
      <w:szCs w:val="18"/>
      <w:u w:val="none"/>
    </w:rPr>
  </w:style>
  <w:style w:type="character" w:customStyle="1" w:styleId="29">
    <w:name w:val="font41"/>
    <w:basedOn w:val="15"/>
    <w:qFormat/>
    <w:uiPriority w:val="0"/>
    <w:rPr>
      <w:rFonts w:ascii="宋体" w:hAnsi="宋体" w:eastAsia="宋体" w:cs="宋体"/>
      <w:color w:val="000000"/>
      <w:sz w:val="18"/>
      <w:szCs w:val="18"/>
      <w:u w:val="none"/>
    </w:rPr>
  </w:style>
  <w:style w:type="paragraph" w:customStyle="1" w:styleId="30">
    <w:name w:val="正文-公1"/>
    <w:basedOn w:val="31"/>
    <w:next w:val="1"/>
    <w:qFormat/>
    <w:uiPriority w:val="0"/>
    <w:pPr>
      <w:ind w:firstLine="200" w:firstLineChars="200"/>
    </w:p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qFormat/>
    <w:uiPriority w:val="0"/>
    <w:pPr>
      <w:widowControl w:val="0"/>
      <w:jc w:val="both"/>
    </w:pPr>
    <w:rPr>
      <w:rFonts w:ascii="Times New Roman" w:hAnsi="Times New Roman" w:eastAsia="宋体" w:cs="Times New Roman"/>
      <w:kern w:val="2"/>
      <w:sz w:val="21"/>
      <w:lang w:val="en-US" w:eastAsia="zh-CN"/>
    </w:rPr>
  </w:style>
  <w:style w:type="paragraph" w:customStyle="1" w:styleId="32">
    <w:name w:val="BodyText1I"/>
    <w:basedOn w:val="2"/>
    <w:next w:val="33"/>
    <w:qFormat/>
    <w:uiPriority w:val="0"/>
    <w:pPr>
      <w:ind w:firstLine="420" w:firstLineChars="100"/>
    </w:pPr>
    <w:rPr>
      <w:rFonts w:ascii="Times New Roman" w:hAnsi="Times New Roman" w:eastAsia="仿宋_GB2312"/>
    </w:rPr>
  </w:style>
  <w:style w:type="paragraph" w:customStyle="1" w:styleId="33">
    <w:name w:val="BodyText1I2"/>
    <w:basedOn w:val="34"/>
    <w:qFormat/>
    <w:uiPriority w:val="0"/>
    <w:pPr>
      <w:ind w:firstLine="420"/>
    </w:pPr>
  </w:style>
  <w:style w:type="paragraph" w:customStyle="1" w:styleId="34">
    <w:name w:val="BodyTextIndent"/>
    <w:basedOn w:val="1"/>
    <w:qFormat/>
    <w:uiPriority w:val="0"/>
    <w:pPr>
      <w:spacing w:after="120"/>
      <w:ind w:left="420" w:leftChars="200"/>
    </w:pPr>
    <w:rPr>
      <w:rFonts w:ascii="Times New Roman" w:hAnsi="Times New Roman"/>
    </w:rPr>
  </w:style>
  <w:style w:type="paragraph" w:customStyle="1" w:styleId="35">
    <w:name w:val="发问编号"/>
    <w:basedOn w:val="1"/>
    <w:qFormat/>
    <w:uiPriority w:val="0"/>
    <w:pPr>
      <w:spacing w:line="600" w:lineRule="exact"/>
      <w:jc w:val="center"/>
    </w:pPr>
    <w:rPr>
      <w:rFonts w:eastAsia="仿宋_GB2312" w:cs="宋体"/>
      <w:sz w:val="32"/>
      <w:szCs w:val="20"/>
    </w:rPr>
  </w:style>
  <w:style w:type="paragraph" w:customStyle="1" w:styleId="36">
    <w:name w:val="公文抄送"/>
    <w:basedOn w:val="1"/>
    <w:qFormat/>
    <w:uiPriority w:val="99"/>
    <w:pPr>
      <w:widowControl w:val="0"/>
      <w:kinsoku/>
      <w:autoSpaceDE/>
      <w:autoSpaceDN/>
      <w:adjustRightInd/>
      <w:snapToGrid/>
      <w:spacing w:line="600" w:lineRule="exact"/>
      <w:jc w:val="both"/>
      <w:textAlignment w:val="auto"/>
    </w:pPr>
    <w:rPr>
      <w:rFonts w:ascii="Times New Roman" w:hAnsi="Times New Roman" w:eastAsia="仿宋_GB2312" w:cs="Times New Roman"/>
      <w:snapToGrid/>
      <w:color w:val="auto"/>
      <w:kern w:val="2"/>
      <w:sz w:val="32"/>
      <w:szCs w:val="32"/>
    </w:rPr>
  </w:style>
  <w:style w:type="paragraph" w:customStyle="1" w:styleId="37">
    <w:name w:val="发文时间和印发时间"/>
    <w:basedOn w:val="1"/>
    <w:qFormat/>
    <w:uiPriority w:val="99"/>
    <w:pPr>
      <w:widowControl w:val="0"/>
      <w:kinsoku/>
      <w:autoSpaceDE/>
      <w:autoSpaceDN/>
      <w:adjustRightInd/>
      <w:snapToGrid/>
      <w:spacing w:line="600" w:lineRule="exact"/>
      <w:jc w:val="right"/>
      <w:textAlignment w:val="auto"/>
    </w:pPr>
    <w:rPr>
      <w:rFonts w:ascii="Times New Roman" w:hAnsi="Times New Roman" w:eastAsia="仿宋_GB2312" w:cs="Times New Roman"/>
      <w:snapToGrid/>
      <w:color w:val="auto"/>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13</Pages>
  <Words>6315</Words>
  <Characters>6685</Characters>
  <Lines>18</Lines>
  <Paragraphs>5</Paragraphs>
  <TotalTime>0</TotalTime>
  <ScaleCrop>false</ScaleCrop>
  <LinksUpToDate>false</LinksUpToDate>
  <CharactersWithSpaces>7022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2025-03-27T16:07:00Z</dcterms:created>
  <dc:creator>陈萍</dc:creator>
  <cp:lastModifiedBy>汪治萍</cp:lastModifiedBy>
  <cp:lastPrinted>2026-06-12T16:59:00Z</cp:lastPrinted>
  <dcterms:modified xsi:type="dcterms:W3CDTF">2026-06-16T01:06:35Z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5AD0D08430D03C146EA42F6AA6FC528D_43</vt:lpwstr>
  </property>
  <property fmtid="{D5CDD505-2E9C-101B-9397-08002B2CF9AE}" pid="4" name="KSOTemplateDocerSaveRecord">
    <vt:lpwstr>eyJoZGlkIjoiNTMwNzU0YjA5MzAwNzg0NDkwODJiNGYzMWU0YzFkMDEiLCJ1c2VySWQiOiIxNjM2NTQwNzI3In0=</vt:lpwstr>
  </property>
</Properties>
</file>