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</w:rPr>
        <w:t>中共</w:t>
      </w: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  <w:lang w:val="en-US" w:eastAsia="zh-CN"/>
        </w:rPr>
        <w:t>攀枝花市第十九小学校党支部委员会落实</w:t>
      </w: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</w:rPr>
        <w:t>区委第</w:t>
      </w: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</w:rPr>
        <w:t>巡察组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</w:rPr>
        <w:t>巡察反馈意见整改工作台账</w:t>
      </w:r>
    </w:p>
    <w:bookmarkEnd w:id="0"/>
    <w:p>
      <w:pPr>
        <w:pStyle w:val="2"/>
        <w:rPr>
          <w:rFonts w:hint="default"/>
        </w:rPr>
      </w:pPr>
    </w:p>
    <w:tbl>
      <w:tblPr>
        <w:tblStyle w:val="10"/>
        <w:tblpPr w:leftFromText="180" w:rightFromText="180" w:vertAnchor="text" w:horzAnchor="page" w:tblpX="1536" w:tblpY="375"/>
        <w:tblOverlap w:val="never"/>
        <w:tblW w:w="14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292"/>
        <w:gridCol w:w="3275"/>
        <w:gridCol w:w="3390"/>
        <w:gridCol w:w="960"/>
        <w:gridCol w:w="72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序号</w:t>
            </w:r>
          </w:p>
        </w:tc>
        <w:tc>
          <w:tcPr>
            <w:tcW w:w="4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</w:rPr>
              <w:t>反馈问题</w:t>
            </w:r>
          </w:p>
        </w:tc>
        <w:tc>
          <w:tcPr>
            <w:tcW w:w="4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整改措施（任务）</w:t>
            </w:r>
          </w:p>
        </w:tc>
        <w:tc>
          <w:tcPr>
            <w:tcW w:w="4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整改落实情况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问题类型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（主要问题）</w:t>
            </w:r>
          </w:p>
        </w:tc>
        <w:tc>
          <w:tcPr>
            <w:tcW w:w="3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具体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问题</w:t>
            </w:r>
          </w:p>
        </w:tc>
        <w:tc>
          <w:tcPr>
            <w:tcW w:w="33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整改措施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计划完成时限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是否完成</w:t>
            </w:r>
          </w:p>
        </w:tc>
        <w:tc>
          <w:tcPr>
            <w:tcW w:w="3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3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贯彻落实上级部署有差距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1．未出台书记、校长练习思政课教师的具体制度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1．制定书记、校长联系思政课教师安排表，常态化与思政老师进行谈心谈话。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已制定攀枝花市第十九小学校联系思政教师方案，制定了联系表。共开展了谈心谈话记录2次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落实校级领导上思政课要求不到位。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如，2024年，1名校级领导上思政课未达到规定课时。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2．制定校级领导上思政课安排表，并按规定完成思政课课时。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已完成校级领导上思政课安排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违反党政正职“三个不直接分管”规定。如，2023年10月以来，食堂费用的报销由党支部书记、校长签批。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3．明确校级班子成员职责分工，强化制度学习，严格执行“三个不直接分管”制度。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一是组织校班子成员学习财务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制度，进一步明确职责分工与工作要求；二是对2023年10月以来的所有财务凭证进行全面核查。核查期间，所有费用报销由财务分管副校长签批。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贯彻落实《中小学健康教育指导纲要》执行不到位。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如，2024年3月27日，眼保健操时间，五年级三班老师仍在辅导学生写作业，没有做眼保健操，被督学通报。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4．加强教师培训，严格落实《中小学健康教育指导纲要》规定，做好课堂巡查。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已完成教师培训，课堂巡查每天都在坚持检查，并对做得不好的班级进行通报。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学生资助工作不规范</w:t>
            </w:r>
          </w:p>
        </w:tc>
        <w:tc>
          <w:tcPr>
            <w:tcW w:w="3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如，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2022年春季学期至2024年春季学期，未将全国资助系统推送的特殊困难学生信息整理成台账留存。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2023年春季学期至2024年秋季学期，学生章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、安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、文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、沈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某某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因无法办理四川省社保卡，由其亲属代领，但发放表中未注明代领人信息。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5．做好问题整改，完善特殊困难学生信息台账。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已完成特殊困难学生信息台账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6．对代签领取情况进行核查，联系代领亲属完善代领人信息。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已经联系代领人及其亲属到学校完善有关信息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校园安全有隐患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安全隐患整治不到位。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如，2023年5月督导检查发现的维修运动场时施工方留下的不合格“人工草皮”，长时间堆放，至今未清理。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7．组织开展隐患排除。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一是再次对全校进行安全隐患全面排查，并对发现的问题进行全面整改；二是按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流程，及时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启动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对“人工草皮”进行清理工作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已经清理完成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食品安全监管责任不到位。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如，2024年6月25日至28日，学校留样记录中签字不完整，留样销毁后，无销毁记录。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8．加强食堂工作人员管理，建立留样管理台账。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一是组织食堂人员进行全面培训，明确工作要求；二是与留样员刘</w:t>
            </w:r>
            <w:r>
              <w:rPr>
                <w:rFonts w:hint="eastAsia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谈心谈话，再次强调岗位职责；三是核查2024年7月至今的留样记录，确认均按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规定执行无误。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校园文化建设有短板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“古朴典雅”的校园文化建设不足，传统文化感染力弱。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9．加强“金沙漆画”的传习教育，展示学生学习成果，通过走出校园，普及非遗文化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带领学生走出校园，走进社区，展示学校的漆画。有关资料已经收集完成。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财经纪律执行不到位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u w:val="none"/>
                <w:lang w:bidi="ar"/>
              </w:rPr>
              <w:t>财务基础工作不规范。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lang w:bidi="ar"/>
              </w:rPr>
              <w:t>2019年至2024年无会计总账、明细账。2019年至2024年未登记现金日记账、银行存款日记账。2020年至2022年部分固定资产折旧无明细。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10．加强有关人员责任意识和财经知识的培训，依规完善整改资料。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一是组织会计、财务及资产管理人员全面培训，进一步明确工作职责与要求；二是补打2019年至2024年缺失的会计总账、明细账，并完善该期间的现金日记账与银行存款日记账；三是补打2020年至2022年的部分固定资产折旧明细，并完成存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u w:val="none"/>
                <w:lang w:bidi="ar"/>
              </w:rPr>
              <w:t>财务制度执行不严格。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lang w:bidi="ar"/>
              </w:rPr>
              <w:t>如，2022年10月5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lang w:bidi="ar"/>
              </w:rPr>
              <w:t>凭证中，公出交通费报销无附件。2023年12月10#凭证中，划转工会经费无上会资料或请示审批。2023年12月10#凭证中，党建活动租车无活动方案且报销单签字审批流程不完善。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11．严格执行财务制度，仔细核对凭证，完善有关资料，严格执行签审流程。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一是组织会计、财务人员全面培训，进一步明确工作职责与要求；二是已仔细核对凭证，完善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资料，严格执行签审流程。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u w:val="none"/>
                <w:lang w:bidi="ar"/>
              </w:rPr>
              <w:t>违反要求报销费用。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lang w:bidi="ar"/>
              </w:rPr>
              <w:t>2021年至2024年报销市内交通费。如，2021年12月银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lang w:val="en-US" w:eastAsia="zh-CN" w:bidi="ar"/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lang w:bidi="ar"/>
              </w:rPr>
              <w:t>报销交通费194元；2024年11月郭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lang w:val="en-US" w:eastAsia="zh-CN" w:bidi="ar"/>
              </w:rPr>
              <w:t>某某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lang w:bidi="ar"/>
              </w:rPr>
              <w:t>报销交通费398元。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12．核查凭证，清退费用。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核对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了有关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凭证，清退费用。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u w:val="none"/>
                <w:lang w:bidi="ar"/>
              </w:rPr>
              <w:t>会计科目核算不准确。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1"/>
                <w:kern w:val="0"/>
                <w:sz w:val="20"/>
                <w:szCs w:val="20"/>
                <w:highlight w:val="none"/>
                <w:lang w:bidi="ar"/>
              </w:rPr>
              <w:t>如，2023年12月9#凭证中，购买医疗设备21000元，直接列支费用。2023年12月12#凭证中，收回备用金20000元录入“其他应付款”科目，增加负债。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13．组织会计人员开展业务学习，提高工作水平；及时调整记账科目。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一是组织会计、财务人员开展全面培训，明确职责与要求；二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是在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今后工作中规范设置会计科目，从源头避免类似问题。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2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国有资产管理不规范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门面出租不规范。如，国有资产出租未经公开招租程序，且将部分资产提供给大水井社区使用但无出租出借协议等手续。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14．对接区级有关部门拟定公开招租方案，依规公开招租，并规范合同、协议等档案资料。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一是根据最新国有资产管理办法，按公开程序对门面进行招租；二是联系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大水井社区完成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出租出借协议等手续。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固定资产调拨不规范。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如，2021年4月1#凭证中接收的多媒体终端、2021年4月9#凭证中接收的电脑、2023年8月11#凭证中接收的乐器器材等均未履行区内调拨手续。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15．组织开展国有资产管理办法的学习，依规完成调拨手续。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2026年6月底前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一是组织资产管理人员进行全面学习，进一步明确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规范与要求；二是完成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</w:rPr>
              <w:t>物品区内调拨手续。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工会内控管理不到位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．2019年至2024年未登记现金日记账、银行存款日记账。2019年至2023年原始凭证与记账凭证分离。2019年至2025年无会费收缴明细。2021年至2024年手续费支付未走审核报销流程。2019年至2022年、2024年至2025年采购无合同。2020年至2022年、2025年部分审批单履行审批流程不完善，报销单签字审核不全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16．组织学习工会会费收缴及使用有关规定，完善资料整改。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组织工会委员、账务管理人员学习《中华人民共和国工会法》《四川省基层工会经费收支管理实施办法》，已完成2019年至2024年现金日记账、银行存款日记账登记，完善2019年至2023年原始凭证与记账凭证，完善了2019年至2025年会费收缴明细，完善了2020年至2022年、2025年审批单审批流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2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民主集中制执行不到位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未做到一事一议。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如，2022年5月17日、2023年3月22日均出现几个议题一起表态的情况。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17．严格执行一事一议制度。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学校校长办公会和支委会严格执行一事一议制度。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议事决策不规范。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如，2019年6月至2022年8月的校长办公会无班子成员逐一表态情况。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18．严肃会议记录，执行末位表态制。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学校校长办公会和支委会严格执行书记、校长末位表态制。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2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kern w:val="0"/>
                <w:sz w:val="20"/>
                <w:szCs w:val="20"/>
                <w:highlight w:val="none"/>
                <w:lang w:val="en-US" w:eastAsia="zh-CN" w:bidi="ar"/>
              </w:rPr>
              <w:t>党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kern w:val="0"/>
                <w:sz w:val="20"/>
                <w:szCs w:val="20"/>
                <w:highlight w:val="none"/>
                <w:lang w:bidi="ar"/>
              </w:rPr>
              <w:t>风廉政建设责任落实不到位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制定计划不严谨。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如，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6"/>
                <w:kern w:val="0"/>
                <w:sz w:val="20"/>
                <w:szCs w:val="20"/>
                <w:highlight w:val="none"/>
                <w:lang w:bidi="ar"/>
              </w:rPr>
              <w:t>2022年制定的党风廉政建设“一岗双责”责任制中出现“按照《大同十八中领导班子成员党建工作联系点制度》”字样；2022年、2023年党风廉政计划重复率高达90%。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19．将党风廉政建设工作纳入学校重要议事日程，压实领导责任，定期研究，做好审核校对。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一是将《2026年党支部工作计划》《2026年学校党风廉政建设工作计划》纳入学校“三重一大”议事日程，在学校第三次支委会上进行审议；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是《2026年学校党风廉政建设工作计划》中附责任清单，压实领导责任。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干部教育管理不到位。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如，2024年，书记、校长郭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某某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、副校长何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因师生同餐不同价受到党纪政务处分，食堂管理员刘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某某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因未认真开展食堂留样工作受到警告处分。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20．加强警示教育，举一反三，组织开展校园食品安全和膳食经费管理等业务学习。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1．在开学教职工大会上做警示教育。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2．组织食堂工作人员开展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了校园食品安全知识培训。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3．组织食堂管理人员进行了膳食经费管理业务培训。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pacing w:val="-11"/>
                <w:kern w:val="0"/>
                <w:sz w:val="20"/>
                <w:szCs w:val="20"/>
                <w:highlight w:val="none"/>
                <w:lang w:bidi="ar"/>
              </w:rPr>
              <w:t>发展党员不规范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谢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某某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同志的党员档案中缺少区委教育工委对其成为预备党员、转为正式党员的批复。李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某某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同志的党员档案中缺少区委教育工委对其转为正式党员的批复、转正申请；2019年2月27日第一次被确定为入党积极分子后，2020年2月20日再一次被确定为入党积极分子，无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说明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21．组织学习党员发展有关工作规定，严格按流程发展党员，做好党员档案资料管理。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2026年3月底前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一是组织全体党员学习《中国共产党发展党员工作流程图》，明确发展党员各环节流程要求，提升党员干部对发展党员工作规范的认知度和执行力。二是针对李某某同志两次被确定为入党积极分子无有关说明的问题，已督促李某某同志本人出具情况说明，并将情况说明上交学校支委会进行审议，确保有关情况清晰可查。三是针对谢某某、李某某同志党员档案缺失有关批复、转正申请的问题，安排专人对接区委教育工委，补充完善缺失的批复材料，督促有关人员补齐转正申请，将上述材料整理归档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spacing w:line="640" w:lineRule="exact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6838" w:h="11906" w:orient="landscape"/>
      <w:pgMar w:top="1587" w:right="2098" w:bottom="1474" w:left="1985" w:header="907" w:footer="1644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80C62"/>
    <w:rsid w:val="2C18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1"/>
    <w:uiPriority w:val="0"/>
    <w:pPr>
      <w:spacing w:after="120"/>
    </w:pPr>
  </w:style>
  <w:style w:type="paragraph" w:styleId="4">
    <w:name w:val="Body Text First Indent 2"/>
    <w:basedOn w:val="5"/>
    <w:next w:val="8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uiPriority w:val="0"/>
    <w:pPr>
      <w:ind w:firstLine="570" w:firstLineChars="0"/>
      <w:jc w:val="both"/>
    </w:pPr>
    <w:rPr>
      <w:rFonts w:ascii="宋体"/>
      <w:kern w:val="2"/>
      <w:sz w:val="28"/>
      <w:lang w:val="en-US" w:eastAsia="zh-CN"/>
    </w:rPr>
  </w:style>
  <w:style w:type="paragraph" w:styleId="6">
    <w:name w:val="Normal (Web)"/>
    <w:basedOn w:val="1"/>
    <w:next w:val="7"/>
    <w:uiPriority w:val="0"/>
    <w:pPr>
      <w:ind w:firstLine="0" w:firstLineChars="0"/>
      <w:jc w:val="both"/>
    </w:pPr>
    <w:rPr>
      <w:kern w:val="2"/>
      <w:sz w:val="24"/>
      <w:szCs w:val="24"/>
      <w:lang w:val="en-US" w:eastAsia="zh-CN"/>
    </w:rPr>
  </w:style>
  <w:style w:type="paragraph" w:styleId="7">
    <w:name w:val="footer"/>
    <w:basedOn w:val="1"/>
    <w:next w:val="6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8">
    <w:name w:val="Char Char Char Char Char Char Char Char Char Char Char Char1 Char Char Char Char Char Char Char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0"/>
      <w:lang w:val="en-US" w:eastAsia="en-US" w:bidi="ar-SA"/>
    </w:rPr>
  </w:style>
  <w:style w:type="paragraph" w:styleId="9">
    <w:name w:val="Title"/>
    <w:basedOn w:val="1"/>
    <w:qFormat/>
    <w:uiPriority w:val="0"/>
    <w:pPr>
      <w:spacing w:before="209" w:beforeLines="0" w:beforeAutospacing="0" w:after="209" w:afterLines="0" w:afterAutospacing="0" w:line="0" w:lineRule="atLeast"/>
      <w:ind w:firstLine="0" w:firstLineChars="0"/>
      <w:jc w:val="center"/>
    </w:pPr>
    <w:rPr>
      <w:rFonts w:ascii="Arial" w:hAnsi="Arial" w:eastAsia="穝灿砰"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2026-06-12T08:46:00Z</dcterms:created>
  <dc:creator>Administrator</dc:creator>
  <cp:lastModifiedBy>Administrator</cp:lastModifiedBy>
  <dcterms:modified xsi:type="dcterms:W3CDTF">2026-06-12T08:52:36Z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