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0" w:lineRule="atLeast"/>
        <w:ind w:firstLine="0" w:firstLineChars="0"/>
        <w:jc w:val="center"/>
        <w:textAlignment w:val="auto"/>
        <w:rPr>
          <w:rFonts w:hint="default" w:ascii="Times New Roman" w:hAnsi="Times New Roman" w:eastAsia="方正小标宋_GBK" w:cs="Times New Roman"/>
          <w:b/>
          <w:color w:val="auto"/>
          <w:sz w:val="44"/>
          <w:szCs w:val="44"/>
          <w:highlight w:val="none"/>
        </w:rPr>
      </w:pPr>
      <w:r>
        <w:rPr>
          <w:rFonts w:hint="default" w:ascii="Times New Roman" w:hAnsi="Times New Roman" w:eastAsia="方正小标宋_GBK" w:cs="Times New Roman"/>
          <w:b/>
          <w:color w:val="auto"/>
          <w:sz w:val="44"/>
          <w:szCs w:val="44"/>
          <w:highlight w:val="none"/>
        </w:rPr>
        <w:t>中共</w:t>
      </w:r>
      <w:r>
        <w:rPr>
          <w:rFonts w:hint="default" w:ascii="Times New Roman" w:hAnsi="Times New Roman" w:eastAsia="方正小标宋_GBK" w:cs="Times New Roman"/>
          <w:b/>
          <w:color w:val="auto"/>
          <w:sz w:val="44"/>
          <w:szCs w:val="44"/>
          <w:highlight w:val="none"/>
          <w:lang w:val="en-US" w:eastAsia="zh-CN"/>
        </w:rPr>
        <w:t>攀枝花市第三十一中小学校总支委员会落实</w:t>
      </w:r>
      <w:r>
        <w:rPr>
          <w:rFonts w:hint="default" w:ascii="Times New Roman" w:hAnsi="Times New Roman" w:eastAsia="方正小标宋_GBK" w:cs="Times New Roman"/>
          <w:b/>
          <w:color w:val="auto"/>
          <w:sz w:val="44"/>
          <w:szCs w:val="44"/>
          <w:highlight w:val="none"/>
        </w:rPr>
        <w:t>区委第</w:t>
      </w:r>
      <w:r>
        <w:rPr>
          <w:rFonts w:hint="default" w:ascii="Times New Roman" w:hAnsi="Times New Roman" w:eastAsia="方正小标宋_GBK" w:cs="Times New Roman"/>
          <w:b/>
          <w:color w:val="auto"/>
          <w:sz w:val="44"/>
          <w:szCs w:val="44"/>
          <w:highlight w:val="none"/>
          <w:lang w:val="en-US" w:eastAsia="zh-CN"/>
        </w:rPr>
        <w:t>一</w:t>
      </w:r>
      <w:r>
        <w:rPr>
          <w:rFonts w:hint="default" w:ascii="Times New Roman" w:hAnsi="Times New Roman" w:eastAsia="方正小标宋_GBK" w:cs="Times New Roman"/>
          <w:b/>
          <w:color w:val="auto"/>
          <w:sz w:val="44"/>
          <w:szCs w:val="44"/>
          <w:highlight w:val="none"/>
        </w:rPr>
        <w:t>巡察组</w:t>
      </w:r>
      <w:bookmarkStart w:id="0" w:name="_GoBack"/>
      <w:r>
        <w:rPr>
          <w:rFonts w:hint="default" w:ascii="Times New Roman" w:hAnsi="Times New Roman" w:eastAsia="方正小标宋_GBK" w:cs="Times New Roman"/>
          <w:b/>
          <w:color w:val="auto"/>
          <w:sz w:val="44"/>
          <w:szCs w:val="44"/>
          <w:highlight w:val="none"/>
        </w:rPr>
        <w:t>巡察反馈意见整改工作台账</w:t>
      </w:r>
    </w:p>
    <w:bookmarkEnd w:id="0"/>
    <w:p>
      <w:pPr>
        <w:pStyle w:val="2"/>
        <w:keepNext w:val="0"/>
        <w:keepLines w:val="0"/>
        <w:pageBreakBefore w:val="0"/>
        <w:widowControl w:val="0"/>
        <w:kinsoku/>
        <w:wordWrap/>
        <w:overflowPunct/>
        <w:topLinePunct w:val="0"/>
        <w:autoSpaceDE/>
        <w:autoSpaceDN/>
        <w:bidi w:val="0"/>
        <w:adjustRightInd/>
        <w:snapToGrid/>
        <w:spacing w:after="0" w:line="0" w:lineRule="atLeast"/>
        <w:ind w:left="0" w:leftChars="0" w:firstLine="0" w:firstLineChars="0"/>
        <w:textAlignment w:val="auto"/>
        <w:rPr>
          <w:rFonts w:hint="default" w:ascii="Times New Roman" w:hAnsi="Times New Roman" w:eastAsia="方正仿宋_GBK" w:cs="Times New Roman"/>
          <w:b w:val="0"/>
          <w:bCs/>
          <w:color w:val="auto"/>
          <w:sz w:val="30"/>
          <w:szCs w:val="30"/>
          <w:highlight w:val="none"/>
          <w:lang w:eastAsia="zh-CN"/>
        </w:rPr>
      </w:pPr>
    </w:p>
    <w:tbl>
      <w:tblPr>
        <w:tblStyle w:val="9"/>
        <w:tblW w:w="14995" w:type="dxa"/>
        <w:tblInd w:w="-11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82"/>
        <w:gridCol w:w="1300"/>
        <w:gridCol w:w="3793"/>
        <w:gridCol w:w="3780"/>
        <w:gridCol w:w="1035"/>
        <w:gridCol w:w="645"/>
        <w:gridCol w:w="39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1"/>
                <w:highlight w:val="none"/>
                <w:lang w:eastAsia="zh-CN"/>
              </w:rPr>
            </w:pPr>
            <w:r>
              <w:rPr>
                <w:rFonts w:hint="eastAsia" w:eastAsia="方正仿宋_GBK" w:cs="Times New Roman"/>
                <w:b w:val="0"/>
                <w:bCs/>
                <w:color w:val="auto"/>
                <w:spacing w:val="-11"/>
                <w:sz w:val="32"/>
                <w:szCs w:val="32"/>
                <w:highlight w:val="none"/>
                <w:lang w:val="en-US" w:eastAsia="zh-CN"/>
              </w:rPr>
              <w:t xml:space="preserve"> </w:t>
            </w:r>
            <w:r>
              <w:rPr>
                <w:rFonts w:hint="default" w:ascii="Times New Roman" w:hAnsi="Times New Roman" w:eastAsia="方正黑体_GBK" w:cs="Times New Roman"/>
                <w:color w:val="auto"/>
                <w:kern w:val="0"/>
                <w:sz w:val="20"/>
                <w:szCs w:val="21"/>
                <w:highlight w:val="none"/>
                <w:lang w:eastAsia="zh-CN"/>
              </w:rPr>
              <w:t>问题</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1"/>
                <w:highlight w:val="none"/>
                <w:lang w:eastAsia="zh-CN"/>
              </w:rPr>
            </w:pPr>
            <w:r>
              <w:rPr>
                <w:rFonts w:hint="default" w:ascii="Times New Roman" w:hAnsi="Times New Roman" w:eastAsia="方正黑体_GBK" w:cs="Times New Roman"/>
                <w:color w:val="auto"/>
                <w:kern w:val="0"/>
                <w:sz w:val="20"/>
                <w:szCs w:val="21"/>
                <w:highlight w:val="none"/>
                <w:lang w:eastAsia="zh-CN"/>
              </w:rPr>
              <w:t>序号</w:t>
            </w:r>
          </w:p>
        </w:tc>
        <w:tc>
          <w:tcPr>
            <w:tcW w:w="5093"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1"/>
                <w:highlight w:val="none"/>
              </w:rPr>
            </w:pPr>
            <w:r>
              <w:rPr>
                <w:rFonts w:hint="default" w:ascii="Times New Roman" w:hAnsi="Times New Roman" w:eastAsia="方正黑体_GBK" w:cs="Times New Roman"/>
                <w:color w:val="auto"/>
                <w:kern w:val="0"/>
                <w:sz w:val="20"/>
                <w:szCs w:val="21"/>
                <w:highlight w:val="none"/>
              </w:rPr>
              <w:t>反馈问题</w:t>
            </w:r>
          </w:p>
        </w:tc>
        <w:tc>
          <w:tcPr>
            <w:tcW w:w="481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Times New Roman" w:hAnsi="Times New Roman" w:eastAsia="方正黑体_GBK" w:cs="Times New Roman"/>
                <w:color w:val="auto"/>
                <w:kern w:val="0"/>
                <w:sz w:val="20"/>
                <w:szCs w:val="21"/>
                <w:highlight w:val="none"/>
                <w:lang w:eastAsia="zh-CN"/>
              </w:rPr>
            </w:pPr>
            <w:r>
              <w:rPr>
                <w:rFonts w:hint="default" w:ascii="Times New Roman" w:hAnsi="Times New Roman" w:eastAsia="方正黑体_GBK" w:cs="Times New Roman"/>
                <w:color w:val="auto"/>
                <w:kern w:val="0"/>
                <w:sz w:val="20"/>
                <w:szCs w:val="21"/>
                <w:highlight w:val="none"/>
                <w:lang w:eastAsia="zh-CN"/>
              </w:rPr>
              <w:t>整改措施（任务）</w:t>
            </w:r>
          </w:p>
        </w:tc>
        <w:tc>
          <w:tcPr>
            <w:tcW w:w="4605" w:type="dxa"/>
            <w:gridSpan w:val="2"/>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1"/>
                <w:highlight w:val="none"/>
              </w:rPr>
            </w:pPr>
            <w:r>
              <w:rPr>
                <w:rFonts w:hint="default" w:ascii="Times New Roman" w:hAnsi="Times New Roman" w:eastAsia="方正黑体_GBK" w:cs="Times New Roman"/>
                <w:color w:val="auto"/>
                <w:kern w:val="0"/>
                <w:sz w:val="20"/>
                <w:szCs w:val="21"/>
                <w:highlight w:val="none"/>
                <w:lang w:eastAsia="zh-CN"/>
              </w:rPr>
              <w:t>整改落实情况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b/>
                <w:color w:val="auto"/>
                <w:kern w:val="0"/>
                <w:sz w:val="20"/>
                <w:szCs w:val="21"/>
                <w:highlight w:val="none"/>
              </w:rPr>
            </w:pP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1"/>
                <w:highlight w:val="none"/>
                <w:lang w:val="en-US" w:eastAsia="zh-CN"/>
              </w:rPr>
            </w:pPr>
            <w:r>
              <w:rPr>
                <w:rFonts w:hint="default" w:ascii="Times New Roman" w:hAnsi="Times New Roman" w:eastAsia="方正黑体_GBK" w:cs="Times New Roman"/>
                <w:color w:val="auto"/>
                <w:kern w:val="0"/>
                <w:sz w:val="20"/>
                <w:szCs w:val="21"/>
                <w:highlight w:val="none"/>
                <w:lang w:val="en-US" w:eastAsia="zh-CN"/>
              </w:rPr>
              <w:t>问题类型</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1"/>
                <w:highlight w:val="none"/>
                <w:lang w:eastAsia="zh-CN"/>
              </w:rPr>
            </w:pPr>
            <w:r>
              <w:rPr>
                <w:rFonts w:hint="default" w:ascii="Times New Roman" w:hAnsi="Times New Roman" w:eastAsia="方正黑体_GBK" w:cs="Times New Roman"/>
                <w:color w:val="auto"/>
                <w:kern w:val="0"/>
                <w:sz w:val="20"/>
                <w:szCs w:val="21"/>
                <w:highlight w:val="none"/>
                <w:lang w:val="en-US" w:eastAsia="zh-CN"/>
              </w:rPr>
              <w:t>（主要问题）</w:t>
            </w:r>
          </w:p>
        </w:tc>
        <w:tc>
          <w:tcPr>
            <w:tcW w:w="37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1"/>
                <w:highlight w:val="none"/>
                <w:lang w:eastAsia="zh-CN"/>
              </w:rPr>
            </w:pPr>
            <w:r>
              <w:rPr>
                <w:rFonts w:hint="default" w:ascii="Times New Roman" w:hAnsi="Times New Roman" w:eastAsia="方正黑体_GBK" w:cs="Times New Roman"/>
                <w:color w:val="auto"/>
                <w:kern w:val="0"/>
                <w:sz w:val="20"/>
                <w:szCs w:val="21"/>
                <w:highlight w:val="none"/>
                <w:lang w:val="en-US" w:eastAsia="zh-CN"/>
              </w:rPr>
              <w:t>具体</w:t>
            </w:r>
            <w:r>
              <w:rPr>
                <w:rFonts w:hint="default" w:ascii="Times New Roman" w:hAnsi="Times New Roman" w:eastAsia="方正黑体_GBK" w:cs="Times New Roman"/>
                <w:color w:val="auto"/>
                <w:kern w:val="0"/>
                <w:sz w:val="20"/>
                <w:szCs w:val="21"/>
                <w:highlight w:val="none"/>
                <w:lang w:eastAsia="zh-CN"/>
              </w:rPr>
              <w:t>问题</w:t>
            </w:r>
          </w:p>
        </w:tc>
        <w:tc>
          <w:tcPr>
            <w:tcW w:w="378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1"/>
                <w:highlight w:val="none"/>
                <w:lang w:eastAsia="zh-CN"/>
              </w:rPr>
            </w:pPr>
            <w:r>
              <w:rPr>
                <w:rFonts w:hint="default" w:ascii="Times New Roman" w:hAnsi="Times New Roman" w:eastAsia="方正黑体_GBK" w:cs="Times New Roman"/>
                <w:color w:val="auto"/>
                <w:kern w:val="0"/>
                <w:sz w:val="20"/>
                <w:szCs w:val="21"/>
                <w:highlight w:val="none"/>
                <w:lang w:eastAsia="zh-CN"/>
              </w:rPr>
              <w:t>整改措施</w:t>
            </w:r>
          </w:p>
        </w:tc>
        <w:tc>
          <w:tcPr>
            <w:tcW w:w="103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1"/>
                <w:highlight w:val="none"/>
                <w:lang w:eastAsia="zh-CN"/>
              </w:rPr>
            </w:pPr>
            <w:r>
              <w:rPr>
                <w:rFonts w:hint="default" w:ascii="Times New Roman" w:hAnsi="Times New Roman" w:eastAsia="方正黑体_GBK" w:cs="Times New Roman"/>
                <w:color w:val="auto"/>
                <w:kern w:val="0"/>
                <w:sz w:val="20"/>
                <w:szCs w:val="21"/>
                <w:highlight w:val="none"/>
                <w:lang w:eastAsia="zh-CN"/>
              </w:rPr>
              <w:t>计划完成时限</w:t>
            </w:r>
          </w:p>
        </w:tc>
        <w:tc>
          <w:tcPr>
            <w:tcW w:w="645"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1"/>
                <w:highlight w:val="none"/>
                <w:lang w:eastAsia="zh-CN"/>
              </w:rPr>
            </w:pPr>
            <w:r>
              <w:rPr>
                <w:rFonts w:hint="default" w:ascii="Times New Roman" w:hAnsi="Times New Roman" w:eastAsia="方正黑体_GBK" w:cs="Times New Roman"/>
                <w:color w:val="auto"/>
                <w:kern w:val="0"/>
                <w:sz w:val="20"/>
                <w:szCs w:val="21"/>
                <w:highlight w:val="none"/>
                <w:lang w:eastAsia="zh-CN"/>
              </w:rPr>
              <w:t>是否完成</w:t>
            </w:r>
          </w:p>
        </w:tc>
        <w:tc>
          <w:tcPr>
            <w:tcW w:w="396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1"/>
                <w:highlight w:val="none"/>
                <w:lang w:eastAsia="zh-CN"/>
              </w:rPr>
            </w:pPr>
            <w:r>
              <w:rPr>
                <w:rFonts w:hint="default" w:ascii="Times New Roman" w:hAnsi="Times New Roman" w:eastAsia="方正黑体_GBK" w:cs="Times New Roman"/>
                <w:color w:val="auto"/>
                <w:kern w:val="0"/>
                <w:sz w:val="20"/>
                <w:szCs w:val="21"/>
                <w:highlight w:val="none"/>
                <w:lang w:eastAsia="zh-CN"/>
              </w:rPr>
              <w:t>落实情况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highlight w:val="none"/>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1"/>
                <w:highlight w:val="none"/>
                <w:lang w:eastAsia="zh-CN"/>
              </w:rPr>
            </w:pPr>
          </w:p>
        </w:tc>
        <w:tc>
          <w:tcPr>
            <w:tcW w:w="3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1"/>
                <w:highlight w:val="none"/>
                <w:lang w:eastAsia="zh-CN"/>
              </w:rPr>
            </w:pPr>
          </w:p>
        </w:tc>
        <w:tc>
          <w:tcPr>
            <w:tcW w:w="378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1"/>
                <w:highlight w:val="none"/>
                <w:lang w:eastAsia="zh-CN"/>
              </w:rPr>
            </w:pPr>
          </w:p>
        </w:tc>
        <w:tc>
          <w:tcPr>
            <w:tcW w:w="103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1"/>
                <w:highlight w:val="none"/>
                <w:lang w:eastAsia="zh-CN"/>
              </w:rPr>
            </w:pPr>
          </w:p>
        </w:tc>
        <w:tc>
          <w:tcPr>
            <w:tcW w:w="645"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1"/>
                <w:highlight w:val="none"/>
                <w:lang w:eastAsia="zh-CN"/>
              </w:rPr>
            </w:pPr>
          </w:p>
        </w:tc>
        <w:tc>
          <w:tcPr>
            <w:tcW w:w="396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黑体_GBK" w:cs="Times New Roman"/>
                <w:color w:val="auto"/>
                <w:kern w:val="0"/>
                <w:sz w:val="20"/>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1</w:t>
            </w: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rPr>
              <w:t>思想政治教育引领不够</w:t>
            </w:r>
          </w:p>
        </w:tc>
        <w:tc>
          <w:tcPr>
            <w:tcW w:w="37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1．</w:t>
            </w:r>
            <w:r>
              <w:rPr>
                <w:rFonts w:hint="default" w:ascii="Times New Roman" w:hAnsi="Times New Roman" w:eastAsia="方正仿宋_GBK" w:cs="Times New Roman"/>
                <w:color w:val="auto"/>
                <w:sz w:val="20"/>
                <w:szCs w:val="20"/>
                <w:highlight w:val="none"/>
              </w:rPr>
              <w:t>未出台书记、校长联系思政课教师的具体制度，沟通机制缺失。</w:t>
            </w:r>
          </w:p>
        </w:tc>
        <w:tc>
          <w:tcPr>
            <w:tcW w:w="37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sz w:val="20"/>
                <w:szCs w:val="20"/>
                <w:highlight w:val="none"/>
                <w:lang w:val="en-US" w:eastAsia="zh-CN"/>
              </w:rPr>
              <w:t>1．落实区教体局书记、校长常态化联系思政课教师制度，确保书记、校长与思政课教师的联系固定化、常态化。</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建立《市三十一中小书记、校长常态化联系思政课教师制度》，对定期谈心谈话、听课以及思政教师的培养、培训等进行明确。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p>
        </w:tc>
        <w:tc>
          <w:tcPr>
            <w:tcW w:w="3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sz w:val="20"/>
                <w:szCs w:val="20"/>
                <w:highlight w:val="none"/>
                <w:lang w:val="en-US" w:eastAsia="zh-CN"/>
              </w:rPr>
              <w:t>2．建立督查落实台账。</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lang w:val="en-US"/>
              </w:rPr>
            </w:pPr>
            <w:r>
              <w:rPr>
                <w:rFonts w:hint="default" w:ascii="Times New Roman" w:hAnsi="Times New Roman" w:eastAsia="方正仿宋_GBK" w:cs="Times New Roman"/>
                <w:color w:val="auto"/>
                <w:kern w:val="0"/>
                <w:sz w:val="20"/>
                <w:szCs w:val="21"/>
                <w:highlight w:val="none"/>
                <w:lang w:val="en-US" w:eastAsia="zh-CN"/>
              </w:rPr>
              <w:t>按照上级以及学校的有关制度要求，制定督查落实台账，严格落实工作要求。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1"/>
                <w:highlight w:val="none"/>
              </w:rPr>
            </w:pPr>
          </w:p>
        </w:tc>
        <w:tc>
          <w:tcPr>
            <w:tcW w:w="37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2．</w:t>
            </w:r>
            <w:r>
              <w:rPr>
                <w:rFonts w:hint="default" w:ascii="Times New Roman" w:hAnsi="Times New Roman" w:eastAsia="方正仿宋_GBK" w:cs="Times New Roman"/>
                <w:color w:val="auto"/>
                <w:sz w:val="20"/>
                <w:szCs w:val="20"/>
                <w:highlight w:val="none"/>
              </w:rPr>
              <w:t>落实校级领导上思政课要求不到位。如，2024年，7名校级领导上思政课均未达到规定课时。</w:t>
            </w:r>
          </w:p>
        </w:tc>
        <w:tc>
          <w:tcPr>
            <w:tcW w:w="37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bidi="ar-SA"/>
              </w:rPr>
              <w:t>3．</w:t>
            </w:r>
            <w:r>
              <w:rPr>
                <w:rFonts w:hint="default" w:ascii="Times New Roman" w:hAnsi="Times New Roman" w:eastAsia="方正仿宋_GBK" w:cs="Times New Roman"/>
                <w:color w:val="auto"/>
                <w:sz w:val="20"/>
                <w:szCs w:val="20"/>
                <w:highlight w:val="none"/>
                <w:lang w:val="en-US" w:eastAsia="zh-CN"/>
              </w:rPr>
              <w:t>每学期初对校级领导上思政课进行安排。</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制定新学期书记、校长讲思政课安排计划表，推动校级领导讲思政课常态化。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2</w:t>
            </w: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rPr>
              <w:t>办好人民满意的教育有差距</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1"/>
                <w:highlight w:val="none"/>
              </w:rPr>
            </w:pPr>
          </w:p>
        </w:tc>
        <w:tc>
          <w:tcPr>
            <w:tcW w:w="37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sz w:val="20"/>
                <w:szCs w:val="20"/>
                <w:highlight w:val="none"/>
                <w:lang w:val="en-US" w:eastAsia="zh-CN"/>
              </w:rPr>
              <w:t>1．基础设施老旧，存在安全隐患。如，存在教师办公桌破损、过道墙面脱落、门窗老旧、外墙砖松动、线路老化等情况。</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p>
        </w:tc>
        <w:tc>
          <w:tcPr>
            <w:tcW w:w="37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bidi="ar-SA"/>
              </w:rPr>
              <w:t>4．</w:t>
            </w:r>
            <w:r>
              <w:rPr>
                <w:rFonts w:hint="default" w:ascii="Times New Roman" w:hAnsi="Times New Roman" w:eastAsia="方正仿宋_GBK" w:cs="Times New Roman"/>
                <w:color w:val="auto"/>
                <w:sz w:val="20"/>
                <w:szCs w:val="20"/>
                <w:highlight w:val="none"/>
                <w:lang w:val="en-US" w:eastAsia="zh-CN"/>
              </w:rPr>
              <w:t>加强安全隐患排查，并做好排查台账。</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动态巡查校园，定期开展校园安全隐患排查并做好台账记录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sz w:val="20"/>
                <w:szCs w:val="20"/>
                <w:highlight w:val="none"/>
              </w:rPr>
            </w:pPr>
          </w:p>
        </w:tc>
        <w:tc>
          <w:tcPr>
            <w:tcW w:w="3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p>
        </w:tc>
        <w:tc>
          <w:tcPr>
            <w:tcW w:w="37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bidi="ar-SA"/>
              </w:rPr>
              <w:t>5．</w:t>
            </w:r>
            <w:r>
              <w:rPr>
                <w:rFonts w:hint="default" w:ascii="Times New Roman" w:hAnsi="Times New Roman" w:eastAsia="方正仿宋_GBK" w:cs="Times New Roman"/>
                <w:color w:val="auto"/>
                <w:sz w:val="20"/>
                <w:szCs w:val="20"/>
                <w:highlight w:val="none"/>
                <w:lang w:val="en-US" w:eastAsia="zh-CN"/>
              </w:rPr>
              <w:t>对排查中存在安全隐患的设施及时按程序进行维修维护；针对资金量大的项目，根据资金情况逐年更换老旧设施。</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对发现的安全隐患进行及时整治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kern w:val="0"/>
                <w:sz w:val="20"/>
                <w:szCs w:val="21"/>
                <w:highlight w:val="none"/>
              </w:rPr>
            </w:pPr>
          </w:p>
        </w:tc>
        <w:tc>
          <w:tcPr>
            <w:tcW w:w="37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2．</w:t>
            </w:r>
            <w:r>
              <w:rPr>
                <w:rFonts w:hint="default" w:ascii="Times New Roman" w:hAnsi="Times New Roman" w:eastAsia="方正仿宋_GBK" w:cs="Times New Roman"/>
                <w:color w:val="auto"/>
                <w:sz w:val="20"/>
                <w:szCs w:val="20"/>
                <w:highlight w:val="none"/>
              </w:rPr>
              <w:t>心理健康教育薄弱。如，学校目前仅有1名专职心理教师，未按1000:1的</w:t>
            </w:r>
            <w:r>
              <w:rPr>
                <w:rFonts w:hint="default" w:ascii="Times New Roman" w:hAnsi="Times New Roman" w:eastAsia="方正仿宋_GBK" w:cs="Times New Roman"/>
                <w:color w:val="auto"/>
                <w:sz w:val="20"/>
                <w:szCs w:val="20"/>
                <w:highlight w:val="none"/>
                <w:lang w:eastAsia="zh-CN"/>
              </w:rPr>
              <w:t>比例</w:t>
            </w:r>
            <w:r>
              <w:rPr>
                <w:rFonts w:hint="default" w:ascii="Times New Roman" w:hAnsi="Times New Roman" w:eastAsia="方正仿宋_GBK" w:cs="Times New Roman"/>
                <w:color w:val="auto"/>
                <w:sz w:val="20"/>
                <w:szCs w:val="20"/>
                <w:highlight w:val="none"/>
              </w:rPr>
              <w:t>配备</w:t>
            </w:r>
            <w:r>
              <w:rPr>
                <w:rFonts w:hint="default" w:ascii="Times New Roman" w:hAnsi="Times New Roman" w:eastAsia="方正仿宋_GBK" w:cs="Times New Roman"/>
                <w:color w:val="auto"/>
                <w:sz w:val="20"/>
                <w:szCs w:val="20"/>
                <w:highlight w:val="none"/>
                <w:lang w:eastAsia="zh-CN"/>
              </w:rPr>
              <w:t>。</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6.</w:t>
            </w:r>
            <w:r>
              <w:rPr>
                <w:rFonts w:hint="default" w:ascii="Times New Roman" w:hAnsi="Times New Roman" w:eastAsia="方正仿宋_GBK" w:cs="Times New Roman"/>
                <w:color w:val="auto"/>
                <w:sz w:val="20"/>
                <w:szCs w:val="20"/>
                <w:highlight w:val="none"/>
              </w:rPr>
              <w:t>通过培训，让班主任和德育管理干部取得心理辅导证书，弥补专职心理教师的不足</w:t>
            </w:r>
            <w:r>
              <w:rPr>
                <w:rFonts w:hint="default" w:ascii="Times New Roman" w:hAnsi="Times New Roman" w:eastAsia="方正仿宋_GBK" w:cs="Times New Roman"/>
                <w:color w:val="auto"/>
                <w:sz w:val="20"/>
                <w:szCs w:val="20"/>
                <w:highlight w:val="none"/>
                <w:lang w:eastAsia="zh-CN"/>
              </w:rPr>
              <w:t>。</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eastAsia="zh-CN"/>
              </w:rPr>
              <w:t>通过线上、线下培训，已有</w:t>
            </w:r>
            <w:r>
              <w:rPr>
                <w:rFonts w:hint="default" w:ascii="Times New Roman" w:hAnsi="Times New Roman" w:eastAsia="方正仿宋_GBK" w:cs="Times New Roman"/>
                <w:color w:val="auto"/>
                <w:kern w:val="0"/>
                <w:sz w:val="20"/>
                <w:szCs w:val="21"/>
                <w:highlight w:val="none"/>
                <w:lang w:val="en-US" w:eastAsia="zh-CN"/>
              </w:rPr>
              <w:t>63名教师获得心理健康辅导C级证书；有10名教师获得B级证书。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kern w:val="0"/>
                <w:sz w:val="20"/>
                <w:szCs w:val="21"/>
                <w:highlight w:val="none"/>
              </w:rPr>
            </w:pPr>
          </w:p>
        </w:tc>
        <w:tc>
          <w:tcPr>
            <w:tcW w:w="37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3．</w:t>
            </w:r>
            <w:r>
              <w:rPr>
                <w:rFonts w:hint="default" w:ascii="Times New Roman" w:hAnsi="Times New Roman" w:eastAsia="方正仿宋_GBK" w:cs="Times New Roman"/>
                <w:color w:val="auto"/>
                <w:sz w:val="20"/>
                <w:szCs w:val="20"/>
                <w:highlight w:val="none"/>
              </w:rPr>
              <w:t>“3+3”跨县区帮扶工作开展深度、广度不够。如，与盐边县第三中小学校的结对帮扶工作仅在初中部开展，帮扶活动方式单一，辐射范围不够。</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7．</w:t>
            </w:r>
            <w:r>
              <w:rPr>
                <w:rFonts w:hint="default" w:ascii="Times New Roman" w:hAnsi="Times New Roman" w:eastAsia="方正仿宋_GBK" w:cs="Times New Roman"/>
                <w:color w:val="auto"/>
                <w:sz w:val="20"/>
                <w:szCs w:val="20"/>
                <w:highlight w:val="none"/>
              </w:rPr>
              <w:t>丰富帮扶活动，突出骨干力量的发挥和青年教师的带动</w:t>
            </w:r>
            <w:r>
              <w:rPr>
                <w:rFonts w:hint="default" w:ascii="Times New Roman" w:hAnsi="Times New Roman" w:eastAsia="方正仿宋_GBK" w:cs="Times New Roman"/>
                <w:color w:val="auto"/>
                <w:sz w:val="20"/>
                <w:szCs w:val="20"/>
                <w:highlight w:val="none"/>
                <w:lang w:eastAsia="zh-CN"/>
              </w:rPr>
              <w:t>。</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进行了师徒结对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sz w:val="20"/>
                <w:szCs w:val="20"/>
                <w:highlight w:val="none"/>
              </w:rPr>
            </w:pPr>
          </w:p>
        </w:tc>
        <w:tc>
          <w:tcPr>
            <w:tcW w:w="3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left"/>
              <w:textAlignment w:val="auto"/>
              <w:rPr>
                <w:rFonts w:hint="default" w:ascii="Times New Roman" w:hAnsi="Times New Roman" w:eastAsia="方正仿宋_GBK" w:cs="Times New Roman"/>
                <w:color w:val="auto"/>
                <w:kern w:val="0"/>
                <w:sz w:val="20"/>
                <w:szCs w:val="21"/>
                <w:highlight w:val="none"/>
              </w:rPr>
            </w:pP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8．</w:t>
            </w:r>
            <w:r>
              <w:rPr>
                <w:rFonts w:hint="default" w:ascii="Times New Roman" w:hAnsi="Times New Roman" w:eastAsia="方正仿宋_GBK" w:cs="Times New Roman"/>
                <w:color w:val="auto"/>
                <w:sz w:val="20"/>
                <w:szCs w:val="20"/>
                <w:highlight w:val="none"/>
              </w:rPr>
              <w:t>根据帮扶学校的需求增加补充协议，把帮扶工作辐射到小学，组织双方小学部开展联合教研活动。</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查看了原协议，现按照协议开展中小学帮扶活动。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kern w:val="0"/>
                <w:sz w:val="20"/>
                <w:szCs w:val="21"/>
                <w:highlight w:val="none"/>
              </w:rPr>
            </w:pPr>
          </w:p>
        </w:tc>
        <w:tc>
          <w:tcPr>
            <w:tcW w:w="37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sz w:val="20"/>
                <w:szCs w:val="20"/>
                <w:highlight w:val="none"/>
              </w:rPr>
            </w:pPr>
            <w:r>
              <w:rPr>
                <w:rFonts w:hint="default" w:ascii="Times New Roman" w:hAnsi="Times New Roman" w:eastAsia="方正仿宋_GBK" w:cs="Times New Roman"/>
                <w:color w:val="auto"/>
                <w:sz w:val="20"/>
                <w:szCs w:val="20"/>
                <w:highlight w:val="none"/>
                <w:lang w:val="en-US" w:eastAsia="zh-CN"/>
              </w:rPr>
              <w:t>4．</w:t>
            </w:r>
            <w:r>
              <w:rPr>
                <w:rFonts w:hint="default" w:ascii="Times New Roman" w:hAnsi="Times New Roman" w:eastAsia="方正仿宋_GBK" w:cs="Times New Roman"/>
                <w:color w:val="auto"/>
                <w:sz w:val="20"/>
                <w:szCs w:val="20"/>
                <w:highlight w:val="none"/>
              </w:rPr>
              <w:t>共建工作滞后。如，2025年5月学校与市体育学校签署共建协议，建立了散打馆，但学生选拔工作滞后，宣传动员不够，至今未开展</w:t>
            </w:r>
            <w:r>
              <w:rPr>
                <w:rFonts w:hint="default" w:ascii="Times New Roman" w:hAnsi="Times New Roman" w:eastAsia="方正仿宋_GBK" w:cs="Times New Roman"/>
                <w:color w:val="auto"/>
                <w:sz w:val="20"/>
                <w:szCs w:val="20"/>
                <w:highlight w:val="none"/>
                <w:lang w:eastAsia="zh-CN"/>
              </w:rPr>
              <w:t>有关</w:t>
            </w:r>
            <w:r>
              <w:rPr>
                <w:rFonts w:hint="default" w:ascii="Times New Roman" w:hAnsi="Times New Roman" w:eastAsia="方正仿宋_GBK" w:cs="Times New Roman"/>
                <w:color w:val="auto"/>
                <w:sz w:val="20"/>
                <w:szCs w:val="20"/>
                <w:highlight w:val="none"/>
              </w:rPr>
              <w:t>工作。</w:t>
            </w:r>
          </w:p>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left"/>
              <w:textAlignment w:val="auto"/>
              <w:rPr>
                <w:rFonts w:hint="default" w:ascii="Times New Roman" w:hAnsi="Times New Roman" w:eastAsia="方正仿宋_GBK" w:cs="Times New Roman"/>
                <w:color w:val="auto"/>
                <w:kern w:val="0"/>
                <w:sz w:val="20"/>
                <w:szCs w:val="21"/>
                <w:highlight w:val="none"/>
              </w:rPr>
            </w:pP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9．加大共建项目宣传力度，让更多的师生了解共建项目</w:t>
            </w:r>
            <w:r>
              <w:rPr>
                <w:rFonts w:hint="default" w:ascii="Times New Roman" w:hAnsi="Times New Roman" w:eastAsia="方正仿宋_GBK" w:cs="Times New Roman"/>
                <w:color w:val="auto"/>
                <w:sz w:val="20"/>
                <w:szCs w:val="20"/>
                <w:highlight w:val="none"/>
                <w:lang w:eastAsia="zh-CN"/>
              </w:rPr>
              <w:t>。</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班主任加大宣传力度，让更多的学生参与进来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sz w:val="20"/>
                <w:szCs w:val="20"/>
                <w:highlight w:val="none"/>
              </w:rPr>
            </w:pPr>
          </w:p>
        </w:tc>
        <w:tc>
          <w:tcPr>
            <w:tcW w:w="3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left"/>
              <w:textAlignment w:val="auto"/>
              <w:rPr>
                <w:rFonts w:hint="default" w:ascii="Times New Roman" w:hAnsi="Times New Roman" w:eastAsia="方正仿宋_GBK" w:cs="Times New Roman"/>
                <w:color w:val="auto"/>
                <w:kern w:val="0"/>
                <w:sz w:val="20"/>
                <w:szCs w:val="21"/>
                <w:highlight w:val="none"/>
              </w:rPr>
            </w:pP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10．</w:t>
            </w:r>
            <w:r>
              <w:rPr>
                <w:rFonts w:hint="default" w:ascii="Times New Roman" w:hAnsi="Times New Roman" w:eastAsia="方正仿宋_GBK" w:cs="Times New Roman"/>
                <w:color w:val="auto"/>
                <w:sz w:val="20"/>
                <w:szCs w:val="20"/>
                <w:highlight w:val="none"/>
              </w:rPr>
              <w:t>加</w:t>
            </w:r>
            <w:r>
              <w:rPr>
                <w:rFonts w:hint="default" w:ascii="Times New Roman" w:hAnsi="Times New Roman" w:eastAsia="方正仿宋_GBK" w:cs="Times New Roman"/>
                <w:color w:val="auto"/>
                <w:sz w:val="20"/>
                <w:szCs w:val="20"/>
                <w:highlight w:val="none"/>
                <w:lang w:eastAsia="zh-CN"/>
              </w:rPr>
              <w:t>大</w:t>
            </w:r>
            <w:r>
              <w:rPr>
                <w:rFonts w:hint="default" w:ascii="Times New Roman" w:hAnsi="Times New Roman" w:eastAsia="方正仿宋_GBK" w:cs="Times New Roman"/>
                <w:color w:val="auto"/>
                <w:sz w:val="20"/>
                <w:szCs w:val="20"/>
                <w:highlight w:val="none"/>
              </w:rPr>
              <w:t>队员的选拔，组建散打团队</w:t>
            </w:r>
            <w:r>
              <w:rPr>
                <w:rFonts w:hint="default" w:ascii="Times New Roman" w:hAnsi="Times New Roman" w:eastAsia="方正仿宋_GBK" w:cs="Times New Roman"/>
                <w:color w:val="auto"/>
                <w:sz w:val="20"/>
                <w:szCs w:val="20"/>
                <w:highlight w:val="none"/>
                <w:lang w:eastAsia="zh-CN"/>
              </w:rPr>
              <w:t>。</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开学进行了队伍选拔，组建了散打团队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sz w:val="20"/>
                <w:szCs w:val="20"/>
                <w:highlight w:val="none"/>
              </w:rPr>
            </w:pPr>
          </w:p>
        </w:tc>
        <w:tc>
          <w:tcPr>
            <w:tcW w:w="3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400" w:firstLineChars="200"/>
              <w:jc w:val="left"/>
              <w:textAlignment w:val="auto"/>
              <w:rPr>
                <w:rFonts w:hint="default" w:ascii="Times New Roman" w:hAnsi="Times New Roman" w:eastAsia="方正仿宋_GBK" w:cs="Times New Roman"/>
                <w:color w:val="auto"/>
                <w:kern w:val="0"/>
                <w:sz w:val="20"/>
                <w:szCs w:val="21"/>
                <w:highlight w:val="none"/>
              </w:rPr>
            </w:pP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11．</w:t>
            </w:r>
            <w:r>
              <w:rPr>
                <w:rFonts w:hint="default" w:ascii="Times New Roman" w:hAnsi="Times New Roman" w:eastAsia="方正仿宋_GBK" w:cs="Times New Roman"/>
                <w:color w:val="auto"/>
                <w:sz w:val="20"/>
                <w:szCs w:val="20"/>
                <w:highlight w:val="none"/>
                <w:lang w:eastAsia="zh-CN"/>
              </w:rPr>
              <w:t>规范</w:t>
            </w:r>
            <w:r>
              <w:rPr>
                <w:rFonts w:hint="default" w:ascii="Times New Roman" w:hAnsi="Times New Roman" w:eastAsia="方正仿宋_GBK" w:cs="Times New Roman"/>
                <w:color w:val="auto"/>
                <w:sz w:val="20"/>
                <w:szCs w:val="20"/>
                <w:highlight w:val="none"/>
              </w:rPr>
              <w:t>学生散打训练时间，保障训练有序开展。</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分段落实训练时间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3</w:t>
            </w: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eastAsia" w:ascii="Times New Roman" w:hAnsi="Times New Roman" w:eastAsia="方正仿宋_GBK" w:cs="Times New Roman"/>
                <w:color w:val="auto"/>
                <w:kern w:val="0"/>
                <w:sz w:val="20"/>
                <w:szCs w:val="21"/>
                <w:highlight w:val="none"/>
                <w:lang w:eastAsia="zh-CN"/>
              </w:rPr>
            </w:pPr>
            <w:r>
              <w:rPr>
                <w:rFonts w:hint="default" w:ascii="Times New Roman" w:hAnsi="Times New Roman" w:eastAsia="方正仿宋_GBK" w:cs="Times New Roman"/>
                <w:color w:val="auto"/>
                <w:sz w:val="20"/>
                <w:szCs w:val="20"/>
                <w:highlight w:val="none"/>
              </w:rPr>
              <w:t>劳动法落实</w:t>
            </w:r>
            <w:r>
              <w:rPr>
                <w:rFonts w:hint="eastAsia" w:ascii="Times New Roman" w:hAnsi="Times New Roman" w:eastAsia="方正仿宋_GBK" w:cs="Times New Roman"/>
                <w:color w:val="auto"/>
                <w:sz w:val="20"/>
                <w:szCs w:val="20"/>
                <w:highlight w:val="none"/>
                <w:lang w:eastAsia="zh-CN"/>
              </w:rPr>
              <w:t>不力</w:t>
            </w:r>
          </w:p>
        </w:tc>
        <w:tc>
          <w:tcPr>
            <w:tcW w:w="37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1．</w:t>
            </w:r>
            <w:r>
              <w:rPr>
                <w:rFonts w:hint="default" w:ascii="Times New Roman" w:hAnsi="Times New Roman" w:eastAsia="方正仿宋_GBK" w:cs="Times New Roman"/>
                <w:color w:val="auto"/>
                <w:sz w:val="20"/>
                <w:szCs w:val="20"/>
                <w:highlight w:val="none"/>
              </w:rPr>
              <w:t>临聘人员杨某某、伍某因学校没有为其购买社会保险，多次上访、诉讼。</w:t>
            </w:r>
          </w:p>
        </w:tc>
        <w:tc>
          <w:tcPr>
            <w:tcW w:w="37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bidi="ar-SA"/>
              </w:rPr>
              <w:t>12．</w:t>
            </w:r>
            <w:r>
              <w:rPr>
                <w:rFonts w:hint="default" w:ascii="Times New Roman" w:hAnsi="Times New Roman" w:eastAsia="方正仿宋_GBK" w:cs="Times New Roman"/>
                <w:color w:val="auto"/>
                <w:sz w:val="20"/>
                <w:szCs w:val="20"/>
                <w:highlight w:val="none"/>
                <w:lang w:val="en-US" w:eastAsia="zh-CN"/>
              </w:rPr>
              <w:t>梳理两位临聘人员的处理资料，严格按照学校与他们签订的协议做好后续工作。</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已梳理完善两位临聘人员的处理台账以及有关材料。按照协议约定，对杨某某后续养老保险补偿工作进行安排。</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sz w:val="20"/>
                <w:szCs w:val="20"/>
                <w:highlight w:val="none"/>
              </w:rPr>
            </w:pPr>
          </w:p>
        </w:tc>
        <w:tc>
          <w:tcPr>
            <w:tcW w:w="3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sz w:val="20"/>
                <w:szCs w:val="20"/>
                <w:highlight w:val="none"/>
                <w:lang w:val="en-US" w:eastAsia="zh-CN"/>
              </w:rPr>
            </w:pPr>
          </w:p>
        </w:tc>
        <w:tc>
          <w:tcPr>
            <w:tcW w:w="37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13．查漏补缺，对临聘人员的待遇保障、社保购买等情况进行排查，规范后续用工行为。</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对现聘用的编外人员的合同、保险购买以及风险隐患进行排查，形成风险台账和处置方案。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4</w:t>
            </w: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rPr>
              <w:t>校园文化建设氛围不浓</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1"/>
                <w:highlight w:val="none"/>
              </w:rPr>
            </w:pP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1"/>
                <w:highlight w:val="none"/>
              </w:rPr>
            </w:pPr>
          </w:p>
        </w:tc>
        <w:tc>
          <w:tcPr>
            <w:tcW w:w="37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1．</w:t>
            </w:r>
            <w:r>
              <w:rPr>
                <w:rFonts w:hint="default" w:ascii="Times New Roman" w:hAnsi="Times New Roman" w:eastAsia="方正仿宋_GBK" w:cs="Times New Roman"/>
                <w:color w:val="auto"/>
                <w:sz w:val="20"/>
                <w:szCs w:val="20"/>
                <w:highlight w:val="none"/>
              </w:rPr>
              <w:t>学校规划照搬模板，文化理念雷同，缺少个性</w:t>
            </w:r>
            <w:r>
              <w:rPr>
                <w:rFonts w:hint="default" w:ascii="Times New Roman" w:hAnsi="Times New Roman" w:eastAsia="方正仿宋_GBK" w:cs="Times New Roman"/>
                <w:color w:val="auto"/>
                <w:sz w:val="20"/>
                <w:szCs w:val="20"/>
                <w:highlight w:val="none"/>
                <w:lang w:eastAsia="zh-CN"/>
              </w:rPr>
              <w:t>。</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14．构思学校“十五五”期间校园建设规划，剔除模板化内容，彰显学校办学实际与特色。</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1．制定了《攀枝花市第三十一中小学校“十五五”时期高质量发展规划（2026</w:t>
            </w:r>
            <w:r>
              <w:rPr>
                <w:rFonts w:hint="eastAsia" w:ascii="Times New Roman" w:hAnsi="Times New Roman" w:eastAsia="方正仿宋_GBK" w:cs="Times New Roman"/>
                <w:color w:val="auto"/>
                <w:kern w:val="0"/>
                <w:sz w:val="20"/>
                <w:szCs w:val="21"/>
                <w:highlight w:val="none"/>
                <w:lang w:val="en-US" w:eastAsia="zh-CN"/>
              </w:rPr>
              <w:t>—</w:t>
            </w:r>
            <w:r>
              <w:rPr>
                <w:rFonts w:hint="default" w:ascii="Times New Roman" w:hAnsi="Times New Roman" w:eastAsia="方正仿宋_GBK" w:cs="Times New Roman"/>
                <w:color w:val="auto"/>
                <w:kern w:val="0"/>
                <w:sz w:val="20"/>
                <w:szCs w:val="21"/>
                <w:highlight w:val="none"/>
                <w:lang w:val="en-US" w:eastAsia="zh-CN"/>
              </w:rPr>
              <w:t>2030 年）》并在校长办公会和党总支会议上进行了学习、修正。2．3月20日在全校教职工大会上进行了解读学习。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1"/>
                <w:highlight w:val="none"/>
              </w:rPr>
            </w:pPr>
          </w:p>
        </w:tc>
        <w:tc>
          <w:tcPr>
            <w:tcW w:w="37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2．“一训三风”2024年12月才修订完成，未对师生开展解读，精神文化没有真正落地</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15．通过教职工大会和各班的班会开展解读学习，达成共识。</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1．修订了《攀枝花市第三十一中小学校办学思想与实践阐释报告》并在校长办公会和党总支会议上进行了学习、修正。2．3月20日在全校教职工大会上进行了解读学习。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1"/>
                <w:highlight w:val="none"/>
              </w:rPr>
            </w:pPr>
          </w:p>
        </w:tc>
        <w:tc>
          <w:tcPr>
            <w:tcW w:w="37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3．</w:t>
            </w:r>
            <w:r>
              <w:rPr>
                <w:rFonts w:hint="default" w:ascii="Times New Roman" w:hAnsi="Times New Roman" w:eastAsia="方正仿宋_GBK" w:cs="Times New Roman"/>
                <w:color w:val="auto"/>
                <w:sz w:val="20"/>
                <w:szCs w:val="20"/>
                <w:highlight w:val="none"/>
              </w:rPr>
              <w:t>校园活动没有体现学校“卓馨”文化核心理念，重展示轻参与。</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16．围绕“卓馨”文化理念，修订和完善学校活动课程体系并通过教职工大会开展解读学习。</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1．在修订的《攀枝花市第三十一中小学校办学思想与实践阐释报告》中对活动课程进行了构架；2．2月25日在党总支会议和中层干部会议上进行了解读并提出工作要求。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5</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rPr>
              <w:t>项目后续管理不到位</w:t>
            </w:r>
          </w:p>
        </w:tc>
        <w:tc>
          <w:tcPr>
            <w:tcW w:w="37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1．“市三十一中小新建食堂项目”2022年9月投入使用后长期未转固定资产。</w:t>
            </w:r>
          </w:p>
        </w:tc>
        <w:tc>
          <w:tcPr>
            <w:tcW w:w="378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bidi="ar-SA"/>
              </w:rPr>
              <w:t>17．按有关规定，将食堂在建工程项目转为固定资产。</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排查新建食堂项目情况，完成食堂入固工作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6</w:t>
            </w: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rPr>
              <w:t>财经纪律执行不严</w:t>
            </w:r>
          </w:p>
        </w:tc>
        <w:tc>
          <w:tcPr>
            <w:tcW w:w="37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1．财务基础工作不规范。2023年至2025年未登记银行存款日记账。</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18．督促工作人员及时完成存款日记账登记工作。</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修订实施《攀枝花市第三十一中小学校财务管理办法》，完善存款日记账登记工作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kern w:val="0"/>
                <w:sz w:val="20"/>
                <w:szCs w:val="21"/>
                <w:highlight w:val="none"/>
              </w:rPr>
            </w:pPr>
          </w:p>
        </w:tc>
        <w:tc>
          <w:tcPr>
            <w:tcW w:w="37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2．财务制度执行不到位。如，2023年支付案件受理费5200元，2024年学校九运会包车费5100元，均无区教育和体育局审批单。</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19．组织中层以上干部开展财务制度培训，强化报销审批流程，严格落实“先审批、后支付”原则。</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组织开展财务制度培训，强化“先审批、后支付”工作意识。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kern w:val="0"/>
                <w:sz w:val="20"/>
                <w:szCs w:val="21"/>
                <w:highlight w:val="none"/>
              </w:rPr>
            </w:pPr>
          </w:p>
        </w:tc>
        <w:tc>
          <w:tcPr>
            <w:tcW w:w="379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bidi="ar-SA"/>
              </w:rPr>
              <w:t>3．会计凭证审核不严格。如，2024年4月19#凭证中，记账凭证与原始凭证所附营业执照与签约单位不符。7月19#凭证中，记账凭证记载事项种植花卉与国库支付凭证记账事项广告制作不符。</w:t>
            </w:r>
          </w:p>
        </w:tc>
        <w:tc>
          <w:tcPr>
            <w:tcW w:w="378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bidi="ar-SA"/>
              </w:rPr>
              <w:t>20．组织财务人员开展专项培训，强化会计凭证审核责任，确保账实相符、账证一致。</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组织开展有关培训，切实提升工作人员专业水平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kern w:val="0"/>
                <w:sz w:val="20"/>
                <w:szCs w:val="21"/>
                <w:highlight w:val="none"/>
              </w:rPr>
            </w:pPr>
          </w:p>
        </w:tc>
        <w:tc>
          <w:tcPr>
            <w:tcW w:w="3793"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bidi="ar-SA"/>
              </w:rPr>
              <w:t>4．会计科目核算不准确。如，新建宿舍项目于2021年1月19日进行竣工结算，并于2022年计入“固定资产科目”685</w:t>
            </w:r>
            <w:r>
              <w:rPr>
                <w:rFonts w:hint="eastAsia" w:ascii="Times New Roman" w:hAnsi="Times New Roman" w:eastAsia="方正仿宋_GBK" w:cs="Times New Roman"/>
                <w:color w:val="auto"/>
                <w:spacing w:val="-6"/>
                <w:kern w:val="2"/>
                <w:sz w:val="20"/>
                <w:szCs w:val="20"/>
                <w:highlight w:val="none"/>
                <w:lang w:val="en-US" w:eastAsia="zh-CN" w:bidi="ar-SA"/>
              </w:rPr>
              <w:t>.</w:t>
            </w:r>
            <w:r>
              <w:rPr>
                <w:rFonts w:hint="default" w:ascii="Times New Roman" w:hAnsi="Times New Roman" w:eastAsia="方正仿宋_GBK" w:cs="Times New Roman"/>
                <w:color w:val="auto"/>
                <w:sz w:val="20"/>
                <w:szCs w:val="20"/>
                <w:highlight w:val="none"/>
                <w:lang w:val="en-US" w:eastAsia="zh-CN" w:bidi="ar-SA"/>
              </w:rPr>
              <w:t>34万元，2024年2月29日支付新建宿舍工程款时，在“在建工程”科目列支28万元。</w:t>
            </w:r>
          </w:p>
        </w:tc>
        <w:tc>
          <w:tcPr>
            <w:tcW w:w="3780" w:type="dxa"/>
            <w:noWrap w:val="0"/>
            <w:vAlign w:val="center"/>
          </w:tcPr>
          <w:p>
            <w:pPr>
              <w:pStyle w:val="2"/>
              <w:keepNext w:val="0"/>
              <w:keepLines w:val="0"/>
              <w:pageBreakBefore w:val="0"/>
              <w:widowControl w:val="0"/>
              <w:kinsoku/>
              <w:wordWrap/>
              <w:overflowPunct/>
              <w:topLinePunct w:val="0"/>
              <w:autoSpaceDE/>
              <w:autoSpaceDN/>
              <w:bidi w:val="0"/>
              <w:adjustRightInd/>
              <w:snapToGrid/>
              <w:spacing w:after="0"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bidi="ar-SA"/>
              </w:rPr>
              <w:t>21．督促会计人员针对固定资产科目进行调账处理。</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核实具体情况，按要求进行调账处理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kern w:val="0"/>
                <w:sz w:val="20"/>
                <w:szCs w:val="21"/>
                <w:highlight w:val="none"/>
              </w:rPr>
            </w:pPr>
          </w:p>
        </w:tc>
        <w:tc>
          <w:tcPr>
            <w:tcW w:w="37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bidi="ar-SA"/>
              </w:rPr>
              <w:t>5．违规报销费用。如，2019年10月胡某某参加培训，多报销公杂费200元、误餐补助400元；2023年11月张某某参加培训，超标准报销住宿费588元、公杂费30元。</w:t>
            </w:r>
          </w:p>
        </w:tc>
        <w:tc>
          <w:tcPr>
            <w:tcW w:w="3780" w:type="dxa"/>
            <w:noWrap w:val="0"/>
            <w:vAlign w:val="center"/>
          </w:tcPr>
          <w:p>
            <w:pPr>
              <w:pStyle w:val="4"/>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sz w:val="20"/>
                <w:szCs w:val="20"/>
                <w:highlight w:val="none"/>
                <w:lang w:val="en-US" w:eastAsia="zh-CN" w:bidi="ar-SA"/>
              </w:rPr>
            </w:pPr>
            <w:r>
              <w:rPr>
                <w:rFonts w:hint="default" w:ascii="Times New Roman" w:hAnsi="Times New Roman" w:eastAsia="方正仿宋_GBK" w:cs="Times New Roman"/>
                <w:color w:val="auto"/>
                <w:sz w:val="20"/>
                <w:szCs w:val="20"/>
                <w:highlight w:val="none"/>
                <w:lang w:val="en-US" w:eastAsia="zh-CN" w:bidi="ar-SA"/>
              </w:rPr>
              <w:t>22．督促报销人员对违规报销费用进行退款，加强财务报销审批。</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核查具体情况，督促报销人员对违规报销费用进行退款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7</w:t>
            </w:r>
          </w:p>
        </w:tc>
        <w:tc>
          <w:tcPr>
            <w:tcW w:w="130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rPr>
              <w:t>固定资产管理不到位</w:t>
            </w:r>
          </w:p>
        </w:tc>
        <w:tc>
          <w:tcPr>
            <w:tcW w:w="37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sz w:val="20"/>
                <w:szCs w:val="20"/>
                <w:highlight w:val="none"/>
                <w:lang w:val="en-US" w:eastAsia="zh-CN" w:bidi="ar-SA"/>
              </w:rPr>
            </w:pPr>
            <w:r>
              <w:rPr>
                <w:rFonts w:hint="default" w:ascii="Times New Roman" w:hAnsi="Times New Roman" w:eastAsia="方正仿宋_GBK" w:cs="Times New Roman"/>
                <w:color w:val="auto"/>
                <w:sz w:val="20"/>
                <w:szCs w:val="20"/>
                <w:highlight w:val="none"/>
                <w:lang w:val="en-US" w:eastAsia="zh-CN" w:bidi="ar-SA"/>
              </w:rPr>
              <w:t>1．2022年未入固定资产0</w:t>
            </w:r>
            <w:r>
              <w:rPr>
                <w:rFonts w:hint="eastAsia" w:ascii="Times New Roman" w:hAnsi="Times New Roman" w:eastAsia="方正仿宋_GBK" w:cs="Times New Roman"/>
                <w:color w:val="auto"/>
                <w:spacing w:val="-6"/>
                <w:kern w:val="2"/>
                <w:sz w:val="20"/>
                <w:szCs w:val="20"/>
                <w:highlight w:val="none"/>
                <w:lang w:val="en-US" w:eastAsia="zh-CN" w:bidi="ar-SA"/>
              </w:rPr>
              <w:t>.</w:t>
            </w:r>
            <w:r>
              <w:rPr>
                <w:rFonts w:hint="default" w:ascii="Times New Roman" w:hAnsi="Times New Roman" w:eastAsia="方正仿宋_GBK" w:cs="Times New Roman"/>
                <w:color w:val="auto"/>
                <w:sz w:val="20"/>
                <w:szCs w:val="20"/>
                <w:highlight w:val="none"/>
                <w:lang w:val="en-US" w:eastAsia="zh-CN" w:bidi="ar-SA"/>
              </w:rPr>
              <w:t>3万元，2023年未入固定资产1</w:t>
            </w:r>
            <w:r>
              <w:rPr>
                <w:rFonts w:hint="eastAsia" w:ascii="Times New Roman" w:hAnsi="Times New Roman" w:eastAsia="方正仿宋_GBK" w:cs="Times New Roman"/>
                <w:color w:val="auto"/>
                <w:spacing w:val="-6"/>
                <w:kern w:val="2"/>
                <w:sz w:val="20"/>
                <w:szCs w:val="20"/>
                <w:highlight w:val="none"/>
                <w:lang w:val="en-US" w:eastAsia="zh-CN" w:bidi="ar-SA"/>
              </w:rPr>
              <w:t>.</w:t>
            </w:r>
            <w:r>
              <w:rPr>
                <w:rFonts w:hint="default" w:ascii="Times New Roman" w:hAnsi="Times New Roman" w:eastAsia="方正仿宋_GBK" w:cs="Times New Roman"/>
                <w:color w:val="auto"/>
                <w:sz w:val="20"/>
                <w:szCs w:val="20"/>
                <w:highlight w:val="none"/>
                <w:lang w:val="en-US" w:eastAsia="zh-CN" w:bidi="ar-SA"/>
              </w:rPr>
              <w:t>36万元，2024年未入固定资产1</w:t>
            </w:r>
            <w:r>
              <w:rPr>
                <w:rFonts w:hint="eastAsia" w:ascii="Times New Roman" w:hAnsi="Times New Roman" w:eastAsia="方正仿宋_GBK" w:cs="Times New Roman"/>
                <w:color w:val="auto"/>
                <w:spacing w:val="-6"/>
                <w:kern w:val="2"/>
                <w:sz w:val="20"/>
                <w:szCs w:val="20"/>
                <w:highlight w:val="none"/>
                <w:lang w:val="en-US" w:eastAsia="zh-CN" w:bidi="ar-SA"/>
              </w:rPr>
              <w:t>.</w:t>
            </w:r>
            <w:r>
              <w:rPr>
                <w:rFonts w:hint="default" w:ascii="Times New Roman" w:hAnsi="Times New Roman" w:eastAsia="方正仿宋_GBK" w:cs="Times New Roman"/>
                <w:color w:val="auto"/>
                <w:sz w:val="20"/>
                <w:szCs w:val="20"/>
                <w:highlight w:val="none"/>
                <w:lang w:val="en-US" w:eastAsia="zh-CN" w:bidi="ar-SA"/>
              </w:rPr>
              <w:t>03万元。</w:t>
            </w:r>
          </w:p>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bidi="ar-SA"/>
              </w:rPr>
              <w:t>23．完成固定资产入账工作。</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核实具体情况，逐项完善手续，按要求录入固定资产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8</w:t>
            </w: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rPr>
              <w:t>工会内控管理不到位</w:t>
            </w:r>
          </w:p>
        </w:tc>
        <w:tc>
          <w:tcPr>
            <w:tcW w:w="37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1．</w:t>
            </w:r>
            <w:r>
              <w:rPr>
                <w:rFonts w:hint="default" w:ascii="Times New Roman" w:hAnsi="Times New Roman" w:eastAsia="方正仿宋_GBK" w:cs="Times New Roman"/>
                <w:color w:val="auto"/>
                <w:sz w:val="20"/>
                <w:szCs w:val="20"/>
                <w:highlight w:val="none"/>
              </w:rPr>
              <w:t>2019年至2025年未登记工会现金日记账、银行存款日记账。2021年、2023年部分审批单履行审批流程不完善，报销单签字审核不全。2019年至2024年采购无合同。</w:t>
            </w:r>
          </w:p>
        </w:tc>
        <w:tc>
          <w:tcPr>
            <w:tcW w:w="37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bidi="ar-SA"/>
              </w:rPr>
              <w:t>24．</w:t>
            </w:r>
            <w:r>
              <w:rPr>
                <w:rFonts w:hint="default" w:ascii="Times New Roman" w:hAnsi="Times New Roman" w:eastAsia="方正仿宋_GBK" w:cs="Times New Roman"/>
                <w:color w:val="auto"/>
                <w:sz w:val="20"/>
                <w:szCs w:val="20"/>
                <w:highlight w:val="none"/>
                <w:lang w:val="en-US" w:eastAsia="zh-CN"/>
              </w:rPr>
              <w:t xml:space="preserve">完善2019年至2025年未登记工会现金日记账、银行存款日记账。 </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已完成2019-2025年工会现金日记账、银行存款日记账登记。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sz w:val="20"/>
                <w:szCs w:val="20"/>
                <w:highlight w:val="none"/>
              </w:rPr>
            </w:pPr>
          </w:p>
        </w:tc>
        <w:tc>
          <w:tcPr>
            <w:tcW w:w="3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sz w:val="20"/>
                <w:szCs w:val="20"/>
                <w:highlight w:val="none"/>
                <w:lang w:val="en-US" w:eastAsia="zh-CN"/>
              </w:rPr>
            </w:pPr>
          </w:p>
        </w:tc>
        <w:tc>
          <w:tcPr>
            <w:tcW w:w="37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sz w:val="20"/>
                <w:szCs w:val="20"/>
                <w:highlight w:val="none"/>
                <w:lang w:val="en-US" w:eastAsia="zh-CN"/>
              </w:rPr>
              <w:t>25．加强对分管领导、中层干部及工会工作人员关于财务、采购方面的知识培训。</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已组织分管领导、工会工作人员进行工会收支管理方面的培训。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9</w:t>
            </w:r>
          </w:p>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rPr>
              <w:t>民主集中制执行不到位</w:t>
            </w:r>
          </w:p>
        </w:tc>
        <w:tc>
          <w:tcPr>
            <w:tcW w:w="37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1．议事决策不规范。校长办公会中，2019年12月23日讨论的2020年办公用品采购计划、2020年9月20日讨论的教学质量奖分配、2021年10月15日讨论的经费支出问题、2022年9月19日讨论的春季学期课后服务费发放等均存在无表决过程、无议定结果等情况。</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26．加强培训，严格按最新修订的议事规则执行议事决策。</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2月25日在学校党总支会议上组织学习《总支部委员会议议事规则》，3月13日在校长办公会上组织学习《校长办公会议议事规则》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sz w:val="20"/>
                <w:szCs w:val="20"/>
                <w:highlight w:val="none"/>
              </w:rPr>
            </w:pPr>
          </w:p>
        </w:tc>
        <w:tc>
          <w:tcPr>
            <w:tcW w:w="3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sz w:val="20"/>
                <w:szCs w:val="20"/>
                <w:highlight w:val="none"/>
                <w:lang w:val="en-US" w:eastAsia="zh-CN"/>
              </w:rPr>
            </w:pP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27．对两项议事规则的记录定期进行自查并及时完善。</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2月26日建立议事规则自查台账，并定期自查完善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kern w:val="0"/>
                <w:sz w:val="20"/>
                <w:szCs w:val="21"/>
                <w:highlight w:val="none"/>
              </w:rPr>
            </w:pPr>
          </w:p>
        </w:tc>
        <w:tc>
          <w:tcPr>
            <w:tcW w:w="3793" w:type="dxa"/>
            <w:vMerge w:val="restart"/>
            <w:noWrap w:val="0"/>
            <w:vAlign w:val="center"/>
          </w:tcPr>
          <w:p>
            <w:pPr>
              <w:keepNext w:val="0"/>
              <w:keepLines w:val="0"/>
              <w:pageBreakBefore w:val="0"/>
              <w:widowControl w:val="0"/>
              <w:tabs>
                <w:tab w:val="left" w:pos="547"/>
              </w:tabs>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2．</w:t>
            </w:r>
            <w:r>
              <w:rPr>
                <w:rFonts w:hint="default" w:ascii="Times New Roman" w:hAnsi="Times New Roman" w:eastAsia="方正仿宋_GBK" w:cs="Times New Roman"/>
                <w:color w:val="auto"/>
                <w:sz w:val="20"/>
                <w:szCs w:val="20"/>
                <w:highlight w:val="none"/>
                <w:lang w:eastAsia="zh-CN"/>
              </w:rPr>
              <w:t>未严格执行末位表态制度。如，2019年6月至12月议定事项时均未执行末位表态制度。</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28．规范议事流程，严格执行末位表态制度。</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2月26日建立议事规则自查台账，并定期自查完善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sz w:val="20"/>
                <w:szCs w:val="20"/>
                <w:highlight w:val="none"/>
              </w:rPr>
            </w:pPr>
          </w:p>
        </w:tc>
        <w:tc>
          <w:tcPr>
            <w:tcW w:w="3793" w:type="dxa"/>
            <w:vMerge w:val="continue"/>
            <w:noWrap w:val="0"/>
            <w:vAlign w:val="center"/>
          </w:tcPr>
          <w:p>
            <w:pPr>
              <w:keepNext w:val="0"/>
              <w:keepLines w:val="0"/>
              <w:pageBreakBefore w:val="0"/>
              <w:widowControl w:val="0"/>
              <w:tabs>
                <w:tab w:val="left" w:pos="547"/>
              </w:tabs>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sz w:val="20"/>
                <w:szCs w:val="20"/>
                <w:highlight w:val="none"/>
                <w:lang w:val="en-US" w:eastAsia="zh-CN"/>
              </w:rPr>
            </w:pP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sz w:val="20"/>
                <w:szCs w:val="20"/>
                <w:highlight w:val="none"/>
                <w:lang w:val="en-US" w:eastAsia="zh-CN"/>
              </w:rPr>
              <w:t>29．定期进行自查两个议事会议记录情况。</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2月26日建立议事规则自查台账，并定期自查完善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kern w:val="0"/>
                <w:sz w:val="20"/>
                <w:szCs w:val="21"/>
                <w:highlight w:val="none"/>
              </w:rPr>
            </w:pPr>
          </w:p>
        </w:tc>
        <w:tc>
          <w:tcPr>
            <w:tcW w:w="37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3．</w:t>
            </w:r>
            <w:r>
              <w:rPr>
                <w:rFonts w:hint="default" w:ascii="Times New Roman" w:hAnsi="Times New Roman" w:eastAsia="方正仿宋_GBK" w:cs="Times New Roman"/>
                <w:color w:val="auto"/>
                <w:sz w:val="20"/>
                <w:szCs w:val="20"/>
                <w:highlight w:val="none"/>
              </w:rPr>
              <w:t>未做到“一事一议”。如，2021年6月10日讨论“关于接收桂某某、吕某两位同志为中共预备党员的预审”、2022年12月7日讨论“关于蒋某某、王某某两位同志为发展对象</w:t>
            </w:r>
            <w:r>
              <w:rPr>
                <w:rFonts w:hint="default" w:ascii="Times New Roman" w:hAnsi="Times New Roman" w:eastAsia="方正仿宋_GBK" w:cs="Times New Roman"/>
                <w:color w:val="auto"/>
                <w:sz w:val="20"/>
                <w:szCs w:val="20"/>
                <w:highlight w:val="none"/>
                <w:lang w:eastAsia="zh-CN"/>
              </w:rPr>
              <w:t>有关</w:t>
            </w:r>
            <w:r>
              <w:rPr>
                <w:rFonts w:hint="default" w:ascii="Times New Roman" w:hAnsi="Times New Roman" w:eastAsia="方正仿宋_GBK" w:cs="Times New Roman"/>
                <w:color w:val="auto"/>
                <w:sz w:val="20"/>
                <w:szCs w:val="20"/>
                <w:highlight w:val="none"/>
              </w:rPr>
              <w:t>事宜”等均未做到一事一议。</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30．加强党务干部、工作者的党务知识培训，严格按照中国共产党发展党员的工作流程及标准开展工作。</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针对党员档案资料不完备的问题，可以补充的档案资料，及时进行了补充。</w:t>
            </w:r>
            <w:r>
              <w:rPr>
                <w:rFonts w:hint="default" w:ascii="Times New Roman" w:hAnsi="Times New Roman" w:eastAsia="方正仿宋_GBK" w:cs="Times New Roman"/>
                <w:color w:val="auto"/>
                <w:kern w:val="0"/>
                <w:sz w:val="20"/>
                <w:szCs w:val="21"/>
                <w:highlight w:val="none"/>
                <w:lang w:val="en-US" w:eastAsia="zh-CN"/>
              </w:rPr>
              <w:br w:type="textWrapping"/>
            </w:r>
            <w:r>
              <w:rPr>
                <w:rFonts w:hint="default" w:ascii="Times New Roman" w:hAnsi="Times New Roman" w:eastAsia="方正仿宋_GBK" w:cs="Times New Roman"/>
                <w:color w:val="auto"/>
                <w:kern w:val="0"/>
                <w:sz w:val="20"/>
                <w:szCs w:val="21"/>
                <w:highlight w:val="none"/>
                <w:lang w:val="en-US" w:eastAsia="zh-CN"/>
              </w:rPr>
              <w:t>针对以前发展党员流程不规范的问题，及时组织分管领导、中层干部、党务干事等进行培训，提升组织工作水平。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10</w:t>
            </w: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党风廉政建设责任落实不到位</w:t>
            </w:r>
          </w:p>
        </w:tc>
        <w:tc>
          <w:tcPr>
            <w:tcW w:w="37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1．</w:t>
            </w:r>
            <w:r>
              <w:rPr>
                <w:rFonts w:hint="default" w:ascii="Times New Roman" w:hAnsi="Times New Roman" w:eastAsia="方正仿宋_GBK" w:cs="Times New Roman"/>
                <w:color w:val="auto"/>
                <w:sz w:val="20"/>
                <w:szCs w:val="20"/>
                <w:highlight w:val="none"/>
              </w:rPr>
              <w:t>干部教育管理不到位。如，2019年至2021年，教职工盛某、刘某某、葛某某、苟某某、石某某共5人因体考违纪、偷盗财物等受到党纪政务处分；2025年，教师柏某因诈骗罪被开除。</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31．“以案促教”在教职工大会和党员大会上开展警示教育。</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1．在2月27日，3月20日的教职工大会党总支书记传达学习了中央纪委国家监委、四川省纪委监委、西区反腐倡廉警示教育大会上通报的警示案例；2．在2月、3月的党支部学习日上，两位支部书记结合学校违纪违法案例进行了师德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sz w:val="20"/>
                <w:szCs w:val="20"/>
                <w:highlight w:val="none"/>
              </w:rPr>
            </w:pPr>
          </w:p>
        </w:tc>
        <w:tc>
          <w:tcPr>
            <w:tcW w:w="3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sz w:val="20"/>
                <w:szCs w:val="20"/>
                <w:highlight w:val="none"/>
                <w:lang w:val="en-US" w:eastAsia="zh-CN"/>
              </w:rPr>
            </w:pP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32．落实师德档案管理制度，做好失范人员档案记录。</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1．3月30日把《攀枝花市西区中小学、幼儿园教师师德档案管理实施细则（征求意见稿）》放入教职工群里让全员认真阅读并提出意见，学校向上反馈；2．3月31日，学校办公室充实更新了每位教职工的师德档案。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p>
        </w:tc>
        <w:tc>
          <w:tcPr>
            <w:tcW w:w="37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2．</w:t>
            </w:r>
            <w:r>
              <w:rPr>
                <w:rFonts w:hint="default" w:ascii="Times New Roman" w:hAnsi="Times New Roman" w:eastAsia="方正仿宋_GBK" w:cs="Times New Roman"/>
                <w:color w:val="auto"/>
                <w:sz w:val="20"/>
                <w:szCs w:val="20"/>
                <w:highlight w:val="none"/>
              </w:rPr>
              <w:t>2019年以来的婚丧事宜报备不规范，缺少报备资料、主要领导审核意见。</w:t>
            </w:r>
          </w:p>
        </w:tc>
        <w:tc>
          <w:tcPr>
            <w:tcW w:w="378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33．组织全体教职工学习中共攀枝花市纪委、攀枝花市监察局印发的《关于规范党员干部和公职人员操办婚丧喜庆事宜的暂行规定》，认真落实婚丧事宜报备审批工作并登记好台账。</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已组织召开教职工大会教职工学习</w:t>
            </w:r>
            <w:r>
              <w:rPr>
                <w:rFonts w:hint="default" w:ascii="Times New Roman" w:hAnsi="Times New Roman" w:eastAsia="方正仿宋_GBK" w:cs="Times New Roman"/>
                <w:color w:val="auto"/>
                <w:sz w:val="20"/>
                <w:szCs w:val="20"/>
                <w:highlight w:val="none"/>
                <w:lang w:val="en-US" w:eastAsia="zh-CN"/>
              </w:rPr>
              <w:t>共攀枝花市纪委、攀枝花市监察局印发的《关于规范党员干部和公职人员操办婚丧喜庆事宜的暂行规定》，并认真落实婚丧事宜报备审批工作并做好台账登记。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11</w:t>
            </w:r>
          </w:p>
        </w:tc>
        <w:tc>
          <w:tcPr>
            <w:tcW w:w="1300"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sz w:val="20"/>
                <w:szCs w:val="20"/>
                <w:highlight w:val="none"/>
                <w:lang w:val="en-US" w:eastAsia="zh-CN"/>
              </w:rPr>
              <w:t>党建工作存在薄弱环节</w:t>
            </w:r>
          </w:p>
        </w:tc>
        <w:tc>
          <w:tcPr>
            <w:tcW w:w="3793"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1．</w:t>
            </w:r>
            <w:r>
              <w:rPr>
                <w:rFonts w:hint="default" w:ascii="Times New Roman" w:hAnsi="Times New Roman" w:eastAsia="方正仿宋_GBK" w:cs="Times New Roman"/>
                <w:color w:val="auto"/>
                <w:sz w:val="20"/>
                <w:szCs w:val="20"/>
                <w:highlight w:val="none"/>
              </w:rPr>
              <w:t>党建品牌打造缺乏连贯性。在“青年教师适岗培育站”党建品牌打造中，只在品牌打造初期（即2023学年至2024学年），开展过2次青年教师论坛活动，后续陷入停滞。</w:t>
            </w:r>
          </w:p>
        </w:tc>
        <w:tc>
          <w:tcPr>
            <w:tcW w:w="37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bidi="ar-SA"/>
              </w:rPr>
              <w:t>34．</w:t>
            </w:r>
            <w:r>
              <w:rPr>
                <w:rFonts w:hint="default" w:ascii="Times New Roman" w:hAnsi="Times New Roman" w:eastAsia="方正仿宋_GBK" w:cs="Times New Roman"/>
                <w:color w:val="auto"/>
                <w:sz w:val="20"/>
                <w:szCs w:val="20"/>
                <w:highlight w:val="none"/>
                <w:lang w:val="en-US" w:eastAsia="zh-CN"/>
              </w:rPr>
              <w:t>制定2026年春季学期工作开展计划，落细举措，提高党建品牌影响力。</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lang w:val="en-US" w:eastAsia="zh-CN"/>
              </w:rPr>
            </w:pPr>
            <w:r>
              <w:rPr>
                <w:rFonts w:hint="default" w:ascii="Times New Roman" w:hAnsi="Times New Roman" w:eastAsia="方正仿宋_GBK" w:cs="Times New Roman"/>
                <w:color w:val="auto"/>
                <w:kern w:val="0"/>
                <w:sz w:val="20"/>
                <w:szCs w:val="21"/>
                <w:highlight w:val="none"/>
                <w:lang w:val="en-US" w:eastAsia="zh-CN"/>
              </w:rPr>
              <w:t>依据学校教育教学及特色发展工作，围绕党建特色品牌打造，制定2026年春季学期工作计划，按月推进工作开展。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kern w:val="0"/>
                <w:sz w:val="20"/>
                <w:szCs w:val="21"/>
                <w:highlight w:val="none"/>
              </w:rPr>
            </w:pPr>
          </w:p>
        </w:tc>
        <w:tc>
          <w:tcPr>
            <w:tcW w:w="37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2．发展党员不规范。如，朱某某同志的党员档案中的发展党员工作纪实表中未填写预备党员接收情况及转正后的情况。桂某某同志的党员档案中缺少区委教育工委对其转为正式党员的批复以及政审有关材料</w:t>
            </w:r>
            <w:r>
              <w:rPr>
                <w:rFonts w:hint="eastAsia" w:eastAsia="方正仿宋_GBK" w:cs="Times New Roman"/>
                <w:color w:val="auto"/>
                <w:sz w:val="20"/>
                <w:szCs w:val="20"/>
                <w:highlight w:val="none"/>
                <w:lang w:val="en-US" w:eastAsia="zh-CN"/>
              </w:rPr>
              <w:t>。</w:t>
            </w:r>
          </w:p>
        </w:tc>
        <w:tc>
          <w:tcPr>
            <w:tcW w:w="37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bidi="ar-SA"/>
              </w:rPr>
              <w:t>35．</w:t>
            </w:r>
            <w:r>
              <w:rPr>
                <w:rFonts w:hint="default" w:ascii="Times New Roman" w:hAnsi="Times New Roman" w:eastAsia="方正仿宋_GBK" w:cs="Times New Roman"/>
                <w:color w:val="auto"/>
                <w:sz w:val="20"/>
                <w:szCs w:val="20"/>
                <w:highlight w:val="none"/>
                <w:lang w:val="en-US" w:eastAsia="zh-CN"/>
              </w:rPr>
              <w:t>梳理近年来党员发展材料，完善并归档有关资料。</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针对党员档案资料不完备的问题，可以补充的档案资料，及时进行了补充。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sz w:val="20"/>
                <w:szCs w:val="20"/>
                <w:highlight w:val="none"/>
              </w:rPr>
            </w:pPr>
          </w:p>
        </w:tc>
        <w:tc>
          <w:tcPr>
            <w:tcW w:w="3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sz w:val="20"/>
                <w:szCs w:val="20"/>
                <w:highlight w:val="none"/>
                <w:lang w:val="en-US" w:eastAsia="zh-CN"/>
              </w:rPr>
            </w:pPr>
          </w:p>
        </w:tc>
        <w:tc>
          <w:tcPr>
            <w:tcW w:w="37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36．加强分管领导、党务干部及工作人员的培训，规范工作流程，加强对入党材料的审核。</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针对以前发展党员流程不规范的问题，及时组织分管领导、中层干部、党务干事等进行培训，提升组织工作水平。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kern w:val="0"/>
                <w:sz w:val="20"/>
                <w:szCs w:val="21"/>
                <w:highlight w:val="none"/>
              </w:rPr>
            </w:pPr>
          </w:p>
        </w:tc>
        <w:tc>
          <w:tcPr>
            <w:tcW w:w="3793" w:type="dxa"/>
            <w:vMerge w:val="restart"/>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rPr>
              <w:t>3．</w:t>
            </w:r>
            <w:r>
              <w:rPr>
                <w:rFonts w:hint="default" w:ascii="Times New Roman" w:hAnsi="Times New Roman" w:eastAsia="方正仿宋_GBK" w:cs="Times New Roman"/>
                <w:color w:val="auto"/>
                <w:sz w:val="20"/>
                <w:szCs w:val="20"/>
                <w:highlight w:val="none"/>
              </w:rPr>
              <w:t>“三会一课”记录不规范。如，2023年的党组织书记会议记录中存在只写了参会人员，无时间、地点、会议内容等的情况。2021年6月24日召开的校长办公会审议第一个议题“经费使用管理”时，第五点、第六点、第七点均只写了序号，无</w:t>
            </w:r>
            <w:r>
              <w:rPr>
                <w:rFonts w:hint="default" w:ascii="Times New Roman" w:hAnsi="Times New Roman" w:eastAsia="方正仿宋_GBK" w:cs="Times New Roman"/>
                <w:color w:val="auto"/>
                <w:sz w:val="20"/>
                <w:szCs w:val="20"/>
                <w:highlight w:val="none"/>
                <w:lang w:eastAsia="zh-CN"/>
              </w:rPr>
              <w:t>有关</w:t>
            </w:r>
            <w:r>
              <w:rPr>
                <w:rFonts w:hint="default" w:ascii="Times New Roman" w:hAnsi="Times New Roman" w:eastAsia="方正仿宋_GBK" w:cs="Times New Roman"/>
                <w:color w:val="auto"/>
                <w:sz w:val="20"/>
                <w:szCs w:val="20"/>
                <w:highlight w:val="none"/>
              </w:rPr>
              <w:t>内容。</w:t>
            </w:r>
          </w:p>
        </w:tc>
        <w:tc>
          <w:tcPr>
            <w:tcW w:w="37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sz w:val="20"/>
                <w:szCs w:val="20"/>
                <w:highlight w:val="none"/>
                <w:lang w:val="en-US" w:eastAsia="zh-CN" w:bidi="ar-SA"/>
              </w:rPr>
              <w:t>37．全面梳理并核实完善“三会一课”有关记录</w:t>
            </w:r>
            <w:r>
              <w:rPr>
                <w:rFonts w:hint="default" w:ascii="Times New Roman" w:hAnsi="Times New Roman" w:eastAsia="方正仿宋_GBK" w:cs="Times New Roman"/>
                <w:color w:val="auto"/>
                <w:sz w:val="20"/>
                <w:szCs w:val="20"/>
                <w:highlight w:val="none"/>
                <w:lang w:val="en-US" w:eastAsia="zh-CN"/>
              </w:rPr>
              <w:t>。</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已经对近几年的“三会一课”记录本、校长办公会、党组织会议记录本进行查漏补缺。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trPr>
        <w:tc>
          <w:tcPr>
            <w:tcW w:w="482"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lang w:val="en-US" w:eastAsia="zh-CN"/>
              </w:rPr>
            </w:pPr>
          </w:p>
        </w:tc>
        <w:tc>
          <w:tcPr>
            <w:tcW w:w="1300"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both"/>
              <w:textAlignment w:val="auto"/>
              <w:rPr>
                <w:rFonts w:hint="default" w:ascii="Times New Roman" w:hAnsi="Times New Roman" w:eastAsia="方正仿宋_GBK" w:cs="Times New Roman"/>
                <w:color w:val="auto"/>
                <w:sz w:val="20"/>
                <w:szCs w:val="20"/>
                <w:highlight w:val="none"/>
              </w:rPr>
            </w:pPr>
          </w:p>
        </w:tc>
        <w:tc>
          <w:tcPr>
            <w:tcW w:w="3793" w:type="dxa"/>
            <w:vMerge w:val="continue"/>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sz w:val="20"/>
                <w:szCs w:val="20"/>
                <w:highlight w:val="none"/>
                <w:lang w:val="en-US" w:eastAsia="zh-CN"/>
              </w:rPr>
            </w:pPr>
          </w:p>
        </w:tc>
        <w:tc>
          <w:tcPr>
            <w:tcW w:w="37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left"/>
              <w:textAlignment w:val="auto"/>
              <w:rPr>
                <w:rFonts w:hint="default" w:ascii="Times New Roman" w:hAnsi="Times New Roman" w:eastAsia="方正仿宋_GBK" w:cs="Times New Roman"/>
                <w:color w:val="auto"/>
                <w:sz w:val="20"/>
                <w:szCs w:val="20"/>
                <w:highlight w:val="none"/>
                <w:lang w:val="en-US" w:eastAsia="zh-CN"/>
              </w:rPr>
            </w:pPr>
            <w:r>
              <w:rPr>
                <w:rFonts w:hint="default" w:ascii="Times New Roman" w:hAnsi="Times New Roman" w:eastAsia="方正仿宋_GBK" w:cs="Times New Roman"/>
                <w:color w:val="auto"/>
                <w:sz w:val="20"/>
                <w:szCs w:val="20"/>
                <w:highlight w:val="none"/>
                <w:lang w:val="en-US" w:eastAsia="zh-CN"/>
              </w:rPr>
              <w:t>38．加强对有关人员的培训，建立定期审核机制，分管领导每季度对记录本进行检查。</w:t>
            </w:r>
          </w:p>
        </w:tc>
        <w:tc>
          <w:tcPr>
            <w:tcW w:w="103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2026年3月底前</w:t>
            </w:r>
          </w:p>
        </w:tc>
        <w:tc>
          <w:tcPr>
            <w:tcW w:w="645"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center"/>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是</w:t>
            </w:r>
          </w:p>
        </w:tc>
        <w:tc>
          <w:tcPr>
            <w:tcW w:w="3960"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exact"/>
              <w:ind w:firstLine="0" w:firstLineChars="0"/>
              <w:jc w:val="left"/>
              <w:textAlignment w:val="auto"/>
              <w:rPr>
                <w:rFonts w:hint="default" w:ascii="Times New Roman" w:hAnsi="Times New Roman" w:eastAsia="方正仿宋_GBK" w:cs="Times New Roman"/>
                <w:color w:val="auto"/>
                <w:kern w:val="0"/>
                <w:sz w:val="20"/>
                <w:szCs w:val="21"/>
                <w:highlight w:val="none"/>
              </w:rPr>
            </w:pPr>
            <w:r>
              <w:rPr>
                <w:rFonts w:hint="default" w:ascii="Times New Roman" w:hAnsi="Times New Roman" w:eastAsia="方正仿宋_GBK" w:cs="Times New Roman"/>
                <w:color w:val="auto"/>
                <w:kern w:val="0"/>
                <w:sz w:val="20"/>
                <w:szCs w:val="21"/>
                <w:highlight w:val="none"/>
                <w:lang w:val="en-US" w:eastAsia="zh-CN"/>
              </w:rPr>
              <w:t>组织学习《“三重一大”事项决策实施办法》和两项会议议事规则，规范后续工作开展。</w:t>
            </w:r>
          </w:p>
        </w:tc>
      </w:tr>
    </w:tbl>
    <w:p>
      <w:pPr>
        <w:spacing w:line="640" w:lineRule="exact"/>
        <w:ind w:left="0" w:leftChars="0" w:firstLine="0" w:firstLineChars="0"/>
        <w:rPr>
          <w:rFonts w:hint="default" w:ascii="Times New Roman" w:hAnsi="Times New Roman" w:eastAsia="方正仿宋_GBK" w:cs="Times New Roman"/>
          <w:color w:val="auto"/>
          <w:sz w:val="32"/>
          <w:szCs w:val="32"/>
          <w:highlight w:val="none"/>
          <w:lang w:val="en-US" w:eastAsia="zh-CN"/>
        </w:rPr>
      </w:pPr>
    </w:p>
    <w:p/>
    <w:sectPr>
      <w:footerReference r:id="rId3" w:type="default"/>
      <w:pgSz w:w="16838" w:h="11906" w:orient="landscape"/>
      <w:pgMar w:top="1587" w:right="2098" w:bottom="1474" w:left="1985" w:header="907" w:footer="1644" w:gutter="0"/>
      <w:pgNumType w:fmt="decimal"/>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right"/>
    </w:pPr>
  </w:p>
  <w:p>
    <w:pPr>
      <w:pStyle w:val="7"/>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DB2EA9"/>
    <w:rsid w:val="6FDB2EA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ind w:firstLine="21" w:firstLineChars="200"/>
    </w:pPr>
    <w:rPr>
      <w:rFonts w:ascii="Times New Roman" w:hAnsi="Times New Roman" w:eastAsia="宋体" w:cs="Times New Roman"/>
      <w:lang w:val="en-US" w:eastAsia="zh-CN" w:bidi="ar-SA"/>
    </w:rPr>
  </w:style>
  <w:style w:type="character" w:default="1" w:styleId="10">
    <w:name w:val="Default Paragraph Font"/>
    <w:semiHidden/>
    <w:uiPriority w:val="0"/>
  </w:style>
  <w:style w:type="table" w:default="1" w:styleId="9">
    <w:name w:val="Normal Table"/>
    <w:semiHidden/>
    <w:uiPriority w:val="0"/>
    <w:tblPr>
      <w:tblLayout w:type="fixed"/>
      <w:tblCellMar>
        <w:top w:w="0" w:type="dxa"/>
        <w:left w:w="108" w:type="dxa"/>
        <w:bottom w:w="0" w:type="dxa"/>
        <w:right w:w="108" w:type="dxa"/>
      </w:tblCellMar>
    </w:tblPr>
  </w:style>
  <w:style w:type="paragraph" w:styleId="2">
    <w:name w:val="Body Text First Indent"/>
    <w:basedOn w:val="3"/>
    <w:next w:val="4"/>
    <w:qFormat/>
    <w:uiPriority w:val="0"/>
    <w:pPr>
      <w:ind w:firstLine="420" w:firstLineChars="100"/>
    </w:pPr>
    <w:rPr>
      <w:rFonts w:eastAsia="仿宋_GB2312"/>
    </w:rPr>
  </w:style>
  <w:style w:type="paragraph" w:styleId="3">
    <w:name w:val="Body Text"/>
    <w:basedOn w:val="1"/>
    <w:next w:val="1"/>
    <w:uiPriority w:val="0"/>
    <w:pPr>
      <w:spacing w:after="120"/>
    </w:pPr>
  </w:style>
  <w:style w:type="paragraph" w:styleId="4">
    <w:name w:val="Body Text First Indent 2"/>
    <w:basedOn w:val="5"/>
    <w:next w:val="8"/>
    <w:qFormat/>
    <w:uiPriority w:val="0"/>
    <w:pPr>
      <w:ind w:firstLine="420" w:firstLineChars="200"/>
    </w:pPr>
  </w:style>
  <w:style w:type="paragraph" w:styleId="5">
    <w:name w:val="Body Text Indent"/>
    <w:basedOn w:val="1"/>
    <w:next w:val="6"/>
    <w:qFormat/>
    <w:uiPriority w:val="0"/>
    <w:pPr>
      <w:ind w:firstLine="570" w:firstLineChars="0"/>
      <w:jc w:val="both"/>
    </w:pPr>
    <w:rPr>
      <w:rFonts w:ascii="宋体"/>
      <w:kern w:val="2"/>
      <w:sz w:val="28"/>
      <w:lang w:val="en-US" w:eastAsia="zh-CN"/>
    </w:rPr>
  </w:style>
  <w:style w:type="paragraph" w:styleId="6">
    <w:name w:val="Normal (Web)"/>
    <w:basedOn w:val="1"/>
    <w:next w:val="7"/>
    <w:qFormat/>
    <w:uiPriority w:val="0"/>
    <w:pPr>
      <w:ind w:firstLine="0" w:firstLineChars="0"/>
      <w:jc w:val="both"/>
    </w:pPr>
    <w:rPr>
      <w:kern w:val="2"/>
      <w:sz w:val="24"/>
      <w:szCs w:val="24"/>
      <w:lang w:val="en-US" w:eastAsia="zh-CN"/>
    </w:rPr>
  </w:style>
  <w:style w:type="paragraph" w:styleId="7">
    <w:name w:val="footer"/>
    <w:basedOn w:val="1"/>
    <w:next w:val="6"/>
    <w:qFormat/>
    <w:uiPriority w:val="99"/>
    <w:pPr>
      <w:tabs>
        <w:tab w:val="center" w:pos="4153"/>
        <w:tab w:val="right" w:pos="8306"/>
      </w:tabs>
      <w:snapToGrid w:val="0"/>
    </w:pPr>
    <w:rPr>
      <w:sz w:val="18"/>
      <w:szCs w:val="18"/>
    </w:rPr>
  </w:style>
  <w:style w:type="paragraph" w:customStyle="1" w:styleId="8">
    <w:name w:val="Char Char Char Char Char Char Char Char Char Char Char Char1 Char Char Char Char Char Char Char"/>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2026-06-12T08:40:00Z</dcterms:created>
  <dc:creator>Administrator</dc:creator>
  <cp:lastModifiedBy>Administrator</cp:lastModifiedBy>
  <dcterms:modified xsi:type="dcterms:W3CDTF">2026-06-12T08:46:53Z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ies>
</file>