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8AE40">
      <w:pPr>
        <w:spacing w:line="0" w:lineRule="atLeast"/>
        <w:jc w:val="center"/>
        <w:rPr>
          <w:rFonts w:hint="default" w:ascii="Times New Roman" w:hAnsi="Times New Roman" w:eastAsia="方正小标宋_GBK" w:cs="Times New Roman"/>
          <w:b/>
          <w:bCs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bCs w:val="0"/>
          <w:sz w:val="44"/>
          <w:szCs w:val="44"/>
        </w:rPr>
        <w:t>中共攀枝花市西区区委办公室</w:t>
      </w:r>
    </w:p>
    <w:p w14:paraId="0A320CA9">
      <w:pPr>
        <w:spacing w:line="0" w:lineRule="atLeast"/>
        <w:jc w:val="center"/>
        <w:rPr>
          <w:rFonts w:hint="default" w:ascii="Times New Roman" w:hAnsi="Times New Roman" w:eastAsia="方正小标宋_GBK" w:cs="Times New Roman"/>
          <w:b/>
          <w:bCs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bCs w:val="0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b/>
          <w:bCs w:val="0"/>
          <w:sz w:val="44"/>
          <w:szCs w:val="44"/>
          <w:lang w:val="en-US"/>
        </w:rPr>
        <w:t>5</w:t>
      </w:r>
      <w:r>
        <w:rPr>
          <w:rFonts w:hint="default" w:ascii="Times New Roman" w:hAnsi="Times New Roman" w:eastAsia="方正小标宋_GBK" w:cs="Times New Roman"/>
          <w:b/>
          <w:bCs w:val="0"/>
          <w:sz w:val="44"/>
          <w:szCs w:val="44"/>
        </w:rPr>
        <w:t>年部门预算绩效自评报告</w:t>
      </w:r>
    </w:p>
    <w:p w14:paraId="21573C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/>
        <w:jc w:val="left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</w:rPr>
      </w:pPr>
    </w:p>
    <w:p w14:paraId="70C178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zh-CN"/>
        </w:rPr>
        <w:t>一、部门（单位）基本情况</w:t>
      </w:r>
    </w:p>
    <w:p w14:paraId="4AC0BC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rPr>
          <w:rFonts w:hint="default" w:ascii="Times New Roman" w:hAnsi="Times New Roman" w:eastAsia="方正楷体_GBK" w:cs="Times New Roman"/>
          <w:b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方正楷体_GBK" w:cs="Times New Roman"/>
          <w:b/>
          <w:sz w:val="32"/>
          <w:szCs w:val="32"/>
        </w:rPr>
        <w:t>机构组成</w:t>
      </w:r>
    </w:p>
    <w:p w14:paraId="049193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西区区委办公室无下属二级预算单位，单位内设机构包括常委办公室、政策研究室、信息股、综合一股、综合二股、人事后勤股、保密机要局（股）、共同富裕建设股、综合督查股、绩效管理股等，下设区委全面深化改革委员会办公室。现有1个下属二级单位西区电子政务建设服务中心。</w:t>
      </w:r>
    </w:p>
    <w:p w14:paraId="358331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rPr>
          <w:rFonts w:hint="default" w:ascii="Times New Roman" w:hAnsi="Times New Roman" w:eastAsia="方正楷体_GBK" w:cs="Times New Roman"/>
          <w:b/>
          <w:sz w:val="32"/>
          <w:szCs w:val="32"/>
          <w:lang w:val="zh-CN" w:eastAsia="zh-CN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  <w:lang w:val="zh-CN" w:eastAsia="zh-CN"/>
        </w:rPr>
        <w:t>（二）机构职能</w:t>
      </w:r>
    </w:p>
    <w:p w14:paraId="4A04E5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负责区委日常公文处理，督促检查市委、区委重大决策部署及区委领导批示指示的传达、督办与落实；2.围绕市委、区委中心工作开展信息收集、情况反映与综合调研，承担区委相关文件、文稿的起草、审核与校对，负责区委及区委办公室文件的印制、分发和管理；3.负责区委重要会议会务保障及区委领导重大活动的统筹安排，做好相关接待服务工作；4.负责共同富裕试验区建设相关重大政策、规划、改革事项的研究、编制、计划与组织实施；5.统筹做好信息报送、政策研究、督促检查等工作；6.负责办公室安全防范、保密管理及综合治理相关工作；7.做好区委领导日常服务保障工作；8.协调区委各部门及相关单位工作关系，推动工作高效衔接；9.负责区委办公室机关党的思想、组织、作风建设及精神文明建设；10.完成区委交办的其他工作任务。</w:t>
      </w:r>
    </w:p>
    <w:p w14:paraId="7B5AA6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rPr>
          <w:rFonts w:hint="default" w:ascii="Times New Roman" w:hAnsi="Times New Roman" w:eastAsia="方正楷体_GBK" w:cs="Times New Roman"/>
          <w:b/>
          <w:sz w:val="32"/>
          <w:szCs w:val="32"/>
          <w:lang w:val="zh-CN" w:eastAsia="zh-CN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  <w:lang w:val="zh-CN" w:eastAsia="zh-CN"/>
        </w:rPr>
        <w:t>（三）人员概况</w:t>
      </w:r>
    </w:p>
    <w:p w14:paraId="0D45B4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截至2025年末，区委办公室共设行政编制12个（单列行政编2个），年末实有10人。区电子政务建设服务中心有参公编制11人，年末实有7人。区共富办共设行政编制4个，年末实有3人。区社会建设事务中心有事业编制10人，年末实有事业人员10人。区委办公室2025年末实有在职人员30人，机关工勤1人，退休人员4名。</w:t>
      </w:r>
    </w:p>
    <w:p w14:paraId="6D264E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二、部门资金收支情况</w:t>
      </w:r>
    </w:p>
    <w:p w14:paraId="68D179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rPr>
          <w:rFonts w:hint="default" w:ascii="Times New Roman" w:hAnsi="Times New Roman" w:eastAsia="方正楷体_GBK" w:cs="Times New Roman"/>
          <w:b/>
          <w:sz w:val="32"/>
          <w:szCs w:val="32"/>
          <w:lang w:val="zh-CN" w:eastAsia="zh-CN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  <w:lang w:val="zh-CN" w:eastAsia="zh-CN"/>
        </w:rPr>
        <w:t>（一）收入情况</w:t>
      </w:r>
    </w:p>
    <w:p w14:paraId="37013C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西区区委办公室2025年年初预算收入8289404.6元、决算收入9256937.16元。</w:t>
      </w:r>
    </w:p>
    <w:p w14:paraId="1580FE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rPr>
          <w:rFonts w:hint="default" w:ascii="Times New Roman" w:hAnsi="Times New Roman" w:eastAsia="方正楷体_GBK" w:cs="Times New Roman"/>
          <w:b/>
          <w:sz w:val="32"/>
          <w:szCs w:val="32"/>
          <w:lang w:val="zh-CN" w:eastAsia="zh-CN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  <w:lang w:val="zh-CN" w:eastAsia="zh-CN"/>
        </w:rPr>
        <w:t>（二）支出情况</w:t>
      </w:r>
    </w:p>
    <w:p w14:paraId="529B1AB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/>
        <w:jc w:val="left"/>
        <w:rPr>
          <w:rFonts w:hint="default" w:ascii="Times New Roman" w:hAnsi="Times New Roman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西区区委办公室2025年年初预算支出8289404.6元、决算支出9256937.16元。</w:t>
      </w:r>
    </w:p>
    <w:p w14:paraId="7628F9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rPr>
          <w:rFonts w:hint="default" w:ascii="Times New Roman" w:hAnsi="Times New Roman" w:eastAsia="方正楷体_GBK" w:cs="Times New Roman"/>
          <w:b/>
          <w:sz w:val="32"/>
          <w:szCs w:val="32"/>
          <w:lang w:val="zh-CN" w:eastAsia="zh-CN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  <w:lang w:val="zh-CN" w:eastAsia="zh-CN"/>
        </w:rPr>
        <w:t>（三）结余分配和结转结余情况。</w:t>
      </w:r>
    </w:p>
    <w:p w14:paraId="0B283B1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/>
        <w:jc w:val="left"/>
        <w:rPr>
          <w:rFonts w:hint="default" w:ascii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2025年决算报表结转结余0元。</w:t>
      </w:r>
    </w:p>
    <w:p w14:paraId="6C4325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三、部门预算绩效分析</w:t>
      </w:r>
    </w:p>
    <w:p w14:paraId="080B94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rPr>
          <w:rFonts w:hint="default" w:ascii="Times New Roman" w:hAnsi="Times New Roman" w:eastAsia="方正楷体_GBK" w:cs="Times New Roman"/>
          <w:b/>
          <w:sz w:val="32"/>
          <w:szCs w:val="32"/>
          <w:lang w:val="zh-CN" w:eastAsia="zh-CN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  <w:lang w:val="zh-CN" w:eastAsia="zh-CN"/>
        </w:rPr>
        <w:t>（一）部门预算总体绩效分析</w:t>
      </w:r>
    </w:p>
    <w:p w14:paraId="2828DC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contextualSpacing/>
        <w:jc w:val="left"/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zh-CN" w:eastAsia="zh-CN" w:bidi="ar-SA"/>
        </w:rPr>
        <w:t>履职效能</w:t>
      </w:r>
    </w:p>
    <w:p w14:paraId="2DC3E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（1）牵头统筹全区重大活动经费履职效果良好，主要体现在相应的项目支出方面。</w:t>
      </w:r>
    </w:p>
    <w:p w14:paraId="5A71D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数量指标：牵头开展全区重大活动2场，统筹落实全区重大会议、各类调研，配套落实国家安全、深化改革、依法治区相关保障事项。</w:t>
      </w:r>
    </w:p>
    <w:p w14:paraId="3D6D6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质量指标：办文办会、重大会议筹备、各类调研保障等各项工作完成率100%。</w:t>
      </w:r>
    </w:p>
    <w:p w14:paraId="3C390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时效指标：完成时限2025年1—12月，已完成。</w:t>
      </w:r>
    </w:p>
    <w:p w14:paraId="412F9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社会效益指标：依托融媒体宣传会议与活动信息，同步为企业、群众提供办事指引，群众满意度≥95%。</w:t>
      </w:r>
    </w:p>
    <w:p w14:paraId="27D180A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共同富裕试验区建设及目标绩效管理工作经费履职效果良好，主要体现在相应的项目支出方面。</w:t>
      </w:r>
    </w:p>
    <w:p w14:paraId="4D8FDA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数量指标：计划召开共富领导小组会议4次，召开共富及绩效专题会议8次，印制及购买共同富裕试验区及绩效管理相关资料10000余本，印制重点项目、民生实事等宣传资料20000余册，开展跟踪督查检查50余次，组织相关培训2—3次。</w:t>
      </w:r>
    </w:p>
    <w:p w14:paraId="2C374B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质量指标：牵头推进省、市共同富裕试验区建设任务及目标绩效管理工作，圆满完成省、市考核验收；创新工作方式，提升办文办会水平，做好区委决策参谋助手；通过实地核实、现场督办、督查通报等方式，对年度共同富裕重点工作开展跟踪管理，顺利完成相关调研及省、市级群众和社会评价工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44311A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时效指标：完成时限2025年1—12月，已完成。</w:t>
      </w:r>
    </w:p>
    <w:p w14:paraId="43A028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满意度指标：共同富裕建设事项、重点项目、民生实事落地社会满意度≥95%。</w:t>
      </w:r>
    </w:p>
    <w:p w14:paraId="1CD5D3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contextualSpacing/>
        <w:jc w:val="left"/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zh-CN" w:eastAsia="zh-CN" w:bidi="ar-SA"/>
        </w:rPr>
        <w:t>预算管理</w:t>
      </w:r>
    </w:p>
    <w:p w14:paraId="5CDD31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zh-CN" w:eastAsia="zh-CN"/>
        </w:rPr>
        <w:t>西区委办公室严格按要求编制年初部门预算，编制时充分考虑科学性和准确性，统筹单位收入，持续跟进月支出执行进度，预算年终无结余，本着过紧日子的原则，严控一般性支出。2025年人员经费：年初预算4698745.83元，全年预算5796525.29元；公用经费：年初预算575898.77元，全年预算529046.95元；项目支出：年初预算3014760.00元，全年预算2931364.92元；“三公”经费年初预算数25000元，全年实际支出11134.29元。其中因公出国（境）经费支出0元，公务用车运行维护费11134.29元，公务接待费0元。</w:t>
      </w:r>
    </w:p>
    <w:p w14:paraId="351448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contextualSpacing/>
        <w:jc w:val="left"/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zh-CN" w:eastAsia="zh-CN" w:bidi="ar-SA"/>
        </w:rPr>
        <w:t>财务管理</w:t>
      </w:r>
    </w:p>
    <w:p w14:paraId="0CF462E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/>
        <w:jc w:val="left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zh-CN" w:eastAsia="zh-CN"/>
        </w:rPr>
        <w:t>2025年持续完善财务内控管理体系，修订健全预算、收支、固定资产等全链条财务管理制度，常态化抓好制度落地执行，实现各项财务业务依规开展。合理优化财务岗位配置，在岗配备会计、出纳各1名，严格落实不相容职务分离管控要求，厘清岗位职责边界，从岗位设置上堵塞管理漏洞。资金管控全程从严落实审批流程，所有经费支出依规核定用途、列支标准与审批程序，严把资金拨付关口，严防资金挤占、违规使用问题，全年财务管理运转规范有序，切实筑牢资金安全防线。</w:t>
      </w:r>
    </w:p>
    <w:p w14:paraId="2B7690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contextualSpacing/>
        <w:jc w:val="left"/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4.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zh-CN" w:eastAsia="zh-CN" w:bidi="ar-SA"/>
        </w:rPr>
        <w:t>资产管理</w:t>
      </w:r>
    </w:p>
    <w:p w14:paraId="5F04214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/>
        <w:jc w:val="left"/>
        <w:rPr>
          <w:rFonts w:hint="default" w:ascii="Times New Roman" w:hAnsi="Times New Roman" w:eastAsia="方正仿宋_GBK" w:cs="Times New Roman"/>
          <w:sz w:val="32"/>
          <w:szCs w:val="32"/>
          <w:lang w:val="zh-CN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zh-CN"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 w:eastAsia="zh-CN"/>
        </w:rPr>
        <w:t>）人均资产变化率，部门人均资产变化情况。截至2025年末，资产合计期末数6543631.42元，较期初7630795.62元下降14.24%。其中：固定资产原值4829088.75元，较期初6164669.23元减少1335580.48元，降幅21.67%；固定资产净值772803.69元，较期初2327587.76元减少1554784.07元，降幅66.80%；无形资产原值923861.25元，较期初1241093.00元减少317231.75元，降幅25.56%；无形资产净值569037.37元，较期初977708.85元减少408671.48元，降幅41.80%。资产总量及人均指标同比下降，主要原因是上年度年末已入账的电脑设备及配套软件，2025年完成内部调拨审批及资产划转手续，同步办理资产出库、账务调整；同时本年度按规定对达到使用年限、无使用价值的老旧固定资产、无形资产完成报废处置及核销，进一步导致资产总额、净值同步减少。</w:t>
      </w:r>
    </w:p>
    <w:p w14:paraId="456F39C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/>
        <w:jc w:val="left"/>
        <w:rPr>
          <w:rFonts w:hint="default" w:ascii="Times New Roman" w:hAnsi="Times New Roman" w:eastAsia="方正仿宋_GBK" w:cs="Times New Roman"/>
          <w:sz w:val="32"/>
          <w:szCs w:val="32"/>
          <w:lang w:val="zh-CN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zh-CN"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 w:eastAsia="zh-CN"/>
        </w:rPr>
        <w:t>）资产利用率，资产超最低使用年限情况。2025年按照《政府会计准则第3号—固定资产》应用指南（办公家具折旧不低于15年、办公设备折旧不低于6年）要求，逐项测算超最低使用年限资产利用率。超年限资产利用率：办公家具（桌椅、柜具、沙发茶几等）账面原值669810.53元，超15年资产原值282350元，利用率42.15%，高于区级行政事业单位平均值15.47%，老旧家具复用率高；电脑、打印机、复印机等办公设备账面原值4153431.22元，超6年资产原值698600元，利用率16.82%，低于全区平均58.29%，单位逐年更新设备，老旧资产及时处置，在用设备成新度优良。</w:t>
      </w:r>
    </w:p>
    <w:p w14:paraId="6081D2D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/>
        <w:jc w:val="left"/>
        <w:rPr>
          <w:rFonts w:hint="default" w:ascii="Times New Roman" w:hAnsi="Times New Roman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（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）资产盘活率，闲置一年以上的资产盘活情况。常态化开展资产盘点清查，2025年度无闲置资产，存量资产配置合理、充分利用。</w:t>
      </w:r>
    </w:p>
    <w:p w14:paraId="273861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contextualSpacing/>
        <w:jc w:val="left"/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5.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zh-CN" w:eastAsia="zh-CN" w:bidi="ar-SA"/>
        </w:rPr>
        <w:t>采购管理</w:t>
      </w:r>
    </w:p>
    <w:p w14:paraId="0C1180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/>
        <w:jc w:val="left"/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2025年区委办严格执行政府采购及扶持中小企业相关政策，全年采购金额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10774.29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元，全部合同授予中小企业，项目预算与实际支出一致，采购执行率100%。</w:t>
      </w:r>
    </w:p>
    <w:p w14:paraId="7AE029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rPr>
          <w:rFonts w:hint="default" w:ascii="Times New Roman" w:hAnsi="Times New Roman" w:eastAsia="方正楷体_GBK" w:cs="Times New Roman"/>
          <w:b/>
          <w:sz w:val="32"/>
          <w:szCs w:val="32"/>
          <w:lang w:val="zh-CN" w:eastAsia="zh-CN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  <w:lang w:val="zh-CN" w:eastAsia="zh-CN"/>
        </w:rPr>
        <w:t>（二）部门预算项目绩效分析</w:t>
      </w:r>
    </w:p>
    <w:p w14:paraId="283BC7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/>
        <w:jc w:val="left"/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常年项目绩效分析：常年项目总数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7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个，涉及预算总金额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1135700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元，1-12月预算执行总体进度为100%，预算结余率大于10%的项目共计0个。</w:t>
      </w:r>
    </w:p>
    <w:p w14:paraId="565EBD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/>
        <w:jc w:val="left"/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阶段（含一次性）项目绩效分析。该类项目总数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个，涉及预算总金额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2446400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元，1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-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12月预算执行总体进度为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73.4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%，其中：预算结余率大于10%的项目共计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个。</w:t>
      </w:r>
    </w:p>
    <w:p w14:paraId="525B99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contextualSpacing/>
        <w:jc w:val="left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zh-CN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zh-CN" w:eastAsia="zh-CN" w:bidi="ar-SA"/>
        </w:rPr>
        <w:t>项目决策：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扎实开展2025年度预算编制工作，严格依规落实项目评估论证、逐级申报全流程程序。各相关股室立足职能细致测算经费、做实全方位评估论证，相关预算事项经区委办公室班子会议集体研究审议通过，确保预算项目绩效目标与年度工作任务量、资金预算额度精准适配；绩效目标做到设定科学合规、要素规范完备、指标量化细化、资金配置一一对应。阶段性及一次性项目全部按时限要求完成项目入库手续。</w:t>
      </w:r>
    </w:p>
    <w:p w14:paraId="6FB491F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contextualSpacing/>
        <w:jc w:val="left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zh-CN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zh-CN" w:eastAsia="zh-CN" w:bidi="ar-SA"/>
        </w:rPr>
        <w:t>项目执行：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2025年预算编制及执行全过程坚持科学统筹规划、全过程动态管控。年初编报预算立足年度重点工作与日常履职实际，紧扣业务实情细化资金测算、科学统筹经费配置；受人员轮岗调整、临时专项任务增设等不可预见因素影响，部分项目预算和实际开支需求出现小幅偏差。资金执行阶段依托常态化动态监管机制，按月归集梳理支出数据、深挖剖析执行情况，靶向纠治支出偏慢、配比失衡等短板，以全流程精细化管理压实支出责任，保障全年各时段预算执行有序达标。</w:t>
      </w:r>
    </w:p>
    <w:p w14:paraId="62AAAEF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contextualSpacing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zh-CN" w:eastAsia="zh-CN" w:bidi="ar-SA"/>
        </w:rPr>
        <w:t>目标实现：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2025年区委办公室绩效目标保质保量完成调整后预算支出，严守厉行节约、过紧日子工作要求，从严压减非必要一般性开支，统筹优化经费使用。牵头统筹全区重大活动经费年初预算600000元，调整后预算317800元，预算执行数317800元；共同富裕试验区建设及目标绩效管理工作经费年初预算90000元，调整后预算48400元，预算执行数48400元；争取资金经费年初无预算，年中追加80000元，全额执行到位。其余项目均为涉密项目，暂不公开。</w:t>
      </w:r>
    </w:p>
    <w:p w14:paraId="310F67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rPr>
          <w:rFonts w:hint="default" w:ascii="Times New Roman" w:hAnsi="Times New Roman" w:eastAsia="方正楷体_GBK" w:cs="Times New Roman"/>
          <w:b/>
          <w:sz w:val="32"/>
          <w:szCs w:val="32"/>
          <w:lang w:val="zh-CN" w:eastAsia="zh-CN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  <w:lang w:val="zh-CN" w:eastAsia="zh-CN"/>
        </w:rPr>
        <w:t>（三）绩效结果应用情况</w:t>
      </w:r>
    </w:p>
    <w:p w14:paraId="23D49D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contextualSpacing/>
        <w:jc w:val="left"/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zh-CN" w:eastAsia="zh-CN" w:bidi="ar-SA"/>
        </w:rPr>
        <w:t>1.内部应用：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  <w:t>运用绩效自评数据分析经费开支实际情况，结合项目落地成效优化下年度预算编制，合理统筹各项经费配置，细化支出测算，提升预算编制科学性与财务管理精细化水平。</w:t>
      </w:r>
    </w:p>
    <w:p w14:paraId="2D5B55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contextualSpacing/>
        <w:jc w:val="left"/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zh-CN" w:eastAsia="zh-CN" w:bidi="ar-SA"/>
        </w:rPr>
        <w:t>2.信息公开：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  <w:t>按要求将绩效自评报告及表格在西区政府门户网站公开，接受社会监督，增强预算执行透明度。</w:t>
      </w:r>
    </w:p>
    <w:p w14:paraId="50BBDC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contextualSpacing/>
        <w:jc w:val="left"/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zh-CN" w:eastAsia="zh-CN" w:bidi="ar-SA"/>
        </w:rPr>
        <w:t>3.整改提效：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立足自评查摆执行短板，精编年度项目预算，细化落地实施安排，保障经费及时足额支付。</w:t>
      </w:r>
    </w:p>
    <w:p w14:paraId="0DF00D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四、评价结论及建议</w:t>
      </w:r>
    </w:p>
    <w:p w14:paraId="4BA4DF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contextualSpacing/>
        <w:jc w:val="left"/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  <w:lang w:val="zh-CN"/>
        </w:rPr>
        <w:t>（一）评价结论。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2025年区委办公室严守预算管理各项制度，健全事前谋划、事中管控、事后复盘的全过程收支管控机制，坚持厉行节约、勤俭办事原则，精打细算严控一般性支出，严格规范经费审批、拨付、使用全流程管理，切实提升财政资金使用规范化、精细化水平。全年基本支出保障精准有力，足额保障机关日常办公、会务保障、政务运转等各项履职工作平稳有序开展。各类专项项目资金专款专用、精准落地，高效支撑政务服务、统筹协调、督查落实等年度重点工作扎实推进，全年预算执行质效稳步提升，年度绩效自评得分9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分。</w:t>
      </w:r>
    </w:p>
    <w:p w14:paraId="4E2568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contextualSpacing/>
        <w:jc w:val="left"/>
        <w:rPr>
          <w:rFonts w:hint="default"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  <w:lang w:val="zh-CN"/>
        </w:rPr>
        <w:t>（二）存在问题。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一是部分延续性项目受资金拨付周期、项目进度影响，款项未能按期拨付；二是年初预算预判不够精准，临时新增工作、人员变动导致年中追加经费；三是项目前期论证不够充分，支出进度不均衡，绩效日常监管力度不足，资金使用效益仍有提升空间。</w:t>
      </w:r>
    </w:p>
    <w:p w14:paraId="49A948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contextualSpacing/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方正楷体_GBK" w:cs="Times New Roman"/>
          <w:b/>
          <w:sz w:val="32"/>
          <w:szCs w:val="32"/>
          <w:lang w:val="zh-CN"/>
        </w:rPr>
        <w:t>（三）改进建议。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一是强化项目资金统筹调度，结合项目进度合理安排拨付时序；二是做深做细预算前期调研，结合年度重点工作、人员情况精准测算，减少预算追加；三是加强项目全流程管控，做实前期论证，常态化开展绩效监管，均衡支出进度，提升资金使用效益。</w:t>
      </w:r>
    </w:p>
    <w:p w14:paraId="51FD3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00"/>
          <w:kern w:val="0"/>
          <w:sz w:val="32"/>
          <w:szCs w:val="32"/>
          <w:shd w:val="clear" w:color="auto" w:fill="FFFFFF"/>
        </w:rPr>
      </w:pPr>
    </w:p>
    <w:p w14:paraId="79ABCB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/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附件：1.部门预算绩效自评打分表</w:t>
      </w:r>
    </w:p>
    <w:p w14:paraId="5F7C17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/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    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2.部门整体绩效目标完成情况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自评表</w:t>
      </w:r>
    </w:p>
    <w:p w14:paraId="41DD2419">
      <w:pPr>
        <w:spacing w:line="578" w:lineRule="exact"/>
        <w:ind w:firstLine="1600" w:firstLineChars="500"/>
        <w:rPr>
          <w:szCs w:val="32"/>
          <w:lang w:bidi="ar"/>
        </w:rPr>
      </w:pPr>
    </w:p>
    <w:p w14:paraId="66F96C67">
      <w:pPr>
        <w:spacing w:line="578" w:lineRule="exact"/>
        <w:jc w:val="left"/>
        <w:rPr>
          <w:rFonts w:eastAsia="黑体"/>
        </w:rPr>
      </w:pPr>
      <w:r>
        <w:rPr>
          <w:color w:val="000000"/>
          <w:kern w:val="0"/>
          <w:szCs w:val="32"/>
          <w:shd w:val="clear" w:color="auto" w:fill="FFFFFF"/>
        </w:rPr>
        <w:br w:type="page"/>
      </w:r>
      <w:r>
        <w:rPr>
          <w:rFonts w:eastAsia="黑体"/>
        </w:rPr>
        <w:t>附</w:t>
      </w:r>
      <w:r>
        <w:rPr>
          <w:rFonts w:hint="eastAsia" w:eastAsia="黑体"/>
          <w:lang w:eastAsia="zh-CN"/>
        </w:rPr>
        <w:t>件</w:t>
      </w:r>
      <w:r>
        <w:rPr>
          <w:rFonts w:hint="eastAsia" w:eastAsia="黑体"/>
        </w:rPr>
        <w:t>1</w:t>
      </w:r>
    </w:p>
    <w:p w14:paraId="67E6C3C6">
      <w:pPr>
        <w:widowControl/>
        <w:spacing w:line="600" w:lineRule="exact"/>
        <w:jc w:val="center"/>
        <w:textAlignment w:val="center"/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lang w:bidi="ar"/>
        </w:rPr>
        <w:t>部门预算绩效自评打分表</w:t>
      </w:r>
    </w:p>
    <w:tbl>
      <w:tblPr>
        <w:tblStyle w:val="15"/>
        <w:tblW w:w="108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1215"/>
        <w:gridCol w:w="1785"/>
        <w:gridCol w:w="735"/>
        <w:gridCol w:w="4725"/>
        <w:gridCol w:w="765"/>
        <w:gridCol w:w="478"/>
      </w:tblGrid>
      <w:tr w14:paraId="6A992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8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94F5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lang w:bidi="ar"/>
              </w:rPr>
              <w:t>绩效评价指标指标分值</w:t>
            </w:r>
          </w:p>
        </w:tc>
        <w:tc>
          <w:tcPr>
            <w:tcW w:w="4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202B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lang w:bidi="ar"/>
              </w:rPr>
              <w:t>指标解释</w:t>
            </w:r>
          </w:p>
        </w:tc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BB50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lang w:bidi="ar"/>
              </w:rPr>
              <w:t>自评得分</w:t>
            </w:r>
          </w:p>
        </w:tc>
        <w:tc>
          <w:tcPr>
            <w:tcW w:w="4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DCC3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42D77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B57F9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lang w:bidi="ar"/>
              </w:rPr>
              <w:t>一级</w:t>
            </w:r>
          </w:p>
          <w:p w14:paraId="11B5FBD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BDE0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80C3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6B03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lang w:bidi="ar"/>
              </w:rPr>
              <w:t>指标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lang w:bidi="ar"/>
              </w:rPr>
              <w:t>分值</w:t>
            </w:r>
          </w:p>
        </w:tc>
        <w:tc>
          <w:tcPr>
            <w:tcW w:w="4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72EE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7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8296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4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10EE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</w:tr>
      <w:tr w14:paraId="1DE0E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A8D2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总体</w:t>
            </w:r>
          </w:p>
          <w:p w14:paraId="346303D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绩效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（65分）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73BA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履职效能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（15分）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5954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XX履职效果</w:t>
            </w:r>
          </w:p>
        </w:tc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2C10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3B2BC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部门整体绩效目标中选定3-5个核心职能目标，反映该项职能目标完成效果情况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6AF8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15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D902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567D6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1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06DB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D42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预算管理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（25分）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9372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预算编制质量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323F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9D359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部门是否严格按要求编制年初部门预算，年初预算编制的科学性和准确性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18E4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8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86B4E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56F16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1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274A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9B31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3361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单位收入统筹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E00E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522D7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部门统筹自有收入程度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53E8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738F7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43528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1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2E9B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2157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7392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支出执行进度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5C8D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1C6FA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部门1至6月、1至10月预算执行情况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9626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8DF1D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45066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1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6E9F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8E00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5621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预算年终结余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2C1D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84389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部门整体年终预算结余情况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1403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3B9DC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3452D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EC78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8EC8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C405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严控一般性支出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666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B337E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E438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164F7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39E33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1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887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94D6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财务管理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E773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财务管理制度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3DF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6DDF5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部门财务管理制度建立情况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C122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69033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1F1A0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1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444D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150F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4D49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财务岗位设置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361D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E1D51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部门财务岗位设置是否符合相关财务管理制度要求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76DA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6DB6B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5CE97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1AC9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BCB7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5F49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资金使用规范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24EE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62701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部门资金使用是否符合相关财务管理制度规定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23F8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BE842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44FE3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1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B70A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46CF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资产管理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（9分）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E9B9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11"/>
                <w:kern w:val="0"/>
                <w:sz w:val="24"/>
                <w:lang w:bidi="ar"/>
              </w:rPr>
              <w:t>人均资产变化率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8337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9685E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部门人均资产变化情况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6936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66062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6E765175">
        <w:trPr>
          <w:trHeight w:val="365" w:hRule="atLeast"/>
          <w:jc w:val="center"/>
        </w:trPr>
        <w:tc>
          <w:tcPr>
            <w:tcW w:w="11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5C3F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2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C6F4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C718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资产利用率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2E02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D3FDF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部门资产超最低使用年限情况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40BE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F0B38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6B378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1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E337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2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4701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77A8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资产盘活率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FB2E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A5417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部门闲置一年以上的资产盘活情况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65F1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03038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0ECC7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1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D90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C672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采购管理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（6分）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B912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支持中小企业发展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F197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7F35A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部门是否严格执行政府采购促进中小企业发展相关管理办法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88B8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1CD28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132C4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69B0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752D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EE85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采购执行率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8FE3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97F5B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部门政府采购项目资金支付比例情况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1308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289FE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67712357">
        <w:trPr>
          <w:trHeight w:val="525" w:hRule="atLeast"/>
          <w:jc w:val="center"/>
        </w:trPr>
        <w:tc>
          <w:tcPr>
            <w:tcW w:w="11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76FC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项目</w:t>
            </w:r>
          </w:p>
          <w:p w14:paraId="5F5D19F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绩效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（35分）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0C9B1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项目决策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6D18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决策程序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075B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4229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部门预算项目设立是否按规定履行评估论证、申报程序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F7AD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3048C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235FC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0982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254A8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C1BE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目标设置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15C4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E7DE2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9EEF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4FFAD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16E45E2E">
        <w:trPr>
          <w:trHeight w:val="300" w:hRule="atLeast"/>
          <w:jc w:val="center"/>
        </w:trPr>
        <w:tc>
          <w:tcPr>
            <w:tcW w:w="1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D8CF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8BFAFB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A5D2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项目入库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507D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ADD21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部门预算项目是否在规定时间完成项目入库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8421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7FD87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776DC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A57B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C911D9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项目执行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BE8E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执行同向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5325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D617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部门预算项目实际列支内容是否与绩效目标设置方向相符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D47F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EB86A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7B094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9B5F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770BAD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FE780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项目调整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E4F2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619E6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部门预算项目是否采取对应调整措施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FAC9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5635E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43AF3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6657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7708C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866B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执行结果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AB5B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D89E1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部门预算项目预算执行情况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2FFF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BA527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39683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8568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84FA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目标实现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（11分）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4697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目标完成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A92D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CEE1B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部门预算项目绩效目标数量指标完成情况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96B2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38C93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76278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818A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6BEE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FD2D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目标偏离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50E0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6DB2A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部门预算项目绩效目标数量指标实现程度与预期目标的偏离情况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DB6E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EE48F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3ED9E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60E7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F201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547E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实现效果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FDF7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9F20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部门预算项目绩效目标效益指标实施效果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641D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51D52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48B5A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3A46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扣分项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6CE7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被评价部门配合度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D9D9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DF523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被评价对象工作配合情况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33DA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2F45E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5275DBDA">
      <w:pPr>
        <w:pStyle w:val="19"/>
        <w:spacing w:line="20" w:lineRule="exact"/>
        <w:rPr>
          <w:rFonts w:hint="eastAsia" w:ascii="方正黑体_GBK" w:hAnsi="方正黑体_GBK" w:eastAsia="方正黑体_GBK" w:cs="方正黑体_GBK"/>
        </w:rPr>
      </w:pPr>
    </w:p>
    <w:p w14:paraId="10EA2462">
      <w:pPr>
        <w:spacing w:line="578" w:lineRule="exact"/>
        <w:jc w:val="left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附</w:t>
      </w:r>
      <w:r>
        <w:rPr>
          <w:rFonts w:hint="eastAsia" w:ascii="方正黑体_GBK" w:hAnsi="方正黑体_GBK" w:eastAsia="方正黑体_GBK" w:cs="方正黑体_GBK"/>
          <w:lang w:eastAsia="zh-CN"/>
        </w:rPr>
        <w:t>件</w:t>
      </w:r>
      <w:r>
        <w:rPr>
          <w:rFonts w:hint="eastAsia" w:ascii="方正黑体_GBK" w:hAnsi="方正黑体_GBK" w:eastAsia="方正黑体_GBK" w:cs="方正黑体_GBK"/>
        </w:rPr>
        <w:t>2</w:t>
      </w:r>
    </w:p>
    <w:tbl>
      <w:tblPr>
        <w:tblStyle w:val="15"/>
        <w:tblW w:w="105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8"/>
        <w:gridCol w:w="1347"/>
        <w:gridCol w:w="1273"/>
        <w:gridCol w:w="1844"/>
        <w:gridCol w:w="401"/>
        <w:gridCol w:w="544"/>
        <w:gridCol w:w="1410"/>
        <w:gridCol w:w="915"/>
        <w:gridCol w:w="1518"/>
      </w:tblGrid>
      <w:tr w14:paraId="6A6D1D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exact"/>
          <w:jc w:val="center"/>
        </w:trPr>
        <w:tc>
          <w:tcPr>
            <w:tcW w:w="10560" w:type="dxa"/>
            <w:gridSpan w:val="9"/>
            <w:shd w:val="clear" w:color="auto" w:fill="auto"/>
            <w:vAlign w:val="center"/>
          </w:tcPr>
          <w:p w14:paraId="39A43491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小标宋_GBK" w:cs="Times New Roman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部门整体绩效目标完成情况自评表</w:t>
            </w:r>
          </w:p>
        </w:tc>
      </w:tr>
      <w:tr w14:paraId="625E03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9"/>
            <w:shd w:val="clear" w:color="auto" w:fill="auto"/>
            <w:vAlign w:val="center"/>
          </w:tcPr>
          <w:p w14:paraId="128B74AE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kern w:val="0"/>
                <w:sz w:val="28"/>
                <w:szCs w:val="28"/>
                <w:lang w:bidi="ar"/>
              </w:rPr>
              <w:t>（202</w:t>
            </w:r>
            <w:r>
              <w:rPr>
                <w:rFonts w:hint="default" w:ascii="Times New Roman" w:hAnsi="Times New Roman" w:eastAsia="方正楷体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楷体_GBK" w:cs="Times New Roman"/>
                <w:color w:val="000000"/>
                <w:kern w:val="0"/>
                <w:sz w:val="28"/>
                <w:szCs w:val="28"/>
                <w:lang w:bidi="ar"/>
              </w:rPr>
              <w:t>年度）</w:t>
            </w:r>
          </w:p>
        </w:tc>
      </w:tr>
      <w:tr w14:paraId="42666E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9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0D4DB990">
            <w:pPr>
              <w:widowControl/>
              <w:spacing w:line="30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kern w:val="0"/>
                <w:sz w:val="24"/>
                <w:szCs w:val="24"/>
                <w:lang w:bidi="ar"/>
              </w:rPr>
              <w:t>单位：万元</w:t>
            </w:r>
          </w:p>
        </w:tc>
      </w:tr>
      <w:tr w14:paraId="5976B8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39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D76D7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部门名称</w:t>
            </w:r>
          </w:p>
        </w:tc>
        <w:tc>
          <w:tcPr>
            <w:tcW w:w="66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E60CF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中共攀枝花市西区区委办公室</w:t>
            </w:r>
          </w:p>
        </w:tc>
      </w:tr>
      <w:tr w14:paraId="68F6DE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124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年度部门整体支出预算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90E27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资金总额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02BB8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财政拨款</w:t>
            </w:r>
          </w:p>
        </w:tc>
        <w:tc>
          <w:tcPr>
            <w:tcW w:w="43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B1CBA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其他资金</w:t>
            </w:r>
          </w:p>
        </w:tc>
      </w:tr>
      <w:tr w14:paraId="2A8F8B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4E8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94C9A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925.69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5C78E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925.69</w:t>
            </w:r>
          </w:p>
        </w:tc>
        <w:tc>
          <w:tcPr>
            <w:tcW w:w="43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B424A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50292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C4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年度总体</w:t>
            </w:r>
          </w:p>
          <w:p w14:paraId="6A97B2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目标</w:t>
            </w:r>
          </w:p>
        </w:tc>
        <w:tc>
          <w:tcPr>
            <w:tcW w:w="925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A4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1.聚焦区委中心工作，优化政务流程，提升综合服务质效，保障机关高效运转；2.压实保密管理责任，完善制度、强化管控，筑牢安全防线；3.升级网络支撑能力，健全防护体系，保障信息平台安全稳定运行。</w:t>
            </w:r>
          </w:p>
        </w:tc>
      </w:tr>
      <w:tr w14:paraId="6249E2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D95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年度主要</w:t>
            </w:r>
          </w:p>
          <w:p w14:paraId="5CCFB7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任务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93597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任务名称</w:t>
            </w:r>
          </w:p>
        </w:tc>
        <w:tc>
          <w:tcPr>
            <w:tcW w:w="66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AB321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主要内容</w:t>
            </w:r>
          </w:p>
        </w:tc>
      </w:tr>
      <w:tr w14:paraId="252365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0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08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0EEF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干部职工待遇保障</w:t>
            </w:r>
          </w:p>
        </w:tc>
        <w:tc>
          <w:tcPr>
            <w:tcW w:w="66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D733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按政策足额发放在职及离退休人员工资、津补贴，及时足额缴纳社保、公积金，保障干部职工待遇落实到位。</w:t>
            </w:r>
          </w:p>
        </w:tc>
      </w:tr>
      <w:tr w14:paraId="4B2807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64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AC4D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机关日常运转保障</w:t>
            </w:r>
          </w:p>
        </w:tc>
        <w:tc>
          <w:tcPr>
            <w:tcW w:w="66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3EB3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优化办文办会流程，提升公文流转效率，做好会议服务、综合协调与调研保障，确保区委日常政务高效有序推进。</w:t>
            </w:r>
          </w:p>
        </w:tc>
      </w:tr>
      <w:tr w14:paraId="65E456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5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C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3478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重点工作统筹推进</w:t>
            </w:r>
          </w:p>
        </w:tc>
        <w:tc>
          <w:tcPr>
            <w:tcW w:w="66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57EE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在牵头全区重大活动方面，细化活动实施方案，统筹人员、物资、场地等各类资源，保障各项活动稳妥开展；目标督查工作中，完善督查考核体系，常态化跟进工作进度，压实工作责任、推动落地见效；扎实抓好共同富裕建设相关工作，细化落实举措，统筹协调推进各项任务。</w:t>
            </w:r>
          </w:p>
        </w:tc>
      </w:tr>
      <w:tr w14:paraId="7FB9F2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  <w:jc w:val="center"/>
        </w:trPr>
        <w:tc>
          <w:tcPr>
            <w:tcW w:w="13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EAA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年度绩效</w:t>
            </w:r>
          </w:p>
          <w:p w14:paraId="1C54B5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3F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EE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09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16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0"/>
                <w:szCs w:val="20"/>
              </w:rPr>
              <w:t>绩效指标</w:t>
            </w:r>
          </w:p>
          <w:p w14:paraId="0955F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0"/>
                <w:szCs w:val="20"/>
              </w:rPr>
              <w:t>性质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5F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0"/>
                <w:szCs w:val="20"/>
              </w:rPr>
              <w:t>绩效指标值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41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0"/>
                <w:szCs w:val="20"/>
              </w:rPr>
              <w:t>绩效度量单位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3F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0"/>
                <w:szCs w:val="20"/>
              </w:rPr>
              <w:t>实际完成</w:t>
            </w:r>
          </w:p>
          <w:p w14:paraId="3B440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0"/>
                <w:szCs w:val="20"/>
              </w:rPr>
              <w:t>指标值</w:t>
            </w:r>
          </w:p>
        </w:tc>
      </w:tr>
      <w:tr w14:paraId="6832C9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57FA3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7BF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产出指标</w:t>
            </w:r>
          </w:p>
        </w:tc>
        <w:tc>
          <w:tcPr>
            <w:tcW w:w="12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E3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2A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干部职工待遇保障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C19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-US" w:eastAsia="zh-CN"/>
              </w:rPr>
              <w:t>定性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0F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优良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D60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37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  <w:t>100%</w:t>
            </w:r>
          </w:p>
        </w:tc>
      </w:tr>
      <w:tr w14:paraId="3473E9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9F84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F71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CA8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CDB0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机关日常运转保障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FC6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-US" w:eastAsia="zh-CN"/>
              </w:rPr>
              <w:t>定性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E19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优良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73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955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  <w:t>100%</w:t>
            </w:r>
          </w:p>
        </w:tc>
      </w:tr>
      <w:tr w14:paraId="0862BC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B3F7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F9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C70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ED14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重点工作统筹推进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3F6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-US" w:eastAsia="zh-CN"/>
              </w:rPr>
              <w:t>定性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0C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优良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1DC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A0B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  <w:t>100%</w:t>
            </w:r>
          </w:p>
        </w:tc>
      </w:tr>
      <w:tr w14:paraId="560309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13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3CEC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CCA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579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D1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eastAsia="zh-CN"/>
              </w:rPr>
              <w:t>完成率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249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-US" w:eastAsia="zh-CN"/>
              </w:rPr>
              <w:t>定性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2A8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eastAsia="zh-CN"/>
              </w:rPr>
              <w:t>优良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BB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20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  <w:t>%</w:t>
            </w:r>
          </w:p>
        </w:tc>
      </w:tr>
      <w:tr w14:paraId="60581F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3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E808C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E3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A4D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6FC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  <w:t>完成时限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DDC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-US" w:eastAsia="zh-CN"/>
              </w:rPr>
              <w:t>定性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69F8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3"/>
                <w:sz w:val="20"/>
                <w:szCs w:val="20"/>
                <w:lang w:val="en-US" w:eastAsia="zh-CN"/>
              </w:rPr>
              <w:t>2025年12月31日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348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eastAsia="zh-CN"/>
              </w:rPr>
              <w:t>年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243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  <w:t>100%</w:t>
            </w:r>
          </w:p>
        </w:tc>
      </w:tr>
      <w:tr w14:paraId="083730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  <w:jc w:val="center"/>
        </w:trPr>
        <w:tc>
          <w:tcPr>
            <w:tcW w:w="13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901E2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79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159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0E0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  <w:t>工作经费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22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-US" w:eastAsia="zh-CN"/>
              </w:rPr>
              <w:t>定性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AD7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/>
              </w:rPr>
              <w:t>925.69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756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highlight w:val="yellow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15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  <w:t>100%</w:t>
            </w:r>
          </w:p>
        </w:tc>
      </w:tr>
      <w:tr w14:paraId="559327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  <w:jc w:val="center"/>
        </w:trPr>
        <w:tc>
          <w:tcPr>
            <w:tcW w:w="13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F480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AA0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效益指标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1F5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社会效益</w:t>
            </w:r>
          </w:p>
          <w:p w14:paraId="24C2F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92D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6"/>
                <w:sz w:val="20"/>
                <w:szCs w:val="20"/>
              </w:rPr>
              <w:t>部门间协作满意度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00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-US" w:eastAsia="zh-CN"/>
              </w:rPr>
              <w:t>定性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118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Style w:val="30"/>
                <w:rFonts w:hint="default" w:ascii="Times New Roman" w:hAnsi="Times New Roman" w:eastAsia="方正仿宋_GBK" w:cs="Times New Roman"/>
                <w:sz w:val="20"/>
                <w:szCs w:val="20"/>
                <w:lang w:val="en-US" w:eastAsia="zh-CN" w:bidi="ar"/>
              </w:rPr>
              <w:t>优良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DF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F42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  <w:t>%</w:t>
            </w:r>
          </w:p>
        </w:tc>
      </w:tr>
      <w:tr w14:paraId="0A6A6D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D84A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581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565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经济效益</w:t>
            </w:r>
          </w:p>
          <w:p w14:paraId="172143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4C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  <w:t>行政成本节约率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B76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-US" w:eastAsia="zh-CN"/>
              </w:rPr>
              <w:t>定性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99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Style w:val="30"/>
                <w:rFonts w:hint="default" w:ascii="Times New Roman" w:hAnsi="Times New Roman" w:eastAsia="方正仿宋_GBK" w:cs="Times New Roman"/>
                <w:sz w:val="20"/>
                <w:szCs w:val="20"/>
                <w:lang w:val="en-US" w:eastAsia="zh-CN" w:bidi="ar"/>
              </w:rPr>
              <w:t>优良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2AE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82E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  <w:t>100%</w:t>
            </w:r>
          </w:p>
        </w:tc>
      </w:tr>
      <w:tr w14:paraId="3CD6B4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3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E9402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3C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21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B4B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  <w:t>服务对象满意度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5C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-US" w:eastAsia="zh-CN"/>
              </w:rPr>
              <w:t>定性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1B0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val="en-US" w:eastAsia="zh-CN"/>
              </w:rPr>
              <w:t>满意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95F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A6B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  <w:t>95%</w:t>
            </w:r>
          </w:p>
        </w:tc>
      </w:tr>
    </w:tbl>
    <w:p w14:paraId="30B4878C"/>
    <w:sectPr>
      <w:headerReference r:id="rId3" w:type="default"/>
      <w:footerReference r:id="rId4" w:type="default"/>
      <w:pgSz w:w="11906" w:h="16838"/>
      <w:pgMar w:top="1361" w:right="1474" w:bottom="1247" w:left="1587" w:header="907" w:footer="1644" w:gutter="0"/>
      <w:pgNumType w:fmt="decimal"/>
      <w:cols w:space="0" w:num="1"/>
      <w:rtlGutter w:val="0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FA6F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EB9471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EB9471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4F3FA"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7B43EF"/>
    <w:multiLevelType w:val="singleLevel"/>
    <w:tmpl w:val="1D7B43EF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M0MzQxYTRlNjk4MDU3ODhkODNhNzlhZWNhNGRmZDIifQ=="/>
  </w:docVars>
  <w:rsids>
    <w:rsidRoot w:val="00EC0174"/>
    <w:rsid w:val="00006E4D"/>
    <w:rsid w:val="00021652"/>
    <w:rsid w:val="00030311"/>
    <w:rsid w:val="00030782"/>
    <w:rsid w:val="00030B66"/>
    <w:rsid w:val="0006102A"/>
    <w:rsid w:val="00065B0F"/>
    <w:rsid w:val="00065E7E"/>
    <w:rsid w:val="000820BB"/>
    <w:rsid w:val="0008241B"/>
    <w:rsid w:val="00092280"/>
    <w:rsid w:val="00097FAE"/>
    <w:rsid w:val="000A3233"/>
    <w:rsid w:val="000A3F8B"/>
    <w:rsid w:val="000A7CE3"/>
    <w:rsid w:val="000B04D6"/>
    <w:rsid w:val="000B15CE"/>
    <w:rsid w:val="000C40C6"/>
    <w:rsid w:val="000C79C1"/>
    <w:rsid w:val="000D208A"/>
    <w:rsid w:val="000E037E"/>
    <w:rsid w:val="000F659A"/>
    <w:rsid w:val="000F77B0"/>
    <w:rsid w:val="0010235D"/>
    <w:rsid w:val="00103A47"/>
    <w:rsid w:val="00106D4D"/>
    <w:rsid w:val="001119A2"/>
    <w:rsid w:val="001221D6"/>
    <w:rsid w:val="0012510A"/>
    <w:rsid w:val="00125F67"/>
    <w:rsid w:val="001261AE"/>
    <w:rsid w:val="001348A4"/>
    <w:rsid w:val="0014117C"/>
    <w:rsid w:val="00146FE8"/>
    <w:rsid w:val="0014767B"/>
    <w:rsid w:val="00147AED"/>
    <w:rsid w:val="00177AAF"/>
    <w:rsid w:val="00183850"/>
    <w:rsid w:val="00184D9F"/>
    <w:rsid w:val="001A4749"/>
    <w:rsid w:val="001A4842"/>
    <w:rsid w:val="001A5833"/>
    <w:rsid w:val="001C2158"/>
    <w:rsid w:val="001C51F2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323A3"/>
    <w:rsid w:val="00236EF7"/>
    <w:rsid w:val="0024058A"/>
    <w:rsid w:val="002410C0"/>
    <w:rsid w:val="00252894"/>
    <w:rsid w:val="00253FA6"/>
    <w:rsid w:val="00254728"/>
    <w:rsid w:val="002550E7"/>
    <w:rsid w:val="002558D4"/>
    <w:rsid w:val="002560E2"/>
    <w:rsid w:val="00264CFA"/>
    <w:rsid w:val="00270DD7"/>
    <w:rsid w:val="00276F4A"/>
    <w:rsid w:val="00280BFB"/>
    <w:rsid w:val="00280C88"/>
    <w:rsid w:val="002973A4"/>
    <w:rsid w:val="002A0195"/>
    <w:rsid w:val="002B5B34"/>
    <w:rsid w:val="002B6906"/>
    <w:rsid w:val="002B7215"/>
    <w:rsid w:val="002C0AFD"/>
    <w:rsid w:val="002C59D0"/>
    <w:rsid w:val="002D1A18"/>
    <w:rsid w:val="002D6C79"/>
    <w:rsid w:val="002E1104"/>
    <w:rsid w:val="002E3FDD"/>
    <w:rsid w:val="00300EF4"/>
    <w:rsid w:val="00301353"/>
    <w:rsid w:val="00305FF6"/>
    <w:rsid w:val="00307568"/>
    <w:rsid w:val="00311506"/>
    <w:rsid w:val="00316ADB"/>
    <w:rsid w:val="00317623"/>
    <w:rsid w:val="00335F67"/>
    <w:rsid w:val="003361E9"/>
    <w:rsid w:val="00350A65"/>
    <w:rsid w:val="00361C85"/>
    <w:rsid w:val="00371352"/>
    <w:rsid w:val="00376753"/>
    <w:rsid w:val="0038541D"/>
    <w:rsid w:val="00387818"/>
    <w:rsid w:val="00391A13"/>
    <w:rsid w:val="00391FD0"/>
    <w:rsid w:val="003A44FC"/>
    <w:rsid w:val="003B3299"/>
    <w:rsid w:val="003B6928"/>
    <w:rsid w:val="003D10A2"/>
    <w:rsid w:val="003D33B8"/>
    <w:rsid w:val="003D624D"/>
    <w:rsid w:val="003D719A"/>
    <w:rsid w:val="003F1D56"/>
    <w:rsid w:val="003F5EB7"/>
    <w:rsid w:val="003F7FE2"/>
    <w:rsid w:val="004004E7"/>
    <w:rsid w:val="00416E1A"/>
    <w:rsid w:val="00426A3F"/>
    <w:rsid w:val="004277D4"/>
    <w:rsid w:val="00461638"/>
    <w:rsid w:val="004706FA"/>
    <w:rsid w:val="00474D8D"/>
    <w:rsid w:val="00475CCD"/>
    <w:rsid w:val="00477266"/>
    <w:rsid w:val="004811BC"/>
    <w:rsid w:val="004838F2"/>
    <w:rsid w:val="00486492"/>
    <w:rsid w:val="00492CF6"/>
    <w:rsid w:val="004A4C9D"/>
    <w:rsid w:val="004C2078"/>
    <w:rsid w:val="004C228F"/>
    <w:rsid w:val="004E752F"/>
    <w:rsid w:val="004F1E37"/>
    <w:rsid w:val="00515198"/>
    <w:rsid w:val="00521C44"/>
    <w:rsid w:val="005274E1"/>
    <w:rsid w:val="00531DDF"/>
    <w:rsid w:val="00535FA6"/>
    <w:rsid w:val="00542AB7"/>
    <w:rsid w:val="0055358D"/>
    <w:rsid w:val="005540C8"/>
    <w:rsid w:val="00555809"/>
    <w:rsid w:val="00562165"/>
    <w:rsid w:val="005756AF"/>
    <w:rsid w:val="00575A4A"/>
    <w:rsid w:val="00591B6F"/>
    <w:rsid w:val="005A1DAF"/>
    <w:rsid w:val="005C17C8"/>
    <w:rsid w:val="005C2098"/>
    <w:rsid w:val="005C2E6C"/>
    <w:rsid w:val="005D0CCF"/>
    <w:rsid w:val="005D1C01"/>
    <w:rsid w:val="005E297D"/>
    <w:rsid w:val="005E3F12"/>
    <w:rsid w:val="005F627E"/>
    <w:rsid w:val="0061652E"/>
    <w:rsid w:val="006205E9"/>
    <w:rsid w:val="00622D0B"/>
    <w:rsid w:val="006270DA"/>
    <w:rsid w:val="00630B75"/>
    <w:rsid w:val="00634DFF"/>
    <w:rsid w:val="00635337"/>
    <w:rsid w:val="0064265B"/>
    <w:rsid w:val="0064519C"/>
    <w:rsid w:val="0065082E"/>
    <w:rsid w:val="006512D0"/>
    <w:rsid w:val="006560A3"/>
    <w:rsid w:val="00656301"/>
    <w:rsid w:val="006600C9"/>
    <w:rsid w:val="006701CC"/>
    <w:rsid w:val="00671F58"/>
    <w:rsid w:val="006762A4"/>
    <w:rsid w:val="006900E7"/>
    <w:rsid w:val="006A00A8"/>
    <w:rsid w:val="006A482D"/>
    <w:rsid w:val="006B11E0"/>
    <w:rsid w:val="006B386A"/>
    <w:rsid w:val="006B7CB4"/>
    <w:rsid w:val="006C24D3"/>
    <w:rsid w:val="006C7917"/>
    <w:rsid w:val="006E51AE"/>
    <w:rsid w:val="0070081F"/>
    <w:rsid w:val="007018F5"/>
    <w:rsid w:val="00710897"/>
    <w:rsid w:val="00712F45"/>
    <w:rsid w:val="00734305"/>
    <w:rsid w:val="007370E1"/>
    <w:rsid w:val="007732A1"/>
    <w:rsid w:val="00774C4A"/>
    <w:rsid w:val="00782BBB"/>
    <w:rsid w:val="007A0690"/>
    <w:rsid w:val="007A078F"/>
    <w:rsid w:val="007B34D4"/>
    <w:rsid w:val="007C0633"/>
    <w:rsid w:val="007D086C"/>
    <w:rsid w:val="007F1BE1"/>
    <w:rsid w:val="007F707F"/>
    <w:rsid w:val="007F794C"/>
    <w:rsid w:val="007F7AC9"/>
    <w:rsid w:val="00803B42"/>
    <w:rsid w:val="008073EF"/>
    <w:rsid w:val="0081095C"/>
    <w:rsid w:val="00810C41"/>
    <w:rsid w:val="008212FF"/>
    <w:rsid w:val="0082593B"/>
    <w:rsid w:val="00827537"/>
    <w:rsid w:val="008468EA"/>
    <w:rsid w:val="00867140"/>
    <w:rsid w:val="00881134"/>
    <w:rsid w:val="008904F0"/>
    <w:rsid w:val="008B2F27"/>
    <w:rsid w:val="008B4A72"/>
    <w:rsid w:val="008B585E"/>
    <w:rsid w:val="008E6C0C"/>
    <w:rsid w:val="008F1E63"/>
    <w:rsid w:val="008F3052"/>
    <w:rsid w:val="00901E19"/>
    <w:rsid w:val="009214F7"/>
    <w:rsid w:val="00921CD7"/>
    <w:rsid w:val="00940EB6"/>
    <w:rsid w:val="00944771"/>
    <w:rsid w:val="009601FC"/>
    <w:rsid w:val="00965426"/>
    <w:rsid w:val="0096654A"/>
    <w:rsid w:val="009711E4"/>
    <w:rsid w:val="00971572"/>
    <w:rsid w:val="00981E55"/>
    <w:rsid w:val="00986CEF"/>
    <w:rsid w:val="00987212"/>
    <w:rsid w:val="009A0E5F"/>
    <w:rsid w:val="009F1AF3"/>
    <w:rsid w:val="009F233E"/>
    <w:rsid w:val="00A024AB"/>
    <w:rsid w:val="00A050A5"/>
    <w:rsid w:val="00A05B8B"/>
    <w:rsid w:val="00A1372F"/>
    <w:rsid w:val="00A170EC"/>
    <w:rsid w:val="00A217B3"/>
    <w:rsid w:val="00A23D04"/>
    <w:rsid w:val="00A277D9"/>
    <w:rsid w:val="00A30CEB"/>
    <w:rsid w:val="00A31318"/>
    <w:rsid w:val="00A5432A"/>
    <w:rsid w:val="00A55F8A"/>
    <w:rsid w:val="00A9670E"/>
    <w:rsid w:val="00AA1423"/>
    <w:rsid w:val="00AB7996"/>
    <w:rsid w:val="00AC43C3"/>
    <w:rsid w:val="00AE2EAD"/>
    <w:rsid w:val="00AF77BE"/>
    <w:rsid w:val="00B11CEE"/>
    <w:rsid w:val="00B23428"/>
    <w:rsid w:val="00B264BF"/>
    <w:rsid w:val="00B3594D"/>
    <w:rsid w:val="00B42E74"/>
    <w:rsid w:val="00B46874"/>
    <w:rsid w:val="00B50E8F"/>
    <w:rsid w:val="00B51151"/>
    <w:rsid w:val="00B523E4"/>
    <w:rsid w:val="00B52B4F"/>
    <w:rsid w:val="00B6108C"/>
    <w:rsid w:val="00B649AD"/>
    <w:rsid w:val="00B64B9C"/>
    <w:rsid w:val="00B67A3E"/>
    <w:rsid w:val="00B735CC"/>
    <w:rsid w:val="00B82C95"/>
    <w:rsid w:val="00B83F87"/>
    <w:rsid w:val="00B84DFD"/>
    <w:rsid w:val="00BB4E38"/>
    <w:rsid w:val="00BC3879"/>
    <w:rsid w:val="00BD0E0D"/>
    <w:rsid w:val="00BD41BC"/>
    <w:rsid w:val="00BD55AD"/>
    <w:rsid w:val="00BE0305"/>
    <w:rsid w:val="00BF15F0"/>
    <w:rsid w:val="00BF7DF9"/>
    <w:rsid w:val="00C03559"/>
    <w:rsid w:val="00C05395"/>
    <w:rsid w:val="00C22AD7"/>
    <w:rsid w:val="00C272C1"/>
    <w:rsid w:val="00C32A68"/>
    <w:rsid w:val="00C34282"/>
    <w:rsid w:val="00C35350"/>
    <w:rsid w:val="00C3564B"/>
    <w:rsid w:val="00C53721"/>
    <w:rsid w:val="00C64D2E"/>
    <w:rsid w:val="00C70F97"/>
    <w:rsid w:val="00C7497C"/>
    <w:rsid w:val="00C757A2"/>
    <w:rsid w:val="00C75966"/>
    <w:rsid w:val="00C76577"/>
    <w:rsid w:val="00C80225"/>
    <w:rsid w:val="00C81349"/>
    <w:rsid w:val="00C93139"/>
    <w:rsid w:val="00CA08A0"/>
    <w:rsid w:val="00CA32D2"/>
    <w:rsid w:val="00CA4E07"/>
    <w:rsid w:val="00CA737D"/>
    <w:rsid w:val="00CB1EF5"/>
    <w:rsid w:val="00CC05D4"/>
    <w:rsid w:val="00CC7166"/>
    <w:rsid w:val="00CF5275"/>
    <w:rsid w:val="00CF6136"/>
    <w:rsid w:val="00D0023D"/>
    <w:rsid w:val="00D006C6"/>
    <w:rsid w:val="00D14A65"/>
    <w:rsid w:val="00D162B9"/>
    <w:rsid w:val="00D251E2"/>
    <w:rsid w:val="00D254F4"/>
    <w:rsid w:val="00D263A7"/>
    <w:rsid w:val="00D26B5D"/>
    <w:rsid w:val="00D33159"/>
    <w:rsid w:val="00D33A19"/>
    <w:rsid w:val="00D355B5"/>
    <w:rsid w:val="00D43DC3"/>
    <w:rsid w:val="00D51791"/>
    <w:rsid w:val="00D5281E"/>
    <w:rsid w:val="00D6531B"/>
    <w:rsid w:val="00D6612D"/>
    <w:rsid w:val="00D71AD9"/>
    <w:rsid w:val="00D73C02"/>
    <w:rsid w:val="00D872ED"/>
    <w:rsid w:val="00D913C6"/>
    <w:rsid w:val="00DA0236"/>
    <w:rsid w:val="00DA5D51"/>
    <w:rsid w:val="00DA5E29"/>
    <w:rsid w:val="00DA61CA"/>
    <w:rsid w:val="00DB66BB"/>
    <w:rsid w:val="00DB73AF"/>
    <w:rsid w:val="00DC2865"/>
    <w:rsid w:val="00DD0894"/>
    <w:rsid w:val="00DE1888"/>
    <w:rsid w:val="00DF1250"/>
    <w:rsid w:val="00DF6EF7"/>
    <w:rsid w:val="00E05454"/>
    <w:rsid w:val="00E074C3"/>
    <w:rsid w:val="00E23329"/>
    <w:rsid w:val="00E24D6D"/>
    <w:rsid w:val="00E341B2"/>
    <w:rsid w:val="00E42633"/>
    <w:rsid w:val="00E5699E"/>
    <w:rsid w:val="00E570E1"/>
    <w:rsid w:val="00E72773"/>
    <w:rsid w:val="00E76739"/>
    <w:rsid w:val="00E81946"/>
    <w:rsid w:val="00E82BB7"/>
    <w:rsid w:val="00E86D13"/>
    <w:rsid w:val="00E936C2"/>
    <w:rsid w:val="00E95346"/>
    <w:rsid w:val="00EA0CEF"/>
    <w:rsid w:val="00EA2E2A"/>
    <w:rsid w:val="00EA741A"/>
    <w:rsid w:val="00EB79D2"/>
    <w:rsid w:val="00EC0174"/>
    <w:rsid w:val="00ED3EEB"/>
    <w:rsid w:val="00ED5749"/>
    <w:rsid w:val="00ED5FA3"/>
    <w:rsid w:val="00ED68C4"/>
    <w:rsid w:val="00ED6A4E"/>
    <w:rsid w:val="00ED72EA"/>
    <w:rsid w:val="00EE3A4F"/>
    <w:rsid w:val="00EF10C3"/>
    <w:rsid w:val="00EF3BD2"/>
    <w:rsid w:val="00F16BCE"/>
    <w:rsid w:val="00F45DA1"/>
    <w:rsid w:val="00F5267B"/>
    <w:rsid w:val="00F53E8B"/>
    <w:rsid w:val="00F663FD"/>
    <w:rsid w:val="00F743B0"/>
    <w:rsid w:val="00F82409"/>
    <w:rsid w:val="00F8264F"/>
    <w:rsid w:val="00F833E9"/>
    <w:rsid w:val="00F84580"/>
    <w:rsid w:val="00F873DA"/>
    <w:rsid w:val="00F95982"/>
    <w:rsid w:val="00FA006C"/>
    <w:rsid w:val="00FA190E"/>
    <w:rsid w:val="00FA288B"/>
    <w:rsid w:val="00FA2997"/>
    <w:rsid w:val="00FA2C71"/>
    <w:rsid w:val="00FB2476"/>
    <w:rsid w:val="00FB3345"/>
    <w:rsid w:val="00FD0228"/>
    <w:rsid w:val="00FD3BB7"/>
    <w:rsid w:val="00FE0D93"/>
    <w:rsid w:val="00FF2572"/>
    <w:rsid w:val="00FF32AD"/>
    <w:rsid w:val="0DC31556"/>
    <w:rsid w:val="11D70C03"/>
    <w:rsid w:val="1A3D6143"/>
    <w:rsid w:val="1C013801"/>
    <w:rsid w:val="1CBF7051"/>
    <w:rsid w:val="1DFD8D3B"/>
    <w:rsid w:val="1EDB462A"/>
    <w:rsid w:val="1FB79DC9"/>
    <w:rsid w:val="1FBFC3F2"/>
    <w:rsid w:val="1FFFE033"/>
    <w:rsid w:val="25005360"/>
    <w:rsid w:val="27F352A6"/>
    <w:rsid w:val="29560A0A"/>
    <w:rsid w:val="299AF703"/>
    <w:rsid w:val="2D527252"/>
    <w:rsid w:val="2DDC1740"/>
    <w:rsid w:val="2EAE55F2"/>
    <w:rsid w:val="2EDF4302"/>
    <w:rsid w:val="2EFE1A04"/>
    <w:rsid w:val="2FFF3854"/>
    <w:rsid w:val="35BBF80F"/>
    <w:rsid w:val="377FB6E9"/>
    <w:rsid w:val="38FF6A25"/>
    <w:rsid w:val="3B0B3937"/>
    <w:rsid w:val="3B736F08"/>
    <w:rsid w:val="3BE3D531"/>
    <w:rsid w:val="3D431A40"/>
    <w:rsid w:val="3EFF42CA"/>
    <w:rsid w:val="3F6FCA38"/>
    <w:rsid w:val="3F7B8B2A"/>
    <w:rsid w:val="3FD5AF3D"/>
    <w:rsid w:val="3FF17D07"/>
    <w:rsid w:val="3FFED8BE"/>
    <w:rsid w:val="3FFF43BB"/>
    <w:rsid w:val="3FFFFC14"/>
    <w:rsid w:val="433DCF8E"/>
    <w:rsid w:val="45FF973D"/>
    <w:rsid w:val="47550EBA"/>
    <w:rsid w:val="493E12E4"/>
    <w:rsid w:val="4BF7E09D"/>
    <w:rsid w:val="4F6DE261"/>
    <w:rsid w:val="4FBA4CE8"/>
    <w:rsid w:val="53BB74FC"/>
    <w:rsid w:val="55FDDF92"/>
    <w:rsid w:val="55FFBC03"/>
    <w:rsid w:val="56CDA72E"/>
    <w:rsid w:val="576F5916"/>
    <w:rsid w:val="577FDAE2"/>
    <w:rsid w:val="57FBE2C7"/>
    <w:rsid w:val="59BDB193"/>
    <w:rsid w:val="5A9D5E89"/>
    <w:rsid w:val="5B335734"/>
    <w:rsid w:val="5B7F322F"/>
    <w:rsid w:val="5BCAB023"/>
    <w:rsid w:val="5BEACB58"/>
    <w:rsid w:val="5D8649C7"/>
    <w:rsid w:val="5DDA9B94"/>
    <w:rsid w:val="5EAB810D"/>
    <w:rsid w:val="5EFA9846"/>
    <w:rsid w:val="5EFF9DA6"/>
    <w:rsid w:val="5F7751B9"/>
    <w:rsid w:val="5F9F7232"/>
    <w:rsid w:val="5F9F9588"/>
    <w:rsid w:val="5FBD32D2"/>
    <w:rsid w:val="5FD450B0"/>
    <w:rsid w:val="5FEF60CD"/>
    <w:rsid w:val="5FFB203D"/>
    <w:rsid w:val="5FFB8CF9"/>
    <w:rsid w:val="63965380"/>
    <w:rsid w:val="63DBAF21"/>
    <w:rsid w:val="6636451A"/>
    <w:rsid w:val="67DE80AA"/>
    <w:rsid w:val="697E3B47"/>
    <w:rsid w:val="69BF132E"/>
    <w:rsid w:val="6B7F84D8"/>
    <w:rsid w:val="6BFEE5F3"/>
    <w:rsid w:val="6CAFF34E"/>
    <w:rsid w:val="6CFFCF4F"/>
    <w:rsid w:val="6DFFF8B6"/>
    <w:rsid w:val="6E7FBB77"/>
    <w:rsid w:val="6E9FE641"/>
    <w:rsid w:val="6EEDE807"/>
    <w:rsid w:val="6EEE4BE4"/>
    <w:rsid w:val="6EF65E9C"/>
    <w:rsid w:val="6F3D9197"/>
    <w:rsid w:val="6F6F75B6"/>
    <w:rsid w:val="6FAB3EC4"/>
    <w:rsid w:val="6FB6AF41"/>
    <w:rsid w:val="6FD52DA7"/>
    <w:rsid w:val="6FD894C8"/>
    <w:rsid w:val="6FE36A9E"/>
    <w:rsid w:val="6FEFB2D1"/>
    <w:rsid w:val="6FFF97E6"/>
    <w:rsid w:val="71397E03"/>
    <w:rsid w:val="71FB5B08"/>
    <w:rsid w:val="72B76CC6"/>
    <w:rsid w:val="73EF48FC"/>
    <w:rsid w:val="73FB87D9"/>
    <w:rsid w:val="75EF0FBA"/>
    <w:rsid w:val="7607C293"/>
    <w:rsid w:val="76793C4E"/>
    <w:rsid w:val="767B0EE7"/>
    <w:rsid w:val="76DF783A"/>
    <w:rsid w:val="76DFA4E8"/>
    <w:rsid w:val="778720BD"/>
    <w:rsid w:val="77A7D615"/>
    <w:rsid w:val="77B79F96"/>
    <w:rsid w:val="77BE9D16"/>
    <w:rsid w:val="77FF366A"/>
    <w:rsid w:val="77FF8C96"/>
    <w:rsid w:val="77FFA8F9"/>
    <w:rsid w:val="787B75A9"/>
    <w:rsid w:val="7976604B"/>
    <w:rsid w:val="79F3BC78"/>
    <w:rsid w:val="7A5B6CAA"/>
    <w:rsid w:val="7A9314AC"/>
    <w:rsid w:val="7B4F6850"/>
    <w:rsid w:val="7BABD5C4"/>
    <w:rsid w:val="7BB12055"/>
    <w:rsid w:val="7BBFADBA"/>
    <w:rsid w:val="7BF7F9C6"/>
    <w:rsid w:val="7BFF492D"/>
    <w:rsid w:val="7C631402"/>
    <w:rsid w:val="7C978C63"/>
    <w:rsid w:val="7CA35AD0"/>
    <w:rsid w:val="7CDEE889"/>
    <w:rsid w:val="7CDF8BC3"/>
    <w:rsid w:val="7CEB72A5"/>
    <w:rsid w:val="7D18750B"/>
    <w:rsid w:val="7DDFDC39"/>
    <w:rsid w:val="7DF7E604"/>
    <w:rsid w:val="7DFDEECD"/>
    <w:rsid w:val="7E140770"/>
    <w:rsid w:val="7E5D92FB"/>
    <w:rsid w:val="7E635AE7"/>
    <w:rsid w:val="7EF51D64"/>
    <w:rsid w:val="7EFFF488"/>
    <w:rsid w:val="7F574612"/>
    <w:rsid w:val="7F7F4920"/>
    <w:rsid w:val="7FB7C299"/>
    <w:rsid w:val="7FBFFB92"/>
    <w:rsid w:val="7FD76ACB"/>
    <w:rsid w:val="7FD89DA2"/>
    <w:rsid w:val="7FDBD805"/>
    <w:rsid w:val="7FDEC14D"/>
    <w:rsid w:val="7FDF8B76"/>
    <w:rsid w:val="7FDFE693"/>
    <w:rsid w:val="7FEFB5DD"/>
    <w:rsid w:val="7FEFBBD9"/>
    <w:rsid w:val="7FFD6A57"/>
    <w:rsid w:val="7FFDA7EC"/>
    <w:rsid w:val="7FFDEA1E"/>
    <w:rsid w:val="7FFEC1F6"/>
    <w:rsid w:val="7FFF0917"/>
    <w:rsid w:val="7FFF2F52"/>
    <w:rsid w:val="837B654D"/>
    <w:rsid w:val="8F7B4EC8"/>
    <w:rsid w:val="8FBD4480"/>
    <w:rsid w:val="8FF7AE96"/>
    <w:rsid w:val="955F5184"/>
    <w:rsid w:val="9CDFFBBE"/>
    <w:rsid w:val="9F6311D7"/>
    <w:rsid w:val="9F754AA8"/>
    <w:rsid w:val="9FF54399"/>
    <w:rsid w:val="A46D76C1"/>
    <w:rsid w:val="A7FF43C2"/>
    <w:rsid w:val="ABF66286"/>
    <w:rsid w:val="AD9E3F04"/>
    <w:rsid w:val="ADA70464"/>
    <w:rsid w:val="AFE97CD3"/>
    <w:rsid w:val="B1BF5C63"/>
    <w:rsid w:val="B1FF3A18"/>
    <w:rsid w:val="B3CDF284"/>
    <w:rsid w:val="B3E8107B"/>
    <w:rsid w:val="B579A608"/>
    <w:rsid w:val="B5F66F24"/>
    <w:rsid w:val="B7F5200A"/>
    <w:rsid w:val="BABDA1AA"/>
    <w:rsid w:val="BB1B4BF1"/>
    <w:rsid w:val="BBE5FE68"/>
    <w:rsid w:val="BBFEB9C1"/>
    <w:rsid w:val="BDF7406A"/>
    <w:rsid w:val="BE6FD8DB"/>
    <w:rsid w:val="BEEF57C2"/>
    <w:rsid w:val="BF6CD6FF"/>
    <w:rsid w:val="BF6D5596"/>
    <w:rsid w:val="BFBD2815"/>
    <w:rsid w:val="BFBEBB2C"/>
    <w:rsid w:val="BFC68935"/>
    <w:rsid w:val="BFDD0F1D"/>
    <w:rsid w:val="BFDDD096"/>
    <w:rsid w:val="BFFF6FBE"/>
    <w:rsid w:val="BFFFEA69"/>
    <w:rsid w:val="C5B3F496"/>
    <w:rsid w:val="C96F3E49"/>
    <w:rsid w:val="CBBF14F3"/>
    <w:rsid w:val="CBE5DCF2"/>
    <w:rsid w:val="CCFCC735"/>
    <w:rsid w:val="CEDBA409"/>
    <w:rsid w:val="CEEB8A74"/>
    <w:rsid w:val="D37FB642"/>
    <w:rsid w:val="D7F99798"/>
    <w:rsid w:val="D7FF400C"/>
    <w:rsid w:val="D9DB2628"/>
    <w:rsid w:val="DA5FD4AD"/>
    <w:rsid w:val="DBED1CD4"/>
    <w:rsid w:val="DBFBB328"/>
    <w:rsid w:val="DDD7453A"/>
    <w:rsid w:val="DE3E1FD7"/>
    <w:rsid w:val="DEBFCF8E"/>
    <w:rsid w:val="DEFCC5DB"/>
    <w:rsid w:val="DF681058"/>
    <w:rsid w:val="DFBE1B79"/>
    <w:rsid w:val="DFCF1FEC"/>
    <w:rsid w:val="DFE75A3D"/>
    <w:rsid w:val="DFED2117"/>
    <w:rsid w:val="DFEF594B"/>
    <w:rsid w:val="DFF3F960"/>
    <w:rsid w:val="DFFE0D61"/>
    <w:rsid w:val="DFFEF555"/>
    <w:rsid w:val="E35C4B3C"/>
    <w:rsid w:val="E3A781CA"/>
    <w:rsid w:val="E5DFAB50"/>
    <w:rsid w:val="E6FC647F"/>
    <w:rsid w:val="EAE6D6D4"/>
    <w:rsid w:val="EBFBC8F1"/>
    <w:rsid w:val="EBFDF757"/>
    <w:rsid w:val="ED758B5D"/>
    <w:rsid w:val="ED76A08D"/>
    <w:rsid w:val="EDBDD81F"/>
    <w:rsid w:val="EDFDB542"/>
    <w:rsid w:val="EF0FCF96"/>
    <w:rsid w:val="EF95E20F"/>
    <w:rsid w:val="EFAF7DFF"/>
    <w:rsid w:val="EFAFB283"/>
    <w:rsid w:val="EFBDA38B"/>
    <w:rsid w:val="EFEE9A76"/>
    <w:rsid w:val="F1BF6FBC"/>
    <w:rsid w:val="F1F9A9B5"/>
    <w:rsid w:val="F2DF7CAD"/>
    <w:rsid w:val="F3779FC2"/>
    <w:rsid w:val="F3D5C239"/>
    <w:rsid w:val="F3F37DF4"/>
    <w:rsid w:val="F3F96DE6"/>
    <w:rsid w:val="F3FBC54A"/>
    <w:rsid w:val="F47BB68A"/>
    <w:rsid w:val="F47F523E"/>
    <w:rsid w:val="F69FD6B0"/>
    <w:rsid w:val="F7E7F921"/>
    <w:rsid w:val="F7F65629"/>
    <w:rsid w:val="F7F7AC6A"/>
    <w:rsid w:val="F7FD93B9"/>
    <w:rsid w:val="F8D9A400"/>
    <w:rsid w:val="FAAD2C48"/>
    <w:rsid w:val="FABF64A5"/>
    <w:rsid w:val="FABF7411"/>
    <w:rsid w:val="FB4420BD"/>
    <w:rsid w:val="FBA53981"/>
    <w:rsid w:val="FBE4457E"/>
    <w:rsid w:val="FBFC558A"/>
    <w:rsid w:val="FBFF71AC"/>
    <w:rsid w:val="FBFFEA2B"/>
    <w:rsid w:val="FCCB27AA"/>
    <w:rsid w:val="FCFF8F4B"/>
    <w:rsid w:val="FD9595AD"/>
    <w:rsid w:val="FDBB0DE2"/>
    <w:rsid w:val="FDDF4F05"/>
    <w:rsid w:val="FDF9DD9A"/>
    <w:rsid w:val="FDFF2821"/>
    <w:rsid w:val="FDFFA696"/>
    <w:rsid w:val="FE5F9F8B"/>
    <w:rsid w:val="FE7FB02B"/>
    <w:rsid w:val="FEBD0232"/>
    <w:rsid w:val="FED5A77F"/>
    <w:rsid w:val="FEDFD193"/>
    <w:rsid w:val="FEE7097E"/>
    <w:rsid w:val="FEEB6037"/>
    <w:rsid w:val="FEEF8230"/>
    <w:rsid w:val="FEF1F1BE"/>
    <w:rsid w:val="FEF99316"/>
    <w:rsid w:val="FEFB20CB"/>
    <w:rsid w:val="FEFD95B3"/>
    <w:rsid w:val="FEFE4E93"/>
    <w:rsid w:val="FEFFA483"/>
    <w:rsid w:val="FF29B32D"/>
    <w:rsid w:val="FF2E6944"/>
    <w:rsid w:val="FF5F9D52"/>
    <w:rsid w:val="FF7A0B6A"/>
    <w:rsid w:val="FF7B6DC2"/>
    <w:rsid w:val="FF7FFF75"/>
    <w:rsid w:val="FF921F59"/>
    <w:rsid w:val="FFB75E44"/>
    <w:rsid w:val="FFBB1E09"/>
    <w:rsid w:val="FFBB6A0C"/>
    <w:rsid w:val="FFBD894B"/>
    <w:rsid w:val="FFBF33B3"/>
    <w:rsid w:val="FFD09362"/>
    <w:rsid w:val="FFD1DA08"/>
    <w:rsid w:val="FFD7DEDD"/>
    <w:rsid w:val="FFDE369F"/>
    <w:rsid w:val="FFEF48DE"/>
    <w:rsid w:val="FFEF98C9"/>
    <w:rsid w:val="FFEFCE62"/>
    <w:rsid w:val="FFF31273"/>
    <w:rsid w:val="FFF973B0"/>
    <w:rsid w:val="FFFB4F05"/>
    <w:rsid w:val="FFFEC8F5"/>
    <w:rsid w:val="FFFEF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next w:val="3"/>
    <w:qFormat/>
    <w:uiPriority w:val="0"/>
    <w:pPr>
      <w:widowControl w:val="0"/>
      <w:spacing w:after="120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4">
    <w:name w:val="Normal Indent"/>
    <w:basedOn w:val="1"/>
    <w:next w:val="1"/>
    <w:qFormat/>
    <w:uiPriority w:val="0"/>
    <w:pPr>
      <w:spacing w:before="156" w:beforeLines="50" w:line="360" w:lineRule="auto"/>
      <w:ind w:firstLine="480" w:firstLineChars="200"/>
    </w:pPr>
    <w:rPr>
      <w:rFonts w:eastAsia="仿宋"/>
      <w:sz w:val="24"/>
      <w:szCs w:val="23"/>
      <w:lang w:eastAsia="ar-SA"/>
    </w:rPr>
  </w:style>
  <w:style w:type="paragraph" w:styleId="5">
    <w:name w:val="Document Map"/>
    <w:basedOn w:val="1"/>
    <w:link w:val="22"/>
    <w:qFormat/>
    <w:uiPriority w:val="0"/>
    <w:rPr>
      <w:rFonts w:ascii="宋体" w:eastAsia="宋体"/>
      <w:sz w:val="18"/>
      <w:szCs w:val="18"/>
    </w:rPr>
  </w:style>
  <w:style w:type="paragraph" w:styleId="6">
    <w:name w:val="Body Text"/>
    <w:basedOn w:val="1"/>
    <w:next w:val="1"/>
    <w:qFormat/>
    <w:uiPriority w:val="0"/>
    <w:pPr>
      <w:spacing w:after="120"/>
    </w:pPr>
  </w:style>
  <w:style w:type="paragraph" w:styleId="7">
    <w:name w:val="Body Text Indent"/>
    <w:basedOn w:val="1"/>
    <w:next w:val="8"/>
    <w:qFormat/>
    <w:uiPriority w:val="0"/>
    <w:pPr>
      <w:spacing w:after="120"/>
      <w:ind w:left="200" w:leftChars="200"/>
    </w:pPr>
    <w:rPr>
      <w:rFonts w:ascii="仿宋_GB2312"/>
      <w:szCs w:val="32"/>
    </w:rPr>
  </w:style>
  <w:style w:type="paragraph" w:styleId="8">
    <w:name w:val="Normal (Web)"/>
    <w:basedOn w:val="1"/>
    <w:next w:val="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3">
    <w:name w:val="Body Text First Indent"/>
    <w:basedOn w:val="6"/>
    <w:next w:val="14"/>
    <w:qFormat/>
    <w:uiPriority w:val="0"/>
    <w:pPr>
      <w:ind w:firstLine="420" w:firstLineChars="100"/>
    </w:pPr>
    <w:rPr>
      <w:rFonts w:eastAsia="仿宋_GB2312"/>
    </w:rPr>
  </w:style>
  <w:style w:type="paragraph" w:styleId="14">
    <w:name w:val="Body Text First Indent 2"/>
    <w:basedOn w:val="7"/>
    <w:unhideWhenUsed/>
    <w:qFormat/>
    <w:uiPriority w:val="99"/>
    <w:pPr>
      <w:ind w:firstLine="420" w:firstLine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page number"/>
    <w:basedOn w:val="17"/>
    <w:qFormat/>
    <w:uiPriority w:val="0"/>
  </w:style>
  <w:style w:type="paragraph" w:customStyle="1" w:styleId="19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customStyle="1" w:styleId="20">
    <w:name w:val="四号正文"/>
    <w:basedOn w:val="1"/>
    <w:link w:val="21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character" w:customStyle="1" w:styleId="21">
    <w:name w:val="四号正文 Char"/>
    <w:basedOn w:val="17"/>
    <w:link w:val="20"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22">
    <w:name w:val="文档结构图 Char"/>
    <w:basedOn w:val="17"/>
    <w:link w:val="5"/>
    <w:qFormat/>
    <w:uiPriority w:val="0"/>
    <w:rPr>
      <w:rFonts w:ascii="宋体"/>
      <w:kern w:val="2"/>
      <w:sz w:val="18"/>
      <w:szCs w:val="18"/>
    </w:rPr>
  </w:style>
  <w:style w:type="paragraph" w:customStyle="1" w:styleId="23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4">
    <w:name w:val="页脚 Char"/>
    <w:basedOn w:val="17"/>
    <w:link w:val="3"/>
    <w:qFormat/>
    <w:uiPriority w:val="99"/>
    <w:rPr>
      <w:kern w:val="2"/>
      <w:sz w:val="18"/>
      <w:szCs w:val="18"/>
    </w:rPr>
  </w:style>
  <w:style w:type="character" w:customStyle="1" w:styleId="25">
    <w:name w:val="font3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">
    <w:name w:val="font51"/>
    <w:basedOn w:val="17"/>
    <w:qFormat/>
    <w:uiPriority w:val="0"/>
    <w:rPr>
      <w:rFonts w:hint="default" w:ascii="Wingdings 2" w:hAnsi="Wingdings 2" w:eastAsia="Wingdings 2" w:cs="Wingdings 2"/>
      <w:color w:val="000000"/>
      <w:sz w:val="18"/>
      <w:szCs w:val="18"/>
      <w:u w:val="none"/>
    </w:rPr>
  </w:style>
  <w:style w:type="character" w:customStyle="1" w:styleId="27">
    <w:name w:val="font01"/>
    <w:basedOn w:val="17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28">
    <w:name w:val="font41"/>
    <w:basedOn w:val="17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paragraph" w:customStyle="1" w:styleId="29">
    <w:name w:val="默认"/>
    <w:basedOn w:val="1"/>
    <w:next w:val="1"/>
    <w:qFormat/>
    <w:uiPriority w:val="0"/>
    <w:pPr>
      <w:widowControl/>
    </w:pPr>
    <w:rPr>
      <w:rFonts w:ascii="Helvetica Neue" w:hAnsi="Helvetica Neue" w:cs="Arial Unicode MS"/>
      <w:color w:val="000000"/>
      <w:sz w:val="22"/>
    </w:rPr>
  </w:style>
  <w:style w:type="character" w:customStyle="1" w:styleId="30">
    <w:name w:val="font21"/>
    <w:basedOn w:val="17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PSZX</Company>
  <Pages>10</Pages>
  <Words>2119</Words>
  <Characters>2210</Characters>
  <Lines>18</Lines>
  <Paragraphs>5</Paragraphs>
  <TotalTime>26</TotalTime>
  <ScaleCrop>false</ScaleCrop>
  <LinksUpToDate>false</LinksUpToDate>
  <CharactersWithSpaces>2234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2025-03-29T16:07:00Z</dcterms:created>
  <dc:creator>陈萍</dc:creator>
  <cp:lastModifiedBy>倪雪婷</cp:lastModifiedBy>
  <cp:lastPrinted>2026-06-12T01:25:00Z</cp:lastPrinted>
  <dcterms:modified xsi:type="dcterms:W3CDTF">2026-06-11T16:25:28Z</dcterms:modified>
  <dc:title>区域性就业培训基地建设项目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9026E84A793D6F4EC719296ABAA65F06_43</vt:lpwstr>
  </property>
  <property fmtid="{D5CDD505-2E9C-101B-9397-08002B2CF9AE}" pid="4" name="KSOTemplateDocerSaveRecord">
    <vt:lpwstr>eyJoZGlkIjoiMTIxYWI2ZjcyNTlmMWVhMmY4YjU3MGFjYWRhMmJjMGYiLCJ1c2VySWQiOiIxNjM2NzcxNDUxIn0=</vt:lpwstr>
  </property>
</Properties>
</file>