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FBEF0">
      <w:pPr>
        <w:spacing w:before="94" w:line="216" w:lineRule="auto"/>
        <w:jc w:val="center"/>
        <w:rPr>
          <w:rFonts w:ascii="Times New Roman" w:hAnsi="Times New Roman" w:eastAsia="宋体" w:cs="Times New Roman"/>
          <w:b/>
          <w:bCs/>
          <w:sz w:val="47"/>
          <w:szCs w:val="47"/>
        </w:rPr>
      </w:pPr>
      <w:bookmarkStart w:id="0" w:name="_GoBack"/>
      <w:bookmarkEnd w:id="0"/>
      <w:r>
        <w:rPr>
          <w:rFonts w:ascii="Times New Roman" w:hAnsi="Times New Roman" w:eastAsia="宋体" w:cs="Times New Roman"/>
          <w:b/>
          <w:bCs/>
          <w:spacing w:val="19"/>
          <w:sz w:val="44"/>
          <w:szCs w:val="44"/>
        </w:rPr>
        <w:t>攀枝花市西区</w:t>
      </w:r>
      <w:r>
        <w:rPr>
          <w:rFonts w:hint="eastAsia" w:ascii="Times New Roman" w:hAnsi="Times New Roman" w:eastAsia="宋体" w:cs="Times New Roman"/>
          <w:b/>
          <w:bCs/>
          <w:spacing w:val="19"/>
          <w:sz w:val="44"/>
          <w:szCs w:val="44"/>
          <w:lang w:eastAsia="zh-CN"/>
        </w:rPr>
        <w:t>教育和体育</w:t>
      </w:r>
      <w:r>
        <w:rPr>
          <w:rFonts w:ascii="Times New Roman" w:hAnsi="Times New Roman" w:eastAsia="宋体" w:cs="Times New Roman"/>
          <w:b/>
          <w:bCs/>
          <w:spacing w:val="19"/>
          <w:sz w:val="44"/>
          <w:szCs w:val="44"/>
        </w:rPr>
        <w:t>局主动公开事项目录</w:t>
      </w:r>
    </w:p>
    <w:p w14:paraId="4A511153">
      <w:pPr>
        <w:spacing w:line="60" w:lineRule="exact"/>
        <w:rPr>
          <w:b/>
          <w:bCs/>
        </w:rPr>
      </w:pPr>
    </w:p>
    <w:tbl>
      <w:tblPr>
        <w:tblStyle w:val="6"/>
        <w:tblW w:w="145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420"/>
        <w:gridCol w:w="738"/>
        <w:gridCol w:w="2496"/>
        <w:gridCol w:w="685"/>
        <w:gridCol w:w="236"/>
        <w:gridCol w:w="2945"/>
        <w:gridCol w:w="1467"/>
        <w:gridCol w:w="1338"/>
        <w:gridCol w:w="1587"/>
        <w:gridCol w:w="1025"/>
        <w:gridCol w:w="998"/>
      </w:tblGrid>
      <w:tr w14:paraId="5FF1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655" w:type="dxa"/>
            <w:tcBorders>
              <w:tl2br w:val="nil"/>
              <w:tr2bl w:val="nil"/>
            </w:tcBorders>
          </w:tcPr>
          <w:p w14:paraId="6354DBD2">
            <w:pPr>
              <w:spacing w:before="250" w:line="218" w:lineRule="auto"/>
              <w:ind w:left="127"/>
              <w:rPr>
                <w:rFonts w:ascii="宋体" w:hAnsi="宋体" w:eastAsia="宋体" w:cs="宋体"/>
                <w:sz w:val="19"/>
                <w:szCs w:val="19"/>
              </w:rPr>
            </w:pPr>
            <w:r>
              <w:rPr>
                <w:rFonts w:ascii="宋体" w:hAnsi="宋体" w:eastAsia="宋体" w:cs="宋体"/>
                <w:b/>
                <w:bCs/>
                <w:spacing w:val="-4"/>
                <w:sz w:val="19"/>
                <w:szCs w:val="19"/>
              </w:rPr>
              <w:t>类别</w:t>
            </w:r>
          </w:p>
        </w:tc>
        <w:tc>
          <w:tcPr>
            <w:tcW w:w="1158" w:type="dxa"/>
            <w:gridSpan w:val="2"/>
            <w:tcBorders>
              <w:tl2br w:val="nil"/>
              <w:tr2bl w:val="nil"/>
            </w:tcBorders>
          </w:tcPr>
          <w:p w14:paraId="62E36676">
            <w:pPr>
              <w:spacing w:before="250" w:line="221" w:lineRule="auto"/>
              <w:ind w:left="182"/>
              <w:rPr>
                <w:rFonts w:ascii="宋体" w:hAnsi="宋体" w:eastAsia="宋体" w:cs="宋体"/>
                <w:sz w:val="19"/>
                <w:szCs w:val="19"/>
              </w:rPr>
            </w:pPr>
            <w:r>
              <w:rPr>
                <w:rFonts w:ascii="宋体" w:hAnsi="宋体" w:eastAsia="宋体" w:cs="宋体"/>
                <w:b/>
                <w:bCs/>
                <w:spacing w:val="-5"/>
                <w:sz w:val="19"/>
                <w:szCs w:val="19"/>
              </w:rPr>
              <w:t>公开事项</w:t>
            </w:r>
          </w:p>
        </w:tc>
        <w:tc>
          <w:tcPr>
            <w:tcW w:w="2496" w:type="dxa"/>
            <w:tcBorders>
              <w:tl2br w:val="nil"/>
              <w:tr2bl w:val="nil"/>
            </w:tcBorders>
          </w:tcPr>
          <w:p w14:paraId="10FF4C02">
            <w:pPr>
              <w:spacing w:before="250" w:line="218" w:lineRule="auto"/>
              <w:ind w:left="593" w:firstLine="181" w:firstLineChars="100"/>
              <w:rPr>
                <w:rFonts w:ascii="宋体" w:hAnsi="宋体" w:eastAsia="宋体" w:cs="宋体"/>
                <w:sz w:val="19"/>
                <w:szCs w:val="19"/>
              </w:rPr>
            </w:pPr>
            <w:r>
              <w:rPr>
                <w:rFonts w:ascii="宋体" w:hAnsi="宋体" w:eastAsia="宋体" w:cs="宋体"/>
                <w:b/>
                <w:bCs/>
                <w:spacing w:val="-5"/>
                <w:sz w:val="19"/>
                <w:szCs w:val="19"/>
              </w:rPr>
              <w:t>公开内容</w:t>
            </w:r>
          </w:p>
        </w:tc>
        <w:tc>
          <w:tcPr>
            <w:tcW w:w="3866" w:type="dxa"/>
            <w:gridSpan w:val="3"/>
            <w:tcBorders>
              <w:tl2br w:val="nil"/>
              <w:tr2bl w:val="nil"/>
            </w:tcBorders>
          </w:tcPr>
          <w:p w14:paraId="3D75C85A">
            <w:pPr>
              <w:spacing w:before="248" w:line="218" w:lineRule="auto"/>
              <w:ind w:left="1684"/>
              <w:rPr>
                <w:rFonts w:ascii="宋体" w:hAnsi="宋体" w:eastAsia="宋体" w:cs="宋体"/>
                <w:sz w:val="19"/>
                <w:szCs w:val="19"/>
              </w:rPr>
            </w:pPr>
            <w:r>
              <w:rPr>
                <w:rFonts w:ascii="宋体" w:hAnsi="宋体" w:eastAsia="宋体" w:cs="宋体"/>
                <w:b/>
                <w:bCs/>
                <w:spacing w:val="-5"/>
                <w:sz w:val="19"/>
                <w:szCs w:val="19"/>
              </w:rPr>
              <w:t>公开依据</w:t>
            </w:r>
          </w:p>
        </w:tc>
        <w:tc>
          <w:tcPr>
            <w:tcW w:w="1467" w:type="dxa"/>
            <w:tcBorders>
              <w:tl2br w:val="nil"/>
              <w:tr2bl w:val="nil"/>
            </w:tcBorders>
          </w:tcPr>
          <w:p w14:paraId="3FC4C7F0">
            <w:pPr>
              <w:spacing w:before="251" w:line="221" w:lineRule="auto"/>
              <w:ind w:left="427"/>
              <w:rPr>
                <w:rFonts w:ascii="宋体" w:hAnsi="宋体" w:eastAsia="宋体" w:cs="宋体"/>
                <w:sz w:val="19"/>
                <w:szCs w:val="19"/>
              </w:rPr>
            </w:pPr>
            <w:r>
              <w:rPr>
                <w:rFonts w:ascii="宋体" w:hAnsi="宋体" w:eastAsia="宋体" w:cs="宋体"/>
                <w:b/>
                <w:bCs/>
                <w:spacing w:val="-5"/>
                <w:sz w:val="19"/>
                <w:szCs w:val="19"/>
              </w:rPr>
              <w:t>公开主体</w:t>
            </w:r>
          </w:p>
        </w:tc>
        <w:tc>
          <w:tcPr>
            <w:tcW w:w="1338" w:type="dxa"/>
            <w:tcBorders>
              <w:tl2br w:val="nil"/>
              <w:tr2bl w:val="nil"/>
            </w:tcBorders>
          </w:tcPr>
          <w:p w14:paraId="515A6325">
            <w:pPr>
              <w:spacing w:before="250" w:line="218" w:lineRule="auto"/>
              <w:jc w:val="center"/>
              <w:rPr>
                <w:rFonts w:ascii="宋体" w:hAnsi="宋体" w:eastAsia="宋体" w:cs="宋体"/>
                <w:sz w:val="19"/>
                <w:szCs w:val="19"/>
              </w:rPr>
            </w:pPr>
            <w:r>
              <w:rPr>
                <w:rFonts w:ascii="宋体" w:hAnsi="宋体" w:eastAsia="宋体" w:cs="宋体"/>
                <w:b/>
                <w:bCs/>
                <w:spacing w:val="-5"/>
                <w:sz w:val="19"/>
                <w:szCs w:val="19"/>
              </w:rPr>
              <w:t>公开渠道</w:t>
            </w:r>
          </w:p>
        </w:tc>
        <w:tc>
          <w:tcPr>
            <w:tcW w:w="1587" w:type="dxa"/>
            <w:tcBorders>
              <w:tl2br w:val="nil"/>
              <w:tr2bl w:val="nil"/>
            </w:tcBorders>
          </w:tcPr>
          <w:p w14:paraId="539A12C2">
            <w:pPr>
              <w:spacing w:before="250" w:line="221" w:lineRule="auto"/>
              <w:ind w:left="250" w:firstLine="181" w:firstLineChars="100"/>
              <w:rPr>
                <w:rFonts w:ascii="宋体" w:hAnsi="宋体" w:eastAsia="宋体" w:cs="宋体"/>
                <w:sz w:val="19"/>
                <w:szCs w:val="19"/>
              </w:rPr>
            </w:pPr>
            <w:r>
              <w:rPr>
                <w:rFonts w:ascii="宋体" w:hAnsi="宋体" w:eastAsia="宋体" w:cs="宋体"/>
                <w:b/>
                <w:bCs/>
                <w:spacing w:val="-5"/>
                <w:sz w:val="19"/>
                <w:szCs w:val="19"/>
              </w:rPr>
              <w:t>公开时限</w:t>
            </w:r>
          </w:p>
        </w:tc>
        <w:tc>
          <w:tcPr>
            <w:tcW w:w="1025" w:type="dxa"/>
            <w:tcBorders>
              <w:tl2br w:val="nil"/>
              <w:tr2bl w:val="nil"/>
            </w:tcBorders>
          </w:tcPr>
          <w:p w14:paraId="56CD131C">
            <w:pPr>
              <w:spacing w:before="250" w:line="218" w:lineRule="auto"/>
              <w:ind w:left="131"/>
              <w:rPr>
                <w:rFonts w:ascii="宋体" w:hAnsi="宋体" w:eastAsia="宋体" w:cs="宋体"/>
                <w:sz w:val="19"/>
                <w:szCs w:val="19"/>
              </w:rPr>
            </w:pPr>
            <w:r>
              <w:rPr>
                <w:rFonts w:ascii="宋体" w:hAnsi="宋体" w:eastAsia="宋体" w:cs="宋体"/>
                <w:b/>
                <w:bCs/>
                <w:spacing w:val="-5"/>
                <w:sz w:val="19"/>
                <w:szCs w:val="19"/>
              </w:rPr>
              <w:t>公开责任</w:t>
            </w:r>
          </w:p>
        </w:tc>
        <w:tc>
          <w:tcPr>
            <w:tcW w:w="998" w:type="dxa"/>
            <w:tcBorders>
              <w:tl2br w:val="nil"/>
              <w:tr2bl w:val="nil"/>
            </w:tcBorders>
          </w:tcPr>
          <w:p w14:paraId="54309D56">
            <w:pPr>
              <w:spacing w:before="251" w:line="221" w:lineRule="auto"/>
              <w:ind w:left="81"/>
              <w:rPr>
                <w:rFonts w:ascii="宋体" w:hAnsi="宋体" w:eastAsia="宋体" w:cs="宋体"/>
                <w:sz w:val="19"/>
                <w:szCs w:val="19"/>
              </w:rPr>
            </w:pPr>
            <w:r>
              <w:rPr>
                <w:rFonts w:ascii="宋体" w:hAnsi="宋体" w:eastAsia="宋体" w:cs="宋体"/>
                <w:b/>
                <w:bCs/>
                <w:spacing w:val="-4"/>
                <w:sz w:val="19"/>
                <w:szCs w:val="19"/>
              </w:rPr>
              <w:t>监督电话</w:t>
            </w:r>
          </w:p>
        </w:tc>
      </w:tr>
      <w:tr w14:paraId="607A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655" w:type="dxa"/>
            <w:vMerge w:val="restart"/>
            <w:tcBorders>
              <w:tl2br w:val="nil"/>
              <w:tr2bl w:val="nil"/>
            </w:tcBorders>
            <w:textDirection w:val="tbRlV"/>
          </w:tcPr>
          <w:p w14:paraId="1B6B3743">
            <w:pPr>
              <w:spacing w:before="181" w:line="202" w:lineRule="auto"/>
              <w:ind w:left="2428"/>
              <w:rPr>
                <w:rFonts w:ascii="宋体" w:hAnsi="宋体" w:eastAsia="宋体" w:cs="宋体"/>
                <w:sz w:val="32"/>
                <w:szCs w:val="32"/>
              </w:rPr>
            </w:pPr>
            <w:r>
              <w:rPr>
                <w:rFonts w:ascii="宋体" w:hAnsi="宋体" w:eastAsia="宋体" w:cs="宋体"/>
                <w:spacing w:val="3"/>
                <w:sz w:val="32"/>
                <w:szCs w:val="32"/>
              </w:rPr>
              <w:t>法定公开事项</w:t>
            </w:r>
          </w:p>
        </w:tc>
        <w:tc>
          <w:tcPr>
            <w:tcW w:w="1158" w:type="dxa"/>
            <w:gridSpan w:val="2"/>
            <w:vMerge w:val="restart"/>
            <w:tcBorders>
              <w:tl2br w:val="nil"/>
              <w:tr2bl w:val="nil"/>
            </w:tcBorders>
          </w:tcPr>
          <w:p w14:paraId="66A89831">
            <w:pPr>
              <w:pStyle w:val="8"/>
              <w:spacing w:line="266" w:lineRule="auto"/>
              <w:rPr>
                <w:b w:val="0"/>
                <w:bCs w:val="0"/>
                <w:color w:val="auto"/>
              </w:rPr>
            </w:pPr>
          </w:p>
          <w:p w14:paraId="0C673531">
            <w:pPr>
              <w:pStyle w:val="8"/>
              <w:spacing w:line="269" w:lineRule="auto"/>
              <w:rPr>
                <w:b w:val="0"/>
                <w:bCs w:val="0"/>
                <w:color w:val="auto"/>
              </w:rPr>
            </w:pPr>
          </w:p>
          <w:p w14:paraId="2B33CBAE">
            <w:pPr>
              <w:spacing w:before="49" w:line="221" w:lineRule="auto"/>
              <w:jc w:val="center"/>
              <w:rPr>
                <w:rFonts w:hint="eastAsia" w:ascii="宋体" w:hAnsi="宋体" w:eastAsia="宋体" w:cs="宋体"/>
                <w:b w:val="0"/>
                <w:bCs w:val="0"/>
                <w:color w:val="auto"/>
                <w:sz w:val="15"/>
                <w:szCs w:val="15"/>
                <w:lang w:eastAsia="zh-CN"/>
              </w:rPr>
            </w:pPr>
            <w:r>
              <w:rPr>
                <w:rFonts w:ascii="宋体" w:hAnsi="宋体" w:eastAsia="宋体" w:cs="宋体"/>
                <w:b w:val="0"/>
                <w:bCs w:val="0"/>
                <w:color w:val="auto"/>
                <w:spacing w:val="-3"/>
                <w:sz w:val="15"/>
                <w:szCs w:val="15"/>
              </w:rPr>
              <w:t>政策</w:t>
            </w:r>
          </w:p>
        </w:tc>
        <w:tc>
          <w:tcPr>
            <w:tcW w:w="2496" w:type="dxa"/>
            <w:tcBorders>
              <w:tl2br w:val="nil"/>
              <w:tr2bl w:val="nil"/>
            </w:tcBorders>
            <w:vAlign w:val="center"/>
          </w:tcPr>
          <w:p w14:paraId="31CF33C3">
            <w:pPr>
              <w:keepNext w:val="0"/>
              <w:keepLines w:val="0"/>
              <w:pageBreakBefore w:val="0"/>
              <w:widowControl/>
              <w:kinsoku w:val="0"/>
              <w:wordWrap/>
              <w:overflowPunct/>
              <w:topLinePunct w:val="0"/>
              <w:autoSpaceDE w:val="0"/>
              <w:autoSpaceDN w:val="0"/>
              <w:bidi w:val="0"/>
              <w:adjustRightInd w:val="0"/>
              <w:snapToGrid w:val="0"/>
              <w:spacing w:line="218" w:lineRule="auto"/>
              <w:jc w:val="center"/>
              <w:textAlignment w:val="baseline"/>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行政规范性文件</w:t>
            </w:r>
          </w:p>
        </w:tc>
        <w:tc>
          <w:tcPr>
            <w:tcW w:w="921" w:type="dxa"/>
            <w:gridSpan w:val="2"/>
            <w:vMerge w:val="restart"/>
            <w:tcBorders>
              <w:tl2br w:val="nil"/>
              <w:tr2bl w:val="nil"/>
            </w:tcBorders>
            <w:vAlign w:val="center"/>
          </w:tcPr>
          <w:p w14:paraId="7B672687">
            <w:pPr>
              <w:spacing w:before="49" w:line="221" w:lineRule="auto"/>
              <w:ind w:left="12"/>
              <w:jc w:val="both"/>
              <w:rPr>
                <w:rFonts w:ascii="宋体" w:hAnsi="宋体" w:eastAsia="宋体" w:cs="宋体"/>
                <w:color w:val="auto"/>
                <w:sz w:val="15"/>
                <w:szCs w:val="15"/>
              </w:rPr>
            </w:pPr>
            <w:r>
              <w:rPr>
                <w:rFonts w:ascii="宋体" w:hAnsi="宋体" w:eastAsia="宋体" w:cs="宋体"/>
                <w:color w:val="auto"/>
                <w:spacing w:val="1"/>
                <w:sz w:val="15"/>
                <w:szCs w:val="15"/>
              </w:rPr>
              <w:t>行政法规</w:t>
            </w:r>
          </w:p>
        </w:tc>
        <w:tc>
          <w:tcPr>
            <w:tcW w:w="2945" w:type="dxa"/>
            <w:vMerge w:val="restart"/>
            <w:tcBorders>
              <w:tl2br w:val="nil"/>
              <w:tr2bl w:val="nil"/>
            </w:tcBorders>
            <w:vAlign w:val="center"/>
          </w:tcPr>
          <w:p w14:paraId="500F20A3">
            <w:pPr>
              <w:spacing w:before="48" w:line="218" w:lineRule="auto"/>
              <w:jc w:val="both"/>
              <w:rPr>
                <w:rFonts w:hint="eastAsia" w:ascii="宋体" w:hAnsi="宋体" w:eastAsia="宋体" w:cs="宋体"/>
                <w:color w:val="auto"/>
                <w:sz w:val="15"/>
                <w:szCs w:val="15"/>
                <w:lang w:eastAsia="zh-CN"/>
              </w:rPr>
            </w:pPr>
            <w:r>
              <w:rPr>
                <w:rFonts w:ascii="宋体" w:hAnsi="宋体" w:eastAsia="宋体" w:cs="宋体"/>
                <w:color w:val="auto"/>
                <w:spacing w:val="-5"/>
                <w:sz w:val="15"/>
                <w:szCs w:val="15"/>
              </w:rPr>
              <w:t>《</w:t>
            </w:r>
            <w:r>
              <w:rPr>
                <w:rFonts w:hint="eastAsia" w:ascii="宋体" w:hAnsi="宋体" w:eastAsia="宋体" w:cs="宋体"/>
                <w:color w:val="auto"/>
                <w:spacing w:val="-5"/>
                <w:sz w:val="15"/>
                <w:szCs w:val="15"/>
              </w:rPr>
              <w:t>中华人民共和国</w:t>
            </w:r>
            <w:r>
              <w:rPr>
                <w:rFonts w:ascii="宋体" w:hAnsi="宋体" w:eastAsia="宋体" w:cs="宋体"/>
                <w:color w:val="auto"/>
                <w:spacing w:val="-5"/>
                <w:sz w:val="15"/>
                <w:szCs w:val="15"/>
              </w:rPr>
              <w:t>政府信息公开条例》</w:t>
            </w:r>
            <w:r>
              <w:rPr>
                <w:rFonts w:ascii="宋体" w:hAnsi="宋体" w:eastAsia="宋体" w:cs="宋体"/>
                <w:color w:val="auto"/>
                <w:spacing w:val="-4"/>
                <w:sz w:val="15"/>
                <w:szCs w:val="15"/>
              </w:rPr>
              <w:t>第二十条第一</w:t>
            </w:r>
            <w:r>
              <w:rPr>
                <w:rFonts w:hint="eastAsia" w:ascii="宋体" w:hAnsi="宋体" w:eastAsia="宋体" w:cs="宋体"/>
                <w:color w:val="auto"/>
                <w:spacing w:val="-4"/>
                <w:sz w:val="15"/>
                <w:szCs w:val="15"/>
                <w:lang w:eastAsia="zh-CN"/>
              </w:rPr>
              <w:t>项</w:t>
            </w:r>
          </w:p>
        </w:tc>
        <w:tc>
          <w:tcPr>
            <w:tcW w:w="1467" w:type="dxa"/>
            <w:vMerge w:val="restart"/>
            <w:tcBorders>
              <w:tl2br w:val="nil"/>
              <w:tr2bl w:val="nil"/>
            </w:tcBorders>
            <w:vAlign w:val="center"/>
          </w:tcPr>
          <w:p w14:paraId="66C07BB5">
            <w:pPr>
              <w:spacing w:before="49" w:line="218" w:lineRule="auto"/>
              <w:jc w:val="both"/>
              <w:rPr>
                <w:rFonts w:hint="eastAsia" w:ascii="宋体" w:hAnsi="宋体" w:eastAsia="宋体" w:cs="宋体"/>
                <w:color w:val="auto"/>
                <w:sz w:val="15"/>
                <w:szCs w:val="15"/>
                <w:lang w:eastAsia="zh-CN"/>
              </w:rPr>
            </w:pPr>
            <w:r>
              <w:rPr>
                <w:rFonts w:hint="eastAsia" w:ascii="宋体" w:hAnsi="宋体" w:eastAsia="宋体" w:cs="宋体"/>
                <w:color w:val="auto"/>
                <w:spacing w:val="4"/>
                <w:sz w:val="15"/>
                <w:szCs w:val="15"/>
                <w:lang w:eastAsia="zh-CN"/>
              </w:rPr>
              <w:t>区教体局</w:t>
            </w:r>
          </w:p>
        </w:tc>
        <w:tc>
          <w:tcPr>
            <w:tcW w:w="1338" w:type="dxa"/>
            <w:vMerge w:val="restart"/>
            <w:tcBorders>
              <w:tl2br w:val="nil"/>
              <w:tr2bl w:val="nil"/>
            </w:tcBorders>
            <w:vAlign w:val="center"/>
          </w:tcPr>
          <w:p w14:paraId="5FD96E0B">
            <w:pPr>
              <w:spacing w:before="49" w:line="218" w:lineRule="auto"/>
              <w:ind w:left="16"/>
              <w:jc w:val="both"/>
              <w:rPr>
                <w:rFonts w:ascii="宋体" w:hAnsi="宋体" w:eastAsia="宋体" w:cs="宋体"/>
                <w:color w:val="auto"/>
                <w:sz w:val="15"/>
                <w:szCs w:val="15"/>
              </w:rPr>
            </w:pPr>
            <w:r>
              <w:rPr>
                <w:rFonts w:ascii="宋体" w:hAnsi="宋体" w:eastAsia="宋体" w:cs="宋体"/>
                <w:color w:val="auto"/>
                <w:spacing w:val="1"/>
                <w:sz w:val="15"/>
                <w:szCs w:val="15"/>
              </w:rPr>
              <w:t>政府网站</w:t>
            </w:r>
          </w:p>
        </w:tc>
        <w:tc>
          <w:tcPr>
            <w:tcW w:w="1587" w:type="dxa"/>
            <w:vMerge w:val="restart"/>
            <w:tcBorders>
              <w:tl2br w:val="nil"/>
              <w:tr2bl w:val="nil"/>
            </w:tcBorders>
            <w:vAlign w:val="center"/>
          </w:tcPr>
          <w:p w14:paraId="5CDA60A5">
            <w:pPr>
              <w:spacing w:before="89" w:line="209" w:lineRule="auto"/>
              <w:ind w:left="17" w:right="28" w:firstLine="10"/>
              <w:jc w:val="both"/>
              <w:rPr>
                <w:rFonts w:ascii="宋体" w:hAnsi="宋体" w:eastAsia="宋体" w:cs="宋体"/>
                <w:color w:val="auto"/>
                <w:sz w:val="15"/>
                <w:szCs w:val="15"/>
              </w:rPr>
            </w:pPr>
            <w:r>
              <w:rPr>
                <w:rFonts w:ascii="宋体" w:hAnsi="宋体" w:eastAsia="宋体" w:cs="宋体"/>
                <w:color w:val="auto"/>
                <w:spacing w:val="-2"/>
                <w:sz w:val="15"/>
                <w:szCs w:val="15"/>
              </w:rPr>
              <w:t>公开事项信息形成</w:t>
            </w:r>
            <w:r>
              <w:rPr>
                <w:rFonts w:ascii="宋体" w:hAnsi="宋体" w:eastAsia="宋体" w:cs="宋体"/>
                <w:color w:val="auto"/>
                <w:sz w:val="15"/>
                <w:szCs w:val="15"/>
              </w:rPr>
              <w:t>或变更之日起</w:t>
            </w:r>
            <w:r>
              <w:rPr>
                <w:rFonts w:hint="eastAsia" w:ascii="宋体" w:hAnsi="宋体" w:eastAsia="宋体" w:cs="宋体"/>
                <w:color w:val="auto"/>
                <w:sz w:val="15"/>
                <w:szCs w:val="15"/>
                <w:lang w:val="en-US" w:eastAsia="zh-CN"/>
              </w:rPr>
              <w:t>10</w:t>
            </w:r>
            <w:r>
              <w:rPr>
                <w:rFonts w:ascii="宋体" w:hAnsi="宋体" w:eastAsia="宋体" w:cs="宋体"/>
                <w:color w:val="auto"/>
                <w:sz w:val="15"/>
                <w:szCs w:val="15"/>
              </w:rPr>
              <w:t>个</w:t>
            </w:r>
            <w:r>
              <w:rPr>
                <w:rFonts w:ascii="宋体" w:hAnsi="宋体" w:eastAsia="宋体" w:cs="宋体"/>
                <w:color w:val="auto"/>
                <w:spacing w:val="-2"/>
                <w:sz w:val="15"/>
                <w:szCs w:val="15"/>
              </w:rPr>
              <w:t>工作日内公开</w:t>
            </w:r>
          </w:p>
        </w:tc>
        <w:tc>
          <w:tcPr>
            <w:tcW w:w="1025" w:type="dxa"/>
            <w:vMerge w:val="restart"/>
            <w:tcBorders>
              <w:tl2br w:val="nil"/>
              <w:tr2bl w:val="nil"/>
            </w:tcBorders>
            <w:vAlign w:val="center"/>
          </w:tcPr>
          <w:p w14:paraId="1D76DA73">
            <w:pPr>
              <w:pStyle w:val="8"/>
              <w:jc w:val="left"/>
              <w:rPr>
                <w:rFonts w:hint="eastAsia" w:ascii="宋体" w:hAnsi="宋体" w:eastAsia="宋体" w:cs="宋体"/>
                <w:snapToGrid w:val="0"/>
                <w:color w:val="auto"/>
                <w:kern w:val="0"/>
                <w:sz w:val="15"/>
                <w:szCs w:val="15"/>
                <w:lang w:val="en-US" w:eastAsia="zh-CN" w:bidi="ar-SA"/>
              </w:rPr>
            </w:pPr>
            <w:r>
              <w:rPr>
                <w:rFonts w:hint="eastAsia" w:ascii="宋体" w:hAnsi="宋体" w:eastAsia="宋体" w:cs="宋体"/>
                <w:snapToGrid w:val="0"/>
                <w:color w:val="auto"/>
                <w:kern w:val="0"/>
                <w:sz w:val="15"/>
                <w:szCs w:val="15"/>
                <w:lang w:val="en-US" w:eastAsia="zh-CN" w:bidi="ar-SA"/>
              </w:rPr>
              <w:t>各股室</w:t>
            </w:r>
          </w:p>
        </w:tc>
        <w:tc>
          <w:tcPr>
            <w:tcW w:w="998" w:type="dxa"/>
            <w:vMerge w:val="restart"/>
            <w:tcBorders>
              <w:tl2br w:val="nil"/>
              <w:tr2bl w:val="nil"/>
            </w:tcBorders>
            <w:vAlign w:val="center"/>
          </w:tcPr>
          <w:p w14:paraId="66E7341E">
            <w:pPr>
              <w:pStyle w:val="8"/>
              <w:jc w:val="center"/>
              <w:rPr>
                <w:rFonts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0812-3986736</w:t>
            </w:r>
          </w:p>
        </w:tc>
      </w:tr>
      <w:tr w14:paraId="03FC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655" w:type="dxa"/>
            <w:vMerge w:val="continue"/>
            <w:tcBorders>
              <w:tl2br w:val="nil"/>
              <w:tr2bl w:val="nil"/>
            </w:tcBorders>
            <w:textDirection w:val="tbRlV"/>
          </w:tcPr>
          <w:p w14:paraId="283835F7"/>
        </w:tc>
        <w:tc>
          <w:tcPr>
            <w:tcW w:w="1158" w:type="dxa"/>
            <w:gridSpan w:val="2"/>
            <w:vMerge w:val="continue"/>
            <w:tcBorders>
              <w:tl2br w:val="nil"/>
              <w:tr2bl w:val="nil"/>
            </w:tcBorders>
          </w:tcPr>
          <w:p w14:paraId="307AD5DC"/>
        </w:tc>
        <w:tc>
          <w:tcPr>
            <w:tcW w:w="2496" w:type="dxa"/>
            <w:tcBorders>
              <w:tl2br w:val="nil"/>
              <w:tr2bl w:val="nil"/>
            </w:tcBorders>
            <w:vAlign w:val="center"/>
          </w:tcPr>
          <w:p w14:paraId="5D7CCC77">
            <w:pPr>
              <w:keepNext w:val="0"/>
              <w:keepLines w:val="0"/>
              <w:pageBreakBefore w:val="0"/>
              <w:widowControl/>
              <w:kinsoku w:val="0"/>
              <w:wordWrap/>
              <w:overflowPunct/>
              <w:topLinePunct w:val="0"/>
              <w:autoSpaceDE w:val="0"/>
              <w:autoSpaceDN w:val="0"/>
              <w:bidi w:val="0"/>
              <w:adjustRightInd w:val="0"/>
              <w:snapToGrid w:val="0"/>
              <w:spacing w:line="218" w:lineRule="auto"/>
              <w:jc w:val="center"/>
              <w:textAlignment w:val="baseline"/>
              <w:rPr>
                <w:rFonts w:hint="eastAsia" w:ascii="宋体" w:hAnsi="宋体" w:eastAsia="宋体" w:cs="宋体"/>
                <w:color w:val="auto"/>
                <w:spacing w:val="-2"/>
                <w:sz w:val="15"/>
                <w:szCs w:val="15"/>
              </w:rPr>
            </w:pPr>
            <w:r>
              <w:rPr>
                <w:rFonts w:hint="eastAsia" w:ascii="宋体" w:hAnsi="宋体" w:eastAsia="宋体" w:cs="宋体"/>
                <w:color w:val="auto"/>
                <w:spacing w:val="-2"/>
                <w:sz w:val="15"/>
                <w:szCs w:val="15"/>
              </w:rPr>
              <w:t>其他政策文件</w:t>
            </w:r>
          </w:p>
        </w:tc>
        <w:tc>
          <w:tcPr>
            <w:tcW w:w="921" w:type="dxa"/>
            <w:gridSpan w:val="2"/>
            <w:vMerge w:val="continue"/>
            <w:tcBorders>
              <w:tl2br w:val="nil"/>
              <w:tr2bl w:val="nil"/>
            </w:tcBorders>
          </w:tcPr>
          <w:p w14:paraId="40CE9953"/>
        </w:tc>
        <w:tc>
          <w:tcPr>
            <w:tcW w:w="2945" w:type="dxa"/>
            <w:vMerge w:val="continue"/>
            <w:tcBorders>
              <w:tl2br w:val="nil"/>
              <w:tr2bl w:val="nil"/>
            </w:tcBorders>
          </w:tcPr>
          <w:p w14:paraId="6C02B9EA"/>
        </w:tc>
        <w:tc>
          <w:tcPr>
            <w:tcW w:w="1467" w:type="dxa"/>
            <w:vMerge w:val="continue"/>
            <w:tcBorders>
              <w:tl2br w:val="nil"/>
              <w:tr2bl w:val="nil"/>
            </w:tcBorders>
            <w:vAlign w:val="center"/>
          </w:tcPr>
          <w:p w14:paraId="428042A3"/>
        </w:tc>
        <w:tc>
          <w:tcPr>
            <w:tcW w:w="1338" w:type="dxa"/>
            <w:vMerge w:val="continue"/>
            <w:tcBorders>
              <w:tl2br w:val="nil"/>
              <w:tr2bl w:val="nil"/>
            </w:tcBorders>
            <w:vAlign w:val="center"/>
          </w:tcPr>
          <w:p w14:paraId="752CB18F"/>
        </w:tc>
        <w:tc>
          <w:tcPr>
            <w:tcW w:w="1587" w:type="dxa"/>
            <w:vMerge w:val="continue"/>
            <w:tcBorders>
              <w:tl2br w:val="nil"/>
              <w:tr2bl w:val="nil"/>
            </w:tcBorders>
            <w:vAlign w:val="center"/>
          </w:tcPr>
          <w:p w14:paraId="18792B9F"/>
        </w:tc>
        <w:tc>
          <w:tcPr>
            <w:tcW w:w="1025" w:type="dxa"/>
            <w:vMerge w:val="continue"/>
            <w:tcBorders>
              <w:tl2br w:val="nil"/>
              <w:tr2bl w:val="nil"/>
            </w:tcBorders>
            <w:vAlign w:val="center"/>
          </w:tcPr>
          <w:p w14:paraId="61A9B45C"/>
        </w:tc>
        <w:tc>
          <w:tcPr>
            <w:tcW w:w="998" w:type="dxa"/>
            <w:vMerge w:val="continue"/>
            <w:tcBorders>
              <w:tl2br w:val="nil"/>
              <w:tr2bl w:val="nil"/>
            </w:tcBorders>
            <w:vAlign w:val="center"/>
          </w:tcPr>
          <w:p w14:paraId="7D2AD1F0"/>
        </w:tc>
      </w:tr>
      <w:tr w14:paraId="261C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655" w:type="dxa"/>
            <w:vMerge w:val="continue"/>
            <w:tcBorders>
              <w:tl2br w:val="nil"/>
              <w:tr2bl w:val="nil"/>
            </w:tcBorders>
            <w:textDirection w:val="tbRlV"/>
          </w:tcPr>
          <w:p w14:paraId="2DF9F0FB"/>
        </w:tc>
        <w:tc>
          <w:tcPr>
            <w:tcW w:w="1158" w:type="dxa"/>
            <w:gridSpan w:val="2"/>
            <w:tcBorders>
              <w:tl2br w:val="nil"/>
              <w:tr2bl w:val="nil"/>
            </w:tcBorders>
          </w:tcPr>
          <w:p w14:paraId="2487FA73">
            <w:pPr>
              <w:spacing w:before="289" w:line="218" w:lineRule="auto"/>
              <w:ind w:left="260"/>
              <w:rPr>
                <w:rFonts w:ascii="宋体" w:hAnsi="宋体" w:eastAsia="宋体" w:cs="宋体"/>
                <w:b w:val="0"/>
                <w:bCs w:val="0"/>
                <w:color w:val="auto"/>
                <w:sz w:val="15"/>
                <w:szCs w:val="15"/>
              </w:rPr>
            </w:pPr>
            <w:r>
              <w:rPr>
                <w:rFonts w:ascii="宋体" w:hAnsi="宋体" w:eastAsia="宋体" w:cs="宋体"/>
                <w:b w:val="0"/>
                <w:bCs w:val="0"/>
                <w:color w:val="auto"/>
                <w:spacing w:val="-1"/>
                <w:sz w:val="15"/>
                <w:szCs w:val="15"/>
              </w:rPr>
              <w:t>机关简介</w:t>
            </w:r>
          </w:p>
        </w:tc>
        <w:tc>
          <w:tcPr>
            <w:tcW w:w="2496" w:type="dxa"/>
            <w:tcBorders>
              <w:tl2br w:val="nil"/>
              <w:tr2bl w:val="nil"/>
            </w:tcBorders>
          </w:tcPr>
          <w:p w14:paraId="6EF32917">
            <w:pPr>
              <w:spacing w:before="130" w:line="223" w:lineRule="auto"/>
              <w:ind w:left="1" w:right="113"/>
              <w:jc w:val="both"/>
              <w:rPr>
                <w:rFonts w:hint="eastAsia" w:ascii="宋体" w:hAnsi="宋体" w:eastAsia="宋体" w:cs="宋体"/>
                <w:color w:val="auto"/>
                <w:sz w:val="15"/>
                <w:szCs w:val="15"/>
                <w:lang w:eastAsia="zh-CN"/>
              </w:rPr>
            </w:pPr>
            <w:r>
              <w:rPr>
                <w:rFonts w:hint="eastAsia" w:ascii="宋体" w:hAnsi="宋体" w:eastAsia="宋体" w:cs="宋体"/>
                <w:color w:val="auto"/>
                <w:spacing w:val="-1"/>
                <w:sz w:val="15"/>
                <w:szCs w:val="15"/>
              </w:rPr>
              <w:t>机关职能、机关设置、办公地址、办公时间、联系方式、负责人姓名</w:t>
            </w:r>
          </w:p>
        </w:tc>
        <w:tc>
          <w:tcPr>
            <w:tcW w:w="921" w:type="dxa"/>
            <w:gridSpan w:val="2"/>
            <w:tcBorders>
              <w:tl2br w:val="nil"/>
              <w:tr2bl w:val="nil"/>
            </w:tcBorders>
            <w:vAlign w:val="center"/>
          </w:tcPr>
          <w:p w14:paraId="08659309">
            <w:pPr>
              <w:spacing w:before="49" w:line="221" w:lineRule="auto"/>
              <w:jc w:val="both"/>
              <w:rPr>
                <w:rFonts w:ascii="宋体" w:hAnsi="宋体" w:eastAsia="宋体" w:cs="宋体"/>
                <w:color w:val="auto"/>
                <w:spacing w:val="1"/>
                <w:sz w:val="15"/>
                <w:szCs w:val="15"/>
              </w:rPr>
            </w:pPr>
            <w:r>
              <w:rPr>
                <w:rFonts w:ascii="宋体" w:hAnsi="宋体" w:eastAsia="宋体" w:cs="宋体"/>
                <w:color w:val="auto"/>
                <w:spacing w:val="1"/>
                <w:sz w:val="15"/>
                <w:szCs w:val="15"/>
              </w:rPr>
              <w:t>行政法规</w:t>
            </w:r>
          </w:p>
          <w:p w14:paraId="7457DBE0">
            <w:pPr>
              <w:spacing w:before="49" w:line="221" w:lineRule="auto"/>
              <w:ind w:left="12"/>
              <w:jc w:val="both"/>
              <w:rPr>
                <w:rFonts w:ascii="宋体" w:hAnsi="宋体" w:eastAsia="宋体" w:cs="宋体"/>
                <w:color w:val="auto"/>
                <w:spacing w:val="1"/>
                <w:sz w:val="15"/>
                <w:szCs w:val="15"/>
              </w:rPr>
            </w:pPr>
            <w:r>
              <w:rPr>
                <w:rFonts w:ascii="宋体" w:hAnsi="宋体" w:eastAsia="宋体" w:cs="宋体"/>
                <w:color w:val="auto"/>
                <w:spacing w:val="1"/>
                <w:sz w:val="15"/>
                <w:szCs w:val="15"/>
              </w:rPr>
              <w:t>其他</w:t>
            </w:r>
          </w:p>
        </w:tc>
        <w:tc>
          <w:tcPr>
            <w:tcW w:w="2945" w:type="dxa"/>
            <w:tcBorders>
              <w:tl2br w:val="nil"/>
              <w:tr2bl w:val="nil"/>
            </w:tcBorders>
            <w:vAlign w:val="center"/>
          </w:tcPr>
          <w:p w14:paraId="2F005FE2">
            <w:pPr>
              <w:keepNext w:val="0"/>
              <w:keepLines w:val="0"/>
              <w:pageBreakBefore w:val="0"/>
              <w:widowControl/>
              <w:kinsoku w:val="0"/>
              <w:wordWrap/>
              <w:overflowPunct/>
              <w:topLinePunct w:val="0"/>
              <w:autoSpaceDE w:val="0"/>
              <w:autoSpaceDN w:val="0"/>
              <w:bidi w:val="0"/>
              <w:adjustRightInd w:val="0"/>
              <w:snapToGrid w:val="0"/>
              <w:spacing w:before="48" w:line="218" w:lineRule="auto"/>
              <w:jc w:val="both"/>
              <w:textAlignment w:val="baseline"/>
              <w:rPr>
                <w:rFonts w:ascii="宋体" w:hAnsi="宋体" w:eastAsia="宋体" w:cs="宋体"/>
                <w:color w:val="auto"/>
                <w:sz w:val="15"/>
                <w:szCs w:val="15"/>
                <w:lang w:val="en-US"/>
              </w:rPr>
            </w:pPr>
            <w:r>
              <w:rPr>
                <w:rFonts w:ascii="宋体" w:hAnsi="宋体" w:eastAsia="宋体" w:cs="宋体"/>
                <w:color w:val="auto"/>
                <w:spacing w:val="-5"/>
                <w:sz w:val="15"/>
                <w:szCs w:val="15"/>
              </w:rPr>
              <w:t>《</w:t>
            </w:r>
            <w:r>
              <w:rPr>
                <w:rFonts w:hint="eastAsia" w:ascii="宋体" w:hAnsi="宋体" w:eastAsia="宋体" w:cs="宋体"/>
                <w:color w:val="auto"/>
                <w:spacing w:val="-5"/>
                <w:sz w:val="15"/>
                <w:szCs w:val="15"/>
              </w:rPr>
              <w:t>中华人民共和国</w:t>
            </w:r>
            <w:r>
              <w:rPr>
                <w:rFonts w:ascii="宋体" w:hAnsi="宋体" w:eastAsia="宋体" w:cs="宋体"/>
                <w:color w:val="auto"/>
                <w:spacing w:val="-5"/>
                <w:sz w:val="15"/>
                <w:szCs w:val="15"/>
              </w:rPr>
              <w:t>政府信息公开条例》第二十条第二</w:t>
            </w:r>
            <w:r>
              <w:rPr>
                <w:rFonts w:hint="eastAsia" w:ascii="宋体" w:hAnsi="宋体" w:eastAsia="宋体" w:cs="宋体"/>
                <w:color w:val="auto"/>
                <w:spacing w:val="-5"/>
                <w:sz w:val="15"/>
                <w:szCs w:val="15"/>
                <w:lang w:eastAsia="zh-CN"/>
              </w:rPr>
              <w:t>项</w:t>
            </w:r>
          </w:p>
        </w:tc>
        <w:tc>
          <w:tcPr>
            <w:tcW w:w="1467" w:type="dxa"/>
            <w:tcBorders>
              <w:tl2br w:val="nil"/>
              <w:tr2bl w:val="nil"/>
            </w:tcBorders>
            <w:vAlign w:val="center"/>
          </w:tcPr>
          <w:p w14:paraId="69000908">
            <w:pPr>
              <w:pStyle w:val="8"/>
              <w:jc w:val="left"/>
              <w:rPr>
                <w:color w:val="auto"/>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6314899C">
            <w:pPr>
              <w:pStyle w:val="8"/>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5878F075">
            <w:pPr>
              <w:pStyle w:val="8"/>
              <w:jc w:val="both"/>
              <w:rPr>
                <w:color w:val="auto"/>
              </w:rPr>
            </w:pPr>
            <w:r>
              <w:rPr>
                <w:rFonts w:ascii="宋体" w:hAnsi="宋体" w:eastAsia="宋体" w:cs="宋体"/>
                <w:color w:val="auto"/>
                <w:spacing w:val="-2"/>
                <w:sz w:val="15"/>
                <w:szCs w:val="15"/>
              </w:rPr>
              <w:t>公开事项信息形成</w:t>
            </w:r>
            <w:r>
              <w:rPr>
                <w:rFonts w:ascii="宋体" w:hAnsi="宋体" w:eastAsia="宋体" w:cs="宋体"/>
                <w:color w:val="auto"/>
                <w:sz w:val="15"/>
                <w:szCs w:val="15"/>
              </w:rPr>
              <w:t>或变更之日起</w:t>
            </w:r>
            <w:r>
              <w:rPr>
                <w:rFonts w:hint="eastAsia" w:ascii="宋体" w:hAnsi="宋体" w:eastAsia="宋体" w:cs="宋体"/>
                <w:color w:val="auto"/>
                <w:sz w:val="15"/>
                <w:szCs w:val="15"/>
                <w:lang w:val="en-US" w:eastAsia="zh-CN"/>
              </w:rPr>
              <w:t>7</w:t>
            </w:r>
            <w:r>
              <w:rPr>
                <w:rFonts w:ascii="宋体" w:hAnsi="宋体" w:eastAsia="宋体" w:cs="宋体"/>
                <w:color w:val="auto"/>
                <w:sz w:val="15"/>
                <w:szCs w:val="15"/>
              </w:rPr>
              <w:t>个</w:t>
            </w:r>
            <w:r>
              <w:rPr>
                <w:rFonts w:ascii="宋体" w:hAnsi="宋体" w:eastAsia="宋体" w:cs="宋体"/>
                <w:color w:val="auto"/>
                <w:spacing w:val="-2"/>
                <w:sz w:val="15"/>
                <w:szCs w:val="15"/>
              </w:rPr>
              <w:t>工作日内公开</w:t>
            </w:r>
          </w:p>
        </w:tc>
        <w:tc>
          <w:tcPr>
            <w:tcW w:w="1025" w:type="dxa"/>
            <w:tcBorders>
              <w:tl2br w:val="nil"/>
              <w:tr2bl w:val="nil"/>
            </w:tcBorders>
            <w:vAlign w:val="center"/>
          </w:tcPr>
          <w:p w14:paraId="5E3EEC3B">
            <w:pPr>
              <w:pStyle w:val="8"/>
              <w:jc w:val="left"/>
              <w:rPr>
                <w:rFonts w:hint="eastAsia" w:ascii="宋体" w:hAnsi="宋体" w:eastAsia="宋体" w:cs="宋体"/>
                <w:snapToGrid w:val="0"/>
                <w:color w:val="auto"/>
                <w:kern w:val="0"/>
                <w:sz w:val="15"/>
                <w:szCs w:val="15"/>
                <w:lang w:val="en-US" w:eastAsia="zh-CN" w:bidi="ar-SA"/>
              </w:rPr>
            </w:pPr>
            <w:r>
              <w:rPr>
                <w:rFonts w:hint="eastAsia" w:ascii="宋体" w:hAnsi="宋体" w:eastAsia="宋体" w:cs="宋体"/>
                <w:snapToGrid w:val="0"/>
                <w:color w:val="auto"/>
                <w:kern w:val="0"/>
                <w:sz w:val="15"/>
                <w:szCs w:val="15"/>
                <w:lang w:val="en-US" w:eastAsia="zh-CN" w:bidi="ar-SA"/>
              </w:rPr>
              <w:t>党政办</w:t>
            </w:r>
          </w:p>
        </w:tc>
        <w:tc>
          <w:tcPr>
            <w:tcW w:w="998" w:type="dxa"/>
            <w:tcBorders>
              <w:tl2br w:val="nil"/>
              <w:tr2bl w:val="nil"/>
            </w:tcBorders>
            <w:vAlign w:val="center"/>
          </w:tcPr>
          <w:p w14:paraId="0C84C6C4">
            <w:pPr>
              <w:pStyle w:val="8"/>
              <w:jc w:val="center"/>
              <w:rPr>
                <w:rFonts w:ascii="宋体" w:hAnsi="宋体" w:eastAsia="宋体" w:cs="宋体"/>
                <w:snapToGrid w:val="0"/>
                <w:color w:val="auto"/>
                <w:spacing w:val="-2"/>
                <w:kern w:val="0"/>
                <w:sz w:val="15"/>
                <w:szCs w:val="15"/>
                <w:lang w:val="en-US" w:bidi="ar-SA"/>
              </w:rPr>
            </w:pPr>
            <w:r>
              <w:rPr>
                <w:rFonts w:hint="eastAsia" w:ascii="宋体" w:hAnsi="宋体" w:eastAsia="宋体" w:cs="宋体"/>
                <w:snapToGrid w:val="0"/>
                <w:color w:val="auto"/>
                <w:spacing w:val="-2"/>
                <w:kern w:val="0"/>
                <w:sz w:val="15"/>
                <w:szCs w:val="15"/>
                <w:lang w:val="en-US" w:eastAsia="zh-CN" w:bidi="ar-SA"/>
              </w:rPr>
              <w:t>0812-3986736</w:t>
            </w:r>
          </w:p>
        </w:tc>
      </w:tr>
      <w:tr w14:paraId="0DC2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655" w:type="dxa"/>
            <w:vMerge w:val="continue"/>
            <w:tcBorders>
              <w:tl2br w:val="nil"/>
              <w:tr2bl w:val="nil"/>
            </w:tcBorders>
            <w:textDirection w:val="tbRlV"/>
          </w:tcPr>
          <w:p w14:paraId="6F6E2EC0"/>
        </w:tc>
        <w:tc>
          <w:tcPr>
            <w:tcW w:w="420" w:type="dxa"/>
            <w:vMerge w:val="restart"/>
            <w:tcBorders>
              <w:tl2br w:val="nil"/>
              <w:tr2bl w:val="nil"/>
            </w:tcBorders>
            <w:vAlign w:val="center"/>
          </w:tcPr>
          <w:p w14:paraId="27C7221A">
            <w:pPr>
              <w:spacing w:before="49" w:line="221" w:lineRule="auto"/>
              <w:ind w:left="39"/>
              <w:jc w:val="both"/>
              <w:rPr>
                <w:rFonts w:ascii="宋体" w:hAnsi="宋体" w:eastAsia="宋体" w:cs="宋体"/>
                <w:b w:val="0"/>
                <w:bCs w:val="0"/>
                <w:color w:val="auto"/>
                <w:sz w:val="15"/>
                <w:szCs w:val="15"/>
              </w:rPr>
            </w:pPr>
            <w:r>
              <w:rPr>
                <w:rFonts w:ascii="宋体" w:hAnsi="宋体" w:eastAsia="宋体" w:cs="宋体"/>
                <w:b w:val="0"/>
                <w:bCs w:val="0"/>
                <w:color w:val="auto"/>
                <w:spacing w:val="-3"/>
                <w:sz w:val="15"/>
                <w:szCs w:val="15"/>
              </w:rPr>
              <w:t>行政</w:t>
            </w:r>
          </w:p>
          <w:p w14:paraId="6340D66B">
            <w:pPr>
              <w:spacing w:line="218" w:lineRule="auto"/>
              <w:ind w:left="39"/>
              <w:jc w:val="both"/>
              <w:rPr>
                <w:rFonts w:ascii="宋体" w:hAnsi="宋体" w:eastAsia="宋体" w:cs="宋体"/>
                <w:b w:val="0"/>
                <w:bCs w:val="0"/>
                <w:color w:val="auto"/>
                <w:sz w:val="15"/>
                <w:szCs w:val="15"/>
              </w:rPr>
            </w:pPr>
            <w:r>
              <w:rPr>
                <w:rFonts w:ascii="宋体" w:hAnsi="宋体" w:eastAsia="宋体" w:cs="宋体"/>
                <w:b w:val="0"/>
                <w:bCs w:val="0"/>
                <w:color w:val="auto"/>
                <w:spacing w:val="-2"/>
                <w:sz w:val="15"/>
                <w:szCs w:val="15"/>
              </w:rPr>
              <w:t>执法</w:t>
            </w:r>
          </w:p>
        </w:tc>
        <w:tc>
          <w:tcPr>
            <w:tcW w:w="738" w:type="dxa"/>
            <w:tcBorders>
              <w:tl2br w:val="nil"/>
              <w:tr2bl w:val="nil"/>
            </w:tcBorders>
            <w:vAlign w:val="center"/>
          </w:tcPr>
          <w:p w14:paraId="360D40BF">
            <w:pPr>
              <w:spacing w:before="49" w:line="221" w:lineRule="auto"/>
              <w:jc w:val="center"/>
              <w:rPr>
                <w:rFonts w:hint="eastAsia" w:ascii="宋体" w:hAnsi="宋体" w:eastAsia="宋体" w:cs="宋体"/>
                <w:b w:val="0"/>
                <w:bCs w:val="0"/>
                <w:color w:val="auto"/>
                <w:spacing w:val="-4"/>
                <w:sz w:val="15"/>
                <w:szCs w:val="15"/>
                <w:lang w:eastAsia="zh-CN"/>
              </w:rPr>
            </w:pPr>
            <w:r>
              <w:rPr>
                <w:rFonts w:hint="eastAsia" w:ascii="宋体" w:hAnsi="宋体" w:eastAsia="宋体" w:cs="宋体"/>
                <w:b w:val="0"/>
                <w:bCs w:val="0"/>
                <w:color w:val="auto"/>
                <w:spacing w:val="-4"/>
                <w:sz w:val="15"/>
                <w:szCs w:val="15"/>
                <w:highlight w:val="none"/>
                <w:lang w:eastAsia="zh-CN"/>
              </w:rPr>
              <w:t>行政许可</w:t>
            </w:r>
          </w:p>
        </w:tc>
        <w:tc>
          <w:tcPr>
            <w:tcW w:w="2496" w:type="dxa"/>
            <w:tcBorders>
              <w:tl2br w:val="nil"/>
              <w:tr2bl w:val="nil"/>
            </w:tcBorders>
            <w:vAlign w:val="center"/>
          </w:tcPr>
          <w:p w14:paraId="4EA0EA25">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办理民办学校（幼儿园）办学许可、和经营高危险性体育项目（游泳）许可等的依据、条件、程序以及办理结果</w:t>
            </w:r>
          </w:p>
        </w:tc>
        <w:tc>
          <w:tcPr>
            <w:tcW w:w="3866" w:type="dxa"/>
            <w:gridSpan w:val="3"/>
            <w:vMerge w:val="restart"/>
            <w:tcBorders>
              <w:tl2br w:val="nil"/>
              <w:tr2bl w:val="nil"/>
            </w:tcBorders>
            <w:vAlign w:val="center"/>
          </w:tcPr>
          <w:p w14:paraId="1DB373DD">
            <w:pPr>
              <w:spacing w:line="202" w:lineRule="auto"/>
              <w:ind w:left="2"/>
              <w:jc w:val="both"/>
              <w:rPr>
                <w:rFonts w:hint="eastAsia" w:ascii="宋体" w:hAnsi="宋体" w:eastAsia="宋体" w:cs="宋体"/>
                <w:color w:val="auto"/>
                <w:spacing w:val="-1"/>
                <w:sz w:val="15"/>
                <w:szCs w:val="15"/>
              </w:rPr>
            </w:pPr>
            <w:r>
              <w:rPr>
                <w:rFonts w:hint="eastAsia" w:ascii="宋体" w:hAnsi="宋体" w:eastAsia="宋体" w:cs="宋体"/>
                <w:color w:val="auto"/>
                <w:spacing w:val="-1"/>
                <w:sz w:val="15"/>
                <w:szCs w:val="15"/>
                <w:lang w:val="en-US" w:eastAsia="zh-CN"/>
              </w:rPr>
              <w:t>1.</w:t>
            </w:r>
            <w:r>
              <w:rPr>
                <w:rFonts w:hint="eastAsia" w:ascii="宋体" w:hAnsi="宋体" w:eastAsia="宋体" w:cs="宋体"/>
                <w:color w:val="auto"/>
                <w:spacing w:val="-1"/>
                <w:sz w:val="15"/>
                <w:szCs w:val="15"/>
              </w:rPr>
              <w:t>《</w:t>
            </w:r>
            <w:r>
              <w:rPr>
                <w:rFonts w:hint="eastAsia" w:ascii="宋体" w:hAnsi="宋体" w:eastAsia="宋体" w:cs="宋体"/>
                <w:color w:val="auto"/>
                <w:spacing w:val="-1"/>
                <w:sz w:val="15"/>
                <w:szCs w:val="15"/>
                <w:lang w:eastAsia="zh-CN"/>
              </w:rPr>
              <w:t>中华人民共和国</w:t>
            </w:r>
            <w:r>
              <w:rPr>
                <w:rFonts w:hint="eastAsia" w:ascii="宋体" w:hAnsi="宋体" w:eastAsia="宋体" w:cs="宋体"/>
                <w:color w:val="auto"/>
                <w:spacing w:val="-1"/>
                <w:sz w:val="15"/>
                <w:szCs w:val="15"/>
              </w:rPr>
              <w:t>行政许可法》第一章第五条：有关行政许可的规定应当公布；未经公布的，不得作为实施行政许可的依据。行政许可的实施和结果，除涉及国家秘密、商业秘密或者个人隐私的外，应当公开。</w:t>
            </w:r>
          </w:p>
          <w:p w14:paraId="79CFC04C">
            <w:pPr>
              <w:spacing w:line="202" w:lineRule="auto"/>
              <w:ind w:left="2"/>
              <w:jc w:val="both"/>
              <w:rPr>
                <w:rFonts w:hint="eastAsia" w:ascii="宋体" w:hAnsi="宋体" w:eastAsia="宋体" w:cs="宋体"/>
                <w:color w:val="auto"/>
                <w:spacing w:val="-1"/>
                <w:sz w:val="15"/>
                <w:szCs w:val="15"/>
              </w:rPr>
            </w:pPr>
            <w:r>
              <w:rPr>
                <w:rFonts w:hint="eastAsia" w:ascii="宋体" w:hAnsi="宋体" w:eastAsia="宋体" w:cs="宋体"/>
                <w:color w:val="auto"/>
                <w:spacing w:val="-1"/>
                <w:sz w:val="15"/>
                <w:szCs w:val="15"/>
                <w:lang w:val="en-US" w:eastAsia="zh-CN"/>
              </w:rPr>
              <w:t>2.</w:t>
            </w:r>
            <w:r>
              <w:rPr>
                <w:rFonts w:hint="eastAsia" w:ascii="宋体" w:hAnsi="宋体" w:eastAsia="宋体" w:cs="宋体"/>
                <w:color w:val="auto"/>
                <w:spacing w:val="-1"/>
                <w:sz w:val="15"/>
                <w:szCs w:val="15"/>
              </w:rPr>
              <w:t>《</w:t>
            </w:r>
            <w:r>
              <w:rPr>
                <w:rFonts w:hint="eastAsia" w:ascii="宋体" w:hAnsi="宋体" w:eastAsia="宋体" w:cs="宋体"/>
                <w:color w:val="auto"/>
                <w:spacing w:val="-1"/>
                <w:sz w:val="15"/>
                <w:szCs w:val="15"/>
                <w:lang w:eastAsia="zh-CN"/>
              </w:rPr>
              <w:t>中华人民共和国</w:t>
            </w:r>
            <w:r>
              <w:rPr>
                <w:rFonts w:hint="eastAsia" w:ascii="宋体" w:hAnsi="宋体" w:eastAsia="宋体" w:cs="宋体"/>
                <w:color w:val="auto"/>
                <w:spacing w:val="-1"/>
                <w:sz w:val="15"/>
                <w:szCs w:val="15"/>
              </w:rPr>
              <w:t>行政处罚法》第一章第四条：对违法行为给予行政处罚的规定必须公布;未经公布的，不得作为行政处罚的依据。</w:t>
            </w:r>
          </w:p>
          <w:p w14:paraId="7A586342">
            <w:pPr>
              <w:spacing w:line="202" w:lineRule="auto"/>
              <w:ind w:left="2"/>
              <w:jc w:val="both"/>
              <w:rPr>
                <w:rFonts w:hint="eastAsia" w:ascii="宋体" w:hAnsi="宋体" w:eastAsia="宋体" w:cs="宋体"/>
                <w:color w:val="auto"/>
                <w:spacing w:val="-1"/>
                <w:sz w:val="15"/>
                <w:szCs w:val="15"/>
              </w:rPr>
            </w:pPr>
            <w:r>
              <w:rPr>
                <w:rFonts w:hint="eastAsia" w:ascii="宋体" w:hAnsi="宋体" w:eastAsia="宋体" w:cs="宋体"/>
                <w:color w:val="auto"/>
                <w:spacing w:val="-1"/>
                <w:sz w:val="15"/>
                <w:szCs w:val="15"/>
                <w:lang w:val="en-US" w:eastAsia="zh-CN"/>
              </w:rPr>
              <w:t>3.</w:t>
            </w:r>
            <w:r>
              <w:rPr>
                <w:rFonts w:hint="eastAsia" w:ascii="宋体" w:hAnsi="宋体" w:eastAsia="宋体" w:cs="宋体"/>
                <w:color w:val="auto"/>
                <w:spacing w:val="-1"/>
                <w:sz w:val="15"/>
                <w:szCs w:val="15"/>
              </w:rPr>
              <w:t>《</w:t>
            </w:r>
            <w:r>
              <w:rPr>
                <w:rFonts w:hint="eastAsia" w:ascii="宋体" w:hAnsi="宋体" w:eastAsia="宋体" w:cs="宋体"/>
                <w:color w:val="auto"/>
                <w:spacing w:val="-1"/>
                <w:sz w:val="15"/>
                <w:szCs w:val="15"/>
                <w:lang w:eastAsia="zh-CN"/>
              </w:rPr>
              <w:t>中华人民共和国</w:t>
            </w:r>
            <w:r>
              <w:rPr>
                <w:rFonts w:hint="eastAsia" w:ascii="宋体" w:hAnsi="宋体" w:eastAsia="宋体" w:cs="宋体"/>
                <w:color w:val="auto"/>
                <w:spacing w:val="-1"/>
                <w:sz w:val="15"/>
                <w:szCs w:val="15"/>
              </w:rPr>
              <w:t>行政强制法》第四章第四十四条：对违法的建筑物、构筑物、设施等需要强制拆除的，应当由行政机关予以公告，限期当事人自行拆除。当事人在法定期限内不申请行政复议或者提起行政诉讼，又不拆除的，行政机关可以依法强制拆除。</w:t>
            </w:r>
          </w:p>
          <w:p w14:paraId="5F0CDD37">
            <w:pPr>
              <w:spacing w:line="202" w:lineRule="auto"/>
              <w:ind w:left="2"/>
              <w:jc w:val="both"/>
              <w:rPr>
                <w:rFonts w:ascii="宋体" w:hAnsi="宋体" w:eastAsia="宋体" w:cs="宋体"/>
                <w:color w:val="auto"/>
                <w:sz w:val="15"/>
                <w:szCs w:val="15"/>
              </w:rPr>
            </w:pPr>
            <w:r>
              <w:rPr>
                <w:rFonts w:hint="eastAsia" w:ascii="宋体" w:hAnsi="宋体" w:eastAsia="宋体" w:cs="宋体"/>
                <w:color w:val="auto"/>
                <w:sz w:val="15"/>
                <w:szCs w:val="15"/>
                <w:lang w:val="en-US" w:eastAsia="zh-CN"/>
              </w:rPr>
              <w:t>4.《中华人民共和国政府信息公开条例》第二十条第五项、第六项。</w:t>
            </w:r>
          </w:p>
        </w:tc>
        <w:tc>
          <w:tcPr>
            <w:tcW w:w="1467" w:type="dxa"/>
            <w:vMerge w:val="restart"/>
            <w:tcBorders>
              <w:tl2br w:val="nil"/>
              <w:tr2bl w:val="nil"/>
            </w:tcBorders>
            <w:vAlign w:val="center"/>
          </w:tcPr>
          <w:p w14:paraId="042E6E7A">
            <w:pPr>
              <w:pStyle w:val="8"/>
              <w:jc w:val="left"/>
              <w:rPr>
                <w:color w:val="auto"/>
              </w:rPr>
            </w:pPr>
            <w:r>
              <w:rPr>
                <w:rFonts w:hint="eastAsia" w:ascii="宋体" w:hAnsi="宋体" w:eastAsia="宋体" w:cs="宋体"/>
                <w:color w:val="auto"/>
                <w:spacing w:val="4"/>
                <w:sz w:val="15"/>
                <w:szCs w:val="15"/>
                <w:lang w:eastAsia="zh-CN"/>
              </w:rPr>
              <w:t>区教体局</w:t>
            </w:r>
          </w:p>
        </w:tc>
        <w:tc>
          <w:tcPr>
            <w:tcW w:w="1338" w:type="dxa"/>
            <w:vMerge w:val="restart"/>
            <w:tcBorders>
              <w:tl2br w:val="nil"/>
              <w:tr2bl w:val="nil"/>
            </w:tcBorders>
            <w:vAlign w:val="center"/>
          </w:tcPr>
          <w:p w14:paraId="24613399">
            <w:pPr>
              <w:pStyle w:val="8"/>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7BAB9654">
            <w:pPr>
              <w:spacing w:before="49" w:line="209" w:lineRule="auto"/>
              <w:ind w:left="28"/>
              <w:jc w:val="both"/>
              <w:rPr>
                <w:rFonts w:ascii="宋体" w:hAnsi="宋体" w:eastAsia="宋体" w:cs="宋体"/>
                <w:color w:val="auto"/>
                <w:sz w:val="15"/>
                <w:szCs w:val="15"/>
              </w:rPr>
            </w:pPr>
            <w:r>
              <w:rPr>
                <w:rFonts w:ascii="宋体" w:hAnsi="宋体" w:eastAsia="宋体" w:cs="宋体"/>
                <w:color w:val="auto"/>
                <w:sz w:val="15"/>
                <w:szCs w:val="15"/>
              </w:rPr>
              <w:t>自作出行政决定之</w:t>
            </w:r>
            <w:r>
              <w:rPr>
                <w:rFonts w:ascii="宋体" w:hAnsi="宋体" w:eastAsia="宋体" w:cs="宋体"/>
                <w:color w:val="auto"/>
                <w:spacing w:val="3"/>
                <w:sz w:val="15"/>
                <w:szCs w:val="15"/>
              </w:rPr>
              <w:t>日起7个工作日内</w:t>
            </w:r>
            <w:r>
              <w:rPr>
                <w:rFonts w:ascii="宋体" w:hAnsi="宋体" w:eastAsia="宋体" w:cs="宋体"/>
                <w:color w:val="auto"/>
                <w:spacing w:val="-2"/>
                <w:sz w:val="15"/>
                <w:szCs w:val="15"/>
              </w:rPr>
              <w:t>上网公示</w:t>
            </w:r>
          </w:p>
        </w:tc>
        <w:tc>
          <w:tcPr>
            <w:tcW w:w="1025" w:type="dxa"/>
            <w:vMerge w:val="restart"/>
            <w:tcBorders>
              <w:tl2br w:val="nil"/>
              <w:tr2bl w:val="nil"/>
            </w:tcBorders>
            <w:vAlign w:val="center"/>
          </w:tcPr>
          <w:p w14:paraId="3070C504">
            <w:pPr>
              <w:pStyle w:val="8"/>
              <w:jc w:val="left"/>
              <w:rPr>
                <w:rFonts w:hint="eastAsia" w:ascii="宋体" w:hAnsi="宋体" w:eastAsia="宋体" w:cs="宋体"/>
                <w:snapToGrid w:val="0"/>
                <w:color w:val="auto"/>
                <w:kern w:val="0"/>
                <w:sz w:val="15"/>
                <w:szCs w:val="15"/>
                <w:lang w:val="en-US" w:eastAsia="zh-CN" w:bidi="ar-SA"/>
              </w:rPr>
            </w:pPr>
            <w:r>
              <w:rPr>
                <w:rFonts w:hint="eastAsia" w:ascii="宋体" w:hAnsi="宋体" w:eastAsia="宋体" w:cs="宋体"/>
                <w:color w:val="auto"/>
                <w:spacing w:val="-2"/>
                <w:sz w:val="15"/>
                <w:szCs w:val="15"/>
                <w:lang w:eastAsia="zh-CN"/>
              </w:rPr>
              <w:t>基础教育股</w:t>
            </w:r>
          </w:p>
        </w:tc>
        <w:tc>
          <w:tcPr>
            <w:tcW w:w="998" w:type="dxa"/>
            <w:vMerge w:val="restart"/>
            <w:tcBorders>
              <w:tl2br w:val="nil"/>
              <w:tr2bl w:val="nil"/>
            </w:tcBorders>
            <w:vAlign w:val="center"/>
          </w:tcPr>
          <w:p w14:paraId="58F77EFE">
            <w:pPr>
              <w:pStyle w:val="8"/>
              <w:jc w:val="center"/>
              <w:rPr>
                <w:rFonts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0812—3986778</w:t>
            </w:r>
          </w:p>
        </w:tc>
      </w:tr>
      <w:tr w14:paraId="46AE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655" w:type="dxa"/>
            <w:vMerge w:val="continue"/>
            <w:tcBorders>
              <w:tl2br w:val="nil"/>
              <w:tr2bl w:val="nil"/>
            </w:tcBorders>
            <w:textDirection w:val="tbRlV"/>
          </w:tcPr>
          <w:p w14:paraId="4EE180D2"/>
        </w:tc>
        <w:tc>
          <w:tcPr>
            <w:tcW w:w="420" w:type="dxa"/>
            <w:vMerge w:val="continue"/>
            <w:tcBorders>
              <w:tl2br w:val="nil"/>
              <w:tr2bl w:val="nil"/>
            </w:tcBorders>
          </w:tcPr>
          <w:p w14:paraId="269023C5"/>
        </w:tc>
        <w:tc>
          <w:tcPr>
            <w:tcW w:w="738" w:type="dxa"/>
            <w:tcBorders>
              <w:tl2br w:val="nil"/>
              <w:tr2bl w:val="nil"/>
            </w:tcBorders>
            <w:vAlign w:val="center"/>
          </w:tcPr>
          <w:p w14:paraId="61173956">
            <w:pPr>
              <w:spacing w:before="49" w:line="221" w:lineRule="auto"/>
              <w:jc w:val="center"/>
              <w:rPr>
                <w:rFonts w:hint="eastAsia" w:ascii="宋体" w:hAnsi="宋体" w:eastAsia="宋体" w:cs="宋体"/>
                <w:b w:val="0"/>
                <w:bCs w:val="0"/>
                <w:color w:val="auto"/>
                <w:sz w:val="15"/>
                <w:szCs w:val="15"/>
                <w:lang w:eastAsia="zh-CN"/>
              </w:rPr>
            </w:pPr>
            <w:r>
              <w:rPr>
                <w:rFonts w:hint="eastAsia" w:ascii="宋体" w:hAnsi="宋体" w:eastAsia="宋体" w:cs="宋体"/>
                <w:b w:val="0"/>
                <w:bCs w:val="0"/>
                <w:color w:val="auto"/>
                <w:spacing w:val="-4"/>
                <w:sz w:val="15"/>
                <w:szCs w:val="15"/>
                <w:lang w:eastAsia="zh-CN"/>
              </w:rPr>
              <w:t>行政处罚</w:t>
            </w:r>
          </w:p>
        </w:tc>
        <w:tc>
          <w:tcPr>
            <w:tcW w:w="2496" w:type="dxa"/>
            <w:tcBorders>
              <w:tl2br w:val="nil"/>
              <w:tr2bl w:val="nil"/>
            </w:tcBorders>
            <w:vAlign w:val="center"/>
          </w:tcPr>
          <w:p w14:paraId="55BC3EEE">
            <w:pPr>
              <w:spacing w:line="226" w:lineRule="auto"/>
              <w:ind w:left="1" w:right="115"/>
              <w:jc w:val="both"/>
              <w:rPr>
                <w:rFonts w:ascii="宋体" w:hAnsi="宋体" w:eastAsia="宋体" w:cs="宋体"/>
                <w:color w:val="auto"/>
                <w:sz w:val="15"/>
                <w:szCs w:val="15"/>
              </w:rPr>
            </w:pPr>
            <w:r>
              <w:rPr>
                <w:rFonts w:hint="eastAsia" w:ascii="宋体" w:hAnsi="宋体" w:eastAsia="宋体" w:cs="宋体"/>
                <w:color w:val="auto"/>
                <w:spacing w:val="5"/>
                <w:sz w:val="15"/>
                <w:szCs w:val="15"/>
                <w:lang w:val="en-US" w:eastAsia="zh-CN"/>
              </w:rPr>
              <w:t>对校外培训机构、民办幼儿园违规办学等事项的处罚</w:t>
            </w:r>
            <w:r>
              <w:rPr>
                <w:rFonts w:hint="eastAsia" w:ascii="宋体" w:hAnsi="宋体" w:eastAsia="宋体" w:cs="宋体"/>
                <w:color w:val="auto"/>
                <w:spacing w:val="5"/>
                <w:sz w:val="15"/>
                <w:szCs w:val="15"/>
              </w:rPr>
              <w:t>依据、条件、程序以及办理结果</w:t>
            </w:r>
          </w:p>
        </w:tc>
        <w:tc>
          <w:tcPr>
            <w:tcW w:w="3866" w:type="dxa"/>
            <w:gridSpan w:val="3"/>
            <w:vMerge w:val="continue"/>
            <w:tcBorders>
              <w:tl2br w:val="nil"/>
              <w:tr2bl w:val="nil"/>
            </w:tcBorders>
            <w:vAlign w:val="center"/>
          </w:tcPr>
          <w:p w14:paraId="4D1DBF96"/>
        </w:tc>
        <w:tc>
          <w:tcPr>
            <w:tcW w:w="1467" w:type="dxa"/>
            <w:vMerge w:val="continue"/>
            <w:tcBorders>
              <w:tl2br w:val="nil"/>
              <w:tr2bl w:val="nil"/>
            </w:tcBorders>
            <w:vAlign w:val="center"/>
          </w:tcPr>
          <w:p w14:paraId="2E94DA1A"/>
        </w:tc>
        <w:tc>
          <w:tcPr>
            <w:tcW w:w="1338" w:type="dxa"/>
            <w:vMerge w:val="continue"/>
            <w:tcBorders>
              <w:tl2br w:val="nil"/>
              <w:tr2bl w:val="nil"/>
            </w:tcBorders>
            <w:vAlign w:val="center"/>
          </w:tcPr>
          <w:p w14:paraId="127DE705"/>
        </w:tc>
        <w:tc>
          <w:tcPr>
            <w:tcW w:w="1587" w:type="dxa"/>
            <w:tcBorders>
              <w:tl2br w:val="nil"/>
              <w:tr2bl w:val="nil"/>
            </w:tcBorders>
            <w:vAlign w:val="center"/>
          </w:tcPr>
          <w:p w14:paraId="404653BD">
            <w:pPr>
              <w:spacing w:before="49" w:line="209" w:lineRule="auto"/>
              <w:ind w:left="28"/>
              <w:jc w:val="both"/>
              <w:rPr>
                <w:rFonts w:ascii="宋体" w:hAnsi="宋体" w:eastAsia="宋体" w:cs="宋体"/>
                <w:color w:val="auto"/>
                <w:sz w:val="15"/>
                <w:szCs w:val="15"/>
              </w:rPr>
            </w:pPr>
            <w:r>
              <w:rPr>
                <w:rFonts w:ascii="宋体" w:hAnsi="宋体" w:eastAsia="宋体" w:cs="宋体"/>
                <w:color w:val="auto"/>
                <w:sz w:val="15"/>
                <w:szCs w:val="15"/>
              </w:rPr>
              <w:t>自作出行政决定之</w:t>
            </w:r>
            <w:r>
              <w:rPr>
                <w:rFonts w:ascii="宋体" w:hAnsi="宋体" w:eastAsia="宋体" w:cs="宋体"/>
                <w:color w:val="auto"/>
                <w:spacing w:val="3"/>
                <w:sz w:val="15"/>
                <w:szCs w:val="15"/>
              </w:rPr>
              <w:t>日起7个工作日内</w:t>
            </w:r>
            <w:r>
              <w:rPr>
                <w:rFonts w:ascii="宋体" w:hAnsi="宋体" w:eastAsia="宋体" w:cs="宋体"/>
                <w:color w:val="auto"/>
                <w:spacing w:val="-2"/>
                <w:sz w:val="15"/>
                <w:szCs w:val="15"/>
              </w:rPr>
              <w:t>上网公示</w:t>
            </w:r>
          </w:p>
        </w:tc>
        <w:tc>
          <w:tcPr>
            <w:tcW w:w="1025" w:type="dxa"/>
            <w:vMerge w:val="continue"/>
            <w:tcBorders>
              <w:tl2br w:val="nil"/>
              <w:tr2bl w:val="nil"/>
            </w:tcBorders>
            <w:vAlign w:val="center"/>
          </w:tcPr>
          <w:p w14:paraId="003746F8"/>
        </w:tc>
        <w:tc>
          <w:tcPr>
            <w:tcW w:w="998" w:type="dxa"/>
            <w:vMerge w:val="continue"/>
            <w:tcBorders>
              <w:tl2br w:val="nil"/>
              <w:tr2bl w:val="nil"/>
            </w:tcBorders>
            <w:vAlign w:val="center"/>
          </w:tcPr>
          <w:p w14:paraId="5DA36E86"/>
        </w:tc>
      </w:tr>
      <w:tr w14:paraId="0342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655" w:type="dxa"/>
            <w:vMerge w:val="continue"/>
            <w:tcBorders>
              <w:tl2br w:val="nil"/>
              <w:tr2bl w:val="nil"/>
            </w:tcBorders>
            <w:textDirection w:val="tbRlV"/>
          </w:tcPr>
          <w:p w14:paraId="072A2B13"/>
        </w:tc>
        <w:tc>
          <w:tcPr>
            <w:tcW w:w="420" w:type="dxa"/>
            <w:vMerge w:val="continue"/>
            <w:tcBorders>
              <w:tl2br w:val="nil"/>
              <w:tr2bl w:val="nil"/>
            </w:tcBorders>
            <w:vAlign w:val="center"/>
          </w:tcPr>
          <w:p w14:paraId="5DB1FC68"/>
        </w:tc>
        <w:tc>
          <w:tcPr>
            <w:tcW w:w="738" w:type="dxa"/>
            <w:tcBorders>
              <w:tl2br w:val="nil"/>
              <w:tr2bl w:val="nil"/>
            </w:tcBorders>
            <w:vAlign w:val="center"/>
          </w:tcPr>
          <w:p w14:paraId="2792A135">
            <w:pPr>
              <w:spacing w:before="49" w:line="221" w:lineRule="auto"/>
              <w:ind w:left="22"/>
              <w:jc w:val="center"/>
              <w:rPr>
                <w:rFonts w:hint="eastAsia" w:ascii="宋体" w:hAnsi="宋体" w:eastAsia="宋体" w:cs="宋体"/>
                <w:b w:val="0"/>
                <w:bCs w:val="0"/>
                <w:color w:val="auto"/>
                <w:sz w:val="15"/>
                <w:szCs w:val="15"/>
                <w:lang w:eastAsia="zh-CN"/>
              </w:rPr>
            </w:pPr>
            <w:r>
              <w:rPr>
                <w:rFonts w:hint="eastAsia" w:ascii="宋体" w:hAnsi="宋体" w:eastAsia="宋体" w:cs="宋体"/>
                <w:b w:val="0"/>
                <w:bCs w:val="0"/>
                <w:color w:val="auto"/>
                <w:spacing w:val="1"/>
                <w:sz w:val="15"/>
                <w:szCs w:val="15"/>
                <w:lang w:eastAsia="zh-CN"/>
              </w:rPr>
              <w:t>行政强制</w:t>
            </w:r>
          </w:p>
        </w:tc>
        <w:tc>
          <w:tcPr>
            <w:tcW w:w="2496" w:type="dxa"/>
            <w:tcBorders>
              <w:tl2br w:val="nil"/>
              <w:tr2bl w:val="nil"/>
            </w:tcBorders>
            <w:vAlign w:val="center"/>
          </w:tcPr>
          <w:p w14:paraId="5EEC1B19">
            <w:pPr>
              <w:spacing w:before="9" w:line="218" w:lineRule="auto"/>
              <w:ind w:left="1" w:right="76"/>
              <w:jc w:val="both"/>
              <w:rPr>
                <w:rFonts w:ascii="宋体" w:hAnsi="宋体" w:eastAsia="宋体" w:cs="宋体"/>
                <w:color w:val="auto"/>
                <w:sz w:val="15"/>
                <w:szCs w:val="15"/>
              </w:rPr>
            </w:pPr>
            <w:r>
              <w:rPr>
                <w:rFonts w:hint="eastAsia" w:ascii="宋体" w:hAnsi="宋体" w:eastAsia="宋体" w:cs="宋体"/>
                <w:color w:val="auto"/>
                <w:spacing w:val="5"/>
                <w:sz w:val="15"/>
                <w:szCs w:val="15"/>
                <w:lang w:val="en-US" w:eastAsia="zh-CN"/>
              </w:rPr>
              <w:t>对校外培训机构、民办幼儿园不符合办学场所要求的强制关停等</w:t>
            </w:r>
            <w:r>
              <w:rPr>
                <w:rFonts w:hint="eastAsia" w:ascii="宋体" w:hAnsi="宋体" w:eastAsia="宋体" w:cs="宋体"/>
                <w:color w:val="auto"/>
                <w:spacing w:val="5"/>
                <w:sz w:val="15"/>
                <w:szCs w:val="15"/>
              </w:rPr>
              <w:t>依据、条件、程序以及办理结果</w:t>
            </w:r>
          </w:p>
        </w:tc>
        <w:tc>
          <w:tcPr>
            <w:tcW w:w="3866" w:type="dxa"/>
            <w:gridSpan w:val="3"/>
            <w:vMerge w:val="continue"/>
            <w:tcBorders>
              <w:tl2br w:val="nil"/>
              <w:tr2bl w:val="nil"/>
            </w:tcBorders>
          </w:tcPr>
          <w:p w14:paraId="022B5751"/>
        </w:tc>
        <w:tc>
          <w:tcPr>
            <w:tcW w:w="1467" w:type="dxa"/>
            <w:vMerge w:val="continue"/>
            <w:tcBorders>
              <w:tl2br w:val="nil"/>
              <w:tr2bl w:val="nil"/>
            </w:tcBorders>
            <w:vAlign w:val="center"/>
          </w:tcPr>
          <w:p w14:paraId="3059979F"/>
        </w:tc>
        <w:tc>
          <w:tcPr>
            <w:tcW w:w="1338" w:type="dxa"/>
            <w:vMerge w:val="continue"/>
            <w:tcBorders>
              <w:tl2br w:val="nil"/>
              <w:tr2bl w:val="nil"/>
            </w:tcBorders>
            <w:vAlign w:val="center"/>
          </w:tcPr>
          <w:p w14:paraId="2B3828FA"/>
        </w:tc>
        <w:tc>
          <w:tcPr>
            <w:tcW w:w="1587" w:type="dxa"/>
            <w:tcBorders>
              <w:tl2br w:val="nil"/>
              <w:tr2bl w:val="nil"/>
            </w:tcBorders>
            <w:vAlign w:val="center"/>
          </w:tcPr>
          <w:p w14:paraId="657E3FD0">
            <w:pPr>
              <w:pStyle w:val="8"/>
              <w:jc w:val="both"/>
              <w:rPr>
                <w:color w:val="auto"/>
              </w:rPr>
            </w:pPr>
            <w:r>
              <w:rPr>
                <w:rFonts w:hint="eastAsia" w:ascii="宋体" w:hAnsi="宋体" w:eastAsia="宋体" w:cs="宋体"/>
                <w:snapToGrid w:val="0"/>
                <w:color w:val="auto"/>
                <w:kern w:val="0"/>
                <w:sz w:val="15"/>
                <w:szCs w:val="15"/>
                <w:lang w:val="en-US" w:bidi="ar-SA"/>
              </w:rPr>
              <w:t>自行政决定</w:t>
            </w:r>
            <w:r>
              <w:rPr>
                <w:rFonts w:ascii="宋体" w:hAnsi="宋体" w:eastAsia="宋体" w:cs="宋体"/>
                <w:snapToGrid w:val="0"/>
                <w:color w:val="auto"/>
                <w:kern w:val="0"/>
                <w:sz w:val="15"/>
                <w:szCs w:val="15"/>
                <w:lang w:val="en-US" w:bidi="ar-SA"/>
              </w:rPr>
              <w:t>作出</w:t>
            </w:r>
            <w:r>
              <w:rPr>
                <w:rFonts w:hint="eastAsia" w:ascii="宋体" w:hAnsi="宋体" w:eastAsia="宋体" w:cs="宋体"/>
                <w:snapToGrid w:val="0"/>
                <w:color w:val="auto"/>
                <w:kern w:val="0"/>
                <w:sz w:val="15"/>
                <w:szCs w:val="15"/>
                <w:lang w:val="en-US" w:bidi="ar-SA"/>
              </w:rPr>
              <w:t>之日起20个工作日内公开</w:t>
            </w:r>
          </w:p>
        </w:tc>
        <w:tc>
          <w:tcPr>
            <w:tcW w:w="1025" w:type="dxa"/>
            <w:vMerge w:val="continue"/>
            <w:tcBorders>
              <w:tl2br w:val="nil"/>
              <w:tr2bl w:val="nil"/>
            </w:tcBorders>
            <w:vAlign w:val="center"/>
          </w:tcPr>
          <w:p w14:paraId="73BA8BCD"/>
        </w:tc>
        <w:tc>
          <w:tcPr>
            <w:tcW w:w="998" w:type="dxa"/>
            <w:vMerge w:val="continue"/>
            <w:tcBorders>
              <w:tl2br w:val="nil"/>
              <w:tr2bl w:val="nil"/>
            </w:tcBorders>
            <w:vAlign w:val="center"/>
          </w:tcPr>
          <w:p w14:paraId="3D27D1AA"/>
        </w:tc>
      </w:tr>
      <w:tr w14:paraId="58E9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655" w:type="dxa"/>
            <w:vMerge w:val="continue"/>
            <w:tcBorders>
              <w:tl2br w:val="nil"/>
              <w:tr2bl w:val="nil"/>
            </w:tcBorders>
            <w:textDirection w:val="tbRlV"/>
          </w:tcPr>
          <w:p w14:paraId="7458E7F4"/>
        </w:tc>
        <w:tc>
          <w:tcPr>
            <w:tcW w:w="420" w:type="dxa"/>
            <w:vMerge w:val="restart"/>
            <w:tcBorders>
              <w:tl2br w:val="nil"/>
              <w:tr2bl w:val="nil"/>
            </w:tcBorders>
          </w:tcPr>
          <w:p w14:paraId="3CA5D0B9">
            <w:pPr>
              <w:pStyle w:val="8"/>
              <w:spacing w:line="242" w:lineRule="auto"/>
              <w:rPr>
                <w:b w:val="0"/>
                <w:bCs w:val="0"/>
                <w:color w:val="auto"/>
              </w:rPr>
            </w:pPr>
          </w:p>
          <w:p w14:paraId="56B6914C">
            <w:pPr>
              <w:pStyle w:val="8"/>
              <w:spacing w:line="242" w:lineRule="auto"/>
              <w:rPr>
                <w:b w:val="0"/>
                <w:bCs w:val="0"/>
                <w:color w:val="auto"/>
              </w:rPr>
            </w:pPr>
          </w:p>
          <w:p w14:paraId="685753A9">
            <w:pPr>
              <w:pStyle w:val="8"/>
              <w:spacing w:line="245" w:lineRule="auto"/>
              <w:rPr>
                <w:b w:val="0"/>
                <w:bCs w:val="0"/>
                <w:color w:val="auto"/>
              </w:rPr>
            </w:pPr>
          </w:p>
          <w:p w14:paraId="05FFF241">
            <w:pPr>
              <w:pStyle w:val="8"/>
              <w:spacing w:line="245" w:lineRule="auto"/>
              <w:rPr>
                <w:b w:val="0"/>
                <w:bCs w:val="0"/>
                <w:color w:val="auto"/>
              </w:rPr>
            </w:pPr>
          </w:p>
          <w:p w14:paraId="0D95C18E">
            <w:pPr>
              <w:spacing w:before="49" w:line="218" w:lineRule="auto"/>
              <w:ind w:left="42"/>
              <w:rPr>
                <w:rFonts w:ascii="宋体" w:hAnsi="宋体" w:eastAsia="宋体" w:cs="宋体"/>
                <w:b w:val="0"/>
                <w:bCs w:val="0"/>
                <w:color w:val="auto"/>
                <w:sz w:val="15"/>
                <w:szCs w:val="15"/>
              </w:rPr>
            </w:pPr>
            <w:r>
              <w:rPr>
                <w:rFonts w:ascii="宋体" w:hAnsi="宋体" w:eastAsia="宋体" w:cs="宋体"/>
                <w:b w:val="0"/>
                <w:bCs w:val="0"/>
                <w:color w:val="auto"/>
                <w:spacing w:val="-4"/>
                <w:sz w:val="15"/>
                <w:szCs w:val="15"/>
              </w:rPr>
              <w:t>财务</w:t>
            </w:r>
          </w:p>
          <w:p w14:paraId="795C994A">
            <w:pPr>
              <w:spacing w:before="4" w:line="218" w:lineRule="auto"/>
              <w:ind w:left="40"/>
              <w:rPr>
                <w:rFonts w:ascii="宋体" w:hAnsi="宋体" w:eastAsia="宋体" w:cs="宋体"/>
                <w:b w:val="0"/>
                <w:bCs w:val="0"/>
                <w:color w:val="auto"/>
                <w:sz w:val="15"/>
                <w:szCs w:val="15"/>
              </w:rPr>
            </w:pPr>
            <w:r>
              <w:rPr>
                <w:rFonts w:ascii="宋体" w:hAnsi="宋体" w:eastAsia="宋体" w:cs="宋体"/>
                <w:b w:val="0"/>
                <w:bCs w:val="0"/>
                <w:color w:val="auto"/>
                <w:spacing w:val="-2"/>
                <w:sz w:val="15"/>
                <w:szCs w:val="15"/>
              </w:rPr>
              <w:t>信息</w:t>
            </w:r>
          </w:p>
        </w:tc>
        <w:tc>
          <w:tcPr>
            <w:tcW w:w="738" w:type="dxa"/>
            <w:tcBorders>
              <w:tl2br w:val="nil"/>
              <w:tr2bl w:val="nil"/>
            </w:tcBorders>
            <w:vAlign w:val="center"/>
          </w:tcPr>
          <w:p w14:paraId="19640932">
            <w:pPr>
              <w:spacing w:before="49" w:line="218" w:lineRule="auto"/>
              <w:jc w:val="center"/>
              <w:rPr>
                <w:rFonts w:ascii="宋体" w:hAnsi="宋体" w:eastAsia="宋体" w:cs="宋体"/>
                <w:b w:val="0"/>
                <w:bCs w:val="0"/>
                <w:color w:val="auto"/>
                <w:sz w:val="15"/>
                <w:szCs w:val="15"/>
              </w:rPr>
            </w:pPr>
            <w:r>
              <w:rPr>
                <w:rFonts w:ascii="宋体" w:hAnsi="宋体" w:eastAsia="宋体" w:cs="宋体"/>
                <w:b w:val="0"/>
                <w:bCs w:val="0"/>
                <w:color w:val="auto"/>
                <w:spacing w:val="-3"/>
                <w:sz w:val="15"/>
                <w:szCs w:val="15"/>
              </w:rPr>
              <w:t>预算决算</w:t>
            </w:r>
          </w:p>
        </w:tc>
        <w:tc>
          <w:tcPr>
            <w:tcW w:w="2496" w:type="dxa"/>
            <w:tcBorders>
              <w:tl2br w:val="nil"/>
              <w:tr2bl w:val="nil"/>
            </w:tcBorders>
            <w:vAlign w:val="center"/>
          </w:tcPr>
          <w:p w14:paraId="2C7CDE50">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财政预算、决算信息</w:t>
            </w:r>
          </w:p>
        </w:tc>
        <w:tc>
          <w:tcPr>
            <w:tcW w:w="685" w:type="dxa"/>
            <w:tcBorders>
              <w:tl2br w:val="nil"/>
              <w:tr2bl w:val="nil"/>
            </w:tcBorders>
            <w:vAlign w:val="center"/>
          </w:tcPr>
          <w:p w14:paraId="10280B18">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行政法规</w:t>
            </w:r>
          </w:p>
        </w:tc>
        <w:tc>
          <w:tcPr>
            <w:tcW w:w="3181" w:type="dxa"/>
            <w:gridSpan w:val="2"/>
            <w:tcBorders>
              <w:tl2br w:val="nil"/>
              <w:tr2bl w:val="nil"/>
            </w:tcBorders>
            <w:vAlign w:val="center"/>
          </w:tcPr>
          <w:p w14:paraId="24476BD1">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1.《中华人民共和国预算法》第十四条</w:t>
            </w:r>
            <w:r>
              <w:rPr>
                <w:rFonts w:hint="eastAsia" w:ascii="宋体" w:hAnsi="宋体" w:eastAsia="宋体" w:cs="宋体"/>
                <w:color w:val="auto"/>
                <w:spacing w:val="5"/>
                <w:sz w:val="15"/>
                <w:szCs w:val="15"/>
                <w:lang w:val="en-US" w:eastAsia="zh-CN"/>
              </w:rPr>
              <w:br w:type="textWrapping"/>
            </w:r>
            <w:r>
              <w:rPr>
                <w:rFonts w:hint="eastAsia" w:ascii="宋体" w:hAnsi="宋体" w:eastAsia="宋体" w:cs="宋体"/>
                <w:color w:val="auto"/>
                <w:spacing w:val="5"/>
                <w:sz w:val="15"/>
                <w:szCs w:val="15"/>
                <w:lang w:val="en-US" w:eastAsia="zh-CN"/>
              </w:rPr>
              <w:t>2.《中华人民共和国政府信息公开条例》第二十条第七项</w:t>
            </w:r>
          </w:p>
        </w:tc>
        <w:tc>
          <w:tcPr>
            <w:tcW w:w="1467" w:type="dxa"/>
            <w:tcBorders>
              <w:tl2br w:val="nil"/>
              <w:tr2bl w:val="nil"/>
            </w:tcBorders>
            <w:vAlign w:val="center"/>
          </w:tcPr>
          <w:p w14:paraId="3B9D4802">
            <w:pPr>
              <w:jc w:val="left"/>
              <w:rPr>
                <w:color w:val="auto"/>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559C6D82">
            <w:pPr>
              <w:jc w:val="both"/>
              <w:rPr>
                <w:color w:val="auto"/>
              </w:rPr>
            </w:pPr>
            <w:r>
              <w:rPr>
                <w:rFonts w:hint="eastAsia" w:ascii="宋体" w:hAnsi="宋体" w:eastAsia="宋体" w:cs="宋体"/>
                <w:color w:val="auto"/>
                <w:spacing w:val="1"/>
                <w:sz w:val="15"/>
                <w:szCs w:val="15"/>
              </w:rPr>
              <w:t>四川政府采购网</w:t>
            </w:r>
          </w:p>
        </w:tc>
        <w:tc>
          <w:tcPr>
            <w:tcW w:w="1587" w:type="dxa"/>
            <w:tcBorders>
              <w:tl2br w:val="nil"/>
              <w:tr2bl w:val="nil"/>
            </w:tcBorders>
            <w:vAlign w:val="center"/>
          </w:tcPr>
          <w:p w14:paraId="79F807A1">
            <w:pPr>
              <w:pStyle w:val="8"/>
              <w:jc w:val="both"/>
              <w:rPr>
                <w:color w:val="auto"/>
              </w:rPr>
            </w:pPr>
            <w:r>
              <w:rPr>
                <w:rFonts w:hint="eastAsia" w:ascii="宋体" w:hAnsi="宋体" w:eastAsia="宋体" w:cs="宋体"/>
                <w:snapToGrid w:val="0"/>
                <w:color w:val="auto"/>
                <w:kern w:val="0"/>
                <w:sz w:val="15"/>
                <w:szCs w:val="15"/>
                <w:lang w:val="en-US" w:bidi="ar-SA"/>
              </w:rPr>
              <w:t>批复后二十日内公开</w:t>
            </w:r>
          </w:p>
        </w:tc>
        <w:tc>
          <w:tcPr>
            <w:tcW w:w="1025" w:type="dxa"/>
            <w:tcBorders>
              <w:tl2br w:val="nil"/>
              <w:tr2bl w:val="nil"/>
            </w:tcBorders>
            <w:vAlign w:val="center"/>
          </w:tcPr>
          <w:p w14:paraId="73131B72">
            <w:pPr>
              <w:pStyle w:val="8"/>
              <w:jc w:val="left"/>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计划基建财务股</w:t>
            </w:r>
          </w:p>
        </w:tc>
        <w:tc>
          <w:tcPr>
            <w:tcW w:w="998" w:type="dxa"/>
            <w:tcBorders>
              <w:tl2br w:val="nil"/>
              <w:tr2bl w:val="nil"/>
            </w:tcBorders>
            <w:vAlign w:val="center"/>
          </w:tcPr>
          <w:p w14:paraId="2D7DE048">
            <w:pPr>
              <w:pStyle w:val="8"/>
              <w:jc w:val="center"/>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0812-3986738</w:t>
            </w:r>
          </w:p>
        </w:tc>
      </w:tr>
      <w:tr w14:paraId="49A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trPr>
        <w:tc>
          <w:tcPr>
            <w:tcW w:w="655" w:type="dxa"/>
            <w:vMerge w:val="continue"/>
            <w:tcBorders>
              <w:tl2br w:val="nil"/>
              <w:tr2bl w:val="nil"/>
            </w:tcBorders>
            <w:textDirection w:val="tbRlV"/>
          </w:tcPr>
          <w:p w14:paraId="3A87DA92"/>
        </w:tc>
        <w:tc>
          <w:tcPr>
            <w:tcW w:w="420" w:type="dxa"/>
            <w:vMerge w:val="continue"/>
            <w:tcBorders>
              <w:tl2br w:val="nil"/>
              <w:tr2bl w:val="nil"/>
            </w:tcBorders>
          </w:tcPr>
          <w:p w14:paraId="2DAB7B7B"/>
        </w:tc>
        <w:tc>
          <w:tcPr>
            <w:tcW w:w="738" w:type="dxa"/>
            <w:tcBorders>
              <w:tl2br w:val="nil"/>
              <w:tr2bl w:val="nil"/>
            </w:tcBorders>
            <w:vAlign w:val="center"/>
          </w:tcPr>
          <w:p w14:paraId="6637B1DF">
            <w:pPr>
              <w:spacing w:before="49" w:line="218" w:lineRule="auto"/>
              <w:jc w:val="center"/>
              <w:rPr>
                <w:rFonts w:ascii="宋体" w:hAnsi="宋体" w:eastAsia="宋体" w:cs="宋体"/>
                <w:b w:val="0"/>
                <w:bCs w:val="0"/>
                <w:color w:val="auto"/>
                <w:sz w:val="15"/>
                <w:szCs w:val="15"/>
              </w:rPr>
            </w:pPr>
            <w:r>
              <w:rPr>
                <w:rFonts w:ascii="宋体" w:hAnsi="宋体" w:eastAsia="宋体" w:cs="宋体"/>
                <w:b w:val="0"/>
                <w:bCs w:val="0"/>
                <w:color w:val="auto"/>
                <w:spacing w:val="4"/>
                <w:sz w:val="15"/>
                <w:szCs w:val="15"/>
              </w:rPr>
              <w:t>收费项目</w:t>
            </w:r>
          </w:p>
        </w:tc>
        <w:tc>
          <w:tcPr>
            <w:tcW w:w="2496" w:type="dxa"/>
            <w:tcBorders>
              <w:tl2br w:val="nil"/>
              <w:tr2bl w:val="nil"/>
            </w:tcBorders>
            <w:vAlign w:val="center"/>
          </w:tcPr>
          <w:p w14:paraId="1574F103">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教育收费项目及其依据、标准</w:t>
            </w:r>
          </w:p>
        </w:tc>
        <w:tc>
          <w:tcPr>
            <w:tcW w:w="685" w:type="dxa"/>
            <w:tcBorders>
              <w:tl2br w:val="nil"/>
              <w:tr2bl w:val="nil"/>
            </w:tcBorders>
            <w:vAlign w:val="center"/>
          </w:tcPr>
          <w:p w14:paraId="7C972AD7">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行政法规</w:t>
            </w:r>
            <w:r>
              <w:rPr>
                <w:rFonts w:hint="eastAsia" w:ascii="宋体" w:hAnsi="宋体" w:eastAsia="宋体" w:cs="宋体"/>
                <w:color w:val="auto"/>
                <w:spacing w:val="5"/>
                <w:sz w:val="15"/>
                <w:szCs w:val="15"/>
                <w:lang w:val="en-US" w:eastAsia="zh-CN"/>
              </w:rPr>
              <w:br w:type="textWrapping"/>
            </w:r>
            <w:r>
              <w:rPr>
                <w:rFonts w:hint="eastAsia" w:ascii="宋体" w:hAnsi="宋体" w:eastAsia="宋体" w:cs="宋体"/>
                <w:color w:val="auto"/>
                <w:spacing w:val="5"/>
                <w:sz w:val="15"/>
                <w:szCs w:val="15"/>
                <w:lang w:val="en-US" w:eastAsia="zh-CN"/>
              </w:rPr>
              <w:t>行政规范性文件</w:t>
            </w:r>
          </w:p>
        </w:tc>
        <w:tc>
          <w:tcPr>
            <w:tcW w:w="3181" w:type="dxa"/>
            <w:gridSpan w:val="2"/>
            <w:tcBorders>
              <w:tl2br w:val="nil"/>
              <w:tr2bl w:val="nil"/>
            </w:tcBorders>
            <w:vAlign w:val="center"/>
          </w:tcPr>
          <w:p w14:paraId="733C07E0">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1.《中华人民共和国政府信息公开条例》第二十条第八项《四川省发展和改革委员会 四川省财政厅</w:t>
            </w:r>
            <w:r>
              <w:rPr>
                <w:rFonts w:hint="eastAsia" w:ascii="宋体" w:hAnsi="宋体" w:eastAsia="宋体" w:cs="宋体"/>
                <w:color w:val="auto"/>
                <w:spacing w:val="5"/>
                <w:sz w:val="15"/>
                <w:szCs w:val="15"/>
                <w:lang w:val="en-US" w:eastAsia="zh-CN"/>
              </w:rPr>
              <w:br w:type="textWrapping"/>
            </w:r>
            <w:r>
              <w:rPr>
                <w:rFonts w:hint="eastAsia" w:ascii="宋体" w:hAnsi="宋体" w:eastAsia="宋体" w:cs="宋体"/>
                <w:color w:val="auto"/>
                <w:spacing w:val="5"/>
                <w:sz w:val="15"/>
                <w:szCs w:val="15"/>
                <w:lang w:val="en-US" w:eastAsia="zh-CN"/>
              </w:rPr>
              <w:t>2.关于全省人力资源社会保障部门行政事业性收费的通知》</w:t>
            </w:r>
          </w:p>
        </w:tc>
        <w:tc>
          <w:tcPr>
            <w:tcW w:w="1467" w:type="dxa"/>
            <w:tcBorders>
              <w:tl2br w:val="nil"/>
              <w:tr2bl w:val="nil"/>
            </w:tcBorders>
            <w:vAlign w:val="center"/>
          </w:tcPr>
          <w:p w14:paraId="3F7F461F">
            <w:pPr>
              <w:jc w:val="left"/>
              <w:rPr>
                <w:color w:val="auto"/>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4F712D09">
            <w:pPr>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58473724">
            <w:pPr>
              <w:pStyle w:val="8"/>
              <w:jc w:val="both"/>
              <w:rPr>
                <w:color w:val="auto"/>
              </w:rPr>
            </w:pPr>
            <w:r>
              <w:rPr>
                <w:rFonts w:ascii="宋体" w:hAnsi="宋体" w:eastAsia="宋体" w:cs="宋体"/>
                <w:color w:val="auto"/>
                <w:spacing w:val="-2"/>
                <w:sz w:val="15"/>
                <w:szCs w:val="15"/>
              </w:rPr>
              <w:t>公开事项信息形成</w:t>
            </w:r>
            <w:r>
              <w:rPr>
                <w:rFonts w:ascii="宋体" w:hAnsi="宋体" w:eastAsia="宋体" w:cs="宋体"/>
                <w:color w:val="auto"/>
                <w:sz w:val="15"/>
                <w:szCs w:val="15"/>
              </w:rPr>
              <w:t>或变更之日起</w:t>
            </w:r>
            <w:r>
              <w:rPr>
                <w:rFonts w:hint="eastAsia" w:ascii="宋体" w:hAnsi="宋体" w:eastAsia="宋体" w:cs="宋体"/>
                <w:color w:val="auto"/>
                <w:sz w:val="15"/>
                <w:szCs w:val="15"/>
                <w:lang w:val="en-US" w:eastAsia="zh-CN"/>
              </w:rPr>
              <w:t>10</w:t>
            </w:r>
            <w:r>
              <w:rPr>
                <w:rFonts w:ascii="宋体" w:hAnsi="宋体" w:eastAsia="宋体" w:cs="宋体"/>
                <w:color w:val="auto"/>
                <w:sz w:val="15"/>
                <w:szCs w:val="15"/>
              </w:rPr>
              <w:t>个</w:t>
            </w:r>
            <w:r>
              <w:rPr>
                <w:rFonts w:ascii="宋体" w:hAnsi="宋体" w:eastAsia="宋体" w:cs="宋体"/>
                <w:color w:val="auto"/>
                <w:spacing w:val="-2"/>
                <w:sz w:val="15"/>
                <w:szCs w:val="15"/>
              </w:rPr>
              <w:t>工作日内公开</w:t>
            </w:r>
          </w:p>
        </w:tc>
        <w:tc>
          <w:tcPr>
            <w:tcW w:w="1025" w:type="dxa"/>
            <w:tcBorders>
              <w:tl2br w:val="nil"/>
              <w:tr2bl w:val="nil"/>
            </w:tcBorders>
            <w:vAlign w:val="center"/>
          </w:tcPr>
          <w:p w14:paraId="6AA09FCE">
            <w:pPr>
              <w:pStyle w:val="8"/>
              <w:jc w:val="left"/>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计划基建财务股</w:t>
            </w:r>
          </w:p>
        </w:tc>
        <w:tc>
          <w:tcPr>
            <w:tcW w:w="998" w:type="dxa"/>
            <w:tcBorders>
              <w:tl2br w:val="nil"/>
              <w:tr2bl w:val="nil"/>
            </w:tcBorders>
            <w:vAlign w:val="center"/>
          </w:tcPr>
          <w:p w14:paraId="51263F3A">
            <w:pPr>
              <w:pStyle w:val="8"/>
              <w:jc w:val="center"/>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0812-3986738</w:t>
            </w:r>
          </w:p>
          <w:p w14:paraId="6FBD4623">
            <w:pPr>
              <w:pStyle w:val="8"/>
              <w:jc w:val="center"/>
              <w:rPr>
                <w:rFonts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0812-3986770</w:t>
            </w:r>
          </w:p>
        </w:tc>
      </w:tr>
      <w:tr w14:paraId="3306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655" w:type="dxa"/>
            <w:vMerge w:val="continue"/>
            <w:tcBorders>
              <w:tl2br w:val="nil"/>
              <w:tr2bl w:val="nil"/>
            </w:tcBorders>
            <w:textDirection w:val="tbRlV"/>
          </w:tcPr>
          <w:p w14:paraId="29E67DEA"/>
        </w:tc>
        <w:tc>
          <w:tcPr>
            <w:tcW w:w="420" w:type="dxa"/>
            <w:vMerge w:val="continue"/>
            <w:tcBorders>
              <w:tl2br w:val="nil"/>
              <w:tr2bl w:val="nil"/>
            </w:tcBorders>
          </w:tcPr>
          <w:p w14:paraId="47DE1035"/>
        </w:tc>
        <w:tc>
          <w:tcPr>
            <w:tcW w:w="738" w:type="dxa"/>
            <w:tcBorders>
              <w:tl2br w:val="nil"/>
              <w:tr2bl w:val="nil"/>
            </w:tcBorders>
            <w:vAlign w:val="center"/>
          </w:tcPr>
          <w:p w14:paraId="0A6BEFA2">
            <w:pPr>
              <w:keepNext w:val="0"/>
              <w:keepLines w:val="0"/>
              <w:pageBreakBefore w:val="0"/>
              <w:widowControl/>
              <w:kinsoku w:val="0"/>
              <w:wordWrap/>
              <w:overflowPunct/>
              <w:topLinePunct w:val="0"/>
              <w:autoSpaceDE w:val="0"/>
              <w:autoSpaceDN w:val="0"/>
              <w:bidi w:val="0"/>
              <w:adjustRightInd w:val="0"/>
              <w:snapToGrid w:val="0"/>
              <w:spacing w:before="45" w:line="218" w:lineRule="auto"/>
              <w:jc w:val="center"/>
              <w:textAlignment w:val="baseline"/>
              <w:rPr>
                <w:rFonts w:ascii="宋体" w:hAnsi="宋体" w:eastAsia="宋体" w:cs="宋体"/>
                <w:b w:val="0"/>
                <w:bCs w:val="0"/>
                <w:color w:val="auto"/>
                <w:sz w:val="15"/>
                <w:szCs w:val="15"/>
              </w:rPr>
            </w:pPr>
            <w:r>
              <w:rPr>
                <w:rFonts w:ascii="宋体" w:hAnsi="宋体" w:eastAsia="宋体" w:cs="宋体"/>
                <w:b w:val="0"/>
                <w:bCs w:val="0"/>
                <w:color w:val="auto"/>
                <w:spacing w:val="-3"/>
                <w:sz w:val="15"/>
                <w:szCs w:val="15"/>
              </w:rPr>
              <w:t>政府采购</w:t>
            </w:r>
          </w:p>
        </w:tc>
        <w:tc>
          <w:tcPr>
            <w:tcW w:w="2496" w:type="dxa"/>
            <w:tcBorders>
              <w:tl2br w:val="nil"/>
              <w:tr2bl w:val="nil"/>
            </w:tcBorders>
            <w:vAlign w:val="center"/>
          </w:tcPr>
          <w:p w14:paraId="0FD60BB9">
            <w:pPr>
              <w:jc w:val="left"/>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采购意向、采购公告、资格预审、采购结果、采购合同信息</w:t>
            </w:r>
          </w:p>
        </w:tc>
        <w:tc>
          <w:tcPr>
            <w:tcW w:w="685" w:type="dxa"/>
            <w:tcBorders>
              <w:tl2br w:val="nil"/>
              <w:tr2bl w:val="nil"/>
            </w:tcBorders>
            <w:vAlign w:val="center"/>
          </w:tcPr>
          <w:p w14:paraId="6AEC1E4A">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法律</w:t>
            </w:r>
            <w:r>
              <w:rPr>
                <w:rFonts w:hint="eastAsia" w:ascii="宋体" w:hAnsi="宋体" w:eastAsia="宋体" w:cs="宋体"/>
                <w:color w:val="auto"/>
                <w:spacing w:val="5"/>
                <w:sz w:val="15"/>
                <w:szCs w:val="15"/>
                <w:lang w:val="en-US" w:eastAsia="zh-CN"/>
              </w:rPr>
              <w:br w:type="textWrapping"/>
            </w:r>
            <w:r>
              <w:rPr>
                <w:rFonts w:hint="eastAsia" w:ascii="宋体" w:hAnsi="宋体" w:eastAsia="宋体" w:cs="宋体"/>
                <w:color w:val="auto"/>
                <w:spacing w:val="5"/>
                <w:sz w:val="15"/>
                <w:szCs w:val="15"/>
                <w:lang w:val="en-US" w:eastAsia="zh-CN"/>
              </w:rPr>
              <w:t>行政法规</w:t>
            </w:r>
          </w:p>
        </w:tc>
        <w:tc>
          <w:tcPr>
            <w:tcW w:w="3181" w:type="dxa"/>
            <w:gridSpan w:val="2"/>
            <w:tcBorders>
              <w:tl2br w:val="nil"/>
              <w:tr2bl w:val="nil"/>
            </w:tcBorders>
            <w:vAlign w:val="center"/>
          </w:tcPr>
          <w:p w14:paraId="3C057839">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《财政部关于开展政府采购意向公开工作的通知》第五条</w:t>
            </w:r>
          </w:p>
          <w:p w14:paraId="6859C37C">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1.《中华人民共和国政府采购法》第六十三条</w:t>
            </w:r>
            <w:r>
              <w:rPr>
                <w:rFonts w:hint="eastAsia" w:ascii="宋体" w:hAnsi="宋体" w:eastAsia="宋体" w:cs="宋体"/>
                <w:color w:val="auto"/>
                <w:spacing w:val="5"/>
                <w:sz w:val="15"/>
                <w:szCs w:val="15"/>
                <w:lang w:val="en-US" w:eastAsia="zh-CN"/>
              </w:rPr>
              <w:br w:type="textWrapping"/>
            </w:r>
            <w:r>
              <w:rPr>
                <w:rFonts w:hint="eastAsia" w:ascii="宋体" w:hAnsi="宋体" w:eastAsia="宋体" w:cs="宋体"/>
                <w:color w:val="auto"/>
                <w:spacing w:val="5"/>
                <w:sz w:val="15"/>
                <w:szCs w:val="15"/>
                <w:lang w:val="en-US" w:eastAsia="zh-CN"/>
              </w:rPr>
              <w:t>2.《中华人民共和国政府采购法实施条例》第八条、二十一条、五十条等</w:t>
            </w:r>
            <w:r>
              <w:rPr>
                <w:rFonts w:hint="eastAsia" w:ascii="宋体" w:hAnsi="宋体" w:eastAsia="宋体" w:cs="宋体"/>
                <w:color w:val="auto"/>
                <w:spacing w:val="5"/>
                <w:sz w:val="15"/>
                <w:szCs w:val="15"/>
                <w:lang w:val="en-US" w:eastAsia="zh-CN"/>
              </w:rPr>
              <w:br w:type="textWrapping"/>
            </w:r>
            <w:r>
              <w:rPr>
                <w:rFonts w:hint="eastAsia" w:ascii="宋体" w:hAnsi="宋体" w:eastAsia="宋体" w:cs="宋体"/>
                <w:color w:val="auto"/>
                <w:spacing w:val="5"/>
                <w:sz w:val="15"/>
                <w:szCs w:val="15"/>
                <w:lang w:val="en-US" w:eastAsia="zh-CN"/>
              </w:rPr>
              <w:t>3.《中华人民共和国政府信息公开条例》第二十条第九项</w:t>
            </w:r>
          </w:p>
        </w:tc>
        <w:tc>
          <w:tcPr>
            <w:tcW w:w="1467" w:type="dxa"/>
            <w:tcBorders>
              <w:tl2br w:val="nil"/>
              <w:tr2bl w:val="nil"/>
            </w:tcBorders>
            <w:vAlign w:val="center"/>
          </w:tcPr>
          <w:p w14:paraId="7C8E8657">
            <w:pPr>
              <w:jc w:val="left"/>
              <w:rPr>
                <w:color w:val="auto"/>
              </w:rPr>
            </w:pPr>
            <w:r>
              <w:rPr>
                <w:rFonts w:hint="eastAsia" w:ascii="宋体" w:hAnsi="宋体" w:eastAsia="宋体" w:cs="宋体"/>
                <w:color w:val="auto"/>
                <w:spacing w:val="4"/>
                <w:sz w:val="15"/>
                <w:szCs w:val="15"/>
                <w:lang w:eastAsia="zh-CN"/>
              </w:rPr>
              <w:t>各采购单位</w:t>
            </w:r>
          </w:p>
        </w:tc>
        <w:tc>
          <w:tcPr>
            <w:tcW w:w="1338" w:type="dxa"/>
            <w:tcBorders>
              <w:tl2br w:val="nil"/>
              <w:tr2bl w:val="nil"/>
            </w:tcBorders>
            <w:vAlign w:val="center"/>
          </w:tcPr>
          <w:p w14:paraId="4BFDF919">
            <w:pPr>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0CBA3F18">
            <w:pPr>
              <w:pStyle w:val="8"/>
              <w:jc w:val="both"/>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采购意向公开不得晚于采购活动开始前30日；采购公告不得早于采购意向公开后三十日；资格预审公告不得晚于提交资格预审申请文件的前5个工作日；采购结果在中标、成交供应商在确定之日起2个工作日内公告；采购合同公告于签订之日起2个工作日内公告。</w:t>
            </w:r>
          </w:p>
        </w:tc>
        <w:tc>
          <w:tcPr>
            <w:tcW w:w="1025" w:type="dxa"/>
            <w:tcBorders>
              <w:tl2br w:val="nil"/>
              <w:tr2bl w:val="nil"/>
            </w:tcBorders>
            <w:vAlign w:val="center"/>
          </w:tcPr>
          <w:p w14:paraId="628F3E8F">
            <w:pPr>
              <w:pStyle w:val="8"/>
              <w:jc w:val="left"/>
              <w:rPr>
                <w:rFonts w:hint="eastAsia" w:ascii="宋体" w:hAnsi="宋体" w:eastAsia="宋体" w:cs="宋体"/>
                <w:color w:val="auto"/>
                <w:spacing w:val="-2"/>
                <w:sz w:val="15"/>
                <w:szCs w:val="15"/>
                <w:lang w:eastAsia="zh-CN"/>
              </w:rPr>
            </w:pPr>
            <w:r>
              <w:rPr>
                <w:rFonts w:hint="eastAsia" w:ascii="宋体" w:hAnsi="宋体" w:eastAsia="宋体" w:cs="宋体"/>
                <w:color w:val="auto"/>
                <w:spacing w:val="4"/>
                <w:sz w:val="15"/>
                <w:szCs w:val="15"/>
                <w:lang w:eastAsia="zh-CN"/>
              </w:rPr>
              <w:t>各采购单位</w:t>
            </w:r>
          </w:p>
        </w:tc>
        <w:tc>
          <w:tcPr>
            <w:tcW w:w="998" w:type="dxa"/>
            <w:tcBorders>
              <w:tl2br w:val="nil"/>
              <w:tr2bl w:val="nil"/>
            </w:tcBorders>
            <w:vAlign w:val="center"/>
          </w:tcPr>
          <w:p w14:paraId="35A822A4">
            <w:pPr>
              <w:pStyle w:val="8"/>
              <w:jc w:val="center"/>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0812-3986738</w:t>
            </w:r>
          </w:p>
        </w:tc>
      </w:tr>
      <w:tr w14:paraId="3B61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655" w:type="dxa"/>
            <w:vMerge w:val="continue"/>
            <w:tcBorders>
              <w:tl2br w:val="nil"/>
              <w:tr2bl w:val="nil"/>
            </w:tcBorders>
            <w:textDirection w:val="tbRlV"/>
          </w:tcPr>
          <w:p w14:paraId="5548EB88"/>
        </w:tc>
        <w:tc>
          <w:tcPr>
            <w:tcW w:w="420" w:type="dxa"/>
            <w:vMerge w:val="restart"/>
            <w:tcBorders>
              <w:tl2br w:val="nil"/>
              <w:tr2bl w:val="nil"/>
            </w:tcBorders>
          </w:tcPr>
          <w:p w14:paraId="08875913">
            <w:pPr>
              <w:pStyle w:val="8"/>
              <w:jc w:val="center"/>
              <w:rPr>
                <w:rFonts w:ascii="宋体" w:hAnsi="宋体" w:eastAsia="宋体" w:cs="宋体"/>
                <w:color w:val="auto"/>
                <w:spacing w:val="-2"/>
                <w:sz w:val="15"/>
                <w:szCs w:val="15"/>
              </w:rPr>
            </w:pPr>
          </w:p>
          <w:p w14:paraId="728BA93F">
            <w:pPr>
              <w:pStyle w:val="8"/>
              <w:jc w:val="center"/>
              <w:rPr>
                <w:rFonts w:ascii="宋体" w:hAnsi="宋体" w:eastAsia="宋体" w:cs="宋体"/>
                <w:color w:val="auto"/>
                <w:spacing w:val="-2"/>
                <w:sz w:val="15"/>
                <w:szCs w:val="15"/>
              </w:rPr>
            </w:pPr>
          </w:p>
          <w:p w14:paraId="29B5AD5C">
            <w:pPr>
              <w:pStyle w:val="8"/>
              <w:jc w:val="center"/>
              <w:rPr>
                <w:rFonts w:ascii="宋体" w:hAnsi="宋体" w:eastAsia="宋体" w:cs="宋体"/>
                <w:color w:val="auto"/>
                <w:spacing w:val="-2"/>
                <w:sz w:val="15"/>
                <w:szCs w:val="15"/>
              </w:rPr>
            </w:pPr>
          </w:p>
          <w:p w14:paraId="701FC6CE">
            <w:pPr>
              <w:pStyle w:val="8"/>
              <w:jc w:val="center"/>
              <w:rPr>
                <w:rFonts w:ascii="宋体" w:hAnsi="宋体" w:eastAsia="宋体" w:cs="宋体"/>
                <w:color w:val="auto"/>
                <w:spacing w:val="-2"/>
                <w:sz w:val="15"/>
                <w:szCs w:val="15"/>
              </w:rPr>
            </w:pPr>
          </w:p>
          <w:p w14:paraId="234B69F6">
            <w:pPr>
              <w:pStyle w:val="8"/>
              <w:jc w:val="center"/>
              <w:rPr>
                <w:b w:val="0"/>
                <w:bCs w:val="0"/>
                <w:color w:val="auto"/>
              </w:rPr>
            </w:pPr>
            <w:r>
              <w:rPr>
                <w:rFonts w:ascii="宋体" w:hAnsi="宋体" w:eastAsia="宋体" w:cs="宋体"/>
                <w:color w:val="auto"/>
                <w:spacing w:val="-2"/>
                <w:sz w:val="15"/>
                <w:szCs w:val="15"/>
              </w:rPr>
              <w:t>重大</w:t>
            </w:r>
            <w:r>
              <w:rPr>
                <w:rFonts w:hint="eastAsia" w:ascii="宋体" w:hAnsi="宋体" w:eastAsia="宋体" w:cs="宋体"/>
                <w:color w:val="auto"/>
                <w:spacing w:val="-2"/>
                <w:sz w:val="15"/>
                <w:szCs w:val="15"/>
                <w:lang w:eastAsia="zh-CN"/>
              </w:rPr>
              <w:t>民生信息</w:t>
            </w:r>
          </w:p>
        </w:tc>
        <w:tc>
          <w:tcPr>
            <w:tcW w:w="738" w:type="dxa"/>
            <w:tcBorders>
              <w:tl2br w:val="nil"/>
              <w:tr2bl w:val="nil"/>
            </w:tcBorders>
            <w:vAlign w:val="center"/>
          </w:tcPr>
          <w:p w14:paraId="6F441DAF">
            <w:pPr>
              <w:keepNext w:val="0"/>
              <w:keepLines w:val="0"/>
              <w:pageBreakBefore w:val="0"/>
              <w:widowControl/>
              <w:kinsoku w:val="0"/>
              <w:wordWrap/>
              <w:overflowPunct/>
              <w:topLinePunct w:val="0"/>
              <w:autoSpaceDE w:val="0"/>
              <w:autoSpaceDN w:val="0"/>
              <w:bidi w:val="0"/>
              <w:adjustRightInd w:val="0"/>
              <w:snapToGrid w:val="0"/>
              <w:spacing w:before="45" w:line="218" w:lineRule="auto"/>
              <w:jc w:val="center"/>
              <w:textAlignment w:val="baseline"/>
              <w:rPr>
                <w:rFonts w:ascii="宋体" w:hAnsi="宋体" w:eastAsia="宋体" w:cs="宋体"/>
                <w:b w:val="0"/>
                <w:bCs w:val="0"/>
                <w:color w:val="auto"/>
                <w:spacing w:val="-3"/>
                <w:sz w:val="15"/>
                <w:szCs w:val="15"/>
              </w:rPr>
            </w:pPr>
            <w:r>
              <w:rPr>
                <w:rFonts w:hint="eastAsia" w:ascii="宋体" w:hAnsi="宋体" w:eastAsia="宋体" w:cs="宋体"/>
                <w:color w:val="auto"/>
                <w:sz w:val="15"/>
                <w:szCs w:val="15"/>
              </w:rPr>
              <w:t>中小学教师资格认定</w:t>
            </w:r>
          </w:p>
        </w:tc>
        <w:tc>
          <w:tcPr>
            <w:tcW w:w="2496" w:type="dxa"/>
            <w:tcBorders>
              <w:tl2br w:val="nil"/>
              <w:tr2bl w:val="nil"/>
            </w:tcBorders>
            <w:vAlign w:val="center"/>
          </w:tcPr>
          <w:p w14:paraId="779EC60E">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snapToGrid w:val="0"/>
                <w:color w:val="auto"/>
                <w:kern w:val="0"/>
                <w:sz w:val="15"/>
                <w:szCs w:val="15"/>
                <w:lang w:val="en-US" w:eastAsia="zh-CN" w:bidi="ar-SA"/>
              </w:rPr>
              <w:t>中小学教师资格认定结果</w:t>
            </w:r>
          </w:p>
        </w:tc>
        <w:tc>
          <w:tcPr>
            <w:tcW w:w="685" w:type="dxa"/>
            <w:tcBorders>
              <w:tl2br w:val="nil"/>
              <w:tr2bl w:val="nil"/>
            </w:tcBorders>
            <w:vAlign w:val="center"/>
          </w:tcPr>
          <w:p w14:paraId="2893763A">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行政法规</w:t>
            </w:r>
          </w:p>
        </w:tc>
        <w:tc>
          <w:tcPr>
            <w:tcW w:w="3181" w:type="dxa"/>
            <w:gridSpan w:val="2"/>
            <w:tcBorders>
              <w:tl2br w:val="nil"/>
              <w:tr2bl w:val="nil"/>
            </w:tcBorders>
            <w:vAlign w:val="center"/>
          </w:tcPr>
          <w:p w14:paraId="493A0D23">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《教师资格条例》第十三条、第十四条</w:t>
            </w:r>
          </w:p>
        </w:tc>
        <w:tc>
          <w:tcPr>
            <w:tcW w:w="1467" w:type="dxa"/>
            <w:tcBorders>
              <w:tl2br w:val="nil"/>
              <w:tr2bl w:val="nil"/>
            </w:tcBorders>
            <w:vAlign w:val="center"/>
          </w:tcPr>
          <w:p w14:paraId="0B97D05A">
            <w:pPr>
              <w:jc w:val="left"/>
              <w:rPr>
                <w:rFonts w:hint="eastAsia" w:ascii="宋体" w:hAnsi="宋体" w:eastAsia="宋体" w:cs="宋体"/>
                <w:color w:val="auto"/>
                <w:spacing w:val="4"/>
                <w:sz w:val="15"/>
                <w:szCs w:val="15"/>
                <w:lang w:eastAsia="zh-CN"/>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2CB68BEF">
            <w:pPr>
              <w:jc w:val="both"/>
              <w:rPr>
                <w:rFonts w:ascii="宋体" w:hAnsi="宋体" w:eastAsia="宋体" w:cs="宋体"/>
                <w:color w:val="auto"/>
                <w:spacing w:val="1"/>
                <w:sz w:val="15"/>
                <w:szCs w:val="15"/>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2A71886A">
            <w:pPr>
              <w:pStyle w:val="8"/>
              <w:jc w:val="both"/>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根据四川省教师资格认定时间统一进行公示</w:t>
            </w:r>
          </w:p>
        </w:tc>
        <w:tc>
          <w:tcPr>
            <w:tcW w:w="1025" w:type="dxa"/>
            <w:tcBorders>
              <w:tl2br w:val="nil"/>
              <w:tr2bl w:val="nil"/>
            </w:tcBorders>
            <w:vAlign w:val="center"/>
          </w:tcPr>
          <w:p w14:paraId="53097D98">
            <w:pPr>
              <w:pStyle w:val="8"/>
              <w:jc w:val="left"/>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人事股</w:t>
            </w:r>
          </w:p>
        </w:tc>
        <w:tc>
          <w:tcPr>
            <w:tcW w:w="998" w:type="dxa"/>
            <w:tcBorders>
              <w:tl2br w:val="nil"/>
              <w:tr2bl w:val="nil"/>
            </w:tcBorders>
            <w:vAlign w:val="center"/>
          </w:tcPr>
          <w:p w14:paraId="279DB016">
            <w:pPr>
              <w:pStyle w:val="8"/>
              <w:jc w:val="center"/>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0812-3986719</w:t>
            </w:r>
          </w:p>
        </w:tc>
      </w:tr>
      <w:tr w14:paraId="2CA5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655" w:type="dxa"/>
            <w:vMerge w:val="continue"/>
            <w:tcBorders>
              <w:tl2br w:val="nil"/>
              <w:tr2bl w:val="nil"/>
            </w:tcBorders>
            <w:textDirection w:val="tbRlV"/>
          </w:tcPr>
          <w:p w14:paraId="50759BA7"/>
        </w:tc>
        <w:tc>
          <w:tcPr>
            <w:tcW w:w="420" w:type="dxa"/>
            <w:vMerge w:val="continue"/>
            <w:tcBorders>
              <w:tl2br w:val="nil"/>
              <w:tr2bl w:val="nil"/>
            </w:tcBorders>
          </w:tcPr>
          <w:p w14:paraId="1842B0CB"/>
        </w:tc>
        <w:tc>
          <w:tcPr>
            <w:tcW w:w="738" w:type="dxa"/>
            <w:tcBorders>
              <w:tl2br w:val="nil"/>
              <w:tr2bl w:val="nil"/>
            </w:tcBorders>
            <w:vAlign w:val="center"/>
          </w:tcPr>
          <w:p w14:paraId="1561C234">
            <w:pPr>
              <w:keepNext w:val="0"/>
              <w:keepLines w:val="0"/>
              <w:pageBreakBefore w:val="0"/>
              <w:widowControl/>
              <w:kinsoku w:val="0"/>
              <w:wordWrap/>
              <w:overflowPunct/>
              <w:topLinePunct w:val="0"/>
              <w:autoSpaceDE w:val="0"/>
              <w:autoSpaceDN w:val="0"/>
              <w:bidi w:val="0"/>
              <w:adjustRightInd w:val="0"/>
              <w:snapToGrid w:val="0"/>
              <w:spacing w:before="45" w:line="218" w:lineRule="auto"/>
              <w:jc w:val="center"/>
              <w:textAlignment w:val="baseline"/>
              <w:rPr>
                <w:rFonts w:ascii="宋体" w:hAnsi="宋体" w:eastAsia="宋体" w:cs="宋体"/>
                <w:b w:val="0"/>
                <w:bCs w:val="0"/>
                <w:color w:val="auto"/>
                <w:spacing w:val="-3"/>
                <w:sz w:val="15"/>
                <w:szCs w:val="15"/>
              </w:rPr>
            </w:pPr>
            <w:r>
              <w:rPr>
                <w:rFonts w:hint="eastAsia" w:ascii="宋体" w:hAnsi="宋体" w:eastAsia="宋体" w:cs="宋体"/>
                <w:color w:val="auto"/>
                <w:sz w:val="15"/>
                <w:szCs w:val="15"/>
              </w:rPr>
              <w:t>民办学校办学水平和教育质量评估结果</w:t>
            </w:r>
          </w:p>
        </w:tc>
        <w:tc>
          <w:tcPr>
            <w:tcW w:w="2496" w:type="dxa"/>
            <w:tcBorders>
              <w:tl2br w:val="nil"/>
              <w:tr2bl w:val="nil"/>
            </w:tcBorders>
            <w:vAlign w:val="center"/>
          </w:tcPr>
          <w:p w14:paraId="5E608E0E">
            <w:pPr>
              <w:spacing w:line="226" w:lineRule="auto"/>
              <w:ind w:left="1" w:right="115"/>
              <w:jc w:val="both"/>
              <w:rPr>
                <w:rFonts w:hint="eastAsia" w:ascii="宋体" w:hAnsi="宋体" w:eastAsia="宋体" w:cs="宋体"/>
                <w:b w:val="0"/>
                <w:bCs w:val="0"/>
                <w:snapToGrid w:val="0"/>
                <w:color w:val="auto"/>
                <w:spacing w:val="-3"/>
                <w:kern w:val="0"/>
                <w:sz w:val="15"/>
                <w:szCs w:val="15"/>
                <w:lang w:val="en-US" w:eastAsia="zh-CN" w:bidi="ar-SA"/>
              </w:rPr>
            </w:pPr>
            <w:r>
              <w:rPr>
                <w:rFonts w:hint="eastAsia" w:ascii="宋体" w:hAnsi="宋体" w:eastAsia="宋体" w:cs="宋体"/>
                <w:b w:val="0"/>
                <w:bCs w:val="0"/>
                <w:snapToGrid w:val="0"/>
                <w:color w:val="auto"/>
                <w:spacing w:val="-3"/>
                <w:kern w:val="0"/>
                <w:sz w:val="15"/>
                <w:szCs w:val="15"/>
                <w:lang w:val="en-US" w:eastAsia="zh-CN" w:bidi="ar-SA"/>
              </w:rPr>
              <w:t>评估结果</w:t>
            </w:r>
          </w:p>
          <w:p w14:paraId="108AAE91">
            <w:pPr>
              <w:spacing w:line="226" w:lineRule="auto"/>
              <w:ind w:left="1" w:right="115"/>
              <w:jc w:val="both"/>
              <w:rPr>
                <w:rFonts w:hint="eastAsia" w:ascii="宋体" w:hAnsi="宋体" w:eastAsia="宋体" w:cs="宋体"/>
                <w:color w:val="auto"/>
                <w:spacing w:val="5"/>
                <w:sz w:val="15"/>
                <w:szCs w:val="15"/>
                <w:lang w:val="en-US" w:eastAsia="zh-CN"/>
              </w:rPr>
            </w:pPr>
          </w:p>
        </w:tc>
        <w:tc>
          <w:tcPr>
            <w:tcW w:w="685" w:type="dxa"/>
            <w:tcBorders>
              <w:tl2br w:val="nil"/>
              <w:tr2bl w:val="nil"/>
            </w:tcBorders>
            <w:vAlign w:val="center"/>
          </w:tcPr>
          <w:p w14:paraId="4D8ECAA1">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法律</w:t>
            </w:r>
          </w:p>
        </w:tc>
        <w:tc>
          <w:tcPr>
            <w:tcW w:w="3181" w:type="dxa"/>
            <w:gridSpan w:val="2"/>
            <w:tcBorders>
              <w:tl2br w:val="nil"/>
              <w:tr2bl w:val="nil"/>
            </w:tcBorders>
            <w:vAlign w:val="center"/>
          </w:tcPr>
          <w:p w14:paraId="1A9FD916">
            <w:pPr>
              <w:spacing w:line="226" w:lineRule="auto"/>
              <w:ind w:left="1" w:right="115"/>
              <w:jc w:val="both"/>
              <w:rPr>
                <w:rFonts w:hint="eastAsia" w:ascii="宋体" w:hAnsi="宋体" w:eastAsia="宋体" w:cs="宋体"/>
                <w:color w:val="auto"/>
                <w:spacing w:val="5"/>
                <w:sz w:val="15"/>
                <w:szCs w:val="15"/>
                <w:lang w:val="en-US" w:eastAsia="zh-CN"/>
              </w:rPr>
            </w:pPr>
            <w:r>
              <w:rPr>
                <w:rFonts w:hint="eastAsia" w:ascii="宋体" w:hAnsi="宋体" w:eastAsia="宋体" w:cs="宋体"/>
                <w:color w:val="auto"/>
                <w:spacing w:val="5"/>
                <w:sz w:val="15"/>
                <w:szCs w:val="15"/>
                <w:lang w:val="en-US" w:eastAsia="zh-CN"/>
              </w:rPr>
              <w:t>《中华人民共和国民办教育促进法》第六章第四十一条</w:t>
            </w:r>
          </w:p>
        </w:tc>
        <w:tc>
          <w:tcPr>
            <w:tcW w:w="1467" w:type="dxa"/>
            <w:tcBorders>
              <w:tl2br w:val="nil"/>
              <w:tr2bl w:val="nil"/>
            </w:tcBorders>
            <w:vAlign w:val="center"/>
          </w:tcPr>
          <w:p w14:paraId="641B50AE">
            <w:pPr>
              <w:jc w:val="left"/>
              <w:rPr>
                <w:rFonts w:hint="eastAsia" w:ascii="宋体" w:hAnsi="宋体" w:eastAsia="宋体" w:cs="宋体"/>
                <w:color w:val="auto"/>
                <w:spacing w:val="4"/>
                <w:sz w:val="15"/>
                <w:szCs w:val="15"/>
                <w:lang w:eastAsia="zh-CN"/>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674F173D">
            <w:pPr>
              <w:jc w:val="both"/>
              <w:rPr>
                <w:rFonts w:ascii="宋体" w:hAnsi="宋体" w:eastAsia="宋体" w:cs="宋体"/>
                <w:color w:val="auto"/>
                <w:spacing w:val="1"/>
                <w:sz w:val="15"/>
                <w:szCs w:val="15"/>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084C772E">
            <w:pPr>
              <w:pStyle w:val="8"/>
              <w:jc w:val="both"/>
              <w:rPr>
                <w:rFonts w:ascii="宋体" w:hAnsi="宋体" w:eastAsia="宋体" w:cs="宋体"/>
                <w:color w:val="auto"/>
                <w:spacing w:val="-2"/>
                <w:sz w:val="15"/>
                <w:szCs w:val="15"/>
              </w:rPr>
            </w:pPr>
            <w:r>
              <w:rPr>
                <w:rFonts w:hint="eastAsia" w:ascii="宋体" w:hAnsi="宋体" w:eastAsia="宋体" w:cs="宋体"/>
                <w:color w:val="auto"/>
                <w:spacing w:val="-2"/>
                <w:sz w:val="15"/>
                <w:szCs w:val="15"/>
              </w:rPr>
              <w:t>公开事项信息形成或变更之日起5个工作日内公开</w:t>
            </w:r>
          </w:p>
        </w:tc>
        <w:tc>
          <w:tcPr>
            <w:tcW w:w="1025" w:type="dxa"/>
            <w:tcBorders>
              <w:tl2br w:val="nil"/>
              <w:tr2bl w:val="nil"/>
            </w:tcBorders>
            <w:vAlign w:val="center"/>
          </w:tcPr>
          <w:p w14:paraId="27A2F692">
            <w:pPr>
              <w:pStyle w:val="8"/>
              <w:jc w:val="left"/>
              <w:rPr>
                <w:rFonts w:hint="eastAsia" w:ascii="宋体" w:hAnsi="宋体" w:eastAsia="宋体" w:cs="宋体"/>
                <w:color w:val="auto"/>
                <w:spacing w:val="-2"/>
                <w:sz w:val="15"/>
                <w:szCs w:val="15"/>
                <w:lang w:eastAsia="zh-CN"/>
              </w:rPr>
            </w:pPr>
            <w:r>
              <w:rPr>
                <w:rFonts w:hint="eastAsia" w:ascii="宋体" w:hAnsi="宋体" w:eastAsia="宋体" w:cs="宋体"/>
                <w:color w:val="auto"/>
                <w:spacing w:val="-2"/>
                <w:sz w:val="15"/>
                <w:szCs w:val="15"/>
                <w:lang w:eastAsia="zh-CN"/>
              </w:rPr>
              <w:t>基础教育股</w:t>
            </w:r>
          </w:p>
        </w:tc>
        <w:tc>
          <w:tcPr>
            <w:tcW w:w="998" w:type="dxa"/>
            <w:tcBorders>
              <w:tl2br w:val="nil"/>
              <w:tr2bl w:val="nil"/>
            </w:tcBorders>
            <w:vAlign w:val="center"/>
          </w:tcPr>
          <w:p w14:paraId="49E5CFFB">
            <w:pPr>
              <w:pStyle w:val="8"/>
              <w:jc w:val="center"/>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0812—3986778</w:t>
            </w:r>
          </w:p>
        </w:tc>
      </w:tr>
      <w:tr w14:paraId="08E2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trPr>
        <w:tc>
          <w:tcPr>
            <w:tcW w:w="655" w:type="dxa"/>
            <w:vMerge w:val="continue"/>
            <w:tcBorders>
              <w:tl2br w:val="nil"/>
              <w:tr2bl w:val="nil"/>
            </w:tcBorders>
            <w:textDirection w:val="tbRlV"/>
          </w:tcPr>
          <w:p w14:paraId="081E265D"/>
        </w:tc>
        <w:tc>
          <w:tcPr>
            <w:tcW w:w="3654" w:type="dxa"/>
            <w:gridSpan w:val="3"/>
            <w:tcBorders>
              <w:tl2br w:val="nil"/>
              <w:tr2bl w:val="nil"/>
            </w:tcBorders>
            <w:vAlign w:val="center"/>
          </w:tcPr>
          <w:p w14:paraId="6E48B4FA">
            <w:pPr>
              <w:spacing w:before="49" w:line="218" w:lineRule="auto"/>
              <w:jc w:val="center"/>
              <w:rPr>
                <w:rFonts w:ascii="宋体" w:hAnsi="宋体" w:eastAsia="宋体" w:cs="宋体"/>
                <w:color w:val="auto"/>
                <w:sz w:val="15"/>
                <w:szCs w:val="15"/>
              </w:rPr>
            </w:pPr>
            <w:r>
              <w:rPr>
                <w:rFonts w:hint="eastAsia" w:ascii="宋体" w:hAnsi="宋体" w:eastAsia="宋体" w:cs="宋体"/>
                <w:b w:val="0"/>
                <w:bCs w:val="0"/>
                <w:color w:val="auto"/>
                <w:spacing w:val="-3"/>
                <w:sz w:val="15"/>
                <w:szCs w:val="15"/>
              </w:rPr>
              <w:t>政府信息公开工作年度报告</w:t>
            </w:r>
          </w:p>
        </w:tc>
        <w:tc>
          <w:tcPr>
            <w:tcW w:w="685" w:type="dxa"/>
            <w:tcBorders>
              <w:tl2br w:val="nil"/>
              <w:tr2bl w:val="nil"/>
            </w:tcBorders>
            <w:vAlign w:val="center"/>
          </w:tcPr>
          <w:p w14:paraId="3033955A">
            <w:pPr>
              <w:spacing w:before="49" w:line="221" w:lineRule="auto"/>
              <w:ind w:left="1"/>
              <w:jc w:val="both"/>
              <w:rPr>
                <w:rFonts w:ascii="宋体" w:hAnsi="宋体" w:eastAsia="宋体" w:cs="宋体"/>
                <w:color w:val="auto"/>
                <w:sz w:val="15"/>
                <w:szCs w:val="15"/>
              </w:rPr>
            </w:pPr>
            <w:r>
              <w:rPr>
                <w:rFonts w:ascii="宋体" w:hAnsi="宋体" w:eastAsia="宋体" w:cs="宋体"/>
                <w:color w:val="auto"/>
                <w:spacing w:val="1"/>
                <w:sz w:val="15"/>
                <w:szCs w:val="15"/>
              </w:rPr>
              <w:t>行政法规</w:t>
            </w:r>
          </w:p>
          <w:p w14:paraId="3E52EC68">
            <w:pPr>
              <w:spacing w:before="10" w:line="218" w:lineRule="auto"/>
              <w:ind w:left="1"/>
              <w:jc w:val="both"/>
              <w:rPr>
                <w:rFonts w:ascii="宋体" w:hAnsi="宋体" w:eastAsia="宋体" w:cs="宋体"/>
                <w:color w:val="auto"/>
                <w:sz w:val="15"/>
                <w:szCs w:val="15"/>
              </w:rPr>
            </w:pPr>
            <w:r>
              <w:rPr>
                <w:rFonts w:ascii="宋体" w:hAnsi="宋体" w:eastAsia="宋体" w:cs="宋体"/>
                <w:color w:val="auto"/>
                <w:sz w:val="15"/>
                <w:szCs w:val="15"/>
              </w:rPr>
              <w:t>行政规范性文件</w:t>
            </w:r>
          </w:p>
        </w:tc>
        <w:tc>
          <w:tcPr>
            <w:tcW w:w="3181" w:type="dxa"/>
            <w:gridSpan w:val="2"/>
            <w:tcBorders>
              <w:tl2br w:val="nil"/>
              <w:tr2bl w:val="nil"/>
            </w:tcBorders>
            <w:vAlign w:val="center"/>
          </w:tcPr>
          <w:p w14:paraId="2E70F6A5">
            <w:pPr>
              <w:spacing w:before="95" w:line="209" w:lineRule="auto"/>
              <w:ind w:left="73" w:right="104" w:hanging="73"/>
              <w:jc w:val="both"/>
              <w:rPr>
                <w:rFonts w:ascii="宋体" w:hAnsi="宋体" w:eastAsia="宋体" w:cs="宋体"/>
                <w:color w:val="auto"/>
                <w:sz w:val="15"/>
                <w:szCs w:val="15"/>
              </w:rPr>
            </w:pPr>
            <w:r>
              <w:rPr>
                <w:rFonts w:hint="eastAsia" w:ascii="宋体" w:hAnsi="宋体" w:eastAsia="宋体" w:cs="宋体"/>
                <w:color w:val="auto"/>
                <w:spacing w:val="-5"/>
                <w:sz w:val="15"/>
                <w:szCs w:val="15"/>
                <w:lang w:val="en-US" w:eastAsia="zh-CN"/>
              </w:rPr>
              <w:t>1.</w:t>
            </w:r>
            <w:r>
              <w:rPr>
                <w:rFonts w:ascii="宋体" w:hAnsi="宋体" w:eastAsia="宋体" w:cs="宋体"/>
                <w:color w:val="auto"/>
                <w:spacing w:val="-5"/>
                <w:sz w:val="15"/>
                <w:szCs w:val="15"/>
              </w:rPr>
              <w:t>《</w:t>
            </w:r>
            <w:r>
              <w:rPr>
                <w:rFonts w:hint="eastAsia" w:ascii="宋体" w:hAnsi="宋体" w:eastAsia="宋体" w:cs="宋体"/>
                <w:color w:val="auto"/>
                <w:spacing w:val="-5"/>
                <w:sz w:val="15"/>
                <w:szCs w:val="15"/>
              </w:rPr>
              <w:t>中华人民共和国</w:t>
            </w:r>
            <w:r>
              <w:rPr>
                <w:rFonts w:ascii="宋体" w:hAnsi="宋体" w:eastAsia="宋体" w:cs="宋体"/>
                <w:color w:val="auto"/>
                <w:spacing w:val="-5"/>
                <w:sz w:val="15"/>
                <w:szCs w:val="15"/>
              </w:rPr>
              <w:t>政府信息公开条例》第四十九条、</w:t>
            </w:r>
            <w:r>
              <w:rPr>
                <w:rFonts w:hint="eastAsia" w:ascii="宋体" w:hAnsi="宋体" w:eastAsia="宋体" w:cs="宋体"/>
                <w:color w:val="auto"/>
                <w:spacing w:val="-5"/>
                <w:sz w:val="15"/>
                <w:szCs w:val="15"/>
                <w:lang w:eastAsia="zh-CN"/>
              </w:rPr>
              <w:t>第</w:t>
            </w:r>
            <w:r>
              <w:rPr>
                <w:rFonts w:ascii="宋体" w:hAnsi="宋体" w:eastAsia="宋体" w:cs="宋体"/>
                <w:color w:val="auto"/>
                <w:spacing w:val="-5"/>
                <w:sz w:val="15"/>
                <w:szCs w:val="15"/>
              </w:rPr>
              <w:t>五十</w:t>
            </w:r>
            <w:r>
              <w:rPr>
                <w:rFonts w:ascii="宋体" w:hAnsi="宋体" w:eastAsia="宋体" w:cs="宋体"/>
                <w:color w:val="auto"/>
                <w:sz w:val="15"/>
                <w:szCs w:val="15"/>
              </w:rPr>
              <w:t>条</w:t>
            </w:r>
          </w:p>
          <w:p w14:paraId="0A51579A">
            <w:pPr>
              <w:spacing w:before="31" w:line="214" w:lineRule="auto"/>
              <w:ind w:left="24" w:right="56" w:hanging="24"/>
              <w:jc w:val="both"/>
              <w:rPr>
                <w:rFonts w:ascii="宋体" w:hAnsi="宋体" w:eastAsia="宋体" w:cs="宋体"/>
                <w:color w:val="auto"/>
                <w:sz w:val="15"/>
                <w:szCs w:val="15"/>
              </w:rPr>
            </w:pPr>
            <w:r>
              <w:rPr>
                <w:rFonts w:hint="eastAsia" w:ascii="宋体" w:hAnsi="宋体" w:eastAsia="宋体" w:cs="宋体"/>
                <w:color w:val="auto"/>
                <w:spacing w:val="-2"/>
                <w:sz w:val="15"/>
                <w:szCs w:val="15"/>
                <w:lang w:val="en-US" w:eastAsia="zh-CN"/>
              </w:rPr>
              <w:t>2.</w:t>
            </w:r>
            <w:r>
              <w:rPr>
                <w:rFonts w:ascii="宋体" w:hAnsi="宋体" w:eastAsia="宋体" w:cs="宋体"/>
                <w:color w:val="auto"/>
                <w:spacing w:val="-2"/>
                <w:sz w:val="15"/>
                <w:szCs w:val="15"/>
              </w:rPr>
              <w:t>《中华人民共和国政府信息公开工作年度</w:t>
            </w:r>
            <w:r>
              <w:rPr>
                <w:rFonts w:ascii="宋体" w:hAnsi="宋体" w:eastAsia="宋体" w:cs="宋体"/>
                <w:color w:val="auto"/>
                <w:sz w:val="15"/>
                <w:szCs w:val="15"/>
              </w:rPr>
              <w:t>报告格式》(国办公开办函(2021)</w:t>
            </w:r>
            <w:r>
              <w:rPr>
                <w:rFonts w:ascii="宋体" w:hAnsi="宋体" w:eastAsia="宋体" w:cs="宋体"/>
                <w:color w:val="auto"/>
                <w:spacing w:val="6"/>
                <w:sz w:val="15"/>
                <w:szCs w:val="15"/>
              </w:rPr>
              <w:t>30号)</w:t>
            </w:r>
          </w:p>
        </w:tc>
        <w:tc>
          <w:tcPr>
            <w:tcW w:w="1467" w:type="dxa"/>
            <w:tcBorders>
              <w:tl2br w:val="nil"/>
              <w:tr2bl w:val="nil"/>
            </w:tcBorders>
            <w:vAlign w:val="center"/>
          </w:tcPr>
          <w:p w14:paraId="3DEBB725">
            <w:pPr>
              <w:pStyle w:val="8"/>
              <w:jc w:val="left"/>
              <w:rPr>
                <w:color w:val="auto"/>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7E24A3EE">
            <w:pPr>
              <w:pStyle w:val="8"/>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3959BEFF">
            <w:pPr>
              <w:spacing w:before="134" w:line="197" w:lineRule="auto"/>
              <w:jc w:val="both"/>
              <w:rPr>
                <w:rFonts w:ascii="宋体" w:hAnsi="宋体" w:eastAsia="宋体" w:cs="宋体"/>
                <w:snapToGrid w:val="0"/>
                <w:color w:val="auto"/>
                <w:kern w:val="0"/>
                <w:sz w:val="15"/>
                <w:szCs w:val="15"/>
                <w:lang w:val="en-US" w:bidi="ar-SA"/>
              </w:rPr>
            </w:pPr>
            <w:r>
              <w:rPr>
                <w:rFonts w:hint="eastAsia" w:ascii="宋体" w:hAnsi="宋体" w:eastAsia="宋体" w:cs="宋体"/>
                <w:snapToGrid w:val="0"/>
                <w:color w:val="auto"/>
                <w:kern w:val="0"/>
                <w:sz w:val="15"/>
                <w:szCs w:val="15"/>
                <w:lang w:val="en-US" w:eastAsia="zh-CN" w:bidi="ar-SA"/>
              </w:rPr>
              <w:t>每年</w:t>
            </w:r>
            <w:r>
              <w:rPr>
                <w:rFonts w:ascii="宋体" w:hAnsi="宋体" w:eastAsia="宋体" w:cs="宋体"/>
                <w:snapToGrid w:val="0"/>
                <w:color w:val="auto"/>
                <w:kern w:val="0"/>
                <w:sz w:val="15"/>
                <w:szCs w:val="15"/>
                <w:lang w:val="en-US" w:bidi="ar-SA"/>
              </w:rPr>
              <w:t>1月31日</w:t>
            </w:r>
            <w:r>
              <w:rPr>
                <w:rFonts w:hint="eastAsia" w:ascii="宋体" w:hAnsi="宋体" w:eastAsia="宋体" w:cs="宋体"/>
                <w:snapToGrid w:val="0"/>
                <w:color w:val="auto"/>
                <w:kern w:val="0"/>
                <w:sz w:val="15"/>
                <w:szCs w:val="15"/>
                <w:lang w:val="en-US" w:eastAsia="zh-CN" w:bidi="ar-SA"/>
              </w:rPr>
              <w:t>前</w:t>
            </w:r>
            <w:r>
              <w:rPr>
                <w:rFonts w:ascii="宋体" w:hAnsi="宋体" w:eastAsia="宋体" w:cs="宋体"/>
                <w:snapToGrid w:val="0"/>
                <w:color w:val="auto"/>
                <w:kern w:val="0"/>
                <w:sz w:val="15"/>
                <w:szCs w:val="15"/>
                <w:lang w:val="en-US" w:bidi="ar-SA"/>
              </w:rPr>
              <w:t>公开</w:t>
            </w:r>
          </w:p>
        </w:tc>
        <w:tc>
          <w:tcPr>
            <w:tcW w:w="1025" w:type="dxa"/>
            <w:tcBorders>
              <w:tl2br w:val="nil"/>
              <w:tr2bl w:val="nil"/>
            </w:tcBorders>
            <w:vAlign w:val="center"/>
          </w:tcPr>
          <w:p w14:paraId="49DEB8E8">
            <w:pPr>
              <w:pStyle w:val="8"/>
              <w:jc w:val="left"/>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kern w:val="0"/>
                <w:sz w:val="15"/>
                <w:szCs w:val="15"/>
                <w:lang w:val="en-US" w:eastAsia="zh-CN" w:bidi="ar-SA"/>
              </w:rPr>
              <w:t>党政办</w:t>
            </w:r>
          </w:p>
        </w:tc>
        <w:tc>
          <w:tcPr>
            <w:tcW w:w="998" w:type="dxa"/>
            <w:tcBorders>
              <w:tl2br w:val="nil"/>
              <w:tr2bl w:val="nil"/>
            </w:tcBorders>
            <w:vAlign w:val="center"/>
          </w:tcPr>
          <w:p w14:paraId="74C9B9B0">
            <w:pPr>
              <w:pStyle w:val="8"/>
              <w:jc w:val="center"/>
              <w:rPr>
                <w:rFonts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0812-3986736</w:t>
            </w:r>
          </w:p>
        </w:tc>
      </w:tr>
      <w:tr w14:paraId="64A3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655" w:type="dxa"/>
            <w:vMerge w:val="restart"/>
            <w:tcBorders>
              <w:tl2br w:val="nil"/>
              <w:tr2bl w:val="nil"/>
            </w:tcBorders>
            <w:textDirection w:val="tbRlV"/>
            <w:vAlign w:val="center"/>
          </w:tcPr>
          <w:p w14:paraId="050B2C81">
            <w:pPr>
              <w:pStyle w:val="8"/>
              <w:jc w:val="center"/>
              <w:rPr>
                <w:rFonts w:hint="eastAsia" w:eastAsia="宋体"/>
                <w:lang w:eastAsia="zh-CN"/>
              </w:rPr>
            </w:pPr>
            <w:r>
              <w:rPr>
                <w:rFonts w:hint="eastAsia" w:ascii="宋体" w:hAnsi="宋体" w:eastAsia="宋体" w:cs="宋体"/>
                <w:snapToGrid w:val="0"/>
                <w:color w:val="000000"/>
                <w:spacing w:val="3"/>
                <w:kern w:val="0"/>
                <w:sz w:val="31"/>
                <w:szCs w:val="31"/>
                <w:lang w:val="en-US" w:eastAsia="zh-CN" w:bidi="ar-SA"/>
              </w:rPr>
              <w:t>其他公开事项</w:t>
            </w:r>
          </w:p>
        </w:tc>
        <w:tc>
          <w:tcPr>
            <w:tcW w:w="1158" w:type="dxa"/>
            <w:gridSpan w:val="2"/>
            <w:tcBorders>
              <w:tl2br w:val="nil"/>
              <w:tr2bl w:val="nil"/>
            </w:tcBorders>
          </w:tcPr>
          <w:p w14:paraId="0DD042CA">
            <w:pPr>
              <w:pStyle w:val="8"/>
              <w:spacing w:line="307" w:lineRule="auto"/>
              <w:rPr>
                <w:color w:val="auto"/>
              </w:rPr>
            </w:pPr>
          </w:p>
          <w:p w14:paraId="5EC7A44B">
            <w:pPr>
              <w:spacing w:before="49" w:line="218" w:lineRule="auto"/>
              <w:ind w:left="109"/>
              <w:rPr>
                <w:rFonts w:ascii="宋体" w:hAnsi="宋体" w:eastAsia="宋体" w:cs="宋体"/>
                <w:color w:val="auto"/>
                <w:sz w:val="15"/>
                <w:szCs w:val="15"/>
              </w:rPr>
            </w:pPr>
            <w:r>
              <w:rPr>
                <w:rFonts w:ascii="宋体" w:hAnsi="宋体" w:eastAsia="宋体" w:cs="宋体"/>
                <w:color w:val="auto"/>
                <w:spacing w:val="-1"/>
                <w:sz w:val="15"/>
                <w:szCs w:val="15"/>
              </w:rPr>
              <w:t>法治政府建设</w:t>
            </w:r>
          </w:p>
        </w:tc>
        <w:tc>
          <w:tcPr>
            <w:tcW w:w="2496" w:type="dxa"/>
            <w:tcBorders>
              <w:tl2br w:val="nil"/>
              <w:tr2bl w:val="nil"/>
            </w:tcBorders>
          </w:tcPr>
          <w:p w14:paraId="3A4997F0">
            <w:pPr>
              <w:pStyle w:val="8"/>
              <w:spacing w:line="307" w:lineRule="auto"/>
              <w:rPr>
                <w:color w:val="auto"/>
              </w:rPr>
            </w:pPr>
          </w:p>
          <w:p w14:paraId="09F26DEF">
            <w:pPr>
              <w:spacing w:before="48" w:line="218" w:lineRule="auto"/>
              <w:ind w:left="651"/>
              <w:rPr>
                <w:rFonts w:ascii="宋体" w:hAnsi="宋体" w:eastAsia="宋体" w:cs="宋体"/>
                <w:color w:val="auto"/>
                <w:sz w:val="15"/>
                <w:szCs w:val="15"/>
              </w:rPr>
            </w:pPr>
            <w:r>
              <w:rPr>
                <w:rFonts w:ascii="宋体" w:hAnsi="宋体" w:eastAsia="宋体" w:cs="宋体"/>
                <w:color w:val="auto"/>
                <w:spacing w:val="-2"/>
                <w:sz w:val="15"/>
                <w:szCs w:val="15"/>
              </w:rPr>
              <w:t>年度报告</w:t>
            </w:r>
          </w:p>
        </w:tc>
        <w:tc>
          <w:tcPr>
            <w:tcW w:w="685" w:type="dxa"/>
            <w:tcBorders>
              <w:tl2br w:val="nil"/>
              <w:tr2bl w:val="nil"/>
            </w:tcBorders>
            <w:vAlign w:val="center"/>
          </w:tcPr>
          <w:p w14:paraId="0053CCE0">
            <w:pPr>
              <w:spacing w:before="49" w:line="221" w:lineRule="auto"/>
              <w:ind w:left="11"/>
              <w:jc w:val="both"/>
              <w:rPr>
                <w:rFonts w:ascii="宋体" w:hAnsi="宋体" w:eastAsia="宋体" w:cs="宋体"/>
                <w:color w:val="auto"/>
                <w:sz w:val="15"/>
                <w:szCs w:val="15"/>
              </w:rPr>
            </w:pPr>
            <w:r>
              <w:rPr>
                <w:rFonts w:ascii="宋体" w:hAnsi="宋体" w:eastAsia="宋体" w:cs="宋体"/>
                <w:color w:val="auto"/>
                <w:spacing w:val="1"/>
                <w:sz w:val="15"/>
                <w:szCs w:val="15"/>
              </w:rPr>
              <w:t>其他</w:t>
            </w:r>
          </w:p>
        </w:tc>
        <w:tc>
          <w:tcPr>
            <w:tcW w:w="3181" w:type="dxa"/>
            <w:gridSpan w:val="2"/>
            <w:tcBorders>
              <w:tl2br w:val="nil"/>
              <w:tr2bl w:val="nil"/>
            </w:tcBorders>
            <w:vAlign w:val="center"/>
          </w:tcPr>
          <w:p w14:paraId="4B19C805">
            <w:pPr>
              <w:keepNext w:val="0"/>
              <w:keepLines w:val="0"/>
              <w:pageBreakBefore w:val="0"/>
              <w:widowControl/>
              <w:kinsoku w:val="0"/>
              <w:wordWrap/>
              <w:overflowPunct/>
              <w:topLinePunct w:val="0"/>
              <w:autoSpaceDE w:val="0"/>
              <w:autoSpaceDN w:val="0"/>
              <w:bidi w:val="0"/>
              <w:adjustRightInd w:val="0"/>
              <w:snapToGrid w:val="0"/>
              <w:spacing w:before="90" w:line="221" w:lineRule="auto"/>
              <w:ind w:left="11" w:right="176"/>
              <w:jc w:val="both"/>
              <w:textAlignment w:val="baseline"/>
              <w:rPr>
                <w:rFonts w:ascii="宋体" w:hAnsi="宋体" w:eastAsia="宋体" w:cs="宋体"/>
                <w:color w:val="auto"/>
                <w:sz w:val="15"/>
                <w:szCs w:val="15"/>
              </w:rPr>
            </w:pPr>
            <w:r>
              <w:rPr>
                <w:rFonts w:ascii="宋体" w:hAnsi="宋体" w:eastAsia="宋体" w:cs="宋体"/>
                <w:color w:val="auto"/>
                <w:sz w:val="15"/>
                <w:szCs w:val="15"/>
              </w:rPr>
              <w:t>1.《法治政府建设实施纲要(2021-2025</w:t>
            </w:r>
            <w:r>
              <w:rPr>
                <w:rFonts w:ascii="宋体" w:hAnsi="宋体" w:eastAsia="宋体" w:cs="宋体"/>
                <w:color w:val="auto"/>
                <w:spacing w:val="-5"/>
                <w:sz w:val="15"/>
                <w:szCs w:val="15"/>
              </w:rPr>
              <w:t>年)》</w:t>
            </w:r>
            <w:r>
              <w:rPr>
                <w:rFonts w:hint="eastAsia" w:ascii="宋体" w:hAnsi="宋体" w:eastAsia="宋体" w:cs="宋体"/>
                <w:color w:val="auto"/>
                <w:spacing w:val="-2"/>
                <w:sz w:val="15"/>
                <w:szCs w:val="15"/>
                <w:lang w:val="en-US" w:eastAsia="zh-CN"/>
              </w:rPr>
              <w:t>的通知中第33条</w:t>
            </w:r>
          </w:p>
          <w:p w14:paraId="4B6A1A3D">
            <w:pPr>
              <w:spacing w:line="221" w:lineRule="auto"/>
              <w:ind w:left="12" w:right="49"/>
              <w:jc w:val="both"/>
              <w:rPr>
                <w:rFonts w:ascii="宋体" w:hAnsi="宋体" w:eastAsia="宋体" w:cs="宋体"/>
                <w:color w:val="auto"/>
                <w:spacing w:val="-2"/>
                <w:sz w:val="15"/>
                <w:szCs w:val="15"/>
                <w:lang w:val="en-US" w:eastAsia="zh-CN"/>
              </w:rPr>
            </w:pPr>
            <w:r>
              <w:rPr>
                <w:rFonts w:ascii="宋体" w:hAnsi="宋体" w:eastAsia="宋体" w:cs="宋体"/>
                <w:color w:val="auto"/>
                <w:spacing w:val="-1"/>
                <w:sz w:val="15"/>
                <w:szCs w:val="15"/>
              </w:rPr>
              <w:t>2.《法治政府建设与责任落实督察工作规</w:t>
            </w:r>
            <w:r>
              <w:rPr>
                <w:rFonts w:ascii="宋体" w:hAnsi="宋体" w:eastAsia="宋体" w:cs="宋体"/>
                <w:color w:val="auto"/>
                <w:spacing w:val="-2"/>
                <w:sz w:val="15"/>
                <w:szCs w:val="15"/>
              </w:rPr>
              <w:t>定》第二十四条</w:t>
            </w:r>
          </w:p>
        </w:tc>
        <w:tc>
          <w:tcPr>
            <w:tcW w:w="1467" w:type="dxa"/>
            <w:tcBorders>
              <w:tl2br w:val="nil"/>
              <w:tr2bl w:val="nil"/>
            </w:tcBorders>
            <w:vAlign w:val="center"/>
          </w:tcPr>
          <w:p w14:paraId="26134D27">
            <w:pPr>
              <w:jc w:val="left"/>
              <w:rPr>
                <w:color w:val="auto"/>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77C4D390">
            <w:pPr>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3AECA7AE">
            <w:pPr>
              <w:spacing w:before="49" w:line="218" w:lineRule="auto"/>
              <w:ind w:left="28"/>
              <w:jc w:val="both"/>
              <w:rPr>
                <w:rFonts w:ascii="宋体" w:hAnsi="宋体" w:eastAsia="宋体" w:cs="宋体"/>
                <w:color w:val="auto"/>
                <w:sz w:val="15"/>
                <w:szCs w:val="15"/>
                <w:lang w:val="en-US" w:eastAsia="zh-CN"/>
              </w:rPr>
            </w:pPr>
            <w:r>
              <w:rPr>
                <w:rFonts w:hint="eastAsia" w:ascii="宋体" w:hAnsi="宋体" w:eastAsia="宋体" w:cs="宋体"/>
                <w:color w:val="auto"/>
                <w:spacing w:val="-2"/>
                <w:sz w:val="15"/>
                <w:szCs w:val="15"/>
                <w:lang w:eastAsia="zh-CN"/>
              </w:rPr>
              <w:t>每年</w:t>
            </w:r>
            <w:r>
              <w:rPr>
                <w:rFonts w:hint="eastAsia" w:ascii="宋体" w:hAnsi="宋体" w:eastAsia="宋体" w:cs="宋体"/>
                <w:color w:val="auto"/>
                <w:spacing w:val="-2"/>
                <w:sz w:val="15"/>
                <w:szCs w:val="15"/>
                <w:lang w:val="en-US" w:eastAsia="zh-CN"/>
              </w:rPr>
              <w:t>4月1日之前</w:t>
            </w:r>
          </w:p>
        </w:tc>
        <w:tc>
          <w:tcPr>
            <w:tcW w:w="1025" w:type="dxa"/>
            <w:tcBorders>
              <w:tl2br w:val="nil"/>
              <w:tr2bl w:val="nil"/>
            </w:tcBorders>
            <w:vAlign w:val="center"/>
          </w:tcPr>
          <w:p w14:paraId="2819B59C">
            <w:pPr>
              <w:pStyle w:val="8"/>
              <w:jc w:val="left"/>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color w:val="auto"/>
                <w:spacing w:val="-2"/>
                <w:sz w:val="15"/>
                <w:szCs w:val="15"/>
                <w:lang w:eastAsia="zh-CN"/>
              </w:rPr>
              <w:t>基础教育股</w:t>
            </w:r>
          </w:p>
        </w:tc>
        <w:tc>
          <w:tcPr>
            <w:tcW w:w="998" w:type="dxa"/>
            <w:tcBorders>
              <w:tl2br w:val="nil"/>
              <w:tr2bl w:val="nil"/>
            </w:tcBorders>
            <w:vAlign w:val="center"/>
          </w:tcPr>
          <w:p w14:paraId="777FD85D">
            <w:pPr>
              <w:pStyle w:val="8"/>
              <w:jc w:val="center"/>
              <w:rPr>
                <w:rFonts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0812—3986778</w:t>
            </w:r>
          </w:p>
        </w:tc>
      </w:tr>
      <w:tr w14:paraId="187E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55" w:type="dxa"/>
            <w:vMerge w:val="continue"/>
            <w:tcBorders>
              <w:tl2br w:val="nil"/>
              <w:tr2bl w:val="nil"/>
            </w:tcBorders>
            <w:textDirection w:val="tbRlV"/>
          </w:tcPr>
          <w:p w14:paraId="20AF2245"/>
        </w:tc>
        <w:tc>
          <w:tcPr>
            <w:tcW w:w="1158" w:type="dxa"/>
            <w:gridSpan w:val="2"/>
            <w:tcBorders>
              <w:tl2br w:val="nil"/>
              <w:tr2bl w:val="nil"/>
            </w:tcBorders>
          </w:tcPr>
          <w:p w14:paraId="19B3BE73">
            <w:pPr>
              <w:pStyle w:val="8"/>
              <w:jc w:val="center"/>
              <w:rPr>
                <w:color w:val="auto"/>
              </w:rPr>
            </w:pPr>
          </w:p>
          <w:p w14:paraId="24ECD8EA">
            <w:pPr>
              <w:spacing w:before="49" w:line="221" w:lineRule="auto"/>
              <w:ind w:left="259"/>
              <w:jc w:val="both"/>
              <w:rPr>
                <w:rFonts w:ascii="宋体" w:hAnsi="宋体" w:eastAsia="宋体" w:cs="宋体"/>
                <w:color w:val="auto"/>
                <w:sz w:val="15"/>
                <w:szCs w:val="15"/>
              </w:rPr>
            </w:pPr>
            <w:r>
              <w:rPr>
                <w:rFonts w:ascii="宋体" w:hAnsi="宋体" w:eastAsia="宋体" w:cs="宋体"/>
                <w:color w:val="auto"/>
                <w:spacing w:val="-2"/>
                <w:sz w:val="15"/>
                <w:szCs w:val="15"/>
              </w:rPr>
              <w:t>建议提案</w:t>
            </w:r>
          </w:p>
        </w:tc>
        <w:tc>
          <w:tcPr>
            <w:tcW w:w="2496" w:type="dxa"/>
            <w:tcBorders>
              <w:tl2br w:val="nil"/>
              <w:tr2bl w:val="nil"/>
            </w:tcBorders>
          </w:tcPr>
          <w:p w14:paraId="0772A2ED">
            <w:pPr>
              <w:pStyle w:val="8"/>
              <w:rPr>
                <w:color w:val="auto"/>
              </w:rPr>
            </w:pPr>
          </w:p>
          <w:p w14:paraId="596D6E00">
            <w:pPr>
              <w:spacing w:before="48" w:line="218" w:lineRule="auto"/>
              <w:ind w:left="651"/>
              <w:rPr>
                <w:rFonts w:ascii="宋体" w:hAnsi="宋体" w:eastAsia="宋体" w:cs="宋体"/>
                <w:color w:val="auto"/>
                <w:sz w:val="15"/>
                <w:szCs w:val="15"/>
              </w:rPr>
            </w:pPr>
            <w:r>
              <w:rPr>
                <w:rFonts w:ascii="宋体" w:hAnsi="宋体" w:eastAsia="宋体" w:cs="宋体"/>
                <w:color w:val="auto"/>
                <w:spacing w:val="-2"/>
                <w:sz w:val="15"/>
                <w:szCs w:val="15"/>
              </w:rPr>
              <w:t>办理结果</w:t>
            </w:r>
          </w:p>
        </w:tc>
        <w:tc>
          <w:tcPr>
            <w:tcW w:w="685" w:type="dxa"/>
            <w:tcBorders>
              <w:tl2br w:val="nil"/>
              <w:tr2bl w:val="nil"/>
            </w:tcBorders>
            <w:vAlign w:val="center"/>
          </w:tcPr>
          <w:p w14:paraId="0EDCA486">
            <w:pPr>
              <w:keepNext w:val="0"/>
              <w:keepLines w:val="0"/>
              <w:pageBreakBefore w:val="0"/>
              <w:widowControl/>
              <w:kinsoku w:val="0"/>
              <w:wordWrap/>
              <w:overflowPunct/>
              <w:topLinePunct w:val="0"/>
              <w:autoSpaceDE w:val="0"/>
              <w:autoSpaceDN w:val="0"/>
              <w:bidi w:val="0"/>
              <w:adjustRightInd w:val="0"/>
              <w:snapToGrid w:val="0"/>
              <w:spacing w:before="49" w:line="221" w:lineRule="auto"/>
              <w:ind w:left="0"/>
              <w:jc w:val="both"/>
              <w:textAlignment w:val="baseline"/>
              <w:rPr>
                <w:rFonts w:ascii="宋体" w:hAnsi="宋体" w:eastAsia="宋体" w:cs="宋体"/>
                <w:color w:val="auto"/>
                <w:sz w:val="15"/>
                <w:szCs w:val="15"/>
              </w:rPr>
            </w:pPr>
            <w:r>
              <w:rPr>
                <w:rFonts w:ascii="宋体" w:hAnsi="宋体" w:eastAsia="宋体" w:cs="宋体"/>
                <w:color w:val="auto"/>
                <w:sz w:val="15"/>
                <w:szCs w:val="15"/>
              </w:rPr>
              <w:t>行政规范性文件</w:t>
            </w:r>
          </w:p>
        </w:tc>
        <w:tc>
          <w:tcPr>
            <w:tcW w:w="3181" w:type="dxa"/>
            <w:gridSpan w:val="2"/>
            <w:tcBorders>
              <w:tl2br w:val="nil"/>
              <w:tr2bl w:val="nil"/>
            </w:tcBorders>
            <w:vAlign w:val="center"/>
          </w:tcPr>
          <w:p w14:paraId="265F3206">
            <w:pPr>
              <w:keepNext w:val="0"/>
              <w:keepLines w:val="0"/>
              <w:pageBreakBefore w:val="0"/>
              <w:widowControl/>
              <w:kinsoku w:val="0"/>
              <w:wordWrap/>
              <w:overflowPunct/>
              <w:topLinePunct w:val="0"/>
              <w:autoSpaceDE w:val="0"/>
              <w:autoSpaceDN w:val="0"/>
              <w:bidi w:val="0"/>
              <w:adjustRightInd w:val="0"/>
              <w:snapToGrid w:val="0"/>
              <w:spacing w:before="140" w:line="216" w:lineRule="auto"/>
              <w:ind w:left="74" w:right="113" w:hanging="74"/>
              <w:jc w:val="both"/>
              <w:textAlignment w:val="baseline"/>
              <w:rPr>
                <w:rFonts w:ascii="宋体" w:hAnsi="宋体" w:eastAsia="宋体" w:cs="宋体"/>
                <w:color w:val="auto"/>
                <w:sz w:val="15"/>
                <w:szCs w:val="15"/>
              </w:rPr>
            </w:pPr>
            <w:r>
              <w:rPr>
                <w:rFonts w:ascii="宋体" w:hAnsi="宋体" w:eastAsia="宋体" w:cs="宋体"/>
                <w:color w:val="auto"/>
                <w:spacing w:val="-5"/>
                <w:sz w:val="15"/>
                <w:szCs w:val="15"/>
              </w:rPr>
              <w:t>《关于做好全国人大代表建议和全国政协</w:t>
            </w:r>
            <w:r>
              <w:rPr>
                <w:rFonts w:ascii="宋体" w:hAnsi="宋体" w:eastAsia="宋体" w:cs="宋体"/>
                <w:color w:val="auto"/>
                <w:spacing w:val="-4"/>
                <w:sz w:val="15"/>
                <w:szCs w:val="15"/>
              </w:rPr>
              <w:t>委员提案办理结果公开工作的通知》(国</w:t>
            </w:r>
            <w:r>
              <w:rPr>
                <w:rFonts w:ascii="宋体" w:hAnsi="宋体" w:eastAsia="宋体" w:cs="宋体"/>
                <w:color w:val="auto"/>
                <w:spacing w:val="3"/>
                <w:sz w:val="15"/>
                <w:szCs w:val="15"/>
              </w:rPr>
              <w:t>办发〔2014〕</w:t>
            </w:r>
            <w:r>
              <w:rPr>
                <w:rFonts w:hint="eastAsia" w:ascii="宋体" w:hAnsi="宋体" w:eastAsia="宋体" w:cs="宋体"/>
                <w:color w:val="auto"/>
                <w:spacing w:val="3"/>
                <w:sz w:val="15"/>
                <w:szCs w:val="15"/>
                <w:lang w:val="en-US" w:eastAsia="zh-CN"/>
              </w:rPr>
              <w:t>9</w:t>
            </w:r>
            <w:r>
              <w:rPr>
                <w:rFonts w:ascii="宋体" w:hAnsi="宋体" w:eastAsia="宋体" w:cs="宋体"/>
                <w:color w:val="auto"/>
                <w:spacing w:val="3"/>
                <w:sz w:val="15"/>
                <w:szCs w:val="15"/>
              </w:rPr>
              <w:t>6号〕</w:t>
            </w:r>
          </w:p>
        </w:tc>
        <w:tc>
          <w:tcPr>
            <w:tcW w:w="1467" w:type="dxa"/>
            <w:tcBorders>
              <w:tl2br w:val="nil"/>
              <w:tr2bl w:val="nil"/>
            </w:tcBorders>
            <w:vAlign w:val="center"/>
          </w:tcPr>
          <w:p w14:paraId="61B5E530">
            <w:pPr>
              <w:jc w:val="left"/>
              <w:rPr>
                <w:color w:val="auto"/>
              </w:rPr>
            </w:pPr>
            <w:r>
              <w:rPr>
                <w:rFonts w:hint="eastAsia" w:ascii="宋体" w:hAnsi="宋体" w:eastAsia="宋体" w:cs="宋体"/>
                <w:color w:val="auto"/>
                <w:spacing w:val="4"/>
                <w:sz w:val="15"/>
                <w:szCs w:val="15"/>
                <w:lang w:eastAsia="zh-CN"/>
              </w:rPr>
              <w:t>区教体局</w:t>
            </w:r>
          </w:p>
        </w:tc>
        <w:tc>
          <w:tcPr>
            <w:tcW w:w="1338" w:type="dxa"/>
            <w:tcBorders>
              <w:tl2br w:val="nil"/>
              <w:tr2bl w:val="nil"/>
            </w:tcBorders>
            <w:vAlign w:val="center"/>
          </w:tcPr>
          <w:p w14:paraId="6AEEA477">
            <w:pPr>
              <w:jc w:val="both"/>
              <w:rPr>
                <w:color w:val="auto"/>
              </w:rPr>
            </w:pPr>
            <w:r>
              <w:rPr>
                <w:rFonts w:ascii="宋体" w:hAnsi="宋体" w:eastAsia="宋体" w:cs="宋体"/>
                <w:color w:val="auto"/>
                <w:spacing w:val="1"/>
                <w:sz w:val="15"/>
                <w:szCs w:val="15"/>
              </w:rPr>
              <w:t>政府网站</w:t>
            </w:r>
          </w:p>
        </w:tc>
        <w:tc>
          <w:tcPr>
            <w:tcW w:w="1587" w:type="dxa"/>
            <w:tcBorders>
              <w:tl2br w:val="nil"/>
              <w:tr2bl w:val="nil"/>
            </w:tcBorders>
            <w:vAlign w:val="center"/>
          </w:tcPr>
          <w:p w14:paraId="13179791">
            <w:pPr>
              <w:pStyle w:val="8"/>
              <w:jc w:val="both"/>
              <w:rPr>
                <w:color w:val="auto"/>
              </w:rPr>
            </w:pPr>
            <w:r>
              <w:rPr>
                <w:rFonts w:ascii="宋体" w:hAnsi="宋体" w:eastAsia="宋体" w:cs="宋体"/>
                <w:color w:val="auto"/>
                <w:spacing w:val="-2"/>
                <w:sz w:val="15"/>
                <w:szCs w:val="15"/>
              </w:rPr>
              <w:t>公开事项信息形成</w:t>
            </w:r>
            <w:r>
              <w:rPr>
                <w:rFonts w:ascii="宋体" w:hAnsi="宋体" w:eastAsia="宋体" w:cs="宋体"/>
                <w:color w:val="auto"/>
                <w:sz w:val="15"/>
                <w:szCs w:val="15"/>
              </w:rPr>
              <w:t>或变更之日起</w:t>
            </w:r>
            <w:r>
              <w:rPr>
                <w:rFonts w:hint="eastAsia" w:ascii="宋体" w:hAnsi="宋体" w:eastAsia="宋体" w:cs="宋体"/>
                <w:color w:val="auto"/>
                <w:sz w:val="15"/>
                <w:szCs w:val="15"/>
                <w:lang w:val="en-US" w:eastAsia="zh-CN"/>
              </w:rPr>
              <w:t>20</w:t>
            </w:r>
            <w:r>
              <w:rPr>
                <w:rFonts w:ascii="宋体" w:hAnsi="宋体" w:eastAsia="宋体" w:cs="宋体"/>
                <w:color w:val="auto"/>
                <w:sz w:val="15"/>
                <w:szCs w:val="15"/>
              </w:rPr>
              <w:t>个</w:t>
            </w:r>
            <w:r>
              <w:rPr>
                <w:rFonts w:ascii="宋体" w:hAnsi="宋体" w:eastAsia="宋体" w:cs="宋体"/>
                <w:color w:val="auto"/>
                <w:spacing w:val="-2"/>
                <w:sz w:val="15"/>
                <w:szCs w:val="15"/>
              </w:rPr>
              <w:t>工作日内公开</w:t>
            </w:r>
          </w:p>
        </w:tc>
        <w:tc>
          <w:tcPr>
            <w:tcW w:w="1025" w:type="dxa"/>
            <w:tcBorders>
              <w:tl2br w:val="nil"/>
              <w:tr2bl w:val="nil"/>
            </w:tcBorders>
            <w:vAlign w:val="center"/>
          </w:tcPr>
          <w:p w14:paraId="13F54CC5">
            <w:pPr>
              <w:pStyle w:val="8"/>
              <w:jc w:val="left"/>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各股室</w:t>
            </w:r>
          </w:p>
        </w:tc>
        <w:tc>
          <w:tcPr>
            <w:tcW w:w="998" w:type="dxa"/>
            <w:tcBorders>
              <w:tl2br w:val="nil"/>
              <w:tr2bl w:val="nil"/>
            </w:tcBorders>
            <w:vAlign w:val="center"/>
          </w:tcPr>
          <w:p w14:paraId="283D1138">
            <w:pPr>
              <w:pStyle w:val="8"/>
              <w:jc w:val="center"/>
              <w:rPr>
                <w:rFonts w:hint="eastAsia" w:ascii="宋体" w:hAnsi="宋体" w:eastAsia="宋体" w:cs="宋体"/>
                <w:snapToGrid w:val="0"/>
                <w:color w:val="auto"/>
                <w:spacing w:val="-2"/>
                <w:kern w:val="0"/>
                <w:sz w:val="15"/>
                <w:szCs w:val="15"/>
                <w:lang w:val="en-US" w:eastAsia="zh-CN" w:bidi="ar-SA"/>
              </w:rPr>
            </w:pPr>
            <w:r>
              <w:rPr>
                <w:rFonts w:hint="eastAsia" w:ascii="宋体" w:hAnsi="宋体" w:eastAsia="宋体" w:cs="宋体"/>
                <w:snapToGrid w:val="0"/>
                <w:color w:val="auto"/>
                <w:spacing w:val="-2"/>
                <w:kern w:val="0"/>
                <w:sz w:val="15"/>
                <w:szCs w:val="15"/>
                <w:lang w:val="en-US" w:eastAsia="zh-CN" w:bidi="ar-SA"/>
              </w:rPr>
              <w:t>0812-3986736</w:t>
            </w:r>
          </w:p>
        </w:tc>
      </w:tr>
      <w:tr w14:paraId="56C3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55" w:type="dxa"/>
            <w:vMerge w:val="continue"/>
            <w:tcBorders>
              <w:tl2br w:val="nil"/>
              <w:tr2bl w:val="nil"/>
            </w:tcBorders>
            <w:textDirection w:val="tbRlV"/>
          </w:tcPr>
          <w:p w14:paraId="742416BD"/>
        </w:tc>
        <w:tc>
          <w:tcPr>
            <w:tcW w:w="1158" w:type="dxa"/>
            <w:gridSpan w:val="2"/>
            <w:tcBorders>
              <w:tl2br w:val="nil"/>
              <w:tr2bl w:val="nil"/>
            </w:tcBorders>
          </w:tcPr>
          <w:p w14:paraId="555BE573">
            <w:pPr>
              <w:pStyle w:val="8"/>
              <w:spacing w:line="468" w:lineRule="auto"/>
              <w:jc w:val="center"/>
              <w:rPr>
                <w:b w:val="0"/>
                <w:bCs w:val="0"/>
                <w:color w:val="auto"/>
              </w:rPr>
            </w:pPr>
          </w:p>
          <w:p w14:paraId="7B701EC0">
            <w:pPr>
              <w:spacing w:before="49" w:line="218" w:lineRule="auto"/>
              <w:ind w:left="262"/>
              <w:jc w:val="both"/>
              <w:rPr>
                <w:rFonts w:ascii="宋体" w:hAnsi="宋体" w:eastAsia="宋体" w:cs="宋体"/>
                <w:color w:val="auto"/>
                <w:sz w:val="15"/>
                <w:szCs w:val="15"/>
              </w:rPr>
            </w:pPr>
            <w:r>
              <w:rPr>
                <w:rFonts w:ascii="宋体" w:hAnsi="宋体" w:eastAsia="宋体" w:cs="宋体"/>
                <w:b w:val="0"/>
                <w:bCs w:val="0"/>
                <w:color w:val="auto"/>
                <w:spacing w:val="-3"/>
                <w:sz w:val="15"/>
                <w:szCs w:val="15"/>
              </w:rPr>
              <w:t>政策解读</w:t>
            </w:r>
          </w:p>
        </w:tc>
        <w:tc>
          <w:tcPr>
            <w:tcW w:w="2496" w:type="dxa"/>
            <w:tcBorders>
              <w:tl2br w:val="nil"/>
              <w:tr2bl w:val="nil"/>
            </w:tcBorders>
            <w:vAlign w:val="center"/>
          </w:tcPr>
          <w:p w14:paraId="4D9F7A7D">
            <w:pPr>
              <w:spacing w:before="2" w:line="218" w:lineRule="auto"/>
              <w:jc w:val="left"/>
              <w:rPr>
                <w:rFonts w:ascii="宋体" w:hAnsi="宋体" w:eastAsia="宋体" w:cs="宋体"/>
                <w:color w:val="auto"/>
                <w:sz w:val="15"/>
                <w:szCs w:val="15"/>
              </w:rPr>
            </w:pPr>
            <w:r>
              <w:rPr>
                <w:rFonts w:ascii="宋体" w:hAnsi="宋体" w:eastAsia="宋体" w:cs="宋体"/>
                <w:sz w:val="15"/>
                <w:szCs w:val="15"/>
              </w:rPr>
              <w:t>图文、视频、动漫等解读材料以及政策吹风会、新闻发布会等</w:t>
            </w:r>
          </w:p>
        </w:tc>
        <w:tc>
          <w:tcPr>
            <w:tcW w:w="685" w:type="dxa"/>
            <w:tcBorders>
              <w:tl2br w:val="nil"/>
              <w:tr2bl w:val="nil"/>
            </w:tcBorders>
            <w:vAlign w:val="center"/>
          </w:tcPr>
          <w:p w14:paraId="2A7BA3D9">
            <w:pPr>
              <w:jc w:val="both"/>
              <w:rPr>
                <w:rFonts w:hint="eastAsia" w:ascii="宋体" w:eastAsia="宋体" w:cs="宋体"/>
                <w:sz w:val="15"/>
                <w:szCs w:val="15"/>
              </w:rPr>
            </w:pPr>
            <w:r>
              <w:rPr>
                <w:rFonts w:hint="eastAsia" w:ascii="宋体" w:eastAsia="宋体" w:cs="宋体"/>
                <w:sz w:val="15"/>
                <w:szCs w:val="15"/>
              </w:rPr>
              <w:t>行政法规</w:t>
            </w:r>
          </w:p>
          <w:p w14:paraId="6E173059">
            <w:pPr>
              <w:jc w:val="both"/>
              <w:rPr>
                <w:rFonts w:ascii="宋体" w:hAnsi="宋体" w:eastAsia="宋体" w:cs="宋体"/>
                <w:color w:val="auto"/>
                <w:sz w:val="15"/>
                <w:szCs w:val="15"/>
              </w:rPr>
            </w:pPr>
            <w:r>
              <w:rPr>
                <w:rFonts w:hint="eastAsia" w:ascii="宋体" w:eastAsia="宋体" w:cs="宋体"/>
                <w:sz w:val="15"/>
                <w:szCs w:val="15"/>
              </w:rPr>
              <w:t>其他</w:t>
            </w:r>
          </w:p>
        </w:tc>
        <w:tc>
          <w:tcPr>
            <w:tcW w:w="3181" w:type="dxa"/>
            <w:gridSpan w:val="2"/>
            <w:tcBorders>
              <w:tl2br w:val="nil"/>
              <w:tr2bl w:val="nil"/>
            </w:tcBorders>
            <w:vAlign w:val="center"/>
          </w:tcPr>
          <w:p w14:paraId="120BE4A5">
            <w:pPr>
              <w:rPr>
                <w:rFonts w:hint="eastAsia" w:ascii="宋体" w:eastAsia="宋体" w:cs="宋体"/>
                <w:sz w:val="15"/>
                <w:szCs w:val="15"/>
              </w:rPr>
            </w:pPr>
            <w:r>
              <w:rPr>
                <w:rFonts w:hint="eastAsia" w:ascii="宋体" w:eastAsia="宋体" w:cs="宋体"/>
                <w:sz w:val="15"/>
                <w:szCs w:val="15"/>
              </w:rPr>
              <w:t>1.《重大行政决策程序暂行条例》第三十二条</w:t>
            </w:r>
          </w:p>
          <w:p w14:paraId="4515A202">
            <w:pPr>
              <w:rPr>
                <w:rFonts w:hint="eastAsia" w:ascii="宋体" w:eastAsia="宋体" w:cs="宋体"/>
                <w:sz w:val="15"/>
                <w:szCs w:val="15"/>
              </w:rPr>
            </w:pPr>
            <w:r>
              <w:rPr>
                <w:rFonts w:hint="eastAsia" w:ascii="宋体" w:eastAsia="宋体" w:cs="宋体"/>
                <w:sz w:val="15"/>
                <w:szCs w:val="15"/>
              </w:rPr>
              <w:t>2.《法治政府建设与责任落实督察工作规定》第九条</w:t>
            </w:r>
          </w:p>
          <w:p w14:paraId="209D9053">
            <w:pPr>
              <w:rPr>
                <w:rFonts w:hint="eastAsia" w:ascii="宋体" w:eastAsia="宋体" w:cs="宋体"/>
                <w:color w:val="auto"/>
                <w:sz w:val="15"/>
                <w:szCs w:val="15"/>
              </w:rPr>
            </w:pPr>
            <w:r>
              <w:rPr>
                <w:rFonts w:hint="eastAsia" w:ascii="宋体" w:eastAsia="宋体" w:cs="宋体"/>
                <w:sz w:val="15"/>
                <w:szCs w:val="15"/>
              </w:rPr>
              <w:t>3.《四川省重大行政决策程序规定》(川府发(2025〕4号)第六十九条</w:t>
            </w:r>
          </w:p>
        </w:tc>
        <w:tc>
          <w:tcPr>
            <w:tcW w:w="1467" w:type="dxa"/>
            <w:tcBorders>
              <w:tl2br w:val="nil"/>
              <w:tr2bl w:val="nil"/>
            </w:tcBorders>
            <w:vAlign w:val="center"/>
          </w:tcPr>
          <w:p w14:paraId="069201EF">
            <w:pPr>
              <w:jc w:val="left"/>
              <w:rPr>
                <w:rFonts w:hint="eastAsia" w:ascii="宋体" w:eastAsia="宋体" w:cs="宋体"/>
                <w:sz w:val="15"/>
                <w:szCs w:val="15"/>
              </w:rPr>
            </w:pPr>
            <w:r>
              <w:rPr>
                <w:rFonts w:hint="eastAsia" w:ascii="宋体" w:eastAsia="宋体" w:cs="宋体"/>
                <w:sz w:val="15"/>
                <w:szCs w:val="15"/>
                <w:lang w:eastAsia="zh-CN"/>
              </w:rPr>
              <w:t>区教体局</w:t>
            </w:r>
          </w:p>
        </w:tc>
        <w:tc>
          <w:tcPr>
            <w:tcW w:w="1338" w:type="dxa"/>
            <w:tcBorders>
              <w:tl2br w:val="nil"/>
              <w:tr2bl w:val="nil"/>
            </w:tcBorders>
            <w:vAlign w:val="center"/>
          </w:tcPr>
          <w:p w14:paraId="2D9004B3">
            <w:pPr>
              <w:jc w:val="left"/>
              <w:rPr>
                <w:rFonts w:hint="eastAsia" w:ascii="宋体" w:eastAsia="宋体" w:cs="宋体"/>
                <w:sz w:val="15"/>
                <w:szCs w:val="15"/>
              </w:rPr>
            </w:pPr>
            <w:r>
              <w:rPr>
                <w:rFonts w:hint="eastAsia" w:ascii="宋体" w:eastAsia="宋体" w:cs="宋体"/>
                <w:sz w:val="15"/>
                <w:szCs w:val="15"/>
              </w:rPr>
              <w:t>政府网站</w:t>
            </w:r>
          </w:p>
        </w:tc>
        <w:tc>
          <w:tcPr>
            <w:tcW w:w="1587" w:type="dxa"/>
            <w:tcBorders>
              <w:tl2br w:val="nil"/>
              <w:tr2bl w:val="nil"/>
            </w:tcBorders>
            <w:vAlign w:val="center"/>
          </w:tcPr>
          <w:p w14:paraId="762A6014">
            <w:pPr>
              <w:jc w:val="center"/>
              <w:rPr>
                <w:rFonts w:hint="eastAsia" w:ascii="宋体" w:eastAsia="宋体" w:cs="宋体"/>
                <w:sz w:val="15"/>
                <w:szCs w:val="15"/>
              </w:rPr>
            </w:pPr>
            <w:r>
              <w:rPr>
                <w:rFonts w:hint="eastAsia" w:ascii="宋体" w:eastAsia="宋体" w:cs="宋体"/>
                <w:sz w:val="15"/>
                <w:szCs w:val="15"/>
              </w:rPr>
              <w:t>公开事项信息形成或变更之日起</w:t>
            </w:r>
            <w:r>
              <w:rPr>
                <w:rFonts w:hint="eastAsia" w:ascii="宋体" w:eastAsia="宋体" w:cs="宋体"/>
                <w:sz w:val="15"/>
                <w:szCs w:val="15"/>
                <w:lang w:val="en-US" w:eastAsia="zh-CN"/>
              </w:rPr>
              <w:t>10</w:t>
            </w:r>
            <w:r>
              <w:rPr>
                <w:rFonts w:hint="eastAsia" w:ascii="宋体" w:eastAsia="宋体" w:cs="宋体"/>
                <w:sz w:val="15"/>
                <w:szCs w:val="15"/>
              </w:rPr>
              <w:t>个工作日内公开</w:t>
            </w:r>
          </w:p>
        </w:tc>
        <w:tc>
          <w:tcPr>
            <w:tcW w:w="1025" w:type="dxa"/>
            <w:tcBorders>
              <w:tl2br w:val="nil"/>
              <w:tr2bl w:val="nil"/>
            </w:tcBorders>
            <w:vAlign w:val="center"/>
          </w:tcPr>
          <w:p w14:paraId="505997B7">
            <w:pPr>
              <w:jc w:val="left"/>
              <w:rPr>
                <w:rFonts w:hint="eastAsia" w:ascii="宋体" w:eastAsia="宋体" w:cs="宋体"/>
                <w:sz w:val="15"/>
                <w:szCs w:val="15"/>
                <w:lang w:val="en-US" w:eastAsia="zh-CN"/>
              </w:rPr>
            </w:pPr>
            <w:r>
              <w:rPr>
                <w:rFonts w:hint="eastAsia" w:ascii="宋体" w:eastAsia="宋体" w:cs="宋体"/>
                <w:sz w:val="15"/>
                <w:szCs w:val="15"/>
                <w:lang w:val="en-US" w:eastAsia="zh-CN"/>
              </w:rPr>
              <w:t>各股室</w:t>
            </w:r>
          </w:p>
        </w:tc>
        <w:tc>
          <w:tcPr>
            <w:tcW w:w="998" w:type="dxa"/>
            <w:tcBorders>
              <w:tl2br w:val="nil"/>
              <w:tr2bl w:val="nil"/>
            </w:tcBorders>
            <w:vAlign w:val="center"/>
          </w:tcPr>
          <w:p w14:paraId="5102D12D">
            <w:pPr>
              <w:jc w:val="center"/>
              <w:rPr>
                <w:rFonts w:hint="eastAsia" w:ascii="宋体" w:eastAsia="宋体" w:cs="宋体"/>
                <w:sz w:val="15"/>
                <w:szCs w:val="15"/>
                <w:lang w:val="en-US" w:eastAsia="zh-CN"/>
              </w:rPr>
            </w:pPr>
            <w:r>
              <w:rPr>
                <w:rFonts w:hint="eastAsia" w:ascii="宋体" w:eastAsia="宋体" w:cs="宋体"/>
                <w:sz w:val="15"/>
                <w:szCs w:val="15"/>
                <w:lang w:val="en-US" w:eastAsia="zh-CN"/>
              </w:rPr>
              <w:t>0812-3986736</w:t>
            </w:r>
          </w:p>
        </w:tc>
      </w:tr>
      <w:tr w14:paraId="55D5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55" w:type="dxa"/>
            <w:vMerge w:val="continue"/>
            <w:tcBorders>
              <w:tl2br w:val="nil"/>
              <w:tr2bl w:val="nil"/>
            </w:tcBorders>
            <w:textDirection w:val="tbRlV"/>
          </w:tcPr>
          <w:p w14:paraId="6CBFB9A9"/>
        </w:tc>
        <w:tc>
          <w:tcPr>
            <w:tcW w:w="1158" w:type="dxa"/>
            <w:gridSpan w:val="2"/>
            <w:tcBorders>
              <w:tl2br w:val="nil"/>
              <w:tr2bl w:val="nil"/>
            </w:tcBorders>
            <w:vAlign w:val="center"/>
          </w:tcPr>
          <w:p w14:paraId="3E7A23C6">
            <w:pPr>
              <w:spacing w:before="2" w:line="218" w:lineRule="auto"/>
              <w:jc w:val="center"/>
              <w:rPr>
                <w:rFonts w:hint="eastAsia" w:ascii="宋体" w:hAnsi="宋体" w:eastAsia="宋体" w:cs="宋体"/>
                <w:sz w:val="15"/>
                <w:szCs w:val="15"/>
              </w:rPr>
            </w:pPr>
            <w:r>
              <w:rPr>
                <w:rFonts w:hint="eastAsia" w:ascii="宋体" w:hAnsi="宋体" w:eastAsia="宋体" w:cs="宋体"/>
                <w:sz w:val="15"/>
                <w:szCs w:val="15"/>
                <w:lang w:val="en-US" w:eastAsia="zh-CN"/>
              </w:rPr>
              <w:t>年  检</w:t>
            </w:r>
          </w:p>
        </w:tc>
        <w:tc>
          <w:tcPr>
            <w:tcW w:w="2496" w:type="dxa"/>
            <w:tcBorders>
              <w:tl2br w:val="nil"/>
              <w:tr2bl w:val="nil"/>
            </w:tcBorders>
            <w:vAlign w:val="center"/>
          </w:tcPr>
          <w:p w14:paraId="0369ABDB">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校外培训机构年检、年度报告公示</w:t>
            </w:r>
          </w:p>
        </w:tc>
        <w:tc>
          <w:tcPr>
            <w:tcW w:w="685" w:type="dxa"/>
            <w:tcBorders>
              <w:tl2br w:val="nil"/>
              <w:tr2bl w:val="nil"/>
            </w:tcBorders>
            <w:vAlign w:val="center"/>
          </w:tcPr>
          <w:p w14:paraId="2C43DD18">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行政规范性文件</w:t>
            </w:r>
          </w:p>
        </w:tc>
        <w:tc>
          <w:tcPr>
            <w:tcW w:w="3181" w:type="dxa"/>
            <w:gridSpan w:val="2"/>
            <w:tcBorders>
              <w:tl2br w:val="nil"/>
              <w:tr2bl w:val="nil"/>
            </w:tcBorders>
            <w:vAlign w:val="center"/>
          </w:tcPr>
          <w:p w14:paraId="38BC1B08">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国务院办公厅印发《关于规范校外培训机构发展的意见》第五项十一条：认真组织开展年检和年度报告公示工作。</w:t>
            </w:r>
          </w:p>
        </w:tc>
        <w:tc>
          <w:tcPr>
            <w:tcW w:w="1467" w:type="dxa"/>
            <w:tcBorders>
              <w:tl2br w:val="nil"/>
              <w:tr2bl w:val="nil"/>
            </w:tcBorders>
            <w:vAlign w:val="center"/>
          </w:tcPr>
          <w:p w14:paraId="7509936D">
            <w:pPr>
              <w:spacing w:before="2" w:line="218" w:lineRule="auto"/>
              <w:jc w:val="left"/>
              <w:rPr>
                <w:rFonts w:hint="eastAsia" w:ascii="宋体" w:hAnsi="宋体" w:eastAsia="宋体" w:cs="宋体"/>
                <w:sz w:val="15"/>
                <w:szCs w:val="15"/>
                <w:lang w:eastAsia="zh-CN"/>
              </w:rPr>
            </w:pPr>
            <w:r>
              <w:rPr>
                <w:rFonts w:hint="eastAsia" w:ascii="宋体" w:eastAsia="宋体" w:cs="宋体"/>
                <w:sz w:val="15"/>
                <w:szCs w:val="15"/>
                <w:lang w:eastAsia="zh-CN"/>
              </w:rPr>
              <w:t>区教体局</w:t>
            </w:r>
          </w:p>
        </w:tc>
        <w:tc>
          <w:tcPr>
            <w:tcW w:w="1338" w:type="dxa"/>
            <w:tcBorders>
              <w:tl2br w:val="nil"/>
              <w:tr2bl w:val="nil"/>
            </w:tcBorders>
            <w:vAlign w:val="center"/>
          </w:tcPr>
          <w:p w14:paraId="143C64AF">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政府网站</w:t>
            </w:r>
          </w:p>
        </w:tc>
        <w:tc>
          <w:tcPr>
            <w:tcW w:w="1587" w:type="dxa"/>
            <w:tcBorders>
              <w:tl2br w:val="nil"/>
              <w:tr2bl w:val="nil"/>
            </w:tcBorders>
            <w:vAlign w:val="center"/>
          </w:tcPr>
          <w:p w14:paraId="64895DD6">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公开事项信息形成或变更之日起5个工作日内公开</w:t>
            </w:r>
          </w:p>
        </w:tc>
        <w:tc>
          <w:tcPr>
            <w:tcW w:w="1025" w:type="dxa"/>
            <w:tcBorders>
              <w:tl2br w:val="nil"/>
              <w:tr2bl w:val="nil"/>
            </w:tcBorders>
            <w:vAlign w:val="center"/>
          </w:tcPr>
          <w:p w14:paraId="0C10EEAB">
            <w:pPr>
              <w:spacing w:before="2" w:line="218" w:lineRule="auto"/>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基础教育股</w:t>
            </w:r>
          </w:p>
        </w:tc>
        <w:tc>
          <w:tcPr>
            <w:tcW w:w="998" w:type="dxa"/>
            <w:tcBorders>
              <w:tl2br w:val="nil"/>
              <w:tr2bl w:val="nil"/>
            </w:tcBorders>
            <w:vAlign w:val="center"/>
          </w:tcPr>
          <w:p w14:paraId="6B6BB537">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0812—3986778</w:t>
            </w:r>
          </w:p>
        </w:tc>
      </w:tr>
      <w:tr w14:paraId="7972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55" w:type="dxa"/>
            <w:vMerge w:val="continue"/>
            <w:tcBorders>
              <w:tl2br w:val="nil"/>
              <w:tr2bl w:val="nil"/>
            </w:tcBorders>
            <w:textDirection w:val="tbRlV"/>
          </w:tcPr>
          <w:p w14:paraId="359F70E8"/>
        </w:tc>
        <w:tc>
          <w:tcPr>
            <w:tcW w:w="1158" w:type="dxa"/>
            <w:gridSpan w:val="2"/>
            <w:tcBorders>
              <w:tl2br w:val="nil"/>
              <w:tr2bl w:val="nil"/>
            </w:tcBorders>
            <w:vAlign w:val="center"/>
          </w:tcPr>
          <w:p w14:paraId="236F4C3D">
            <w:pPr>
              <w:spacing w:before="2" w:line="218" w:lineRule="auto"/>
              <w:jc w:val="center"/>
              <w:rPr>
                <w:rFonts w:hint="eastAsia" w:ascii="宋体" w:hAnsi="宋体" w:eastAsia="宋体" w:cs="宋体"/>
                <w:sz w:val="15"/>
                <w:szCs w:val="15"/>
              </w:rPr>
            </w:pPr>
            <w:r>
              <w:rPr>
                <w:rFonts w:hint="eastAsia" w:ascii="宋体" w:hAnsi="宋体" w:eastAsia="宋体" w:cs="宋体"/>
                <w:sz w:val="15"/>
                <w:szCs w:val="15"/>
                <w:lang w:val="en-US" w:eastAsia="zh-CN"/>
              </w:rPr>
              <w:t>黑白名单</w:t>
            </w:r>
          </w:p>
        </w:tc>
        <w:tc>
          <w:tcPr>
            <w:tcW w:w="2496" w:type="dxa"/>
            <w:tcBorders>
              <w:tl2br w:val="nil"/>
              <w:tr2bl w:val="nil"/>
            </w:tcBorders>
            <w:vAlign w:val="center"/>
          </w:tcPr>
          <w:p w14:paraId="70BD40E5">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每年对社会大众公示西区辖区校外培训机构黑名单、白名单及曝光名单</w:t>
            </w:r>
          </w:p>
        </w:tc>
        <w:tc>
          <w:tcPr>
            <w:tcW w:w="685" w:type="dxa"/>
            <w:tcBorders>
              <w:tl2br w:val="nil"/>
              <w:tr2bl w:val="nil"/>
            </w:tcBorders>
            <w:vAlign w:val="center"/>
          </w:tcPr>
          <w:p w14:paraId="57A5F4FA">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行政规范性文件</w:t>
            </w:r>
          </w:p>
        </w:tc>
        <w:tc>
          <w:tcPr>
            <w:tcW w:w="3181" w:type="dxa"/>
            <w:gridSpan w:val="2"/>
            <w:tcBorders>
              <w:tl2br w:val="nil"/>
              <w:tr2bl w:val="nil"/>
            </w:tcBorders>
            <w:vAlign w:val="center"/>
          </w:tcPr>
          <w:p w14:paraId="7F3357DA">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国务院办公厅印发《关于规范校外培训机构发展的意见》第五项十二条。</w:t>
            </w:r>
          </w:p>
        </w:tc>
        <w:tc>
          <w:tcPr>
            <w:tcW w:w="1467" w:type="dxa"/>
            <w:tcBorders>
              <w:tl2br w:val="nil"/>
              <w:tr2bl w:val="nil"/>
            </w:tcBorders>
            <w:vAlign w:val="center"/>
          </w:tcPr>
          <w:p w14:paraId="2C0C3875">
            <w:pPr>
              <w:spacing w:before="2" w:line="218" w:lineRule="auto"/>
              <w:jc w:val="left"/>
              <w:rPr>
                <w:rFonts w:hint="eastAsia" w:ascii="宋体" w:hAnsi="宋体" w:eastAsia="宋体" w:cs="宋体"/>
                <w:sz w:val="15"/>
                <w:szCs w:val="15"/>
                <w:lang w:eastAsia="zh-CN"/>
              </w:rPr>
            </w:pPr>
            <w:r>
              <w:rPr>
                <w:rFonts w:hint="eastAsia" w:ascii="宋体" w:eastAsia="宋体" w:cs="宋体"/>
                <w:sz w:val="15"/>
                <w:szCs w:val="15"/>
                <w:lang w:eastAsia="zh-CN"/>
              </w:rPr>
              <w:t>区教体局</w:t>
            </w:r>
          </w:p>
        </w:tc>
        <w:tc>
          <w:tcPr>
            <w:tcW w:w="1338" w:type="dxa"/>
            <w:tcBorders>
              <w:tl2br w:val="nil"/>
              <w:tr2bl w:val="nil"/>
            </w:tcBorders>
            <w:vAlign w:val="center"/>
          </w:tcPr>
          <w:p w14:paraId="23E8681A">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政府网站</w:t>
            </w:r>
          </w:p>
        </w:tc>
        <w:tc>
          <w:tcPr>
            <w:tcW w:w="1587" w:type="dxa"/>
            <w:tcBorders>
              <w:tl2br w:val="nil"/>
              <w:tr2bl w:val="nil"/>
            </w:tcBorders>
            <w:vAlign w:val="center"/>
          </w:tcPr>
          <w:p w14:paraId="36C10F31">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公开事项信息形成或变更之日起5个工作日内公开</w:t>
            </w:r>
          </w:p>
        </w:tc>
        <w:tc>
          <w:tcPr>
            <w:tcW w:w="1025" w:type="dxa"/>
            <w:tcBorders>
              <w:tl2br w:val="nil"/>
              <w:tr2bl w:val="nil"/>
            </w:tcBorders>
            <w:vAlign w:val="center"/>
          </w:tcPr>
          <w:p w14:paraId="64FD8614">
            <w:pPr>
              <w:spacing w:before="2" w:line="218" w:lineRule="auto"/>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基础教育股</w:t>
            </w:r>
          </w:p>
        </w:tc>
        <w:tc>
          <w:tcPr>
            <w:tcW w:w="998" w:type="dxa"/>
            <w:tcBorders>
              <w:tl2br w:val="nil"/>
              <w:tr2bl w:val="nil"/>
            </w:tcBorders>
            <w:vAlign w:val="center"/>
          </w:tcPr>
          <w:p w14:paraId="39635020">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0812—3986778</w:t>
            </w:r>
          </w:p>
        </w:tc>
      </w:tr>
      <w:tr w14:paraId="7001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55" w:type="dxa"/>
            <w:vMerge w:val="continue"/>
            <w:tcBorders>
              <w:tl2br w:val="nil"/>
              <w:tr2bl w:val="nil"/>
            </w:tcBorders>
            <w:textDirection w:val="tbRlV"/>
          </w:tcPr>
          <w:p w14:paraId="2AA3B6E3"/>
        </w:tc>
        <w:tc>
          <w:tcPr>
            <w:tcW w:w="1158" w:type="dxa"/>
            <w:gridSpan w:val="2"/>
            <w:tcBorders>
              <w:tl2br w:val="nil"/>
              <w:tr2bl w:val="nil"/>
            </w:tcBorders>
            <w:vAlign w:val="center"/>
          </w:tcPr>
          <w:p w14:paraId="14BA0853">
            <w:pPr>
              <w:spacing w:before="2" w:line="218" w:lineRule="auto"/>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德育先进集体和个人</w:t>
            </w:r>
          </w:p>
        </w:tc>
        <w:tc>
          <w:tcPr>
            <w:tcW w:w="2496" w:type="dxa"/>
            <w:tcBorders>
              <w:tl2br w:val="nil"/>
              <w:tr2bl w:val="nil"/>
            </w:tcBorders>
            <w:vAlign w:val="center"/>
          </w:tcPr>
          <w:p w14:paraId="1C32ED27">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市级、区级先进名单</w:t>
            </w:r>
          </w:p>
        </w:tc>
        <w:tc>
          <w:tcPr>
            <w:tcW w:w="685" w:type="dxa"/>
            <w:tcBorders>
              <w:tl2br w:val="nil"/>
              <w:tr2bl w:val="nil"/>
            </w:tcBorders>
            <w:vAlign w:val="center"/>
          </w:tcPr>
          <w:p w14:paraId="72EB2E98">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其他</w:t>
            </w:r>
          </w:p>
        </w:tc>
        <w:tc>
          <w:tcPr>
            <w:tcW w:w="3181" w:type="dxa"/>
            <w:gridSpan w:val="2"/>
            <w:tcBorders>
              <w:tl2br w:val="nil"/>
              <w:tr2bl w:val="nil"/>
            </w:tcBorders>
            <w:vAlign w:val="center"/>
          </w:tcPr>
          <w:p w14:paraId="79CA5C48">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攀枝花市教育和体育局 中共攀枝花市委宣传部关于评选年度攀枝花市德育工作先进单位和先进个人的通知中需提供"公示材料（ 线上公示截图和线下公示照片） "</w:t>
            </w:r>
          </w:p>
        </w:tc>
        <w:tc>
          <w:tcPr>
            <w:tcW w:w="1467" w:type="dxa"/>
            <w:tcBorders>
              <w:tl2br w:val="nil"/>
              <w:tr2bl w:val="nil"/>
            </w:tcBorders>
            <w:vAlign w:val="center"/>
          </w:tcPr>
          <w:p w14:paraId="48A75C1A">
            <w:pPr>
              <w:spacing w:before="2" w:line="218" w:lineRule="auto"/>
              <w:jc w:val="left"/>
              <w:rPr>
                <w:rFonts w:hint="eastAsia" w:ascii="宋体" w:hAnsi="宋体" w:eastAsia="宋体" w:cs="宋体"/>
                <w:sz w:val="15"/>
                <w:szCs w:val="15"/>
                <w:lang w:val="en-US" w:eastAsia="zh-CN"/>
              </w:rPr>
            </w:pPr>
            <w:r>
              <w:rPr>
                <w:rFonts w:hint="eastAsia" w:ascii="宋体" w:eastAsia="宋体" w:cs="宋体"/>
                <w:sz w:val="15"/>
                <w:szCs w:val="15"/>
                <w:lang w:eastAsia="zh-CN"/>
              </w:rPr>
              <w:t>区教体局</w:t>
            </w:r>
          </w:p>
        </w:tc>
        <w:tc>
          <w:tcPr>
            <w:tcW w:w="1338" w:type="dxa"/>
            <w:tcBorders>
              <w:tl2br w:val="nil"/>
              <w:tr2bl w:val="nil"/>
            </w:tcBorders>
            <w:vAlign w:val="center"/>
          </w:tcPr>
          <w:p w14:paraId="7FE3AB94">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政府网站</w:t>
            </w:r>
          </w:p>
        </w:tc>
        <w:tc>
          <w:tcPr>
            <w:tcW w:w="1587" w:type="dxa"/>
            <w:tcBorders>
              <w:tl2br w:val="nil"/>
              <w:tr2bl w:val="nil"/>
            </w:tcBorders>
            <w:vAlign w:val="center"/>
          </w:tcPr>
          <w:p w14:paraId="052EA0E8">
            <w:pPr>
              <w:spacing w:before="2" w:line="218" w:lineRule="auto"/>
              <w:jc w:val="both"/>
              <w:rPr>
                <w:rFonts w:hint="eastAsia" w:ascii="宋体" w:hAnsi="宋体" w:eastAsia="宋体" w:cs="宋体"/>
                <w:sz w:val="15"/>
                <w:szCs w:val="15"/>
                <w:lang w:val="en-US" w:eastAsia="zh-CN"/>
              </w:rPr>
            </w:pPr>
            <w:r>
              <w:rPr>
                <w:rFonts w:ascii="宋体" w:hAnsi="宋体" w:eastAsia="宋体" w:cs="宋体"/>
                <w:color w:val="auto"/>
                <w:spacing w:val="-2"/>
                <w:sz w:val="15"/>
                <w:szCs w:val="15"/>
              </w:rPr>
              <w:t>公开事项信息形成</w:t>
            </w:r>
            <w:r>
              <w:rPr>
                <w:rFonts w:ascii="宋体" w:hAnsi="宋体" w:eastAsia="宋体" w:cs="宋体"/>
                <w:color w:val="auto"/>
                <w:sz w:val="15"/>
                <w:szCs w:val="15"/>
              </w:rPr>
              <w:t>或变更之日起</w:t>
            </w:r>
            <w:r>
              <w:rPr>
                <w:rFonts w:hint="eastAsia" w:ascii="宋体" w:hAnsi="宋体" w:eastAsia="宋体" w:cs="宋体"/>
                <w:color w:val="auto"/>
                <w:sz w:val="15"/>
                <w:szCs w:val="15"/>
                <w:lang w:val="en-US" w:eastAsia="zh-CN"/>
              </w:rPr>
              <w:t>7</w:t>
            </w:r>
            <w:r>
              <w:rPr>
                <w:rFonts w:ascii="宋体" w:hAnsi="宋体" w:eastAsia="宋体" w:cs="宋体"/>
                <w:color w:val="auto"/>
                <w:sz w:val="15"/>
                <w:szCs w:val="15"/>
              </w:rPr>
              <w:t>个</w:t>
            </w:r>
            <w:r>
              <w:rPr>
                <w:rFonts w:ascii="宋体" w:hAnsi="宋体" w:eastAsia="宋体" w:cs="宋体"/>
                <w:color w:val="auto"/>
                <w:spacing w:val="-2"/>
                <w:sz w:val="15"/>
                <w:szCs w:val="15"/>
              </w:rPr>
              <w:t>工作日内公开</w:t>
            </w:r>
          </w:p>
        </w:tc>
        <w:tc>
          <w:tcPr>
            <w:tcW w:w="1025" w:type="dxa"/>
            <w:tcBorders>
              <w:tl2br w:val="nil"/>
              <w:tr2bl w:val="nil"/>
            </w:tcBorders>
            <w:vAlign w:val="center"/>
          </w:tcPr>
          <w:p w14:paraId="3E028D93">
            <w:pPr>
              <w:spacing w:before="2" w:line="218" w:lineRule="auto"/>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基础教育股</w:t>
            </w:r>
          </w:p>
        </w:tc>
        <w:tc>
          <w:tcPr>
            <w:tcW w:w="998" w:type="dxa"/>
            <w:tcBorders>
              <w:tl2br w:val="nil"/>
              <w:tr2bl w:val="nil"/>
            </w:tcBorders>
            <w:vAlign w:val="center"/>
          </w:tcPr>
          <w:p w14:paraId="7B37AAC9">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0812—3986778</w:t>
            </w:r>
          </w:p>
        </w:tc>
      </w:tr>
      <w:tr w14:paraId="5559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55" w:type="dxa"/>
            <w:vMerge w:val="continue"/>
            <w:tcBorders>
              <w:tl2br w:val="nil"/>
              <w:tr2bl w:val="nil"/>
            </w:tcBorders>
            <w:textDirection w:val="tbRlV"/>
          </w:tcPr>
          <w:p w14:paraId="2C780506"/>
        </w:tc>
        <w:tc>
          <w:tcPr>
            <w:tcW w:w="1158" w:type="dxa"/>
            <w:gridSpan w:val="2"/>
            <w:tcBorders>
              <w:tl2br w:val="nil"/>
              <w:tr2bl w:val="nil"/>
            </w:tcBorders>
            <w:vAlign w:val="center"/>
          </w:tcPr>
          <w:p w14:paraId="0D4BA470">
            <w:pPr>
              <w:spacing w:before="2" w:line="218" w:lineRule="auto"/>
              <w:jc w:val="center"/>
              <w:rPr>
                <w:rFonts w:hint="eastAsia" w:ascii="宋体" w:hAnsi="宋体" w:eastAsia="宋体" w:cs="宋体"/>
                <w:sz w:val="15"/>
                <w:szCs w:val="15"/>
              </w:rPr>
            </w:pPr>
            <w:r>
              <w:rPr>
                <w:rFonts w:hint="eastAsia" w:ascii="宋体" w:hAnsi="宋体" w:eastAsia="宋体" w:cs="宋体"/>
                <w:sz w:val="15"/>
                <w:szCs w:val="15"/>
                <w:lang w:val="en-US" w:eastAsia="zh-CN"/>
              </w:rPr>
              <w:t>幼儿园基本信息</w:t>
            </w:r>
          </w:p>
        </w:tc>
        <w:tc>
          <w:tcPr>
            <w:tcW w:w="2496" w:type="dxa"/>
            <w:tcBorders>
              <w:tl2br w:val="nil"/>
              <w:tr2bl w:val="nil"/>
            </w:tcBorders>
            <w:vAlign w:val="center"/>
          </w:tcPr>
          <w:p w14:paraId="201BAF38">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每年向社会大众西区幼儿园基本信息备案表</w:t>
            </w:r>
          </w:p>
        </w:tc>
        <w:tc>
          <w:tcPr>
            <w:tcW w:w="685" w:type="dxa"/>
            <w:tcBorders>
              <w:tl2br w:val="nil"/>
              <w:tr2bl w:val="nil"/>
            </w:tcBorders>
            <w:vAlign w:val="center"/>
          </w:tcPr>
          <w:p w14:paraId="0E63EB55">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政策性文件</w:t>
            </w:r>
          </w:p>
        </w:tc>
        <w:tc>
          <w:tcPr>
            <w:tcW w:w="3181" w:type="dxa"/>
            <w:gridSpan w:val="2"/>
            <w:tcBorders>
              <w:tl2br w:val="nil"/>
              <w:tr2bl w:val="nil"/>
            </w:tcBorders>
            <w:vAlign w:val="center"/>
          </w:tcPr>
          <w:p w14:paraId="2529CB47">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中共中央 国务院《关于学前教育深化改革规范发展的若干意见》中第6条、第22条。</w:t>
            </w:r>
          </w:p>
        </w:tc>
        <w:tc>
          <w:tcPr>
            <w:tcW w:w="1467" w:type="dxa"/>
            <w:tcBorders>
              <w:tl2br w:val="nil"/>
              <w:tr2bl w:val="nil"/>
            </w:tcBorders>
            <w:vAlign w:val="center"/>
          </w:tcPr>
          <w:p w14:paraId="66B4FD14">
            <w:pPr>
              <w:spacing w:before="2" w:line="218" w:lineRule="auto"/>
              <w:jc w:val="left"/>
              <w:rPr>
                <w:rFonts w:hint="eastAsia" w:ascii="宋体" w:hAnsi="宋体" w:eastAsia="宋体" w:cs="宋体"/>
                <w:sz w:val="15"/>
                <w:szCs w:val="15"/>
                <w:lang w:eastAsia="zh-CN"/>
              </w:rPr>
            </w:pPr>
            <w:r>
              <w:rPr>
                <w:rFonts w:hint="eastAsia" w:ascii="宋体" w:eastAsia="宋体" w:cs="宋体"/>
                <w:sz w:val="15"/>
                <w:szCs w:val="15"/>
                <w:lang w:eastAsia="zh-CN"/>
              </w:rPr>
              <w:t>区教体局</w:t>
            </w:r>
          </w:p>
        </w:tc>
        <w:tc>
          <w:tcPr>
            <w:tcW w:w="1338" w:type="dxa"/>
            <w:tcBorders>
              <w:tl2br w:val="nil"/>
              <w:tr2bl w:val="nil"/>
            </w:tcBorders>
            <w:vAlign w:val="center"/>
          </w:tcPr>
          <w:p w14:paraId="7A5C0896">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政府网站</w:t>
            </w:r>
          </w:p>
        </w:tc>
        <w:tc>
          <w:tcPr>
            <w:tcW w:w="1587" w:type="dxa"/>
            <w:tcBorders>
              <w:tl2br w:val="nil"/>
              <w:tr2bl w:val="nil"/>
            </w:tcBorders>
            <w:vAlign w:val="center"/>
          </w:tcPr>
          <w:p w14:paraId="11A0AF9E">
            <w:pPr>
              <w:spacing w:before="2" w:line="218" w:lineRule="auto"/>
              <w:jc w:val="both"/>
              <w:rPr>
                <w:rFonts w:hint="eastAsia" w:ascii="宋体" w:hAnsi="宋体" w:eastAsia="宋体" w:cs="宋体"/>
                <w:sz w:val="15"/>
                <w:szCs w:val="15"/>
              </w:rPr>
            </w:pPr>
            <w:r>
              <w:rPr>
                <w:rFonts w:hint="eastAsia" w:ascii="宋体" w:hAnsi="宋体" w:eastAsia="宋体" w:cs="宋体"/>
                <w:sz w:val="15"/>
                <w:szCs w:val="15"/>
                <w:lang w:val="en-US" w:eastAsia="zh-CN"/>
              </w:rPr>
              <w:t>公开事项信息形成或变更之日起5个工作日内公开</w:t>
            </w:r>
          </w:p>
        </w:tc>
        <w:tc>
          <w:tcPr>
            <w:tcW w:w="1025" w:type="dxa"/>
            <w:tcBorders>
              <w:tl2br w:val="nil"/>
              <w:tr2bl w:val="nil"/>
            </w:tcBorders>
            <w:vAlign w:val="center"/>
          </w:tcPr>
          <w:p w14:paraId="4F952CA3">
            <w:pPr>
              <w:spacing w:before="2" w:line="218" w:lineRule="auto"/>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基础教育股</w:t>
            </w:r>
          </w:p>
        </w:tc>
        <w:tc>
          <w:tcPr>
            <w:tcW w:w="998" w:type="dxa"/>
            <w:tcBorders>
              <w:tl2br w:val="nil"/>
              <w:tr2bl w:val="nil"/>
            </w:tcBorders>
            <w:vAlign w:val="center"/>
          </w:tcPr>
          <w:p w14:paraId="08A5E1A3">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0812—3986778</w:t>
            </w:r>
          </w:p>
        </w:tc>
      </w:tr>
      <w:tr w14:paraId="1B3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55" w:type="dxa"/>
            <w:vMerge w:val="continue"/>
            <w:tcBorders>
              <w:tl2br w:val="nil"/>
              <w:tr2bl w:val="nil"/>
            </w:tcBorders>
            <w:textDirection w:val="tbRlV"/>
          </w:tcPr>
          <w:p w14:paraId="16267605"/>
        </w:tc>
        <w:tc>
          <w:tcPr>
            <w:tcW w:w="1158" w:type="dxa"/>
            <w:gridSpan w:val="2"/>
            <w:tcBorders>
              <w:tl2br w:val="nil"/>
              <w:tr2bl w:val="nil"/>
            </w:tcBorders>
            <w:vAlign w:val="center"/>
          </w:tcPr>
          <w:p w14:paraId="4A7F0E46">
            <w:pPr>
              <w:spacing w:before="2" w:line="218" w:lineRule="auto"/>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年度行政执法和行政执法监督工作备案报告</w:t>
            </w:r>
          </w:p>
        </w:tc>
        <w:tc>
          <w:tcPr>
            <w:tcW w:w="2496" w:type="dxa"/>
            <w:tcBorders>
              <w:tl2br w:val="nil"/>
              <w:tr2bl w:val="nil"/>
            </w:tcBorders>
            <w:vAlign w:val="center"/>
          </w:tcPr>
          <w:p w14:paraId="2841AD6C">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年度行政执法和行政执法监督工作备案情况公示</w:t>
            </w:r>
          </w:p>
        </w:tc>
        <w:tc>
          <w:tcPr>
            <w:tcW w:w="685" w:type="dxa"/>
            <w:tcBorders>
              <w:tl2br w:val="nil"/>
              <w:tr2bl w:val="nil"/>
            </w:tcBorders>
            <w:vAlign w:val="center"/>
          </w:tcPr>
          <w:p w14:paraId="19CE665B">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政策性文件</w:t>
            </w:r>
          </w:p>
        </w:tc>
        <w:tc>
          <w:tcPr>
            <w:tcW w:w="3181" w:type="dxa"/>
            <w:gridSpan w:val="2"/>
            <w:tcBorders>
              <w:tl2br w:val="nil"/>
              <w:tr2bl w:val="nil"/>
            </w:tcBorders>
            <w:vAlign w:val="center"/>
          </w:tcPr>
          <w:p w14:paraId="24A74CB1">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《攀枝花市西区法治政府建设实施方案（2021—2025年）》的通知中第22条</w:t>
            </w:r>
          </w:p>
        </w:tc>
        <w:tc>
          <w:tcPr>
            <w:tcW w:w="1467" w:type="dxa"/>
            <w:tcBorders>
              <w:tl2br w:val="nil"/>
              <w:tr2bl w:val="nil"/>
            </w:tcBorders>
            <w:vAlign w:val="center"/>
          </w:tcPr>
          <w:p w14:paraId="5F8F1ECB">
            <w:pPr>
              <w:spacing w:before="2" w:line="218" w:lineRule="auto"/>
              <w:jc w:val="left"/>
              <w:rPr>
                <w:rFonts w:hint="eastAsia" w:ascii="宋体" w:hAnsi="宋体" w:eastAsia="宋体" w:cs="宋体"/>
                <w:sz w:val="15"/>
                <w:szCs w:val="15"/>
                <w:lang w:val="en-US" w:eastAsia="zh-CN"/>
              </w:rPr>
            </w:pPr>
            <w:r>
              <w:rPr>
                <w:rFonts w:hint="eastAsia" w:ascii="宋体" w:eastAsia="宋体" w:cs="宋体"/>
                <w:sz w:val="15"/>
                <w:szCs w:val="15"/>
                <w:lang w:eastAsia="zh-CN"/>
              </w:rPr>
              <w:t>区教体局</w:t>
            </w:r>
          </w:p>
        </w:tc>
        <w:tc>
          <w:tcPr>
            <w:tcW w:w="1338" w:type="dxa"/>
            <w:tcBorders>
              <w:tl2br w:val="nil"/>
              <w:tr2bl w:val="nil"/>
            </w:tcBorders>
            <w:vAlign w:val="center"/>
          </w:tcPr>
          <w:p w14:paraId="0EB3E021">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政府网站</w:t>
            </w:r>
          </w:p>
        </w:tc>
        <w:tc>
          <w:tcPr>
            <w:tcW w:w="1587" w:type="dxa"/>
            <w:tcBorders>
              <w:tl2br w:val="nil"/>
              <w:tr2bl w:val="nil"/>
            </w:tcBorders>
            <w:vAlign w:val="center"/>
          </w:tcPr>
          <w:p w14:paraId="6EBE442C">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自作出行政决定之日起7个工作日内上网公示</w:t>
            </w:r>
          </w:p>
        </w:tc>
        <w:tc>
          <w:tcPr>
            <w:tcW w:w="1025" w:type="dxa"/>
            <w:tcBorders>
              <w:tl2br w:val="nil"/>
              <w:tr2bl w:val="nil"/>
            </w:tcBorders>
            <w:vAlign w:val="center"/>
          </w:tcPr>
          <w:p w14:paraId="57401E13">
            <w:pPr>
              <w:spacing w:before="2" w:line="218" w:lineRule="auto"/>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基础教育股</w:t>
            </w:r>
          </w:p>
        </w:tc>
        <w:tc>
          <w:tcPr>
            <w:tcW w:w="998" w:type="dxa"/>
            <w:tcBorders>
              <w:tl2br w:val="nil"/>
              <w:tr2bl w:val="nil"/>
            </w:tcBorders>
            <w:vAlign w:val="center"/>
          </w:tcPr>
          <w:p w14:paraId="0FD6BCBF">
            <w:pPr>
              <w:spacing w:before="2" w:line="218" w:lineRule="auto"/>
              <w:jc w:val="both"/>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0812—3986778</w:t>
            </w:r>
          </w:p>
        </w:tc>
      </w:tr>
    </w:tbl>
    <w:p w14:paraId="2F7CEBE9">
      <w:pPr>
        <w:rPr>
          <w:rFonts w:ascii="Arial" w:hAnsi="Arial" w:eastAsia="Arial" w:cs="Arial"/>
          <w:sz w:val="21"/>
          <w:szCs w:val="21"/>
        </w:rPr>
        <w:sectPr>
          <w:footerReference r:id="rId5" w:type="default"/>
          <w:pgSz w:w="16750" w:h="11820"/>
          <w:pgMar w:top="785" w:right="1135" w:bottom="400" w:left="1035" w:header="0" w:footer="0" w:gutter="0"/>
          <w:cols w:space="720" w:num="1"/>
          <w:docGrid w:linePitch="312" w:charSpace="0"/>
        </w:sectPr>
      </w:pPr>
    </w:p>
    <w:p w14:paraId="55E13AD3">
      <w:pPr>
        <w:spacing w:before="6" w:line="192" w:lineRule="auto"/>
        <w:jc w:val="both"/>
        <w:rPr>
          <w:rFonts w:ascii="Times New Roman" w:hAnsi="Times New Roman" w:eastAsia="Times New Roman" w:cs="Times New Roman"/>
          <w:sz w:val="33"/>
          <w:szCs w:val="33"/>
        </w:rPr>
      </w:pPr>
    </w:p>
    <w:sectPr>
      <w:type w:val="continuous"/>
      <w:pgSz w:w="16750" w:h="11830"/>
      <w:pgMar w:top="817" w:right="789" w:bottom="400" w:left="619" w:header="0" w:footer="0" w:gutter="0"/>
      <w:cols w:equalWidth="0" w:num="3">
        <w:col w:w="11321" w:space="100"/>
        <w:col w:w="2720" w:space="100"/>
        <w:col w:w="1101"/>
      </w:cols>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38F5">
    <w:pPr>
      <w:spacing w:line="14" w:lineRule="auto"/>
      <w:rPr>
        <w:rFonts w:ascii="Arial" w:hAns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useFELayout/>
    <w:doNotUseIndentAsNumberingTabStop/>
    <w:useAltKinsokuLineBreakRules/>
    <w:compatSetting w:name="compatibilityMode" w:uri="http://schemas.microsoft.com/office/word" w:val="14"/>
  </w:compat>
  <w:rsids>
    <w:rsidRoot w:val="00000000"/>
    <w:rsid w:val="2C1A7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0"/>
      <w:szCs w:val="30"/>
      <w:lang w:val="en-US" w:bidi="ar-SA"/>
    </w:rPr>
  </w:style>
  <w:style w:type="paragraph" w:customStyle="1" w:styleId="8">
    <w:name w:val="Table Text"/>
    <w:basedOn w:val="1"/>
    <w:qFormat/>
    <w:uiPriority w:val="0"/>
    <w:rPr>
      <w:rFonts w:ascii="Arial" w:hAnsi="Arial" w:eastAsia="Arial" w:cs="Arial"/>
      <w:sz w:val="21"/>
      <w:szCs w:val="21"/>
      <w:lang w:val="en-US" w:bidi="ar-SA"/>
    </w:rPr>
  </w:style>
  <w:style w:type="paragraph" w:customStyle="1" w:styleId="9">
    <w:name w:val="Default"/>
    <w:qFormat/>
    <w:uiPriority w:val="0"/>
    <w:pPr>
      <w:widowControl w:val="0"/>
      <w:autoSpaceDE w:val="0"/>
      <w:autoSpaceDN w:val="0"/>
      <w:adjustRightInd w:val="0"/>
    </w:pPr>
    <w:rPr>
      <w:rFonts w:ascii="楷体_GB2312" w:hAnsi="楷体_GB2312" w:eastAsia="楷体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186FDB8E-3786-4ED5-8520-262EFB69FDBA}">
  <ds:schemaRefs/>
</ds:datastoreItem>
</file>

<file path=docProps/app.xml><?xml version="1.0" encoding="utf-8"?>
<Properties xmlns="http://schemas.openxmlformats.org/officeDocument/2006/extended-properties" xmlns:vt="http://schemas.openxmlformats.org/officeDocument/2006/docPropsVTypes">
  <Template>Normal.eit</Template>
  <Pages>4</Pages>
  <Words>2411</Words>
  <Characters>2651</Characters>
  <Lines>0</Lines>
  <Paragraphs>5</Paragraphs>
  <TotalTime>4</TotalTime>
  <ScaleCrop>false</ScaleCrop>
  <LinksUpToDate>false</LinksUpToDate>
  <CharactersWithSpaces>2658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2025-04-16T19:38:00Z</dcterms:created>
  <dc:creator>Administrator</dc:creator>
  <cp:lastModifiedBy>Administrator</cp:lastModifiedBy>
  <cp:lastPrinted>2025-04-22T09:00:00Z</cp:lastPrinted>
  <dcterms:modified xsi:type="dcterms:W3CDTF">2025-04-29T07:57:57Z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2025-04-13T16:00:00Z</vt:filetime>
  </property>
  <property fmtid="{D5CDD505-2E9C-101B-9397-08002B2CF9AE}" pid="4" name="UsrData">
    <vt:lpwstr>67fc832812ecda001ff7521fwl</vt:lpwstr>
  </property>
  <property fmtid="{D5CDD505-2E9C-101B-9397-08002B2CF9AE}" pid="5" name="KSOProductBuildVer">
    <vt:lpwstr>2052-12.1.0.20784</vt:lpwstr>
  </property>
  <property fmtid="{D5CDD505-2E9C-101B-9397-08002B2CF9AE}" pid="6" name="ICV">
    <vt:lpwstr>E9339E7248A94B4BB6E5AD64A6C30C41_13</vt:lpwstr>
  </property>
  <property fmtid="{D5CDD505-2E9C-101B-9397-08002B2CF9AE}" pid="7" name="KSOTemplateDocerSaveRecord">
    <vt:lpwstr>eyJoZGlkIjoiMjIwY2NiNDdmMGVmZDI0ZTFlNzA4ZDMyMjFiZTM5NTkiLCJ1c2VySWQiOiIxNjM3MTEwMzYyIn0=</vt:lpwstr>
  </property>
</Properties>
</file>