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A688F">
      <w:pPr>
        <w:pStyle w:val="6"/>
        <w:rPr>
          <w:rFonts w:hint="default" w:ascii="Times New Roman" w:hAnsi="Times New Roman" w:eastAsia="方正仿宋_GBK" w:cs="Times New Roman"/>
          <w:b/>
          <w:bCs/>
          <w:color w:val="auto"/>
          <w:sz w:val="44"/>
          <w:szCs w:val="44"/>
          <w:lang w:val="en-US" w:eastAsia="zh-CN"/>
        </w:rPr>
      </w:pPr>
      <w:r>
        <w:rPr>
          <w:rFonts w:hint="default" w:ascii="Times New Roman" w:hAnsi="Times New Roman" w:eastAsia="方正仿宋_GBK" w:cs="Times New Roman"/>
          <w:b/>
          <w:bCs/>
          <w:color w:val="auto"/>
          <w:sz w:val="44"/>
          <w:szCs w:val="44"/>
          <w:lang w:val="en-US" w:eastAsia="zh-CN"/>
        </w:rPr>
        <w:t xml:space="preserve"> </w:t>
      </w:r>
    </w:p>
    <w:p w14:paraId="59F1445E">
      <w:pPr>
        <w:pStyle w:val="6"/>
        <w:rPr>
          <w:rFonts w:hint="default" w:ascii="Times New Roman" w:hAnsi="Times New Roman" w:eastAsia="方正仿宋_GBK" w:cs="Times New Roman"/>
          <w:b/>
          <w:bCs/>
          <w:color w:val="auto"/>
          <w:sz w:val="44"/>
          <w:szCs w:val="44"/>
          <w:lang w:val="en-US" w:eastAsia="zh-CN"/>
        </w:rPr>
      </w:pPr>
    </w:p>
    <w:p w14:paraId="2B452252">
      <w:pPr>
        <w:spacing w:line="240" w:lineRule="auto"/>
        <w:jc w:val="center"/>
        <w:rPr>
          <w:rFonts w:hint="default" w:ascii="Times New Roman" w:hAnsi="Times New Roman" w:eastAsia="方正仿宋_GBK" w:cs="Times New Roman"/>
          <w:b/>
          <w:bCs/>
          <w:color w:val="auto"/>
          <w:sz w:val="44"/>
          <w:szCs w:val="44"/>
          <w:lang w:val="en-US" w:eastAsia="zh-CN"/>
        </w:rPr>
      </w:pPr>
    </w:p>
    <w:p w14:paraId="62150D3F">
      <w:pPr>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_GBK" w:cs="Times New Roman"/>
          <w:b/>
          <w:bCs/>
          <w:snapToGrid/>
          <w:color w:val="auto"/>
          <w:kern w:val="2"/>
          <w:sz w:val="44"/>
          <w:szCs w:val="44"/>
          <w:highlight w:val="none"/>
          <w:lang w:eastAsia="zh-CN" w:bidi="ar-SA"/>
        </w:rPr>
      </w:pPr>
      <w:r>
        <w:rPr>
          <w:rFonts w:hint="default" w:ascii="Times New Roman" w:hAnsi="Times New Roman" w:eastAsia="方正小标宋_GBK" w:cs="Times New Roman"/>
          <w:b/>
          <w:bCs/>
          <w:snapToGrid/>
          <w:color w:val="auto"/>
          <w:kern w:val="2"/>
          <w:sz w:val="44"/>
          <w:szCs w:val="44"/>
          <w:highlight w:val="none"/>
          <w:lang w:val="en-US" w:eastAsia="zh-CN" w:bidi="ar-SA"/>
        </w:rPr>
        <w:t>攀枝花市西区</w:t>
      </w:r>
      <w:r>
        <w:rPr>
          <w:rFonts w:hint="default" w:ascii="Times New Roman" w:hAnsi="Times New Roman" w:eastAsia="方正小标宋_GBK" w:cs="Times New Roman"/>
          <w:b/>
          <w:bCs/>
          <w:snapToGrid/>
          <w:color w:val="auto"/>
          <w:kern w:val="2"/>
          <w:sz w:val="44"/>
          <w:szCs w:val="44"/>
          <w:highlight w:val="none"/>
          <w:lang w:eastAsia="zh-CN" w:bidi="ar-SA"/>
        </w:rPr>
        <w:t>“十五五”老龄事业发展和养老服务体系规划</w:t>
      </w:r>
    </w:p>
    <w:p w14:paraId="43BD576F">
      <w:pPr>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_GBK" w:cs="Times New Roman"/>
          <w:b/>
          <w:bCs/>
          <w:color w:val="auto"/>
          <w:sz w:val="36"/>
          <w:szCs w:val="36"/>
          <w:lang w:val="en-US" w:eastAsia="zh-CN"/>
        </w:rPr>
      </w:pPr>
      <w:r>
        <w:rPr>
          <w:rFonts w:hint="eastAsia" w:ascii="Times New Roman" w:hAnsi="Times New Roman" w:eastAsia="方正小标宋_GBK" w:cs="Times New Roman"/>
          <w:b/>
          <w:bCs/>
          <w:snapToGrid/>
          <w:color w:val="auto"/>
          <w:kern w:val="2"/>
          <w:sz w:val="36"/>
          <w:szCs w:val="36"/>
          <w:highlight w:val="none"/>
          <w:lang w:eastAsia="zh-CN" w:bidi="ar-SA"/>
        </w:rPr>
        <w:t>（</w:t>
      </w:r>
      <w:r>
        <w:rPr>
          <w:rFonts w:hint="eastAsia" w:ascii="Times New Roman" w:hAnsi="Times New Roman" w:eastAsia="方正小标宋_GBK" w:cs="Times New Roman"/>
          <w:b/>
          <w:bCs/>
          <w:snapToGrid/>
          <w:color w:val="auto"/>
          <w:kern w:val="2"/>
          <w:sz w:val="36"/>
          <w:szCs w:val="36"/>
          <w:highlight w:val="none"/>
          <w:lang w:val="en-US" w:eastAsia="zh-CN" w:bidi="ar-SA"/>
        </w:rPr>
        <w:t>征求意见稿</w:t>
      </w:r>
      <w:r>
        <w:rPr>
          <w:rFonts w:hint="eastAsia" w:ascii="Times New Roman" w:hAnsi="Times New Roman" w:eastAsia="方正小标宋_GBK" w:cs="Times New Roman"/>
          <w:b/>
          <w:bCs/>
          <w:snapToGrid/>
          <w:color w:val="auto"/>
          <w:kern w:val="2"/>
          <w:sz w:val="36"/>
          <w:szCs w:val="36"/>
          <w:highlight w:val="none"/>
          <w:lang w:eastAsia="zh-CN" w:bidi="ar-SA"/>
        </w:rPr>
        <w:t>）</w:t>
      </w:r>
      <w:bookmarkStart w:id="105" w:name="_GoBack"/>
      <w:bookmarkEnd w:id="105"/>
    </w:p>
    <w:p w14:paraId="7ADD7495">
      <w:pPr>
        <w:pStyle w:val="6"/>
        <w:rPr>
          <w:rFonts w:hint="default" w:ascii="Times New Roman" w:hAnsi="Times New Roman" w:eastAsia="方正仿宋_GBK" w:cs="Times New Roman"/>
          <w:b/>
          <w:bCs/>
          <w:color w:val="auto"/>
          <w:sz w:val="28"/>
          <w:szCs w:val="28"/>
          <w:lang w:val="en-US" w:eastAsia="zh-CN"/>
        </w:rPr>
      </w:pPr>
    </w:p>
    <w:p w14:paraId="4E313C21">
      <w:pPr>
        <w:pStyle w:val="6"/>
        <w:rPr>
          <w:rFonts w:hint="default" w:ascii="Times New Roman" w:hAnsi="Times New Roman" w:eastAsia="方正仿宋_GBK" w:cs="Times New Roman"/>
          <w:b/>
          <w:bCs/>
          <w:color w:val="auto"/>
          <w:sz w:val="28"/>
          <w:szCs w:val="28"/>
          <w:lang w:val="en-US" w:eastAsia="zh-CN"/>
        </w:rPr>
      </w:pPr>
    </w:p>
    <w:p w14:paraId="6DFEFA25">
      <w:pPr>
        <w:pStyle w:val="6"/>
        <w:rPr>
          <w:rFonts w:hint="default" w:ascii="Times New Roman" w:hAnsi="Times New Roman" w:eastAsia="方正仿宋_GBK" w:cs="Times New Roman"/>
          <w:b/>
          <w:bCs/>
          <w:color w:val="auto"/>
          <w:sz w:val="28"/>
          <w:szCs w:val="28"/>
          <w:lang w:val="en-US" w:eastAsia="zh-CN"/>
        </w:rPr>
      </w:pPr>
    </w:p>
    <w:p w14:paraId="77829AF3">
      <w:pPr>
        <w:pStyle w:val="6"/>
        <w:rPr>
          <w:rFonts w:hint="default" w:ascii="Times New Roman" w:hAnsi="Times New Roman" w:eastAsia="方正仿宋_GBK" w:cs="Times New Roman"/>
          <w:b/>
          <w:bCs/>
          <w:color w:val="auto"/>
          <w:sz w:val="28"/>
          <w:szCs w:val="28"/>
          <w:lang w:val="en-US" w:eastAsia="zh-CN"/>
        </w:rPr>
      </w:pPr>
    </w:p>
    <w:p w14:paraId="2D3D41CD">
      <w:pPr>
        <w:pStyle w:val="6"/>
        <w:rPr>
          <w:rFonts w:hint="default" w:ascii="Times New Roman" w:hAnsi="Times New Roman" w:eastAsia="方正仿宋_GBK" w:cs="Times New Roman"/>
          <w:b/>
          <w:bCs/>
          <w:color w:val="auto"/>
          <w:sz w:val="28"/>
          <w:szCs w:val="28"/>
          <w:lang w:val="en-US" w:eastAsia="zh-CN"/>
        </w:rPr>
      </w:pPr>
    </w:p>
    <w:p w14:paraId="22B58D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6954FA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7209D4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5FC67D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0E2369E7">
      <w:pPr>
        <w:pStyle w:val="6"/>
        <w:rPr>
          <w:rFonts w:hint="default" w:ascii="Times New Roman" w:hAnsi="Times New Roman" w:cs="Times New Roman"/>
          <w:color w:val="auto"/>
          <w:lang w:val="en-US" w:eastAsia="zh-CN"/>
        </w:rPr>
      </w:pPr>
    </w:p>
    <w:p w14:paraId="7E96AD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0F0502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2312" w:cs="Times New Roman"/>
          <w:b w:val="0"/>
          <w:bCs/>
          <w:snapToGrid/>
          <w:color w:val="auto"/>
          <w:kern w:val="2"/>
          <w:sz w:val="32"/>
          <w:szCs w:val="32"/>
          <w:lang w:val="en-US" w:eastAsia="zh-CN"/>
        </w:rPr>
      </w:pPr>
    </w:p>
    <w:p w14:paraId="47CEF6DF">
      <w:pPr>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_GB2312" w:cs="Times New Roman"/>
          <w:snapToGrid/>
          <w:color w:val="auto"/>
          <w:kern w:val="2"/>
          <w:sz w:val="40"/>
          <w:szCs w:val="40"/>
          <w:highlight w:val="none"/>
          <w:lang w:val="en-US" w:eastAsia="zh-CN" w:bidi="ar-SA"/>
        </w:rPr>
      </w:pPr>
      <w:r>
        <w:rPr>
          <w:rFonts w:hint="default" w:ascii="Times New Roman" w:hAnsi="Times New Roman" w:eastAsia="楷体_GB2312" w:cs="Times New Roman"/>
          <w:snapToGrid/>
          <w:color w:val="auto"/>
          <w:kern w:val="2"/>
          <w:sz w:val="40"/>
          <w:szCs w:val="40"/>
          <w:highlight w:val="none"/>
          <w:lang w:val="en-US" w:eastAsia="zh-CN" w:bidi="ar-SA"/>
        </w:rPr>
        <w:t>攀枝花市西区民政局</w:t>
      </w:r>
    </w:p>
    <w:p w14:paraId="2A988C17">
      <w:pPr>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_GB2312" w:cs="Times New Roman"/>
          <w:snapToGrid/>
          <w:color w:val="auto"/>
          <w:kern w:val="2"/>
          <w:sz w:val="40"/>
          <w:szCs w:val="40"/>
          <w:highlight w:val="none"/>
          <w:lang w:val="en-US" w:eastAsia="zh-CN" w:bidi="ar-SA"/>
        </w:rPr>
        <w:sectPr>
          <w:footerReference r:id="rId5" w:type="default"/>
          <w:pgSz w:w="11906" w:h="16838"/>
          <w:pgMar w:top="2098" w:right="1474" w:bottom="2098" w:left="1587" w:header="851" w:footer="992" w:gutter="0"/>
          <w:pgNumType w:fmt="decimal"/>
          <w:cols w:space="425" w:num="1"/>
          <w:docGrid w:type="lines" w:linePitch="312" w:charSpace="0"/>
        </w:sectPr>
      </w:pPr>
      <w:r>
        <w:rPr>
          <w:rFonts w:hint="default" w:ascii="Times New Roman" w:hAnsi="Times New Roman" w:eastAsia="楷体_GB2312" w:cs="Times New Roman"/>
          <w:snapToGrid/>
          <w:color w:val="auto"/>
          <w:kern w:val="2"/>
          <w:sz w:val="40"/>
          <w:szCs w:val="40"/>
          <w:highlight w:val="none"/>
          <w:lang w:val="en-US" w:eastAsia="zh-CN" w:bidi="ar-SA"/>
        </w:rPr>
        <w:t>2026年5月</w:t>
      </w:r>
    </w:p>
    <w:sdt>
      <w:sdtPr>
        <w:rPr>
          <w:rFonts w:hint="default" w:ascii="Times New Roman" w:hAnsi="Times New Roman" w:eastAsia="宋体" w:cs="Times New Roman"/>
          <w:snapToGrid w:val="0"/>
          <w:color w:val="auto"/>
          <w:kern w:val="0"/>
          <w:sz w:val="21"/>
          <w:szCs w:val="21"/>
          <w:lang w:val="en-US" w:eastAsia="en-US" w:bidi="ar-SA"/>
        </w:rPr>
        <w:id w:val="147468070"/>
        <w15:color w:val="DBDBDB"/>
        <w:docPartObj>
          <w:docPartGallery w:val="Table of Contents"/>
          <w:docPartUnique/>
        </w:docPartObj>
      </w:sdtPr>
      <w:sdtEndPr>
        <w:rPr>
          <w:rFonts w:hint="default" w:ascii="Times New Roman" w:hAnsi="Times New Roman" w:eastAsia="Arial" w:cs="Times New Roman"/>
          <w:snapToGrid w:val="0"/>
          <w:color w:val="auto"/>
          <w:kern w:val="0"/>
          <w:sz w:val="21"/>
          <w:szCs w:val="21"/>
          <w:lang w:val="en-US" w:eastAsia="en-US" w:bidi="ar-SA"/>
        </w:rPr>
      </w:sdtEndPr>
      <w:sdtContent>
        <w:p w14:paraId="24BE83B4">
          <w:pPr>
            <w:spacing w:before="0" w:beforeLines="0" w:after="0" w:afterLines="0" w:line="240" w:lineRule="auto"/>
            <w:ind w:left="0" w:leftChars="0" w:right="0" w:rightChars="0" w:firstLine="0" w:firstLineChars="0"/>
            <w:jc w:val="center"/>
            <w:rPr>
              <w:rFonts w:hint="default" w:ascii="Times New Roman" w:hAnsi="Times New Roman" w:eastAsia="宋体" w:cs="Times New Roman"/>
              <w:snapToGrid w:val="0"/>
              <w:color w:val="auto"/>
              <w:kern w:val="0"/>
              <w:sz w:val="21"/>
              <w:szCs w:val="21"/>
              <w:lang w:val="en-US" w:eastAsia="en-US" w:bidi="ar-SA"/>
            </w:rPr>
          </w:pPr>
        </w:p>
        <w:p w14:paraId="65DE6C6D">
          <w:pPr>
            <w:spacing w:before="0" w:beforeLines="0" w:after="0" w:afterLines="0" w:line="240" w:lineRule="auto"/>
            <w:ind w:left="0" w:leftChars="0" w:right="0" w:rightChars="0" w:firstLine="0" w:firstLineChars="0"/>
            <w:jc w:val="center"/>
            <w:rPr>
              <w:rFonts w:hint="default" w:ascii="Times New Roman" w:hAnsi="Times New Roman" w:eastAsia="Arial Unicode MS" w:cs="Times New Roman"/>
              <w:snapToGrid/>
              <w:color w:val="auto"/>
              <w:kern w:val="2"/>
              <w:sz w:val="44"/>
              <w:szCs w:val="44"/>
              <w:highlight w:val="none"/>
              <w:lang w:eastAsia="zh-CN" w:bidi="ar-SA"/>
            </w:rPr>
          </w:pPr>
          <w:r>
            <w:rPr>
              <w:rFonts w:hint="default" w:ascii="Times New Roman" w:hAnsi="Times New Roman" w:eastAsia="Arial Unicode MS" w:cs="Times New Roman"/>
              <w:snapToGrid/>
              <w:color w:val="auto"/>
              <w:kern w:val="2"/>
              <w:sz w:val="44"/>
              <w:szCs w:val="44"/>
              <w:highlight w:val="none"/>
              <w:lang w:eastAsia="zh-CN" w:bidi="ar-SA"/>
            </w:rPr>
            <w:t>目</w:t>
          </w:r>
          <w:r>
            <w:rPr>
              <w:rFonts w:hint="default" w:ascii="Times New Roman" w:hAnsi="Times New Roman" w:eastAsia="Arial Unicode MS" w:cs="Times New Roman"/>
              <w:snapToGrid/>
              <w:color w:val="auto"/>
              <w:kern w:val="2"/>
              <w:sz w:val="44"/>
              <w:szCs w:val="44"/>
              <w:highlight w:val="none"/>
              <w:lang w:val="en-US" w:eastAsia="zh-CN" w:bidi="ar-SA"/>
            </w:rPr>
            <w:t xml:space="preserve"> </w:t>
          </w:r>
          <w:r>
            <w:rPr>
              <w:rFonts w:hint="default" w:ascii="Times New Roman" w:hAnsi="Times New Roman" w:eastAsia="Arial Unicode MS" w:cs="Times New Roman"/>
              <w:snapToGrid/>
              <w:color w:val="auto"/>
              <w:kern w:val="2"/>
              <w:sz w:val="44"/>
              <w:szCs w:val="44"/>
              <w:highlight w:val="none"/>
              <w:lang w:eastAsia="zh-CN" w:bidi="ar-SA"/>
            </w:rPr>
            <w:t>录</w:t>
          </w:r>
        </w:p>
        <w:p w14:paraId="3C659739">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 w:val="21"/>
              <w:szCs w:val="21"/>
              <w:lang w:val="en-US" w:eastAsia="en-US" w:bidi="ar-SA"/>
            </w:rPr>
            <w:fldChar w:fldCharType="begin"/>
          </w:r>
          <w:r>
            <w:rPr>
              <w:rFonts w:hint="default" w:ascii="Times New Roman" w:hAnsi="Times New Roman" w:eastAsia="方正楷体_GB2312" w:cs="Times New Roman"/>
              <w:snapToGrid w:val="0"/>
              <w:color w:val="auto"/>
              <w:kern w:val="0"/>
              <w:sz w:val="21"/>
              <w:szCs w:val="21"/>
              <w:lang w:val="en-US" w:eastAsia="en-US" w:bidi="ar-SA"/>
            </w:rPr>
            <w:instrText xml:space="preserve">TOC \o "1-2" \h \u </w:instrText>
          </w:r>
          <w:r>
            <w:rPr>
              <w:rFonts w:hint="default" w:ascii="Times New Roman" w:hAnsi="Times New Roman" w:eastAsia="方正楷体_GB2312" w:cs="Times New Roman"/>
              <w:snapToGrid w:val="0"/>
              <w:color w:val="auto"/>
              <w:kern w:val="0"/>
              <w:sz w:val="21"/>
              <w:szCs w:val="21"/>
              <w:lang w:val="en-US" w:eastAsia="en-US" w:bidi="ar-SA"/>
            </w:rPr>
            <w:fldChar w:fldCharType="separate"/>
          </w: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_Toc4052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第一章 规划背景</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_Toc4052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16D9A5D">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_Toc22200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第一节“十四五”时期取得的成就</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_Toc22200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D298DA1">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_Toc9136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第二节“十五五”时期面临的形势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_Toc9136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A44CAFC">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_Toc5195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第二章 总体要求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_Toc5195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246642A">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_Toc18084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指导思想</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_Toc18084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252BD6D">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_Toc17171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基本原则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_Toc17171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0D81087">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_Toc29575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发展目标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_Toc29575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099CD78B">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_Toc4182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第三章 建立健全多层次老年社会保障体系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_Toc4182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3F9A05AE">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_Toc4370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完善基本养老保险和基本医疗保险体系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_Toc4370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251BCD7">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_Toc9297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建立基本养老服务清单和评估制度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_Toc9297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761BC1E">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_Toc6510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巩固老年人社会救助和社会福利制度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_Toc6510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35DBFA6">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_Toc8185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第四章 打造高质量的普惠养老服务体系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_Toc8185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833D475">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_Toc17250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促进公办养老机构提质增效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_Toc17250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E4E2B04">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_Toc14843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提升养老机构专业化水平</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_Toc14843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2CB4A62">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_Toc25056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深化管理体制改革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_Toc25056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175C4D6">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_Toc31893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推进养老服务标准化建设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_Toc31893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2449239">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_Toc5370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第五节 积极发展普惠养老服务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_Toc5370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AE30FD0">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_Toc29489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第五章 增强居家社区养老服务能力</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_Toc29489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38B83B0A">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_Toc32650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升级城镇养老服务网络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_Toc32650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B6302C3">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_Toc19954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完善农村养老服务网络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_Toc19954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7943C1E">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_Toc3859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提升社区养老服务功能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_Toc3859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9949525">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_Toc29330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延伸居家养老服务支撑</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_Toc29330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2500B07">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_Toc4001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第六章 建立全周期老年健康服务体系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_Toc4001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3FEA3B9B">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_Toc27966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加强老年健康服务管理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_Toc27966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E6D460F">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_Toc21428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促进老年人医疗服务能力建设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_Toc21428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2779487">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_Toc2396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深化医养康养有机结合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_Toc2396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E18E73C">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_Toc14457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建立失能失智老年人长期照护体系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_Toc14457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618B1AB">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_Toc22867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第五节 推进中医药健康养老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_Toc22867 \h </w:instrText>
          </w:r>
          <w:r>
            <w:rPr>
              <w:rFonts w:hint="default" w:ascii="Times New Roman" w:hAnsi="Times New Roman" w:cs="Times New Roman"/>
            </w:rPr>
            <w:fldChar w:fldCharType="separate"/>
          </w:r>
          <w:r>
            <w:rPr>
              <w:rFonts w:hint="default" w:ascii="Times New Roman" w:hAnsi="Times New Roman" w:cs="Times New Roman"/>
            </w:rPr>
            <w:t>36</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F41D0C7">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_Toc20705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第七章 培育新时代</w:t>
          </w:r>
          <w:r>
            <w:rPr>
              <w:rFonts w:hint="default" w:ascii="Times New Roman" w:hAnsi="Times New Roman" w:eastAsia="方正黑体_GBK" w:cs="Times New Roman"/>
              <w:b w:val="0"/>
              <w:bCs/>
              <w:snapToGrid/>
              <w:szCs w:val="32"/>
              <w:lang w:val="en-US" w:eastAsia="zh-CN"/>
            </w:rPr>
            <w:t>银发</w:t>
          </w:r>
          <w:r>
            <w:rPr>
              <w:rFonts w:hint="default" w:ascii="Times New Roman" w:hAnsi="Times New Roman" w:eastAsia="Arial Unicode MS" w:cs="Times New Roman"/>
              <w:bCs/>
              <w:snapToGrid/>
              <w:szCs w:val="32"/>
              <w:lang w:val="en-US" w:eastAsia="zh-CN"/>
            </w:rPr>
            <w:t>产业发展体系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_Toc20705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33582D58">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_Toc28116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融入多层次银发经济生态圈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_Toc28116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12E7B17">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_Toc5716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打造特色康养旅居品牌</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_Toc5716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DDAB328">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_Toc16441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推动“养老服务+行业”融合发展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_Toc16441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C8737EB">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_Toc13328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建设康复辅具区域创新与应用中心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_Toc13328 \h </w:instrText>
          </w:r>
          <w:r>
            <w:rPr>
              <w:rFonts w:hint="default" w:ascii="Times New Roman" w:hAnsi="Times New Roman" w:cs="Times New Roman"/>
            </w:rPr>
            <w:fldChar w:fldCharType="separate"/>
          </w:r>
          <w:r>
            <w:rPr>
              <w:rFonts w:hint="default" w:ascii="Times New Roman" w:hAnsi="Times New Roman" w:cs="Times New Roman"/>
            </w:rPr>
            <w:t>41</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02C83C7B">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_Toc12521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第五节 促进养老服务消费升级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_Toc12521 \h </w:instrText>
          </w:r>
          <w:r>
            <w:rPr>
              <w:rFonts w:hint="default" w:ascii="Times New Roman" w:hAnsi="Times New Roman" w:cs="Times New Roman"/>
            </w:rPr>
            <w:fldChar w:fldCharType="separate"/>
          </w:r>
          <w:r>
            <w:rPr>
              <w:rFonts w:hint="default" w:ascii="Times New Roman" w:hAnsi="Times New Roman" w:cs="Times New Roman"/>
            </w:rPr>
            <w:t>42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425C1C3">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_Toc27256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第八章 建设友好型老年宜居生活环境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_Toc27256 \h </w:instrText>
          </w:r>
          <w:r>
            <w:rPr>
              <w:rFonts w:hint="default" w:ascii="Times New Roman" w:hAnsi="Times New Roman" w:cs="Times New Roman"/>
            </w:rPr>
            <w:fldChar w:fldCharType="separate"/>
          </w:r>
          <w:r>
            <w:rPr>
              <w:rFonts w:hint="default" w:ascii="Times New Roman" w:hAnsi="Times New Roman" w:cs="Times New Roman"/>
            </w:rPr>
            <w:t>42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59D1A6C">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_Toc16876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营造尊老敬老的社会文化环境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_Toc16876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8D2CA06">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_Toc12764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提升老年人文化体育服务水平</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_Toc12764 \h </w:instrText>
          </w:r>
          <w:r>
            <w:rPr>
              <w:rFonts w:hint="default" w:ascii="Times New Roman" w:hAnsi="Times New Roman" w:cs="Times New Roman"/>
            </w:rPr>
            <w:fldChar w:fldCharType="separate"/>
          </w:r>
          <w:r>
            <w:rPr>
              <w:rFonts w:hint="default" w:ascii="Times New Roman" w:hAnsi="Times New Roman" w:cs="Times New Roman"/>
            </w:rPr>
            <w:t>44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07C939E">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_Toc14100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加强特殊困难老年人关爱</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_Toc14100 \h </w:instrText>
          </w:r>
          <w:r>
            <w:rPr>
              <w:rFonts w:hint="default" w:ascii="Times New Roman" w:hAnsi="Times New Roman" w:cs="Times New Roman"/>
            </w:rPr>
            <w:fldChar w:fldCharType="separate"/>
          </w:r>
          <w:r>
            <w:rPr>
              <w:rFonts w:hint="default" w:ascii="Times New Roman" w:hAnsi="Times New Roman" w:cs="Times New Roman"/>
            </w:rPr>
            <w:t>45</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E888D39">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_Toc16516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实施社区和居家适老化改造</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_Toc16516 \h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F753EF4">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_Toc20575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第五节 提升养老服务智慧化水平</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_Toc20575 \h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4FBCA611">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_Toc30205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第九章 营造包容性老年社会参与环境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_Toc30205 \h </w:instrText>
          </w:r>
          <w:r>
            <w:rPr>
              <w:rFonts w:hint="default" w:ascii="Times New Roman" w:hAnsi="Times New Roman" w:cs="Times New Roman"/>
            </w:rPr>
            <w:fldChar w:fldCharType="separate"/>
          </w:r>
          <w:r>
            <w:rPr>
              <w:rFonts w:hint="default" w:ascii="Times New Roman" w:hAnsi="Times New Roman" w:cs="Times New Roman"/>
            </w:rPr>
            <w:t>49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FFD8D7D">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_Toc14466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创新发展老年教育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_Toc14466 \h </w:instrText>
          </w:r>
          <w:r>
            <w:rPr>
              <w:rFonts w:hint="default" w:ascii="Times New Roman" w:hAnsi="Times New Roman" w:cs="Times New Roman"/>
            </w:rPr>
            <w:fldChar w:fldCharType="separate"/>
          </w:r>
          <w:r>
            <w:rPr>
              <w:rFonts w:hint="default" w:ascii="Times New Roman" w:hAnsi="Times New Roman" w:cs="Times New Roman"/>
            </w:rPr>
            <w:t>49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AE7C627">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_Toc32259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推动大龄劳动者和老年人就业创业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_Toc32259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1D082998">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_Toc20672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促进老年人积极参与社会事务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_Toc20672 \h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1FF59C9">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_Toc20344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第十章 加强养老服务人才队伍建设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_Toc20344 \h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3F0800CA">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_Toc3189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扩大人才培养规模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_Toc3189 \h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27B05F9">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_Toc4162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完善激励保障政策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_Toc4162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349F060">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_Toc25086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优化从业环境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_Toc25086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FB7024F">
          <w:pPr>
            <w:pStyle w:val="10"/>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_Toc27923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Arial Unicode MS" w:cs="Times New Roman"/>
              <w:bCs/>
              <w:snapToGrid/>
              <w:szCs w:val="32"/>
              <w:lang w:val="en-US" w:eastAsia="zh-CN"/>
            </w:rPr>
            <w:t>第十一章 保障措施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_Toc27923 \h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2180BE46">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_Toc17384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第一节 加强组织领导，构建高位统筹协同新格局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_Toc17384 \h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E7A26BF">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_Toc11359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第二节 强化制度保障，织密普惠精准政策支撑网</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_Toc11359 \h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7992D83B">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_Toc27785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第三节 强化要素支撑，筑牢可持续发展硬基础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_Toc27785 \h </w:instrText>
          </w:r>
          <w:r>
            <w:rPr>
              <w:rFonts w:hint="default" w:ascii="Times New Roman" w:hAnsi="Times New Roman" w:cs="Times New Roman"/>
            </w:rPr>
            <w:fldChar w:fldCharType="separate"/>
          </w:r>
          <w:r>
            <w:rPr>
              <w:rFonts w:hint="default" w:ascii="Times New Roman" w:hAnsi="Times New Roman" w:cs="Times New Roman"/>
            </w:rPr>
            <w:t>57</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1B34044">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_Toc15884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第四节 加强舆论宣传，营造尊老敬老社会新风尚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_Toc15884 \h </w:instrText>
          </w:r>
          <w:r>
            <w:rPr>
              <w:rFonts w:hint="default" w:ascii="Times New Roman" w:hAnsi="Times New Roman" w:cs="Times New Roman"/>
            </w:rPr>
            <w:fldChar w:fldCharType="separate"/>
          </w:r>
          <w:r>
            <w:rPr>
              <w:rFonts w:hint="default" w:ascii="Times New Roman" w:hAnsi="Times New Roman" w:cs="Times New Roman"/>
            </w:rPr>
            <w:t>58</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6847BB38">
          <w:pPr>
            <w:pStyle w:val="11"/>
            <w:keepNext w:val="0"/>
            <w:keepLines w:val="0"/>
            <w:pageBreakBefore w:val="0"/>
            <w:widowControl/>
            <w:tabs>
              <w:tab w:val="right" w:leader="dot" w:pos="8845"/>
            </w:tabs>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cs="Times New Roman"/>
            </w:rPr>
          </w:pPr>
          <w:r>
            <w:rPr>
              <w:rFonts w:hint="default" w:ascii="Times New Roman" w:hAnsi="Times New Roman" w:eastAsia="方正楷体_GB2312" w:cs="Times New Roman"/>
              <w:snapToGrid w:val="0"/>
              <w:color w:val="auto"/>
              <w:kern w:val="0"/>
              <w:szCs w:val="21"/>
              <w:lang w:val="en-US" w:eastAsia="en-US" w:bidi="ar-SA"/>
            </w:rPr>
            <w:fldChar w:fldCharType="begin"/>
          </w:r>
          <w:r>
            <w:rPr>
              <w:rFonts w:hint="default" w:ascii="Times New Roman" w:hAnsi="Times New Roman" w:eastAsia="方正楷体_GB2312" w:cs="Times New Roman"/>
              <w:snapToGrid w:val="0"/>
              <w:kern w:val="0"/>
              <w:szCs w:val="21"/>
              <w:lang w:val="en-US" w:eastAsia="en-US" w:bidi="ar-SA"/>
            </w:rPr>
            <w:instrText xml:space="preserve"> HYPERLINK \l _Toc22386 </w:instrText>
          </w:r>
          <w:r>
            <w:rPr>
              <w:rFonts w:hint="default" w:ascii="Times New Roman" w:hAnsi="Times New Roman" w:eastAsia="方正楷体_GB2312" w:cs="Times New Roman"/>
              <w:snapToGrid w:val="0"/>
              <w:kern w:val="0"/>
              <w:szCs w:val="21"/>
              <w:lang w:val="en-US" w:eastAsia="en-US" w:bidi="ar-SA"/>
            </w:rPr>
            <w:fldChar w:fldCharType="separate"/>
          </w:r>
          <w:r>
            <w:rPr>
              <w:rFonts w:hint="default" w:ascii="Times New Roman" w:hAnsi="Times New Roman" w:eastAsia="黑体" w:cs="Times New Roman"/>
              <w:bCs/>
              <w:snapToGrid/>
              <w:kern w:val="2"/>
              <w:szCs w:val="32"/>
              <w:lang w:val="en-US" w:eastAsia="zh-CN"/>
            </w:rPr>
            <w:t>第五节 健全综合监管体系，守住安全发展生命线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_Toc22386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eastAsia="方正楷体_GB2312" w:cs="Times New Roman"/>
              <w:snapToGrid w:val="0"/>
              <w:color w:val="auto"/>
              <w:kern w:val="0"/>
              <w:szCs w:val="21"/>
              <w:lang w:val="en-US" w:eastAsia="en-US" w:bidi="ar-SA"/>
            </w:rPr>
            <w:fldChar w:fldCharType="end"/>
          </w:r>
        </w:p>
        <w:p w14:paraId="5494DA38">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default" w:ascii="Times New Roman" w:hAnsi="Times New Roman" w:eastAsia="Arial" w:cs="Times New Roman"/>
              <w:snapToGrid w:val="0"/>
              <w:color w:val="auto"/>
              <w:kern w:val="0"/>
              <w:sz w:val="21"/>
              <w:szCs w:val="21"/>
              <w:lang w:val="en-US" w:eastAsia="en-US" w:bidi="ar-SA"/>
            </w:rPr>
          </w:pPr>
          <w:r>
            <w:rPr>
              <w:rFonts w:hint="default" w:ascii="Times New Roman" w:hAnsi="Times New Roman" w:eastAsia="方正楷体_GB2312" w:cs="Times New Roman"/>
              <w:snapToGrid w:val="0"/>
              <w:color w:val="auto"/>
              <w:kern w:val="0"/>
              <w:szCs w:val="21"/>
              <w:lang w:val="en-US" w:eastAsia="en-US" w:bidi="ar-SA"/>
            </w:rPr>
            <w:fldChar w:fldCharType="end"/>
          </w:r>
        </w:p>
      </w:sdtContent>
    </w:sdt>
    <w:p w14:paraId="24B07771">
      <w:pPr>
        <w:rPr>
          <w:rFonts w:hint="default" w:ascii="Times New Roman" w:hAnsi="Times New Roman" w:eastAsia="Arial" w:cs="Times New Roman"/>
          <w:snapToGrid w:val="0"/>
          <w:color w:val="auto"/>
          <w:kern w:val="0"/>
          <w:sz w:val="21"/>
          <w:szCs w:val="21"/>
          <w:lang w:val="en-US" w:eastAsia="en-US" w:bidi="ar-SA"/>
        </w:rPr>
        <w:sectPr>
          <w:footerReference r:id="rId6" w:type="default"/>
          <w:pgSz w:w="11906" w:h="16838"/>
          <w:pgMar w:top="2098" w:right="1474" w:bottom="2098" w:left="1587" w:header="851" w:footer="992" w:gutter="0"/>
          <w:pgNumType w:fmt="decimal" w:start="1"/>
          <w:cols w:space="425" w:num="1"/>
          <w:docGrid w:type="lines" w:linePitch="312" w:charSpace="0"/>
        </w:sectPr>
      </w:pPr>
    </w:p>
    <w:p w14:paraId="68B32FB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_GBK" w:cs="Times New Roman"/>
          <w:color w:val="auto"/>
          <w:sz w:val="36"/>
          <w:szCs w:val="36"/>
          <w:lang w:val="en-US" w:eastAsia="zh-CN"/>
        </w:rPr>
      </w:pPr>
      <w:r>
        <w:rPr>
          <w:rFonts w:hint="default" w:ascii="Times New Roman" w:hAnsi="Times New Roman" w:eastAsia="方正黑体_GBK" w:cs="Times New Roman"/>
          <w:snapToGrid/>
          <w:color w:val="auto"/>
          <w:kern w:val="2"/>
          <w:sz w:val="44"/>
          <w:szCs w:val="44"/>
          <w:lang w:val="en-US" w:eastAsia="zh-CN"/>
        </w:rPr>
        <w:t>攀枝花市西区“十五五”老龄事业发展和养老服务体系规划</w:t>
      </w:r>
    </w:p>
    <w:p w14:paraId="0A4188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2312" w:cs="Times New Roman"/>
          <w:b w:val="0"/>
          <w:bCs/>
          <w:snapToGrid/>
          <w:color w:val="auto"/>
          <w:kern w:val="2"/>
          <w:sz w:val="32"/>
          <w:szCs w:val="32"/>
          <w:lang w:val="en-US" w:eastAsia="zh-CN"/>
        </w:rPr>
      </w:pPr>
    </w:p>
    <w:p w14:paraId="7968CE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为全面贯彻积极应对人口老龄化国家战略，加快推进老龄事业与养老服务体系高质量发展，切实增进西区老年人福祉，助力西区现代化建设全局，依据《国家积极应对人口老龄化中长期规划》《四川省“十五五”老龄事业发展和养老服务体系规划》《攀枝花市“十五五”老龄事业发展和养老服务体系规划》《攀枝花市西区国民经济和社会发展第十五个五年规划纲要》，制定本规划。</w:t>
      </w:r>
    </w:p>
    <w:p w14:paraId="1DC138BC">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0" w:name="_Toc25327"/>
      <w:bookmarkStart w:id="1" w:name="_Toc4052"/>
      <w:bookmarkStart w:id="2" w:name="_Toc9994"/>
      <w:r>
        <w:rPr>
          <w:rFonts w:hint="default" w:ascii="Times New Roman" w:hAnsi="Times New Roman" w:eastAsia="Arial Unicode MS" w:cs="Times New Roman"/>
          <w:b w:val="0"/>
          <w:bCs/>
          <w:snapToGrid/>
          <w:color w:val="auto"/>
          <w:sz w:val="32"/>
          <w:szCs w:val="32"/>
          <w:lang w:val="en-US" w:eastAsia="zh-CN"/>
        </w:rPr>
        <w:t xml:space="preserve">第一章 </w:t>
      </w:r>
      <w:bookmarkEnd w:id="0"/>
      <w:r>
        <w:rPr>
          <w:rFonts w:hint="default" w:ascii="Times New Roman" w:hAnsi="Times New Roman" w:eastAsia="Arial Unicode MS" w:cs="Times New Roman"/>
          <w:b w:val="0"/>
          <w:bCs/>
          <w:snapToGrid/>
          <w:color w:val="auto"/>
          <w:sz w:val="32"/>
          <w:szCs w:val="32"/>
          <w:lang w:val="en-US" w:eastAsia="zh-CN"/>
        </w:rPr>
        <w:t>规划背景</w:t>
      </w:r>
      <w:bookmarkEnd w:id="1"/>
    </w:p>
    <w:bookmarkEnd w:id="2"/>
    <w:p w14:paraId="2EA22EFC">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3" w:name="_Toc12275"/>
      <w:bookmarkStart w:id="4" w:name="_Toc22200"/>
      <w:r>
        <w:rPr>
          <w:rFonts w:hint="default" w:ascii="Times New Roman" w:hAnsi="Times New Roman" w:eastAsia="黑体" w:cs="Times New Roman"/>
          <w:b w:val="0"/>
          <w:bCs/>
          <w:snapToGrid/>
          <w:color w:val="auto"/>
          <w:kern w:val="2"/>
          <w:sz w:val="32"/>
          <w:szCs w:val="32"/>
          <w:lang w:val="en-US" w:eastAsia="zh-CN"/>
        </w:rPr>
        <w:t>第一节“十四五”时期取得的成</w:t>
      </w:r>
      <w:bookmarkEnd w:id="3"/>
      <w:r>
        <w:rPr>
          <w:rFonts w:hint="default" w:ascii="Times New Roman" w:hAnsi="Times New Roman" w:eastAsia="黑体" w:cs="Times New Roman"/>
          <w:b w:val="0"/>
          <w:bCs/>
          <w:snapToGrid/>
          <w:color w:val="auto"/>
          <w:kern w:val="2"/>
          <w:sz w:val="32"/>
          <w:szCs w:val="32"/>
          <w:lang w:val="en-US" w:eastAsia="zh-CN"/>
        </w:rPr>
        <w:t>就</w:t>
      </w:r>
      <w:bookmarkEnd w:id="4"/>
    </w:p>
    <w:p w14:paraId="3F7EC7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期间，攀枝花市西区深入贯彻落实积极应对人口老龄化国家战略及省、市决策部署，围绕“五个老有”总体目标，老龄事业与养老服务体系建设取得阶段性重大进展。多层次服务体系初步成型，多元化需求得到一定满足，老年友好型社会建设稳步推进。</w:t>
      </w:r>
    </w:p>
    <w:p w14:paraId="0350E52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一、服务体系日趋完善，基础保障坚实有力</w:t>
      </w:r>
    </w:p>
    <w:p w14:paraId="61BAF4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期间，西区持续加大养老服务体系建设力度。一是服务网络全域覆盖，便捷可达性显著增强。累计投入逾1500万元，建成覆盖全部6个镇（街道）的养老服务综合体，在全市率先实现镇（街道）层面全覆盖。同时建成3个老年助餐网络，“一刻钟养老服务圈”基本形成，居家社区养老服务的便捷性大幅提升。二是服务供给多元优质，照护能力持续提升。通过“公建民营”“民建公助”等多元模式，积极推动养老机构实现差异化、特色化发展。全区备案养老机构10家，总床位数达789张，其中护理型床位占比达68.44%，有效满足了失能老年人的专业化照护需求。总投资5660万元的西区养老服务中心全面建成，达到四星级标准，新增床位300张，进一步强化了高品质养老服务供给能力。三是医养融合深度推进，健康服务精准可及。率先实现重点医疗卫生机构老年友善化100%全覆盖，综合性医院老年医学科、绿色通道、康复医学科实现全覆盖。创新组建紧密型城市医疗集团，积极推行“老年优先”“一站式服务”“长处方”等便民惠民举措，累计惠及群众3.75万余人次。</w:t>
      </w:r>
    </w:p>
    <w:tbl>
      <w:tblPr>
        <w:tblStyle w:val="21"/>
        <w:tblW w:w="87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721"/>
      </w:tblGrid>
      <w:tr w14:paraId="4A986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1" w:type="dxa"/>
            <w:shd w:val="clear" w:color="auto" w:fill="BEBEBE"/>
            <w:vAlign w:val="center"/>
          </w:tcPr>
          <w:p w14:paraId="15D801D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黑体" w:cs="Times New Roman"/>
                <w:b/>
                <w:bCs/>
                <w:color w:val="auto"/>
                <w:sz w:val="13"/>
                <w:szCs w:val="13"/>
                <w:lang w:eastAsia="zh-CN"/>
              </w:rPr>
            </w:pPr>
          </w:p>
          <w:p w14:paraId="314ADE9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黑体" w:cs="Times New Roman"/>
                <w:b/>
                <w:bCs/>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 xml:space="preserve">1   </w:t>
            </w:r>
            <w:r>
              <w:rPr>
                <w:rFonts w:hint="default" w:ascii="Times New Roman" w:hAnsi="Times New Roman" w:eastAsia="黑体" w:cs="Times New Roman"/>
                <w:b/>
                <w:bCs/>
                <w:color w:val="auto"/>
                <w:sz w:val="21"/>
                <w:szCs w:val="21"/>
                <w:lang w:eastAsia="zh-CN"/>
              </w:rPr>
              <w:t>西区“十四五”养老机构及床位数</w:t>
            </w:r>
            <w:r>
              <w:rPr>
                <w:rFonts w:hint="default" w:ascii="Times New Roman" w:hAnsi="Times New Roman" w:eastAsia="黑体" w:cs="Times New Roman"/>
                <w:b/>
                <w:bCs/>
                <w:color w:val="auto"/>
                <w:sz w:val="21"/>
                <w:szCs w:val="21"/>
                <w:lang w:val="en-US" w:eastAsia="zh-CN"/>
              </w:rPr>
              <w:t>一览表</w:t>
            </w:r>
          </w:p>
          <w:p w14:paraId="78C99BAA">
            <w:pPr>
              <w:pStyle w:val="2"/>
              <w:rPr>
                <w:rFonts w:hint="default" w:ascii="Times New Roman" w:hAnsi="Times New Roman" w:cs="Times New Roman"/>
                <w:color w:val="auto"/>
                <w:sz w:val="13"/>
                <w:szCs w:val="13"/>
                <w:lang w:val="en-US" w:eastAsia="zh-CN"/>
              </w:rPr>
            </w:pPr>
          </w:p>
        </w:tc>
      </w:tr>
      <w:tr w14:paraId="43FC8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8721" w:type="dxa"/>
            <w:vAlign w:val="top"/>
          </w:tcPr>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3692"/>
              <w:gridCol w:w="1164"/>
              <w:gridCol w:w="917"/>
              <w:gridCol w:w="1189"/>
              <w:gridCol w:w="1055"/>
            </w:tblGrid>
            <w:tr w14:paraId="62C0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205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序号</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0C88">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单位名称</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7A8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类别</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B8A5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床位总数</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F83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护理型床位数</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30EB">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入住老人数</w:t>
                  </w:r>
                </w:p>
              </w:tc>
            </w:tr>
            <w:tr w14:paraId="5953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94F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12114">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攀枝花市西区格里坪镇敬老院（西区失能老年养护院）</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FB9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公办公营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51E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BED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24</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7CB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15</w:t>
                  </w:r>
                </w:p>
              </w:tc>
            </w:tr>
            <w:tr w14:paraId="4186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999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B5C2">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攀枝花市医养康复示范中心</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E89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公办公营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281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206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BC1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206</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4790">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163</w:t>
                  </w:r>
                </w:p>
              </w:tc>
            </w:tr>
            <w:tr w14:paraId="5CAC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0861">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74844">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攀枝花煤业（集团）有限责任公司总医院宝鼎康养中心</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E10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公办公营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B3D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74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9F3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74</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5F90">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55</w:t>
                  </w:r>
                </w:p>
              </w:tc>
            </w:tr>
            <w:tr w14:paraId="4052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7AC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DFC8">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攀枝花市西区玉泉街道综合为老服务中心</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AD0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公办公营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7A0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919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811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12</w:t>
                  </w:r>
                </w:p>
              </w:tc>
            </w:tr>
            <w:tr w14:paraId="413D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DB6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5</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5DDF">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攀枝花市蓝公馆康养服务有限责任公司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C4CC">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DA49">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64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B4F1">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2A0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31</w:t>
                  </w:r>
                </w:p>
              </w:tc>
            </w:tr>
            <w:tr w14:paraId="28CE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E462">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6</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8801">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攀枝花市沐之爱康养有限公司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246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57D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60C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D8F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37</w:t>
                  </w:r>
                </w:p>
              </w:tc>
            </w:tr>
            <w:tr w14:paraId="469A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E7E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7</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32AFA">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四川仁寿康养老服务有限公司西区分公司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5C7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DCE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5A2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9852">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40</w:t>
                  </w:r>
                </w:p>
              </w:tc>
            </w:tr>
            <w:tr w14:paraId="3C26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F69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8</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82DB5">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攀枝花市蓝湖康养服务有限责任公司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B42C">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A8E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B09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50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39E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34</w:t>
                  </w:r>
                </w:p>
              </w:tc>
            </w:tr>
            <w:tr w14:paraId="3360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A38B">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9</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1445">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攀枝花市苏铁康养有限责任公司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6AB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0A4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145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BE1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B41B">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20</w:t>
                  </w:r>
                </w:p>
              </w:tc>
            </w:tr>
            <w:tr w14:paraId="62DDC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74D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10</w:t>
                  </w:r>
                </w:p>
              </w:tc>
              <w:tc>
                <w:tcPr>
                  <w:tcW w:w="21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9E567">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攀枝花沐曦养老服务有限公司</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6DA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民办自营</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F1D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187E">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36</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CA00">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color w:val="auto"/>
                      <w:sz w:val="22"/>
                      <w:szCs w:val="22"/>
                      <w:u w:val="none"/>
                      <w:lang w:val="en-US" w:eastAsia="zh-CN"/>
                    </w:rPr>
                    <w:t>23</w:t>
                  </w:r>
                </w:p>
              </w:tc>
            </w:tr>
            <w:tr w14:paraId="26C5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8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47B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snapToGrid w:val="0"/>
                      <w:color w:val="auto"/>
                      <w:kern w:val="0"/>
                      <w:sz w:val="22"/>
                      <w:szCs w:val="22"/>
                      <w:u w:val="none"/>
                      <w:lang w:val="en-US" w:eastAsia="zh-CN" w:bidi="ar"/>
                    </w:rPr>
                    <w:t>合计</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903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snapToGrid w:val="0"/>
                      <w:color w:val="auto"/>
                      <w:kern w:val="0"/>
                      <w:sz w:val="22"/>
                      <w:szCs w:val="22"/>
                      <w:u w:val="none"/>
                      <w:lang w:val="en-US" w:eastAsia="zh-CN" w:bidi="ar"/>
                    </w:rPr>
                    <w:t>789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65CC">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snapToGrid w:val="0"/>
                      <w:color w:val="auto"/>
                      <w:kern w:val="0"/>
                      <w:sz w:val="22"/>
                      <w:szCs w:val="22"/>
                      <w:u w:val="none"/>
                      <w:lang w:val="en-US" w:eastAsia="zh-CN" w:bidi="ar"/>
                    </w:rPr>
                    <w:t>540</w:t>
                  </w:r>
                </w:p>
              </w:tc>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0AF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rPr>
                  </w:pPr>
                  <w:r>
                    <w:rPr>
                      <w:rFonts w:hint="default" w:ascii="Times New Roman" w:hAnsi="Times New Roman" w:eastAsia="方正仿宋_GB2312" w:cs="Times New Roman"/>
                      <w:i w:val="0"/>
                      <w:iCs w:val="0"/>
                      <w:snapToGrid w:val="0"/>
                      <w:color w:val="auto"/>
                      <w:kern w:val="0"/>
                      <w:sz w:val="22"/>
                      <w:szCs w:val="22"/>
                      <w:u w:val="none"/>
                      <w:lang w:val="en-US" w:eastAsia="zh-CN" w:bidi="ar"/>
                    </w:rPr>
                    <w:t>430</w:t>
                  </w:r>
                </w:p>
              </w:tc>
            </w:tr>
          </w:tbl>
          <w:p w14:paraId="1681DD2A">
            <w:pPr>
              <w:pStyle w:val="6"/>
              <w:ind w:left="0" w:leftChars="0" w:firstLine="0" w:firstLineChars="0"/>
              <w:rPr>
                <w:rFonts w:hint="default" w:ascii="Times New Roman" w:hAnsi="Times New Roman" w:eastAsia="方正仿宋_GB2312" w:cs="Times New Roman"/>
                <w:color w:val="auto"/>
                <w:sz w:val="21"/>
                <w:szCs w:val="21"/>
                <w:lang w:eastAsia="zh-CN"/>
              </w:rPr>
            </w:pPr>
          </w:p>
        </w:tc>
      </w:tr>
    </w:tbl>
    <w:p w14:paraId="43E89DE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二、服务内容精准丰富，急难愁盼有效破解</w:t>
      </w:r>
    </w:p>
    <w:p w14:paraId="34DE62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期间，西区聚焦老年人多元化需求，累计投入专项资金540余万元，精准实施认知障碍友好社区建设、困难老年人居家养老服务、空巢独居老人关爱巡访、居家适老化改造、家庭养老床位等系列重点项目，惠及老年人3.4万余人次，切实解决了老年群体在生活照料、健康支持、安全环境等方面的现实困难，老年人的获得感、幸福感显著增强。</w:t>
      </w:r>
    </w:p>
    <w:p w14:paraId="306B8D5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三、敬老氛围日益浓厚，社会环境更加友好</w:t>
      </w:r>
    </w:p>
    <w:p w14:paraId="2870BD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期间，西区广泛动员社会力量参与养老服务，每年组织约580名志愿者开展为老服务1300小时以上，年均举办老年人文体活动31场次，参与人数达1200余人次。通过持续开展主题活动和志愿服务，全社会“尊老、敬老、爱老、助老”的良好风尚蔚然成风，老年群体精神文化生活日益丰富，社会温暖感和归属感不断增强。</w:t>
      </w:r>
    </w:p>
    <w:p w14:paraId="752C0D7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四、康养产业协同发展，银发经济动能初显</w:t>
      </w:r>
    </w:p>
    <w:p w14:paraId="0CCF7B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期间，西区将养老服务融入区域发展全局，依托“苏铁”生态资源禀赋与“三线”文化底蕴，着力打造“水墨金沙”等近郊旅游目的地，活化历史街区，推动文旅康养产业深度融合发展。2025年，相关项目带动消费收入约12亿元，实现了老龄事业与康养产业互促共进、协同发展，为区域经济注入了新的活力，也为拓展“老有所乐”“老有所为”开辟了广阔空间。</w:t>
      </w:r>
    </w:p>
    <w:p w14:paraId="5F94408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5" w:name="_Toc21806"/>
      <w:bookmarkStart w:id="6" w:name="_Toc9136"/>
      <w:r>
        <w:rPr>
          <w:rFonts w:hint="default" w:ascii="Times New Roman" w:hAnsi="Times New Roman" w:eastAsia="黑体" w:cs="Times New Roman"/>
          <w:b w:val="0"/>
          <w:bCs/>
          <w:snapToGrid/>
          <w:color w:val="auto"/>
          <w:kern w:val="2"/>
          <w:sz w:val="32"/>
          <w:szCs w:val="32"/>
          <w:lang w:val="en-US" w:eastAsia="zh-CN"/>
        </w:rPr>
        <w:t>第二节“十五五”时期面临的</w:t>
      </w:r>
      <w:bookmarkEnd w:id="5"/>
      <w:r>
        <w:rPr>
          <w:rFonts w:hint="default" w:ascii="Times New Roman" w:hAnsi="Times New Roman" w:eastAsia="黑体" w:cs="Times New Roman"/>
          <w:b w:val="0"/>
          <w:bCs/>
          <w:snapToGrid/>
          <w:color w:val="auto"/>
          <w:kern w:val="2"/>
          <w:sz w:val="32"/>
          <w:szCs w:val="32"/>
          <w:lang w:val="en-US" w:eastAsia="zh-CN"/>
        </w:rPr>
        <w:t>形势</w:t>
      </w:r>
      <w:bookmarkEnd w:id="6"/>
    </w:p>
    <w:p w14:paraId="3BA383D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一、发展的机遇</w:t>
      </w:r>
    </w:p>
    <w:p w14:paraId="52D99F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西区在“十五五”期间面临的发展机遇呈现出“国家战略引领、省级规划定调、市级行动支撑、市场需求驱动”的多重叠加特征。</w:t>
      </w:r>
    </w:p>
    <w:p w14:paraId="722541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（一）国家战略统筹引领，顶层设计奠定发展总基调</w:t>
      </w:r>
    </w:p>
    <w:p w14:paraId="4C9083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default" w:ascii="Times New Roman" w:hAnsi="Times New Roman" w:eastAsia="方正仿宋_GB2312" w:cs="Times New Roman"/>
          <w:b w:val="0"/>
          <w:bCs/>
          <w:snapToGrid/>
          <w:color w:val="auto"/>
          <w:kern w:val="2"/>
          <w:sz w:val="32"/>
          <w:szCs w:val="32"/>
          <w:lang w:val="en-US" w:eastAsia="zh-CN"/>
        </w:rPr>
        <w:t>自“十四五”以来，国家已将对人口老龄化的积极应对提升至全局性战略高度。《国家积极应对人口老龄化中长期规划》将应对老龄化上升为国家战略，先后出台了《关于推进基本养老服务体系建设的意见》《关于进一步促进养老服务消费提升老年人生活品质的若干措施》《中共中央国务院关于深化养老服务改革发展的意见》等一系列重大政策文件，对健全养老事业与产业协同发展的政策机制、优化基本养老服务供给、完善城乡养老服务网络、大力发展银发经济等方面作出了系统而明确的部署。政策、资金和资源正向养老服务领域系统性、战略性地倾斜，政策导向已从保障基本生活需求向实现“老有所养”与“老有所为”深度融合转变，强调发展银发经济，着力满足老年人多层次、高品质的服务需求。这些顶层设计为西区科学谋划老龄事业发展和养老服务体系建设提供了根本遵循和行动指南。</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7CE73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000" w:type="pct"/>
            <w:shd w:val="clear" w:color="auto" w:fill="BEBEBE"/>
            <w:vAlign w:val="center"/>
          </w:tcPr>
          <w:p w14:paraId="15D2A04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2    国家老龄事业发展和养老服务体系建设核心政策一览表</w:t>
            </w:r>
          </w:p>
        </w:tc>
      </w:tr>
      <w:tr w14:paraId="6A68C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000" w:type="pct"/>
            <w:vAlign w:val="top"/>
          </w:tcPr>
          <w:tbl>
            <w:tblPr>
              <w:tblStyle w:val="14"/>
              <w:tblpPr w:leftFromText="180" w:rightFromText="180" w:vertAnchor="text" w:horzAnchor="page" w:tblpX="3531" w:tblpY="410"/>
              <w:tblOverlap w:val="never"/>
              <w:tblW w:w="8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7" w:type="dxa"/>
                <w:bottom w:w="17" w:type="dxa"/>
                <w:right w:w="17" w:type="dxa"/>
              </w:tblCellMar>
            </w:tblPr>
            <w:tblGrid>
              <w:gridCol w:w="554"/>
              <w:gridCol w:w="1037"/>
              <w:gridCol w:w="3024"/>
              <w:gridCol w:w="1772"/>
              <w:gridCol w:w="2453"/>
            </w:tblGrid>
            <w:tr w14:paraId="5061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C3F81D8">
                  <w:pPr>
                    <w:keepNext w:val="0"/>
                    <w:keepLines w:val="0"/>
                    <w:widowControl/>
                    <w:suppressLineNumbers w:val="0"/>
                    <w:snapToGrid w:val="0"/>
                    <w:jc w:val="center"/>
                    <w:rPr>
                      <w:rStyle w:val="17"/>
                      <w:rFonts w:hint="default" w:ascii="Times New Roman" w:hAnsi="Times New Roman" w:eastAsia="方正仿宋_GB2312" w:cs="Times New Roman"/>
                      <w:b/>
                      <w:bCs/>
                      <w:snapToGrid w:val="0"/>
                      <w:color w:val="auto"/>
                      <w:kern w:val="0"/>
                      <w:sz w:val="21"/>
                      <w:szCs w:val="21"/>
                      <w:lang w:val="en-US" w:eastAsia="zh-CN" w:bidi="ar"/>
                    </w:rPr>
                  </w:pPr>
                  <w:r>
                    <w:rPr>
                      <w:rStyle w:val="17"/>
                      <w:rFonts w:hint="default" w:ascii="Times New Roman" w:hAnsi="Times New Roman" w:eastAsia="方正仿宋_GB2312" w:cs="Times New Roman"/>
                      <w:b/>
                      <w:bCs/>
                      <w:snapToGrid w:val="0"/>
                      <w:color w:val="auto"/>
                      <w:kern w:val="0"/>
                      <w:sz w:val="21"/>
                      <w:szCs w:val="21"/>
                      <w:lang w:val="en-US" w:eastAsia="zh-CN" w:bidi="ar"/>
                    </w:rPr>
                    <w:t>政策层级</w:t>
                  </w:r>
                </w:p>
                <w:p w14:paraId="3D069962">
                  <w:pPr>
                    <w:keepNext w:val="0"/>
                    <w:keepLines w:val="0"/>
                    <w:widowControl/>
                    <w:suppressLineNumbers w:val="0"/>
                    <w:snapToGrid w:val="0"/>
                    <w:jc w:val="center"/>
                    <w:rPr>
                      <w:rStyle w:val="17"/>
                      <w:rFonts w:hint="default" w:ascii="Times New Roman" w:hAnsi="Times New Roman" w:eastAsia="方正仿宋_GB2312" w:cs="Times New Roman"/>
                      <w:b/>
                      <w:bCs/>
                      <w:snapToGrid w:val="0"/>
                      <w:color w:val="auto"/>
                      <w:kern w:val="0"/>
                      <w:sz w:val="21"/>
                      <w:szCs w:val="21"/>
                      <w:lang w:val="en-US" w:eastAsia="zh-CN" w:bidi="ar"/>
                    </w:rPr>
                  </w:pPr>
                  <w:r>
                    <w:rPr>
                      <w:rStyle w:val="17"/>
                      <w:rFonts w:hint="default" w:ascii="Times New Roman" w:hAnsi="Times New Roman" w:eastAsia="方正仿宋_GB2312" w:cs="Times New Roman"/>
                      <w:b/>
                      <w:bCs/>
                      <w:snapToGrid w:val="0"/>
                      <w:color w:val="auto"/>
                      <w:kern w:val="0"/>
                      <w:sz w:val="21"/>
                      <w:szCs w:val="21"/>
                      <w:lang w:val="en-US" w:eastAsia="zh-CN" w:bidi="ar"/>
                    </w:rPr>
                    <w:t>/主题</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B10CD84">
                  <w:pPr>
                    <w:keepNext w:val="0"/>
                    <w:keepLines w:val="0"/>
                    <w:widowControl/>
                    <w:suppressLineNumbers w:val="0"/>
                    <w:snapToGrid w:val="0"/>
                    <w:jc w:val="center"/>
                    <w:rPr>
                      <w:rFonts w:hint="default" w:ascii="Times New Roman" w:hAnsi="Times New Roman" w:eastAsia="方正仿宋_GB2312" w:cs="Times New Roman"/>
                      <w:b/>
                      <w:bCs/>
                      <w:color w:val="auto"/>
                      <w:sz w:val="21"/>
                      <w:szCs w:val="21"/>
                    </w:rPr>
                  </w:pPr>
                  <w:r>
                    <w:rPr>
                      <w:rStyle w:val="17"/>
                      <w:rFonts w:hint="default" w:ascii="Times New Roman" w:hAnsi="Times New Roman" w:eastAsia="方正仿宋_GB2312" w:cs="Times New Roman"/>
                      <w:b/>
                      <w:bCs/>
                      <w:snapToGrid w:val="0"/>
                      <w:color w:val="auto"/>
                      <w:kern w:val="0"/>
                      <w:sz w:val="21"/>
                      <w:szCs w:val="21"/>
                      <w:lang w:val="en-US" w:eastAsia="zh-CN" w:bidi="ar"/>
                    </w:rPr>
                    <w:t>核心政策文件名称</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A98DFBC">
                  <w:pPr>
                    <w:keepNext w:val="0"/>
                    <w:keepLines w:val="0"/>
                    <w:widowControl/>
                    <w:suppressLineNumbers w:val="0"/>
                    <w:snapToGrid w:val="0"/>
                    <w:jc w:val="center"/>
                    <w:rPr>
                      <w:rFonts w:hint="default" w:ascii="Times New Roman" w:hAnsi="Times New Roman" w:eastAsia="方正仿宋_GB2312" w:cs="Times New Roman"/>
                      <w:b/>
                      <w:bCs/>
                      <w:color w:val="auto"/>
                      <w:sz w:val="21"/>
                      <w:szCs w:val="21"/>
                    </w:rPr>
                  </w:pPr>
                  <w:r>
                    <w:rPr>
                      <w:rStyle w:val="17"/>
                      <w:rFonts w:hint="default" w:ascii="Times New Roman" w:hAnsi="Times New Roman" w:eastAsia="方正仿宋_GB2312" w:cs="Times New Roman"/>
                      <w:b/>
                      <w:bCs/>
                      <w:snapToGrid w:val="0"/>
                      <w:color w:val="auto"/>
                      <w:kern w:val="0"/>
                      <w:sz w:val="21"/>
                      <w:szCs w:val="21"/>
                      <w:lang w:val="en-US" w:eastAsia="zh-CN" w:bidi="ar"/>
                    </w:rPr>
                    <w:t>发布/牵头单位</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C849EB3">
                  <w:pPr>
                    <w:keepNext w:val="0"/>
                    <w:keepLines w:val="0"/>
                    <w:widowControl/>
                    <w:suppressLineNumbers w:val="0"/>
                    <w:snapToGrid w:val="0"/>
                    <w:jc w:val="center"/>
                    <w:rPr>
                      <w:rFonts w:hint="default" w:ascii="Times New Roman" w:hAnsi="Times New Roman" w:eastAsia="方正仿宋_GB2312" w:cs="Times New Roman"/>
                      <w:b/>
                      <w:bCs/>
                      <w:color w:val="auto"/>
                      <w:sz w:val="21"/>
                      <w:szCs w:val="21"/>
                    </w:rPr>
                  </w:pPr>
                  <w:r>
                    <w:rPr>
                      <w:rStyle w:val="17"/>
                      <w:rFonts w:hint="default" w:ascii="Times New Roman" w:hAnsi="Times New Roman" w:eastAsia="方正仿宋_GB2312" w:cs="Times New Roman"/>
                      <w:b/>
                      <w:bCs/>
                      <w:snapToGrid w:val="0"/>
                      <w:color w:val="auto"/>
                      <w:kern w:val="0"/>
                      <w:sz w:val="21"/>
                      <w:szCs w:val="21"/>
                      <w:lang w:val="en-US" w:eastAsia="zh-CN" w:bidi="ar"/>
                    </w:rPr>
                    <w:t>核心目标与举措</w:t>
                  </w:r>
                </w:p>
              </w:tc>
            </w:tr>
            <w:tr w14:paraId="0933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vMerge w:val="restart"/>
                  <w:tcBorders>
                    <w:top w:val="single" w:color="auto" w:sz="4" w:space="0"/>
                    <w:left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73C43E1A">
                  <w:pPr>
                    <w:keepNext w:val="0"/>
                    <w:keepLines w:val="0"/>
                    <w:widowControl/>
                    <w:suppressLineNumbers w:val="0"/>
                    <w:snapToGrid w:val="0"/>
                    <w:ind w:left="113" w:right="113"/>
                    <w:jc w:val="center"/>
                    <w:rPr>
                      <w:rStyle w:val="17"/>
                      <w:rFonts w:hint="default" w:ascii="Times New Roman" w:hAnsi="Times New Roman" w:eastAsia="方正仿宋_GB2312" w:cs="Times New Roman"/>
                      <w:b/>
                      <w:bCs/>
                      <w:snapToGrid w:val="0"/>
                      <w:color w:val="auto"/>
                      <w:kern w:val="0"/>
                      <w:sz w:val="21"/>
                      <w:szCs w:val="21"/>
                      <w:lang w:val="en-US" w:eastAsia="zh-CN" w:bidi="ar"/>
                    </w:rPr>
                  </w:pPr>
                  <w:r>
                    <w:rPr>
                      <w:rStyle w:val="17"/>
                      <w:rFonts w:hint="default" w:ascii="Times New Roman" w:hAnsi="Times New Roman" w:eastAsia="方正仿宋_GB2312" w:cs="Times New Roman"/>
                      <w:b/>
                      <w:bCs/>
                      <w:snapToGrid w:val="0"/>
                      <w:color w:val="auto"/>
                      <w:kern w:val="0"/>
                      <w:sz w:val="21"/>
                      <w:szCs w:val="21"/>
                      <w:lang w:val="en-US" w:eastAsia="zh-CN" w:bidi="ar"/>
                    </w:rPr>
                    <w:t>顶层战略规划</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1662706">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《国家积极应对人口老龄化中长期规划》</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EACFD0C">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zh-CN" w:bidi="ar"/>
                    </w:rPr>
                  </w:pPr>
                  <w:r>
                    <w:rPr>
                      <w:rFonts w:hint="default" w:ascii="Times New Roman" w:hAnsi="Times New Roman" w:eastAsia="方正仿宋_GB2312" w:cs="Times New Roman"/>
                      <w:snapToGrid w:val="0"/>
                      <w:color w:val="auto"/>
                      <w:kern w:val="0"/>
                      <w:sz w:val="21"/>
                      <w:szCs w:val="21"/>
                      <w:lang w:val="en-US" w:eastAsia="zh-CN" w:bidi="ar"/>
                    </w:rPr>
                    <w:t>中共中央、</w:t>
                  </w:r>
                </w:p>
                <w:p w14:paraId="3E5C757A">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国务院</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39793F3">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至2050年的战略性、综合性指导文件，明确中长期任务。</w:t>
                  </w:r>
                </w:p>
              </w:tc>
            </w:tr>
            <w:tr w14:paraId="66B4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vMerge w:val="continue"/>
                  <w:tcBorders>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AC16C24">
                  <w:pPr>
                    <w:snapToGrid w:val="0"/>
                    <w:jc w:val="center"/>
                    <w:rPr>
                      <w:rFonts w:hint="default" w:ascii="Times New Roman" w:hAnsi="Times New Roman" w:eastAsia="方正仿宋_GB2312" w:cs="Times New Roman"/>
                      <w:color w:val="auto"/>
                      <w:sz w:val="21"/>
                      <w:szCs w:val="21"/>
                    </w:rPr>
                  </w:pP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790E5D3">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《“十五五”国家老龄事业发展和养老服务体系规划》</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FDAFAF2">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国务院</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3AA5DBE">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“十五五”时期推动老龄事业与产业协同发展的行动纲领。</w:t>
                  </w:r>
                </w:p>
              </w:tc>
            </w:tr>
            <w:tr w14:paraId="2977B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vMerge w:val="restart"/>
                  <w:tcBorders>
                    <w:top w:val="single" w:color="auto" w:sz="4" w:space="0"/>
                    <w:left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6141F625">
                  <w:pPr>
                    <w:keepNext w:val="0"/>
                    <w:keepLines w:val="0"/>
                    <w:widowControl/>
                    <w:suppressLineNumbers w:val="0"/>
                    <w:snapToGrid w:val="0"/>
                    <w:ind w:left="113" w:right="113"/>
                    <w:jc w:val="center"/>
                    <w:rPr>
                      <w:rStyle w:val="17"/>
                      <w:rFonts w:hint="default" w:ascii="Times New Roman" w:hAnsi="Times New Roman" w:eastAsia="方正仿宋_GB2312" w:cs="Times New Roman"/>
                      <w:b/>
                      <w:bCs/>
                      <w:snapToGrid w:val="0"/>
                      <w:color w:val="auto"/>
                      <w:kern w:val="0"/>
                      <w:sz w:val="21"/>
                      <w:szCs w:val="21"/>
                      <w:lang w:val="en-US" w:eastAsia="zh-CN" w:bidi="ar"/>
                    </w:rPr>
                  </w:pPr>
                  <w:r>
                    <w:rPr>
                      <w:rStyle w:val="17"/>
                      <w:rFonts w:hint="default" w:ascii="Times New Roman" w:hAnsi="Times New Roman" w:eastAsia="方正仿宋_GB2312" w:cs="Times New Roman"/>
                      <w:b/>
                      <w:bCs/>
                      <w:snapToGrid w:val="0"/>
                      <w:color w:val="auto"/>
                      <w:kern w:val="0"/>
                      <w:sz w:val="21"/>
                      <w:szCs w:val="21"/>
                      <w:lang w:val="en-US" w:eastAsia="zh-CN" w:bidi="ar"/>
                    </w:rPr>
                    <w:t>养老服务体系建设</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9288EFB">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《关于深化养老服务改革发展的意见》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510FE83">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中共中央、国务院</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D204FB8">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构建居家、社区、机构相协调，医养结合的养老服务体系。</w:t>
                  </w:r>
                </w:p>
              </w:tc>
            </w:tr>
            <w:tr w14:paraId="7C9BC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08853305">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18A2D9C">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《“十四五”积极应对人口老龄化工程和托育建设实施方案》</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EC31745">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国家发改委、民政部、卫健委</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506A8A8">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通过中央预算内投资，支持养老服务体系基础设施建设。</w:t>
                  </w:r>
                </w:p>
              </w:tc>
            </w:tr>
            <w:tr w14:paraId="2C39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gridSpan w:val="2"/>
                  <w:vMerge w:val="continue"/>
                  <w:tcBorders>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AA3C9C0">
                  <w:pPr>
                    <w:snapToGrid w:val="0"/>
                    <w:rPr>
                      <w:rFonts w:hint="default" w:ascii="Times New Roman" w:hAnsi="Times New Roman" w:eastAsia="方正仿宋_GB2312" w:cs="Times New Roman"/>
                      <w:snapToGrid w:val="0"/>
                      <w:color w:val="auto"/>
                      <w:kern w:val="0"/>
                      <w:sz w:val="21"/>
                      <w:szCs w:val="21"/>
                      <w:lang w:val="en-US" w:eastAsia="en-US" w:bidi="ar-SA"/>
                    </w:rPr>
                  </w:pP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014F3FE">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《关于推进基本养老服务体系建设的意见》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A561400">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中共中央办公厅、国务院办公厅</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D16FE90">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明确基本养老服务由政府主导提供，保障老年人基本养老需求。</w:t>
                  </w:r>
                </w:p>
              </w:tc>
            </w:tr>
            <w:tr w14:paraId="0618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7DAAC8ED">
                  <w:pPr>
                    <w:keepNext w:val="0"/>
                    <w:keepLines w:val="0"/>
                    <w:widowControl/>
                    <w:suppressLineNumbers w:val="0"/>
                    <w:snapToGrid w:val="0"/>
                    <w:ind w:left="113" w:right="113"/>
                    <w:jc w:val="center"/>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SA"/>
                    </w:rPr>
                    <w:t>重</w:t>
                  </w:r>
                  <w:r>
                    <w:rPr>
                      <w:rStyle w:val="17"/>
                      <w:rFonts w:hint="default" w:ascii="Times New Roman" w:hAnsi="Times New Roman" w:eastAsia="方正仿宋_GB2312" w:cs="Times New Roman"/>
                      <w:bCs/>
                      <w:snapToGrid w:val="0"/>
                      <w:color w:val="auto"/>
                      <w:kern w:val="0"/>
                      <w:sz w:val="21"/>
                      <w:szCs w:val="21"/>
                      <w:lang w:val="en-US" w:eastAsia="zh-CN" w:bidi="ar"/>
                    </w:rPr>
                    <w:t>点领域与专项行动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4F9FBB9">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医养结合</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7764F5C">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《关于开展医养结合促进行动的通知》</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8FF8F1A">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国家卫健委等多部门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0D90925">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开展为期3年的促进行动，推动医养结合服务区域全覆盖</w:t>
                  </w:r>
                </w:p>
              </w:tc>
            </w:tr>
            <w:tr w14:paraId="0311D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6F23F706">
                  <w:pPr>
                    <w:snapToGrid w:val="0"/>
                    <w:ind w:left="113" w:right="113"/>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A602173">
                  <w:pPr>
                    <w:snapToGrid w:val="0"/>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农村养老</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BF62643">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《关于加快发展农村养老服务的指导意见》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9045C3E">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民政部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CC69E54">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补齐农村养老服务短板，将其纳入乡村振兴战略。</w:t>
                  </w:r>
                </w:p>
              </w:tc>
            </w:tr>
            <w:tr w14:paraId="0F2FC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0B764F65">
                  <w:pPr>
                    <w:snapToGrid w:val="0"/>
                    <w:ind w:left="113" w:right="113"/>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43F9BF">
                  <w:pPr>
                    <w:snapToGrid w:val="0"/>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老年健康</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1E47A48">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《应对老年期痴呆国家行动计划（2024-2030年）》</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1CE8BC4">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国家卫健委等15部门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88CC87A">
                  <w:pPr>
                    <w:keepNext w:val="0"/>
                    <w:keepLines w:val="0"/>
                    <w:widowControl/>
                    <w:suppressLineNumbers w:val="0"/>
                    <w:snapToGrid w:val="0"/>
                    <w:jc w:val="left"/>
                    <w:rPr>
                      <w:rFonts w:hint="default" w:ascii="Times New Roman" w:hAnsi="Times New Roman" w:eastAsia="方正仿宋_GB2312" w:cs="Times New Roman"/>
                      <w:color w:val="auto"/>
                      <w:sz w:val="21"/>
                      <w:szCs w:val="21"/>
                    </w:rPr>
                  </w:pPr>
                  <w:r>
                    <w:rPr>
                      <w:rFonts w:hint="default" w:ascii="Times New Roman" w:hAnsi="Times New Roman" w:eastAsia="方正仿宋_GB2312" w:cs="Times New Roman"/>
                      <w:snapToGrid w:val="0"/>
                      <w:color w:val="auto"/>
                      <w:kern w:val="0"/>
                      <w:sz w:val="21"/>
                      <w:szCs w:val="21"/>
                      <w:lang w:val="en-US" w:eastAsia="zh-CN" w:bidi="ar"/>
                    </w:rPr>
                    <w:t>加强老年期痴呆的预防、干预和照护支持。</w:t>
                  </w:r>
                </w:p>
              </w:tc>
            </w:tr>
            <w:tr w14:paraId="47624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198B7AA9">
                  <w:pPr>
                    <w:snapToGrid w:val="0"/>
                    <w:ind w:left="113" w:right="113"/>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0E245EF">
                  <w:pPr>
                    <w:snapToGrid w:val="0"/>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养老服务消费</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2D779B8">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《关于进一步促进养老服务消费 提升老年人生活品质的若干措施》</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8FBDAF4">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民政部等24部门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1D13BCC">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从供需适配、消费场景、产品研发等5方面挖掘消费潜力。</w:t>
                  </w:r>
                </w:p>
              </w:tc>
            </w:tr>
            <w:tr w14:paraId="4B0AD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textDirection w:val="tbLrV"/>
                  <w:vAlign w:val="center"/>
                </w:tcPr>
                <w:p w14:paraId="2F01B000">
                  <w:pPr>
                    <w:keepNext w:val="0"/>
                    <w:keepLines w:val="0"/>
                    <w:widowControl/>
                    <w:suppressLineNumbers w:val="0"/>
                    <w:snapToGrid w:val="0"/>
                    <w:ind w:left="113" w:right="113"/>
                    <w:jc w:val="center"/>
                    <w:rPr>
                      <w:rFonts w:hint="default" w:ascii="Times New Roman" w:hAnsi="Times New Roman" w:eastAsia="方正仿宋_GB2312" w:cs="Times New Roman"/>
                      <w:color w:val="auto"/>
                      <w:sz w:val="21"/>
                      <w:szCs w:val="21"/>
                    </w:rPr>
                  </w:pPr>
                  <w:r>
                    <w:rPr>
                      <w:rStyle w:val="17"/>
                      <w:rFonts w:hint="default" w:ascii="Times New Roman" w:hAnsi="Times New Roman" w:eastAsia="方正仿宋_GB2312" w:cs="Times New Roman"/>
                      <w:b/>
                      <w:bCs/>
                      <w:snapToGrid w:val="0"/>
                      <w:color w:val="auto"/>
                      <w:kern w:val="0"/>
                      <w:sz w:val="21"/>
                      <w:szCs w:val="21"/>
                      <w:lang w:val="en-US" w:eastAsia="zh-CN" w:bidi="ar"/>
                    </w:rPr>
                    <w:t>支撑保障体系</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19DBEE2">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金融支持</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360A702">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《关于金融支持中国式养老事业 服务银发经济高质量发展的指导意见》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617062D">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中国人民银行等九部门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828BF23">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引导金融资源支持养老事业与产业发展。</w:t>
                  </w:r>
                </w:p>
              </w:tc>
            </w:tr>
            <w:tr w14:paraId="745F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754CD11">
                  <w:pPr>
                    <w:snapToGrid w:val="0"/>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E416B63">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Style w:val="17"/>
                      <w:rFonts w:hint="default" w:ascii="Times New Roman" w:hAnsi="Times New Roman" w:eastAsia="方正仿宋_GB2312" w:cs="Times New Roman"/>
                      <w:b/>
                      <w:bCs/>
                      <w:snapToGrid w:val="0"/>
                      <w:color w:val="auto"/>
                      <w:kern w:val="0"/>
                      <w:sz w:val="21"/>
                      <w:szCs w:val="21"/>
                      <w:lang w:val="en-US" w:eastAsia="zh-CN" w:bidi="ar"/>
                    </w:rPr>
                    <w:t>人才建设</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D4AA54E">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《关于加快推进养老服务技能人才职业技能等级认定工作的实施意见》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795474E">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民政部、人力资源社会保障部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2A9319D">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建立养老服务技能人才评价制度，提高职业吸引力。</w:t>
                  </w:r>
                </w:p>
              </w:tc>
            </w:tr>
            <w:tr w14:paraId="7861C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7916971">
                  <w:pPr>
                    <w:snapToGrid w:val="0"/>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2C32B45">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Style w:val="17"/>
                      <w:rFonts w:hint="default" w:ascii="Times New Roman" w:hAnsi="Times New Roman" w:eastAsia="方正仿宋_GB2312" w:cs="Times New Roman"/>
                      <w:b/>
                      <w:bCs/>
                      <w:snapToGrid w:val="0"/>
                      <w:color w:val="auto"/>
                      <w:kern w:val="0"/>
                      <w:sz w:val="21"/>
                      <w:szCs w:val="21"/>
                      <w:lang w:val="en-US" w:eastAsia="zh-CN" w:bidi="ar"/>
                    </w:rPr>
                    <w:t>综合监管</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BD76E96">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《关于建立健全养老服务综合监管制度 促进养老服务高质量发展的意见》</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6496FB0">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国务院办公厅</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29EB114">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建立跨部门协同监管机制，保障服务质量与安全。</w:t>
                  </w:r>
                </w:p>
              </w:tc>
            </w:tr>
            <w:tr w14:paraId="268EA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701F8297">
                  <w:pPr>
                    <w:keepNext w:val="0"/>
                    <w:keepLines w:val="0"/>
                    <w:widowControl/>
                    <w:suppressLineNumbers w:val="0"/>
                    <w:snapToGrid w:val="0"/>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7D90476">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zh-CN" w:bidi="ar-SA"/>
                    </w:rPr>
                  </w:pPr>
                  <w:r>
                    <w:rPr>
                      <w:rStyle w:val="17"/>
                      <w:rFonts w:hint="default" w:ascii="Times New Roman" w:hAnsi="Times New Roman" w:eastAsia="方正仿宋_GB2312" w:cs="Times New Roman"/>
                      <w:b/>
                      <w:bCs/>
                      <w:snapToGrid w:val="0"/>
                      <w:color w:val="auto"/>
                      <w:kern w:val="0"/>
                      <w:sz w:val="21"/>
                      <w:szCs w:val="21"/>
                      <w:lang w:val="en-US" w:eastAsia="zh-CN" w:bidi="ar"/>
                    </w:rPr>
                    <w:t>设备更新与消费</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DE4D7C1">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2026年“两新”（设备更新、消费品以旧换新）政策</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EAF6B32">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国家发展改革委</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F075488">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新增对养老机构设备更新和适老化家居产品的补贴。</w:t>
                  </w:r>
                </w:p>
              </w:tc>
            </w:tr>
            <w:tr w14:paraId="420E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17" w:type="dxa"/>
                  <w:right w:w="17" w:type="dxa"/>
                </w:tblCellMar>
              </w:tblPrEx>
              <w:trPr>
                <w:trHeight w:val="23"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2921E8F0">
                  <w:pPr>
                    <w:snapToGrid w:val="0"/>
                    <w:jc w:val="center"/>
                    <w:rPr>
                      <w:rFonts w:hint="default" w:ascii="Times New Roman" w:hAnsi="Times New Roman" w:eastAsia="方正仿宋_GB2312" w:cs="Times New Roman"/>
                      <w:color w:val="auto"/>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92AEB28">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Style w:val="17"/>
                      <w:rFonts w:hint="default" w:ascii="Times New Roman" w:hAnsi="Times New Roman" w:eastAsia="方正仿宋_GB2312" w:cs="Times New Roman"/>
                      <w:b/>
                      <w:bCs/>
                      <w:snapToGrid w:val="0"/>
                      <w:color w:val="auto"/>
                      <w:kern w:val="0"/>
                      <w:sz w:val="21"/>
                      <w:szCs w:val="21"/>
                      <w:lang w:val="en-US" w:eastAsia="zh-CN" w:bidi="ar"/>
                    </w:rPr>
                    <w:t>长期护理保险</w:t>
                  </w:r>
                </w:p>
              </w:tc>
              <w:tc>
                <w:tcPr>
                  <w:tcW w:w="302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0AF58CA">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多地试点，国家层面持续推进</w:t>
                  </w:r>
                </w:p>
              </w:tc>
              <w:tc>
                <w:tcPr>
                  <w:tcW w:w="177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7DADFB5">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国家医保局等部门</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0134A40">
                  <w:pPr>
                    <w:keepNext w:val="0"/>
                    <w:keepLines w:val="0"/>
                    <w:widowControl/>
                    <w:suppressLineNumbers w:val="0"/>
                    <w:snapToGrid w:val="0"/>
                    <w:jc w:val="left"/>
                    <w:rPr>
                      <w:rFonts w:hint="default" w:ascii="Times New Roman" w:hAnsi="Times New Roman" w:eastAsia="方正仿宋_GB2312" w:cs="Times New Roman"/>
                      <w:snapToGrid w:val="0"/>
                      <w:color w:val="auto"/>
                      <w:kern w:val="0"/>
                      <w:sz w:val="21"/>
                      <w:szCs w:val="21"/>
                      <w:lang w:val="en-US" w:eastAsia="en-US" w:bidi="ar-SA"/>
                    </w:rPr>
                  </w:pPr>
                  <w:r>
                    <w:rPr>
                      <w:rFonts w:hint="default" w:ascii="Times New Roman" w:hAnsi="Times New Roman" w:eastAsia="方正仿宋_GB2312" w:cs="Times New Roman"/>
                      <w:snapToGrid w:val="0"/>
                      <w:color w:val="auto"/>
                      <w:kern w:val="0"/>
                      <w:sz w:val="21"/>
                      <w:szCs w:val="21"/>
                      <w:lang w:val="en-US" w:eastAsia="zh-CN" w:bidi="ar"/>
                    </w:rPr>
                    <w:t>为长期失能人员的基本生活照料和医疗护理提供资金或服务保障。</w:t>
                  </w:r>
                </w:p>
              </w:tc>
            </w:tr>
          </w:tbl>
          <w:p w14:paraId="3035ABC4">
            <w:pPr>
              <w:widowControl/>
              <w:kinsoku w:val="0"/>
              <w:autoSpaceDE w:val="0"/>
              <w:autoSpaceDN w:val="0"/>
              <w:adjustRightInd w:val="0"/>
              <w:snapToGrid w:val="0"/>
              <w:spacing w:line="240" w:lineRule="auto"/>
              <w:jc w:val="left"/>
              <w:textAlignment w:val="baseline"/>
              <w:rPr>
                <w:rFonts w:hint="default" w:ascii="Times New Roman" w:hAnsi="Times New Roman" w:eastAsia="方正仿宋_GB2312" w:cs="Times New Roman"/>
                <w:color w:val="auto"/>
                <w:sz w:val="21"/>
                <w:szCs w:val="21"/>
                <w:lang w:eastAsia="zh-CN"/>
              </w:rPr>
            </w:pPr>
          </w:p>
        </w:tc>
      </w:tr>
    </w:tbl>
    <w:p w14:paraId="017C138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（二）省级支持精准有力，为西区提供有力支撑和清晰指引</w:t>
      </w:r>
    </w:p>
    <w:p w14:paraId="72FFAD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四川省建立了厅际联席会议制度及省养老服务中心，形成高层次协调机制，出台并持续修订相关条例与规划，推动全省养老服务设施不断完善。城市“15分钟养老服务圈”已基本成型，农村三级养老网络持续健全，老年健康支撑体系逐步强化。四川省明确将攀枝花市列为“全省银发经济产业链主要承载地”，支持开展居家社区养老服务集成改革试点，加快布局社区养老综合体、老年助餐网络、失能照护等服务项目。这为西区争取资源、突破发展瓶颈提供了直接的政策通道，有力推动相关产业、项目与要素向本地区倾斜。与此同时，四川省正加快编制银发经济产业发展规划，围绕养老服务、康复辅具、康养旅游、老年生物医药等七大产业领域绘制发展图谱，为西区科学谋划“十五五”相关产业发展提供了清晰的导向和重点突破方向。</w:t>
      </w:r>
    </w:p>
    <w:p w14:paraId="21482E5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（三）市级布局定位明确，西区承接空间巨大</w:t>
      </w:r>
    </w:p>
    <w:p w14:paraId="5CCEB3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四五”以来，攀枝花市围绕政策制度、服务保障、综合监管、社会参与四个维度协同发力，推动养老服务从满足基本需求逐步向高品质提升转变，已构建起多层次的养老服务体系。先后制定实施攀枝花市统筹城乡优化供给推进养老服务提质增效实施方案和建设银发经济产业链主要承载地专项方案，确定老年健康（医养结合）、康养产业、适老化产品制造与消费创新、养老金融四大主攻方向，着手打造康复辅具产业园等实体平台。西区作为攀枝花市的重要组成部分，在承接市级产业布局、发展特色康养文旅产业方面拥有广阔空间和巨大潜力。</w:t>
      </w:r>
    </w:p>
    <w:p w14:paraId="0E3001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（四）老年群体需求加速转变，银发经济市场前景广阔</w:t>
      </w:r>
    </w:p>
    <w:p w14:paraId="19B1C3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在国家战略的强力引领下，一个规模巨大的“银发经济”新蓝海市场正在加速形成。据研究预测，到2035年，全国银发经济规模将达到30万亿元，涉及养老服务、老年用品、健康文旅等多个领域。新一代“银发族”的消费理念正从传统的基本生存型向追求品质、健康、休闲的发展型转变，催生了智慧养老、康复辅具、康养旅游等新兴业态，为西区布局和发展相关产业提供了广阔的市场前景和发展空间。</w:t>
      </w:r>
    </w:p>
    <w:p w14:paraId="13FEA9E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二、面临的挑战</w:t>
      </w:r>
    </w:p>
    <w:p w14:paraId="3456691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（一）老龄化进程加速深化</w:t>
      </w:r>
    </w:p>
    <w:p w14:paraId="21A90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五五”时期是我国老龄事业体系基本成型前的关键塑造期。全国人口老龄化进程将显著加快，规模持续扩大，增速居高不下，养老服务需求总量将持续刚性增长。截至2025年，西区60周岁及以上老年人口达2.95万人，老龄化率已达22.81%，高龄化趋势日益明显。一方面，60至69岁的低龄老年群体规模持续扩大，为“老有所为”、参与社会发展提供了宝贵的“银发力量”；另一方面，80岁及以上的高龄老年人口持续增加，将导致失能、半失能照护需求以及社会保障支出持续攀升，对专业化护理服务供给提出严峻考验。</w:t>
      </w:r>
    </w:p>
    <w:p w14:paraId="103E1C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（二）服务供给结构性矛盾突出</w:t>
      </w:r>
    </w:p>
    <w:p w14:paraId="341487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农村养老服务设施覆盖率仅为城市的60%，区域养老服务资源配置较为分散；居家社区养老专业化服务覆盖率不足50%，失能老年人上门照护服务的可及性偏低；普惠型养老机构数量偏少，价格可负担、质量有保障的服务供给缺口较大。</w:t>
      </w:r>
    </w:p>
    <w:p w14:paraId="21C9C67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（三）要素保障能力亟待加强</w:t>
      </w:r>
    </w:p>
    <w:p w14:paraId="599706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西区养老护理员队伍尚存在较大缺口，低龄老年人“老有所为”平台建设、高龄失能老年人专业照护供给、农村养老服务覆盖等方面均有待进一步强化，服务供给与需求升级之间存在明显差距。银发经济尚处于培育起步阶段，养老服务领域融资成本高、回报周期长，社会资本参与积极性不足；智慧养老技术应用场景不够丰富，适老化改造覆盖率仅为35%，城乡之间的差距依然明显。</w:t>
      </w:r>
    </w:p>
    <w:p w14:paraId="2FA04AD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（四）事业与产业协同发展不足</w:t>
      </w:r>
    </w:p>
    <w:p w14:paraId="639A51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当前，我国银发经济市场规模虽已突破9万亿元，但产品供给与消费需求之间仍存在脱节现象，老年用品适老化水平不高，健康管理、文化旅游等融合业态发展相对滞后，产业标准化、品牌化程度有待提升。上述因素严重制约了西区养老事业与养老产业协同发展的进程。</w:t>
      </w:r>
    </w:p>
    <w:p w14:paraId="5F22DA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“十五五”时期，西区需在现有坚实基础上，将工作重心向提质增效、均衡发展和产业赋能转变，着力破解供需矛盾与发展短板，推动全区老龄事业高质量发展再上新台阶。</w:t>
      </w:r>
    </w:p>
    <w:p w14:paraId="5DCFD5F7">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7" w:name="_Toc31495"/>
      <w:bookmarkStart w:id="8" w:name="_Toc5195"/>
      <w:r>
        <w:rPr>
          <w:rFonts w:hint="default" w:ascii="Times New Roman" w:hAnsi="Times New Roman" w:eastAsia="Arial Unicode MS" w:cs="Times New Roman"/>
          <w:b w:val="0"/>
          <w:bCs/>
          <w:snapToGrid/>
          <w:color w:val="auto"/>
          <w:sz w:val="32"/>
          <w:szCs w:val="32"/>
          <w:lang w:val="en-US" w:eastAsia="zh-CN"/>
        </w:rPr>
        <w:t>第二章 总体要求</w:t>
      </w:r>
      <w:bookmarkEnd w:id="7"/>
      <w:bookmarkEnd w:id="8"/>
    </w:p>
    <w:p w14:paraId="17BDFCF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 w:name="_Toc2184"/>
      <w:bookmarkStart w:id="10" w:name="_Toc18084"/>
      <w:r>
        <w:rPr>
          <w:rFonts w:hint="default" w:ascii="Times New Roman" w:hAnsi="Times New Roman" w:eastAsia="黑体" w:cs="Times New Roman"/>
          <w:b w:val="0"/>
          <w:bCs/>
          <w:snapToGrid/>
          <w:color w:val="auto"/>
          <w:kern w:val="2"/>
          <w:sz w:val="32"/>
          <w:szCs w:val="32"/>
          <w:lang w:val="en-US" w:eastAsia="zh-CN"/>
        </w:rPr>
        <w:t>第一节 指导思想</w:t>
      </w:r>
      <w:bookmarkEnd w:id="9"/>
      <w:bookmarkEnd w:id="10"/>
      <w:r>
        <w:rPr>
          <w:rFonts w:hint="default" w:ascii="Times New Roman" w:hAnsi="Times New Roman" w:eastAsia="黑体" w:cs="Times New Roman"/>
          <w:b w:val="0"/>
          <w:bCs/>
          <w:snapToGrid/>
          <w:color w:val="auto"/>
          <w:kern w:val="2"/>
          <w:sz w:val="32"/>
          <w:szCs w:val="32"/>
          <w:lang w:val="en-US" w:eastAsia="zh-CN"/>
        </w:rPr>
        <w:tab/>
      </w:r>
    </w:p>
    <w:p w14:paraId="3B2093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五五”时期，攀枝花市西区老龄事业与养老服务体系建设，要始终坚持以人民为中心的发展思想，以习近平新时代中国特色社会主义思想为指导，全面深入贯彻落实党的二十大精神，深入实施积极应对人口老龄化的国家战略。紧密围绕四川省支持攀枝花建设共同富裕试验区、打造全省银发经济产业链主要承载地的战略定位，以推动老龄事业和产业协同高质量发展为主线，秉持“积极老龄观、健康老龄化”的先进理念，坚持系统谋划、改革创新、精准施策。加快健全覆盖城乡、分级分类、普惠可及、持续发展的养老服务体系，着力强化科技赋能与人才支撑，有效扩大老年友好型产品和服务供给，将西区建设成为服务优质、产业活跃、社会友好、具有区域影响力的老龄事业发展和养老服务示范城区。</w:t>
      </w:r>
    </w:p>
    <w:p w14:paraId="485AC8F6">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1" w:name="_Toc17171"/>
      <w:bookmarkStart w:id="12" w:name="_Toc25556"/>
      <w:r>
        <w:rPr>
          <w:rFonts w:hint="default" w:ascii="Times New Roman" w:hAnsi="Times New Roman" w:eastAsia="黑体" w:cs="Times New Roman"/>
          <w:b w:val="0"/>
          <w:bCs/>
          <w:snapToGrid/>
          <w:color w:val="auto"/>
          <w:kern w:val="2"/>
          <w:sz w:val="32"/>
          <w:szCs w:val="32"/>
          <w:lang w:val="en-US" w:eastAsia="zh-CN"/>
        </w:rPr>
        <w:t>第二节 基本原则</w:t>
      </w:r>
      <w:bookmarkEnd w:id="11"/>
      <w:bookmarkEnd w:id="12"/>
      <w:r>
        <w:rPr>
          <w:rFonts w:hint="default" w:ascii="Times New Roman" w:hAnsi="Times New Roman" w:eastAsia="黑体" w:cs="Times New Roman"/>
          <w:b w:val="0"/>
          <w:bCs/>
          <w:snapToGrid/>
          <w:color w:val="auto"/>
          <w:kern w:val="2"/>
          <w:sz w:val="32"/>
          <w:szCs w:val="32"/>
          <w:lang w:val="en-US" w:eastAsia="zh-CN"/>
        </w:rPr>
        <w:tab/>
      </w:r>
    </w:p>
    <w:p w14:paraId="7D15C46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1.政府主导，多元参与。</w:t>
      </w:r>
      <w:r>
        <w:rPr>
          <w:rFonts w:hint="default" w:ascii="Times New Roman" w:hAnsi="Times New Roman" w:eastAsia="方正仿宋_GB2312" w:cs="Times New Roman"/>
          <w:b w:val="0"/>
          <w:bCs/>
          <w:snapToGrid/>
          <w:color w:val="auto"/>
          <w:kern w:val="2"/>
          <w:sz w:val="32"/>
          <w:szCs w:val="32"/>
          <w:lang w:val="en-US" w:eastAsia="zh-CN"/>
        </w:rPr>
        <w:t>坚持和加强党对老龄工作的全面领导，切实强化政府在制度建设、规划引导、资金投入、标准制定和行业监管中的主导作用。充分发挥市场在资源配置中的决定性作用，积极支持社会力量广泛参与，构建政府、市场、社会、家庭和老年人自身共同参与、协同发力的新格局。</w:t>
      </w:r>
    </w:p>
    <w:p w14:paraId="2B5A639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2.统筹协调，均衡发展。</w:t>
      </w:r>
      <w:r>
        <w:rPr>
          <w:rFonts w:hint="default" w:ascii="Times New Roman" w:hAnsi="Times New Roman" w:eastAsia="方正仿宋_GB2312" w:cs="Times New Roman"/>
          <w:b w:val="0"/>
          <w:bCs/>
          <w:snapToGrid/>
          <w:color w:val="auto"/>
          <w:kern w:val="2"/>
          <w:sz w:val="32"/>
          <w:szCs w:val="32"/>
          <w:lang w:val="en-US" w:eastAsia="zh-CN"/>
        </w:rPr>
        <w:t>统筹推进老龄事业与银发经济产业协同发展，统筹实现居家、社区、机构养老服务的有效衔接，统筹配置城区与农村养老服务资源。重点补齐农村和老旧小区在养老服务方面的短板，推动基本养老服务实现城乡和区域均等化，让发展成果惠及全体老年人。</w:t>
      </w:r>
    </w:p>
    <w:p w14:paraId="0E4D2C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3.需求导向，精准施策。</w:t>
      </w:r>
      <w:r>
        <w:rPr>
          <w:rFonts w:hint="default" w:ascii="Times New Roman" w:hAnsi="Times New Roman" w:eastAsia="方正仿宋_GB2312" w:cs="Times New Roman"/>
          <w:b w:val="0"/>
          <w:bCs/>
          <w:snapToGrid/>
          <w:color w:val="auto"/>
          <w:kern w:val="2"/>
          <w:sz w:val="32"/>
          <w:szCs w:val="32"/>
          <w:lang w:val="en-US" w:eastAsia="zh-CN"/>
        </w:rPr>
        <w:t>聚焦老年人急难愁盼的问题，围绕高龄、失能、空巢等特殊困难老年群体的刚性照护需求，切实强化兜底保障。顺应老年人多层次、多样化的服务需求，大力发展康复护理、老年助餐、智慧养老、文教体娱等多元服务，实现精准化、个性化的服务供给。</w:t>
      </w:r>
    </w:p>
    <w:p w14:paraId="1B395A0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4.改革创新，提质增效。</w:t>
      </w:r>
      <w:r>
        <w:rPr>
          <w:rFonts w:hint="default" w:ascii="Times New Roman" w:hAnsi="Times New Roman" w:eastAsia="方正仿宋_GB2312" w:cs="Times New Roman"/>
          <w:b w:val="0"/>
          <w:bCs/>
          <w:snapToGrid/>
          <w:color w:val="auto"/>
          <w:kern w:val="2"/>
          <w:sz w:val="32"/>
          <w:szCs w:val="32"/>
          <w:lang w:val="en-US" w:eastAsia="zh-CN"/>
        </w:rPr>
        <w:t>以建设全省银发经济产业链主要承载地为重要契机，加快推进改革创新。积极争取开展居家社区养老服务集成改革试点，持续创新医养服务模式。大力推进养老服务数字化、智能化转型，鼓励发展智慧型家庭养老床位等新业态，有效促进养老服务降本、提质、增效。</w:t>
      </w:r>
    </w:p>
    <w:p w14:paraId="2E5752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5.弘扬美德，共建共享。</w:t>
      </w:r>
      <w:r>
        <w:rPr>
          <w:rFonts w:hint="default" w:ascii="Times New Roman" w:hAnsi="Times New Roman" w:eastAsia="方正仿宋_GB2312" w:cs="Times New Roman"/>
          <w:b w:val="0"/>
          <w:bCs/>
          <w:snapToGrid/>
          <w:color w:val="auto"/>
          <w:kern w:val="2"/>
          <w:sz w:val="32"/>
          <w:szCs w:val="32"/>
          <w:lang w:val="en-US" w:eastAsia="zh-CN"/>
        </w:rPr>
        <w:t>持续弘扬中华民族孝亲敬老的优良传统，将老年友好理念融入城市规划、建设、治理的全过程。积极开发老年人力资源价值，鼓励老年人积极参与基层治理和志愿服务。广泛动员全社会共同建设老年友好型社会，营造敬老、爱老、助老的浓厚氛围。</w:t>
      </w:r>
    </w:p>
    <w:p w14:paraId="43110F2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3" w:name="_Toc952"/>
      <w:bookmarkStart w:id="14" w:name="_Toc29575"/>
      <w:r>
        <w:rPr>
          <w:rFonts w:hint="default" w:ascii="Times New Roman" w:hAnsi="Times New Roman" w:eastAsia="黑体" w:cs="Times New Roman"/>
          <w:b w:val="0"/>
          <w:bCs/>
          <w:snapToGrid/>
          <w:color w:val="auto"/>
          <w:kern w:val="2"/>
          <w:sz w:val="32"/>
          <w:szCs w:val="32"/>
          <w:lang w:val="en-US" w:eastAsia="zh-CN"/>
        </w:rPr>
        <w:t>第三节 发展目标</w:t>
      </w:r>
      <w:bookmarkEnd w:id="13"/>
      <w:bookmarkEnd w:id="14"/>
      <w:r>
        <w:rPr>
          <w:rFonts w:hint="default" w:ascii="Times New Roman" w:hAnsi="Times New Roman" w:eastAsia="黑体" w:cs="Times New Roman"/>
          <w:b w:val="0"/>
          <w:bCs/>
          <w:snapToGrid/>
          <w:color w:val="auto"/>
          <w:kern w:val="2"/>
          <w:sz w:val="32"/>
          <w:szCs w:val="32"/>
          <w:lang w:val="en-US" w:eastAsia="zh-CN"/>
        </w:rPr>
        <w:tab/>
      </w:r>
    </w:p>
    <w:p w14:paraId="2C58A0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五五”期间，加快建成覆盖全体老年人、权责清晰、保障适度、可持续的基本养老服务体系。充分发挥政府、社会、市场、家庭四方协同作用，积极构建群众买得到、买得起、用得好的养老服务供给体系。到2030年，实现普惠型养老服务全覆盖，打造15分钟养老服务圈；全面建成“居家为基础、社区为依托、机构为补充、医养康养相结合”的现代化养老服务体系。</w:t>
      </w:r>
    </w:p>
    <w:p w14:paraId="14D6A8DA">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b/>
          <w:bCs w:val="0"/>
          <w:snapToGrid/>
          <w:color w:val="auto"/>
          <w:kern w:val="2"/>
          <w:sz w:val="30"/>
          <w:szCs w:val="30"/>
          <w:lang w:val="en-US" w:eastAsia="zh-CN"/>
        </w:rPr>
      </w:pPr>
      <w:r>
        <w:rPr>
          <w:rFonts w:hint="default" w:ascii="Times New Roman" w:hAnsi="Times New Roman" w:eastAsia="方正仿宋_GB2312" w:cs="Times New Roman"/>
          <w:b/>
          <w:bCs w:val="0"/>
          <w:snapToGrid/>
          <w:color w:val="auto"/>
          <w:kern w:val="2"/>
          <w:sz w:val="30"/>
          <w:szCs w:val="30"/>
          <w:lang w:val="en-US" w:eastAsia="zh-CN"/>
        </w:rPr>
        <w:t>“十五五”时期西区老龄事业发展和养老服务体系主要指标</w:t>
      </w:r>
    </w:p>
    <w:tbl>
      <w:tblPr>
        <w:tblStyle w:val="21"/>
        <w:tblpPr w:leftFromText="180" w:rightFromText="180" w:vertAnchor="text" w:horzAnchor="page" w:tblpX="1795" w:tblpY="56"/>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0"/>
        <w:gridCol w:w="4575"/>
        <w:gridCol w:w="1714"/>
        <w:gridCol w:w="1872"/>
      </w:tblGrid>
      <w:tr w14:paraId="32859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90" w:type="pct"/>
            <w:vAlign w:val="top"/>
          </w:tcPr>
          <w:p w14:paraId="35316BF3">
            <w:pPr>
              <w:pStyle w:val="20"/>
              <w:spacing w:before="103" w:line="221" w:lineRule="auto"/>
              <w:ind w:left="98"/>
              <w:rPr>
                <w:rFonts w:hint="default" w:ascii="Times New Roman" w:hAnsi="Times New Roman" w:eastAsia="方正仿宋_GB2312" w:cs="Times New Roman"/>
                <w:color w:val="auto"/>
              </w:rPr>
            </w:pPr>
            <w:r>
              <w:rPr>
                <w:rFonts w:hint="default" w:ascii="Times New Roman" w:hAnsi="Times New Roman" w:eastAsia="方正仿宋_GB2312" w:cs="Times New Roman"/>
                <w:b/>
                <w:bCs/>
                <w:color w:val="auto"/>
                <w:spacing w:val="-5"/>
              </w:rPr>
              <w:t>序号</w:t>
            </w:r>
          </w:p>
        </w:tc>
        <w:tc>
          <w:tcPr>
            <w:tcW w:w="2584" w:type="pct"/>
            <w:vAlign w:val="top"/>
          </w:tcPr>
          <w:p w14:paraId="77945A7C">
            <w:pPr>
              <w:pStyle w:val="20"/>
              <w:spacing w:before="102" w:line="220" w:lineRule="auto"/>
              <w:ind w:left="2124"/>
              <w:rPr>
                <w:rFonts w:hint="default" w:ascii="Times New Roman" w:hAnsi="Times New Roman" w:eastAsia="方正仿宋_GB2312" w:cs="Times New Roman"/>
                <w:color w:val="auto"/>
              </w:rPr>
            </w:pPr>
            <w:r>
              <w:rPr>
                <w:rFonts w:hint="default" w:ascii="Times New Roman" w:hAnsi="Times New Roman" w:eastAsia="方正仿宋_GB2312" w:cs="Times New Roman"/>
                <w:b/>
                <w:bCs/>
                <w:color w:val="auto"/>
                <w:spacing w:val="-6"/>
              </w:rPr>
              <w:t>指标名称</w:t>
            </w:r>
          </w:p>
        </w:tc>
        <w:tc>
          <w:tcPr>
            <w:tcW w:w="968" w:type="pct"/>
            <w:vAlign w:val="top"/>
          </w:tcPr>
          <w:p w14:paraId="410BC641">
            <w:pPr>
              <w:pStyle w:val="20"/>
              <w:spacing w:before="101" w:line="219" w:lineRule="auto"/>
              <w:jc w:val="center"/>
              <w:rPr>
                <w:rFonts w:hint="default" w:ascii="Times New Roman" w:hAnsi="Times New Roman" w:eastAsia="方正仿宋_GB2312" w:cs="Times New Roman"/>
                <w:b/>
                <w:bCs/>
                <w:color w:val="auto"/>
                <w:spacing w:val="-5"/>
              </w:rPr>
            </w:pPr>
            <w:r>
              <w:rPr>
                <w:rFonts w:hint="default" w:ascii="Times New Roman" w:hAnsi="Times New Roman" w:eastAsia="方正仿宋_GB2312" w:cs="Times New Roman"/>
                <w:b/>
                <w:bCs/>
                <w:color w:val="auto"/>
                <w:spacing w:val="-5"/>
              </w:rPr>
              <w:t>20</w:t>
            </w:r>
            <w:r>
              <w:rPr>
                <w:rFonts w:hint="default" w:ascii="Times New Roman" w:hAnsi="Times New Roman" w:eastAsia="方正仿宋_GB2312" w:cs="Times New Roman"/>
                <w:b/>
                <w:bCs/>
                <w:color w:val="auto"/>
                <w:spacing w:val="-5"/>
                <w:lang w:val="en-US" w:eastAsia="zh-CN"/>
              </w:rPr>
              <w:t>25</w:t>
            </w:r>
            <w:r>
              <w:rPr>
                <w:rFonts w:hint="default" w:ascii="Times New Roman" w:hAnsi="Times New Roman" w:eastAsia="方正仿宋_GB2312" w:cs="Times New Roman"/>
                <w:b/>
                <w:bCs/>
                <w:color w:val="auto"/>
                <w:spacing w:val="-5"/>
              </w:rPr>
              <w:t>年</w:t>
            </w:r>
          </w:p>
        </w:tc>
        <w:tc>
          <w:tcPr>
            <w:tcW w:w="1057" w:type="pct"/>
            <w:vAlign w:val="top"/>
          </w:tcPr>
          <w:p w14:paraId="7C90702C">
            <w:pPr>
              <w:pStyle w:val="20"/>
              <w:spacing w:before="101" w:line="219" w:lineRule="auto"/>
              <w:jc w:val="center"/>
              <w:rPr>
                <w:rFonts w:hint="default" w:ascii="Times New Roman" w:hAnsi="Times New Roman" w:eastAsia="方正仿宋_GB2312" w:cs="Times New Roman"/>
                <w:color w:val="auto"/>
              </w:rPr>
            </w:pPr>
            <w:r>
              <w:rPr>
                <w:rFonts w:hint="default" w:ascii="Times New Roman" w:hAnsi="Times New Roman" w:eastAsia="方正仿宋_GB2312" w:cs="Times New Roman"/>
                <w:b/>
                <w:bCs/>
                <w:color w:val="auto"/>
                <w:spacing w:val="-5"/>
              </w:rPr>
              <w:t>20</w:t>
            </w:r>
            <w:r>
              <w:rPr>
                <w:rFonts w:hint="default" w:ascii="Times New Roman" w:hAnsi="Times New Roman" w:eastAsia="方正仿宋_GB2312" w:cs="Times New Roman"/>
                <w:b/>
                <w:bCs/>
                <w:color w:val="auto"/>
                <w:spacing w:val="-5"/>
                <w:lang w:val="en-US" w:eastAsia="zh-CN"/>
              </w:rPr>
              <w:t>30</w:t>
            </w:r>
            <w:r>
              <w:rPr>
                <w:rFonts w:hint="default" w:ascii="Times New Roman" w:hAnsi="Times New Roman" w:eastAsia="方正仿宋_GB2312" w:cs="Times New Roman"/>
                <w:b/>
                <w:bCs/>
                <w:color w:val="auto"/>
                <w:spacing w:val="-5"/>
              </w:rPr>
              <w:t>年</w:t>
            </w:r>
          </w:p>
        </w:tc>
      </w:tr>
      <w:tr w14:paraId="40952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90" w:type="pct"/>
            <w:vAlign w:val="top"/>
          </w:tcPr>
          <w:p w14:paraId="3FE63151">
            <w:pPr>
              <w:pStyle w:val="20"/>
              <w:spacing w:before="143" w:line="184"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1</w:t>
            </w:r>
          </w:p>
        </w:tc>
        <w:tc>
          <w:tcPr>
            <w:tcW w:w="2584" w:type="pct"/>
            <w:vAlign w:val="top"/>
          </w:tcPr>
          <w:p w14:paraId="7D9C8782">
            <w:pPr>
              <w:pStyle w:val="20"/>
              <w:spacing w:before="81" w:line="220" w:lineRule="auto"/>
              <w:ind w:left="81"/>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spacing w:val="1"/>
              </w:rPr>
              <w:t>人均预期寿命</w:t>
            </w:r>
          </w:p>
        </w:tc>
        <w:tc>
          <w:tcPr>
            <w:tcW w:w="968" w:type="pct"/>
            <w:shd w:val="clear" w:color="auto" w:fill="auto"/>
            <w:vAlign w:val="top"/>
          </w:tcPr>
          <w:p w14:paraId="2705AAD5">
            <w:pPr>
              <w:pStyle w:val="20"/>
              <w:spacing w:before="81" w:line="221" w:lineRule="auto"/>
              <w:ind w:left="367" w:leftChars="0"/>
              <w:rPr>
                <w:rFonts w:hint="default" w:ascii="Times New Roman" w:hAnsi="Times New Roman" w:eastAsia="方正仿宋_GB2312" w:cs="Times New Roman"/>
                <w:snapToGrid w:val="0"/>
                <w:color w:val="auto"/>
                <w:kern w:val="0"/>
                <w:sz w:val="25"/>
                <w:szCs w:val="25"/>
                <w:lang w:val="en-US" w:eastAsia="en-US" w:bidi="ar-SA"/>
              </w:rPr>
            </w:pPr>
            <w:r>
              <w:rPr>
                <w:rFonts w:hint="default" w:ascii="Times New Roman" w:hAnsi="Times New Roman" w:eastAsia="方正仿宋_GB2312" w:cs="Times New Roman"/>
                <w:color w:val="auto"/>
                <w:spacing w:val="5"/>
              </w:rPr>
              <w:t>≥</w:t>
            </w:r>
            <w:r>
              <w:rPr>
                <w:rFonts w:hint="default" w:ascii="Times New Roman" w:hAnsi="Times New Roman" w:eastAsia="方正仿宋_GB2312" w:cs="Times New Roman"/>
                <w:color w:val="auto"/>
                <w:spacing w:val="5"/>
                <w:lang w:val="en-US" w:eastAsia="zh-CN"/>
              </w:rPr>
              <w:t>81.59</w:t>
            </w:r>
            <w:r>
              <w:rPr>
                <w:rFonts w:hint="default" w:ascii="Times New Roman" w:hAnsi="Times New Roman" w:eastAsia="方正仿宋_GB2312" w:cs="Times New Roman"/>
                <w:color w:val="auto"/>
                <w:spacing w:val="5"/>
              </w:rPr>
              <w:t>岁</w:t>
            </w:r>
          </w:p>
        </w:tc>
        <w:tc>
          <w:tcPr>
            <w:tcW w:w="1057" w:type="pct"/>
            <w:vAlign w:val="top"/>
          </w:tcPr>
          <w:p w14:paraId="61828099">
            <w:pPr>
              <w:pStyle w:val="20"/>
              <w:spacing w:before="81" w:line="221" w:lineRule="auto"/>
              <w:jc w:val="center"/>
              <w:rPr>
                <w:rFonts w:hint="default" w:ascii="Times New Roman" w:hAnsi="Times New Roman" w:eastAsia="方正仿宋_GB2312" w:cs="Times New Roman"/>
                <w:color w:val="auto"/>
                <w:lang w:val="en-US" w:eastAsia="zh-CN"/>
              </w:rPr>
            </w:pPr>
            <w:r>
              <w:rPr>
                <w:rFonts w:hint="default" w:ascii="Times New Roman" w:hAnsi="Times New Roman" w:eastAsia="方正仿宋_GB2312" w:cs="Times New Roman"/>
                <w:color w:val="auto"/>
                <w:lang w:val="en-US" w:eastAsia="zh-CN"/>
              </w:rPr>
              <w:t>达到市级目标</w:t>
            </w:r>
          </w:p>
        </w:tc>
      </w:tr>
      <w:tr w14:paraId="3C004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90" w:type="pct"/>
            <w:vAlign w:val="top"/>
          </w:tcPr>
          <w:p w14:paraId="190E27FD">
            <w:pPr>
              <w:pStyle w:val="20"/>
              <w:spacing w:before="155" w:line="183"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2</w:t>
            </w:r>
          </w:p>
        </w:tc>
        <w:tc>
          <w:tcPr>
            <w:tcW w:w="2584" w:type="pct"/>
            <w:vAlign w:val="top"/>
          </w:tcPr>
          <w:p w14:paraId="4DB19BB6">
            <w:pPr>
              <w:pStyle w:val="20"/>
              <w:spacing w:before="91" w:line="219" w:lineRule="auto"/>
              <w:ind w:left="81"/>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spacing w:val="1"/>
              </w:rPr>
              <w:t>健康预期寿命</w:t>
            </w:r>
          </w:p>
        </w:tc>
        <w:tc>
          <w:tcPr>
            <w:tcW w:w="968" w:type="pct"/>
            <w:shd w:val="clear" w:color="auto" w:fill="auto"/>
            <w:vAlign w:val="top"/>
          </w:tcPr>
          <w:p w14:paraId="335D4840">
            <w:pPr>
              <w:pStyle w:val="20"/>
              <w:spacing w:before="91" w:line="219" w:lineRule="auto"/>
              <w:ind w:left="247" w:leftChars="0"/>
              <w:rPr>
                <w:rFonts w:hint="default" w:ascii="Times New Roman" w:hAnsi="Times New Roman" w:eastAsia="方正仿宋_GB2312" w:cs="Times New Roman"/>
                <w:snapToGrid w:val="0"/>
                <w:color w:val="auto"/>
                <w:kern w:val="0"/>
                <w:sz w:val="25"/>
                <w:szCs w:val="25"/>
                <w:lang w:val="en-US" w:eastAsia="en-US" w:bidi="ar-SA"/>
              </w:rPr>
            </w:pPr>
            <w:r>
              <w:rPr>
                <w:rFonts w:hint="default" w:ascii="Times New Roman" w:hAnsi="Times New Roman" w:eastAsia="方正仿宋_GB2312" w:cs="Times New Roman"/>
                <w:color w:val="auto"/>
                <w:spacing w:val="2"/>
              </w:rPr>
              <w:t>同比例提高</w:t>
            </w:r>
          </w:p>
        </w:tc>
        <w:tc>
          <w:tcPr>
            <w:tcW w:w="1057" w:type="pct"/>
            <w:vAlign w:val="top"/>
          </w:tcPr>
          <w:p w14:paraId="66959DE8">
            <w:pPr>
              <w:pStyle w:val="20"/>
              <w:spacing w:before="91" w:line="219" w:lineRule="auto"/>
              <w:ind w:left="247"/>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spacing w:val="2"/>
              </w:rPr>
              <w:t>同比例提高</w:t>
            </w:r>
          </w:p>
        </w:tc>
      </w:tr>
      <w:tr w14:paraId="44D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90" w:type="pct"/>
            <w:vAlign w:val="top"/>
          </w:tcPr>
          <w:p w14:paraId="27F067EC">
            <w:pPr>
              <w:pStyle w:val="20"/>
              <w:spacing w:before="156" w:line="183"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3</w:t>
            </w:r>
          </w:p>
        </w:tc>
        <w:tc>
          <w:tcPr>
            <w:tcW w:w="2584" w:type="pct"/>
            <w:vAlign w:val="top"/>
          </w:tcPr>
          <w:p w14:paraId="05FD9AC9">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基本养老保险参保率(%)</w:t>
            </w:r>
          </w:p>
        </w:tc>
        <w:tc>
          <w:tcPr>
            <w:tcW w:w="968" w:type="pct"/>
            <w:shd w:val="clear" w:color="auto" w:fill="auto"/>
            <w:vAlign w:val="top"/>
          </w:tcPr>
          <w:p w14:paraId="1EF0B2BC">
            <w:pPr>
              <w:pStyle w:val="20"/>
              <w:spacing w:before="116" w:line="216" w:lineRule="auto"/>
              <w:ind w:left="617" w:leftChars="0"/>
              <w:rPr>
                <w:rFonts w:hint="default" w:ascii="Times New Roman" w:hAnsi="Times New Roman" w:eastAsia="方正仿宋_GB2312" w:cs="Times New Roman"/>
                <w:snapToGrid w:val="0"/>
                <w:color w:val="auto"/>
                <w:kern w:val="0"/>
                <w:sz w:val="25"/>
                <w:szCs w:val="25"/>
                <w:lang w:val="en-US" w:eastAsia="en-US" w:bidi="ar-SA"/>
              </w:rPr>
            </w:pPr>
            <w:r>
              <w:rPr>
                <w:rFonts w:hint="default" w:ascii="Times New Roman" w:hAnsi="Times New Roman" w:eastAsia="方正仿宋_GB2312" w:cs="Times New Roman"/>
                <w:color w:val="auto"/>
                <w:spacing w:val="-9"/>
              </w:rPr>
              <w:t>≥95</w:t>
            </w:r>
          </w:p>
        </w:tc>
        <w:tc>
          <w:tcPr>
            <w:tcW w:w="1057" w:type="pct"/>
            <w:vAlign w:val="top"/>
          </w:tcPr>
          <w:p w14:paraId="65F74C98">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lang w:val="en-US" w:eastAsia="zh-CN"/>
              </w:rPr>
              <w:t>达到市级目标</w:t>
            </w:r>
          </w:p>
        </w:tc>
      </w:tr>
      <w:tr w14:paraId="1BFCB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vAlign w:val="top"/>
          </w:tcPr>
          <w:p w14:paraId="73AD7285">
            <w:pPr>
              <w:pStyle w:val="20"/>
              <w:spacing w:before="187" w:line="157"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4</w:t>
            </w:r>
          </w:p>
        </w:tc>
        <w:tc>
          <w:tcPr>
            <w:tcW w:w="2584" w:type="pct"/>
            <w:vAlign w:val="top"/>
          </w:tcPr>
          <w:p w14:paraId="18BD6AD7">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基本医疗保险参保率(%)</w:t>
            </w:r>
          </w:p>
        </w:tc>
        <w:tc>
          <w:tcPr>
            <w:tcW w:w="968" w:type="pct"/>
            <w:shd w:val="clear" w:color="auto" w:fill="auto"/>
            <w:vAlign w:val="top"/>
          </w:tcPr>
          <w:p w14:paraId="460651F4">
            <w:pPr>
              <w:pStyle w:val="20"/>
              <w:spacing w:before="108" w:line="215" w:lineRule="auto"/>
              <w:ind w:left="676" w:leftChars="0"/>
              <w:rPr>
                <w:rFonts w:hint="default" w:ascii="Times New Roman" w:hAnsi="Times New Roman" w:eastAsia="方正仿宋_GB2312" w:cs="Times New Roman"/>
                <w:snapToGrid w:val="0"/>
                <w:color w:val="auto"/>
                <w:kern w:val="0"/>
                <w:sz w:val="25"/>
                <w:szCs w:val="25"/>
                <w:lang w:val="en-US" w:eastAsia="en-US" w:bidi="ar-SA"/>
              </w:rPr>
            </w:pPr>
            <w:r>
              <w:rPr>
                <w:rFonts w:hint="default" w:ascii="Times New Roman" w:hAnsi="Times New Roman" w:eastAsia="方正仿宋_GB2312" w:cs="Times New Roman"/>
                <w:color w:val="auto"/>
                <w:spacing w:val="-4"/>
              </w:rPr>
              <w:t>&gt;95</w:t>
            </w:r>
          </w:p>
        </w:tc>
        <w:tc>
          <w:tcPr>
            <w:tcW w:w="1057" w:type="pct"/>
            <w:vAlign w:val="top"/>
          </w:tcPr>
          <w:p w14:paraId="7F8191C4">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lang w:val="en-US" w:eastAsia="zh-CN"/>
              </w:rPr>
              <w:t>达到市级目标</w:t>
            </w:r>
          </w:p>
        </w:tc>
      </w:tr>
      <w:tr w14:paraId="6A323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90" w:type="pct"/>
            <w:vAlign w:val="top"/>
          </w:tcPr>
          <w:p w14:paraId="0EC62CC9">
            <w:pPr>
              <w:pStyle w:val="20"/>
              <w:spacing w:before="159" w:line="182"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5</w:t>
            </w:r>
          </w:p>
        </w:tc>
        <w:tc>
          <w:tcPr>
            <w:tcW w:w="2584" w:type="pct"/>
            <w:vAlign w:val="top"/>
          </w:tcPr>
          <w:p w14:paraId="6993F023">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每千名老年人拥有养老床位数</w:t>
            </w:r>
            <w:r>
              <w:rPr>
                <w:rFonts w:hint="default" w:ascii="Times New Roman" w:hAnsi="Times New Roman" w:eastAsia="方正仿宋_GB2312" w:cs="Times New Roman"/>
                <w:color w:val="auto"/>
                <w:spacing w:val="-14"/>
                <w:lang w:eastAsia="zh-CN"/>
              </w:rPr>
              <w:t>（</w:t>
            </w:r>
            <w:r>
              <w:rPr>
                <w:rFonts w:hint="default" w:ascii="Times New Roman" w:hAnsi="Times New Roman" w:eastAsia="方正仿宋_GB2312" w:cs="Times New Roman"/>
                <w:color w:val="auto"/>
                <w:spacing w:val="-14"/>
              </w:rPr>
              <w:t>张</w:t>
            </w:r>
            <w:r>
              <w:rPr>
                <w:rFonts w:hint="default" w:ascii="Times New Roman" w:hAnsi="Times New Roman" w:eastAsia="方正仿宋_GB2312" w:cs="Times New Roman"/>
                <w:color w:val="auto"/>
                <w:spacing w:val="-14"/>
                <w:lang w:eastAsia="zh-CN"/>
              </w:rPr>
              <w:t>）</w:t>
            </w:r>
          </w:p>
        </w:tc>
        <w:tc>
          <w:tcPr>
            <w:tcW w:w="968" w:type="pct"/>
            <w:shd w:val="clear" w:color="auto" w:fill="auto"/>
            <w:vAlign w:val="top"/>
          </w:tcPr>
          <w:p w14:paraId="336D9B3E">
            <w:pPr>
              <w:pStyle w:val="20"/>
              <w:spacing w:before="117" w:line="215" w:lineRule="auto"/>
              <w:ind w:left="617" w:leftChars="0"/>
              <w:rPr>
                <w:rFonts w:hint="default" w:ascii="Times New Roman" w:hAnsi="Times New Roman" w:eastAsia="方正仿宋_GB2312" w:cs="Times New Roman"/>
                <w:snapToGrid w:val="0"/>
                <w:color w:val="auto"/>
                <w:kern w:val="0"/>
                <w:sz w:val="25"/>
                <w:szCs w:val="25"/>
                <w:lang w:val="en-US" w:eastAsia="zh-CN" w:bidi="ar-SA"/>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vAlign w:val="top"/>
          </w:tcPr>
          <w:p w14:paraId="27A122B0">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36</w:t>
            </w:r>
          </w:p>
        </w:tc>
      </w:tr>
      <w:tr w14:paraId="5ABD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90" w:type="pct"/>
            <w:vAlign w:val="top"/>
          </w:tcPr>
          <w:p w14:paraId="567975E0">
            <w:pPr>
              <w:pStyle w:val="20"/>
              <w:spacing w:before="148" w:line="183"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6</w:t>
            </w:r>
          </w:p>
        </w:tc>
        <w:tc>
          <w:tcPr>
            <w:tcW w:w="2584" w:type="pct"/>
            <w:vAlign w:val="top"/>
          </w:tcPr>
          <w:p w14:paraId="06DC6622">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特殊困难老年人月探访率(%)</w:t>
            </w:r>
          </w:p>
        </w:tc>
        <w:tc>
          <w:tcPr>
            <w:tcW w:w="968" w:type="pct"/>
            <w:shd w:val="clear" w:color="auto" w:fill="auto"/>
            <w:vAlign w:val="top"/>
          </w:tcPr>
          <w:p w14:paraId="717B33CE">
            <w:pPr>
              <w:pStyle w:val="20"/>
              <w:spacing w:before="147" w:line="184" w:lineRule="auto"/>
              <w:ind w:left="676" w:leftChars="0"/>
              <w:rPr>
                <w:rFonts w:hint="default" w:ascii="Times New Roman" w:hAnsi="Times New Roman" w:eastAsia="方正仿宋_GB2312" w:cs="Times New Roman"/>
                <w:snapToGrid w:val="0"/>
                <w:color w:val="auto"/>
                <w:kern w:val="0"/>
                <w:sz w:val="25"/>
                <w:szCs w:val="25"/>
                <w:lang w:val="en-US" w:eastAsia="en-US" w:bidi="ar-SA"/>
              </w:rPr>
            </w:pPr>
            <w:r>
              <w:rPr>
                <w:rFonts w:hint="default" w:ascii="Times New Roman" w:hAnsi="Times New Roman" w:eastAsia="方正仿宋_GB2312" w:cs="Times New Roman"/>
                <w:color w:val="auto"/>
                <w:spacing w:val="-7"/>
              </w:rPr>
              <w:t>100</w:t>
            </w:r>
          </w:p>
        </w:tc>
        <w:tc>
          <w:tcPr>
            <w:tcW w:w="1057" w:type="pct"/>
            <w:vAlign w:val="top"/>
          </w:tcPr>
          <w:p w14:paraId="5613D963">
            <w:pPr>
              <w:pStyle w:val="20"/>
              <w:spacing w:before="85" w:line="219" w:lineRule="auto"/>
              <w:jc w:val="center"/>
              <w:rPr>
                <w:rFonts w:hint="default" w:ascii="Times New Roman" w:hAnsi="Times New Roman" w:eastAsia="方正仿宋_GB2312" w:cs="Times New Roman"/>
                <w:color w:val="auto"/>
                <w:spacing w:val="-14"/>
                <w:lang w:val="en-US" w:eastAsia="zh-CN"/>
              </w:rPr>
            </w:pPr>
            <w:r>
              <w:rPr>
                <w:rFonts w:hint="default" w:ascii="Times New Roman" w:hAnsi="Times New Roman" w:eastAsia="方正仿宋_GB2312" w:cs="Times New Roman"/>
                <w:color w:val="auto"/>
                <w:spacing w:val="-14"/>
                <w:lang w:val="en-US" w:eastAsia="zh-CN"/>
              </w:rPr>
              <w:t>100</w:t>
            </w:r>
          </w:p>
        </w:tc>
      </w:tr>
      <w:tr w14:paraId="340AE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90" w:type="pct"/>
            <w:vAlign w:val="top"/>
          </w:tcPr>
          <w:p w14:paraId="1D812D3C">
            <w:pPr>
              <w:pStyle w:val="20"/>
              <w:spacing w:before="251" w:line="182"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7</w:t>
            </w:r>
          </w:p>
        </w:tc>
        <w:tc>
          <w:tcPr>
            <w:tcW w:w="2584" w:type="pct"/>
            <w:vAlign w:val="top"/>
          </w:tcPr>
          <w:p w14:paraId="429943CD">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lang w:val="en-US" w:eastAsia="zh-CN"/>
              </w:rPr>
              <w:t>新</w:t>
            </w:r>
            <w:r>
              <w:rPr>
                <w:rFonts w:hint="default" w:ascii="Times New Roman" w:hAnsi="Times New Roman" w:eastAsia="方正仿宋_GB2312" w:cs="Times New Roman"/>
                <w:color w:val="auto"/>
                <w:spacing w:val="-14"/>
                <w:lang w:eastAsia="zh-CN"/>
              </w:rPr>
              <w:t>建住宅小区养老服务设施配建率</w:t>
            </w:r>
          </w:p>
        </w:tc>
        <w:tc>
          <w:tcPr>
            <w:tcW w:w="968" w:type="pct"/>
            <w:shd w:val="clear" w:color="auto" w:fill="auto"/>
            <w:vAlign w:val="top"/>
          </w:tcPr>
          <w:p w14:paraId="57F66573">
            <w:pPr>
              <w:pStyle w:val="20"/>
              <w:spacing w:before="248" w:line="184" w:lineRule="auto"/>
              <w:ind w:left="676" w:leftChars="0"/>
              <w:rPr>
                <w:rFonts w:hint="default" w:ascii="Times New Roman" w:hAnsi="Times New Roman" w:eastAsia="方正仿宋_GB2312" w:cs="Times New Roman"/>
                <w:snapToGrid w:val="0"/>
                <w:color w:val="auto"/>
                <w:kern w:val="0"/>
                <w:sz w:val="25"/>
                <w:szCs w:val="25"/>
                <w:lang w:val="en-US" w:eastAsia="zh-CN" w:bidi="ar-SA"/>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vAlign w:val="top"/>
          </w:tcPr>
          <w:p w14:paraId="325FF20F">
            <w:pPr>
              <w:pStyle w:val="20"/>
              <w:spacing w:before="85" w:line="219" w:lineRule="auto"/>
              <w:jc w:val="center"/>
              <w:rPr>
                <w:rFonts w:hint="default" w:ascii="Times New Roman" w:hAnsi="Times New Roman" w:eastAsia="方正仿宋_GB2312" w:cs="Times New Roman"/>
                <w:color w:val="auto"/>
                <w:spacing w:val="-14"/>
                <w:lang w:val="en-US" w:eastAsia="zh-CN"/>
              </w:rPr>
            </w:pPr>
            <w:r>
              <w:rPr>
                <w:rFonts w:hint="default" w:ascii="Times New Roman" w:hAnsi="Times New Roman" w:eastAsia="方正仿宋_GB2312" w:cs="Times New Roman"/>
                <w:color w:val="auto"/>
                <w:spacing w:val="-14"/>
                <w:lang w:val="en-US" w:eastAsia="zh-CN"/>
              </w:rPr>
              <w:t>100</w:t>
            </w:r>
          </w:p>
        </w:tc>
      </w:tr>
      <w:tr w14:paraId="4F64B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90" w:type="pct"/>
            <w:vAlign w:val="top"/>
          </w:tcPr>
          <w:p w14:paraId="77A12CBD">
            <w:pPr>
              <w:pStyle w:val="20"/>
              <w:spacing w:before="160" w:line="183"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8</w:t>
            </w:r>
          </w:p>
        </w:tc>
        <w:tc>
          <w:tcPr>
            <w:tcW w:w="2584" w:type="pct"/>
            <w:shd w:val="clear" w:color="auto" w:fill="auto"/>
            <w:vAlign w:val="top"/>
          </w:tcPr>
          <w:p w14:paraId="4F0AD91B">
            <w:pPr>
              <w:pStyle w:val="20"/>
              <w:spacing w:before="85" w:line="219" w:lineRule="auto"/>
              <w:jc w:val="both"/>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14"/>
              </w:rPr>
              <w:t>养老机构护理型床位占比(%)</w:t>
            </w:r>
          </w:p>
        </w:tc>
        <w:tc>
          <w:tcPr>
            <w:tcW w:w="968" w:type="pct"/>
            <w:shd w:val="clear" w:color="auto" w:fill="auto"/>
            <w:vAlign w:val="top"/>
          </w:tcPr>
          <w:p w14:paraId="1CD39F31">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9"/>
              </w:rPr>
              <w:t>≥55</w:t>
            </w:r>
          </w:p>
        </w:tc>
        <w:tc>
          <w:tcPr>
            <w:tcW w:w="1057" w:type="pct"/>
            <w:shd w:val="clear" w:color="auto" w:fill="auto"/>
            <w:vAlign w:val="top"/>
          </w:tcPr>
          <w:p w14:paraId="27B9CA4B">
            <w:pPr>
              <w:pStyle w:val="20"/>
              <w:spacing w:before="85" w:line="219" w:lineRule="auto"/>
              <w:jc w:val="center"/>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9"/>
              </w:rPr>
              <w:t>≥</w:t>
            </w:r>
            <w:r>
              <w:rPr>
                <w:rFonts w:hint="default" w:ascii="Times New Roman" w:hAnsi="Times New Roman" w:eastAsia="方正仿宋_GB2312" w:cs="Times New Roman"/>
                <w:color w:val="auto"/>
                <w:spacing w:val="-9"/>
                <w:lang w:val="en-US" w:eastAsia="zh-CN"/>
              </w:rPr>
              <w:t>7</w:t>
            </w:r>
            <w:r>
              <w:rPr>
                <w:rFonts w:hint="default" w:ascii="Times New Roman" w:hAnsi="Times New Roman" w:eastAsia="方正仿宋_GB2312" w:cs="Times New Roman"/>
                <w:color w:val="auto"/>
                <w:spacing w:val="-9"/>
              </w:rPr>
              <w:t>5</w:t>
            </w:r>
          </w:p>
        </w:tc>
      </w:tr>
      <w:tr w14:paraId="26A0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90" w:type="pct"/>
            <w:vAlign w:val="top"/>
          </w:tcPr>
          <w:p w14:paraId="7FE998B8">
            <w:pPr>
              <w:pStyle w:val="20"/>
              <w:spacing w:before="151" w:line="183" w:lineRule="auto"/>
              <w:ind w:left="27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rPr>
              <w:t>9</w:t>
            </w:r>
          </w:p>
        </w:tc>
        <w:tc>
          <w:tcPr>
            <w:tcW w:w="2584" w:type="pct"/>
            <w:shd w:val="clear" w:color="auto" w:fill="auto"/>
            <w:vAlign w:val="top"/>
          </w:tcPr>
          <w:p w14:paraId="0FCCBBF0">
            <w:pPr>
              <w:pStyle w:val="20"/>
              <w:spacing w:before="85" w:line="219" w:lineRule="auto"/>
              <w:jc w:val="both"/>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14"/>
              </w:rPr>
              <w:t>老年友善医疗卫生机构占比(%)</w:t>
            </w:r>
          </w:p>
        </w:tc>
        <w:tc>
          <w:tcPr>
            <w:tcW w:w="968" w:type="pct"/>
            <w:shd w:val="clear" w:color="auto" w:fill="auto"/>
            <w:vAlign w:val="top"/>
          </w:tcPr>
          <w:p w14:paraId="3FEC0D55">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&gt;</w:t>
            </w:r>
            <w:r>
              <w:rPr>
                <w:rFonts w:hint="default" w:ascii="Times New Roman" w:hAnsi="Times New Roman" w:eastAsia="方正仿宋_GB2312" w:cs="Times New Roman"/>
                <w:color w:val="auto"/>
                <w:spacing w:val="-14"/>
                <w:lang w:val="en-US" w:eastAsia="zh-CN"/>
              </w:rPr>
              <w:t>9</w:t>
            </w:r>
            <w:r>
              <w:rPr>
                <w:rFonts w:hint="default" w:ascii="Times New Roman" w:hAnsi="Times New Roman" w:eastAsia="方正仿宋_GB2312" w:cs="Times New Roman"/>
                <w:color w:val="auto"/>
                <w:spacing w:val="-14"/>
              </w:rPr>
              <w:t>0</w:t>
            </w:r>
          </w:p>
        </w:tc>
        <w:tc>
          <w:tcPr>
            <w:tcW w:w="1057" w:type="pct"/>
            <w:shd w:val="clear" w:color="auto" w:fill="auto"/>
            <w:vAlign w:val="top"/>
          </w:tcPr>
          <w:p w14:paraId="4F2FC0E6">
            <w:pPr>
              <w:pStyle w:val="20"/>
              <w:spacing w:before="85" w:line="219" w:lineRule="auto"/>
              <w:jc w:val="center"/>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lang w:val="en-US" w:eastAsia="zh-CN"/>
              </w:rPr>
              <w:t>达到市级目标</w:t>
            </w:r>
          </w:p>
        </w:tc>
      </w:tr>
      <w:tr w14:paraId="06DB7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90" w:type="pct"/>
            <w:vAlign w:val="top"/>
          </w:tcPr>
          <w:p w14:paraId="7DECB132">
            <w:pPr>
              <w:pStyle w:val="20"/>
              <w:spacing w:before="161" w:line="183" w:lineRule="auto"/>
              <w:ind w:left="21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spacing w:val="-8"/>
              </w:rPr>
              <w:t>10</w:t>
            </w:r>
          </w:p>
        </w:tc>
        <w:tc>
          <w:tcPr>
            <w:tcW w:w="2584" w:type="pct"/>
            <w:shd w:val="clear" w:color="auto" w:fill="auto"/>
            <w:vAlign w:val="top"/>
          </w:tcPr>
          <w:p w14:paraId="793B485A">
            <w:pPr>
              <w:pStyle w:val="20"/>
              <w:spacing w:before="85" w:line="219" w:lineRule="auto"/>
              <w:jc w:val="both"/>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14"/>
              </w:rPr>
              <w:t>每千名老年人配套社会工作者人数</w:t>
            </w:r>
          </w:p>
        </w:tc>
        <w:tc>
          <w:tcPr>
            <w:tcW w:w="968" w:type="pct"/>
            <w:shd w:val="clear" w:color="auto" w:fill="auto"/>
            <w:vAlign w:val="top"/>
          </w:tcPr>
          <w:p w14:paraId="461E0DA5">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保持1人以上</w:t>
            </w:r>
          </w:p>
        </w:tc>
        <w:tc>
          <w:tcPr>
            <w:tcW w:w="1057" w:type="pct"/>
            <w:shd w:val="clear" w:color="auto" w:fill="auto"/>
            <w:vAlign w:val="top"/>
          </w:tcPr>
          <w:p w14:paraId="65A70DAB">
            <w:pPr>
              <w:pStyle w:val="20"/>
              <w:spacing w:before="85" w:line="219" w:lineRule="auto"/>
              <w:jc w:val="center"/>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lang w:val="en-US" w:eastAsia="zh-CN"/>
              </w:rPr>
              <w:t>达到市级目标</w:t>
            </w:r>
          </w:p>
        </w:tc>
      </w:tr>
      <w:tr w14:paraId="7C643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vAlign w:val="top"/>
          </w:tcPr>
          <w:p w14:paraId="2C77D707">
            <w:pPr>
              <w:pStyle w:val="20"/>
              <w:spacing w:before="152" w:line="183" w:lineRule="auto"/>
              <w:ind w:left="215"/>
              <w:rPr>
                <w:rFonts w:hint="default" w:ascii="Times New Roman" w:hAnsi="Times New Roman" w:eastAsia="方正仿宋_GB2312" w:cs="Times New Roman"/>
                <w:color w:val="auto"/>
              </w:rPr>
            </w:pPr>
            <w:r>
              <w:rPr>
                <w:rFonts w:hint="default" w:ascii="Times New Roman" w:hAnsi="Times New Roman" w:eastAsia="方正仿宋_GB2312" w:cs="Times New Roman"/>
                <w:color w:val="auto"/>
                <w:spacing w:val="-8"/>
              </w:rPr>
              <w:t>11</w:t>
            </w:r>
          </w:p>
        </w:tc>
        <w:tc>
          <w:tcPr>
            <w:tcW w:w="2584" w:type="pct"/>
            <w:shd w:val="clear" w:color="auto" w:fill="auto"/>
            <w:vAlign w:val="top"/>
          </w:tcPr>
          <w:p w14:paraId="39BB1B49">
            <w:pPr>
              <w:pStyle w:val="20"/>
              <w:spacing w:before="85" w:line="219" w:lineRule="auto"/>
              <w:jc w:val="both"/>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14"/>
              </w:rPr>
              <w:t>老年大学覆盖面</w:t>
            </w:r>
          </w:p>
        </w:tc>
        <w:tc>
          <w:tcPr>
            <w:tcW w:w="968" w:type="pct"/>
            <w:shd w:val="clear" w:color="auto" w:fill="auto"/>
            <w:vAlign w:val="top"/>
          </w:tcPr>
          <w:p w14:paraId="445421BA">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2F29A82B">
            <w:pPr>
              <w:pStyle w:val="20"/>
              <w:spacing w:before="85" w:line="219" w:lineRule="auto"/>
              <w:jc w:val="center"/>
              <w:rPr>
                <w:rFonts w:hint="default" w:ascii="Times New Roman" w:hAnsi="Times New Roman" w:eastAsia="方正仿宋_GB2312" w:cs="Times New Roman"/>
                <w:color w:val="auto"/>
                <w:spacing w:val="-14"/>
                <w:lang w:val="en-US" w:eastAsia="en-US"/>
              </w:rPr>
            </w:pPr>
            <w:r>
              <w:rPr>
                <w:rFonts w:hint="default" w:ascii="Times New Roman" w:hAnsi="Times New Roman" w:eastAsia="方正仿宋_GB2312" w:cs="Times New Roman"/>
                <w:color w:val="auto"/>
                <w:spacing w:val="-14"/>
              </w:rPr>
              <w:t>至少1所</w:t>
            </w:r>
          </w:p>
        </w:tc>
      </w:tr>
      <w:tr w14:paraId="54C06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vAlign w:val="top"/>
          </w:tcPr>
          <w:p w14:paraId="753EA30A">
            <w:pPr>
              <w:pStyle w:val="20"/>
              <w:spacing w:before="152" w:line="183" w:lineRule="auto"/>
              <w:ind w:left="215"/>
              <w:rPr>
                <w:rFonts w:hint="default" w:ascii="Times New Roman" w:hAnsi="Times New Roman" w:eastAsia="方正仿宋_GB2312" w:cs="Times New Roman"/>
                <w:color w:val="auto"/>
                <w:spacing w:val="-8"/>
                <w:lang w:val="en-US" w:eastAsia="zh-CN"/>
              </w:rPr>
            </w:pPr>
            <w:r>
              <w:rPr>
                <w:rFonts w:hint="default" w:ascii="Times New Roman" w:hAnsi="Times New Roman" w:eastAsia="方正仿宋_GB2312" w:cs="Times New Roman"/>
                <w:color w:val="auto"/>
                <w:spacing w:val="-8"/>
                <w:lang w:val="en-US" w:eastAsia="zh-CN"/>
              </w:rPr>
              <w:t>12</w:t>
            </w:r>
          </w:p>
        </w:tc>
        <w:tc>
          <w:tcPr>
            <w:tcW w:w="2584" w:type="pct"/>
            <w:shd w:val="clear" w:color="auto" w:fill="auto"/>
            <w:vAlign w:val="top"/>
          </w:tcPr>
          <w:p w14:paraId="2B7F0DC2">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社区养老服务综合体覆盖率(%)</w:t>
            </w:r>
          </w:p>
        </w:tc>
        <w:tc>
          <w:tcPr>
            <w:tcW w:w="968" w:type="pct"/>
            <w:shd w:val="clear" w:color="auto" w:fill="auto"/>
            <w:vAlign w:val="top"/>
          </w:tcPr>
          <w:p w14:paraId="2C849713">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2A750A82">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街道（镇）100</w:t>
            </w:r>
          </w:p>
        </w:tc>
      </w:tr>
      <w:tr w14:paraId="72528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shd w:val="clear" w:color="auto" w:fill="auto"/>
            <w:vAlign w:val="top"/>
          </w:tcPr>
          <w:p w14:paraId="0C148418">
            <w:pPr>
              <w:pStyle w:val="20"/>
              <w:spacing w:before="152" w:line="183" w:lineRule="auto"/>
              <w:ind w:left="215" w:leftChars="0"/>
              <w:rPr>
                <w:rFonts w:hint="default" w:ascii="Times New Roman" w:hAnsi="Times New Roman" w:eastAsia="方正仿宋_GB2312" w:cs="Times New Roman"/>
                <w:snapToGrid w:val="0"/>
                <w:color w:val="auto"/>
                <w:spacing w:val="-8"/>
                <w:kern w:val="0"/>
                <w:sz w:val="25"/>
                <w:szCs w:val="25"/>
                <w:lang w:val="en-US" w:eastAsia="zh-CN" w:bidi="ar-SA"/>
              </w:rPr>
            </w:pPr>
            <w:r>
              <w:rPr>
                <w:rFonts w:hint="default" w:ascii="Times New Roman" w:hAnsi="Times New Roman" w:eastAsia="方正仿宋_GB2312" w:cs="Times New Roman"/>
                <w:color w:val="auto"/>
                <w:spacing w:val="-8"/>
                <w:lang w:val="en-US" w:eastAsia="zh-CN"/>
              </w:rPr>
              <w:t>13</w:t>
            </w:r>
          </w:p>
        </w:tc>
        <w:tc>
          <w:tcPr>
            <w:tcW w:w="2584" w:type="pct"/>
            <w:shd w:val="clear" w:color="auto" w:fill="auto"/>
            <w:vAlign w:val="top"/>
          </w:tcPr>
          <w:p w14:paraId="008B0CC8">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“15分钟养老服务圈”覆盖率</w:t>
            </w:r>
            <w:r>
              <w:rPr>
                <w:rFonts w:hint="default" w:ascii="Times New Roman" w:hAnsi="Times New Roman" w:eastAsia="方正仿宋_GB2312" w:cs="Times New Roman"/>
                <w:color w:val="auto"/>
                <w:spacing w:val="-14"/>
              </w:rPr>
              <w:tab/>
            </w:r>
            <w:r>
              <w:rPr>
                <w:rFonts w:hint="default" w:ascii="Times New Roman" w:hAnsi="Times New Roman" w:eastAsia="方正仿宋_GB2312" w:cs="Times New Roman"/>
                <w:color w:val="auto"/>
                <w:spacing w:val="-14"/>
              </w:rPr>
              <w:t>(%)</w:t>
            </w:r>
          </w:p>
        </w:tc>
        <w:tc>
          <w:tcPr>
            <w:tcW w:w="968" w:type="pct"/>
            <w:shd w:val="clear" w:color="auto" w:fill="auto"/>
            <w:vAlign w:val="top"/>
          </w:tcPr>
          <w:p w14:paraId="24D2495A">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4FE854A0">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社区（村）100</w:t>
            </w:r>
          </w:p>
        </w:tc>
      </w:tr>
      <w:tr w14:paraId="7580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shd w:val="clear" w:color="auto" w:fill="auto"/>
            <w:vAlign w:val="top"/>
          </w:tcPr>
          <w:p w14:paraId="0CF1312A">
            <w:pPr>
              <w:pStyle w:val="20"/>
              <w:spacing w:before="152" w:line="183" w:lineRule="auto"/>
              <w:ind w:left="215" w:leftChars="0"/>
              <w:rPr>
                <w:rFonts w:hint="default" w:ascii="Times New Roman" w:hAnsi="Times New Roman" w:eastAsia="方正仿宋_GB2312" w:cs="Times New Roman"/>
                <w:snapToGrid w:val="0"/>
                <w:color w:val="auto"/>
                <w:spacing w:val="-8"/>
                <w:kern w:val="0"/>
                <w:sz w:val="25"/>
                <w:szCs w:val="25"/>
                <w:lang w:val="en-US" w:eastAsia="zh-CN" w:bidi="ar-SA"/>
              </w:rPr>
            </w:pPr>
            <w:r>
              <w:rPr>
                <w:rFonts w:hint="default" w:ascii="Times New Roman" w:hAnsi="Times New Roman" w:eastAsia="方正仿宋_GB2312" w:cs="Times New Roman"/>
                <w:color w:val="auto"/>
                <w:spacing w:val="-8"/>
                <w:lang w:val="en-US" w:eastAsia="zh-CN"/>
              </w:rPr>
              <w:t>14</w:t>
            </w:r>
          </w:p>
        </w:tc>
        <w:tc>
          <w:tcPr>
            <w:tcW w:w="2584" w:type="pct"/>
            <w:shd w:val="clear" w:color="auto" w:fill="auto"/>
            <w:vAlign w:val="top"/>
          </w:tcPr>
          <w:p w14:paraId="352C8EB5">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养老服务人员持证上岗率(%)</w:t>
            </w:r>
          </w:p>
        </w:tc>
        <w:tc>
          <w:tcPr>
            <w:tcW w:w="968" w:type="pct"/>
            <w:shd w:val="clear" w:color="auto" w:fill="auto"/>
            <w:vAlign w:val="top"/>
          </w:tcPr>
          <w:p w14:paraId="2CF6A662">
            <w:pPr>
              <w:pStyle w:val="20"/>
              <w:spacing w:before="85" w:line="219" w:lineRule="auto"/>
              <w:jc w:val="center"/>
              <w:rPr>
                <w:rFonts w:hint="default" w:ascii="Times New Roman" w:hAnsi="Times New Roman" w:eastAsia="方正仿宋_GB2312" w:cs="Times New Roman"/>
                <w:color w:val="auto"/>
                <w:spacing w:val="-14"/>
                <w:lang w:val="en-US" w:eastAsia="zh-CN"/>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3BBED389">
            <w:pPr>
              <w:pStyle w:val="20"/>
              <w:spacing w:before="85" w:line="219" w:lineRule="auto"/>
              <w:jc w:val="center"/>
              <w:rPr>
                <w:rFonts w:hint="default" w:ascii="Times New Roman" w:hAnsi="Times New Roman" w:eastAsia="方正仿宋_GB2312" w:cs="Times New Roman"/>
                <w:color w:val="auto"/>
                <w:spacing w:val="-14"/>
                <w:lang w:val="en-US" w:eastAsia="zh-CN"/>
              </w:rPr>
            </w:pPr>
            <w:r>
              <w:rPr>
                <w:rFonts w:hint="default" w:ascii="Times New Roman" w:hAnsi="Times New Roman" w:eastAsia="方正仿宋_GB2312" w:cs="Times New Roman"/>
                <w:color w:val="auto"/>
                <w:spacing w:val="-14"/>
                <w:lang w:val="en-US" w:eastAsia="zh-CN"/>
              </w:rPr>
              <w:t>100</w:t>
            </w:r>
          </w:p>
        </w:tc>
      </w:tr>
      <w:tr w14:paraId="059BA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shd w:val="clear" w:color="auto" w:fill="auto"/>
            <w:vAlign w:val="top"/>
          </w:tcPr>
          <w:p w14:paraId="2E93DEF8">
            <w:pPr>
              <w:pStyle w:val="20"/>
              <w:spacing w:before="152" w:line="183" w:lineRule="auto"/>
              <w:ind w:left="215" w:leftChars="0"/>
              <w:rPr>
                <w:rFonts w:hint="default" w:ascii="Times New Roman" w:hAnsi="Times New Roman" w:eastAsia="方正仿宋_GB2312" w:cs="Times New Roman"/>
                <w:snapToGrid w:val="0"/>
                <w:color w:val="auto"/>
                <w:spacing w:val="-8"/>
                <w:kern w:val="0"/>
                <w:sz w:val="25"/>
                <w:szCs w:val="25"/>
                <w:lang w:val="en-US" w:eastAsia="zh-CN" w:bidi="ar-SA"/>
              </w:rPr>
            </w:pPr>
            <w:r>
              <w:rPr>
                <w:rFonts w:hint="default" w:ascii="Times New Roman" w:hAnsi="Times New Roman" w:eastAsia="方正仿宋_GB2312" w:cs="Times New Roman"/>
                <w:color w:val="auto"/>
                <w:spacing w:val="-8"/>
                <w:lang w:val="en-US" w:eastAsia="zh-CN"/>
              </w:rPr>
              <w:t>15</w:t>
            </w:r>
          </w:p>
        </w:tc>
        <w:tc>
          <w:tcPr>
            <w:tcW w:w="2584" w:type="pct"/>
            <w:shd w:val="clear" w:color="auto" w:fill="auto"/>
            <w:vAlign w:val="top"/>
          </w:tcPr>
          <w:p w14:paraId="14CC6E73">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老年助餐服务社区覆盖率</w:t>
            </w:r>
            <w:r>
              <w:rPr>
                <w:rFonts w:hint="default" w:ascii="Times New Roman" w:hAnsi="Times New Roman" w:eastAsia="方正仿宋_GB2312" w:cs="Times New Roman"/>
                <w:color w:val="auto"/>
                <w:spacing w:val="-14"/>
              </w:rPr>
              <w:tab/>
            </w:r>
            <w:r>
              <w:rPr>
                <w:rFonts w:hint="default" w:ascii="Times New Roman" w:hAnsi="Times New Roman" w:eastAsia="方正仿宋_GB2312" w:cs="Times New Roman"/>
                <w:color w:val="auto"/>
                <w:spacing w:val="-14"/>
              </w:rPr>
              <w:t>(%)</w:t>
            </w:r>
          </w:p>
        </w:tc>
        <w:tc>
          <w:tcPr>
            <w:tcW w:w="968" w:type="pct"/>
            <w:shd w:val="clear" w:color="auto" w:fill="auto"/>
            <w:vAlign w:val="top"/>
          </w:tcPr>
          <w:p w14:paraId="65942E13">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3AC72DAC">
            <w:pPr>
              <w:pStyle w:val="20"/>
              <w:spacing w:before="85" w:line="219" w:lineRule="auto"/>
              <w:jc w:val="center"/>
              <w:rPr>
                <w:rFonts w:hint="default" w:ascii="Times New Roman" w:hAnsi="Times New Roman" w:eastAsia="方正仿宋_GB2312" w:cs="Times New Roman"/>
                <w:color w:val="auto"/>
                <w:spacing w:val="-14"/>
                <w:lang w:val="en-US" w:eastAsia="zh-CN"/>
              </w:rPr>
            </w:pPr>
            <w:r>
              <w:rPr>
                <w:rFonts w:hint="default" w:ascii="Times New Roman" w:hAnsi="Times New Roman" w:eastAsia="方正仿宋_GB2312" w:cs="Times New Roman"/>
                <w:color w:val="auto"/>
                <w:spacing w:val="-14"/>
              </w:rPr>
              <w:t>≥90</w:t>
            </w:r>
          </w:p>
        </w:tc>
      </w:tr>
      <w:tr w14:paraId="58829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 w:type="pct"/>
            <w:vAlign w:val="top"/>
          </w:tcPr>
          <w:p w14:paraId="56D6B910">
            <w:pPr>
              <w:pStyle w:val="20"/>
              <w:spacing w:before="152" w:line="183" w:lineRule="auto"/>
              <w:ind w:left="215"/>
              <w:rPr>
                <w:rFonts w:hint="default" w:ascii="Times New Roman" w:hAnsi="Times New Roman" w:eastAsia="方正仿宋_GB2312" w:cs="Times New Roman"/>
                <w:color w:val="auto"/>
                <w:spacing w:val="-8"/>
                <w:lang w:val="en-US" w:eastAsia="zh-CN"/>
              </w:rPr>
            </w:pPr>
            <w:r>
              <w:rPr>
                <w:rFonts w:hint="default" w:ascii="Times New Roman" w:hAnsi="Times New Roman" w:eastAsia="方正仿宋_GB2312" w:cs="Times New Roman"/>
                <w:color w:val="auto"/>
                <w:spacing w:val="-8"/>
                <w:lang w:val="en-US" w:eastAsia="zh-CN"/>
              </w:rPr>
              <w:t>16</w:t>
            </w:r>
          </w:p>
        </w:tc>
        <w:tc>
          <w:tcPr>
            <w:tcW w:w="2584" w:type="pct"/>
            <w:shd w:val="clear" w:color="auto" w:fill="auto"/>
            <w:vAlign w:val="top"/>
          </w:tcPr>
          <w:p w14:paraId="630A285A">
            <w:pPr>
              <w:pStyle w:val="20"/>
              <w:spacing w:before="85" w:line="219" w:lineRule="auto"/>
              <w:jc w:val="both"/>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特殊困难老年人家庭适老化改造率(%)</w:t>
            </w:r>
          </w:p>
        </w:tc>
        <w:tc>
          <w:tcPr>
            <w:tcW w:w="968" w:type="pct"/>
            <w:shd w:val="clear" w:color="auto" w:fill="auto"/>
            <w:vAlign w:val="top"/>
          </w:tcPr>
          <w:p w14:paraId="1A6AEA61">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snapToGrid w:val="0"/>
                <w:color w:val="auto"/>
                <w:kern w:val="0"/>
                <w:sz w:val="25"/>
                <w:szCs w:val="25"/>
                <w:lang w:val="en-US" w:eastAsia="zh-CN" w:bidi="ar-SA"/>
              </w:rPr>
              <w:t>——</w:t>
            </w:r>
          </w:p>
        </w:tc>
        <w:tc>
          <w:tcPr>
            <w:tcW w:w="1057" w:type="pct"/>
            <w:shd w:val="clear" w:color="auto" w:fill="auto"/>
            <w:vAlign w:val="top"/>
          </w:tcPr>
          <w:p w14:paraId="183C201B">
            <w:pPr>
              <w:pStyle w:val="20"/>
              <w:spacing w:before="85" w:line="219" w:lineRule="auto"/>
              <w:jc w:val="center"/>
              <w:rPr>
                <w:rFonts w:hint="default" w:ascii="Times New Roman" w:hAnsi="Times New Roman" w:eastAsia="方正仿宋_GB2312" w:cs="Times New Roman"/>
                <w:color w:val="auto"/>
                <w:spacing w:val="-14"/>
              </w:rPr>
            </w:pPr>
            <w:r>
              <w:rPr>
                <w:rFonts w:hint="default" w:ascii="Times New Roman" w:hAnsi="Times New Roman" w:eastAsia="方正仿宋_GB2312" w:cs="Times New Roman"/>
                <w:color w:val="auto"/>
                <w:spacing w:val="-14"/>
              </w:rPr>
              <w:t>应改尽改</w:t>
            </w:r>
          </w:p>
        </w:tc>
      </w:tr>
    </w:tbl>
    <w:p w14:paraId="7BE31225">
      <w:pPr>
        <w:spacing w:line="78" w:lineRule="exact"/>
        <w:rPr>
          <w:rFonts w:hint="default" w:ascii="Times New Roman" w:hAnsi="Times New Roman" w:eastAsia="方正仿宋_GB2312" w:cs="Times New Roman"/>
          <w:color w:val="auto"/>
        </w:rPr>
      </w:pPr>
    </w:p>
    <w:p w14:paraId="0AB22261">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15" w:name="_Toc5925"/>
      <w:bookmarkStart w:id="16" w:name="_Toc4182"/>
      <w:r>
        <w:rPr>
          <w:rFonts w:hint="default" w:ascii="Times New Roman" w:hAnsi="Times New Roman" w:eastAsia="Arial Unicode MS" w:cs="Times New Roman"/>
          <w:b w:val="0"/>
          <w:bCs/>
          <w:snapToGrid/>
          <w:color w:val="auto"/>
          <w:sz w:val="32"/>
          <w:szCs w:val="32"/>
          <w:lang w:val="en-US" w:eastAsia="zh-CN"/>
        </w:rPr>
        <w:t>第三章 建立健全多层次老年社会保障体系</w:t>
      </w:r>
      <w:bookmarkEnd w:id="15"/>
      <w:bookmarkEnd w:id="16"/>
    </w:p>
    <w:p w14:paraId="5D84D45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7" w:name="_Toc4370"/>
      <w:bookmarkStart w:id="18" w:name="_Toc10816"/>
      <w:r>
        <w:rPr>
          <w:rFonts w:hint="default" w:ascii="Times New Roman" w:hAnsi="Times New Roman" w:eastAsia="黑体" w:cs="Times New Roman"/>
          <w:b w:val="0"/>
          <w:bCs/>
          <w:snapToGrid/>
          <w:color w:val="auto"/>
          <w:kern w:val="2"/>
          <w:sz w:val="32"/>
          <w:szCs w:val="32"/>
          <w:lang w:val="en-US" w:eastAsia="zh-CN"/>
        </w:rPr>
        <w:t>第一节 完善基本养老保险和基本医疗保险体系</w:t>
      </w:r>
      <w:bookmarkEnd w:id="17"/>
      <w:bookmarkEnd w:id="18"/>
      <w:r>
        <w:rPr>
          <w:rFonts w:hint="default" w:ascii="Times New Roman" w:hAnsi="Times New Roman" w:eastAsia="黑体" w:cs="Times New Roman"/>
          <w:b w:val="0"/>
          <w:bCs/>
          <w:snapToGrid/>
          <w:color w:val="auto"/>
          <w:kern w:val="2"/>
          <w:sz w:val="32"/>
          <w:szCs w:val="32"/>
          <w:lang w:val="en-US" w:eastAsia="zh-CN"/>
        </w:rPr>
        <w:tab/>
      </w:r>
    </w:p>
    <w:p w14:paraId="30D0D02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一、全力推进社会保险精准扩面</w:t>
      </w:r>
    </w:p>
    <w:p w14:paraId="1C75C4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着力破除参保的制度性壁垒，全面取消在就业地参加社会保险的户籍限制，将农民工、灵活就业人员、新就业形态从业人员作为扩面征缴的重点群体，开展精准参保专项行动。持续优化城乡居民基本养老保险缴费机制，增设缴费档次，完善“多缴多得、长缴多得”的激励约束机制，稳步提高城镇就业人员职工养老保险参保比例。到2030年，基本实现法定人员社会保险参保全覆盖，保障水平随经济发展同步协同增长，建成更加公平、稳健、可持续的老年收入保障和健康保障体系。</w:t>
      </w:r>
    </w:p>
    <w:p w14:paraId="4496E6D4">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二、稳步提高养老保险待遇水平</w:t>
      </w:r>
    </w:p>
    <w:p w14:paraId="06816F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建立和完善基本养老金的合理调整机制，确保离退休人员基本养老金按时足额发放并实现稳步增长。动态提高城乡居民基本养老保险基础养老金水平，逐步缩小城乡老年居民在养老保险待遇上的差距。积极鼓励发展商业养老保险、养老储蓄等第三支柱，为老年人提供多元化、补充性的养老收入来源。</w:t>
      </w:r>
    </w:p>
    <w:p w14:paraId="21DA3FA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三、实施长期护理保险制度</w:t>
      </w:r>
    </w:p>
    <w:p w14:paraId="4C3D152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做好长护险制度落地。</w:t>
      </w:r>
      <w:r>
        <w:rPr>
          <w:rFonts w:hint="default" w:ascii="Times New Roman" w:hAnsi="Times New Roman" w:eastAsia="方正仿宋_GB2312" w:cs="Times New Roman"/>
          <w:b w:val="0"/>
          <w:bCs/>
          <w:snapToGrid/>
          <w:color w:val="auto"/>
          <w:kern w:val="2"/>
          <w:sz w:val="32"/>
          <w:szCs w:val="32"/>
          <w:lang w:val="en-US" w:eastAsia="zh-CN"/>
        </w:rPr>
        <w:t>立足国家“加快建立长期护理保险制度”的总体部署与全市推进要求，积极承接并落实《攀枝花市关于建立长期护理保险制度的实施意见》，扎实做好属地化落地的各项筹备工作。紧扣全市全面实施长护险的工作目标，协同推进经办规程细化与信息系统全面对接，确保制度如期启动并平稳运行。</w:t>
      </w:r>
    </w:p>
    <w:p w14:paraId="1862D4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完善待遇保障政策。</w:t>
      </w:r>
      <w:r>
        <w:rPr>
          <w:rFonts w:hint="default" w:ascii="Times New Roman" w:hAnsi="Times New Roman" w:eastAsia="方正仿宋_GB2312" w:cs="Times New Roman"/>
          <w:b w:val="0"/>
          <w:bCs/>
          <w:snapToGrid/>
          <w:color w:val="auto"/>
          <w:kern w:val="2"/>
          <w:sz w:val="32"/>
          <w:szCs w:val="32"/>
          <w:lang w:val="en-US" w:eastAsia="zh-CN"/>
        </w:rPr>
        <w:t>严格遵循全市统一的参保范围，合理确定筹资标准，实施长护险与基本医疗保险合并征收，建立由用人单位、个人、财政等多方共同分担的筹资机制，积极引入慈善捐助和社会捐赠作为有益补充。参保人员可根据其失能状况和护理需求，自愿选择居家护理、社区护理和机构护理等服务方式，重点保障重度失能人员的基本照护需求。明确护理服务项目清单，将居家照护、机构照护、辅具租赁等纳入保障范围，待遇标准与失能等级科学挂钩，切实减轻失能人员家庭的经济负担。</w:t>
      </w:r>
    </w:p>
    <w:tbl>
      <w:tblPr>
        <w:tblStyle w:val="21"/>
        <w:tblW w:w="84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04"/>
      </w:tblGrid>
      <w:tr w14:paraId="1F0AE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404" w:type="dxa"/>
            <w:shd w:val="clear" w:color="auto" w:fill="BEBEBE"/>
            <w:vAlign w:val="center"/>
          </w:tcPr>
          <w:p w14:paraId="0D87BB4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3    攀枝花市西区</w:t>
            </w:r>
            <w:r>
              <w:rPr>
                <w:rFonts w:hint="default" w:ascii="Times New Roman" w:hAnsi="Times New Roman" w:eastAsia="黑体" w:cs="Times New Roman"/>
                <w:b/>
                <w:bCs/>
                <w:color w:val="auto"/>
                <w:sz w:val="21"/>
                <w:szCs w:val="21"/>
                <w:lang w:eastAsia="zh-CN"/>
              </w:rPr>
              <w:t>长期护理保险筹资标准</w:t>
            </w:r>
          </w:p>
        </w:tc>
      </w:tr>
      <w:tr w14:paraId="1B201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8404" w:type="dxa"/>
            <w:vAlign w:val="top"/>
          </w:tcPr>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2617"/>
              <w:gridCol w:w="2250"/>
              <w:gridCol w:w="2475"/>
            </w:tblGrid>
            <w:tr w14:paraId="76F9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80" w:type="dxa"/>
                  <w:vAlign w:val="top"/>
                </w:tcPr>
                <w:p w14:paraId="65C9E9E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人员类别</w:t>
                  </w:r>
                </w:p>
              </w:tc>
              <w:tc>
                <w:tcPr>
                  <w:tcW w:w="2617" w:type="dxa"/>
                  <w:vAlign w:val="top"/>
                </w:tcPr>
                <w:p w14:paraId="5B0A3D7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费基数/标准</w:t>
                  </w:r>
                </w:p>
              </w:tc>
              <w:tc>
                <w:tcPr>
                  <w:tcW w:w="2250" w:type="dxa"/>
                  <w:vAlign w:val="top"/>
                </w:tcPr>
                <w:p w14:paraId="3336AD38">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缴费比例/金额</w:t>
                  </w:r>
                </w:p>
              </w:tc>
              <w:tc>
                <w:tcPr>
                  <w:tcW w:w="2475" w:type="dxa"/>
                  <w:vAlign w:val="top"/>
                </w:tcPr>
                <w:p w14:paraId="15B72D2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缴费方式</w:t>
                  </w:r>
                </w:p>
              </w:tc>
            </w:tr>
            <w:tr w14:paraId="076C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80" w:type="dxa"/>
                  <w:shd w:val="clear" w:color="auto" w:fill="auto"/>
                  <w:vAlign w:val="top"/>
                </w:tcPr>
                <w:p w14:paraId="369F317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在职职工</w:t>
                  </w:r>
                </w:p>
              </w:tc>
              <w:tc>
                <w:tcPr>
                  <w:tcW w:w="2617" w:type="dxa"/>
                  <w:shd w:val="clear" w:color="auto" w:fill="auto"/>
                  <w:vAlign w:val="top"/>
                </w:tcPr>
                <w:p w14:paraId="7675EF59">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个人医保缴费基数</w:t>
                  </w:r>
                </w:p>
              </w:tc>
              <w:tc>
                <w:tcPr>
                  <w:tcW w:w="2250" w:type="dxa"/>
                  <w:shd w:val="clear" w:color="auto" w:fill="auto"/>
                  <w:vAlign w:val="top"/>
                </w:tcPr>
                <w:p w14:paraId="5738B7B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0.3%（单位与个人各0.15%）</w:t>
                  </w:r>
                </w:p>
              </w:tc>
              <w:tc>
                <w:tcPr>
                  <w:tcW w:w="2475" w:type="dxa"/>
                  <w:shd w:val="clear" w:color="auto" w:fill="auto"/>
                  <w:vAlign w:val="top"/>
                </w:tcPr>
                <w:p w14:paraId="1603F647">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单位从医保费划转，个人从医保账户代扣</w:t>
                  </w:r>
                </w:p>
              </w:tc>
            </w:tr>
            <w:tr w14:paraId="11DB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80" w:type="dxa"/>
                  <w:vAlign w:val="top"/>
                </w:tcPr>
                <w:p w14:paraId="6BC46E16">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退休人员</w:t>
                  </w:r>
                </w:p>
              </w:tc>
              <w:tc>
                <w:tcPr>
                  <w:tcW w:w="2617" w:type="dxa"/>
                  <w:vAlign w:val="top"/>
                </w:tcPr>
                <w:p w14:paraId="1AF93F82">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上年度全省平均养老金</w:t>
                  </w:r>
                </w:p>
              </w:tc>
              <w:tc>
                <w:tcPr>
                  <w:tcW w:w="2250" w:type="dxa"/>
                  <w:vAlign w:val="top"/>
                </w:tcPr>
                <w:p w14:paraId="7DB9954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0.3%</w:t>
                  </w:r>
                </w:p>
              </w:tc>
              <w:tc>
                <w:tcPr>
                  <w:tcW w:w="2475" w:type="dxa"/>
                  <w:vAlign w:val="top"/>
                </w:tcPr>
                <w:p w14:paraId="45FEDC99">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从医保个人账户代扣</w:t>
                  </w:r>
                </w:p>
              </w:tc>
            </w:tr>
            <w:tr w14:paraId="0C18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80" w:type="dxa"/>
                  <w:vAlign w:val="top"/>
                </w:tcPr>
                <w:p w14:paraId="3336F27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灵活就业人员</w:t>
                  </w:r>
                </w:p>
              </w:tc>
              <w:tc>
                <w:tcPr>
                  <w:tcW w:w="2617" w:type="dxa"/>
                  <w:vAlign w:val="top"/>
                </w:tcPr>
                <w:p w14:paraId="0742C14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上年度全省城镇单位就业人员平均工资的60%</w:t>
                  </w:r>
                </w:p>
              </w:tc>
              <w:tc>
                <w:tcPr>
                  <w:tcW w:w="2250" w:type="dxa"/>
                  <w:vAlign w:val="top"/>
                </w:tcPr>
                <w:p w14:paraId="5E21106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0.3%</w:t>
                  </w:r>
                </w:p>
              </w:tc>
              <w:tc>
                <w:tcPr>
                  <w:tcW w:w="2475" w:type="dxa"/>
                  <w:vAlign w:val="top"/>
                </w:tcPr>
                <w:p w14:paraId="56634BF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个人全额缴纳</w:t>
                  </w:r>
                </w:p>
              </w:tc>
            </w:tr>
            <w:tr w14:paraId="70E9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80" w:type="dxa"/>
                  <w:vAlign w:val="top"/>
                </w:tcPr>
                <w:p w14:paraId="44AB48F5">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城乡非就业居民</w:t>
                  </w:r>
                </w:p>
              </w:tc>
              <w:tc>
                <w:tcPr>
                  <w:tcW w:w="2617" w:type="dxa"/>
                  <w:vAlign w:val="top"/>
                </w:tcPr>
                <w:p w14:paraId="6DAEDA0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定额筹资每人每年50元</w:t>
                  </w:r>
                </w:p>
              </w:tc>
              <w:tc>
                <w:tcPr>
                  <w:tcW w:w="2250" w:type="dxa"/>
                  <w:vAlign w:val="top"/>
                </w:tcPr>
                <w:p w14:paraId="7ABFBE6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个人20元，财政30元</w:t>
                  </w:r>
                </w:p>
              </w:tc>
              <w:tc>
                <w:tcPr>
                  <w:tcW w:w="2475" w:type="dxa"/>
                  <w:vAlign w:val="top"/>
                </w:tcPr>
                <w:p w14:paraId="1F11CC19">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随居民医保一并缴纳</w:t>
                  </w:r>
                </w:p>
              </w:tc>
            </w:tr>
          </w:tbl>
          <w:p w14:paraId="47AF8B06">
            <w:pPr>
              <w:pStyle w:val="6"/>
              <w:ind w:left="0" w:leftChars="0" w:firstLine="0" w:firstLineChars="0"/>
              <w:rPr>
                <w:rFonts w:hint="default" w:ascii="Times New Roman" w:hAnsi="Times New Roman" w:eastAsia="方正仿宋_GB2312" w:cs="Times New Roman"/>
                <w:color w:val="auto"/>
                <w:sz w:val="21"/>
                <w:szCs w:val="21"/>
                <w:lang w:eastAsia="zh-CN"/>
              </w:rPr>
            </w:pPr>
          </w:p>
        </w:tc>
      </w:tr>
    </w:tbl>
    <w:p w14:paraId="15EFC06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加强政策衔接协同。</w:t>
      </w:r>
      <w:r>
        <w:rPr>
          <w:rFonts w:hint="default" w:ascii="Times New Roman" w:hAnsi="Times New Roman" w:eastAsia="方正仿宋_GB2312" w:cs="Times New Roman"/>
          <w:b w:val="0"/>
          <w:bCs/>
          <w:snapToGrid/>
          <w:color w:val="auto"/>
          <w:kern w:val="2"/>
          <w:sz w:val="32"/>
          <w:szCs w:val="32"/>
          <w:lang w:val="en-US" w:eastAsia="zh-CN"/>
        </w:rPr>
        <w:t>做好长期护理保险与经济困难失能老年人护理补贴、重度残疾人护理补贴等既有政策的有效衔接，避免重复享受，切实提高资金使用效率。</w:t>
      </w:r>
    </w:p>
    <w:tbl>
      <w:tblPr>
        <w:tblStyle w:val="21"/>
        <w:tblpPr w:leftFromText="180" w:rightFromText="180" w:vertAnchor="text" w:horzAnchor="page" w:tblpX="1596" w:tblpY="181"/>
        <w:tblOverlap w:val="never"/>
        <w:tblW w:w="881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17"/>
      </w:tblGrid>
      <w:tr w14:paraId="249D4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2" w:hRule="atLeast"/>
        </w:trPr>
        <w:tc>
          <w:tcPr>
            <w:tcW w:w="8817" w:type="dxa"/>
            <w:shd w:val="clear" w:color="auto" w:fill="BEBEBE"/>
            <w:vAlign w:val="center"/>
          </w:tcPr>
          <w:p w14:paraId="4B8B50E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4    攀枝花市西区</w:t>
            </w:r>
            <w:r>
              <w:rPr>
                <w:rFonts w:hint="default" w:ascii="Times New Roman" w:hAnsi="Times New Roman" w:eastAsia="黑体" w:cs="Times New Roman"/>
                <w:b/>
                <w:bCs/>
                <w:color w:val="auto"/>
                <w:sz w:val="21"/>
                <w:szCs w:val="21"/>
                <w:lang w:eastAsia="zh-CN"/>
              </w:rPr>
              <w:t>长期护理保险支付标准</w:t>
            </w:r>
          </w:p>
        </w:tc>
      </w:tr>
      <w:tr w14:paraId="6DE63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8817" w:type="dxa"/>
            <w:vAlign w:val="top"/>
          </w:tcPr>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2401"/>
              <w:gridCol w:w="2599"/>
              <w:gridCol w:w="2688"/>
            </w:tblGrid>
            <w:tr w14:paraId="7E4B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1" w:type="pct"/>
                  <w:vAlign w:val="top"/>
                </w:tcPr>
                <w:p w14:paraId="77149B22">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类别</w:t>
                  </w:r>
                </w:p>
              </w:tc>
              <w:tc>
                <w:tcPr>
                  <w:tcW w:w="1364" w:type="pct"/>
                  <w:vAlign w:val="top"/>
                </w:tcPr>
                <w:p w14:paraId="7C87F7A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重度失能Ⅰ级</w:t>
                  </w:r>
                </w:p>
              </w:tc>
              <w:tc>
                <w:tcPr>
                  <w:tcW w:w="1476" w:type="pct"/>
                  <w:vAlign w:val="top"/>
                </w:tcPr>
                <w:p w14:paraId="10068F53">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重度失能Ⅱ级</w:t>
                  </w:r>
                </w:p>
              </w:tc>
              <w:tc>
                <w:tcPr>
                  <w:tcW w:w="1527" w:type="pct"/>
                  <w:vAlign w:val="top"/>
                </w:tcPr>
                <w:p w14:paraId="3169A50C">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重度失能Ⅲ级</w:t>
                  </w:r>
                </w:p>
              </w:tc>
            </w:tr>
            <w:tr w14:paraId="6B7E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1" w:type="pct"/>
                  <w:shd w:val="clear" w:color="auto" w:fill="auto"/>
                  <w:vAlign w:val="top"/>
                </w:tcPr>
                <w:p w14:paraId="029DBE09">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职工</w:t>
                  </w:r>
                </w:p>
              </w:tc>
              <w:tc>
                <w:tcPr>
                  <w:tcW w:w="1364" w:type="pct"/>
                  <w:shd w:val="clear" w:color="auto" w:fill="auto"/>
                  <w:vAlign w:val="top"/>
                </w:tcPr>
                <w:p w14:paraId="7C8C0E2C">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1000元/月</w:t>
                  </w:r>
                </w:p>
              </w:tc>
              <w:tc>
                <w:tcPr>
                  <w:tcW w:w="1476" w:type="pct"/>
                  <w:shd w:val="clear" w:color="auto" w:fill="auto"/>
                  <w:vAlign w:val="top"/>
                </w:tcPr>
                <w:p w14:paraId="3DA55C6B">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1400元/月</w:t>
                  </w:r>
                </w:p>
              </w:tc>
              <w:tc>
                <w:tcPr>
                  <w:tcW w:w="1527" w:type="pct"/>
                  <w:shd w:val="clear" w:color="auto" w:fill="auto"/>
                  <w:vAlign w:val="top"/>
                </w:tcPr>
                <w:p w14:paraId="660C52A1">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1800元/月</w:t>
                  </w:r>
                </w:p>
              </w:tc>
            </w:tr>
            <w:tr w14:paraId="6D08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1" w:type="pct"/>
                  <w:vAlign w:val="top"/>
                </w:tcPr>
                <w:p w14:paraId="76A8B4FF">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居民</w:t>
                  </w:r>
                </w:p>
              </w:tc>
              <w:tc>
                <w:tcPr>
                  <w:tcW w:w="1364" w:type="pct"/>
                  <w:vAlign w:val="top"/>
                </w:tcPr>
                <w:p w14:paraId="6F9AD254">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500元/月</w:t>
                  </w:r>
                </w:p>
              </w:tc>
              <w:tc>
                <w:tcPr>
                  <w:tcW w:w="1476" w:type="pct"/>
                  <w:vAlign w:val="top"/>
                </w:tcPr>
                <w:p w14:paraId="72DF6ACD">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700元/月</w:t>
                  </w:r>
                </w:p>
              </w:tc>
              <w:tc>
                <w:tcPr>
                  <w:tcW w:w="1527" w:type="pct"/>
                  <w:vAlign w:val="top"/>
                </w:tcPr>
                <w:p w14:paraId="6C49CE9A">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22"/>
                      <w:szCs w:val="22"/>
                      <w:u w:val="none"/>
                      <w:lang w:val="en-US" w:eastAsia="zh-CN"/>
                    </w:rPr>
                  </w:pPr>
                  <w:r>
                    <w:rPr>
                      <w:rFonts w:hint="default" w:ascii="Times New Roman" w:hAnsi="Times New Roman" w:eastAsia="方正仿宋_GB2312" w:cs="Times New Roman"/>
                      <w:i w:val="0"/>
                      <w:iCs w:val="0"/>
                      <w:color w:val="auto"/>
                      <w:sz w:val="22"/>
                      <w:szCs w:val="22"/>
                      <w:u w:val="none"/>
                      <w:lang w:val="en-US" w:eastAsia="zh-CN"/>
                    </w:rPr>
                    <w:t>1000元/月</w:t>
                  </w:r>
                </w:p>
              </w:tc>
            </w:tr>
          </w:tbl>
          <w:p w14:paraId="7EFF3618">
            <w:pPr>
              <w:pStyle w:val="6"/>
              <w:ind w:left="0" w:leftChars="0" w:firstLine="0" w:firstLineChars="0"/>
              <w:rPr>
                <w:rFonts w:hint="default" w:ascii="Times New Roman" w:hAnsi="Times New Roman" w:eastAsia="方正仿宋_GB2312" w:cs="Times New Roman"/>
                <w:color w:val="auto"/>
                <w:sz w:val="21"/>
                <w:szCs w:val="21"/>
                <w:lang w:eastAsia="zh-CN"/>
              </w:rPr>
            </w:pPr>
          </w:p>
        </w:tc>
      </w:tr>
    </w:tbl>
    <w:p w14:paraId="0BBBB0A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9" w:name="_Toc21689"/>
      <w:bookmarkStart w:id="20" w:name="_Toc9297"/>
      <w:r>
        <w:rPr>
          <w:rFonts w:hint="default" w:ascii="Times New Roman" w:hAnsi="Times New Roman" w:eastAsia="黑体" w:cs="Times New Roman"/>
          <w:b w:val="0"/>
          <w:bCs/>
          <w:snapToGrid/>
          <w:color w:val="auto"/>
          <w:kern w:val="2"/>
          <w:sz w:val="32"/>
          <w:szCs w:val="32"/>
          <w:lang w:val="en-US" w:eastAsia="zh-CN"/>
        </w:rPr>
        <w:t>第二节 建立基本养老服务清单和评估制度</w:t>
      </w:r>
      <w:bookmarkEnd w:id="19"/>
      <w:bookmarkEnd w:id="20"/>
      <w:r>
        <w:rPr>
          <w:rFonts w:hint="default" w:ascii="Times New Roman" w:hAnsi="Times New Roman" w:eastAsia="黑体" w:cs="Times New Roman"/>
          <w:b w:val="0"/>
          <w:bCs/>
          <w:snapToGrid/>
          <w:color w:val="auto"/>
          <w:kern w:val="2"/>
          <w:sz w:val="32"/>
          <w:szCs w:val="32"/>
          <w:lang w:val="en-US" w:eastAsia="zh-CN"/>
        </w:rPr>
        <w:tab/>
      </w:r>
    </w:p>
    <w:p w14:paraId="096AD1B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一、全面实施基本养老服务清单</w:t>
      </w:r>
    </w:p>
    <w:p w14:paraId="19E08E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严格依据《攀枝花市基本养老服务清单（2024版）》，明确各项服务的对象、内容、标准与责任主体，确保服务项目、覆盖范围、实现程度不低于市级统一要求。将清单服务内容纳入基本公共服务范畴和政府购买服务指导性目录，确保刚性兑现。通过政府网站、社区公告、手机应用等多种渠道，主动、透明地向社会公开清单内容及申请流程。到2030年，全面建成权责清晰、分类科学、动态调整的基本养老服务清单制度，实现老年人能力综合评估全覆盖。</w:t>
      </w:r>
    </w:p>
    <w:p w14:paraId="14C2DFC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二、开展老年人能力与需求综合评估</w:t>
      </w:r>
    </w:p>
    <w:p w14:paraId="2FB885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推行政府购买老年人能力综合评估服务，依据国家和省级统一标准，对辖区内老年人的自理能力、认知状况、照护需求等进行科学、统一的评估。推动评估结果在全区范围内实现跨部门互认和数据共享，将其作为老年人享受补贴、接受基本养老服务、配置养老资源的核心依据。</w:t>
      </w:r>
    </w:p>
    <w:p w14:paraId="543A42D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三、健全养老服务主动响应机制</w:t>
      </w:r>
    </w:p>
    <w:p w14:paraId="592AD2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整合民政、卫健、医保、残联等部门数据，建设全区统一的智慧养老服务平台和老年人基础数据库。依托平台建立“主动发现、精准识别、智能派单、服务跟踪”的主动响应机制，尤其要加强对独居、空巢、失能、残疾等特殊困难老年人的常态化关爱巡访，确保紧急情况能够及时响应，日常需求得到有效对接。</w:t>
      </w:r>
    </w:p>
    <w:p w14:paraId="31B34BF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21" w:name="_Toc1571"/>
      <w:bookmarkStart w:id="22" w:name="_Toc6510"/>
      <w:r>
        <w:rPr>
          <w:rFonts w:hint="default" w:ascii="Times New Roman" w:hAnsi="Times New Roman" w:eastAsia="黑体" w:cs="Times New Roman"/>
          <w:b w:val="0"/>
          <w:bCs/>
          <w:snapToGrid/>
          <w:color w:val="auto"/>
          <w:kern w:val="2"/>
          <w:sz w:val="32"/>
          <w:szCs w:val="32"/>
          <w:lang w:val="en-US" w:eastAsia="zh-CN"/>
        </w:rPr>
        <w:t>第三节 巩固老年人社会救助和社会福利制度</w:t>
      </w:r>
      <w:bookmarkEnd w:id="21"/>
      <w:bookmarkEnd w:id="22"/>
      <w:r>
        <w:rPr>
          <w:rFonts w:hint="default" w:ascii="Times New Roman" w:hAnsi="Times New Roman" w:eastAsia="黑体" w:cs="Times New Roman"/>
          <w:b w:val="0"/>
          <w:bCs/>
          <w:snapToGrid/>
          <w:color w:val="auto"/>
          <w:kern w:val="2"/>
          <w:sz w:val="32"/>
          <w:szCs w:val="32"/>
          <w:lang w:val="en-US" w:eastAsia="zh-CN"/>
        </w:rPr>
        <w:tab/>
      </w:r>
    </w:p>
    <w:p w14:paraId="79431081">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一、强化分层分类社会救助兜底保障</w:t>
      </w:r>
    </w:p>
    <w:p w14:paraId="277114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完善最低生活保障标准的动态调整机制，确保低保标准与居民人均消费支出合理挂钩，切实保障困难老年家庭的基本生活需求。全面开展低保边缘家庭和支出型困难家庭的认定工作，并建立动态监测预警机制。为符合条件的困难老年人代缴城乡居民基本养老保险和医疗保险费，增强其抵御风险的能力。积极落实攀枝花市开展社会救助“两项政策”衔接并轨的先行先试要求，探索建立更为高效、精准的农村低收入人口认定与帮扶闭环体系。到2030年，形成分层分类、衔接有效、覆盖全面的老年社会救助与福利保障网，确保困难老年人的基本生活得到坚实保障，全体老年人共享普惠性社会福利成果。</w:t>
      </w:r>
    </w:p>
    <w:p w14:paraId="5E4C7A1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二、提升普惠型社会福利供给水平</w:t>
      </w:r>
    </w:p>
    <w:p w14:paraId="4BFCF8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加快设施网络普惠化。有序推进“西区养老服务中心”“大宝鼎街道社区养老服务综合体”等在建项目，确保按时建成投运并发挥实效。全面推进“15分钟养老服务圈”建设，通过新建、改造、整合存量资源等多种方式，实现城市社区养老服务综合体全覆盖，同步构建“区—镇（街道）—村（社区）”三级农村养老服务网络。到2030年，养老机构护理型床位占比超过75%。</w:t>
      </w:r>
    </w:p>
    <w:p w14:paraId="330D8B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推进服务内容普惠化。重点发展老年助餐服务，建设社区全域覆盖、政企协同运作的助餐网络。实施特殊困难老年人家庭适老化改造，并逐步向有需求的社会老年人群体延伸覆盖。大力推广“家庭养老床位”，将专业化照护服务有效延伸至家庭。积极发展“物业+养老”“社区+养老”等就近就便的服务模式。</w:t>
      </w:r>
    </w:p>
    <w:p w14:paraId="4B1F23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推进公共服务适老化改造。在城镇老旧小区改造、市政基础设施更新等工作中，全面推进公共空间、居民住宅的适老化和无障碍改造。推动全区医疗机构、文体场所、商业网点等公共服务场所的适老化改造升级，保留并优化传统线下服务渠道，切实帮助老年人跨越“数字鸿沟”。2030年前实现经济困难失能老年人家庭适老化改造全覆盖。</w:t>
      </w:r>
    </w:p>
    <w:p w14:paraId="1638E25E">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三、促进老年人社会参与与融合发展</w:t>
      </w:r>
    </w:p>
    <w:p w14:paraId="04FE1A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深入落实《攀枝花市实施“花城银龄行动”助力共同富裕试验区建设工作方案》，大力培育“花城银龄”老年志愿服务品牌，充分激发银发人才的社会活力。鼓励低龄健康老人积极参与社区治理、互助养老、青少年关爱等社会行动，推动老年志愿服务在基层治理、乡村振兴、青少年成长、精神文化共富等多领域发挥重要作用。优先发展社区老年教育，整合开放大学、文化馆等资源优势，丰富老年人精神文化生活。全面推进城乡公共空间的适儿化、适老化和无障碍一体化改造，营造全龄友好、代际共融的社会环境。</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5E378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2" w:hRule="atLeast"/>
        </w:trPr>
        <w:tc>
          <w:tcPr>
            <w:tcW w:w="5000" w:type="pct"/>
            <w:shd w:val="clear" w:color="auto" w:fill="BEBEBE"/>
            <w:vAlign w:val="center"/>
          </w:tcPr>
          <w:p w14:paraId="21ECF3E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5   西区“十五五”</w:t>
            </w:r>
            <w:r>
              <w:rPr>
                <w:rFonts w:hint="default" w:ascii="Times New Roman" w:hAnsi="Times New Roman" w:eastAsia="黑体" w:cs="Times New Roman"/>
                <w:b/>
                <w:bCs/>
                <w:color w:val="auto"/>
                <w:sz w:val="21"/>
                <w:szCs w:val="21"/>
                <w:lang w:eastAsia="zh-CN"/>
              </w:rPr>
              <w:t>老年社会保障体系</w:t>
            </w:r>
            <w:r>
              <w:rPr>
                <w:rFonts w:hint="default" w:ascii="Times New Roman" w:hAnsi="Times New Roman" w:eastAsia="黑体" w:cs="Times New Roman"/>
                <w:b/>
                <w:bCs/>
                <w:color w:val="auto"/>
                <w:sz w:val="21"/>
                <w:szCs w:val="21"/>
                <w:lang w:val="en-US" w:eastAsia="zh-CN"/>
              </w:rPr>
              <w:t>重点建设项目</w:t>
            </w:r>
          </w:p>
        </w:tc>
      </w:tr>
      <w:tr w14:paraId="6863F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000" w:type="pct"/>
            <w:vAlign w:val="top"/>
          </w:tcPr>
          <w:p w14:paraId="02C66EDA">
            <w:pPr>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2312" w:cs="Times New Roman"/>
                <w:b/>
                <w:bCs/>
                <w:color w:val="auto"/>
                <w:sz w:val="21"/>
                <w:szCs w:val="21"/>
                <w:lang w:eastAsia="zh-CN"/>
              </w:rPr>
              <w:t>1</w:t>
            </w:r>
            <w:r>
              <w:rPr>
                <w:rFonts w:hint="default" w:ascii="Times New Roman" w:hAnsi="Times New Roman" w:eastAsia="方正仿宋_GB2312" w:cs="Times New Roman"/>
                <w:b/>
                <w:bCs/>
                <w:color w:val="auto"/>
                <w:sz w:val="21"/>
                <w:szCs w:val="21"/>
                <w:lang w:val="en-US" w:eastAsia="zh-CN"/>
              </w:rPr>
              <w:t>.</w:t>
            </w:r>
            <w:r>
              <w:rPr>
                <w:rFonts w:hint="default" w:ascii="Times New Roman" w:hAnsi="Times New Roman" w:eastAsia="方正仿宋_GB2312" w:cs="Times New Roman"/>
                <w:b/>
                <w:bCs/>
                <w:color w:val="auto"/>
                <w:sz w:val="21"/>
                <w:szCs w:val="21"/>
                <w:lang w:eastAsia="zh-CN"/>
              </w:rPr>
              <w:t>攀枝花市西区失能老人照护中心项目。</w:t>
            </w:r>
            <w:r>
              <w:rPr>
                <w:rFonts w:hint="default" w:ascii="Times New Roman" w:hAnsi="Times New Roman" w:eastAsia="方正仿宋_GB2312" w:cs="Times New Roman"/>
                <w:color w:val="auto"/>
                <w:sz w:val="21"/>
                <w:szCs w:val="21"/>
                <w:lang w:eastAsia="zh-CN"/>
              </w:rPr>
              <w:t>新建，总建筑面积约9350平方米，200张床位，投资0.52亿元。</w:t>
            </w:r>
          </w:p>
          <w:p w14:paraId="7F65BA8A">
            <w:pPr>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2312" w:cs="Times New Roman"/>
                <w:b/>
                <w:bCs/>
                <w:color w:val="auto"/>
                <w:sz w:val="21"/>
                <w:szCs w:val="21"/>
                <w:lang w:val="en-US" w:eastAsia="zh-CN"/>
              </w:rPr>
              <w:t>2.</w:t>
            </w:r>
            <w:r>
              <w:rPr>
                <w:rFonts w:hint="default" w:ascii="Times New Roman" w:hAnsi="Times New Roman" w:eastAsia="方正仿宋_GB2312" w:cs="Times New Roman"/>
                <w:b/>
                <w:bCs/>
                <w:color w:val="auto"/>
                <w:sz w:val="21"/>
                <w:szCs w:val="21"/>
                <w:lang w:eastAsia="zh-CN"/>
              </w:rPr>
              <w:t>攀枝花市西区慈善事业发展基地项目。</w:t>
            </w:r>
            <w:r>
              <w:rPr>
                <w:rFonts w:hint="default" w:ascii="Times New Roman" w:hAnsi="Times New Roman" w:eastAsia="方正仿宋_GB2312" w:cs="Times New Roman"/>
                <w:color w:val="auto"/>
                <w:sz w:val="21"/>
                <w:szCs w:val="21"/>
                <w:lang w:eastAsia="zh-CN"/>
              </w:rPr>
              <w:t>新建，总面积为50000平方米，投资1亿元。</w:t>
            </w:r>
          </w:p>
        </w:tc>
      </w:tr>
    </w:tbl>
    <w:p w14:paraId="73CA51F0">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23" w:name="_Toc8185"/>
      <w:bookmarkStart w:id="24" w:name="_Toc2775"/>
      <w:r>
        <w:rPr>
          <w:rFonts w:hint="default" w:ascii="Times New Roman" w:hAnsi="Times New Roman" w:eastAsia="Arial Unicode MS" w:cs="Times New Roman"/>
          <w:b w:val="0"/>
          <w:bCs/>
          <w:snapToGrid/>
          <w:color w:val="auto"/>
          <w:sz w:val="32"/>
          <w:szCs w:val="32"/>
          <w:lang w:val="en-US" w:eastAsia="zh-CN"/>
        </w:rPr>
        <w:t>第四章 打造高质量的普惠养老服务体系</w:t>
      </w:r>
      <w:bookmarkEnd w:id="23"/>
      <w:bookmarkEnd w:id="24"/>
      <w:r>
        <w:rPr>
          <w:rFonts w:hint="default" w:ascii="Times New Roman" w:hAnsi="Times New Roman" w:eastAsia="Arial Unicode MS" w:cs="Times New Roman"/>
          <w:b w:val="0"/>
          <w:bCs/>
          <w:snapToGrid/>
          <w:color w:val="auto"/>
          <w:sz w:val="32"/>
          <w:szCs w:val="32"/>
          <w:lang w:val="en-US" w:eastAsia="zh-CN"/>
        </w:rPr>
        <w:tab/>
      </w:r>
    </w:p>
    <w:p w14:paraId="118163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到2030年，西区将全面建成与共同富裕试验区要求相适应、覆盖城乡、权责清晰、保障适度、供给多元、质量可靠、监管有力、可持续的高质量普惠养老服务体系。公办养老机构的“稳定器”基础作用、社会力量的“生力军”支撑作用、社区家庭的“基础性”托底作用得到充分发挥，让每一位西区老年人都能享有“身边、家边、周边”的优质养老服务。</w:t>
      </w:r>
    </w:p>
    <w:p w14:paraId="34BC490F">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25" w:name="_Toc28559"/>
      <w:bookmarkStart w:id="26" w:name="_Toc17250"/>
      <w:r>
        <w:rPr>
          <w:rFonts w:hint="default" w:ascii="Times New Roman" w:hAnsi="Times New Roman" w:eastAsia="黑体" w:cs="Times New Roman"/>
          <w:b w:val="0"/>
          <w:bCs/>
          <w:snapToGrid/>
          <w:color w:val="auto"/>
          <w:kern w:val="2"/>
          <w:sz w:val="32"/>
          <w:szCs w:val="32"/>
          <w:lang w:val="en-US" w:eastAsia="zh-CN"/>
        </w:rPr>
        <w:t>第一节 促进公办养老机构</w:t>
      </w:r>
      <w:bookmarkEnd w:id="25"/>
      <w:r>
        <w:rPr>
          <w:rFonts w:hint="default" w:ascii="Times New Roman" w:hAnsi="Times New Roman" w:eastAsia="黑体" w:cs="Times New Roman"/>
          <w:b w:val="0"/>
          <w:bCs/>
          <w:snapToGrid/>
          <w:color w:val="auto"/>
          <w:kern w:val="2"/>
          <w:sz w:val="32"/>
          <w:szCs w:val="32"/>
          <w:lang w:val="en-US" w:eastAsia="zh-CN"/>
        </w:rPr>
        <w:t>提质增效</w:t>
      </w:r>
      <w:bookmarkEnd w:id="26"/>
      <w:r>
        <w:rPr>
          <w:rFonts w:hint="default" w:ascii="Times New Roman" w:hAnsi="Times New Roman" w:eastAsia="黑体" w:cs="Times New Roman"/>
          <w:b w:val="0"/>
          <w:bCs/>
          <w:snapToGrid/>
          <w:color w:val="auto"/>
          <w:kern w:val="2"/>
          <w:sz w:val="32"/>
          <w:szCs w:val="32"/>
          <w:lang w:val="en-US" w:eastAsia="zh-CN"/>
        </w:rPr>
        <w:tab/>
      </w:r>
    </w:p>
    <w:p w14:paraId="076C6B8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一、多路径推进区域养老服务中心建设</w:t>
      </w:r>
    </w:p>
    <w:p w14:paraId="59C24E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据《四川省养老机构等级划分与评定评分细则（2025版）》的标准要求，以“扩面提质、辐射联动”为核心，通过新建、扩建及改造升级等多种路径推进养老机构建设。聚焦城乡均衡发展，重点填补农村养老服务空白，支持具备条件的乡镇特困人员供养服务设施（敬老院）转型为区域养老服务中心，不额外占用新增建设用地指标，实现乡镇（街道）层面养老服务覆盖率的稳步提升。</w:t>
      </w:r>
    </w:p>
    <w:p w14:paraId="48B8F06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二、夯实“一刻钟”居家养老服务圈</w:t>
      </w:r>
    </w:p>
    <w:p w14:paraId="4D550B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有序推进西区养老服务中心设备设施购置项目等《攀枝花市统筹城乡优化供给推进养老服务提质增效实施方案》2026—2030年计划项目的落地实施。强化功能复合嵌入，完善全日托养、日间照料、居家上门、服务转介等核心服务功能，探索增设失能照护专区，推动与基层医疗机构建立签约合作关系，畅通就医绿色通道。充分发挥中心枢纽作用，统筹辖区养老服务资源，辐射带动村级互助点、社区服务驿站等基层站点，构建县—乡—村三级联动的养老服务网络。以标准化服务和智慧化调度为支撑，增强对居家老人和周边小型养老设施的辐射带动效能，持续夯实“一刻钟”居家养老服务圈的根基。</w:t>
      </w:r>
    </w:p>
    <w:p w14:paraId="092EA62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三、精准锁定服务保障对象</w:t>
      </w:r>
    </w:p>
    <w:p w14:paraId="60E80F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坚持公办养老机构履行政府兜底保障职能，在全面保障特困人员“应收尽收、应养尽养”的基础上，建立梯度化、分层次的保障体系。明确将低保对象、低保边缘家庭、支出型困难家庭中的失能失智老年人，以及计划生育特殊家庭、对社会有突出贡献的功勋荣誉获得者、退役军人和其他优抚对象中的高龄或失能失智老年人，纳入基本养老服务保障范围。到2030年，建立并完善全区统一的入住评估轮候制度，确保保障对象能够公平、有序入住。</w:t>
      </w:r>
    </w:p>
    <w:p w14:paraId="6D93262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四、提升集中照护专业水平</w:t>
      </w:r>
    </w:p>
    <w:p w14:paraId="4EE51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启动西区特困人员集中供养服务中心（或失能照护中心）规划论证与建设工作，将其打造为全区失能、失智特困人员专业照护的枢纽，集中优质资源，提供医养结合的专业化、标准化服务。推动现有农村敬老院转型升级，支持格里坪镇等具备条件的敬老院实施改造提升，增强其区域性养老服务中心功能，在为农村特困人员提供集中供养服务的同时，逐步向周边社会老年人开放。</w:t>
      </w:r>
    </w:p>
    <w:p w14:paraId="2BBACBC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五、完善应急安全保障职能</w:t>
      </w:r>
    </w:p>
    <w:p w14:paraId="44C262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赋予公办养老机构在养老服务领域的应急保障公共职责。依托区级养老服务中心等机构，建立西区养老服务应急救援储备点，制定自然灾害、公共卫生事件等突发状况下的老年人转移安置、临时庇护和照料服务预案，确保紧急情况下能够迅速响应，有效保障老年人的生命安全。</w:t>
      </w:r>
    </w:p>
    <w:p w14:paraId="19E436B7">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27" w:name="_Toc28633"/>
      <w:bookmarkStart w:id="28" w:name="_Toc14843"/>
      <w:r>
        <w:rPr>
          <w:rFonts w:hint="default" w:ascii="Times New Roman" w:hAnsi="Times New Roman" w:eastAsia="黑体" w:cs="Times New Roman"/>
          <w:b w:val="0"/>
          <w:bCs/>
          <w:snapToGrid/>
          <w:color w:val="auto"/>
          <w:kern w:val="2"/>
          <w:sz w:val="32"/>
          <w:szCs w:val="32"/>
          <w:lang w:val="en-US" w:eastAsia="zh-CN"/>
        </w:rPr>
        <w:t>第二节 提升养老机构</w:t>
      </w:r>
      <w:bookmarkEnd w:id="27"/>
      <w:r>
        <w:rPr>
          <w:rFonts w:hint="default" w:ascii="Times New Roman" w:hAnsi="Times New Roman" w:eastAsia="黑体" w:cs="Times New Roman"/>
          <w:b w:val="0"/>
          <w:bCs/>
          <w:snapToGrid/>
          <w:color w:val="auto"/>
          <w:kern w:val="2"/>
          <w:sz w:val="32"/>
          <w:szCs w:val="32"/>
          <w:lang w:val="en-US" w:eastAsia="zh-CN"/>
        </w:rPr>
        <w:t>专业化水平</w:t>
      </w:r>
      <w:bookmarkEnd w:id="28"/>
      <w:r>
        <w:rPr>
          <w:rFonts w:hint="default" w:ascii="Times New Roman" w:hAnsi="Times New Roman" w:eastAsia="黑体" w:cs="Times New Roman"/>
          <w:b w:val="0"/>
          <w:bCs/>
          <w:snapToGrid/>
          <w:color w:val="auto"/>
          <w:kern w:val="2"/>
          <w:sz w:val="32"/>
          <w:szCs w:val="32"/>
          <w:lang w:val="en-US" w:eastAsia="zh-CN"/>
        </w:rPr>
        <w:tab/>
      </w:r>
    </w:p>
    <w:p w14:paraId="5F21147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一、科学规划总量与布局</w:t>
      </w:r>
    </w:p>
    <w:p w14:paraId="508E15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充分发挥西区养老服务中心的核心引领作用，优化养老服务设施布局，适度控制新建大型养老服务机构规模，新建、扩建机构的床位原则上分别不超过300张和150张。重点在清香坪、陶家渡等人口密集区域补点建设社区嵌入式、小微型养老机构，实现服务供给与需求的高度精准匹配。</w:t>
      </w:r>
    </w:p>
    <w:p w14:paraId="6865A14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二、优化养老机构供给结构</w:t>
      </w:r>
    </w:p>
    <w:p w14:paraId="30CC906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分类推进养老机构发展。</w:t>
      </w:r>
      <w:r>
        <w:rPr>
          <w:rFonts w:hint="default" w:ascii="Times New Roman" w:hAnsi="Times New Roman" w:eastAsia="方正仿宋_GB2312" w:cs="Times New Roman"/>
          <w:b w:val="0"/>
          <w:bCs/>
          <w:snapToGrid/>
          <w:color w:val="auto"/>
          <w:kern w:val="2"/>
          <w:sz w:val="32"/>
          <w:szCs w:val="32"/>
          <w:lang w:val="en-US" w:eastAsia="zh-CN"/>
        </w:rPr>
        <w:t>兜底保障型机构重点收住特困、经济困难失能老年人；普惠支持型机构由政府通过土地划拨、租金减免等政策予以支持，实行限价管理；完全市场型机构则着力满足老年人多样化、高品质的养老服务需求。到2030年，普惠型养老机构床位占比达到60%以上。</w:t>
      </w:r>
    </w:p>
    <w:p w14:paraId="69DEC29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提升护理型床位占比。</w:t>
      </w:r>
      <w:r>
        <w:rPr>
          <w:rFonts w:hint="default" w:ascii="Times New Roman" w:hAnsi="Times New Roman" w:eastAsia="方正仿宋_GB2312" w:cs="Times New Roman"/>
          <w:b w:val="0"/>
          <w:bCs/>
          <w:snapToGrid/>
          <w:color w:val="auto"/>
          <w:kern w:val="2"/>
          <w:sz w:val="32"/>
          <w:szCs w:val="32"/>
          <w:lang w:val="en-US" w:eastAsia="zh-CN"/>
        </w:rPr>
        <w:t>将发展护理型养老床位作为优化供给结构的重要突破口，严格执行新建机构护理型床位占比不低于80%、改扩建项目不低于70%的刚性标准。通过专项资金补贴、政府购买服务等方式，积极引导和支持现有养老机构实施设施改造和能力提升，增加护理型床位有效供给。到2030年，将全区养老机构护理型床位占比从现有水平提升至75%以上，重点满足失能、失智老年人的刚性照护需求。</w:t>
      </w:r>
    </w:p>
    <w:p w14:paraId="655DE91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三、深化“三边一网一图”模式</w:t>
      </w:r>
    </w:p>
    <w:p w14:paraId="38BF01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贯彻攀枝花市创新构建的“机构里边专业化、社区周边社会化、居家床边精细化”分类式照护理念，推动养老机构、社区、居家服务的深度融合。支持有条件的养老机构打开“院墙”，将专业照护服务向社区和家庭延伸，大力发展“家庭养老床位”，提供短期托养、日间照料以及助餐、助浴、助洁等专业化上门服务。整合全区养老服务资源，打造线上线下联动的“西区养老服务一张图”，实现服务需求、服务资源、服务过程的精准匹配与智慧化监管。着力提升专业服务能力，推动养老机构与医疗机构全面建立签约合作关系，实现医疗巡诊、急诊急救、康复护理等服务全覆盖。</w:t>
      </w:r>
    </w:p>
    <w:p w14:paraId="4755ACB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四、规范养老机构运营管理</w:t>
      </w:r>
    </w:p>
    <w:p w14:paraId="49C4EF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筑牢标准化的安全底线，全面推行《养老机构服务安全基本规范》，融合物联网、人工智能等前沿技术构建“智慧安防”体系，实施跨部门综合监管。严格执行养老机构等级评定制度，依据评定结果实施运营补贴、项目支持等精准化、阶梯式扶持政策，并引入动态管理机制。持续推进公办养老机构改革，在优先保障特困人员等群体需求的基础上，开放空余床位大力发展普惠养老，并通过积极推行公建民营等方式，切实提升专业化运营水平与资源利用效率。</w:t>
      </w:r>
    </w:p>
    <w:p w14:paraId="0891A494">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29" w:name="_Toc25056"/>
      <w:bookmarkStart w:id="30" w:name="_Toc3802"/>
      <w:r>
        <w:rPr>
          <w:rFonts w:hint="default" w:ascii="Times New Roman" w:hAnsi="Times New Roman" w:eastAsia="黑体" w:cs="Times New Roman"/>
          <w:b w:val="0"/>
          <w:bCs/>
          <w:snapToGrid/>
          <w:color w:val="auto"/>
          <w:kern w:val="2"/>
          <w:sz w:val="32"/>
          <w:szCs w:val="32"/>
          <w:lang w:val="en-US" w:eastAsia="zh-CN"/>
        </w:rPr>
        <w:t>第三节 深化管理体制改革</w:t>
      </w:r>
      <w:bookmarkEnd w:id="29"/>
      <w:bookmarkEnd w:id="30"/>
      <w:r>
        <w:rPr>
          <w:rFonts w:hint="default" w:ascii="Times New Roman" w:hAnsi="Times New Roman" w:eastAsia="黑体" w:cs="Times New Roman"/>
          <w:b w:val="0"/>
          <w:bCs/>
          <w:snapToGrid/>
          <w:color w:val="auto"/>
          <w:kern w:val="2"/>
          <w:sz w:val="32"/>
          <w:szCs w:val="32"/>
          <w:lang w:val="en-US" w:eastAsia="zh-CN"/>
        </w:rPr>
        <w:tab/>
      </w:r>
    </w:p>
    <w:p w14:paraId="6FDD9DB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一、健全领导协调机制</w:t>
      </w:r>
    </w:p>
    <w:p w14:paraId="378254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建立健全政府主导、部门协同、社会广泛参与的领导机制，形成上下贯通、横向联动的工作格局。着力构建全链条综合监管体系，规范市场秩序。健全养老服务应急管理机制，全面落实安全生产责任制，压实养老服务机构、相关管理部门及地方党委政府的责任。优化要素保障与政务服务效能，全面提升服务水平。建立科学的绩效评价与持续改进机制，研究制定养老服务发展评价指标体系，将养老服务政策落实情况纳入年度绩效考核范围。</w:t>
      </w:r>
    </w:p>
    <w:p w14:paraId="2811C0F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二、推进运营机制改革</w:t>
      </w:r>
    </w:p>
    <w:p w14:paraId="0E3587D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深化公办养老机构分类改革。</w:t>
      </w:r>
      <w:r>
        <w:rPr>
          <w:rFonts w:hint="default" w:ascii="Times New Roman" w:hAnsi="Times New Roman" w:eastAsia="方正仿宋_GB2312" w:cs="Times New Roman"/>
          <w:b w:val="0"/>
          <w:bCs/>
          <w:snapToGrid/>
          <w:color w:val="auto"/>
          <w:kern w:val="2"/>
          <w:sz w:val="32"/>
          <w:szCs w:val="32"/>
          <w:lang w:val="en-US" w:eastAsia="zh-CN"/>
        </w:rPr>
        <w:t>对承担特困人员集中供养职能的机构，强化财政保障与标准化管理，确保兜底服务优质可及。研究制定《西区公办养老机构公建民营实施办法》，在坚持公益属性的前提下，公办机构全面推行公建民营模式，明确权责边界、退出机制和监管要求。通过公开招标引入社会资本和专业运营主体，依托其先进管理经验与服务资源，优化床位配置、提升护理服务水平，实现公益属性与运营效率的有机统一，有效破解公办机构“重建设、轻运营”的难题，激发运营活力。</w:t>
      </w:r>
    </w:p>
    <w:p w14:paraId="3AF8AB3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优化养老服务营商环境。</w:t>
      </w:r>
      <w:r>
        <w:rPr>
          <w:rFonts w:hint="default" w:ascii="Times New Roman" w:hAnsi="Times New Roman" w:eastAsia="方正仿宋_GB2312" w:cs="Times New Roman"/>
          <w:b w:val="0"/>
          <w:bCs/>
          <w:snapToGrid/>
          <w:color w:val="auto"/>
          <w:kern w:val="2"/>
          <w:sz w:val="32"/>
          <w:szCs w:val="32"/>
          <w:lang w:val="en-US" w:eastAsia="zh-CN"/>
        </w:rPr>
        <w:t>为社会力量松绑赋能，重点支持社区嵌入式养老服务组织、农村养老服务联合体发展，鼓励其针对城乡老年人差异化需求，提供助餐助浴、康复护理、精神慰藉等个性化服务，不断丰富养老服务供给层次。广泛凝聚社会合力，营造敬老爱老浓厚氛围。搭建志愿者服务平台，组建专业化养老志愿服务队伍，常态化开展结对帮扶工作。</w:t>
      </w:r>
    </w:p>
    <w:p w14:paraId="09A9052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三、健全人事与薪酬制度</w:t>
      </w:r>
    </w:p>
    <w:p w14:paraId="0BD64F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根据服务对象的失能等级，按照不低于1:10、1:6、1:3的比例为自理、部分失能、完全失能老年人配备养老护理员。建立“定编定岗”与“合同聘用”相结合的灵活用人机制。改革现行薪酬制度，建立与岗位职责、工作业绩、技能水平全面挂钩的绩效考核和薪酬分配体系，全面落实养老护理员岗位补贴和入职奖励，确保人才“引得进、留得住”。</w:t>
      </w:r>
    </w:p>
    <w:p w14:paraId="22E41E8D">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31" w:name="_Toc4272"/>
      <w:bookmarkStart w:id="32" w:name="_Toc31893"/>
      <w:r>
        <w:rPr>
          <w:rFonts w:hint="default" w:ascii="Times New Roman" w:hAnsi="Times New Roman" w:eastAsia="黑体" w:cs="Times New Roman"/>
          <w:b w:val="0"/>
          <w:bCs/>
          <w:snapToGrid/>
          <w:color w:val="auto"/>
          <w:kern w:val="2"/>
          <w:sz w:val="32"/>
          <w:szCs w:val="32"/>
          <w:lang w:val="en-US" w:eastAsia="zh-CN"/>
        </w:rPr>
        <w:t>第四节 推进养老服务标准化建设</w:t>
      </w:r>
      <w:bookmarkEnd w:id="31"/>
      <w:bookmarkEnd w:id="32"/>
    </w:p>
    <w:p w14:paraId="241BEC9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一、健全服务标准与评价体系</w:t>
      </w:r>
    </w:p>
    <w:p w14:paraId="742457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据国家和行业标准，研究制定涵盖设施建设、服务内容、操作流程、风险防控等环节的《西区养老服务标准体系》。全面推行全国统一的老年人能力综合评估标准，推动评估结果在领取补贴、入住机构、享受服务等环节实现跨机构互认。引入第三方专业机构，定期对养老机构的服务安全、质量、效果进行客观评估，评估结果向社会公开，并作为政府购买服务、发放补贴、评级定级的重要依据。</w:t>
      </w:r>
    </w:p>
    <w:p w14:paraId="54662D8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二、全域推进适老化环境改造</w:t>
      </w:r>
    </w:p>
    <w:p w14:paraId="6B5C18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据《四川省困难老年人家庭智能适老化改造工作导则（试行）》要求，将适老化改造纳入城镇老旧小区改造、城市更新的必选项目。在河门口公园升级改造、口袋公园建设、市政基础设施更新等各类项目中，系统性融入无障碍通行、休憩设施、安全警示等适老化设计要素。动态完成经济困难老年人居家智能适老化改造任务，持续提升改造普及率，不断提高社会公众对智能适老化改造的知晓率与认可度。加快实施“家庭养老床位”建设计划，通过政府补贴等方式，优先为经济困难的失能、残疾老年人家庭进行适老化改造和智能化设备安装。到2030年，基本完成全区有需求的特殊困难老年人家庭适老化改造。</w:t>
      </w:r>
    </w:p>
    <w:p w14:paraId="204FC95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三、强化全链条综合监管</w:t>
      </w:r>
    </w:p>
    <w:p w14:paraId="4152CD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优化省、市、区协同联动、各相关部门分工协作的综合监管机制。民政、发改、市场监管、卫健、消防等部门依职责加强对养老机构设施安全、食品安全、医疗服务、收费行为等方面的日常监管和联合检查。建立养老机构信用档案和“红黑名单”制度，对严重违法违规的机构实行行业禁入，积极营造诚信守法、公平竞争的市场环境。</w:t>
      </w:r>
    </w:p>
    <w:p w14:paraId="453AA8B5">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33" w:name="_Toc5370"/>
      <w:bookmarkStart w:id="34" w:name="_Toc29522"/>
      <w:r>
        <w:rPr>
          <w:rFonts w:hint="default" w:ascii="Times New Roman" w:hAnsi="Times New Roman" w:eastAsia="黑体" w:cs="Times New Roman"/>
          <w:b w:val="0"/>
          <w:bCs/>
          <w:snapToGrid/>
          <w:color w:val="auto"/>
          <w:kern w:val="2"/>
          <w:sz w:val="32"/>
          <w:szCs w:val="32"/>
          <w:lang w:val="en-US" w:eastAsia="zh-CN"/>
        </w:rPr>
        <w:t>第五节 积极发展普惠养老服务</w:t>
      </w:r>
      <w:bookmarkEnd w:id="33"/>
      <w:bookmarkEnd w:id="34"/>
    </w:p>
    <w:p w14:paraId="5C25189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一、发展社区嵌入式普惠服务</w:t>
      </w:r>
    </w:p>
    <w:p w14:paraId="14FDF7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以已建成的5个社区养老服务综合体为重要支点，持续加密服务网络。大力推广“物业+养老”“社区+养老”等服务模式，支持养老机构、家政企业、物业服务企业等为社区老年人提供助餐、助洁、代购等便捷服务。依据《四川省老年助餐网络建设工作导则（2025修订版）》要求，深入实施“蜀适幸福食光”老年助餐服务三年行动计划，在清香坪街道、陶家渡街道原有8个社区老年助餐点基础上，加快构建覆盖全域（社区）的“老年助餐服务网络”。通过“中央厨房+社区配送+邻里互助”等多种模式，到2030年实现助餐服务社区覆盖率达90%以上。</w:t>
      </w:r>
    </w:p>
    <w:p w14:paraId="1D8E6AF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二、促进医养康养深度融合</w:t>
      </w:r>
    </w:p>
    <w:p w14:paraId="5F881B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以西区紧密型城市医疗集团建设为契机，深度推广“医院—社区—居家”三级医养服务模式。支持攀枝花市第二人民医院等医疗机构开设老年医学科、康复科，并与养老机构建立稳定的合作转诊机制。鼓励基层医疗卫生机构与社区养老服务机构“毗邻设置”或“签约服务”，为老年人提供上门巡诊、健康管理等服务。积极探索将符合条件的养老机构内设医疗机构纳入医保定点范围。</w:t>
      </w:r>
    </w:p>
    <w:p w14:paraId="7F26E88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三、构建多元协同支持生态</w:t>
      </w:r>
    </w:p>
    <w:p w14:paraId="0790B1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落实落细税费减免、水电气暖居民价格等优惠扶持政策。积极争取省级“天府银龄”老年志愿服务项目支持，大力培育本地为老服务志愿组织。支持攀枝花学院等本地高校共建校企合作实训基地，定向培养养老服务专业人才。借力四川省支持攀枝花打造银发经济产业链的重大机遇，积极引入和培育康复辅具、智慧养老、老年文旅等产业形态，形成“事业促产业、产业辅事业”的良性发展格局。</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33EDB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5000" w:type="pct"/>
            <w:shd w:val="clear" w:color="auto" w:fill="BEBEBE"/>
            <w:vAlign w:val="center"/>
          </w:tcPr>
          <w:p w14:paraId="37E23B9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6   西区“十五五”</w:t>
            </w:r>
            <w:r>
              <w:rPr>
                <w:rFonts w:hint="default" w:ascii="Times New Roman" w:hAnsi="Times New Roman" w:eastAsia="黑体" w:cs="Times New Roman"/>
                <w:b/>
                <w:bCs/>
                <w:color w:val="auto"/>
                <w:sz w:val="21"/>
                <w:szCs w:val="21"/>
                <w:lang w:eastAsia="zh-CN"/>
              </w:rPr>
              <w:t>多层次老年社会保障体系</w:t>
            </w:r>
            <w:r>
              <w:rPr>
                <w:rFonts w:hint="default" w:ascii="Times New Roman" w:hAnsi="Times New Roman" w:eastAsia="黑体" w:cs="Times New Roman"/>
                <w:b/>
                <w:bCs/>
                <w:color w:val="auto"/>
                <w:sz w:val="21"/>
                <w:szCs w:val="21"/>
                <w:lang w:val="en-US" w:eastAsia="zh-CN"/>
              </w:rPr>
              <w:t>建设重点建设项目</w:t>
            </w:r>
          </w:p>
        </w:tc>
      </w:tr>
      <w:tr w14:paraId="542A5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000" w:type="pct"/>
            <w:vAlign w:val="top"/>
          </w:tcPr>
          <w:p w14:paraId="49E94F52">
            <w:pPr>
              <w:widowControl/>
              <w:kinsoku w:val="0"/>
              <w:autoSpaceDE w:val="0"/>
              <w:autoSpaceDN w:val="0"/>
              <w:adjustRightInd w:val="0"/>
              <w:snapToGrid w:val="0"/>
              <w:spacing w:line="240" w:lineRule="auto"/>
              <w:jc w:val="left"/>
              <w:textAlignment w:val="baseline"/>
              <w:rPr>
                <w:rFonts w:hint="default" w:ascii="Times New Roman" w:hAnsi="Times New Roman" w:eastAsia="方正仿宋_GB2312" w:cs="Times New Roman"/>
                <w:snapToGrid w:val="0"/>
                <w:color w:val="auto"/>
                <w:kern w:val="0"/>
                <w:sz w:val="21"/>
                <w:szCs w:val="21"/>
                <w:lang w:eastAsia="zh-CN"/>
              </w:rPr>
            </w:pPr>
            <w:r>
              <w:rPr>
                <w:rFonts w:hint="default" w:ascii="Times New Roman" w:hAnsi="Times New Roman" w:eastAsia="方正仿宋_GB2312" w:cs="Times New Roman"/>
                <w:b/>
                <w:bCs/>
                <w:snapToGrid w:val="0"/>
                <w:color w:val="auto"/>
                <w:kern w:val="0"/>
                <w:sz w:val="21"/>
                <w:szCs w:val="21"/>
                <w:lang w:eastAsia="zh-CN"/>
              </w:rPr>
              <w:t>1</w:t>
            </w:r>
            <w:r>
              <w:rPr>
                <w:rFonts w:hint="default" w:ascii="Times New Roman" w:hAnsi="Times New Roman" w:eastAsia="方正仿宋_GB2312" w:cs="Times New Roman"/>
                <w:b/>
                <w:bCs/>
                <w:snapToGrid w:val="0"/>
                <w:color w:val="auto"/>
                <w:kern w:val="0"/>
                <w:sz w:val="21"/>
                <w:szCs w:val="21"/>
                <w:lang w:val="en-US" w:eastAsia="zh-CN"/>
              </w:rPr>
              <w:t>.</w:t>
            </w:r>
            <w:r>
              <w:rPr>
                <w:rFonts w:hint="default" w:ascii="Times New Roman" w:hAnsi="Times New Roman" w:eastAsia="方正仿宋_GB2312" w:cs="Times New Roman"/>
                <w:b/>
                <w:bCs/>
                <w:snapToGrid w:val="0"/>
                <w:color w:val="auto"/>
                <w:kern w:val="0"/>
                <w:sz w:val="21"/>
                <w:szCs w:val="21"/>
                <w:lang w:eastAsia="zh-CN"/>
              </w:rPr>
              <w:t>攀枝花市西区养老服务中心设备设施购置。</w:t>
            </w:r>
            <w:r>
              <w:rPr>
                <w:rFonts w:hint="default" w:ascii="Times New Roman" w:hAnsi="Times New Roman" w:eastAsia="方正仿宋_GB2312" w:cs="Times New Roman"/>
                <w:snapToGrid w:val="0"/>
                <w:color w:val="auto"/>
                <w:kern w:val="0"/>
                <w:sz w:val="21"/>
                <w:szCs w:val="21"/>
                <w:lang w:eastAsia="zh-CN"/>
              </w:rPr>
              <w:t>新建，建设总面积约13560平方米，床位300张。针对老年群体，配备智能化设备、专业护理床、步行训练用斜板、肘关节牵引训练椅、肱四头肌训练椅、髋关节训练器下肢康复训练器、偏瘫康复器四肢被动训练器、空气波压力治疗仪、平衡功能检测训练系统、四肢联动康复训练仪等医养设备，总投资0.2亿元。</w:t>
            </w:r>
          </w:p>
          <w:p w14:paraId="2E12C352">
            <w:pPr>
              <w:widowControl/>
              <w:kinsoku w:val="0"/>
              <w:autoSpaceDE w:val="0"/>
              <w:autoSpaceDN w:val="0"/>
              <w:adjustRightInd w:val="0"/>
              <w:snapToGrid w:val="0"/>
              <w:spacing w:line="240" w:lineRule="auto"/>
              <w:jc w:val="left"/>
              <w:textAlignment w:val="baseline"/>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2312" w:cs="Times New Roman"/>
                <w:b/>
                <w:bCs/>
                <w:snapToGrid w:val="0"/>
                <w:color w:val="auto"/>
                <w:kern w:val="0"/>
                <w:sz w:val="21"/>
                <w:szCs w:val="21"/>
                <w:lang w:eastAsia="zh-CN"/>
              </w:rPr>
              <w:t>2</w:t>
            </w:r>
            <w:r>
              <w:rPr>
                <w:rFonts w:hint="default" w:ascii="Times New Roman" w:hAnsi="Times New Roman" w:eastAsia="方正仿宋_GB2312" w:cs="Times New Roman"/>
                <w:b/>
                <w:bCs/>
                <w:snapToGrid w:val="0"/>
                <w:color w:val="auto"/>
                <w:kern w:val="0"/>
                <w:sz w:val="21"/>
                <w:szCs w:val="21"/>
                <w:lang w:val="en-US" w:eastAsia="zh-CN"/>
              </w:rPr>
              <w:t>.</w:t>
            </w:r>
            <w:r>
              <w:rPr>
                <w:rFonts w:hint="default" w:ascii="Times New Roman" w:hAnsi="Times New Roman" w:eastAsia="方正仿宋_GB2312" w:cs="Times New Roman"/>
                <w:b/>
                <w:bCs/>
                <w:snapToGrid w:val="0"/>
                <w:color w:val="auto"/>
                <w:kern w:val="0"/>
                <w:sz w:val="21"/>
                <w:szCs w:val="21"/>
                <w:lang w:eastAsia="zh-CN"/>
              </w:rPr>
              <w:t>西区社区养老服务设施建设项目。</w:t>
            </w:r>
            <w:r>
              <w:rPr>
                <w:rFonts w:hint="default" w:ascii="Times New Roman" w:hAnsi="Times New Roman" w:eastAsia="方正仿宋_GB2312" w:cs="Times New Roman"/>
                <w:snapToGrid w:val="0"/>
                <w:color w:val="auto"/>
                <w:kern w:val="0"/>
                <w:sz w:val="21"/>
                <w:szCs w:val="21"/>
                <w:lang w:eastAsia="zh-CN"/>
              </w:rPr>
              <w:t>新建，总建筑面积约15000平方米，建设（改造）养老床位300张，总投资0.75亿元。</w:t>
            </w:r>
          </w:p>
        </w:tc>
      </w:tr>
    </w:tbl>
    <w:p w14:paraId="25A0EDA0">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35" w:name="_Toc17648"/>
      <w:bookmarkStart w:id="36" w:name="_Toc29489"/>
      <w:r>
        <w:rPr>
          <w:rFonts w:hint="default" w:ascii="Times New Roman" w:hAnsi="Times New Roman" w:eastAsia="Arial Unicode MS" w:cs="Times New Roman"/>
          <w:b w:val="0"/>
          <w:bCs/>
          <w:snapToGrid/>
          <w:color w:val="auto"/>
          <w:sz w:val="32"/>
          <w:szCs w:val="32"/>
          <w:lang w:val="en-US" w:eastAsia="zh-CN"/>
        </w:rPr>
        <w:t>第五章 增强居家社区养老服务能力</w:t>
      </w:r>
      <w:bookmarkEnd w:id="35"/>
      <w:bookmarkEnd w:id="36"/>
    </w:p>
    <w:p w14:paraId="769158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到2030年，以城市更新和完整社区建设为契机，全面优化设施布局，推动机构、社区、居家服务深度融合，全面建成与西区人口老龄化进程相适应、与共同富裕试验区建设要求相匹配的居家社区养老服务体系，形成“居家为基础、社区为依托、机构为专业支撑、医养相结合”的高质量居家社区养老服务供给格局。</w:t>
      </w:r>
    </w:p>
    <w:p w14:paraId="7C32294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37" w:name="_Toc32650"/>
      <w:bookmarkStart w:id="38" w:name="_Toc3511"/>
      <w:r>
        <w:rPr>
          <w:rFonts w:hint="default" w:ascii="Times New Roman" w:hAnsi="Times New Roman" w:eastAsia="黑体" w:cs="Times New Roman"/>
          <w:b w:val="0"/>
          <w:bCs/>
          <w:snapToGrid/>
          <w:color w:val="auto"/>
          <w:kern w:val="2"/>
          <w:sz w:val="32"/>
          <w:szCs w:val="32"/>
          <w:lang w:val="en-US" w:eastAsia="zh-CN"/>
        </w:rPr>
        <w:t>第一节 升级城镇养老服务网络</w:t>
      </w:r>
      <w:bookmarkEnd w:id="37"/>
      <w:bookmarkEnd w:id="38"/>
    </w:p>
    <w:p w14:paraId="3DD759F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一、打造区级养老服务指导中心</w:t>
      </w:r>
    </w:p>
    <w:p w14:paraId="37937AD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强化区级统筹功能。</w:t>
      </w:r>
      <w:r>
        <w:rPr>
          <w:rFonts w:hint="default" w:ascii="Times New Roman" w:hAnsi="Times New Roman" w:eastAsia="方正仿宋_GB2312" w:cs="Times New Roman"/>
          <w:b w:val="0"/>
          <w:bCs/>
          <w:snapToGrid/>
          <w:color w:val="auto"/>
          <w:kern w:val="2"/>
          <w:sz w:val="32"/>
          <w:szCs w:val="32"/>
          <w:lang w:val="en-US" w:eastAsia="zh-CN"/>
        </w:rPr>
        <w:t>以西区养老服务中心为载体，着力打造集兜底保障、示范指导、应急救助、资源协调于一体的区级综合养老服务管理平台，推动省级、市级优质养老资源下沉基层。“十五五”期间，实现区级平台全域覆盖。</w:t>
      </w:r>
    </w:p>
    <w:p w14:paraId="72A2D8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拓展服务能力。</w:t>
      </w:r>
      <w:r>
        <w:rPr>
          <w:rFonts w:hint="default" w:ascii="Times New Roman" w:hAnsi="Times New Roman" w:eastAsia="方正仿宋_GB2312" w:cs="Times New Roman"/>
          <w:b w:val="0"/>
          <w:bCs/>
          <w:snapToGrid/>
          <w:color w:val="auto"/>
          <w:kern w:val="2"/>
          <w:sz w:val="32"/>
          <w:szCs w:val="32"/>
          <w:lang w:val="en-US" w:eastAsia="zh-CN"/>
        </w:rPr>
        <w:t>区级平台注重完善兜底保障功能，重点提供失能老年人集中照护、养老机构运营指导、技术支撑、从业人员培训、资源链接和应急支援等服务，同时兼顾普惠型养老服务供给，辐射带动区域养老服务水平整体提升。</w:t>
      </w:r>
    </w:p>
    <w:p w14:paraId="59BCAE2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二、推进社区服务综合体建设</w:t>
      </w:r>
    </w:p>
    <w:p w14:paraId="4409B4F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推进标准化建设。</w:t>
      </w:r>
      <w:r>
        <w:rPr>
          <w:rFonts w:hint="default" w:ascii="Times New Roman" w:hAnsi="Times New Roman" w:eastAsia="方正仿宋_GB2312" w:cs="Times New Roman"/>
          <w:b w:val="0"/>
          <w:bCs/>
          <w:snapToGrid/>
          <w:color w:val="auto"/>
          <w:kern w:val="2"/>
          <w:sz w:val="32"/>
          <w:szCs w:val="32"/>
          <w:lang w:val="en-US" w:eastAsia="zh-CN"/>
        </w:rPr>
        <w:t>在完成大宝鼎街道社区养老服务综合体建设的基础上，支持其余街道通过改造利用闲置房产、民办机构改扩建、整合社区资源等多种方式建设社区服务综合体或社区养老服务中心。着力提升专业照护、日间照料、康复护理、服务转介等功能，支持养老服务中心内设的康复护理、老年食堂、活动场地等设施向社区开放，推行“中心带站点”运营模式，辐射带动周边小型嵌入式养老机构和社区日间照料中心。到2030年，所有镇（街道）至少建成1个社区养老服务中心，中心建筑面积不低于1500平方米，护理型床位不少于50张。</w:t>
      </w:r>
    </w:p>
    <w:p w14:paraId="4902D1A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创新运营模式。</w:t>
      </w:r>
      <w:r>
        <w:rPr>
          <w:rFonts w:hint="default" w:ascii="Times New Roman" w:hAnsi="Times New Roman" w:eastAsia="方正仿宋_GB2312" w:cs="Times New Roman"/>
          <w:b w:val="0"/>
          <w:bCs/>
          <w:snapToGrid/>
          <w:color w:val="auto"/>
          <w:kern w:val="2"/>
          <w:sz w:val="32"/>
          <w:szCs w:val="32"/>
          <w:lang w:val="en-US" w:eastAsia="zh-CN"/>
        </w:rPr>
        <w:t>鼓励街道级服务综合体或养老服务中心采取“公建民营”“委托运营”等方式，引入专业化、连锁化机构进行运营管理。积极推行“中心+站点”模式，链接社区嵌入式设施、农村互助点，构建“15分钟养老服务圈”。</w:t>
      </w:r>
    </w:p>
    <w:p w14:paraId="4481392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三、完善村（社区）养老服务站点</w:t>
      </w:r>
    </w:p>
    <w:p w14:paraId="757692D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加密城市社区设施。</w:t>
      </w:r>
      <w:r>
        <w:rPr>
          <w:rFonts w:hint="default" w:ascii="Times New Roman" w:hAnsi="Times New Roman" w:eastAsia="方正仿宋_GB2312" w:cs="Times New Roman"/>
          <w:b w:val="0"/>
          <w:bCs/>
          <w:snapToGrid/>
          <w:color w:val="auto"/>
          <w:kern w:val="2"/>
          <w:sz w:val="32"/>
          <w:szCs w:val="32"/>
          <w:lang w:val="en-US" w:eastAsia="zh-CN"/>
        </w:rPr>
        <w:t>将嵌入式养老服务设施纳入城市一刻钟便民生活圈建设重点，每个行政村建设1个互助养老服务站，新建居住区按每百户20至30平方米的标准配套建设养老设施，老旧小区通过回购、租赁等方式补足设施缺口。到2030年，城市社区嵌入式设施覆盖率达到90%以上。</w:t>
      </w:r>
    </w:p>
    <w:p w14:paraId="19BCD6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创新社区服务供给模式。</w:t>
      </w:r>
      <w:r>
        <w:rPr>
          <w:rFonts w:hint="default" w:ascii="Times New Roman" w:hAnsi="Times New Roman" w:eastAsia="方正仿宋_GB2312" w:cs="Times New Roman"/>
          <w:b w:val="0"/>
          <w:bCs/>
          <w:snapToGrid/>
          <w:color w:val="auto"/>
          <w:kern w:val="2"/>
          <w:sz w:val="32"/>
          <w:szCs w:val="32"/>
          <w:lang w:val="en-US" w:eastAsia="zh-CN"/>
        </w:rPr>
        <w:t>大力推行“社区+物业+养老服务”模式，支持物业服务企业利用贴近居民的优势，提供日常探访、助餐助洁、应急处理等便民服务。积极培育专业化、连锁化、品牌化的社区养老服务机构。将养老服务深度融入“城市一刻钟便民生活圈”建设大局。</w:t>
      </w:r>
    </w:p>
    <w:p w14:paraId="17651A8B">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39" w:name="_Toc15342"/>
      <w:bookmarkStart w:id="40" w:name="_Toc19954"/>
      <w:r>
        <w:rPr>
          <w:rFonts w:hint="default" w:ascii="Times New Roman" w:hAnsi="Times New Roman" w:eastAsia="黑体" w:cs="Times New Roman"/>
          <w:b w:val="0"/>
          <w:bCs/>
          <w:snapToGrid/>
          <w:color w:val="auto"/>
          <w:kern w:val="2"/>
          <w:sz w:val="32"/>
          <w:szCs w:val="32"/>
          <w:lang w:val="en-US" w:eastAsia="zh-CN"/>
        </w:rPr>
        <w:t>第二节 完善农村养老服务网络</w:t>
      </w:r>
      <w:bookmarkEnd w:id="39"/>
      <w:bookmarkEnd w:id="40"/>
    </w:p>
    <w:p w14:paraId="339DA44B">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一、加快农村养老服务网络建设</w:t>
      </w:r>
    </w:p>
    <w:p w14:paraId="120D8AA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升级改造乡镇敬老院。</w:t>
      </w:r>
      <w:r>
        <w:rPr>
          <w:rFonts w:hint="default" w:ascii="Times New Roman" w:hAnsi="Times New Roman" w:eastAsia="方正仿宋_GB2312" w:cs="Times New Roman"/>
          <w:b w:val="0"/>
          <w:bCs/>
          <w:snapToGrid/>
          <w:color w:val="auto"/>
          <w:kern w:val="2"/>
          <w:sz w:val="32"/>
          <w:szCs w:val="32"/>
          <w:lang w:val="en-US" w:eastAsia="zh-CN"/>
        </w:rPr>
        <w:t>将农村养老服务作为乡村振兴和共同富裕的重要内容，因地制宜构建务实管用的服务体系。推动格里坪镇等地的农村特困人员供养服务机构（敬老院）在履行兜底保障职能的基础上，通过改扩建或委托运营方式，转型为社区养老服务中心，向社会开放空余床位，提供普惠养老服务。</w:t>
      </w:r>
    </w:p>
    <w:p w14:paraId="3A5832D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补齐农村服务短板。</w:t>
      </w:r>
      <w:r>
        <w:rPr>
          <w:rFonts w:hint="default" w:ascii="Times New Roman" w:hAnsi="Times New Roman" w:eastAsia="方正仿宋_GB2312" w:cs="Times New Roman"/>
          <w:b w:val="0"/>
          <w:bCs/>
          <w:snapToGrid/>
          <w:color w:val="auto"/>
          <w:kern w:val="2"/>
          <w:sz w:val="32"/>
          <w:szCs w:val="32"/>
          <w:lang w:val="en-US" w:eastAsia="zh-CN"/>
        </w:rPr>
        <w:t>每个行政村建设1个互助养老服务站，配备助餐、助医、助洁等基础服务设施。充分发挥村集体经济的作用，积极鼓励“村医+养老”“邻里互助”等模式。到2030年前实现农村互助养老站点全覆盖。</w:t>
      </w:r>
    </w:p>
    <w:p w14:paraId="5B9E9A5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二、全面提升农村养老服务水平</w:t>
      </w:r>
    </w:p>
    <w:p w14:paraId="2005353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发展互助式养老服务。</w:t>
      </w:r>
      <w:r>
        <w:rPr>
          <w:rFonts w:hint="default" w:ascii="Times New Roman" w:hAnsi="Times New Roman" w:eastAsia="方正仿宋_GB2312" w:cs="Times New Roman"/>
          <w:b w:val="0"/>
          <w:bCs/>
          <w:snapToGrid/>
          <w:color w:val="auto"/>
          <w:kern w:val="2"/>
          <w:sz w:val="32"/>
          <w:szCs w:val="32"/>
          <w:lang w:val="en-US" w:eastAsia="zh-CN"/>
        </w:rPr>
        <w:t>鼓励农村集体经济组织、返乡人员积极举办互助型普惠养老服务机构。依托村级活动场所、闲置校舍等现有设施，大力建设村级互助养老服务点。积极推广邻里互助、结对帮扶、党员联系等有效模式，建立常态化的农村留守、高龄、失能老年人探访关爱机制。</w:t>
      </w:r>
    </w:p>
    <w:p w14:paraId="78E68A6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促进城乡服务联动。</w:t>
      </w:r>
      <w:r>
        <w:rPr>
          <w:rFonts w:hint="default" w:ascii="Times New Roman" w:hAnsi="Times New Roman" w:eastAsia="方正仿宋_GB2312" w:cs="Times New Roman"/>
          <w:b w:val="0"/>
          <w:bCs/>
          <w:snapToGrid/>
          <w:color w:val="auto"/>
          <w:kern w:val="2"/>
          <w:sz w:val="32"/>
          <w:szCs w:val="32"/>
          <w:lang w:val="en-US" w:eastAsia="zh-CN"/>
        </w:rPr>
        <w:t>积极引导城镇优质养老服务机构通过连锁化、集团化运营方式，参与农村养老服务设施的运营管理。鼓励城市养老机构与农村敬老院、互助站点建立结对帮扶关系，推动人才、技术、服务标准向农村有效延伸。</w:t>
      </w:r>
    </w:p>
    <w:p w14:paraId="3A88C5C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41" w:name="_Toc4949"/>
      <w:bookmarkStart w:id="42" w:name="_Toc3859"/>
      <w:r>
        <w:rPr>
          <w:rFonts w:hint="default" w:ascii="Times New Roman" w:hAnsi="Times New Roman" w:eastAsia="黑体" w:cs="Times New Roman"/>
          <w:b w:val="0"/>
          <w:bCs/>
          <w:snapToGrid/>
          <w:color w:val="auto"/>
          <w:kern w:val="2"/>
          <w:sz w:val="32"/>
          <w:szCs w:val="32"/>
          <w:lang w:val="en-US" w:eastAsia="zh-CN"/>
        </w:rPr>
        <w:t>第三节 提升社区养老服务功能</w:t>
      </w:r>
      <w:bookmarkEnd w:id="41"/>
      <w:bookmarkEnd w:id="42"/>
      <w:r>
        <w:rPr>
          <w:rFonts w:hint="default" w:ascii="Times New Roman" w:hAnsi="Times New Roman" w:eastAsia="黑体" w:cs="Times New Roman"/>
          <w:b w:val="0"/>
          <w:bCs/>
          <w:snapToGrid/>
          <w:color w:val="auto"/>
          <w:kern w:val="2"/>
          <w:sz w:val="32"/>
          <w:szCs w:val="32"/>
          <w:lang w:val="en-US" w:eastAsia="zh-CN"/>
        </w:rPr>
        <w:tab/>
      </w:r>
    </w:p>
    <w:p w14:paraId="7C1623B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一、强化社区养老支撑作用</w:t>
      </w:r>
    </w:p>
    <w:p w14:paraId="6690DE2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积极拓展家庭养老床位。</w:t>
      </w:r>
      <w:r>
        <w:rPr>
          <w:rFonts w:hint="default" w:ascii="Times New Roman" w:hAnsi="Times New Roman" w:eastAsia="方正仿宋_GB2312" w:cs="Times New Roman"/>
          <w:b w:val="0"/>
          <w:bCs/>
          <w:snapToGrid/>
          <w:color w:val="auto"/>
          <w:kern w:val="2"/>
          <w:sz w:val="32"/>
          <w:szCs w:val="32"/>
          <w:lang w:val="en-US" w:eastAsia="zh-CN"/>
        </w:rPr>
        <w:t>贯彻攀枝花市“三边”分类照护理念，针对不同老年人的差异化需求，提供精细化服务。积极推进社区基本养老服务提升行动项目，为经济困难的失能、部分失能老年人提供“一户一案”的居家适老化改造、智能化设备配置和专业上门服务，将机构的专业照护服务有效延伸至家庭。</w:t>
      </w:r>
    </w:p>
    <w:p w14:paraId="204038F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大力发展基层养老顾问服务。</w:t>
      </w:r>
      <w:r>
        <w:rPr>
          <w:rFonts w:hint="default" w:ascii="Times New Roman" w:hAnsi="Times New Roman" w:eastAsia="方正仿宋_GB2312" w:cs="Times New Roman"/>
          <w:b w:val="0"/>
          <w:bCs/>
          <w:snapToGrid/>
          <w:color w:val="auto"/>
          <w:kern w:val="2"/>
          <w:sz w:val="32"/>
          <w:szCs w:val="32"/>
          <w:lang w:val="en-US" w:eastAsia="zh-CN"/>
        </w:rPr>
        <w:t>依托社区养老服务阵地设置专属服务点，聚焦老年人及其家庭养老诉求，整合辖区各类养老服务资源，常态化提供养老政策咨询、服务资源介绍、个性化养老方案推荐等服务。通过一站式综合指引，简化办事流程，精准匹配养老需求，为居民提供便捷、专业的养老便民服务。</w:t>
      </w:r>
    </w:p>
    <w:p w14:paraId="1E9DC57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鼓励创新社区服务模式。</w:t>
      </w:r>
      <w:r>
        <w:rPr>
          <w:rFonts w:hint="default" w:ascii="Times New Roman" w:hAnsi="Times New Roman" w:eastAsia="方正仿宋_GB2312" w:cs="Times New Roman"/>
          <w:b w:val="0"/>
          <w:bCs/>
          <w:snapToGrid/>
          <w:color w:val="auto"/>
          <w:kern w:val="2"/>
          <w:sz w:val="32"/>
          <w:szCs w:val="32"/>
          <w:lang w:val="en-US" w:eastAsia="zh-CN"/>
        </w:rPr>
        <w:t>深化“物业+养老”融合，支持物业公司开展老年用品代购、定期巡访、应急响应等服务，将养老服务纳入物业服务评价指标体系。积极探索发展“时间银行”互助养老模式，探索建立统一的服务时长记录和兑换机制，鼓励低龄老年人服务高龄老年人。</w:t>
      </w:r>
    </w:p>
    <w:p w14:paraId="751282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全面提升家庭照护能力。</w:t>
      </w:r>
      <w:r>
        <w:rPr>
          <w:rFonts w:hint="default" w:ascii="Times New Roman" w:hAnsi="Times New Roman" w:eastAsia="方正仿宋_GB2312" w:cs="Times New Roman"/>
          <w:b w:val="0"/>
          <w:bCs/>
          <w:snapToGrid/>
          <w:color w:val="auto"/>
          <w:kern w:val="2"/>
          <w:sz w:val="32"/>
          <w:szCs w:val="32"/>
          <w:lang w:val="en-US" w:eastAsia="zh-CN"/>
        </w:rPr>
        <w:t>依托政府购买公共服务的常态化模式，整合专业养老服务机构资源，强化老年人家庭照护支撑体系，面向老年人家属、居家照护人员开展系统化公益培训，重点教授日常护理、康复照料、应急救护等实用照护技能，补齐家庭照护短板。同时，创新扶持保障机制，积极探索消费补贴、服务抵扣等多元化扶持形式，精准聚焦失能、重度失能老年人家庭，降低家庭照护成本，优化居家照护服务条件，切实减轻照护人员负担，筑牢居家养老服务根基。</w:t>
      </w:r>
    </w:p>
    <w:p w14:paraId="6459E501">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二、完善社区照护服务</w:t>
      </w:r>
    </w:p>
    <w:p w14:paraId="358BC48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丰富社区服务内容。</w:t>
      </w:r>
      <w:r>
        <w:rPr>
          <w:rFonts w:hint="default" w:ascii="Times New Roman" w:hAnsi="Times New Roman" w:eastAsia="方正仿宋_GB2312" w:cs="Times New Roman"/>
          <w:b w:val="0"/>
          <w:bCs/>
          <w:snapToGrid/>
          <w:color w:val="auto"/>
          <w:kern w:val="2"/>
          <w:sz w:val="32"/>
          <w:szCs w:val="32"/>
          <w:lang w:val="en-US" w:eastAsia="zh-CN"/>
        </w:rPr>
        <w:t>聚焦老年人“吃饭、就医、娱乐”三大核心需求，社区养老服务中心提供助餐、助医、助浴、助急、文化娱乐等5类基础服务。完善清香坪街道、陶家渡街道现有老年助餐网络，支持各类市场主体积极参与，推广“中央厨房+社区配送+就餐点”模式，着力构建布局均衡、方便可及、安全优质的老年助餐服务体系，全面提升老年助餐服务的效率和质量。到2030年，城市社区助餐覆盖率达95%、农村达70%。</w:t>
      </w:r>
    </w:p>
    <w:p w14:paraId="2F9002B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发展日间照料与康复。</w:t>
      </w:r>
      <w:r>
        <w:rPr>
          <w:rFonts w:hint="default" w:ascii="Times New Roman" w:hAnsi="Times New Roman" w:eastAsia="方正仿宋_GB2312" w:cs="Times New Roman"/>
          <w:b w:val="0"/>
          <w:bCs/>
          <w:snapToGrid/>
          <w:color w:val="auto"/>
          <w:kern w:val="2"/>
          <w:sz w:val="32"/>
          <w:szCs w:val="32"/>
          <w:lang w:val="en-US" w:eastAsia="zh-CN"/>
        </w:rPr>
        <w:t>依托社区养老服务综合体，重点发展针对老年人的日间托养、康复护理服务。积极探索与基层医疗卫生机构合作开展慢性病筛查、健康管理等服务。</w:t>
      </w:r>
    </w:p>
    <w:p w14:paraId="4139D2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丰富社区精神文化生活。</w:t>
      </w:r>
      <w:r>
        <w:rPr>
          <w:rFonts w:hint="default" w:ascii="Times New Roman" w:hAnsi="Times New Roman" w:eastAsia="方正仿宋_GB2312" w:cs="Times New Roman"/>
          <w:b w:val="0"/>
          <w:bCs/>
          <w:snapToGrid/>
          <w:color w:val="auto"/>
          <w:kern w:val="2"/>
          <w:sz w:val="32"/>
          <w:szCs w:val="32"/>
          <w:lang w:val="en-US" w:eastAsia="zh-CN"/>
        </w:rPr>
        <w:t>盘活社区文化站、全民健身中心、口袋公园等公共场地资源，结合老年人身心特点，常态化开展文体娱乐、邻里联谊、老年科普课堂等多元活动，拓宽老人社交渠道，充实晚年精神文化生活。</w:t>
      </w:r>
    </w:p>
    <w:p w14:paraId="038458BD">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43" w:name="_Toc13285"/>
      <w:bookmarkStart w:id="44" w:name="_Toc29330"/>
      <w:r>
        <w:rPr>
          <w:rFonts w:hint="default" w:ascii="Times New Roman" w:hAnsi="Times New Roman" w:eastAsia="黑体" w:cs="Times New Roman"/>
          <w:b w:val="0"/>
          <w:bCs/>
          <w:snapToGrid/>
          <w:color w:val="auto"/>
          <w:kern w:val="2"/>
          <w:sz w:val="32"/>
          <w:szCs w:val="32"/>
          <w:lang w:val="en-US" w:eastAsia="zh-CN"/>
        </w:rPr>
        <w:t>第四节 延伸居家养老服务</w:t>
      </w:r>
      <w:bookmarkEnd w:id="43"/>
      <w:r>
        <w:rPr>
          <w:rFonts w:hint="default" w:ascii="Times New Roman" w:hAnsi="Times New Roman" w:eastAsia="黑体" w:cs="Times New Roman"/>
          <w:b w:val="0"/>
          <w:bCs/>
          <w:snapToGrid/>
          <w:color w:val="auto"/>
          <w:kern w:val="2"/>
          <w:sz w:val="32"/>
          <w:szCs w:val="32"/>
          <w:lang w:val="en-US" w:eastAsia="zh-CN"/>
        </w:rPr>
        <w:t>支撑</w:t>
      </w:r>
      <w:bookmarkEnd w:id="44"/>
      <w:r>
        <w:rPr>
          <w:rFonts w:hint="default" w:ascii="Times New Roman" w:hAnsi="Times New Roman" w:eastAsia="黑体" w:cs="Times New Roman"/>
          <w:b w:val="0"/>
          <w:bCs/>
          <w:snapToGrid/>
          <w:color w:val="auto"/>
          <w:kern w:val="2"/>
          <w:sz w:val="32"/>
          <w:szCs w:val="32"/>
          <w:lang w:val="en-US" w:eastAsia="zh-CN"/>
        </w:rPr>
        <w:tab/>
      </w:r>
    </w:p>
    <w:p w14:paraId="7CD51C5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一、巩固居家养老基础地位</w:t>
      </w:r>
    </w:p>
    <w:p w14:paraId="0A0A59F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强化家庭照护支持。</w:t>
      </w:r>
      <w:r>
        <w:rPr>
          <w:rFonts w:hint="default" w:ascii="Times New Roman" w:hAnsi="Times New Roman" w:eastAsia="方正仿宋_GB2312" w:cs="Times New Roman"/>
          <w:b w:val="0"/>
          <w:bCs/>
          <w:snapToGrid/>
          <w:color w:val="auto"/>
          <w:kern w:val="2"/>
          <w:sz w:val="32"/>
          <w:szCs w:val="32"/>
          <w:lang w:val="en-US" w:eastAsia="zh-CN"/>
        </w:rPr>
        <w:t>实施“家庭养老能力提升工程”，稳步推进居家失能老年人家庭养老床位建设，配备智能监测、紧急呼叫等设备。“十五五”期间，家庭养老床位建设有序推进，积极开展家庭成员照护技能培训，每年培训不少于300人次，给予培训补贴和“喘息服务”支持。</w:t>
      </w:r>
    </w:p>
    <w:p w14:paraId="271DB5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发展专业化上门服务。</w:t>
      </w:r>
      <w:r>
        <w:rPr>
          <w:rFonts w:hint="default" w:ascii="Times New Roman" w:hAnsi="Times New Roman" w:eastAsia="方正仿宋_GB2312" w:cs="Times New Roman"/>
          <w:b w:val="0"/>
          <w:bCs/>
          <w:snapToGrid/>
          <w:color w:val="auto"/>
          <w:kern w:val="2"/>
          <w:sz w:val="32"/>
          <w:szCs w:val="32"/>
          <w:lang w:val="en-US" w:eastAsia="zh-CN"/>
        </w:rPr>
        <w:t>大力培育一批连锁化、品牌化居家养老服务机构，提供生活照料、康复护理、精神慰藉等专业服务。建立上门服务标准体系，明确服务内容、收费标准、质量评价等要求，实行服务人员持证上岗、服务过程全程记录、服务质量第三方评估。汇聚政府、市场、社会多方力量，为居家养老提供坚实保障。</w:t>
      </w:r>
    </w:p>
    <w:p w14:paraId="7BF9123E">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二、强化居家医养支撑</w:t>
      </w:r>
    </w:p>
    <w:p w14:paraId="709C7E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以攀枝花市第二人民医院紧密型城市医疗集团建设为契机，推动医疗机构与养老机构、社区养老服务中心建立签约合作与双向转介绿色通道。积极推广“医疗机构+康养服务”“康养机构+嵌入医疗”“社区养老+结对医疗”等创新模式。积极探索依托城乡居民长期护理保险制度，支付部分居家社区照护费用。</w:t>
      </w:r>
    </w:p>
    <w:p w14:paraId="7AEE1E4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三、健全志愿与慈善支持</w:t>
      </w:r>
    </w:p>
    <w:p w14:paraId="447FFD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深入实施“天府银龄”等老年志愿服务项目，积极探索建立“时间银行”等养老志愿服务激励制度，推动银发志愿服务“扩点、连线、布网”，逐步实现规范化、制度化、常态化发展。畅通慈善力量参与渠道，引导慈善资源用于特殊困难老年人关爱、适老化改造、康复设备捐赠等重点领域。充分发挥村（社区）“两委”的基层堡垒作用，统筹协调各类为老服务力量。</w:t>
      </w:r>
    </w:p>
    <w:p w14:paraId="43A8C2E3">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45" w:name="_Toc4001"/>
      <w:bookmarkStart w:id="46" w:name="_Toc14104"/>
      <w:r>
        <w:rPr>
          <w:rFonts w:hint="default" w:ascii="Times New Roman" w:hAnsi="Times New Roman" w:eastAsia="Arial Unicode MS" w:cs="Times New Roman"/>
          <w:b w:val="0"/>
          <w:bCs/>
          <w:snapToGrid/>
          <w:color w:val="auto"/>
          <w:sz w:val="32"/>
          <w:szCs w:val="32"/>
          <w:lang w:val="en-US" w:eastAsia="zh-CN"/>
        </w:rPr>
        <w:t>第六章 建立全周期老年健康服务体系</w:t>
      </w:r>
      <w:bookmarkEnd w:id="45"/>
      <w:bookmarkEnd w:id="46"/>
    </w:p>
    <w:p w14:paraId="07D315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到2030年，全面建成与共同富裕试验区相匹配、覆盖城乡、整合连续、优质高效的全周期老年健康服务体系，实现从以疾病治疗为中心向以健康管理为中心转变，从机构服务为主向居家社区机构相协调转变，从单一生活照料向医养康养文养深度融合转变的“三个根本转变”。</w:t>
      </w:r>
    </w:p>
    <w:p w14:paraId="7293E470">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47" w:name="_Toc27966"/>
      <w:bookmarkStart w:id="48" w:name="_Toc13128"/>
      <w:r>
        <w:rPr>
          <w:rFonts w:hint="default" w:ascii="Times New Roman" w:hAnsi="Times New Roman" w:eastAsia="黑体" w:cs="Times New Roman"/>
          <w:b w:val="0"/>
          <w:bCs/>
          <w:snapToGrid/>
          <w:color w:val="auto"/>
          <w:kern w:val="2"/>
          <w:sz w:val="32"/>
          <w:szCs w:val="32"/>
          <w:lang w:val="en-US" w:eastAsia="zh-CN"/>
        </w:rPr>
        <w:t>第一节 加强老年健康服务管理</w:t>
      </w:r>
      <w:bookmarkEnd w:id="47"/>
      <w:bookmarkEnd w:id="48"/>
    </w:p>
    <w:p w14:paraId="09475EA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一、强化老年预防保健服务</w:t>
      </w:r>
    </w:p>
    <w:p w14:paraId="757CF9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完善健康管理体系。</w:t>
      </w:r>
      <w:r>
        <w:rPr>
          <w:rFonts w:hint="default" w:ascii="Times New Roman" w:hAnsi="Times New Roman" w:eastAsia="方正仿宋_GB2312" w:cs="Times New Roman"/>
          <w:b w:val="0"/>
          <w:bCs/>
          <w:snapToGrid/>
          <w:color w:val="auto"/>
          <w:kern w:val="2"/>
          <w:sz w:val="32"/>
          <w:szCs w:val="32"/>
          <w:lang w:val="en-US" w:eastAsia="zh-CN"/>
        </w:rPr>
        <w:t>将老年人健康管理纳入基本公共卫生服务的重点工作，为65岁及以上老年人提供年度健康体检、慢性病管理、健康评估等综合服务。到2030年，规范健康管理率达到</w:t>
      </w:r>
      <w:r>
        <w:rPr>
          <w:rFonts w:hint="default" w:ascii="Times New Roman" w:hAnsi="Times New Roman" w:eastAsia="方正仿宋_GB2312" w:cs="Times New Roman"/>
          <w:b w:val="0"/>
          <w:bCs/>
          <w:snapToGrid/>
          <w:color w:val="FF0000"/>
          <w:kern w:val="2"/>
          <w:sz w:val="32"/>
          <w:szCs w:val="32"/>
          <w:lang w:val="en-US" w:eastAsia="zh-CN"/>
        </w:rPr>
        <w:t>75%。</w:t>
      </w:r>
      <w:r>
        <w:rPr>
          <w:rFonts w:hint="default" w:ascii="Times New Roman" w:hAnsi="Times New Roman" w:eastAsia="方正仿宋_GB2312" w:cs="Times New Roman"/>
          <w:b w:val="0"/>
          <w:bCs/>
          <w:snapToGrid/>
          <w:color w:val="auto"/>
          <w:kern w:val="2"/>
          <w:sz w:val="32"/>
          <w:szCs w:val="32"/>
          <w:lang w:val="en-US" w:eastAsia="zh-CN"/>
        </w:rPr>
        <w:t>建立老年人健康档案动态更新机制，实现跨机构、跨区域的数据共享。</w:t>
      </w:r>
    </w:p>
    <w:p w14:paraId="33DD32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推进主动健康干预。</w:t>
      </w:r>
      <w:r>
        <w:rPr>
          <w:rFonts w:hint="default" w:ascii="Times New Roman" w:hAnsi="Times New Roman" w:eastAsia="方正仿宋_GB2312" w:cs="Times New Roman"/>
          <w:b w:val="0"/>
          <w:bCs/>
          <w:snapToGrid/>
          <w:color w:val="auto"/>
          <w:kern w:val="2"/>
          <w:sz w:val="32"/>
          <w:szCs w:val="32"/>
          <w:lang w:val="en-US" w:eastAsia="zh-CN"/>
        </w:rPr>
        <w:t>针对高血压、糖尿病等老年常见病，积极开展早期筛查和干预服务，建立“筛查—评估—干预—随访”的闭环管理体系。持续加强老年健康教育，广泛普及营养膳食、运动健身、心理健康等健康知识，切实降低疾病发生率。</w:t>
      </w:r>
    </w:p>
    <w:p w14:paraId="59774A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拓展老年健康预防。</w:t>
      </w:r>
      <w:r>
        <w:rPr>
          <w:rFonts w:hint="default" w:ascii="Times New Roman" w:hAnsi="Times New Roman" w:eastAsia="方正仿宋_GB2312" w:cs="Times New Roman"/>
          <w:b w:val="0"/>
          <w:bCs/>
          <w:snapToGrid/>
          <w:color w:val="auto"/>
          <w:kern w:val="2"/>
          <w:sz w:val="32"/>
          <w:szCs w:val="32"/>
          <w:lang w:val="en-US" w:eastAsia="zh-CN"/>
        </w:rPr>
        <w:t>依托已建成的“全国示范性老年友好型社区”和各类健康促进场所，广泛开展老年慢性病、心理健康、营养膳食、失能预防等健康教育活动。在格里坪镇新庄村等既有基础上，增设社区老年人心理关爱点，常态化开展心理评估与干预服务，最终构建形成覆盖全人群、贯穿全过程的老年健康前端管理和风险防控体系。</w:t>
      </w:r>
    </w:p>
    <w:p w14:paraId="4B185B7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二、完善健康管理与评估机制</w:t>
      </w:r>
    </w:p>
    <w:p w14:paraId="757C09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推行老年人健康和需求综合评估，并建立全区统一的老年人电子健康档案，实现评估结果在医疗、养老、照护服务机构之间的授权共享。为全区65岁及以上失能老年人提供并动态更新“三个一”（即开展一次上门健康管理，提供一套上门健康服务，开通一条健康咨询热线）免费健康服务包。</w:t>
      </w:r>
    </w:p>
    <w:p w14:paraId="5B16A054">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三、做实家庭医生签约服务</w:t>
      </w:r>
    </w:p>
    <w:p w14:paraId="1D1C09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持续提高家庭医生对老年人，特别是慢性病患者、残疾人和高龄独居老人的签约服务覆盖率与服务质量。积极推广市二医院与玉泉街道探索形成的“医院—社区—居家”三级医养服务模式，使家庭医生真正成为连接居家养老、社区服务和机构医疗的关键支撑节点。</w:t>
      </w:r>
    </w:p>
    <w:p w14:paraId="7BAB89E9">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49" w:name="_Toc21428"/>
      <w:bookmarkStart w:id="50" w:name="_Toc20495"/>
      <w:r>
        <w:rPr>
          <w:rFonts w:hint="default" w:ascii="Times New Roman" w:hAnsi="Times New Roman" w:eastAsia="黑体" w:cs="Times New Roman"/>
          <w:b w:val="0"/>
          <w:bCs/>
          <w:snapToGrid/>
          <w:color w:val="auto"/>
          <w:kern w:val="2"/>
          <w:sz w:val="32"/>
          <w:szCs w:val="32"/>
          <w:lang w:val="en-US" w:eastAsia="zh-CN"/>
        </w:rPr>
        <w:t>第二节 促进老年人医疗服务能力建设</w:t>
      </w:r>
      <w:bookmarkEnd w:id="49"/>
      <w:bookmarkEnd w:id="50"/>
    </w:p>
    <w:p w14:paraId="43671E6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一、强化老年医学专科建设</w:t>
      </w:r>
    </w:p>
    <w:p w14:paraId="5A6078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巩固并提升二级及以上综合性医院老年医学科设置率100%的成果，重点发展老年心血管、神经、呼吸、康复及安宁疗护等亚专业。支持攀枝花市第二人民医院发挥紧密型城市医疗集团龙头作用，建设并共享心电诊断、医学影像等区域医疗资源中心，全面落实“基层检查、上级诊断、结果互认”。聚焦提升医疗体系对老年人群特殊需求的响应能力，打通医疗服务“最后一公里”。</w:t>
      </w:r>
    </w:p>
    <w:p w14:paraId="531BA2A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二、优化老年就医服务流程</w:t>
      </w:r>
    </w:p>
    <w:p w14:paraId="00066F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在全区医疗机构老年友善环境100%覆盖的基础上，进一步深化“绿色就医通道”的内涵建设，为高龄、失能、残疾等特殊老年患者提供一站式辅检预约、陪同检查、多学科会诊等贴心服务。积极推动“互联网+护理服务”，将压疮护理、导管维护等专业服务有效延伸至家庭。</w:t>
      </w:r>
    </w:p>
    <w:p w14:paraId="49C8863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三、发展安宁疗护服务</w:t>
      </w:r>
    </w:p>
    <w:p w14:paraId="090EDF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总结推广市二医院试点经验，支持有条件的医疗机构、医养结合机构开设安宁疗护病区或床位，组建多学科服务团队，为疾病终末期老年人提供疼痛控制、症状管理、心理支持和人文关怀等综合服务。</w:t>
      </w:r>
    </w:p>
    <w:p w14:paraId="6B9895FB">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51" w:name="_Toc2396"/>
      <w:bookmarkStart w:id="52" w:name="_Toc7594"/>
      <w:r>
        <w:rPr>
          <w:rFonts w:hint="default" w:ascii="Times New Roman" w:hAnsi="Times New Roman" w:eastAsia="黑体" w:cs="Times New Roman"/>
          <w:b w:val="0"/>
          <w:bCs/>
          <w:snapToGrid/>
          <w:color w:val="auto"/>
          <w:kern w:val="2"/>
          <w:sz w:val="32"/>
          <w:szCs w:val="32"/>
          <w:lang w:val="en-US" w:eastAsia="zh-CN"/>
        </w:rPr>
        <w:t>第三节 深化医养康养有机结合</w:t>
      </w:r>
      <w:bookmarkEnd w:id="51"/>
      <w:bookmarkEnd w:id="52"/>
    </w:p>
    <w:p w14:paraId="46F9FFC0">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一、健全机构医养服务网络</w:t>
      </w:r>
    </w:p>
    <w:p w14:paraId="25F4C2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制定激励政策，引导社会力量举办医养结合机构。对标全国示范机构标准，培育本地标杆企业。利用政府购买服务等方式，支持市医养康复示范中心等专业机构为居家老人提供专业化服务。加快推进社区养老服务中心和大宝鼎街道社区养老服务综合体建设，完善医养结合功能。巩固医疗机构与养老机构100%签约合作成果，推动合作从“协议”向“实质”转变，建立稳定的双向转诊、急诊急救和人员培训机制。以创建全国医养结合示范项目为牵引，推动医疗资源与养老资源多层次、创新性融合。</w:t>
      </w:r>
    </w:p>
    <w:p w14:paraId="5334C17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二、创新多元医养结合模式</w:t>
      </w:r>
    </w:p>
    <w:p w14:paraId="17982AC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积极拓展“医疗机构+康养服务”。</w:t>
      </w:r>
      <w:r>
        <w:rPr>
          <w:rFonts w:hint="default" w:ascii="Times New Roman" w:hAnsi="Times New Roman" w:eastAsia="方正仿宋_GB2312" w:cs="Times New Roman"/>
          <w:b w:val="0"/>
          <w:bCs/>
          <w:snapToGrid/>
          <w:color w:val="auto"/>
          <w:kern w:val="2"/>
          <w:sz w:val="32"/>
          <w:szCs w:val="32"/>
          <w:lang w:val="en-US" w:eastAsia="zh-CN"/>
        </w:rPr>
        <w:t>鼓励市二医院等医疗机构利用现有资源开设老年养护床位。积极鼓励发展“康养机构+嵌入医疗”，支持养老机构内设医务室、护理站，或引入社区卫生服务中心（站）设立服务点。支持医疗机构转型为医养结合机构，鼓励养老机构内设医疗机构，到2030年，医养结合机构医疗卫生服务覆盖率达到100%。建立医养结合机构审批“绿色通道”，简化流程、压缩审批时限。</w:t>
      </w:r>
    </w:p>
    <w:p w14:paraId="0024411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创新医养康养服务模式。</w:t>
      </w:r>
      <w:r>
        <w:rPr>
          <w:rFonts w:hint="default" w:ascii="Times New Roman" w:hAnsi="Times New Roman" w:eastAsia="方正仿宋_GB2312" w:cs="Times New Roman"/>
          <w:b w:val="0"/>
          <w:bCs/>
          <w:snapToGrid/>
          <w:color w:val="auto"/>
          <w:kern w:val="2"/>
          <w:sz w:val="32"/>
          <w:szCs w:val="32"/>
          <w:lang w:val="en-US" w:eastAsia="zh-CN"/>
        </w:rPr>
        <w:t>积极鼓励开展“社区养老+结对医疗”，以社区养老服务综合体、助餐点为平台，由结对基层医疗卫生机构定期提供巡诊、健康管理、家庭病床等服务。大力发展“互联网+医疗护理”服务，为居家老年人提供远程会诊、上门护理等多样化服务，将符合条件的费用纳入医保报销范围。积极推广“医院—社区—家庭”连续照护模式，实现急性期治疗、恢复期康复、长期照护的无缝衔接。</w:t>
      </w:r>
    </w:p>
    <w:p w14:paraId="1843BAE4">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53" w:name="_Toc14457"/>
      <w:bookmarkStart w:id="54" w:name="_Toc310"/>
      <w:r>
        <w:rPr>
          <w:rFonts w:hint="default" w:ascii="Times New Roman" w:hAnsi="Times New Roman" w:eastAsia="黑体" w:cs="Times New Roman"/>
          <w:b w:val="0"/>
          <w:bCs/>
          <w:snapToGrid/>
          <w:color w:val="auto"/>
          <w:kern w:val="2"/>
          <w:sz w:val="32"/>
          <w:szCs w:val="32"/>
          <w:lang w:val="en-US" w:eastAsia="zh-CN"/>
        </w:rPr>
        <w:t>第四节 建立失能失智老年人长期照护体系</w:t>
      </w:r>
      <w:bookmarkEnd w:id="53"/>
      <w:bookmarkEnd w:id="54"/>
    </w:p>
    <w:p w14:paraId="27969FB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一、完善照护服务供给体系</w:t>
      </w:r>
    </w:p>
    <w:p w14:paraId="2FF3B5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着力构建“机构专业照护为主体、社区短期托养为辅助、家庭照护支持为基础”的三位一体照护服务体系。重点提升公办养老机构护理型床位占比和专业照护能力。依托省级支持的“失能老年人家庭照护服务项目”，为符合条件的家庭提供喘息服务、照护技能培训和必要设备租赁，切实减轻家庭与社会的照护负担。</w:t>
      </w:r>
    </w:p>
    <w:p w14:paraId="4ADDE6D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二、加强专业照护队伍建设</w:t>
      </w:r>
    </w:p>
    <w:p w14:paraId="4ADEE8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托紧密型城市医疗集团，建立覆盖医生、护士、康复师、养老护理员的梯队化培训机制。深入实施养老护理员职业技能提升行动，探索建立与技能等级科学挂钩的薪酬待遇体系。培育壮大“天府银龄”等老年志愿服务队伍，积极开展互助养老。</w:t>
      </w:r>
    </w:p>
    <w:p w14:paraId="7A26AB8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三、推进适老化改造与智慧照护</w:t>
      </w:r>
    </w:p>
    <w:p w14:paraId="2439F8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实施“智慧适老工程”，持续推进互联网网站、移动应用的适老化改造，大力推广安装智能呼叫、跌倒探测、生命体征监测等智慧养老设备，全面提升养老服务智慧化水平。积极开展家庭适老化改造，对经济困难老年人按户给予补贴，将政策惠及面逐步扩大至更多有需求的家庭。</w:t>
      </w:r>
    </w:p>
    <w:p w14:paraId="42B6FD43">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55" w:name="_Toc2279"/>
      <w:bookmarkStart w:id="56" w:name="_Toc22867"/>
      <w:r>
        <w:rPr>
          <w:rFonts w:hint="default" w:ascii="Times New Roman" w:hAnsi="Times New Roman" w:eastAsia="黑体" w:cs="Times New Roman"/>
          <w:b w:val="0"/>
          <w:bCs/>
          <w:snapToGrid/>
          <w:color w:val="auto"/>
          <w:kern w:val="2"/>
          <w:sz w:val="32"/>
          <w:szCs w:val="32"/>
          <w:lang w:val="en-US" w:eastAsia="zh-CN"/>
        </w:rPr>
        <w:t>第五节 推进中医药健康养老</w:t>
      </w:r>
      <w:bookmarkEnd w:id="55"/>
      <w:bookmarkEnd w:id="56"/>
    </w:p>
    <w:p w14:paraId="2102BAD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一、建设中医药健康服务阵地</w:t>
      </w:r>
    </w:p>
    <w:p w14:paraId="795604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充分发挥中医药在“治未病、康复疗养”方面的独特优势，推动综合医院中医科牵头，与养老机构、社区养老服务中心合作设立“中医康养驿站”。在基层医疗卫生机构的日常健康教育和服务中，系统融入中医药内容。</w:t>
      </w:r>
    </w:p>
    <w:p w14:paraId="1927D90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二、推广中医适宜技术与服务</w:t>
      </w:r>
    </w:p>
    <w:p w14:paraId="56091E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面向老年人广泛开展中医体质辨识，并提供个性化的中医药养生保健方案。积极推广艾灸、刮痧、拔罐、穴位贴敷、中医定向透药等安全有效、简便易学的中医适宜技术，用于慢性病调理、疼痛管理和功能康复。</w:t>
      </w:r>
    </w:p>
    <w:p w14:paraId="3C15EEB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三、发展中医药健康养生文化</w:t>
      </w:r>
    </w:p>
    <w:p w14:paraId="239A75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结合苏铁文化等本地特色资源，精心开发适合老年人的中医药养生科普课程、健身功法培训。积极建设中医药健康宣教基地，将中医药文化深度融入老年友好型社区和“健康家庭”建设。</w:t>
      </w:r>
    </w:p>
    <w:p w14:paraId="18471328">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57" w:name="_Toc21644"/>
      <w:bookmarkStart w:id="58" w:name="_Toc20705"/>
      <w:r>
        <w:rPr>
          <w:rFonts w:hint="default" w:ascii="Times New Roman" w:hAnsi="Times New Roman" w:eastAsia="Arial Unicode MS" w:cs="Times New Roman"/>
          <w:b w:val="0"/>
          <w:bCs/>
          <w:snapToGrid/>
          <w:color w:val="auto"/>
          <w:sz w:val="32"/>
          <w:szCs w:val="32"/>
          <w:lang w:val="en-US" w:eastAsia="zh-CN"/>
        </w:rPr>
        <w:t>第七章 培育新时代银发产业发展体系</w:t>
      </w:r>
      <w:bookmarkEnd w:id="57"/>
      <w:bookmarkEnd w:id="58"/>
    </w:p>
    <w:p w14:paraId="7997D5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十五五”期间，围绕康养“苏铁谷”等重点项目，推动产业链上下游集聚，基本建成结构完善、特色鲜明的新时代老龄产业发展体系，建成建成规模化康复辅助器具产业园，成为攀枝花“一域两园三地”银发经济生态圈的重要功能组团，在老年健康服务、康养旅居、康复辅具等领域形成较强竞争优势，银发经济成为西区高质量发展的关键增长极。</w:t>
      </w:r>
    </w:p>
    <w:p w14:paraId="626970D2">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59" w:name="_Toc7269"/>
      <w:bookmarkStart w:id="60" w:name="_Toc28116"/>
      <w:r>
        <w:rPr>
          <w:rFonts w:hint="default" w:ascii="Times New Roman" w:hAnsi="Times New Roman" w:eastAsia="黑体" w:cs="Times New Roman"/>
          <w:b w:val="0"/>
          <w:bCs/>
          <w:snapToGrid/>
          <w:color w:val="auto"/>
          <w:kern w:val="2"/>
          <w:sz w:val="32"/>
          <w:szCs w:val="32"/>
          <w:lang w:val="en-US" w:eastAsia="zh-CN"/>
        </w:rPr>
        <w:t xml:space="preserve">第一节 </w:t>
      </w:r>
      <w:bookmarkEnd w:id="59"/>
      <w:r>
        <w:rPr>
          <w:rFonts w:hint="default" w:ascii="Times New Roman" w:hAnsi="Times New Roman" w:eastAsia="黑体" w:cs="Times New Roman"/>
          <w:b w:val="0"/>
          <w:bCs/>
          <w:snapToGrid/>
          <w:color w:val="auto"/>
          <w:kern w:val="2"/>
          <w:sz w:val="32"/>
          <w:szCs w:val="32"/>
          <w:lang w:val="en-US" w:eastAsia="zh-CN"/>
        </w:rPr>
        <w:t>融入多层次银发经济生态圈</w:t>
      </w:r>
      <w:bookmarkEnd w:id="60"/>
    </w:p>
    <w:p w14:paraId="465A38B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一、助推攀枝花全省银发经济产业链主要承载地建设</w:t>
      </w:r>
    </w:p>
    <w:p w14:paraId="3DB8ED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应对人口老龄化国家战略，将银发经济作为区域发展的重要抓手，深入贯彻落实《攀枝花市建设全省银发经济产业链主要承载地工作方案（2025—2027年）》及省、市银发经济“建圈强链”工作部署，研究制定西区细分领域支持政策，探索区域银发经济发展的实践路径。积极引导社会资本投资老龄产业，在土地、融资、税费等方面给予政策倾斜。建立“银发经济重点企业名录库”，实施精准培育和精准招商。全力助推攀枝花市高质量建设全省银发经济产业链主要承载地。</w:t>
      </w:r>
    </w:p>
    <w:p w14:paraId="2EC5712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二、打造省级银发经济关键节点</w:t>
      </w:r>
    </w:p>
    <w:p w14:paraId="2FC38A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托攀西地区银发经济承载地定位，发挥西区独特康养资源优势，推动从“康养目的地”向“银发经济功能节点”升级，促进银发经济要素集聚、产业创新和场景应用，实现从承接客流到输出产品、服务与标准的转变，建设市级银发经济关键节点。围绕攀枝花市“国际阳光康养旅游目的地”目标，发挥区域核心承载区作用，通过产业集聚、科技赋能与模式创新，推动银发经济从旅居观光向全链条发展转型，银发经济成为区域经济增长的新动能。</w:t>
      </w:r>
    </w:p>
    <w:p w14:paraId="071575D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三、推进公共空间与服务适老化</w:t>
      </w:r>
    </w:p>
    <w:p w14:paraId="5A9C6C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在全区范围内系统推进公共建筑、公共交通、公园绿地、商业场所的适老化改造。结合“口袋公园建设”“市政基础设施更新”等民生项目，优先增补无障碍设施、休憩座椅、安全照明等适老设施。确保医疗机构、文体场所的适老化改造率保持100%。</w:t>
      </w:r>
    </w:p>
    <w:p w14:paraId="05AB8890">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61" w:name="_Toc5716"/>
      <w:bookmarkStart w:id="62" w:name="_Toc2994"/>
      <w:r>
        <w:rPr>
          <w:rFonts w:hint="default" w:ascii="Times New Roman" w:hAnsi="Times New Roman" w:eastAsia="黑体" w:cs="Times New Roman"/>
          <w:b w:val="0"/>
          <w:bCs/>
          <w:snapToGrid/>
          <w:color w:val="auto"/>
          <w:kern w:val="2"/>
          <w:sz w:val="32"/>
          <w:szCs w:val="32"/>
          <w:lang w:val="en-US" w:eastAsia="zh-CN"/>
        </w:rPr>
        <w:t>第二节 打造特色康养旅居品牌</w:t>
      </w:r>
      <w:bookmarkEnd w:id="61"/>
      <w:bookmarkEnd w:id="62"/>
    </w:p>
    <w:p w14:paraId="328BA9F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一、建设核心康养目的地</w:t>
      </w:r>
    </w:p>
    <w:p w14:paraId="7B3137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托“阳光花城”得天独厚的气候资源和“苏铁”世界级自然遗产，推动康养与文旅体深度融合发展。加快推进“苏铁自然遗产保护展示区”建设，将其打造为集自然教育、生态观光、文化体验于一体的康养文旅地标。以“河门口公园升级改造”和“文化岛片区环境改善”为契机，植入休闲康体、园艺疗愈等新型业态，规划建设一批高品质的“阳光康养疗养地”。</w:t>
      </w:r>
    </w:p>
    <w:p w14:paraId="20A665B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二、开发全季全域产品体系</w:t>
      </w:r>
    </w:p>
    <w:p w14:paraId="183E6B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针对候鸟式养老、疗愈度假、短期旅居等不同需求，精心设计“暖冬享阳”“夏季避暑”“苏铁研学”“三线文化回忆”等主题产品线。加强与全市旅游线路的有效对接，增加面向银发群体的旅游专列、定制化交通服务供给。</w:t>
      </w:r>
    </w:p>
    <w:p w14:paraId="7F78F8E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三、实施“康养+”产业融合</w:t>
      </w:r>
    </w:p>
    <w:p w14:paraId="6B2FA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拓展“康养+农业”“康养+运动”“康养+文化”等应用场景。充分利用格里坪镇等区域优势，发展田园养生、农事体验项目；依托西区全民健身中心，积极推广适合老年人的健身项目；深入挖掘三线建设文化底蕴，开发工业遗址参观、历史讲述等文化康养项目。</w:t>
      </w:r>
    </w:p>
    <w:p w14:paraId="4978BCA9">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63" w:name="_Toc16441"/>
      <w:bookmarkStart w:id="64" w:name="_Toc21426"/>
      <w:r>
        <w:rPr>
          <w:rFonts w:hint="default" w:ascii="Times New Roman" w:hAnsi="Times New Roman" w:eastAsia="黑体" w:cs="Times New Roman"/>
          <w:b w:val="0"/>
          <w:bCs/>
          <w:snapToGrid/>
          <w:color w:val="auto"/>
          <w:kern w:val="2"/>
          <w:sz w:val="32"/>
          <w:szCs w:val="32"/>
          <w:lang w:val="en-US" w:eastAsia="zh-CN"/>
        </w:rPr>
        <w:t>第三节 推动“养老服务+行业”融合发展</w:t>
      </w:r>
      <w:bookmarkEnd w:id="63"/>
      <w:bookmarkEnd w:id="64"/>
    </w:p>
    <w:p w14:paraId="496845C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一、深化医养结合西区模式</w:t>
      </w:r>
    </w:p>
    <w:p w14:paraId="54A9C2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推广市二医院与玉泉街道三级医养体系探索实践经验，以老年人需求为核心，持续延伸养老服务链条，大力培育融合发展新业态。以紧密型城市医疗集团建设为契机，推动上级医院优质医疗资源下沉，面向社区和养老机构提供远程诊疗、上门巡诊、双向转诊、人员培训等全方位服务。积极支持养老机构内设医务室或护理站，全面构建“养中有医、医中有养”的融合发展格局。</w:t>
      </w:r>
    </w:p>
    <w:p w14:paraId="6B2D65F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二、拓展智慧养老应用场景</w:t>
      </w:r>
    </w:p>
    <w:p w14:paraId="580081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为居家老年人配备智能监测设备，实现跌倒报警、健康数据实时上传、紧急呼叫等功能。开发“一键呼叫”“线上订餐”等便捷服务应用，切实提升居家养老的便利性。建设智慧社区养老服务中心，配备智能取餐柜、康复机器人、健康检测设备等，提供智能化服务。积极推广社区养老服务“一卡通”，实现服务预约、费用结算等“一卡通行”。推动养老机构智能化改造，安装视频监控、智能床垫、紧急呼叫系统等设备，实现照护过程的智能化、精细化管理。开发养老机构运营管理系统，提升人员、物资、财务等管理效能。。</w:t>
      </w:r>
    </w:p>
    <w:p w14:paraId="18C0556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三、注重银龄人力资源开发</w:t>
      </w:r>
    </w:p>
    <w:p w14:paraId="6C04A3B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建立老年人才信息库。</w:t>
      </w:r>
      <w:r>
        <w:rPr>
          <w:rFonts w:hint="default" w:ascii="Times New Roman" w:hAnsi="Times New Roman" w:eastAsia="方正仿宋_GB2312" w:cs="Times New Roman"/>
          <w:b w:val="0"/>
          <w:bCs/>
          <w:snapToGrid/>
          <w:color w:val="auto"/>
          <w:kern w:val="2"/>
          <w:sz w:val="32"/>
          <w:szCs w:val="32"/>
          <w:lang w:val="en-US" w:eastAsia="zh-CN"/>
        </w:rPr>
        <w:t>完善“银发特派员”“三线五老志愿者”等品牌的运作机制，积极鼓励低龄、健康老年人在社区治理、矛盾调解、青少年关爱、互助养老等领域充分发挥专长和作用，实现从“被动养老”到“主动享老”的价值转变。</w:t>
      </w:r>
    </w:p>
    <w:p w14:paraId="4E0A5C0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bCs w:val="0"/>
          <w:snapToGrid/>
          <w:color w:val="auto"/>
          <w:kern w:val="2"/>
          <w:sz w:val="32"/>
          <w:szCs w:val="32"/>
          <w:lang w:val="en-US" w:eastAsia="zh-CN"/>
        </w:rPr>
        <w:t>持续提升老年人数字素养。</w:t>
      </w:r>
      <w:r>
        <w:rPr>
          <w:rFonts w:hint="default" w:ascii="Times New Roman" w:hAnsi="Times New Roman" w:eastAsia="方正仿宋_GB2312" w:cs="Times New Roman"/>
          <w:b w:val="0"/>
          <w:bCs/>
          <w:snapToGrid/>
          <w:color w:val="auto"/>
          <w:kern w:val="2"/>
          <w:sz w:val="32"/>
          <w:szCs w:val="32"/>
          <w:lang w:val="en-US" w:eastAsia="zh-CN"/>
        </w:rPr>
        <w:t>常态化开展智能技术应用公益培训，将老年数字技能培训常态化纳入社区便民服务体系。结合老年人生活实际需求，针对性开展手机支付、健康码查验、线上办事预约等实操教学，简化教学流程、耐心指导实操，帮助老年人熟练掌握便民数字技能，破除数字使用壁垒。</w:t>
      </w:r>
    </w:p>
    <w:p w14:paraId="7B0B9B22">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65" w:name="_Toc15018"/>
      <w:bookmarkStart w:id="66" w:name="_Toc13328"/>
      <w:r>
        <w:rPr>
          <w:rFonts w:hint="default" w:ascii="Times New Roman" w:hAnsi="Times New Roman" w:eastAsia="黑体" w:cs="Times New Roman"/>
          <w:b w:val="0"/>
          <w:bCs/>
          <w:snapToGrid/>
          <w:color w:val="auto"/>
          <w:kern w:val="2"/>
          <w:sz w:val="32"/>
          <w:szCs w:val="32"/>
          <w:lang w:val="en-US" w:eastAsia="zh-CN"/>
        </w:rPr>
        <w:t>第四节 建设康复辅具区域创新与应用中心</w:t>
      </w:r>
      <w:bookmarkEnd w:id="65"/>
      <w:bookmarkEnd w:id="66"/>
    </w:p>
    <w:p w14:paraId="70C310A4">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一、搭建协同创新平台</w:t>
      </w:r>
    </w:p>
    <w:p w14:paraId="1A6B8D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对接“四川省康复辅助器具产业研究院（攀枝花康复辅助器具研发中心）”，争取在园区内设立成果转化与中试基地。鼓励本地企业与研究院、高校开展深度合作，聚焦攀西地区老年人实际需求，在适老家具、移动辅具、康复训练器械等领域开展针对性的产品研发。</w:t>
      </w:r>
    </w:p>
    <w:p w14:paraId="28AB122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二、培育应用推广场景</w:t>
      </w:r>
    </w:p>
    <w:p w14:paraId="70E028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在各级养老服务中心和社区养老服务综合体中，设立康复辅具展示体验和租赁服务中心。争取政策支持，将更多康复辅具纳入长期护理保险支付范围。持续实施特殊困难老年人家庭适老化改造工程，并逐步扩大覆盖面。</w:t>
      </w:r>
    </w:p>
    <w:p w14:paraId="0A539FB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三、融入全市产业生态</w:t>
      </w:r>
    </w:p>
    <w:p w14:paraId="3B13CD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主动融入全市康复辅具产业链布局，充分发挥西区在精密制造、钒钛材料应用等方面的潜在优势，积极承接上游研发成果的产业化项目，或发展为下游区域性的销售、租赁和维护服务枢纽。</w:t>
      </w:r>
    </w:p>
    <w:p w14:paraId="1AF60D24">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67" w:name="_Toc1741"/>
      <w:bookmarkStart w:id="68" w:name="_Toc12521"/>
      <w:r>
        <w:rPr>
          <w:rFonts w:hint="default" w:ascii="Times New Roman" w:hAnsi="Times New Roman" w:eastAsia="黑体" w:cs="Times New Roman"/>
          <w:b w:val="0"/>
          <w:bCs/>
          <w:snapToGrid/>
          <w:color w:val="auto"/>
          <w:kern w:val="2"/>
          <w:sz w:val="32"/>
          <w:szCs w:val="32"/>
          <w:lang w:val="en-US" w:eastAsia="zh-CN"/>
        </w:rPr>
        <w:t>第五节 促进养老服务消费升级</w:t>
      </w:r>
      <w:bookmarkEnd w:id="67"/>
      <w:bookmarkEnd w:id="68"/>
    </w:p>
    <w:p w14:paraId="08F07E5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一、增加多元化普惠供给</w:t>
      </w:r>
    </w:p>
    <w:p w14:paraId="021A77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以高质量供给激活潜在需求，充分释放老年群体消费潜力，形成经济发展与民生改善的良性循环。在保障基本养老服务的基础上，大力发展面向中等收入老年群体的普惠型服务。加快完成大宝鼎街道等社区养老服务综合体建设并引入专业运营商，提供质量有保障、价格可承受的助餐、助浴、照护、文娱等综合服务。积极探索发放养老服务消费券等补贴方式。</w:t>
      </w:r>
    </w:p>
    <w:p w14:paraId="03ED5A8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二、创新消费场景与模式</w:t>
      </w:r>
    </w:p>
    <w:p w14:paraId="7B40C5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结合“消费品以旧换新”政策，积极推广智能护理床、沐浴椅等家居产品的升级换代。鼓励发展“社区嵌入式”小微养老机构，大力推广“物业+健康管理”等创新服务模式。定期举办“暖冬康养消费季”等主题促消费活动。</w:t>
      </w:r>
    </w:p>
    <w:p w14:paraId="541F5854">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三、夯实消费能力保障</w:t>
      </w:r>
    </w:p>
    <w:p w14:paraId="449D06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配合落实基本养老金合理调整机制，稳步提高社会保障水平。通过发展老龄产业，积极创造更多适合老年人的灵活就业岗位，拓宽老年人收入来源渠道。加强金融知识普及教育，切实防范消费欺诈行为，让老年人敢消费、愿消费、放心消费。</w:t>
      </w:r>
    </w:p>
    <w:p w14:paraId="5E77FE20">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69" w:name="_Toc9585"/>
      <w:bookmarkStart w:id="70" w:name="_Toc27256"/>
      <w:r>
        <w:rPr>
          <w:rFonts w:hint="default" w:ascii="Times New Roman" w:hAnsi="Times New Roman" w:eastAsia="Arial Unicode MS" w:cs="Times New Roman"/>
          <w:b w:val="0"/>
          <w:bCs/>
          <w:snapToGrid/>
          <w:color w:val="auto"/>
          <w:sz w:val="32"/>
          <w:szCs w:val="32"/>
          <w:lang w:val="en-US" w:eastAsia="zh-CN"/>
        </w:rPr>
        <w:t>第八章 建设友好型老年宜居生活环境</w:t>
      </w:r>
      <w:bookmarkEnd w:id="69"/>
      <w:bookmarkEnd w:id="70"/>
    </w:p>
    <w:p w14:paraId="087AA1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到2030年，西区友好型老年宜居生活环境建设取得决定性进展，新增全国示范性老年友好型社区2至3个，公共设施适老化改造率达到100%。</w:t>
      </w:r>
    </w:p>
    <w:p w14:paraId="5C07E88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71" w:name="_Toc16876"/>
      <w:bookmarkStart w:id="72" w:name="_Toc28110"/>
      <w:r>
        <w:rPr>
          <w:rFonts w:hint="default" w:ascii="Times New Roman" w:hAnsi="Times New Roman" w:eastAsia="黑体" w:cs="Times New Roman"/>
          <w:b w:val="0"/>
          <w:bCs/>
          <w:snapToGrid/>
          <w:color w:val="auto"/>
          <w:kern w:val="2"/>
          <w:sz w:val="32"/>
          <w:szCs w:val="32"/>
          <w:lang w:val="en-US" w:eastAsia="zh-CN"/>
        </w:rPr>
        <w:t>第一节 营造尊老敬老的社会文化环境</w:t>
      </w:r>
      <w:bookmarkEnd w:id="71"/>
      <w:bookmarkEnd w:id="72"/>
    </w:p>
    <w:p w14:paraId="66AFF0A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一、深化“花城银龄”品牌建设</w:t>
      </w:r>
    </w:p>
    <w:p w14:paraId="47A898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对接四川省“天府银龄行动”，系统整合并升级现有“花城银龄行动”“银发特派员”“三线五老志愿者”“老倌说事”等品牌资源，着力创建老年价值实现平台。设立“西区老年人才服务驿站”，建立“西区银龄人才库”，组建社会治理、文化教育、健康科普等专业志愿服务团队，积极引导低龄健康老年人在社区治理、矛盾调解、互助养老、关心下一代等领域持续发光发热。积极探索“时间银行”互助养老模式，鼓励志愿者为高龄、失能老人提供服务并储蓄服务时间。积极推动老年教育成果转化，支持有专长的老年人参与苏铁文化讲解、社区非遗传承工作室教学等活动，将其宝贵的阅历智慧转化为社会财富。</w:t>
      </w:r>
    </w:p>
    <w:p w14:paraId="6FF3E89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二、构建“三个一”支撑体系</w:t>
      </w:r>
    </w:p>
    <w:p w14:paraId="2A28D5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做大“一支队伍”。通过党建引领，广泛动员退休党员干部、老专家、老教师、老工程师等群体踊跃参与，依托“天府银龄”志愿服务平台，推动志愿者注册规模持续扩大。强化“一个阵地”。依托“银耀花城”老党员工作室、“三线五老”工作室等现有平台，积极拓展康养场所、社区服务中心等银龄活动阵地，推动志愿服务扎根基层、覆盖全域。谋划“一批项目”。围绕共同富裕、基层治理、乡村振兴、青少年关爱等重点领域，精准设计涵盖产业帮扶、文化传承、纠纷调解、健康教育等多元化服务项目，搭建“老有所为”的实践平台。</w:t>
      </w:r>
    </w:p>
    <w:p w14:paraId="468E42E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三、营造全民敬老氛围</w:t>
      </w:r>
    </w:p>
    <w:p w14:paraId="05ACEF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将敬老爱老助老纳入文明单位、文明社区、文明家庭创建评价体系。充分利用重阳“敬老月”等节点，组织开展形式多样的走访慰问、孝亲典范评选、为老服务公益等活动。推动机关、学校、企业等与社会养老服务机构建立结对关系，形成常态化的志愿服务机制。</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12607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5000" w:type="pct"/>
            <w:shd w:val="clear" w:color="auto" w:fill="BEBEBE"/>
            <w:vAlign w:val="center"/>
          </w:tcPr>
          <w:p w14:paraId="31A9DC4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7  “花城银龄”品牌建设“银耀花城”专项行动</w:t>
            </w:r>
          </w:p>
        </w:tc>
      </w:tr>
      <w:tr w14:paraId="6096C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000" w:type="pct"/>
            <w:vAlign w:val="top"/>
          </w:tcPr>
          <w:p w14:paraId="2DB81925">
            <w:pPr>
              <w:pStyle w:val="6"/>
              <w:ind w:left="0" w:leftChars="0" w:firstLine="0" w:firstLineChars="0"/>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b/>
                <w:bCs/>
                <w:color w:val="auto"/>
                <w:sz w:val="21"/>
                <w:szCs w:val="21"/>
                <w:lang w:val="en-US" w:eastAsia="zh-CN"/>
              </w:rPr>
              <w:t>1.银龄助力共同富裕先锋行动。</w:t>
            </w:r>
            <w:r>
              <w:rPr>
                <w:rFonts w:hint="default" w:ascii="Times New Roman" w:hAnsi="Times New Roman" w:eastAsia="方正仿宋_GB2312" w:cs="Times New Roman"/>
                <w:color w:val="auto"/>
                <w:sz w:val="21"/>
                <w:szCs w:val="21"/>
                <w:lang w:val="en-US" w:eastAsia="zh-CN"/>
              </w:rPr>
              <w:t>遴选百名“银发特派员”开展示范服务，组建“三线五老”宣讲团传播共富理念，拓展老党员工作室功能，并推动外地老党员融入、退役军人开展“木棉花”志愿服务。</w:t>
            </w:r>
          </w:p>
          <w:p w14:paraId="71E22A95">
            <w:pPr>
              <w:pStyle w:val="6"/>
              <w:ind w:left="0" w:leftChars="0" w:firstLine="0" w:firstLineChars="0"/>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b/>
                <w:bCs/>
                <w:color w:val="auto"/>
                <w:sz w:val="21"/>
                <w:szCs w:val="21"/>
                <w:lang w:val="en-US" w:eastAsia="zh-CN"/>
              </w:rPr>
              <w:t>2.基层治理赋能行动。</w:t>
            </w:r>
            <w:r>
              <w:rPr>
                <w:rFonts w:hint="default" w:ascii="Times New Roman" w:hAnsi="Times New Roman" w:eastAsia="方正仿宋_GB2312" w:cs="Times New Roman"/>
                <w:color w:val="auto"/>
                <w:sz w:val="21"/>
                <w:szCs w:val="21"/>
                <w:lang w:val="en-US" w:eastAsia="zh-CN"/>
              </w:rPr>
              <w:t>推广老干部调解模式助力电梯加装与纠纷化解，组织银发志愿者参与文明创建、平安巡逻等。同步加强司法护老，设立权益观察点，打击养老诈骗，筑牢法治保障。</w:t>
            </w:r>
          </w:p>
          <w:p w14:paraId="74775486">
            <w:pPr>
              <w:pStyle w:val="6"/>
              <w:ind w:left="0" w:leftChars="0" w:firstLine="0" w:firstLineChars="0"/>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b/>
                <w:bCs/>
                <w:color w:val="auto"/>
                <w:sz w:val="21"/>
                <w:szCs w:val="21"/>
                <w:lang w:val="en-US" w:eastAsia="zh-CN"/>
              </w:rPr>
              <w:t>3.助力乡村振兴行动。</w:t>
            </w:r>
            <w:r>
              <w:rPr>
                <w:rFonts w:hint="default" w:ascii="Times New Roman" w:hAnsi="Times New Roman" w:eastAsia="方正仿宋_GB2312" w:cs="Times New Roman"/>
                <w:color w:val="auto"/>
                <w:sz w:val="21"/>
                <w:szCs w:val="21"/>
                <w:lang w:val="en-US" w:eastAsia="zh-CN"/>
              </w:rPr>
              <w:t>开展科技助农推动产业升级，构建魔芋等一体化产业链；参与移风易俗、村规民约修订；挖掘非遗“老能人”，打造文化IP，促进文旅融合。</w:t>
            </w:r>
          </w:p>
          <w:p w14:paraId="10B14140">
            <w:pPr>
              <w:pStyle w:val="6"/>
              <w:ind w:left="0" w:leftChars="0" w:firstLine="0" w:firstLineChars="0"/>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b/>
                <w:bCs/>
                <w:color w:val="auto"/>
                <w:sz w:val="21"/>
                <w:szCs w:val="21"/>
                <w:lang w:val="en-US" w:eastAsia="zh-CN"/>
              </w:rPr>
              <w:t>4.青少年成长关爱行动。</w:t>
            </w:r>
            <w:r>
              <w:rPr>
                <w:rFonts w:hint="default" w:ascii="Times New Roman" w:hAnsi="Times New Roman" w:eastAsia="方正仿宋_GB2312" w:cs="Times New Roman"/>
                <w:color w:val="auto"/>
                <w:sz w:val="21"/>
                <w:szCs w:val="21"/>
                <w:lang w:val="en-US" w:eastAsia="zh-CN"/>
              </w:rPr>
              <w:t>银龄宣讲团传承红色基因，实施“童伴长者”计划帮扶留守儿童，并建立结对机制开展常态化助学助困。</w:t>
            </w:r>
          </w:p>
        </w:tc>
      </w:tr>
    </w:tbl>
    <w:p w14:paraId="21A5728E">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73" w:name="_Toc24456"/>
      <w:bookmarkStart w:id="74" w:name="_Toc12764"/>
      <w:r>
        <w:rPr>
          <w:rFonts w:hint="default" w:ascii="Times New Roman" w:hAnsi="Times New Roman" w:eastAsia="黑体" w:cs="Times New Roman"/>
          <w:b w:val="0"/>
          <w:bCs/>
          <w:snapToGrid/>
          <w:color w:val="auto"/>
          <w:kern w:val="2"/>
          <w:sz w:val="32"/>
          <w:szCs w:val="32"/>
          <w:lang w:val="en-US" w:eastAsia="zh-CN"/>
        </w:rPr>
        <w:t>第二节 提升老年人文化体育服务水平</w:t>
      </w:r>
      <w:bookmarkEnd w:id="73"/>
      <w:bookmarkEnd w:id="74"/>
    </w:p>
    <w:p w14:paraId="707E1A9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一、完善文体设施网络</w:t>
      </w:r>
    </w:p>
    <w:p w14:paraId="69BE46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高质量完成“西区全民健身中心”建设任务，配齐体能训练、球类、棋牌等功能，确保向老年人优惠开放。结合“口袋公园”建设项目及“文化岛片区环境改善提升”，在公共空间建设中刚性植入适老健身器材、休息座椅及风雨廊亭。持续推进“河门口公园”等公共绿地的升级改造，增加林荫步道、康体花园等适老休闲场所。</w:t>
      </w:r>
    </w:p>
    <w:p w14:paraId="0ABAE84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二、丰富公共文化供给</w:t>
      </w:r>
    </w:p>
    <w:p w14:paraId="7EC256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托“攀枝花苏铁自然遗产保护展示区”等文化地标，精心开发适合老年人的文化研学、生态体验项目。积极鼓励图书馆、文化馆开设老年专场，提供放大镜等辅助器具。支持社区利用养老服务综合体、党群服务中心等场所，常态化开展书画、声乐、智能手机应用等课程与兴趣小组活动。</w:t>
      </w:r>
    </w:p>
    <w:p w14:paraId="2CF26B1E">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三、促进老年体育健身</w:t>
      </w:r>
    </w:p>
    <w:p w14:paraId="7CFA9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建立健全覆盖各社区的老年人体质监测站点网络，常态化开展体质检测服务，完善民生健康服务。结合老年人生理特点，积极推广太极拳、健身气功、门球、健步走等舒缓安全的运动项目，培育专业社区老年健身骨干，做好科学健身指导。定期举办社区、区级老年体育赛事与交流活动，营造全民健身氛围，充分激发老年人健身参与热情。</w:t>
      </w:r>
    </w:p>
    <w:p w14:paraId="2FB4228A">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75" w:name="_Toc17110"/>
      <w:bookmarkStart w:id="76" w:name="_Toc14100"/>
      <w:r>
        <w:rPr>
          <w:rFonts w:hint="default" w:ascii="Times New Roman" w:hAnsi="Times New Roman" w:eastAsia="黑体" w:cs="Times New Roman"/>
          <w:b w:val="0"/>
          <w:bCs/>
          <w:snapToGrid/>
          <w:color w:val="auto"/>
          <w:kern w:val="2"/>
          <w:sz w:val="32"/>
          <w:szCs w:val="32"/>
          <w:lang w:val="en-US" w:eastAsia="zh-CN"/>
        </w:rPr>
        <w:t>第三节 加强特殊困难老年人关爱</w:t>
      </w:r>
      <w:bookmarkEnd w:id="75"/>
      <w:bookmarkEnd w:id="76"/>
    </w:p>
    <w:p w14:paraId="0B7E371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一、健全精准识别动态监测机制</w:t>
      </w:r>
    </w:p>
    <w:p w14:paraId="61A09F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衔接省市低收入人口动态监测信息平台，将全区城乡低收入老年人口全部纳入监测范围。建立民政、卫健、残联、医保等部门数据共享机制，精准识别高龄、独居、空巢、失能、残疾及经济困难老年人，形成分类清晰的关爱服务台账。</w:t>
      </w:r>
    </w:p>
    <w:p w14:paraId="136DA25A">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二、实施“暖心守护”系列行动</w:t>
      </w:r>
    </w:p>
    <w:p w14:paraId="7D8D55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深入贯彻落实四川省《关于健全“一老一小”服务体系的实施方案》部署，全面开展“暖心守护”系列行动。一是“健康敲门”行动。为居家失能老年人提供免费上门健康管理、康复护理指导与服务转介。二是“安居守护”行动。持续为独居老人免费安装联网型独立感烟火灾报警器，并探索扩展至燃气泄漏、跌倒监测等智能安全设备。三是“常态探访”行动。严格落实社区网格员、志愿者、养老顾问对特殊困难老年人每周至少一次电话问候或上门探访制度。</w:t>
      </w:r>
    </w:p>
    <w:p w14:paraId="6B58FAD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三、强化兜底保障能力</w:t>
      </w:r>
    </w:p>
    <w:p w14:paraId="45AE76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严格对标省、市关于社会救助标准动态调整机制的要求，建立并完善与居民消费支出科学挂钩的低保、特困供养标准自然增长办法，稳步提升保障水平，确保特困人员基本生活标准不低于当地低保标准的1.6倍。重点增强对特困、失能老年人的集中照护功能，通过整合政府和社会资源，将符合条件的特困老年人全部纳入政府救助供养范围，并积极支持低保家庭完全失能老年人自愿入住养老机构。积极推动长期护理保险制度与现有养老服务补贴政策有效衔接，探索建立“保险+补贴+服务”的复合支持模式，切实减轻失能老年人家庭的照护负担，织密扎牢民生保障安全网。</w:t>
      </w:r>
    </w:p>
    <w:p w14:paraId="7B60D50A">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77" w:name="_Toc25770"/>
      <w:bookmarkStart w:id="78" w:name="_Toc16516"/>
      <w:r>
        <w:rPr>
          <w:rFonts w:hint="default" w:ascii="Times New Roman" w:hAnsi="Times New Roman" w:eastAsia="黑体" w:cs="Times New Roman"/>
          <w:b w:val="0"/>
          <w:bCs/>
          <w:snapToGrid/>
          <w:color w:val="auto"/>
          <w:kern w:val="2"/>
          <w:sz w:val="32"/>
          <w:szCs w:val="32"/>
          <w:lang w:val="en-US" w:eastAsia="zh-CN"/>
        </w:rPr>
        <w:t>第四节 实施社区和居家适老化改造</w:t>
      </w:r>
      <w:bookmarkEnd w:id="77"/>
      <w:bookmarkEnd w:id="78"/>
    </w:p>
    <w:p w14:paraId="71C0BDB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一、推进公共空间与设施适老化升级优化</w:t>
      </w:r>
    </w:p>
    <w:p w14:paraId="4241DA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在城市更新、老旧小区改造及市政基础设施更新项目中，严格落地、全面执行无障碍设计规范标准，贴合老年群体出行、生活需求。聚焦老年人日常高频使用场景，重点实施人行道平整防滑、公共建筑出入口无障碍坡道改建、既有住宅电梯加装与老旧电梯提质升级、公共厕所适老化便民改造等民生工程。持续完善养老便民配套设施，稳步扩大改造覆盖范围，计划到2030年，实现辖区内医疗机构、银行网点、文体场所等重点公共场所适老化改造全覆盖。</w:t>
      </w:r>
    </w:p>
    <w:p w14:paraId="4F5BA32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二、加快推进居家环境适老化改造</w:t>
      </w:r>
    </w:p>
    <w:p w14:paraId="118ED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立足民生保障需求，在实现特殊困难老年人家庭适老化改造全覆盖的前提下，进一步优化准入标准，适度拓宽改造覆盖范围，精准惠及有实际改造需求的高龄、失能及独居老年家庭。持续优化成本分摊模式，大力推行“政府补贴一点、家庭自付一点、企业让利一点”的多元成本共担机制，减轻家庭改造经济压力。改造层面，在做好地面防滑、安全扶手、紧急报警器等基础适老设施布设的同时，迭代升级改造方案，推动改造内容向智能化、集成化进阶，打造安全便捷、适配老年生活的居家环境。</w:t>
      </w:r>
    </w:p>
    <w:p w14:paraId="622D961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三、构建“社区嵌入式”服务支持体系</w:t>
      </w:r>
    </w:p>
    <w:p w14:paraId="35117E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建成并高效运营“大宝鼎街道社区养老服务综合体”，同步优化已建成的5个社区养老服务综合体功能。积极推广杨家坪完整社区“六有”建设经验，在每个社区重点打造一个集日间照料、助餐、康复、文娱于一体的“老年服务站”。大力推行“社区+物业+养老服务”“机构+社区+居家”等模式，全力支持专业服务进家庭。</w:t>
      </w:r>
    </w:p>
    <w:p w14:paraId="63EE3657">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79" w:name="_Toc31845"/>
      <w:bookmarkStart w:id="80" w:name="_Toc20575"/>
      <w:r>
        <w:rPr>
          <w:rFonts w:hint="default" w:ascii="Times New Roman" w:hAnsi="Times New Roman" w:eastAsia="黑体" w:cs="Times New Roman"/>
          <w:b w:val="0"/>
          <w:bCs/>
          <w:snapToGrid/>
          <w:color w:val="auto"/>
          <w:kern w:val="2"/>
          <w:sz w:val="32"/>
          <w:szCs w:val="32"/>
          <w:lang w:val="en-US" w:eastAsia="zh-CN"/>
        </w:rPr>
        <w:t>第五节 提升养老服务智慧化水平</w:t>
      </w:r>
      <w:bookmarkEnd w:id="79"/>
      <w:bookmarkEnd w:id="80"/>
    </w:p>
    <w:p w14:paraId="0893F91B">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一、打造区级智慧养老“中枢大脑”</w:t>
      </w:r>
    </w:p>
    <w:p w14:paraId="7684D1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升级现有养老服务平台，整合各类为老服务资源，构建线上线下联动的智慧养老服务体系，打造集服务预约、安全监护、健康管理、政策咨询、线上学习于一体的综合性平台。绘制全区养老服务设施与资源的“数字地图”，实现服务需求与供给的智能匹配，提升区域养老智能化、精准化水平。</w:t>
      </w:r>
    </w:p>
    <w:p w14:paraId="0593A487">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二、推广智慧养老终端应用</w:t>
      </w:r>
    </w:p>
    <w:p w14:paraId="18D601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为有需求的老年人，特别是独居、高龄老人，配备一键呼叫、智能手环、红外生命体征监测等设备，并与区级平台、子女手机、社区服务中心实现联动。积极鼓励企业开发推广适合老年人的智能家居产品，切实提升居家生活的安全性与便利性。</w:t>
      </w:r>
    </w:p>
    <w:p w14:paraId="5EE8858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三、发展“科技助老”新业态</w:t>
      </w:r>
    </w:p>
    <w:p w14:paraId="4607A8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响应国家“科技助老”标准体系建设的要求，探索发展远程医疗、在线健康咨询、穿戴式健康监测等智慧医养服务。充分利用攀枝花市建设康复辅助器具研发中心的契机，在西区试点推广智能辅具租赁服务。积极开展老年人数字技能普及培训，助力老年人跨越“数字鸿沟”。</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08577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2" w:hRule="atLeast"/>
        </w:trPr>
        <w:tc>
          <w:tcPr>
            <w:tcW w:w="5000" w:type="pct"/>
            <w:shd w:val="clear" w:color="auto" w:fill="BEBEBE"/>
            <w:vAlign w:val="center"/>
          </w:tcPr>
          <w:p w14:paraId="622338C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8    西区“十五五”智慧养老示范工程</w:t>
            </w:r>
          </w:p>
        </w:tc>
      </w:tr>
      <w:tr w14:paraId="6FF4A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000" w:type="pct"/>
            <w:vAlign w:val="top"/>
          </w:tcPr>
          <w:p w14:paraId="1BA4993E">
            <w:pPr>
              <w:pStyle w:val="6"/>
              <w:ind w:left="0" w:leftChars="0" w:firstLine="0" w:firstLineChars="0"/>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2312" w:cs="Times New Roman"/>
                <w:b/>
                <w:bCs/>
                <w:snapToGrid w:val="0"/>
                <w:color w:val="auto"/>
                <w:kern w:val="0"/>
                <w:sz w:val="21"/>
                <w:szCs w:val="21"/>
                <w:lang w:val="en-US" w:eastAsia="zh-CN"/>
              </w:rPr>
              <w:t>1.</w:t>
            </w:r>
            <w:r>
              <w:rPr>
                <w:rFonts w:hint="default" w:ascii="Times New Roman" w:hAnsi="Times New Roman" w:eastAsia="方正仿宋_GB2312" w:cs="Times New Roman"/>
                <w:b/>
                <w:bCs/>
                <w:snapToGrid w:val="0"/>
                <w:color w:val="auto"/>
                <w:kern w:val="0"/>
                <w:sz w:val="21"/>
                <w:szCs w:val="21"/>
                <w:lang w:eastAsia="zh-CN"/>
              </w:rPr>
              <w:t>攀枝花市西区综合养老服务平台项目。</w:t>
            </w:r>
            <w:r>
              <w:rPr>
                <w:rFonts w:hint="default" w:ascii="Times New Roman" w:hAnsi="Times New Roman" w:eastAsia="方正仿宋_GB2312" w:cs="Times New Roman"/>
                <w:snapToGrid w:val="0"/>
                <w:color w:val="auto"/>
                <w:kern w:val="0"/>
                <w:sz w:val="21"/>
                <w:szCs w:val="21"/>
                <w:lang w:eastAsia="zh-CN"/>
              </w:rPr>
              <w:t>新建，建设区级综合养老服务平台，</w:t>
            </w:r>
            <w:r>
              <w:rPr>
                <w:rFonts w:hint="default" w:ascii="Times New Roman" w:hAnsi="Times New Roman" w:eastAsia="方正仿宋_GB2312" w:cs="Times New Roman"/>
                <w:snapToGrid w:val="0"/>
                <w:color w:val="auto"/>
                <w:kern w:val="0"/>
                <w:sz w:val="21"/>
                <w:szCs w:val="21"/>
                <w:lang w:val="en-US" w:eastAsia="zh-CN"/>
              </w:rPr>
              <w:t>集成</w:t>
            </w:r>
            <w:r>
              <w:rPr>
                <w:rFonts w:hint="default" w:ascii="Times New Roman" w:hAnsi="Times New Roman" w:eastAsia="方正仿宋_GB2312" w:cs="Times New Roman"/>
                <w:snapToGrid w:val="0"/>
                <w:color w:val="auto"/>
                <w:kern w:val="0"/>
                <w:sz w:val="21"/>
                <w:szCs w:val="21"/>
                <w:lang w:eastAsia="zh-CN"/>
              </w:rPr>
              <w:t>网络与物联网、机构/居家前端，涵盖机构管理、服务资源链接、信息统计发布等功能，总投资0.1亿元。</w:t>
            </w:r>
          </w:p>
          <w:p w14:paraId="3A97A3F5">
            <w:pPr>
              <w:pStyle w:val="6"/>
              <w:ind w:left="0" w:leftChars="0" w:firstLine="0" w:firstLineChars="0"/>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2312" w:cs="Times New Roman"/>
                <w:b/>
                <w:bCs/>
                <w:color w:val="auto"/>
                <w:sz w:val="21"/>
                <w:szCs w:val="21"/>
                <w:lang w:val="en-US" w:eastAsia="zh-CN"/>
              </w:rPr>
              <w:t>2.智慧养老院和智慧养老社区建设行动。</w:t>
            </w:r>
            <w:r>
              <w:rPr>
                <w:rFonts w:hint="default" w:ascii="Times New Roman" w:hAnsi="Times New Roman" w:eastAsia="方正仿宋_GB2312" w:cs="Times New Roman"/>
                <w:color w:val="auto"/>
                <w:sz w:val="21"/>
                <w:szCs w:val="21"/>
                <w:lang w:val="en-US" w:eastAsia="zh-CN"/>
              </w:rPr>
              <w:t>依托物联网、智能设备及信息平台，实现健康监测、安全预警、生活照料等智慧化服务，促进机构与社区养老深度融合，提升区域养老服务的便捷性、精准性与综合管理水平。</w:t>
            </w:r>
          </w:p>
          <w:p w14:paraId="47BA4A7A">
            <w:pPr>
              <w:pStyle w:val="6"/>
              <w:ind w:left="0" w:leftChars="0" w:firstLine="0" w:firstLineChars="0"/>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方正仿宋_GB2312" w:cs="Times New Roman"/>
                <w:b/>
                <w:bCs/>
                <w:color w:val="auto"/>
                <w:sz w:val="21"/>
                <w:szCs w:val="21"/>
                <w:lang w:val="en-US" w:eastAsia="zh-CN"/>
              </w:rPr>
              <w:t>3.</w:t>
            </w:r>
            <w:r>
              <w:rPr>
                <w:rFonts w:hint="default" w:ascii="Times New Roman" w:hAnsi="Times New Roman" w:eastAsia="方正仿宋_GB2312" w:cs="Times New Roman"/>
                <w:b/>
                <w:bCs/>
                <w:color w:val="auto"/>
                <w:sz w:val="21"/>
                <w:szCs w:val="21"/>
                <w:lang w:eastAsia="zh-CN"/>
              </w:rPr>
              <w:t>智慧手环助老行动。</w:t>
            </w:r>
            <w:r>
              <w:rPr>
                <w:rFonts w:hint="default" w:ascii="Times New Roman" w:hAnsi="Times New Roman" w:eastAsia="方正仿宋_GB2312" w:cs="Times New Roman"/>
                <w:color w:val="auto"/>
                <w:sz w:val="21"/>
                <w:szCs w:val="21"/>
                <w:lang w:eastAsia="zh-CN"/>
              </w:rPr>
              <w:t>依托大数据、物联网和云计算技术，为老年人配备智能手环设备，实时监测其健康状况与位置信息，并提供紧急救援、热线咨询、远程照护等服务。通过科技赋能，行动旨在打造一个便捷高效的“15分钟智慧养老圈”，让为老服务更加安全、精准、有温度。</w:t>
            </w:r>
          </w:p>
        </w:tc>
      </w:tr>
    </w:tbl>
    <w:p w14:paraId="57982D99">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81" w:name="_Toc23612"/>
      <w:bookmarkStart w:id="82" w:name="_Toc30205"/>
      <w:r>
        <w:rPr>
          <w:rFonts w:hint="default" w:ascii="Times New Roman" w:hAnsi="Times New Roman" w:eastAsia="Arial Unicode MS" w:cs="Times New Roman"/>
          <w:b w:val="0"/>
          <w:bCs/>
          <w:snapToGrid/>
          <w:color w:val="auto"/>
          <w:sz w:val="32"/>
          <w:szCs w:val="32"/>
          <w:lang w:val="en-US" w:eastAsia="zh-CN"/>
        </w:rPr>
        <w:t>第九章 营造包容性老年社会参与环境</w:t>
      </w:r>
      <w:bookmarkEnd w:id="81"/>
      <w:bookmarkEnd w:id="82"/>
    </w:p>
    <w:p w14:paraId="4A59D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到2030年，完成全区老旧小区适老化改造，建成覆盖全域的“15分钟为老服务圈”，政策、设施、数字、文化等多维度的支持环境持续改善。</w:t>
      </w:r>
    </w:p>
    <w:p w14:paraId="0422647B">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83" w:name="_Toc14466"/>
      <w:bookmarkStart w:id="84" w:name="_Toc11152"/>
      <w:r>
        <w:rPr>
          <w:rFonts w:hint="default" w:ascii="Times New Roman" w:hAnsi="Times New Roman" w:eastAsia="黑体" w:cs="Times New Roman"/>
          <w:b w:val="0"/>
          <w:bCs/>
          <w:snapToGrid/>
          <w:color w:val="auto"/>
          <w:kern w:val="2"/>
          <w:sz w:val="32"/>
          <w:szCs w:val="32"/>
          <w:lang w:val="en-US" w:eastAsia="zh-CN"/>
        </w:rPr>
        <w:t>第一节 创新发展老年教育</w:t>
      </w:r>
      <w:bookmarkEnd w:id="83"/>
      <w:bookmarkEnd w:id="84"/>
    </w:p>
    <w:p w14:paraId="23FEF3E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一、健全“四级网络”，实现学习空间全覆盖</w:t>
      </w:r>
    </w:p>
    <w:p w14:paraId="1D9A83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加快推进以攀枝花开放大学（市社区大学）为龙头，区级社区学院为骨干，乡镇（街道）社区学校、村（社区）学习中心为基础的社区教育四级网络建设。重点依托各社区养老服务综合体、新时代文明实践站等阵地，到2030年，实现所有乡镇（街道）和80%以上的村（社区）拥有标准化老年学习场所。积极建设西区老年教育智慧学习平台，整合全市优质课程资源，为行动不便或偏远地区的老年人提供“云端课堂”服务。</w:t>
      </w:r>
    </w:p>
    <w:p w14:paraId="5DE1F9A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二、推行“双轨课程”，满足多元发展需求</w:t>
      </w:r>
    </w:p>
    <w:p w14:paraId="4C1B79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设计实施“素养提升”与“技能赋能”双轨并行的课程体系。聚焦健康养生、数字智能、金融理财、法律法规等通用知识，着力帮助老年人提升综合素养，更好适应现代生活。紧密结合西区“三线建设”文化传承与银发经济发展需求，精心开发特色化、地方性课程。系统开设金沙石画、苴却砚雕刻等非遗工艺传承班，积极培育“银发工匠”；围绕苏铁自然遗产保护展示区、河门口公园等文旅项目，精心开设讲解导览、生态保育等课程，着力培养“银发导游”与“生态护老”人才；结合社区“爱心储蓄站”“邻间茶室”等公益岗位需求，积极开设社区服务与管理微型认证课程。</w:t>
      </w:r>
    </w:p>
    <w:p w14:paraId="2630FD5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三、创新“代际共学”，促进文化融合传承</w:t>
      </w:r>
    </w:p>
    <w:p w14:paraId="068F84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制度化推广“祖孙研学日”“三线故事讲堂”等品牌活动。积极鼓励老年学员走进中小学担任课外辅导员，讲授历史、工艺、农事等知识；组织青少年志愿者为老年人提供数字化技能“反哺”教学。在河门口社区“共富工坊”等成功模式基础上，在全区推广建设一批“代际共学实践基地”，让“老有所传”与“少有所学”实现深度融合。</w:t>
      </w:r>
    </w:p>
    <w:p w14:paraId="34BF39EC">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85" w:name="_Toc32259"/>
      <w:bookmarkStart w:id="86" w:name="_Toc1341"/>
      <w:r>
        <w:rPr>
          <w:rFonts w:hint="default" w:ascii="Times New Roman" w:hAnsi="Times New Roman" w:eastAsia="黑体" w:cs="Times New Roman"/>
          <w:b w:val="0"/>
          <w:bCs/>
          <w:snapToGrid/>
          <w:color w:val="auto"/>
          <w:kern w:val="2"/>
          <w:sz w:val="32"/>
          <w:szCs w:val="32"/>
          <w:lang w:val="en-US" w:eastAsia="zh-CN"/>
        </w:rPr>
        <w:t>第二节 推动大龄劳动者和老年人就业创业</w:t>
      </w:r>
      <w:bookmarkEnd w:id="85"/>
      <w:bookmarkEnd w:id="86"/>
    </w:p>
    <w:p w14:paraId="73CB9D7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一、建立“银发人才信息库”，实施动态精准管理</w:t>
      </w:r>
    </w:p>
    <w:p w14:paraId="30FC11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将大龄劳动者（50岁以上）和健康低龄老年人视为宝贵的人力资源，整合人社、民政、卫健等部门数据，结合社区走访，建立西区银发人力资源动态信息库。重点采集有就业创业意愿、有专业特长（如老技术工人、老教师、老医生、老工匠）的老年人信息，详细记录其技能、健康、服务意愿和可用时段，为精准匹配奠定坚实基础。</w:t>
      </w:r>
    </w:p>
    <w:p w14:paraId="20AA0C8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二、拓展“四单链式”培训，提升就业创业技能</w:t>
      </w:r>
    </w:p>
    <w:p w14:paraId="7EAA9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推行“企业订单+培训机构列单+劳动者选单+政府买单”的“四单链式”职业技能培训模式。针对老年人力资源的特点，重点开发并政府补贴社区服务类、文旅传承类和灵活就业类培训项目，积极支持西区公共实训基地面向大龄劳动者开放部分工位，提供实操训练。</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380C0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2" w:hRule="atLeast"/>
        </w:trPr>
        <w:tc>
          <w:tcPr>
            <w:tcW w:w="5000" w:type="pct"/>
            <w:shd w:val="clear" w:color="auto" w:fill="BEBEBE"/>
            <w:vAlign w:val="center"/>
          </w:tcPr>
          <w:p w14:paraId="06DA1DB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9   西区“十五五”老年人力资源培训提升工程</w:t>
            </w:r>
          </w:p>
        </w:tc>
      </w:tr>
      <w:tr w14:paraId="6D757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000" w:type="pct"/>
            <w:vAlign w:val="top"/>
          </w:tcPr>
          <w:p w14:paraId="4CF25BCB">
            <w:pPr>
              <w:pStyle w:val="6"/>
              <w:ind w:left="0" w:leftChars="0" w:firstLine="0" w:firstLineChars="0"/>
              <w:rPr>
                <w:rFonts w:hint="default" w:ascii="Times New Roman" w:hAnsi="Times New Roman" w:eastAsia="方正仿宋_GBK"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1.</w:t>
            </w:r>
            <w:r>
              <w:rPr>
                <w:rFonts w:hint="default" w:ascii="Times New Roman" w:hAnsi="Times New Roman" w:eastAsia="方正仿宋_GBK" w:cs="Times New Roman"/>
                <w:b/>
                <w:bCs/>
                <w:color w:val="auto"/>
                <w:sz w:val="21"/>
                <w:szCs w:val="21"/>
                <w:lang w:eastAsia="zh-CN"/>
              </w:rPr>
              <w:t>社区服务类</w:t>
            </w:r>
            <w:r>
              <w:rPr>
                <w:rFonts w:hint="default" w:ascii="Times New Roman" w:hAnsi="Times New Roman" w:eastAsia="方正仿宋_GBK" w:cs="Times New Roman"/>
                <w:b/>
                <w:bCs/>
                <w:color w:val="auto"/>
                <w:sz w:val="21"/>
                <w:szCs w:val="21"/>
                <w:lang w:val="en-US" w:eastAsia="zh-CN"/>
              </w:rPr>
              <w:t>培训</w:t>
            </w:r>
            <w:r>
              <w:rPr>
                <w:rFonts w:hint="default" w:ascii="Times New Roman" w:hAnsi="Times New Roman" w:eastAsia="方正仿宋_GBK" w:cs="Times New Roman"/>
                <w:b/>
                <w:bCs/>
                <w:color w:val="auto"/>
                <w:sz w:val="21"/>
                <w:szCs w:val="21"/>
                <w:lang w:eastAsia="zh-CN"/>
              </w:rPr>
              <w:t>。</w:t>
            </w:r>
            <w:r>
              <w:rPr>
                <w:rFonts w:hint="default" w:ascii="Times New Roman" w:hAnsi="Times New Roman" w:eastAsia="方正仿宋_GBK" w:cs="Times New Roman"/>
                <w:b w:val="0"/>
                <w:bCs w:val="0"/>
                <w:color w:val="auto"/>
                <w:sz w:val="21"/>
                <w:szCs w:val="21"/>
                <w:lang w:val="en-US" w:eastAsia="zh-CN"/>
              </w:rPr>
              <w:t>重点</w:t>
            </w:r>
            <w:r>
              <w:rPr>
                <w:rFonts w:hint="default" w:ascii="Times New Roman" w:hAnsi="Times New Roman" w:eastAsia="方正仿宋_GBK" w:cs="Times New Roman"/>
                <w:color w:val="auto"/>
                <w:sz w:val="21"/>
                <w:szCs w:val="21"/>
                <w:lang w:eastAsia="zh-CN"/>
              </w:rPr>
              <w:t>短</w:t>
            </w:r>
            <w:r>
              <w:rPr>
                <w:rFonts w:hint="default" w:ascii="Times New Roman" w:hAnsi="Times New Roman" w:eastAsia="方正仿宋_GBK" w:cs="Times New Roman"/>
                <w:b w:val="0"/>
                <w:bCs w:val="0"/>
                <w:color w:val="auto"/>
                <w:sz w:val="21"/>
                <w:szCs w:val="21"/>
                <w:lang w:val="en-US" w:eastAsia="zh-CN"/>
              </w:rPr>
              <w:t>开展</w:t>
            </w:r>
            <w:r>
              <w:rPr>
                <w:rFonts w:hint="default" w:ascii="Times New Roman" w:hAnsi="Times New Roman" w:eastAsia="方正仿宋_GBK" w:cs="Times New Roman"/>
                <w:color w:val="auto"/>
                <w:sz w:val="21"/>
                <w:szCs w:val="21"/>
                <w:lang w:eastAsia="zh-CN"/>
              </w:rPr>
              <w:t>老年助餐点运营、日间照料助理、社区事务协调员</w:t>
            </w:r>
            <w:r>
              <w:rPr>
                <w:rFonts w:hint="default" w:ascii="Times New Roman" w:hAnsi="Times New Roman" w:eastAsia="方正仿宋_GBK" w:cs="Times New Roman"/>
                <w:color w:val="auto"/>
                <w:sz w:val="21"/>
                <w:szCs w:val="21"/>
                <w:lang w:val="en-US" w:eastAsia="zh-CN"/>
              </w:rPr>
              <w:t>等培训</w:t>
            </w:r>
            <w:r>
              <w:rPr>
                <w:rFonts w:hint="default" w:ascii="Times New Roman" w:hAnsi="Times New Roman" w:eastAsia="方正仿宋_GBK" w:cs="Times New Roman"/>
                <w:color w:val="auto"/>
                <w:sz w:val="21"/>
                <w:szCs w:val="21"/>
                <w:lang w:eastAsia="zh-CN"/>
              </w:rPr>
              <w:t>。</w:t>
            </w:r>
          </w:p>
          <w:p w14:paraId="2B343917">
            <w:pPr>
              <w:pStyle w:val="6"/>
              <w:ind w:left="0" w:leftChars="0" w:firstLine="0" w:firstLineChars="0"/>
              <w:rPr>
                <w:rFonts w:hint="default" w:ascii="Times New Roman" w:hAnsi="Times New Roman" w:eastAsia="方正仿宋_GBK"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2.</w:t>
            </w:r>
            <w:r>
              <w:rPr>
                <w:rFonts w:hint="default" w:ascii="Times New Roman" w:hAnsi="Times New Roman" w:eastAsia="方正仿宋_GBK" w:cs="Times New Roman"/>
                <w:b/>
                <w:bCs/>
                <w:color w:val="auto"/>
                <w:sz w:val="21"/>
                <w:szCs w:val="21"/>
                <w:lang w:eastAsia="zh-CN"/>
              </w:rPr>
              <w:t>文旅传承类</w:t>
            </w:r>
            <w:r>
              <w:rPr>
                <w:rFonts w:hint="default" w:ascii="Times New Roman" w:hAnsi="Times New Roman" w:eastAsia="方正仿宋_GBK" w:cs="Times New Roman"/>
                <w:b/>
                <w:bCs/>
                <w:color w:val="auto"/>
                <w:sz w:val="21"/>
                <w:szCs w:val="21"/>
                <w:lang w:val="en-US" w:eastAsia="zh-CN"/>
              </w:rPr>
              <w:t>培训</w:t>
            </w:r>
            <w:r>
              <w:rPr>
                <w:rFonts w:hint="default" w:ascii="Times New Roman" w:hAnsi="Times New Roman" w:eastAsia="方正仿宋_GBK" w:cs="Times New Roman"/>
                <w:b/>
                <w:bCs/>
                <w:color w:val="auto"/>
                <w:sz w:val="21"/>
                <w:szCs w:val="21"/>
                <w:lang w:eastAsia="zh-CN"/>
              </w:rPr>
              <w:t>。</w:t>
            </w:r>
            <w:r>
              <w:rPr>
                <w:rFonts w:hint="default" w:ascii="Times New Roman" w:hAnsi="Times New Roman" w:eastAsia="方正仿宋_GBK" w:cs="Times New Roman"/>
                <w:b w:val="0"/>
                <w:bCs w:val="0"/>
                <w:color w:val="auto"/>
                <w:sz w:val="21"/>
                <w:szCs w:val="21"/>
                <w:lang w:val="en-US" w:eastAsia="zh-CN"/>
              </w:rPr>
              <w:t>重点</w:t>
            </w:r>
            <w:r>
              <w:rPr>
                <w:rFonts w:hint="default" w:ascii="Times New Roman" w:hAnsi="Times New Roman" w:eastAsia="方正仿宋_GBK" w:cs="Times New Roman"/>
                <w:color w:val="auto"/>
                <w:sz w:val="21"/>
                <w:szCs w:val="21"/>
                <w:lang w:eastAsia="zh-CN"/>
              </w:rPr>
              <w:t>短</w:t>
            </w:r>
            <w:r>
              <w:rPr>
                <w:rFonts w:hint="default" w:ascii="Times New Roman" w:hAnsi="Times New Roman" w:eastAsia="方正仿宋_GBK" w:cs="Times New Roman"/>
                <w:b w:val="0"/>
                <w:bCs w:val="0"/>
                <w:color w:val="auto"/>
                <w:sz w:val="21"/>
                <w:szCs w:val="21"/>
                <w:lang w:val="en-US" w:eastAsia="zh-CN"/>
              </w:rPr>
              <w:t>开展</w:t>
            </w:r>
            <w:r>
              <w:rPr>
                <w:rFonts w:hint="default" w:ascii="Times New Roman" w:hAnsi="Times New Roman" w:eastAsia="方正仿宋_GBK" w:cs="Times New Roman"/>
                <w:color w:val="auto"/>
                <w:sz w:val="21"/>
                <w:szCs w:val="21"/>
                <w:lang w:eastAsia="zh-CN"/>
              </w:rPr>
              <w:t>“三线建设”历史讲解、非遗手工艺品制作与营销、乡村休闲旅游接待</w:t>
            </w:r>
            <w:r>
              <w:rPr>
                <w:rFonts w:hint="default" w:ascii="Times New Roman" w:hAnsi="Times New Roman" w:eastAsia="方正仿宋_GBK" w:cs="Times New Roman"/>
                <w:color w:val="auto"/>
                <w:sz w:val="21"/>
                <w:szCs w:val="21"/>
                <w:lang w:val="en-US" w:eastAsia="zh-CN"/>
              </w:rPr>
              <w:t>等培训</w:t>
            </w:r>
            <w:r>
              <w:rPr>
                <w:rFonts w:hint="default" w:ascii="Times New Roman" w:hAnsi="Times New Roman" w:eastAsia="方正仿宋_GBK" w:cs="Times New Roman"/>
                <w:color w:val="auto"/>
                <w:sz w:val="21"/>
                <w:szCs w:val="21"/>
                <w:lang w:eastAsia="zh-CN"/>
              </w:rPr>
              <w:t>。</w:t>
            </w:r>
          </w:p>
          <w:p w14:paraId="27C5255E">
            <w:pPr>
              <w:pStyle w:val="6"/>
              <w:ind w:left="0" w:leftChars="0" w:firstLine="0" w:firstLineChars="0"/>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3.</w:t>
            </w:r>
            <w:r>
              <w:rPr>
                <w:rFonts w:hint="default" w:ascii="Times New Roman" w:hAnsi="Times New Roman" w:eastAsia="方正仿宋_GBK" w:cs="Times New Roman"/>
                <w:b/>
                <w:bCs/>
                <w:color w:val="auto"/>
                <w:sz w:val="21"/>
                <w:szCs w:val="21"/>
                <w:lang w:eastAsia="zh-CN"/>
              </w:rPr>
              <w:t>灵活就业类</w:t>
            </w:r>
            <w:r>
              <w:rPr>
                <w:rFonts w:hint="default" w:ascii="Times New Roman" w:hAnsi="Times New Roman" w:eastAsia="方正仿宋_GBK" w:cs="Times New Roman"/>
                <w:b/>
                <w:bCs/>
                <w:color w:val="auto"/>
                <w:sz w:val="21"/>
                <w:szCs w:val="21"/>
                <w:lang w:val="en-US" w:eastAsia="zh-CN"/>
              </w:rPr>
              <w:t>培训</w:t>
            </w:r>
            <w:r>
              <w:rPr>
                <w:rFonts w:hint="default" w:ascii="Times New Roman" w:hAnsi="Times New Roman" w:eastAsia="方正仿宋_GBK" w:cs="Times New Roman"/>
                <w:b/>
                <w:bCs/>
                <w:color w:val="auto"/>
                <w:sz w:val="21"/>
                <w:szCs w:val="21"/>
                <w:lang w:eastAsia="zh-CN"/>
              </w:rPr>
              <w:t>。</w:t>
            </w:r>
            <w:r>
              <w:rPr>
                <w:rFonts w:hint="default" w:ascii="Times New Roman" w:hAnsi="Times New Roman" w:eastAsia="方正仿宋_GBK" w:cs="Times New Roman"/>
                <w:b w:val="0"/>
                <w:bCs w:val="0"/>
                <w:color w:val="auto"/>
                <w:sz w:val="21"/>
                <w:szCs w:val="21"/>
                <w:lang w:val="en-US" w:eastAsia="zh-CN"/>
              </w:rPr>
              <w:t>重点</w:t>
            </w:r>
            <w:r>
              <w:rPr>
                <w:rFonts w:hint="default" w:ascii="Times New Roman" w:hAnsi="Times New Roman" w:eastAsia="方正仿宋_GBK" w:cs="Times New Roman"/>
                <w:color w:val="auto"/>
                <w:sz w:val="21"/>
                <w:szCs w:val="21"/>
                <w:lang w:eastAsia="zh-CN"/>
              </w:rPr>
              <w:t>短</w:t>
            </w:r>
            <w:r>
              <w:rPr>
                <w:rFonts w:hint="default" w:ascii="Times New Roman" w:hAnsi="Times New Roman" w:eastAsia="方正仿宋_GBK" w:cs="Times New Roman"/>
                <w:b w:val="0"/>
                <w:bCs w:val="0"/>
                <w:color w:val="auto"/>
                <w:sz w:val="21"/>
                <w:szCs w:val="21"/>
                <w:lang w:val="en-US" w:eastAsia="zh-CN"/>
              </w:rPr>
              <w:t>开展</w:t>
            </w:r>
            <w:r>
              <w:rPr>
                <w:rFonts w:hint="default" w:ascii="Times New Roman" w:hAnsi="Times New Roman" w:eastAsia="方正仿宋_GBK" w:cs="Times New Roman"/>
                <w:color w:val="auto"/>
                <w:sz w:val="21"/>
                <w:szCs w:val="21"/>
                <w:lang w:eastAsia="zh-CN"/>
              </w:rPr>
              <w:t>视频制作与电商基础、家政服务（侧重老人陪伴护理）、特色农产品微店运营</w:t>
            </w:r>
            <w:r>
              <w:rPr>
                <w:rFonts w:hint="default" w:ascii="Times New Roman" w:hAnsi="Times New Roman" w:eastAsia="方正仿宋_GBK" w:cs="Times New Roman"/>
                <w:color w:val="auto"/>
                <w:sz w:val="21"/>
                <w:szCs w:val="21"/>
                <w:lang w:val="en-US" w:eastAsia="zh-CN"/>
              </w:rPr>
              <w:t>等培训</w:t>
            </w:r>
            <w:r>
              <w:rPr>
                <w:rFonts w:hint="default" w:ascii="Times New Roman" w:hAnsi="Times New Roman" w:eastAsia="方正仿宋_GBK" w:cs="Times New Roman"/>
                <w:color w:val="auto"/>
                <w:sz w:val="21"/>
                <w:szCs w:val="21"/>
                <w:lang w:eastAsia="zh-CN"/>
              </w:rPr>
              <w:t>。</w:t>
            </w:r>
          </w:p>
        </w:tc>
      </w:tr>
    </w:tbl>
    <w:p w14:paraId="4DA9521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三、搭建“公益+市场”双路径，创造多元参与机会</w:t>
      </w:r>
    </w:p>
    <w:p w14:paraId="08CE19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推广杨家坪社区“邻间茶室”模式，在老年助餐点、口袋公园、苏铁展示区等公共服务场所，优先开发“公益岗位”，吸纳低收入老年人参与运营、维护、简单服务，实现“服务老人、老人服务”的良性循环。依托攀枝花打造银发经济产业链的契机，积极鼓励企业开发适合老年人的灵活就业岗位。大力支持成立“银发人才服务社”或老年专业合作社，以团体形式承接企业外包的非核心业务。人社部门设立“银发创业绿色通道”，为有可行计划的老年人提供小额担保贷款、创业导师一对一辅导等全方位支持。</w:t>
      </w:r>
    </w:p>
    <w:p w14:paraId="76692AAB">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87" w:name="_Toc20672"/>
      <w:bookmarkStart w:id="88" w:name="_Toc9383"/>
      <w:r>
        <w:rPr>
          <w:rFonts w:hint="default" w:ascii="Times New Roman" w:hAnsi="Times New Roman" w:eastAsia="黑体" w:cs="Times New Roman"/>
          <w:b w:val="0"/>
          <w:bCs/>
          <w:snapToGrid/>
          <w:color w:val="auto"/>
          <w:kern w:val="2"/>
          <w:sz w:val="32"/>
          <w:szCs w:val="32"/>
          <w:lang w:val="en-US" w:eastAsia="zh-CN"/>
        </w:rPr>
        <w:t>第三节 促进老年人积极参与社会事务</w:t>
      </w:r>
      <w:bookmarkEnd w:id="87"/>
      <w:bookmarkEnd w:id="88"/>
    </w:p>
    <w:p w14:paraId="6B2AB4A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一、深化“花城银龄行动”，打造专业志愿服务品牌</w:t>
      </w:r>
    </w:p>
    <w:p w14:paraId="1813C0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充分挖掘老年人的经验、威望与时间优势，在全区系统化推广“花城银龄行动”，扶持培育“银发特派员”“三线五老志愿者”“桑榆互助团”三大类老年志愿服务团队，使老年人成为基层治理的“稳定器”和社区文明的“传播者”。</w:t>
      </w:r>
    </w:p>
    <w:p w14:paraId="2AEB1CD4">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二、完善“居民点菜”议事机制，保障老年话语权</w:t>
      </w:r>
    </w:p>
    <w:p w14:paraId="09068C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全面推广席草坪社区“居民议事会”经验，将其固化为城乡社区治理的标配机制。确保老年居民代表比例不低于其社区人口占比。议事主题应涵盖适老化改造、老年服务设施布局、老年活动开展等切身议题，使老旧小区改造、口袋公园建设等项目充分吸纳老年人的意见。</w:t>
      </w:r>
    </w:p>
    <w:p w14:paraId="4F9011CD">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三、搭建“老有所为”展示平台，营造尊崇参与的社会氛围</w:t>
      </w:r>
    </w:p>
    <w:p w14:paraId="60A811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每年定期举办“西区银龄风采周”，集中展示老年教育成果、志愿服务事迹和创业项目。联合新闻媒体，大力宣传“银发工匠”“公益老人”“治理达人”的先进事迹。积极推动党政机关、企事业单位、社会团体开放部分荣誉性、咨询性职位给有专长的老年人，如行风监督员、人民调解员、文化遗产保护顾问等，使其经验智慧持续贡献社会。</w:t>
      </w:r>
    </w:p>
    <w:p w14:paraId="3665E466">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89" w:name="_Toc20344"/>
      <w:r>
        <w:rPr>
          <w:rFonts w:hint="default" w:ascii="Times New Roman" w:hAnsi="Times New Roman" w:eastAsia="Arial Unicode MS" w:cs="Times New Roman"/>
          <w:b w:val="0"/>
          <w:bCs/>
          <w:snapToGrid/>
          <w:color w:val="auto"/>
          <w:sz w:val="32"/>
          <w:szCs w:val="32"/>
          <w:lang w:val="en-US" w:eastAsia="zh-CN"/>
        </w:rPr>
        <w:t>第十章 加强养老服务人才队伍建设</w:t>
      </w:r>
      <w:bookmarkEnd w:id="89"/>
    </w:p>
    <w:p w14:paraId="73BAB95F">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0" w:name="_Toc3189"/>
      <w:r>
        <w:rPr>
          <w:rFonts w:hint="default" w:ascii="Times New Roman" w:hAnsi="Times New Roman" w:eastAsia="黑体" w:cs="Times New Roman"/>
          <w:b w:val="0"/>
          <w:bCs/>
          <w:snapToGrid/>
          <w:color w:val="auto"/>
          <w:kern w:val="2"/>
          <w:sz w:val="32"/>
          <w:szCs w:val="32"/>
          <w:lang w:val="en-US" w:eastAsia="zh-CN"/>
        </w:rPr>
        <w:t>第一节 扩大人才培养规模</w:t>
      </w:r>
      <w:bookmarkEnd w:id="90"/>
    </w:p>
    <w:p w14:paraId="45769EC5">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一、完善培养体系</w:t>
      </w:r>
    </w:p>
    <w:p w14:paraId="7696B8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支持攀枝花学院、四川机电职业技术学院等本地高等院校、技工院校设置养老服务、健康管理、康复护理等专业方向，积极开展“现代学徒制”培养，定向培养老年医学、康复护理、社会工作等专业人才。建立校企合作实训基地，切实提高人才培养质量。实施人才引育工程，积极响应省级层面探索建立的养老服务师职业资格和养老护理职称体系，研究制定西区养老服务人才专项培养计划，不断壮大专业化人才队伍。</w:t>
      </w:r>
    </w:p>
    <w:p w14:paraId="564EC69C">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二、加强老年服务人员专业化职业培训</w:t>
      </w:r>
    </w:p>
    <w:p w14:paraId="1B2938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深入落实养老护理员技能提升行动，优化培训课程，聚焦日常照护、康复护理、应急处置等实用技能，每年培训不少于50人次。落实职业激励政策，对考取养老护理相关职业资格证书的从业人员，按标准发放专项补贴。常态化开展养老院院长、老年社会工作者专题研修培训，聚焦运营管理、心理疏导、服务规范等重点，全面强化从业人员综合素养，切实提升养老机构管理水平与养老服务质量。</w:t>
      </w:r>
    </w:p>
    <w:p w14:paraId="7C3E7917">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1" w:name="_Toc4162"/>
      <w:r>
        <w:rPr>
          <w:rFonts w:hint="default" w:ascii="Times New Roman" w:hAnsi="Times New Roman" w:eastAsia="黑体" w:cs="Times New Roman"/>
          <w:b w:val="0"/>
          <w:bCs/>
          <w:snapToGrid/>
          <w:color w:val="auto"/>
          <w:kern w:val="2"/>
          <w:sz w:val="32"/>
          <w:szCs w:val="32"/>
          <w:lang w:val="en-US" w:eastAsia="zh-CN"/>
        </w:rPr>
        <w:t>第二节 完善激励保障政策</w:t>
      </w:r>
      <w:bookmarkEnd w:id="91"/>
    </w:p>
    <w:p w14:paraId="47CDE716">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一、提高薪酬待遇</w:t>
      </w:r>
    </w:p>
    <w:p w14:paraId="211FEC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健全激励褒扬机制，建立养老护理员薪酬等级体系，将薪酬水平与技能等级、工作年限、服务质量全面挂钩。全面落实《关于加强攀枝花市养老机构服务人员从业补贴发放管理工作的通知》等养老服务人员岗位津贴、入职补贴等激励政策，对在农村和偏远地区工作的护理员给予额外补贴。</w:t>
      </w:r>
    </w:p>
    <w:p w14:paraId="3B645E61">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二、畅通职业发展通道</w:t>
      </w:r>
    </w:p>
    <w:p w14:paraId="18CB39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积极开发“社区助老员”等新型岗位，探索将养老护理员纳入职称评审体系，设置初级、中级、高级职称，切实打通职业上升路径。积极组织开展全国养老护理职业技能大赛，对优秀者给予表彰奖励，不断提升职业认同感。</w:t>
      </w:r>
    </w:p>
    <w:p w14:paraId="0D13BE50">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2" w:name="_Toc25086"/>
      <w:r>
        <w:rPr>
          <w:rFonts w:hint="default" w:ascii="Times New Roman" w:hAnsi="Times New Roman" w:eastAsia="黑体" w:cs="Times New Roman"/>
          <w:b w:val="0"/>
          <w:bCs/>
          <w:snapToGrid/>
          <w:color w:val="auto"/>
          <w:kern w:val="2"/>
          <w:sz w:val="32"/>
          <w:szCs w:val="32"/>
          <w:lang w:val="en-US" w:eastAsia="zh-CN"/>
        </w:rPr>
        <w:t>第三节 优化从业环境</w:t>
      </w:r>
      <w:bookmarkEnd w:id="92"/>
    </w:p>
    <w:p w14:paraId="20EFBD5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一、加强养老从业者权益保障</w:t>
      </w:r>
    </w:p>
    <w:p w14:paraId="2563CE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严格依照劳动相关法律法规，与养老从业者依法签订规范劳动合同，明确薪酬、工时、岗位职责等条款，按时足额缴纳各类社会保险。完善内部劳动争议调解机制，畅通维权渠道，高效化解劳资纠纷，切实维护养老护理员合法权益。优化从业工作环境，配齐防护设施，合理调配工作任务、降低劳动强度，改善薪资福利与晋升体系，持续提升从业者职业归属感与幸福感。</w:t>
      </w:r>
    </w:p>
    <w:p w14:paraId="3B94388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二、营造良好敬老爱老社会氛围</w:t>
      </w:r>
    </w:p>
    <w:p w14:paraId="45857C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常态化开展“最美养老护理员”“优秀为老服务组织”等评选表彰活动，挖掘行业先进人物与优质服务机构。依托线上线下多元媒体渠道，加大先进典型事迹宣传推广力度，讲好为老服务暖心故事。破除行业刻板印象，正向引导社会舆论，不断提高养老行业社会认可度，增强从业人员的社会认同感、职业荣誉感与行业归属感。</w:t>
      </w:r>
    </w:p>
    <w:tbl>
      <w:tblPr>
        <w:tblStyle w:val="2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51"/>
      </w:tblGrid>
      <w:tr w14:paraId="55BC8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000" w:type="pct"/>
            <w:shd w:val="clear" w:color="auto" w:fill="BEBEBE"/>
            <w:vAlign w:val="center"/>
          </w:tcPr>
          <w:p w14:paraId="4F27334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方正仿宋_GB2312" w:cs="Times New Roman"/>
                <w:color w:val="auto"/>
                <w:sz w:val="21"/>
                <w:szCs w:val="21"/>
                <w:lang w:val="en-US" w:eastAsia="zh-CN"/>
              </w:rPr>
            </w:pPr>
            <w:r>
              <w:rPr>
                <w:rFonts w:hint="default" w:ascii="Times New Roman" w:hAnsi="Times New Roman" w:eastAsia="黑体" w:cs="Times New Roman"/>
                <w:b/>
                <w:bCs/>
                <w:color w:val="auto"/>
                <w:sz w:val="21"/>
                <w:szCs w:val="21"/>
                <w:lang w:eastAsia="zh-CN"/>
              </w:rPr>
              <w:t>专栏</w:t>
            </w:r>
            <w:r>
              <w:rPr>
                <w:rFonts w:hint="default" w:ascii="Times New Roman" w:hAnsi="Times New Roman" w:eastAsia="黑体" w:cs="Times New Roman"/>
                <w:b/>
                <w:bCs/>
                <w:color w:val="auto"/>
                <w:sz w:val="21"/>
                <w:szCs w:val="21"/>
                <w:lang w:val="en-US" w:eastAsia="zh-CN"/>
              </w:rPr>
              <w:t>10   西区“十五五”</w:t>
            </w:r>
            <w:r>
              <w:rPr>
                <w:rFonts w:hint="default" w:ascii="Times New Roman" w:hAnsi="Times New Roman" w:eastAsia="黑体" w:cs="Times New Roman"/>
                <w:b/>
                <w:bCs/>
                <w:color w:val="auto"/>
                <w:sz w:val="21"/>
                <w:szCs w:val="21"/>
                <w:lang w:eastAsia="zh-CN"/>
              </w:rPr>
              <w:t>养老服务人才队伍建设</w:t>
            </w:r>
            <w:r>
              <w:rPr>
                <w:rFonts w:hint="default" w:ascii="Times New Roman" w:hAnsi="Times New Roman" w:eastAsia="黑体" w:cs="Times New Roman"/>
                <w:b/>
                <w:bCs/>
                <w:color w:val="auto"/>
                <w:sz w:val="21"/>
                <w:szCs w:val="21"/>
                <w:lang w:val="en-US" w:eastAsia="zh-CN"/>
              </w:rPr>
              <w:t>重点建设项目</w:t>
            </w:r>
          </w:p>
        </w:tc>
      </w:tr>
      <w:tr w14:paraId="52D23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000" w:type="pct"/>
            <w:vAlign w:val="top"/>
          </w:tcPr>
          <w:p w14:paraId="189464D2">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eastAsia="方正仿宋_GBK"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1.</w:t>
            </w:r>
            <w:r>
              <w:rPr>
                <w:rFonts w:hint="default" w:ascii="Times New Roman" w:hAnsi="Times New Roman" w:eastAsia="方正仿宋_GBK" w:cs="Times New Roman"/>
                <w:b/>
                <w:bCs/>
                <w:color w:val="auto"/>
                <w:sz w:val="21"/>
                <w:szCs w:val="21"/>
                <w:lang w:eastAsia="zh-CN"/>
              </w:rPr>
              <w:t>攀枝花市西区养老服务人才培训基地项目。</w:t>
            </w:r>
            <w:r>
              <w:rPr>
                <w:rFonts w:hint="default" w:ascii="Times New Roman" w:hAnsi="Times New Roman" w:eastAsia="方正仿宋_GBK" w:cs="Times New Roman"/>
                <w:color w:val="auto"/>
                <w:sz w:val="21"/>
                <w:szCs w:val="21"/>
                <w:lang w:eastAsia="zh-CN"/>
              </w:rPr>
              <w:t>新建，建筑面积约5000平方米，包括教室、会议室、办公室、餐厅、图书馆等功能区域，总投资0.75亿元。</w:t>
            </w:r>
            <w:r>
              <w:rPr>
                <w:rFonts w:hint="default" w:ascii="Times New Roman" w:hAnsi="Times New Roman" w:eastAsia="方正仿宋_GBK" w:cs="Times New Roman"/>
                <w:color w:val="auto"/>
                <w:sz w:val="21"/>
                <w:szCs w:val="21"/>
                <w:lang w:eastAsia="zh-CN"/>
              </w:rPr>
              <w:tab/>
            </w:r>
          </w:p>
          <w:p w14:paraId="6B56A00F">
            <w:pPr>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default" w:ascii="Times New Roman" w:hAnsi="Times New Roman" w:eastAsia="方正仿宋_GB2312" w:cs="Times New Roman"/>
                <w:color w:val="auto"/>
                <w:sz w:val="21"/>
                <w:szCs w:val="21"/>
                <w:lang w:eastAsia="zh-CN"/>
              </w:rPr>
            </w:pPr>
            <w:r>
              <w:rPr>
                <w:rFonts w:hint="default" w:ascii="Times New Roman" w:hAnsi="Times New Roman" w:eastAsia="方正仿宋_GBK" w:cs="Times New Roman"/>
                <w:b/>
                <w:bCs/>
                <w:color w:val="auto"/>
                <w:sz w:val="21"/>
                <w:szCs w:val="21"/>
                <w:lang w:val="en-US" w:eastAsia="zh-CN"/>
              </w:rPr>
              <w:t>2.</w:t>
            </w:r>
            <w:r>
              <w:rPr>
                <w:rFonts w:hint="default" w:ascii="Times New Roman" w:hAnsi="Times New Roman" w:eastAsia="方正仿宋_GBK" w:cs="Times New Roman"/>
                <w:b/>
                <w:bCs/>
                <w:color w:val="auto"/>
                <w:sz w:val="21"/>
                <w:szCs w:val="21"/>
                <w:lang w:eastAsia="zh-CN"/>
              </w:rPr>
              <w:t>攀枝花市西区区级老年大学项目。</w:t>
            </w:r>
            <w:r>
              <w:rPr>
                <w:rFonts w:hint="default" w:ascii="Times New Roman" w:hAnsi="Times New Roman" w:eastAsia="方正仿宋_GBK" w:cs="Times New Roman"/>
                <w:color w:val="auto"/>
                <w:sz w:val="21"/>
                <w:szCs w:val="21"/>
                <w:lang w:eastAsia="zh-CN"/>
              </w:rPr>
              <w:t>新建，建设总面积约10000平方米，设置教学楼、综合楼、体育场、图书馆等，总投资1亿元。</w:t>
            </w:r>
          </w:p>
        </w:tc>
      </w:tr>
    </w:tbl>
    <w:p w14:paraId="59200A6E">
      <w:pPr>
        <w:pStyle w:val="3"/>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Arial Unicode MS" w:cs="Times New Roman"/>
          <w:b w:val="0"/>
          <w:bCs/>
          <w:snapToGrid/>
          <w:color w:val="auto"/>
          <w:sz w:val="32"/>
          <w:szCs w:val="32"/>
          <w:lang w:val="en-US" w:eastAsia="zh-CN"/>
        </w:rPr>
      </w:pPr>
      <w:bookmarkStart w:id="93" w:name="_Toc27923"/>
      <w:bookmarkStart w:id="94" w:name="_Toc30404"/>
      <w:r>
        <w:rPr>
          <w:rFonts w:hint="default" w:ascii="Times New Roman" w:hAnsi="Times New Roman" w:eastAsia="Arial Unicode MS" w:cs="Times New Roman"/>
          <w:b w:val="0"/>
          <w:bCs/>
          <w:snapToGrid/>
          <w:color w:val="auto"/>
          <w:sz w:val="32"/>
          <w:szCs w:val="32"/>
          <w:lang w:val="en-US" w:eastAsia="zh-CN"/>
        </w:rPr>
        <w:t>第十一章 保障措施</w:t>
      </w:r>
      <w:bookmarkEnd w:id="93"/>
      <w:bookmarkEnd w:id="94"/>
    </w:p>
    <w:p w14:paraId="52F4DC5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5" w:name="_Toc3660"/>
      <w:bookmarkStart w:id="96" w:name="_Toc17384"/>
      <w:r>
        <w:rPr>
          <w:rFonts w:hint="default" w:ascii="Times New Roman" w:hAnsi="Times New Roman" w:eastAsia="黑体" w:cs="Times New Roman"/>
          <w:b w:val="0"/>
          <w:bCs/>
          <w:snapToGrid/>
          <w:color w:val="auto"/>
          <w:kern w:val="2"/>
          <w:sz w:val="32"/>
          <w:szCs w:val="32"/>
          <w:lang w:val="en-US" w:eastAsia="zh-CN"/>
        </w:rPr>
        <w:t>第一节 加强组织领导，构建高位统筹协同新格局</w:t>
      </w:r>
      <w:bookmarkEnd w:id="95"/>
      <w:bookmarkEnd w:id="96"/>
    </w:p>
    <w:p w14:paraId="7B2216C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一、加强组织领导</w:t>
      </w:r>
    </w:p>
    <w:p w14:paraId="3F5165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坚持和加强党对老龄工作的全面领导，建立健全权责清晰、协同高效、执行有力的组织领导和协调机制，形成“党委领导、政府主导、部门协同、社会参与、全民行动”的工作格局。定期召开全体会议，研究部署重大事项，统筹解决规划实施中的跨部门、跨层级的重点难点问题，形成政策合力。</w:t>
      </w:r>
    </w:p>
    <w:p w14:paraId="4FA5224F">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二、压实主体与属地责任</w:t>
      </w:r>
    </w:p>
    <w:p w14:paraId="133270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将老龄事业发展核心指标和重点任务纳入全区国民经济和社会发展规划，并作为对区级相关部门、各街道（镇）年度绩效评价和领导干部综合考核的重要参考依据。明确区民政局作为牵头部门，负责统筹协调和日常督导；各成员单位依据职责分工，细化落实任务；各街道（镇）切实落实属地责任，确保各项政策在基层精准落地。</w:t>
      </w:r>
    </w:p>
    <w:p w14:paraId="5F8712C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三、强化规划衔接与监测评估</w:t>
      </w:r>
    </w:p>
    <w:p w14:paraId="3F9ED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确保本规划与《四川省推进基本养老服务体系建设实施方案》《攀枝花市建设全省银发经济产业链主要承载地工作方案（2025—2027年）》《攀枝花市深化养老服务改革建设社区分类式照护养老服务体系工作方案（2025—2027年）》等上级规划紧密衔接、同频共振。建立规划年度监测、中期评估和终期总结制度，委托第三方专业机构开展独立评估，根据评估结果和形势变化，动态优化规划实施路径。</w:t>
      </w:r>
    </w:p>
    <w:p w14:paraId="4EA458E4">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7" w:name="_Toc11359"/>
      <w:bookmarkStart w:id="98" w:name="_Toc327"/>
      <w:r>
        <w:rPr>
          <w:rFonts w:hint="default" w:ascii="Times New Roman" w:hAnsi="Times New Roman" w:eastAsia="黑体" w:cs="Times New Roman"/>
          <w:b w:val="0"/>
          <w:bCs/>
          <w:snapToGrid/>
          <w:color w:val="auto"/>
          <w:kern w:val="2"/>
          <w:sz w:val="32"/>
          <w:szCs w:val="32"/>
          <w:lang w:val="en-US" w:eastAsia="zh-CN"/>
        </w:rPr>
        <w:t>第二节 强化制度保障，织密普惠精准政策支撑网</w:t>
      </w:r>
      <w:bookmarkEnd w:id="97"/>
      <w:bookmarkEnd w:id="98"/>
    </w:p>
    <w:p w14:paraId="0E64D289">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一、建立并动态调整基本养老服务清单制度</w:t>
      </w:r>
    </w:p>
    <w:p w14:paraId="759C63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以制度建设为核心，构建覆盖全面、层次清晰、动态调整的政策体系，为养老服务高质量发展提供稳定、公平、可持续的制度环境。严格落实《四川省基本养老服务清单》，并结合西区实际，制定并公开发布《西区基本养老服务清单》，明确服务对象、项目、内容、标准和支出责任。清单应聚焦失能、残疾、高龄、空巢等特殊困难老年人的基本照护需求，涵盖助餐、助洁、助浴、助医、助行、巡访关爱等核心项目。建立清单动态调整机制，根据财力状况和老年人需求变化适时拓展和升级服务项目。</w:t>
      </w:r>
    </w:p>
    <w:p w14:paraId="30B9C04B">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二、完善精准识别与主动响应机制</w:t>
      </w:r>
    </w:p>
    <w:p w14:paraId="7EC2E3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建立困难老年人数据库，整合民政、卫健、残联、医保等部门数据，实现对孤寡、独居、空巢、失能、残疾等老年人的精准识别、动态管理和服务主动推送。</w:t>
      </w:r>
    </w:p>
    <w:p w14:paraId="20D5C08E">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99" w:name="_Toc4623"/>
      <w:bookmarkStart w:id="100" w:name="_Toc27785"/>
      <w:r>
        <w:rPr>
          <w:rFonts w:hint="default" w:ascii="Times New Roman" w:hAnsi="Times New Roman" w:eastAsia="黑体" w:cs="Times New Roman"/>
          <w:b w:val="0"/>
          <w:bCs/>
          <w:snapToGrid/>
          <w:color w:val="auto"/>
          <w:kern w:val="2"/>
          <w:sz w:val="32"/>
          <w:szCs w:val="32"/>
          <w:lang w:val="en-US" w:eastAsia="zh-CN"/>
        </w:rPr>
        <w:t>第三节 强化要素支撑，筑牢可持续发展硬基础</w:t>
      </w:r>
      <w:bookmarkEnd w:id="99"/>
      <w:bookmarkEnd w:id="100"/>
    </w:p>
    <w:p w14:paraId="012138BB">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一、拓宽多元资金投入渠道</w:t>
      </w:r>
    </w:p>
    <w:p w14:paraId="76353E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一是强化财政保障。建立与本地区老龄化程度和养老服务需求相适应的基本养老服务经费保障机制。积极争取中央预算内投资、省级养老服务体系建设补助资金、市级共同富裕试验区建设专项资金等上级资金支持。二是落实优惠扶持。全面落实养老服务机构在税费减免、水电气暖居民价格等方面的优惠政策。优化社会力量参与养老服务的建设补贴和运营补贴政策，探索对护理型床位给予更高补贴，积极引导社会资本投向普惠型养老服务。三是引导金融与社会资本。充分利用攀枝花市打造“全省银发经济产业链主要承载地”的政策机遇，引导金融机构创新适合养老服务业的信贷产品。规范并促进福利彩票公益金用于支持发展养老服务。</w:t>
      </w:r>
    </w:p>
    <w:p w14:paraId="61E7E212">
      <w:pPr>
        <w:pStyle w:val="5"/>
        <w:widowControl w:val="0"/>
        <w:kinsoku/>
        <w:autoSpaceDE/>
        <w:autoSpaceDN/>
        <w:adjustRightInd/>
        <w:snapToGrid/>
        <w:spacing w:before="0" w:beforeLines="-2147483648" w:beforeAutospacing="0" w:after="0" w:afterLines="-2147483648" w:afterAutospacing="0"/>
        <w:ind w:firstLine="640" w:firstLineChars="200"/>
        <w:jc w:val="both"/>
        <w:textAlignment w:val="auto"/>
        <w:rPr>
          <w:rFonts w:hint="default" w:ascii="Times New Roman" w:hAnsi="Times New Roman" w:eastAsia="方正仿宋_GB2312" w:cs="Times New Roman"/>
          <w:b/>
          <w:bCs w:val="0"/>
          <w:snapToGrid/>
          <w:color w:val="auto"/>
          <w:kern w:val="2"/>
          <w:sz w:val="32"/>
          <w:szCs w:val="32"/>
          <w:lang w:val="en-US" w:eastAsia="zh-CN"/>
        </w:rPr>
      </w:pPr>
      <w:r>
        <w:rPr>
          <w:rFonts w:hint="default" w:ascii="Times New Roman" w:hAnsi="Times New Roman" w:eastAsia="黑体" w:cs="Times New Roman"/>
          <w:b w:val="0"/>
          <w:bCs/>
          <w:snapToGrid/>
          <w:color w:val="auto"/>
          <w:kern w:val="2"/>
          <w:szCs w:val="24"/>
          <w:lang w:val="en-US" w:eastAsia="zh-CN"/>
        </w:rPr>
        <w:t>二、保障设施与用地需求</w:t>
      </w:r>
    </w:p>
    <w:p w14:paraId="721B2C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据国土空间规划，科学优化西区养老服务设施布局方案。严格落实新建住宅小区与配套养老服务设施“四同步”（同步规划、同步建设、同步验收、同步交付）要求。通过整合利用政府闲置资产、企事业单位腾退用房、老旧小区改造补建等多种方式，多渠道解决养老服务设施用房问题。重点推进“十五五”期间重大项目建设，确保已纳入计划的“大宝鼎街道社区养老服务综合体”等标杆项目按期高质量建成并投入运营，切实提升区域养老服务骨干网的支撑能力。</w:t>
      </w:r>
    </w:p>
    <w:p w14:paraId="4FA0575F">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01" w:name="_Toc15884"/>
      <w:bookmarkStart w:id="102" w:name="_Toc7999"/>
      <w:r>
        <w:rPr>
          <w:rFonts w:hint="default" w:ascii="Times New Roman" w:hAnsi="Times New Roman" w:eastAsia="黑体" w:cs="Times New Roman"/>
          <w:b w:val="0"/>
          <w:bCs/>
          <w:snapToGrid/>
          <w:color w:val="auto"/>
          <w:kern w:val="2"/>
          <w:sz w:val="32"/>
          <w:szCs w:val="32"/>
          <w:lang w:val="en-US" w:eastAsia="zh-CN"/>
        </w:rPr>
        <w:t>第四节 加强舆论宣传，营造尊老敬老社会新风尚</w:t>
      </w:r>
      <w:bookmarkEnd w:id="101"/>
      <w:bookmarkEnd w:id="102"/>
    </w:p>
    <w:p w14:paraId="08AD1183">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一、弘扬孝亲敬老文化</w:t>
      </w:r>
    </w:p>
    <w:p w14:paraId="7F2091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将积极老龄观、健康老龄化理念融入经济社会发展全过程，构建全龄友好、全民参与的养老孝老敬老社会环境。依托“敬老月”、重阳节等节点，精心组织开展形式多样的文化活动、先进典型选树和走访慰问活动。深入挖掘和宣传西区在“三线建设”时期老一辈建设者的奋斗精神，将其与新时代养老服务工作紧密结合，不断增强老年人的荣誉感和社会价值感。</w:t>
      </w:r>
    </w:p>
    <w:p w14:paraId="4D28545B">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二、推广养老服务品牌与创新模式</w:t>
      </w:r>
    </w:p>
    <w:p w14:paraId="0762D1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大力宣传推广攀枝花市创新的“三边一网一图”分类式照护服务体系，让辖区老年人及其家庭充分了解并会用、善用身边的服务资源。持续擦亮“花城银龄行动”品牌，鼓励和支持“银发特派员”“老倌说事”等老年志愿团队在西区积极开展基层治理、邻里互助、关心下一代等活动，充分发挥低龄老年人的积极作用。</w:t>
      </w:r>
    </w:p>
    <w:p w14:paraId="4B905258">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三、加强政策与服务宣传引导</w:t>
      </w:r>
    </w:p>
    <w:p w14:paraId="2EE2B5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充分利用政府网站、新媒体平台、社区宣传栏等多种渠道，以通俗易懂的形式，常态化解读基本养老服务清单、高龄津贴、长期护理保险、适老化改造等惠民政策。切实加强对防范养老诈骗、非法集资的宣传教育工作，不断提高老年人及其家庭的识别能力和风险防范意识。</w:t>
      </w:r>
    </w:p>
    <w:p w14:paraId="02A998C1">
      <w:pPr>
        <w:pStyle w:val="4"/>
        <w:keepNext/>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80" w:lineRule="exact"/>
        <w:jc w:val="center"/>
        <w:textAlignment w:val="auto"/>
        <w:rPr>
          <w:rFonts w:hint="default" w:ascii="Times New Roman" w:hAnsi="Times New Roman" w:eastAsia="黑体" w:cs="Times New Roman"/>
          <w:b w:val="0"/>
          <w:bCs/>
          <w:snapToGrid/>
          <w:color w:val="auto"/>
          <w:kern w:val="2"/>
          <w:sz w:val="32"/>
          <w:szCs w:val="32"/>
          <w:lang w:val="en-US" w:eastAsia="zh-CN"/>
        </w:rPr>
      </w:pPr>
      <w:bookmarkStart w:id="103" w:name="_Toc22386"/>
      <w:bookmarkStart w:id="104" w:name="_Toc770"/>
      <w:r>
        <w:rPr>
          <w:rFonts w:hint="default" w:ascii="Times New Roman" w:hAnsi="Times New Roman" w:eastAsia="黑体" w:cs="Times New Roman"/>
          <w:b w:val="0"/>
          <w:bCs/>
          <w:snapToGrid/>
          <w:color w:val="auto"/>
          <w:kern w:val="2"/>
          <w:sz w:val="32"/>
          <w:szCs w:val="32"/>
          <w:lang w:val="en-US" w:eastAsia="zh-CN"/>
        </w:rPr>
        <w:t>第五节 健全综合监管体系，守住安全发展生命线</w:t>
      </w:r>
      <w:bookmarkEnd w:id="103"/>
      <w:bookmarkEnd w:id="104"/>
    </w:p>
    <w:p w14:paraId="2962CFD2">
      <w:pPr>
        <w:pStyle w:val="5"/>
        <w:keepNext/>
        <w:keepLines w:val="0"/>
        <w:pageBreakBefore w:val="0"/>
        <w:widowControl w:val="0"/>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snapToGrid/>
          <w:color w:val="auto"/>
          <w:kern w:val="2"/>
          <w:szCs w:val="24"/>
          <w:lang w:val="en-US" w:eastAsia="zh-CN"/>
        </w:rPr>
      </w:pPr>
      <w:r>
        <w:rPr>
          <w:rFonts w:hint="default" w:ascii="Times New Roman" w:hAnsi="Times New Roman" w:eastAsia="黑体" w:cs="Times New Roman"/>
          <w:b w:val="0"/>
          <w:bCs/>
          <w:snapToGrid/>
          <w:color w:val="auto"/>
          <w:kern w:val="2"/>
          <w:szCs w:val="24"/>
          <w:lang w:val="en-US" w:eastAsia="zh-CN"/>
        </w:rPr>
        <w:t>一、优化协同监管机制</w:t>
      </w:r>
    </w:p>
    <w:p w14:paraId="341FF2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依照《养老机构管理办法》（中华人民共和国民政部令第66号）、《养老机构安全管理》（MZ/T032—2012）、《养老机构服务安全基本规范》（GB38600—2019）、《养老机构服务质量基本规范》（GB/T35796—2017）等管理办法和行业标准，严格执行《攀枝花市养老机构安全规范》，切实加强养老机构在安全管理体系、服务安全、建筑安全、消防安全、食品安全、药品安全、电气安全、燃气安全、特种设备安全、传染病防控、人身财产安全、健身器材安全、监控设备安全、信息安全、环境保护、安全标志设置、突发事件应急管理以及安全教育与培训等方面的综合管理，健全“双随机、一公开”、联合执法、信息共享、结果互认的协同监管机制，着力构建覆盖养老服务全行业、全流程、全要素的综合监管体系，促进行业健康规范有序发展。</w:t>
      </w:r>
    </w:p>
    <w:p w14:paraId="4F5B59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snapToGrid/>
          <w:color w:val="auto"/>
          <w:kern w:val="2"/>
          <w:sz w:val="32"/>
          <w:szCs w:val="24"/>
          <w:lang w:val="en-US" w:eastAsia="zh-CN" w:bidi="ar-SA"/>
        </w:rPr>
      </w:pPr>
      <w:r>
        <w:rPr>
          <w:rFonts w:hint="default" w:ascii="Times New Roman" w:hAnsi="Times New Roman" w:eastAsia="黑体" w:cs="Times New Roman"/>
          <w:b w:val="0"/>
          <w:bCs/>
          <w:snapToGrid/>
          <w:color w:val="auto"/>
          <w:kern w:val="2"/>
          <w:sz w:val="32"/>
          <w:szCs w:val="24"/>
          <w:lang w:val="en-US" w:eastAsia="zh-CN" w:bidi="ar-SA"/>
        </w:rPr>
        <w:t>二、推行分级分类与信用监管</w:t>
      </w:r>
    </w:p>
    <w:p w14:paraId="2C2A92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b w:val="0"/>
          <w:bCs/>
          <w:snapToGrid/>
          <w:color w:val="auto"/>
          <w:kern w:val="2"/>
          <w:sz w:val="32"/>
          <w:szCs w:val="32"/>
          <w:lang w:val="en-US" w:eastAsia="zh-CN"/>
        </w:rPr>
      </w:pPr>
      <w:r>
        <w:rPr>
          <w:rFonts w:hint="default" w:ascii="Times New Roman" w:hAnsi="Times New Roman" w:eastAsia="方正仿宋_GB2312" w:cs="Times New Roman"/>
          <w:b w:val="0"/>
          <w:bCs/>
          <w:snapToGrid/>
          <w:color w:val="auto"/>
          <w:kern w:val="2"/>
          <w:sz w:val="32"/>
          <w:szCs w:val="32"/>
          <w:lang w:val="en-US" w:eastAsia="zh-CN"/>
        </w:rPr>
        <w:t>完善养老机构备案管理办法。对辖区内养老机构建立“红黄蓝”风险隐患分级管控机制，根据风险等级实施差异化、精准化监管。建立养老服务机构和从业人员信用档案，记录信用信息，依法实施守信激励和失信惩戒。</w:t>
      </w:r>
    </w:p>
    <w:sectPr>
      <w:footerReference r:id="rId7" w:type="default"/>
      <w:pgSz w:w="11906" w:h="16838"/>
      <w:pgMar w:top="2098" w:right="1474" w:bottom="2098" w:left="158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13871D-4FE1-46DC-9EA5-3A571DADFB27}"/>
  </w:font>
  <w:font w:name="黑体">
    <w:panose1 w:val="02010609060101010101"/>
    <w:charset w:val="86"/>
    <w:family w:val="auto"/>
    <w:pitch w:val="default"/>
    <w:sig w:usb0="800002BF" w:usb1="38CF7CFA" w:usb2="00000016" w:usb3="00000000" w:csb0="00040001" w:csb1="00000000"/>
    <w:embedRegular r:id="rId2" w:fontKey="{F1986688-0284-4DA4-949B-EAA816F953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3" w:fontKey="{2C72F167-65B8-472B-BFD0-D1F5D2DF47A9}"/>
  </w:font>
  <w:font w:name="方正小标宋_GBK">
    <w:panose1 w:val="03000509000000000000"/>
    <w:charset w:val="86"/>
    <w:family w:val="auto"/>
    <w:pitch w:val="default"/>
    <w:sig w:usb0="00000001" w:usb1="080E0000" w:usb2="00000000" w:usb3="00000000" w:csb0="00040000" w:csb1="00000000"/>
    <w:embedRegular r:id="rId4" w:fontKey="{D179003A-BD52-43CC-9E2F-9C06C1CCF24B}"/>
  </w:font>
  <w:font w:name="方正黑体_GBK">
    <w:panose1 w:val="03000509000000000000"/>
    <w:charset w:val="86"/>
    <w:family w:val="auto"/>
    <w:pitch w:val="default"/>
    <w:sig w:usb0="00000001" w:usb1="080E0000" w:usb2="00000000" w:usb3="00000000" w:csb0="00040000" w:csb1="00000000"/>
    <w:embedRegular r:id="rId5" w:fontKey="{286C644C-0106-4012-A447-F77C8D9B36F7}"/>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6" w:fontKey="{C235A5EF-ABB4-4064-BC2A-35423F390F22}"/>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7" w:fontKey="{37AE77A0-4EB9-4993-8F6D-908B992DBDEC}"/>
  </w:font>
  <w:font w:name="楷体_GB2312">
    <w:panose1 w:val="02010609030101010101"/>
    <w:charset w:val="86"/>
    <w:family w:val="modern"/>
    <w:pitch w:val="default"/>
    <w:sig w:usb0="00000001" w:usb1="080E0000" w:usb2="00000000" w:usb3="00000000" w:csb0="00040000" w:csb1="00000000"/>
    <w:embedRegular r:id="rId8" w:fontKey="{3752EAB3-D5BC-47B2-A6D3-323B4F58C2BC}"/>
  </w:font>
  <w:font w:name="Arial Unicode MS">
    <w:panose1 w:val="020B0604020202020204"/>
    <w:charset w:val="86"/>
    <w:family w:val="auto"/>
    <w:pitch w:val="default"/>
    <w:sig w:usb0="FFFFFFFF" w:usb1="E9FFFFFF" w:usb2="0000003F" w:usb3="00000000" w:csb0="603F01FF" w:csb1="FFFF0000"/>
    <w:embedRegular r:id="rId9" w:fontKey="{F7DD0323-7E05-4B80-9FCB-2017E0F050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66794">
    <w:pPr>
      <w:pStyle w:val="2"/>
      <w:spacing w:line="177" w:lineRule="auto"/>
      <w:rPr>
        <w:sz w:val="33"/>
        <w:szCs w:val="33"/>
      </w:rPr>
    </w:pPr>
    <w:r>
      <w:rPr>
        <w:sz w:val="33"/>
        <w:szCs w:val="33"/>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AB67">
    <w:pPr>
      <w:pStyle w:val="2"/>
      <w:spacing w:line="177" w:lineRule="auto"/>
      <w:rPr>
        <w:sz w:val="33"/>
        <w:szCs w:val="33"/>
      </w:rPr>
    </w:pPr>
    <w:r>
      <w:rPr>
        <w:sz w:val="33"/>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EA7EA">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16EA7EA">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D6595">
    <w:pPr>
      <w:pStyle w:val="2"/>
      <w:spacing w:line="177" w:lineRule="auto"/>
      <w:rPr>
        <w:sz w:val="33"/>
        <w:szCs w:val="33"/>
      </w:rPr>
    </w:pPr>
  </w:p>
  <w:p w14:paraId="5C2362AA">
    <w:pPr>
      <w:pStyle w:val="2"/>
      <w:spacing w:line="177" w:lineRule="auto"/>
      <w:rPr>
        <w:sz w:val="33"/>
        <w:szCs w:val="33"/>
      </w:rPr>
    </w:pPr>
    <w:r>
      <w:rPr>
        <w:sz w:val="33"/>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04C70">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A04C70">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2452"/>
    <w:rsid w:val="00294959"/>
    <w:rsid w:val="00425DA4"/>
    <w:rsid w:val="0044437F"/>
    <w:rsid w:val="00637A8F"/>
    <w:rsid w:val="00891D5E"/>
    <w:rsid w:val="008953F8"/>
    <w:rsid w:val="00DA62B4"/>
    <w:rsid w:val="00DC19CB"/>
    <w:rsid w:val="00DE5743"/>
    <w:rsid w:val="01066A48"/>
    <w:rsid w:val="010F3B4F"/>
    <w:rsid w:val="011A24F4"/>
    <w:rsid w:val="01260E98"/>
    <w:rsid w:val="01687121"/>
    <w:rsid w:val="016C2D4F"/>
    <w:rsid w:val="01842F42"/>
    <w:rsid w:val="018856AF"/>
    <w:rsid w:val="018E7208"/>
    <w:rsid w:val="019D73AC"/>
    <w:rsid w:val="01AF35D1"/>
    <w:rsid w:val="01B666C0"/>
    <w:rsid w:val="01C5349F"/>
    <w:rsid w:val="02225B04"/>
    <w:rsid w:val="02353A89"/>
    <w:rsid w:val="023A2E4D"/>
    <w:rsid w:val="025832D3"/>
    <w:rsid w:val="026E67DA"/>
    <w:rsid w:val="02746220"/>
    <w:rsid w:val="028B18FB"/>
    <w:rsid w:val="02A91D81"/>
    <w:rsid w:val="02B340FE"/>
    <w:rsid w:val="02B81FC4"/>
    <w:rsid w:val="02C941D1"/>
    <w:rsid w:val="02DF39F5"/>
    <w:rsid w:val="0314369E"/>
    <w:rsid w:val="036D2C77"/>
    <w:rsid w:val="037D5B64"/>
    <w:rsid w:val="03922559"/>
    <w:rsid w:val="03977E2B"/>
    <w:rsid w:val="039842DB"/>
    <w:rsid w:val="03CD1A9F"/>
    <w:rsid w:val="03F85566"/>
    <w:rsid w:val="03FB660C"/>
    <w:rsid w:val="04185410"/>
    <w:rsid w:val="04191764"/>
    <w:rsid w:val="04497378"/>
    <w:rsid w:val="046E3282"/>
    <w:rsid w:val="047E366C"/>
    <w:rsid w:val="049B394B"/>
    <w:rsid w:val="04BD0AB5"/>
    <w:rsid w:val="04D74983"/>
    <w:rsid w:val="04EE0A3A"/>
    <w:rsid w:val="04EF6E8F"/>
    <w:rsid w:val="04F93209"/>
    <w:rsid w:val="050634BB"/>
    <w:rsid w:val="05173D64"/>
    <w:rsid w:val="053718C6"/>
    <w:rsid w:val="05581A4B"/>
    <w:rsid w:val="055D0E10"/>
    <w:rsid w:val="05657770"/>
    <w:rsid w:val="057B5C57"/>
    <w:rsid w:val="05B11678"/>
    <w:rsid w:val="05B64EE1"/>
    <w:rsid w:val="05CA0CE8"/>
    <w:rsid w:val="05CD1BC8"/>
    <w:rsid w:val="05E74E14"/>
    <w:rsid w:val="0622458C"/>
    <w:rsid w:val="065D535C"/>
    <w:rsid w:val="065F1493"/>
    <w:rsid w:val="06721621"/>
    <w:rsid w:val="06764670"/>
    <w:rsid w:val="06A50987"/>
    <w:rsid w:val="06AA3B8C"/>
    <w:rsid w:val="06B54F09"/>
    <w:rsid w:val="06D73361"/>
    <w:rsid w:val="06D84AEC"/>
    <w:rsid w:val="06DD446A"/>
    <w:rsid w:val="071023CF"/>
    <w:rsid w:val="07133C6D"/>
    <w:rsid w:val="07204277"/>
    <w:rsid w:val="07395EC4"/>
    <w:rsid w:val="075229E7"/>
    <w:rsid w:val="078A03D3"/>
    <w:rsid w:val="07911761"/>
    <w:rsid w:val="07C5765D"/>
    <w:rsid w:val="07D478A0"/>
    <w:rsid w:val="07DB51B3"/>
    <w:rsid w:val="07F25A76"/>
    <w:rsid w:val="081A7D50"/>
    <w:rsid w:val="082E7F45"/>
    <w:rsid w:val="082F2D28"/>
    <w:rsid w:val="08332819"/>
    <w:rsid w:val="083D71F3"/>
    <w:rsid w:val="083F4163"/>
    <w:rsid w:val="084F6357"/>
    <w:rsid w:val="0881423A"/>
    <w:rsid w:val="08A6363E"/>
    <w:rsid w:val="08AD6024"/>
    <w:rsid w:val="08BD2BA3"/>
    <w:rsid w:val="08C91775"/>
    <w:rsid w:val="08CB4ACC"/>
    <w:rsid w:val="08EC0C19"/>
    <w:rsid w:val="08F822C4"/>
    <w:rsid w:val="08FF6B9F"/>
    <w:rsid w:val="092D370C"/>
    <w:rsid w:val="09383E5F"/>
    <w:rsid w:val="09414AC1"/>
    <w:rsid w:val="09554A11"/>
    <w:rsid w:val="095D5673"/>
    <w:rsid w:val="09731054"/>
    <w:rsid w:val="09A60DC8"/>
    <w:rsid w:val="09B259BF"/>
    <w:rsid w:val="09B63701"/>
    <w:rsid w:val="09C15C02"/>
    <w:rsid w:val="09CA084E"/>
    <w:rsid w:val="09D5345C"/>
    <w:rsid w:val="09EA33AB"/>
    <w:rsid w:val="0A00672A"/>
    <w:rsid w:val="0A5143EC"/>
    <w:rsid w:val="0A56459C"/>
    <w:rsid w:val="0A5B33C7"/>
    <w:rsid w:val="0A6F38B0"/>
    <w:rsid w:val="0A726EFC"/>
    <w:rsid w:val="0AB67731"/>
    <w:rsid w:val="0AD76106"/>
    <w:rsid w:val="0ADF6D37"/>
    <w:rsid w:val="0AFF56CB"/>
    <w:rsid w:val="0B221988"/>
    <w:rsid w:val="0B285B54"/>
    <w:rsid w:val="0B444D3D"/>
    <w:rsid w:val="0B4C6DC0"/>
    <w:rsid w:val="0B5C7530"/>
    <w:rsid w:val="0BCE7613"/>
    <w:rsid w:val="0BF24799"/>
    <w:rsid w:val="0C28640C"/>
    <w:rsid w:val="0C692CAD"/>
    <w:rsid w:val="0CBB4B8B"/>
    <w:rsid w:val="0D0152E5"/>
    <w:rsid w:val="0D0B5B12"/>
    <w:rsid w:val="0D404BBC"/>
    <w:rsid w:val="0D463906"/>
    <w:rsid w:val="0D576FA9"/>
    <w:rsid w:val="0D8458C4"/>
    <w:rsid w:val="0DB37F58"/>
    <w:rsid w:val="0DB638CD"/>
    <w:rsid w:val="0DFE7425"/>
    <w:rsid w:val="0E2C703F"/>
    <w:rsid w:val="0E481E5C"/>
    <w:rsid w:val="0E56100F"/>
    <w:rsid w:val="0E7912E8"/>
    <w:rsid w:val="0E8F472D"/>
    <w:rsid w:val="0E9056D6"/>
    <w:rsid w:val="0E9D16CD"/>
    <w:rsid w:val="0E9F54F9"/>
    <w:rsid w:val="0EA7186A"/>
    <w:rsid w:val="0EB1259A"/>
    <w:rsid w:val="0EB16245"/>
    <w:rsid w:val="0ED32C3D"/>
    <w:rsid w:val="0F0C0F7B"/>
    <w:rsid w:val="0F2D7FC5"/>
    <w:rsid w:val="0F7200CA"/>
    <w:rsid w:val="0F900551"/>
    <w:rsid w:val="0FA30AA8"/>
    <w:rsid w:val="0FA4655B"/>
    <w:rsid w:val="0FA61182"/>
    <w:rsid w:val="0FDB78DE"/>
    <w:rsid w:val="0FE34B24"/>
    <w:rsid w:val="0FE443F8"/>
    <w:rsid w:val="0FEB5787"/>
    <w:rsid w:val="0FFA2E60"/>
    <w:rsid w:val="0FFB40C6"/>
    <w:rsid w:val="0FFC7994"/>
    <w:rsid w:val="10022AD1"/>
    <w:rsid w:val="10150A56"/>
    <w:rsid w:val="101C64FB"/>
    <w:rsid w:val="10262C63"/>
    <w:rsid w:val="10695404"/>
    <w:rsid w:val="106B6CCD"/>
    <w:rsid w:val="109220A6"/>
    <w:rsid w:val="109C2F25"/>
    <w:rsid w:val="109E1732"/>
    <w:rsid w:val="10A07A0D"/>
    <w:rsid w:val="10A608D5"/>
    <w:rsid w:val="10AB4F16"/>
    <w:rsid w:val="10E1375F"/>
    <w:rsid w:val="10E2302E"/>
    <w:rsid w:val="10FA5A47"/>
    <w:rsid w:val="11047760"/>
    <w:rsid w:val="111F3E95"/>
    <w:rsid w:val="11210BF1"/>
    <w:rsid w:val="11230F50"/>
    <w:rsid w:val="1127475F"/>
    <w:rsid w:val="112E1DCF"/>
    <w:rsid w:val="11567578"/>
    <w:rsid w:val="11716160"/>
    <w:rsid w:val="11736708"/>
    <w:rsid w:val="117417AC"/>
    <w:rsid w:val="117F4DC6"/>
    <w:rsid w:val="119B1480"/>
    <w:rsid w:val="119C142F"/>
    <w:rsid w:val="11C269BB"/>
    <w:rsid w:val="11CE5565"/>
    <w:rsid w:val="11D16BFE"/>
    <w:rsid w:val="11DA3A8D"/>
    <w:rsid w:val="120521BF"/>
    <w:rsid w:val="123526C4"/>
    <w:rsid w:val="123E4294"/>
    <w:rsid w:val="12422527"/>
    <w:rsid w:val="12494C0F"/>
    <w:rsid w:val="125F76F2"/>
    <w:rsid w:val="12810624"/>
    <w:rsid w:val="1281355F"/>
    <w:rsid w:val="12A52565"/>
    <w:rsid w:val="12AD31C8"/>
    <w:rsid w:val="12C50511"/>
    <w:rsid w:val="12DD1CFF"/>
    <w:rsid w:val="12F6698B"/>
    <w:rsid w:val="12F9640D"/>
    <w:rsid w:val="12FE7EC7"/>
    <w:rsid w:val="13076D7C"/>
    <w:rsid w:val="130804C5"/>
    <w:rsid w:val="130B57DD"/>
    <w:rsid w:val="131E4ABF"/>
    <w:rsid w:val="1332191F"/>
    <w:rsid w:val="1344242A"/>
    <w:rsid w:val="13601849"/>
    <w:rsid w:val="13897791"/>
    <w:rsid w:val="138A5A29"/>
    <w:rsid w:val="13F015BE"/>
    <w:rsid w:val="13F86B10"/>
    <w:rsid w:val="142E5E9D"/>
    <w:rsid w:val="143D1736"/>
    <w:rsid w:val="1444190A"/>
    <w:rsid w:val="144D3CCC"/>
    <w:rsid w:val="146B1B39"/>
    <w:rsid w:val="14733F9D"/>
    <w:rsid w:val="14737D86"/>
    <w:rsid w:val="147F6DE6"/>
    <w:rsid w:val="149D101A"/>
    <w:rsid w:val="14C92D47"/>
    <w:rsid w:val="14E804E7"/>
    <w:rsid w:val="15114894"/>
    <w:rsid w:val="152C2AC9"/>
    <w:rsid w:val="15325C06"/>
    <w:rsid w:val="15631831"/>
    <w:rsid w:val="156A35F2"/>
    <w:rsid w:val="157048CD"/>
    <w:rsid w:val="15720785"/>
    <w:rsid w:val="15973CBB"/>
    <w:rsid w:val="15A22D8C"/>
    <w:rsid w:val="15D464FA"/>
    <w:rsid w:val="16302145"/>
    <w:rsid w:val="16557DFE"/>
    <w:rsid w:val="166D59E0"/>
    <w:rsid w:val="167A528E"/>
    <w:rsid w:val="16873D30"/>
    <w:rsid w:val="16881F81"/>
    <w:rsid w:val="16985F3D"/>
    <w:rsid w:val="16A313AB"/>
    <w:rsid w:val="16B26FFE"/>
    <w:rsid w:val="16C136E5"/>
    <w:rsid w:val="16CC419B"/>
    <w:rsid w:val="16DC407B"/>
    <w:rsid w:val="17035AAC"/>
    <w:rsid w:val="170F61FF"/>
    <w:rsid w:val="17231CAA"/>
    <w:rsid w:val="172D2B29"/>
    <w:rsid w:val="174340FA"/>
    <w:rsid w:val="17566994"/>
    <w:rsid w:val="175C6F6A"/>
    <w:rsid w:val="17683B61"/>
    <w:rsid w:val="17736C65"/>
    <w:rsid w:val="17817FDA"/>
    <w:rsid w:val="179853E5"/>
    <w:rsid w:val="17A27073"/>
    <w:rsid w:val="17A651D6"/>
    <w:rsid w:val="17CE60BA"/>
    <w:rsid w:val="17E520D8"/>
    <w:rsid w:val="18121892"/>
    <w:rsid w:val="18185587"/>
    <w:rsid w:val="1820443C"/>
    <w:rsid w:val="1838494B"/>
    <w:rsid w:val="1844637C"/>
    <w:rsid w:val="185A5BA0"/>
    <w:rsid w:val="186D58D3"/>
    <w:rsid w:val="189C0CED"/>
    <w:rsid w:val="189E1D70"/>
    <w:rsid w:val="18B07A8C"/>
    <w:rsid w:val="18C179CD"/>
    <w:rsid w:val="18EE4ED2"/>
    <w:rsid w:val="193E1E59"/>
    <w:rsid w:val="19441A3D"/>
    <w:rsid w:val="19504DF9"/>
    <w:rsid w:val="195F33C7"/>
    <w:rsid w:val="196A1E12"/>
    <w:rsid w:val="19826BD2"/>
    <w:rsid w:val="1988673C"/>
    <w:rsid w:val="19971B35"/>
    <w:rsid w:val="19C257AA"/>
    <w:rsid w:val="1A045DC3"/>
    <w:rsid w:val="1A383CBF"/>
    <w:rsid w:val="1A3F742B"/>
    <w:rsid w:val="1A6920CA"/>
    <w:rsid w:val="1A6F50AD"/>
    <w:rsid w:val="1ABC0FE5"/>
    <w:rsid w:val="1AED4AA9"/>
    <w:rsid w:val="1B024A1B"/>
    <w:rsid w:val="1B26620D"/>
    <w:rsid w:val="1B3B5931"/>
    <w:rsid w:val="1B5567AE"/>
    <w:rsid w:val="1B7C6776"/>
    <w:rsid w:val="1B822020"/>
    <w:rsid w:val="1B99253B"/>
    <w:rsid w:val="1BC05680"/>
    <w:rsid w:val="1BDA5372"/>
    <w:rsid w:val="1BF260EF"/>
    <w:rsid w:val="1C033E58"/>
    <w:rsid w:val="1C054074"/>
    <w:rsid w:val="1C0A51E7"/>
    <w:rsid w:val="1C136791"/>
    <w:rsid w:val="1C366868"/>
    <w:rsid w:val="1C393D1E"/>
    <w:rsid w:val="1C3C2C1C"/>
    <w:rsid w:val="1C4242FF"/>
    <w:rsid w:val="1C726B8E"/>
    <w:rsid w:val="1C8C7949"/>
    <w:rsid w:val="1CA51528"/>
    <w:rsid w:val="1CB11B06"/>
    <w:rsid w:val="1CB51948"/>
    <w:rsid w:val="1CC4780E"/>
    <w:rsid w:val="1CC57360"/>
    <w:rsid w:val="1CFD4D4B"/>
    <w:rsid w:val="1D2422D8"/>
    <w:rsid w:val="1D507571"/>
    <w:rsid w:val="1D537924"/>
    <w:rsid w:val="1D5406E1"/>
    <w:rsid w:val="1D57445C"/>
    <w:rsid w:val="1D596426"/>
    <w:rsid w:val="1D63299D"/>
    <w:rsid w:val="1D7A0102"/>
    <w:rsid w:val="1DA022A7"/>
    <w:rsid w:val="1DB577D1"/>
    <w:rsid w:val="1DCA7323"/>
    <w:rsid w:val="1E11752C"/>
    <w:rsid w:val="1E4C5F8A"/>
    <w:rsid w:val="1E6A08CA"/>
    <w:rsid w:val="1E7E7E0A"/>
    <w:rsid w:val="1EA731C1"/>
    <w:rsid w:val="1ED74A4B"/>
    <w:rsid w:val="1EE6656B"/>
    <w:rsid w:val="1EE95587"/>
    <w:rsid w:val="1EEC32CA"/>
    <w:rsid w:val="1F2B5BA0"/>
    <w:rsid w:val="1F3F5774"/>
    <w:rsid w:val="1F443106"/>
    <w:rsid w:val="1F4B3CD3"/>
    <w:rsid w:val="1F4C4599"/>
    <w:rsid w:val="1F645272"/>
    <w:rsid w:val="1F6E6866"/>
    <w:rsid w:val="1F7F413E"/>
    <w:rsid w:val="1F8F4381"/>
    <w:rsid w:val="1F9C4CF0"/>
    <w:rsid w:val="1FBF1E16"/>
    <w:rsid w:val="1FC009DE"/>
    <w:rsid w:val="1FC11750"/>
    <w:rsid w:val="1FC53944"/>
    <w:rsid w:val="20016901"/>
    <w:rsid w:val="205E1FA5"/>
    <w:rsid w:val="20607ACB"/>
    <w:rsid w:val="20783FA2"/>
    <w:rsid w:val="208A2436"/>
    <w:rsid w:val="209634ED"/>
    <w:rsid w:val="209E23A2"/>
    <w:rsid w:val="20A767A3"/>
    <w:rsid w:val="20EC75B1"/>
    <w:rsid w:val="2100305C"/>
    <w:rsid w:val="21025026"/>
    <w:rsid w:val="2107693C"/>
    <w:rsid w:val="21130FE1"/>
    <w:rsid w:val="21204F6E"/>
    <w:rsid w:val="21244F9D"/>
    <w:rsid w:val="21254871"/>
    <w:rsid w:val="212705E9"/>
    <w:rsid w:val="21320BCC"/>
    <w:rsid w:val="213F3B84"/>
    <w:rsid w:val="215238B8"/>
    <w:rsid w:val="215B0293"/>
    <w:rsid w:val="21614CBF"/>
    <w:rsid w:val="21635AC5"/>
    <w:rsid w:val="2172537E"/>
    <w:rsid w:val="21A12B65"/>
    <w:rsid w:val="21A97250"/>
    <w:rsid w:val="21B005DE"/>
    <w:rsid w:val="21BB0A6A"/>
    <w:rsid w:val="21CB1179"/>
    <w:rsid w:val="21DC7E89"/>
    <w:rsid w:val="21EA74EC"/>
    <w:rsid w:val="21EB7868"/>
    <w:rsid w:val="21EE48C0"/>
    <w:rsid w:val="22317902"/>
    <w:rsid w:val="224F429B"/>
    <w:rsid w:val="226A2E83"/>
    <w:rsid w:val="226D0596"/>
    <w:rsid w:val="227635D6"/>
    <w:rsid w:val="22782792"/>
    <w:rsid w:val="22AA5BC1"/>
    <w:rsid w:val="22B41E7B"/>
    <w:rsid w:val="22CD065A"/>
    <w:rsid w:val="22D64075"/>
    <w:rsid w:val="22D95913"/>
    <w:rsid w:val="22DE7BF2"/>
    <w:rsid w:val="22F132C7"/>
    <w:rsid w:val="23272B22"/>
    <w:rsid w:val="23502079"/>
    <w:rsid w:val="23566F63"/>
    <w:rsid w:val="235D6E11"/>
    <w:rsid w:val="23750C4E"/>
    <w:rsid w:val="23827D58"/>
    <w:rsid w:val="239006C7"/>
    <w:rsid w:val="23995C77"/>
    <w:rsid w:val="23A251D0"/>
    <w:rsid w:val="23A46E10"/>
    <w:rsid w:val="23A75A11"/>
    <w:rsid w:val="23B600CB"/>
    <w:rsid w:val="23E34C9B"/>
    <w:rsid w:val="23E97DD8"/>
    <w:rsid w:val="23F9357A"/>
    <w:rsid w:val="24044127"/>
    <w:rsid w:val="241A61B8"/>
    <w:rsid w:val="241C3EB8"/>
    <w:rsid w:val="242F6132"/>
    <w:rsid w:val="24303C58"/>
    <w:rsid w:val="24315EF0"/>
    <w:rsid w:val="2432352D"/>
    <w:rsid w:val="24743B45"/>
    <w:rsid w:val="247B4ED4"/>
    <w:rsid w:val="24833D88"/>
    <w:rsid w:val="2489584E"/>
    <w:rsid w:val="24CA19B7"/>
    <w:rsid w:val="24CF5741"/>
    <w:rsid w:val="24DA7BC0"/>
    <w:rsid w:val="24E0742D"/>
    <w:rsid w:val="24E84399"/>
    <w:rsid w:val="25060A5D"/>
    <w:rsid w:val="25264EFD"/>
    <w:rsid w:val="252E63EA"/>
    <w:rsid w:val="25453733"/>
    <w:rsid w:val="25576716"/>
    <w:rsid w:val="256F255E"/>
    <w:rsid w:val="25706A02"/>
    <w:rsid w:val="258204E4"/>
    <w:rsid w:val="25837821"/>
    <w:rsid w:val="259124D5"/>
    <w:rsid w:val="25D6438C"/>
    <w:rsid w:val="25E60A73"/>
    <w:rsid w:val="25ED3C47"/>
    <w:rsid w:val="25F211C5"/>
    <w:rsid w:val="25F82554"/>
    <w:rsid w:val="26061115"/>
    <w:rsid w:val="26192BF6"/>
    <w:rsid w:val="2628108B"/>
    <w:rsid w:val="2634595C"/>
    <w:rsid w:val="265951C3"/>
    <w:rsid w:val="267047E0"/>
    <w:rsid w:val="26833736"/>
    <w:rsid w:val="26990E20"/>
    <w:rsid w:val="26D22DA5"/>
    <w:rsid w:val="26D27249"/>
    <w:rsid w:val="26DF4DEB"/>
    <w:rsid w:val="26E86148"/>
    <w:rsid w:val="26F2099A"/>
    <w:rsid w:val="270607F0"/>
    <w:rsid w:val="270F224B"/>
    <w:rsid w:val="27117B86"/>
    <w:rsid w:val="2725381D"/>
    <w:rsid w:val="272F6449"/>
    <w:rsid w:val="27391076"/>
    <w:rsid w:val="273B3040"/>
    <w:rsid w:val="27463747"/>
    <w:rsid w:val="276023A4"/>
    <w:rsid w:val="276708E6"/>
    <w:rsid w:val="2767173F"/>
    <w:rsid w:val="27C60990"/>
    <w:rsid w:val="27D36DD5"/>
    <w:rsid w:val="282028E2"/>
    <w:rsid w:val="28221B0A"/>
    <w:rsid w:val="28250916"/>
    <w:rsid w:val="28307B03"/>
    <w:rsid w:val="28562891"/>
    <w:rsid w:val="28571BCE"/>
    <w:rsid w:val="2858552C"/>
    <w:rsid w:val="28666C16"/>
    <w:rsid w:val="28746246"/>
    <w:rsid w:val="287A36F4"/>
    <w:rsid w:val="28C524EE"/>
    <w:rsid w:val="28D67EB9"/>
    <w:rsid w:val="28F96D0F"/>
    <w:rsid w:val="28FD67A9"/>
    <w:rsid w:val="28FE0556"/>
    <w:rsid w:val="29080D00"/>
    <w:rsid w:val="29387837"/>
    <w:rsid w:val="293D309F"/>
    <w:rsid w:val="29415831"/>
    <w:rsid w:val="29477A7A"/>
    <w:rsid w:val="29521614"/>
    <w:rsid w:val="297E7214"/>
    <w:rsid w:val="2987431B"/>
    <w:rsid w:val="298F3EA2"/>
    <w:rsid w:val="29AE0DEF"/>
    <w:rsid w:val="29D44611"/>
    <w:rsid w:val="29D55086"/>
    <w:rsid w:val="29DA6B40"/>
    <w:rsid w:val="29FE7B47"/>
    <w:rsid w:val="2A070FB7"/>
    <w:rsid w:val="2A1E2845"/>
    <w:rsid w:val="2A2203B4"/>
    <w:rsid w:val="2A2E29E8"/>
    <w:rsid w:val="2A30050E"/>
    <w:rsid w:val="2A506E02"/>
    <w:rsid w:val="2A6576FA"/>
    <w:rsid w:val="2AA73F5B"/>
    <w:rsid w:val="2AAB4039"/>
    <w:rsid w:val="2AB0164F"/>
    <w:rsid w:val="2AB20A53"/>
    <w:rsid w:val="2AD03431"/>
    <w:rsid w:val="2AE17A5A"/>
    <w:rsid w:val="2AE65071"/>
    <w:rsid w:val="2B0C4B9E"/>
    <w:rsid w:val="2B141BDE"/>
    <w:rsid w:val="2B31058C"/>
    <w:rsid w:val="2B3F2232"/>
    <w:rsid w:val="2B4D5D22"/>
    <w:rsid w:val="2B88586B"/>
    <w:rsid w:val="2B9920E3"/>
    <w:rsid w:val="2BA53068"/>
    <w:rsid w:val="2BB4516F"/>
    <w:rsid w:val="2BC219A8"/>
    <w:rsid w:val="2BC908B3"/>
    <w:rsid w:val="2BE07D12"/>
    <w:rsid w:val="2BF37A45"/>
    <w:rsid w:val="2C0E0D23"/>
    <w:rsid w:val="2C1C3440"/>
    <w:rsid w:val="2C1D1FAA"/>
    <w:rsid w:val="2C2B6713"/>
    <w:rsid w:val="2C303D5C"/>
    <w:rsid w:val="2C351E0C"/>
    <w:rsid w:val="2C395371"/>
    <w:rsid w:val="2C3B13EC"/>
    <w:rsid w:val="2C4656A4"/>
    <w:rsid w:val="2C493B09"/>
    <w:rsid w:val="2C564EB8"/>
    <w:rsid w:val="2C5767DE"/>
    <w:rsid w:val="2C6233CF"/>
    <w:rsid w:val="2C6D3C9C"/>
    <w:rsid w:val="2C7833B3"/>
    <w:rsid w:val="2C970D19"/>
    <w:rsid w:val="2CA13945"/>
    <w:rsid w:val="2CD47C52"/>
    <w:rsid w:val="2D045C82"/>
    <w:rsid w:val="2D0A6BDC"/>
    <w:rsid w:val="2D1302BF"/>
    <w:rsid w:val="2D315997"/>
    <w:rsid w:val="2D3D1686"/>
    <w:rsid w:val="2D404F0C"/>
    <w:rsid w:val="2D7B4196"/>
    <w:rsid w:val="2D826F7D"/>
    <w:rsid w:val="2D9D2D85"/>
    <w:rsid w:val="2DC7118A"/>
    <w:rsid w:val="2DCE7B02"/>
    <w:rsid w:val="2DEB68B1"/>
    <w:rsid w:val="2E110657"/>
    <w:rsid w:val="2E141BB7"/>
    <w:rsid w:val="2E192781"/>
    <w:rsid w:val="2E2228F5"/>
    <w:rsid w:val="2E41718E"/>
    <w:rsid w:val="2E433D29"/>
    <w:rsid w:val="2E497DF1"/>
    <w:rsid w:val="2E605140"/>
    <w:rsid w:val="2E8539F8"/>
    <w:rsid w:val="2E894691"/>
    <w:rsid w:val="2E8C7442"/>
    <w:rsid w:val="2EB3368D"/>
    <w:rsid w:val="2EC1207D"/>
    <w:rsid w:val="2EE47B19"/>
    <w:rsid w:val="2EED2E72"/>
    <w:rsid w:val="2EF85E1E"/>
    <w:rsid w:val="2F1E127D"/>
    <w:rsid w:val="2F3445FD"/>
    <w:rsid w:val="2F3E191F"/>
    <w:rsid w:val="2F8622DF"/>
    <w:rsid w:val="2F9C209E"/>
    <w:rsid w:val="2FA4305B"/>
    <w:rsid w:val="2FA61FEB"/>
    <w:rsid w:val="2FED3DE1"/>
    <w:rsid w:val="2FFC1F7E"/>
    <w:rsid w:val="30125B47"/>
    <w:rsid w:val="3038636F"/>
    <w:rsid w:val="304B42F4"/>
    <w:rsid w:val="307D1FD3"/>
    <w:rsid w:val="30C16364"/>
    <w:rsid w:val="30FF2BDC"/>
    <w:rsid w:val="31350872"/>
    <w:rsid w:val="31453005"/>
    <w:rsid w:val="31480833"/>
    <w:rsid w:val="315E1E05"/>
    <w:rsid w:val="316B62D0"/>
    <w:rsid w:val="317E0299"/>
    <w:rsid w:val="31866622"/>
    <w:rsid w:val="31A17801"/>
    <w:rsid w:val="31A24F51"/>
    <w:rsid w:val="31A72F68"/>
    <w:rsid w:val="31C559E0"/>
    <w:rsid w:val="31CF4AB1"/>
    <w:rsid w:val="31DF0553"/>
    <w:rsid w:val="32110C25"/>
    <w:rsid w:val="321150C9"/>
    <w:rsid w:val="327611B7"/>
    <w:rsid w:val="327F64D7"/>
    <w:rsid w:val="32C739DA"/>
    <w:rsid w:val="32C97D6B"/>
    <w:rsid w:val="32DD4FAB"/>
    <w:rsid w:val="330D3AE3"/>
    <w:rsid w:val="33376E36"/>
    <w:rsid w:val="33386514"/>
    <w:rsid w:val="3339603D"/>
    <w:rsid w:val="3344502A"/>
    <w:rsid w:val="337A1509"/>
    <w:rsid w:val="33802BAE"/>
    <w:rsid w:val="33B91D90"/>
    <w:rsid w:val="33CA19D4"/>
    <w:rsid w:val="33F425AD"/>
    <w:rsid w:val="33F86541"/>
    <w:rsid w:val="33FE78CF"/>
    <w:rsid w:val="34160775"/>
    <w:rsid w:val="341E492E"/>
    <w:rsid w:val="34580D8D"/>
    <w:rsid w:val="34BB22D5"/>
    <w:rsid w:val="34BB7D1D"/>
    <w:rsid w:val="34C465F4"/>
    <w:rsid w:val="34EC7B40"/>
    <w:rsid w:val="34F11AFE"/>
    <w:rsid w:val="350727B3"/>
    <w:rsid w:val="350902DA"/>
    <w:rsid w:val="351153E0"/>
    <w:rsid w:val="35357321"/>
    <w:rsid w:val="3589141A"/>
    <w:rsid w:val="35D54660"/>
    <w:rsid w:val="35E129A9"/>
    <w:rsid w:val="35FB19DD"/>
    <w:rsid w:val="36050AA1"/>
    <w:rsid w:val="360D3DFA"/>
    <w:rsid w:val="36203B2D"/>
    <w:rsid w:val="36434F1C"/>
    <w:rsid w:val="3651018A"/>
    <w:rsid w:val="366A70B2"/>
    <w:rsid w:val="36851BE2"/>
    <w:rsid w:val="368E0534"/>
    <w:rsid w:val="3690626B"/>
    <w:rsid w:val="369C6124"/>
    <w:rsid w:val="36BF1BC9"/>
    <w:rsid w:val="36F84B53"/>
    <w:rsid w:val="36FD3E6E"/>
    <w:rsid w:val="36FD5C1C"/>
    <w:rsid w:val="37066F72"/>
    <w:rsid w:val="370C2303"/>
    <w:rsid w:val="372A386F"/>
    <w:rsid w:val="376161AB"/>
    <w:rsid w:val="37792D2C"/>
    <w:rsid w:val="378620B5"/>
    <w:rsid w:val="378974B0"/>
    <w:rsid w:val="37922808"/>
    <w:rsid w:val="37991DE9"/>
    <w:rsid w:val="37B24C58"/>
    <w:rsid w:val="37B95FE7"/>
    <w:rsid w:val="37C02A03"/>
    <w:rsid w:val="37C36E66"/>
    <w:rsid w:val="37FE1C4C"/>
    <w:rsid w:val="38141EFE"/>
    <w:rsid w:val="381551E7"/>
    <w:rsid w:val="38176327"/>
    <w:rsid w:val="382673F4"/>
    <w:rsid w:val="382F44FB"/>
    <w:rsid w:val="383B5262"/>
    <w:rsid w:val="384A30E3"/>
    <w:rsid w:val="384F4C9A"/>
    <w:rsid w:val="386121DB"/>
    <w:rsid w:val="386341A5"/>
    <w:rsid w:val="38926634"/>
    <w:rsid w:val="38993922"/>
    <w:rsid w:val="38A00F55"/>
    <w:rsid w:val="38A327F3"/>
    <w:rsid w:val="38A945A8"/>
    <w:rsid w:val="38AC5B4C"/>
    <w:rsid w:val="38B36EDA"/>
    <w:rsid w:val="38C74734"/>
    <w:rsid w:val="38C904AC"/>
    <w:rsid w:val="38D909BB"/>
    <w:rsid w:val="38E81ADE"/>
    <w:rsid w:val="38F06979"/>
    <w:rsid w:val="38F4304F"/>
    <w:rsid w:val="38F67A0C"/>
    <w:rsid w:val="38FD63A7"/>
    <w:rsid w:val="39121033"/>
    <w:rsid w:val="39190C28"/>
    <w:rsid w:val="39515718"/>
    <w:rsid w:val="397F4F63"/>
    <w:rsid w:val="39900FC9"/>
    <w:rsid w:val="39A369EA"/>
    <w:rsid w:val="39D52E79"/>
    <w:rsid w:val="39E210F9"/>
    <w:rsid w:val="39F7026F"/>
    <w:rsid w:val="3A445910"/>
    <w:rsid w:val="3AC23405"/>
    <w:rsid w:val="3AD44EE6"/>
    <w:rsid w:val="3B0276ED"/>
    <w:rsid w:val="3B183EA8"/>
    <w:rsid w:val="3B263F55"/>
    <w:rsid w:val="3B27770B"/>
    <w:rsid w:val="3B4173DE"/>
    <w:rsid w:val="3B455CCF"/>
    <w:rsid w:val="3B464791"/>
    <w:rsid w:val="3B4C0F20"/>
    <w:rsid w:val="3B530501"/>
    <w:rsid w:val="3B7A0AE9"/>
    <w:rsid w:val="3B8C0F84"/>
    <w:rsid w:val="3B9F0ED7"/>
    <w:rsid w:val="3BAA122E"/>
    <w:rsid w:val="3BC27FDD"/>
    <w:rsid w:val="3BC572CC"/>
    <w:rsid w:val="3BE01BF7"/>
    <w:rsid w:val="3BE929A7"/>
    <w:rsid w:val="3C0E61D6"/>
    <w:rsid w:val="3C3025F0"/>
    <w:rsid w:val="3C4C1566"/>
    <w:rsid w:val="3C77021F"/>
    <w:rsid w:val="3C797AF3"/>
    <w:rsid w:val="3C9205AF"/>
    <w:rsid w:val="3CAA23A2"/>
    <w:rsid w:val="3CB04C94"/>
    <w:rsid w:val="3CB558BC"/>
    <w:rsid w:val="3CBE7BFC"/>
    <w:rsid w:val="3CD341CB"/>
    <w:rsid w:val="3CF61143"/>
    <w:rsid w:val="3D0575D8"/>
    <w:rsid w:val="3D070DF4"/>
    <w:rsid w:val="3D156EF0"/>
    <w:rsid w:val="3D1A4553"/>
    <w:rsid w:val="3D235CB1"/>
    <w:rsid w:val="3D375BF2"/>
    <w:rsid w:val="3D402D06"/>
    <w:rsid w:val="3D487517"/>
    <w:rsid w:val="3D4C1874"/>
    <w:rsid w:val="3D4F2725"/>
    <w:rsid w:val="3D5F01E8"/>
    <w:rsid w:val="3D680A02"/>
    <w:rsid w:val="3D840E45"/>
    <w:rsid w:val="3D957B7B"/>
    <w:rsid w:val="3D9646D4"/>
    <w:rsid w:val="3D9F76BF"/>
    <w:rsid w:val="3DA63B27"/>
    <w:rsid w:val="3DC76F84"/>
    <w:rsid w:val="3DE2791A"/>
    <w:rsid w:val="3DF00341"/>
    <w:rsid w:val="3DF151A7"/>
    <w:rsid w:val="3DF53AF1"/>
    <w:rsid w:val="3E1D0952"/>
    <w:rsid w:val="3E2717D1"/>
    <w:rsid w:val="3E2E0DB1"/>
    <w:rsid w:val="3E302A8A"/>
    <w:rsid w:val="3E4E3201"/>
    <w:rsid w:val="3E4F1453"/>
    <w:rsid w:val="3E5C642F"/>
    <w:rsid w:val="3E5E1696"/>
    <w:rsid w:val="3E6622F9"/>
    <w:rsid w:val="3E7521E6"/>
    <w:rsid w:val="3E844D20"/>
    <w:rsid w:val="3EA64DEB"/>
    <w:rsid w:val="3EAD1CD6"/>
    <w:rsid w:val="3EB23790"/>
    <w:rsid w:val="3EBE05AD"/>
    <w:rsid w:val="3EF45CBB"/>
    <w:rsid w:val="3EFA42ED"/>
    <w:rsid w:val="3EFB2C58"/>
    <w:rsid w:val="3F047B0D"/>
    <w:rsid w:val="3F3348D1"/>
    <w:rsid w:val="3F433B90"/>
    <w:rsid w:val="3F450160"/>
    <w:rsid w:val="3F5B3E28"/>
    <w:rsid w:val="3F731171"/>
    <w:rsid w:val="3F786788"/>
    <w:rsid w:val="3FA36C86"/>
    <w:rsid w:val="3FA6711C"/>
    <w:rsid w:val="3FCC6874"/>
    <w:rsid w:val="3FD87226"/>
    <w:rsid w:val="3FDD65EB"/>
    <w:rsid w:val="3FF12096"/>
    <w:rsid w:val="3FFE1E84"/>
    <w:rsid w:val="400022D9"/>
    <w:rsid w:val="400A1341"/>
    <w:rsid w:val="401069C0"/>
    <w:rsid w:val="40387CC5"/>
    <w:rsid w:val="403F173C"/>
    <w:rsid w:val="40447564"/>
    <w:rsid w:val="4050500F"/>
    <w:rsid w:val="406E091A"/>
    <w:rsid w:val="407E137E"/>
    <w:rsid w:val="412B3CE0"/>
    <w:rsid w:val="413D3AB9"/>
    <w:rsid w:val="41605725"/>
    <w:rsid w:val="416163D3"/>
    <w:rsid w:val="41654DD9"/>
    <w:rsid w:val="41853485"/>
    <w:rsid w:val="418F1B67"/>
    <w:rsid w:val="41C061C4"/>
    <w:rsid w:val="41C2403E"/>
    <w:rsid w:val="41CD3BBB"/>
    <w:rsid w:val="41DA7286"/>
    <w:rsid w:val="41DC783A"/>
    <w:rsid w:val="41DE7BBA"/>
    <w:rsid w:val="4214405D"/>
    <w:rsid w:val="42333557"/>
    <w:rsid w:val="424D3EFC"/>
    <w:rsid w:val="428B4A24"/>
    <w:rsid w:val="429B537B"/>
    <w:rsid w:val="429F0E23"/>
    <w:rsid w:val="42AE012E"/>
    <w:rsid w:val="42FC0004"/>
    <w:rsid w:val="43505326"/>
    <w:rsid w:val="435077D7"/>
    <w:rsid w:val="43707776"/>
    <w:rsid w:val="438A6A89"/>
    <w:rsid w:val="43B1472E"/>
    <w:rsid w:val="43C006FD"/>
    <w:rsid w:val="43D2785E"/>
    <w:rsid w:val="44054362"/>
    <w:rsid w:val="440E10EE"/>
    <w:rsid w:val="441427F7"/>
    <w:rsid w:val="441B3B85"/>
    <w:rsid w:val="44257E38"/>
    <w:rsid w:val="4426307E"/>
    <w:rsid w:val="4436276D"/>
    <w:rsid w:val="444A6219"/>
    <w:rsid w:val="446948F1"/>
    <w:rsid w:val="4476157F"/>
    <w:rsid w:val="44A45929"/>
    <w:rsid w:val="44AC578C"/>
    <w:rsid w:val="44DF4BB3"/>
    <w:rsid w:val="44E623E5"/>
    <w:rsid w:val="450458AF"/>
    <w:rsid w:val="45117099"/>
    <w:rsid w:val="451340A4"/>
    <w:rsid w:val="453273D9"/>
    <w:rsid w:val="45356EC9"/>
    <w:rsid w:val="4537637C"/>
    <w:rsid w:val="456450B8"/>
    <w:rsid w:val="45694B24"/>
    <w:rsid w:val="458D460F"/>
    <w:rsid w:val="45952DEF"/>
    <w:rsid w:val="459C4852"/>
    <w:rsid w:val="45D3296A"/>
    <w:rsid w:val="45F823D0"/>
    <w:rsid w:val="45FF0A53"/>
    <w:rsid w:val="460344FE"/>
    <w:rsid w:val="461E5388"/>
    <w:rsid w:val="463D6035"/>
    <w:rsid w:val="464E1FF0"/>
    <w:rsid w:val="46530576"/>
    <w:rsid w:val="466A57AA"/>
    <w:rsid w:val="466E068E"/>
    <w:rsid w:val="466F1F67"/>
    <w:rsid w:val="467B1ADB"/>
    <w:rsid w:val="469273C7"/>
    <w:rsid w:val="469F0A9E"/>
    <w:rsid w:val="46C47912"/>
    <w:rsid w:val="46C93D76"/>
    <w:rsid w:val="46D544C0"/>
    <w:rsid w:val="46D5626E"/>
    <w:rsid w:val="46DF533E"/>
    <w:rsid w:val="46EA47AC"/>
    <w:rsid w:val="46FA268C"/>
    <w:rsid w:val="47095F17"/>
    <w:rsid w:val="471072A6"/>
    <w:rsid w:val="471C2C00"/>
    <w:rsid w:val="471C71E0"/>
    <w:rsid w:val="472C640A"/>
    <w:rsid w:val="477F0E83"/>
    <w:rsid w:val="47961EA1"/>
    <w:rsid w:val="47A41E2E"/>
    <w:rsid w:val="47BE31A6"/>
    <w:rsid w:val="47C14A44"/>
    <w:rsid w:val="47C52A22"/>
    <w:rsid w:val="47DB65E0"/>
    <w:rsid w:val="47E54182"/>
    <w:rsid w:val="47E950FB"/>
    <w:rsid w:val="480C2163"/>
    <w:rsid w:val="480F1C53"/>
    <w:rsid w:val="482B73A4"/>
    <w:rsid w:val="484B78FD"/>
    <w:rsid w:val="484C6E22"/>
    <w:rsid w:val="484E6CE5"/>
    <w:rsid w:val="4893353F"/>
    <w:rsid w:val="48B60321"/>
    <w:rsid w:val="48B819A3"/>
    <w:rsid w:val="48CA1FE3"/>
    <w:rsid w:val="48CB4960"/>
    <w:rsid w:val="48D16F09"/>
    <w:rsid w:val="48EB7FCA"/>
    <w:rsid w:val="48F4028A"/>
    <w:rsid w:val="48FD7CFE"/>
    <w:rsid w:val="48FE0799"/>
    <w:rsid w:val="491A265E"/>
    <w:rsid w:val="49211C3E"/>
    <w:rsid w:val="49311755"/>
    <w:rsid w:val="493F20C4"/>
    <w:rsid w:val="4959441E"/>
    <w:rsid w:val="4970227E"/>
    <w:rsid w:val="49843F7B"/>
    <w:rsid w:val="499713DC"/>
    <w:rsid w:val="49A34401"/>
    <w:rsid w:val="49CF169A"/>
    <w:rsid w:val="49D24CE6"/>
    <w:rsid w:val="4A0846EE"/>
    <w:rsid w:val="4A124A89"/>
    <w:rsid w:val="4A1470AD"/>
    <w:rsid w:val="4A18175E"/>
    <w:rsid w:val="4A190B67"/>
    <w:rsid w:val="4A3A775E"/>
    <w:rsid w:val="4A61784F"/>
    <w:rsid w:val="4A6562D3"/>
    <w:rsid w:val="4A686E5C"/>
    <w:rsid w:val="4A6873F9"/>
    <w:rsid w:val="4A745D9D"/>
    <w:rsid w:val="4A815424"/>
    <w:rsid w:val="4A833A63"/>
    <w:rsid w:val="4A8A10C1"/>
    <w:rsid w:val="4AA57DE6"/>
    <w:rsid w:val="4AAA655F"/>
    <w:rsid w:val="4AAA7A11"/>
    <w:rsid w:val="4AB66172"/>
    <w:rsid w:val="4AE33796"/>
    <w:rsid w:val="4AE47BA6"/>
    <w:rsid w:val="4AEF0423"/>
    <w:rsid w:val="4B1F21AD"/>
    <w:rsid w:val="4B2D633B"/>
    <w:rsid w:val="4B3B24B9"/>
    <w:rsid w:val="4B441C14"/>
    <w:rsid w:val="4B456DF8"/>
    <w:rsid w:val="4B4C2876"/>
    <w:rsid w:val="4B4C2944"/>
    <w:rsid w:val="4B55797D"/>
    <w:rsid w:val="4B644064"/>
    <w:rsid w:val="4B6D2777"/>
    <w:rsid w:val="4B711FE6"/>
    <w:rsid w:val="4B7C7600"/>
    <w:rsid w:val="4B8D35BB"/>
    <w:rsid w:val="4B9346D8"/>
    <w:rsid w:val="4B9A5CD8"/>
    <w:rsid w:val="4B9C37FE"/>
    <w:rsid w:val="4BB70638"/>
    <w:rsid w:val="4BC82845"/>
    <w:rsid w:val="4BCA1FA1"/>
    <w:rsid w:val="4BE45A77"/>
    <w:rsid w:val="4C0C0983"/>
    <w:rsid w:val="4C0D0258"/>
    <w:rsid w:val="4C0F2222"/>
    <w:rsid w:val="4C225E2E"/>
    <w:rsid w:val="4C3B4DC5"/>
    <w:rsid w:val="4C56173B"/>
    <w:rsid w:val="4C6D6562"/>
    <w:rsid w:val="4C9170DB"/>
    <w:rsid w:val="4CAF5F72"/>
    <w:rsid w:val="4D0E072B"/>
    <w:rsid w:val="4D205D07"/>
    <w:rsid w:val="4D32473B"/>
    <w:rsid w:val="4D4A294E"/>
    <w:rsid w:val="4D4B54DB"/>
    <w:rsid w:val="4D5C27F9"/>
    <w:rsid w:val="4D6F624E"/>
    <w:rsid w:val="4D7A36CB"/>
    <w:rsid w:val="4DB36BDD"/>
    <w:rsid w:val="4DD17CD1"/>
    <w:rsid w:val="4DD3727F"/>
    <w:rsid w:val="4DEF40B9"/>
    <w:rsid w:val="4E0631B0"/>
    <w:rsid w:val="4E265601"/>
    <w:rsid w:val="4E4837C9"/>
    <w:rsid w:val="4E5B34FC"/>
    <w:rsid w:val="4E5E4D9B"/>
    <w:rsid w:val="4E764152"/>
    <w:rsid w:val="4E7B594C"/>
    <w:rsid w:val="4E842D67"/>
    <w:rsid w:val="4E874FD5"/>
    <w:rsid w:val="4E9B0E76"/>
    <w:rsid w:val="4EAD5D22"/>
    <w:rsid w:val="4EB7406D"/>
    <w:rsid w:val="4ED432AF"/>
    <w:rsid w:val="4ED57B7D"/>
    <w:rsid w:val="4EFD2805"/>
    <w:rsid w:val="4EFF7FF5"/>
    <w:rsid w:val="4F035942"/>
    <w:rsid w:val="4F365D17"/>
    <w:rsid w:val="4F3A75B6"/>
    <w:rsid w:val="4F440434"/>
    <w:rsid w:val="4F57544B"/>
    <w:rsid w:val="4F582A52"/>
    <w:rsid w:val="4F6C5EFF"/>
    <w:rsid w:val="4F74239C"/>
    <w:rsid w:val="4F7D17A7"/>
    <w:rsid w:val="4F9D1E71"/>
    <w:rsid w:val="4F9D7B44"/>
    <w:rsid w:val="4FBF7ABB"/>
    <w:rsid w:val="4FC9093A"/>
    <w:rsid w:val="4FD92B84"/>
    <w:rsid w:val="4FDF015D"/>
    <w:rsid w:val="4FEE65F2"/>
    <w:rsid w:val="4FF260E2"/>
    <w:rsid w:val="4FFF145B"/>
    <w:rsid w:val="500F5C67"/>
    <w:rsid w:val="501167B4"/>
    <w:rsid w:val="50124AB3"/>
    <w:rsid w:val="502F2E92"/>
    <w:rsid w:val="505536A3"/>
    <w:rsid w:val="505A77E4"/>
    <w:rsid w:val="505C2D85"/>
    <w:rsid w:val="50885DA7"/>
    <w:rsid w:val="50AF6900"/>
    <w:rsid w:val="50E92977"/>
    <w:rsid w:val="51143E36"/>
    <w:rsid w:val="51165E00"/>
    <w:rsid w:val="513B7A71"/>
    <w:rsid w:val="5168721D"/>
    <w:rsid w:val="51714DE5"/>
    <w:rsid w:val="51735001"/>
    <w:rsid w:val="518B5EA5"/>
    <w:rsid w:val="518C7E71"/>
    <w:rsid w:val="51950F66"/>
    <w:rsid w:val="51C4760A"/>
    <w:rsid w:val="51E72480"/>
    <w:rsid w:val="51FF51CB"/>
    <w:rsid w:val="52287659"/>
    <w:rsid w:val="52495D62"/>
    <w:rsid w:val="52542AD5"/>
    <w:rsid w:val="52884ADC"/>
    <w:rsid w:val="52A03BD4"/>
    <w:rsid w:val="52A336C4"/>
    <w:rsid w:val="52B84800"/>
    <w:rsid w:val="52BC6534"/>
    <w:rsid w:val="52BF774F"/>
    <w:rsid w:val="52D518F2"/>
    <w:rsid w:val="52E00474"/>
    <w:rsid w:val="530103EA"/>
    <w:rsid w:val="53057EDB"/>
    <w:rsid w:val="530A3F4D"/>
    <w:rsid w:val="530E3233"/>
    <w:rsid w:val="53191BD8"/>
    <w:rsid w:val="53296A70"/>
    <w:rsid w:val="532A5B93"/>
    <w:rsid w:val="533B56AA"/>
    <w:rsid w:val="53420F93"/>
    <w:rsid w:val="534933B3"/>
    <w:rsid w:val="5373753A"/>
    <w:rsid w:val="5387267D"/>
    <w:rsid w:val="539574B0"/>
    <w:rsid w:val="53BD6A07"/>
    <w:rsid w:val="53E0477E"/>
    <w:rsid w:val="53FB5D86"/>
    <w:rsid w:val="54055F1E"/>
    <w:rsid w:val="540E7263"/>
    <w:rsid w:val="54274FF9"/>
    <w:rsid w:val="543C1CDE"/>
    <w:rsid w:val="543F566E"/>
    <w:rsid w:val="54554E92"/>
    <w:rsid w:val="545A1DB5"/>
    <w:rsid w:val="54727DA2"/>
    <w:rsid w:val="54812E09"/>
    <w:rsid w:val="54813591"/>
    <w:rsid w:val="54852806"/>
    <w:rsid w:val="54A159E1"/>
    <w:rsid w:val="54A77BD0"/>
    <w:rsid w:val="54CA13DC"/>
    <w:rsid w:val="54E1224C"/>
    <w:rsid w:val="54E87AB4"/>
    <w:rsid w:val="54F46459"/>
    <w:rsid w:val="550541C2"/>
    <w:rsid w:val="55182FA3"/>
    <w:rsid w:val="551E34D6"/>
    <w:rsid w:val="553F399A"/>
    <w:rsid w:val="554A1DCE"/>
    <w:rsid w:val="555A2916"/>
    <w:rsid w:val="5572737D"/>
    <w:rsid w:val="5576721A"/>
    <w:rsid w:val="55915A56"/>
    <w:rsid w:val="559D4C79"/>
    <w:rsid w:val="55AC288F"/>
    <w:rsid w:val="55C71477"/>
    <w:rsid w:val="55DB4169"/>
    <w:rsid w:val="55DD513F"/>
    <w:rsid w:val="55FC6467"/>
    <w:rsid w:val="5642624B"/>
    <w:rsid w:val="5642772B"/>
    <w:rsid w:val="5647080A"/>
    <w:rsid w:val="566E516F"/>
    <w:rsid w:val="56835CE6"/>
    <w:rsid w:val="56945417"/>
    <w:rsid w:val="56B31286"/>
    <w:rsid w:val="56C42A5E"/>
    <w:rsid w:val="56C836F9"/>
    <w:rsid w:val="56D007FF"/>
    <w:rsid w:val="56DC0F52"/>
    <w:rsid w:val="571903F8"/>
    <w:rsid w:val="573945F7"/>
    <w:rsid w:val="5741354C"/>
    <w:rsid w:val="57643691"/>
    <w:rsid w:val="57743174"/>
    <w:rsid w:val="57770C7B"/>
    <w:rsid w:val="578A4E52"/>
    <w:rsid w:val="57A06424"/>
    <w:rsid w:val="57AA2DFF"/>
    <w:rsid w:val="57B0552D"/>
    <w:rsid w:val="57B10631"/>
    <w:rsid w:val="57C72B4F"/>
    <w:rsid w:val="57ED7363"/>
    <w:rsid w:val="581800F1"/>
    <w:rsid w:val="582030EE"/>
    <w:rsid w:val="58563107"/>
    <w:rsid w:val="58841449"/>
    <w:rsid w:val="588910E4"/>
    <w:rsid w:val="589F0489"/>
    <w:rsid w:val="58E95BA9"/>
    <w:rsid w:val="58F31111"/>
    <w:rsid w:val="58FC58DC"/>
    <w:rsid w:val="59294B5B"/>
    <w:rsid w:val="592A0E7B"/>
    <w:rsid w:val="59384C23"/>
    <w:rsid w:val="596C39EA"/>
    <w:rsid w:val="596D2336"/>
    <w:rsid w:val="598371BA"/>
    <w:rsid w:val="598F0E47"/>
    <w:rsid w:val="59A92BA4"/>
    <w:rsid w:val="59AC3D58"/>
    <w:rsid w:val="59BC1581"/>
    <w:rsid w:val="59BD41B5"/>
    <w:rsid w:val="59C56616"/>
    <w:rsid w:val="59F22DF4"/>
    <w:rsid w:val="59F64A21"/>
    <w:rsid w:val="5A05126A"/>
    <w:rsid w:val="5A0802B0"/>
    <w:rsid w:val="5A156465"/>
    <w:rsid w:val="5A1956B5"/>
    <w:rsid w:val="5A24333C"/>
    <w:rsid w:val="5A403EEE"/>
    <w:rsid w:val="5A4C72DD"/>
    <w:rsid w:val="5A5359CF"/>
    <w:rsid w:val="5A584D94"/>
    <w:rsid w:val="5A78546A"/>
    <w:rsid w:val="5A787691"/>
    <w:rsid w:val="5A7D47FA"/>
    <w:rsid w:val="5A851901"/>
    <w:rsid w:val="5A890B82"/>
    <w:rsid w:val="5A9C7376"/>
    <w:rsid w:val="5AA958C1"/>
    <w:rsid w:val="5AB26B9A"/>
    <w:rsid w:val="5AB346C0"/>
    <w:rsid w:val="5ABF3D20"/>
    <w:rsid w:val="5B2B499B"/>
    <w:rsid w:val="5B3C0E81"/>
    <w:rsid w:val="5B490B80"/>
    <w:rsid w:val="5B6C0234"/>
    <w:rsid w:val="5B772750"/>
    <w:rsid w:val="5B793214"/>
    <w:rsid w:val="5B8F429A"/>
    <w:rsid w:val="5B955B74"/>
    <w:rsid w:val="5B9B762E"/>
    <w:rsid w:val="5BB701E0"/>
    <w:rsid w:val="5BB7799C"/>
    <w:rsid w:val="5BC64949"/>
    <w:rsid w:val="5BCB215D"/>
    <w:rsid w:val="5BCC5A39"/>
    <w:rsid w:val="5BDC37A3"/>
    <w:rsid w:val="5BF3746A"/>
    <w:rsid w:val="5C1D44E7"/>
    <w:rsid w:val="5C1D6DB7"/>
    <w:rsid w:val="5C321615"/>
    <w:rsid w:val="5C5123E2"/>
    <w:rsid w:val="5C5242AB"/>
    <w:rsid w:val="5C7838AF"/>
    <w:rsid w:val="5C917CBB"/>
    <w:rsid w:val="5CA442C0"/>
    <w:rsid w:val="5CAF66C2"/>
    <w:rsid w:val="5CBA1D36"/>
    <w:rsid w:val="5CC626AD"/>
    <w:rsid w:val="5CCB5812"/>
    <w:rsid w:val="5CE44338"/>
    <w:rsid w:val="5CE60816"/>
    <w:rsid w:val="5CF67E8B"/>
    <w:rsid w:val="5D153410"/>
    <w:rsid w:val="5D186A5C"/>
    <w:rsid w:val="5D421AAD"/>
    <w:rsid w:val="5D6F0D72"/>
    <w:rsid w:val="5D6F2B20"/>
    <w:rsid w:val="5D9D7D78"/>
    <w:rsid w:val="5DA85633"/>
    <w:rsid w:val="5DC82979"/>
    <w:rsid w:val="5DDC5CDC"/>
    <w:rsid w:val="5DDD2180"/>
    <w:rsid w:val="5E0225C6"/>
    <w:rsid w:val="5E331DA0"/>
    <w:rsid w:val="5E5E4943"/>
    <w:rsid w:val="5E622685"/>
    <w:rsid w:val="5E771000"/>
    <w:rsid w:val="5E827D40"/>
    <w:rsid w:val="5E8C325E"/>
    <w:rsid w:val="5E8C743B"/>
    <w:rsid w:val="5E923B9C"/>
    <w:rsid w:val="5EA7453C"/>
    <w:rsid w:val="5EBE6888"/>
    <w:rsid w:val="5ECF75EF"/>
    <w:rsid w:val="5ED15115"/>
    <w:rsid w:val="5F0059FA"/>
    <w:rsid w:val="5F024367"/>
    <w:rsid w:val="5F081AA9"/>
    <w:rsid w:val="5F1119B5"/>
    <w:rsid w:val="5F1C2834"/>
    <w:rsid w:val="5F27742B"/>
    <w:rsid w:val="5F2E6A0B"/>
    <w:rsid w:val="5F37766E"/>
    <w:rsid w:val="5F5D2E4C"/>
    <w:rsid w:val="5F702B80"/>
    <w:rsid w:val="5F797585"/>
    <w:rsid w:val="5FC277A7"/>
    <w:rsid w:val="5FE506D1"/>
    <w:rsid w:val="5FEC22D6"/>
    <w:rsid w:val="603E62FA"/>
    <w:rsid w:val="607D1F68"/>
    <w:rsid w:val="6080285E"/>
    <w:rsid w:val="60932FCA"/>
    <w:rsid w:val="60C5514D"/>
    <w:rsid w:val="60CC2038"/>
    <w:rsid w:val="60D158A0"/>
    <w:rsid w:val="60D86C2E"/>
    <w:rsid w:val="60FA0D27"/>
    <w:rsid w:val="60FC0FD2"/>
    <w:rsid w:val="61134304"/>
    <w:rsid w:val="612461EF"/>
    <w:rsid w:val="614C4F26"/>
    <w:rsid w:val="61521DCC"/>
    <w:rsid w:val="617F4455"/>
    <w:rsid w:val="61B566DD"/>
    <w:rsid w:val="61BA6334"/>
    <w:rsid w:val="61C96577"/>
    <w:rsid w:val="61F33A2B"/>
    <w:rsid w:val="621134AC"/>
    <w:rsid w:val="62143C96"/>
    <w:rsid w:val="62233ED9"/>
    <w:rsid w:val="622540F5"/>
    <w:rsid w:val="622570FE"/>
    <w:rsid w:val="62614A02"/>
    <w:rsid w:val="62693E0E"/>
    <w:rsid w:val="626D33A6"/>
    <w:rsid w:val="62736998"/>
    <w:rsid w:val="62C21E48"/>
    <w:rsid w:val="62E01DCA"/>
    <w:rsid w:val="62E95227"/>
    <w:rsid w:val="63202A83"/>
    <w:rsid w:val="634C57BC"/>
    <w:rsid w:val="634E0140"/>
    <w:rsid w:val="636D6196"/>
    <w:rsid w:val="63732A72"/>
    <w:rsid w:val="637D1D0F"/>
    <w:rsid w:val="63894248"/>
    <w:rsid w:val="63A9438F"/>
    <w:rsid w:val="63AC29AC"/>
    <w:rsid w:val="63B9315F"/>
    <w:rsid w:val="63D7141F"/>
    <w:rsid w:val="63E23006"/>
    <w:rsid w:val="63FA6EBC"/>
    <w:rsid w:val="640A37E9"/>
    <w:rsid w:val="641C2B2F"/>
    <w:rsid w:val="642108EC"/>
    <w:rsid w:val="643D6E01"/>
    <w:rsid w:val="64600BBC"/>
    <w:rsid w:val="64A439AF"/>
    <w:rsid w:val="64A5151D"/>
    <w:rsid w:val="64B61151"/>
    <w:rsid w:val="64BC141E"/>
    <w:rsid w:val="64C4731D"/>
    <w:rsid w:val="64C97EA0"/>
    <w:rsid w:val="64EC571C"/>
    <w:rsid w:val="64F1206D"/>
    <w:rsid w:val="64F16511"/>
    <w:rsid w:val="64FD4EB5"/>
    <w:rsid w:val="64FE28B2"/>
    <w:rsid w:val="650502DA"/>
    <w:rsid w:val="65071890"/>
    <w:rsid w:val="65235E30"/>
    <w:rsid w:val="65646CE3"/>
    <w:rsid w:val="656942F9"/>
    <w:rsid w:val="6585558C"/>
    <w:rsid w:val="65A17F37"/>
    <w:rsid w:val="65D23F5A"/>
    <w:rsid w:val="65D774B5"/>
    <w:rsid w:val="65DF6369"/>
    <w:rsid w:val="65E6393A"/>
    <w:rsid w:val="65E87914"/>
    <w:rsid w:val="65F22540"/>
    <w:rsid w:val="66140709"/>
    <w:rsid w:val="661E3335"/>
    <w:rsid w:val="66212E26"/>
    <w:rsid w:val="66495ED8"/>
    <w:rsid w:val="66D63C10"/>
    <w:rsid w:val="66F45E44"/>
    <w:rsid w:val="66F56EBB"/>
    <w:rsid w:val="66F75934"/>
    <w:rsid w:val="6703077D"/>
    <w:rsid w:val="676236F6"/>
    <w:rsid w:val="67634DBC"/>
    <w:rsid w:val="67672ABA"/>
    <w:rsid w:val="676872D3"/>
    <w:rsid w:val="676B07FC"/>
    <w:rsid w:val="67876CB8"/>
    <w:rsid w:val="67900263"/>
    <w:rsid w:val="67AB6E4B"/>
    <w:rsid w:val="67BA24E3"/>
    <w:rsid w:val="67E8076B"/>
    <w:rsid w:val="68132EF5"/>
    <w:rsid w:val="68304FEE"/>
    <w:rsid w:val="6837444B"/>
    <w:rsid w:val="683E4BED"/>
    <w:rsid w:val="68546B84"/>
    <w:rsid w:val="68582403"/>
    <w:rsid w:val="686A5F1F"/>
    <w:rsid w:val="686B0388"/>
    <w:rsid w:val="686E1C26"/>
    <w:rsid w:val="6874548F"/>
    <w:rsid w:val="68751207"/>
    <w:rsid w:val="688B0A2A"/>
    <w:rsid w:val="68907DEF"/>
    <w:rsid w:val="68914293"/>
    <w:rsid w:val="68C21649"/>
    <w:rsid w:val="68C301C4"/>
    <w:rsid w:val="68D90998"/>
    <w:rsid w:val="68DD6960"/>
    <w:rsid w:val="68FC7232"/>
    <w:rsid w:val="68FE11FC"/>
    <w:rsid w:val="697119CE"/>
    <w:rsid w:val="69787200"/>
    <w:rsid w:val="697A19DA"/>
    <w:rsid w:val="699A1371"/>
    <w:rsid w:val="69AF0D22"/>
    <w:rsid w:val="69B61AD7"/>
    <w:rsid w:val="69BB2C85"/>
    <w:rsid w:val="69BC0335"/>
    <w:rsid w:val="69E71C90"/>
    <w:rsid w:val="69FF5740"/>
    <w:rsid w:val="6A226566"/>
    <w:rsid w:val="6A2353BE"/>
    <w:rsid w:val="6A4C78DE"/>
    <w:rsid w:val="6A635FA8"/>
    <w:rsid w:val="6A6D4CC9"/>
    <w:rsid w:val="6A715519"/>
    <w:rsid w:val="6A8C22D6"/>
    <w:rsid w:val="6A9242F2"/>
    <w:rsid w:val="6A9A4F55"/>
    <w:rsid w:val="6AB97AD1"/>
    <w:rsid w:val="6AFF2C94"/>
    <w:rsid w:val="6B39476E"/>
    <w:rsid w:val="6B453112"/>
    <w:rsid w:val="6B4A0729"/>
    <w:rsid w:val="6B536BA5"/>
    <w:rsid w:val="6B680BAF"/>
    <w:rsid w:val="6B827EC3"/>
    <w:rsid w:val="6B8D38E9"/>
    <w:rsid w:val="6BE24E05"/>
    <w:rsid w:val="6BF43CE1"/>
    <w:rsid w:val="6BF82DB4"/>
    <w:rsid w:val="6C0B60BE"/>
    <w:rsid w:val="6C0E5BFA"/>
    <w:rsid w:val="6C3E0B26"/>
    <w:rsid w:val="6C4B3631"/>
    <w:rsid w:val="6C4B4758"/>
    <w:rsid w:val="6C726189"/>
    <w:rsid w:val="6C7812C6"/>
    <w:rsid w:val="6C9C1311"/>
    <w:rsid w:val="6C9E1130"/>
    <w:rsid w:val="6CA36342"/>
    <w:rsid w:val="6CAA31D8"/>
    <w:rsid w:val="6CBF5146"/>
    <w:rsid w:val="6CC17684"/>
    <w:rsid w:val="6CC938CF"/>
    <w:rsid w:val="6CCA1F28"/>
    <w:rsid w:val="6CD009DE"/>
    <w:rsid w:val="6CDD5BA6"/>
    <w:rsid w:val="6CE10D3A"/>
    <w:rsid w:val="6CFF5D51"/>
    <w:rsid w:val="6D1159A2"/>
    <w:rsid w:val="6D2D1D17"/>
    <w:rsid w:val="6D3E7C18"/>
    <w:rsid w:val="6D4F0278"/>
    <w:rsid w:val="6D853C9A"/>
    <w:rsid w:val="6D8C7F00"/>
    <w:rsid w:val="6D934F6D"/>
    <w:rsid w:val="6DA516F2"/>
    <w:rsid w:val="6DD32C57"/>
    <w:rsid w:val="6DDD69F5"/>
    <w:rsid w:val="6DF22304"/>
    <w:rsid w:val="6DFA4688"/>
    <w:rsid w:val="6E053030"/>
    <w:rsid w:val="6E067909"/>
    <w:rsid w:val="6E3B6A4F"/>
    <w:rsid w:val="6E5D131B"/>
    <w:rsid w:val="6E5D69C5"/>
    <w:rsid w:val="6E91041D"/>
    <w:rsid w:val="6E9323E7"/>
    <w:rsid w:val="6EA77C40"/>
    <w:rsid w:val="6ECF0210"/>
    <w:rsid w:val="6ED053E9"/>
    <w:rsid w:val="6EE756FF"/>
    <w:rsid w:val="6EE800BA"/>
    <w:rsid w:val="6EEE4BC6"/>
    <w:rsid w:val="6EF8049C"/>
    <w:rsid w:val="6EF94940"/>
    <w:rsid w:val="6F2A1462"/>
    <w:rsid w:val="6F2F7FED"/>
    <w:rsid w:val="6F4B2CC1"/>
    <w:rsid w:val="6F502086"/>
    <w:rsid w:val="6F520AF8"/>
    <w:rsid w:val="6F5A2F04"/>
    <w:rsid w:val="6F9401C4"/>
    <w:rsid w:val="6F9841A1"/>
    <w:rsid w:val="6FB92452"/>
    <w:rsid w:val="6FBF5F8B"/>
    <w:rsid w:val="6FE57D3C"/>
    <w:rsid w:val="6FF46241"/>
    <w:rsid w:val="70090BB2"/>
    <w:rsid w:val="700B7C19"/>
    <w:rsid w:val="70115CB9"/>
    <w:rsid w:val="7016507D"/>
    <w:rsid w:val="70187047"/>
    <w:rsid w:val="701D28B0"/>
    <w:rsid w:val="70253512"/>
    <w:rsid w:val="702C48A1"/>
    <w:rsid w:val="70316C7F"/>
    <w:rsid w:val="70576D06"/>
    <w:rsid w:val="705C444C"/>
    <w:rsid w:val="708C3591"/>
    <w:rsid w:val="70967F6C"/>
    <w:rsid w:val="70DA749F"/>
    <w:rsid w:val="70EB662F"/>
    <w:rsid w:val="71025602"/>
    <w:rsid w:val="71155CE6"/>
    <w:rsid w:val="71185E1A"/>
    <w:rsid w:val="711A0B9D"/>
    <w:rsid w:val="713E31AE"/>
    <w:rsid w:val="71A0459F"/>
    <w:rsid w:val="71A16CE9"/>
    <w:rsid w:val="71CA611F"/>
    <w:rsid w:val="71D13952"/>
    <w:rsid w:val="71DA11B5"/>
    <w:rsid w:val="71EC20F9"/>
    <w:rsid w:val="72067563"/>
    <w:rsid w:val="72081252"/>
    <w:rsid w:val="723201D8"/>
    <w:rsid w:val="723A1D75"/>
    <w:rsid w:val="7251239D"/>
    <w:rsid w:val="7258372B"/>
    <w:rsid w:val="727F33AE"/>
    <w:rsid w:val="72803E9E"/>
    <w:rsid w:val="728F112C"/>
    <w:rsid w:val="72B648F6"/>
    <w:rsid w:val="72BC37FD"/>
    <w:rsid w:val="72CB65F3"/>
    <w:rsid w:val="72D8486C"/>
    <w:rsid w:val="72F0391D"/>
    <w:rsid w:val="72F1592E"/>
    <w:rsid w:val="72F27511"/>
    <w:rsid w:val="73025D8D"/>
    <w:rsid w:val="731F400F"/>
    <w:rsid w:val="732857F3"/>
    <w:rsid w:val="733C69A4"/>
    <w:rsid w:val="734E2D80"/>
    <w:rsid w:val="73557ED4"/>
    <w:rsid w:val="735C6276"/>
    <w:rsid w:val="73734595"/>
    <w:rsid w:val="73740A39"/>
    <w:rsid w:val="737C5B3F"/>
    <w:rsid w:val="738026EF"/>
    <w:rsid w:val="73A91E19"/>
    <w:rsid w:val="73D6524F"/>
    <w:rsid w:val="73EC1C67"/>
    <w:rsid w:val="73EF1E6D"/>
    <w:rsid w:val="74085625"/>
    <w:rsid w:val="74091017"/>
    <w:rsid w:val="741D2E7E"/>
    <w:rsid w:val="74275AAB"/>
    <w:rsid w:val="74281823"/>
    <w:rsid w:val="742A7349"/>
    <w:rsid w:val="743E1047"/>
    <w:rsid w:val="746C5BB4"/>
    <w:rsid w:val="747B2F53"/>
    <w:rsid w:val="7486193A"/>
    <w:rsid w:val="74910F3E"/>
    <w:rsid w:val="74934EEE"/>
    <w:rsid w:val="74A84DD4"/>
    <w:rsid w:val="74B35591"/>
    <w:rsid w:val="74B77B69"/>
    <w:rsid w:val="74BD01BD"/>
    <w:rsid w:val="750D46A2"/>
    <w:rsid w:val="75175B20"/>
    <w:rsid w:val="75420512"/>
    <w:rsid w:val="75475CD9"/>
    <w:rsid w:val="755521A4"/>
    <w:rsid w:val="75647827"/>
    <w:rsid w:val="757A60AE"/>
    <w:rsid w:val="75956A44"/>
    <w:rsid w:val="759E1D9D"/>
    <w:rsid w:val="75AB6D3B"/>
    <w:rsid w:val="75F220E9"/>
    <w:rsid w:val="75FC057E"/>
    <w:rsid w:val="760D62CE"/>
    <w:rsid w:val="761756AB"/>
    <w:rsid w:val="76206EFF"/>
    <w:rsid w:val="762471F0"/>
    <w:rsid w:val="76276370"/>
    <w:rsid w:val="76531AE8"/>
    <w:rsid w:val="765406AD"/>
    <w:rsid w:val="765949AE"/>
    <w:rsid w:val="767C73C6"/>
    <w:rsid w:val="76862A50"/>
    <w:rsid w:val="768F5B89"/>
    <w:rsid w:val="769B7323"/>
    <w:rsid w:val="76C15EC6"/>
    <w:rsid w:val="76C74CC5"/>
    <w:rsid w:val="76D65566"/>
    <w:rsid w:val="76F36118"/>
    <w:rsid w:val="76FF2D0F"/>
    <w:rsid w:val="77176085"/>
    <w:rsid w:val="771F4ADD"/>
    <w:rsid w:val="772D3233"/>
    <w:rsid w:val="77444388"/>
    <w:rsid w:val="77495D38"/>
    <w:rsid w:val="774E77F3"/>
    <w:rsid w:val="77AD4519"/>
    <w:rsid w:val="77B903C5"/>
    <w:rsid w:val="77D52026"/>
    <w:rsid w:val="77E3618D"/>
    <w:rsid w:val="77F66600"/>
    <w:rsid w:val="77FC0FFD"/>
    <w:rsid w:val="780B7492"/>
    <w:rsid w:val="780D2612"/>
    <w:rsid w:val="781F604F"/>
    <w:rsid w:val="782642CC"/>
    <w:rsid w:val="785179EA"/>
    <w:rsid w:val="78847910"/>
    <w:rsid w:val="78884D24"/>
    <w:rsid w:val="788D60F9"/>
    <w:rsid w:val="78976633"/>
    <w:rsid w:val="78BA2472"/>
    <w:rsid w:val="78EA70A7"/>
    <w:rsid w:val="78F55BD8"/>
    <w:rsid w:val="79052133"/>
    <w:rsid w:val="790A2782"/>
    <w:rsid w:val="791D747D"/>
    <w:rsid w:val="794C7D62"/>
    <w:rsid w:val="794E145A"/>
    <w:rsid w:val="794F5A55"/>
    <w:rsid w:val="795D5ACB"/>
    <w:rsid w:val="7967694A"/>
    <w:rsid w:val="797671FC"/>
    <w:rsid w:val="79943B71"/>
    <w:rsid w:val="799A6D1F"/>
    <w:rsid w:val="799E6C98"/>
    <w:rsid w:val="79A5003A"/>
    <w:rsid w:val="79AC0800"/>
    <w:rsid w:val="79B41A4E"/>
    <w:rsid w:val="79C318FE"/>
    <w:rsid w:val="79DA35C0"/>
    <w:rsid w:val="79FB3163"/>
    <w:rsid w:val="7A0F67D9"/>
    <w:rsid w:val="7A1B7E60"/>
    <w:rsid w:val="7A1C14E2"/>
    <w:rsid w:val="7A410F49"/>
    <w:rsid w:val="7A601D17"/>
    <w:rsid w:val="7A8F7F06"/>
    <w:rsid w:val="7AB47055"/>
    <w:rsid w:val="7ABE2599"/>
    <w:rsid w:val="7AC422A5"/>
    <w:rsid w:val="7B041F22"/>
    <w:rsid w:val="7B0436B3"/>
    <w:rsid w:val="7B102F1F"/>
    <w:rsid w:val="7B1C5306"/>
    <w:rsid w:val="7B29556A"/>
    <w:rsid w:val="7B75534E"/>
    <w:rsid w:val="7B876E2F"/>
    <w:rsid w:val="7BA029E2"/>
    <w:rsid w:val="7BA45C33"/>
    <w:rsid w:val="7BCE6D01"/>
    <w:rsid w:val="7BD32074"/>
    <w:rsid w:val="7BD55C15"/>
    <w:rsid w:val="7BD81090"/>
    <w:rsid w:val="7BE94620"/>
    <w:rsid w:val="7BF56B05"/>
    <w:rsid w:val="7C185455"/>
    <w:rsid w:val="7C240B22"/>
    <w:rsid w:val="7C375547"/>
    <w:rsid w:val="7C440E4A"/>
    <w:rsid w:val="7C444E3F"/>
    <w:rsid w:val="7C49307D"/>
    <w:rsid w:val="7C4B3CEE"/>
    <w:rsid w:val="7C702B07"/>
    <w:rsid w:val="7C752135"/>
    <w:rsid w:val="7C8D0ED1"/>
    <w:rsid w:val="7C923CDE"/>
    <w:rsid w:val="7C9B7181"/>
    <w:rsid w:val="7C9C2DAE"/>
    <w:rsid w:val="7CA51C63"/>
    <w:rsid w:val="7CAB49B5"/>
    <w:rsid w:val="7CBC51FE"/>
    <w:rsid w:val="7CCB71F0"/>
    <w:rsid w:val="7CCF418F"/>
    <w:rsid w:val="7CCF5A06"/>
    <w:rsid w:val="7CE338D3"/>
    <w:rsid w:val="7CF17FFD"/>
    <w:rsid w:val="7CFD1A9F"/>
    <w:rsid w:val="7CFE1373"/>
    <w:rsid w:val="7D000640"/>
    <w:rsid w:val="7D0270B5"/>
    <w:rsid w:val="7D360B0D"/>
    <w:rsid w:val="7D466D34"/>
    <w:rsid w:val="7D8775BA"/>
    <w:rsid w:val="7D910439"/>
    <w:rsid w:val="7D9662B8"/>
    <w:rsid w:val="7DA63EE4"/>
    <w:rsid w:val="7DA77C5D"/>
    <w:rsid w:val="7DB14637"/>
    <w:rsid w:val="7DC223A1"/>
    <w:rsid w:val="7DCC76C3"/>
    <w:rsid w:val="7DD345AE"/>
    <w:rsid w:val="7E185273"/>
    <w:rsid w:val="7E474901"/>
    <w:rsid w:val="7E5036DA"/>
    <w:rsid w:val="7E617E0B"/>
    <w:rsid w:val="7E7920E3"/>
    <w:rsid w:val="7E797790"/>
    <w:rsid w:val="7E8A1B2B"/>
    <w:rsid w:val="7E971A7F"/>
    <w:rsid w:val="7EC73DC5"/>
    <w:rsid w:val="7EF26CB5"/>
    <w:rsid w:val="7EFE14E9"/>
    <w:rsid w:val="7F052E8D"/>
    <w:rsid w:val="7F115666"/>
    <w:rsid w:val="7F2A25AD"/>
    <w:rsid w:val="7F3351B5"/>
    <w:rsid w:val="7F452523"/>
    <w:rsid w:val="7F5B2AAD"/>
    <w:rsid w:val="7F912972"/>
    <w:rsid w:val="7F947D6D"/>
    <w:rsid w:val="7FA278D5"/>
    <w:rsid w:val="7FB977D3"/>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9"/>
    <w:pPr>
      <w:keepNext/>
      <w:keepLines/>
      <w:spacing w:line="576" w:lineRule="auto"/>
      <w:outlineLvl w:val="0"/>
    </w:pPr>
    <w:rPr>
      <w:b/>
      <w:kern w:val="44"/>
      <w:sz w:val="44"/>
    </w:rPr>
  </w:style>
  <w:style w:type="paragraph" w:styleId="4">
    <w:name w:val="heading 2"/>
    <w:basedOn w:val="1"/>
    <w:next w:val="1"/>
    <w:unhideWhenUsed/>
    <w:qFormat/>
    <w:uiPriority w:val="9"/>
    <w:pPr>
      <w:keepNext/>
      <w:keepLines/>
      <w:spacing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rFonts w:ascii="Arial" w:hAnsi="Arial" w:eastAsia="方正仿宋_GB2312"/>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68"/>
      <w:szCs w:val="68"/>
      <w:lang w:val="en-US" w:eastAsia="en-US" w:bidi="ar-SA"/>
    </w:rPr>
  </w:style>
  <w:style w:type="paragraph" w:styleId="6">
    <w:name w:val="Normal Indent"/>
    <w:basedOn w:val="1"/>
    <w:qFormat/>
    <w:uiPriority w:val="99"/>
    <w:pPr>
      <w:ind w:firstLine="680"/>
    </w:pPr>
    <w:rPr>
      <w:szCs w:val="20"/>
    </w:rPr>
  </w:style>
  <w:style w:type="paragraph" w:styleId="7">
    <w:name w:val="toc 3"/>
    <w:basedOn w:val="1"/>
    <w:next w:val="1"/>
    <w:qFormat/>
    <w:uiPriority w:val="0"/>
    <w:pPr>
      <w:ind w:left="840" w:leftChars="400"/>
    </w:pPr>
    <w:rPr>
      <w:rFonts w:ascii="Arial" w:hAnsi="Arial" w:eastAsia="方正仿宋_GB2312"/>
      <w:sz w:val="32"/>
    </w:rPr>
  </w:style>
  <w:style w:type="paragraph" w:styleId="8">
    <w:name w:val="footer"/>
    <w:basedOn w:val="1"/>
    <w:next w:val="1"/>
    <w:semiHidden/>
    <w:unhideWhenUsed/>
    <w:qFormat/>
    <w:uiPriority w:val="99"/>
    <w:pPr>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rPr>
      <w:rFonts w:ascii="Arial" w:hAnsi="Arial" w:eastAsia="黑体"/>
      <w:sz w:val="32"/>
    </w:rPr>
  </w:style>
  <w:style w:type="paragraph" w:styleId="11">
    <w:name w:val="toc 2"/>
    <w:basedOn w:val="1"/>
    <w:next w:val="1"/>
    <w:qFormat/>
    <w:uiPriority w:val="0"/>
    <w:pPr>
      <w:ind w:left="420" w:leftChars="200"/>
    </w:pPr>
    <w:rPr>
      <w:rFonts w:ascii="Arial" w:hAnsi="Arial" w:eastAsia="楷体"/>
      <w:sz w:val="3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Default"/>
    <w:basedOn w:val="1"/>
    <w:next w:val="1"/>
    <w:semiHidden/>
    <w:qFormat/>
    <w:uiPriority w:val="0"/>
    <w:pPr>
      <w:widowControl w:val="0"/>
      <w:autoSpaceDE w:val="0"/>
      <w:autoSpaceDN w:val="0"/>
      <w:adjustRightInd w:val="0"/>
      <w:spacing w:line="240" w:lineRule="auto"/>
      <w:jc w:val="left"/>
    </w:pPr>
    <w:rPr>
      <w:rFonts w:ascii="方正仿宋_GB2312" w:hAnsi="宋体" w:eastAsia="方正仿宋_GB2312" w:cs="Times New Roman"/>
      <w:color w:val="000000"/>
      <w:kern w:val="0"/>
      <w:szCs w:val="24"/>
    </w:rPr>
  </w:style>
  <w:style w:type="paragraph" w:customStyle="1" w:styleId="20">
    <w:name w:val="Table Text"/>
    <w:basedOn w:val="1"/>
    <w:semiHidden/>
    <w:qFormat/>
    <w:uiPriority w:val="0"/>
    <w:rPr>
      <w:rFonts w:ascii="宋体" w:hAnsi="宋体" w:eastAsia="宋体" w:cs="宋体"/>
      <w:sz w:val="25"/>
      <w:szCs w:val="25"/>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font51"/>
    <w:basedOn w:val="16"/>
    <w:qFormat/>
    <w:uiPriority w:val="0"/>
    <w:rPr>
      <w:rFonts w:ascii="方正黑体_GBK" w:hAnsi="方正黑体_GBK" w:eastAsia="方正黑体_GBK" w:cs="方正黑体_GBK"/>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3825</Words>
  <Characters>3978</Characters>
  <Lines>0</Lines>
  <Paragraphs>0</Paragraphs>
  <TotalTime>7</TotalTime>
  <ScaleCrop>false</ScaleCrop>
  <LinksUpToDate>false</LinksUpToDate>
  <CharactersWithSpaces>4205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2025-12-07T02:14:00Z</dcterms:created>
  <dc:creator>asus</dc:creator>
  <cp:lastModifiedBy>谭鑫</cp:lastModifiedBy>
  <cp:lastPrinted>2026-01-11T08:29:00Z</cp:lastPrinted>
  <dcterms:modified xsi:type="dcterms:W3CDTF">2026-06-09T08:28:41Z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eyJoZGlkIjoiZDM4NjcwODk3MGIzMTQ0MWRmZTEzZGVmZjA0N2FkNWIiLCJ1c2VySWQiOiIxNjM5NDI5MzY3In0=</vt:lpwstr>
  </property>
  <property fmtid="{D5CDD505-2E9C-101B-9397-08002B2CF9AE}" pid="4" name="ICV">
    <vt:lpwstr>984C640C1E89490FB0A59278A59D70EC_13</vt:lpwstr>
  </property>
</Properties>
</file>