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9739E">
      <w:pPr>
        <w:widowControl/>
        <w:ind w:firstLine="0" w:firstLineChars="0"/>
        <w:jc w:val="center"/>
        <w:rPr>
          <w:b/>
          <w:kern w:val="0"/>
          <w:sz w:val="28"/>
          <w:szCs w:val="28"/>
        </w:rPr>
      </w:pPr>
      <w:r>
        <w:rPr>
          <w:rFonts w:hint="eastAsia"/>
          <w:b/>
          <w:kern w:val="0"/>
          <w:sz w:val="28"/>
          <w:szCs w:val="28"/>
        </w:rPr>
        <w:t>《四川省攀枝花市宝鼎矿区总体规划环境影响评价</w:t>
      </w:r>
      <w:r>
        <w:rPr>
          <w:rFonts w:hint="eastAsia"/>
          <w:b/>
          <w:kern w:val="0"/>
          <w:sz w:val="28"/>
          <w:szCs w:val="28"/>
          <w:lang w:val="en-US" w:eastAsia="zh-CN"/>
        </w:rPr>
        <w:t>报告书</w:t>
      </w:r>
      <w:r>
        <w:rPr>
          <w:rFonts w:hint="eastAsia"/>
          <w:b/>
          <w:kern w:val="0"/>
          <w:sz w:val="28"/>
          <w:szCs w:val="28"/>
        </w:rPr>
        <w:t>》信息公示</w:t>
      </w:r>
    </w:p>
    <w:p w14:paraId="3DFDAC69">
      <w:pPr>
        <w:widowControl/>
        <w:ind w:firstLine="0" w:firstLineChars="0"/>
        <w:jc w:val="center"/>
        <w:rPr>
          <w:b/>
          <w:kern w:val="0"/>
          <w:sz w:val="28"/>
          <w:szCs w:val="28"/>
        </w:rPr>
      </w:pPr>
      <w:r>
        <w:rPr>
          <w:rFonts w:hint="eastAsia"/>
          <w:b/>
          <w:kern w:val="0"/>
          <w:sz w:val="28"/>
          <w:szCs w:val="28"/>
        </w:rPr>
        <w:t>（第三次）</w:t>
      </w:r>
      <w:bookmarkStart w:id="5" w:name="_GoBack"/>
      <w:bookmarkEnd w:id="5"/>
    </w:p>
    <w:p w14:paraId="0B839C71">
      <w:pPr>
        <w:widowControl/>
        <w:ind w:firstLine="0" w:firstLineChars="0"/>
        <w:jc w:val="center"/>
        <w:rPr>
          <w:b/>
          <w:kern w:val="0"/>
          <w:szCs w:val="24"/>
        </w:rPr>
      </w:pPr>
    </w:p>
    <w:p w14:paraId="21C7ED9F">
      <w:pPr>
        <w:widowControl/>
        <w:ind w:firstLine="480"/>
        <w:rPr>
          <w:rFonts w:cs="Times New Roman"/>
        </w:rPr>
      </w:pPr>
      <w:r>
        <w:rPr>
          <w:rFonts w:hint="eastAsia"/>
        </w:rPr>
        <w:t>攀枝花市西区发展和改革局</w:t>
      </w:r>
      <w:r>
        <w:rPr>
          <w:rFonts w:hint="eastAsia"/>
          <w:kern w:val="0"/>
          <w:szCs w:val="24"/>
        </w:rPr>
        <w:t>委托四川省生态环境科学研究院开展宝鼎矿区总体规划环境影响评价工作，报告现基本编制完成。项目启动较早，</w:t>
      </w:r>
      <w:r>
        <w:rPr>
          <w:rFonts w:cs="Times New Roman"/>
        </w:rPr>
        <w:t>公众参与</w:t>
      </w:r>
      <w:r>
        <w:rPr>
          <w:rFonts w:hint="eastAsia" w:cs="Times New Roman"/>
        </w:rPr>
        <w:t>第一次公示、第二次公示分别于2022年2月、2022年</w:t>
      </w:r>
      <w:r>
        <w:rPr>
          <w:rFonts w:hint="eastAsia" w:cs="Times New Roman"/>
          <w:lang w:val="en-US" w:eastAsia="zh-CN"/>
        </w:rPr>
        <w:t>9</w:t>
      </w:r>
      <w:r>
        <w:rPr>
          <w:rFonts w:hint="eastAsia" w:cs="Times New Roman"/>
        </w:rPr>
        <w:t>月开展。由于矿区规划对规划名称、范围、开采规模进行了微调，故开展第三次网络公示。</w:t>
      </w:r>
    </w:p>
    <w:p w14:paraId="14709177">
      <w:pPr>
        <w:widowControl/>
        <w:ind w:firstLine="482"/>
        <w:rPr>
          <w:rFonts w:cs="Times New Roman"/>
          <w:b/>
          <w:bCs/>
        </w:rPr>
      </w:pPr>
      <w:r>
        <w:rPr>
          <w:rFonts w:hint="eastAsia" w:cs="Times New Roman"/>
          <w:b/>
          <w:bCs/>
        </w:rPr>
        <w:t>一、规划概要</w:t>
      </w:r>
    </w:p>
    <w:p w14:paraId="77B067BF">
      <w:pPr>
        <w:widowControl/>
        <w:ind w:firstLine="480"/>
        <w:rPr>
          <w:kern w:val="0"/>
          <w:szCs w:val="24"/>
        </w:rPr>
      </w:pPr>
      <w:r>
        <w:rPr>
          <w:rFonts w:hint="eastAsia" w:cs="Times New Roman"/>
        </w:rPr>
        <w:t>1、规划名称：</w:t>
      </w:r>
      <w:bookmarkStart w:id="0" w:name="OLE_LINK187"/>
      <w:r>
        <w:rPr>
          <w:rFonts w:hint="eastAsia" w:cs="Times New Roman"/>
        </w:rPr>
        <w:t>由《</w:t>
      </w:r>
      <w:r>
        <w:rPr>
          <w:rFonts w:hint="eastAsia"/>
          <w:kern w:val="0"/>
          <w:szCs w:val="24"/>
        </w:rPr>
        <w:t>攀枝花市宝鼎矿区总体规划</w:t>
      </w:r>
      <w:r>
        <w:rPr>
          <w:rFonts w:hint="eastAsia" w:cs="Times New Roman"/>
        </w:rPr>
        <w:t>》变更为《</w:t>
      </w:r>
      <w:r>
        <w:rPr>
          <w:rFonts w:hint="eastAsia"/>
          <w:kern w:val="0"/>
          <w:szCs w:val="24"/>
        </w:rPr>
        <w:t>四川省攀</w:t>
      </w:r>
      <w:bookmarkStart w:id="1" w:name="OLE_LINK4"/>
      <w:r>
        <w:rPr>
          <w:rFonts w:hint="eastAsia"/>
          <w:kern w:val="0"/>
          <w:szCs w:val="24"/>
        </w:rPr>
        <w:t>枝花市宝鼎矿区总体规划</w:t>
      </w:r>
      <w:r>
        <w:rPr>
          <w:rFonts w:hint="eastAsia" w:cs="Times New Roman"/>
        </w:rPr>
        <w:t>》</w:t>
      </w:r>
      <w:bookmarkEnd w:id="0"/>
      <w:bookmarkEnd w:id="1"/>
    </w:p>
    <w:p w14:paraId="5E6F4B77">
      <w:pPr>
        <w:widowControl/>
        <w:ind w:firstLine="480"/>
        <w:rPr>
          <w:kern w:val="0"/>
          <w:szCs w:val="24"/>
        </w:rPr>
      </w:pPr>
      <w:r>
        <w:rPr>
          <w:rFonts w:hint="eastAsia"/>
          <w:kern w:val="0"/>
          <w:szCs w:val="24"/>
        </w:rPr>
        <w:t>2、规划范围：由于开采深度由+0m调整至+300m以上，故</w:t>
      </w:r>
      <w:r>
        <w:rPr>
          <w:rFonts w:hint="eastAsia" w:cs="Times New Roman"/>
        </w:rPr>
        <w:t>规划范围由</w:t>
      </w:r>
      <w:bookmarkStart w:id="2" w:name="OLE_LINK189"/>
      <w:r>
        <w:rPr>
          <w:rFonts w:hint="eastAsia" w:cs="Times New Roman"/>
        </w:rPr>
        <w:t>67.7459km</w:t>
      </w:r>
      <w:r>
        <w:rPr>
          <w:rFonts w:hint="eastAsia" w:cs="Times New Roman"/>
          <w:vertAlign w:val="superscript"/>
        </w:rPr>
        <w:t>2</w:t>
      </w:r>
      <w:bookmarkEnd w:id="2"/>
      <w:r>
        <w:rPr>
          <w:rFonts w:hint="eastAsia" w:cs="Times New Roman"/>
        </w:rPr>
        <w:t>调整为67.6769km</w:t>
      </w:r>
      <w:r>
        <w:rPr>
          <w:rFonts w:hint="eastAsia" w:cs="Times New Roman"/>
          <w:vertAlign w:val="superscript"/>
        </w:rPr>
        <w:t>2</w:t>
      </w:r>
      <w:r>
        <w:rPr>
          <w:rFonts w:hint="eastAsia" w:cs="Times New Roman"/>
        </w:rPr>
        <w:t>。新的范围</w:t>
      </w:r>
      <w:r>
        <w:rPr>
          <w:rFonts w:cs="Times New Roman"/>
        </w:rPr>
        <w:t>北部以丽潘（攀）高速公路为界，南部以攀大高速公路及矿区最上一煤层（21-3号）+300m底板等高线为界，东部北以最下一煤层（39号）露头线为界，东部南以批复的仁和区煤炭矿区范围为界，西部以F22断层为界</w:t>
      </w:r>
      <w:r>
        <w:rPr>
          <w:rFonts w:hint="eastAsia" w:cs="Times New Roman"/>
        </w:rPr>
        <w:t>，</w:t>
      </w:r>
      <w:r>
        <w:rPr>
          <w:rFonts w:cs="Times New Roman"/>
        </w:rPr>
        <w:t>由</w:t>
      </w:r>
      <w:r>
        <w:rPr>
          <w:rFonts w:hint="eastAsia" w:cs="Times New Roman"/>
        </w:rPr>
        <w:t>75</w:t>
      </w:r>
      <w:r>
        <w:rPr>
          <w:rFonts w:cs="Times New Roman"/>
        </w:rPr>
        <w:t>个拐点圈闭</w:t>
      </w:r>
      <w:r>
        <w:rPr>
          <w:rFonts w:hint="eastAsia" w:cs="Times New Roman"/>
        </w:rPr>
        <w:t>。</w:t>
      </w:r>
    </w:p>
    <w:p w14:paraId="6CE2F614">
      <w:pPr>
        <w:widowControl/>
        <w:ind w:firstLine="480"/>
        <w:rPr>
          <w:kern w:val="0"/>
          <w:szCs w:val="24"/>
        </w:rPr>
      </w:pPr>
      <w:r>
        <w:rPr>
          <w:rFonts w:hint="eastAsia"/>
          <w:kern w:val="0"/>
          <w:szCs w:val="24"/>
        </w:rPr>
        <w:t>3、</w:t>
      </w:r>
      <w:r>
        <w:rPr>
          <w:rFonts w:hint="eastAsia" w:cs="Times New Roman"/>
          <w:bCs/>
          <w:color w:val="000000"/>
        </w:rPr>
        <w:t>规划规模：</w:t>
      </w:r>
      <w:bookmarkStart w:id="3" w:name="OLE_LINK85"/>
      <w:r>
        <w:rPr>
          <w:rFonts w:hint="eastAsia" w:cs="Times New Roman"/>
          <w:color w:val="000000" w:themeColor="text1"/>
          <w14:textFill>
            <w14:solidFill>
              <w14:schemeClr w14:val="tx1"/>
            </w14:solidFill>
          </w14:textFill>
        </w:rPr>
        <w:t>根据矿区现有探矿权和采矿权</w:t>
      </w:r>
      <w:r>
        <w:rPr>
          <w:rFonts w:cs="Times New Roman"/>
          <w:color w:val="000000" w:themeColor="text1"/>
          <w14:textFill>
            <w14:solidFill>
              <w14:schemeClr w14:val="tx1"/>
            </w14:solidFill>
          </w14:textFill>
        </w:rPr>
        <w:t>资源量</w:t>
      </w:r>
      <w:r>
        <w:rPr>
          <w:rFonts w:hint="eastAsia" w:cs="Times New Roman"/>
          <w:color w:val="000000" w:themeColor="text1"/>
          <w14:textFill>
            <w14:solidFill>
              <w14:schemeClr w14:val="tx1"/>
            </w14:solidFill>
          </w14:textFill>
        </w:rPr>
        <w:t>及新的矿权</w:t>
      </w:r>
      <w:r>
        <w:rPr>
          <w:rFonts w:cs="Times New Roman"/>
          <w:color w:val="000000" w:themeColor="text1"/>
          <w14:textFill>
            <w14:solidFill>
              <w14:schemeClr w14:val="tx1"/>
            </w14:solidFill>
          </w14:textFill>
        </w:rPr>
        <w:t>分割</w:t>
      </w:r>
      <w:r>
        <w:rPr>
          <w:rFonts w:hint="eastAsia" w:cs="Times New Roman"/>
          <w:color w:val="000000" w:themeColor="text1"/>
          <w14:textFill>
            <w14:solidFill>
              <w14:schemeClr w14:val="tx1"/>
            </w14:solidFill>
          </w14:textFill>
        </w:rPr>
        <w:t>方案，</w:t>
      </w:r>
      <w:bookmarkEnd w:id="3"/>
      <w:r>
        <w:rPr>
          <w:rFonts w:hint="eastAsia" w:cs="Times New Roman"/>
          <w:color w:val="000000" w:themeColor="text1"/>
          <w14:textFill>
            <w14:solidFill>
              <w14:schemeClr w14:val="tx1"/>
            </w14:solidFill>
          </w14:textFill>
        </w:rPr>
        <w:t>明确宝鼎矿区</w:t>
      </w:r>
      <w:r>
        <w:rPr>
          <w:rFonts w:hint="eastAsia" w:cs="Times New Roman"/>
        </w:rPr>
        <w:t>内4个煤矿均保持现有生产规模，即总规划规模由此前公示的570万吨/年调减为507</w:t>
      </w:r>
      <w:bookmarkStart w:id="4" w:name="OLE_LINK3"/>
      <w:r>
        <w:rPr>
          <w:rFonts w:hint="eastAsia" w:cs="Times New Roman"/>
        </w:rPr>
        <w:t>万吨/年</w:t>
      </w:r>
      <w:bookmarkEnd w:id="4"/>
      <w:r>
        <w:rPr>
          <w:rFonts w:hint="eastAsia" w:cs="Times New Roman"/>
        </w:rPr>
        <w:t>。</w:t>
      </w:r>
      <w:r>
        <w:rPr>
          <w:rFonts w:hint="eastAsia"/>
          <w:color w:val="000000"/>
        </w:rPr>
        <w:t>其中太平煤矿（120</w:t>
      </w:r>
      <w:r>
        <w:rPr>
          <w:rFonts w:hint="eastAsia" w:cs="Times New Roman"/>
        </w:rPr>
        <w:t>万吨/年</w:t>
      </w:r>
      <w:r>
        <w:rPr>
          <w:rFonts w:hint="eastAsia"/>
          <w:color w:val="000000"/>
        </w:rPr>
        <w:t>）、花山煤矿（180</w:t>
      </w:r>
      <w:r>
        <w:rPr>
          <w:rFonts w:hint="eastAsia" w:cs="Times New Roman"/>
        </w:rPr>
        <w:t>万吨/年</w:t>
      </w:r>
      <w:r>
        <w:rPr>
          <w:rFonts w:hint="eastAsia"/>
          <w:color w:val="000000"/>
        </w:rPr>
        <w:t>）、大宝顶煤矿（135</w:t>
      </w:r>
      <w:r>
        <w:rPr>
          <w:rFonts w:hint="eastAsia" w:cs="Times New Roman"/>
        </w:rPr>
        <w:t>万吨/年</w:t>
      </w:r>
      <w:r>
        <w:rPr>
          <w:rFonts w:hint="eastAsia"/>
          <w:color w:val="000000"/>
        </w:rPr>
        <w:t>）和小宝鼎煤矿（72</w:t>
      </w:r>
      <w:r>
        <w:rPr>
          <w:rFonts w:hint="eastAsia" w:cs="Times New Roman"/>
        </w:rPr>
        <w:t>万吨/年</w:t>
      </w:r>
      <w:r>
        <w:rPr>
          <w:rFonts w:hint="eastAsia"/>
          <w:color w:val="000000"/>
        </w:rPr>
        <w:t>）。</w:t>
      </w:r>
    </w:p>
    <w:p w14:paraId="68D25906">
      <w:pPr>
        <w:widowControl/>
        <w:ind w:firstLine="482"/>
        <w:rPr>
          <w:b/>
          <w:bCs/>
          <w:kern w:val="0"/>
          <w:szCs w:val="24"/>
        </w:rPr>
      </w:pPr>
      <w:r>
        <w:rPr>
          <w:rFonts w:hint="eastAsia"/>
          <w:b/>
          <w:bCs/>
          <w:kern w:val="0"/>
          <w:szCs w:val="24"/>
        </w:rPr>
        <w:t>二、与区域发展规划协调性</w:t>
      </w:r>
    </w:p>
    <w:p w14:paraId="27F4C7FC">
      <w:pPr>
        <w:widowControl/>
        <w:ind w:firstLine="480"/>
        <w:rPr>
          <w:kern w:val="0"/>
          <w:szCs w:val="24"/>
        </w:rPr>
      </w:pPr>
      <w:r>
        <w:rPr>
          <w:rFonts w:hint="eastAsia"/>
          <w:kern w:val="0"/>
          <w:szCs w:val="24"/>
        </w:rPr>
        <w:t>宝鼎矿区总体规划在战略定位、产业发展方向上与上位国民经济社会发展规划、区域重大发展规划相符合，与国家、四川省、攀枝花市国土空间规划及产业发展规划协调性较好。</w:t>
      </w:r>
    </w:p>
    <w:p w14:paraId="41B36565">
      <w:pPr>
        <w:widowControl/>
        <w:ind w:firstLine="482"/>
        <w:rPr>
          <w:b/>
          <w:bCs/>
          <w:kern w:val="0"/>
          <w:szCs w:val="24"/>
        </w:rPr>
      </w:pPr>
      <w:r>
        <w:rPr>
          <w:rFonts w:hint="eastAsia"/>
          <w:b/>
          <w:bCs/>
          <w:kern w:val="0"/>
          <w:szCs w:val="24"/>
        </w:rPr>
        <w:t>三、综合评价结论</w:t>
      </w:r>
    </w:p>
    <w:p w14:paraId="3944EDCB">
      <w:pPr>
        <w:widowControl/>
        <w:ind w:firstLine="480"/>
        <w:rPr>
          <w:kern w:val="0"/>
          <w:szCs w:val="24"/>
        </w:rPr>
      </w:pPr>
      <w:r>
        <w:rPr>
          <w:rFonts w:hint="eastAsia"/>
          <w:kern w:val="0"/>
          <w:szCs w:val="24"/>
        </w:rPr>
        <w:t>四川省攀枝花市宝鼎矿区规划规模、空间布局等不存在重大环境制约因素，总体上符合国家、四川省、攀枝花市、仁和区和西区行业相关政策、法规和规划。后续规划在实施过程中，应加强环境保护，在地表沉陷、大气污染、水污染防治、土壤污染和固体废弃物污染治理、环境风险防范与应急等方面认真落实国家、省及地方各项污染防治要求，并严格落实本评价提出的各项环境影响减缓措施后，四川省攀枝花市宝鼎矿区总体规划实施从环境保护角度可行。</w:t>
      </w:r>
    </w:p>
    <w:p w14:paraId="3994D3D9">
      <w:pPr>
        <w:widowControl/>
        <w:ind w:firstLine="482"/>
        <w:rPr>
          <w:b/>
          <w:bCs/>
          <w:kern w:val="0"/>
          <w:szCs w:val="24"/>
        </w:rPr>
      </w:pPr>
      <w:r>
        <w:rPr>
          <w:rFonts w:hint="eastAsia"/>
          <w:b/>
          <w:bCs/>
          <w:kern w:val="0"/>
          <w:szCs w:val="24"/>
        </w:rPr>
        <w:t>四、规划实施单位及联系方式</w:t>
      </w:r>
    </w:p>
    <w:p w14:paraId="23337AA1">
      <w:pPr>
        <w:widowControl/>
        <w:ind w:firstLine="480"/>
        <w:jc w:val="left"/>
        <w:rPr>
          <w:kern w:val="0"/>
          <w:szCs w:val="24"/>
        </w:rPr>
      </w:pPr>
      <w:r>
        <w:rPr>
          <w:rFonts w:hint="eastAsia"/>
          <w:kern w:val="0"/>
          <w:szCs w:val="24"/>
        </w:rPr>
        <w:t>规划实施单位：</w:t>
      </w:r>
      <w:r>
        <w:rPr>
          <w:rFonts w:hint="eastAsia"/>
        </w:rPr>
        <w:t>攀枝花市西区发展和改革局</w:t>
      </w:r>
      <w:r>
        <w:rPr>
          <w:kern w:val="0"/>
          <w:szCs w:val="24"/>
        </w:rPr>
        <w:t xml:space="preserve">  </w:t>
      </w:r>
    </w:p>
    <w:p w14:paraId="715A1FF8">
      <w:pPr>
        <w:widowControl/>
        <w:ind w:firstLine="480"/>
        <w:jc w:val="left"/>
        <w:rPr>
          <w:rFonts w:cs="Times New Roman"/>
          <w:color w:val="000000" w:themeColor="text1"/>
          <w:szCs w:val="24"/>
          <w14:textFill>
            <w14:solidFill>
              <w14:schemeClr w14:val="tx1"/>
            </w14:solidFill>
          </w14:textFill>
        </w:rPr>
      </w:pPr>
      <w:r>
        <w:rPr>
          <w:rFonts w:hint="eastAsia"/>
          <w:kern w:val="0"/>
          <w:szCs w:val="24"/>
        </w:rPr>
        <w:t>联系人：</w:t>
      </w:r>
      <w:r>
        <w:rPr>
          <w:rFonts w:hint="eastAsia" w:cs="Times New Roman"/>
          <w:color w:val="000000" w:themeColor="text1"/>
          <w:szCs w:val="24"/>
          <w:lang w:val="en-US" w:eastAsia="zh-CN"/>
          <w14:textFill>
            <w14:solidFill>
              <w14:schemeClr w14:val="tx1"/>
            </w14:solidFill>
          </w14:textFill>
        </w:rPr>
        <w:t>曹</w:t>
      </w:r>
      <w:r>
        <w:rPr>
          <w:rFonts w:hint="eastAsia" w:cs="Times New Roman"/>
          <w:color w:val="000000" w:themeColor="text1"/>
          <w:szCs w:val="24"/>
          <w14:textFill>
            <w14:solidFill>
              <w14:schemeClr w14:val="tx1"/>
            </w14:solidFill>
          </w14:textFill>
        </w:rPr>
        <w:t>女士</w:t>
      </w:r>
      <w:r>
        <w:rPr>
          <w:rFonts w:hint="eastAsia"/>
          <w:kern w:val="0"/>
          <w:szCs w:val="24"/>
        </w:rPr>
        <w:t xml:space="preserve">    联系电话：</w:t>
      </w:r>
      <w:r>
        <w:rPr>
          <w:rFonts w:hint="eastAsia" w:cs="Times New Roman"/>
          <w:color w:val="000000" w:themeColor="text1"/>
          <w:szCs w:val="24"/>
          <w:lang w:val="en-US" w:eastAsia="zh-CN"/>
          <w14:textFill>
            <w14:solidFill>
              <w14:schemeClr w14:val="tx1"/>
            </w14:solidFill>
          </w14:textFill>
        </w:rPr>
        <w:t>0812-3864656</w:t>
      </w:r>
    </w:p>
    <w:p w14:paraId="0F7829B8">
      <w:pPr>
        <w:widowControl/>
        <w:ind w:firstLine="482"/>
        <w:jc w:val="left"/>
        <w:rPr>
          <w:b/>
          <w:bCs/>
          <w:kern w:val="0"/>
          <w:szCs w:val="24"/>
        </w:rPr>
      </w:pPr>
      <w:r>
        <w:rPr>
          <w:rFonts w:hint="eastAsia"/>
          <w:b/>
          <w:bCs/>
          <w:kern w:val="0"/>
          <w:szCs w:val="24"/>
        </w:rPr>
        <w:t>五、环境影响评价单位及联系方式</w:t>
      </w:r>
    </w:p>
    <w:p w14:paraId="6EEB16B3">
      <w:pPr>
        <w:ind w:firstLine="480"/>
        <w:rPr>
          <w:kern w:val="0"/>
          <w:szCs w:val="24"/>
        </w:rPr>
      </w:pPr>
      <w:r>
        <w:rPr>
          <w:rFonts w:hint="eastAsia"/>
          <w:kern w:val="0"/>
          <w:szCs w:val="24"/>
        </w:rPr>
        <w:t>评价机构名称：四川省生态环境科学研究院</w:t>
      </w:r>
    </w:p>
    <w:p w14:paraId="210C4C67">
      <w:pPr>
        <w:ind w:firstLine="480"/>
        <w:rPr>
          <w:kern w:val="0"/>
          <w:szCs w:val="24"/>
        </w:rPr>
      </w:pPr>
      <w:r>
        <w:rPr>
          <w:rFonts w:hint="eastAsia"/>
          <w:kern w:val="0"/>
          <w:szCs w:val="24"/>
        </w:rPr>
        <w:t>联系人：刘女士     联系电话：028-85532523</w:t>
      </w:r>
    </w:p>
    <w:p w14:paraId="30A721A8">
      <w:pPr>
        <w:ind w:firstLine="480"/>
        <w:rPr>
          <w:kern w:val="0"/>
          <w:szCs w:val="24"/>
        </w:rPr>
      </w:pPr>
      <w:r>
        <w:rPr>
          <w:rFonts w:hint="eastAsia"/>
          <w:kern w:val="0"/>
          <w:szCs w:val="24"/>
        </w:rPr>
        <w:t>邮箱：</w:t>
      </w:r>
      <w:r>
        <w:rPr>
          <w:kern w:val="0"/>
          <w:szCs w:val="24"/>
        </w:rPr>
        <w:t xml:space="preserve">632773762 </w:t>
      </w:r>
      <w:r>
        <w:rPr>
          <w:rFonts w:hint="eastAsia"/>
          <w:kern w:val="0"/>
          <w:szCs w:val="24"/>
        </w:rPr>
        <w:t>@qq.com</w:t>
      </w:r>
    </w:p>
    <w:p w14:paraId="4D896ADE">
      <w:pPr>
        <w:ind w:firstLine="482"/>
        <w:rPr>
          <w:b/>
          <w:bCs/>
        </w:rPr>
      </w:pPr>
      <w:r>
        <w:rPr>
          <w:rFonts w:hint="eastAsia"/>
          <w:b/>
          <w:bCs/>
        </w:rPr>
        <w:t>六、查阅环境影响报告书简本及索取补充信息的方式和期限</w:t>
      </w:r>
    </w:p>
    <w:p w14:paraId="7404B76F">
      <w:pPr>
        <w:ind w:firstLine="480"/>
      </w:pPr>
      <w:r>
        <w:rPr>
          <w:rFonts w:hint="eastAsia"/>
        </w:rPr>
        <w:t>公众如想进一步了解项目和环境影响评价的内容，可向规划实施单位或其委托的环境影响评价结构索取环境影响报告书简本和其他相关补充信息，时间自本项目公示之日起10个工作日内，通过电话及邮件的方式联系。</w:t>
      </w:r>
    </w:p>
    <w:p w14:paraId="12D474CB">
      <w:pPr>
        <w:ind w:firstLine="480"/>
      </w:pPr>
      <w:r>
        <w:rPr>
          <w:rFonts w:hint="eastAsia"/>
        </w:rPr>
        <w:t>七、公示期限：10个工作日</w:t>
      </w:r>
    </w:p>
    <w:p w14:paraId="56B0A5C7">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7E7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7362B">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D858D">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BA2B">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3DB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B2D5">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20"/>
    <w:rsid w:val="0002002B"/>
    <w:rsid w:val="000834F5"/>
    <w:rsid w:val="000920B0"/>
    <w:rsid w:val="001146D0"/>
    <w:rsid w:val="001C2C26"/>
    <w:rsid w:val="001C3C09"/>
    <w:rsid w:val="00220448"/>
    <w:rsid w:val="0022170C"/>
    <w:rsid w:val="002D0955"/>
    <w:rsid w:val="0034507F"/>
    <w:rsid w:val="003623C2"/>
    <w:rsid w:val="0039412C"/>
    <w:rsid w:val="003F5E76"/>
    <w:rsid w:val="0057605B"/>
    <w:rsid w:val="005C3355"/>
    <w:rsid w:val="006049CA"/>
    <w:rsid w:val="009F1B20"/>
    <w:rsid w:val="00A8508E"/>
    <w:rsid w:val="00AE4AAA"/>
    <w:rsid w:val="00B3594E"/>
    <w:rsid w:val="00B771A1"/>
    <w:rsid w:val="00B86871"/>
    <w:rsid w:val="00BB73BB"/>
    <w:rsid w:val="00C870C6"/>
    <w:rsid w:val="00D040F6"/>
    <w:rsid w:val="00D633C9"/>
    <w:rsid w:val="00DB2204"/>
    <w:rsid w:val="00DB39DE"/>
    <w:rsid w:val="00DD062B"/>
    <w:rsid w:val="00E06954"/>
    <w:rsid w:val="00E71F2E"/>
    <w:rsid w:val="00E778D1"/>
    <w:rsid w:val="00EA6E54"/>
    <w:rsid w:val="00EC5D1B"/>
    <w:rsid w:val="00ED13FC"/>
    <w:rsid w:val="00F14B27"/>
    <w:rsid w:val="00F262D6"/>
    <w:rsid w:val="018407B3"/>
    <w:rsid w:val="08B76143"/>
    <w:rsid w:val="17AD5B92"/>
    <w:rsid w:val="32A13C6A"/>
    <w:rsid w:val="54E943E6"/>
    <w:rsid w:val="5794156A"/>
    <w:rsid w:val="5DC2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rFonts w:ascii="Times New Roman" w:hAnsi="Times New Roman"/>
      <w:sz w:val="18"/>
      <w:szCs w:val="18"/>
    </w:rPr>
  </w:style>
  <w:style w:type="character" w:customStyle="1" w:styleId="8">
    <w:name w:val="页脚 字符"/>
    <w:basedOn w:val="5"/>
    <w:link w:val="2"/>
    <w:qFormat/>
    <w:uiPriority w:val="99"/>
    <w:rPr>
      <w:rFonts w:ascii="Times New Roman" w:hAnsi="Times New Roman"/>
      <w:sz w:val="18"/>
      <w:szCs w:val="18"/>
    </w:rPr>
  </w:style>
  <w:style w:type="paragraph" w:customStyle="1" w:styleId="9">
    <w:name w:val="表格表2.3-1"/>
    <w:basedOn w:val="10"/>
    <w:next w:val="1"/>
    <w:qFormat/>
    <w:uiPriority w:val="0"/>
    <w:pPr>
      <w:spacing w:after="160"/>
      <w:ind w:firstLine="0" w:firstLineChars="0"/>
    </w:pPr>
    <w:rPr>
      <w:rFonts w:ascii="Calibri" w:hAnsi="Calibri" w:eastAsia="Times New Roman" w:cs="Times New Roman"/>
      <w:b/>
      <w:color w:val="0000FF"/>
      <w:sz w:val="21"/>
    </w:rPr>
  </w:style>
  <w:style w:type="paragraph" w:styleId="10">
    <w:name w:val="List Paragraph"/>
    <w:basedOn w:val="1"/>
    <w:qFormat/>
    <w:uiPriority w:val="34"/>
    <w:pPr>
      <w:ind w:firstLine="420"/>
    </w:p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1011</Words>
  <Characters>1101</Characters>
  <Lines>8</Lines>
  <Paragraphs>2</Paragraphs>
  <TotalTime>46</TotalTime>
  <ScaleCrop>false</ScaleCrop>
  <LinksUpToDate>false</LinksUpToDate>
  <CharactersWithSpaces>1113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2026-05-18T09:29:00Z</dcterms:created>
  <dc:creator>微软用户</dc:creator>
  <cp:lastModifiedBy>こ云淡风清ζ</cp:lastModifiedBy>
  <cp:lastPrinted>2026-05-18T07:17:00Z</cp:lastPrinted>
  <dcterms:modified xsi:type="dcterms:W3CDTF">2026-06-05T08:55:18Z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FAD164B15E5441F8ADAA5A2D45282B75_13</vt:lpwstr>
  </property>
</Properties>
</file>