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r>
        <w:rPr>
          <w:rFonts w:hint="eastAsia" w:ascii="方正小标宋简体" w:hAnsi="宋体" w:eastAsia="方正小标宋简体"/>
          <w:color w:val="000000"/>
          <w:sz w:val="30"/>
          <w:szCs w:val="30"/>
        </w:rPr>
        <w:t>附件</w:t>
      </w:r>
      <w:r>
        <w:rPr>
          <w:rFonts w:ascii="方正小标宋简体" w:hAnsi="宋体" w:eastAsia="方正小标宋简体"/>
          <w:color w:val="000000"/>
          <w:sz w:val="30"/>
          <w:szCs w:val="30"/>
        </w:rPr>
        <w:t>4</w:t>
      </w:r>
    </w:p>
    <w:p>
      <w:pPr>
        <w:spacing w:line="600" w:lineRule="exact"/>
        <w:jc w:val="center"/>
        <w:outlineLvl w:val="0"/>
        <w:rPr>
          <w:rFonts w:ascii="Times New Roman" w:hAnsi="Times New Roman" w:eastAsia="方正小标宋简体"/>
          <w:color w:val="000000"/>
          <w:sz w:val="72"/>
          <w:szCs w:val="72"/>
        </w:rPr>
      </w:pPr>
    </w:p>
    <w:p>
      <w:pPr>
        <w:pStyle w:val="2"/>
      </w:pPr>
    </w:p>
    <w:p>
      <w:pPr>
        <w:spacing w:line="600" w:lineRule="exact"/>
        <w:jc w:val="both"/>
        <w:outlineLvl w:val="0"/>
        <w:rPr>
          <w:rFonts w:ascii="Times New Roman" w:hAnsi="Times New Roman" w:eastAsia="方正小标宋简体"/>
          <w:color w:val="000000"/>
          <w:sz w:val="72"/>
          <w:szCs w:val="72"/>
        </w:rPr>
      </w:pPr>
    </w:p>
    <w:p>
      <w:pPr>
        <w:spacing w:line="600" w:lineRule="exact"/>
        <w:jc w:val="center"/>
        <w:outlineLvl w:val="0"/>
        <w:rPr>
          <w:rFonts w:ascii="Times New Roman" w:hAnsi="Times New Roman" w:eastAsia="方正小标宋简体"/>
          <w:color w:val="000000"/>
          <w:sz w:val="72"/>
          <w:szCs w:val="72"/>
        </w:rPr>
      </w:pPr>
    </w:p>
    <w:p>
      <w:pPr>
        <w:adjustRightInd w:val="0"/>
        <w:snapToGrid w:val="0"/>
        <w:spacing w:line="360" w:lineRule="auto"/>
        <w:jc w:val="center"/>
        <w:outlineLvl w:val="0"/>
        <w:rPr>
          <w:rFonts w:ascii="Times New Roman" w:hAnsi="Times New Roman" w:eastAsia="方正小标宋简体"/>
          <w:color w:val="000000"/>
          <w:sz w:val="72"/>
          <w:szCs w:val="72"/>
        </w:rPr>
      </w:pPr>
      <w:bookmarkStart w:id="72" w:name="_GoBack"/>
      <w:bookmarkStart w:id="1" w:name="_Toc15396597"/>
      <w:bookmarkStart w:id="2" w:name="_Toc15377193"/>
      <w:bookmarkStart w:id="3" w:name="_Toc15377425"/>
      <w:bookmarkStart w:id="4" w:name="_Toc15396475"/>
      <w:bookmarkStart w:id="5" w:name="_Toc15378441"/>
      <w:r>
        <w:rPr>
          <w:rFonts w:ascii="Times New Roman" w:hAnsi="Times New Roman" w:eastAsia="黑体"/>
          <w:color w:val="000000"/>
          <w:sz w:val="72"/>
          <w:szCs w:val="72"/>
        </w:rPr>
        <w:t>20</w:t>
      </w:r>
      <w:r>
        <w:rPr>
          <w:rFonts w:hint="eastAsia" w:ascii="Times New Roman" w:hAnsi="Times New Roman" w:eastAsia="黑体"/>
          <w:color w:val="000000"/>
          <w:sz w:val="72"/>
          <w:szCs w:val="72"/>
          <w:lang w:val="en-US" w:eastAsia="zh-CN"/>
        </w:rPr>
        <w:t>20</w:t>
      </w:r>
      <w:r>
        <w:rPr>
          <w:rFonts w:ascii="Times New Roman" w:hAnsi="Times New Roman"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Times New Roman" w:hAnsi="Times New Roman" w:eastAsia="方正小标宋简体"/>
          <w:color w:val="000000"/>
          <w:sz w:val="72"/>
          <w:szCs w:val="72"/>
        </w:rPr>
      </w:pPr>
      <w:bookmarkStart w:id="6" w:name="_Toc15396476"/>
      <w:bookmarkStart w:id="7" w:name="_Toc15378442"/>
      <w:bookmarkStart w:id="8" w:name="_Toc15377194"/>
      <w:bookmarkStart w:id="9" w:name="_Toc15396598"/>
      <w:bookmarkStart w:id="10" w:name="_Toc15377426"/>
      <w:r>
        <w:rPr>
          <w:rFonts w:ascii="Times New Roman" w:hAnsi="Times New Roman" w:eastAsia="方正小标宋简体"/>
          <w:color w:val="000000"/>
          <w:sz w:val="72"/>
          <w:szCs w:val="72"/>
        </w:rPr>
        <w:t>四川</w:t>
      </w:r>
      <w:bookmarkEnd w:id="0"/>
      <w:bookmarkStart w:id="11" w:name="_Toc15306268"/>
      <w:r>
        <w:rPr>
          <w:rFonts w:ascii="Times New Roman" w:hAnsi="Times New Roman" w:eastAsia="方正小标宋简体"/>
          <w:color w:val="000000"/>
          <w:sz w:val="72"/>
          <w:szCs w:val="72"/>
        </w:rPr>
        <w:t>省攀枝花市西区大宝鼎街道办事处部门决算</w:t>
      </w:r>
      <w:bookmarkEnd w:id="6"/>
      <w:bookmarkEnd w:id="7"/>
      <w:bookmarkEnd w:id="8"/>
      <w:bookmarkEnd w:id="9"/>
      <w:bookmarkEnd w:id="10"/>
      <w:bookmarkEnd w:id="11"/>
      <w:bookmarkEnd w:id="72"/>
    </w:p>
    <w:p>
      <w:pPr>
        <w:widowControl/>
        <w:jc w:val="center"/>
        <w:rPr>
          <w:rFonts w:ascii="Times New Roman" w:hAnsi="Times New Roman" w:eastAsia="黑体"/>
          <w:color w:val="000000"/>
          <w:sz w:val="48"/>
          <w:szCs w:val="48"/>
        </w:rPr>
      </w:pPr>
      <w:r>
        <w:rPr>
          <w:rFonts w:ascii="Times New Roman" w:hAnsi="Times New Roman" w:eastAsia="方正小标宋简体"/>
          <w:color w:val="000000"/>
          <w:sz w:val="36"/>
          <w:szCs w:val="36"/>
        </w:rPr>
        <w:br w:type="page"/>
      </w:r>
      <w:r>
        <w:rPr>
          <w:rFonts w:ascii="Times New Roman" w:hAnsi="Times New Roman" w:eastAsia="黑体"/>
          <w:color w:val="000000"/>
          <w:sz w:val="48"/>
          <w:szCs w:val="48"/>
        </w:rPr>
        <w:t>目录</w:t>
      </w:r>
    </w:p>
    <w:p>
      <w:pPr>
        <w:widowControl/>
        <w:jc w:val="center"/>
        <w:rPr>
          <w:rFonts w:ascii="Times New Roman" w:hAnsi="Times New Roman" w:eastAsia="黑体"/>
          <w:sz w:val="24"/>
        </w:rPr>
      </w:pPr>
    </w:p>
    <w:p>
      <w:pPr>
        <w:pStyle w:val="8"/>
        <w:rPr>
          <w:rFonts w:ascii="Times New Roman" w:hAnsi="Times New Roman" w:eastAsia="宋体"/>
          <w:sz w:val="24"/>
          <w:szCs w:val="24"/>
        </w:rPr>
      </w:pPr>
      <w:r>
        <w:rPr>
          <w:rFonts w:ascii="Times New Roman" w:hAnsi="Times New Roman" w:eastAsia="宋体"/>
          <w:sz w:val="24"/>
          <w:szCs w:val="24"/>
        </w:rPr>
        <w:t>公开时间：202</w:t>
      </w:r>
      <w:r>
        <w:rPr>
          <w:rFonts w:hint="eastAsia" w:ascii="Times New Roman" w:hAnsi="Times New Roman" w:eastAsia="宋体"/>
          <w:sz w:val="24"/>
          <w:szCs w:val="24"/>
          <w:lang w:val="en-US" w:eastAsia="zh-CN"/>
        </w:rPr>
        <w:t>1</w:t>
      </w:r>
      <w:r>
        <w:rPr>
          <w:rFonts w:ascii="Times New Roman" w:hAnsi="Times New Roman" w:eastAsia="宋体"/>
          <w:sz w:val="24"/>
          <w:szCs w:val="24"/>
        </w:rPr>
        <w:t>年月</w:t>
      </w:r>
      <w:r>
        <w:rPr>
          <w:rFonts w:hint="eastAsia" w:ascii="Times New Roman" w:hAnsi="Times New Roman" w:eastAsia="宋体"/>
          <w:sz w:val="24"/>
          <w:szCs w:val="24"/>
          <w:lang w:val="en-US" w:eastAsia="zh-CN"/>
        </w:rPr>
        <w:t>26</w:t>
      </w:r>
      <w:r>
        <w:rPr>
          <w:rFonts w:ascii="Times New Roman" w:hAnsi="Times New Roman" w:eastAsia="宋体"/>
          <w:sz w:val="24"/>
          <w:szCs w:val="24"/>
        </w:rPr>
        <w:t>日</w:t>
      </w:r>
    </w:p>
    <w:p>
      <w:pPr>
        <w:rPr>
          <w:rFonts w:ascii="Times New Roman" w:hAnsi="Times New Roman"/>
          <w:sz w:val="24"/>
        </w:rPr>
      </w:pP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第一部分 部门概况</w:t>
      </w:r>
    </w:p>
    <w:p>
      <w:pPr>
        <w:pStyle w:val="9"/>
        <w:adjustRightInd w:val="0"/>
        <w:snapToGrid w:val="0"/>
        <w:spacing w:line="440" w:lineRule="exact"/>
        <w:jc w:val="left"/>
        <w:rPr>
          <w:rFonts w:ascii="Times New Roman" w:hAnsi="Times New Roman"/>
          <w:sz w:val="24"/>
        </w:rPr>
      </w:pPr>
      <w:r>
        <w:rPr>
          <w:rFonts w:ascii="Times New Roman" w:hAnsi="Times New Roman"/>
          <w:sz w:val="24"/>
        </w:rPr>
        <w:t>一、基本职能及主要工作</w:t>
      </w:r>
    </w:p>
    <w:p>
      <w:pPr>
        <w:pStyle w:val="9"/>
        <w:adjustRightInd w:val="0"/>
        <w:snapToGrid w:val="0"/>
        <w:spacing w:line="440" w:lineRule="exact"/>
        <w:jc w:val="left"/>
        <w:rPr>
          <w:rFonts w:ascii="Times New Roman" w:hAnsi="Times New Roman"/>
          <w:sz w:val="24"/>
        </w:rPr>
      </w:pPr>
      <w:r>
        <w:rPr>
          <w:rFonts w:ascii="Times New Roman" w:hAnsi="Times New Roman"/>
          <w:sz w:val="24"/>
        </w:rPr>
        <w:t>二、机构设置</w:t>
      </w: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第二部分</w:t>
      </w:r>
      <w:r>
        <w:rPr>
          <w:rFonts w:hint="eastAsia" w:ascii="Times New Roman" w:hAnsi="Times New Roman" w:eastAsia="宋体"/>
          <w:sz w:val="24"/>
          <w:szCs w:val="24"/>
        </w:rPr>
        <w:t>20</w:t>
      </w:r>
      <w:r>
        <w:rPr>
          <w:rFonts w:hint="eastAsia" w:ascii="Times New Roman" w:hAnsi="Times New Roman" w:eastAsia="宋体"/>
          <w:sz w:val="24"/>
          <w:szCs w:val="24"/>
          <w:lang w:val="en-US" w:eastAsia="zh-CN"/>
        </w:rPr>
        <w:t>20</w:t>
      </w:r>
      <w:r>
        <w:rPr>
          <w:rFonts w:hint="eastAsia" w:ascii="Times New Roman" w:hAnsi="Times New Roman" w:eastAsia="宋体"/>
          <w:sz w:val="24"/>
          <w:szCs w:val="24"/>
        </w:rPr>
        <w:t>年</w:t>
      </w:r>
      <w:r>
        <w:rPr>
          <w:rFonts w:ascii="Times New Roman" w:hAnsi="Times New Roman" w:eastAsia="宋体"/>
          <w:sz w:val="24"/>
          <w:szCs w:val="24"/>
        </w:rPr>
        <w:t>度部门决算情况说明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一、收入支出决算总体情况说明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二、收入决算情况说明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三、支出决算情况说明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四、财政拨款收入支出决算总体情况说明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五、一般公共预算财政拨款支出决算情况说明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六、一般公共预算财政拨款基本支出决算情况说明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七、“三公”经费财政拨款支出决算情况说明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八、政府性基金预算支出决算情况说明</w:t>
      </w:r>
    </w:p>
    <w:p>
      <w:pPr>
        <w:pStyle w:val="9"/>
        <w:adjustRightInd w:val="0"/>
        <w:snapToGrid w:val="0"/>
        <w:spacing w:line="440" w:lineRule="exact"/>
        <w:ind w:leftChars="0"/>
        <w:jc w:val="left"/>
        <w:rPr>
          <w:rFonts w:ascii="Times New Roman" w:hAnsi="Times New Roman"/>
          <w:sz w:val="24"/>
        </w:rPr>
      </w:pPr>
      <w:r>
        <w:rPr>
          <w:rFonts w:ascii="Times New Roman" w:hAnsi="Times New Roman"/>
          <w:sz w:val="24"/>
        </w:rPr>
        <w:t>九、 国有资本经营预算支出决算情况说明</w:t>
      </w:r>
    </w:p>
    <w:p>
      <w:pPr>
        <w:adjustRightInd w:val="0"/>
        <w:snapToGrid w:val="0"/>
        <w:spacing w:line="440" w:lineRule="exact"/>
        <w:ind w:firstLine="480" w:firstLineChars="200"/>
        <w:jc w:val="left"/>
        <w:rPr>
          <w:rFonts w:ascii="Times New Roman" w:hAnsi="Times New Roman"/>
          <w:sz w:val="24"/>
        </w:rPr>
      </w:pPr>
      <w:r>
        <w:rPr>
          <w:rStyle w:val="14"/>
          <w:rFonts w:ascii="Times New Roman" w:hAnsi="Times New Roman"/>
          <w:color w:val="000000"/>
          <w:sz w:val="24"/>
          <w:u w:val="none"/>
        </w:rPr>
        <w:t>十、</w:t>
      </w:r>
      <w:r>
        <w:rPr>
          <w:rFonts w:ascii="Times New Roman" w:hAnsi="Times New Roman"/>
          <w:sz w:val="24"/>
        </w:rPr>
        <w:t>其他重要事项的情况说明</w:t>
      </w:r>
      <w:r>
        <w:rPr>
          <w:rFonts w:ascii="Times New Roman" w:hAnsi="Times New Roman"/>
          <w:sz w:val="24"/>
        </w:rPr>
        <w:tab/>
      </w: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第三部分 名词解释</w:t>
      </w: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第四部分 附件</w:t>
      </w:r>
    </w:p>
    <w:p>
      <w:pPr>
        <w:pStyle w:val="9"/>
        <w:adjustRightInd w:val="0"/>
        <w:snapToGrid w:val="0"/>
        <w:spacing w:line="440" w:lineRule="exact"/>
        <w:jc w:val="left"/>
        <w:rPr>
          <w:rFonts w:ascii="Times New Roman" w:hAnsi="Times New Roman"/>
          <w:sz w:val="24"/>
        </w:rPr>
      </w:pPr>
      <w:r>
        <w:rPr>
          <w:rFonts w:ascii="Times New Roman" w:hAnsi="Times New Roman"/>
          <w:sz w:val="24"/>
        </w:rPr>
        <w:t>附件1</w:t>
      </w:r>
    </w:p>
    <w:p>
      <w:pPr>
        <w:pStyle w:val="9"/>
        <w:adjustRightInd w:val="0"/>
        <w:snapToGrid w:val="0"/>
        <w:spacing w:line="440" w:lineRule="exact"/>
        <w:jc w:val="left"/>
        <w:rPr>
          <w:rFonts w:ascii="Times New Roman" w:hAnsi="Times New Roman"/>
          <w:sz w:val="24"/>
        </w:rPr>
      </w:pPr>
      <w:r>
        <w:rPr>
          <w:rFonts w:ascii="Times New Roman" w:hAnsi="Times New Roman"/>
          <w:sz w:val="24"/>
        </w:rPr>
        <w:t>附件2</w:t>
      </w: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第五部分 附表</w:t>
      </w:r>
    </w:p>
    <w:p>
      <w:pPr>
        <w:pStyle w:val="9"/>
        <w:adjustRightInd w:val="0"/>
        <w:snapToGrid w:val="0"/>
        <w:spacing w:line="440" w:lineRule="exact"/>
        <w:jc w:val="left"/>
        <w:rPr>
          <w:rFonts w:ascii="Times New Roman" w:hAnsi="Times New Roman"/>
          <w:sz w:val="24"/>
        </w:rPr>
      </w:pPr>
      <w:r>
        <w:rPr>
          <w:rFonts w:ascii="Times New Roman" w:hAnsi="Times New Roman"/>
          <w:sz w:val="24"/>
        </w:rPr>
        <w:t>一、收入支出决算总表</w:t>
      </w:r>
    </w:p>
    <w:p>
      <w:pPr>
        <w:pStyle w:val="9"/>
        <w:adjustRightInd w:val="0"/>
        <w:snapToGrid w:val="0"/>
        <w:spacing w:line="440" w:lineRule="exact"/>
        <w:jc w:val="left"/>
        <w:rPr>
          <w:rFonts w:ascii="Times New Roman" w:hAnsi="Times New Roman"/>
          <w:sz w:val="24"/>
        </w:rPr>
      </w:pPr>
      <w:r>
        <w:rPr>
          <w:rFonts w:ascii="Times New Roman" w:hAnsi="Times New Roman"/>
          <w:sz w:val="24"/>
        </w:rPr>
        <w:t>二、收入决算表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三、支出决算表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四、财政拨款收入支出决算总表</w:t>
      </w:r>
    </w:p>
    <w:p>
      <w:pPr>
        <w:pStyle w:val="9"/>
        <w:adjustRightInd w:val="0"/>
        <w:snapToGrid w:val="0"/>
        <w:spacing w:line="440" w:lineRule="exact"/>
        <w:jc w:val="left"/>
        <w:rPr>
          <w:rFonts w:ascii="Times New Roman" w:hAnsi="Times New Roman"/>
          <w:sz w:val="24"/>
        </w:rPr>
      </w:pPr>
      <w:r>
        <w:rPr>
          <w:rFonts w:ascii="Times New Roman" w:hAnsi="Times New Roman"/>
          <w:sz w:val="24"/>
        </w:rPr>
        <w:t>五、财政拨款支出决算明细表</w:t>
      </w:r>
    </w:p>
    <w:p>
      <w:pPr>
        <w:pStyle w:val="9"/>
        <w:adjustRightInd w:val="0"/>
        <w:snapToGrid w:val="0"/>
        <w:spacing w:line="440" w:lineRule="exact"/>
        <w:jc w:val="left"/>
        <w:rPr>
          <w:rFonts w:ascii="Times New Roman" w:hAnsi="Times New Roman"/>
          <w:sz w:val="24"/>
        </w:rPr>
      </w:pPr>
      <w:r>
        <w:rPr>
          <w:rFonts w:ascii="Times New Roman" w:hAnsi="Times New Roman"/>
          <w:sz w:val="24"/>
        </w:rPr>
        <w:t>六、一般公共预算财政拨款支出决算表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七、一般公共预算财政拨款支出决算明细表</w:t>
      </w:r>
    </w:p>
    <w:p>
      <w:pPr>
        <w:pStyle w:val="9"/>
        <w:adjustRightInd w:val="0"/>
        <w:snapToGrid w:val="0"/>
        <w:spacing w:line="440" w:lineRule="exact"/>
        <w:jc w:val="left"/>
        <w:rPr>
          <w:rFonts w:ascii="Times New Roman" w:hAnsi="Times New Roman"/>
          <w:sz w:val="24"/>
        </w:rPr>
      </w:pPr>
      <w:r>
        <w:rPr>
          <w:rFonts w:ascii="Times New Roman" w:hAnsi="Times New Roman"/>
          <w:sz w:val="24"/>
        </w:rPr>
        <w:t>八、一般公共预算财政拨款基本支出决算表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九、一般公共预算财政拨款项目支出决算表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十、一般公共预算财政拨款“三公”经费支出决算表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十一、政府性基金预算财政拨款收入支出决算表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十二、政府性基金预算财政拨款“三公”经费支出决算表</w:t>
      </w:r>
    </w:p>
    <w:p>
      <w:pPr>
        <w:pStyle w:val="9"/>
        <w:adjustRightInd w:val="0"/>
        <w:snapToGrid w:val="0"/>
        <w:spacing w:line="440" w:lineRule="exact"/>
        <w:jc w:val="left"/>
        <w:rPr>
          <w:rFonts w:ascii="Times New Roman" w:hAnsi="Times New Roman" w:cs="Times New Roman"/>
          <w:sz w:val="24"/>
        </w:rPr>
      </w:pPr>
      <w:r>
        <w:rPr>
          <w:rFonts w:ascii="Times New Roman" w:hAnsi="Times New Roman" w:cs="Times New Roman"/>
          <w:sz w:val="24"/>
        </w:rPr>
        <w:t>十三、国有资本经营预算支出决算表</w:t>
      </w:r>
    </w:p>
    <w:p>
      <w:pPr>
        <w:pStyle w:val="9"/>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十四、国有资本经营预算财政拨款支出决算表</w:t>
      </w:r>
    </w:p>
    <w:p>
      <w:pPr>
        <w:pStyle w:val="9"/>
        <w:adjustRightInd w:val="0"/>
        <w:snapToGrid w:val="0"/>
        <w:spacing w:line="440" w:lineRule="exact"/>
        <w:jc w:val="left"/>
        <w:rPr>
          <w:rFonts w:ascii="Times New Roman" w:hAnsi="Times New Roman"/>
          <w:sz w:val="24"/>
        </w:rPr>
      </w:pPr>
    </w:p>
    <w:p>
      <w:pPr>
        <w:widowControl/>
        <w:spacing w:line="440" w:lineRule="exact"/>
        <w:jc w:val="left"/>
        <w:rPr>
          <w:rFonts w:ascii="Times New Roman" w:hAnsi="Times New Roman"/>
          <w:kern w:val="44"/>
          <w:sz w:val="24"/>
        </w:rPr>
      </w:pPr>
      <w:bookmarkStart w:id="12" w:name="_Toc15377196"/>
      <w:bookmarkStart w:id="13" w:name="_Toc15396599"/>
      <w:r>
        <w:rPr>
          <w:rFonts w:ascii="Times New Roman" w:hAnsi="Times New Roman"/>
          <w:sz w:val="24"/>
        </w:rPr>
        <w:br w:type="page"/>
      </w:r>
    </w:p>
    <w:p>
      <w:pPr>
        <w:pStyle w:val="3"/>
        <w:jc w:val="center"/>
        <w:rPr>
          <w:rStyle w:val="15"/>
          <w:rFonts w:eastAsia="方正小标宋_GBK"/>
          <w:b w:val="0"/>
          <w:bCs w:val="0"/>
        </w:rPr>
      </w:pPr>
      <w:r>
        <w:rPr>
          <w:rFonts w:ascii="Times New Roman" w:hAnsi="Times New Roman" w:eastAsia="方正小标宋_GBK"/>
          <w:b w:val="0"/>
          <w:bCs w:val="0"/>
        </w:rPr>
        <w:t xml:space="preserve">第一部分 </w:t>
      </w:r>
      <w:r>
        <w:rPr>
          <w:rStyle w:val="15"/>
          <w:rFonts w:eastAsia="方正小标宋_GBK"/>
          <w:b w:val="0"/>
          <w:bCs w:val="0"/>
        </w:rPr>
        <w:t>部门概况</w:t>
      </w:r>
      <w:bookmarkEnd w:id="12"/>
      <w:bookmarkEnd w:id="13"/>
    </w:p>
    <w:p>
      <w:pPr>
        <w:widowControl/>
        <w:jc w:val="left"/>
        <w:rPr>
          <w:rFonts w:ascii="Times New Roman" w:hAnsi="Times New Roman" w:eastAsia="黑体"/>
          <w:color w:val="000000"/>
          <w:sz w:val="32"/>
          <w:szCs w:val="32"/>
        </w:rPr>
      </w:pPr>
    </w:p>
    <w:p>
      <w:pPr>
        <w:pStyle w:val="4"/>
        <w:rPr>
          <w:rStyle w:val="17"/>
          <w:rFonts w:ascii="Times New Roman" w:hAnsi="Times New Roman" w:eastAsia="仿宋"/>
          <w:b w:val="0"/>
          <w:bCs w:val="0"/>
        </w:rPr>
      </w:pPr>
      <w:bookmarkStart w:id="14" w:name="_Toc15396600"/>
      <w:bookmarkStart w:id="15" w:name="_Toc15377197"/>
      <w:r>
        <w:rPr>
          <w:rFonts w:ascii="Times New Roman" w:hAnsi="Times New Roman" w:eastAsia="黑体"/>
          <w:b w:val="0"/>
          <w:bCs w:val="0"/>
          <w:color w:val="000000"/>
        </w:rPr>
        <w:t>一、基</w:t>
      </w:r>
      <w:r>
        <w:rPr>
          <w:rStyle w:val="17"/>
          <w:rFonts w:ascii="Times New Roman" w:hAnsi="Times New Roman" w:eastAsia="黑体"/>
          <w:b w:val="0"/>
          <w:bCs w:val="0"/>
        </w:rPr>
        <w:t>本职能及主要工作</w:t>
      </w:r>
      <w:bookmarkEnd w:id="14"/>
      <w:bookmarkEnd w:id="15"/>
    </w:p>
    <w:p>
      <w:pPr>
        <w:ind w:firstLine="640" w:firstLineChars="200"/>
        <w:outlineLvl w:val="0"/>
        <w:rPr>
          <w:rFonts w:ascii="Times New Roman" w:hAnsi="Times New Roman" w:eastAsia="楷体_GB2312"/>
          <w:color w:val="000000"/>
          <w:sz w:val="32"/>
          <w:szCs w:val="32"/>
        </w:rPr>
      </w:pPr>
      <w:bookmarkStart w:id="16" w:name="_Toc15377198"/>
      <w:bookmarkStart w:id="17" w:name="_Toc15378445"/>
      <w:r>
        <w:rPr>
          <w:rFonts w:ascii="Times New Roman" w:hAnsi="Times New Roman" w:eastAsia="楷体_GB2312"/>
          <w:color w:val="000000"/>
          <w:sz w:val="32"/>
          <w:szCs w:val="32"/>
        </w:rPr>
        <w:t>（一）主要职能。</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执行</w:t>
      </w:r>
      <w:r>
        <w:rPr>
          <w:rFonts w:ascii="Times New Roman" w:hAnsi="Times New Roman" w:eastAsia="仿宋_GB2312"/>
          <w:sz w:val="32"/>
          <w:szCs w:val="32"/>
        </w:rPr>
        <w:t>区政府的决议、决定，组织党员群众保证区委、区政府各项任务在辖区内顺利实施。</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2.代表西区人民政府授权对本辖区内的政府职能管辖权。</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3.负责本辖区内精神文明建设、社会治安综合治理、爱国卫生、计划生育、普及法律知识工作。做好民政、妇联、司法、城建、卫生保健、武装、拥军优属、宣传贯彻党的路线、方针、政策和国家的法律法规，执行区委、残联等工作。组织、协调、引导发展街办经济，不断壮大街办的经济实力。</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4.按照《城市居民委员会组织法》的要求，组建辖区社区居民委员会的工作。</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5.反映居民的意见和要求，发展政府联系居民的桥梁和纽带作用。</w:t>
      </w:r>
    </w:p>
    <w:bookmarkEnd w:id="16"/>
    <w:bookmarkEnd w:id="17"/>
    <w:p>
      <w:pPr>
        <w:pStyle w:val="2"/>
        <w:adjustRightInd w:val="0"/>
        <w:snapToGrid w:val="0"/>
        <w:spacing w:before="93" w:line="600" w:lineRule="exact"/>
        <w:ind w:firstLine="672" w:firstLineChars="210"/>
        <w:outlineLvl w:val="2"/>
        <w:rPr>
          <w:rFonts w:ascii="Times New Roman" w:hAnsi="Times New Roman" w:eastAsia="楷体_GB2312"/>
          <w:color w:val="000000"/>
          <w:sz w:val="32"/>
          <w:szCs w:val="32"/>
        </w:rPr>
      </w:pPr>
      <w:bookmarkStart w:id="18" w:name="_Toc15377199"/>
      <w:bookmarkStart w:id="19" w:name="_Toc15378446"/>
      <w:r>
        <w:rPr>
          <w:rFonts w:ascii="Times New Roman" w:hAnsi="Times New Roman" w:eastAsia="楷体_GB2312"/>
          <w:color w:val="000000"/>
          <w:sz w:val="32"/>
          <w:szCs w:val="32"/>
        </w:rPr>
        <w:t>（二）20</w:t>
      </w:r>
      <w:r>
        <w:rPr>
          <w:rFonts w:hint="eastAsia" w:ascii="Times New Roman" w:hAnsi="Times New Roman" w:eastAsia="楷体_GB2312"/>
          <w:color w:val="000000"/>
          <w:sz w:val="32"/>
          <w:szCs w:val="32"/>
          <w:lang w:val="en-US" w:eastAsia="zh-CN"/>
        </w:rPr>
        <w:t>20</w:t>
      </w:r>
      <w:r>
        <w:rPr>
          <w:rFonts w:ascii="Times New Roman" w:hAnsi="Times New Roman" w:eastAsia="楷体_GB2312"/>
          <w:color w:val="000000"/>
          <w:sz w:val="32"/>
          <w:szCs w:val="32"/>
        </w:rPr>
        <w:t>年重点工作完成情况</w:t>
      </w:r>
      <w:bookmarkEnd w:id="18"/>
      <w:bookmarkEnd w:id="19"/>
    </w:p>
    <w:p>
      <w:pPr>
        <w:spacing w:line="560" w:lineRule="exact"/>
        <w:ind w:firstLine="642" w:firstLineChars="200"/>
        <w:rPr>
          <w:rFonts w:ascii="Times New Roman" w:hAnsi="Times New Roman" w:eastAsia="仿宋_GB2312" w:cs="Times New Roman"/>
          <w:color w:val="000000"/>
          <w:sz w:val="32"/>
          <w:szCs w:val="32"/>
        </w:rPr>
      </w:pPr>
      <w:bookmarkStart w:id="20" w:name="_Toc15377200"/>
      <w:bookmarkStart w:id="21" w:name="_Toc15396601"/>
      <w:r>
        <w:rPr>
          <w:rFonts w:ascii="Times New Roman" w:hAnsi="Times New Roman" w:eastAsia="仿宋_GB2312" w:cs="Times New Roman"/>
          <w:b/>
          <w:sz w:val="32"/>
          <w:szCs w:val="32"/>
        </w:rPr>
        <w:t>1.</w:t>
      </w:r>
      <w:r>
        <w:rPr>
          <w:rFonts w:ascii="Times New Roman" w:hAnsi="Times New Roman" w:eastAsia="仿宋_GB2312" w:cs="Times New Roman"/>
          <w:b/>
          <w:color w:val="000000"/>
          <w:sz w:val="32"/>
          <w:szCs w:val="32"/>
        </w:rPr>
        <w:t>全员发力，攻坚克难，打好疫情防控攻坚战。</w:t>
      </w:r>
      <w:r>
        <w:rPr>
          <w:rFonts w:ascii="Times New Roman" w:hAnsi="Times New Roman" w:eastAsia="仿宋_GB2312" w:cs="Times New Roman"/>
          <w:color w:val="000000"/>
          <w:sz w:val="32"/>
          <w:szCs w:val="32"/>
        </w:rPr>
        <w:t>采取“一员两长三卡四常态”的模式，构筑起群防群治的严密防线。</w:t>
      </w:r>
      <w:r>
        <w:rPr>
          <w:rFonts w:ascii="Times New Roman" w:hAnsi="Times New Roman" w:eastAsia="仿宋_GB2312" w:cs="Times New Roman"/>
          <w:b/>
          <w:color w:val="000000"/>
          <w:sz w:val="32"/>
          <w:szCs w:val="32"/>
        </w:rPr>
        <w:t>一是发挥“一员”的模范作用。</w:t>
      </w:r>
      <w:r>
        <w:rPr>
          <w:rFonts w:ascii="Times New Roman" w:hAnsi="Times New Roman" w:eastAsia="仿宋_GB2312" w:cs="Times New Roman"/>
          <w:color w:val="000000"/>
          <w:sz w:val="32"/>
          <w:szCs w:val="32"/>
        </w:rPr>
        <w:t>组建党员志愿者服务队15支，154名党员集体宣誓，并签订“十一个带头”承诺书，坚决扛起疫情防控责任；联合陶家渡街道、大宝顶矿、小宝鼎矿设立检查点2个，共招募党员志愿者79人，累计服务14807小时，服务3238人次，发放疫情防控宣传单 2040 余张，累计张贴公告、温馨提示1556 余张，开展劝导1000余次；</w:t>
      </w:r>
      <w:r>
        <w:rPr>
          <w:rFonts w:ascii="Times New Roman" w:hAnsi="Times New Roman" w:eastAsia="仿宋_GB2312" w:cs="Times New Roman"/>
          <w:b/>
          <w:color w:val="000000"/>
          <w:sz w:val="32"/>
          <w:szCs w:val="32"/>
        </w:rPr>
        <w:t>二是发挥“两组长”引擎作用。</w:t>
      </w:r>
      <w:r>
        <w:rPr>
          <w:rFonts w:ascii="Times New Roman" w:hAnsi="Times New Roman" w:eastAsia="仿宋_GB2312" w:cs="Times New Roman"/>
          <w:color w:val="000000"/>
          <w:sz w:val="32"/>
          <w:szCs w:val="32"/>
        </w:rPr>
        <w:t>成立“居民小组长+楼栋长”居民楼栋双组长，分片区、分楼栋集中开展入户摸排、登记、宣传、劝导、治安巡逻、为居民对应发放“三色卡”等工作，快速完成对辖区93栋楼房2717户居民的入户登记工作；</w:t>
      </w:r>
      <w:r>
        <w:rPr>
          <w:rFonts w:ascii="Times New Roman" w:hAnsi="Times New Roman" w:eastAsia="仿宋_GB2312" w:cs="Times New Roman"/>
          <w:b/>
          <w:color w:val="000000"/>
          <w:sz w:val="32"/>
          <w:szCs w:val="32"/>
        </w:rPr>
        <w:t>三是发挥“三卡”的严管作用。</w:t>
      </w:r>
      <w:r>
        <w:rPr>
          <w:rFonts w:ascii="Times New Roman" w:hAnsi="Times New Roman" w:eastAsia="仿宋_GB2312" w:cs="Times New Roman"/>
          <w:color w:val="000000"/>
          <w:sz w:val="32"/>
          <w:szCs w:val="32"/>
        </w:rPr>
        <w:t>实施红黄绿“三色卡”封闭式管理，分 A、B、C三类精细化管控居民，居民、车辆凭卡出入，一人一卡通行，对居家隔离观察期和隔离人员家庭成员实行动态管理，期满后及时快速地对表“换卡”；在居民楼栋重要路段出入口设立24个防控监测点，实行24小时“严盯死守”，严把居民“出入关”。</w:t>
      </w:r>
      <w:r>
        <w:rPr>
          <w:rFonts w:ascii="Times New Roman" w:hAnsi="Times New Roman" w:eastAsia="仿宋_GB2312" w:cs="Times New Roman"/>
          <w:b/>
          <w:color w:val="000000"/>
          <w:sz w:val="32"/>
          <w:szCs w:val="32"/>
        </w:rPr>
        <w:t>四是</w:t>
      </w:r>
      <w:r>
        <w:rPr>
          <w:rFonts w:ascii="Times New Roman" w:hAnsi="Times New Roman" w:eastAsia="仿宋_GB2312" w:cs="Times New Roman"/>
          <w:b/>
          <w:sz w:val="32"/>
          <w:szCs w:val="32"/>
        </w:rPr>
        <w:t>常态化</w:t>
      </w:r>
      <w:r>
        <w:rPr>
          <w:rFonts w:ascii="Times New Roman" w:hAnsi="Times New Roman" w:eastAsia="仿宋_GB2312" w:cs="Times New Roman"/>
          <w:b/>
          <w:color w:val="000000"/>
          <w:sz w:val="32"/>
          <w:szCs w:val="32"/>
        </w:rPr>
        <w:t>做好</w:t>
      </w:r>
      <w:r>
        <w:rPr>
          <w:rFonts w:ascii="Times New Roman" w:hAnsi="Times New Roman" w:eastAsia="仿宋_GB2312" w:cs="Times New Roman"/>
          <w:b/>
          <w:sz w:val="32"/>
          <w:szCs w:val="32"/>
        </w:rPr>
        <w:t>防控工作。</w:t>
      </w:r>
      <w:r>
        <w:rPr>
          <w:rFonts w:hint="eastAsia" w:ascii="Times New Roman" w:hAnsi="Times New Roman" w:eastAsia="仿宋_GB2312" w:cs="Times New Roman"/>
          <w:b/>
          <w:sz w:val="32"/>
          <w:szCs w:val="32"/>
        </w:rPr>
        <w:t>1.</w:t>
      </w:r>
      <w:r>
        <w:rPr>
          <w:rFonts w:ascii="Times New Roman" w:hAnsi="Times New Roman" w:eastAsia="仿宋_GB2312" w:cs="Times New Roman"/>
          <w:sz w:val="32"/>
          <w:szCs w:val="32"/>
        </w:rPr>
        <w:t>认真梳理“来攀人员信息”</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填写“大数据来攀人员信息表”</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自制“居民主动登记表”</w:t>
      </w:r>
      <w:r>
        <w:rPr>
          <w:rFonts w:hint="eastAsia" w:ascii="Times New Roman" w:hAnsi="Times New Roman" w:eastAsia="仿宋_GB2312" w:cs="Times New Roman"/>
          <w:sz w:val="32"/>
          <w:szCs w:val="32"/>
        </w:rPr>
        <w:t>；4.细致排查来攀（返攀）人员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截至</w:t>
      </w:r>
      <w:r>
        <w:rPr>
          <w:rFonts w:ascii="Times New Roman" w:hAnsi="Times New Roman" w:eastAsia="仿宋_GB2312" w:cs="Times New Roman"/>
          <w:sz w:val="32"/>
          <w:szCs w:val="32"/>
        </w:rPr>
        <w:t>目前，累计排查28069人，居家隔离来攀（返攀）人员882人；无疫情高、中风险区来攀人员及境外来攀返攀人员。</w:t>
      </w:r>
    </w:p>
    <w:p>
      <w:pPr>
        <w:spacing w:line="560" w:lineRule="exact"/>
        <w:ind w:firstLine="642"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2.抓好重点，把握关键，统筹经济发展。</w:t>
      </w:r>
      <w:r>
        <w:rPr>
          <w:rFonts w:ascii="Times New Roman" w:hAnsi="Times New Roman" w:eastAsia="仿宋_GB2312" w:cs="Times New Roman"/>
          <w:color w:val="000000"/>
          <w:sz w:val="32"/>
          <w:szCs w:val="32"/>
        </w:rPr>
        <w:t>主动服务“两城”建设、省级新区创建、推动成渝地区双城经济圈建设，抓好辖区经济建设。在</w:t>
      </w:r>
      <w:r>
        <w:rPr>
          <w:rFonts w:ascii="Times New Roman" w:hAnsi="Times New Roman" w:eastAsia="仿宋_GB2312" w:cs="Times New Roman"/>
          <w:sz w:val="32"/>
          <w:szCs w:val="32"/>
        </w:rPr>
        <w:t>经济下行压力持续加大形式下，做实“招商引资、培育扶持”等文章。</w:t>
      </w:r>
      <w:r>
        <w:rPr>
          <w:rFonts w:ascii="Times New Roman" w:hAnsi="Times New Roman" w:eastAsia="仿宋_GB2312" w:cs="Times New Roman"/>
          <w:b/>
          <w:sz w:val="32"/>
          <w:szCs w:val="32"/>
        </w:rPr>
        <w:t>一是招商引资。</w:t>
      </w:r>
      <w:r>
        <w:rPr>
          <w:rFonts w:ascii="Times New Roman" w:hAnsi="Times New Roman" w:eastAsia="仿宋_GB2312" w:cs="Times New Roman"/>
          <w:sz w:val="32"/>
          <w:szCs w:val="32"/>
        </w:rPr>
        <w:t>发挥老工业基地地域优势和资源优势，主动洽谈意向企业，对接重点项目，指导各类企业用好相关政策优惠，帮助企业解决在减免房租、贷款融资等方面遇到的各类难题，为企业发展创造优良的环境。</w:t>
      </w:r>
      <w:r>
        <w:rPr>
          <w:rFonts w:ascii="Times New Roman" w:hAnsi="Times New Roman" w:eastAsia="仿宋_GB2312" w:cs="Times New Roman"/>
          <w:b/>
          <w:sz w:val="32"/>
          <w:szCs w:val="32"/>
        </w:rPr>
        <w:t>二是培育扶持。</w:t>
      </w:r>
      <w:r>
        <w:rPr>
          <w:rFonts w:ascii="Times New Roman" w:hAnsi="Times New Roman" w:eastAsia="仿宋_GB2312" w:cs="Times New Roman"/>
          <w:color w:val="000000"/>
          <w:sz w:val="32"/>
          <w:szCs w:val="32"/>
        </w:rPr>
        <w:t>采取“助力+扶持”的方式，培育规上企业2家，</w:t>
      </w:r>
      <w:r>
        <w:rPr>
          <w:rFonts w:ascii="Times New Roman" w:hAnsi="Times New Roman" w:eastAsia="仿宋_GB2312" w:cs="Times New Roman"/>
          <w:sz w:val="32"/>
          <w:szCs w:val="32"/>
        </w:rPr>
        <w:t>及时摸清和掌握企业在复工复产过程中遇到的困难，并</w:t>
      </w:r>
      <w:r>
        <w:rPr>
          <w:rFonts w:ascii="Times New Roman" w:hAnsi="Times New Roman" w:eastAsia="仿宋_GB2312" w:cs="Times New Roman"/>
          <w:color w:val="000000"/>
          <w:sz w:val="32"/>
          <w:szCs w:val="32"/>
        </w:rPr>
        <w:t>统筹推进企业复工复产、项目建设、招商引资等工作，自愿组建党员突击队、党员先锋队，深入走访辖区复工复企业4家，为企业协调解决复工复产和生产经营面临的困难20余起，送上酒精、消毒水、口罩等防护物资价值1000余元。</w:t>
      </w:r>
      <w:r>
        <w:rPr>
          <w:rFonts w:hint="eastAsia" w:ascii="Times New Roman" w:hAnsi="Times New Roman" w:eastAsia="仿宋_GB2312" w:cs="Times New Roman"/>
          <w:sz w:val="32"/>
          <w:szCs w:val="32"/>
          <w:lang w:eastAsia="zh-CN"/>
        </w:rPr>
        <w:t>截至目前</w:t>
      </w:r>
      <w:r>
        <w:rPr>
          <w:rFonts w:ascii="Times New Roman" w:hAnsi="Times New Roman" w:eastAsia="仿宋_GB2312" w:cs="Times New Roman"/>
          <w:sz w:val="32"/>
          <w:szCs w:val="32"/>
        </w:rPr>
        <w:t>，固定资产投资全年目标任务为4.5亿，已完成全年目标任务98%；招商引资全年目标任务4.5亿元，已完成全年目标任务89%；工业投资全年目标任务2.56亿元，已完成全年目标任务94%；技改投资全年目标任务1.44亿元，已完成全年目标任务83%；社会消费品零售总额现已报送436万元。</w:t>
      </w:r>
      <w:r>
        <w:rPr>
          <w:rFonts w:ascii="Times New Roman" w:hAnsi="Times New Roman" w:eastAsia="仿宋_GB2312" w:cs="Times New Roman"/>
          <w:color w:val="FF0000"/>
          <w:sz w:val="32"/>
          <w:szCs w:val="32"/>
        </w:rPr>
        <w:t xml:space="preserve">  </w:t>
      </w:r>
      <w:r>
        <w:rPr>
          <w:rFonts w:ascii="Times New Roman" w:hAnsi="Times New Roman" w:eastAsia="仿宋_GB2312" w:cs="Times New Roman"/>
          <w:color w:val="000000"/>
          <w:sz w:val="32"/>
          <w:szCs w:val="32"/>
        </w:rPr>
        <w:t xml:space="preserve">  </w:t>
      </w:r>
    </w:p>
    <w:p>
      <w:pPr>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color w:val="000000"/>
          <w:sz w:val="32"/>
          <w:szCs w:val="32"/>
        </w:rPr>
        <w:t>3.真抓实干，求真务实，保障民生项目。一是完成社区建制调整改革。</w:t>
      </w:r>
      <w:r>
        <w:rPr>
          <w:rFonts w:ascii="Times New Roman" w:hAnsi="Times New Roman" w:eastAsia="仿宋_GB2312" w:cs="Times New Roman"/>
          <w:color w:val="000000"/>
          <w:sz w:val="32"/>
          <w:szCs w:val="32"/>
        </w:rPr>
        <w:t>圆满完成沿江和干巴塘社区建制调整改革工作，组建沿江社区临时党总支和沿江社区居民委员会。</w:t>
      </w:r>
      <w:r>
        <w:rPr>
          <w:rFonts w:hint="eastAsia" w:ascii="仿宋_GB2312" w:hAnsi="Times New Roman" w:eastAsia="仿宋_GB2312" w:cs="Times New Roman"/>
          <w:b/>
          <w:color w:val="000000"/>
          <w:sz w:val="32"/>
          <w:szCs w:val="32"/>
        </w:rPr>
        <w:t>二是做好基层服务“最后一公里”</w:t>
      </w:r>
      <w:r>
        <w:rPr>
          <w:rFonts w:hint="eastAsia" w:ascii="仿宋_GB2312" w:hAnsi="Times New Roman" w:eastAsia="仿宋_GB2312" w:cs="Times New Roman"/>
          <w:b/>
          <w:kern w:val="0"/>
          <w:sz w:val="32"/>
          <w:szCs w:val="32"/>
        </w:rPr>
        <w:t>。</w:t>
      </w:r>
      <w:r>
        <w:rPr>
          <w:rFonts w:ascii="Times New Roman" w:hAnsi="Times New Roman" w:eastAsia="仿宋_GB2312" w:cs="Times New Roman"/>
          <w:kern w:val="0"/>
          <w:sz w:val="32"/>
          <w:szCs w:val="32"/>
        </w:rPr>
        <w:t>为提升基层便民服务质量，</w:t>
      </w:r>
      <w:r>
        <w:rPr>
          <w:rFonts w:ascii="Times New Roman" w:hAnsi="Times New Roman" w:eastAsia="仿宋_GB2312" w:cs="Times New Roman"/>
          <w:color w:val="000000"/>
          <w:sz w:val="32"/>
          <w:szCs w:val="32"/>
        </w:rPr>
        <w:t>在“五个公开”服务的基础上，采取“信息整合+部门协同”，打造“一站式”“一公里服务圈”等便民服务，为各类贫困对象建立“一户一表”的常态化服务台账；实现群众办事“只进一扇门”“只跑一次路”；依托“党员+N”组成政策宣讲组，采取精准入户、“一策一宣”，为居民讲解各项政策，普及各类知识。</w:t>
      </w:r>
      <w:r>
        <w:rPr>
          <w:rFonts w:hint="eastAsia" w:ascii="Times New Roman" w:hAnsi="Times New Roman" w:eastAsia="仿宋_GB2312" w:cs="Times New Roman"/>
          <w:color w:val="000000"/>
          <w:sz w:val="32"/>
          <w:szCs w:val="32"/>
          <w:lang w:eastAsia="zh-CN"/>
        </w:rPr>
        <w:t>截至</w:t>
      </w:r>
      <w:r>
        <w:rPr>
          <w:rFonts w:ascii="Times New Roman" w:hAnsi="Times New Roman" w:eastAsia="仿宋_GB2312" w:cs="Times New Roman"/>
          <w:color w:val="000000"/>
          <w:sz w:val="32"/>
          <w:szCs w:val="32"/>
        </w:rPr>
        <w:t>目前，集中入户128户，宣讲各类知识20余次，发放各类宣传资料1万余份；全年</w:t>
      </w:r>
      <w:r>
        <w:rPr>
          <w:rFonts w:ascii="Times New Roman" w:hAnsi="Times New Roman" w:eastAsia="仿宋_GB2312" w:cs="Times New Roman"/>
          <w:sz w:val="32"/>
          <w:szCs w:val="32"/>
        </w:rPr>
        <w:t>开展计生、低保、社保、老龄、残疾人、救灾救济、退役军人、劳动保障等便民服务共计14240人次；</w:t>
      </w:r>
      <w:r>
        <w:rPr>
          <w:rFonts w:ascii="Times New Roman" w:hAnsi="Times New Roman" w:eastAsia="仿宋_GB2312" w:cs="Times New Roman"/>
          <w:color w:val="000000"/>
          <w:sz w:val="32"/>
          <w:szCs w:val="32"/>
        </w:rPr>
        <w:t>累计为5900余人，发放各类救助、补贴金额60万元；</w:t>
      </w:r>
      <w:r>
        <w:rPr>
          <w:rFonts w:ascii="Times New Roman" w:hAnsi="Times New Roman" w:eastAsia="仿宋_GB2312" w:cs="Times New Roman"/>
          <w:b/>
          <w:kern w:val="0"/>
          <w:sz w:val="32"/>
          <w:szCs w:val="32"/>
        </w:rPr>
        <w:t>三是改善辖区环境面貌。</w:t>
      </w:r>
      <w:r>
        <w:rPr>
          <w:rFonts w:ascii="Times New Roman" w:hAnsi="Times New Roman" w:eastAsia="仿宋_GB2312" w:cs="Times New Roman"/>
          <w:kern w:val="0"/>
          <w:sz w:val="32"/>
          <w:szCs w:val="32"/>
        </w:rPr>
        <w:t>利用爱国卫生月、党员义工日提升辖区环境面貌，</w:t>
      </w:r>
      <w:r>
        <w:rPr>
          <w:rFonts w:ascii="Times New Roman" w:hAnsi="Times New Roman" w:eastAsia="仿宋_GB2312" w:cs="Times New Roman"/>
          <w:color w:val="000000"/>
          <w:kern w:val="0"/>
          <w:sz w:val="32"/>
          <w:szCs w:val="32"/>
        </w:rPr>
        <w:t>组织辖区256名志愿者，发动500余人次，</w:t>
      </w:r>
      <w:r>
        <w:rPr>
          <w:rFonts w:ascii="Times New Roman" w:hAnsi="Times New Roman" w:eastAsia="仿宋_GB2312" w:cs="Times New Roman"/>
          <w:kern w:val="0"/>
          <w:sz w:val="32"/>
          <w:szCs w:val="32"/>
        </w:rPr>
        <w:t>清理卫生死角100余处，小广告50余张，绿化带1000米</w:t>
      </w:r>
      <w:r>
        <w:rPr>
          <w:rFonts w:ascii="Times New Roman" w:hAnsi="Times New Roman" w:eastAsia="仿宋_GB2312" w:cs="Times New Roman"/>
          <w:color w:val="000000"/>
          <w:sz w:val="32"/>
          <w:szCs w:val="32"/>
          <w:shd w:val="clear" w:color="auto" w:fill="FFFFFF"/>
        </w:rPr>
        <w:t>清除病媒孳生地20处</w:t>
      </w:r>
      <w:r>
        <w:rPr>
          <w:rFonts w:ascii="Times New Roman" w:hAnsi="Times New Roman" w:eastAsia="仿宋_GB2312" w:cs="Times New Roman"/>
          <w:kern w:val="0"/>
          <w:sz w:val="32"/>
          <w:szCs w:val="32"/>
        </w:rPr>
        <w:t>，扫路面20000余米；</w:t>
      </w:r>
      <w:r>
        <w:rPr>
          <w:rFonts w:ascii="Times New Roman" w:hAnsi="Times New Roman" w:eastAsia="仿宋_GB2312" w:cs="Times New Roman"/>
          <w:color w:val="000000"/>
          <w:sz w:val="32"/>
          <w:szCs w:val="32"/>
        </w:rPr>
        <w:t>联系攀煤生活服务公司及时清运辖区垃圾2吨</w:t>
      </w:r>
      <w:r>
        <w:rPr>
          <w:rFonts w:ascii="Times New Roman" w:hAnsi="Times New Roman" w:eastAsia="仿宋_GB2312" w:cs="Times New Roman"/>
          <w:kern w:val="0"/>
          <w:sz w:val="32"/>
          <w:szCs w:val="32"/>
        </w:rPr>
        <w:t>；</w:t>
      </w:r>
      <w:r>
        <w:rPr>
          <w:rFonts w:ascii="Times New Roman" w:hAnsi="Times New Roman" w:eastAsia="仿宋_GB2312" w:cs="Times New Roman"/>
          <w:b/>
          <w:color w:val="000000"/>
          <w:sz w:val="32"/>
          <w:szCs w:val="32"/>
        </w:rPr>
        <w:t>四是持续推进</w:t>
      </w:r>
      <w:r>
        <w:rPr>
          <w:rFonts w:ascii="Times New Roman" w:hAnsi="Times New Roman" w:eastAsia="仿宋_GB2312" w:cs="Times New Roman"/>
          <w:b/>
          <w:sz w:val="32"/>
          <w:szCs w:val="32"/>
        </w:rPr>
        <w:t>“三供一业”改造、棚改及棚改拆除工作。</w:t>
      </w:r>
      <w:r>
        <w:rPr>
          <w:rFonts w:ascii="Times New Roman" w:hAnsi="Times New Roman" w:eastAsia="仿宋_GB2312" w:cs="Times New Roman"/>
          <w:sz w:val="32"/>
          <w:szCs w:val="32"/>
        </w:rPr>
        <w:t>已完成街道范围内的水、电改造；“老旧小区改造项目”第一批次；拆除棚改房屋16栋；动员4户未签约棚改户完成签约；</w:t>
      </w:r>
      <w:r>
        <w:rPr>
          <w:rFonts w:ascii="Times New Roman" w:hAnsi="Times New Roman" w:eastAsia="仿宋_GB2312" w:cs="Times New Roman"/>
          <w:b/>
          <w:sz w:val="32"/>
          <w:szCs w:val="32"/>
        </w:rPr>
        <w:t>五是做好国家公共文化服务示范区工作。</w:t>
      </w:r>
      <w:r>
        <w:rPr>
          <w:rFonts w:ascii="Times New Roman" w:hAnsi="Times New Roman" w:eastAsia="仿宋_GB2312" w:cs="Times New Roman"/>
          <w:sz w:val="32"/>
          <w:szCs w:val="32"/>
        </w:rPr>
        <w:t>继续加强创建国家公共文化服务示范区创建工作。制定工作宣传方案，对照任务分解表，逐项建立工作进度表2份，问题整改台账1张，确保按时按期推进工作；</w:t>
      </w:r>
      <w:r>
        <w:rPr>
          <w:rFonts w:hint="eastAsia" w:ascii="Times New Roman" w:hAnsi="Times New Roman" w:eastAsia="仿宋_GB2312" w:cs="Times New Roman"/>
          <w:sz w:val="32"/>
          <w:szCs w:val="32"/>
          <w:lang w:eastAsia="zh-CN"/>
        </w:rPr>
        <w:t>截至</w:t>
      </w:r>
      <w:r>
        <w:rPr>
          <w:rFonts w:ascii="Times New Roman" w:hAnsi="Times New Roman" w:eastAsia="仿宋_GB2312" w:cs="Times New Roman"/>
          <w:sz w:val="32"/>
          <w:szCs w:val="32"/>
        </w:rPr>
        <w:t>目前，已发放宣传资料200余份，张贴宣传海报50余张，悬挂宣传横幅5条。</w:t>
      </w:r>
    </w:p>
    <w:p>
      <w:pPr>
        <w:spacing w:line="560" w:lineRule="exact"/>
        <w:ind w:firstLine="642" w:firstLineChars="200"/>
        <w:rPr>
          <w:rFonts w:ascii="Times New Roman" w:hAnsi="Times New Roman" w:eastAsia="仿宋_GB2312" w:cs="Times New Roman"/>
          <w:b/>
          <w:spacing w:val="-4"/>
          <w:sz w:val="32"/>
          <w:szCs w:val="32"/>
        </w:rPr>
      </w:pPr>
      <w:r>
        <w:rPr>
          <w:rFonts w:ascii="Times New Roman" w:hAnsi="Times New Roman" w:eastAsia="仿宋_GB2312" w:cs="Times New Roman"/>
          <w:b/>
          <w:color w:val="000000"/>
          <w:sz w:val="32"/>
          <w:szCs w:val="32"/>
        </w:rPr>
        <w:t>4.健全体制，强化责任，筑牢安全防线。</w:t>
      </w:r>
      <w:r>
        <w:rPr>
          <w:rFonts w:ascii="Times New Roman" w:hAnsi="Times New Roman" w:eastAsia="仿宋_GB2312" w:cs="Times New Roman"/>
          <w:spacing w:val="-4"/>
          <w:sz w:val="32"/>
          <w:szCs w:val="32"/>
        </w:rPr>
        <w:t>坚持“安全第一、预防为主</w:t>
      </w:r>
      <w:r>
        <w:rPr>
          <w:rFonts w:hint="eastAsia" w:ascii="Times New Roman" w:hAnsi="Times New Roman" w:eastAsia="仿宋_GB2312" w:cs="Times New Roman"/>
          <w:spacing w:val="-4"/>
          <w:sz w:val="32"/>
          <w:szCs w:val="32"/>
          <w:lang w:eastAsia="zh-CN"/>
        </w:rPr>
        <w:t>、</w:t>
      </w:r>
      <w:r>
        <w:rPr>
          <w:rFonts w:ascii="Times New Roman" w:hAnsi="Times New Roman" w:eastAsia="仿宋_GB2312" w:cs="Times New Roman"/>
          <w:spacing w:val="-4"/>
          <w:sz w:val="32"/>
          <w:szCs w:val="32"/>
        </w:rPr>
        <w:t>综合治理”的方针，重点抓好煤矿安全生产、森林草原防灭火打击私挖盗采、消防安全、地质灾害、防汛安全和危险化学品等工作。</w:t>
      </w:r>
      <w:r>
        <w:rPr>
          <w:rFonts w:ascii="Times New Roman" w:hAnsi="Times New Roman" w:eastAsia="仿宋_GB2312" w:cs="Times New Roman"/>
          <w:b/>
          <w:color w:val="000000"/>
          <w:sz w:val="32"/>
          <w:szCs w:val="32"/>
        </w:rPr>
        <w:t>一是工作重点突出。</w:t>
      </w:r>
      <w:r>
        <w:rPr>
          <w:rFonts w:ascii="Times New Roman" w:hAnsi="Times New Roman" w:eastAsia="仿宋_GB2312" w:cs="Times New Roman"/>
          <w:spacing w:val="-4"/>
          <w:sz w:val="32"/>
          <w:szCs w:val="32"/>
        </w:rPr>
        <w:t>利用各类会议、活动，加大对辖区森林草原防灭火、防汛安全、民营企业的安全生产宣传教育工作，并利用宣传栏、社区墙报、板报等多种形式对广大社区居民进行安全知识宣传。</w:t>
      </w:r>
      <w:r>
        <w:rPr>
          <w:rFonts w:hint="eastAsia" w:ascii="Times New Roman" w:hAnsi="Times New Roman" w:eastAsia="仿宋_GB2312" w:cs="Times New Roman"/>
          <w:spacing w:val="-4"/>
          <w:sz w:val="32"/>
          <w:szCs w:val="32"/>
          <w:lang w:eastAsia="zh-CN"/>
        </w:rPr>
        <w:t>截至目前</w:t>
      </w:r>
      <w:r>
        <w:rPr>
          <w:rFonts w:ascii="Times New Roman" w:hAnsi="Times New Roman" w:eastAsia="仿宋_GB2312" w:cs="Times New Roman"/>
          <w:spacing w:val="-4"/>
          <w:sz w:val="32"/>
          <w:szCs w:val="32"/>
        </w:rPr>
        <w:t>，召开3次安委会、10余次安全工作专题会议学习和传达省、市、区相关文件精神，制定专项整治实施方案4个，开展各类安全专项检查10余次，查出各类安全隐患30余处，发放限期整改责任书6份。</w:t>
      </w:r>
      <w:r>
        <w:rPr>
          <w:rFonts w:ascii="Times New Roman" w:hAnsi="Times New Roman" w:eastAsia="仿宋_GB2312" w:cs="Times New Roman"/>
          <w:color w:val="000000"/>
          <w:sz w:val="32"/>
          <w:szCs w:val="32"/>
        </w:rPr>
        <w:t>集中深入居民家中宣传地质灾害防治、森林草原防火等知识，发放地质灾害避险卡300余张，</w:t>
      </w:r>
      <w:r>
        <w:rPr>
          <w:rFonts w:ascii="Times New Roman" w:hAnsi="Times New Roman" w:eastAsia="仿宋_GB2312" w:cs="Times New Roman"/>
          <w:color w:val="222222"/>
          <w:sz w:val="32"/>
          <w:szCs w:val="32"/>
          <w:shd w:val="clear" w:color="auto" w:fill="FFFFFF"/>
        </w:rPr>
        <w:t>各类宣传资料1万余份，横幅、标语等宣传3000余次（条）</w:t>
      </w:r>
      <w:r>
        <w:rPr>
          <w:rFonts w:ascii="Times New Roman" w:hAnsi="Times New Roman" w:eastAsia="仿宋_GB2312" w:cs="Times New Roman"/>
          <w:color w:val="000000"/>
          <w:sz w:val="32"/>
          <w:szCs w:val="32"/>
        </w:rPr>
        <w:t>；发送预警短信800余条、启动预警广播7次。</w:t>
      </w:r>
      <w:r>
        <w:rPr>
          <w:rFonts w:ascii="Times New Roman" w:hAnsi="Times New Roman" w:eastAsia="仿宋_GB2312" w:cs="Times New Roman"/>
          <w:b/>
          <w:spacing w:val="-4"/>
          <w:sz w:val="32"/>
          <w:szCs w:val="32"/>
        </w:rPr>
        <w:t>二是</w:t>
      </w:r>
      <w:r>
        <w:rPr>
          <w:rFonts w:hint="eastAsia" w:ascii="Times New Roman" w:hAnsi="Times New Roman" w:eastAsia="仿宋_GB2312" w:cs="Times New Roman"/>
          <w:b/>
          <w:spacing w:val="-4"/>
          <w:sz w:val="32"/>
          <w:szCs w:val="32"/>
        </w:rPr>
        <w:t>举措</w:t>
      </w:r>
      <w:r>
        <w:rPr>
          <w:rFonts w:ascii="Times New Roman" w:hAnsi="Times New Roman" w:eastAsia="仿宋_GB2312" w:cs="Times New Roman"/>
          <w:b/>
          <w:spacing w:val="-4"/>
          <w:sz w:val="32"/>
          <w:szCs w:val="32"/>
        </w:rPr>
        <w:t>扎实有力。</w:t>
      </w:r>
      <w:r>
        <w:rPr>
          <w:rFonts w:ascii="Times New Roman" w:hAnsi="Times New Roman" w:eastAsia="仿宋_GB2312" w:cs="Times New Roman"/>
          <w:color w:val="000000"/>
          <w:sz w:val="32"/>
          <w:szCs w:val="32"/>
        </w:rPr>
        <w:t>打造“五位一体”地质灾害防治体系。修订完善《大宝鼎街道办事处应急管理实务操作手册》，严格落实24小时防汛值班制度，组建党员志愿者防汛抢险队伍，及时开展应急避险演练5场次</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开展4轮“拉网式”隐患排查，及时编制应急预案3个；</w:t>
      </w:r>
      <w:r>
        <w:rPr>
          <w:rFonts w:ascii="Times New Roman" w:hAnsi="Times New Roman" w:eastAsia="仿宋_GB2312" w:cs="Times New Roman"/>
          <w:sz w:val="32"/>
          <w:szCs w:val="32"/>
        </w:rPr>
        <w:t>落实好 “森林草原防灭火七级包保”工作，制定各项工作方案，对辖区共计92栋楼房及周边平房进行入户见面、宣传，实现全覆盖无死角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已完成入户1000余户/次；</w:t>
      </w:r>
      <w:r>
        <w:rPr>
          <w:rFonts w:ascii="Times New Roman" w:hAnsi="Times New Roman" w:eastAsia="仿宋_GB2312" w:cs="Times New Roman"/>
          <w:spacing w:val="-4"/>
          <w:sz w:val="32"/>
          <w:szCs w:val="32"/>
        </w:rPr>
        <w:t>坚持每周“不定地点、不定时间”对辖区私挖盗采开展巡查，暂未发现有非法采矿现象；对辖区娱乐场所、超市、店铺、学校、幼儿园进行多次消防安全大检查，发出整改通知20余份，共计整治隐患30余处。</w:t>
      </w:r>
    </w:p>
    <w:p>
      <w:pPr>
        <w:ind w:firstLine="640" w:firstLineChars="200"/>
        <w:outlineLvl w:val="0"/>
        <w:rPr>
          <w:rFonts w:ascii="Times New Roman" w:hAnsi="Times New Roman" w:eastAsia="黑体"/>
          <w:sz w:val="32"/>
          <w:szCs w:val="32"/>
        </w:rPr>
      </w:pPr>
      <w:r>
        <w:rPr>
          <w:rFonts w:ascii="Times New Roman" w:hAnsi="Times New Roman" w:eastAsia="黑体"/>
          <w:sz w:val="32"/>
          <w:szCs w:val="32"/>
        </w:rPr>
        <w:t>二、机构设置</w:t>
      </w:r>
      <w:bookmarkEnd w:id="20"/>
      <w:bookmarkEnd w:id="21"/>
    </w:p>
    <w:p>
      <w:pPr>
        <w:keepNext w:val="0"/>
        <w:keepLines w:val="0"/>
        <w:widowControl/>
        <w:suppressLineNumbers w:val="0"/>
        <w:ind w:firstLine="640" w:firstLineChars="200"/>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大宝鼎街办</w:t>
      </w:r>
      <w:r>
        <w:rPr>
          <w:rFonts w:hint="default" w:ascii="Times New Roman" w:hAnsi="Times New Roman" w:eastAsia="仿宋_GB2312" w:cs="Times New Roman"/>
          <w:sz w:val="32"/>
          <w:szCs w:val="32"/>
        </w:rPr>
        <w:t>内设机构有党政办公室</w:t>
      </w:r>
      <w:r>
        <w:rPr>
          <w:rFonts w:hint="eastAsia" w:ascii="Times New Roman" w:hAnsi="Times New Roman" w:eastAsia="仿宋_GB2312" w:cs="Times New Roman"/>
          <w:sz w:val="32"/>
          <w:szCs w:val="32"/>
          <w:lang w:eastAsia="zh-CN"/>
        </w:rPr>
        <w:t>（</w:t>
      </w:r>
      <w:r>
        <w:rPr>
          <w:rFonts w:ascii="方正仿宋_GBK" w:hAnsi="方正仿宋_GBK" w:eastAsia="方正仿宋_GBK" w:cs="方正仿宋_GBK"/>
          <w:color w:val="000000"/>
          <w:kern w:val="0"/>
          <w:sz w:val="33"/>
          <w:szCs w:val="33"/>
          <w:lang w:val="en-US" w:eastAsia="zh-CN" w:bidi="ar"/>
        </w:rPr>
        <w:t>挂代表委员联络办公室牌子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党建办公室（挂党群工作部牌子）、</w:t>
      </w:r>
      <w:r>
        <w:rPr>
          <w:rFonts w:ascii="方正仿宋_GBK" w:hAnsi="方正仿宋_GBK" w:eastAsia="方正仿宋_GBK" w:cs="方正仿宋_GBK"/>
          <w:color w:val="000000"/>
          <w:kern w:val="0"/>
          <w:sz w:val="33"/>
          <w:szCs w:val="33"/>
          <w:lang w:val="en-US" w:eastAsia="zh-CN" w:bidi="ar"/>
        </w:rPr>
        <w:t>社会事务办</w:t>
      </w:r>
      <w:r>
        <w:rPr>
          <w:rFonts w:hint="default" w:ascii="Times New Roman" w:hAnsi="Times New Roman" w:eastAsia="仿宋_GB2312" w:cs="Times New Roman"/>
          <w:sz w:val="32"/>
          <w:szCs w:val="32"/>
          <w:lang w:val="en-US" w:eastAsia="zh-CN"/>
        </w:rPr>
        <w:t>公室（挂卫生健康办公室牌子）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社区建设办公室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公共管理办公室（挂应急管理办公室、安全生产监</w:t>
      </w:r>
      <w:r>
        <w:rPr>
          <w:rFonts w:hint="eastAsia" w:ascii="Times New Roman" w:hAnsi="Times New Roman" w:eastAsia="仿宋_GB2312" w:cs="Times New Roman"/>
          <w:sz w:val="32"/>
          <w:szCs w:val="32"/>
          <w:lang w:val="en-US" w:eastAsia="zh-CN"/>
        </w:rPr>
        <w:t>督管理办公室牌子）、</w:t>
      </w:r>
      <w:r>
        <w:rPr>
          <w:rFonts w:hint="default" w:ascii="Times New Roman" w:hAnsi="Times New Roman" w:eastAsia="仿宋_GB2312" w:cs="Times New Roman"/>
          <w:sz w:val="32"/>
          <w:szCs w:val="32"/>
          <w:lang w:val="en-US" w:eastAsia="zh-CN"/>
        </w:rPr>
        <w:t>综合行政执法办公室（挂生态环境办公室牌子）</w:t>
      </w:r>
      <w:r>
        <w:rPr>
          <w:rFonts w:hint="eastAsia" w:ascii="Times New Roman" w:hAnsi="Times New Roman" w:eastAsia="仿宋_GB2312" w:cs="Times New Roman"/>
          <w:sz w:val="32"/>
          <w:szCs w:val="32"/>
          <w:lang w:val="en-US" w:eastAsia="zh-CN"/>
        </w:rPr>
        <w:t>。下设</w:t>
      </w:r>
      <w:r>
        <w:rPr>
          <w:rFonts w:hint="default" w:ascii="Times New Roman" w:hAnsi="Times New Roman" w:eastAsia="仿宋_GB2312" w:cs="Times New Roman"/>
          <w:sz w:val="32"/>
          <w:szCs w:val="32"/>
          <w:lang w:val="en-US" w:eastAsia="zh-CN"/>
        </w:rPr>
        <w:t>便民服务中心</w:t>
      </w:r>
      <w:r>
        <w:rPr>
          <w:rFonts w:hint="eastAsia" w:ascii="Times New Roman" w:hAnsi="Times New Roman" w:eastAsia="仿宋_GB2312" w:cs="Times New Roman"/>
          <w:sz w:val="32"/>
          <w:szCs w:val="32"/>
          <w:lang w:val="en-US" w:eastAsia="zh-CN"/>
        </w:rPr>
        <w:t>、社会治理事务中心、党群服务中心</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个公益一类事业单位。</w:t>
      </w:r>
    </w:p>
    <w:p>
      <w:pPr>
        <w:pStyle w:val="2"/>
      </w:pPr>
    </w:p>
    <w:p>
      <w:pPr>
        <w:pStyle w:val="2"/>
      </w:pPr>
    </w:p>
    <w:p>
      <w:pPr>
        <w:pStyle w:val="2"/>
      </w:pPr>
    </w:p>
    <w:p>
      <w:pPr>
        <w:pStyle w:val="3"/>
        <w:ind w:right="440"/>
        <w:jc w:val="right"/>
        <w:rPr>
          <w:rStyle w:val="15"/>
          <w:rFonts w:eastAsia="黑体"/>
          <w:b w:val="0"/>
          <w:bCs w:val="0"/>
        </w:rPr>
      </w:pPr>
      <w:bookmarkStart w:id="22" w:name="_Toc15396602"/>
      <w:bookmarkStart w:id="23" w:name="_Toc15377204"/>
      <w:r>
        <w:rPr>
          <w:rFonts w:ascii="Times New Roman" w:hAnsi="Times New Roman" w:eastAsia="黑体"/>
          <w:b w:val="0"/>
          <w:bCs w:val="0"/>
          <w:color w:val="000000"/>
        </w:rPr>
        <w:t xml:space="preserve">第二部分 </w:t>
      </w:r>
      <w:r>
        <w:rPr>
          <w:rStyle w:val="15"/>
          <w:rFonts w:eastAsia="黑体"/>
          <w:b w:val="0"/>
          <w:bCs w:val="0"/>
        </w:rPr>
        <w:t>20</w:t>
      </w:r>
      <w:r>
        <w:rPr>
          <w:rStyle w:val="15"/>
          <w:rFonts w:hint="eastAsia" w:eastAsia="黑体"/>
          <w:b w:val="0"/>
          <w:bCs w:val="0"/>
          <w:lang w:val="en-US" w:eastAsia="zh-CN"/>
        </w:rPr>
        <w:t>20</w:t>
      </w:r>
      <w:r>
        <w:rPr>
          <w:rStyle w:val="15"/>
          <w:rFonts w:eastAsia="黑体"/>
          <w:b w:val="0"/>
          <w:bCs w:val="0"/>
        </w:rPr>
        <w:t>年度部门决算情况说明</w:t>
      </w:r>
      <w:bookmarkEnd w:id="22"/>
      <w:bookmarkEnd w:id="23"/>
    </w:p>
    <w:p>
      <w:pPr>
        <w:rPr>
          <w:rFonts w:ascii="Times New Roman" w:hAnsi="Times New Roman"/>
        </w:rPr>
      </w:pPr>
    </w:p>
    <w:p>
      <w:pPr>
        <w:pStyle w:val="18"/>
        <w:numPr>
          <w:ilvl w:val="0"/>
          <w:numId w:val="1"/>
        </w:numPr>
        <w:spacing w:line="600" w:lineRule="exact"/>
        <w:ind w:firstLineChars="0"/>
        <w:outlineLvl w:val="1"/>
        <w:rPr>
          <w:rStyle w:val="17"/>
          <w:rFonts w:ascii="Times New Roman" w:hAnsi="Times New Roman" w:eastAsia="黑体"/>
          <w:b w:val="0"/>
          <w:bCs w:val="0"/>
        </w:rPr>
      </w:pPr>
      <w:bookmarkStart w:id="24" w:name="_Toc15377205"/>
      <w:bookmarkStart w:id="25" w:name="_Toc15396603"/>
      <w:r>
        <w:rPr>
          <w:rFonts w:ascii="Times New Roman" w:hAnsi="Times New Roman" w:eastAsia="黑体"/>
          <w:color w:val="000000"/>
          <w:sz w:val="32"/>
          <w:szCs w:val="32"/>
        </w:rPr>
        <w:t>收</w:t>
      </w:r>
      <w:r>
        <w:rPr>
          <w:rStyle w:val="17"/>
          <w:rFonts w:ascii="Times New Roman" w:hAnsi="Times New Roman" w:eastAsia="黑体"/>
          <w:b w:val="0"/>
          <w:bCs w:val="0"/>
        </w:rPr>
        <w:t>入支出决算总体情况说明</w:t>
      </w:r>
      <w:bookmarkEnd w:id="24"/>
      <w:bookmarkEnd w:id="25"/>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20</w:t>
      </w:r>
      <w:r>
        <w:rPr>
          <w:rFonts w:hint="eastAsia" w:ascii="Times New Roman" w:hAnsi="Times New Roman" w:eastAsia="仿宋"/>
          <w:color w:val="000000"/>
          <w:sz w:val="32"/>
          <w:szCs w:val="32"/>
          <w:lang w:val="en-US" w:eastAsia="zh-CN"/>
        </w:rPr>
        <w:t>20</w:t>
      </w:r>
      <w:r>
        <w:rPr>
          <w:rFonts w:ascii="Times New Roman" w:hAnsi="Times New Roman" w:eastAsia="仿宋"/>
          <w:color w:val="000000"/>
          <w:sz w:val="32"/>
          <w:szCs w:val="32"/>
        </w:rPr>
        <w:t>年度收入4</w:t>
      </w:r>
      <w:r>
        <w:rPr>
          <w:rFonts w:hint="eastAsia" w:ascii="Times New Roman" w:hAnsi="Times New Roman" w:eastAsia="仿宋"/>
          <w:color w:val="000000"/>
          <w:sz w:val="32"/>
          <w:szCs w:val="32"/>
          <w:lang w:val="en-US" w:eastAsia="zh-CN"/>
        </w:rPr>
        <w:t>44</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71</w:t>
      </w:r>
      <w:r>
        <w:rPr>
          <w:rFonts w:ascii="Times New Roman" w:hAnsi="Times New Roman" w:eastAsia="仿宋"/>
          <w:color w:val="000000"/>
          <w:sz w:val="32"/>
          <w:szCs w:val="32"/>
        </w:rPr>
        <w:t>万元、支总计</w:t>
      </w:r>
      <w:r>
        <w:rPr>
          <w:rFonts w:hint="eastAsia" w:ascii="Times New Roman" w:hAnsi="Times New Roman" w:eastAsia="仿宋"/>
          <w:color w:val="000000"/>
          <w:sz w:val="32"/>
          <w:szCs w:val="32"/>
          <w:lang w:val="en-US" w:eastAsia="zh-CN"/>
        </w:rPr>
        <w:t>483</w:t>
      </w:r>
      <w:r>
        <w:rPr>
          <w:rFonts w:ascii="Times New Roman" w:hAnsi="Times New Roman" w:eastAsia="仿宋"/>
          <w:color w:val="000000"/>
          <w:sz w:val="32"/>
          <w:szCs w:val="32"/>
        </w:rPr>
        <w:t>.1</w:t>
      </w:r>
      <w:r>
        <w:rPr>
          <w:rFonts w:hint="eastAsia" w:ascii="Times New Roman" w:hAnsi="Times New Roman" w:eastAsia="仿宋"/>
          <w:color w:val="000000"/>
          <w:sz w:val="32"/>
          <w:szCs w:val="32"/>
          <w:lang w:val="en-US" w:eastAsia="zh-CN"/>
        </w:rPr>
        <w:t>5</w:t>
      </w:r>
      <w:r>
        <w:rPr>
          <w:rFonts w:ascii="Times New Roman" w:hAnsi="Times New Roman" w:eastAsia="仿宋"/>
          <w:color w:val="000000"/>
          <w:sz w:val="32"/>
          <w:szCs w:val="32"/>
        </w:rPr>
        <w:t>万元。201</w:t>
      </w:r>
      <w:r>
        <w:rPr>
          <w:rFonts w:hint="eastAsia" w:ascii="Times New Roman" w:hAnsi="Times New Roman" w:eastAsia="仿宋"/>
          <w:color w:val="000000"/>
          <w:sz w:val="32"/>
          <w:szCs w:val="32"/>
          <w:lang w:val="en-US" w:eastAsia="zh-CN"/>
        </w:rPr>
        <w:t>9</w:t>
      </w:r>
      <w:r>
        <w:rPr>
          <w:rFonts w:ascii="Times New Roman" w:hAnsi="Times New Roman" w:eastAsia="仿宋"/>
          <w:color w:val="000000"/>
          <w:sz w:val="32"/>
          <w:szCs w:val="32"/>
        </w:rPr>
        <w:t>年度收入总计4</w:t>
      </w:r>
      <w:r>
        <w:rPr>
          <w:rFonts w:hint="eastAsia" w:ascii="Times New Roman" w:hAnsi="Times New Roman" w:eastAsia="仿宋"/>
          <w:color w:val="000000"/>
          <w:sz w:val="32"/>
          <w:szCs w:val="32"/>
          <w:lang w:val="en-US" w:eastAsia="zh-CN"/>
        </w:rPr>
        <w:t>82</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02</w:t>
      </w:r>
      <w:r>
        <w:rPr>
          <w:rFonts w:ascii="Times New Roman" w:hAnsi="Times New Roman" w:eastAsia="仿宋"/>
          <w:color w:val="000000"/>
          <w:sz w:val="32"/>
          <w:szCs w:val="32"/>
        </w:rPr>
        <w:t>万元，支出总计</w:t>
      </w:r>
      <w:r>
        <w:rPr>
          <w:rFonts w:hint="eastAsia" w:ascii="Times New Roman" w:hAnsi="Times New Roman" w:eastAsia="仿宋"/>
          <w:color w:val="000000"/>
          <w:sz w:val="32"/>
          <w:szCs w:val="32"/>
          <w:lang w:val="en-US" w:eastAsia="zh-CN"/>
        </w:rPr>
        <w:t>549.14</w:t>
      </w:r>
      <w:r>
        <w:rPr>
          <w:rFonts w:ascii="Times New Roman" w:hAnsi="Times New Roman" w:eastAsia="仿宋"/>
          <w:color w:val="000000"/>
          <w:sz w:val="32"/>
          <w:szCs w:val="32"/>
        </w:rPr>
        <w:t>万元。与20</w:t>
      </w:r>
      <w:r>
        <w:rPr>
          <w:rFonts w:hint="eastAsia" w:ascii="Times New Roman" w:hAnsi="Times New Roman" w:eastAsia="仿宋"/>
          <w:color w:val="000000"/>
          <w:sz w:val="32"/>
          <w:szCs w:val="32"/>
          <w:lang w:val="en-US" w:eastAsia="zh-CN"/>
        </w:rPr>
        <w:t>19</w:t>
      </w:r>
      <w:r>
        <w:rPr>
          <w:rFonts w:ascii="Times New Roman" w:hAnsi="Times New Roman" w:eastAsia="仿宋"/>
          <w:color w:val="000000"/>
          <w:sz w:val="32"/>
          <w:szCs w:val="32"/>
        </w:rPr>
        <w:t>年相比，收入</w:t>
      </w:r>
      <w:r>
        <w:rPr>
          <w:rFonts w:hint="eastAsia" w:ascii="Times New Roman" w:hAnsi="Times New Roman" w:eastAsia="仿宋"/>
          <w:color w:val="000000"/>
          <w:sz w:val="32"/>
          <w:szCs w:val="32"/>
          <w:lang w:val="en-US" w:eastAsia="zh-CN"/>
        </w:rPr>
        <w:t>减少</w:t>
      </w:r>
      <w:r>
        <w:rPr>
          <w:rFonts w:ascii="Times New Roman" w:hAnsi="Times New Roman" w:eastAsia="仿宋"/>
          <w:color w:val="000000"/>
          <w:sz w:val="32"/>
          <w:szCs w:val="32"/>
        </w:rPr>
        <w:t>3</w:t>
      </w:r>
      <w:r>
        <w:rPr>
          <w:rFonts w:hint="eastAsia" w:ascii="Times New Roman" w:hAnsi="Times New Roman" w:eastAsia="仿宋"/>
          <w:color w:val="000000"/>
          <w:sz w:val="32"/>
          <w:szCs w:val="32"/>
          <w:lang w:val="en-US" w:eastAsia="zh-CN"/>
        </w:rPr>
        <w:t>7.31</w:t>
      </w:r>
      <w:r>
        <w:rPr>
          <w:rFonts w:ascii="Times New Roman" w:hAnsi="Times New Roman" w:eastAsia="仿宋"/>
          <w:color w:val="000000"/>
          <w:sz w:val="32"/>
          <w:szCs w:val="32"/>
        </w:rPr>
        <w:t>万元，</w:t>
      </w:r>
      <w:r>
        <w:rPr>
          <w:rFonts w:hint="eastAsia" w:ascii="Times New Roman" w:hAnsi="Times New Roman" w:eastAsia="仿宋"/>
          <w:color w:val="000000"/>
          <w:sz w:val="32"/>
          <w:szCs w:val="32"/>
          <w:lang w:val="en-US" w:eastAsia="zh-CN"/>
        </w:rPr>
        <w:t>下降</w:t>
      </w:r>
      <w:r>
        <w:rPr>
          <w:rFonts w:ascii="Times New Roman" w:hAnsi="Times New Roman" w:eastAsia="仿宋"/>
          <w:color w:val="000000"/>
          <w:sz w:val="32"/>
          <w:szCs w:val="32"/>
        </w:rPr>
        <w:t>率为7.</w:t>
      </w:r>
      <w:r>
        <w:rPr>
          <w:rFonts w:hint="eastAsia" w:ascii="Times New Roman" w:hAnsi="Times New Roman" w:eastAsia="仿宋"/>
          <w:color w:val="000000"/>
          <w:sz w:val="32"/>
          <w:szCs w:val="32"/>
          <w:lang w:val="en-US" w:eastAsia="zh-CN"/>
        </w:rPr>
        <w:t>74</w:t>
      </w:r>
      <w:r>
        <w:rPr>
          <w:rFonts w:ascii="Times New Roman" w:hAnsi="Times New Roman" w:eastAsia="仿宋"/>
          <w:color w:val="000000"/>
          <w:sz w:val="32"/>
          <w:szCs w:val="32"/>
        </w:rPr>
        <w:t>%，支出</w:t>
      </w:r>
      <w:r>
        <w:rPr>
          <w:rFonts w:hint="eastAsia" w:ascii="Times New Roman" w:hAnsi="Times New Roman" w:eastAsia="仿宋"/>
          <w:color w:val="000000"/>
          <w:sz w:val="32"/>
          <w:szCs w:val="32"/>
          <w:lang w:val="en-US" w:eastAsia="zh-CN"/>
        </w:rPr>
        <w:t>减少65.99</w:t>
      </w:r>
      <w:r>
        <w:rPr>
          <w:rFonts w:ascii="Times New Roman" w:hAnsi="Times New Roman" w:eastAsia="仿宋"/>
          <w:color w:val="000000"/>
          <w:sz w:val="32"/>
          <w:szCs w:val="32"/>
        </w:rPr>
        <w:t>万元，</w:t>
      </w:r>
      <w:r>
        <w:rPr>
          <w:rFonts w:hint="eastAsia" w:ascii="Times New Roman" w:hAnsi="Times New Roman" w:eastAsia="仿宋"/>
          <w:color w:val="000000"/>
          <w:sz w:val="32"/>
          <w:szCs w:val="32"/>
          <w:lang w:val="en-US" w:eastAsia="zh-CN"/>
        </w:rPr>
        <w:t>下降率</w:t>
      </w:r>
      <w:r>
        <w:rPr>
          <w:rFonts w:ascii="Times New Roman" w:hAnsi="Times New Roman" w:eastAsia="仿宋"/>
          <w:color w:val="000000"/>
          <w:sz w:val="32"/>
          <w:szCs w:val="32"/>
        </w:rPr>
        <w:t>为</w:t>
      </w:r>
      <w:r>
        <w:rPr>
          <w:rFonts w:hint="eastAsia" w:ascii="Times New Roman" w:hAnsi="Times New Roman" w:eastAsia="仿宋"/>
          <w:color w:val="000000"/>
          <w:sz w:val="32"/>
          <w:szCs w:val="32"/>
          <w:lang w:val="en-US" w:eastAsia="zh-CN"/>
        </w:rPr>
        <w:t>12.01</w:t>
      </w:r>
      <w:r>
        <w:rPr>
          <w:rFonts w:ascii="Times New Roman" w:hAnsi="Times New Roman" w:eastAsia="仿宋"/>
          <w:color w:val="000000"/>
          <w:sz w:val="32"/>
          <w:szCs w:val="32"/>
        </w:rPr>
        <w:t>%。主要变动原因是相关经费</w:t>
      </w:r>
      <w:r>
        <w:rPr>
          <w:rFonts w:hint="eastAsia" w:ascii="Times New Roman" w:hAnsi="Times New Roman" w:eastAsia="仿宋"/>
          <w:color w:val="000000"/>
          <w:sz w:val="32"/>
          <w:szCs w:val="32"/>
          <w:lang w:val="en-US" w:eastAsia="zh-CN"/>
        </w:rPr>
        <w:t>减少</w:t>
      </w:r>
      <w:r>
        <w:rPr>
          <w:rFonts w:ascii="Times New Roman" w:hAnsi="Times New Roman" w:eastAsia="仿宋"/>
          <w:color w:val="000000"/>
          <w:sz w:val="32"/>
          <w:szCs w:val="32"/>
        </w:rPr>
        <w:t>。</w:t>
      </w:r>
    </w:p>
    <w:p>
      <w:pPr>
        <w:pStyle w:val="4"/>
        <w:jc w:val="both"/>
      </w:pPr>
      <w:r>
        <w:drawing>
          <wp:inline distT="0" distB="0" distL="114300" distR="114300">
            <wp:extent cx="5792470" cy="2743200"/>
            <wp:effectExtent l="4445" t="4445" r="13335" b="14605"/>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960" w:firstLineChars="300"/>
        <w:jc w:val="both"/>
        <w:rPr>
          <w:rFonts w:ascii="Times New Roman" w:hAnsi="Times New Roman" w:eastAsia="仿宋"/>
          <w:color w:val="000000"/>
        </w:rPr>
      </w:pPr>
      <w:r>
        <w:rPr>
          <w:rFonts w:hint="eastAsia" w:ascii="Times New Roman" w:hAnsi="Times New Roman" w:eastAsia="仿宋"/>
          <w:b w:val="0"/>
          <w:bCs w:val="0"/>
          <w:color w:val="000000"/>
          <w:lang w:val="en-US" w:eastAsia="zh-CN"/>
        </w:rPr>
        <w:t>图</w:t>
      </w:r>
      <w:r>
        <w:rPr>
          <w:rFonts w:ascii="Times New Roman" w:hAnsi="Times New Roman" w:eastAsia="仿宋"/>
          <w:b w:val="0"/>
          <w:bCs w:val="0"/>
          <w:color w:val="000000"/>
        </w:rPr>
        <w:t>1：收、支决算总计变动情况图</w:t>
      </w:r>
    </w:p>
    <w:p>
      <w:pPr>
        <w:pStyle w:val="18"/>
        <w:numPr>
          <w:ilvl w:val="0"/>
          <w:numId w:val="1"/>
        </w:numPr>
        <w:spacing w:line="600" w:lineRule="exact"/>
        <w:ind w:firstLineChars="0"/>
        <w:outlineLvl w:val="1"/>
        <w:rPr>
          <w:rStyle w:val="17"/>
          <w:rFonts w:ascii="Times New Roman" w:hAnsi="Times New Roman" w:eastAsia="黑体"/>
          <w:b w:val="0"/>
          <w:bCs w:val="0"/>
        </w:rPr>
      </w:pPr>
      <w:bookmarkStart w:id="26" w:name="_Toc15377206"/>
      <w:bookmarkStart w:id="27" w:name="_Toc15396604"/>
      <w:r>
        <w:rPr>
          <w:rFonts w:ascii="Times New Roman" w:hAnsi="Times New Roman" w:eastAsia="黑体"/>
          <w:color w:val="000000"/>
          <w:sz w:val="32"/>
          <w:szCs w:val="32"/>
        </w:rPr>
        <w:t>收</w:t>
      </w:r>
      <w:r>
        <w:rPr>
          <w:rStyle w:val="17"/>
          <w:rFonts w:ascii="Times New Roman" w:hAnsi="Times New Roman" w:eastAsia="黑体"/>
          <w:b w:val="0"/>
          <w:bCs w:val="0"/>
        </w:rPr>
        <w:t>入决算情况说明</w:t>
      </w:r>
      <w:bookmarkEnd w:id="26"/>
      <w:bookmarkEnd w:id="27"/>
    </w:p>
    <w:p>
      <w:pPr>
        <w:spacing w:line="600" w:lineRule="exact"/>
        <w:ind w:firstLine="640" w:firstLineChars="200"/>
        <w:outlineLvl w:val="1"/>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年本年收入合计</w:t>
      </w:r>
      <w:r>
        <w:rPr>
          <w:rFonts w:hint="eastAsia" w:ascii="Times New Roman" w:hAnsi="Times New Roman" w:eastAsia="仿宋_GB2312"/>
          <w:color w:val="000000"/>
          <w:sz w:val="32"/>
          <w:szCs w:val="32"/>
          <w:lang w:val="en-US" w:eastAsia="zh-CN"/>
        </w:rPr>
        <w:t>444.71</w:t>
      </w:r>
      <w:r>
        <w:rPr>
          <w:rFonts w:ascii="Times New Roman" w:hAnsi="Times New Roman" w:eastAsia="仿宋_GB2312"/>
          <w:color w:val="000000"/>
          <w:sz w:val="32"/>
          <w:szCs w:val="32"/>
        </w:rPr>
        <w:t>万元，其中：一般公共预算财政拨款收入</w:t>
      </w:r>
      <w:r>
        <w:rPr>
          <w:rFonts w:hint="eastAsia" w:ascii="Times New Roman" w:hAnsi="Times New Roman" w:eastAsia="仿宋_GB2312"/>
          <w:color w:val="000000"/>
          <w:sz w:val="32"/>
          <w:szCs w:val="32"/>
        </w:rPr>
        <w:t>438.61</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98.63</w:t>
      </w:r>
      <w:r>
        <w:rPr>
          <w:rFonts w:ascii="Times New Roman" w:hAnsi="Times New Roman" w:eastAsia="仿宋_GB2312"/>
          <w:color w:val="000000"/>
          <w:sz w:val="32"/>
          <w:szCs w:val="32"/>
        </w:rPr>
        <w:t>%；政府性基金预算财政拨款收入</w:t>
      </w:r>
      <w:r>
        <w:rPr>
          <w:rFonts w:hint="eastAsia" w:ascii="Times New Roman" w:hAnsi="Times New Roman" w:eastAsia="仿宋_GB2312"/>
          <w:color w:val="000000"/>
          <w:sz w:val="32"/>
          <w:szCs w:val="32"/>
        </w:rPr>
        <w:t>6.</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1.37</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p>
    <w:p>
      <w:pPr>
        <w:bidi w:val="0"/>
        <w:jc w:val="center"/>
        <w:rPr>
          <w:rFonts w:ascii="Times New Roman" w:hAnsi="Times New Roman" w:eastAsia="仿宋_GB2312"/>
          <w:sz w:val="32"/>
          <w:szCs w:val="32"/>
        </w:rPr>
      </w:pPr>
      <w:r>
        <w:drawing>
          <wp:inline distT="0" distB="0" distL="114300" distR="114300">
            <wp:extent cx="4572000" cy="274320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bidi w:val="0"/>
        <w:jc w:val="center"/>
        <w:rPr>
          <w:rFonts w:ascii="Times New Roman" w:hAnsi="Times New Roman" w:eastAsia="仿宋_GB2312"/>
          <w:sz w:val="32"/>
          <w:szCs w:val="32"/>
        </w:rPr>
      </w:pPr>
      <w:r>
        <w:rPr>
          <w:rFonts w:ascii="Times New Roman" w:hAnsi="Times New Roman" w:eastAsia="仿宋_GB2312"/>
          <w:sz w:val="32"/>
          <w:szCs w:val="32"/>
        </w:rPr>
        <w:t>图</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收入决算结构图</w:t>
      </w:r>
    </w:p>
    <w:p>
      <w:pPr>
        <w:spacing w:line="600" w:lineRule="exact"/>
        <w:ind w:firstLine="640" w:firstLineChars="200"/>
        <w:rPr>
          <w:rFonts w:ascii="Times New Roman" w:hAnsi="Times New Roman" w:eastAsia="仿宋_GB2312"/>
          <w:color w:val="FF0000"/>
          <w:sz w:val="32"/>
          <w:szCs w:val="32"/>
        </w:rPr>
      </w:pPr>
    </w:p>
    <w:p>
      <w:pPr>
        <w:pStyle w:val="18"/>
        <w:numPr>
          <w:ilvl w:val="0"/>
          <w:numId w:val="1"/>
        </w:numPr>
        <w:spacing w:line="600" w:lineRule="exact"/>
        <w:ind w:firstLineChars="0"/>
        <w:outlineLvl w:val="1"/>
        <w:rPr>
          <w:rStyle w:val="17"/>
          <w:rFonts w:ascii="Times New Roman" w:hAnsi="Times New Roman" w:eastAsia="黑体"/>
          <w:b w:val="0"/>
          <w:bCs w:val="0"/>
        </w:rPr>
      </w:pPr>
      <w:bookmarkStart w:id="28" w:name="_Toc15396605"/>
      <w:bookmarkStart w:id="29" w:name="_Toc15377207"/>
      <w:r>
        <w:rPr>
          <w:rFonts w:ascii="Times New Roman" w:hAnsi="Times New Roman" w:eastAsia="黑体"/>
          <w:color w:val="000000"/>
          <w:sz w:val="32"/>
          <w:szCs w:val="32"/>
        </w:rPr>
        <w:t>支</w:t>
      </w:r>
      <w:r>
        <w:rPr>
          <w:rStyle w:val="17"/>
          <w:rFonts w:ascii="Times New Roman" w:hAnsi="Times New Roman" w:eastAsia="黑体"/>
          <w:b w:val="0"/>
          <w:bCs w:val="0"/>
        </w:rPr>
        <w:t>出决算情况说明</w:t>
      </w:r>
      <w:bookmarkEnd w:id="28"/>
      <w:bookmarkEnd w:id="29"/>
    </w:p>
    <w:p>
      <w:pPr>
        <w:pStyle w:val="18"/>
        <w:spacing w:line="600" w:lineRule="exact"/>
        <w:outlineLvl w:val="1"/>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年本年支出合计</w:t>
      </w:r>
      <w:r>
        <w:rPr>
          <w:rFonts w:hint="eastAsia" w:ascii="Times New Roman" w:hAnsi="Times New Roman" w:eastAsia="仿宋"/>
          <w:color w:val="000000"/>
          <w:sz w:val="32"/>
          <w:szCs w:val="32"/>
          <w:lang w:val="en-US" w:eastAsia="zh-CN"/>
        </w:rPr>
        <w:t>483</w:t>
      </w:r>
      <w:r>
        <w:rPr>
          <w:rFonts w:ascii="Times New Roman" w:hAnsi="Times New Roman" w:eastAsia="仿宋"/>
          <w:color w:val="000000"/>
          <w:sz w:val="32"/>
          <w:szCs w:val="32"/>
        </w:rPr>
        <w:t>.1</w:t>
      </w:r>
      <w:r>
        <w:rPr>
          <w:rFonts w:hint="eastAsia" w:ascii="Times New Roman" w:hAnsi="Times New Roman" w:eastAsia="仿宋"/>
          <w:color w:val="000000"/>
          <w:sz w:val="32"/>
          <w:szCs w:val="32"/>
          <w:lang w:val="en-US" w:eastAsia="zh-CN"/>
        </w:rPr>
        <w:t>5</w:t>
      </w:r>
      <w:r>
        <w:rPr>
          <w:rFonts w:ascii="Times New Roman" w:hAnsi="Times New Roman" w:eastAsia="仿宋_GB2312"/>
          <w:sz w:val="32"/>
          <w:szCs w:val="32"/>
        </w:rPr>
        <w:t>万元，其中： 基本支出</w:t>
      </w:r>
      <w:r>
        <w:rPr>
          <w:rFonts w:hint="eastAsia" w:ascii="Times New Roman" w:hAnsi="Times New Roman" w:eastAsia="仿宋_GB2312"/>
          <w:sz w:val="32"/>
          <w:szCs w:val="32"/>
        </w:rPr>
        <w:t>416</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72</w:t>
      </w:r>
      <w:r>
        <w:rPr>
          <w:rFonts w:ascii="Times New Roman" w:hAnsi="Times New Roman" w:eastAsia="仿宋_GB2312"/>
          <w:sz w:val="32"/>
          <w:szCs w:val="32"/>
        </w:rPr>
        <w:t>万元，占8</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%；项目支出</w:t>
      </w:r>
      <w:r>
        <w:rPr>
          <w:rFonts w:hint="eastAsia" w:ascii="Times New Roman" w:hAnsi="Times New Roman" w:eastAsia="仿宋_GB2312"/>
          <w:sz w:val="32"/>
          <w:szCs w:val="32"/>
        </w:rPr>
        <w:t>66</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42</w:t>
      </w:r>
      <w:r>
        <w:rPr>
          <w:rFonts w:ascii="Times New Roman" w:hAnsi="Times New Roman" w:eastAsia="仿宋_GB2312"/>
          <w:sz w:val="32"/>
          <w:szCs w:val="32"/>
        </w:rPr>
        <w:t>万元，占1</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w:t>
      </w:r>
    </w:p>
    <w:p>
      <w:pPr>
        <w:pStyle w:val="18"/>
        <w:spacing w:line="600" w:lineRule="exact"/>
        <w:ind w:left="0" w:leftChars="0" w:firstLine="0" w:firstLineChars="0"/>
        <w:outlineLvl w:val="1"/>
        <w:rPr>
          <w:rFonts w:ascii="Times New Roman" w:hAnsi="Times New Roman" w:eastAsia="仿宋_GB2312"/>
          <w:sz w:val="32"/>
          <w:szCs w:val="32"/>
        </w:rPr>
      </w:pPr>
    </w:p>
    <w:p>
      <w:pPr>
        <w:bidi w:val="0"/>
        <w:ind w:left="1260" w:hanging="1260" w:hangingChars="600"/>
        <w:rPr>
          <w:rFonts w:ascii="Times New Roman" w:hAnsi="Times New Roman" w:eastAsia="仿宋"/>
          <w:color w:val="000000"/>
          <w:sz w:val="32"/>
          <w:szCs w:val="32"/>
        </w:rPr>
      </w:pPr>
      <w:r>
        <w:rPr>
          <w:rFonts w:ascii="Times New Roman" w:hAnsi="Times New Roman"/>
        </w:rPr>
        <w:t xml:space="preserve">    </w:t>
      </w:r>
      <w:r>
        <w:drawing>
          <wp:inline distT="0" distB="0" distL="114300" distR="114300">
            <wp:extent cx="4572000" cy="2743200"/>
            <wp:effectExtent l="4445" t="4445" r="14605" b="14605"/>
            <wp:docPr id="3"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rPr>
        <w:t xml:space="preserve">    </w:t>
      </w:r>
      <w:r>
        <w:rPr>
          <w:rFonts w:ascii="Times New Roman" w:hAnsi="Times New Roman" w:eastAsia="仿宋"/>
          <w:b w:val="0"/>
          <w:bCs w:val="0"/>
          <w:color w:val="000000"/>
          <w:sz w:val="32"/>
          <w:szCs w:val="32"/>
        </w:rPr>
        <w:t>图3：支出决算结构图</w:t>
      </w:r>
    </w:p>
    <w:p>
      <w:pPr>
        <w:numPr>
          <w:ilvl w:val="0"/>
          <w:numId w:val="1"/>
        </w:numPr>
        <w:spacing w:line="600" w:lineRule="exact"/>
        <w:outlineLvl w:val="1"/>
        <w:rPr>
          <w:rStyle w:val="17"/>
          <w:rFonts w:ascii="Times New Roman" w:hAnsi="Times New Roman" w:eastAsia="黑体"/>
          <w:b w:val="0"/>
          <w:bCs w:val="0"/>
        </w:rPr>
      </w:pPr>
      <w:r>
        <w:rPr>
          <w:rFonts w:ascii="Times New Roman" w:hAnsi="Times New Roman" w:eastAsia="黑体"/>
          <w:color w:val="000000"/>
          <w:sz w:val="32"/>
          <w:szCs w:val="32"/>
        </w:rPr>
        <w:t>财</w:t>
      </w:r>
      <w:r>
        <w:rPr>
          <w:rStyle w:val="17"/>
          <w:rFonts w:ascii="Times New Roman" w:hAnsi="Times New Roman" w:eastAsia="黑体"/>
          <w:b w:val="0"/>
          <w:bCs w:val="0"/>
        </w:rPr>
        <w:t>政拨款收入支出决算总体情况说明</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20</w:t>
      </w:r>
      <w:r>
        <w:rPr>
          <w:rFonts w:hint="eastAsia" w:ascii="Times New Roman" w:hAnsi="Times New Roman" w:eastAsia="仿宋"/>
          <w:color w:val="000000"/>
          <w:sz w:val="32"/>
          <w:szCs w:val="32"/>
          <w:lang w:val="en-US" w:eastAsia="zh-CN"/>
        </w:rPr>
        <w:t>20</w:t>
      </w:r>
      <w:r>
        <w:rPr>
          <w:rFonts w:ascii="Times New Roman" w:hAnsi="Times New Roman" w:eastAsia="仿宋"/>
          <w:color w:val="000000"/>
          <w:sz w:val="32"/>
          <w:szCs w:val="32"/>
        </w:rPr>
        <w:t>年度收入4</w:t>
      </w:r>
      <w:r>
        <w:rPr>
          <w:rFonts w:hint="eastAsia" w:ascii="Times New Roman" w:hAnsi="Times New Roman" w:eastAsia="仿宋"/>
          <w:color w:val="000000"/>
          <w:sz w:val="32"/>
          <w:szCs w:val="32"/>
          <w:lang w:val="en-US" w:eastAsia="zh-CN"/>
        </w:rPr>
        <w:t>44</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71</w:t>
      </w:r>
      <w:r>
        <w:rPr>
          <w:rFonts w:ascii="Times New Roman" w:hAnsi="Times New Roman" w:eastAsia="仿宋"/>
          <w:color w:val="000000"/>
          <w:sz w:val="32"/>
          <w:szCs w:val="32"/>
        </w:rPr>
        <w:t>万元、支</w:t>
      </w:r>
      <w:r>
        <w:rPr>
          <w:rFonts w:hint="eastAsia" w:ascii="Times New Roman" w:hAnsi="Times New Roman" w:eastAsia="仿宋"/>
          <w:color w:val="000000"/>
          <w:sz w:val="32"/>
          <w:szCs w:val="32"/>
          <w:lang w:val="en-US" w:eastAsia="zh-CN"/>
        </w:rPr>
        <w:t>出</w:t>
      </w:r>
      <w:r>
        <w:rPr>
          <w:rFonts w:ascii="Times New Roman" w:hAnsi="Times New Roman" w:eastAsia="仿宋"/>
          <w:color w:val="000000"/>
          <w:sz w:val="32"/>
          <w:szCs w:val="32"/>
        </w:rPr>
        <w:t>总计</w:t>
      </w:r>
      <w:r>
        <w:rPr>
          <w:rFonts w:hint="eastAsia" w:ascii="Times New Roman" w:hAnsi="Times New Roman" w:eastAsia="仿宋"/>
          <w:color w:val="000000"/>
          <w:sz w:val="32"/>
          <w:szCs w:val="32"/>
          <w:lang w:val="en-US" w:eastAsia="zh-CN"/>
        </w:rPr>
        <w:t>483</w:t>
      </w:r>
      <w:r>
        <w:rPr>
          <w:rFonts w:ascii="Times New Roman" w:hAnsi="Times New Roman" w:eastAsia="仿宋"/>
          <w:color w:val="000000"/>
          <w:sz w:val="32"/>
          <w:szCs w:val="32"/>
        </w:rPr>
        <w:t>.1</w:t>
      </w:r>
      <w:r>
        <w:rPr>
          <w:rFonts w:hint="eastAsia" w:ascii="Times New Roman" w:hAnsi="Times New Roman" w:eastAsia="仿宋"/>
          <w:color w:val="000000"/>
          <w:sz w:val="32"/>
          <w:szCs w:val="32"/>
          <w:lang w:val="en-US" w:eastAsia="zh-CN"/>
        </w:rPr>
        <w:t>5</w:t>
      </w:r>
      <w:r>
        <w:rPr>
          <w:rFonts w:ascii="Times New Roman" w:hAnsi="Times New Roman" w:eastAsia="仿宋"/>
          <w:color w:val="000000"/>
          <w:sz w:val="32"/>
          <w:szCs w:val="32"/>
        </w:rPr>
        <w:t>万元。201</w:t>
      </w:r>
      <w:r>
        <w:rPr>
          <w:rFonts w:hint="eastAsia" w:ascii="Times New Roman" w:hAnsi="Times New Roman" w:eastAsia="仿宋"/>
          <w:color w:val="000000"/>
          <w:sz w:val="32"/>
          <w:szCs w:val="32"/>
          <w:lang w:val="en-US" w:eastAsia="zh-CN"/>
        </w:rPr>
        <w:t>9</w:t>
      </w:r>
      <w:r>
        <w:rPr>
          <w:rFonts w:ascii="Times New Roman" w:hAnsi="Times New Roman" w:eastAsia="仿宋"/>
          <w:color w:val="000000"/>
          <w:sz w:val="32"/>
          <w:szCs w:val="32"/>
        </w:rPr>
        <w:t>年度收入总计4</w:t>
      </w:r>
      <w:r>
        <w:rPr>
          <w:rFonts w:hint="eastAsia" w:ascii="Times New Roman" w:hAnsi="Times New Roman" w:eastAsia="仿宋"/>
          <w:color w:val="000000"/>
          <w:sz w:val="32"/>
          <w:szCs w:val="32"/>
          <w:lang w:val="en-US" w:eastAsia="zh-CN"/>
        </w:rPr>
        <w:t>82</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02</w:t>
      </w:r>
      <w:r>
        <w:rPr>
          <w:rFonts w:ascii="Times New Roman" w:hAnsi="Times New Roman" w:eastAsia="仿宋"/>
          <w:color w:val="000000"/>
          <w:sz w:val="32"/>
          <w:szCs w:val="32"/>
        </w:rPr>
        <w:t>万元，支出总计</w:t>
      </w:r>
      <w:r>
        <w:rPr>
          <w:rFonts w:hint="eastAsia" w:ascii="Times New Roman" w:hAnsi="Times New Roman" w:eastAsia="仿宋"/>
          <w:color w:val="000000"/>
          <w:sz w:val="32"/>
          <w:szCs w:val="32"/>
          <w:lang w:val="en-US" w:eastAsia="zh-CN"/>
        </w:rPr>
        <w:t>549.14</w:t>
      </w:r>
      <w:r>
        <w:rPr>
          <w:rFonts w:ascii="Times New Roman" w:hAnsi="Times New Roman" w:eastAsia="仿宋"/>
          <w:color w:val="000000"/>
          <w:sz w:val="32"/>
          <w:szCs w:val="32"/>
        </w:rPr>
        <w:t>万元。与20</w:t>
      </w:r>
      <w:r>
        <w:rPr>
          <w:rFonts w:hint="eastAsia" w:ascii="Times New Roman" w:hAnsi="Times New Roman" w:eastAsia="仿宋"/>
          <w:color w:val="000000"/>
          <w:sz w:val="32"/>
          <w:szCs w:val="32"/>
          <w:lang w:val="en-US" w:eastAsia="zh-CN"/>
        </w:rPr>
        <w:t>19</w:t>
      </w:r>
      <w:r>
        <w:rPr>
          <w:rFonts w:ascii="Times New Roman" w:hAnsi="Times New Roman" w:eastAsia="仿宋"/>
          <w:color w:val="000000"/>
          <w:sz w:val="32"/>
          <w:szCs w:val="32"/>
        </w:rPr>
        <w:t>年相比，收入</w:t>
      </w:r>
      <w:r>
        <w:rPr>
          <w:rFonts w:hint="eastAsia" w:ascii="Times New Roman" w:hAnsi="Times New Roman" w:eastAsia="仿宋"/>
          <w:color w:val="000000"/>
          <w:sz w:val="32"/>
          <w:szCs w:val="32"/>
          <w:lang w:val="en-US" w:eastAsia="zh-CN"/>
        </w:rPr>
        <w:t>减少</w:t>
      </w:r>
      <w:r>
        <w:rPr>
          <w:rFonts w:ascii="Times New Roman" w:hAnsi="Times New Roman" w:eastAsia="仿宋"/>
          <w:color w:val="000000"/>
          <w:sz w:val="32"/>
          <w:szCs w:val="32"/>
        </w:rPr>
        <w:t>3</w:t>
      </w:r>
      <w:r>
        <w:rPr>
          <w:rFonts w:hint="eastAsia" w:ascii="Times New Roman" w:hAnsi="Times New Roman" w:eastAsia="仿宋"/>
          <w:color w:val="000000"/>
          <w:sz w:val="32"/>
          <w:szCs w:val="32"/>
          <w:lang w:val="en-US" w:eastAsia="zh-CN"/>
        </w:rPr>
        <w:t>7.31</w:t>
      </w:r>
      <w:r>
        <w:rPr>
          <w:rFonts w:ascii="Times New Roman" w:hAnsi="Times New Roman" w:eastAsia="仿宋"/>
          <w:color w:val="000000"/>
          <w:sz w:val="32"/>
          <w:szCs w:val="32"/>
        </w:rPr>
        <w:t>万元，</w:t>
      </w:r>
      <w:r>
        <w:rPr>
          <w:rFonts w:hint="eastAsia" w:ascii="Times New Roman" w:hAnsi="Times New Roman" w:eastAsia="仿宋"/>
          <w:color w:val="000000"/>
          <w:sz w:val="32"/>
          <w:szCs w:val="32"/>
          <w:lang w:val="en-US" w:eastAsia="zh-CN"/>
        </w:rPr>
        <w:t>下降</w:t>
      </w:r>
      <w:r>
        <w:rPr>
          <w:rFonts w:ascii="Times New Roman" w:hAnsi="Times New Roman" w:eastAsia="仿宋"/>
          <w:color w:val="000000"/>
          <w:sz w:val="32"/>
          <w:szCs w:val="32"/>
        </w:rPr>
        <w:t>率为7.</w:t>
      </w:r>
      <w:r>
        <w:rPr>
          <w:rFonts w:hint="eastAsia" w:ascii="Times New Roman" w:hAnsi="Times New Roman" w:eastAsia="仿宋"/>
          <w:color w:val="000000"/>
          <w:sz w:val="32"/>
          <w:szCs w:val="32"/>
          <w:lang w:val="en-US" w:eastAsia="zh-CN"/>
        </w:rPr>
        <w:t>74</w:t>
      </w:r>
      <w:r>
        <w:rPr>
          <w:rFonts w:ascii="Times New Roman" w:hAnsi="Times New Roman" w:eastAsia="仿宋"/>
          <w:color w:val="000000"/>
          <w:sz w:val="32"/>
          <w:szCs w:val="32"/>
        </w:rPr>
        <w:t>%，支出</w:t>
      </w:r>
      <w:r>
        <w:rPr>
          <w:rFonts w:hint="eastAsia" w:ascii="Times New Roman" w:hAnsi="Times New Roman" w:eastAsia="仿宋"/>
          <w:color w:val="000000"/>
          <w:sz w:val="32"/>
          <w:szCs w:val="32"/>
          <w:lang w:val="en-US" w:eastAsia="zh-CN"/>
        </w:rPr>
        <w:t>减少65.99</w:t>
      </w:r>
      <w:r>
        <w:rPr>
          <w:rFonts w:ascii="Times New Roman" w:hAnsi="Times New Roman" w:eastAsia="仿宋"/>
          <w:color w:val="000000"/>
          <w:sz w:val="32"/>
          <w:szCs w:val="32"/>
        </w:rPr>
        <w:t>万元，</w:t>
      </w:r>
      <w:r>
        <w:rPr>
          <w:rFonts w:hint="eastAsia" w:ascii="Times New Roman" w:hAnsi="Times New Roman" w:eastAsia="仿宋"/>
          <w:color w:val="000000"/>
          <w:sz w:val="32"/>
          <w:szCs w:val="32"/>
          <w:lang w:val="en-US" w:eastAsia="zh-CN"/>
        </w:rPr>
        <w:t>下降率</w:t>
      </w:r>
      <w:r>
        <w:rPr>
          <w:rFonts w:ascii="Times New Roman" w:hAnsi="Times New Roman" w:eastAsia="仿宋"/>
          <w:color w:val="000000"/>
          <w:sz w:val="32"/>
          <w:szCs w:val="32"/>
        </w:rPr>
        <w:t>率为</w:t>
      </w:r>
      <w:r>
        <w:rPr>
          <w:rFonts w:hint="eastAsia" w:ascii="Times New Roman" w:hAnsi="Times New Roman" w:eastAsia="仿宋"/>
          <w:color w:val="000000"/>
          <w:sz w:val="32"/>
          <w:szCs w:val="32"/>
          <w:lang w:val="en-US" w:eastAsia="zh-CN"/>
        </w:rPr>
        <w:t>12.01</w:t>
      </w:r>
      <w:r>
        <w:rPr>
          <w:rFonts w:ascii="Times New Roman" w:hAnsi="Times New Roman" w:eastAsia="仿宋"/>
          <w:color w:val="000000"/>
          <w:sz w:val="32"/>
          <w:szCs w:val="32"/>
        </w:rPr>
        <w:t>%。主要变动原因是相关经费</w:t>
      </w:r>
      <w:r>
        <w:rPr>
          <w:rFonts w:hint="eastAsia" w:ascii="Times New Roman" w:hAnsi="Times New Roman" w:eastAsia="仿宋"/>
          <w:color w:val="000000"/>
          <w:sz w:val="32"/>
          <w:szCs w:val="32"/>
          <w:lang w:val="en-US" w:eastAsia="zh-CN"/>
        </w:rPr>
        <w:t>减少</w:t>
      </w:r>
      <w:r>
        <w:rPr>
          <w:rFonts w:ascii="Times New Roman" w:hAnsi="Times New Roman" w:eastAsia="仿宋"/>
          <w:color w:val="000000"/>
          <w:sz w:val="32"/>
          <w:szCs w:val="32"/>
        </w:rPr>
        <w:t>。</w:t>
      </w:r>
    </w:p>
    <w:p>
      <w:pPr>
        <w:spacing w:line="360" w:lineRule="auto"/>
        <w:jc w:val="center"/>
      </w:pPr>
      <w:r>
        <w:drawing>
          <wp:inline distT="0" distB="0" distL="114300" distR="114300">
            <wp:extent cx="5792470" cy="2743200"/>
            <wp:effectExtent l="4445" t="4445" r="13335" b="14605"/>
            <wp:docPr id="4" name="图片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jc w:val="center"/>
        <w:rPr>
          <w:rFonts w:ascii="Times New Roman" w:hAnsi="Times New Roman" w:eastAsia="仿宋"/>
          <w:color w:val="000000"/>
          <w:sz w:val="32"/>
          <w:szCs w:val="32"/>
        </w:rPr>
      </w:pPr>
      <w:r>
        <w:rPr>
          <w:rFonts w:ascii="Times New Roman" w:hAnsi="Times New Roman" w:eastAsia="仿宋"/>
          <w:color w:val="000000"/>
          <w:sz w:val="32"/>
          <w:szCs w:val="32"/>
        </w:rPr>
        <w:t>图4：财政拨款收、支决算总计变动情况</w:t>
      </w:r>
    </w:p>
    <w:p>
      <w:pPr>
        <w:spacing w:line="600" w:lineRule="exact"/>
        <w:ind w:firstLine="640"/>
        <w:jc w:val="center"/>
        <w:rPr>
          <w:rFonts w:ascii="Times New Roman" w:hAnsi="Times New Roman" w:eastAsia="仿宋"/>
          <w:color w:val="00B050"/>
          <w:sz w:val="32"/>
          <w:szCs w:val="32"/>
        </w:rPr>
      </w:pPr>
    </w:p>
    <w:p>
      <w:pPr>
        <w:spacing w:line="600" w:lineRule="exact"/>
        <w:ind w:firstLine="640" w:firstLineChars="200"/>
        <w:outlineLvl w:val="1"/>
        <w:rPr>
          <w:rStyle w:val="17"/>
          <w:rFonts w:ascii="Times New Roman" w:hAnsi="Times New Roman" w:eastAsia="黑体"/>
          <w:b w:val="0"/>
          <w:bCs w:val="0"/>
        </w:rPr>
      </w:pPr>
      <w:bookmarkStart w:id="30" w:name="_Toc15377209"/>
      <w:bookmarkStart w:id="31" w:name="_Toc15396607"/>
      <w:r>
        <w:rPr>
          <w:rFonts w:ascii="Times New Roman" w:hAnsi="Times New Roman" w:eastAsia="黑体"/>
          <w:color w:val="000000"/>
          <w:sz w:val="32"/>
          <w:szCs w:val="32"/>
        </w:rPr>
        <w:t>五、一</w:t>
      </w:r>
      <w:r>
        <w:rPr>
          <w:rStyle w:val="17"/>
          <w:rFonts w:ascii="Times New Roman" w:hAnsi="Times New Roman" w:eastAsia="黑体"/>
          <w:b w:val="0"/>
          <w:bCs w:val="0"/>
        </w:rPr>
        <w:t>般公共预算财政拨款支出决算情况说明</w:t>
      </w:r>
      <w:bookmarkEnd w:id="30"/>
      <w:bookmarkEnd w:id="31"/>
    </w:p>
    <w:p>
      <w:pPr>
        <w:spacing w:line="600" w:lineRule="exact"/>
        <w:ind w:firstLine="640" w:firstLineChars="200"/>
        <w:outlineLvl w:val="2"/>
        <w:rPr>
          <w:rFonts w:ascii="Times New Roman" w:hAnsi="Times New Roman" w:eastAsia="仿宋"/>
          <w:color w:val="000000"/>
          <w:sz w:val="32"/>
          <w:szCs w:val="32"/>
        </w:rPr>
      </w:pPr>
      <w:bookmarkStart w:id="32" w:name="_Toc15377210"/>
      <w:r>
        <w:rPr>
          <w:rFonts w:ascii="Times New Roman" w:hAnsi="Times New Roman" w:eastAsia="楷体_GB2312"/>
          <w:color w:val="000000"/>
          <w:sz w:val="32"/>
          <w:szCs w:val="32"/>
        </w:rPr>
        <w:t>（一）一般公共预算财政拨款支出决算总体情况</w:t>
      </w:r>
      <w:bookmarkEnd w:id="32"/>
    </w:p>
    <w:p>
      <w:pPr>
        <w:spacing w:line="60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年一般公共预算财政拨款支出</w:t>
      </w:r>
      <w:r>
        <w:rPr>
          <w:rFonts w:hint="eastAsia" w:ascii="Times New Roman" w:hAnsi="Times New Roman" w:eastAsia="仿宋_GB2312"/>
          <w:color w:val="000000"/>
          <w:sz w:val="32"/>
          <w:szCs w:val="32"/>
          <w:lang w:val="en-US" w:eastAsia="zh-CN"/>
        </w:rPr>
        <w:t>471.26</w:t>
      </w:r>
      <w:r>
        <w:rPr>
          <w:rFonts w:ascii="Times New Roman" w:hAnsi="Times New Roman" w:eastAsia="仿宋_GB2312"/>
          <w:color w:val="000000"/>
          <w:sz w:val="32"/>
          <w:szCs w:val="32"/>
        </w:rPr>
        <w:t>万元，占本年支出合计的</w:t>
      </w:r>
      <w:r>
        <w:rPr>
          <w:rFonts w:hint="eastAsia" w:ascii="Times New Roman" w:hAnsi="Times New Roman" w:eastAsia="仿宋_GB2312"/>
          <w:color w:val="000000"/>
          <w:sz w:val="32"/>
          <w:szCs w:val="32"/>
          <w:lang w:val="en-US" w:eastAsia="zh-CN"/>
        </w:rPr>
        <w:t>97.54</w:t>
      </w:r>
      <w:r>
        <w:rPr>
          <w:rFonts w:ascii="Times New Roman" w:hAnsi="Times New Roman" w:eastAsia="仿宋_GB2312"/>
          <w:color w:val="000000"/>
          <w:sz w:val="32"/>
          <w:szCs w:val="32"/>
        </w:rPr>
        <w:t>%。与201</w:t>
      </w:r>
      <w:r>
        <w:rPr>
          <w:rFonts w:hint="eastAsia" w:ascii="Times New Roman" w:hAnsi="Times New Roman" w:eastAsia="仿宋_GB2312"/>
          <w:color w:val="000000"/>
          <w:sz w:val="32"/>
          <w:szCs w:val="32"/>
          <w:lang w:val="en-US" w:eastAsia="zh-CN"/>
        </w:rPr>
        <w:t>9</w:t>
      </w:r>
      <w:r>
        <w:rPr>
          <w:rFonts w:ascii="Times New Roman" w:hAnsi="Times New Roman" w:eastAsia="仿宋_GB2312"/>
          <w:color w:val="000000"/>
          <w:sz w:val="32"/>
          <w:szCs w:val="32"/>
        </w:rPr>
        <w:t>年相比，一般公共预算财政拨款</w:t>
      </w:r>
      <w:r>
        <w:rPr>
          <w:rFonts w:hint="eastAsia" w:ascii="Times New Roman" w:hAnsi="Times New Roman" w:eastAsia="仿宋_GB2312"/>
          <w:color w:val="000000"/>
          <w:sz w:val="32"/>
          <w:szCs w:val="32"/>
          <w:lang w:val="en-US" w:eastAsia="zh-CN"/>
        </w:rPr>
        <w:t>减少72.75</w:t>
      </w:r>
      <w:r>
        <w:rPr>
          <w:rFonts w:ascii="Times New Roman" w:hAnsi="Times New Roman" w:eastAsia="仿宋_GB2312"/>
          <w:color w:val="000000"/>
          <w:sz w:val="32"/>
          <w:szCs w:val="32"/>
        </w:rPr>
        <w:t>万元。主要变动原因是</w:t>
      </w:r>
      <w:r>
        <w:rPr>
          <w:rFonts w:hint="eastAsia" w:ascii="Times New Roman" w:hAnsi="Times New Roman" w:eastAsia="仿宋_GB2312"/>
          <w:color w:val="000000"/>
          <w:sz w:val="32"/>
          <w:szCs w:val="32"/>
        </w:rPr>
        <w:t>相关经费</w:t>
      </w:r>
      <w:r>
        <w:rPr>
          <w:rFonts w:hint="eastAsia" w:ascii="Times New Roman" w:hAnsi="Times New Roman" w:eastAsia="仿宋_GB2312"/>
          <w:color w:val="000000"/>
          <w:sz w:val="32"/>
          <w:szCs w:val="32"/>
          <w:lang w:val="en-US" w:eastAsia="zh-CN"/>
        </w:rPr>
        <w:t>减少</w:t>
      </w:r>
      <w:r>
        <w:rPr>
          <w:rFonts w:hint="eastAsia" w:ascii="Times New Roman" w:hAnsi="Times New Roman" w:eastAsia="仿宋_GB2312"/>
          <w:color w:val="000000"/>
          <w:sz w:val="32"/>
          <w:szCs w:val="32"/>
        </w:rPr>
        <w:t>。</w:t>
      </w:r>
    </w:p>
    <w:p>
      <w:pPr>
        <w:pStyle w:val="2"/>
        <w:rPr>
          <w:rFonts w:hint="eastAsia" w:ascii="Times New Roman" w:hAnsi="Times New Roman" w:eastAsia="仿宋_GB2312"/>
          <w:color w:val="000000"/>
          <w:sz w:val="32"/>
          <w:szCs w:val="32"/>
        </w:rPr>
      </w:pPr>
      <w:r>
        <w:drawing>
          <wp:inline distT="0" distB="0" distL="114300" distR="114300">
            <wp:extent cx="6182995" cy="2018030"/>
            <wp:effectExtent l="5080" t="4445" r="22225" b="15875"/>
            <wp:docPr id="5" name="图片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960" w:firstLineChars="300"/>
        <w:jc w:val="both"/>
        <w:outlineLvl w:val="2"/>
        <w:rPr>
          <w:rFonts w:ascii="Times New Roman" w:hAnsi="Times New Roman" w:eastAsia="仿宋"/>
          <w:color w:val="000000"/>
          <w:sz w:val="32"/>
          <w:szCs w:val="32"/>
        </w:rPr>
      </w:pPr>
      <w:r>
        <w:rPr>
          <w:rFonts w:ascii="Times New Roman" w:hAnsi="Times New Roman" w:eastAsia="仿宋"/>
          <w:color w:val="000000"/>
          <w:sz w:val="32"/>
          <w:szCs w:val="32"/>
        </w:rPr>
        <w:t>图5：一般公共预算财政拨款支出决算变动情况</w:t>
      </w:r>
      <w:bookmarkStart w:id="33" w:name="_Toc15377211"/>
    </w:p>
    <w:p>
      <w:pPr>
        <w:spacing w:line="600" w:lineRule="exact"/>
        <w:ind w:firstLine="640" w:firstLineChars="200"/>
        <w:outlineLvl w:val="2"/>
        <w:rPr>
          <w:rFonts w:ascii="Times New Roman" w:hAnsi="Times New Roman" w:eastAsia="仿宋"/>
          <w:color w:val="000000"/>
          <w:sz w:val="32"/>
          <w:szCs w:val="32"/>
        </w:rPr>
      </w:pPr>
      <w:r>
        <w:rPr>
          <w:rFonts w:ascii="Times New Roman" w:hAnsi="Times New Roman" w:eastAsia="楷体_GB2312"/>
          <w:color w:val="000000"/>
          <w:sz w:val="32"/>
          <w:szCs w:val="32"/>
        </w:rPr>
        <w:t>（二）一般公共预算财政拨款支出决算结构情况</w:t>
      </w:r>
      <w:bookmarkEnd w:id="33"/>
    </w:p>
    <w:p>
      <w:pPr>
        <w:rPr>
          <w:rFonts w:ascii="Times New Roman" w:hAnsi="Times New Roman"/>
        </w:rPr>
      </w:pPr>
      <w:r>
        <w:rPr>
          <w:rFonts w:hint="eastAsia" w:ascii="Times New Roman" w:hAnsi="Times New Roman" w:eastAsia="仿宋_GB2312"/>
          <w:color w:val="000000"/>
          <w:sz w:val="32"/>
          <w:szCs w:val="32"/>
          <w:lang w:val="en-US" w:eastAsia="zh-CN"/>
        </w:rPr>
        <w:t>2020</w:t>
      </w:r>
      <w:r>
        <w:rPr>
          <w:rFonts w:ascii="Times New Roman" w:hAnsi="Times New Roman" w:eastAsia="仿宋_GB2312"/>
          <w:color w:val="000000"/>
          <w:sz w:val="32"/>
          <w:szCs w:val="32"/>
        </w:rPr>
        <w:t>年一般公共预算财政拨款支出</w:t>
      </w:r>
      <w:r>
        <w:rPr>
          <w:rFonts w:hint="eastAsia" w:ascii="Times New Roman" w:hAnsi="Times New Roman" w:eastAsia="仿宋_GB2312"/>
          <w:color w:val="000000"/>
          <w:sz w:val="32"/>
          <w:szCs w:val="32"/>
          <w:lang w:val="en-US" w:eastAsia="zh-CN"/>
        </w:rPr>
        <w:t>471.26</w:t>
      </w:r>
      <w:r>
        <w:rPr>
          <w:rFonts w:ascii="Times New Roman" w:hAnsi="Times New Roman" w:eastAsia="仿宋_GB2312"/>
          <w:color w:val="000000"/>
          <w:sz w:val="32"/>
          <w:szCs w:val="32"/>
        </w:rPr>
        <w:t>万元，主要用于以下方面:一般公共服务（类）支出</w:t>
      </w:r>
      <w:r>
        <w:rPr>
          <w:rFonts w:hint="eastAsia" w:ascii="Times New Roman" w:hAnsi="Times New Roman" w:eastAsia="仿宋_GB2312"/>
          <w:color w:val="000000"/>
          <w:sz w:val="32"/>
          <w:szCs w:val="32"/>
          <w:lang w:val="en-US" w:eastAsia="zh-CN"/>
        </w:rPr>
        <w:t>404.89</w:t>
      </w:r>
      <w:r>
        <w:rPr>
          <w:rFonts w:ascii="Times New Roman" w:hAnsi="Times New Roman" w:eastAsia="仿宋_GB2312"/>
          <w:color w:val="000000"/>
          <w:sz w:val="32"/>
          <w:szCs w:val="32"/>
        </w:rPr>
        <w:t>万元，占8</w:t>
      </w:r>
      <w:r>
        <w:rPr>
          <w:rFonts w:hint="eastAsia" w:ascii="Times New Roman" w:hAnsi="Times New Roman" w:eastAsia="仿宋_GB2312"/>
          <w:color w:val="000000"/>
          <w:sz w:val="32"/>
          <w:szCs w:val="32"/>
          <w:lang w:val="en-US" w:eastAsia="zh-CN"/>
        </w:rPr>
        <w:t>5.91</w:t>
      </w:r>
      <w:r>
        <w:rPr>
          <w:rFonts w:ascii="Times New Roman" w:hAnsi="Times New Roman" w:eastAsia="仿宋_GB2312"/>
          <w:color w:val="000000"/>
          <w:sz w:val="32"/>
          <w:szCs w:val="32"/>
        </w:rPr>
        <w:t>%；文化旅游体育与传媒支出</w:t>
      </w:r>
      <w:r>
        <w:rPr>
          <w:rFonts w:hint="eastAsia" w:ascii="Times New Roman" w:hAnsi="Times New Roman" w:eastAsia="仿宋_GB2312"/>
          <w:color w:val="000000"/>
          <w:sz w:val="32"/>
          <w:szCs w:val="32"/>
          <w:lang w:val="en-US" w:eastAsia="zh-CN"/>
        </w:rPr>
        <w:t>4.1</w:t>
      </w:r>
      <w:r>
        <w:rPr>
          <w:rFonts w:ascii="Times New Roman" w:hAnsi="Times New Roman" w:eastAsia="仿宋_GB2312"/>
          <w:color w:val="000000"/>
          <w:sz w:val="32"/>
          <w:szCs w:val="32"/>
        </w:rPr>
        <w:t>万元，占0.</w:t>
      </w:r>
      <w:r>
        <w:rPr>
          <w:rFonts w:hint="eastAsia" w:ascii="Times New Roman" w:hAnsi="Times New Roman" w:eastAsia="仿宋_GB2312"/>
          <w:color w:val="000000"/>
          <w:sz w:val="32"/>
          <w:szCs w:val="32"/>
          <w:lang w:val="en-US" w:eastAsia="zh-CN"/>
        </w:rPr>
        <w:t>87</w:t>
      </w:r>
      <w:r>
        <w:rPr>
          <w:rFonts w:ascii="Times New Roman" w:hAnsi="Times New Roman" w:eastAsia="仿宋_GB2312"/>
          <w:color w:val="000000"/>
          <w:sz w:val="32"/>
          <w:szCs w:val="32"/>
        </w:rPr>
        <w:t>%；社会保障和就业（类）支出</w:t>
      </w:r>
      <w:r>
        <w:rPr>
          <w:rFonts w:hint="eastAsia" w:ascii="Times New Roman" w:hAnsi="Times New Roman" w:eastAsia="仿宋_GB2312"/>
          <w:color w:val="000000"/>
          <w:sz w:val="32"/>
          <w:szCs w:val="32"/>
          <w:lang w:val="en-US" w:eastAsia="zh-CN"/>
        </w:rPr>
        <w:t>22.7</w:t>
      </w:r>
      <w:r>
        <w:rPr>
          <w:rFonts w:ascii="Times New Roman" w:hAnsi="Times New Roman" w:eastAsia="仿宋_GB2312"/>
          <w:color w:val="000000"/>
          <w:sz w:val="32"/>
          <w:szCs w:val="32"/>
        </w:rPr>
        <w:t>7万元，占</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8</w:t>
      </w:r>
      <w:r>
        <w:rPr>
          <w:rFonts w:ascii="Times New Roman" w:hAnsi="Times New Roman" w:eastAsia="仿宋_GB2312"/>
          <w:color w:val="000000"/>
          <w:sz w:val="32"/>
          <w:szCs w:val="32"/>
        </w:rPr>
        <w:t>%；卫生健康支出</w:t>
      </w:r>
      <w:r>
        <w:rPr>
          <w:rFonts w:hint="eastAsia" w:ascii="Times New Roman" w:hAnsi="Times New Roman" w:eastAsia="仿宋_GB2312"/>
          <w:color w:val="000000"/>
          <w:sz w:val="32"/>
          <w:szCs w:val="32"/>
          <w:lang w:val="en-US" w:eastAsia="zh-CN"/>
        </w:rPr>
        <w:t>14.12</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%；城乡支出</w:t>
      </w:r>
      <w:r>
        <w:rPr>
          <w:rFonts w:hint="eastAsia" w:ascii="Times New Roman" w:hAnsi="Times New Roman" w:eastAsia="仿宋_GB2312"/>
          <w:color w:val="000000"/>
          <w:sz w:val="32"/>
          <w:szCs w:val="32"/>
          <w:lang w:val="en-US" w:eastAsia="zh-CN"/>
        </w:rPr>
        <w:t>0.84</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0.18</w:t>
      </w:r>
      <w:r>
        <w:rPr>
          <w:rFonts w:ascii="Times New Roman" w:hAnsi="Times New Roman" w:eastAsia="仿宋_GB2312"/>
          <w:color w:val="000000"/>
          <w:sz w:val="32"/>
          <w:szCs w:val="32"/>
        </w:rPr>
        <w:t>%；农林水支出</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万，占0.</w:t>
      </w:r>
      <w:r>
        <w:rPr>
          <w:rFonts w:hint="eastAsia" w:ascii="Times New Roman" w:hAnsi="Times New Roman" w:eastAsia="仿宋_GB2312"/>
          <w:color w:val="000000"/>
          <w:sz w:val="32"/>
          <w:szCs w:val="32"/>
          <w:lang w:val="en-US" w:eastAsia="zh-CN"/>
        </w:rPr>
        <w:t>64</w:t>
      </w:r>
      <w:r>
        <w:rPr>
          <w:rFonts w:ascii="Times New Roman" w:hAnsi="Times New Roman" w:eastAsia="仿宋_GB2312"/>
          <w:color w:val="000000"/>
          <w:sz w:val="32"/>
          <w:szCs w:val="32"/>
        </w:rPr>
        <w:t>%；住房保障支出</w:t>
      </w:r>
      <w:r>
        <w:rPr>
          <w:rFonts w:hint="eastAsia" w:ascii="Times New Roman" w:hAnsi="Times New Roman" w:eastAsia="仿宋_GB2312"/>
          <w:color w:val="000000"/>
          <w:sz w:val="32"/>
          <w:szCs w:val="32"/>
          <w:lang w:val="en-US" w:eastAsia="zh-CN"/>
        </w:rPr>
        <w:t>21.54</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4.57</w:t>
      </w:r>
      <w:r>
        <w:rPr>
          <w:rFonts w:ascii="Times New Roman" w:hAnsi="Times New Roman" w:eastAsia="仿宋_GB2312"/>
          <w:color w:val="000000"/>
          <w:sz w:val="32"/>
          <w:szCs w:val="32"/>
        </w:rPr>
        <w:t>%。</w:t>
      </w:r>
      <w:r>
        <w:drawing>
          <wp:inline distT="0" distB="0" distL="114300" distR="114300">
            <wp:extent cx="5485130" cy="2743200"/>
            <wp:effectExtent l="4445" t="4445" r="15875" b="14605"/>
            <wp:docPr id="6" name="图片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both"/>
        <w:rPr>
          <w:rFonts w:ascii="Times New Roman" w:hAnsi="Times New Roman" w:eastAsia="仿宋"/>
          <w:color w:val="000000"/>
          <w:sz w:val="32"/>
          <w:szCs w:val="32"/>
        </w:rPr>
      </w:pPr>
      <w:r>
        <w:rPr>
          <w:rFonts w:ascii="Times New Roman" w:hAnsi="Times New Roman" w:eastAsia="仿宋"/>
          <w:color w:val="000000"/>
          <w:sz w:val="32"/>
          <w:szCs w:val="32"/>
        </w:rPr>
        <w:t>图6：一般公共预算财政拨款支出决算结构</w:t>
      </w:r>
    </w:p>
    <w:p>
      <w:pPr>
        <w:spacing w:line="600" w:lineRule="exact"/>
        <w:ind w:firstLine="640" w:firstLineChars="200"/>
        <w:outlineLvl w:val="2"/>
        <w:rPr>
          <w:rFonts w:ascii="Times New Roman" w:hAnsi="Times New Roman" w:eastAsia="楷体_GB2312"/>
          <w:color w:val="000000"/>
          <w:sz w:val="32"/>
          <w:szCs w:val="32"/>
        </w:rPr>
      </w:pPr>
      <w:bookmarkStart w:id="34" w:name="_Toc15377212"/>
      <w:r>
        <w:rPr>
          <w:rFonts w:ascii="Times New Roman" w:hAnsi="Times New Roman" w:eastAsia="楷体_GB2312"/>
          <w:color w:val="000000"/>
          <w:sz w:val="32"/>
          <w:szCs w:val="32"/>
        </w:rPr>
        <w:t>（三）一般公共预算财政拨款支出决算具体情况</w:t>
      </w:r>
      <w:bookmarkEnd w:id="34"/>
    </w:p>
    <w:p>
      <w:pPr>
        <w:spacing w:line="600" w:lineRule="exact"/>
        <w:ind w:firstLine="640" w:firstLineChars="200"/>
        <w:outlineLvl w:val="2"/>
        <w:rPr>
          <w:rFonts w:ascii="Times New Roman" w:hAnsi="Times New Roman" w:eastAsia="仿宋_GB2312"/>
          <w:color w:val="FF0000"/>
          <w:sz w:val="32"/>
          <w:szCs w:val="32"/>
        </w:rPr>
      </w:pPr>
      <w:bookmarkStart w:id="35" w:name="_Toc15377213"/>
      <w:bookmarkStart w:id="36" w:name="_Toc15378460"/>
      <w:bookmarkStart w:id="37" w:name="_Toc15377444"/>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年一般公共预算支出决算数为</w:t>
      </w:r>
      <w:r>
        <w:rPr>
          <w:rFonts w:hint="eastAsia" w:ascii="Times New Roman" w:hAnsi="Times New Roman" w:eastAsia="仿宋_GB2312"/>
          <w:color w:val="000000"/>
          <w:sz w:val="32"/>
          <w:szCs w:val="32"/>
          <w:lang w:val="en-US" w:eastAsia="zh-CN"/>
        </w:rPr>
        <w:t>471.26</w:t>
      </w:r>
      <w:r>
        <w:rPr>
          <w:rFonts w:ascii="Times New Roman" w:hAnsi="Times New Roman" w:eastAsia="仿宋_GB2312"/>
          <w:color w:val="000000"/>
          <w:sz w:val="32"/>
          <w:szCs w:val="32"/>
        </w:rPr>
        <w:t>万元，</w:t>
      </w:r>
      <w:r>
        <w:rPr>
          <w:rStyle w:val="12"/>
          <w:rFonts w:ascii="Times New Roman" w:hAnsi="Times New Roman" w:eastAsia="仿宋_GB2312"/>
          <w:b w:val="0"/>
          <w:color w:val="000000"/>
          <w:sz w:val="32"/>
          <w:szCs w:val="32"/>
        </w:rPr>
        <w:t>完成预算100%。其中：</w:t>
      </w:r>
      <w:bookmarkEnd w:id="35"/>
      <w:bookmarkEnd w:id="36"/>
      <w:bookmarkEnd w:id="37"/>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1.一般公共服务（类）务: 支出决算为</w:t>
      </w:r>
      <w:r>
        <w:rPr>
          <w:rFonts w:hint="eastAsia" w:ascii="Times New Roman" w:hAnsi="Times New Roman" w:eastAsia="仿宋_GB2312"/>
          <w:color w:val="000000"/>
          <w:sz w:val="32"/>
          <w:szCs w:val="32"/>
          <w:lang w:val="en-US" w:eastAsia="zh-CN"/>
        </w:rPr>
        <w:t>404.89</w:t>
      </w:r>
      <w:r>
        <w:rPr>
          <w:rStyle w:val="12"/>
          <w:rFonts w:ascii="Times New Roman" w:hAnsi="Times New Roman" w:eastAsia="仿宋_GB2312"/>
          <w:b w:val="0"/>
          <w:color w:val="000000"/>
          <w:sz w:val="32"/>
          <w:szCs w:val="32"/>
        </w:rPr>
        <w:t>万元，完成预算100%，决算数大于预算数的主要原因是</w:t>
      </w:r>
      <w:r>
        <w:rPr>
          <w:rStyle w:val="12"/>
          <w:rFonts w:hint="eastAsia" w:ascii="Times New Roman" w:hAnsi="Times New Roman" w:eastAsia="仿宋_GB2312"/>
          <w:b w:val="0"/>
          <w:color w:val="000000"/>
          <w:sz w:val="32"/>
          <w:szCs w:val="32"/>
        </w:rPr>
        <w:t>相关经费增加</w:t>
      </w:r>
      <w:r>
        <w:rPr>
          <w:rStyle w:val="12"/>
          <w:rFonts w:ascii="Times New Roman" w:hAnsi="Times New Roman" w:eastAsia="仿宋_GB2312"/>
          <w:b w:val="0"/>
          <w:color w:val="000000"/>
          <w:sz w:val="32"/>
          <w:szCs w:val="32"/>
        </w:rPr>
        <w:t>。</w:t>
      </w:r>
    </w:p>
    <w:p>
      <w:pPr>
        <w:spacing w:line="600" w:lineRule="exact"/>
        <w:ind w:firstLine="640" w:firstLineChars="200"/>
        <w:rPr>
          <w:rFonts w:ascii="Times New Roman" w:hAnsi="Times New Roman" w:eastAsia="仿宋_GB2312"/>
          <w:color w:val="000000"/>
          <w:sz w:val="32"/>
          <w:szCs w:val="32"/>
        </w:rPr>
      </w:pPr>
      <w:r>
        <w:rPr>
          <w:rStyle w:val="12"/>
          <w:rFonts w:ascii="Times New Roman" w:hAnsi="Times New Roman" w:eastAsia="仿宋_GB2312"/>
          <w:b w:val="0"/>
          <w:color w:val="000000"/>
          <w:sz w:val="32"/>
          <w:szCs w:val="32"/>
        </w:rPr>
        <w:t>2.文化旅游体育与传媒: 支出决算为</w:t>
      </w:r>
      <w:r>
        <w:rPr>
          <w:rFonts w:hint="eastAsia" w:ascii="Times New Roman" w:hAnsi="Times New Roman" w:eastAsia="仿宋_GB2312"/>
          <w:color w:val="000000"/>
          <w:sz w:val="32"/>
          <w:szCs w:val="32"/>
          <w:lang w:val="en-US" w:eastAsia="zh-CN"/>
        </w:rPr>
        <w:t>4.1</w:t>
      </w:r>
      <w:r>
        <w:rPr>
          <w:rStyle w:val="12"/>
          <w:rFonts w:ascii="Times New Roman" w:hAnsi="Times New Roman" w:eastAsia="仿宋_GB2312"/>
          <w:b w:val="0"/>
          <w:color w:val="000000"/>
          <w:sz w:val="32"/>
          <w:szCs w:val="32"/>
        </w:rPr>
        <w:t>万元，完成预算100%。</w:t>
      </w:r>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3.社会保障和就业: 支出决算为</w:t>
      </w:r>
      <w:r>
        <w:rPr>
          <w:rFonts w:hint="eastAsia" w:ascii="Times New Roman" w:hAnsi="Times New Roman" w:eastAsia="仿宋_GB2312"/>
          <w:color w:val="000000"/>
          <w:sz w:val="32"/>
          <w:szCs w:val="32"/>
          <w:lang w:val="en-US" w:eastAsia="zh-CN"/>
        </w:rPr>
        <w:t>22.7</w:t>
      </w:r>
      <w:r>
        <w:rPr>
          <w:rFonts w:ascii="Times New Roman" w:hAnsi="Times New Roman" w:eastAsia="仿宋_GB2312"/>
          <w:color w:val="000000"/>
          <w:sz w:val="32"/>
          <w:szCs w:val="32"/>
        </w:rPr>
        <w:t>7</w:t>
      </w:r>
      <w:r>
        <w:rPr>
          <w:rStyle w:val="12"/>
          <w:rFonts w:ascii="Times New Roman" w:hAnsi="Times New Roman" w:eastAsia="仿宋_GB2312"/>
          <w:b w:val="0"/>
          <w:color w:val="000000"/>
          <w:sz w:val="32"/>
          <w:szCs w:val="32"/>
        </w:rPr>
        <w:t>万元，完成预算100%。</w:t>
      </w:r>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4.</w:t>
      </w:r>
      <w:r>
        <w:rPr>
          <w:rFonts w:ascii="Times New Roman" w:hAnsi="Times New Roman" w:eastAsia="仿宋_GB2312"/>
          <w:color w:val="000000"/>
          <w:sz w:val="32"/>
          <w:szCs w:val="32"/>
        </w:rPr>
        <w:t>卫生健康</w:t>
      </w:r>
      <w:r>
        <w:rPr>
          <w:rStyle w:val="12"/>
          <w:rFonts w:ascii="Times New Roman" w:hAnsi="Times New Roman" w:eastAsia="仿宋_GB2312"/>
          <w:b w:val="0"/>
          <w:color w:val="000000"/>
          <w:sz w:val="32"/>
          <w:szCs w:val="32"/>
        </w:rPr>
        <w:t>支出决算为</w:t>
      </w:r>
      <w:r>
        <w:rPr>
          <w:rFonts w:hint="eastAsia" w:ascii="Times New Roman" w:hAnsi="Times New Roman" w:eastAsia="仿宋_GB2312"/>
          <w:color w:val="000000"/>
          <w:sz w:val="32"/>
          <w:szCs w:val="32"/>
          <w:lang w:val="en-US" w:eastAsia="zh-CN"/>
        </w:rPr>
        <w:t>14.12</w:t>
      </w:r>
      <w:r>
        <w:rPr>
          <w:rStyle w:val="12"/>
          <w:rFonts w:ascii="Times New Roman" w:hAnsi="Times New Roman" w:eastAsia="仿宋_GB2312"/>
          <w:b w:val="0"/>
          <w:color w:val="000000"/>
          <w:sz w:val="32"/>
          <w:szCs w:val="32"/>
        </w:rPr>
        <w:t>万元，完成预算100%。</w:t>
      </w:r>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5.城乡社区支出：支出决算为</w:t>
      </w:r>
      <w:r>
        <w:rPr>
          <w:rFonts w:hint="eastAsia" w:ascii="Times New Roman" w:hAnsi="Times New Roman" w:eastAsia="仿宋_GB2312"/>
          <w:color w:val="000000"/>
          <w:sz w:val="32"/>
          <w:szCs w:val="32"/>
          <w:lang w:val="en-US" w:eastAsia="zh-CN"/>
        </w:rPr>
        <w:t>0.84</w:t>
      </w:r>
      <w:r>
        <w:rPr>
          <w:rStyle w:val="12"/>
          <w:rFonts w:ascii="Times New Roman" w:hAnsi="Times New Roman" w:eastAsia="仿宋_GB2312"/>
          <w:b w:val="0"/>
          <w:color w:val="000000"/>
          <w:sz w:val="32"/>
          <w:szCs w:val="32"/>
        </w:rPr>
        <w:t>万元，完成预算100%。</w:t>
      </w:r>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6.住房保障支出：支出决算为</w:t>
      </w:r>
      <w:r>
        <w:rPr>
          <w:rFonts w:hint="eastAsia" w:ascii="Times New Roman" w:hAnsi="Times New Roman" w:eastAsia="仿宋_GB2312"/>
          <w:color w:val="000000"/>
          <w:sz w:val="32"/>
          <w:szCs w:val="32"/>
          <w:lang w:val="en-US" w:eastAsia="zh-CN"/>
        </w:rPr>
        <w:t>21.54</w:t>
      </w:r>
      <w:r>
        <w:rPr>
          <w:rStyle w:val="12"/>
          <w:rFonts w:ascii="Times New Roman" w:hAnsi="Times New Roman" w:eastAsia="仿宋_GB2312"/>
          <w:b w:val="0"/>
          <w:color w:val="000000"/>
          <w:sz w:val="32"/>
          <w:szCs w:val="32"/>
        </w:rPr>
        <w:t>万元，完成预算100%。</w:t>
      </w:r>
    </w:p>
    <w:p>
      <w:pPr>
        <w:spacing w:line="600" w:lineRule="exact"/>
        <w:ind w:firstLine="640" w:firstLineChars="200"/>
        <w:rPr>
          <w:rFonts w:ascii="Times New Roman" w:hAnsi="Times New Roman" w:eastAsia="仿宋_GB2312"/>
          <w:color w:val="000000"/>
          <w:sz w:val="32"/>
          <w:szCs w:val="32"/>
        </w:rPr>
      </w:pPr>
      <w:r>
        <w:rPr>
          <w:rStyle w:val="12"/>
          <w:rFonts w:ascii="Times New Roman" w:hAnsi="Times New Roman" w:eastAsia="仿宋_GB2312"/>
          <w:b w:val="0"/>
          <w:color w:val="000000"/>
          <w:sz w:val="32"/>
          <w:szCs w:val="32"/>
        </w:rPr>
        <w:t>7.农林水支出：支出决算为</w:t>
      </w:r>
      <w:r>
        <w:rPr>
          <w:rStyle w:val="12"/>
          <w:rFonts w:hint="eastAsia" w:ascii="Times New Roman" w:hAnsi="Times New Roman" w:eastAsia="仿宋_GB2312"/>
          <w:b w:val="0"/>
          <w:color w:val="000000"/>
          <w:sz w:val="32"/>
          <w:szCs w:val="32"/>
          <w:lang w:val="en-US" w:eastAsia="zh-CN"/>
        </w:rPr>
        <w:t>3</w:t>
      </w:r>
      <w:r>
        <w:rPr>
          <w:rStyle w:val="12"/>
          <w:rFonts w:ascii="Times New Roman" w:hAnsi="Times New Roman" w:eastAsia="仿宋_GB2312"/>
          <w:b w:val="0"/>
          <w:color w:val="000000"/>
          <w:sz w:val="32"/>
          <w:szCs w:val="32"/>
        </w:rPr>
        <w:t>万元，完成预算100%。</w:t>
      </w:r>
    </w:p>
    <w:p>
      <w:pPr>
        <w:spacing w:line="600" w:lineRule="exact"/>
        <w:ind w:firstLine="640"/>
        <w:rPr>
          <w:rFonts w:ascii="Times New Roman" w:hAnsi="Times New Roman" w:eastAsia="仿宋_GB2312"/>
          <w:color w:val="000000"/>
          <w:sz w:val="32"/>
          <w:szCs w:val="32"/>
        </w:rPr>
      </w:pPr>
    </w:p>
    <w:p>
      <w:pPr>
        <w:tabs>
          <w:tab w:val="right" w:pos="8306"/>
        </w:tabs>
        <w:spacing w:line="600" w:lineRule="exact"/>
        <w:ind w:firstLine="640"/>
        <w:outlineLvl w:val="1"/>
        <w:rPr>
          <w:rStyle w:val="17"/>
          <w:rFonts w:ascii="Times New Roman" w:hAnsi="Times New Roman"/>
          <w:b w:val="0"/>
          <w:bCs w:val="0"/>
        </w:rPr>
      </w:pPr>
      <w:bookmarkStart w:id="38" w:name="_Toc15377214"/>
      <w:bookmarkStart w:id="39" w:name="_Toc15396608"/>
      <w:r>
        <w:rPr>
          <w:rFonts w:ascii="Times New Roman" w:hAnsi="Times New Roman" w:eastAsia="黑体"/>
          <w:color w:val="000000"/>
          <w:sz w:val="32"/>
          <w:szCs w:val="32"/>
        </w:rPr>
        <w:t>六、一</w:t>
      </w:r>
      <w:r>
        <w:rPr>
          <w:rStyle w:val="17"/>
          <w:rFonts w:ascii="Times New Roman" w:hAnsi="Times New Roman" w:eastAsia="黑体"/>
          <w:b w:val="0"/>
          <w:bCs w:val="0"/>
        </w:rPr>
        <w:t>般公共预算财政拨款基本支出决算情况说明</w:t>
      </w:r>
      <w:bookmarkEnd w:id="38"/>
      <w:bookmarkEnd w:id="39"/>
      <w:r>
        <w:rPr>
          <w:rStyle w:val="17"/>
          <w:rFonts w:ascii="Times New Roman" w:hAnsi="Times New Roman" w:eastAsia="黑体"/>
          <w:b w:val="0"/>
          <w:bCs w:val="0"/>
        </w:rPr>
        <w:tab/>
      </w:r>
    </w:p>
    <w:p>
      <w:pPr>
        <w:spacing w:line="600" w:lineRule="exact"/>
        <w:ind w:firstLine="645"/>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年一般公共预算财政拨款基本支出</w:t>
      </w:r>
      <w:r>
        <w:rPr>
          <w:rFonts w:hint="eastAsia" w:ascii="Times New Roman" w:hAnsi="Times New Roman" w:eastAsia="仿宋_GB2312"/>
          <w:color w:val="000000"/>
          <w:sz w:val="32"/>
          <w:szCs w:val="32"/>
          <w:lang w:val="en-US" w:eastAsia="zh-CN"/>
        </w:rPr>
        <w:t>416.72</w:t>
      </w:r>
      <w:r>
        <w:rPr>
          <w:rFonts w:ascii="Times New Roman" w:hAnsi="Times New Roman" w:eastAsia="仿宋_GB2312"/>
          <w:color w:val="000000"/>
          <w:sz w:val="32"/>
          <w:szCs w:val="32"/>
        </w:rPr>
        <w:t>万元，其中：</w:t>
      </w:r>
    </w:p>
    <w:p>
      <w:pPr>
        <w:spacing w:line="600" w:lineRule="exact"/>
        <w:ind w:firstLine="645"/>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人员经费399.</w:t>
      </w:r>
      <w:r>
        <w:rPr>
          <w:rFonts w:hint="eastAsia" w:ascii="Times New Roman" w:hAnsi="Times New Roman" w:eastAsia="仿宋_GB2312"/>
          <w:color w:val="000000"/>
          <w:sz w:val="32"/>
          <w:szCs w:val="32"/>
          <w:lang w:val="en-US" w:eastAsia="zh-CN"/>
        </w:rPr>
        <w:t>42</w:t>
      </w:r>
      <w:r>
        <w:rPr>
          <w:rFonts w:ascii="Times New Roman" w:hAnsi="Times New Roman"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Times New Roman" w:hAnsi="Times New Roman" w:eastAsia="仿宋"/>
          <w:color w:val="000000"/>
          <w:sz w:val="32"/>
          <w:szCs w:val="32"/>
        </w:rPr>
      </w:pPr>
      <w:r>
        <w:rPr>
          <w:rFonts w:ascii="Times New Roman" w:hAnsi="Times New Roman" w:eastAsia="仿宋_GB2312"/>
          <w:color w:val="000000"/>
          <w:sz w:val="32"/>
          <w:szCs w:val="32"/>
        </w:rPr>
        <w:t>　　日常公用经费</w:t>
      </w:r>
      <w:r>
        <w:rPr>
          <w:rFonts w:hint="eastAsia" w:ascii="Times New Roman" w:hAnsi="Times New Roman" w:eastAsia="仿宋_GB2312"/>
          <w:color w:val="000000"/>
          <w:sz w:val="32"/>
          <w:szCs w:val="32"/>
          <w:lang w:val="en-US" w:eastAsia="zh-CN"/>
        </w:rPr>
        <w:t>17.32</w:t>
      </w:r>
      <w:r>
        <w:rPr>
          <w:rFonts w:ascii="Times New Roman" w:hAnsi="Times New Roman" w:eastAsia="仿宋_GB2312"/>
          <w:color w:val="000000"/>
          <w:sz w:val="32"/>
          <w:szCs w:val="32"/>
        </w:rPr>
        <w:t>万元，主要包括：办公费、印刷费、咨询费、手续费、水费、电费、邮电费、取暖费、物业管理费、差旅费、维修（护）费、租赁费、会议费、培训费、劳务费、委托业务费、工会经费、福利费、公务用车运行维护费、其他交通费、税金及附加费用、其他商品和服务支出、办公设备购置、专用设备购置、信息网络及软件购置更新、其他资本性支出等</w:t>
      </w:r>
      <w:r>
        <w:rPr>
          <w:rFonts w:ascii="Times New Roman" w:hAnsi="Times New Roman" w:eastAsia="仿宋"/>
          <w:color w:val="000000"/>
          <w:sz w:val="32"/>
          <w:szCs w:val="32"/>
        </w:rPr>
        <w:t>。</w:t>
      </w:r>
    </w:p>
    <w:p>
      <w:pPr>
        <w:spacing w:line="600" w:lineRule="exact"/>
        <w:ind w:firstLine="640"/>
        <w:outlineLvl w:val="1"/>
        <w:rPr>
          <w:rStyle w:val="17"/>
          <w:rFonts w:ascii="Times New Roman" w:hAnsi="Times New Roman" w:eastAsia="黑体"/>
          <w:b w:val="0"/>
          <w:bCs w:val="0"/>
        </w:rPr>
      </w:pPr>
      <w:bookmarkStart w:id="40" w:name="_Toc15377215"/>
      <w:bookmarkStart w:id="41" w:name="_Toc15396609"/>
      <w:r>
        <w:rPr>
          <w:rFonts w:ascii="Times New Roman" w:hAnsi="Times New Roman" w:eastAsia="黑体"/>
          <w:color w:val="000000"/>
          <w:sz w:val="32"/>
          <w:szCs w:val="32"/>
        </w:rPr>
        <w:t>七、</w:t>
      </w:r>
      <w:r>
        <w:rPr>
          <w:rStyle w:val="17"/>
          <w:rFonts w:ascii="Times New Roman" w:hAnsi="Times New Roman" w:eastAsia="黑体"/>
          <w:b w:val="0"/>
          <w:bCs w:val="0"/>
        </w:rPr>
        <w:t>“三公”经费财政拨款支出决算情况说明</w:t>
      </w:r>
      <w:bookmarkEnd w:id="40"/>
      <w:bookmarkEnd w:id="41"/>
    </w:p>
    <w:p>
      <w:pPr>
        <w:spacing w:line="600" w:lineRule="exact"/>
        <w:ind w:firstLine="640"/>
        <w:outlineLvl w:val="2"/>
        <w:rPr>
          <w:rFonts w:ascii="Times New Roman" w:hAnsi="Times New Roman" w:eastAsia="楷体_GB2312"/>
          <w:color w:val="000000"/>
          <w:sz w:val="32"/>
          <w:szCs w:val="32"/>
        </w:rPr>
      </w:pPr>
      <w:bookmarkStart w:id="42" w:name="_Toc15377216"/>
      <w:r>
        <w:rPr>
          <w:rFonts w:ascii="Times New Roman" w:hAnsi="Times New Roman" w:eastAsia="楷体_GB2312"/>
          <w:color w:val="000000"/>
          <w:sz w:val="32"/>
          <w:szCs w:val="32"/>
        </w:rPr>
        <w:t>（一）“三公”经费财政拨款支出决算总体情况说明</w:t>
      </w:r>
      <w:bookmarkEnd w:id="42"/>
    </w:p>
    <w:p>
      <w:pPr>
        <w:spacing w:line="600" w:lineRule="exact"/>
        <w:ind w:firstLine="640"/>
        <w:rPr>
          <w:rFonts w:ascii="Times New Roman" w:hAnsi="Times New Roman" w:eastAsia="仿宋"/>
          <w:color w:val="FF0000"/>
          <w:sz w:val="32"/>
          <w:szCs w:val="32"/>
        </w:rPr>
      </w:pPr>
      <w:r>
        <w:rPr>
          <w:rFonts w:hint="eastAsia" w:ascii="Times New Roman" w:hAnsi="Times New Roman" w:eastAsia="仿宋"/>
          <w:color w:val="000000"/>
          <w:sz w:val="32"/>
          <w:szCs w:val="32"/>
          <w:lang w:val="en-US" w:eastAsia="zh-CN"/>
        </w:rPr>
        <w:t>2020</w:t>
      </w:r>
      <w:r>
        <w:rPr>
          <w:rFonts w:ascii="Times New Roman" w:hAnsi="Times New Roman" w:eastAsia="仿宋"/>
          <w:color w:val="000000"/>
          <w:sz w:val="32"/>
          <w:szCs w:val="32"/>
        </w:rPr>
        <w:t>年“三公”经费财政拨款支出决算为2.5万元，完成预算100%，决算数与预算数持平。</w:t>
      </w:r>
    </w:p>
    <w:p>
      <w:pPr>
        <w:spacing w:line="600" w:lineRule="exact"/>
        <w:ind w:firstLine="640"/>
        <w:outlineLvl w:val="2"/>
        <w:rPr>
          <w:rFonts w:ascii="Times New Roman" w:hAnsi="Times New Roman" w:eastAsia="楷体_GB2312"/>
          <w:color w:val="000000"/>
          <w:sz w:val="32"/>
          <w:szCs w:val="32"/>
        </w:rPr>
      </w:pPr>
      <w:bookmarkStart w:id="43" w:name="_Toc15377217"/>
      <w:r>
        <w:rPr>
          <w:rFonts w:ascii="Times New Roman" w:hAnsi="Times New Roman" w:eastAsia="楷体_GB2312"/>
          <w:color w:val="000000"/>
          <w:sz w:val="32"/>
          <w:szCs w:val="32"/>
        </w:rPr>
        <w:t>（二）“三公”经费财政拨款支出决算具体情况说明</w:t>
      </w:r>
      <w:bookmarkEnd w:id="43"/>
    </w:p>
    <w:p>
      <w:pPr>
        <w:spacing w:line="600" w:lineRule="exact"/>
        <w:ind w:firstLine="640"/>
        <w:rPr>
          <w:rFonts w:ascii="Times New Roman" w:hAnsi="Times New Roman" w:eastAsia="仿宋"/>
          <w:color w:val="000000"/>
          <w:sz w:val="32"/>
          <w:szCs w:val="32"/>
        </w:rPr>
      </w:pPr>
      <w:r>
        <w:rPr>
          <w:rFonts w:ascii="Times New Roman" w:hAnsi="Times New Roman" w:eastAsia="仿宋"/>
          <w:color w:val="000000"/>
          <w:sz w:val="32"/>
          <w:szCs w:val="32"/>
        </w:rPr>
        <w:t>20</w:t>
      </w:r>
      <w:r>
        <w:rPr>
          <w:rFonts w:hint="eastAsia" w:ascii="Times New Roman" w:hAnsi="Times New Roman" w:eastAsia="仿宋"/>
          <w:color w:val="000000"/>
          <w:sz w:val="32"/>
          <w:szCs w:val="32"/>
          <w:lang w:val="en-US" w:eastAsia="zh-CN"/>
        </w:rPr>
        <w:t>20</w:t>
      </w:r>
      <w:r>
        <w:rPr>
          <w:rFonts w:ascii="Times New Roman" w:hAnsi="Times New Roman" w:eastAsia="仿宋"/>
          <w:color w:val="000000"/>
          <w:sz w:val="32"/>
          <w:szCs w:val="32"/>
        </w:rPr>
        <w:t>年“三公”经费财政拨款支出决算中，公务用车购置及运行维护费支出决算2.5万元，占100%；具体情况如下：</w:t>
      </w:r>
    </w:p>
    <w:p>
      <w:pPr>
        <w:pStyle w:val="5"/>
        <w:rPr>
          <w:rStyle w:val="13"/>
          <w:rFonts w:ascii="Times New Roman" w:hAnsi="Times New Roman"/>
        </w:rPr>
      </w:pPr>
      <w:r>
        <w:rPr>
          <w:rStyle w:val="13"/>
        </w:rPr>
        <w:pict>
          <v:shape id="图片 4" o:spid="_x0000_s1027" o:spt="75" type="#_x0000_t75" style="position:absolute;left:0pt;margin-left:116.55pt;margin-top:13.95pt;height:124.5pt;width:219pt;mso-wrap-distance-bottom:0pt;mso-wrap-distance-top:0pt;z-index:251659264;mso-width-relative:page;mso-height-relative:page;" o:ole="t" filled="f" o:preferrelative="t" stroked="f" coordsize="21600,21600" o:gfxdata="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">
            <v:path/>
            <v:fill on="f" focussize="0,0"/>
            <v:stroke on="f" joinstyle="miter"/>
            <v:imagedata r:id="rId13" o:title=""/>
            <o:lock v:ext="edit" aspectratio="t"/>
            <w10:wrap type="topAndBottom"/>
          </v:shape>
          <o:OLEObject Type="Embed" ProgID="" ShapeID="图片 4" DrawAspect="Content" ObjectID="_1468075725" r:id="rId12">
            <o:LockedField>false</o:LockedField>
          </o:OLEObject>
        </w:pict>
      </w:r>
    </w:p>
    <w:p>
      <w:pPr>
        <w:pStyle w:val="5"/>
        <w:jc w:val="center"/>
        <w:rPr>
          <w:rFonts w:ascii="Times New Roman" w:hAnsi="Times New Roman"/>
        </w:rPr>
      </w:pPr>
      <w:r>
        <w:rPr>
          <w:rFonts w:ascii="Times New Roman" w:hAnsi="Times New Roman" w:eastAsia="仿宋"/>
          <w:color w:val="000000"/>
          <w:sz w:val="32"/>
          <w:szCs w:val="32"/>
        </w:rPr>
        <w:t>图7：“三公”经费财政拨款支出结构</w:t>
      </w:r>
    </w:p>
    <w:p>
      <w:pPr>
        <w:spacing w:line="600" w:lineRule="exact"/>
        <w:ind w:firstLine="640"/>
        <w:rPr>
          <w:rFonts w:hint="eastAsia"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公务用车购置及运行维护费支出2.5万元,</w:t>
      </w:r>
      <w:r>
        <w:rPr>
          <w:rStyle w:val="12"/>
          <w:rFonts w:ascii="Times New Roman" w:hAnsi="Times New Roman" w:eastAsia="仿宋"/>
          <w:b w:val="0"/>
          <w:color w:val="000000"/>
          <w:sz w:val="32"/>
          <w:szCs w:val="32"/>
        </w:rPr>
        <w:t>完成预算100%。</w:t>
      </w:r>
      <w:r>
        <w:rPr>
          <w:rFonts w:ascii="Times New Roman" w:hAnsi="Times New Roman" w:eastAsia="仿宋_GB2312"/>
          <w:color w:val="000000"/>
          <w:sz w:val="32"/>
          <w:szCs w:val="32"/>
        </w:rPr>
        <w:t>公务用车购置及运行维护费支出决算</w:t>
      </w:r>
      <w:r>
        <w:rPr>
          <w:rFonts w:hint="eastAsia" w:ascii="Times New Roman" w:hAnsi="Times New Roman" w:eastAsia="仿宋_GB2312"/>
          <w:color w:val="000000"/>
          <w:sz w:val="32"/>
          <w:szCs w:val="32"/>
          <w:lang w:val="en-US" w:eastAsia="zh-CN"/>
        </w:rPr>
        <w:t>与</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19</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持平</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截至20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年12月底，单位共有公务用车1辆。</w:t>
      </w:r>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公务用车运行维护费支出2.5万元。主要用于所需的公务用车燃料费、维修费、过路过桥费、保险费等支出。</w:t>
      </w:r>
    </w:p>
    <w:p>
      <w:pPr>
        <w:spacing w:line="600" w:lineRule="exact"/>
        <w:ind w:firstLine="640"/>
        <w:outlineLvl w:val="1"/>
        <w:rPr>
          <w:rFonts w:ascii="Times New Roman" w:hAnsi="Times New Roman" w:eastAsia="黑体"/>
          <w:color w:val="000000"/>
          <w:sz w:val="32"/>
          <w:szCs w:val="32"/>
        </w:rPr>
      </w:pPr>
      <w:bookmarkStart w:id="44" w:name="_Toc15377218"/>
      <w:bookmarkStart w:id="45" w:name="_Toc15396610"/>
    </w:p>
    <w:p>
      <w:pPr>
        <w:spacing w:line="600" w:lineRule="exact"/>
        <w:ind w:firstLine="640"/>
        <w:outlineLvl w:val="1"/>
        <w:rPr>
          <w:rStyle w:val="17"/>
          <w:rFonts w:ascii="Times New Roman" w:hAnsi="Times New Roman" w:eastAsia="黑体"/>
          <w:b w:val="0"/>
          <w:bCs w:val="0"/>
        </w:rPr>
      </w:pPr>
      <w:r>
        <w:rPr>
          <w:rFonts w:ascii="Times New Roman" w:hAnsi="Times New Roman" w:eastAsia="黑体"/>
          <w:color w:val="000000"/>
          <w:sz w:val="32"/>
          <w:szCs w:val="32"/>
        </w:rPr>
        <w:t>八、</w:t>
      </w:r>
      <w:r>
        <w:rPr>
          <w:rStyle w:val="17"/>
          <w:rFonts w:ascii="Times New Roman" w:hAnsi="Times New Roman" w:eastAsia="黑体"/>
          <w:b w:val="0"/>
          <w:bCs w:val="0"/>
        </w:rPr>
        <w:t>政府性基金预算支出决算情况说明</w:t>
      </w:r>
      <w:bookmarkEnd w:id="44"/>
      <w:bookmarkEnd w:id="45"/>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年政府性基金预算拨款支出</w:t>
      </w:r>
      <w:r>
        <w:rPr>
          <w:rFonts w:hint="eastAsia" w:ascii="Times New Roman" w:hAnsi="Times New Roman" w:eastAsia="仿宋_GB2312"/>
          <w:color w:val="000000"/>
          <w:sz w:val="32"/>
          <w:szCs w:val="32"/>
        </w:rPr>
        <w:t>6.</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万元。</w:t>
      </w:r>
    </w:p>
    <w:p>
      <w:pPr>
        <w:spacing w:line="600" w:lineRule="exact"/>
        <w:ind w:firstLine="640"/>
        <w:rPr>
          <w:rFonts w:ascii="Times New Roman" w:hAnsi="Times New Roman" w:eastAsia="仿宋_GB2312"/>
          <w:color w:val="000000"/>
          <w:sz w:val="32"/>
          <w:szCs w:val="32"/>
        </w:rPr>
      </w:pPr>
    </w:p>
    <w:p>
      <w:pPr>
        <w:numPr>
          <w:ilvl w:val="0"/>
          <w:numId w:val="2"/>
        </w:numPr>
        <w:spacing w:line="600" w:lineRule="exact"/>
        <w:ind w:firstLine="640"/>
        <w:outlineLvl w:val="1"/>
        <w:rPr>
          <w:rStyle w:val="17"/>
          <w:rFonts w:ascii="Times New Roman" w:hAnsi="Times New Roman" w:eastAsia="黑体"/>
          <w:b w:val="0"/>
          <w:bCs w:val="0"/>
        </w:rPr>
      </w:pPr>
      <w:bookmarkStart w:id="46" w:name="_Toc15396611"/>
      <w:bookmarkStart w:id="47" w:name="_Toc15377219"/>
      <w:r>
        <w:rPr>
          <w:rStyle w:val="17"/>
          <w:rFonts w:ascii="Times New Roman" w:hAnsi="Times New Roman" w:eastAsia="黑体"/>
          <w:b w:val="0"/>
          <w:bCs w:val="0"/>
        </w:rPr>
        <w:t>国有资本经营预算支出决算情况说明</w:t>
      </w:r>
      <w:bookmarkEnd w:id="46"/>
      <w:bookmarkEnd w:id="47"/>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年无国有资本经营预算拨款支出。</w:t>
      </w:r>
    </w:p>
    <w:p>
      <w:pPr>
        <w:spacing w:line="580" w:lineRule="exact"/>
        <w:jc w:val="center"/>
        <w:rPr>
          <w:rFonts w:ascii="Times New Roman" w:hAnsi="Times New Roman" w:eastAsia="方正小标宋简体"/>
          <w:sz w:val="44"/>
          <w:szCs w:val="44"/>
        </w:rPr>
      </w:pPr>
    </w:p>
    <w:p>
      <w:pPr>
        <w:spacing w:line="600" w:lineRule="exact"/>
        <w:ind w:firstLine="800" w:firstLineChars="250"/>
        <w:outlineLvl w:val="1"/>
        <w:rPr>
          <w:rStyle w:val="17"/>
          <w:rFonts w:ascii="Times New Roman" w:hAnsi="Times New Roman" w:eastAsia="黑体"/>
          <w:b w:val="0"/>
          <w:bCs w:val="0"/>
        </w:rPr>
      </w:pPr>
      <w:bookmarkStart w:id="48" w:name="_Toc15377221"/>
      <w:bookmarkStart w:id="49" w:name="_Toc15396612"/>
      <w:r>
        <w:rPr>
          <w:rFonts w:ascii="Times New Roman" w:hAnsi="Times New Roman" w:eastAsia="黑体"/>
          <w:color w:val="000000"/>
          <w:sz w:val="32"/>
          <w:szCs w:val="32"/>
        </w:rPr>
        <w:t>十</w:t>
      </w:r>
      <w:r>
        <w:rPr>
          <w:rStyle w:val="17"/>
          <w:rFonts w:ascii="Times New Roman" w:hAnsi="Times New Roman" w:eastAsia="黑体"/>
          <w:b w:val="0"/>
          <w:bCs w:val="0"/>
        </w:rPr>
        <w:t>、其他重要事项的情况说明</w:t>
      </w:r>
      <w:bookmarkEnd w:id="48"/>
      <w:bookmarkEnd w:id="49"/>
    </w:p>
    <w:p>
      <w:pPr>
        <w:spacing w:line="600" w:lineRule="exact"/>
        <w:ind w:firstLine="640" w:firstLineChars="200"/>
        <w:outlineLvl w:val="2"/>
        <w:rPr>
          <w:rFonts w:ascii="Times New Roman" w:hAnsi="Times New Roman" w:eastAsia="楷体_GB2312"/>
          <w:color w:val="000000"/>
          <w:sz w:val="32"/>
          <w:szCs w:val="32"/>
        </w:rPr>
      </w:pPr>
      <w:bookmarkStart w:id="50" w:name="_Toc15377222"/>
      <w:r>
        <w:rPr>
          <w:rFonts w:ascii="Times New Roman" w:hAnsi="Times New Roman" w:eastAsia="楷体_GB2312"/>
          <w:color w:val="000000"/>
          <w:sz w:val="32"/>
          <w:szCs w:val="32"/>
        </w:rPr>
        <w:t>（一）机关运行经费支出情况</w:t>
      </w:r>
      <w:bookmarkEnd w:id="50"/>
    </w:p>
    <w:p>
      <w:pPr>
        <w:spacing w:line="600" w:lineRule="exact"/>
        <w:ind w:firstLine="640" w:firstLineChars="200"/>
        <w:rPr>
          <w:rFonts w:ascii="Times New Roman" w:hAnsi="Times New Roman" w:eastAsia="仿宋"/>
          <w:color w:val="FF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年，大宝鼎街道办事处机关运行经费支出</w:t>
      </w:r>
      <w:r>
        <w:rPr>
          <w:rFonts w:hint="eastAsia" w:ascii="Times New Roman" w:hAnsi="Times New Roman" w:eastAsia="仿宋_GB2312"/>
          <w:color w:val="000000"/>
          <w:sz w:val="32"/>
          <w:szCs w:val="32"/>
          <w:lang w:val="en-US" w:eastAsia="zh-CN"/>
        </w:rPr>
        <w:t>17.32</w:t>
      </w:r>
      <w:r>
        <w:rPr>
          <w:rFonts w:ascii="Times New Roman" w:hAnsi="Times New Roman" w:eastAsia="仿宋_GB2312"/>
          <w:color w:val="000000"/>
          <w:sz w:val="32"/>
          <w:szCs w:val="32"/>
        </w:rPr>
        <w:t>万元。</w:t>
      </w:r>
    </w:p>
    <w:p>
      <w:pPr>
        <w:autoSpaceDE w:val="0"/>
        <w:autoSpaceDN w:val="0"/>
        <w:adjustRightInd w:val="0"/>
        <w:spacing w:line="600" w:lineRule="exact"/>
        <w:ind w:firstLine="640" w:firstLineChars="200"/>
        <w:jc w:val="left"/>
        <w:outlineLvl w:val="2"/>
        <w:rPr>
          <w:rFonts w:ascii="Times New Roman" w:hAnsi="Times New Roman" w:eastAsia="楷体_GB2312"/>
          <w:color w:val="000000"/>
          <w:sz w:val="32"/>
          <w:szCs w:val="32"/>
        </w:rPr>
      </w:pPr>
      <w:bookmarkStart w:id="51" w:name="_Toc15377223"/>
      <w:r>
        <w:rPr>
          <w:rFonts w:ascii="Times New Roman" w:hAnsi="Times New Roman" w:eastAsia="楷体_GB2312"/>
          <w:color w:val="000000"/>
          <w:sz w:val="32"/>
          <w:szCs w:val="32"/>
        </w:rPr>
        <w:t>（二）政府采购支出情况</w:t>
      </w:r>
      <w:bookmarkEnd w:id="51"/>
    </w:p>
    <w:p>
      <w:pPr>
        <w:spacing w:line="600" w:lineRule="exact"/>
        <w:ind w:firstLine="640" w:firstLineChars="200"/>
        <w:rPr>
          <w:rFonts w:hint="default" w:ascii="Times New Roman" w:hAnsi="Times New Roman" w:eastAsia="仿宋" w:cs="Times New Roman"/>
          <w:b/>
          <w:color w:val="FF0000"/>
          <w:sz w:val="32"/>
          <w:szCs w:val="32"/>
        </w:rPr>
      </w:pPr>
      <w:bookmarkStart w:id="52" w:name="_Toc15377224"/>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年，政府采购支出总额</w:t>
      </w:r>
      <w:r>
        <w:rPr>
          <w:rFonts w:hint="default" w:ascii="Times New Roman" w:hAnsi="Times New Roman" w:eastAsia="仿宋_GB2312" w:cs="Times New Roman"/>
          <w:color w:val="000000"/>
          <w:sz w:val="32"/>
          <w:szCs w:val="32"/>
          <w:lang w:val="en-US" w:eastAsia="zh-CN"/>
        </w:rPr>
        <w:t>9.1</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9.1</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autoSpaceDE w:val="0"/>
        <w:autoSpaceDN w:val="0"/>
        <w:adjustRightInd w:val="0"/>
        <w:spacing w:line="600" w:lineRule="exact"/>
        <w:ind w:firstLine="640" w:firstLineChars="200"/>
        <w:jc w:val="left"/>
        <w:outlineLvl w:val="2"/>
        <w:rPr>
          <w:rFonts w:ascii="Times New Roman" w:hAnsi="Times New Roman" w:eastAsia="楷体_GB2312"/>
          <w:color w:val="000000"/>
          <w:sz w:val="32"/>
          <w:szCs w:val="32"/>
        </w:rPr>
      </w:pPr>
      <w:r>
        <w:rPr>
          <w:rFonts w:ascii="Times New Roman" w:hAnsi="Times New Roman" w:eastAsia="楷体_GB2312"/>
          <w:color w:val="000000"/>
          <w:sz w:val="32"/>
          <w:szCs w:val="32"/>
        </w:rPr>
        <w:t>（三）国有资产占有使用情况</w:t>
      </w:r>
      <w:bookmarkEnd w:id="52"/>
    </w:p>
    <w:p>
      <w:pPr>
        <w:ind w:firstLine="640" w:firstLineChars="200"/>
        <w:rPr>
          <w:rFonts w:ascii="Times New Roman" w:hAnsi="Times New Roman" w:eastAsia="仿宋_GB2312"/>
          <w:sz w:val="32"/>
          <w:szCs w:val="32"/>
        </w:rPr>
      </w:pPr>
      <w:r>
        <w:rPr>
          <w:rFonts w:ascii="Times New Roman" w:hAnsi="Times New Roman" w:eastAsia="仿宋_GB2312"/>
          <w:sz w:val="32"/>
          <w:szCs w:val="32"/>
        </w:rPr>
        <w:t>截至20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年12月31日，</w:t>
      </w:r>
      <w:r>
        <w:rPr>
          <w:rFonts w:hint="eastAsia" w:ascii="Times New Roman" w:hAnsi="Times New Roman" w:eastAsia="仿宋_GB2312"/>
          <w:sz w:val="32"/>
          <w:szCs w:val="32"/>
        </w:rPr>
        <w:t>大宝鼎</w:t>
      </w:r>
      <w:r>
        <w:rPr>
          <w:rFonts w:ascii="Times New Roman" w:hAnsi="Times New Roman" w:eastAsia="仿宋_GB2312"/>
          <w:sz w:val="32"/>
          <w:szCs w:val="32"/>
        </w:rPr>
        <w:t>街道办事处共有车辆1辆，其中：部级领导干部用车0辆、一般公务用车1辆、一般执法执勤用车0辆、特种专业技术用车0辆、其他用车0辆，其他用车主要是用于一般公务，单价50万元以上通用设备0台（套），单价100万元以上专用设备0台（套）。</w:t>
      </w:r>
    </w:p>
    <w:p>
      <w:pPr>
        <w:rPr>
          <w:rFonts w:ascii="Times New Roman" w:hAnsi="Times New Roman" w:eastAsia="仿宋_GB2312"/>
          <w:sz w:val="32"/>
          <w:szCs w:val="32"/>
        </w:rPr>
      </w:pPr>
      <w:r>
        <w:rPr>
          <w:rFonts w:ascii="Times New Roman" w:hAnsi="Times New Roman" w:eastAsia="仿宋_GB2312"/>
          <w:sz w:val="32"/>
          <w:szCs w:val="32"/>
        </w:rPr>
        <w:t>一般公务用车1辆。</w:t>
      </w:r>
    </w:p>
    <w:p>
      <w:pPr>
        <w:autoSpaceDE w:val="0"/>
        <w:autoSpaceDN w:val="0"/>
        <w:adjustRightInd w:val="0"/>
        <w:spacing w:line="600" w:lineRule="exact"/>
        <w:ind w:firstLine="640" w:firstLineChars="200"/>
        <w:jc w:val="left"/>
        <w:outlineLvl w:val="2"/>
        <w:rPr>
          <w:rFonts w:ascii="Times New Roman" w:hAnsi="Times New Roman" w:eastAsia="楷体_GB2312"/>
          <w:color w:val="000000"/>
          <w:sz w:val="32"/>
          <w:szCs w:val="32"/>
        </w:rPr>
      </w:pPr>
      <w:r>
        <w:rPr>
          <w:rFonts w:ascii="Times New Roman" w:hAnsi="Times New Roman" w:eastAsia="楷体_GB2312"/>
          <w:color w:val="000000"/>
          <w:sz w:val="32"/>
          <w:szCs w:val="32"/>
        </w:rPr>
        <w:t>（四）预算绩效管理情况。</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根据预算绩效管理要求，</w:t>
      </w:r>
      <w:r>
        <w:rPr>
          <w:rFonts w:hint="eastAsia" w:ascii="Times New Roman" w:hAnsi="Times New Roman" w:eastAsia="仿宋_GB2312"/>
          <w:sz w:val="32"/>
          <w:szCs w:val="32"/>
        </w:rPr>
        <w:t>大宝鼎街道办事处</w:t>
      </w:r>
      <w:r>
        <w:rPr>
          <w:rFonts w:ascii="Times New Roman" w:hAnsi="Times New Roman" w:eastAsia="仿宋_GB2312"/>
          <w:sz w:val="32"/>
          <w:szCs w:val="32"/>
        </w:rPr>
        <w:t>在年初预算编制阶段，组织对</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项目开展了预算事前绩效评估，对</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个项目编制了绩效目标，预算执行过程中，选取</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个项目开展绩效监控，年终执行完毕后，对</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个项目开展了绩效目标完成情况自评。</w:t>
      </w:r>
    </w:p>
    <w:p>
      <w:pPr>
        <w:ind w:firstLine="640" w:firstLineChars="200"/>
        <w:rPr>
          <w:rFonts w:hint="eastAsia" w:ascii="Times New Roman" w:hAnsi="Times New Roman" w:eastAsia="楷体_GB2312"/>
          <w:sz w:val="32"/>
          <w:szCs w:val="32"/>
          <w:lang w:eastAsia="zh-CN"/>
        </w:rPr>
      </w:pPr>
      <w:r>
        <w:rPr>
          <w:rFonts w:ascii="Times New Roman" w:hAnsi="Times New Roman" w:eastAsia="楷体_GB2312"/>
          <w:sz w:val="32"/>
          <w:szCs w:val="32"/>
        </w:rPr>
        <w:t>项目绩效目标完成情况。</w:t>
      </w:r>
    </w:p>
    <w:p>
      <w:pPr>
        <w:ind w:firstLine="640" w:firstLineChars="200"/>
        <w:rPr>
          <w:rStyle w:val="12"/>
          <w:rFonts w:ascii="Times New Roman" w:hAnsi="Times New Roman" w:eastAsia="仿宋_GB2312"/>
          <w:b w:val="0"/>
          <w:sz w:val="32"/>
          <w:szCs w:val="32"/>
        </w:rPr>
      </w:pPr>
      <w:r>
        <w:rPr>
          <w:rFonts w:ascii="Times New Roman" w:hAnsi="Times New Roman" w:eastAsia="仿宋_GB2312"/>
          <w:sz w:val="32"/>
          <w:szCs w:val="32"/>
        </w:rPr>
        <w:t xml:space="preserve">    本部门在20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年度部门决算中反映“基层政权专项经费（含人民武装业务费）”“社会管理专项经费（包含人民防空、安全生产等）”等2个项目绩效目标实际完成情况较好。项目全年预算数</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万元，执行数为</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万元，完成预算的100%。</w:t>
      </w:r>
    </w:p>
    <w:p>
      <w:pPr>
        <w:ind w:firstLine="480" w:firstLineChars="150"/>
        <w:rPr>
          <w:rFonts w:ascii="Times New Roman" w:hAnsi="Times New Roman" w:eastAsia="仿宋_GB2312"/>
          <w:sz w:val="32"/>
          <w:szCs w:val="32"/>
        </w:rPr>
      </w:pPr>
      <w:r>
        <w:rPr>
          <w:rFonts w:ascii="Times New Roman" w:hAnsi="Times New Roman" w:eastAsia="仿宋_GB2312"/>
          <w:sz w:val="32"/>
          <w:szCs w:val="32"/>
        </w:rPr>
        <w:t>①.社会管理专项经费（包含人民防空、安全生产等）</w:t>
      </w:r>
      <w:r>
        <w:rPr>
          <w:rFonts w:hint="eastAsia" w:ascii="Times New Roman" w:hAnsi="Times New Roman" w:eastAsia="仿宋_GB2312"/>
          <w:sz w:val="32"/>
          <w:szCs w:val="32"/>
        </w:rPr>
        <w:t>。</w:t>
      </w:r>
    </w:p>
    <w:p>
      <w:pPr>
        <w:rPr>
          <w:rFonts w:ascii="Times New Roman" w:hAnsi="Times New Roman" w:eastAsia="仿宋_GB2312"/>
          <w:sz w:val="32"/>
          <w:szCs w:val="32"/>
        </w:rPr>
      </w:pPr>
      <w:r>
        <w:rPr>
          <w:rFonts w:ascii="Times New Roman" w:hAnsi="Times New Roman" w:eastAsia="仿宋_GB2312"/>
          <w:sz w:val="32"/>
          <w:szCs w:val="32"/>
        </w:rPr>
        <w:t>项目全年预算数</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万元，执行数为</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万元，完成预算的100%。通过项目实施，完成上级安排的经济，安全，国卫复审，社会管理各项工作任务，满足辖区居民的日常需要。发现的主要问题：无。下一步改进措施：无。</w:t>
      </w:r>
    </w:p>
    <w:p>
      <w:pPr>
        <w:ind w:firstLine="480" w:firstLineChars="150"/>
        <w:rPr>
          <w:rFonts w:ascii="Times New Roman" w:hAnsi="Times New Roman" w:eastAsia="仿宋_GB2312"/>
          <w:sz w:val="32"/>
          <w:szCs w:val="32"/>
        </w:rPr>
      </w:pPr>
      <w:r>
        <w:rPr>
          <w:rFonts w:ascii="Times New Roman" w:hAnsi="Times New Roman" w:eastAsia="仿宋_GB2312"/>
          <w:sz w:val="32"/>
          <w:szCs w:val="32"/>
        </w:rPr>
        <w:t>②.基层政权专项经费（含人民武装业务费）。项目全年预算数</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万元，执行数为</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万元，完成预算的100%。通过项目实施，满足街办日常正常运行，完成区级部门交办的基层政权建设，民兵拉练，征兵等各项工作任务</w:t>
      </w:r>
      <w:r>
        <w:rPr>
          <w:rFonts w:hint="eastAsia" w:ascii="Times New Roman" w:hAnsi="Times New Roman" w:eastAsia="仿宋_GB2312"/>
          <w:sz w:val="32"/>
          <w:szCs w:val="32"/>
        </w:rPr>
        <w:t>。</w:t>
      </w:r>
      <w:r>
        <w:rPr>
          <w:rFonts w:ascii="Times New Roman" w:hAnsi="Times New Roman" w:eastAsia="仿宋_GB2312"/>
          <w:sz w:val="32"/>
          <w:szCs w:val="32"/>
        </w:rPr>
        <w:t>发现的主要问题：无。下一步改进措施：无。</w:t>
      </w: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54"/>
        <w:gridCol w:w="40"/>
        <w:gridCol w:w="2392"/>
      </w:tblGrid>
      <w:tr>
        <w:tblPrEx>
          <w:tblCellMar>
            <w:top w:w="0" w:type="dxa"/>
            <w:left w:w="0" w:type="dxa"/>
            <w:bottom w:w="0" w:type="dxa"/>
            <w:right w:w="0" w:type="dxa"/>
          </w:tblCellMar>
        </w:tblPrEx>
        <w:trPr>
          <w:trHeight w:val="1034" w:hRule="atLeast"/>
        </w:trPr>
        <w:tc>
          <w:tcPr>
            <w:tcW w:w="9960" w:type="dxa"/>
            <w:gridSpan w:val="7"/>
            <w:noWrap w:val="0"/>
            <w:tcMar>
              <w:top w:w="15" w:type="dxa"/>
              <w:left w:w="15" w:type="dxa"/>
              <w:bottom w:w="0" w:type="dxa"/>
              <w:right w:w="15" w:type="dxa"/>
            </w:tcMar>
            <w:vAlign w:val="center"/>
          </w:tcPr>
          <w:p>
            <w:pPr>
              <w:pStyle w:val="18"/>
              <w:ind w:firstLine="0" w:firstLineChars="0"/>
              <w:jc w:val="center"/>
              <w:rPr>
                <w:rFonts w:ascii="Times New Roman" w:hAnsi="Times New Roman"/>
                <w:kern w:val="0"/>
                <w:sz w:val="24"/>
              </w:rPr>
            </w:pPr>
            <w:r>
              <w:rPr>
                <w:rFonts w:ascii="Times New Roman" w:hAnsi="Times New Roman"/>
                <w:kern w:val="0"/>
                <w:sz w:val="24"/>
              </w:rPr>
              <w:t>项目支出绩效目标完成情况表</w:t>
            </w:r>
          </w:p>
          <w:p>
            <w:pPr>
              <w:pStyle w:val="18"/>
              <w:ind w:firstLine="0" w:firstLineChars="0"/>
              <w:jc w:val="center"/>
              <w:rPr>
                <w:rFonts w:ascii="Times New Roman" w:hAnsi="Times New Roman"/>
                <w:sz w:val="24"/>
              </w:rPr>
            </w:pPr>
            <w:r>
              <w:rPr>
                <w:rFonts w:ascii="Times New Roman" w:hAnsi="Times New Roman"/>
                <w:kern w:val="0"/>
                <w:sz w:val="24"/>
              </w:rPr>
              <w:t>(20</w:t>
            </w:r>
            <w:r>
              <w:rPr>
                <w:rFonts w:hint="eastAsia" w:ascii="Times New Roman" w:hAnsi="Times New Roman"/>
                <w:kern w:val="0"/>
                <w:sz w:val="24"/>
                <w:lang w:val="en-US" w:eastAsia="zh-CN"/>
              </w:rPr>
              <w:t>20</w:t>
            </w:r>
            <w:r>
              <w:rPr>
                <w:rFonts w:ascii="Times New Roman" w:hAnsi="Times New Roman"/>
                <w:kern w:val="0"/>
                <w:sz w:val="24"/>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基层政权专项经费（含人民武装业务费）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攀枝花市西区大宝鼎街道办事处</w:t>
            </w:r>
          </w:p>
        </w:tc>
      </w:tr>
      <w:tr>
        <w:tblPrEx>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预决算执行情况(万元)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r>
      <w:tr>
        <w:tblPrEx>
          <w:tblCellMar>
            <w:top w:w="0" w:type="dxa"/>
            <w:left w:w="0" w:type="dxa"/>
            <w:bottom w:w="0" w:type="dxa"/>
            <w:right w:w="0" w:type="dxa"/>
          </w:tblCellMar>
        </w:tblPrEx>
        <w:trPr>
          <w:trHeight w:val="68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0</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年目标完成情</w:t>
            </w:r>
            <w:r>
              <w:rPr>
                <w:rFonts w:hint="eastAsia" w:ascii="Times New Roman" w:hAnsi="Times New Roman" w:eastAsia="仿宋_GB2312"/>
                <w:sz w:val="24"/>
              </w:rPr>
              <w:t>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实际完成目标</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满足街办日常正常运行，完成区级部门交办的基层政权建设，民兵拉练，征兵等各项工作任务</w:t>
            </w:r>
            <w:r>
              <w:rPr>
                <w:rFonts w:hint="eastAsia" w:ascii="Times New Roman" w:hAnsi="Times New Roman" w:eastAsia="仿宋_GB2312"/>
                <w:sz w:val="24"/>
              </w:rPr>
              <w:t>。</w:t>
            </w:r>
          </w:p>
          <w:p>
            <w:pPr>
              <w:ind w:firstLine="420"/>
              <w:rPr>
                <w:rFonts w:ascii="Times New Roman" w:hAnsi="Times New Roman" w:eastAsia="仿宋_GB2312"/>
                <w:sz w:val="24"/>
              </w:rPr>
            </w:pP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较好地完成上级安排的工作任务，满足辖区居民的日常需要，提高辖区居民满意度。</w:t>
            </w:r>
          </w:p>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绩</w:t>
            </w:r>
            <w:r>
              <w:rPr>
                <w:rFonts w:hint="eastAsia" w:ascii="Times New Roman" w:hAnsi="Times New Roman" w:eastAsia="仿宋_GB2312"/>
                <w:sz w:val="24"/>
              </w:rPr>
              <w:t>目</w:t>
            </w:r>
            <w:r>
              <w:rPr>
                <w:rFonts w:ascii="Times New Roman" w:hAnsi="Times New Roman" w:eastAsia="仿宋_GB2312"/>
                <w:sz w:val="24"/>
              </w:rPr>
              <w:t>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三级指标</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预期指标值(包含数字及文字描述)</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trHeight w:val="268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维护辖区居民日常政务服务安全、环保、武装等，全年安全排查80次，环保每天1次，政务服务群众5000余人次</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维护辖区居民日常政务服务安全、环保、武装等，全年安全排查80次，环保每天1次，政务服务群众5000余人次</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维护辖区居民日常政务服务安全、环保、武装等，全年安全排查80次，环保每天1次，政务服务群众5000余人次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提高辖区安全环保水平，满足辖区居民低保、医疗保险、大病救助等需要。</w:t>
            </w:r>
          </w:p>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提高辖区安全环保水平，满足辖区居民低保、医疗保险、大病救助等需要。</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提高辖区安全环保水平，满足辖区居民低保、医疗保险、大病救助等需要。</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kern w:val="0"/>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为群众办实事</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满足街办日常正常运行，完成区级部门交办的各项工作任务，满足辖区居民的政务需要</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满足街办日常正常运行，完成区级部门交办的各项工作任务，满足辖区居民的政务需要</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服务对象</w:t>
            </w:r>
          </w:p>
          <w:p>
            <w:pPr>
              <w:ind w:firstLine="420"/>
              <w:rPr>
                <w:rFonts w:ascii="Times New Roman" w:hAnsi="Times New Roman" w:eastAsia="仿宋_GB2312"/>
                <w:sz w:val="24"/>
              </w:rPr>
            </w:pPr>
            <w:r>
              <w:rPr>
                <w:rFonts w:ascii="Times New Roman" w:hAnsi="Times New Roman" w:eastAsia="仿宋_GB2312"/>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群众满意度</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95%</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95%</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80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kern w:val="0"/>
                <w:sz w:val="24"/>
              </w:rPr>
            </w:pPr>
            <w:r>
              <w:rPr>
                <w:rFonts w:ascii="Times New Roman" w:hAnsi="Times New Roman" w:eastAsia="仿宋_GB2312"/>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bl>
    <w:p>
      <w:pPr>
        <w:ind w:firstLine="420"/>
        <w:rPr>
          <w:rFonts w:ascii="Times New Roman" w:hAnsi="Times New Roman" w:eastAsia="仿宋_GB2312"/>
          <w:sz w:val="28"/>
          <w:szCs w:val="28"/>
        </w:rPr>
      </w:pPr>
    </w:p>
    <w:p>
      <w:pPr>
        <w:ind w:firstLine="420"/>
        <w:rPr>
          <w:rFonts w:ascii="Times New Roman" w:hAnsi="Times New Roman" w:eastAsia="仿宋_GB2312"/>
          <w:sz w:val="28"/>
          <w:szCs w:val="28"/>
        </w:rPr>
      </w:pPr>
    </w:p>
    <w:p>
      <w:pPr>
        <w:ind w:firstLine="420"/>
        <w:rPr>
          <w:rFonts w:ascii="Times New Roman" w:hAnsi="Times New Roman" w:eastAsia="仿宋_GB2312"/>
          <w:sz w:val="28"/>
          <w:szCs w:val="28"/>
        </w:rPr>
      </w:pPr>
    </w:p>
    <w:p>
      <w:pPr>
        <w:ind w:firstLine="420"/>
        <w:rPr>
          <w:rFonts w:ascii="Times New Roman" w:hAnsi="Times New Roman" w:eastAsia="仿宋_GB2312"/>
          <w:sz w:val="28"/>
          <w:szCs w:val="28"/>
        </w:rPr>
      </w:pPr>
    </w:p>
    <w:p>
      <w:pPr>
        <w:ind w:firstLine="420"/>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54"/>
        <w:gridCol w:w="40"/>
        <w:gridCol w:w="2392"/>
      </w:tblGrid>
      <w:tr>
        <w:tblPrEx>
          <w:tblCellMar>
            <w:top w:w="0" w:type="dxa"/>
            <w:left w:w="0" w:type="dxa"/>
            <w:bottom w:w="0" w:type="dxa"/>
            <w:right w:w="0" w:type="dxa"/>
          </w:tblCellMar>
        </w:tblPrEx>
        <w:trPr>
          <w:trHeight w:val="1034" w:hRule="atLeast"/>
        </w:trPr>
        <w:tc>
          <w:tcPr>
            <w:tcW w:w="9960" w:type="dxa"/>
            <w:gridSpan w:val="7"/>
            <w:noWrap w:val="0"/>
            <w:tcMar>
              <w:top w:w="15" w:type="dxa"/>
              <w:left w:w="15" w:type="dxa"/>
              <w:bottom w:w="0" w:type="dxa"/>
              <w:right w:w="15" w:type="dxa"/>
            </w:tcMar>
            <w:vAlign w:val="center"/>
          </w:tcPr>
          <w:p>
            <w:pPr>
              <w:pStyle w:val="18"/>
              <w:ind w:firstLine="0" w:firstLineChars="0"/>
              <w:rPr>
                <w:rFonts w:ascii="Times New Roman" w:hAnsi="Times New Roman"/>
                <w:kern w:val="0"/>
                <w:sz w:val="24"/>
              </w:rPr>
            </w:pPr>
          </w:p>
          <w:p>
            <w:pPr>
              <w:pStyle w:val="18"/>
              <w:ind w:firstLine="0" w:firstLineChars="0"/>
              <w:jc w:val="center"/>
              <w:rPr>
                <w:rFonts w:ascii="Times New Roman" w:hAnsi="Times New Roman"/>
                <w:kern w:val="0"/>
                <w:sz w:val="24"/>
              </w:rPr>
            </w:pPr>
            <w:r>
              <w:rPr>
                <w:rFonts w:ascii="Times New Roman" w:hAnsi="Times New Roman"/>
                <w:kern w:val="0"/>
                <w:sz w:val="24"/>
              </w:rPr>
              <w:t>项目支出绩效目标完成情况表</w:t>
            </w:r>
          </w:p>
          <w:p>
            <w:pPr>
              <w:pStyle w:val="18"/>
              <w:ind w:firstLine="0" w:firstLineChars="0"/>
              <w:jc w:val="center"/>
              <w:rPr>
                <w:rFonts w:ascii="Times New Roman" w:hAnsi="Times New Roman"/>
                <w:sz w:val="24"/>
              </w:rPr>
            </w:pPr>
            <w:r>
              <w:rPr>
                <w:rFonts w:ascii="Times New Roman" w:hAnsi="Times New Roman"/>
                <w:kern w:val="0"/>
                <w:sz w:val="24"/>
              </w:rPr>
              <w:t>(20</w:t>
            </w:r>
            <w:r>
              <w:rPr>
                <w:rFonts w:hint="eastAsia" w:ascii="Times New Roman" w:hAnsi="Times New Roman"/>
                <w:kern w:val="0"/>
                <w:sz w:val="24"/>
                <w:lang w:val="en-US" w:eastAsia="zh-CN"/>
              </w:rPr>
              <w:t>20</w:t>
            </w:r>
            <w:r>
              <w:rPr>
                <w:rFonts w:ascii="Times New Roman" w:hAnsi="Times New Roman"/>
                <w:kern w:val="0"/>
                <w:sz w:val="24"/>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社会管理专项经费（包含人民防空、安全生产等）</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攀枝花市西区大宝鼎街道办事处</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r>
      <w:tr>
        <w:tblPrEx>
          <w:tblCellMar>
            <w:top w:w="0" w:type="dxa"/>
            <w:left w:w="0" w:type="dxa"/>
            <w:bottom w:w="0" w:type="dxa"/>
            <w:right w:w="0" w:type="dxa"/>
          </w:tblCellMar>
        </w:tblPrEx>
        <w:trPr>
          <w:trHeight w:val="18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0</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年目标完成情况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完成上级安排的经济，安全，国卫复审，社会管理各项工作任务，满足辖区居民的日常需要。</w:t>
            </w:r>
          </w:p>
          <w:p>
            <w:pPr>
              <w:ind w:firstLine="420"/>
              <w:rPr>
                <w:rFonts w:ascii="Times New Roman" w:hAnsi="Times New Roman" w:eastAsia="仿宋_GB2312"/>
                <w:sz w:val="24"/>
              </w:rPr>
            </w:pP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较好地完成上级安排的工作任务，满足辖区居民的日常需要，提高辖区居民满意度。</w:t>
            </w:r>
          </w:p>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绩指标完成情况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三级指标</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预期指标值(包含数字及文字描述)</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rPr>
                <w:rFonts w:ascii="Times New Roman" w:hAnsi="Times New Roman"/>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rPr>
                <w:rFonts w:ascii="Times New Roman" w:hAnsi="Times New Roman"/>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rPr>
                <w:rFonts w:ascii="Times New Roman" w:hAnsi="Times New Roman"/>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Times New Roman" w:hAnsi="Times New Roman"/>
                <w:color w:val="000000"/>
                <w:sz w:val="24"/>
              </w:rPr>
            </w:pPr>
            <w:r>
              <w:rPr>
                <w:rFonts w:ascii="Times New Roman" w:hAnsi="Times New Roman" w:eastAsia="仿宋_GB2312"/>
                <w:sz w:val="24"/>
              </w:rPr>
              <w:t>用于征订报刊杂志、慰问残疾人员、辖区动植物的防治工作、病媒生物、健康宣传教育、购买药品、棚改工作、国卫复审、文明城市创建、动物防疫、应急经费等，</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用于征订报刊杂志、慰问残疾人员、辖区动植物的防治工作、病媒生物、健康宣传教育、购买药品、棚改工作、国卫复审、文明城市创建、动物防疫、应急经费等，</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用于征订报刊杂志、慰问残疾人员、辖区动植物的防治工作、病媒生物、健康宣传教育、购买药品、棚改工作、国卫复审、文明城市创建、动物防疫、应急经费等，</w:t>
            </w:r>
            <w:r>
              <w:rPr>
                <w:rFonts w:hint="eastAsia" w:ascii="Times New Roman" w:hAnsi="Times New Roman" w:eastAsia="仿宋_GB2312"/>
                <w:sz w:val="24"/>
                <w:lang w:val="en-US" w:eastAsia="zh-CN"/>
              </w:rPr>
              <w:t>4</w:t>
            </w:r>
            <w:r>
              <w:rPr>
                <w:rFonts w:ascii="Times New Roman" w:hAnsi="Times New Roman" w:eastAsia="仿宋_GB2312"/>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hint="eastAsia" w:ascii="Times New Roman" w:hAnsi="Times New Roman" w:eastAsia="仿宋_GB2312"/>
                <w:sz w:val="24"/>
                <w:lang w:val="en-US" w:eastAsia="zh-CN"/>
              </w:rPr>
              <w:t>2020</w:t>
            </w:r>
            <w:r>
              <w:rPr>
                <w:rFonts w:ascii="Times New Roman" w:hAnsi="Times New Roman" w:eastAsia="仿宋_GB2312"/>
                <w:sz w:val="24"/>
              </w:rPr>
              <w:t>年</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kern w:val="0"/>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r>
      <w:tr>
        <w:tblPrEx>
          <w:tblCellMar>
            <w:top w:w="0" w:type="dxa"/>
            <w:left w:w="0" w:type="dxa"/>
            <w:bottom w:w="0" w:type="dxa"/>
            <w:right w:w="0" w:type="dxa"/>
          </w:tblCellMar>
        </w:tblPrEx>
        <w:trPr>
          <w:trHeight w:val="164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为群众办实事</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社会事务面向广大群众，抽样调查达到基本满意及以上</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社会事务面向广大群众，抽样调查达到基本满意及以上</w:t>
            </w:r>
          </w:p>
        </w:tc>
      </w:tr>
      <w:tr>
        <w:tblPrEx>
          <w:tblCellMar>
            <w:top w:w="0" w:type="dxa"/>
            <w:left w:w="0" w:type="dxa"/>
            <w:bottom w:w="0" w:type="dxa"/>
            <w:right w:w="0" w:type="dxa"/>
          </w:tblCellMar>
        </w:tblPrEx>
        <w:trPr>
          <w:trHeight w:val="150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服务对象意度指标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群众满意度</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100%</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kern w:val="0"/>
                <w:sz w:val="24"/>
              </w:rPr>
            </w:pPr>
            <w:r>
              <w:rPr>
                <w:rFonts w:ascii="Times New Roman" w:hAnsi="Times New Roman" w:eastAsia="仿宋_GB2312"/>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bl>
    <w:p>
      <w:pPr>
        <w:rPr>
          <w:rFonts w:ascii="Times New Roman" w:hAnsi="Times New Roman" w:eastAsia="仿宋_GB2312"/>
          <w:sz w:val="32"/>
          <w:szCs w:val="32"/>
        </w:rPr>
      </w:pPr>
    </w:p>
    <w:p>
      <w:pPr>
        <w:spacing w:line="580" w:lineRule="exact"/>
        <w:ind w:left="630"/>
        <w:rPr>
          <w:rFonts w:ascii="Times New Roman" w:hAnsi="Times New Roman" w:eastAsia="仿宋_GB2312"/>
          <w:sz w:val="32"/>
          <w:szCs w:val="32"/>
        </w:rPr>
      </w:pPr>
    </w:p>
    <w:p>
      <w:pPr>
        <w:rPr>
          <w:rFonts w:ascii="Times New Roman" w:hAnsi="Times New Roman" w:eastAsia="仿宋_GB2312"/>
          <w:sz w:val="32"/>
          <w:szCs w:val="32"/>
        </w:rPr>
      </w:pPr>
      <w:bookmarkStart w:id="53" w:name="_Toc15396613"/>
      <w:bookmarkStart w:id="54" w:name="_Toc15377225"/>
      <w:r>
        <w:rPr>
          <w:rFonts w:ascii="Times New Roman" w:hAnsi="Times New Roman" w:eastAsia="仿宋_GB2312"/>
          <w:sz w:val="32"/>
          <w:szCs w:val="32"/>
        </w:rPr>
        <w:t>部门开展绩效评价结果：</w:t>
      </w:r>
    </w:p>
    <w:p>
      <w:pPr>
        <w:rPr>
          <w:rFonts w:ascii="Times New Roman" w:hAnsi="Times New Roman" w:eastAsia="仿宋_GB2312"/>
          <w:sz w:val="32"/>
          <w:szCs w:val="32"/>
        </w:rPr>
      </w:pPr>
      <w:r>
        <w:rPr>
          <w:rFonts w:ascii="Times New Roman" w:hAnsi="Times New Roman" w:eastAsia="仿宋_GB2312"/>
          <w:sz w:val="32"/>
          <w:szCs w:val="32"/>
        </w:rPr>
        <w:t>本部门按要求对20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年部门整体支出绩效评价情况开展自评，《大宝鼎街办20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年部门整体支出绩效评价报告》见附件。</w:t>
      </w:r>
    </w:p>
    <w:p>
      <w:pPr>
        <w:rPr>
          <w:rFonts w:ascii="Times New Roman" w:hAnsi="Times New Roman" w:eastAsia="仿宋_GB2312"/>
          <w:sz w:val="32"/>
          <w:szCs w:val="32"/>
        </w:rPr>
      </w:pPr>
    </w:p>
    <w:p>
      <w:pPr>
        <w:rPr>
          <w:rFonts w:ascii="Times New Roman" w:hAnsi="Times New Roman" w:eastAsia="仿宋_GB2312"/>
          <w:sz w:val="32"/>
          <w:szCs w:val="32"/>
        </w:rPr>
      </w:pPr>
    </w:p>
    <w:p>
      <w:pPr>
        <w:numPr>
          <w:ilvl w:val="0"/>
          <w:numId w:val="3"/>
        </w:numPr>
        <w:spacing w:line="600" w:lineRule="exact"/>
        <w:ind w:firstLine="660" w:firstLineChars="150"/>
        <w:jc w:val="center"/>
        <w:outlineLvl w:val="0"/>
        <w:rPr>
          <w:rStyle w:val="15"/>
          <w:rFonts w:eastAsia="黑体"/>
          <w:b w:val="0"/>
          <w:bCs w:val="0"/>
        </w:rPr>
      </w:pPr>
      <w:r>
        <w:rPr>
          <w:rFonts w:ascii="Times New Roman" w:hAnsi="Times New Roman" w:eastAsia="黑体"/>
          <w:color w:val="000000"/>
          <w:sz w:val="44"/>
          <w:szCs w:val="44"/>
        </w:rPr>
        <w:t>名</w:t>
      </w:r>
      <w:r>
        <w:rPr>
          <w:rStyle w:val="15"/>
          <w:rFonts w:eastAsia="黑体"/>
          <w:b w:val="0"/>
          <w:bCs w:val="0"/>
        </w:rPr>
        <w:t>词解释</w:t>
      </w:r>
      <w:bookmarkEnd w:id="53"/>
      <w:bookmarkEnd w:id="54"/>
    </w:p>
    <w:p>
      <w:pPr>
        <w:spacing w:line="600" w:lineRule="exact"/>
        <w:jc w:val="left"/>
        <w:rPr>
          <w:rFonts w:ascii="Times New Roman" w:hAnsi="Times New Roman"/>
          <w:color w:val="000000"/>
          <w:sz w:val="44"/>
          <w:szCs w:val="44"/>
        </w:rPr>
      </w:pPr>
    </w:p>
    <w:p>
      <w:pPr>
        <w:pStyle w:val="20"/>
        <w:spacing w:line="560" w:lineRule="exact"/>
        <w:ind w:firstLine="640" w:firstLineChars="200"/>
        <w:rPr>
          <w:rFonts w:ascii="仿宋_GB2312" w:eastAsia="仿宋_GB2312"/>
          <w:sz w:val="32"/>
          <w:szCs w:val="32"/>
        </w:rPr>
      </w:pPr>
      <w:bookmarkStart w:id="55" w:name="_Toc15396614"/>
      <w:bookmarkStart w:id="56"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0"/>
        <w:spacing w:line="560" w:lineRule="exact"/>
        <w:ind w:firstLine="640" w:firstLineChars="200"/>
        <w:rPr>
          <w:rFonts w:ascii="仿宋_GB2312" w:eastAsia="仿宋_GB2312" w:cs="黑体"/>
          <w:sz w:val="32"/>
          <w:szCs w:val="32"/>
        </w:rPr>
      </w:pPr>
    </w:p>
    <w:p>
      <w:pPr>
        <w:ind w:firstLine="642"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Fonts w:ascii="Times New Roman" w:hAnsi="Times New Roman" w:eastAsia="黑体"/>
          <w:color w:val="000000"/>
          <w:sz w:val="44"/>
          <w:szCs w:val="44"/>
        </w:rPr>
      </w:pPr>
    </w:p>
    <w:p>
      <w:pPr>
        <w:spacing w:line="600" w:lineRule="exact"/>
        <w:jc w:val="center"/>
        <w:outlineLvl w:val="0"/>
        <w:rPr>
          <w:rStyle w:val="15"/>
          <w:rFonts w:eastAsia="黑体"/>
          <w:b w:val="0"/>
          <w:bCs w:val="0"/>
        </w:rPr>
      </w:pPr>
      <w:r>
        <w:rPr>
          <w:rFonts w:ascii="Times New Roman" w:hAnsi="Times New Roman" w:eastAsia="黑体"/>
          <w:color w:val="000000"/>
          <w:sz w:val="44"/>
          <w:szCs w:val="44"/>
        </w:rPr>
        <w:t>第</w:t>
      </w:r>
      <w:r>
        <w:rPr>
          <w:rStyle w:val="15"/>
          <w:rFonts w:eastAsia="黑体"/>
          <w:b w:val="0"/>
          <w:bCs w:val="0"/>
        </w:rPr>
        <w:t>四部分 附件</w:t>
      </w:r>
      <w:bookmarkEnd w:id="55"/>
    </w:p>
    <w:p>
      <w:pPr>
        <w:spacing w:line="600" w:lineRule="exact"/>
        <w:jc w:val="left"/>
        <w:outlineLvl w:val="0"/>
        <w:rPr>
          <w:rFonts w:ascii="Times New Roman" w:hAnsi="Times New Roman" w:eastAsia="方正小标宋简体"/>
          <w:sz w:val="32"/>
          <w:szCs w:val="32"/>
        </w:rPr>
      </w:pPr>
      <w:r>
        <w:rPr>
          <w:rFonts w:ascii="Times New Roman" w:hAnsi="Times New Roman" w:eastAsia="黑体"/>
          <w:sz w:val="32"/>
          <w:szCs w:val="32"/>
        </w:rPr>
        <w:t>附件1</w:t>
      </w:r>
    </w:p>
    <w:p>
      <w:pPr>
        <w:pStyle w:val="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攀枝花市西区大宝鼎街道办事处</w:t>
      </w:r>
    </w:p>
    <w:p>
      <w:pPr>
        <w:pStyle w:val="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部门预算整体绩效自评报告</w:t>
      </w:r>
    </w:p>
    <w:p>
      <w:pPr>
        <w:pStyle w:val="5"/>
        <w:keepNext w:val="0"/>
        <w:keepLines w:val="0"/>
        <w:pageBreakBefore w:val="0"/>
        <w:kinsoku/>
        <w:wordWrap/>
        <w:overflowPunct/>
        <w:topLinePunct w:val="0"/>
        <w:autoSpaceDE/>
        <w:autoSpaceDN/>
        <w:bidi w:val="0"/>
        <w:spacing w:line="360" w:lineRule="auto"/>
        <w:ind w:firstLine="640" w:firstLineChars="200"/>
        <w:jc w:val="center"/>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一、部门概况</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（一）主要职能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大宝鼎街道办事处是区政府的派出机关，主要履行推进区域发展、组织公共服务、实施综合管理、领导基层自治、 维护安全稳定、动员社会参与等职能。主要为：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1.贯彻执行党和国家的各项法律、法规、规章以及上级政府的决议、决定，依法管理基层公共事务。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负责辖区经济、文化、教育体育、科技、卫生健康、民政、社会保障、民族宗教、住房保障、司法、退役军人、统计等公共管理和公共服务工作，积极构建公共服务均等化体系，促进社会事业发展。推进“最多跑一次”改革，建立健全群众办事一次办结机制，优化便民服务质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3.负责辖区环境保护、秩序治理、物业管理、城乡环境综合治理等城市管理工作，开展爱国卫生、环境卫生监督检查，营造良好发展环境。整合基层一线执法力量，充分发挥属地管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理优势，强化对辖区范围内执法力量的统一指挥和统筹协调。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4.负责辖区平安建设、社会治安综合治理工作，处理群众来信来访，反映社情民意，建立社会矛盾纠纷排查调处机制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维护社会和谐稳定。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5.负责辖区公共安全，协助做好安全生产、防汛、防火、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防灾减灾等应急管理工作，构建公共安全防控体系，建立应对突发紧急事件的处理预案。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6.领导社区居委会建设，指导社区居委会工作，培育、发展社区社会组织，组织社区居民参与社区建设和管理，健全完善自治、法治、德治相结合的城市基层治理体系。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7.牵头协调职能部门及其派出机构，共同处理地区性、综合性社会管理事务。动员辖区各类单位、社会组织和社区居民等社会力量参与基层社会治理，引导辖区单位履行社会责任，统筹辖区资源，实现共建共治共享。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kern w:val="56"/>
          <w:sz w:val="32"/>
          <w:szCs w:val="32"/>
        </w:rPr>
      </w:pPr>
      <w:r>
        <w:rPr>
          <w:rFonts w:hint="default" w:ascii="Times New Roman" w:hAnsi="Times New Roman" w:eastAsia="仿宋_GB2312" w:cs="Times New Roman"/>
          <w:kern w:val="2"/>
          <w:sz w:val="32"/>
          <w:szCs w:val="32"/>
          <w:lang w:val="en-US" w:eastAsia="zh-CN" w:bidi="ar-SA"/>
        </w:rPr>
        <w:t>8.完成区委、区政府交办的其他工作。</w:t>
      </w:r>
      <w:r>
        <w:rPr>
          <w:rFonts w:hint="default" w:ascii="Times New Roman" w:hAnsi="Times New Roman" w:eastAsia="方正仿宋_GBK" w:cs="Times New Roman"/>
          <w:color w:val="000000"/>
          <w:kern w:val="0"/>
          <w:sz w:val="32"/>
          <w:szCs w:val="32"/>
          <w:lang w:val="en-US" w:eastAsia="zh-CN" w:bidi="ar"/>
        </w:rPr>
        <w:t xml:space="preserve"> </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）机构情况</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大宝鼎街办</w:t>
      </w:r>
      <w:r>
        <w:rPr>
          <w:rFonts w:hint="default" w:ascii="Times New Roman" w:hAnsi="Times New Roman" w:eastAsia="仿宋_GB2312" w:cs="Times New Roman"/>
          <w:sz w:val="32"/>
          <w:szCs w:val="32"/>
        </w:rPr>
        <w:t>内设机构有党政办公室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挂财政所牌子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党建办公室（挂党群工作部、代表委员联络办公室牌子）、公共管理</w:t>
      </w:r>
      <w:r>
        <w:rPr>
          <w:rFonts w:hint="default" w:ascii="Times New Roman" w:hAnsi="Times New Roman" w:eastAsia="仿宋_GB2312" w:cs="Times New Roman"/>
          <w:sz w:val="32"/>
          <w:szCs w:val="32"/>
        </w:rPr>
        <w:t>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挂城市管理办公室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生态环境保护办公室牌子）、公共服务</w:t>
      </w:r>
      <w:r>
        <w:rPr>
          <w:rFonts w:hint="default" w:ascii="Times New Roman" w:hAnsi="Times New Roman" w:eastAsia="仿宋_GB2312" w:cs="Times New Roman"/>
          <w:sz w:val="32"/>
          <w:szCs w:val="32"/>
        </w:rPr>
        <w:t>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挂卫生健康办公室牌子）、公共安全办公室（挂安全生产监督管理办公室、应急管理办公室牌子）</w:t>
      </w:r>
      <w:r>
        <w:rPr>
          <w:rFonts w:hint="default" w:ascii="Times New Roman" w:hAnsi="Times New Roman" w:eastAsia="仿宋_GB2312" w:cs="Times New Roman"/>
          <w:color w:val="auto"/>
          <w:sz w:val="32"/>
          <w:szCs w:val="32"/>
          <w:lang w:val="en-US" w:eastAsia="zh-CN"/>
        </w:rPr>
        <w:t>下辖2个社区：沿江社区、小宝鼎社区。</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（三）人员情况</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截至2020年末，大宝鼎街道在岗职工人员共计67人。其中行政编制7人，事业编制10人，临聘岗位5人，社区干部31人，公益岗位14人。</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二、评价工作开展情况</w:t>
      </w:r>
    </w:p>
    <w:p>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根据预算绩效管理要求，</w:t>
      </w:r>
      <w:r>
        <w:rPr>
          <w:rFonts w:hint="default" w:ascii="Times New Roman" w:hAnsi="Times New Roman" w:eastAsia="仿宋_GB2312" w:cs="Times New Roman"/>
          <w:sz w:val="32"/>
          <w:szCs w:val="32"/>
          <w:lang w:eastAsia="zh-CN"/>
        </w:rPr>
        <w:t>我办</w:t>
      </w:r>
      <w:r>
        <w:rPr>
          <w:rFonts w:hint="default" w:ascii="Times New Roman" w:hAnsi="Times New Roman" w:eastAsia="仿宋_GB2312" w:cs="Times New Roman"/>
          <w:sz w:val="32"/>
          <w:szCs w:val="32"/>
        </w:rPr>
        <w:t>在年初预算编制阶段，组织</w:t>
      </w:r>
      <w:r>
        <w:rPr>
          <w:rFonts w:hint="default" w:ascii="Times New Roman" w:hAnsi="Times New Roman" w:eastAsia="仿宋_GB2312" w:cs="Times New Roman"/>
          <w:sz w:val="32"/>
          <w:szCs w:val="32"/>
          <w:lang w:eastAsia="zh-CN"/>
        </w:rPr>
        <w:t>对预算项目进行了</w:t>
      </w:r>
      <w:r>
        <w:rPr>
          <w:rFonts w:hint="default" w:ascii="Times New Roman" w:hAnsi="Times New Roman" w:eastAsia="仿宋_GB2312" w:cs="Times New Roman"/>
          <w:sz w:val="32"/>
          <w:szCs w:val="32"/>
        </w:rPr>
        <w:t>事前绩效评估，对</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项目编制了绩效目标，预算执行过程中，</w:t>
      </w:r>
      <w:r>
        <w:rPr>
          <w:rFonts w:hint="default" w:ascii="Times New Roman" w:hAnsi="Times New Roman" w:eastAsia="仿宋_GB2312" w:cs="Times New Roman"/>
          <w:sz w:val="32"/>
          <w:szCs w:val="32"/>
          <w:lang w:eastAsia="zh-CN"/>
        </w:rPr>
        <w:t>对预算</w:t>
      </w:r>
      <w:r>
        <w:rPr>
          <w:rFonts w:hint="default" w:ascii="Times New Roman" w:hAnsi="Times New Roman" w:eastAsia="仿宋_GB2312" w:cs="Times New Roman"/>
          <w:sz w:val="32"/>
          <w:szCs w:val="32"/>
        </w:rPr>
        <w:t>项目开展绩效监控，年终执行完毕后，对</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项目开展了绩效目标完成情况自评</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、部门资金基本情况</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（一）部门财政资金收入情况。</w:t>
      </w:r>
    </w:p>
    <w:p>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2020年</w:t>
      </w:r>
      <w:r>
        <w:rPr>
          <w:rFonts w:hint="default" w:ascii="Times New Roman" w:hAnsi="Times New Roman" w:eastAsia="仿宋_GB2312" w:cs="Times New Roman"/>
          <w:sz w:val="32"/>
          <w:szCs w:val="32"/>
          <w:lang w:val="en-US" w:eastAsia="zh-CN"/>
        </w:rPr>
        <w:t>大宝鼎</w:t>
      </w:r>
      <w:r>
        <w:rPr>
          <w:rFonts w:hint="default" w:ascii="Times New Roman" w:hAnsi="Times New Roman" w:eastAsia="仿宋_GB2312" w:cs="Times New Roman"/>
          <w:sz w:val="32"/>
          <w:szCs w:val="32"/>
          <w:lang w:eastAsia="zh-CN"/>
        </w:rPr>
        <w:t>街道办事处</w:t>
      </w:r>
      <w:r>
        <w:rPr>
          <w:rFonts w:hint="default" w:ascii="Times New Roman" w:hAnsi="Times New Roman" w:eastAsia="仿宋_GB2312" w:cs="Times New Roman"/>
          <w:sz w:val="32"/>
          <w:szCs w:val="32"/>
        </w:rPr>
        <w:t>收入决算总额为</w:t>
      </w:r>
      <w:r>
        <w:rPr>
          <w:rFonts w:hint="default" w:ascii="Times New Roman" w:hAnsi="Times New Roman" w:eastAsia="仿宋_GB2312" w:cs="Times New Roman"/>
          <w:sz w:val="32"/>
          <w:szCs w:val="32"/>
          <w:lang w:val="en-US" w:eastAsia="zh-CN"/>
        </w:rPr>
        <w:t>444.7</w:t>
      </w:r>
      <w:r>
        <w:rPr>
          <w:rFonts w:hint="default" w:ascii="Times New Roman" w:hAnsi="Times New Roman" w:eastAsia="仿宋_GB2312" w:cs="Times New Roman"/>
          <w:sz w:val="32"/>
          <w:szCs w:val="32"/>
        </w:rPr>
        <w:t>万元，其中：当年财政拨款收入</w:t>
      </w:r>
      <w:r>
        <w:rPr>
          <w:rFonts w:hint="default" w:ascii="Times New Roman" w:hAnsi="Times New Roman" w:eastAsia="仿宋_GB2312" w:cs="Times New Roman"/>
          <w:sz w:val="32"/>
          <w:szCs w:val="32"/>
          <w:lang w:val="en-US" w:eastAsia="zh-CN"/>
        </w:rPr>
        <w:t>444.7</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（二）部门财政资金支出情况</w:t>
      </w:r>
      <w:r>
        <w:rPr>
          <w:rFonts w:hint="default" w:ascii="Times New Roman" w:hAnsi="Times New Roman" w:eastAsia="楷体_GB2312" w:cs="Times New Roman"/>
          <w:sz w:val="32"/>
          <w:szCs w:val="32"/>
          <w:lang w:eastAsia="zh-CN"/>
        </w:rPr>
        <w:t>。</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lang w:eastAsia="zh-CN"/>
        </w:rPr>
      </w:pPr>
      <w:r>
        <w:rPr>
          <w:rFonts w:hint="default" w:ascii="Times New Roman" w:hAnsi="Times New Roman" w:eastAsia="仿宋_GB2312" w:cs="Times New Roman"/>
          <w:sz w:val="32"/>
          <w:szCs w:val="32"/>
          <w:lang w:eastAsia="zh-CN"/>
        </w:rPr>
        <w:t>2020年度支出合计</w:t>
      </w:r>
      <w:r>
        <w:rPr>
          <w:rFonts w:hint="default" w:ascii="Times New Roman" w:hAnsi="Times New Roman" w:eastAsia="仿宋_GB2312" w:cs="Times New Roman"/>
          <w:sz w:val="32"/>
          <w:szCs w:val="32"/>
          <w:lang w:val="en-US" w:eastAsia="zh-CN"/>
        </w:rPr>
        <w:t>483.15</w:t>
      </w:r>
      <w:r>
        <w:rPr>
          <w:rFonts w:hint="default" w:ascii="Times New Roman" w:hAnsi="Times New Roman" w:eastAsia="仿宋_GB2312" w:cs="Times New Roman"/>
          <w:sz w:val="32"/>
          <w:szCs w:val="32"/>
          <w:lang w:eastAsia="zh-CN"/>
        </w:rPr>
        <w:t>万元，其中：基本支出</w:t>
      </w:r>
      <w:r>
        <w:rPr>
          <w:rFonts w:hint="default" w:ascii="Times New Roman" w:hAnsi="Times New Roman" w:eastAsia="仿宋_GB2312" w:cs="Times New Roman"/>
          <w:sz w:val="32"/>
          <w:szCs w:val="32"/>
          <w:lang w:val="en-US" w:eastAsia="zh-CN"/>
        </w:rPr>
        <w:t>416.7</w:t>
      </w:r>
      <w:r>
        <w:rPr>
          <w:rFonts w:hint="default" w:ascii="Times New Roman" w:hAnsi="Times New Roman" w:eastAsia="仿宋_GB2312" w:cs="Times New Roman"/>
          <w:sz w:val="32"/>
          <w:szCs w:val="32"/>
          <w:lang w:eastAsia="zh-CN"/>
        </w:rPr>
        <w:t>万元，项目支出</w:t>
      </w:r>
      <w:r>
        <w:rPr>
          <w:rFonts w:hint="default" w:ascii="Times New Roman" w:hAnsi="Times New Roman" w:eastAsia="仿宋_GB2312" w:cs="Times New Roman"/>
          <w:sz w:val="32"/>
          <w:szCs w:val="32"/>
          <w:lang w:val="en-US" w:eastAsia="zh-CN"/>
        </w:rPr>
        <w:t>66.4</w:t>
      </w:r>
      <w:r>
        <w:rPr>
          <w:rFonts w:hint="default" w:ascii="Times New Roman" w:hAnsi="Times New Roman" w:eastAsia="仿宋_GB2312" w:cs="Times New Roman"/>
          <w:sz w:val="32"/>
          <w:szCs w:val="32"/>
          <w:lang w:eastAsia="zh-CN"/>
        </w:rPr>
        <w:t>万元。基本支出中的人员经费支出</w:t>
      </w:r>
      <w:r>
        <w:rPr>
          <w:rFonts w:hint="default" w:ascii="Times New Roman" w:hAnsi="Times New Roman" w:eastAsia="仿宋_GB2312" w:cs="Times New Roman"/>
          <w:sz w:val="32"/>
          <w:szCs w:val="32"/>
          <w:lang w:val="en-US" w:eastAsia="zh-CN"/>
        </w:rPr>
        <w:t>399.4万元</w:t>
      </w:r>
      <w:r>
        <w:rPr>
          <w:rFonts w:hint="default" w:ascii="Times New Roman" w:hAnsi="Times New Roman" w:eastAsia="仿宋_GB2312" w:cs="Times New Roman"/>
          <w:sz w:val="32"/>
          <w:szCs w:val="32"/>
          <w:lang w:eastAsia="zh-CN"/>
        </w:rPr>
        <w:t>，日常公用经费支出</w:t>
      </w:r>
      <w:r>
        <w:rPr>
          <w:rFonts w:hint="default" w:ascii="Times New Roman" w:hAnsi="Times New Roman" w:eastAsia="仿宋_GB2312" w:cs="Times New Roman"/>
          <w:sz w:val="32"/>
          <w:szCs w:val="32"/>
          <w:lang w:val="en-US" w:eastAsia="zh-CN"/>
        </w:rPr>
        <w:t>17.3万元</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黑体" w:cs="Times New Roman"/>
          <w:color w:val="000000"/>
          <w:sz w:val="32"/>
          <w:szCs w:val="32"/>
        </w:rPr>
      </w:pPr>
      <w:r>
        <w:rPr>
          <w:rStyle w:val="21"/>
          <w:rFonts w:hint="default" w:ascii="Times New Roman" w:hAnsi="Times New Roman" w:cs="Times New Roman"/>
        </w:rPr>
        <w:t>四、部门财政支出管理情况</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color w:val="FF0000"/>
          <w:sz w:val="32"/>
          <w:szCs w:val="32"/>
        </w:rPr>
      </w:pPr>
      <w:r>
        <w:rPr>
          <w:rFonts w:hint="default" w:ascii="Times New Roman" w:hAnsi="Times New Roman" w:eastAsia="楷体_GB2312" w:cs="Times New Roman"/>
          <w:color w:val="000000"/>
          <w:sz w:val="32"/>
          <w:szCs w:val="32"/>
        </w:rPr>
        <w:t>（一）专项资金分配情况。</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2020年初下达项目经费共计16万元，其中“</w:t>
      </w:r>
      <w:r>
        <w:rPr>
          <w:rFonts w:hint="default" w:ascii="Times New Roman" w:hAnsi="Times New Roman" w:eastAsia="仿宋_GB2312" w:cs="Times New Roman"/>
          <w:sz w:val="32"/>
          <w:szCs w:val="32"/>
        </w:rPr>
        <w:t>社会管理专项经费（包含人民防空、安全生产等）</w:t>
      </w:r>
      <w:r>
        <w:rPr>
          <w:rFonts w:hint="default" w:ascii="Times New Roman" w:hAnsi="Times New Roman" w:eastAsia="仿宋_GB2312" w:cs="Times New Roman"/>
          <w:sz w:val="32"/>
          <w:szCs w:val="32"/>
          <w:lang w:val="en-US" w:eastAsia="zh-CN"/>
        </w:rPr>
        <w:t>4万元、</w:t>
      </w:r>
      <w:r>
        <w:rPr>
          <w:rFonts w:hint="default" w:ascii="Times New Roman" w:hAnsi="Times New Roman" w:eastAsia="仿宋_GB2312" w:cs="Times New Roman"/>
          <w:sz w:val="32"/>
          <w:szCs w:val="32"/>
        </w:rPr>
        <w:t>基层政权事业专项经费（含基层人民武装业务费）</w:t>
      </w:r>
      <w:r>
        <w:rPr>
          <w:rFonts w:hint="default" w:ascii="Times New Roman" w:hAnsi="Times New Roman" w:eastAsia="仿宋_GB2312" w:cs="Times New Roman"/>
          <w:sz w:val="32"/>
          <w:szCs w:val="32"/>
          <w:lang w:val="en-US" w:eastAsia="zh-CN"/>
        </w:rPr>
        <w:t>4万元、</w:t>
      </w:r>
      <w:r>
        <w:rPr>
          <w:rFonts w:hint="default" w:ascii="Times New Roman" w:hAnsi="Times New Roman" w:eastAsia="仿宋_GB2312" w:cs="Times New Roman"/>
          <w:sz w:val="32"/>
          <w:szCs w:val="32"/>
        </w:rPr>
        <w:t>综治维稳经费</w:t>
      </w:r>
      <w:r>
        <w:rPr>
          <w:rFonts w:hint="default" w:ascii="Times New Roman" w:hAnsi="Times New Roman" w:eastAsia="仿宋_GB2312" w:cs="Times New Roman"/>
          <w:sz w:val="32"/>
          <w:szCs w:val="32"/>
          <w:lang w:val="en-US" w:eastAsia="zh-CN"/>
        </w:rPr>
        <w:t>3万元、</w:t>
      </w:r>
      <w:r>
        <w:rPr>
          <w:rFonts w:hint="default" w:ascii="Times New Roman" w:hAnsi="Times New Roman" w:eastAsia="仿宋_GB2312" w:cs="Times New Roman"/>
          <w:sz w:val="32"/>
          <w:szCs w:val="32"/>
        </w:rPr>
        <w:t>新冠肺炎疫情防控工作经费</w:t>
      </w:r>
      <w:r>
        <w:rPr>
          <w:rFonts w:hint="default" w:ascii="Times New Roman" w:hAnsi="Times New Roman" w:eastAsia="仿宋_GB2312" w:cs="Times New Roman"/>
          <w:sz w:val="32"/>
          <w:szCs w:val="32"/>
          <w:lang w:val="en-US" w:eastAsia="zh-CN"/>
        </w:rPr>
        <w:t>4万元、</w:t>
      </w:r>
      <w:r>
        <w:rPr>
          <w:rFonts w:hint="default" w:ascii="Times New Roman" w:hAnsi="Times New Roman" w:eastAsia="仿宋_GB2312" w:cs="Times New Roman"/>
          <w:sz w:val="32"/>
          <w:szCs w:val="32"/>
        </w:rPr>
        <w:t>人大代表经费</w:t>
      </w:r>
      <w:r>
        <w:rPr>
          <w:rFonts w:hint="default" w:ascii="Times New Roman" w:hAnsi="Times New Roman" w:eastAsia="仿宋_GB2312" w:cs="Times New Roman"/>
          <w:sz w:val="32"/>
          <w:szCs w:val="32"/>
          <w:lang w:val="en-US" w:eastAsia="zh-CN"/>
        </w:rPr>
        <w:t>1万元）”。年末共计支出16万元。</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资产情况</w:t>
      </w:r>
      <w:r>
        <w:rPr>
          <w:rFonts w:hint="default" w:ascii="Times New Roman" w:hAnsi="Times New Roman" w:eastAsia="楷体_GB2312" w:cs="Times New Roman"/>
          <w:sz w:val="32"/>
          <w:szCs w:val="32"/>
          <w:lang w:eastAsia="zh-CN"/>
        </w:rPr>
        <w:t>。</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截止2020年12月31日固定资产原值374万元，其中，家具、用具及装具111.5万元，专用设备1258元，通用设备原值14.78万元，土地、房屋及构筑屋资产原值247.6万元。</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（三）内控制度管理。</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（1）内部控制制度的设置及执行情况。</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我办内控在单位层面成立了单位内控领导小组及工作小组；在业务层面内部控制管理</w:t>
      </w:r>
      <w:r>
        <w:rPr>
          <w:rFonts w:hint="default" w:ascii="Times New Roman" w:hAnsi="Times New Roman" w:eastAsia="仿宋_GB2312" w:cs="Times New Roman"/>
          <w:i w:val="0"/>
          <w:caps w:val="0"/>
          <w:color w:val="000000"/>
          <w:spacing w:val="0"/>
          <w:sz w:val="32"/>
          <w:szCs w:val="32"/>
          <w:shd w:val="clear" w:color="auto" w:fill="FFFFFF"/>
        </w:rPr>
        <w:t>方面，严格执行各项财务管理制度，强化资金管理和使用。</w:t>
      </w:r>
      <w:r>
        <w:rPr>
          <w:rFonts w:hint="default" w:ascii="Times New Roman" w:hAnsi="Times New Roman" w:eastAsia="仿宋_GB2312" w:cs="Times New Roman"/>
          <w:i w:val="0"/>
          <w:caps w:val="0"/>
          <w:color w:val="333333"/>
          <w:spacing w:val="0"/>
          <w:sz w:val="32"/>
          <w:szCs w:val="32"/>
          <w:shd w:val="clear" w:color="auto" w:fill="FFFFFF"/>
        </w:rPr>
        <w:t>通过加强预算收支管理，不断</w:t>
      </w:r>
      <w:r>
        <w:rPr>
          <w:rFonts w:hint="default" w:ascii="Times New Roman" w:hAnsi="Times New Roman" w:eastAsia="仿宋_GB2312" w:cs="Times New Roman"/>
          <w:i w:val="0"/>
          <w:caps w:val="0"/>
          <w:color w:val="333333"/>
          <w:spacing w:val="0"/>
          <w:sz w:val="32"/>
          <w:szCs w:val="32"/>
          <w:shd w:val="clear" w:color="auto" w:fill="FFFFFF"/>
          <w:lang w:eastAsia="zh-CN"/>
        </w:rPr>
        <w:t>完善我办内部控制制</w:t>
      </w:r>
      <w:r>
        <w:rPr>
          <w:rFonts w:hint="default" w:ascii="Times New Roman" w:hAnsi="Times New Roman" w:eastAsia="仿宋_GB2312" w:cs="Times New Roman"/>
          <w:i w:val="0"/>
          <w:caps w:val="0"/>
          <w:color w:val="000000"/>
          <w:spacing w:val="0"/>
          <w:sz w:val="32"/>
          <w:szCs w:val="32"/>
          <w:shd w:val="clear" w:color="auto" w:fill="FFFFFF"/>
          <w:lang w:eastAsia="zh-CN"/>
        </w:rPr>
        <w:t>度，梳理内部管理流程，管好用好每笔资金，杜绝违规违法事件的发生。财务活动接受审计、财政监督、纪检监察等部门的监督检查。</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w:t>
      </w:r>
      <w:r>
        <w:rPr>
          <w:rFonts w:hint="default" w:ascii="Times New Roman" w:hAnsi="Times New Roman" w:eastAsia="仿宋_GB2312" w:cs="Times New Roman"/>
          <w:i w:val="0"/>
          <w:caps w:val="0"/>
          <w:color w:val="000000"/>
          <w:spacing w:val="0"/>
          <w:sz w:val="32"/>
          <w:szCs w:val="32"/>
          <w:shd w:val="clear" w:color="auto" w:fill="FFFFFF"/>
          <w:lang w:val="en-US" w:eastAsia="zh-CN"/>
        </w:rPr>
        <w:t>2</w:t>
      </w:r>
      <w:r>
        <w:rPr>
          <w:rFonts w:hint="default" w:ascii="Times New Roman" w:hAnsi="Times New Roman" w:eastAsia="仿宋_GB2312" w:cs="Times New Roman"/>
          <w:i w:val="0"/>
          <w:caps w:val="0"/>
          <w:color w:val="000000"/>
          <w:spacing w:val="0"/>
          <w:sz w:val="32"/>
          <w:szCs w:val="32"/>
          <w:shd w:val="clear" w:color="auto" w:fill="FFFFFF"/>
          <w:lang w:eastAsia="zh-CN"/>
        </w:rPr>
        <w:t>）部门内部控制制度的执行。</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我办结合街道的实际工作情况，进一步完善内控制度，完善了街道及社区的财务管理制度，规范了财务审批流程、财务稽核及印章管理、会计档案等内容，在工作中严格按照相关制度执行。</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楷体_GB2312" w:cs="Times New Roman"/>
          <w:i w:val="0"/>
          <w:caps w:val="0"/>
          <w:color w:val="000000"/>
          <w:spacing w:val="0"/>
          <w:sz w:val="32"/>
          <w:szCs w:val="32"/>
          <w:shd w:val="clear" w:color="auto" w:fill="FFFFFF"/>
          <w:lang w:eastAsia="zh-CN"/>
        </w:rPr>
      </w:pPr>
      <w:r>
        <w:rPr>
          <w:rFonts w:hint="default" w:ascii="Times New Roman" w:hAnsi="Times New Roman" w:eastAsia="楷体_GB2312" w:cs="Times New Roman"/>
          <w:i w:val="0"/>
          <w:caps w:val="0"/>
          <w:color w:val="000000"/>
          <w:spacing w:val="0"/>
          <w:sz w:val="32"/>
          <w:szCs w:val="32"/>
          <w:shd w:val="clear" w:color="auto" w:fill="FFFFFF"/>
          <w:lang w:eastAsia="zh-CN"/>
        </w:rPr>
        <w:t>（四）信息公开。</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1.执行绩效管理计划，年初根据街办绩效管理目标制定管理计划，落实责任，明确分工。</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2.建立绩效评价结果的反馈与整改、激励与批评，进一步完善绩效评价结果的反馈和运用机制，增强单位的责任感和紧迫感。</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3.根据区财政局批复的年初预算，及时、准确的在人民政府网站上进行公开，各项经费的开支都以批复为准，均以实际工作进展情况执行预算管理，以节约为本，严格控制各项经费的开支，压缩公用经费，</w:t>
      </w:r>
      <w:r>
        <w:rPr>
          <w:rFonts w:hint="default" w:ascii="Times New Roman" w:hAnsi="Times New Roman" w:eastAsia="仿宋_GB2312" w:cs="Times New Roman"/>
          <w:i w:val="0"/>
          <w:caps w:val="0"/>
          <w:color w:val="000000"/>
          <w:spacing w:val="0"/>
          <w:sz w:val="32"/>
          <w:szCs w:val="32"/>
          <w:shd w:val="clear" w:color="auto" w:fill="FFFFFF"/>
          <w:lang w:val="en-US" w:eastAsia="zh-CN"/>
        </w:rPr>
        <w:t>2020年我办无公务接待费用、无出国境支出，公用用车运行经费2.5万元，未超预算。</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（五）绩效监控。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2020年度大宝鼎街道办事处部门预算资金支出合计为418.34万元，其中包含工资福利支出192.73万元、日常公用支出19.68万元和对个人和家庭的补助支出189.93万元三项基本支出402.34万元和行政类项目支出16万元。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1.2020年1-8月追加财政资金9万元。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2019年结转资金4.99万元，其中社会养老服务体系建设市级补助资金1.03万元（年初结转5.4万元，2020年8月指标追减-4.4万元）、2019年网格化经费0.96万元、2019年省级基层组织活动和公共服务运行经费3万元。</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部门预算1—8月执行情况</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.工资福利支出情况：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年初预算192.73万元，1—8月已使用117.78万元，主要用于街道公务员、事业人员、临聘、公益岗位人员的工资、社保、公积金、生活补助等支出。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（2）.日常公用</w:t>
      </w:r>
      <w:r>
        <w:rPr>
          <w:rFonts w:hint="default" w:ascii="Times New Roman" w:hAnsi="Times New Roman" w:eastAsia="仿宋_GB2312" w:cs="Times New Roman"/>
          <w:b/>
          <w:bCs/>
          <w:sz w:val="32"/>
          <w:szCs w:val="32"/>
        </w:rPr>
        <w:t>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年初预算19.68万元，1—8月已使用7.14万元，主要用于日常办公用品采购、水电费、差旅费、公务用车运行维护费等支出。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（3）.对个人和家庭的补助支出情况：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年初预算189.93万元，1—8月已使用114.34万元，主要用于社区干部的工资、社保、公积金，援藏干部补贴等经费支出。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（4）.行政类项目支出情况：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年初预算16万元，1—8月已使用5.92万元，主要用于购买防疫物资、食堂运行、节假日值班、防汛值班等经费支出。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（5）.追加财政资金支出情况：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2020年1-8月追加财政资金9万元，1—8月已使用6万元，主要用于社区购买办公用品、电话费、水电费等日常办公运转支出。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（6）.上年度实际结转资金支出情况：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上年度结转资金4.99万元，1—8月已使用1.99万元，主要用于沿江日间照料中心维修、维护、2020年1-2月网格员经费等支出。</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五、部门绩效情况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（一）总体绩效。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2020年，我街办以绩效目标实现为导向，进一步加强制度建设，提升自评质量，使预算绩效管理取得新成效。一是抓好绩效目标编制工作，让绩效目标细化，提高绩效目标可执行性。二是对申报项目资金进行严管严控，将专项资金有计划有目标的用于专项项目的建设。三是深入开展预算支出绩效评价，对各个股室的全年工作情况进行核查并汇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1、行政运转保障，在经费支出安排上，全面保障了我办机关正常运转。首先保障工资福利支出，每月工资准时上报。其次为各科室及各社区的工作开展做好后勤保障，在经费上保证各科室各社区能更好的履行职能职责，促进工作正常有序开展。</w:t>
      </w:r>
    </w:p>
    <w:p>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2、机关厉行节约，在保证行政运转下尽量控制压缩经费开支。2020年因共出国出境0元，公务接待费0元，</w:t>
      </w:r>
      <w:r>
        <w:rPr>
          <w:rFonts w:hint="default" w:ascii="Times New Roman" w:hAnsi="Times New Roman" w:eastAsia="仿宋_GB2312" w:cs="Times New Roman"/>
          <w:sz w:val="32"/>
          <w:szCs w:val="32"/>
        </w:rPr>
        <w:t>公务用车购置及运行维护费支出</w:t>
      </w:r>
      <w:r>
        <w:rPr>
          <w:rFonts w:hint="default" w:ascii="Times New Roman" w:hAnsi="Times New Roman" w:eastAsia="仿宋_GB2312" w:cs="Times New Roman"/>
          <w:sz w:val="32"/>
          <w:szCs w:val="32"/>
          <w:lang w:val="en-US" w:eastAsia="zh-CN"/>
        </w:rPr>
        <w:t>25000元。我办严格按照节能降耗相关要求，做实做细节能采购、节约用电、节约用水等机关节能降耗措施。</w:t>
      </w:r>
    </w:p>
    <w:p>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3、项目预算支出符合规范。我办严格按照资金用途使用，做到专款专用，确保资金使用安全、公平、合理。</w:t>
      </w:r>
    </w:p>
    <w:p>
      <w:pPr>
        <w:keepNext w:val="0"/>
        <w:keepLines w:val="0"/>
        <w:pageBreakBefore w:val="0"/>
        <w:numPr>
          <w:ilvl w:val="0"/>
          <w:numId w:val="4"/>
        </w:numPr>
        <w:kinsoku/>
        <w:wordWrap/>
        <w:overflowPunct/>
        <w:topLinePunct w:val="0"/>
        <w:autoSpaceDE/>
        <w:autoSpaceDN/>
        <w:bidi w:val="0"/>
        <w:spacing w:line="360" w:lineRule="auto"/>
        <w:ind w:firstLine="640" w:firstLineChars="200"/>
        <w:textAlignment w:val="auto"/>
        <w:rPr>
          <w:rStyle w:val="22"/>
          <w:rFonts w:hint="default" w:ascii="Times New Roman" w:hAnsi="Times New Roman" w:eastAsia="楷体_GB2312" w:cs="Times New Roman"/>
          <w:color w:val="000000"/>
        </w:rPr>
      </w:pPr>
      <w:r>
        <w:rPr>
          <w:rStyle w:val="22"/>
          <w:rFonts w:hint="default" w:ascii="Times New Roman" w:hAnsi="Times New Roman" w:eastAsia="楷体_GB2312" w:cs="Times New Roman"/>
          <w:color w:val="000000"/>
        </w:rPr>
        <w:t>主要目标绩效完成情况。</w:t>
      </w:r>
    </w:p>
    <w:p>
      <w:pPr>
        <w:keepNext w:val="0"/>
        <w:keepLines w:val="0"/>
        <w:pageBreakBefore w:val="0"/>
        <w:numPr>
          <w:ilvl w:val="0"/>
          <w:numId w:val="0"/>
        </w:numPr>
        <w:kinsoku/>
        <w:wordWrap/>
        <w:overflowPunct/>
        <w:topLinePunct w:val="0"/>
        <w:autoSpaceDE/>
        <w:autoSpaceDN/>
        <w:bidi w:val="0"/>
        <w:spacing w:line="360" w:lineRule="auto"/>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color w:val="000000"/>
          <w:sz w:val="32"/>
          <w:szCs w:val="32"/>
        </w:rPr>
        <w:t>全员发力，攻坚克难，打好疫情防控攻坚战。</w:t>
      </w:r>
      <w:r>
        <w:rPr>
          <w:rFonts w:hint="default" w:ascii="Times New Roman" w:hAnsi="Times New Roman" w:eastAsia="仿宋_GB2312" w:cs="Times New Roman"/>
          <w:color w:val="000000"/>
          <w:sz w:val="32"/>
          <w:szCs w:val="32"/>
        </w:rPr>
        <w:t>采取“一员两长三卡四常态”的模式，构筑起群防群治的严密防线。</w:t>
      </w:r>
      <w:r>
        <w:rPr>
          <w:rFonts w:hint="default" w:ascii="Times New Roman" w:hAnsi="Times New Roman" w:eastAsia="仿宋_GB2312" w:cs="Times New Roman"/>
          <w:b/>
          <w:color w:val="000000"/>
          <w:sz w:val="32"/>
          <w:szCs w:val="32"/>
        </w:rPr>
        <w:t>一是发挥“一员”的模范作用。</w:t>
      </w:r>
      <w:r>
        <w:rPr>
          <w:rFonts w:hint="default" w:ascii="Times New Roman" w:hAnsi="Times New Roman" w:eastAsia="仿宋_GB2312" w:cs="Times New Roman"/>
          <w:color w:val="000000"/>
          <w:sz w:val="32"/>
          <w:szCs w:val="32"/>
        </w:rPr>
        <w:t>组建党员志愿者服务队15支，154名党员集体宣誓，并签订“十一个带头”承诺书，坚决扛起疫情防控责任；联合陶家渡街道、大宝顶矿、小宝鼎矿设立检查点2个，共招党员募志愿者79人，累计服务14807小时，服务3238人次，发放疫情防控宣传单 2040 余张，累计张贴公告、温馨提示1556 余张，开展劝导1000余次；</w:t>
      </w:r>
      <w:r>
        <w:rPr>
          <w:rFonts w:hint="default" w:ascii="Times New Roman" w:hAnsi="Times New Roman" w:eastAsia="仿宋_GB2312" w:cs="Times New Roman"/>
          <w:b/>
          <w:color w:val="000000"/>
          <w:sz w:val="32"/>
          <w:szCs w:val="32"/>
        </w:rPr>
        <w:t>二是发挥“两组长”引擎作用。</w:t>
      </w:r>
      <w:r>
        <w:rPr>
          <w:rFonts w:hint="default" w:ascii="Times New Roman" w:hAnsi="Times New Roman" w:eastAsia="仿宋_GB2312" w:cs="Times New Roman"/>
          <w:color w:val="000000"/>
          <w:sz w:val="32"/>
          <w:szCs w:val="32"/>
        </w:rPr>
        <w:t>成立“居民小组长+楼栋长”居民楼栋双组长，分片区、分楼栋集中开展入户摸排、登记、宣传、劝导、治安巡逻、为居民对应发放“三色卡”等工作，快速完成对辖区93栋楼房2717户居民的入户登记工作；</w:t>
      </w:r>
      <w:r>
        <w:rPr>
          <w:rFonts w:hint="default" w:ascii="Times New Roman" w:hAnsi="Times New Roman" w:eastAsia="仿宋_GB2312" w:cs="Times New Roman"/>
          <w:b/>
          <w:color w:val="000000"/>
          <w:sz w:val="32"/>
          <w:szCs w:val="32"/>
        </w:rPr>
        <w:t>三是发挥“三卡”的严管作用。</w:t>
      </w:r>
      <w:r>
        <w:rPr>
          <w:rFonts w:hint="default" w:ascii="Times New Roman" w:hAnsi="Times New Roman" w:eastAsia="仿宋_GB2312" w:cs="Times New Roman"/>
          <w:color w:val="000000"/>
          <w:sz w:val="32"/>
          <w:szCs w:val="32"/>
        </w:rPr>
        <w:t>实施红黄绿“三色卡”封闭式管理，分 A、B、C三类精细化管控居民，居民、车辆凭卡出入，一人一卡通行，对居家隔离观察期和隔离人员家庭成员实行动态管理，期满后及时快速地对表“换卡”；在居民楼栋重要路段出入口设立24个防控监测点，实行24小时“严盯死守”，严把居民“出入关”。</w:t>
      </w:r>
      <w:r>
        <w:rPr>
          <w:rFonts w:hint="default" w:ascii="Times New Roman" w:hAnsi="Times New Roman" w:eastAsia="仿宋_GB2312" w:cs="Times New Roman"/>
          <w:b/>
          <w:color w:val="000000"/>
          <w:sz w:val="32"/>
          <w:szCs w:val="32"/>
        </w:rPr>
        <w:t>四是</w:t>
      </w:r>
      <w:r>
        <w:rPr>
          <w:rFonts w:hint="default" w:ascii="Times New Roman" w:hAnsi="Times New Roman" w:eastAsia="仿宋_GB2312" w:cs="Times New Roman"/>
          <w:b/>
          <w:sz w:val="32"/>
          <w:szCs w:val="32"/>
        </w:rPr>
        <w:t>常态化</w:t>
      </w:r>
      <w:r>
        <w:rPr>
          <w:rFonts w:hint="default" w:ascii="Times New Roman" w:hAnsi="Times New Roman" w:eastAsia="仿宋_GB2312" w:cs="Times New Roman"/>
          <w:b/>
          <w:color w:val="000000"/>
          <w:sz w:val="32"/>
          <w:szCs w:val="32"/>
        </w:rPr>
        <w:t>做好</w:t>
      </w:r>
      <w:r>
        <w:rPr>
          <w:rFonts w:hint="default" w:ascii="Times New Roman" w:hAnsi="Times New Roman" w:eastAsia="仿宋_GB2312" w:cs="Times New Roman"/>
          <w:b/>
          <w:sz w:val="32"/>
          <w:szCs w:val="32"/>
        </w:rPr>
        <w:t>防控工作。1.</w:t>
      </w:r>
      <w:r>
        <w:rPr>
          <w:rFonts w:hint="default" w:ascii="Times New Roman" w:hAnsi="Times New Roman" w:eastAsia="仿宋_GB2312" w:cs="Times New Roman"/>
          <w:sz w:val="32"/>
          <w:szCs w:val="32"/>
        </w:rPr>
        <w:t>认真梳理“来攀人员信息”；2.填写“大数据来攀人员信息表”；3.自制“居民主动登记表”；4.细致排查来攀（返攀）人员。截</w:t>
      </w:r>
      <w:r>
        <w:rPr>
          <w:rFonts w:hint="eastAsia"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目前，累计排查28069人，居家隔离来攀（返攀）人员882人；无疫情高、中风险区来攀人员及境外来攀返攀人员。</w:t>
      </w:r>
    </w:p>
    <w:p>
      <w:pPr>
        <w:keepNext w:val="0"/>
        <w:keepLines w:val="0"/>
        <w:pageBreakBefore w:val="0"/>
        <w:kinsoku/>
        <w:wordWrap/>
        <w:overflowPunct/>
        <w:topLinePunct w:val="0"/>
        <w:autoSpaceDE/>
        <w:autoSpaceDN/>
        <w:bidi w:val="0"/>
        <w:spacing w:line="360" w:lineRule="auto"/>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2.抓好重点，把握关键，统筹经济发展。</w:t>
      </w:r>
      <w:r>
        <w:rPr>
          <w:rFonts w:hint="default" w:ascii="Times New Roman" w:hAnsi="Times New Roman" w:eastAsia="仿宋_GB2312" w:cs="Times New Roman"/>
          <w:color w:val="000000"/>
          <w:sz w:val="32"/>
          <w:szCs w:val="32"/>
        </w:rPr>
        <w:t>主动服务“两城”建设、省级新区创建、推动成渝地区双城经济圈建设，抓好辖区经济建设。在</w:t>
      </w:r>
      <w:r>
        <w:rPr>
          <w:rFonts w:hint="default" w:ascii="Times New Roman" w:hAnsi="Times New Roman" w:eastAsia="仿宋_GB2312" w:cs="Times New Roman"/>
          <w:sz w:val="32"/>
          <w:szCs w:val="32"/>
        </w:rPr>
        <w:t>经济下行压力持续加大形式下，做实“招商引资、培育扶持”等文章。</w:t>
      </w:r>
      <w:r>
        <w:rPr>
          <w:rFonts w:hint="default" w:ascii="Times New Roman" w:hAnsi="Times New Roman" w:eastAsia="仿宋_GB2312" w:cs="Times New Roman"/>
          <w:b/>
          <w:sz w:val="32"/>
          <w:szCs w:val="32"/>
        </w:rPr>
        <w:t>一是招商引资。</w:t>
      </w:r>
      <w:r>
        <w:rPr>
          <w:rFonts w:hint="default" w:ascii="Times New Roman" w:hAnsi="Times New Roman" w:eastAsia="仿宋_GB2312" w:cs="Times New Roman"/>
          <w:sz w:val="32"/>
          <w:szCs w:val="32"/>
        </w:rPr>
        <w:t>发挥老工业基地地域优势和资源优势，主动洽谈意向企业，对接重点项目，指导各类企业用好相关政策优惠，帮助企业解决在减免房租、贷款融资等方面遇到的各类难题，为企业发展创造优良的环境。</w:t>
      </w:r>
      <w:r>
        <w:rPr>
          <w:rFonts w:hint="default" w:ascii="Times New Roman" w:hAnsi="Times New Roman" w:eastAsia="仿宋_GB2312" w:cs="Times New Roman"/>
          <w:b/>
          <w:sz w:val="32"/>
          <w:szCs w:val="32"/>
        </w:rPr>
        <w:t>二是培育扶持。</w:t>
      </w:r>
      <w:r>
        <w:rPr>
          <w:rFonts w:hint="default" w:ascii="Times New Roman" w:hAnsi="Times New Roman" w:eastAsia="仿宋_GB2312" w:cs="Times New Roman"/>
          <w:color w:val="000000"/>
          <w:sz w:val="32"/>
          <w:szCs w:val="32"/>
        </w:rPr>
        <w:t>采取“助力+扶持”的方式，培育规上企业2家，</w:t>
      </w:r>
      <w:r>
        <w:rPr>
          <w:rFonts w:hint="default" w:ascii="Times New Roman" w:hAnsi="Times New Roman" w:eastAsia="仿宋_GB2312" w:cs="Times New Roman"/>
          <w:sz w:val="32"/>
          <w:szCs w:val="32"/>
        </w:rPr>
        <w:t>及时摸清和掌握企业在复工复产过程中遇到的困难，并</w:t>
      </w:r>
      <w:r>
        <w:rPr>
          <w:rFonts w:hint="default" w:ascii="Times New Roman" w:hAnsi="Times New Roman" w:eastAsia="仿宋_GB2312" w:cs="Times New Roman"/>
          <w:color w:val="000000"/>
          <w:sz w:val="32"/>
          <w:szCs w:val="32"/>
        </w:rPr>
        <w:t>统筹推进企业复工复产、项目建设、招商引资等工作，自愿组建党员突击队、党员先锋队，深入走访辖区复工复企业4家，为企业协调解决复工复产和生产经营面临的困难20余起，送上酒精、消毒水、口罩等防护物资价值1000余元。</w:t>
      </w:r>
      <w:r>
        <w:rPr>
          <w:rFonts w:hint="eastAsia" w:ascii="Times New Roman" w:hAnsi="Times New Roman" w:eastAsia="仿宋_GB2312" w:cs="Times New Roman"/>
          <w:color w:val="000000"/>
          <w:sz w:val="32"/>
          <w:szCs w:val="32"/>
          <w:lang w:eastAsia="zh-CN"/>
        </w:rPr>
        <w:t>截至</w:t>
      </w:r>
      <w:r>
        <w:rPr>
          <w:rFonts w:hint="default" w:ascii="Times New Roman" w:hAnsi="Times New Roman" w:eastAsia="仿宋_GB2312" w:cs="Times New Roman"/>
          <w:sz w:val="32"/>
          <w:szCs w:val="32"/>
        </w:rPr>
        <w:t>目前，固定资产投资全年目标任务为4.5亿，已完成全年目标任务98%；招商引资全年目标任务4.5亿元，已完成全年目标任务89%；工业投资全年目标任务2.56亿元，已完成全年目标任务94%；技改投资全年目标任务1.44亿元，已完成全年目标任务83%；社会消费品零售总额现已报送436万元。</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color w:val="000000"/>
          <w:sz w:val="32"/>
          <w:szCs w:val="32"/>
        </w:rPr>
        <w:t xml:space="preserve">  </w:t>
      </w:r>
    </w:p>
    <w:p>
      <w:pPr>
        <w:keepNext w:val="0"/>
        <w:keepLines w:val="0"/>
        <w:pageBreakBefore w:val="0"/>
        <w:kinsoku/>
        <w:wordWrap/>
        <w:overflowPunct/>
        <w:topLinePunct w:val="0"/>
        <w:autoSpaceDE/>
        <w:autoSpaceDN/>
        <w:bidi w:val="0"/>
        <w:spacing w:line="360" w:lineRule="auto"/>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3.真抓实干，求真务实，保障民生项目。一是完成社区建制调整改革。</w:t>
      </w:r>
      <w:r>
        <w:rPr>
          <w:rFonts w:hint="default" w:ascii="Times New Roman" w:hAnsi="Times New Roman" w:eastAsia="仿宋_GB2312" w:cs="Times New Roman"/>
          <w:color w:val="000000"/>
          <w:sz w:val="32"/>
          <w:szCs w:val="32"/>
        </w:rPr>
        <w:t>圆满完成沿江和干巴塘社区建制调整改革工作，组建沿江社区临时党总支和沿江社区居民委员会。</w:t>
      </w:r>
      <w:r>
        <w:rPr>
          <w:rFonts w:hint="default" w:ascii="Times New Roman" w:hAnsi="Times New Roman" w:eastAsia="仿宋_GB2312" w:cs="Times New Roman"/>
          <w:b/>
          <w:color w:val="000000"/>
          <w:sz w:val="32"/>
          <w:szCs w:val="32"/>
        </w:rPr>
        <w:t>二是做好基层服务“最后一公里”</w:t>
      </w:r>
      <w:r>
        <w:rPr>
          <w:rFonts w:hint="default" w:ascii="Times New Roman" w:hAnsi="Times New Roman" w:eastAsia="仿宋_GB2312" w:cs="Times New Roman"/>
          <w:b/>
          <w:kern w:val="0"/>
          <w:sz w:val="32"/>
          <w:szCs w:val="32"/>
        </w:rPr>
        <w:t>。</w:t>
      </w:r>
      <w:r>
        <w:rPr>
          <w:rFonts w:hint="default" w:ascii="Times New Roman" w:hAnsi="Times New Roman" w:eastAsia="仿宋_GB2312" w:cs="Times New Roman"/>
          <w:kern w:val="0"/>
          <w:sz w:val="32"/>
          <w:szCs w:val="32"/>
        </w:rPr>
        <w:t>为提升基层便民服务质量，</w:t>
      </w:r>
      <w:r>
        <w:rPr>
          <w:rFonts w:hint="default" w:ascii="Times New Roman" w:hAnsi="Times New Roman" w:eastAsia="仿宋_GB2312" w:cs="Times New Roman"/>
          <w:color w:val="000000"/>
          <w:sz w:val="32"/>
          <w:szCs w:val="32"/>
        </w:rPr>
        <w:t>在“五个公开”服务的基础上，采取“信息整合+部门协同”，打造“一站式”“一公里服务圈”等便民服务，为各类贫困对象建立“一户一表”的常态化服务台账；实现群众办事“只进一扇门”“只跑一次路”；依托“党员+N”组成政策宣讲组，采取精准入户、“一策一宣”，为居民讲解各项政策，普及各类知识。</w:t>
      </w:r>
      <w:r>
        <w:rPr>
          <w:rFonts w:hint="eastAsia" w:ascii="Times New Roman" w:hAnsi="Times New Roman" w:eastAsia="仿宋_GB2312" w:cs="Times New Roman"/>
          <w:color w:val="000000"/>
          <w:sz w:val="32"/>
          <w:szCs w:val="32"/>
          <w:lang w:eastAsia="zh-CN"/>
        </w:rPr>
        <w:t>截至目前</w:t>
      </w:r>
      <w:r>
        <w:rPr>
          <w:rFonts w:hint="default" w:ascii="Times New Roman" w:hAnsi="Times New Roman" w:eastAsia="仿宋_GB2312" w:cs="Times New Roman"/>
          <w:color w:val="000000"/>
          <w:sz w:val="32"/>
          <w:szCs w:val="32"/>
        </w:rPr>
        <w:t>，集中入户128户，宣讲各类知识20余次，发放各类宣传资料1万余份；全年</w:t>
      </w:r>
      <w:r>
        <w:rPr>
          <w:rFonts w:hint="default" w:ascii="Times New Roman" w:hAnsi="Times New Roman" w:eastAsia="仿宋_GB2312" w:cs="Times New Roman"/>
          <w:sz w:val="32"/>
          <w:szCs w:val="32"/>
        </w:rPr>
        <w:t>开展计生、低保、社保、老龄、残疾人、救灾救济、退役军人、劳动保障等便民服务共计14240人次；</w:t>
      </w:r>
      <w:r>
        <w:rPr>
          <w:rFonts w:hint="default" w:ascii="Times New Roman" w:hAnsi="Times New Roman" w:eastAsia="仿宋_GB2312" w:cs="Times New Roman"/>
          <w:color w:val="000000"/>
          <w:sz w:val="32"/>
          <w:szCs w:val="32"/>
        </w:rPr>
        <w:t>累计为5900余人，发放各类救助、补贴金额60万元；</w:t>
      </w:r>
      <w:r>
        <w:rPr>
          <w:rFonts w:hint="default" w:ascii="Times New Roman" w:hAnsi="Times New Roman" w:eastAsia="仿宋_GB2312" w:cs="Times New Roman"/>
          <w:b/>
          <w:kern w:val="0"/>
          <w:sz w:val="32"/>
          <w:szCs w:val="32"/>
        </w:rPr>
        <w:t>三是改善辖区环境面貌。</w:t>
      </w:r>
      <w:r>
        <w:rPr>
          <w:rFonts w:hint="default" w:ascii="Times New Roman" w:hAnsi="Times New Roman" w:eastAsia="仿宋_GB2312" w:cs="Times New Roman"/>
          <w:kern w:val="0"/>
          <w:sz w:val="32"/>
          <w:szCs w:val="32"/>
        </w:rPr>
        <w:t>利用爱国卫生月、党员义工日提升辖区环境面貌，</w:t>
      </w:r>
      <w:r>
        <w:rPr>
          <w:rFonts w:hint="default" w:ascii="Times New Roman" w:hAnsi="Times New Roman" w:eastAsia="仿宋_GB2312" w:cs="Times New Roman"/>
          <w:color w:val="000000"/>
          <w:kern w:val="0"/>
          <w:sz w:val="32"/>
          <w:szCs w:val="32"/>
        </w:rPr>
        <w:t>组织辖区256名志愿者，发动500余人次，</w:t>
      </w:r>
      <w:r>
        <w:rPr>
          <w:rFonts w:hint="default" w:ascii="Times New Roman" w:hAnsi="Times New Roman" w:eastAsia="仿宋_GB2312" w:cs="Times New Roman"/>
          <w:kern w:val="0"/>
          <w:sz w:val="32"/>
          <w:szCs w:val="32"/>
        </w:rPr>
        <w:t>清理卫生死角100余处，小广告50余张，绿化带1000米</w:t>
      </w:r>
      <w:r>
        <w:rPr>
          <w:rFonts w:hint="default" w:ascii="Times New Roman" w:hAnsi="Times New Roman" w:eastAsia="仿宋_GB2312" w:cs="Times New Roman"/>
          <w:color w:val="000000"/>
          <w:sz w:val="32"/>
          <w:szCs w:val="32"/>
          <w:shd w:val="clear" w:color="auto" w:fill="FFFFFF"/>
        </w:rPr>
        <w:t>清除病媒孳生地20处</w:t>
      </w:r>
      <w:r>
        <w:rPr>
          <w:rFonts w:hint="default" w:ascii="Times New Roman" w:hAnsi="Times New Roman" w:eastAsia="仿宋_GB2312" w:cs="Times New Roman"/>
          <w:kern w:val="0"/>
          <w:sz w:val="32"/>
          <w:szCs w:val="32"/>
        </w:rPr>
        <w:t>，扫路面20000余米；</w:t>
      </w:r>
      <w:r>
        <w:rPr>
          <w:rFonts w:hint="default" w:ascii="Times New Roman" w:hAnsi="Times New Roman" w:eastAsia="仿宋_GB2312" w:cs="Times New Roman"/>
          <w:color w:val="000000"/>
          <w:sz w:val="32"/>
          <w:szCs w:val="32"/>
        </w:rPr>
        <w:t>联系攀煤生活服务公司及时清运辖区垃圾2吨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color w:val="000000"/>
          <w:sz w:val="32"/>
          <w:szCs w:val="32"/>
        </w:rPr>
        <w:t>四是持续推进</w:t>
      </w:r>
      <w:r>
        <w:rPr>
          <w:rFonts w:hint="default" w:ascii="Times New Roman" w:hAnsi="Times New Roman" w:eastAsia="仿宋_GB2312" w:cs="Times New Roman"/>
          <w:b/>
          <w:sz w:val="32"/>
          <w:szCs w:val="32"/>
        </w:rPr>
        <w:t>“三供一业”改造、棚改及棚改拆除工作。</w:t>
      </w:r>
      <w:r>
        <w:rPr>
          <w:rFonts w:hint="default" w:ascii="Times New Roman" w:hAnsi="Times New Roman" w:eastAsia="仿宋_GB2312" w:cs="Times New Roman"/>
          <w:sz w:val="32"/>
          <w:szCs w:val="32"/>
        </w:rPr>
        <w:t>已完成街道范围内的水、电改造；“老旧小区改造项目”第一批次；拆除棚改房屋16栋；动员4户未签约棚改户完成签约；</w:t>
      </w:r>
      <w:r>
        <w:rPr>
          <w:rFonts w:hint="default" w:ascii="Times New Roman" w:hAnsi="Times New Roman" w:eastAsia="仿宋_GB2312" w:cs="Times New Roman"/>
          <w:b/>
          <w:sz w:val="32"/>
          <w:szCs w:val="32"/>
        </w:rPr>
        <w:t>五是做好国家公共文化服务示范区工作。</w:t>
      </w:r>
      <w:r>
        <w:rPr>
          <w:rFonts w:hint="default" w:ascii="Times New Roman" w:hAnsi="Times New Roman" w:eastAsia="仿宋_GB2312" w:cs="Times New Roman"/>
          <w:sz w:val="32"/>
          <w:szCs w:val="32"/>
        </w:rPr>
        <w:t>继续加强创建国家公共文化服务示范区创建工作。制定工作宣传方案，对照任务分解表，逐项建立工作进度表2份，问题整改台账1张，确保按时按期推进工作；</w:t>
      </w:r>
      <w:r>
        <w:rPr>
          <w:rFonts w:hint="eastAsia" w:ascii="Times New Roman" w:hAnsi="Times New Roman" w:eastAsia="仿宋_GB2312" w:cs="Times New Roman"/>
          <w:sz w:val="32"/>
          <w:szCs w:val="32"/>
          <w:lang w:eastAsia="zh-CN"/>
        </w:rPr>
        <w:t>截至目前</w:t>
      </w:r>
      <w:r>
        <w:rPr>
          <w:rFonts w:hint="default" w:ascii="Times New Roman" w:hAnsi="Times New Roman" w:eastAsia="仿宋_GB2312" w:cs="Times New Roman"/>
          <w:sz w:val="32"/>
          <w:szCs w:val="32"/>
        </w:rPr>
        <w:t>，已发放宣传资料200余份，张贴宣传海报50余张，悬挂宣传横幅5条。</w:t>
      </w:r>
    </w:p>
    <w:p>
      <w:pPr>
        <w:keepNext w:val="0"/>
        <w:keepLines w:val="0"/>
        <w:pageBreakBefore w:val="0"/>
        <w:kinsoku/>
        <w:wordWrap/>
        <w:overflowPunct/>
        <w:topLinePunct w:val="0"/>
        <w:autoSpaceDE/>
        <w:autoSpaceDN/>
        <w:bidi w:val="0"/>
        <w:spacing w:line="360" w:lineRule="auto"/>
        <w:ind w:firstLine="64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color w:val="000000"/>
          <w:sz w:val="32"/>
          <w:szCs w:val="32"/>
        </w:rPr>
        <w:t>4.健全体制，强化责任，筑牢安全防线。</w:t>
      </w:r>
      <w:r>
        <w:rPr>
          <w:rFonts w:hint="default" w:ascii="Times New Roman" w:hAnsi="Times New Roman" w:eastAsia="仿宋_GB2312" w:cs="Times New Roman"/>
          <w:spacing w:val="-4"/>
          <w:sz w:val="32"/>
          <w:szCs w:val="32"/>
        </w:rPr>
        <w:t>坚持“安全第一、预防为主</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综合治理”的方针，重点抓好煤矿安全生产、森林草原防灭火打击私挖盗采、消防安全、地质灾害、防汛安全和危险化学品等工作。</w:t>
      </w:r>
      <w:r>
        <w:rPr>
          <w:rFonts w:hint="default" w:ascii="Times New Roman" w:hAnsi="Times New Roman" w:eastAsia="仿宋_GB2312" w:cs="Times New Roman"/>
          <w:b/>
          <w:color w:val="000000"/>
          <w:sz w:val="32"/>
          <w:szCs w:val="32"/>
        </w:rPr>
        <w:t>一是工作重点突出。</w:t>
      </w:r>
      <w:r>
        <w:rPr>
          <w:rFonts w:hint="default" w:ascii="Times New Roman" w:hAnsi="Times New Roman" w:eastAsia="仿宋_GB2312" w:cs="Times New Roman"/>
          <w:spacing w:val="-4"/>
          <w:sz w:val="32"/>
          <w:szCs w:val="32"/>
        </w:rPr>
        <w:t>利用各类会议、活动，加大对辖区森林草原防灭火、防汛安全、民营企业的安全生产宣传教育工作，并利用宣传栏、社区墙报、板报等多种形式对广大社区居民进行安全知识宣传。</w:t>
      </w:r>
      <w:r>
        <w:rPr>
          <w:rFonts w:hint="eastAsia" w:ascii="Times New Roman" w:hAnsi="Times New Roman" w:eastAsia="仿宋_GB2312" w:cs="Times New Roman"/>
          <w:spacing w:val="-4"/>
          <w:sz w:val="32"/>
          <w:szCs w:val="32"/>
          <w:lang w:eastAsia="zh-CN"/>
        </w:rPr>
        <w:t>截至目前</w:t>
      </w:r>
      <w:r>
        <w:rPr>
          <w:rFonts w:hint="default" w:ascii="Times New Roman" w:hAnsi="Times New Roman" w:eastAsia="仿宋_GB2312" w:cs="Times New Roman"/>
          <w:spacing w:val="-4"/>
          <w:sz w:val="32"/>
          <w:szCs w:val="32"/>
        </w:rPr>
        <w:t>，召开3次安委会、10余次安全工作专题会议学习和传达省、市、区相关文件精神，制定专项整治实施方案4个，开展各类安全专项检查10余次，查出各类安全隐患30余处，发放限期整改责任书6份。</w:t>
      </w:r>
      <w:r>
        <w:rPr>
          <w:rFonts w:hint="default" w:ascii="Times New Roman" w:hAnsi="Times New Roman" w:eastAsia="仿宋_GB2312" w:cs="Times New Roman"/>
          <w:color w:val="000000"/>
          <w:sz w:val="32"/>
          <w:szCs w:val="32"/>
        </w:rPr>
        <w:t>集中深入居民家中宣传地质灾害防治、森林草原防火等知识，发放地质灾害避险卡300余张，</w:t>
      </w:r>
      <w:r>
        <w:rPr>
          <w:rFonts w:hint="default" w:ascii="Times New Roman" w:hAnsi="Times New Roman" w:eastAsia="仿宋_GB2312" w:cs="Times New Roman"/>
          <w:color w:val="222222"/>
          <w:sz w:val="32"/>
          <w:szCs w:val="32"/>
          <w:shd w:val="clear" w:color="auto" w:fill="FFFFFF"/>
        </w:rPr>
        <w:t>各类宣传资料1万余份，横幅、标语等宣传3000余次（条）</w:t>
      </w:r>
      <w:r>
        <w:rPr>
          <w:rFonts w:hint="default" w:ascii="Times New Roman" w:hAnsi="Times New Roman" w:eastAsia="仿宋_GB2312" w:cs="Times New Roman"/>
          <w:color w:val="000000"/>
          <w:sz w:val="32"/>
          <w:szCs w:val="32"/>
        </w:rPr>
        <w:t>；发送预警短信800余条、启动预警广播7次。</w:t>
      </w:r>
      <w:r>
        <w:rPr>
          <w:rFonts w:hint="default" w:ascii="Times New Roman" w:hAnsi="Times New Roman" w:eastAsia="仿宋_GB2312" w:cs="Times New Roman"/>
          <w:b/>
          <w:spacing w:val="-4"/>
          <w:sz w:val="32"/>
          <w:szCs w:val="32"/>
        </w:rPr>
        <w:t>二是举措扎实有力。</w:t>
      </w:r>
      <w:r>
        <w:rPr>
          <w:rFonts w:hint="default" w:ascii="Times New Roman" w:hAnsi="Times New Roman" w:eastAsia="仿宋_GB2312" w:cs="Times New Roman"/>
          <w:color w:val="000000"/>
          <w:sz w:val="32"/>
          <w:szCs w:val="32"/>
        </w:rPr>
        <w:t>打造“五位一体”地质灾害防治体系。修订完善《大宝鼎街道办事处应急管理实务操作手册》，严格落实24小时防汛值班制度，组建党员志愿者防汛抢险队伍，及时开展应急避险演练5场次，开展4轮“拉网式”隐患排查，及时编制应急预案3个；</w:t>
      </w:r>
      <w:r>
        <w:rPr>
          <w:rFonts w:hint="default" w:ascii="Times New Roman" w:hAnsi="Times New Roman" w:eastAsia="仿宋_GB2312" w:cs="Times New Roman"/>
          <w:sz w:val="32"/>
          <w:szCs w:val="32"/>
        </w:rPr>
        <w:t>落实好 “森林草原防灭火七级包保”工作，制定各项工作方案，对辖区共计92栋楼房及周边平房进行入户见面、宣传，实现全覆盖无死角，已完成入户1000余户/次；</w:t>
      </w:r>
      <w:r>
        <w:rPr>
          <w:rFonts w:hint="default" w:ascii="Times New Roman" w:hAnsi="Times New Roman" w:eastAsia="仿宋_GB2312" w:cs="Times New Roman"/>
          <w:spacing w:val="-4"/>
          <w:sz w:val="32"/>
          <w:szCs w:val="32"/>
        </w:rPr>
        <w:t>坚持每周“不定地点、不定时间”对辖区私挖盗采开展巡查，暂未发现有非法采矿现象；对辖区娱乐场所、超市、店铺、学校、幼儿园进行多次消防安全大检查，发出整改通知20余份，共计整治隐患30余处。</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黑体" w:cs="Times New Roman"/>
          <w:color w:val="000000"/>
          <w:kern w:val="0"/>
          <w:sz w:val="32"/>
          <w:szCs w:val="32"/>
          <w:shd w:val="clear" w:color="auto" w:fill="FFFFFF"/>
        </w:rPr>
      </w:pPr>
      <w:r>
        <w:rPr>
          <w:rStyle w:val="21"/>
          <w:rFonts w:hint="default" w:ascii="Times New Roman" w:hAnsi="Times New Roman" w:cs="Times New Roman"/>
        </w:rPr>
        <w:t>六、评价结论及建议</w:t>
      </w:r>
    </w:p>
    <w:p>
      <w:pPr>
        <w:keepNext w:val="0"/>
        <w:keepLines w:val="0"/>
        <w:pageBreakBefore w:val="0"/>
        <w:tabs>
          <w:tab w:val="left" w:pos="4246"/>
        </w:tabs>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按照财政资金使用用途和目的，我办健全了资金管理制度，款项支付规范，最大限度地发挥了财政资金的使用效率，认真执行年初预算资金计划，</w:t>
      </w:r>
      <w:r>
        <w:rPr>
          <w:rFonts w:hint="eastAsia" w:ascii="Times New Roman" w:hAnsi="Times New Roman" w:eastAsia="仿宋_GB2312" w:cs="Times New Roman"/>
          <w:color w:val="auto"/>
          <w:sz w:val="32"/>
          <w:szCs w:val="32"/>
          <w:lang w:val="en-US" w:eastAsia="zh-CN"/>
        </w:rPr>
        <w:t>账务</w:t>
      </w:r>
      <w:r>
        <w:rPr>
          <w:rFonts w:hint="default" w:ascii="Times New Roman" w:hAnsi="Times New Roman" w:eastAsia="仿宋_GB2312" w:cs="Times New Roman"/>
          <w:color w:val="auto"/>
          <w:sz w:val="32"/>
          <w:szCs w:val="32"/>
          <w:lang w:val="en-US" w:eastAsia="zh-CN"/>
        </w:rPr>
        <w:t>核算及时规范，保障了机关正常运转，促进了项目建设全面完成，圆满完成了年度工作目标任务。</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（二）存在问题。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1、预算绩效指标设置的科学性还需进一步加强。</w:t>
      </w:r>
    </w:p>
    <w:p>
      <w:pPr>
        <w:pStyle w:val="2"/>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sz w:val="32"/>
          <w:szCs w:val="32"/>
        </w:rPr>
        <w:t>因临时性工作任务的下达无预算资金保障，造成预算执行中经费紧张</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（三）改进建议。</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1 、</w:t>
      </w:r>
      <w:r>
        <w:rPr>
          <w:rFonts w:hint="default" w:ascii="Times New Roman" w:hAnsi="Times New Roman" w:eastAsia="仿宋_GB2312" w:cs="Times New Roman"/>
          <w:sz w:val="32"/>
          <w:szCs w:val="32"/>
          <w:lang w:val="en-US" w:eastAsia="zh-CN"/>
        </w:rPr>
        <w:t>继续加强对预算资金绩效评价相关方面的学习，进一步抓好绩效评价工作。</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宋体" w:cs="Times New Roman"/>
          <w:lang w:val="en-US"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增强工作的前瞻性，更好地统筹全年资金的使用</w:t>
      </w:r>
      <w:r>
        <w:rPr>
          <w:rFonts w:hint="default" w:ascii="Times New Roman" w:hAnsi="Times New Roman" w:eastAsia="仿宋_GB2312" w:cs="Times New Roman"/>
          <w:sz w:val="32"/>
          <w:szCs w:val="32"/>
          <w:lang w:eastAsia="zh-CN"/>
        </w:rPr>
        <w:t>，同时加强项目监管，督促项目推进，以便更好的完成全年目标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、将预算基础工作做好、做细，提高预算准确性。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、加强会计核算能力，以便准确的反应绩效运行的基本情况。</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tabs>
          <w:tab w:val="left" w:pos="1418"/>
        </w:tabs>
        <w:kinsoku/>
        <w:wordWrap/>
        <w:overflowPunct/>
        <w:topLinePunct w:val="0"/>
        <w:autoSpaceDE/>
        <w:autoSpaceDN/>
        <w:bidi w:val="0"/>
        <w:spacing w:line="360" w:lineRule="auto"/>
        <w:ind w:left="1560" w:firstLine="640" w:firstLineChars="200"/>
        <w:jc w:val="left"/>
        <w:textAlignment w:val="auto"/>
        <w:rPr>
          <w:rStyle w:val="22"/>
          <w:rFonts w:hint="default" w:ascii="Times New Roman" w:hAnsi="Times New Roman" w:cs="Times New Roman"/>
        </w:rPr>
      </w:pPr>
    </w:p>
    <w:p>
      <w:pPr>
        <w:keepNext w:val="0"/>
        <w:keepLines w:val="0"/>
        <w:pageBreakBefore w:val="0"/>
        <w:tabs>
          <w:tab w:val="left" w:pos="1418"/>
        </w:tabs>
        <w:kinsoku/>
        <w:wordWrap/>
        <w:overflowPunct/>
        <w:topLinePunct w:val="0"/>
        <w:autoSpaceDE/>
        <w:autoSpaceDN/>
        <w:bidi w:val="0"/>
        <w:spacing w:line="360" w:lineRule="auto"/>
        <w:jc w:val="center"/>
        <w:textAlignment w:val="auto"/>
        <w:rPr>
          <w:rStyle w:val="22"/>
          <w:rFonts w:hint="default" w:ascii="Times New Roman" w:hAnsi="Times New Roman" w:cs="Times New Roman"/>
        </w:rPr>
      </w:pPr>
      <w:r>
        <w:rPr>
          <w:rStyle w:val="22"/>
          <w:rFonts w:hint="eastAsia" w:eastAsia="仿宋_GB2312" w:cs="Times New Roman"/>
          <w:lang w:val="en-US" w:eastAsia="zh-CN"/>
        </w:rPr>
        <w:t xml:space="preserve">        </w:t>
      </w: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r>
        <w:rPr>
          <w:rFonts w:ascii="Times New Roman" w:hAnsi="Times New Roman" w:eastAsia="黑体"/>
          <w:sz w:val="32"/>
          <w:szCs w:val="32"/>
        </w:rPr>
        <w:t>附件2</w:t>
      </w:r>
    </w:p>
    <w:p>
      <w:pPr>
        <w:spacing w:line="580" w:lineRule="exact"/>
        <w:rPr>
          <w:rFonts w:ascii="Times New Roman" w:hAnsi="Times New Roman" w:eastAsia="黑体"/>
          <w:sz w:val="32"/>
          <w:szCs w:val="32"/>
        </w:rPr>
      </w:pPr>
    </w:p>
    <w:p>
      <w:pPr>
        <w:autoSpaceDE w:val="0"/>
        <w:autoSpaceDN w:val="0"/>
        <w:adjustRightInd w:val="0"/>
        <w:spacing w:line="600" w:lineRule="exact"/>
        <w:jc w:val="center"/>
        <w:rPr>
          <w:rFonts w:ascii="Times New Roman" w:hAnsi="Times New Roman" w:eastAsia="方正小标宋_GBK"/>
          <w:kern w:val="0"/>
          <w:sz w:val="44"/>
          <w:szCs w:val="44"/>
        </w:rPr>
      </w:pPr>
      <w:bookmarkStart w:id="57" w:name="_Toc15396618"/>
      <w:r>
        <w:rPr>
          <w:rFonts w:hint="eastAsia" w:ascii="Times New Roman" w:hAnsi="Times New Roman" w:eastAsia="方正小标宋_GBK"/>
          <w:kern w:val="0"/>
          <w:sz w:val="44"/>
          <w:szCs w:val="44"/>
          <w:lang w:val="en-US" w:eastAsia="zh-CN"/>
        </w:rPr>
        <w:t>大宝鼎街办</w:t>
      </w:r>
      <w:r>
        <w:rPr>
          <w:rFonts w:hint="eastAsia" w:ascii="Times New Roman" w:hAnsi="Times New Roman" w:eastAsia="方正小标宋_GBK"/>
          <w:kern w:val="0"/>
          <w:sz w:val="44"/>
          <w:szCs w:val="44"/>
        </w:rPr>
        <w:t>重点项目（政策）支出绩效自评报告</w:t>
      </w:r>
    </w:p>
    <w:p>
      <w:pPr>
        <w:autoSpaceDE w:val="0"/>
        <w:autoSpaceDN w:val="0"/>
        <w:adjustRightInd w:val="0"/>
        <w:spacing w:line="600" w:lineRule="exact"/>
        <w:jc w:val="center"/>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社区办公经费和基层组织运行经费</w:t>
      </w:r>
      <w:r>
        <w:rPr>
          <w:rFonts w:hint="default" w:ascii="Times New Roman" w:hAnsi="Times New Roman" w:eastAsia="仿宋_GB2312" w:cs="Times New Roman"/>
          <w:kern w:val="0"/>
          <w:sz w:val="32"/>
          <w:szCs w:val="32"/>
        </w:rPr>
        <w:t>项目）</w:t>
      </w:r>
    </w:p>
    <w:p>
      <w:pPr>
        <w:autoSpaceDE w:val="0"/>
        <w:autoSpaceDN w:val="0"/>
        <w:adjustRightInd w:val="0"/>
        <w:spacing w:line="600" w:lineRule="exact"/>
        <w:ind w:firstLine="640" w:firstLineChars="200"/>
        <w:jc w:val="left"/>
        <w:rPr>
          <w:rFonts w:hint="default" w:ascii="Times New Roman" w:hAnsi="Times New Roman" w:eastAsia="黑体" w:cs="Times New Roman"/>
          <w:kern w:val="0"/>
          <w:sz w:val="32"/>
          <w:szCs w:val="32"/>
        </w:rPr>
      </w:pPr>
    </w:p>
    <w:p>
      <w:pPr>
        <w:autoSpaceDE w:val="0"/>
        <w:autoSpaceDN w:val="0"/>
        <w:adjustRightInd w:val="0"/>
        <w:spacing w:line="600" w:lineRule="exact"/>
        <w:ind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一、项目概况</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（一）项目基本情况。</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rPr>
        <w:t>．</w:t>
      </w:r>
      <w:r>
        <w:rPr>
          <w:rFonts w:hint="eastAsia" w:ascii="Times New Roman" w:hAnsi="Times New Roman" w:eastAsia="仿宋_GB2312"/>
          <w:sz w:val="32"/>
          <w:szCs w:val="32"/>
          <w:lang w:val="en-US" w:eastAsia="zh-CN"/>
        </w:rPr>
        <w:t>大宝鼎</w:t>
      </w:r>
      <w:r>
        <w:rPr>
          <w:rFonts w:hint="eastAsia" w:ascii="Times New Roman" w:hAnsi="Times New Roman" w:eastAsia="仿宋_GB2312"/>
          <w:sz w:val="32"/>
          <w:szCs w:val="32"/>
        </w:rPr>
        <w:t>街道办事处是区委、区政府的派出机构，其主要职责是贯彻执行党的路线、方针、政策和国家法律、法规、规章以及区委、区政府的决定、命令和指示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根据区委、区政府各部门工作要求，安排社区完成对</w:t>
      </w:r>
      <w:r>
        <w:rPr>
          <w:rFonts w:hint="eastAsia" w:ascii="Times New Roman" w:hAnsi="Times New Roman" w:eastAsia="仿宋_GB2312"/>
          <w:sz w:val="32"/>
          <w:szCs w:val="32"/>
        </w:rPr>
        <w:t>辖区内的社会性、地区性、公益性、群众性</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工作</w:t>
      </w:r>
      <w:r>
        <w:rPr>
          <w:rFonts w:hint="eastAsia" w:ascii="Times New Roman" w:hAnsi="Times New Roman" w:eastAsia="仿宋_GB2312"/>
          <w:sz w:val="32"/>
          <w:szCs w:val="32"/>
          <w:lang w:val="en-US" w:eastAsia="zh-CN"/>
        </w:rPr>
        <w:t>任务</w:t>
      </w:r>
      <w:r>
        <w:rPr>
          <w:rFonts w:hint="eastAsia" w:ascii="Times New Roman" w:hAnsi="Times New Roman" w:eastAsia="仿宋_GB2312"/>
          <w:sz w:val="32"/>
          <w:szCs w:val="32"/>
        </w:rPr>
        <w:t>。</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 我街办严格</w:t>
      </w:r>
      <w:r>
        <w:rPr>
          <w:rFonts w:hint="default" w:ascii="Times New Roman" w:hAnsi="Times New Roman" w:eastAsia="仿宋_GB2312" w:cs="Times New Roman"/>
          <w:kern w:val="0"/>
          <w:sz w:val="32"/>
          <w:szCs w:val="32"/>
        </w:rPr>
        <w:t>按照专项资金的要求管理资金，资金</w:t>
      </w:r>
      <w:r>
        <w:rPr>
          <w:rFonts w:hint="eastAsia" w:ascii="Times New Roman" w:hAnsi="Times New Roman" w:eastAsia="仿宋_GB2312" w:cs="Times New Roman"/>
          <w:kern w:val="0"/>
          <w:sz w:val="32"/>
          <w:szCs w:val="32"/>
          <w:lang w:val="en-US" w:eastAsia="zh-CN"/>
        </w:rPr>
        <w:t>使用主体</w:t>
      </w:r>
      <w:r>
        <w:rPr>
          <w:rFonts w:hint="default" w:ascii="Times New Roman" w:hAnsi="Times New Roman" w:eastAsia="仿宋_GB2312" w:cs="Times New Roman"/>
          <w:kern w:val="0"/>
          <w:sz w:val="32"/>
          <w:szCs w:val="32"/>
        </w:rPr>
        <w:t>主要</w:t>
      </w:r>
      <w:r>
        <w:rPr>
          <w:rFonts w:hint="eastAsia" w:ascii="Times New Roman" w:hAnsi="Times New Roman" w:eastAsia="仿宋_GB2312" w:cs="Times New Roman"/>
          <w:kern w:val="0"/>
          <w:sz w:val="32"/>
          <w:szCs w:val="32"/>
          <w:lang w:val="en-US" w:eastAsia="zh-CN"/>
        </w:rPr>
        <w:t>是</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个社区</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资金使用范围包括保障社区基层党组织开展组织活动，节日走访慰问，党员教育培训，活动场所维护以及社区开展辖区安全、防汛、环保、国卫复审、综治维稳、水电费、报刊订阅等日常工作开支。</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．20</w:t>
      </w:r>
      <w:r>
        <w:rPr>
          <w:rFonts w:hint="eastAsia"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年区</w:t>
      </w:r>
      <w:r>
        <w:rPr>
          <w:rFonts w:hint="eastAsia" w:ascii="Times New Roman" w:hAnsi="Times New Roman" w:eastAsia="仿宋_GB2312" w:cs="Times New Roman"/>
          <w:kern w:val="0"/>
          <w:sz w:val="32"/>
          <w:szCs w:val="32"/>
          <w:lang w:val="en-US" w:eastAsia="zh-CN"/>
        </w:rPr>
        <w:t>财政</w:t>
      </w:r>
      <w:r>
        <w:rPr>
          <w:rFonts w:hint="default" w:ascii="Times New Roman" w:hAnsi="Times New Roman" w:eastAsia="仿宋_GB2312" w:cs="Times New Roman"/>
          <w:kern w:val="0"/>
          <w:sz w:val="32"/>
          <w:szCs w:val="32"/>
        </w:rPr>
        <w:t>下拨社区办公费</w:t>
      </w:r>
      <w:r>
        <w:rPr>
          <w:rFonts w:hint="eastAsia" w:ascii="Times New Roman" w:hAnsi="Times New Roman" w:eastAsia="仿宋_GB2312" w:cs="Times New Roman"/>
          <w:kern w:val="0"/>
          <w:sz w:val="32"/>
          <w:szCs w:val="32"/>
          <w:lang w:val="en-US" w:eastAsia="zh-CN"/>
        </w:rPr>
        <w:t>17万元和基层组织运行费3万元</w:t>
      </w:r>
      <w:r>
        <w:rPr>
          <w:rFonts w:hint="default" w:ascii="Times New Roman" w:hAnsi="Times New Roman" w:eastAsia="仿宋_GB2312" w:cs="Times New Roman"/>
          <w:kern w:val="0"/>
          <w:sz w:val="32"/>
          <w:szCs w:val="32"/>
        </w:rPr>
        <w:t>，街道按照</w:t>
      </w:r>
      <w:r>
        <w:rPr>
          <w:rFonts w:hint="eastAsia" w:ascii="Times New Roman" w:hAnsi="Times New Roman" w:eastAsia="仿宋_GB2312" w:cs="Times New Roman"/>
          <w:kern w:val="0"/>
          <w:sz w:val="32"/>
          <w:szCs w:val="32"/>
          <w:lang w:val="en-US" w:eastAsia="zh-CN"/>
        </w:rPr>
        <w:t>相关</w:t>
      </w:r>
      <w:r>
        <w:rPr>
          <w:rFonts w:hint="default" w:ascii="Times New Roman" w:hAnsi="Times New Roman" w:eastAsia="仿宋_GB2312" w:cs="Times New Roman"/>
          <w:kern w:val="0"/>
          <w:sz w:val="32"/>
          <w:szCs w:val="32"/>
        </w:rPr>
        <w:t>文件要求</w:t>
      </w:r>
      <w:r>
        <w:rPr>
          <w:rFonts w:hint="eastAsia" w:ascii="Times New Roman" w:hAnsi="Times New Roman" w:eastAsia="仿宋_GB2312" w:cs="Times New Roman"/>
          <w:kern w:val="0"/>
          <w:sz w:val="32"/>
          <w:szCs w:val="32"/>
          <w:lang w:val="en-US" w:eastAsia="zh-CN"/>
        </w:rPr>
        <w:t>对社区办公经费和基层组织运行费进行了分配和下拨到社区银行账户。其中，社区办公费：沿江社区</w:t>
      </w:r>
      <w:r>
        <w:rPr>
          <w:rFonts w:hint="eastAsia"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万元；小宝鼎社区</w:t>
      </w:r>
      <w:r>
        <w:rPr>
          <w:rFonts w:hint="eastAsia"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（二）项目绩效目标。</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rPr>
        <w:t>．项目主要内容。</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保证</w:t>
      </w:r>
      <w:r>
        <w:rPr>
          <w:rFonts w:hint="eastAsia" w:ascii="Times New Roman" w:hAnsi="Times New Roman" w:eastAsia="仿宋_GB2312" w:cs="Times New Roman"/>
          <w:kern w:val="0"/>
          <w:sz w:val="32"/>
          <w:szCs w:val="32"/>
          <w:lang w:val="en-US" w:eastAsia="zh-CN"/>
        </w:rPr>
        <w:t>社区</w:t>
      </w:r>
      <w:r>
        <w:rPr>
          <w:rFonts w:hint="default" w:ascii="Times New Roman" w:hAnsi="Times New Roman" w:eastAsia="仿宋_GB2312" w:cs="Times New Roman"/>
          <w:kern w:val="0"/>
          <w:sz w:val="32"/>
          <w:szCs w:val="32"/>
        </w:rPr>
        <w:t>日常工作运转；提升</w:t>
      </w:r>
      <w:r>
        <w:rPr>
          <w:rFonts w:hint="eastAsia" w:ascii="Times New Roman" w:hAnsi="Times New Roman" w:eastAsia="仿宋_GB2312" w:cs="Times New Roman"/>
          <w:kern w:val="0"/>
          <w:sz w:val="32"/>
          <w:szCs w:val="32"/>
          <w:lang w:val="en-US" w:eastAsia="zh-CN"/>
        </w:rPr>
        <w:t>社区</w:t>
      </w:r>
      <w:r>
        <w:rPr>
          <w:rFonts w:hint="default" w:ascii="Times New Roman" w:hAnsi="Times New Roman" w:eastAsia="仿宋_GB2312" w:cs="Times New Roman"/>
          <w:kern w:val="0"/>
          <w:sz w:val="32"/>
          <w:szCs w:val="32"/>
        </w:rPr>
        <w:t>为群众服务能力；全面推进</w:t>
      </w:r>
      <w:r>
        <w:rPr>
          <w:rFonts w:hint="eastAsia" w:ascii="Times New Roman" w:hAnsi="Times New Roman" w:eastAsia="仿宋_GB2312" w:cs="Times New Roman"/>
          <w:kern w:val="0"/>
          <w:sz w:val="32"/>
          <w:szCs w:val="32"/>
          <w:lang w:val="en-US" w:eastAsia="zh-CN"/>
        </w:rPr>
        <w:t>社区</w:t>
      </w:r>
      <w:r>
        <w:rPr>
          <w:rFonts w:hint="default" w:ascii="Times New Roman" w:hAnsi="Times New Roman" w:eastAsia="仿宋_GB2312" w:cs="Times New Roman"/>
          <w:kern w:val="0"/>
          <w:sz w:val="32"/>
          <w:szCs w:val="32"/>
        </w:rPr>
        <w:t>日常工作，提高</w:t>
      </w:r>
      <w:r>
        <w:rPr>
          <w:rFonts w:hint="eastAsia" w:ascii="Times New Roman" w:hAnsi="Times New Roman" w:eastAsia="仿宋_GB2312" w:cs="Times New Roman"/>
          <w:kern w:val="0"/>
          <w:sz w:val="32"/>
          <w:szCs w:val="32"/>
          <w:lang w:val="en-US" w:eastAsia="zh-CN"/>
        </w:rPr>
        <w:t>居民</w:t>
      </w:r>
      <w:r>
        <w:rPr>
          <w:rFonts w:hint="default" w:ascii="Times New Roman" w:hAnsi="Times New Roman" w:eastAsia="仿宋_GB2312" w:cs="Times New Roman"/>
          <w:kern w:val="0"/>
          <w:sz w:val="32"/>
          <w:szCs w:val="32"/>
        </w:rPr>
        <w:t>办事效率。</w:t>
      </w:r>
    </w:p>
    <w:p>
      <w:pPr>
        <w:numPr>
          <w:ilvl w:val="0"/>
          <w:numId w:val="5"/>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项目应实现的具体绩效目标，包括目标的量化、细化情况以及项目实施进度计划等。</w:t>
      </w:r>
    </w:p>
    <w:p>
      <w:pPr>
        <w:spacing w:line="353" w:lineRule="auto"/>
        <w:ind w:firstLine="640" w:firstLineChars="200"/>
        <w:jc w:val="left"/>
        <w:rPr>
          <w:rFonts w:hint="default" w:ascii="Times New Roman" w:hAnsi="Times New Roman" w:eastAsia="仿宋_GB2312" w:cs="Times New Roman"/>
          <w:color w:val="auto"/>
          <w:kern w:val="0"/>
          <w:sz w:val="32"/>
          <w:szCs w:val="32"/>
          <w:lang w:val="en-US"/>
        </w:rPr>
      </w:pPr>
      <w:r>
        <w:rPr>
          <w:rFonts w:hint="eastAsia" w:ascii="仿宋_GB2312" w:eastAsia="仿宋_GB2312"/>
          <w:color w:val="auto"/>
          <w:sz w:val="32"/>
          <w:szCs w:val="32"/>
          <w:lang w:val="en-US" w:eastAsia="zh-CN"/>
        </w:rPr>
        <w:t>提高辖区安全、环保、防汛工作水平，满足辖区居民政务、低保、医疗保险、大病救助等服务需求，增强基层党组织阵地建设，营造和谐生活氛围。项目实施进度计划为2020年全年。</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rPr>
        <w:t>．申报内容是否与实际相符，申报目标是否合理可行。</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申报内容与实际相符</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（三）项目自评步骤及方法。</w:t>
      </w:r>
    </w:p>
    <w:p>
      <w:pPr>
        <w:autoSpaceDE w:val="0"/>
        <w:autoSpaceDN w:val="0"/>
        <w:adjustRightInd w:val="0"/>
        <w:spacing w:line="600" w:lineRule="exact"/>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现场评价抽样选点情况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ascii="Times New Roman" w:hAnsi="Times New Roman" w:eastAsia="仿宋_GB2312" w:cs="Times New Roman"/>
          <w:kern w:val="0"/>
          <w:sz w:val="32"/>
          <w:szCs w:val="32"/>
        </w:rPr>
        <w:t>街道财政所按照区财政局的要求，开展现场评价。街道随机抽取了社区人员的50%</w:t>
      </w:r>
      <w:r>
        <w:rPr>
          <w:rFonts w:hint="default" w:ascii="Times New Roman" w:hAnsi="Times New Roman" w:eastAsia="仿宋_GB2312" w:cs="Times New Roman"/>
          <w:kern w:val="0"/>
          <w:sz w:val="32"/>
          <w:szCs w:val="32"/>
        </w:rPr>
        <w:t>，开展了抽样调查。</w:t>
      </w:r>
    </w:p>
    <w:p>
      <w:pPr>
        <w:numPr>
          <w:ilvl w:val="0"/>
          <w:numId w:val="0"/>
        </w:num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项目总体评价（包括项目评价得分表）</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项目整体评价得分</w:t>
      </w:r>
      <w:r>
        <w:rPr>
          <w:rFonts w:hint="eastAsia" w:ascii="Times New Roman" w:hAnsi="Times New Roman" w:eastAsia="仿宋_GB2312" w:cs="Times New Roman"/>
          <w:kern w:val="0"/>
          <w:sz w:val="32"/>
          <w:szCs w:val="32"/>
          <w:lang w:val="en-US" w:eastAsia="zh-CN"/>
        </w:rPr>
        <w:t>92</w:t>
      </w:r>
      <w:r>
        <w:rPr>
          <w:rFonts w:hint="default" w:ascii="Times New Roman" w:hAnsi="Times New Roman" w:eastAsia="仿宋_GB2312" w:cs="Times New Roman"/>
          <w:kern w:val="0"/>
          <w:sz w:val="32"/>
          <w:szCs w:val="32"/>
        </w:rPr>
        <w:t>分。</w:t>
      </w:r>
    </w:p>
    <w:p>
      <w:pPr>
        <w:autoSpaceDE w:val="0"/>
        <w:autoSpaceDN w:val="0"/>
        <w:adjustRightInd w:val="0"/>
        <w:spacing w:line="600" w:lineRule="exact"/>
        <w:ind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二、项目资金申报及使用情况</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（一）项目资金申报及批复情况。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批复项目资金社区</w:t>
      </w:r>
      <w:r>
        <w:rPr>
          <w:rFonts w:hint="eastAsia" w:ascii="Times New Roman" w:hAnsi="Times New Roman" w:eastAsia="仿宋_GB2312" w:cs="Times New Roman"/>
          <w:kern w:val="0"/>
          <w:sz w:val="32"/>
          <w:szCs w:val="32"/>
        </w:rPr>
        <w:t>办公经费</w:t>
      </w:r>
      <w:r>
        <w:rPr>
          <w:rFonts w:hint="eastAsia" w:ascii="Times New Roman" w:hAnsi="Times New Roman" w:eastAsia="仿宋_GB2312" w:cs="Times New Roman"/>
          <w:kern w:val="0"/>
          <w:sz w:val="32"/>
          <w:szCs w:val="32"/>
          <w:lang w:val="en-US" w:eastAsia="zh-CN"/>
        </w:rPr>
        <w:t>17万元和基层组织运行费3万元。</w:t>
      </w:r>
    </w:p>
    <w:p>
      <w:pPr>
        <w:autoSpaceDE w:val="0"/>
        <w:autoSpaceDN w:val="0"/>
        <w:adjustRightInd w:val="0"/>
        <w:spacing w:line="600" w:lineRule="exact"/>
        <w:ind w:firstLine="640" w:firstLineChars="200"/>
        <w:jc w:val="left"/>
        <w:rPr>
          <w:rFonts w:hint="default" w:ascii="仿宋" w:hAnsi="仿宋" w:eastAsia="仿宋" w:cs="仿宋"/>
          <w:color w:val="000000"/>
          <w:sz w:val="28"/>
          <w:szCs w:val="28"/>
          <w:lang w:val="en-US" w:eastAsia="zh-CN"/>
        </w:rPr>
      </w:pPr>
      <w:r>
        <w:rPr>
          <w:rFonts w:hint="default"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lang w:val="en-US" w:eastAsia="zh-CN"/>
        </w:rPr>
        <w:t>二</w:t>
      </w:r>
      <w:r>
        <w:rPr>
          <w:rFonts w:hint="default" w:ascii="Times New Roman" w:hAnsi="Times New Roman" w:eastAsia="楷体_GB2312" w:cs="Times New Roman"/>
          <w:kern w:val="0"/>
          <w:sz w:val="32"/>
          <w:szCs w:val="32"/>
        </w:rPr>
        <w:t>）资金计划、到位及使用情况（可用表格形式反映）。</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1</w:t>
      </w:r>
      <w:r>
        <w:rPr>
          <w:rFonts w:hint="default" w:ascii="Times New Roman" w:hAnsi="Times New Roman" w:eastAsia="楷体_GB2312" w:cs="Times New Roman"/>
          <w:kern w:val="0"/>
          <w:sz w:val="32"/>
          <w:szCs w:val="32"/>
        </w:rPr>
        <w:t>．资金计划。</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项目资金计划用于基层党组织开展组织活动，节日走访慰问，党员教育培训，活动场所维护以及社区开展辖区安全、防汛、环保、国卫复审、综治维稳、水电费、报刊订阅等方面支出。</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2</w:t>
      </w:r>
      <w:r>
        <w:rPr>
          <w:rFonts w:hint="default" w:ascii="Times New Roman" w:hAnsi="Times New Roman" w:eastAsia="楷体_GB2312" w:cs="Times New Roman"/>
          <w:kern w:val="0"/>
          <w:sz w:val="32"/>
          <w:szCs w:val="32"/>
        </w:rPr>
        <w:t>．资金到位。</w:t>
      </w:r>
    </w:p>
    <w:p>
      <w:pPr>
        <w:autoSpaceDE w:val="0"/>
        <w:autoSpaceDN w:val="0"/>
        <w:adjustRightInd w:val="0"/>
        <w:spacing w:line="600" w:lineRule="exact"/>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我办收到区</w:t>
      </w:r>
      <w:r>
        <w:rPr>
          <w:rFonts w:hint="eastAsia" w:ascii="Times New Roman" w:hAnsi="Times New Roman" w:eastAsia="仿宋_GB2312" w:cs="Times New Roman"/>
          <w:kern w:val="0"/>
          <w:sz w:val="32"/>
          <w:szCs w:val="32"/>
        </w:rPr>
        <w:t>财政</w:t>
      </w:r>
      <w:r>
        <w:rPr>
          <w:rFonts w:hint="eastAsia" w:ascii="Times New Roman" w:hAnsi="Times New Roman" w:eastAsia="仿宋_GB2312" w:cs="Times New Roman"/>
          <w:kern w:val="0"/>
          <w:sz w:val="32"/>
          <w:szCs w:val="32"/>
          <w:lang w:val="en-US" w:eastAsia="zh-CN"/>
        </w:rPr>
        <w:t>年初</w:t>
      </w:r>
      <w:r>
        <w:rPr>
          <w:rFonts w:hint="eastAsia" w:ascii="Times New Roman" w:hAnsi="Times New Roman" w:eastAsia="仿宋_GB2312" w:cs="Times New Roman"/>
          <w:kern w:val="0"/>
          <w:sz w:val="32"/>
          <w:szCs w:val="32"/>
        </w:rPr>
        <w:t>预算安排社区办公经费专项</w:t>
      </w:r>
      <w:r>
        <w:rPr>
          <w:rFonts w:hint="eastAsia" w:ascii="Times New Roman" w:hAnsi="Times New Roman" w:eastAsia="仿宋_GB2312" w:cs="Times New Roman"/>
          <w:kern w:val="0"/>
          <w:sz w:val="32"/>
          <w:szCs w:val="32"/>
          <w:lang w:val="en-US" w:eastAsia="zh-CN"/>
        </w:rPr>
        <w:t>资金17万元和基层组织运行费</w:t>
      </w:r>
      <w:r>
        <w:rPr>
          <w:rFonts w:hint="eastAsia" w:ascii="Times New Roman" w:hAnsi="Times New Roman" w:eastAsia="仿宋_GB2312" w:cs="Times New Roman"/>
          <w:kern w:val="0"/>
          <w:sz w:val="32"/>
          <w:szCs w:val="32"/>
        </w:rPr>
        <w:t>专项</w:t>
      </w:r>
      <w:r>
        <w:rPr>
          <w:rFonts w:hint="eastAsia" w:ascii="Times New Roman" w:hAnsi="Times New Roman" w:eastAsia="仿宋_GB2312" w:cs="Times New Roman"/>
          <w:kern w:val="0"/>
          <w:sz w:val="32"/>
          <w:szCs w:val="32"/>
          <w:lang w:val="en-US" w:eastAsia="zh-CN"/>
        </w:rPr>
        <w:t>资金3万元。</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3</w:t>
      </w:r>
      <w:r>
        <w:rPr>
          <w:rFonts w:hint="default" w:ascii="Times New Roman" w:hAnsi="Times New Roman" w:eastAsia="楷体_GB2312" w:cs="Times New Roman"/>
          <w:kern w:val="0"/>
          <w:sz w:val="32"/>
          <w:szCs w:val="32"/>
        </w:rPr>
        <w:t>．资金使用。</w:t>
      </w:r>
    </w:p>
    <w:p>
      <w:pPr>
        <w:autoSpaceDE w:val="0"/>
        <w:autoSpaceDN w:val="0"/>
        <w:adjustRightInd w:val="0"/>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截至20</w:t>
      </w:r>
      <w:r>
        <w:rPr>
          <w:rFonts w:hint="eastAsia" w:eastAsia="仿宋_GB2312" w:cs="Times New Roman"/>
          <w:kern w:val="0"/>
          <w:sz w:val="32"/>
          <w:szCs w:val="32"/>
          <w:lang w:val="en-US" w:eastAsia="zh-CN"/>
        </w:rPr>
        <w:t>20</w:t>
      </w:r>
      <w:r>
        <w:rPr>
          <w:rFonts w:hint="eastAsia" w:ascii="Times New Roman" w:hAnsi="Times New Roman" w:eastAsia="仿宋_GB2312" w:cs="Times New Roman"/>
          <w:kern w:val="0"/>
          <w:sz w:val="32"/>
          <w:szCs w:val="32"/>
          <w:lang w:val="en-US" w:eastAsia="zh-CN"/>
        </w:rPr>
        <w:t>年末我街办项目资金共支出20万元。项目</w:t>
      </w:r>
      <w:r>
        <w:rPr>
          <w:rFonts w:hint="default" w:ascii="Times New Roman" w:hAnsi="Times New Roman" w:eastAsia="仿宋_GB2312" w:cs="Times New Roman"/>
          <w:kern w:val="0"/>
          <w:sz w:val="32"/>
          <w:szCs w:val="32"/>
        </w:rPr>
        <w:t>资金</w:t>
      </w:r>
      <w:r>
        <w:rPr>
          <w:rFonts w:hint="eastAsia" w:ascii="Times New Roman" w:hAnsi="Times New Roman" w:eastAsia="仿宋_GB2312" w:cs="Times New Roman"/>
          <w:kern w:val="0"/>
          <w:sz w:val="32"/>
          <w:szCs w:val="32"/>
          <w:lang w:val="en-US" w:eastAsia="zh-CN"/>
        </w:rPr>
        <w:t>主要用于基层党组织开展组织活动，节日走访慰问，党员教育培训，活动场所维护以及社区开展辖区安全、防汛、环保、国卫复审、综治维稳、水电费、报刊订阅等</w:t>
      </w:r>
      <w:r>
        <w:rPr>
          <w:rFonts w:hint="default" w:ascii="Times New Roman" w:hAnsi="Times New Roman" w:eastAsia="仿宋_GB2312" w:cs="Times New Roman"/>
          <w:kern w:val="0"/>
          <w:sz w:val="32"/>
          <w:szCs w:val="32"/>
        </w:rPr>
        <w:t>支付范围、支付标准、支付进度、支付依据等合规合法、与预算相符。</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（三）项目财务管理情况。</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我街办</w:t>
      </w:r>
      <w:r>
        <w:rPr>
          <w:rFonts w:hint="default" w:ascii="Times New Roman" w:hAnsi="Times New Roman" w:eastAsia="仿宋_GB2312" w:cs="Times New Roman"/>
          <w:kern w:val="0"/>
          <w:sz w:val="32"/>
          <w:szCs w:val="32"/>
        </w:rPr>
        <w:t>财务管理制度健全，</w:t>
      </w:r>
      <w:r>
        <w:rPr>
          <w:rFonts w:hint="eastAsia" w:ascii="Times New Roman" w:hAnsi="Times New Roman" w:eastAsia="仿宋_GB2312" w:cs="Times New Roman"/>
          <w:kern w:val="0"/>
          <w:sz w:val="32"/>
          <w:szCs w:val="32"/>
          <w:lang w:val="en-US" w:eastAsia="zh-CN"/>
        </w:rPr>
        <w:t>项目资金</w:t>
      </w:r>
      <w:r>
        <w:rPr>
          <w:rFonts w:hint="default" w:ascii="Times New Roman" w:hAnsi="Times New Roman" w:eastAsia="仿宋_GB2312" w:cs="Times New Roman"/>
          <w:kern w:val="0"/>
          <w:sz w:val="32"/>
          <w:szCs w:val="32"/>
        </w:rPr>
        <w:t>严格执行财务管理制度，账务处理及时，会计核算规范</w:t>
      </w:r>
      <w:r>
        <w:rPr>
          <w:rFonts w:hint="eastAsia" w:ascii="Times New Roman" w:hAnsi="Times New Roman" w:eastAsia="仿宋_GB2312" w:cs="Times New Roman"/>
          <w:kern w:val="0"/>
          <w:sz w:val="32"/>
          <w:szCs w:val="32"/>
          <w:lang w:val="en-US" w:eastAsia="zh-CN"/>
        </w:rPr>
        <w:t>等</w:t>
      </w:r>
      <w:r>
        <w:rPr>
          <w:rFonts w:hint="default" w:ascii="Times New Roman" w:hAnsi="Times New Roman" w:eastAsia="仿宋_GB2312" w:cs="Times New Roman"/>
          <w:kern w:val="0"/>
          <w:sz w:val="32"/>
          <w:szCs w:val="32"/>
        </w:rPr>
        <w:t>。</w:t>
      </w:r>
    </w:p>
    <w:p>
      <w:pPr>
        <w:autoSpaceDE w:val="0"/>
        <w:autoSpaceDN w:val="0"/>
        <w:adjustRightInd w:val="0"/>
        <w:spacing w:line="600" w:lineRule="exact"/>
        <w:ind w:firstLine="640" w:firstLineChars="200"/>
        <w:jc w:val="left"/>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三、项目实施及管理情况</w:t>
      </w:r>
    </w:p>
    <w:p>
      <w:pPr>
        <w:autoSpaceDE w:val="0"/>
        <w:autoSpaceDN w:val="0"/>
        <w:adjustRightInd w:val="0"/>
        <w:spacing w:line="600" w:lineRule="exact"/>
        <w:ind w:firstLine="640" w:firstLineChars="200"/>
        <w:jc w:val="left"/>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结合项目组织实施管理办法，重点围绕以下内容进行分析评价，并对自评中发现的问题分析说明。</w:t>
      </w:r>
    </w:p>
    <w:p>
      <w:pPr>
        <w:numPr>
          <w:ilvl w:val="0"/>
          <w:numId w:val="6"/>
        </w:numPr>
        <w:autoSpaceDE w:val="0"/>
        <w:autoSpaceDN w:val="0"/>
        <w:adjustRightInd w:val="0"/>
        <w:spacing w:line="600" w:lineRule="exact"/>
        <w:ind w:firstLine="640" w:firstLineChars="2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项目组织架构及实施流程。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楷体_GB2312" w:cs="Times New Roman"/>
          <w:color w:val="FF0000"/>
          <w:kern w:val="0"/>
          <w:sz w:val="32"/>
          <w:szCs w:val="32"/>
        </w:rPr>
      </w:pPr>
      <w:r>
        <w:rPr>
          <w:rFonts w:hint="eastAsia" w:ascii="Times New Roman" w:hAnsi="Times New Roman" w:eastAsia="仿宋_GB2312" w:cs="Times New Roman"/>
          <w:kern w:val="0"/>
          <w:sz w:val="32"/>
          <w:szCs w:val="32"/>
          <w:lang w:val="en-US" w:eastAsia="zh-CN"/>
        </w:rPr>
        <w:t>按照年初制定计划、分别实施，实施流程均严格按照相关规定执行</w:t>
      </w:r>
      <w:r>
        <w:rPr>
          <w:rFonts w:ascii="方正仿宋_GBK" w:hAnsi="方正仿宋_GBK" w:eastAsia="方正仿宋_GBK" w:cs="方正仿宋_GBK"/>
          <w:i w:val="0"/>
          <w:caps w:val="0"/>
          <w:color w:val="333333"/>
          <w:spacing w:val="0"/>
          <w:sz w:val="33"/>
          <w:szCs w:val="33"/>
          <w:shd w:val="clear" w:color="auto" w:fill="FFFFFF"/>
        </w:rPr>
        <w:t>。</w:t>
      </w:r>
    </w:p>
    <w:p>
      <w:pPr>
        <w:autoSpaceDE w:val="0"/>
        <w:autoSpaceDN w:val="0"/>
        <w:adjustRightInd w:val="0"/>
        <w:spacing w:line="600" w:lineRule="exact"/>
        <w:ind w:firstLine="640" w:firstLineChars="200"/>
        <w:jc w:val="left"/>
        <w:rPr>
          <w:rFonts w:hint="default" w:ascii="Times New Roman" w:hAnsi="Times New Roman" w:eastAsia="仿宋_GB2312" w:cs="Times New Roman"/>
          <w:color w:val="FF0000"/>
          <w:kern w:val="0"/>
          <w:sz w:val="32"/>
          <w:szCs w:val="32"/>
        </w:rPr>
      </w:pPr>
      <w:r>
        <w:rPr>
          <w:rFonts w:hint="default" w:ascii="Times New Roman" w:hAnsi="Times New Roman" w:eastAsia="楷体_GB2312" w:cs="Times New Roman"/>
          <w:color w:val="auto"/>
          <w:kern w:val="0"/>
          <w:sz w:val="32"/>
          <w:szCs w:val="32"/>
        </w:rPr>
        <w:t>（二）项目管理情况。</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我街办根据工作要求编制了大宝鼎街道办事处社区财务管理制度，切实加强财务制度管理，对每一笔经费的开支都据实凭票报销，同时我街办还制定报账流程和时间规定，在保证资金使用符合规范的基础上充分提高项目资金的使用效益。</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楷体_GB2312" w:cs="Times New Roman"/>
          <w:color w:val="auto"/>
          <w:kern w:val="0"/>
          <w:sz w:val="32"/>
          <w:szCs w:val="32"/>
          <w:lang w:eastAsia="zh-CN"/>
        </w:rPr>
        <w:t>（</w:t>
      </w:r>
      <w:r>
        <w:rPr>
          <w:rFonts w:hint="eastAsia" w:ascii="Times New Roman" w:hAnsi="Times New Roman" w:eastAsia="楷体_GB2312" w:cs="Times New Roman"/>
          <w:color w:val="auto"/>
          <w:kern w:val="0"/>
          <w:sz w:val="32"/>
          <w:szCs w:val="32"/>
          <w:lang w:val="en-US" w:eastAsia="zh-CN"/>
        </w:rPr>
        <w:t>三）</w:t>
      </w:r>
      <w:r>
        <w:rPr>
          <w:rFonts w:hint="default" w:ascii="Times New Roman" w:hAnsi="Times New Roman" w:eastAsia="楷体_GB2312" w:cs="Times New Roman"/>
          <w:color w:val="auto"/>
          <w:kern w:val="0"/>
          <w:sz w:val="32"/>
          <w:szCs w:val="32"/>
        </w:rPr>
        <w:t>项目监管情况。</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color w:val="FF0000"/>
          <w:kern w:val="0"/>
          <w:sz w:val="32"/>
          <w:szCs w:val="32"/>
          <w:lang w:val="en-US" w:eastAsia="zh-CN"/>
        </w:rPr>
      </w:pPr>
      <w:r>
        <w:rPr>
          <w:rFonts w:hint="eastAsia" w:ascii="Times New Roman" w:hAnsi="Times New Roman" w:eastAsia="仿宋_GB2312" w:cs="Times New Roman"/>
          <w:kern w:val="0"/>
          <w:sz w:val="32"/>
          <w:szCs w:val="32"/>
          <w:lang w:val="en-US" w:eastAsia="zh-CN"/>
        </w:rPr>
        <w:t>根据我街办编制的大宝鼎街道办事处《关于印发&lt;社区财务管理（暂行）办法&gt;的通知》，在项目经费支出前需经过业务分管领导、财务领导审批签字，若金额超过2000元需街办主要负责人审核签字，金额1万元及以上还需要通过党工委会议决定。同时我街办财务人员会在每月底会将社区本月支出的项目资金进行核查，确保资金</w:t>
      </w:r>
      <w:r>
        <w:rPr>
          <w:rFonts w:hint="default" w:ascii="Times New Roman" w:hAnsi="Times New Roman" w:eastAsia="仿宋_GB2312" w:cs="Times New Roman"/>
          <w:kern w:val="0"/>
          <w:sz w:val="32"/>
          <w:szCs w:val="32"/>
        </w:rPr>
        <w:t>支付范围、支付标准、支付依据等合规合法</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项目进度符合工作安排。</w:t>
      </w:r>
    </w:p>
    <w:p>
      <w:pPr>
        <w:autoSpaceDE w:val="0"/>
        <w:autoSpaceDN w:val="0"/>
        <w:adjustRightInd w:val="0"/>
        <w:spacing w:line="600" w:lineRule="exact"/>
        <w:ind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四、项目绩效情况</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（一）项目完成情况。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1.社区办公经费</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完成数量。按照上级部门下达工作任务和计划社区开展辖区安全、防汛、环保、国卫复审、综治维稳、水电费、报刊订阅等日常工作。</w:t>
      </w:r>
    </w:p>
    <w:p>
      <w:pPr>
        <w:spacing w:line="353" w:lineRule="auto"/>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完成质量：提高辖区安全、环保、防汛工作水平，满足辖区居民低保、医疗保险、大病救助、营造和谐生活氛围。</w:t>
      </w:r>
    </w:p>
    <w:p>
      <w:pPr>
        <w:spacing w:line="353" w:lineRule="auto"/>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完成</w:t>
      </w:r>
      <w:r>
        <w:rPr>
          <w:rFonts w:ascii="Times New Roman" w:hAnsi="Times New Roman" w:eastAsia="仿宋_GB2312"/>
          <w:sz w:val="32"/>
          <w:szCs w:val="32"/>
        </w:rPr>
        <w:t>时效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w:t>
      </w:r>
      <w:r>
        <w:rPr>
          <w:rFonts w:hint="eastAsia" w:eastAsia="仿宋_GB2312"/>
          <w:sz w:val="32"/>
          <w:szCs w:val="32"/>
          <w:lang w:val="en-US" w:eastAsia="zh-CN"/>
        </w:rPr>
        <w:t>20</w:t>
      </w:r>
      <w:r>
        <w:rPr>
          <w:rFonts w:hint="eastAsia" w:ascii="Times New Roman" w:hAnsi="Times New Roman" w:eastAsia="仿宋_GB2312"/>
          <w:sz w:val="32"/>
          <w:szCs w:val="32"/>
          <w:lang w:val="en-US" w:eastAsia="zh-CN"/>
        </w:rPr>
        <w:t>年全年。</w:t>
      </w:r>
    </w:p>
    <w:p>
      <w:pPr>
        <w:autoSpaceDE w:val="0"/>
        <w:autoSpaceDN w:val="0"/>
        <w:adjustRightInd w:val="0"/>
        <w:spacing w:line="60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完成</w:t>
      </w:r>
      <w:r>
        <w:rPr>
          <w:rFonts w:ascii="Times New Roman" w:hAnsi="Times New Roman" w:eastAsia="仿宋_GB2312"/>
          <w:sz w:val="32"/>
          <w:szCs w:val="32"/>
        </w:rPr>
        <w:t>成本</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全年共支出17万元。</w:t>
      </w:r>
    </w:p>
    <w:p>
      <w:pPr>
        <w:autoSpaceDE w:val="0"/>
        <w:autoSpaceDN w:val="0"/>
        <w:adjustRightInd w:val="0"/>
        <w:spacing w:line="60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2.基层组织运行费</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完成数量。按照上级部门下达工作任务和计划社区开展辖区基层党组织活动，节日走访慰问，党员教育培训，活动场所维护等工作任务。</w:t>
      </w:r>
    </w:p>
    <w:p>
      <w:pPr>
        <w:spacing w:line="353" w:lineRule="auto"/>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完成质量：增强基层党组织阵地建设，提高社区工作水平，满足辖区居民政务、基础保障等需要、营造和谐生活氛围。</w:t>
      </w:r>
    </w:p>
    <w:p>
      <w:pPr>
        <w:spacing w:line="353" w:lineRule="auto"/>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完成</w:t>
      </w:r>
      <w:r>
        <w:rPr>
          <w:rFonts w:ascii="Times New Roman" w:hAnsi="Times New Roman" w:eastAsia="仿宋_GB2312"/>
          <w:sz w:val="32"/>
          <w:szCs w:val="32"/>
        </w:rPr>
        <w:t>时效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w:t>
      </w:r>
      <w:r>
        <w:rPr>
          <w:rFonts w:hint="eastAsia" w:eastAsia="仿宋_GB2312"/>
          <w:sz w:val="32"/>
          <w:szCs w:val="32"/>
          <w:lang w:val="en-US" w:eastAsia="zh-CN"/>
        </w:rPr>
        <w:t>20</w:t>
      </w:r>
      <w:r>
        <w:rPr>
          <w:rFonts w:hint="eastAsia" w:ascii="Times New Roman" w:hAnsi="Times New Roman" w:eastAsia="仿宋_GB2312"/>
          <w:sz w:val="32"/>
          <w:szCs w:val="32"/>
          <w:lang w:val="en-US" w:eastAsia="zh-CN"/>
        </w:rPr>
        <w:t>年全年。</w:t>
      </w:r>
    </w:p>
    <w:p>
      <w:pPr>
        <w:autoSpaceDE w:val="0"/>
        <w:autoSpaceDN w:val="0"/>
        <w:adjustRightInd w:val="0"/>
        <w:spacing w:line="60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完成</w:t>
      </w:r>
      <w:r>
        <w:rPr>
          <w:rFonts w:ascii="Times New Roman" w:hAnsi="Times New Roman" w:eastAsia="仿宋_GB2312"/>
          <w:sz w:val="32"/>
          <w:szCs w:val="32"/>
        </w:rPr>
        <w:t>成本</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全年共支出3万元。</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（二）项目效益情况。</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sz w:val="32"/>
          <w:szCs w:val="32"/>
        </w:rPr>
        <w:t>较好地推动了社区各项社会事务的开展，并提升了基层组织的执行能力和治理能力。推动与居民群众息息相关的各项事务有落实、有反馈、有监督，推动社区和谐发展。</w:t>
      </w:r>
    </w:p>
    <w:p>
      <w:pPr>
        <w:autoSpaceDE w:val="0"/>
        <w:autoSpaceDN w:val="0"/>
        <w:adjustRightInd w:val="0"/>
        <w:spacing w:line="600" w:lineRule="exact"/>
        <w:ind w:firstLine="640" w:firstLineChars="20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五、评价结论及建议</w:t>
      </w:r>
    </w:p>
    <w:p>
      <w:pPr>
        <w:autoSpaceDE w:val="0"/>
        <w:autoSpaceDN w:val="0"/>
        <w:adjustRightInd w:val="0"/>
        <w:spacing w:line="600" w:lineRule="exact"/>
        <w:ind w:firstLine="640" w:firstLineChars="200"/>
        <w:jc w:val="left"/>
        <w:rPr>
          <w:rFonts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（一）评价结论。</w:t>
      </w:r>
    </w:p>
    <w:p>
      <w:pPr>
        <w:pStyle w:val="5"/>
        <w:keepNext w:val="0"/>
        <w:keepLines w:val="0"/>
        <w:pageBreakBefore w:val="0"/>
        <w:widowControl w:val="0"/>
        <w:kinsoku/>
        <w:wordWrap/>
        <w:overflowPunct/>
        <w:topLinePunct w:val="0"/>
        <w:autoSpaceDE/>
        <w:autoSpaceDN/>
        <w:bidi w:val="0"/>
        <w:adjustRightInd/>
        <w:snapToGrid/>
        <w:spacing w:line="353" w:lineRule="auto"/>
        <w:ind w:firstLine="660" w:firstLineChars="200"/>
        <w:textAlignment w:val="auto"/>
        <w:rPr>
          <w:rFonts w:ascii="方正仿宋_GBK" w:hAnsi="方正仿宋_GBK" w:eastAsia="方正仿宋_GBK" w:cs="方正仿宋_GBK"/>
          <w:i w:val="0"/>
          <w:caps w:val="0"/>
          <w:color w:val="auto"/>
          <w:spacing w:val="0"/>
          <w:sz w:val="33"/>
          <w:szCs w:val="33"/>
          <w:shd w:val="clear" w:color="auto" w:fill="FFFFFF"/>
        </w:rPr>
      </w:pPr>
      <w:r>
        <w:rPr>
          <w:rFonts w:hint="eastAsia" w:ascii="方正仿宋_GBK" w:hAnsi="方正仿宋_GBK" w:eastAsia="方正仿宋_GBK" w:cs="方正仿宋_GBK"/>
          <w:i w:val="0"/>
          <w:caps w:val="0"/>
          <w:color w:val="auto"/>
          <w:spacing w:val="0"/>
          <w:sz w:val="33"/>
          <w:szCs w:val="33"/>
          <w:shd w:val="clear" w:color="auto" w:fill="FFFFFF"/>
          <w:lang w:val="en-US" w:eastAsia="zh-CN"/>
        </w:rPr>
        <w:t>从</w:t>
      </w:r>
      <w:r>
        <w:rPr>
          <w:rFonts w:hint="default" w:ascii="方正仿宋_GBK" w:hAnsi="方正仿宋_GBK" w:eastAsia="方正仿宋_GBK" w:cs="方正仿宋_GBK"/>
          <w:i w:val="0"/>
          <w:caps w:val="0"/>
          <w:color w:val="auto"/>
          <w:spacing w:val="0"/>
          <w:sz w:val="33"/>
          <w:szCs w:val="33"/>
          <w:shd w:val="clear" w:color="auto" w:fill="FFFFFF"/>
        </w:rPr>
        <w:t>项目决策、项目管理、项目绩效三个方面</w:t>
      </w:r>
      <w:r>
        <w:rPr>
          <w:rFonts w:hint="eastAsia" w:ascii="方正仿宋_GBK" w:hAnsi="方正仿宋_GBK" w:eastAsia="方正仿宋_GBK" w:cs="方正仿宋_GBK"/>
          <w:i w:val="0"/>
          <w:caps w:val="0"/>
          <w:color w:val="auto"/>
          <w:spacing w:val="0"/>
          <w:sz w:val="33"/>
          <w:szCs w:val="33"/>
          <w:shd w:val="clear" w:color="auto" w:fill="FFFFFF"/>
          <w:lang w:val="en-US" w:eastAsia="zh-CN"/>
        </w:rPr>
        <w:t>分析来看，</w:t>
      </w:r>
      <w:r>
        <w:rPr>
          <w:rFonts w:hint="eastAsia" w:ascii="Times New Roman" w:hAnsi="Times New Roman" w:eastAsia="仿宋_GB2312"/>
          <w:color w:val="auto"/>
          <w:sz w:val="32"/>
          <w:szCs w:val="32"/>
          <w:lang w:val="en-US" w:eastAsia="zh-CN"/>
        </w:rPr>
        <w:t>我办严格执行预算法、会计法、中央、省、市、区的各项财务管理规定，按时保质进行预算、决算编报及送审；资金管理制度健全，款项支付规范，专款专用，最大限度地发挥了财政资金的使用效率，较好地执行了年初预算各项资金计划；账务核算及时规范，保障了机关正常运转，积极履职，较好的完成了年度工作目标。</w:t>
      </w:r>
    </w:p>
    <w:p>
      <w:pPr>
        <w:autoSpaceDE w:val="0"/>
        <w:autoSpaceDN w:val="0"/>
        <w:adjustRightInd w:val="0"/>
        <w:spacing w:line="600" w:lineRule="exact"/>
        <w:ind w:firstLine="640" w:firstLineChars="200"/>
        <w:jc w:val="left"/>
        <w:rPr>
          <w:rFonts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（二）存在的问题。</w:t>
      </w:r>
    </w:p>
    <w:p>
      <w:pPr>
        <w:autoSpaceDE w:val="0"/>
        <w:autoSpaceDN w:val="0"/>
        <w:adjustRightInd w:val="0"/>
        <w:spacing w:line="600" w:lineRule="exact"/>
        <w:ind w:firstLine="640" w:firstLineChars="200"/>
        <w:jc w:val="left"/>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社区人员流动性大，辖区基础设施薄弱，</w:t>
      </w:r>
      <w:r>
        <w:rPr>
          <w:rFonts w:ascii="Times New Roman" w:hAnsi="Times New Roman" w:eastAsia="仿宋_GB2312"/>
          <w:color w:val="auto"/>
          <w:sz w:val="32"/>
          <w:szCs w:val="32"/>
        </w:rPr>
        <w:t>经费较紧缺</w:t>
      </w:r>
      <w:r>
        <w:rPr>
          <w:rFonts w:hint="eastAsia" w:ascii="Times New Roman" w:hAnsi="Times New Roman" w:eastAsia="仿宋_GB2312"/>
          <w:color w:val="auto"/>
          <w:sz w:val="32"/>
          <w:szCs w:val="32"/>
          <w:lang w:eastAsia="zh-CN"/>
        </w:rPr>
        <w:t>。</w:t>
      </w:r>
    </w:p>
    <w:p>
      <w:pPr>
        <w:autoSpaceDE w:val="0"/>
        <w:autoSpaceDN w:val="0"/>
        <w:adjustRightInd w:val="0"/>
        <w:spacing w:line="600" w:lineRule="exact"/>
        <w:ind w:firstLine="640" w:firstLineChars="200"/>
        <w:jc w:val="left"/>
        <w:rPr>
          <w:rFonts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（三）相关建议。</w:t>
      </w:r>
    </w:p>
    <w:p>
      <w:pPr>
        <w:autoSpaceDE w:val="0"/>
        <w:autoSpaceDN w:val="0"/>
        <w:adjustRightInd w:val="0"/>
        <w:spacing w:line="60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lang w:val="en-US" w:eastAsia="zh-CN"/>
        </w:rPr>
        <w:t>望区财政能加大对社区</w:t>
      </w:r>
      <w:r>
        <w:rPr>
          <w:rFonts w:hint="eastAsia" w:ascii="Times New Roman" w:hAnsi="Times New Roman" w:eastAsia="仿宋_GB2312"/>
          <w:sz w:val="32"/>
          <w:szCs w:val="32"/>
          <w:lang w:val="en-US" w:eastAsia="zh-CN"/>
        </w:rPr>
        <w:t>办公经费及组织运行经费的投入，同时街道、社区干部也要加强自身学习，进一步提高工作质量，更好的提高为民服务的能力。</w:t>
      </w: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Fonts w:ascii="Times New Roman" w:hAnsi="Times New Roman" w:eastAsia="仿宋"/>
          <w:b w:val="0"/>
          <w:bCs w:val="0"/>
          <w:color w:val="000000"/>
        </w:rPr>
      </w:pPr>
      <w:r>
        <w:rPr>
          <w:rStyle w:val="15"/>
          <w:rFonts w:hint="eastAsia" w:eastAsia="黑体"/>
          <w:b w:val="0"/>
          <w:bCs w:val="0"/>
          <w:lang w:val="en-US" w:eastAsia="zh-CN"/>
        </w:rPr>
        <w:t xml:space="preserve">第五部分  </w:t>
      </w:r>
      <w:r>
        <w:rPr>
          <w:rStyle w:val="15"/>
          <w:rFonts w:eastAsia="黑体"/>
          <w:b w:val="0"/>
          <w:bCs w:val="0"/>
        </w:rPr>
        <w:t>附表</w:t>
      </w:r>
      <w:bookmarkEnd w:id="56"/>
      <w:bookmarkEnd w:id="57"/>
      <w:bookmarkStart w:id="58" w:name="_Toc15396619"/>
    </w:p>
    <w:p>
      <w:pPr>
        <w:numPr>
          <w:ilvl w:val="0"/>
          <w:numId w:val="0"/>
        </w:numPr>
        <w:autoSpaceDE w:val="0"/>
        <w:autoSpaceDN w:val="0"/>
        <w:adjustRightInd w:val="0"/>
        <w:spacing w:line="600" w:lineRule="exact"/>
        <w:jc w:val="left"/>
      </w:pPr>
      <w:r>
        <w:rPr>
          <w:rStyle w:val="17"/>
          <w:rFonts w:hint="eastAsia" w:ascii="Times New Roman" w:hAnsi="Times New Roman" w:eastAsia="仿宋" w:cs="Times New Roman"/>
          <w:b w:val="0"/>
          <w:bCs w:val="0"/>
          <w:lang w:val="en-US" w:eastAsia="zh-CN"/>
        </w:rPr>
        <w:t>一</w:t>
      </w:r>
      <w:r>
        <w:rPr>
          <w:rStyle w:val="17"/>
          <w:rFonts w:ascii="Times New Roman" w:hAnsi="Times New Roman" w:eastAsia="仿宋" w:cs="Times New Roman"/>
          <w:b w:val="0"/>
          <w:bCs w:val="0"/>
        </w:rPr>
        <w:t>、收入支出决算总表</w:t>
      </w:r>
      <w:bookmarkEnd w:id="58"/>
      <w:bookmarkStart w:id="59" w:name="_Toc15396620"/>
    </w:p>
    <w:p>
      <w:pPr>
        <w:numPr>
          <w:ilvl w:val="0"/>
          <w:numId w:val="0"/>
        </w:numPr>
        <w:autoSpaceDE w:val="0"/>
        <w:autoSpaceDN w:val="0"/>
        <w:adjustRightInd w:val="0"/>
        <w:spacing w:line="600" w:lineRule="exact"/>
        <w:jc w:val="left"/>
        <w:rPr>
          <w:rStyle w:val="17"/>
          <w:rFonts w:ascii="Times New Roman" w:hAnsi="Times New Roman" w:eastAsia="仿宋" w:cs="Times New Roman"/>
          <w:b w:val="0"/>
          <w:bCs w:val="0"/>
        </w:rPr>
      </w:pPr>
      <w:r>
        <w:rPr>
          <w:rStyle w:val="17"/>
          <w:rFonts w:hint="eastAsia" w:ascii="Times New Roman" w:hAnsi="Times New Roman" w:eastAsia="仿宋" w:cs="Times New Roman"/>
          <w:b w:val="0"/>
          <w:bCs w:val="0"/>
          <w:lang w:val="en-US" w:eastAsia="zh-CN"/>
        </w:rPr>
        <w:t>二、</w:t>
      </w:r>
      <w:r>
        <w:rPr>
          <w:rStyle w:val="17"/>
          <w:rFonts w:ascii="Times New Roman" w:hAnsi="Times New Roman" w:eastAsia="仿宋" w:cs="Times New Roman"/>
          <w:b w:val="0"/>
          <w:bCs w:val="0"/>
        </w:rPr>
        <w:t>收入决算表</w:t>
      </w:r>
      <w:bookmarkEnd w:id="59"/>
      <w:bookmarkStart w:id="60" w:name="_Toc15396621"/>
    </w:p>
    <w:p>
      <w:pPr>
        <w:numPr>
          <w:ilvl w:val="0"/>
          <w:numId w:val="0"/>
        </w:numPr>
        <w:autoSpaceDE w:val="0"/>
        <w:autoSpaceDN w:val="0"/>
        <w:adjustRightInd w:val="0"/>
        <w:spacing w:line="600" w:lineRule="exact"/>
        <w:jc w:val="left"/>
        <w:rPr>
          <w:rFonts w:ascii="Times New Roman" w:hAnsi="Times New Roman" w:eastAsia="仿宋"/>
          <w:b w:val="0"/>
          <w:bCs w:val="0"/>
          <w:color w:val="000000"/>
        </w:rPr>
      </w:pPr>
      <w:r>
        <w:rPr>
          <w:rStyle w:val="17"/>
          <w:rFonts w:ascii="Times New Roman" w:hAnsi="Times New Roman" w:eastAsia="仿宋" w:cs="Times New Roman"/>
          <w:b w:val="0"/>
          <w:bCs w:val="0"/>
        </w:rPr>
        <w:t>三、支</w:t>
      </w:r>
      <w:r>
        <w:rPr>
          <w:rStyle w:val="17"/>
          <w:rFonts w:ascii="Times New Roman" w:hAnsi="Times New Roman" w:eastAsia="仿宋"/>
          <w:b w:val="0"/>
          <w:bCs w:val="0"/>
        </w:rPr>
        <w:t>出决算表</w:t>
      </w:r>
      <w:bookmarkEnd w:id="60"/>
      <w:bookmarkStart w:id="61" w:name="_Toc15396622"/>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r>
        <w:rPr>
          <w:rStyle w:val="17"/>
          <w:rFonts w:hint="eastAsia" w:ascii="Times New Roman" w:hAnsi="Times New Roman" w:eastAsia="仿宋" w:cs="Times New Roman"/>
          <w:b w:val="0"/>
          <w:bCs w:val="0"/>
          <w:lang w:val="en-US" w:eastAsia="zh-CN"/>
        </w:rPr>
        <w:t>四、财政拨款收入支出决算总表</w:t>
      </w:r>
      <w:bookmarkEnd w:id="61"/>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2" w:name="_Toc15396623"/>
      <w:r>
        <w:rPr>
          <w:rStyle w:val="17"/>
          <w:rFonts w:hint="eastAsia" w:ascii="Times New Roman" w:hAnsi="Times New Roman" w:eastAsia="仿宋" w:cs="Times New Roman"/>
          <w:b w:val="0"/>
          <w:bCs w:val="0"/>
          <w:lang w:val="en-US" w:eastAsia="zh-CN"/>
        </w:rPr>
        <w:t>五、财政拨款支出决算明细表</w:t>
      </w:r>
      <w:bookmarkEnd w:id="62"/>
      <w:bookmarkStart w:id="63" w:name="_Toc15396624"/>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r>
        <w:rPr>
          <w:rStyle w:val="17"/>
          <w:rFonts w:hint="eastAsia" w:ascii="Times New Roman" w:hAnsi="Times New Roman" w:eastAsia="仿宋" w:cs="Times New Roman"/>
          <w:b w:val="0"/>
          <w:bCs w:val="0"/>
          <w:lang w:val="en-US" w:eastAsia="zh-CN"/>
        </w:rPr>
        <w:t>六、一般公共预算财政拨款支出决算表</w:t>
      </w:r>
      <w:bookmarkEnd w:id="63"/>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4" w:name="_Toc15396625"/>
      <w:r>
        <w:rPr>
          <w:rStyle w:val="17"/>
          <w:rFonts w:hint="eastAsia" w:ascii="Times New Roman" w:hAnsi="Times New Roman" w:eastAsia="仿宋" w:cs="Times New Roman"/>
          <w:b w:val="0"/>
          <w:bCs w:val="0"/>
          <w:lang w:val="en-US" w:eastAsia="zh-CN"/>
        </w:rPr>
        <w:t>七、一般公共预算财政拨款支出决算明细表</w:t>
      </w:r>
      <w:bookmarkEnd w:id="64"/>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5" w:name="_Toc15396626"/>
      <w:r>
        <w:rPr>
          <w:rStyle w:val="17"/>
          <w:rFonts w:hint="eastAsia" w:ascii="Times New Roman" w:hAnsi="Times New Roman" w:eastAsia="仿宋" w:cs="Times New Roman"/>
          <w:b w:val="0"/>
          <w:bCs w:val="0"/>
          <w:lang w:val="en-US" w:eastAsia="zh-CN"/>
        </w:rPr>
        <w:t>八、一般公共预算财政拨款基本支出决算表</w:t>
      </w:r>
      <w:bookmarkEnd w:id="65"/>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6" w:name="_Toc15396627"/>
      <w:r>
        <w:rPr>
          <w:rStyle w:val="17"/>
          <w:rFonts w:hint="eastAsia" w:ascii="Times New Roman" w:hAnsi="Times New Roman" w:eastAsia="仿宋" w:cs="Times New Roman"/>
          <w:b w:val="0"/>
          <w:bCs w:val="0"/>
          <w:lang w:val="en-US" w:eastAsia="zh-CN"/>
        </w:rPr>
        <w:t>九、一般公共预算财政拨款项目支出决算表</w:t>
      </w:r>
      <w:bookmarkEnd w:id="66"/>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7" w:name="_Toc15396628"/>
      <w:r>
        <w:rPr>
          <w:rStyle w:val="17"/>
          <w:rFonts w:hint="eastAsia" w:ascii="Times New Roman" w:hAnsi="Times New Roman" w:eastAsia="仿宋" w:cs="Times New Roman"/>
          <w:b w:val="0"/>
          <w:bCs w:val="0"/>
          <w:lang w:val="en-US" w:eastAsia="zh-CN"/>
        </w:rPr>
        <w:t>十、一般公共预算财政拨款“三公”经费支出决算表</w:t>
      </w:r>
      <w:bookmarkEnd w:id="67"/>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8" w:name="_Toc15396629"/>
      <w:r>
        <w:rPr>
          <w:rStyle w:val="17"/>
          <w:rFonts w:hint="eastAsia" w:ascii="Times New Roman" w:hAnsi="Times New Roman" w:eastAsia="仿宋" w:cs="Times New Roman"/>
          <w:b w:val="0"/>
          <w:bCs w:val="0"/>
          <w:lang w:val="en-US" w:eastAsia="zh-CN"/>
        </w:rPr>
        <w:t>十一、政府性基金预算财政拨款收入支出决算表</w:t>
      </w:r>
      <w:bookmarkEnd w:id="68"/>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9" w:name="_Toc15396630"/>
      <w:r>
        <w:rPr>
          <w:rStyle w:val="17"/>
          <w:rFonts w:hint="eastAsia" w:ascii="Times New Roman" w:hAnsi="Times New Roman" w:eastAsia="仿宋" w:cs="Times New Roman"/>
          <w:b w:val="0"/>
          <w:bCs w:val="0"/>
          <w:lang w:val="en-US" w:eastAsia="zh-CN"/>
        </w:rPr>
        <w:t>十二、政府性基金预算财政拨款“三公”经费支出决算表</w:t>
      </w:r>
      <w:bookmarkEnd w:id="69"/>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70" w:name="_Toc15396631"/>
      <w:r>
        <w:rPr>
          <w:rStyle w:val="17"/>
          <w:rFonts w:hint="eastAsia" w:ascii="Times New Roman" w:hAnsi="Times New Roman" w:eastAsia="仿宋" w:cs="Times New Roman"/>
          <w:b w:val="0"/>
          <w:bCs w:val="0"/>
          <w:lang w:val="en-US" w:eastAsia="zh-CN"/>
        </w:rPr>
        <w:t>十三、国有资本经营预算支出决算表</w:t>
      </w:r>
      <w:bookmarkEnd w:id="70"/>
      <w:bookmarkStart w:id="71" w:name="_Toc8181"/>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r>
        <w:rPr>
          <w:rStyle w:val="17"/>
          <w:rFonts w:hint="eastAsia" w:ascii="Times New Roman" w:hAnsi="Times New Roman" w:eastAsia="仿宋" w:cs="Times New Roman"/>
          <w:b w:val="0"/>
          <w:bCs w:val="0"/>
          <w:lang w:val="en-US" w:eastAsia="zh-CN"/>
        </w:rPr>
        <w:t>十四、国有资本经营预算财政拨款收入支出决算表</w:t>
      </w:r>
      <w:bookmarkEnd w:id="71"/>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p>
    <w:p/>
    <w:sectPr>
      <w:headerReference r:id="rId3" w:type="default"/>
      <w:footerReference r:id="rId4" w:type="default"/>
      <w:pgSz w:w="11906" w:h="16838"/>
      <w:pgMar w:top="2041"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宋体"/>
    <w:panose1 w:val="02010609030101010101"/>
    <w:charset w:val="86"/>
    <w:family w:val="modern"/>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11</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CA8CE"/>
    <w:multiLevelType w:val="singleLevel"/>
    <w:tmpl w:val="950CA8C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EA30FDE"/>
    <w:multiLevelType w:val="singleLevel"/>
    <w:tmpl w:val="1EA30FDE"/>
    <w:lvl w:ilvl="0" w:tentative="0">
      <w:start w:val="2"/>
      <w:numFmt w:val="decimal"/>
      <w:suff w:val="nothing"/>
      <w:lvlText w:val="%1．"/>
      <w:lvlJc w:val="left"/>
    </w:lvl>
  </w:abstractNum>
  <w:abstractNum w:abstractNumId="5">
    <w:nsid w:val="39C15D1E"/>
    <w:multiLevelType w:val="singleLevel"/>
    <w:tmpl w:val="39C15D1E"/>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64629F"/>
    <w:rsid w:val="118910DA"/>
    <w:rsid w:val="19960E96"/>
    <w:rsid w:val="24595010"/>
    <w:rsid w:val="2F902CDD"/>
    <w:rsid w:val="36B32D82"/>
    <w:rsid w:val="36CC5D7F"/>
    <w:rsid w:val="380A5526"/>
    <w:rsid w:val="3A374762"/>
    <w:rsid w:val="3C107AE0"/>
    <w:rsid w:val="4B373370"/>
    <w:rsid w:val="4D735C31"/>
    <w:rsid w:val="530E3BED"/>
    <w:rsid w:val="571A5450"/>
    <w:rsid w:val="5FBF83AB"/>
    <w:rsid w:val="62A73DCF"/>
    <w:rsid w:val="64FA5A25"/>
    <w:rsid w:val="683564DF"/>
    <w:rsid w:val="72E230CB"/>
    <w:rsid w:val="72F235F6"/>
    <w:rsid w:val="745B49F9"/>
    <w:rsid w:val="78930D44"/>
    <w:rsid w:val="7A87300A"/>
    <w:rsid w:val="7B7000B7"/>
    <w:rsid w:val="7BA41005"/>
    <w:rsid w:val="7F6513A7"/>
    <w:rsid w:val="D6A5057D"/>
    <w:rsid w:val="FCEFB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5">
    <w:name w:val="Plain Text"/>
    <w:basedOn w:val="1"/>
    <w:qFormat/>
    <w:uiPriority w:val="0"/>
    <w:rPr>
      <w:rFonts w:ascii="宋体" w:hAnsi="Courier New"/>
    </w:rPr>
  </w:style>
  <w:style w:type="paragraph" w:styleId="6">
    <w:name w:val="footer"/>
    <w:basedOn w:val="1"/>
    <w:qFormat/>
    <w:uiPriority w:val="99"/>
    <w:pPr>
      <w:tabs>
        <w:tab w:val="center" w:pos="4153"/>
        <w:tab w:val="right" w:pos="8306"/>
      </w:tabs>
      <w:snapToGrid w:val="0"/>
      <w:jc w:val="left"/>
    </w:pPr>
    <w:rPr>
      <w:kern w:val="0"/>
      <w:sz w:val="18"/>
      <w:szCs w:val="20"/>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page number"/>
    <w:basedOn w:val="11"/>
    <w:qFormat/>
    <w:uiPriority w:val="0"/>
  </w:style>
  <w:style w:type="character" w:styleId="14">
    <w:name w:val="Hyperlink"/>
    <w:basedOn w:val="11"/>
    <w:unhideWhenUsed/>
    <w:qFormat/>
    <w:uiPriority w:val="99"/>
    <w:rPr>
      <w:color w:val="0000FF"/>
      <w:u w:val="single"/>
    </w:rPr>
  </w:style>
  <w:style w:type="character" w:customStyle="1" w:styleId="15">
    <w:name w:val="标题 1 Char"/>
    <w:basedOn w:val="11"/>
    <w:link w:val="3"/>
    <w:qFormat/>
    <w:uiPriority w:val="9"/>
    <w:rPr>
      <w:b/>
      <w:bCs/>
      <w:kern w:val="44"/>
      <w:sz w:val="44"/>
      <w:szCs w:val="44"/>
    </w:rPr>
  </w:style>
  <w:style w:type="character" w:customStyle="1" w:styleId="16">
    <w:name w:val=" Char Char5"/>
    <w:basedOn w:val="11"/>
    <w:link w:val="4"/>
    <w:qFormat/>
    <w:locked/>
    <w:uiPriority w:val="9"/>
    <w:rPr>
      <w:rFonts w:ascii="Cambria" w:hAnsi="Cambria" w:eastAsia="宋体" w:cs="Times New Roman"/>
      <w:b/>
      <w:bCs/>
      <w:kern w:val="2"/>
      <w:sz w:val="32"/>
      <w:szCs w:val="32"/>
    </w:rPr>
  </w:style>
  <w:style w:type="character" w:customStyle="1" w:styleId="17">
    <w:name w:val="标题 2 Char"/>
    <w:basedOn w:val="11"/>
    <w:link w:val="4"/>
    <w:qFormat/>
    <w:uiPriority w:val="9"/>
    <w:rPr>
      <w:rFonts w:ascii="Cambria" w:hAnsi="Cambria"/>
      <w:b/>
      <w:bCs/>
      <w:sz w:val="32"/>
      <w:szCs w:val="32"/>
    </w:rPr>
  </w:style>
  <w:style w:type="paragraph" w:styleId="18">
    <w:name w:val="List Paragraph"/>
    <w:basedOn w:val="1"/>
    <w:qFormat/>
    <w:uiPriority w:val="34"/>
    <w:pPr>
      <w:ind w:firstLine="420" w:firstLineChars="200"/>
    </w:pPr>
  </w:style>
  <w:style w:type="character" w:customStyle="1" w:styleId="19">
    <w:name w:val="Footer Char"/>
    <w:basedOn w:val="11"/>
    <w:semiHidden/>
    <w:qFormat/>
    <w:uiPriority w:val="99"/>
    <w:rPr>
      <w:rFonts w:ascii="Times New Roman" w:hAnsi="Times New Roman"/>
      <w:sz w:val="18"/>
      <w:szCs w:val="18"/>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fontstyle31"/>
    <w:qFormat/>
    <w:uiPriority w:val="0"/>
    <w:rPr>
      <w:rFonts w:hint="eastAsia" w:ascii="黑体" w:hAnsi="黑体" w:eastAsia="黑体"/>
      <w:color w:val="000000"/>
      <w:sz w:val="32"/>
      <w:szCs w:val="32"/>
    </w:rPr>
  </w:style>
  <w:style w:type="character" w:customStyle="1" w:styleId="22">
    <w:name w:val="fontstyle4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oleObject" Target="embeddings/oleObject1.bin"/><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4"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4"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4"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2019</a:t>
            </a:r>
            <a:r>
              <a:rPr altLang="en-US"/>
              <a:t>、</a:t>
            </a:r>
            <a:r>
              <a:rPr lang="en-US" altLang="zh-CN"/>
              <a:t>2020</a:t>
            </a:r>
            <a:r>
              <a:rPr altLang="en-US"/>
              <a:t>收支</a:t>
            </a:r>
            <a:endParaRPr lang="en-US" altLang="zh-CN"/>
          </a:p>
        </c:rich>
      </c:tx>
      <c:layout/>
      <c:overlay val="0"/>
      <c:spPr>
        <a:solidFill>
          <a:srgbClr val="4F81BD"/>
        </a:solidFill>
        <a:ln>
          <a:noFill/>
        </a:ln>
        <a:effectLst/>
      </c:spPr>
    </c:title>
    <c:autoTitleDeleted val="0"/>
    <c:plotArea>
      <c:layout/>
      <c:barChart>
        <c:barDir val="col"/>
        <c:grouping val="clustered"/>
        <c:varyColors val="0"/>
        <c:ser>
          <c:idx val="0"/>
          <c:order val="0"/>
          <c:tx>
            <c:strRef>
              <c:f>[工作簿4]Sheet1!$B$1</c:f>
              <c:strCache>
                <c:ptCount val="1"/>
                <c:pt idx="0">
                  <c:v>2019、2020收支表</c:v>
                </c:pt>
              </c:strCache>
            </c:strRef>
          </c:tx>
          <c:spPr>
            <a:solidFill>
              <a:srgbClr val="1F497D"/>
            </a:solidFill>
            <a:ln>
              <a:noFill/>
            </a:ln>
            <a:effectLst/>
          </c:spPr>
          <c:invertIfNegative val="0"/>
          <c:dPt>
            <c:idx val="0"/>
            <c:invertIfNegative val="0"/>
            <c:bubble3D val="0"/>
            <c:spPr>
              <a:solidFill>
                <a:srgbClr val="C0504D"/>
              </a:solidFill>
              <a:ln>
                <a:noFill/>
              </a:ln>
              <a:effectLst/>
            </c:spPr>
          </c:dPt>
          <c:dPt>
            <c:idx val="2"/>
            <c:invertIfNegative val="0"/>
            <c:bubble3D val="0"/>
            <c:spPr>
              <a:solidFill>
                <a:srgbClr val="C0504D"/>
              </a:solidFill>
              <a:ln>
                <a:noFill/>
              </a:ln>
              <a:effectLst/>
            </c:spPr>
          </c:dPt>
          <c:dLbls>
            <c:delete val="1"/>
          </c:dLbls>
          <c:cat>
            <c:strRef>
              <c:f>[工作簿4]Sheet1!$A$2:$A$5</c:f>
              <c:strCache>
                <c:ptCount val="4"/>
                <c:pt idx="0">
                  <c:v>2019收入</c:v>
                </c:pt>
                <c:pt idx="1">
                  <c:v>2019支出</c:v>
                </c:pt>
                <c:pt idx="2">
                  <c:v>2020收入</c:v>
                </c:pt>
                <c:pt idx="3">
                  <c:v>2020支出</c:v>
                </c:pt>
              </c:strCache>
            </c:strRef>
          </c:cat>
          <c:val>
            <c:numRef>
              <c:f>[工作簿4]Sheet1!$B$2:$B$5</c:f>
              <c:numCache>
                <c:formatCode>General</c:formatCode>
                <c:ptCount val="4"/>
                <c:pt idx="0">
                  <c:v>482.02</c:v>
                </c:pt>
                <c:pt idx="1">
                  <c:v>549.14</c:v>
                </c:pt>
                <c:pt idx="2">
                  <c:v>444.71</c:v>
                </c:pt>
                <c:pt idx="3">
                  <c:v>483.15</c:v>
                </c:pt>
              </c:numCache>
            </c:numRef>
          </c:val>
        </c:ser>
        <c:ser>
          <c:idx val="1"/>
          <c:order val="1"/>
          <c:tx>
            <c:strRef>
              <c:f>[工作簿4]Sheet1!$C$1</c:f>
              <c:strCache>
                <c:ptCount val="1"/>
                <c:pt idx="0">
                  <c:v/>
                </c:pt>
              </c:strCache>
            </c:strRef>
          </c:tx>
          <c:spPr>
            <a:solidFill>
              <a:srgbClr val="C0504D"/>
            </a:solidFill>
            <a:ln>
              <a:noFill/>
            </a:ln>
            <a:effectLst/>
          </c:spPr>
          <c:invertIfNegative val="0"/>
          <c:dLbls>
            <c:delete val="1"/>
          </c:dLbls>
          <c:cat>
            <c:strRef>
              <c:f>[工作簿4]Sheet1!$A$2:$A$5</c:f>
              <c:strCache>
                <c:ptCount val="4"/>
                <c:pt idx="0">
                  <c:v>2019收入</c:v>
                </c:pt>
                <c:pt idx="1">
                  <c:v>2019支出</c:v>
                </c:pt>
                <c:pt idx="2">
                  <c:v>2020收入</c:v>
                </c:pt>
                <c:pt idx="3">
                  <c:v>2020支出</c:v>
                </c:pt>
              </c:strCache>
            </c:strRef>
          </c:cat>
          <c:val>
            <c:numRef>
              <c:f>[工作簿4]Sheet1!$C$2:$C$5</c:f>
              <c:numCache>
                <c:formatCode>General</c:formatCode>
                <c:ptCount val="4"/>
              </c:numCache>
            </c:numRef>
          </c:val>
        </c:ser>
        <c:dLbls>
          <c:showLegendKey val="0"/>
          <c:showVal val="1"/>
          <c:showCatName val="0"/>
          <c:showSerName val="0"/>
          <c:showPercent val="0"/>
          <c:showBubbleSize val="0"/>
        </c:dLbls>
        <c:gapWidth val="0"/>
        <c:overlap val="0"/>
        <c:axId val="82348890"/>
        <c:axId val="54272996"/>
      </c:barChart>
      <c:catAx>
        <c:axId val="82348890"/>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rgbClr val="595959">
                      <a:lumMod val="65000"/>
                      <a:lumOff val="35000"/>
                    </a:srgbClr>
                  </a:solidFill>
                  <a:latin typeface="+mn-lt"/>
                  <a:ea typeface="+mn-ea"/>
                  <a:cs typeface="+mn-cs"/>
                </a:defRPr>
              </a:pPr>
            </a:p>
          </c:txPr>
        </c:title>
        <c:majorTickMark val="out"/>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4272996"/>
        <c:crosses val="autoZero"/>
        <c:auto val="1"/>
        <c:lblAlgn val="ctr"/>
        <c:lblOffset val="100"/>
        <c:noMultiLvlLbl val="0"/>
      </c:catAx>
      <c:valAx>
        <c:axId val="5427299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234889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altLang="en-US"/>
              <a:t>收入决算结构</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一般公共预算收入</a:t>
                    </a:r>
                  </a:p>
                  <a:p>
                    <a:pPr defTabSz="914400">
                      <a:defRPr lang="zh-CN" sz="900" b="0" i="0" u="none" strike="noStrike" kern="1200" baseline="0">
                        <a:solidFill>
                          <a:srgbClr val="404040">
                            <a:lumMod val="75000"/>
                            <a:lumOff val="25000"/>
                          </a:srgbClr>
                        </a:solidFill>
                        <a:latin typeface="+mn-lt"/>
                        <a:ea typeface="+mn-ea"/>
                        <a:cs typeface="+mn-cs"/>
                      </a:defRPr>
                    </a:pPr>
                    <a:r>
                      <a:rPr lang="en-US" altLang="zh-CN"/>
                      <a:t>98.63</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政府性基金预算收入1</a:t>
                    </a:r>
                    <a:r>
                      <a:rPr lang="en-US" altLang="zh-CN"/>
                      <a:t>.37</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[工作簿2]Sheet1!$A$1:$B$1</c:f>
              <c:strCache>
                <c:ptCount val="2"/>
                <c:pt idx="0">
                  <c:v>一般公共预算收入</c:v>
                </c:pt>
                <c:pt idx="1">
                  <c:v>政府性基金预算收入</c:v>
                </c:pt>
              </c:strCache>
            </c:strRef>
          </c:cat>
          <c:val>
            <c:numRef>
              <c:f>[工作簿2]Sheet1!$A$2:$B$2</c:f>
              <c:numCache>
                <c:formatCode>General</c:formatCode>
                <c:ptCount val="2"/>
                <c:pt idx="0">
                  <c:v>438.61</c:v>
                </c:pt>
                <c:pt idx="1">
                  <c:v>6.09</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altLang="en-US" b="1"/>
              <a:t>支出结构</a:t>
            </a:r>
            <a:endParaRPr lang="en-US" altLang="zh-CN" b="1"/>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基本支出86</a:t>
                    </a:r>
                    <a:r>
                      <a:rPr lang="en-US" altLang="zh-CN"/>
                      <a:t>.3</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项目支出1</a:t>
                    </a:r>
                    <a:r>
                      <a:rPr lang="en-US" altLang="zh-CN"/>
                      <a:t>3.7</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[工作簿2]Sheet1!$A$1:$B$1</c:f>
              <c:strCache>
                <c:ptCount val="2"/>
                <c:pt idx="0">
                  <c:v>基本支出</c:v>
                </c:pt>
                <c:pt idx="1">
                  <c:v>项目支出</c:v>
                </c:pt>
              </c:strCache>
            </c:strRef>
          </c:cat>
          <c:val>
            <c:numRef>
              <c:f>[工作簿2]Sheet1!$A$2:$B$2</c:f>
              <c:numCache>
                <c:formatCode>General</c:formatCode>
                <c:ptCount val="2"/>
                <c:pt idx="0">
                  <c:v>416.72</c:v>
                </c:pt>
                <c:pt idx="1">
                  <c:v>66.42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2019</a:t>
            </a:r>
            <a:r>
              <a:rPr altLang="en-US"/>
              <a:t>、</a:t>
            </a:r>
            <a:r>
              <a:rPr lang="en-US" altLang="zh-CN"/>
              <a:t>2020</a:t>
            </a:r>
            <a:r>
              <a:rPr altLang="en-US"/>
              <a:t>收支</a:t>
            </a:r>
            <a:endParaRPr lang="en-US" altLang="zh-CN"/>
          </a:p>
        </c:rich>
      </c:tx>
      <c:layout/>
      <c:overlay val="0"/>
      <c:spPr>
        <a:solidFill>
          <a:srgbClr val="4F81BD"/>
        </a:solidFill>
        <a:ln>
          <a:noFill/>
        </a:ln>
        <a:effectLst/>
      </c:spPr>
    </c:title>
    <c:autoTitleDeleted val="0"/>
    <c:plotArea>
      <c:layout/>
      <c:barChart>
        <c:barDir val="col"/>
        <c:grouping val="clustered"/>
        <c:varyColors val="0"/>
        <c:ser>
          <c:idx val="0"/>
          <c:order val="0"/>
          <c:tx>
            <c:strRef>
              <c:f>[工作簿4]Sheet1!$B$1</c:f>
              <c:strCache>
                <c:ptCount val="1"/>
                <c:pt idx="0">
                  <c:v>2019、2020收支表</c:v>
                </c:pt>
              </c:strCache>
            </c:strRef>
          </c:tx>
          <c:spPr>
            <a:solidFill>
              <a:srgbClr val="1F497D"/>
            </a:solidFill>
            <a:ln>
              <a:noFill/>
            </a:ln>
            <a:effectLst/>
          </c:spPr>
          <c:invertIfNegative val="0"/>
          <c:dPt>
            <c:idx val="0"/>
            <c:invertIfNegative val="0"/>
            <c:bubble3D val="0"/>
            <c:spPr>
              <a:solidFill>
                <a:srgbClr val="C0504D"/>
              </a:solidFill>
              <a:ln>
                <a:noFill/>
              </a:ln>
              <a:effectLst/>
            </c:spPr>
          </c:dPt>
          <c:dPt>
            <c:idx val="2"/>
            <c:invertIfNegative val="0"/>
            <c:bubble3D val="0"/>
            <c:spPr>
              <a:solidFill>
                <a:srgbClr val="C0504D"/>
              </a:solidFill>
              <a:ln>
                <a:noFill/>
              </a:ln>
              <a:effectLst/>
            </c:spPr>
          </c:dPt>
          <c:dLbls>
            <c:delete val="1"/>
          </c:dLbls>
          <c:cat>
            <c:strRef>
              <c:f>[工作簿4]Sheet1!$A$2:$A$5</c:f>
              <c:strCache>
                <c:ptCount val="4"/>
                <c:pt idx="0">
                  <c:v>2019收入</c:v>
                </c:pt>
                <c:pt idx="1">
                  <c:v>2019支出</c:v>
                </c:pt>
                <c:pt idx="2">
                  <c:v>2020收入</c:v>
                </c:pt>
                <c:pt idx="3">
                  <c:v>2020支出</c:v>
                </c:pt>
              </c:strCache>
            </c:strRef>
          </c:cat>
          <c:val>
            <c:numRef>
              <c:f>[工作簿4]Sheet1!$B$2:$B$5</c:f>
              <c:numCache>
                <c:formatCode>General</c:formatCode>
                <c:ptCount val="4"/>
                <c:pt idx="0">
                  <c:v>482.02</c:v>
                </c:pt>
                <c:pt idx="1">
                  <c:v>549.14</c:v>
                </c:pt>
                <c:pt idx="2">
                  <c:v>444.71</c:v>
                </c:pt>
                <c:pt idx="3">
                  <c:v>483.15</c:v>
                </c:pt>
              </c:numCache>
            </c:numRef>
          </c:val>
        </c:ser>
        <c:ser>
          <c:idx val="1"/>
          <c:order val="1"/>
          <c:tx>
            <c:strRef>
              <c:f>[工作簿4]Sheet1!$C$1</c:f>
              <c:strCache>
                <c:ptCount val="1"/>
                <c:pt idx="0">
                  <c:v/>
                </c:pt>
              </c:strCache>
            </c:strRef>
          </c:tx>
          <c:spPr>
            <a:solidFill>
              <a:srgbClr val="C0504D"/>
            </a:solidFill>
            <a:ln>
              <a:noFill/>
            </a:ln>
            <a:effectLst/>
          </c:spPr>
          <c:invertIfNegative val="0"/>
          <c:dLbls>
            <c:delete val="1"/>
          </c:dLbls>
          <c:cat>
            <c:strRef>
              <c:f>[工作簿4]Sheet1!$A$2:$A$5</c:f>
              <c:strCache>
                <c:ptCount val="4"/>
                <c:pt idx="0">
                  <c:v>2019收入</c:v>
                </c:pt>
                <c:pt idx="1">
                  <c:v>2019支出</c:v>
                </c:pt>
                <c:pt idx="2">
                  <c:v>2020收入</c:v>
                </c:pt>
                <c:pt idx="3">
                  <c:v>2020支出</c:v>
                </c:pt>
              </c:strCache>
            </c:strRef>
          </c:cat>
          <c:val>
            <c:numRef>
              <c:f>[工作簿4]Sheet1!$C$2:$C$5</c:f>
              <c:numCache>
                <c:formatCode>General</c:formatCode>
                <c:ptCount val="4"/>
              </c:numCache>
            </c:numRef>
          </c:val>
        </c:ser>
        <c:dLbls>
          <c:showLegendKey val="0"/>
          <c:showVal val="1"/>
          <c:showCatName val="0"/>
          <c:showSerName val="0"/>
          <c:showPercent val="0"/>
          <c:showBubbleSize val="0"/>
        </c:dLbls>
        <c:gapWidth val="0"/>
        <c:overlap val="0"/>
        <c:axId val="82348890"/>
        <c:axId val="54272996"/>
      </c:barChart>
      <c:catAx>
        <c:axId val="82348890"/>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rgbClr val="595959">
                      <a:lumMod val="65000"/>
                      <a:lumOff val="35000"/>
                    </a:srgbClr>
                  </a:solidFill>
                  <a:latin typeface="+mn-lt"/>
                  <a:ea typeface="+mn-ea"/>
                  <a:cs typeface="+mn-cs"/>
                </a:defRPr>
              </a:pPr>
            </a:p>
          </c:txPr>
        </c:title>
        <c:majorTickMark val="out"/>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4272996"/>
        <c:crosses val="autoZero"/>
        <c:auto val="1"/>
        <c:lblAlgn val="ctr"/>
        <c:lblOffset val="100"/>
        <c:noMultiLvlLbl val="0"/>
      </c:catAx>
      <c:valAx>
        <c:axId val="5427299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234889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[工作簿4]Sheet1!$A$2</c:f>
              <c:strCache>
                <c:ptCount val="1"/>
                <c:pt idx="0">
                  <c:v>2019</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[工作簿4]Sheet1!$B$1:$C$1</c:f>
              <c:strCache>
                <c:ptCount val="2"/>
                <c:pt idx="0">
                  <c:v>一般公共预算财政拨款支出</c:v>
                </c:pt>
              </c:strCache>
            </c:strRef>
          </c:cat>
          <c:val>
            <c:numRef>
              <c:f>[工作簿4]Sheet1!$B$2:$C$2</c:f>
              <c:numCache>
                <c:formatCode>General</c:formatCode>
                <c:ptCount val="2"/>
                <c:pt idx="0">
                  <c:v>544.01</c:v>
                </c:pt>
              </c:numCache>
            </c:numRef>
          </c:val>
        </c:ser>
        <c:ser>
          <c:idx val="1"/>
          <c:order val="1"/>
          <c:tx>
            <c:strRef>
              <c:f>[工作簿4]Sheet1!$A$3</c:f>
              <c:strCache>
                <c:ptCount val="1"/>
                <c:pt idx="0">
                  <c:v>2020</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[工作簿4]Sheet1!$B$1:$C$1</c:f>
              <c:strCache>
                <c:ptCount val="2"/>
                <c:pt idx="0">
                  <c:v>一般公共预算财政拨款支出</c:v>
                </c:pt>
              </c:strCache>
            </c:strRef>
          </c:cat>
          <c:val>
            <c:numRef>
              <c:f>[工作簿4]Sheet1!$B$3:$C$3</c:f>
              <c:numCache>
                <c:formatCode>General</c:formatCode>
                <c:ptCount val="2"/>
                <c:pt idx="0">
                  <c:v>471.26</c:v>
                </c:pt>
              </c:numCache>
            </c:numRef>
          </c:val>
        </c:ser>
        <c:dLbls>
          <c:showLegendKey val="0"/>
          <c:showVal val="1"/>
          <c:showCatName val="0"/>
          <c:showSerName val="0"/>
          <c:showPercent val="0"/>
          <c:showBubbleSize val="0"/>
        </c:dLbls>
        <c:gapWidth val="75"/>
        <c:overlap val="0"/>
        <c:axId val="88720640"/>
        <c:axId val="113700554"/>
      </c:barChart>
      <c:catAx>
        <c:axId val="8872064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700554"/>
        <c:crosses val="autoZero"/>
        <c:auto val="1"/>
        <c:lblAlgn val="ctr"/>
        <c:lblOffset val="100"/>
        <c:noMultiLvlLbl val="0"/>
      </c:catAx>
      <c:valAx>
        <c:axId val="11370055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8720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[工作簿4]Sheet1!$B$1</c:f>
              <c:strCache>
                <c:ptCount val="1"/>
                <c:pt idx="0">
                  <c:v>一般公共预算财政拨款支出</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delete val="1"/>
          </c:dLbls>
          <c:cat>
            <c:strRef>
              <c:f>[工作簿4]Sheet1!$A$2:$A$8</c:f>
              <c:strCache>
                <c:ptCount val="7"/>
                <c:pt idx="0">
                  <c:v>一般公共服务（类）务</c:v>
                </c:pt>
                <c:pt idx="1">
                  <c:v>文化旅游体育与传媒</c:v>
                </c:pt>
                <c:pt idx="2">
                  <c:v>社会保障和就业</c:v>
                </c:pt>
                <c:pt idx="3">
                  <c:v>卫生健康:支出</c:v>
                </c:pt>
                <c:pt idx="4">
                  <c:v>城乡社区支出</c:v>
                </c:pt>
                <c:pt idx="5">
                  <c:v>.住房保障支出</c:v>
                </c:pt>
                <c:pt idx="6">
                  <c:v>农林水支出</c:v>
                </c:pt>
              </c:strCache>
            </c:strRef>
          </c:cat>
          <c:val>
            <c:numRef>
              <c:f>[工作簿4]Sheet1!$B$2:$B$8</c:f>
              <c:numCache>
                <c:formatCode>General</c:formatCode>
                <c:ptCount val="7"/>
                <c:pt idx="0">
                  <c:v>404.89</c:v>
                </c:pt>
                <c:pt idx="1">
                  <c:v>4.1</c:v>
                </c:pt>
                <c:pt idx="2">
                  <c:v>22.77</c:v>
                </c:pt>
                <c:pt idx="3">
                  <c:v>14.12</c:v>
                </c:pt>
                <c:pt idx="4">
                  <c:v>0.84</c:v>
                </c:pt>
                <c:pt idx="5">
                  <c:v>21.54</c:v>
                </c:pt>
                <c:pt idx="6">
                  <c:v>3</c:v>
                </c:pt>
              </c:numCache>
            </c:numRef>
          </c:val>
        </c:ser>
        <c:ser>
          <c:idx val="1"/>
          <c:order val="1"/>
          <c:tx>
            <c:strRef>
              <c:f>[工作簿4]Sheet1!$C$1</c:f>
              <c:strCache>
                <c:ptCount val="1"/>
                <c:pt idx="0">
                  <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delete val="1"/>
          </c:dLbls>
          <c:cat>
            <c:strRef>
              <c:f>[工作簿4]Sheet1!$A$2:$A$8</c:f>
              <c:strCache>
                <c:ptCount val="7"/>
                <c:pt idx="0">
                  <c:v>一般公共服务（类）务</c:v>
                </c:pt>
                <c:pt idx="1">
                  <c:v>文化旅游体育与传媒</c:v>
                </c:pt>
                <c:pt idx="2">
                  <c:v>社会保障和就业</c:v>
                </c:pt>
                <c:pt idx="3">
                  <c:v>卫生健康:支出</c:v>
                </c:pt>
                <c:pt idx="4">
                  <c:v>城乡社区支出</c:v>
                </c:pt>
                <c:pt idx="5">
                  <c:v>.住房保障支出</c:v>
                </c:pt>
                <c:pt idx="6">
                  <c:v>农林水支出</c:v>
                </c:pt>
              </c:strCache>
            </c:strRef>
          </c:cat>
          <c:val>
            <c:numRef>
              <c:f>[工作簿4]Sheet1!$C$2:$C$8</c:f>
              <c:numCache>
                <c:formatCode>General</c:formatCode>
                <c:ptCount val="7"/>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2021-10-27T04:19:00Z</dcterms:created>
  <dc:creator>陈兴霸</dc:creator>
  <cp:lastModifiedBy>HUAWEI</cp:lastModifiedBy>
  <dcterms:modified xsi:type="dcterms:W3CDTF">2026-03-26T11:49:07Z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AF4F77FB1A9CCF37B3ACC4698F7BA377</vt:lpwstr>
  </property>
</Properties>
</file>