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15" w:lineRule="auto"/>
        <w:jc w:val="center"/>
        <w:rPr>
          <w:rFonts w:hint="default" w:ascii="Times New Roman" w:hAnsi="Times New Roman" w:eastAsia="宋体" w:cs="Times New Roman"/>
          <w:b/>
          <w:bCs/>
          <w:sz w:val="47"/>
          <w:szCs w:val="47"/>
        </w:rPr>
      </w:pPr>
      <w:r>
        <w:rPr>
          <w:rFonts w:hint="default" w:ascii="Times New Roman" w:hAnsi="Times New Roman" w:eastAsia="宋体" w:cs="Times New Roman"/>
          <w:b/>
          <w:bCs/>
          <w:spacing w:val="19"/>
          <w:sz w:val="44"/>
          <w:szCs w:val="44"/>
        </w:rPr>
        <w:t>攀枝花市西区</w:t>
      </w:r>
      <w:r>
        <w:rPr>
          <w:rFonts w:hint="eastAsia" w:ascii="Times New Roman" w:hAnsi="Times New Roman" w:eastAsia="宋体" w:cs="Times New Roman"/>
          <w:b/>
          <w:bCs/>
          <w:spacing w:val="19"/>
          <w:sz w:val="44"/>
          <w:szCs w:val="44"/>
          <w:lang w:eastAsia="zh-CN"/>
        </w:rPr>
        <w:t>商务</w:t>
      </w:r>
      <w:r>
        <w:rPr>
          <w:rFonts w:hint="default" w:ascii="Times New Roman" w:hAnsi="Times New Roman" w:eastAsia="宋体" w:cs="Times New Roman"/>
          <w:b/>
          <w:bCs/>
          <w:spacing w:val="19"/>
          <w:sz w:val="44"/>
          <w:szCs w:val="44"/>
        </w:rPr>
        <w:t>局主动公开</w:t>
      </w:r>
      <w:r>
        <w:rPr>
          <w:rFonts w:hint="eastAsia" w:ascii="Times New Roman" w:hAnsi="Times New Roman" w:eastAsia="宋体" w:cs="Times New Roman"/>
          <w:b/>
          <w:bCs/>
          <w:spacing w:val="19"/>
          <w:sz w:val="44"/>
          <w:szCs w:val="44"/>
          <w:lang w:eastAsia="zh-CN"/>
        </w:rPr>
        <w:t>事项</w:t>
      </w:r>
      <w:r>
        <w:rPr>
          <w:rFonts w:hint="default" w:ascii="Times New Roman" w:hAnsi="Times New Roman" w:eastAsia="宋体" w:cs="Times New Roman"/>
          <w:b/>
          <w:bCs/>
          <w:spacing w:val="19"/>
          <w:sz w:val="44"/>
          <w:szCs w:val="44"/>
        </w:rPr>
        <w:t>基本目录</w:t>
      </w:r>
    </w:p>
    <w:p>
      <w:pPr>
        <w:spacing w:line="60" w:lineRule="exact"/>
        <w:rPr>
          <w:b/>
          <w:bCs/>
        </w:rPr>
      </w:pPr>
    </w:p>
    <w:tbl>
      <w:tblPr>
        <w:tblStyle w:val="6"/>
        <w:tblW w:w="1459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420"/>
        <w:gridCol w:w="738"/>
        <w:gridCol w:w="2117"/>
        <w:gridCol w:w="1300"/>
        <w:gridCol w:w="2887"/>
        <w:gridCol w:w="1525"/>
        <w:gridCol w:w="1338"/>
        <w:gridCol w:w="1587"/>
        <w:gridCol w:w="1025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55" w:type="dxa"/>
            <w:tcBorders>
              <w:tl2br w:val="nil"/>
              <w:tr2bl w:val="nil"/>
            </w:tcBorders>
            <w:vAlign w:val="top"/>
          </w:tcPr>
          <w:p>
            <w:pPr>
              <w:spacing w:before="250" w:line="21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类别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250" w:line="220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公开事项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top"/>
          </w:tcPr>
          <w:p>
            <w:pPr>
              <w:spacing w:before="250" w:line="219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公开内容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248" w:line="219" w:lineRule="auto"/>
              <w:ind w:left="16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公开依据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top"/>
          </w:tcPr>
          <w:p>
            <w:pPr>
              <w:spacing w:before="251" w:line="221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公开主体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top"/>
          </w:tcPr>
          <w:p>
            <w:pPr>
              <w:spacing w:before="250" w:line="21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公开渠道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top"/>
          </w:tcPr>
          <w:p>
            <w:pPr>
              <w:spacing w:before="250" w:line="220" w:lineRule="auto"/>
              <w:ind w:left="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公开时限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top"/>
          </w:tcPr>
          <w:p>
            <w:pPr>
              <w:spacing w:before="250" w:line="21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公开责任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top"/>
          </w:tcPr>
          <w:p>
            <w:pPr>
              <w:spacing w:before="251" w:line="221" w:lineRule="auto"/>
              <w:ind w:left="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55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181" w:line="202" w:lineRule="auto"/>
              <w:ind w:left="242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法定公开事项</w:t>
            </w:r>
          </w:p>
        </w:tc>
        <w:tc>
          <w:tcPr>
            <w:tcW w:w="1158" w:type="dxa"/>
            <w:gridSpan w:val="2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line="267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8" w:lineRule="auto"/>
              <w:rPr>
                <w:b w:val="0"/>
                <w:bCs w:val="0"/>
              </w:rPr>
            </w:pPr>
          </w:p>
          <w:p>
            <w:pPr>
              <w:spacing w:before="49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政策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  <w:lang w:eastAsia="zh-CN"/>
              </w:rPr>
              <w:t>文件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  <w:t>规章</w:t>
            </w:r>
          </w:p>
        </w:tc>
        <w:tc>
          <w:tcPr>
            <w:tcW w:w="13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49" w:line="220" w:lineRule="auto"/>
              <w:ind w:left="12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行政法规</w:t>
            </w:r>
          </w:p>
        </w:tc>
        <w:tc>
          <w:tcPr>
            <w:tcW w:w="28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48" w:line="219" w:lineRule="auto"/>
              <w:jc w:val="both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《政府信息公开条例》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第二十条第一</w:t>
            </w:r>
            <w:r>
              <w:rPr>
                <w:rFonts w:hint="eastAsia" w:ascii="宋体" w:hAnsi="宋体" w:eastAsia="宋体" w:cs="宋体"/>
                <w:spacing w:val="-4"/>
                <w:sz w:val="15"/>
                <w:szCs w:val="15"/>
                <w:lang w:eastAsia="zh-CN"/>
              </w:rPr>
              <w:t>款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49" w:line="219" w:lineRule="auto"/>
              <w:ind w:left="4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5"/>
                <w:szCs w:val="15"/>
                <w:lang w:eastAsia="zh-CN"/>
              </w:rPr>
              <w:t>区商务局</w:t>
            </w:r>
          </w:p>
        </w:tc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49" w:line="219" w:lineRule="auto"/>
              <w:ind w:left="16"/>
              <w:jc w:val="both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政府网站</w:t>
            </w:r>
          </w:p>
        </w:tc>
        <w:tc>
          <w:tcPr>
            <w:tcW w:w="15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89" w:line="209" w:lineRule="auto"/>
              <w:ind w:left="17" w:right="28" w:firstLine="1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公开事项信息形成</w:t>
            </w:r>
            <w:r>
              <w:rPr>
                <w:rFonts w:ascii="宋体" w:hAnsi="宋体" w:eastAsia="宋体" w:cs="宋体"/>
                <w:sz w:val="15"/>
                <w:szCs w:val="15"/>
              </w:rPr>
              <w:t>或变更之日起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工作日内公开</w:t>
            </w:r>
          </w:p>
        </w:tc>
        <w:tc>
          <w:tcPr>
            <w:tcW w:w="10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各股室</w:t>
            </w:r>
          </w:p>
        </w:tc>
        <w:tc>
          <w:tcPr>
            <w:tcW w:w="9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228" w:line="219" w:lineRule="auto"/>
            </w:pPr>
          </w:p>
        </w:tc>
        <w:tc>
          <w:tcPr>
            <w:tcW w:w="115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before="228" w:line="219" w:lineRule="auto"/>
            </w:pP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  <w:t>行政规范性文件</w:t>
            </w: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before="228" w:line="219" w:lineRule="auto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  <w:tc>
          <w:tcPr>
            <w:tcW w:w="288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before="228" w:line="219" w:lineRule="auto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both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center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  <w:tc>
          <w:tcPr>
            <w:tcW w:w="9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center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228" w:line="219" w:lineRule="auto"/>
            </w:pPr>
          </w:p>
        </w:tc>
        <w:tc>
          <w:tcPr>
            <w:tcW w:w="115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before="228" w:line="219" w:lineRule="auto"/>
            </w:pP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其他文件</w:t>
            </w: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before="228" w:line="219" w:lineRule="auto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  <w:tc>
          <w:tcPr>
            <w:tcW w:w="288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before="228" w:line="219" w:lineRule="auto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15"/>
                <w:szCs w:val="15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both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center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  <w:tc>
          <w:tcPr>
            <w:tcW w:w="9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228" w:line="219" w:lineRule="auto"/>
              <w:jc w:val="center"/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289" w:line="219" w:lineRule="auto"/>
              <w:ind w:left="260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机关简介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top"/>
          </w:tcPr>
          <w:p>
            <w:pPr>
              <w:spacing w:before="130" w:line="223" w:lineRule="auto"/>
              <w:ind w:left="1" w:right="113"/>
              <w:jc w:val="both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机构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职能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机构设置、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办公地址、办公时间、联系方式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、负责人姓名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before="49" w:line="220" w:lineRule="auto"/>
              <w:jc w:val="both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行政法规</w:t>
            </w:r>
          </w:p>
          <w:p>
            <w:pPr>
              <w:spacing w:before="49" w:line="220" w:lineRule="auto"/>
              <w:ind w:left="12"/>
              <w:jc w:val="both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19" w:lineRule="auto"/>
              <w:jc w:val="both"/>
              <w:textAlignment w:val="baseline"/>
              <w:rPr>
                <w:rFonts w:hint="eastAsia" w:ascii="宋体" w:hAnsi="宋体" w:eastAsia="宋体" w:cs="宋体"/>
                <w:spacing w:val="-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《政府信息公开条例》第二十条第二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eastAsia="zh-CN"/>
              </w:rPr>
              <w:t>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19" w:lineRule="auto"/>
              <w:jc w:val="both"/>
              <w:textAlignment w:val="baseline"/>
              <w:rPr>
                <w:rFonts w:hint="default" w:ascii="宋体" w:hAnsi="宋体" w:eastAsia="宋体" w:cs="宋体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val="en-US" w:eastAsia="zh-CN"/>
              </w:rPr>
              <w:t>2.西区商务局</w:t>
            </w:r>
            <w:r>
              <w:rPr>
                <w:rFonts w:hint="default" w:ascii="宋体" w:hAnsi="宋体" w:eastAsia="宋体" w:cs="宋体"/>
                <w:spacing w:val="-5"/>
                <w:sz w:val="15"/>
                <w:szCs w:val="15"/>
                <w:lang w:val="en-US" w:eastAsia="zh-CN"/>
              </w:rPr>
              <w:t>“三定”方案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5"/>
                <w:szCs w:val="15"/>
                <w:lang w:eastAsia="zh-CN"/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政府网站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公开事项信息形成</w:t>
            </w:r>
            <w:r>
              <w:rPr>
                <w:rFonts w:ascii="宋体" w:hAnsi="宋体" w:eastAsia="宋体" w:cs="宋体"/>
                <w:sz w:val="15"/>
                <w:szCs w:val="15"/>
              </w:rPr>
              <w:t>或变更之日起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工作日内公开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办公室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规划信息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spacing w:before="50" w:line="201" w:lineRule="auto"/>
              <w:ind w:left="1" w:leftChars="0" w:right="33" w:rightChars="0"/>
              <w:jc w:val="both"/>
              <w:rPr>
                <w:rFonts w:ascii="宋体" w:hAnsi="宋体" w:eastAsia="宋体" w:cs="宋体"/>
                <w:spacing w:val="-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  <w:t>国民经济和社会发展规划</w:t>
            </w: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  <w:t>及相关政策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top"/>
          </w:tcPr>
          <w:p>
            <w:pPr>
              <w:spacing w:before="201" w:line="220" w:lineRule="auto"/>
              <w:ind w:left="12" w:leftChars="0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行政法规</w:t>
            </w:r>
          </w:p>
        </w:tc>
        <w:tc>
          <w:tcPr>
            <w:tcW w:w="2887" w:type="dxa"/>
            <w:tcBorders>
              <w:tl2br w:val="nil"/>
              <w:tr2bl w:val="nil"/>
            </w:tcBorders>
            <w:vAlign w:val="top"/>
          </w:tcPr>
          <w:p>
            <w:pPr>
              <w:spacing w:before="200" w:line="219" w:lineRule="auto"/>
              <w:rPr>
                <w:rFonts w:hint="eastAsia" w:ascii="宋体" w:hAnsi="宋体" w:eastAsia="宋体" w:cs="宋体"/>
                <w:spacing w:val="-5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《政府信息公开条例》第二十条第三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eastAsia="zh-CN"/>
              </w:rPr>
              <w:t>款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  <w:rPr>
                <w:rFonts w:ascii="宋体" w:hAnsi="宋体" w:eastAsia="宋体" w:cs="宋体"/>
                <w:color w:val="auto"/>
                <w:spacing w:val="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5"/>
                <w:szCs w:val="15"/>
                <w:lang w:eastAsia="zh-CN"/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政府网站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  <w:rPr>
                <w:rFonts w:ascii="宋体" w:hAnsi="宋体" w:eastAsia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公开事项信息形成</w:t>
            </w:r>
            <w:r>
              <w:rPr>
                <w:rFonts w:ascii="宋体" w:hAnsi="宋体" w:eastAsia="宋体" w:cs="宋体"/>
                <w:sz w:val="15"/>
                <w:szCs w:val="15"/>
              </w:rPr>
              <w:t>或变更之日起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工作日内公开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综合股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before="191" w:line="202" w:lineRule="auto"/>
              <w:rPr>
                <w:rFonts w:ascii="宋体" w:hAnsi="宋体" w:eastAsia="宋体" w:cs="宋体"/>
                <w:sz w:val="31"/>
                <w:szCs w:val="31"/>
              </w:rPr>
            </w:pPr>
          </w:p>
        </w:tc>
        <w:tc>
          <w:tcPr>
            <w:tcW w:w="42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line="24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4" w:lineRule="auto"/>
              <w:rPr>
                <w:b w:val="0"/>
                <w:bCs w:val="0"/>
              </w:rPr>
            </w:pPr>
          </w:p>
          <w:p>
            <w:pPr>
              <w:spacing w:before="49" w:line="219" w:lineRule="auto"/>
              <w:ind w:left="42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15"/>
                <w:szCs w:val="15"/>
              </w:rPr>
              <w:t>财务</w:t>
            </w:r>
          </w:p>
          <w:p>
            <w:pPr>
              <w:spacing w:before="4" w:line="219" w:lineRule="auto"/>
              <w:ind w:left="40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信息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预算决算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spacing w:before="49" w:line="219" w:lineRule="auto"/>
              <w:jc w:val="both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财政预算、决算信息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left="0"/>
              <w:textAlignment w:val="baseline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法律</w:t>
            </w:r>
          </w:p>
          <w:p>
            <w:pPr>
              <w:spacing w:before="2" w:line="220" w:lineRule="auto"/>
              <w:ind w:left="1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行政法规</w:t>
            </w:r>
          </w:p>
          <w:p>
            <w:pPr>
              <w:spacing w:before="2" w:line="220" w:lineRule="auto"/>
              <w:ind w:left="1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spacing w:before="49" w:line="209" w:lineRule="auto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8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8"/>
                <w:sz w:val="15"/>
                <w:szCs w:val="15"/>
              </w:rPr>
              <w:t>《预算法》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>第十四条</w:t>
            </w:r>
          </w:p>
          <w:p>
            <w:pPr>
              <w:spacing w:line="218" w:lineRule="auto"/>
              <w:jc w:val="both"/>
              <w:rPr>
                <w:rFonts w:hint="eastAsia" w:ascii="宋体" w:hAnsi="宋体" w:eastAsia="宋体" w:cs="宋体"/>
                <w:spacing w:val="-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《政府信息公开条例》第二十条第七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eastAsia="zh-CN"/>
              </w:rPr>
              <w:t>款</w:t>
            </w:r>
          </w:p>
          <w:p>
            <w:pPr>
              <w:spacing w:line="218" w:lineRule="auto"/>
              <w:jc w:val="both"/>
              <w:rPr>
                <w:rFonts w:ascii="宋体" w:hAnsi="宋体" w:eastAsia="宋体" w:cs="宋体"/>
                <w:spacing w:val="-5"/>
                <w:sz w:val="15"/>
                <w:szCs w:val="15"/>
              </w:rPr>
            </w:pPr>
            <w:bookmarkStart w:id="0" w:name="_GoBack"/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《财政部关于推进省以下预决算公开工作的通知》（财预〔2013〕309号）</w:t>
            </w:r>
            <w:bookmarkEnd w:id="0"/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5"/>
                <w:szCs w:val="15"/>
                <w:lang w:eastAsia="zh-CN"/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政府网站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公开事项信息形成</w:t>
            </w:r>
            <w:r>
              <w:rPr>
                <w:rFonts w:ascii="宋体" w:hAnsi="宋体" w:eastAsia="宋体" w:cs="宋体"/>
                <w:sz w:val="15"/>
                <w:szCs w:val="15"/>
              </w:rPr>
              <w:t>或变更之日起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工作日内公开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  <w:t>财务室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42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7"/>
              <w:rPr>
                <w:b w:val="0"/>
                <w:bCs w:val="0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政府采购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6" w:lineRule="auto"/>
              <w:jc w:val="both"/>
              <w:textAlignment w:val="baseline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政府集中采购项目的目录、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标准及实施情况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19" w:lineRule="auto"/>
              <w:ind w:left="0"/>
              <w:jc w:val="both"/>
              <w:textAlignment w:val="baseline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法律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16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行政法规</w:t>
            </w:r>
          </w:p>
        </w:tc>
        <w:tc>
          <w:tcPr>
            <w:tcW w:w="288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9" w:lineRule="auto"/>
              <w:textAlignment w:val="baseline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中华人民共和国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政府采购法》第六十三条</w:t>
            </w:r>
          </w:p>
          <w:p>
            <w:pPr>
              <w:spacing w:before="2" w:line="219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中华人民共和国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政府采购法实施条例》第八条等</w:t>
            </w:r>
          </w:p>
          <w:p>
            <w:pPr>
              <w:spacing w:before="1" w:line="219" w:lineRule="auto"/>
              <w:rPr>
                <w:rFonts w:hint="eastAsia" w:ascii="宋体" w:hAnsi="宋体" w:eastAsia="宋体" w:cs="宋体"/>
                <w:spacing w:val="-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中华人民共和国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政府信息公开条例》第二十条第九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eastAsia="zh-CN"/>
              </w:rPr>
              <w:t>款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5"/>
                <w:szCs w:val="15"/>
                <w:lang w:eastAsia="zh-CN"/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政府网站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公开事项信息形成</w:t>
            </w:r>
            <w:r>
              <w:rPr>
                <w:rFonts w:ascii="宋体" w:hAnsi="宋体" w:eastAsia="宋体" w:cs="宋体"/>
                <w:sz w:val="15"/>
                <w:szCs w:val="15"/>
              </w:rPr>
              <w:t>或变更之日起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工作日内公开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  <w:t>财务室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3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9" w:line="219" w:lineRule="auto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政府信息公开工作年度报告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before="49" w:line="220" w:lineRule="auto"/>
              <w:ind w:left="1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行政法规</w:t>
            </w:r>
          </w:p>
          <w:p>
            <w:pPr>
              <w:spacing w:before="10" w:line="219" w:lineRule="auto"/>
              <w:ind w:left="1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行政规范性文件</w:t>
            </w: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spacing w:before="95" w:line="208" w:lineRule="auto"/>
              <w:ind w:left="73" w:right="104" w:hanging="7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中华人民共和国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政府信息公开条例》第四十九条、五十</w:t>
            </w:r>
            <w:r>
              <w:rPr>
                <w:rFonts w:ascii="宋体" w:hAnsi="宋体" w:eastAsia="宋体" w:cs="宋体"/>
                <w:sz w:val="15"/>
                <w:szCs w:val="15"/>
              </w:rPr>
              <w:t>条</w:t>
            </w:r>
          </w:p>
          <w:p>
            <w:pPr>
              <w:spacing w:before="31" w:line="213" w:lineRule="auto"/>
              <w:ind w:left="24" w:right="56" w:hanging="24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《中华人民共和国政府信息公开工作年度</w:t>
            </w:r>
            <w:r>
              <w:rPr>
                <w:rFonts w:ascii="宋体" w:hAnsi="宋体" w:eastAsia="宋体" w:cs="宋体"/>
                <w:sz w:val="15"/>
                <w:szCs w:val="15"/>
              </w:rPr>
              <w:t>报告格式》(国办公开办函(2021)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30号)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5"/>
                <w:szCs w:val="15"/>
                <w:lang w:eastAsia="zh-CN"/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政府网站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spacing w:before="134" w:line="196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每年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1月31日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公开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办公室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5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zh-CN" w:bidi="ar-SA"/>
              </w:rPr>
              <w:t>其他公开事项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line="306" w:lineRule="auto"/>
            </w:pPr>
          </w:p>
          <w:p>
            <w:pPr>
              <w:spacing w:before="49" w:line="219" w:lineRule="auto"/>
              <w:ind w:left="10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法治政府建设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line="306" w:lineRule="auto"/>
            </w:pPr>
          </w:p>
          <w:p>
            <w:pPr>
              <w:spacing w:before="48" w:line="218" w:lineRule="auto"/>
              <w:ind w:left="6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年度报告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before="49" w:line="220" w:lineRule="auto"/>
              <w:ind w:left="11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其他</w:t>
            </w: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21" w:lineRule="auto"/>
              <w:ind w:left="11" w:right="176"/>
              <w:jc w:val="both"/>
              <w:textAlignment w:val="baseline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1.《法治政府建设实施纲要(2021-2025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年)》</w:t>
            </w:r>
          </w:p>
          <w:p>
            <w:pPr>
              <w:spacing w:line="221" w:lineRule="auto"/>
              <w:ind w:left="12" w:right="4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2.《法治政府建设与责任落实督察工作规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定》第二十四条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5"/>
                <w:szCs w:val="15"/>
                <w:lang w:eastAsia="zh-CN"/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政府网站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spacing w:before="49" w:line="219" w:lineRule="auto"/>
              <w:ind w:left="28"/>
              <w:jc w:val="both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  <w:t>每年</w:t>
            </w: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val="en-US" w:eastAsia="zh-CN"/>
              </w:rPr>
              <w:t>4月1日之前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行政审批股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</w:pPr>
          </w:p>
          <w:p>
            <w:pPr>
              <w:spacing w:before="49" w:line="220" w:lineRule="auto"/>
              <w:ind w:left="25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建议提案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</w:pPr>
          </w:p>
          <w:p>
            <w:pPr>
              <w:spacing w:before="48" w:line="219" w:lineRule="auto"/>
              <w:ind w:left="6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办理结果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21" w:lineRule="auto"/>
              <w:ind w:left="0"/>
              <w:jc w:val="both"/>
              <w:textAlignment w:val="baseline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行政规范性文件</w:t>
            </w: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16" w:lineRule="auto"/>
              <w:ind w:left="74" w:right="113" w:hanging="74"/>
              <w:jc w:val="both"/>
              <w:textAlignment w:val="baseline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《关于做好全国人大代表建议和全国政协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委员提案办理结果公开工作的通知》(国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办发〔2014〕46号〕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5"/>
                <w:szCs w:val="15"/>
                <w:lang w:eastAsia="zh-CN"/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政府网站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公开事项信息形成</w:t>
            </w:r>
            <w:r>
              <w:rPr>
                <w:rFonts w:ascii="宋体" w:hAnsi="宋体" w:eastAsia="宋体" w:cs="宋体"/>
                <w:sz w:val="15"/>
                <w:szCs w:val="15"/>
              </w:rPr>
              <w:t>或变更之日起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工作日内公开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各股室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line="469" w:lineRule="auto"/>
              <w:rPr>
                <w:b w:val="0"/>
                <w:bCs w:val="0"/>
              </w:rPr>
            </w:pPr>
          </w:p>
          <w:p>
            <w:pPr>
              <w:spacing w:before="49" w:line="219" w:lineRule="auto"/>
              <w:ind w:left="2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政策解读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spacing w:before="2" w:line="219" w:lineRule="auto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在工作过程中执行上级政策、指导意见时形成的适合本地的各类政策解读、具体做法、细则规定中需要主动公开的文件。（主要包括：政策文件的背景依据、目标任务、主要内容、涉及范围、执行口径、操作方法、注意事项、关键词诠释、惠民利民举措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行政法规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其他</w:t>
            </w: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spacing w:before="113" w:line="214" w:lineRule="auto"/>
              <w:ind w:left="12" w:right="34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1.《重大行政决策程序暂行条例》第三十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二条</w:t>
            </w:r>
          </w:p>
          <w:p>
            <w:pPr>
              <w:spacing w:line="221" w:lineRule="auto"/>
              <w:ind w:left="12" w:right="4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2.《法治政府建设与责任落实督察工作规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定》第九条</w:t>
            </w:r>
          </w:p>
          <w:p>
            <w:pPr>
              <w:spacing w:before="22" w:line="206" w:lineRule="auto"/>
              <w:ind w:left="12" w:right="114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3.《四川省重大行政决策程序规定》(川府发(2025〕4号)第六十九条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5"/>
                <w:szCs w:val="15"/>
                <w:lang w:eastAsia="zh-CN"/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政府网站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both"/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公开事项信息形成</w:t>
            </w:r>
            <w:r>
              <w:rPr>
                <w:rFonts w:ascii="宋体" w:hAnsi="宋体" w:eastAsia="宋体" w:cs="宋体"/>
                <w:sz w:val="15"/>
                <w:szCs w:val="15"/>
              </w:rPr>
              <w:t>或变更之日起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>个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工作日内公开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各股室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55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zh-CN" w:bidi="ar-SA"/>
              </w:rPr>
              <w:t>其他公开事项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单用途商业预付卡发卡企业备案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对单用途商业预付卡发卡企业进行备案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1.《单用途商业预付卡管理办法(试行)》（商务部令2012年第9号）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pacing w:val="4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四川一体化政务服务平台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适时更新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各股室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洗染业经营者备案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对洗染业经营者进行备案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2.《洗染业管理办法》(2007年第5号)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pacing w:val="4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四川一体化政务服务平台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适时更新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各股室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零售商促销备案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对零售商促销进行备案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snapToGrid w:val="0"/>
                <w:color w:val="000000" w:themeColor="text1"/>
                <w:spacing w:val="0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3.《零售商促销行为管理办法》（2006年第18号）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pacing w:val="4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四川一体化政务服务平台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 w:themeColor="text1"/>
                <w:spacing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适时更新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各股室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  <w:t>0812-3866992</w:t>
            </w:r>
          </w:p>
        </w:tc>
      </w:tr>
    </w:tbl>
    <w:p>
      <w:pPr>
        <w:jc w:val="center"/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750" w:h="11820"/>
          <w:pgMar w:top="785" w:right="1135" w:bottom="400" w:left="103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6" w:line="192" w:lineRule="auto"/>
        <w:jc w:val="both"/>
        <w:rPr>
          <w:rFonts w:ascii="Times New Roman" w:hAnsi="Times New Roman" w:eastAsia="Times New Roman" w:cs="Times New Roman"/>
          <w:sz w:val="33"/>
          <w:szCs w:val="33"/>
        </w:rPr>
      </w:pPr>
    </w:p>
    <w:sectPr>
      <w:type w:val="continuous"/>
      <w:pgSz w:w="16750" w:h="11830"/>
      <w:pgMar w:top="817" w:right="789" w:bottom="400" w:left="61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3">
        <w:col w:w="11321" w:space="100"/>
        <w:col w:w="2720" w:space="100"/>
        <w:col w:w="11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62DC1"/>
    <w:rsid w:val="00182F82"/>
    <w:rsid w:val="010D3C1A"/>
    <w:rsid w:val="042B7B21"/>
    <w:rsid w:val="04EE0919"/>
    <w:rsid w:val="05BA6614"/>
    <w:rsid w:val="05F35C0E"/>
    <w:rsid w:val="0726624D"/>
    <w:rsid w:val="07BE07E7"/>
    <w:rsid w:val="07E36431"/>
    <w:rsid w:val="0D1E74E3"/>
    <w:rsid w:val="0DAD3A27"/>
    <w:rsid w:val="0E2D1495"/>
    <w:rsid w:val="0EF462FE"/>
    <w:rsid w:val="1027136D"/>
    <w:rsid w:val="12A44F0B"/>
    <w:rsid w:val="131668B1"/>
    <w:rsid w:val="13892C12"/>
    <w:rsid w:val="19386F84"/>
    <w:rsid w:val="1A984019"/>
    <w:rsid w:val="1EF82FFF"/>
    <w:rsid w:val="248327F6"/>
    <w:rsid w:val="25421F5A"/>
    <w:rsid w:val="26AF4C11"/>
    <w:rsid w:val="282549E6"/>
    <w:rsid w:val="29417B76"/>
    <w:rsid w:val="2A207891"/>
    <w:rsid w:val="2B0E0B0A"/>
    <w:rsid w:val="2C6C7279"/>
    <w:rsid w:val="36156A1D"/>
    <w:rsid w:val="36A154E2"/>
    <w:rsid w:val="39BD51B7"/>
    <w:rsid w:val="3ABE0B8D"/>
    <w:rsid w:val="3B9A447F"/>
    <w:rsid w:val="3DE161DF"/>
    <w:rsid w:val="3FD633C9"/>
    <w:rsid w:val="3FED5212"/>
    <w:rsid w:val="40EA4299"/>
    <w:rsid w:val="410F246E"/>
    <w:rsid w:val="42930543"/>
    <w:rsid w:val="42BF4226"/>
    <w:rsid w:val="43DC3595"/>
    <w:rsid w:val="44BB0E5A"/>
    <w:rsid w:val="45B97D89"/>
    <w:rsid w:val="45D518E2"/>
    <w:rsid w:val="46743EBF"/>
    <w:rsid w:val="46933A08"/>
    <w:rsid w:val="46D96542"/>
    <w:rsid w:val="48881B09"/>
    <w:rsid w:val="4A6E441B"/>
    <w:rsid w:val="4B4009C3"/>
    <w:rsid w:val="4CFD2FE7"/>
    <w:rsid w:val="4F9C51F7"/>
    <w:rsid w:val="50FB1CE1"/>
    <w:rsid w:val="511E523A"/>
    <w:rsid w:val="51496D84"/>
    <w:rsid w:val="52E562B6"/>
    <w:rsid w:val="535914C6"/>
    <w:rsid w:val="540A4CCC"/>
    <w:rsid w:val="54745DC5"/>
    <w:rsid w:val="575A5219"/>
    <w:rsid w:val="59EE5680"/>
    <w:rsid w:val="5A11548F"/>
    <w:rsid w:val="5D0778F7"/>
    <w:rsid w:val="622F00B1"/>
    <w:rsid w:val="66BA5CB3"/>
    <w:rsid w:val="6B6E08BB"/>
    <w:rsid w:val="6B753572"/>
    <w:rsid w:val="6DAA1C5B"/>
    <w:rsid w:val="6DE4680E"/>
    <w:rsid w:val="6F8A04BF"/>
    <w:rsid w:val="6FAB7F87"/>
    <w:rsid w:val="6FB65D73"/>
    <w:rsid w:val="711D329A"/>
    <w:rsid w:val="71B72127"/>
    <w:rsid w:val="72D92B78"/>
    <w:rsid w:val="73E637B6"/>
    <w:rsid w:val="74233093"/>
    <w:rsid w:val="74F94925"/>
    <w:rsid w:val="76A9613C"/>
    <w:rsid w:val="78383798"/>
    <w:rsid w:val="79007E47"/>
    <w:rsid w:val="7A5A1451"/>
    <w:rsid w:val="7DAC6203"/>
    <w:rsid w:val="7E371642"/>
    <w:rsid w:val="7F7B7AA8"/>
    <w:rsid w:val="7F853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6530</Words>
  <Characters>6727</Characters>
  <TotalTime>5</TotalTime>
  <ScaleCrop>false</ScaleCrop>
  <LinksUpToDate>false</LinksUpToDate>
  <CharactersWithSpaces>7228</CharactersWithSpaces>
  <Application>WPS Office_11.8.6.11830_F1E327BC-269C-435d-A152-05C5408002CA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2025-04-14T11:38:00Z</dcterms:created>
  <dc:creator>Administrator</dc:creator>
  <cp:lastModifiedBy>丁利平</cp:lastModifiedBy>
  <cp:lastPrinted>2025-04-25T03:26:18Z</cp:lastPrinted>
  <dcterms:modified xsi:type="dcterms:W3CDTF">2025-04-25T03:36:10Z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2025-04-14T11:38:25Z</vt:filetime>
  </property>
  <property fmtid="{D5CDD505-2E9C-101B-9397-08002B2CF9AE}" pid="4" name="UsrData">
    <vt:lpwstr>67fc832812ecda001ff7521fwl</vt:lpwstr>
  </property>
  <property fmtid="{D5CDD505-2E9C-101B-9397-08002B2CF9AE}" pid="5" name="KSOProductBuildVer">
    <vt:lpwstr>2052-11.8.6.11830</vt:lpwstr>
  </property>
  <property fmtid="{D5CDD505-2E9C-101B-9397-08002B2CF9AE}" pid="6" name="ICV">
    <vt:lpwstr>521D168B86EF4AA79FEC0968FDF629D3</vt:lpwstr>
  </property>
</Properties>
</file>