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074F99">
      <w:pPr>
        <w:keepNext w:val="0"/>
        <w:keepLines w:val="0"/>
        <w:pageBreakBefore w:val="0"/>
        <w:widowControl w:val="0"/>
        <w:kinsoku/>
        <w:wordWrap/>
        <w:overflowPunct/>
        <w:topLinePunct w:val="0"/>
        <w:autoSpaceDE/>
        <w:autoSpaceDN/>
        <w:bidi w:val="0"/>
        <w:adjustRightInd/>
        <w:snapToGrid w:val="0"/>
        <w:spacing w:line="0" w:lineRule="atLeast"/>
        <w:ind w:firstLine="0" w:firstLineChars="0"/>
        <w:jc w:val="center"/>
        <w:textAlignment w:val="auto"/>
        <w:rPr>
          <w:rFonts w:hint="eastAsia" w:ascii="方正小标宋_GBK" w:hAnsi="方正小标宋_GBK" w:eastAsia="方正小标宋_GBK" w:cs="方正小标宋_GBK"/>
          <w:b/>
          <w:bCs/>
          <w:sz w:val="44"/>
          <w:szCs w:val="44"/>
          <w:lang w:val="en-US" w:eastAsia="zh-CN"/>
        </w:rPr>
      </w:pPr>
      <w:r>
        <w:rPr>
          <w:rFonts w:hint="eastAsia" w:ascii="方正小标宋_GBK" w:hAnsi="方正小标宋_GBK" w:eastAsia="方正小标宋_GBK" w:cs="方正小标宋_GBK"/>
          <w:b/>
          <w:bCs/>
          <w:sz w:val="44"/>
          <w:szCs w:val="44"/>
          <w:lang w:val="en-US" w:eastAsia="zh-CN"/>
        </w:rPr>
        <w:t>攀枝花市西区经济和信息化局</w:t>
      </w:r>
    </w:p>
    <w:p w14:paraId="38E9E78E">
      <w:pPr>
        <w:keepNext w:val="0"/>
        <w:keepLines w:val="0"/>
        <w:pageBreakBefore w:val="0"/>
        <w:widowControl w:val="0"/>
        <w:kinsoku/>
        <w:wordWrap/>
        <w:overflowPunct/>
        <w:topLinePunct w:val="0"/>
        <w:autoSpaceDE/>
        <w:autoSpaceDN/>
        <w:bidi w:val="0"/>
        <w:adjustRightInd/>
        <w:snapToGrid w:val="0"/>
        <w:spacing w:line="0" w:lineRule="atLeast"/>
        <w:ind w:firstLine="0" w:firstLineChars="0"/>
        <w:jc w:val="center"/>
        <w:textAlignment w:val="auto"/>
        <w:rPr>
          <w:rFonts w:hint="eastAsia" w:ascii="方正小标宋_GBK" w:hAnsi="方正小标宋_GBK" w:eastAsia="方正小标宋_GBK" w:cs="方正小标宋_GBK"/>
          <w:b/>
          <w:bCs/>
          <w:sz w:val="44"/>
          <w:szCs w:val="44"/>
          <w:lang w:val="en-US" w:eastAsia="zh-CN"/>
        </w:rPr>
      </w:pPr>
      <w:r>
        <w:rPr>
          <w:rFonts w:hint="eastAsia" w:ascii="方正小标宋_GBK" w:hAnsi="方正小标宋_GBK" w:eastAsia="方正小标宋_GBK" w:cs="方正小标宋_GBK"/>
          <w:b/>
          <w:bCs/>
          <w:sz w:val="44"/>
          <w:szCs w:val="44"/>
          <w:lang w:val="en-US" w:eastAsia="zh-CN"/>
        </w:rPr>
        <w:t>关于全区烧结砖瓦产能清单的公示</w:t>
      </w:r>
    </w:p>
    <w:p w14:paraId="7FA19259">
      <w:pPr>
        <w:keepNext w:val="0"/>
        <w:keepLines w:val="0"/>
        <w:pageBreakBefore w:val="0"/>
        <w:widowControl w:val="0"/>
        <w:kinsoku/>
        <w:wordWrap/>
        <w:overflowPunct/>
        <w:topLinePunct w:val="0"/>
        <w:autoSpaceDE/>
        <w:autoSpaceDN/>
        <w:bidi w:val="0"/>
        <w:adjustRightInd/>
        <w:snapToGrid/>
        <w:spacing w:line="600" w:lineRule="exact"/>
        <w:ind w:firstLine="0" w:firstLineChars="0"/>
        <w:jc w:val="left"/>
        <w:textAlignment w:val="auto"/>
        <w:rPr>
          <w:rFonts w:hint="eastAsia" w:ascii="方正小标宋_GBK" w:hAnsi="方正小标宋_GBK" w:eastAsia="方正小标宋_GBK" w:cs="方正小标宋_GBK"/>
          <w:sz w:val="36"/>
          <w:szCs w:val="36"/>
          <w:lang w:val="en-US" w:eastAsia="zh-CN"/>
        </w:rPr>
      </w:pPr>
    </w:p>
    <w:p w14:paraId="4D03BC3D">
      <w:pPr>
        <w:keepNext w:val="0"/>
        <w:keepLines w:val="0"/>
        <w:pageBreakBefore w:val="0"/>
        <w:widowControl/>
        <w:suppressLineNumbers w:val="0"/>
        <w:kinsoku/>
        <w:wordWrap/>
        <w:overflowPunct/>
        <w:topLinePunct w:val="0"/>
        <w:autoSpaceDE/>
        <w:autoSpaceDN/>
        <w:bidi w:val="0"/>
        <w:adjustRightInd/>
        <w:snapToGrid w:val="0"/>
        <w:spacing w:line="576" w:lineRule="exact"/>
        <w:ind w:firstLine="680" w:firstLineChars="200"/>
        <w:jc w:val="left"/>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根据《四川省经济和信息化厅办公室关于报送水泥玻璃砖瓦行业生产线清单的通知》文件要求，我局对全区2025年度水泥玻璃砖瓦产能清单进行了审核汇总，现将更新后的全区2025年度水泥玻璃砖瓦产能清单予以公示。公示期自2025年3月</w:t>
      </w:r>
      <w:r>
        <w:rPr>
          <w:rFonts w:hint="eastAsia" w:ascii="Times New Roman" w:hAnsi="Times New Roman" w:eastAsia="方正仿宋_GBK" w:cs="Times New Roman"/>
          <w:sz w:val="32"/>
          <w:szCs w:val="32"/>
          <w:lang w:val="en-US" w:eastAsia="zh-CN"/>
        </w:rPr>
        <w:t>4</w:t>
      </w:r>
      <w:r>
        <w:rPr>
          <w:rFonts w:hint="default" w:ascii="Times New Roman" w:hAnsi="Times New Roman" w:eastAsia="方正仿宋_GBK" w:cs="Times New Roman"/>
          <w:sz w:val="32"/>
          <w:szCs w:val="32"/>
          <w:lang w:val="en-US" w:eastAsia="zh-CN"/>
        </w:rPr>
        <w:t>日至2025年3月</w:t>
      </w:r>
      <w:r>
        <w:rPr>
          <w:rFonts w:hint="eastAsia" w:ascii="Times New Roman" w:hAnsi="Times New Roman" w:eastAsia="方正仿宋_GBK" w:cs="Times New Roman"/>
          <w:sz w:val="32"/>
          <w:szCs w:val="32"/>
          <w:lang w:val="en-US" w:eastAsia="zh-CN"/>
        </w:rPr>
        <w:t>8</w:t>
      </w:r>
      <w:r>
        <w:rPr>
          <w:rFonts w:hint="default" w:ascii="Times New Roman" w:hAnsi="Times New Roman" w:eastAsia="方正仿宋_GBK" w:cs="Times New Roman"/>
          <w:sz w:val="32"/>
          <w:szCs w:val="32"/>
          <w:lang w:val="en-US" w:eastAsia="zh-CN"/>
        </w:rPr>
        <w:t>日（5个工作日），公示期内如有异议，请向区经济和信息化局反</w:t>
      </w:r>
      <w:r>
        <w:rPr>
          <w:rFonts w:hint="default" w:ascii="Times New Roman" w:hAnsi="Times New Roman" w:eastAsia="方正仿宋_GBK" w:cs="Times New Roman"/>
          <w:spacing w:val="-6"/>
          <w:sz w:val="32"/>
          <w:szCs w:val="32"/>
          <w:lang w:val="en-US" w:eastAsia="zh-CN"/>
        </w:rPr>
        <w:t>映，联系电话：0812-5549020。我局将对举报人进行严格保密</w:t>
      </w:r>
      <w:r>
        <w:rPr>
          <w:rFonts w:hint="default" w:ascii="Times New Roman" w:hAnsi="Times New Roman" w:eastAsia="方正仿宋_GBK" w:cs="Times New Roman"/>
          <w:sz w:val="32"/>
          <w:szCs w:val="32"/>
          <w:lang w:val="en-US" w:eastAsia="zh-CN"/>
        </w:rPr>
        <w:t>。</w:t>
      </w:r>
    </w:p>
    <w:p w14:paraId="47CFB858">
      <w:pPr>
        <w:keepNext w:val="0"/>
        <w:keepLines w:val="0"/>
        <w:pageBreakBefore w:val="0"/>
        <w:widowControl w:val="0"/>
        <w:kinsoku/>
        <w:wordWrap/>
        <w:overflowPunct/>
        <w:topLinePunct w:val="0"/>
        <w:autoSpaceDE/>
        <w:autoSpaceDN/>
        <w:bidi w:val="0"/>
        <w:adjustRightInd/>
        <w:snapToGrid w:val="0"/>
        <w:spacing w:line="576" w:lineRule="exact"/>
        <w:ind w:firstLine="680" w:firstLineChars="200"/>
        <w:jc w:val="left"/>
        <w:textAlignment w:val="auto"/>
        <w:rPr>
          <w:rFonts w:hint="default" w:ascii="Times New Roman" w:hAnsi="Times New Roman" w:eastAsia="方正仿宋_GBK" w:cs="Times New Roman"/>
          <w:sz w:val="32"/>
          <w:szCs w:val="32"/>
          <w:lang w:val="en-US" w:eastAsia="zh-CN"/>
        </w:rPr>
      </w:pPr>
    </w:p>
    <w:p w14:paraId="71FD7E5E">
      <w:pPr>
        <w:keepNext w:val="0"/>
        <w:keepLines w:val="0"/>
        <w:pageBreakBefore w:val="0"/>
        <w:widowControl w:val="0"/>
        <w:kinsoku/>
        <w:wordWrap/>
        <w:overflowPunct/>
        <w:topLinePunct w:val="0"/>
        <w:autoSpaceDE/>
        <w:autoSpaceDN/>
        <w:bidi w:val="0"/>
        <w:adjustRightInd/>
        <w:snapToGrid w:val="0"/>
        <w:spacing w:line="576" w:lineRule="exact"/>
        <w:ind w:firstLine="680" w:firstLineChars="200"/>
        <w:jc w:val="left"/>
        <w:textAlignment w:val="auto"/>
        <w:rPr>
          <w:rFonts w:hint="default" w:ascii="Times New Roman" w:hAnsi="Times New Roman" w:eastAsia="方正仿宋_GBK" w:cs="Times New Roman"/>
          <w:sz w:val="32"/>
          <w:szCs w:val="32"/>
          <w:lang w:val="en-US" w:eastAsia="zh-CN"/>
        </w:rPr>
      </w:pPr>
    </w:p>
    <w:p w14:paraId="4409B52C">
      <w:pPr>
        <w:keepNext w:val="0"/>
        <w:keepLines w:val="0"/>
        <w:pageBreakBefore w:val="0"/>
        <w:widowControl w:val="0"/>
        <w:kinsoku/>
        <w:wordWrap/>
        <w:overflowPunct/>
        <w:topLinePunct w:val="0"/>
        <w:autoSpaceDE/>
        <w:autoSpaceDN/>
        <w:bidi w:val="0"/>
        <w:adjustRightInd/>
        <w:snapToGrid w:val="0"/>
        <w:spacing w:line="576" w:lineRule="exact"/>
        <w:ind w:firstLine="680" w:firstLineChars="200"/>
        <w:jc w:val="center"/>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 xml:space="preserve">                    攀枝花市西区经济和信息化局</w:t>
      </w:r>
    </w:p>
    <w:p w14:paraId="5D00A08C">
      <w:pPr>
        <w:keepNext w:val="0"/>
        <w:keepLines w:val="0"/>
        <w:pageBreakBefore w:val="0"/>
        <w:widowControl w:val="0"/>
        <w:kinsoku/>
        <w:wordWrap/>
        <w:overflowPunct/>
        <w:topLinePunct w:val="0"/>
        <w:autoSpaceDE/>
        <w:autoSpaceDN/>
        <w:bidi w:val="0"/>
        <w:adjustRightInd/>
        <w:snapToGrid w:val="0"/>
        <w:spacing w:line="576" w:lineRule="exact"/>
        <w:ind w:firstLine="680" w:firstLineChars="200"/>
        <w:jc w:val="center"/>
        <w:textAlignment w:val="auto"/>
        <w:rPr>
          <w:rFonts w:hint="default" w:ascii="Times New Roman" w:hAnsi="Times New Roman" w:eastAsia="方正仿宋_GBK" w:cs="Times New Roman"/>
          <w:sz w:val="32"/>
          <w:szCs w:val="32"/>
          <w:lang w:val="en-US" w:eastAsia="zh-CN"/>
        </w:rPr>
        <w:sectPr>
          <w:pgSz w:w="11907" w:h="16840"/>
          <w:pgMar w:top="2098" w:right="1474" w:bottom="1984" w:left="1587" w:header="907" w:footer="1644" w:gutter="0"/>
          <w:cols w:space="0" w:num="1"/>
          <w:titlePg/>
          <w:docGrid w:type="linesAndChars" w:linePitch="576" w:charSpace="4135"/>
        </w:sectPr>
      </w:pPr>
      <w:r>
        <w:rPr>
          <w:rFonts w:hint="default" w:ascii="Times New Roman" w:hAnsi="Times New Roman" w:eastAsia="方正仿宋_GBK" w:cs="Times New Roman"/>
          <w:sz w:val="32"/>
          <w:szCs w:val="32"/>
          <w:lang w:val="en-US" w:eastAsia="zh-CN"/>
        </w:rPr>
        <w:t xml:space="preserve">                     2025年3月</w:t>
      </w:r>
      <w:r>
        <w:rPr>
          <w:rFonts w:hint="eastAsia" w:ascii="Times New Roman" w:hAnsi="Times New Roman" w:eastAsia="方正仿宋_GBK" w:cs="Times New Roman"/>
          <w:sz w:val="32"/>
          <w:szCs w:val="32"/>
          <w:lang w:val="en-US" w:eastAsia="zh-CN"/>
        </w:rPr>
        <w:t>4</w:t>
      </w:r>
      <w:bookmarkStart w:id="0" w:name="_GoBack"/>
      <w:bookmarkEnd w:id="0"/>
      <w:r>
        <w:rPr>
          <w:rFonts w:hint="default" w:ascii="Times New Roman" w:hAnsi="Times New Roman" w:eastAsia="方正仿宋_GBK" w:cs="Times New Roman"/>
          <w:sz w:val="32"/>
          <w:szCs w:val="32"/>
          <w:lang w:val="en-US" w:eastAsia="zh-CN"/>
        </w:rPr>
        <w:t>日</w:t>
      </w:r>
    </w:p>
    <w:p w14:paraId="73122106">
      <w:pPr>
        <w:keepNext w:val="0"/>
        <w:keepLines w:val="0"/>
        <w:pageBreakBefore w:val="0"/>
        <w:widowControl w:val="0"/>
        <w:kinsoku/>
        <w:wordWrap/>
        <w:overflowPunct/>
        <w:topLinePunct w:val="0"/>
        <w:autoSpaceDE/>
        <w:autoSpaceDN/>
        <w:bidi w:val="0"/>
        <w:adjustRightInd/>
        <w:snapToGrid/>
        <w:spacing w:line="600" w:lineRule="exact"/>
        <w:ind w:firstLine="0" w:firstLineChars="0"/>
        <w:jc w:val="both"/>
        <w:textAlignment w:val="auto"/>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附件</w:t>
      </w:r>
    </w:p>
    <w:tbl>
      <w:tblPr>
        <w:tblStyle w:val="5"/>
        <w:tblW w:w="1353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85"/>
        <w:gridCol w:w="117"/>
        <w:gridCol w:w="902"/>
        <w:gridCol w:w="226"/>
        <w:gridCol w:w="676"/>
        <w:gridCol w:w="464"/>
        <w:gridCol w:w="438"/>
        <w:gridCol w:w="902"/>
        <w:gridCol w:w="265"/>
        <w:gridCol w:w="637"/>
        <w:gridCol w:w="473"/>
        <w:gridCol w:w="429"/>
        <w:gridCol w:w="902"/>
        <w:gridCol w:w="634"/>
        <w:gridCol w:w="268"/>
        <w:gridCol w:w="902"/>
        <w:gridCol w:w="45"/>
        <w:gridCol w:w="857"/>
        <w:gridCol w:w="448"/>
        <w:gridCol w:w="454"/>
        <w:gridCol w:w="296"/>
        <w:gridCol w:w="606"/>
        <w:gridCol w:w="902"/>
        <w:gridCol w:w="97"/>
        <w:gridCol w:w="810"/>
      </w:tblGrid>
      <w:tr w14:paraId="12195A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35" w:hRule="atLeast"/>
        </w:trPr>
        <w:tc>
          <w:tcPr>
            <w:tcW w:w="13535" w:type="dxa"/>
            <w:gridSpan w:val="25"/>
            <w:tcBorders>
              <w:top w:val="nil"/>
              <w:left w:val="nil"/>
              <w:bottom w:val="nil"/>
              <w:right w:val="nil"/>
            </w:tcBorders>
            <w:shd w:val="clear" w:color="auto" w:fill="auto"/>
            <w:vAlign w:val="center"/>
          </w:tcPr>
          <w:p w14:paraId="101E4141">
            <w:pPr>
              <w:keepNext w:val="0"/>
              <w:keepLines w:val="0"/>
              <w:pageBreakBefore w:val="0"/>
              <w:widowControl/>
              <w:suppressLineNumbers w:val="0"/>
              <w:kinsoku/>
              <w:wordWrap/>
              <w:overflowPunct/>
              <w:topLinePunct w:val="0"/>
              <w:autoSpaceDE/>
              <w:autoSpaceDN/>
              <w:bidi w:val="0"/>
              <w:adjustRightInd/>
              <w:snapToGrid w:val="0"/>
              <w:spacing w:line="0" w:lineRule="atLeast"/>
              <w:jc w:val="center"/>
              <w:textAlignment w:val="center"/>
              <w:rPr>
                <w:rStyle w:val="12"/>
                <w:rFonts w:hint="eastAsia" w:ascii="方正小标宋_GBK" w:hAnsi="方正小标宋_GBK" w:eastAsia="方正小标宋_GBK" w:cs="方正小标宋_GBK"/>
                <w:sz w:val="44"/>
                <w:szCs w:val="44"/>
                <w:u w:val="none"/>
                <w:lang w:val="en-US" w:eastAsia="zh-CN" w:bidi="ar"/>
              </w:rPr>
            </w:pPr>
            <w:r>
              <w:rPr>
                <w:rFonts w:hint="eastAsia" w:ascii="仿宋_GB2312" w:hAnsi="宋体" w:eastAsia="仿宋_GB2312" w:cs="仿宋_GB2312"/>
                <w:i w:val="0"/>
                <w:iCs w:val="0"/>
                <w:color w:val="000000"/>
                <w:kern w:val="0"/>
                <w:sz w:val="36"/>
                <w:szCs w:val="36"/>
                <w:u w:val="single"/>
                <w:lang w:val="en-US" w:eastAsia="zh-CN" w:bidi="ar"/>
              </w:rPr>
              <w:t xml:space="preserve">     </w:t>
            </w:r>
            <w:r>
              <w:rPr>
                <w:rFonts w:hint="eastAsia" w:ascii="方正小标宋_GBK" w:hAnsi="方正小标宋_GBK" w:eastAsia="方正小标宋_GBK" w:cs="方正小标宋_GBK"/>
                <w:i w:val="0"/>
                <w:iCs w:val="0"/>
                <w:color w:val="000000"/>
                <w:kern w:val="0"/>
                <w:sz w:val="44"/>
                <w:szCs w:val="44"/>
                <w:u w:val="none"/>
                <w:lang w:val="en-US" w:eastAsia="zh-CN" w:bidi="ar"/>
              </w:rPr>
              <w:t xml:space="preserve">攀枝花 </w:t>
            </w:r>
            <w:r>
              <w:rPr>
                <w:rStyle w:val="12"/>
                <w:rFonts w:hint="eastAsia" w:ascii="方正小标宋_GBK" w:hAnsi="方正小标宋_GBK" w:eastAsia="方正小标宋_GBK" w:cs="方正小标宋_GBK"/>
                <w:sz w:val="44"/>
                <w:szCs w:val="44"/>
                <w:u w:val="none"/>
                <w:lang w:val="en-US" w:eastAsia="zh-CN" w:bidi="ar"/>
              </w:rPr>
              <w:t>市（州）西区水泥烧结砖瓦生产线清单（截至2025</w:t>
            </w:r>
          </w:p>
          <w:p w14:paraId="7A122A00">
            <w:pPr>
              <w:keepNext w:val="0"/>
              <w:keepLines w:val="0"/>
              <w:pageBreakBefore w:val="0"/>
              <w:widowControl/>
              <w:suppressLineNumbers w:val="0"/>
              <w:kinsoku/>
              <w:wordWrap/>
              <w:overflowPunct/>
              <w:topLinePunct w:val="0"/>
              <w:autoSpaceDE/>
              <w:autoSpaceDN/>
              <w:bidi w:val="0"/>
              <w:adjustRightInd/>
              <w:snapToGrid w:val="0"/>
              <w:spacing w:line="0" w:lineRule="atLeast"/>
              <w:jc w:val="center"/>
              <w:textAlignment w:val="center"/>
              <w:rPr>
                <w:rFonts w:ascii="仿宋_GB2312" w:hAnsi="宋体" w:eastAsia="仿宋_GB2312" w:cs="仿宋_GB2312"/>
                <w:i w:val="0"/>
                <w:iCs w:val="0"/>
                <w:color w:val="000000"/>
                <w:sz w:val="36"/>
                <w:szCs w:val="36"/>
                <w:u w:val="single"/>
              </w:rPr>
            </w:pPr>
            <w:r>
              <w:rPr>
                <w:rStyle w:val="12"/>
                <w:rFonts w:hint="eastAsia" w:ascii="方正小标宋_GBK" w:hAnsi="方正小标宋_GBK" w:eastAsia="方正小标宋_GBK" w:cs="方正小标宋_GBK"/>
                <w:sz w:val="44"/>
                <w:szCs w:val="44"/>
                <w:u w:val="none"/>
                <w:lang w:val="en-US" w:eastAsia="zh-CN" w:bidi="ar"/>
              </w:rPr>
              <w:t>年12月31日）</w:t>
            </w:r>
          </w:p>
        </w:tc>
      </w:tr>
      <w:tr w14:paraId="48CE9E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2" w:hRule="atLeast"/>
        </w:trPr>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DB854D">
            <w:pPr>
              <w:keepNext w:val="0"/>
              <w:keepLines w:val="0"/>
              <w:widowControl/>
              <w:suppressLineNumbers w:val="0"/>
              <w:jc w:val="center"/>
              <w:textAlignment w:val="center"/>
              <w:rPr>
                <w:rFonts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序号</w:t>
            </w:r>
          </w:p>
        </w:tc>
        <w:tc>
          <w:tcPr>
            <w:tcW w:w="12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CDAAC37">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企业名称</w:t>
            </w:r>
          </w:p>
        </w:tc>
        <w:tc>
          <w:tcPr>
            <w:tcW w:w="11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26B1301">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建设地址</w:t>
            </w:r>
          </w:p>
        </w:tc>
        <w:tc>
          <w:tcPr>
            <w:tcW w:w="160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C3F5ECB">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生产线名称</w:t>
            </w:r>
          </w:p>
        </w:tc>
        <w:tc>
          <w:tcPr>
            <w:tcW w:w="11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F78FF06">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合法手续载明产能（万标砖/年）</w:t>
            </w:r>
          </w:p>
        </w:tc>
        <w:tc>
          <w:tcPr>
            <w:tcW w:w="196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C617B90">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备案号</w:t>
            </w:r>
          </w:p>
        </w:tc>
        <w:tc>
          <w:tcPr>
            <w:tcW w:w="121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9CDA4C1">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能评批复文号</w:t>
            </w:r>
          </w:p>
        </w:tc>
        <w:tc>
          <w:tcPr>
            <w:tcW w:w="13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D11C293">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环评批复文号</w:t>
            </w:r>
          </w:p>
        </w:tc>
        <w:tc>
          <w:tcPr>
            <w:tcW w:w="7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0CBB734">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状态</w:t>
            </w:r>
          </w:p>
        </w:tc>
        <w:tc>
          <w:tcPr>
            <w:tcW w:w="160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393DCCE">
            <w:pPr>
              <w:keepNext w:val="0"/>
              <w:keepLines w:val="0"/>
              <w:widowControl/>
              <w:suppressLineNumbers w:val="0"/>
              <w:jc w:val="both"/>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2025年产量</w:t>
            </w:r>
            <w:r>
              <w:rPr>
                <w:rFonts w:hint="eastAsia" w:ascii="黑体" w:hAnsi="宋体" w:eastAsia="黑体" w:cs="黑体"/>
                <w:i w:val="0"/>
                <w:iCs w:val="0"/>
                <w:color w:val="000000"/>
                <w:kern w:val="0"/>
                <w:sz w:val="22"/>
                <w:szCs w:val="22"/>
                <w:u w:val="none"/>
                <w:lang w:val="en-US" w:eastAsia="zh-CN" w:bidi="ar"/>
              </w:rPr>
              <w:br w:type="textWrapping"/>
            </w:r>
            <w:r>
              <w:rPr>
                <w:rFonts w:hint="eastAsia" w:ascii="黑体" w:hAnsi="宋体" w:eastAsia="黑体" w:cs="黑体"/>
                <w:i w:val="0"/>
                <w:iCs w:val="0"/>
                <w:color w:val="000000"/>
                <w:kern w:val="0"/>
                <w:sz w:val="22"/>
                <w:szCs w:val="22"/>
                <w:u w:val="none"/>
                <w:lang w:val="en-US" w:eastAsia="zh-CN" w:bidi="ar"/>
              </w:rPr>
              <w:t>（万标砖）</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3F6FFC">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备注</w:t>
            </w:r>
          </w:p>
        </w:tc>
      </w:tr>
      <w:tr w14:paraId="2400B2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89" w:hRule="atLeast"/>
        </w:trPr>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DFA61C">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1</w:t>
            </w:r>
          </w:p>
        </w:tc>
        <w:tc>
          <w:tcPr>
            <w:tcW w:w="12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F669471">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攀枝花九鼎建材有限责任公司</w:t>
            </w:r>
          </w:p>
        </w:tc>
        <w:tc>
          <w:tcPr>
            <w:tcW w:w="11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F774FE4">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攀枝花市西区徐家渡</w:t>
            </w:r>
          </w:p>
        </w:tc>
        <w:tc>
          <w:tcPr>
            <w:tcW w:w="160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4FC8991">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烧结矸石砖生产线（4条）</w:t>
            </w:r>
          </w:p>
        </w:tc>
        <w:tc>
          <w:tcPr>
            <w:tcW w:w="11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F6839A2">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9000</w:t>
            </w:r>
          </w:p>
        </w:tc>
        <w:tc>
          <w:tcPr>
            <w:tcW w:w="196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1F643AB">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攀经贸技〔2000〕66号</w:t>
            </w:r>
          </w:p>
        </w:tc>
        <w:tc>
          <w:tcPr>
            <w:tcW w:w="121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845A0C6">
            <w:pPr>
              <w:jc w:val="center"/>
              <w:rPr>
                <w:rFonts w:hint="eastAsia" w:ascii="黑体" w:hAnsi="宋体" w:eastAsia="黑体" w:cs="黑体"/>
                <w:i w:val="0"/>
                <w:iCs w:val="0"/>
                <w:color w:val="000000"/>
                <w:sz w:val="22"/>
                <w:szCs w:val="22"/>
                <w:u w:val="none"/>
              </w:rPr>
            </w:pPr>
          </w:p>
        </w:tc>
        <w:tc>
          <w:tcPr>
            <w:tcW w:w="13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86BEF8C">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（攀西环建【2016】24号</w:t>
            </w:r>
          </w:p>
        </w:tc>
        <w:tc>
          <w:tcPr>
            <w:tcW w:w="7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F4DA39D">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在产</w:t>
            </w:r>
          </w:p>
        </w:tc>
        <w:tc>
          <w:tcPr>
            <w:tcW w:w="160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F5A566A">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4000</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30D72">
            <w:pPr>
              <w:jc w:val="center"/>
              <w:rPr>
                <w:rFonts w:hint="eastAsia" w:ascii="黑体" w:hAnsi="宋体" w:eastAsia="黑体" w:cs="黑体"/>
                <w:i w:val="0"/>
                <w:iCs w:val="0"/>
                <w:color w:val="000000"/>
                <w:sz w:val="22"/>
                <w:szCs w:val="22"/>
                <w:u w:val="none"/>
              </w:rPr>
            </w:pPr>
          </w:p>
        </w:tc>
      </w:tr>
      <w:tr w14:paraId="51C53E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8" w:hRule="atLeast"/>
        </w:trPr>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7A834E">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w:t>
            </w:r>
          </w:p>
        </w:tc>
        <w:tc>
          <w:tcPr>
            <w:tcW w:w="12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6650459">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四川钛米科技有限公司</w:t>
            </w:r>
          </w:p>
        </w:tc>
        <w:tc>
          <w:tcPr>
            <w:tcW w:w="11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EDA299E">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攀枝花格里坪工业园区</w:t>
            </w:r>
          </w:p>
        </w:tc>
        <w:tc>
          <w:tcPr>
            <w:tcW w:w="160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CA138FA">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新型环保含钛建筑材料综合利用</w:t>
            </w:r>
          </w:p>
        </w:tc>
        <w:tc>
          <w:tcPr>
            <w:tcW w:w="11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B035172">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6000</w:t>
            </w:r>
          </w:p>
        </w:tc>
        <w:tc>
          <w:tcPr>
            <w:tcW w:w="196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0A1D099">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川投资备【2016-510403-42-03-032700-BQFG】0003号</w:t>
            </w:r>
          </w:p>
        </w:tc>
        <w:tc>
          <w:tcPr>
            <w:tcW w:w="121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2A784F2">
            <w:pPr>
              <w:jc w:val="center"/>
              <w:rPr>
                <w:rFonts w:hint="eastAsia" w:ascii="黑体" w:hAnsi="宋体" w:eastAsia="黑体" w:cs="黑体"/>
                <w:i w:val="0"/>
                <w:iCs w:val="0"/>
                <w:color w:val="000000"/>
                <w:sz w:val="22"/>
                <w:szCs w:val="22"/>
                <w:u w:val="none"/>
              </w:rPr>
            </w:pPr>
          </w:p>
        </w:tc>
        <w:tc>
          <w:tcPr>
            <w:tcW w:w="13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5816D8C">
            <w:pPr>
              <w:keepNext w:val="0"/>
              <w:keepLines w:val="0"/>
              <w:widowControl/>
              <w:suppressLineNumbers w:val="0"/>
              <w:jc w:val="center"/>
              <w:textAlignment w:val="center"/>
              <w:rPr>
                <w:rFonts w:hint="eastAsia" w:ascii="黑体" w:hAnsi="宋体" w:eastAsia="黑体" w:cs="黑体"/>
                <w:i w:val="0"/>
                <w:iCs w:val="0"/>
                <w:color w:val="000000"/>
                <w:kern w:val="0"/>
                <w:sz w:val="22"/>
                <w:szCs w:val="22"/>
                <w:u w:val="none"/>
                <w:lang w:val="en-US" w:eastAsia="zh-CN" w:bidi="ar"/>
              </w:rPr>
            </w:pPr>
            <w:r>
              <w:rPr>
                <w:rFonts w:hint="eastAsia" w:ascii="黑体" w:hAnsi="宋体" w:eastAsia="黑体" w:cs="黑体"/>
                <w:i w:val="0"/>
                <w:iCs w:val="0"/>
                <w:color w:val="000000"/>
                <w:kern w:val="0"/>
                <w:sz w:val="22"/>
                <w:szCs w:val="22"/>
                <w:u w:val="none"/>
                <w:lang w:val="en-US" w:eastAsia="zh-CN" w:bidi="ar"/>
              </w:rPr>
              <w:t>攀西环建（2017）6号</w:t>
            </w:r>
          </w:p>
        </w:tc>
        <w:tc>
          <w:tcPr>
            <w:tcW w:w="7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D07158F">
            <w:pPr>
              <w:keepNext w:val="0"/>
              <w:keepLines w:val="0"/>
              <w:widowControl/>
              <w:suppressLineNumbers w:val="0"/>
              <w:jc w:val="center"/>
              <w:textAlignment w:val="center"/>
              <w:rPr>
                <w:rFonts w:hint="eastAsia" w:ascii="黑体" w:hAnsi="宋体" w:eastAsia="黑体" w:cs="黑体"/>
                <w:i w:val="0"/>
                <w:iCs w:val="0"/>
                <w:color w:val="000000"/>
                <w:kern w:val="0"/>
                <w:sz w:val="22"/>
                <w:szCs w:val="22"/>
                <w:u w:val="none"/>
                <w:lang w:val="en-US" w:eastAsia="zh-CN" w:bidi="ar"/>
              </w:rPr>
            </w:pPr>
            <w:r>
              <w:rPr>
                <w:rFonts w:hint="eastAsia" w:ascii="黑体" w:hAnsi="宋体" w:eastAsia="黑体" w:cs="黑体"/>
                <w:i w:val="0"/>
                <w:iCs w:val="0"/>
                <w:color w:val="000000"/>
                <w:kern w:val="0"/>
                <w:sz w:val="22"/>
                <w:szCs w:val="22"/>
                <w:u w:val="none"/>
                <w:lang w:val="en-US" w:eastAsia="zh-CN" w:bidi="ar"/>
              </w:rPr>
              <w:t>停产</w:t>
            </w:r>
          </w:p>
        </w:tc>
        <w:tc>
          <w:tcPr>
            <w:tcW w:w="160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F1B9A30">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1479</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DF97FA">
            <w:pPr>
              <w:jc w:val="center"/>
              <w:rPr>
                <w:rFonts w:hint="eastAsia" w:ascii="黑体" w:hAnsi="宋体" w:eastAsia="黑体" w:cs="黑体"/>
                <w:i w:val="0"/>
                <w:iCs w:val="0"/>
                <w:color w:val="000000"/>
                <w:sz w:val="22"/>
                <w:szCs w:val="22"/>
                <w:u w:val="none"/>
              </w:rPr>
            </w:pPr>
          </w:p>
        </w:tc>
      </w:tr>
      <w:tr w14:paraId="4121ED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20" w:hRule="atLeast"/>
        </w:trPr>
        <w:tc>
          <w:tcPr>
            <w:tcW w:w="13535" w:type="dxa"/>
            <w:gridSpan w:val="25"/>
            <w:tcBorders>
              <w:top w:val="nil"/>
              <w:left w:val="nil"/>
              <w:bottom w:val="nil"/>
              <w:right w:val="nil"/>
            </w:tcBorders>
            <w:shd w:val="clear" w:color="auto" w:fill="auto"/>
            <w:noWrap/>
            <w:vAlign w:val="center"/>
          </w:tcPr>
          <w:p w14:paraId="29A38FF7">
            <w:pPr>
              <w:keepNext w:val="0"/>
              <w:keepLines w:val="0"/>
              <w:pageBreakBefore w:val="0"/>
              <w:widowControl/>
              <w:suppressLineNumbers w:val="0"/>
              <w:kinsoku/>
              <w:wordWrap/>
              <w:overflowPunct/>
              <w:topLinePunct w:val="0"/>
              <w:autoSpaceDE/>
              <w:autoSpaceDN/>
              <w:bidi w:val="0"/>
              <w:adjustRightInd/>
              <w:snapToGrid w:val="0"/>
              <w:spacing w:line="0" w:lineRule="atLeast"/>
              <w:jc w:val="center"/>
              <w:textAlignment w:val="center"/>
              <w:rPr>
                <w:rFonts w:hint="eastAsia" w:ascii="方正小标宋_GBK" w:hAnsi="方正小标宋_GBK" w:eastAsia="方正小标宋_GBK" w:cs="方正小标宋_GBK"/>
                <w:i w:val="0"/>
                <w:iCs w:val="0"/>
                <w:color w:val="000000"/>
                <w:kern w:val="0"/>
                <w:sz w:val="44"/>
                <w:szCs w:val="44"/>
                <w:u w:val="none"/>
                <w:lang w:val="en-US" w:eastAsia="zh-CN" w:bidi="ar"/>
              </w:rPr>
            </w:pPr>
          </w:p>
          <w:p w14:paraId="65716E5F">
            <w:pPr>
              <w:keepNext w:val="0"/>
              <w:keepLines w:val="0"/>
              <w:pageBreakBefore w:val="0"/>
              <w:widowControl/>
              <w:suppressLineNumbers w:val="0"/>
              <w:kinsoku/>
              <w:wordWrap/>
              <w:overflowPunct/>
              <w:topLinePunct w:val="0"/>
              <w:autoSpaceDE/>
              <w:autoSpaceDN/>
              <w:bidi w:val="0"/>
              <w:adjustRightInd/>
              <w:snapToGrid w:val="0"/>
              <w:spacing w:line="0" w:lineRule="atLeast"/>
              <w:jc w:val="center"/>
              <w:textAlignment w:val="center"/>
              <w:rPr>
                <w:rFonts w:hint="eastAsia" w:ascii="方正小标宋_GBK" w:hAnsi="方正小标宋_GBK" w:eastAsia="方正小标宋_GBK" w:cs="方正小标宋_GBK"/>
                <w:i w:val="0"/>
                <w:iCs w:val="0"/>
                <w:color w:val="000000"/>
                <w:kern w:val="0"/>
                <w:sz w:val="44"/>
                <w:szCs w:val="44"/>
                <w:u w:val="none"/>
                <w:lang w:val="en-US" w:eastAsia="zh-CN" w:bidi="ar"/>
              </w:rPr>
            </w:pPr>
          </w:p>
          <w:p w14:paraId="1E4CE851">
            <w:pPr>
              <w:keepNext w:val="0"/>
              <w:keepLines w:val="0"/>
              <w:pageBreakBefore w:val="0"/>
              <w:widowControl/>
              <w:suppressLineNumbers w:val="0"/>
              <w:kinsoku/>
              <w:wordWrap/>
              <w:overflowPunct/>
              <w:topLinePunct w:val="0"/>
              <w:autoSpaceDE/>
              <w:autoSpaceDN/>
              <w:bidi w:val="0"/>
              <w:adjustRightInd/>
              <w:snapToGrid w:val="0"/>
              <w:spacing w:line="0" w:lineRule="atLeast"/>
              <w:jc w:val="center"/>
              <w:textAlignment w:val="center"/>
              <w:rPr>
                <w:rFonts w:hint="eastAsia" w:ascii="方正小标宋_GBK" w:hAnsi="方正小标宋_GBK" w:eastAsia="方正小标宋_GBK" w:cs="方正小标宋_GBK"/>
                <w:i w:val="0"/>
                <w:iCs w:val="0"/>
                <w:color w:val="000000"/>
                <w:kern w:val="0"/>
                <w:sz w:val="44"/>
                <w:szCs w:val="44"/>
                <w:u w:val="none"/>
                <w:lang w:val="en-US" w:eastAsia="zh-CN" w:bidi="ar"/>
              </w:rPr>
            </w:pPr>
          </w:p>
          <w:p w14:paraId="6E2AF81A">
            <w:pPr>
              <w:keepNext w:val="0"/>
              <w:keepLines w:val="0"/>
              <w:pageBreakBefore w:val="0"/>
              <w:widowControl/>
              <w:suppressLineNumbers w:val="0"/>
              <w:kinsoku/>
              <w:wordWrap/>
              <w:overflowPunct/>
              <w:topLinePunct w:val="0"/>
              <w:autoSpaceDE/>
              <w:autoSpaceDN/>
              <w:bidi w:val="0"/>
              <w:adjustRightInd/>
              <w:snapToGrid w:val="0"/>
              <w:spacing w:line="0" w:lineRule="atLeast"/>
              <w:jc w:val="center"/>
              <w:textAlignment w:val="center"/>
              <w:rPr>
                <w:rFonts w:hint="eastAsia" w:ascii="方正小标宋_GBK" w:hAnsi="方正小标宋_GBK" w:eastAsia="方正小标宋_GBK" w:cs="方正小标宋_GBK"/>
                <w:i w:val="0"/>
                <w:iCs w:val="0"/>
                <w:color w:val="000000"/>
                <w:kern w:val="0"/>
                <w:sz w:val="44"/>
                <w:szCs w:val="44"/>
                <w:u w:val="none"/>
                <w:lang w:val="en-US" w:eastAsia="zh-CN" w:bidi="ar"/>
              </w:rPr>
            </w:pPr>
          </w:p>
          <w:p w14:paraId="34D9049C">
            <w:pPr>
              <w:keepNext w:val="0"/>
              <w:keepLines w:val="0"/>
              <w:pageBreakBefore w:val="0"/>
              <w:widowControl/>
              <w:suppressLineNumbers w:val="0"/>
              <w:kinsoku/>
              <w:wordWrap/>
              <w:overflowPunct/>
              <w:topLinePunct w:val="0"/>
              <w:autoSpaceDE/>
              <w:autoSpaceDN/>
              <w:bidi w:val="0"/>
              <w:adjustRightInd/>
              <w:snapToGrid w:val="0"/>
              <w:spacing w:line="0" w:lineRule="atLeast"/>
              <w:jc w:val="center"/>
              <w:textAlignment w:val="center"/>
              <w:rPr>
                <w:rFonts w:hint="eastAsia" w:ascii="方正小标宋_GBK" w:hAnsi="方正小标宋_GBK" w:eastAsia="方正小标宋_GBK" w:cs="方正小标宋_GBK"/>
                <w:i w:val="0"/>
                <w:iCs w:val="0"/>
                <w:color w:val="000000"/>
                <w:kern w:val="0"/>
                <w:sz w:val="44"/>
                <w:szCs w:val="44"/>
                <w:u w:val="none"/>
                <w:lang w:val="en-US" w:eastAsia="zh-CN" w:bidi="ar"/>
              </w:rPr>
            </w:pPr>
          </w:p>
          <w:p w14:paraId="2F27CD2D">
            <w:pPr>
              <w:keepNext w:val="0"/>
              <w:keepLines w:val="0"/>
              <w:pageBreakBefore w:val="0"/>
              <w:widowControl/>
              <w:suppressLineNumbers w:val="0"/>
              <w:kinsoku/>
              <w:wordWrap/>
              <w:overflowPunct/>
              <w:topLinePunct w:val="0"/>
              <w:autoSpaceDE/>
              <w:autoSpaceDN/>
              <w:bidi w:val="0"/>
              <w:adjustRightInd/>
              <w:snapToGrid w:val="0"/>
              <w:spacing w:line="0" w:lineRule="atLeast"/>
              <w:jc w:val="center"/>
              <w:textAlignment w:val="center"/>
              <w:rPr>
                <w:rFonts w:hint="eastAsia" w:ascii="方正小标宋_GBK" w:hAnsi="方正小标宋_GBK" w:eastAsia="方正小标宋_GBK" w:cs="方正小标宋_GBK"/>
                <w:i w:val="0"/>
                <w:iCs w:val="0"/>
                <w:color w:val="000000"/>
                <w:kern w:val="0"/>
                <w:sz w:val="44"/>
                <w:szCs w:val="44"/>
                <w:u w:val="none"/>
                <w:lang w:val="en-US" w:eastAsia="zh-CN" w:bidi="ar"/>
              </w:rPr>
            </w:pPr>
          </w:p>
          <w:p w14:paraId="04B79387">
            <w:pPr>
              <w:keepNext w:val="0"/>
              <w:keepLines w:val="0"/>
              <w:pageBreakBefore w:val="0"/>
              <w:widowControl/>
              <w:suppressLineNumbers w:val="0"/>
              <w:kinsoku/>
              <w:wordWrap/>
              <w:overflowPunct/>
              <w:topLinePunct w:val="0"/>
              <w:autoSpaceDE/>
              <w:autoSpaceDN/>
              <w:bidi w:val="0"/>
              <w:adjustRightInd/>
              <w:snapToGrid w:val="0"/>
              <w:spacing w:line="0" w:lineRule="atLeast"/>
              <w:jc w:val="center"/>
              <w:textAlignment w:val="center"/>
              <w:rPr>
                <w:rFonts w:hint="eastAsia" w:ascii="方正小标宋_GBK" w:hAnsi="方正小标宋_GBK" w:eastAsia="方正小标宋_GBK" w:cs="方正小标宋_GBK"/>
                <w:i w:val="0"/>
                <w:iCs w:val="0"/>
                <w:color w:val="000000"/>
                <w:kern w:val="0"/>
                <w:sz w:val="44"/>
                <w:szCs w:val="44"/>
                <w:u w:val="none"/>
                <w:lang w:val="en-US" w:eastAsia="zh-CN" w:bidi="ar"/>
              </w:rPr>
            </w:pPr>
          </w:p>
          <w:p w14:paraId="44451EB8">
            <w:pPr>
              <w:keepNext w:val="0"/>
              <w:keepLines w:val="0"/>
              <w:pageBreakBefore w:val="0"/>
              <w:widowControl/>
              <w:suppressLineNumbers w:val="0"/>
              <w:kinsoku/>
              <w:wordWrap/>
              <w:overflowPunct/>
              <w:topLinePunct w:val="0"/>
              <w:autoSpaceDE/>
              <w:autoSpaceDN/>
              <w:bidi w:val="0"/>
              <w:adjustRightInd/>
              <w:snapToGrid w:val="0"/>
              <w:spacing w:line="0" w:lineRule="atLeast"/>
              <w:jc w:val="center"/>
              <w:textAlignment w:val="center"/>
              <w:rPr>
                <w:rFonts w:hint="eastAsia" w:ascii="方正小标宋_GBK" w:hAnsi="方正小标宋_GBK" w:eastAsia="方正小标宋_GBK" w:cs="方正小标宋_GBK"/>
                <w:i w:val="0"/>
                <w:iCs w:val="0"/>
                <w:color w:val="000000"/>
                <w:kern w:val="0"/>
                <w:sz w:val="44"/>
                <w:szCs w:val="44"/>
                <w:u w:val="none"/>
                <w:lang w:val="en-US" w:eastAsia="zh-CN" w:bidi="ar"/>
              </w:rPr>
            </w:pPr>
          </w:p>
          <w:p w14:paraId="066041EE">
            <w:pPr>
              <w:keepNext w:val="0"/>
              <w:keepLines w:val="0"/>
              <w:pageBreakBefore w:val="0"/>
              <w:widowControl/>
              <w:suppressLineNumbers w:val="0"/>
              <w:kinsoku/>
              <w:wordWrap/>
              <w:overflowPunct/>
              <w:topLinePunct w:val="0"/>
              <w:autoSpaceDE/>
              <w:autoSpaceDN/>
              <w:bidi w:val="0"/>
              <w:adjustRightInd/>
              <w:snapToGrid w:val="0"/>
              <w:spacing w:line="0" w:lineRule="atLeast"/>
              <w:jc w:val="center"/>
              <w:textAlignment w:val="center"/>
              <w:rPr>
                <w:rFonts w:hint="eastAsia" w:ascii="方正小标宋_GBK" w:hAnsi="方正小标宋_GBK" w:eastAsia="方正小标宋_GBK" w:cs="方正小标宋_GBK"/>
                <w:i w:val="0"/>
                <w:iCs w:val="0"/>
                <w:color w:val="000000"/>
                <w:kern w:val="0"/>
                <w:sz w:val="44"/>
                <w:szCs w:val="44"/>
                <w:u w:val="none"/>
                <w:lang w:val="en-US" w:eastAsia="zh-CN" w:bidi="ar"/>
              </w:rPr>
            </w:pPr>
          </w:p>
          <w:p w14:paraId="0F997126">
            <w:pPr>
              <w:keepNext w:val="0"/>
              <w:keepLines w:val="0"/>
              <w:pageBreakBefore w:val="0"/>
              <w:widowControl/>
              <w:suppressLineNumbers w:val="0"/>
              <w:kinsoku/>
              <w:wordWrap/>
              <w:overflowPunct/>
              <w:topLinePunct w:val="0"/>
              <w:autoSpaceDE/>
              <w:autoSpaceDN/>
              <w:bidi w:val="0"/>
              <w:adjustRightInd/>
              <w:snapToGrid w:val="0"/>
              <w:spacing w:line="0" w:lineRule="atLeast"/>
              <w:jc w:val="center"/>
              <w:textAlignment w:val="center"/>
              <w:rPr>
                <w:rFonts w:hint="eastAsia" w:ascii="方正小标宋_GBK" w:hAnsi="方正小标宋_GBK" w:eastAsia="方正小标宋_GBK" w:cs="方正小标宋_GBK"/>
                <w:i w:val="0"/>
                <w:iCs w:val="0"/>
                <w:color w:val="000000"/>
                <w:kern w:val="0"/>
                <w:sz w:val="44"/>
                <w:szCs w:val="44"/>
                <w:u w:val="none"/>
                <w:lang w:val="en-US" w:eastAsia="zh-CN" w:bidi="ar"/>
              </w:rPr>
            </w:pPr>
          </w:p>
          <w:p w14:paraId="4A757242">
            <w:pPr>
              <w:keepNext w:val="0"/>
              <w:keepLines w:val="0"/>
              <w:pageBreakBefore w:val="0"/>
              <w:widowControl/>
              <w:suppressLineNumbers w:val="0"/>
              <w:kinsoku/>
              <w:wordWrap/>
              <w:overflowPunct/>
              <w:topLinePunct w:val="0"/>
              <w:autoSpaceDE/>
              <w:autoSpaceDN/>
              <w:bidi w:val="0"/>
              <w:adjustRightInd/>
              <w:snapToGrid w:val="0"/>
              <w:spacing w:line="0" w:lineRule="atLeast"/>
              <w:jc w:val="center"/>
              <w:textAlignment w:val="center"/>
              <w:rPr>
                <w:rFonts w:hint="eastAsia" w:ascii="方正小标宋_GBK" w:hAnsi="方正小标宋_GBK" w:eastAsia="方正小标宋_GBK" w:cs="方正小标宋_GBK"/>
                <w:i w:val="0"/>
                <w:iCs w:val="0"/>
                <w:color w:val="000000"/>
                <w:kern w:val="0"/>
                <w:sz w:val="44"/>
                <w:szCs w:val="44"/>
                <w:u w:val="none"/>
                <w:lang w:val="en-US" w:eastAsia="zh-CN" w:bidi="ar"/>
              </w:rPr>
            </w:pPr>
          </w:p>
          <w:p w14:paraId="5EAF51EA">
            <w:pPr>
              <w:keepNext w:val="0"/>
              <w:keepLines w:val="0"/>
              <w:pageBreakBefore w:val="0"/>
              <w:widowControl/>
              <w:suppressLineNumbers w:val="0"/>
              <w:kinsoku/>
              <w:wordWrap/>
              <w:overflowPunct/>
              <w:topLinePunct w:val="0"/>
              <w:autoSpaceDE/>
              <w:autoSpaceDN/>
              <w:bidi w:val="0"/>
              <w:adjustRightInd/>
              <w:snapToGrid w:val="0"/>
              <w:spacing w:line="0" w:lineRule="atLeast"/>
              <w:jc w:val="center"/>
              <w:textAlignment w:val="center"/>
              <w:rPr>
                <w:rFonts w:ascii="仿宋_GB2312" w:hAnsi="宋体" w:eastAsia="仿宋_GB2312" w:cs="仿宋_GB2312"/>
                <w:i w:val="0"/>
                <w:iCs w:val="0"/>
                <w:color w:val="000000"/>
                <w:sz w:val="36"/>
                <w:szCs w:val="36"/>
                <w:u w:val="none"/>
              </w:rPr>
            </w:pPr>
            <w:r>
              <w:rPr>
                <w:rFonts w:hint="eastAsia" w:ascii="方正小标宋_GBK" w:hAnsi="方正小标宋_GBK" w:eastAsia="方正小标宋_GBK" w:cs="方正小标宋_GBK"/>
                <w:i w:val="0"/>
                <w:iCs w:val="0"/>
                <w:color w:val="000000"/>
                <w:kern w:val="0"/>
                <w:sz w:val="44"/>
                <w:szCs w:val="44"/>
                <w:u w:val="none"/>
                <w:lang w:val="en-US" w:eastAsia="zh-CN" w:bidi="ar"/>
              </w:rPr>
              <w:t>水泥熟料生产线明细表（截至2025年12月31日）</w:t>
            </w:r>
          </w:p>
        </w:tc>
      </w:tr>
      <w:tr w14:paraId="1FA450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00" w:hRule="atLeast"/>
        </w:trPr>
        <w:tc>
          <w:tcPr>
            <w:tcW w:w="9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C71AFE7">
            <w:pPr>
              <w:keepNext w:val="0"/>
              <w:keepLines w:val="0"/>
              <w:widowControl/>
              <w:suppressLineNumbers w:val="0"/>
              <w:jc w:val="center"/>
              <w:textAlignment w:val="center"/>
              <w:rPr>
                <w:rFonts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序号</w:t>
            </w: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30E50">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市（州）</w:t>
            </w:r>
          </w:p>
        </w:tc>
        <w:tc>
          <w:tcPr>
            <w:tcW w:w="9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A6AF59D">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企业名称</w:t>
            </w:r>
          </w:p>
        </w:tc>
        <w:tc>
          <w:tcPr>
            <w:tcW w:w="9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D864BD9">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统一社会信用代码</w:t>
            </w: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A2AF3F">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生产线名称</w:t>
            </w:r>
          </w:p>
        </w:tc>
        <w:tc>
          <w:tcPr>
            <w:tcW w:w="9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3390541">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建设地址</w:t>
            </w:r>
          </w:p>
        </w:tc>
        <w:tc>
          <w:tcPr>
            <w:tcW w:w="9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6A4736B">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投产时间</w:t>
            </w: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415E23">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批复产能</w:t>
            </w:r>
            <w:r>
              <w:rPr>
                <w:rFonts w:hint="eastAsia" w:ascii="黑体" w:hAnsi="宋体" w:eastAsia="黑体" w:cs="黑体"/>
                <w:i w:val="0"/>
                <w:iCs w:val="0"/>
                <w:color w:val="000000"/>
                <w:kern w:val="0"/>
                <w:sz w:val="22"/>
                <w:szCs w:val="22"/>
                <w:u w:val="none"/>
                <w:lang w:val="en-US" w:eastAsia="zh-CN" w:bidi="ar"/>
              </w:rPr>
              <w:br w:type="textWrapping"/>
            </w:r>
            <w:r>
              <w:rPr>
                <w:rFonts w:hint="eastAsia" w:ascii="黑体" w:hAnsi="宋体" w:eastAsia="黑体" w:cs="黑体"/>
                <w:i w:val="0"/>
                <w:iCs w:val="0"/>
                <w:color w:val="000000"/>
                <w:kern w:val="0"/>
                <w:sz w:val="22"/>
                <w:szCs w:val="22"/>
                <w:u w:val="none"/>
                <w:lang w:val="en-US" w:eastAsia="zh-CN" w:bidi="ar"/>
              </w:rPr>
              <w:t>（吨/日）</w:t>
            </w:r>
          </w:p>
        </w:tc>
        <w:tc>
          <w:tcPr>
            <w:tcW w:w="9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87CB779">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是否通过置换补齐产能</w:t>
            </w:r>
            <w:r>
              <w:rPr>
                <w:rFonts w:hint="eastAsia" w:ascii="黑体" w:hAnsi="宋体" w:eastAsia="黑体" w:cs="黑体"/>
                <w:i w:val="0"/>
                <w:iCs w:val="0"/>
                <w:color w:val="000000"/>
                <w:kern w:val="0"/>
                <w:sz w:val="22"/>
                <w:szCs w:val="22"/>
                <w:u w:val="none"/>
                <w:lang w:val="en-US" w:eastAsia="zh-CN" w:bidi="ar"/>
              </w:rPr>
              <w:br w:type="textWrapping"/>
            </w:r>
            <w:r>
              <w:rPr>
                <w:rFonts w:hint="eastAsia" w:ascii="黑体" w:hAnsi="宋体" w:eastAsia="黑体" w:cs="黑体"/>
                <w:i w:val="0"/>
                <w:iCs w:val="0"/>
                <w:color w:val="000000"/>
                <w:kern w:val="0"/>
                <w:sz w:val="22"/>
                <w:szCs w:val="22"/>
                <w:u w:val="none"/>
                <w:lang w:val="en-US" w:eastAsia="zh-CN" w:bidi="ar"/>
              </w:rPr>
              <w:t>（是/否/不需要）</w:t>
            </w: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FACF70">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水泥窑规格</w:t>
            </w:r>
            <w:r>
              <w:rPr>
                <w:rFonts w:hint="eastAsia" w:ascii="黑体" w:hAnsi="宋体" w:eastAsia="黑体" w:cs="黑体"/>
                <w:i w:val="0"/>
                <w:iCs w:val="0"/>
                <w:color w:val="000000"/>
                <w:kern w:val="0"/>
                <w:sz w:val="22"/>
                <w:szCs w:val="22"/>
                <w:u w:val="none"/>
                <w:lang w:val="en-US" w:eastAsia="zh-CN" w:bidi="ar"/>
              </w:rPr>
              <w:br w:type="textWrapping"/>
            </w:r>
            <w:r>
              <w:rPr>
                <w:rFonts w:hint="eastAsia" w:ascii="黑体" w:hAnsi="宋体" w:eastAsia="黑体" w:cs="黑体"/>
                <w:i w:val="0"/>
                <w:iCs w:val="0"/>
                <w:color w:val="000000"/>
                <w:kern w:val="0"/>
                <w:sz w:val="22"/>
                <w:szCs w:val="22"/>
                <w:u w:val="none"/>
                <w:lang w:val="en-US" w:eastAsia="zh-CN" w:bidi="ar"/>
              </w:rPr>
              <w:t>（窑径*长度米）</w:t>
            </w:r>
          </w:p>
        </w:tc>
        <w:tc>
          <w:tcPr>
            <w:tcW w:w="9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4A55B5B">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生产许可证/（有效期）</w:t>
            </w:r>
          </w:p>
        </w:tc>
        <w:tc>
          <w:tcPr>
            <w:tcW w:w="9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0C1B59F">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运行状态</w:t>
            </w:r>
            <w:r>
              <w:rPr>
                <w:rFonts w:hint="eastAsia" w:ascii="黑体" w:hAnsi="宋体" w:eastAsia="黑体" w:cs="黑体"/>
                <w:i w:val="0"/>
                <w:iCs w:val="0"/>
                <w:color w:val="000000"/>
                <w:kern w:val="0"/>
                <w:sz w:val="22"/>
                <w:szCs w:val="22"/>
                <w:u w:val="none"/>
                <w:lang w:val="en-US" w:eastAsia="zh-CN" w:bidi="ar"/>
              </w:rPr>
              <w:br w:type="textWrapping"/>
            </w:r>
            <w:r>
              <w:rPr>
                <w:rFonts w:hint="eastAsia" w:ascii="黑体" w:hAnsi="宋体" w:eastAsia="黑体" w:cs="黑体"/>
                <w:i w:val="0"/>
                <w:iCs w:val="0"/>
                <w:color w:val="000000"/>
                <w:kern w:val="0"/>
                <w:sz w:val="22"/>
                <w:szCs w:val="22"/>
                <w:u w:val="none"/>
                <w:lang w:val="en-US" w:eastAsia="zh-CN" w:bidi="ar"/>
              </w:rPr>
              <w:t>（在产、停产）</w:t>
            </w:r>
          </w:p>
        </w:tc>
        <w:tc>
          <w:tcPr>
            <w:tcW w:w="9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C29D818">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2025年熟料产量</w:t>
            </w: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9B44E">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产品类型/用途</w:t>
            </w:r>
            <w:r>
              <w:rPr>
                <w:rFonts w:hint="eastAsia" w:ascii="黑体" w:hAnsi="宋体" w:eastAsia="黑体" w:cs="黑体"/>
                <w:i w:val="0"/>
                <w:iCs w:val="0"/>
                <w:color w:val="000000"/>
                <w:kern w:val="0"/>
                <w:sz w:val="22"/>
                <w:szCs w:val="22"/>
                <w:u w:val="none"/>
                <w:lang w:val="en-US" w:eastAsia="zh-CN" w:bidi="ar"/>
              </w:rPr>
              <w:br w:type="textWrapping"/>
            </w:r>
            <w:r>
              <w:rPr>
                <w:rFonts w:hint="eastAsia" w:ascii="黑体" w:hAnsi="宋体" w:eastAsia="黑体" w:cs="黑体"/>
                <w:i w:val="0"/>
                <w:iCs w:val="0"/>
                <w:color w:val="000000"/>
                <w:kern w:val="0"/>
                <w:sz w:val="22"/>
                <w:szCs w:val="22"/>
                <w:u w:val="none"/>
                <w:lang w:val="en-US" w:eastAsia="zh-CN" w:bidi="ar"/>
              </w:rPr>
              <w:t>（普通、特种、磷石膏、电石渣）</w:t>
            </w:r>
          </w:p>
        </w:tc>
        <w:tc>
          <w:tcPr>
            <w:tcW w:w="9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891F661">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备注</w:t>
            </w:r>
            <w:r>
              <w:rPr>
                <w:rFonts w:hint="eastAsia" w:ascii="黑体" w:hAnsi="宋体" w:eastAsia="黑体" w:cs="黑体"/>
                <w:i w:val="0"/>
                <w:iCs w:val="0"/>
                <w:color w:val="000000"/>
                <w:kern w:val="0"/>
                <w:sz w:val="22"/>
                <w:szCs w:val="22"/>
                <w:u w:val="none"/>
                <w:lang w:val="en-US" w:eastAsia="zh-CN" w:bidi="ar"/>
              </w:rPr>
              <w:br w:type="textWrapping"/>
            </w:r>
            <w:r>
              <w:rPr>
                <w:rFonts w:hint="eastAsia" w:ascii="黑体" w:hAnsi="宋体" w:eastAsia="黑体" w:cs="黑体"/>
                <w:i w:val="0"/>
                <w:iCs w:val="0"/>
                <w:color w:val="000000"/>
                <w:kern w:val="0"/>
                <w:sz w:val="22"/>
                <w:szCs w:val="22"/>
                <w:u w:val="none"/>
                <w:lang w:val="en-US" w:eastAsia="zh-CN" w:bidi="ar"/>
              </w:rPr>
              <w:t>（产能置换情况或其他需要说明的情况）</w:t>
            </w:r>
          </w:p>
        </w:tc>
      </w:tr>
      <w:tr w14:paraId="0E15C6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4" w:hRule="atLeast"/>
        </w:trPr>
        <w:tc>
          <w:tcPr>
            <w:tcW w:w="90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FD0E7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3E09A5">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攀枝花</w:t>
            </w:r>
          </w:p>
        </w:tc>
        <w:tc>
          <w:tcPr>
            <w:tcW w:w="9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5CFBE1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攀枝花瑞峰水泥有限公司</w:t>
            </w:r>
          </w:p>
        </w:tc>
        <w:tc>
          <w:tcPr>
            <w:tcW w:w="9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8FB596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91510400782256587U</w:t>
            </w: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AA639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2500t/d新型干法水泥熟料生产线</w:t>
            </w:r>
          </w:p>
        </w:tc>
        <w:tc>
          <w:tcPr>
            <w:tcW w:w="9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AABC75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攀枝花市西区格里坪镇龙洞</w:t>
            </w:r>
          </w:p>
        </w:tc>
        <w:tc>
          <w:tcPr>
            <w:tcW w:w="90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B7803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2008年7月</w:t>
            </w:r>
          </w:p>
        </w:tc>
        <w:tc>
          <w:tcPr>
            <w:tcW w:w="9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C34C1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2500</w:t>
            </w:r>
          </w:p>
        </w:tc>
        <w:tc>
          <w:tcPr>
            <w:tcW w:w="90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AC9D2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9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10E42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4*60</w:t>
            </w:r>
          </w:p>
        </w:tc>
        <w:tc>
          <w:tcPr>
            <w:tcW w:w="90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40614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2029.01</w:t>
            </w:r>
          </w:p>
        </w:tc>
        <w:tc>
          <w:tcPr>
            <w:tcW w:w="90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7D64D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在产</w:t>
            </w:r>
          </w:p>
        </w:tc>
        <w:tc>
          <w:tcPr>
            <w:tcW w:w="90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79996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56.7191万吨</w:t>
            </w:r>
          </w:p>
        </w:tc>
        <w:tc>
          <w:tcPr>
            <w:tcW w:w="9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FC8FB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普通、特种</w:t>
            </w:r>
          </w:p>
        </w:tc>
        <w:tc>
          <w:tcPr>
            <w:tcW w:w="90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639E0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目前无产能置换计划</w:t>
            </w:r>
          </w:p>
        </w:tc>
      </w:tr>
    </w:tbl>
    <w:p w14:paraId="3625BB54"/>
    <w:sectPr>
      <w:pgSz w:w="16840" w:h="11907" w:orient="landscape"/>
      <w:pgMar w:top="1587" w:right="2098" w:bottom="1474" w:left="1984" w:header="907" w:footer="1644" w:gutter="0"/>
      <w:cols w:space="0" w:num="1"/>
      <w:titlePg/>
      <w:docGrid w:type="linesAndChars" w:linePitch="576" w:charSpace="413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auto"/>
    <w:pitch w:val="default"/>
    <w:sig w:usb0="00000001" w:usb1="080E0000" w:usb2="00000000" w:usb3="00000000" w:csb0="00040000" w:csb1="00000000"/>
  </w:font>
  <w:font w:name="方正书宋_GBK">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01C0750"/>
    <w:rsid w:val="01633AB6"/>
    <w:rsid w:val="145E20B9"/>
    <w:rsid w:val="19C357AD"/>
    <w:rsid w:val="225FF486"/>
    <w:rsid w:val="2FBDD01E"/>
    <w:rsid w:val="30EA4317"/>
    <w:rsid w:val="37AA8C65"/>
    <w:rsid w:val="3BCD6B95"/>
    <w:rsid w:val="3DDF95D3"/>
    <w:rsid w:val="3FEDD44A"/>
    <w:rsid w:val="443514F5"/>
    <w:rsid w:val="4A430C95"/>
    <w:rsid w:val="4BC20007"/>
    <w:rsid w:val="4D4F7550"/>
    <w:rsid w:val="4DFFB285"/>
    <w:rsid w:val="4E264829"/>
    <w:rsid w:val="53FED935"/>
    <w:rsid w:val="56F37E6A"/>
    <w:rsid w:val="5EA77A90"/>
    <w:rsid w:val="5F9EC0E9"/>
    <w:rsid w:val="5FAC7AEE"/>
    <w:rsid w:val="5FFE8F4D"/>
    <w:rsid w:val="66E4E621"/>
    <w:rsid w:val="673122E9"/>
    <w:rsid w:val="6CF7ABE0"/>
    <w:rsid w:val="6E4E79F2"/>
    <w:rsid w:val="6FFF469A"/>
    <w:rsid w:val="701C0750"/>
    <w:rsid w:val="73F754D0"/>
    <w:rsid w:val="747E80EC"/>
    <w:rsid w:val="75FFD76E"/>
    <w:rsid w:val="779DEE01"/>
    <w:rsid w:val="7BBEC252"/>
    <w:rsid w:val="7CFBDCEB"/>
    <w:rsid w:val="7D735B86"/>
    <w:rsid w:val="7DB91452"/>
    <w:rsid w:val="7DEDB1FC"/>
    <w:rsid w:val="7DF29A6C"/>
    <w:rsid w:val="7DFF875A"/>
    <w:rsid w:val="7F773498"/>
    <w:rsid w:val="7FFE05BE"/>
    <w:rsid w:val="7FFF437C"/>
    <w:rsid w:val="7FFF4925"/>
    <w:rsid w:val="9758D7C4"/>
    <w:rsid w:val="9EE76B93"/>
    <w:rsid w:val="B6F9EAED"/>
    <w:rsid w:val="BB47DB66"/>
    <w:rsid w:val="BE7ECC00"/>
    <w:rsid w:val="C67FED2D"/>
    <w:rsid w:val="CBFF9D7D"/>
    <w:rsid w:val="CFFB1655"/>
    <w:rsid w:val="D7EDC3D2"/>
    <w:rsid w:val="DAD7E42A"/>
    <w:rsid w:val="DD4FC0A0"/>
    <w:rsid w:val="DDE6C84B"/>
    <w:rsid w:val="DEEF2A10"/>
    <w:rsid w:val="EF7C2879"/>
    <w:rsid w:val="F2E7B3D2"/>
    <w:rsid w:val="F7BEA601"/>
    <w:rsid w:val="FB3C0C03"/>
    <w:rsid w:val="FBDF3B1B"/>
    <w:rsid w:val="FCF377AD"/>
    <w:rsid w:val="FD4D4B94"/>
    <w:rsid w:val="FDED151B"/>
    <w:rsid w:val="FDF77CB4"/>
    <w:rsid w:val="FE2F477C"/>
    <w:rsid w:val="FFDEA3A9"/>
    <w:rsid w:val="FFED62B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60" w:lineRule="exact"/>
      <w:jc w:val="center"/>
      <w:outlineLvl w:val="0"/>
    </w:pPr>
    <w:rPr>
      <w:rFonts w:eastAsia="方正小标宋_GBK"/>
      <w:kern w:val="44"/>
      <w:sz w:val="44"/>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
    <w:name w:val="font01"/>
    <w:basedOn w:val="7"/>
    <w:qFormat/>
    <w:uiPriority w:val="0"/>
    <w:rPr>
      <w:rFonts w:hint="eastAsia" w:ascii="宋体" w:hAnsi="宋体" w:eastAsia="宋体" w:cs="宋体"/>
      <w:color w:val="000000"/>
      <w:sz w:val="20"/>
      <w:szCs w:val="20"/>
      <w:u w:val="none"/>
    </w:rPr>
  </w:style>
  <w:style w:type="character" w:customStyle="1" w:styleId="9">
    <w:name w:val="font21"/>
    <w:basedOn w:val="7"/>
    <w:qFormat/>
    <w:uiPriority w:val="0"/>
    <w:rPr>
      <w:rFonts w:hint="default" w:ascii="Times New Roman" w:hAnsi="Times New Roman" w:cs="Times New Roman"/>
      <w:color w:val="000000"/>
      <w:sz w:val="21"/>
      <w:szCs w:val="21"/>
      <w:u w:val="none"/>
    </w:rPr>
  </w:style>
  <w:style w:type="character" w:customStyle="1" w:styleId="10">
    <w:name w:val="font11"/>
    <w:basedOn w:val="7"/>
    <w:qFormat/>
    <w:uiPriority w:val="0"/>
    <w:rPr>
      <w:rFonts w:ascii="方正书宋_GBK" w:hAnsi="方正书宋_GBK" w:eastAsia="方正书宋_GBK" w:cs="方正书宋_GBK"/>
      <w:color w:val="000000"/>
      <w:sz w:val="21"/>
      <w:szCs w:val="21"/>
      <w:u w:val="none"/>
    </w:rPr>
  </w:style>
  <w:style w:type="character" w:customStyle="1" w:styleId="11">
    <w:name w:val="font31"/>
    <w:basedOn w:val="7"/>
    <w:qFormat/>
    <w:uiPriority w:val="0"/>
    <w:rPr>
      <w:rFonts w:ascii="Arial" w:hAnsi="Arial" w:cs="Arial"/>
      <w:color w:val="000000"/>
      <w:sz w:val="22"/>
      <w:szCs w:val="22"/>
      <w:u w:val="none"/>
    </w:rPr>
  </w:style>
  <w:style w:type="character" w:customStyle="1" w:styleId="12">
    <w:name w:val="font41"/>
    <w:basedOn w:val="7"/>
    <w:uiPriority w:val="0"/>
    <w:rPr>
      <w:rFonts w:hint="eastAsia" w:ascii="仿宋_GB2312" w:eastAsia="仿宋_GB2312" w:cs="仿宋_GB2312"/>
      <w:color w:val="000000"/>
      <w:sz w:val="36"/>
      <w:szCs w:val="36"/>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643</Words>
  <Characters>783</Characters>
  <Lines>0</Lines>
  <Paragraphs>0</Paragraphs>
  <TotalTime>33</TotalTime>
  <ScaleCrop>false</ScaleCrop>
  <LinksUpToDate>false</LinksUpToDate>
  <CharactersWithSpaces>830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2024-08-24T11:08:00Z</dcterms:created>
  <dc:creator>刘昱</dc:creator>
  <cp:lastModifiedBy>赵琦</cp:lastModifiedBy>
  <cp:lastPrinted>2024-09-16T03:42:00Z</cp:lastPrinted>
  <dcterms:modified xsi:type="dcterms:W3CDTF">2026-03-04T07:11:12Z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CC07EC8B3FBC455B8FADB228B60B6072_13</vt:lpwstr>
  </property>
  <property fmtid="{D5CDD505-2E9C-101B-9397-08002B2CF9AE}" pid="4" name="KSOTemplateDocerSaveRecord">
    <vt:lpwstr>eyJoZGlkIjoiZTRjODA1Yzc0Mzk0YzQyOTRhZDMwYjNmMjAyOGMyODEiLCJ1c2VySWQiOiIxMTQxNDU4NTI3In0=</vt:lpwstr>
  </property>
</Properties>
</file>