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spacing w:val="0"/>
          <w:sz w:val="44"/>
          <w:szCs w:val="44"/>
          <w:lang w:eastAsia="zh-CN"/>
        </w:rPr>
        <w:t>评分细则</w:t>
      </w:r>
    </w:p>
    <w:tbl>
      <w:tblPr>
        <w:tblStyle w:val="2"/>
        <w:tblW w:w="940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"/>
        <w:gridCol w:w="1044"/>
        <w:gridCol w:w="917"/>
        <w:gridCol w:w="3880"/>
        <w:gridCol w:w="32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1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评分因素及权重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评审标准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报价20%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满足比选文件全部要求且报价≤25万元控制价的，以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最低有效报价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为评标基准价，按公式计算得分：报价得分=（评标基准价/投标人最终报价）×20</w:t>
            </w:r>
            <w:r>
              <w:rPr>
                <w:rFonts w:hint="eastAsia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报价超过控制价的，本项得0分且投标文件整体无效。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1.报价为含税包干价，包含采样、监测、样品运输、差旅、报告编制、全流程质控等项目全部费用；2.有效报价指通过资格性、符合性审查的投标人报价。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企业核心资质15%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1.检验检测机构资质认定（CMA）证书（10分）：具备有效CMA证书，且检测范围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包含地下水水质监测相关指标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的得10分，无CMA证书或检测范围不含地下水指标的得0分；2.专业服务能力（5分）：具备环境监测相关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ISO质量管理体系认证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的得5分，无相关认证的得0分。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1.CMA证书需在有效期内，检测范围需清晰体现地下水pH、耗氧量、重金属等相关监测指标；2.体系认证需提供有效证书复印件。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项目团队配置20%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拟投入本项目人员为投标人本单位正式员工，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仅认可环境类相关专业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（环境工程、地下水科学与工程、环境监测、分析化学、水质科学与技术等），人员不重复计分，评审标准如下：1.项目负责人（7分）：具有环境类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高级职称（正高/副高）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的得7分，中级职称的得4分，初级及以下的得0分；2.技术与实操人员（13分）：①每提供1名环境类中级及以上职称人员得2分，最高8分；②每提供1名持有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地下水/水质采样上岗有效证书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的人员得1分，最高5分。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1.上岗证书为生态环境局、市场监管局、中国环境监测总站等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正规权威机构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颁发，证书需在有效期内；2.职称证书、上岗证书需标注专业类别，社保凭证需清晰体现人员姓名、单位及缴纳时间。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类似项目业绩20%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近3年（自比选公告发布之日起倒推，以合同签订时间为准）承接过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地下水环境监测/化工/工业园区水质监测相关项目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，且项目已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完成履约/验收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：每提供1个符合要求的完整业绩得4分，本项最高20分。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1.需同时提供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项目合同复印件+履约证明/验收报告/监测成果报告首页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，缺一不可；2.业绩材料需清晰体现项目名称、服务内容、合同签订时间、履约完成情况，无明确信息的不计分。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项目工作方案25%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3880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根据方案对本项目的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针对性、科学性、落地性、完整性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评分，核心包含5项核心内容，每项5分；方案存在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信息错误、套用通用模板、照搬比选文件未细化、引用失效规范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等情形，每处扣2分，扣完本项分值为止。1.园区需求与项目背景理解（5分）：贴合格里坪化工园区产业特点，准确认知园区地下水监测痛点、管控要求的得5分，泛泛而谈无针对性的得2分，理解错误的得0分；2.采样监测实施思路（5分）：思路清晰，贴合丰、平、枯三期采样频次要求的得5分，思路模糊无具体规划的得2分，无实施思路的得0分；3.核心技术路线（5分）：采样、样品保存、实验室检测方法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完全符合国家现行地下水监测规范及《化工园区地下水污染专项整治工作方案》（环办土壤函〔2025〕139号）要求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的得5分，轻微偏差的得2分，方法错误的得0分；4.进度安排（5分）：进度节点清晰、可落地，匹配攀枝花本地丰平枯水期时间，且有应急调整预案的得5分，进度模糊无预案的得2分，无明确进度安排的得0分；5.全流程质量保障措施（5分）：包含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现场采样、样品运输、实验室检测、数据审核、报告编制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全流程质控措施，且符合CMA规范要求的得5分，措施缺失1项及以上的得2分，无质控措施的得0分。</w:t>
            </w:r>
          </w:p>
        </w:tc>
        <w:tc>
          <w:tcPr>
            <w:tcW w:w="3248" w:type="dxa"/>
            <w:tcBorders>
              <w:tl2br w:val="nil"/>
              <w:tr2bl w:val="nil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aps w:val="0"/>
                <w:spacing w:val="0"/>
              </w:rPr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1.工作方案需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针对本项目单独编制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，禁止直接套用通用模板；2.技术路线需明确引用</w:t>
            </w:r>
            <w:r>
              <w:rPr>
                <w:rStyle w:val="4"/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国家/行业现行有效规范标准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，并标注规范编号；3.进度安排需贴合攀枝花地域实际，丰平枯水期时间节点符合当地水文特征。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87097"/>
    <w:rsid w:val="1B175CFB"/>
    <w:rsid w:val="26803AD2"/>
    <w:rsid w:val="54AB0677"/>
    <w:rsid w:val="7AF40331"/>
    <w:rsid w:val="7CF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1442</Words>
  <Characters>1504</Characters>
  <Lines>0</Lines>
  <Paragraphs>0</Paragraphs>
  <TotalTime>29</TotalTime>
  <ScaleCrop>false</ScaleCrop>
  <LinksUpToDate>false</LinksUpToDate>
  <CharactersWithSpaces>1504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2026-02-26T09:17:00Z</dcterms:created>
  <dc:creator>苏豪</dc:creator>
  <cp:lastModifiedBy>苏豪</cp:lastModifiedBy>
  <dcterms:modified xsi:type="dcterms:W3CDTF">2026-02-27T09:13:33Z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8619D25131964939ABD662822FE5E1D8</vt:lpwstr>
  </property>
</Properties>
</file>