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96475"/>
      <w:bookmarkStart w:id="1" w:name="_Toc15377425"/>
      <w:bookmarkStart w:id="2" w:name="_Toc15378441"/>
      <w:bookmarkStart w:id="3" w:name="_Toc15377193"/>
      <w:bookmarkStart w:id="4" w:name="_Toc15396597"/>
      <w:bookmarkStart w:id="5"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8337"/>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6"/>
    </w:p>
    <w:p>
      <w:pPr>
        <w:jc w:val="center"/>
        <w:outlineLvl w:val="0"/>
      </w:pPr>
      <w:bookmarkStart w:id="7" w:name="_Toc25871"/>
      <w:bookmarkStart w:id="8" w:name="_Toc15377426"/>
      <w:bookmarkStart w:id="9" w:name="_Toc15396476"/>
      <w:bookmarkStart w:id="10" w:name="_Toc15377194"/>
      <w:bookmarkStart w:id="11" w:name="_Toc15378442"/>
      <w:bookmarkStart w:id="12" w:name="_Toc15396598"/>
      <w:r>
        <w:rPr>
          <w:rFonts w:hint="eastAsia" w:ascii="方正小标宋简体" w:hAnsi="方正小标宋简体" w:eastAsia="方正小标宋简体" w:cs="方正小标宋简体"/>
          <w:sz w:val="72"/>
          <w:szCs w:val="72"/>
        </w:rPr>
        <w:t>攀枝花市西区</w:t>
      </w:r>
      <w:bookmarkEnd w:id="5"/>
      <w:bookmarkStart w:id="13" w:name="_Toc15306268"/>
      <w:r>
        <w:rPr>
          <w:rFonts w:ascii="方正小标宋简体" w:eastAsia="方正小标宋简体"/>
          <w:color w:val="000000"/>
          <w:sz w:val="72"/>
          <w:szCs w:val="72"/>
        </w:rPr>
        <w:t>区委编办</w:t>
      </w:r>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4" w:name="_Toc17688"/>
      <w:r>
        <w:rPr>
          <w:rFonts w:hint="eastAsia" w:ascii="方正小标宋简体" w:hAnsi="方正小标宋简体" w:eastAsia="方正小标宋简体" w:cs="方正小标宋简体"/>
          <w:sz w:val="72"/>
          <w:szCs w:val="72"/>
        </w:rPr>
        <w:t>部门决算</w:t>
      </w:r>
      <w:bookmarkEnd w:id="8"/>
      <w:bookmarkEnd w:id="9"/>
      <w:bookmarkEnd w:id="10"/>
      <w:bookmarkEnd w:id="11"/>
      <w:bookmarkEnd w:id="12"/>
      <w:bookmarkEnd w:id="13"/>
      <w:bookmarkEnd w:id="14"/>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公开时间：2023年</w:t>
      </w:r>
      <w:r>
        <w:rPr>
          <w:rFonts w:hint="eastAsia"/>
          <w:lang w:val="en-US" w:eastAsia="zh-CN"/>
        </w:rPr>
        <w:t>10</w:t>
      </w:r>
      <w:r>
        <w:rPr>
          <w:rFonts w:hint="eastAsia"/>
        </w:rPr>
        <w:t>月</w:t>
      </w:r>
      <w:r>
        <w:rPr>
          <w:rFonts w:hint="eastAsia"/>
          <w:lang w:val="en-US" w:eastAsia="zh-CN"/>
        </w:rPr>
        <w:t>20</w:t>
      </w:r>
      <w:r>
        <w:rPr>
          <w:rFonts w:hint="eastAsia"/>
        </w:rPr>
        <w:t>日</w:t>
      </w:r>
    </w:p>
    <w:sdt>
      <w:sdtPr>
        <w:rPr>
          <w:rFonts w:ascii="宋体" w:hAnsi="宋体" w:eastAsia="宋体" w:cs="Times New Roman"/>
          <w:kern w:val="2"/>
          <w:sz w:val="21"/>
          <w:szCs w:val="24"/>
          <w:lang w:val="en-US" w:eastAsia="zh-CN" w:bidi="ar-SA"/>
        </w:rPr>
        <w:id w:val="147474114"/>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5" w:name="_Toc15396599"/>
          <w:bookmarkStart w:id="16" w:name="_Toc15377196"/>
        </w:p>
        <w:p>
          <w:pPr>
            <w:pStyle w:val="52"/>
            <w:tabs>
              <w:tab w:val="right" w:leader="dot" w:pos="8306"/>
            </w:tabs>
            <w:rPr>
              <w:b/>
            </w:rPr>
          </w:pPr>
          <w:r>
            <w:fldChar w:fldCharType="begin"/>
          </w:r>
          <w:r>
            <w:instrText xml:space="preserve">TOC \o "1-2" \h \u </w:instrText>
          </w:r>
          <w:r>
            <w:fldChar w:fldCharType="separate"/>
          </w:r>
        </w:p>
        <w:p>
          <w:pPr>
            <w:pStyle w:val="52"/>
            <w:tabs>
              <w:tab w:val="right" w:leader="dot" w:pos="8306"/>
            </w:tabs>
            <w:rPr>
              <w:b/>
            </w:rPr>
          </w:pPr>
          <w:r>
            <w:rPr>
              <w:b/>
            </w:rPr>
            <w:fldChar w:fldCharType="begin"/>
          </w:r>
          <w:r>
            <w:rPr>
              <w:b/>
            </w:rPr>
            <w:instrText xml:space="preserve"> HYPERLINK \l _Toc24739 </w:instrText>
          </w:r>
          <w:r>
            <w:rPr>
              <w:b/>
            </w:rPr>
            <w:fldChar w:fldCharType="separate"/>
          </w:r>
          <w:r>
            <w:rPr>
              <w:rFonts w:hint="eastAsia" w:ascii="黑体" w:hAnsi="黑体" w:eastAsia="黑体"/>
              <w:b/>
            </w:rPr>
            <w:t xml:space="preserve">第一部分 </w:t>
          </w:r>
          <w:r>
            <w:rPr>
              <w:rFonts w:hint="eastAsia" w:ascii="黑体" w:hAnsi="黑体" w:eastAsia="黑体"/>
              <w:b/>
              <w:bCs w:val="0"/>
            </w:rPr>
            <w:t>部门概况</w:t>
          </w:r>
          <w:r>
            <w:rPr>
              <w:b/>
            </w:rPr>
            <w:tab/>
          </w:r>
          <w:r>
            <w:rPr>
              <w:b/>
            </w:rPr>
            <w:fldChar w:fldCharType="begin"/>
          </w:r>
          <w:r>
            <w:rPr>
              <w:b/>
            </w:rPr>
            <w:instrText xml:space="preserve"> PAGEREF _Toc24739 \h </w:instrText>
          </w:r>
          <w:r>
            <w:rPr>
              <w:b/>
            </w:rPr>
            <w:fldChar w:fldCharType="separate"/>
          </w:r>
          <w:r>
            <w:rPr>
              <w:b/>
            </w:rPr>
            <w:t>4</w:t>
          </w:r>
          <w:r>
            <w:rPr>
              <w:b/>
            </w:rPr>
            <w:fldChar w:fldCharType="end"/>
          </w:r>
          <w:r>
            <w:rPr>
              <w:b/>
            </w:rPr>
            <w:fldChar w:fldCharType="end"/>
          </w:r>
        </w:p>
        <w:p>
          <w:pPr>
            <w:pStyle w:val="53"/>
            <w:tabs>
              <w:tab w:val="right" w:leader="dot" w:pos="8306"/>
            </w:tabs>
          </w:pPr>
          <w:r>
            <w:fldChar w:fldCharType="begin"/>
          </w:r>
          <w:r>
            <w:instrText xml:space="preserve"> HYPERLINK \l _Toc20096 </w:instrText>
          </w:r>
          <w:r>
            <w:fldChar w:fldCharType="separate"/>
          </w:r>
          <w:r>
            <w:rPr>
              <w:rFonts w:hint="eastAsia" w:ascii="黑体" w:hAnsi="黑体" w:eastAsia="黑体"/>
            </w:rPr>
            <w:t>一、部门职责</w:t>
          </w:r>
          <w:r>
            <w:tab/>
          </w:r>
          <w:r>
            <w:fldChar w:fldCharType="begin"/>
          </w:r>
          <w:r>
            <w:instrText xml:space="preserve"> PAGEREF _Toc20096 \h </w:instrText>
          </w:r>
          <w:r>
            <w:fldChar w:fldCharType="separate"/>
          </w:r>
          <w:r>
            <w:t>4</w:t>
          </w:r>
          <w:r>
            <w:fldChar w:fldCharType="end"/>
          </w:r>
          <w:r>
            <w:fldChar w:fldCharType="end"/>
          </w:r>
        </w:p>
        <w:p>
          <w:pPr>
            <w:pStyle w:val="53"/>
            <w:tabs>
              <w:tab w:val="right" w:leader="dot" w:pos="8306"/>
            </w:tabs>
          </w:pPr>
          <w:r>
            <w:fldChar w:fldCharType="begin"/>
          </w:r>
          <w:r>
            <w:instrText xml:space="preserve"> HYPERLINK \l _Toc10527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_Toc10527 \h </w:instrText>
          </w:r>
          <w:r>
            <w:fldChar w:fldCharType="separate"/>
          </w:r>
          <w:r>
            <w:t>5</w:t>
          </w:r>
          <w:r>
            <w:fldChar w:fldCharType="end"/>
          </w:r>
          <w:r>
            <w:fldChar w:fldCharType="end"/>
          </w:r>
        </w:p>
        <w:p>
          <w:pPr>
            <w:pStyle w:val="52"/>
            <w:tabs>
              <w:tab w:val="right" w:leader="dot" w:pos="8306"/>
            </w:tabs>
            <w:rPr>
              <w:b/>
            </w:rPr>
          </w:pPr>
          <w:r>
            <w:rPr>
              <w:b/>
            </w:rPr>
            <w:fldChar w:fldCharType="begin"/>
          </w:r>
          <w:r>
            <w:rPr>
              <w:b/>
            </w:rPr>
            <w:instrText xml:space="preserve"> HYPERLINK \l _Toc15245 </w:instrText>
          </w:r>
          <w:r>
            <w:rPr>
              <w:b/>
            </w:rPr>
            <w:fldChar w:fldCharType="separate"/>
          </w:r>
          <w:r>
            <w:rPr>
              <w:rFonts w:hint="eastAsia" w:ascii="黑体" w:hAnsi="黑体" w:eastAsia="黑体"/>
              <w:b/>
            </w:rPr>
            <w:t>第二部分 2022年度</w:t>
          </w:r>
          <w:r>
            <w:rPr>
              <w:rFonts w:hint="eastAsia" w:ascii="黑体" w:hAnsi="黑体" w:eastAsia="黑体"/>
              <w:b/>
              <w:bCs/>
            </w:rPr>
            <w:t>部门决算情况说明</w:t>
          </w:r>
          <w:r>
            <w:rPr>
              <w:b/>
            </w:rPr>
            <w:tab/>
          </w:r>
          <w:r>
            <w:rPr>
              <w:b/>
            </w:rPr>
            <w:fldChar w:fldCharType="begin"/>
          </w:r>
          <w:r>
            <w:rPr>
              <w:b/>
            </w:rPr>
            <w:instrText xml:space="preserve"> PAGEREF _Toc15245 \h </w:instrText>
          </w:r>
          <w:r>
            <w:rPr>
              <w:b/>
            </w:rPr>
            <w:fldChar w:fldCharType="separate"/>
          </w:r>
          <w:r>
            <w:rPr>
              <w:b/>
            </w:rPr>
            <w:t>6</w:t>
          </w:r>
          <w:r>
            <w:rPr>
              <w:b/>
            </w:rPr>
            <w:fldChar w:fldCharType="end"/>
          </w:r>
          <w:r>
            <w:rPr>
              <w:b/>
            </w:rPr>
            <w:fldChar w:fldCharType="end"/>
          </w:r>
        </w:p>
        <w:p>
          <w:pPr>
            <w:pStyle w:val="53"/>
            <w:tabs>
              <w:tab w:val="right" w:leader="dot" w:pos="8306"/>
            </w:tabs>
          </w:pPr>
          <w:r>
            <w:fldChar w:fldCharType="begin"/>
          </w:r>
          <w:r>
            <w:instrText xml:space="preserve"> HYPERLINK \l _Toc12435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_Toc12435 \h </w:instrText>
          </w:r>
          <w:r>
            <w:fldChar w:fldCharType="separate"/>
          </w:r>
          <w:r>
            <w:t>6</w:t>
          </w:r>
          <w:r>
            <w:fldChar w:fldCharType="end"/>
          </w:r>
          <w:r>
            <w:fldChar w:fldCharType="end"/>
          </w:r>
        </w:p>
        <w:p>
          <w:pPr>
            <w:pStyle w:val="53"/>
            <w:tabs>
              <w:tab w:val="right" w:leader="dot" w:pos="8306"/>
            </w:tabs>
          </w:pPr>
          <w:r>
            <w:fldChar w:fldCharType="begin"/>
          </w:r>
          <w:r>
            <w:instrText xml:space="preserve"> HYPERLINK \l _Toc21253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_Toc21253 \h </w:instrText>
          </w:r>
          <w:r>
            <w:fldChar w:fldCharType="separate"/>
          </w:r>
          <w:r>
            <w:t>6</w:t>
          </w:r>
          <w:r>
            <w:fldChar w:fldCharType="end"/>
          </w:r>
          <w:r>
            <w:fldChar w:fldCharType="end"/>
          </w:r>
        </w:p>
        <w:p>
          <w:pPr>
            <w:pStyle w:val="53"/>
            <w:tabs>
              <w:tab w:val="right" w:leader="dot" w:pos="8306"/>
            </w:tabs>
          </w:pPr>
          <w:r>
            <w:fldChar w:fldCharType="begin"/>
          </w:r>
          <w:r>
            <w:instrText xml:space="preserve"> HYPERLINK \l _Toc4836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_Toc4836 \h </w:instrText>
          </w:r>
          <w:r>
            <w:fldChar w:fldCharType="separate"/>
          </w:r>
          <w:r>
            <w:t>7</w:t>
          </w:r>
          <w:r>
            <w:fldChar w:fldCharType="end"/>
          </w:r>
          <w:r>
            <w:fldChar w:fldCharType="end"/>
          </w:r>
        </w:p>
        <w:p>
          <w:pPr>
            <w:pStyle w:val="53"/>
            <w:tabs>
              <w:tab w:val="right" w:leader="dot" w:pos="8306"/>
            </w:tabs>
          </w:pPr>
          <w:r>
            <w:fldChar w:fldCharType="begin"/>
          </w:r>
          <w:r>
            <w:instrText xml:space="preserve"> HYPERLINK \l _Toc4653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_Toc4653 \h </w:instrText>
          </w:r>
          <w:r>
            <w:fldChar w:fldCharType="separate"/>
          </w:r>
          <w:r>
            <w:t>7</w:t>
          </w:r>
          <w:r>
            <w:fldChar w:fldCharType="end"/>
          </w:r>
          <w:r>
            <w:fldChar w:fldCharType="end"/>
          </w:r>
        </w:p>
        <w:p>
          <w:pPr>
            <w:pStyle w:val="53"/>
            <w:tabs>
              <w:tab w:val="right" w:leader="dot" w:pos="8306"/>
            </w:tabs>
          </w:pPr>
          <w:r>
            <w:fldChar w:fldCharType="begin"/>
          </w:r>
          <w:r>
            <w:instrText xml:space="preserve"> HYPERLINK \l _Toc18579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_Toc18579 \h </w:instrText>
          </w:r>
          <w:r>
            <w:fldChar w:fldCharType="separate"/>
          </w:r>
          <w:r>
            <w:t>8</w:t>
          </w:r>
          <w:r>
            <w:fldChar w:fldCharType="end"/>
          </w:r>
          <w:r>
            <w:fldChar w:fldCharType="end"/>
          </w:r>
        </w:p>
        <w:p>
          <w:pPr>
            <w:pStyle w:val="53"/>
            <w:tabs>
              <w:tab w:val="right" w:leader="dot" w:pos="8306"/>
            </w:tabs>
          </w:pPr>
          <w:r>
            <w:fldChar w:fldCharType="begin"/>
          </w:r>
          <w:r>
            <w:instrText xml:space="preserve"> HYPERLINK \l _Toc4044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_Toc4044 \h </w:instrText>
          </w:r>
          <w:r>
            <w:fldChar w:fldCharType="separate"/>
          </w:r>
          <w:r>
            <w:t>10</w:t>
          </w:r>
          <w:r>
            <w:fldChar w:fldCharType="end"/>
          </w:r>
          <w:r>
            <w:fldChar w:fldCharType="end"/>
          </w:r>
        </w:p>
        <w:p>
          <w:pPr>
            <w:pStyle w:val="53"/>
            <w:tabs>
              <w:tab w:val="right" w:leader="dot" w:pos="8306"/>
            </w:tabs>
          </w:pPr>
          <w:r>
            <w:fldChar w:fldCharType="begin"/>
          </w:r>
          <w:r>
            <w:instrText xml:space="preserve"> HYPERLINK \l _Toc9180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_Toc9180 \h </w:instrText>
          </w:r>
          <w:r>
            <w:fldChar w:fldCharType="separate"/>
          </w:r>
          <w:r>
            <w:t>10</w:t>
          </w:r>
          <w:r>
            <w:fldChar w:fldCharType="end"/>
          </w:r>
          <w:r>
            <w:fldChar w:fldCharType="end"/>
          </w:r>
        </w:p>
        <w:p>
          <w:pPr>
            <w:pStyle w:val="53"/>
            <w:tabs>
              <w:tab w:val="right" w:leader="dot" w:pos="8306"/>
            </w:tabs>
          </w:pPr>
          <w:r>
            <w:fldChar w:fldCharType="begin"/>
          </w:r>
          <w:r>
            <w:instrText xml:space="preserve"> HYPERLINK \l _Toc11333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_Toc11333 \h </w:instrText>
          </w:r>
          <w:r>
            <w:fldChar w:fldCharType="separate"/>
          </w:r>
          <w:r>
            <w:t>12</w:t>
          </w:r>
          <w:r>
            <w:fldChar w:fldCharType="end"/>
          </w:r>
          <w:r>
            <w:fldChar w:fldCharType="end"/>
          </w:r>
        </w:p>
        <w:p>
          <w:pPr>
            <w:pStyle w:val="53"/>
            <w:tabs>
              <w:tab w:val="right" w:leader="dot" w:pos="8306"/>
            </w:tabs>
          </w:pPr>
          <w:r>
            <w:fldChar w:fldCharType="begin"/>
          </w:r>
          <w:r>
            <w:instrText xml:space="preserve"> HYPERLINK \l _Toc9524 </w:instrText>
          </w:r>
          <w:r>
            <w:fldChar w:fldCharType="separate"/>
          </w:r>
          <w:r>
            <w:rPr>
              <w:rFonts w:hint="eastAsia" w:ascii="黑体" w:hAnsi="黑体" w:eastAsia="黑体"/>
            </w:rPr>
            <w:t>九、 国有资本经营预算支出决算情况说明</w:t>
          </w:r>
          <w:r>
            <w:tab/>
          </w:r>
          <w:r>
            <w:fldChar w:fldCharType="begin"/>
          </w:r>
          <w:r>
            <w:instrText xml:space="preserve"> PAGEREF _Toc9524 \h </w:instrText>
          </w:r>
          <w:r>
            <w:fldChar w:fldCharType="separate"/>
          </w:r>
          <w:r>
            <w:t>12</w:t>
          </w:r>
          <w:r>
            <w:fldChar w:fldCharType="end"/>
          </w:r>
          <w:r>
            <w:fldChar w:fldCharType="end"/>
          </w:r>
        </w:p>
        <w:p>
          <w:pPr>
            <w:pStyle w:val="53"/>
            <w:tabs>
              <w:tab w:val="right" w:leader="dot" w:pos="8306"/>
            </w:tabs>
          </w:pPr>
          <w:r>
            <w:fldChar w:fldCharType="begin"/>
          </w:r>
          <w:r>
            <w:instrText xml:space="preserve"> HYPERLINK \l _Toc9239 </w:instrText>
          </w:r>
          <w:r>
            <w:fldChar w:fldCharType="separate"/>
          </w:r>
          <w:r>
            <w:rPr>
              <w:rFonts w:hint="eastAsia" w:ascii="黑体" w:hAnsi="黑体" w:eastAsia="黑体"/>
            </w:rPr>
            <w:t>十、 其他重要事项的情况说明</w:t>
          </w:r>
          <w:r>
            <w:tab/>
          </w:r>
          <w:r>
            <w:fldChar w:fldCharType="begin"/>
          </w:r>
          <w:r>
            <w:instrText xml:space="preserve"> PAGEREF _Toc9239 \h </w:instrText>
          </w:r>
          <w:r>
            <w:fldChar w:fldCharType="separate"/>
          </w:r>
          <w:r>
            <w:t>12</w:t>
          </w:r>
          <w:r>
            <w:fldChar w:fldCharType="end"/>
          </w:r>
          <w:r>
            <w:fldChar w:fldCharType="end"/>
          </w:r>
        </w:p>
        <w:p>
          <w:pPr>
            <w:pStyle w:val="52"/>
            <w:tabs>
              <w:tab w:val="right" w:leader="dot" w:pos="8306"/>
            </w:tabs>
            <w:rPr>
              <w:b/>
            </w:rPr>
          </w:pPr>
          <w:r>
            <w:rPr>
              <w:b/>
            </w:rPr>
            <w:fldChar w:fldCharType="begin"/>
          </w:r>
          <w:r>
            <w:rPr>
              <w:b/>
            </w:rPr>
            <w:instrText xml:space="preserve"> HYPERLINK \l _Toc18889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_Toc18889 \h </w:instrText>
          </w:r>
          <w:r>
            <w:rPr>
              <w:b/>
            </w:rPr>
            <w:fldChar w:fldCharType="separate"/>
          </w:r>
          <w:r>
            <w:rPr>
              <w:b/>
            </w:rPr>
            <w:t>14</w:t>
          </w:r>
          <w:r>
            <w:rPr>
              <w:b/>
            </w:rPr>
            <w:fldChar w:fldCharType="end"/>
          </w:r>
          <w:r>
            <w:rPr>
              <w:b/>
            </w:rPr>
            <w:fldChar w:fldCharType="end"/>
          </w:r>
        </w:p>
        <w:p>
          <w:pPr>
            <w:pStyle w:val="52"/>
            <w:tabs>
              <w:tab w:val="right" w:leader="dot" w:pos="8306"/>
            </w:tabs>
            <w:rPr>
              <w:b/>
            </w:rPr>
          </w:pPr>
          <w:r>
            <w:rPr>
              <w:b/>
            </w:rPr>
            <w:fldChar w:fldCharType="begin"/>
          </w:r>
          <w:r>
            <w:rPr>
              <w:b/>
            </w:rPr>
            <w:instrText xml:space="preserve"> HYPERLINK \l _Toc25056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_Toc25056 \h </w:instrText>
          </w:r>
          <w:r>
            <w:rPr>
              <w:b/>
            </w:rPr>
            <w:fldChar w:fldCharType="separate"/>
          </w:r>
          <w:r>
            <w:rPr>
              <w:b/>
            </w:rPr>
            <w:t>17</w:t>
          </w:r>
          <w:r>
            <w:rPr>
              <w:b/>
            </w:rPr>
            <w:fldChar w:fldCharType="end"/>
          </w:r>
          <w:r>
            <w:rPr>
              <w:b/>
            </w:rPr>
            <w:fldChar w:fldCharType="end"/>
          </w:r>
        </w:p>
        <w:p>
          <w:pPr>
            <w:pStyle w:val="53"/>
            <w:tabs>
              <w:tab w:val="right" w:leader="dot" w:pos="8306"/>
            </w:tabs>
          </w:pPr>
          <w:r>
            <w:fldChar w:fldCharType="begin"/>
          </w:r>
          <w:r>
            <w:instrText xml:space="preserve"> HYPERLINK \l _Toc9205 </w:instrText>
          </w:r>
          <w:r>
            <w:fldChar w:fldCharType="separate"/>
          </w:r>
          <w:r>
            <w:rPr>
              <w:rFonts w:hint="eastAsia" w:ascii="黑体" w:hAnsi="黑体" w:eastAsia="黑体" w:cs="黑体"/>
              <w:szCs w:val="32"/>
            </w:rPr>
            <w:t>附件</w:t>
          </w:r>
          <w:r>
            <w:rPr>
              <w:rFonts w:hint="eastAsia" w:ascii="黑体" w:hAnsi="黑体" w:eastAsia="黑体" w:cs="黑体"/>
              <w:szCs w:val="32"/>
              <w:lang w:val="en-US" w:eastAsia="zh-CN"/>
            </w:rPr>
            <w:t>1</w:t>
          </w:r>
          <w:r>
            <w:tab/>
          </w:r>
          <w:r>
            <w:fldChar w:fldCharType="begin"/>
          </w:r>
          <w:r>
            <w:instrText xml:space="preserve"> PAGEREF _Toc9205 \h </w:instrText>
          </w:r>
          <w:r>
            <w:fldChar w:fldCharType="separate"/>
          </w:r>
          <w:r>
            <w:t>17</w:t>
          </w:r>
          <w:r>
            <w:fldChar w:fldCharType="end"/>
          </w:r>
          <w:r>
            <w:fldChar w:fldCharType="end"/>
          </w:r>
        </w:p>
        <w:p>
          <w:pPr>
            <w:pStyle w:val="53"/>
            <w:tabs>
              <w:tab w:val="right" w:leader="dot" w:pos="8306"/>
            </w:tabs>
          </w:pPr>
          <w:r>
            <w:fldChar w:fldCharType="begin"/>
          </w:r>
          <w:r>
            <w:instrText xml:space="preserve"> HYPERLINK \l _Toc1738 </w:instrText>
          </w:r>
          <w:r>
            <w:fldChar w:fldCharType="separate"/>
          </w:r>
          <w:r>
            <w:rPr>
              <w:rFonts w:hint="eastAsia" w:ascii="黑体" w:hAnsi="宋体" w:eastAsia="黑体" w:cs="宋体"/>
              <w:kern w:val="0"/>
              <w:szCs w:val="32"/>
              <w:shd w:val="clear" w:fill="FFFFFF"/>
              <w:lang w:val="zh-CN"/>
            </w:rPr>
            <w:t xml:space="preserve">一、 </w:t>
          </w:r>
          <w:r>
            <w:rPr>
              <w:rFonts w:hint="eastAsia" w:ascii="黑体" w:hAnsi="宋体" w:eastAsia="黑体" w:cs="宋体"/>
              <w:kern w:val="0"/>
              <w:szCs w:val="32"/>
              <w:shd w:val="clear" w:color="auto" w:fill="FFFFFF"/>
              <w:lang w:val="zh-CN"/>
            </w:rPr>
            <w:t>部门（单位）基本情况</w:t>
          </w:r>
          <w:r>
            <w:tab/>
          </w:r>
          <w:r>
            <w:fldChar w:fldCharType="begin"/>
          </w:r>
          <w:r>
            <w:instrText xml:space="preserve"> PAGEREF _Toc1738 \h </w:instrText>
          </w:r>
          <w:r>
            <w:fldChar w:fldCharType="separate"/>
          </w:r>
          <w:r>
            <w:t>17</w:t>
          </w:r>
          <w:r>
            <w:fldChar w:fldCharType="end"/>
          </w:r>
          <w:r>
            <w:fldChar w:fldCharType="end"/>
          </w:r>
        </w:p>
        <w:p>
          <w:pPr>
            <w:pStyle w:val="53"/>
            <w:tabs>
              <w:tab w:val="right" w:leader="dot" w:pos="8306"/>
            </w:tabs>
          </w:pPr>
          <w:r>
            <w:fldChar w:fldCharType="begin"/>
          </w:r>
          <w:r>
            <w:instrText xml:space="preserve"> HYPERLINK \l _Toc3011 </w:instrText>
          </w:r>
          <w:r>
            <w:fldChar w:fldCharType="separate"/>
          </w:r>
          <w:r>
            <w:rPr>
              <w:rFonts w:hint="eastAsia" w:ascii="黑体" w:hAnsi="宋体" w:eastAsia="黑体" w:cs="宋体"/>
              <w:kern w:val="0"/>
              <w:szCs w:val="32"/>
              <w:shd w:val="clear" w:color="auto" w:fill="FFFFFF"/>
            </w:rPr>
            <w:t>二、部门资金收支情况</w:t>
          </w:r>
          <w:r>
            <w:tab/>
          </w:r>
          <w:r>
            <w:fldChar w:fldCharType="begin"/>
          </w:r>
          <w:r>
            <w:instrText xml:space="preserve"> PAGEREF _Toc3011 \h </w:instrText>
          </w:r>
          <w:r>
            <w:fldChar w:fldCharType="separate"/>
          </w:r>
          <w:r>
            <w:t>20</w:t>
          </w:r>
          <w:r>
            <w:fldChar w:fldCharType="end"/>
          </w:r>
          <w:r>
            <w:fldChar w:fldCharType="end"/>
          </w:r>
        </w:p>
        <w:p>
          <w:pPr>
            <w:pStyle w:val="53"/>
            <w:tabs>
              <w:tab w:val="right" w:leader="dot" w:pos="8306"/>
            </w:tabs>
          </w:pPr>
          <w:r>
            <w:fldChar w:fldCharType="begin"/>
          </w:r>
          <w:r>
            <w:instrText xml:space="preserve"> HYPERLINK \l _Toc14941 </w:instrText>
          </w:r>
          <w:r>
            <w:fldChar w:fldCharType="separate"/>
          </w:r>
          <w:r>
            <w:rPr>
              <w:rFonts w:hint="eastAsia" w:ascii="黑体" w:hAnsi="宋体" w:eastAsia="黑体" w:cs="宋体"/>
              <w:kern w:val="0"/>
              <w:szCs w:val="32"/>
              <w:shd w:val="clear" w:color="auto" w:fill="FFFFFF"/>
            </w:rPr>
            <w:t>三、部门整体绩效分析</w:t>
          </w:r>
          <w:r>
            <w:tab/>
          </w:r>
          <w:r>
            <w:fldChar w:fldCharType="begin"/>
          </w:r>
          <w:r>
            <w:instrText xml:space="preserve"> PAGEREF _Toc14941 \h </w:instrText>
          </w:r>
          <w:r>
            <w:fldChar w:fldCharType="separate"/>
          </w:r>
          <w:r>
            <w:t>21</w:t>
          </w:r>
          <w:r>
            <w:fldChar w:fldCharType="end"/>
          </w:r>
          <w:r>
            <w:fldChar w:fldCharType="end"/>
          </w:r>
        </w:p>
        <w:p>
          <w:pPr>
            <w:pStyle w:val="53"/>
            <w:tabs>
              <w:tab w:val="right" w:leader="dot" w:pos="8306"/>
            </w:tabs>
          </w:pPr>
          <w:r>
            <w:fldChar w:fldCharType="begin"/>
          </w:r>
          <w:r>
            <w:instrText xml:space="preserve"> HYPERLINK \l _Toc25645 </w:instrText>
          </w:r>
          <w:r>
            <w:fldChar w:fldCharType="separate"/>
          </w:r>
          <w:r>
            <w:rPr>
              <w:rFonts w:hint="eastAsia" w:ascii="黑体" w:hAnsi="宋体" w:eastAsia="黑体" w:cs="宋体"/>
              <w:kern w:val="0"/>
              <w:szCs w:val="32"/>
              <w:shd w:val="clear" w:color="auto" w:fill="FFFFFF"/>
            </w:rPr>
            <w:t>四、评价结论及建议</w:t>
          </w:r>
          <w:r>
            <w:tab/>
          </w:r>
          <w:r>
            <w:fldChar w:fldCharType="begin"/>
          </w:r>
          <w:r>
            <w:instrText xml:space="preserve"> PAGEREF _Toc25645 \h </w:instrText>
          </w:r>
          <w:r>
            <w:fldChar w:fldCharType="separate"/>
          </w:r>
          <w:r>
            <w:t>23</w:t>
          </w:r>
          <w:r>
            <w:fldChar w:fldCharType="end"/>
          </w:r>
          <w:r>
            <w:fldChar w:fldCharType="end"/>
          </w:r>
        </w:p>
        <w:p>
          <w:pPr>
            <w:pStyle w:val="53"/>
            <w:tabs>
              <w:tab w:val="right" w:leader="dot" w:pos="8306"/>
            </w:tabs>
          </w:pPr>
          <w:r>
            <w:fldChar w:fldCharType="begin"/>
          </w:r>
          <w:r>
            <w:instrText xml:space="preserve"> HYPERLINK \l _Toc6103 </w:instrText>
          </w:r>
          <w:r>
            <w:fldChar w:fldCharType="separate"/>
          </w:r>
          <w:r>
            <w:rPr>
              <w:rFonts w:hint="eastAsia" w:ascii="黑体" w:hAnsi="宋体" w:eastAsia="黑体"/>
              <w:szCs w:val="32"/>
              <w:lang w:eastAsia="zh-CN"/>
            </w:rPr>
            <w:t>附件</w:t>
          </w:r>
          <w:r>
            <w:rPr>
              <w:rFonts w:hint="eastAsia" w:ascii="黑体" w:hAnsi="宋体" w:eastAsia="黑体"/>
              <w:szCs w:val="32"/>
              <w:lang w:val="en-US" w:eastAsia="zh-CN"/>
            </w:rPr>
            <w:t>2</w:t>
          </w:r>
          <w:r>
            <w:tab/>
          </w:r>
          <w:r>
            <w:fldChar w:fldCharType="begin"/>
          </w:r>
          <w:r>
            <w:instrText xml:space="preserve"> PAGEREF _Toc6103 \h </w:instrText>
          </w:r>
          <w:r>
            <w:fldChar w:fldCharType="separate"/>
          </w:r>
          <w:r>
            <w:t>25</w:t>
          </w:r>
          <w:r>
            <w:fldChar w:fldCharType="end"/>
          </w:r>
          <w:r>
            <w:fldChar w:fldCharType="end"/>
          </w:r>
        </w:p>
        <w:p>
          <w:pPr>
            <w:pStyle w:val="53"/>
            <w:tabs>
              <w:tab w:val="right" w:leader="dot" w:pos="8306"/>
            </w:tabs>
          </w:pPr>
          <w:r>
            <w:fldChar w:fldCharType="begin"/>
          </w:r>
          <w:r>
            <w:instrText xml:space="preserve"> HYPERLINK \l _Toc6103 </w:instrText>
          </w:r>
          <w:r>
            <w:fldChar w:fldCharType="separate"/>
          </w:r>
          <w:r>
            <w:rPr>
              <w:rFonts w:hint="eastAsia" w:ascii="黑体" w:hAnsi="宋体" w:eastAsia="黑体"/>
              <w:szCs w:val="32"/>
            </w:rPr>
            <w:t>一、</w:t>
          </w:r>
          <w:r>
            <w:rPr>
              <w:rFonts w:hint="eastAsia" w:ascii="黑体" w:hAnsi="宋体" w:eastAsia="黑体"/>
              <w:szCs w:val="32"/>
              <w:lang w:val="zh-CN"/>
            </w:rPr>
            <w:t>项目概况</w:t>
          </w:r>
          <w:r>
            <w:tab/>
          </w:r>
          <w:r>
            <w:fldChar w:fldCharType="begin"/>
          </w:r>
          <w:r>
            <w:instrText xml:space="preserve"> PAGEREF _Toc6103 \h </w:instrText>
          </w:r>
          <w:r>
            <w:fldChar w:fldCharType="separate"/>
          </w:r>
          <w:r>
            <w:t>25</w:t>
          </w:r>
          <w:r>
            <w:fldChar w:fldCharType="end"/>
          </w:r>
          <w:r>
            <w:fldChar w:fldCharType="end"/>
          </w:r>
        </w:p>
        <w:p>
          <w:pPr>
            <w:pStyle w:val="53"/>
            <w:tabs>
              <w:tab w:val="right" w:leader="dot" w:pos="8306"/>
            </w:tabs>
          </w:pPr>
          <w:r>
            <w:fldChar w:fldCharType="begin"/>
          </w:r>
          <w:r>
            <w:instrText xml:space="preserve"> HYPERLINK \l _Toc32092 </w:instrText>
          </w:r>
          <w:r>
            <w:fldChar w:fldCharType="separate"/>
          </w:r>
          <w:r>
            <w:rPr>
              <w:rFonts w:hint="eastAsia" w:ascii="黑体" w:hAnsi="宋体" w:eastAsia="黑体"/>
              <w:szCs w:val="32"/>
            </w:rPr>
            <w:t>二、项目资金申报及使用情况</w:t>
          </w:r>
          <w:r>
            <w:tab/>
          </w:r>
          <w:r>
            <w:fldChar w:fldCharType="begin"/>
          </w:r>
          <w:r>
            <w:instrText xml:space="preserve"> PAGEREF _Toc32092 \h </w:instrText>
          </w:r>
          <w:r>
            <w:fldChar w:fldCharType="separate"/>
          </w:r>
          <w:r>
            <w:t>26</w:t>
          </w:r>
          <w:r>
            <w:fldChar w:fldCharType="end"/>
          </w:r>
          <w:r>
            <w:fldChar w:fldCharType="end"/>
          </w:r>
        </w:p>
        <w:p>
          <w:pPr>
            <w:pStyle w:val="53"/>
            <w:tabs>
              <w:tab w:val="right" w:leader="dot" w:pos="8306"/>
            </w:tabs>
          </w:pPr>
          <w:r>
            <w:fldChar w:fldCharType="begin"/>
          </w:r>
          <w:r>
            <w:instrText xml:space="preserve"> HYPERLINK \l _Toc14527 </w:instrText>
          </w:r>
          <w:r>
            <w:fldChar w:fldCharType="separate"/>
          </w:r>
          <w:r>
            <w:rPr>
              <w:rFonts w:hint="eastAsia" w:ascii="黑体" w:hAnsi="宋体" w:eastAsia="黑体"/>
              <w:szCs w:val="32"/>
            </w:rPr>
            <w:t>三、项目实施及管理情况</w:t>
          </w:r>
          <w:r>
            <w:tab/>
          </w:r>
          <w:r>
            <w:fldChar w:fldCharType="begin"/>
          </w:r>
          <w:r>
            <w:instrText xml:space="preserve"> PAGEREF _Toc14527 \h </w:instrText>
          </w:r>
          <w:r>
            <w:fldChar w:fldCharType="separate"/>
          </w:r>
          <w:r>
            <w:t>27</w:t>
          </w:r>
          <w:r>
            <w:fldChar w:fldCharType="end"/>
          </w:r>
          <w:r>
            <w:fldChar w:fldCharType="end"/>
          </w:r>
        </w:p>
        <w:p>
          <w:pPr>
            <w:pStyle w:val="53"/>
            <w:tabs>
              <w:tab w:val="right" w:leader="dot" w:pos="8306"/>
            </w:tabs>
          </w:pPr>
          <w:r>
            <w:fldChar w:fldCharType="begin"/>
          </w:r>
          <w:r>
            <w:instrText xml:space="preserve"> HYPERLINK \l _Toc27447 </w:instrText>
          </w:r>
          <w:r>
            <w:fldChar w:fldCharType="separate"/>
          </w:r>
          <w:r>
            <w:rPr>
              <w:rFonts w:hint="eastAsia" w:ascii="黑体" w:hAnsi="宋体" w:eastAsia="黑体"/>
              <w:szCs w:val="32"/>
            </w:rPr>
            <w:t>四、项目绩效情况</w:t>
          </w:r>
          <w:r>
            <w:tab/>
          </w:r>
          <w:r>
            <w:fldChar w:fldCharType="begin"/>
          </w:r>
          <w:r>
            <w:instrText xml:space="preserve"> PAGEREF _Toc27447 \h </w:instrText>
          </w:r>
          <w:r>
            <w:fldChar w:fldCharType="separate"/>
          </w:r>
          <w:r>
            <w:t>28</w:t>
          </w:r>
          <w:r>
            <w:fldChar w:fldCharType="end"/>
          </w:r>
          <w:r>
            <w:fldChar w:fldCharType="end"/>
          </w:r>
        </w:p>
        <w:p>
          <w:pPr>
            <w:pStyle w:val="53"/>
            <w:tabs>
              <w:tab w:val="right" w:leader="dot" w:pos="8306"/>
            </w:tabs>
          </w:pPr>
          <w:r>
            <w:fldChar w:fldCharType="begin"/>
          </w:r>
          <w:r>
            <w:instrText xml:space="preserve"> HYPERLINK \l _Toc27799 </w:instrText>
          </w:r>
          <w:r>
            <w:fldChar w:fldCharType="separate"/>
          </w:r>
          <w:r>
            <w:rPr>
              <w:rFonts w:hint="eastAsia" w:ascii="黑体" w:hAnsi="宋体" w:eastAsia="黑体"/>
              <w:szCs w:val="32"/>
            </w:rPr>
            <w:t>五、评价结论及建议</w:t>
          </w:r>
          <w:r>
            <w:tab/>
          </w:r>
          <w:r>
            <w:fldChar w:fldCharType="begin"/>
          </w:r>
          <w:r>
            <w:instrText xml:space="preserve"> PAGEREF _Toc27799 \h </w:instrText>
          </w:r>
          <w:r>
            <w:fldChar w:fldCharType="separate"/>
          </w:r>
          <w:r>
            <w:t>29</w:t>
          </w:r>
          <w:r>
            <w:fldChar w:fldCharType="end"/>
          </w:r>
          <w:r>
            <w:fldChar w:fldCharType="end"/>
          </w:r>
        </w:p>
        <w:p>
          <w:pPr>
            <w:pStyle w:val="52"/>
            <w:tabs>
              <w:tab w:val="right" w:leader="dot" w:pos="8306"/>
            </w:tabs>
            <w:rPr>
              <w:b/>
            </w:rPr>
          </w:pPr>
          <w:r>
            <w:rPr>
              <w:b/>
            </w:rPr>
            <w:fldChar w:fldCharType="begin"/>
          </w:r>
          <w:r>
            <w:rPr>
              <w:b/>
            </w:rPr>
            <w:instrText xml:space="preserve"> HYPERLINK \l _Toc2569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_Toc2569 \h </w:instrText>
          </w:r>
          <w:r>
            <w:rPr>
              <w:b/>
            </w:rPr>
            <w:fldChar w:fldCharType="separate"/>
          </w:r>
          <w:r>
            <w:rPr>
              <w:b/>
            </w:rPr>
            <w:t>30</w:t>
          </w:r>
          <w:r>
            <w:rPr>
              <w:b/>
            </w:rPr>
            <w:fldChar w:fldCharType="end"/>
          </w:r>
          <w:r>
            <w:rPr>
              <w:b/>
            </w:rPr>
            <w:fldChar w:fldCharType="end"/>
          </w:r>
        </w:p>
        <w:p>
          <w:pPr>
            <w:pStyle w:val="53"/>
            <w:tabs>
              <w:tab w:val="right" w:leader="dot" w:pos="8306"/>
            </w:tabs>
          </w:pPr>
          <w:r>
            <w:fldChar w:fldCharType="begin"/>
          </w:r>
          <w:r>
            <w:instrText xml:space="preserve"> HYPERLINK \l _Toc18735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_Toc18735 \h </w:instrText>
          </w:r>
          <w:r>
            <w:fldChar w:fldCharType="separate"/>
          </w:r>
          <w:r>
            <w:t>30</w:t>
          </w:r>
          <w:r>
            <w:fldChar w:fldCharType="end"/>
          </w:r>
          <w:r>
            <w:fldChar w:fldCharType="end"/>
          </w:r>
        </w:p>
        <w:p>
          <w:pPr>
            <w:pStyle w:val="53"/>
            <w:tabs>
              <w:tab w:val="right" w:leader="dot" w:pos="8306"/>
            </w:tabs>
          </w:pPr>
          <w:r>
            <w:fldChar w:fldCharType="begin"/>
          </w:r>
          <w:r>
            <w:instrText xml:space="preserve"> HYPERLINK \l _Toc4281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_Toc4281 \h </w:instrText>
          </w:r>
          <w:r>
            <w:fldChar w:fldCharType="separate"/>
          </w:r>
          <w:r>
            <w:t>30</w:t>
          </w:r>
          <w:r>
            <w:fldChar w:fldCharType="end"/>
          </w:r>
          <w:r>
            <w:fldChar w:fldCharType="end"/>
          </w:r>
        </w:p>
        <w:p>
          <w:pPr>
            <w:pStyle w:val="53"/>
            <w:tabs>
              <w:tab w:val="right" w:leader="dot" w:pos="8306"/>
            </w:tabs>
          </w:pPr>
          <w:r>
            <w:fldChar w:fldCharType="begin"/>
          </w:r>
          <w:r>
            <w:instrText xml:space="preserve"> HYPERLINK \l _Toc2264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_Toc2264 \h </w:instrText>
          </w:r>
          <w:r>
            <w:fldChar w:fldCharType="separate"/>
          </w:r>
          <w:r>
            <w:t>30</w:t>
          </w:r>
          <w:r>
            <w:fldChar w:fldCharType="end"/>
          </w:r>
          <w:r>
            <w:fldChar w:fldCharType="end"/>
          </w:r>
        </w:p>
        <w:p>
          <w:pPr>
            <w:pStyle w:val="53"/>
            <w:tabs>
              <w:tab w:val="right" w:leader="dot" w:pos="8306"/>
            </w:tabs>
          </w:pPr>
          <w:r>
            <w:fldChar w:fldCharType="begin"/>
          </w:r>
          <w:r>
            <w:instrText xml:space="preserve"> HYPERLINK \l _Toc23350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_Toc23350 \h </w:instrText>
          </w:r>
          <w:r>
            <w:fldChar w:fldCharType="separate"/>
          </w:r>
          <w:r>
            <w:t>30</w:t>
          </w:r>
          <w:r>
            <w:fldChar w:fldCharType="end"/>
          </w:r>
          <w:r>
            <w:fldChar w:fldCharType="end"/>
          </w:r>
        </w:p>
        <w:p>
          <w:pPr>
            <w:pStyle w:val="53"/>
            <w:tabs>
              <w:tab w:val="right" w:leader="dot" w:pos="8306"/>
            </w:tabs>
          </w:pPr>
          <w:r>
            <w:fldChar w:fldCharType="begin"/>
          </w:r>
          <w:r>
            <w:instrText xml:space="preserve"> HYPERLINK \l _Toc32545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_Toc32545 \h </w:instrText>
          </w:r>
          <w:r>
            <w:fldChar w:fldCharType="separate"/>
          </w:r>
          <w:r>
            <w:t>30</w:t>
          </w:r>
          <w:r>
            <w:fldChar w:fldCharType="end"/>
          </w:r>
          <w:r>
            <w:fldChar w:fldCharType="end"/>
          </w:r>
        </w:p>
        <w:p>
          <w:pPr>
            <w:pStyle w:val="53"/>
            <w:tabs>
              <w:tab w:val="right" w:leader="dot" w:pos="8306"/>
            </w:tabs>
          </w:pPr>
          <w:r>
            <w:fldChar w:fldCharType="begin"/>
          </w:r>
          <w:r>
            <w:instrText xml:space="preserve"> HYPERLINK \l _Toc8385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_Toc8385 \h </w:instrText>
          </w:r>
          <w:r>
            <w:fldChar w:fldCharType="separate"/>
          </w:r>
          <w:r>
            <w:t>30</w:t>
          </w:r>
          <w:r>
            <w:fldChar w:fldCharType="end"/>
          </w:r>
          <w:r>
            <w:fldChar w:fldCharType="end"/>
          </w:r>
        </w:p>
        <w:p>
          <w:pPr>
            <w:pStyle w:val="53"/>
            <w:tabs>
              <w:tab w:val="right" w:leader="dot" w:pos="8306"/>
            </w:tabs>
          </w:pPr>
          <w:r>
            <w:fldChar w:fldCharType="begin"/>
          </w:r>
          <w:r>
            <w:instrText xml:space="preserve"> HYPERLINK \l _Toc14445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_Toc14445 \h </w:instrText>
          </w:r>
          <w:r>
            <w:fldChar w:fldCharType="separate"/>
          </w:r>
          <w:r>
            <w:t>30</w:t>
          </w:r>
          <w:r>
            <w:fldChar w:fldCharType="end"/>
          </w:r>
          <w:r>
            <w:fldChar w:fldCharType="end"/>
          </w:r>
        </w:p>
        <w:p>
          <w:pPr>
            <w:pStyle w:val="53"/>
            <w:tabs>
              <w:tab w:val="right" w:leader="dot" w:pos="8306"/>
            </w:tabs>
          </w:pPr>
          <w:r>
            <w:fldChar w:fldCharType="begin"/>
          </w:r>
          <w:r>
            <w:instrText xml:space="preserve"> HYPERLINK \l _Toc19893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_Toc19893 \h </w:instrText>
          </w:r>
          <w:r>
            <w:fldChar w:fldCharType="separate"/>
          </w:r>
          <w:r>
            <w:t>30</w:t>
          </w:r>
          <w:r>
            <w:fldChar w:fldCharType="end"/>
          </w:r>
          <w:r>
            <w:fldChar w:fldCharType="end"/>
          </w:r>
        </w:p>
        <w:p>
          <w:pPr>
            <w:pStyle w:val="53"/>
            <w:tabs>
              <w:tab w:val="right" w:leader="dot" w:pos="8306"/>
            </w:tabs>
          </w:pPr>
          <w:r>
            <w:fldChar w:fldCharType="begin"/>
          </w:r>
          <w:r>
            <w:instrText xml:space="preserve"> HYPERLINK \l _Toc17190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_Toc17190 \h </w:instrText>
          </w:r>
          <w:r>
            <w:fldChar w:fldCharType="separate"/>
          </w:r>
          <w:r>
            <w:t>30</w:t>
          </w:r>
          <w:r>
            <w:fldChar w:fldCharType="end"/>
          </w:r>
          <w:r>
            <w:fldChar w:fldCharType="end"/>
          </w:r>
        </w:p>
        <w:p>
          <w:pPr>
            <w:pStyle w:val="53"/>
            <w:tabs>
              <w:tab w:val="right" w:leader="dot" w:pos="8306"/>
            </w:tabs>
          </w:pPr>
          <w:r>
            <w:fldChar w:fldCharType="begin"/>
          </w:r>
          <w:r>
            <w:instrText xml:space="preserve"> HYPERLINK \l _Toc9318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_Toc9318 \h </w:instrText>
          </w:r>
          <w:r>
            <w:fldChar w:fldCharType="separate"/>
          </w:r>
          <w:r>
            <w:t>30</w:t>
          </w:r>
          <w:r>
            <w:fldChar w:fldCharType="end"/>
          </w:r>
          <w:r>
            <w:fldChar w:fldCharType="end"/>
          </w:r>
        </w:p>
        <w:p>
          <w:pPr>
            <w:pStyle w:val="53"/>
            <w:tabs>
              <w:tab w:val="right" w:leader="dot" w:pos="8306"/>
            </w:tabs>
          </w:pPr>
          <w:r>
            <w:fldChar w:fldCharType="begin"/>
          </w:r>
          <w:r>
            <w:instrText xml:space="preserve"> HYPERLINK \l _Toc22429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_Toc22429 \h </w:instrText>
          </w:r>
          <w:r>
            <w:fldChar w:fldCharType="separate"/>
          </w:r>
          <w:r>
            <w:t>30</w:t>
          </w:r>
          <w:r>
            <w:fldChar w:fldCharType="end"/>
          </w:r>
          <w:r>
            <w:fldChar w:fldCharType="end"/>
          </w:r>
        </w:p>
        <w:p>
          <w:pPr>
            <w:pStyle w:val="53"/>
            <w:tabs>
              <w:tab w:val="right" w:leader="dot" w:pos="8306"/>
            </w:tabs>
          </w:pPr>
          <w:r>
            <w:fldChar w:fldCharType="begin"/>
          </w:r>
          <w:r>
            <w:instrText xml:space="preserve"> HYPERLINK \l _Toc9733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_Toc9733 \h </w:instrText>
          </w:r>
          <w:r>
            <w:fldChar w:fldCharType="separate"/>
          </w:r>
          <w:r>
            <w:t>30</w:t>
          </w:r>
          <w:r>
            <w:fldChar w:fldCharType="end"/>
          </w:r>
          <w:r>
            <w:fldChar w:fldCharType="end"/>
          </w:r>
        </w:p>
        <w:p>
          <w:pPr>
            <w:pStyle w:val="53"/>
            <w:tabs>
              <w:tab w:val="right" w:leader="dot" w:pos="8306"/>
            </w:tabs>
          </w:pPr>
          <w:r>
            <w:fldChar w:fldCharType="begin"/>
          </w:r>
          <w:r>
            <w:instrText xml:space="preserve"> HYPERLINK \l _Toc31702 </w:instrText>
          </w:r>
          <w:r>
            <w:fldChar w:fldCharType="separate"/>
          </w:r>
          <w:r>
            <w:rPr>
              <w:rFonts w:hint="eastAsia" w:ascii="仿宋" w:hAnsi="仿宋" w:eastAsia="仿宋"/>
              <w:bCs w:val="0"/>
            </w:rPr>
            <w:t>十三、财政拨款“三公”经费支出决算表</w:t>
          </w:r>
          <w:r>
            <w:tab/>
          </w:r>
          <w:r>
            <w:fldChar w:fldCharType="begin"/>
          </w:r>
          <w:r>
            <w:instrText xml:space="preserve"> PAGEREF _Toc31702 \h </w:instrText>
          </w:r>
          <w:r>
            <w:fldChar w:fldCharType="separate"/>
          </w:r>
          <w:r>
            <w:t>30</w:t>
          </w:r>
          <w:r>
            <w:fldChar w:fldCharType="end"/>
          </w:r>
          <w:r>
            <w:fldChar w:fldCharType="end"/>
          </w:r>
        </w:p>
        <w:p>
          <w:r>
            <w:rPr>
              <w:b/>
            </w:rPr>
            <w:fldChar w:fldCharType="end"/>
          </w:r>
        </w:p>
      </w:sdtContent>
    </w:sdt>
    <w:p>
      <w:pPr>
        <w:widowControl/>
        <w:spacing w:line="440" w:lineRule="exact"/>
        <w:jc w:val="left"/>
        <w:outlineLvl w:val="9"/>
        <w:rPr>
          <w:rFonts w:ascii="仿宋" w:hAnsi="仿宋" w:eastAsia="仿宋"/>
          <w:bCs/>
          <w:kern w:val="44"/>
          <w:sz w:val="24"/>
        </w:rPr>
      </w:pPr>
      <w:r>
        <w:rPr>
          <w:rFonts w:ascii="仿宋" w:hAnsi="仿宋" w:eastAsia="仿宋"/>
          <w:b/>
          <w:sz w:val="24"/>
        </w:rPr>
        <w:br w:type="page"/>
      </w:r>
    </w:p>
    <w:p>
      <w:pPr>
        <w:pStyle w:val="2"/>
        <w:jc w:val="center"/>
        <w:rPr>
          <w:rStyle w:val="30"/>
          <w:rFonts w:ascii="黑体" w:hAnsi="黑体" w:eastAsia="黑体"/>
          <w:b/>
          <w:bCs w:val="0"/>
        </w:rPr>
      </w:pPr>
      <w:bookmarkStart w:id="17" w:name="_Toc24739"/>
      <w:r>
        <w:rPr>
          <w:rFonts w:hint="eastAsia" w:ascii="黑体" w:hAnsi="黑体" w:eastAsia="黑体"/>
          <w:b w:val="0"/>
        </w:rPr>
        <w:t xml:space="preserve">第一部分 </w:t>
      </w:r>
      <w:r>
        <w:rPr>
          <w:rStyle w:val="30"/>
          <w:rFonts w:hint="eastAsia" w:ascii="黑体" w:hAnsi="黑体" w:eastAsia="黑体"/>
          <w:b w:val="0"/>
          <w:bCs w:val="0"/>
        </w:rPr>
        <w:t>部门概况</w:t>
      </w:r>
      <w:bookmarkEnd w:id="15"/>
      <w:bookmarkEnd w:id="16"/>
      <w:bookmarkEnd w:id="17"/>
    </w:p>
    <w:p>
      <w:pPr>
        <w:pStyle w:val="3"/>
        <w:ind w:firstLine="640" w:firstLineChars="200"/>
        <w:rPr>
          <w:rFonts w:ascii="黑体" w:hAnsi="黑体" w:eastAsia="黑体"/>
          <w:b w:val="0"/>
        </w:rPr>
      </w:pPr>
      <w:bookmarkStart w:id="18" w:name="_Toc20096"/>
      <w:r>
        <w:rPr>
          <w:rFonts w:hint="eastAsia" w:ascii="黑体" w:hAnsi="黑体" w:eastAsia="黑体"/>
          <w:b w:val="0"/>
        </w:rPr>
        <w:t>一、部门职责</w:t>
      </w:r>
      <w:bookmarkEnd w:id="18"/>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1.贯彻执行中央、省、市行政管理体制改革和机构改革、事业单位改革及机构编制管理的方针政策和法律法规，制定相关政策并监督实施。</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2.研究拟订全区行政管理体制改革和机构改革方案，审核区级各部门“三定”规定以及乡（镇）机构改革方案，评估改革效果。参与行政审批制度改革和行政区划调整的有关工作。</w:t>
      </w:r>
    </w:p>
    <w:p>
      <w:pPr>
        <w:spacing w:line="600" w:lineRule="exact"/>
        <w:ind w:firstLine="640" w:firstLineChars="200"/>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3.拟订全区各级行政编制、政法专项编制总额分配方案。负责全区行政事业编制总量控制和机关事业单位机构编制实名制管理工作，建立健全机构编制管理联动机制，会同有关部门严格控制财政供养人员。对全区机关事业单位使用空缺编制补充人员进行核批。</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4.负责区委、区政府各部门，区人大、区政协机关，区法院、区检察院机关，工商联和群团机关以及其他行政机构的机构编制管理工作。</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5.拟订全区事业单位改革方案及相关配套政策，审核区属事业单位机构编制方案，评估改革效果。负责区属事业单位的机构编制管理工作。负责拟参照公务员法管理事业单位机构编制事项的审核工作。</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6.监督检查全区各级行政管理体制改革和机构改革方案及机构编制规定执行情况，建立机构编制工作考核评估制度，会同有关部门查处机构编制违法违纪行为。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7.负责行政管理体制、机构改革及机构编制的理论研究和信息传递、交流工作，负责机构编制的统计工作。</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8.负责市委机构编制委员会及其办公室下达有关部门专项编制的分配和管理工作。</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9.监督检查全区事业单位登记管理工作。</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10.承办区委、区政府和区委编委交办的其他工作。</w:t>
      </w:r>
    </w:p>
    <w:p>
      <w:pPr>
        <w:pStyle w:val="3"/>
        <w:rPr>
          <w:rStyle w:val="31"/>
          <w:b w:val="0"/>
          <w:bCs w:val="0"/>
        </w:rPr>
      </w:pPr>
      <w:bookmarkStart w:id="19" w:name="_Toc10527"/>
      <w:bookmarkStart w:id="20" w:name="_Toc15377200"/>
      <w:bookmarkStart w:id="21" w:name="_Toc15396601"/>
      <w:r>
        <w:rPr>
          <w:rFonts w:hint="eastAsia" w:ascii="黑体" w:eastAsia="黑体"/>
          <w:b w:val="0"/>
        </w:rPr>
        <w:t>二、</w:t>
      </w:r>
      <w:r>
        <w:rPr>
          <w:rFonts w:hint="eastAsia" w:ascii="黑体" w:hAnsi="黑体" w:eastAsia="黑体"/>
          <w:b w:val="0"/>
        </w:rPr>
        <w:t>机</w:t>
      </w:r>
      <w:r>
        <w:rPr>
          <w:rStyle w:val="31"/>
          <w:rFonts w:hint="eastAsia" w:ascii="黑体" w:hAnsi="黑体" w:eastAsia="黑体"/>
          <w:b w:val="0"/>
          <w:bCs w:val="0"/>
        </w:rPr>
        <w:t>构设置</w:t>
      </w:r>
      <w:bookmarkEnd w:id="19"/>
      <w:bookmarkEnd w:id="20"/>
      <w:bookmarkEnd w:id="21"/>
    </w:p>
    <w:p>
      <w:pPr>
        <w:spacing w:line="600" w:lineRule="exact"/>
        <w:ind w:firstLine="640" w:firstLineChars="200"/>
        <w:rPr>
          <w:rFonts w:hint="eastAsia" w:ascii="Times New Roman" w:hAnsi="Times New Roman" w:eastAsia="仿宋_GB2312" w:cs="Times New Roman"/>
          <w:sz w:val="32"/>
          <w:szCs w:val="32"/>
        </w:rPr>
      </w:pPr>
      <w:r>
        <w:rPr>
          <w:rFonts w:hint="default" w:ascii="Times New Roman" w:hAnsi="Times New Roman" w:eastAsia="仿宋_GB2312" w:cs="Times New Roman"/>
          <w:sz w:val="32"/>
          <w:szCs w:val="32"/>
        </w:rPr>
        <w:t>中共攀枝花市西区区委机构编制委员会办公室下属二级</w:t>
      </w:r>
      <w:r>
        <w:rPr>
          <w:rFonts w:hint="eastAsia" w:ascii="Times New Roman" w:hAnsi="Times New Roman" w:eastAsia="仿宋_GB2312" w:cs="Times New Roman"/>
          <w:sz w:val="32"/>
          <w:szCs w:val="32"/>
        </w:rPr>
        <w:t>预算</w:t>
      </w:r>
      <w:r>
        <w:rPr>
          <w:rFonts w:hint="default" w:ascii="Times New Roman" w:hAnsi="Times New Roman" w:eastAsia="仿宋_GB2312" w:cs="Times New Roman"/>
          <w:sz w:val="32"/>
          <w:szCs w:val="32"/>
        </w:rPr>
        <w:t>单位</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w:t>
      </w:r>
      <w:r>
        <w:rPr>
          <w:rFonts w:hint="eastAsia" w:ascii="Times New Roman" w:hAnsi="Times New Roman" w:eastAsia="仿宋_GB2312" w:cs="Times New Roman"/>
          <w:sz w:val="32"/>
          <w:szCs w:val="32"/>
        </w:rPr>
        <w:t>其中参照公务员法管理的事业单位</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个。</w:t>
      </w:r>
    </w:p>
    <w:p>
      <w:pPr>
        <w:spacing w:line="60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纳入中共四川省攀枝花市西区区委机构编制委员会办公室202</w:t>
      </w:r>
      <w:r>
        <w:rPr>
          <w:rFonts w:hint="eastAsia" w:ascii="Times New Roman" w:hAnsi="Times New Roman" w:eastAsia="仿宋_GB2312" w:cs="Times New Roman"/>
          <w:sz w:val="32"/>
          <w:szCs w:val="32"/>
        </w:rPr>
        <w:t>2</w:t>
      </w:r>
      <w:r>
        <w:rPr>
          <w:rFonts w:hint="default" w:ascii="Times New Roman" w:hAnsi="Times New Roman" w:eastAsia="仿宋_GB2312" w:cs="Times New Roman"/>
          <w:sz w:val="32"/>
          <w:szCs w:val="32"/>
        </w:rPr>
        <w:t>年度部门决算编制范围的二级预算单位包括：攀枝花市西区事业单位登记服务中心</w:t>
      </w:r>
      <w:r>
        <w:rPr>
          <w:rFonts w:hint="eastAsia" w:ascii="Times New Roman" w:hAnsi="Times New Roman" w:eastAsia="仿宋_GB2312" w:cs="Times New Roman"/>
          <w:sz w:val="32"/>
          <w:szCs w:val="32"/>
          <w:lang w:eastAsia="zh-CN"/>
        </w:rPr>
        <w:t>。</w:t>
      </w:r>
    </w:p>
    <w:p>
      <w:pPr>
        <w:pStyle w:val="5"/>
        <w:spacing w:before="93"/>
        <w:rPr>
          <w:rFonts w:hint="eastAsia"/>
        </w:rPr>
      </w:pPr>
    </w:p>
    <w:p>
      <w:pPr>
        <w:pStyle w:val="5"/>
        <w:spacing w:before="93"/>
        <w:rPr>
          <w:rFonts w:hint="eastAsia"/>
        </w:rPr>
      </w:pPr>
    </w:p>
    <w:p>
      <w:pPr>
        <w:pStyle w:val="5"/>
        <w:spacing w:before="93"/>
        <w:rPr>
          <w:rFonts w:hint="eastAsia"/>
        </w:rPr>
      </w:pPr>
    </w:p>
    <w:p>
      <w:pPr>
        <w:pStyle w:val="5"/>
        <w:spacing w:before="93"/>
        <w:rPr>
          <w:rFonts w:hint="eastAsia"/>
        </w:rPr>
      </w:pPr>
    </w:p>
    <w:p>
      <w:pPr>
        <w:pStyle w:val="2"/>
        <w:ind w:right="440"/>
        <w:jc w:val="center"/>
        <w:rPr>
          <w:rStyle w:val="30"/>
          <w:rFonts w:ascii="黑体" w:hAnsi="黑体" w:eastAsia="黑体"/>
          <w:b w:val="0"/>
          <w:bCs/>
        </w:rPr>
      </w:pPr>
      <w:bookmarkStart w:id="22" w:name="_Toc15396602"/>
      <w:bookmarkStart w:id="23" w:name="_Toc15245"/>
      <w:bookmarkStart w:id="24" w:name="_Toc15377204"/>
      <w:r>
        <w:rPr>
          <w:rFonts w:hint="eastAsia" w:ascii="黑体" w:hAnsi="黑体" w:eastAsia="黑体"/>
          <w:b w:val="0"/>
        </w:rPr>
        <w:t>第二部分 2022年度</w:t>
      </w:r>
      <w:r>
        <w:rPr>
          <w:rStyle w:val="30"/>
          <w:rFonts w:hint="eastAsia" w:ascii="黑体" w:hAnsi="黑体" w:eastAsia="黑体"/>
          <w:b w:val="0"/>
          <w:bCs/>
        </w:rPr>
        <w:t>部门决算情况说明</w:t>
      </w:r>
      <w:bookmarkEnd w:id="22"/>
      <w:bookmarkEnd w:id="23"/>
      <w:bookmarkEnd w:id="24"/>
    </w:p>
    <w:p/>
    <w:p>
      <w:pPr>
        <w:pStyle w:val="29"/>
        <w:numPr>
          <w:ilvl w:val="0"/>
          <w:numId w:val="1"/>
        </w:numPr>
        <w:spacing w:line="600" w:lineRule="exact"/>
        <w:ind w:firstLineChars="0"/>
        <w:outlineLvl w:val="1"/>
        <w:rPr>
          <w:rStyle w:val="31"/>
          <w:rFonts w:ascii="黑体" w:hAnsi="黑体" w:eastAsia="黑体"/>
          <w:b w:val="0"/>
        </w:rPr>
      </w:pPr>
      <w:bookmarkStart w:id="25" w:name="_Toc15377205"/>
      <w:bookmarkStart w:id="26" w:name="_Toc12435"/>
      <w:bookmarkStart w:id="27" w:name="_Toc15396603"/>
      <w:r>
        <w:rPr>
          <w:rFonts w:hint="eastAsia" w:ascii="黑体" w:hAnsi="黑体" w:eastAsia="黑体"/>
          <w:sz w:val="32"/>
          <w:szCs w:val="32"/>
        </w:rPr>
        <w:t>收</w:t>
      </w:r>
      <w:r>
        <w:rPr>
          <w:rStyle w:val="31"/>
          <w:rFonts w:hint="eastAsia" w:ascii="黑体" w:hAnsi="黑体" w:eastAsia="黑体"/>
          <w:b w:val="0"/>
        </w:rPr>
        <w:t>入支出决算总体情况说明</w:t>
      </w:r>
      <w:bookmarkEnd w:id="25"/>
      <w:bookmarkEnd w:id="26"/>
      <w:bookmarkEnd w:id="27"/>
    </w:p>
    <w:p>
      <w:pPr>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2022年度收、支总计128.90万元。与2021年相比，收、支总计各减少13.06万元，下降9.19</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。主要变动原因是人员减少引起人员支出减少。</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5"/>
        <w:spacing w:before="93"/>
        <w:jc w:val="center"/>
      </w:pPr>
      <w:r>
        <w:rPr>
          <w:rFonts w:hint="eastAsia"/>
          <w:sz w:val="32"/>
          <w:szCs w:val="32"/>
        </w:rPr>
        <w:drawing>
          <wp:inline distT="0" distB="0" distL="0" distR="0">
            <wp:extent cx="2897505" cy="1985645"/>
            <wp:effectExtent l="19050" t="0" r="16577" b="0"/>
            <wp:docPr id="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9"/>
        <w:numPr>
          <w:ilvl w:val="0"/>
          <w:numId w:val="1"/>
        </w:numPr>
        <w:spacing w:line="600" w:lineRule="exact"/>
        <w:ind w:firstLineChars="0"/>
        <w:outlineLvl w:val="1"/>
        <w:rPr>
          <w:rStyle w:val="31"/>
          <w:rFonts w:ascii="黑体" w:hAnsi="黑体" w:eastAsia="黑体"/>
          <w:b w:val="0"/>
        </w:rPr>
      </w:pPr>
      <w:bookmarkStart w:id="28" w:name="_Toc15396604"/>
      <w:bookmarkStart w:id="29" w:name="_Toc15377206"/>
      <w:bookmarkStart w:id="30" w:name="_Toc21253"/>
      <w:r>
        <w:rPr>
          <w:rFonts w:hint="eastAsia" w:ascii="黑体" w:hAnsi="黑体" w:eastAsia="黑体"/>
          <w:sz w:val="32"/>
          <w:szCs w:val="32"/>
        </w:rPr>
        <w:t>收</w:t>
      </w:r>
      <w:r>
        <w:rPr>
          <w:rStyle w:val="31"/>
          <w:rFonts w:hint="eastAsia" w:ascii="黑体" w:hAnsi="黑体" w:eastAsia="黑体"/>
          <w:b w:val="0"/>
        </w:rPr>
        <w:t>入决算情况说明</w:t>
      </w:r>
      <w:bookmarkEnd w:id="28"/>
      <w:bookmarkEnd w:id="29"/>
      <w:bookmarkEnd w:id="30"/>
    </w:p>
    <w:p>
      <w:pPr>
        <w:spacing w:line="600" w:lineRule="exact"/>
        <w:ind w:firstLine="640" w:firstLineChars="200"/>
        <w:rPr>
          <w:rFonts w:hint="eastAsia" w:ascii="Times New Roman" w:hAnsi="Times New Roman" w:eastAsia="仿宋_GB2312" w:cs="Times New Roman"/>
          <w:sz w:val="32"/>
          <w:szCs w:val="32"/>
        </w:rPr>
      </w:pPr>
      <w:bookmarkStart w:id="31" w:name="_Toc5076"/>
      <w:r>
        <w:rPr>
          <w:rFonts w:hint="eastAsia" w:ascii="Times New Roman" w:hAnsi="Times New Roman" w:eastAsia="仿宋_GB2312" w:cs="Times New Roman"/>
          <w:sz w:val="32"/>
          <w:szCs w:val="32"/>
        </w:rPr>
        <w:t>2022年本年收入合计128.9万元，其中：一般公共预算财政拨款收入124.75万元，占96.79%；政府性基金预算财政拨款收入4.14万元，占3.21%；国有资本经营预算财政拨款收入0万元，占0%；上级补助收入0万元，占0%；事业收入0万元，占0%；经营收入0万元，占0%；附属单位上缴收入0万元，占0%；其他收入0.01万元，占0%。</w:t>
      </w:r>
      <w:bookmarkEnd w:id="31"/>
    </w:p>
    <w:p>
      <w:pPr>
        <w:spacing w:line="600" w:lineRule="exact"/>
        <w:ind w:firstLine="640"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（图2：收入决算结构图）（饼状图）</w:t>
      </w:r>
    </w:p>
    <w:p>
      <w:pPr>
        <w:pStyle w:val="5"/>
        <w:spacing w:before="93"/>
        <w:jc w:val="center"/>
      </w:pPr>
      <w:r>
        <w:rPr>
          <w:rFonts w:hint="eastAsia"/>
        </w:rPr>
        <w:drawing>
          <wp:inline distT="0" distB="0" distL="0" distR="0">
            <wp:extent cx="4133850" cy="2005965"/>
            <wp:effectExtent l="19050" t="0" r="18434" b="0"/>
            <wp:docPr id="19"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9"/>
        <w:numPr>
          <w:ilvl w:val="0"/>
          <w:numId w:val="1"/>
        </w:numPr>
        <w:spacing w:line="600" w:lineRule="exact"/>
        <w:ind w:firstLineChars="0"/>
        <w:outlineLvl w:val="1"/>
        <w:rPr>
          <w:rStyle w:val="31"/>
          <w:rFonts w:ascii="黑体" w:hAnsi="黑体" w:eastAsia="黑体"/>
          <w:b w:val="0"/>
        </w:rPr>
      </w:pPr>
      <w:bookmarkStart w:id="32" w:name="_Toc15396605"/>
      <w:bookmarkStart w:id="33" w:name="_Toc15377207"/>
      <w:bookmarkStart w:id="34" w:name="_Toc4836"/>
      <w:r>
        <w:rPr>
          <w:rFonts w:hint="eastAsia" w:ascii="黑体" w:hAnsi="黑体" w:eastAsia="黑体"/>
          <w:sz w:val="32"/>
          <w:szCs w:val="32"/>
        </w:rPr>
        <w:t>支</w:t>
      </w:r>
      <w:r>
        <w:rPr>
          <w:rStyle w:val="31"/>
          <w:rFonts w:hint="eastAsia" w:ascii="黑体" w:hAnsi="黑体" w:eastAsia="黑体"/>
          <w:b w:val="0"/>
        </w:rPr>
        <w:t>出决算情况说明</w:t>
      </w:r>
      <w:bookmarkEnd w:id="32"/>
      <w:bookmarkEnd w:id="33"/>
      <w:bookmarkEnd w:id="34"/>
    </w:p>
    <w:p>
      <w:pPr>
        <w:spacing w:line="600" w:lineRule="exact"/>
        <w:ind w:firstLine="640" w:firstLineChars="200"/>
        <w:rPr>
          <w:rFonts w:hint="eastAsia" w:ascii="Times New Roman" w:hAnsi="Times New Roman" w:eastAsia="仿宋_GB2312" w:cs="Times New Roman"/>
          <w:sz w:val="32"/>
          <w:szCs w:val="32"/>
        </w:rPr>
      </w:pPr>
      <w:bookmarkStart w:id="35" w:name="_Toc25450"/>
      <w:r>
        <w:rPr>
          <w:rFonts w:hint="eastAsia" w:ascii="Times New Roman" w:hAnsi="Times New Roman" w:eastAsia="仿宋_GB2312" w:cs="Times New Roman"/>
          <w:sz w:val="32"/>
          <w:szCs w:val="32"/>
        </w:rPr>
        <w:t>2022年本年支出合计128.89万元，其中：基本支出123.14万元，占95.54%；项目支出5.75万元，占4.46%；上缴上级支出0万元，占0%；经营支出0万元，占0%；对附属单位补助支出0万元，占0%。</w:t>
      </w:r>
      <w:bookmarkEnd w:id="35"/>
    </w:p>
    <w:p>
      <w:pPr>
        <w:spacing w:line="600" w:lineRule="exact"/>
        <w:ind w:firstLine="640"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（图3：支出决算结构图）（饼状图）</w:t>
      </w:r>
    </w:p>
    <w:p>
      <w:pPr>
        <w:pStyle w:val="5"/>
        <w:spacing w:before="93"/>
        <w:jc w:val="center"/>
      </w:pPr>
      <w:r>
        <w:rPr>
          <w:rFonts w:hint="eastAsia"/>
          <w:sz w:val="32"/>
          <w:szCs w:val="32"/>
        </w:rPr>
        <w:drawing>
          <wp:inline distT="0" distB="0" distL="0" distR="0">
            <wp:extent cx="4429760" cy="1889760"/>
            <wp:effectExtent l="19050" t="0" r="27580" b="0"/>
            <wp:docPr id="21"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31"/>
          <w:rFonts w:ascii="黑体" w:hAnsi="黑体" w:eastAsia="黑体"/>
          <w:b w:val="0"/>
        </w:rPr>
      </w:pPr>
      <w:bookmarkStart w:id="36" w:name="_Toc15377208"/>
      <w:bookmarkStart w:id="37" w:name="_Toc4653"/>
      <w:bookmarkStart w:id="38" w:name="_Toc15396606"/>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36"/>
      <w:bookmarkEnd w:id="37"/>
      <w:bookmarkEnd w:id="38"/>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2022年财政拨款收、支总计128.90万元。与2021年相比，财政拨款收、支总计各减少13.06万元，下降9.19%。主要变动原因是人员减少引起人员支出减少</w:t>
      </w:r>
    </w:p>
    <w:p>
      <w:pPr>
        <w:spacing w:line="600" w:lineRule="exact"/>
        <w:ind w:firstLine="640"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（图4：财政拨款收、支决算总计变动情况）（柱状图）</w:t>
      </w:r>
    </w:p>
    <w:p>
      <w:pPr>
        <w:pStyle w:val="5"/>
        <w:spacing w:before="93"/>
        <w:jc w:val="center"/>
        <w:rPr>
          <w:rFonts w:hint="eastAsia"/>
        </w:rPr>
      </w:pPr>
      <w:r>
        <w:rPr>
          <w:rFonts w:hint="default" w:ascii="Times New Roman" w:hAnsi="Times New Roman" w:eastAsia="仿宋" w:cs="Times New Roman"/>
          <w:color w:val="000000"/>
          <w:sz w:val="32"/>
          <w:szCs w:val="32"/>
          <w:lang w:eastAsia="zh-CN"/>
        </w:rPr>
        <w:pict>
          <v:shape id="Object 7" o:spid="_x0000_s1027" o:spt="75" type="#_x0000_t75" style="position:absolute;left:0pt;margin-left:48.2pt;margin-top:4.25pt;height:188.1pt;width:289pt;mso-wrap-distance-bottom:0pt;mso-wrap-distance-left:9pt;mso-wrap-distance-right:9pt;mso-wrap-distance-top:0pt;z-index:251660288;mso-width-relative:page;mso-height-relative:page;" o:ole="t" filled="f" o:preferrelative="t" stroked="f" coordsize="21600,21600">
            <v:path/>
            <v:fill on="f" focussize="0,0"/>
            <v:stroke on="f"/>
            <v:imagedata r:id="rId10" o:title=""/>
            <o:lock v:ext="edit" aspectratio="t"/>
            <w10:wrap type="square"/>
          </v:shape>
          <o:OLEObject Type="Embed" ProgID="Excel.Chart.8" ShapeID="Object 7" DrawAspect="Content" ObjectID="_1468075725" r:id="rId9">
            <o:LockedField>false</o:LockedField>
          </o:OLEObject>
        </w:pict>
      </w:r>
    </w:p>
    <w:p>
      <w:pPr>
        <w:pStyle w:val="5"/>
        <w:spacing w:before="93"/>
        <w:jc w:val="center"/>
        <w:rPr>
          <w:rFonts w:hint="eastAsia"/>
        </w:rPr>
      </w:pPr>
    </w:p>
    <w:p>
      <w:pPr>
        <w:pStyle w:val="5"/>
        <w:spacing w:before="93"/>
        <w:jc w:val="center"/>
        <w:rPr>
          <w:rFonts w:hint="eastAsia"/>
        </w:rPr>
      </w:pPr>
    </w:p>
    <w:p>
      <w:pPr>
        <w:pStyle w:val="5"/>
        <w:spacing w:before="93"/>
        <w:rPr>
          <w:rFonts w:hint="eastAsia"/>
        </w:rPr>
      </w:pPr>
    </w:p>
    <w:p>
      <w:pPr>
        <w:pStyle w:val="5"/>
        <w:spacing w:before="93"/>
      </w:pPr>
    </w:p>
    <w:p>
      <w:pPr>
        <w:spacing w:line="600" w:lineRule="exact"/>
        <w:ind w:firstLine="640" w:firstLineChars="200"/>
        <w:outlineLvl w:val="9"/>
        <w:rPr>
          <w:rFonts w:hint="eastAsia" w:ascii="黑体" w:hAnsi="黑体" w:eastAsia="黑体"/>
          <w:sz w:val="32"/>
          <w:szCs w:val="32"/>
        </w:rPr>
      </w:pPr>
      <w:bookmarkStart w:id="39" w:name="_Toc15377209"/>
      <w:bookmarkStart w:id="40" w:name="_Toc15396607"/>
    </w:p>
    <w:p>
      <w:pPr>
        <w:spacing w:line="600" w:lineRule="exact"/>
        <w:ind w:firstLine="640" w:firstLineChars="200"/>
        <w:outlineLvl w:val="1"/>
        <w:rPr>
          <w:rFonts w:hint="eastAsia" w:ascii="仿宋" w:hAnsi="仿宋" w:eastAsia="仿宋"/>
          <w:b/>
          <w:sz w:val="32"/>
          <w:szCs w:val="32"/>
        </w:rPr>
      </w:pPr>
      <w:bookmarkStart w:id="41" w:name="_Toc1857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39"/>
      <w:bookmarkEnd w:id="40"/>
      <w:bookmarkEnd w:id="41"/>
      <w:bookmarkStart w:id="42" w:name="_Toc15377210"/>
    </w:p>
    <w:p>
      <w:pPr>
        <w:spacing w:line="600" w:lineRule="exact"/>
        <w:ind w:firstLine="642" w:firstLineChars="200"/>
        <w:outlineLvl w:val="2"/>
        <w:rPr>
          <w:rFonts w:ascii="仿宋" w:hAnsi="仿宋" w:eastAsia="仿宋"/>
          <w:b/>
          <w:sz w:val="32"/>
          <w:szCs w:val="32"/>
        </w:rPr>
      </w:pPr>
      <w:r>
        <w:rPr>
          <w:rFonts w:hint="eastAsia" w:ascii="仿宋" w:hAnsi="仿宋" w:eastAsia="仿宋"/>
          <w:b/>
          <w:sz w:val="32"/>
          <w:szCs w:val="32"/>
        </w:rPr>
        <w:t>（一）一般公共预算财政拨款支出决算总体情况</w:t>
      </w:r>
      <w:bookmarkEnd w:id="42"/>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2022年一般公共预算财政拨款支出</w:t>
      </w:r>
      <w:r>
        <w:rPr>
          <w:rFonts w:hint="eastAsia" w:ascii="Times New Roman" w:hAnsi="Times New Roman" w:eastAsia="仿宋_GB2312" w:cs="Times New Roman"/>
          <w:sz w:val="32"/>
          <w:szCs w:val="32"/>
          <w:lang w:val="en-US" w:eastAsia="zh-CN"/>
        </w:rPr>
        <w:t>124.75</w:t>
      </w:r>
      <w:r>
        <w:rPr>
          <w:rFonts w:hint="eastAsia"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96.78</w:t>
      </w:r>
      <w:r>
        <w:rPr>
          <w:rFonts w:hint="eastAsia" w:ascii="Times New Roman" w:hAnsi="Times New Roman" w:eastAsia="仿宋_GB2312" w:cs="Times New Roman"/>
          <w:sz w:val="32"/>
          <w:szCs w:val="32"/>
        </w:rPr>
        <w:t>%。与2021年相比，一般公共预算财政拨款支出减少</w:t>
      </w:r>
      <w:r>
        <w:rPr>
          <w:rFonts w:hint="eastAsia" w:ascii="Times New Roman" w:hAnsi="Times New Roman" w:eastAsia="仿宋_GB2312" w:cs="Times New Roman"/>
          <w:sz w:val="32"/>
          <w:szCs w:val="32"/>
          <w:lang w:val="en-US" w:eastAsia="zh-CN"/>
        </w:rPr>
        <w:t>9.29</w:t>
      </w:r>
      <w:r>
        <w:rPr>
          <w:rFonts w:hint="eastAsia" w:ascii="Times New Roman" w:hAnsi="Times New Roman" w:eastAsia="仿宋_GB2312" w:cs="Times New Roman"/>
          <w:sz w:val="32"/>
          <w:szCs w:val="32"/>
        </w:rPr>
        <w:t>万元，下降</w:t>
      </w:r>
      <w:r>
        <w:rPr>
          <w:rFonts w:hint="eastAsia" w:ascii="Times New Roman" w:hAnsi="Times New Roman" w:eastAsia="仿宋_GB2312" w:cs="Times New Roman"/>
          <w:sz w:val="32"/>
          <w:szCs w:val="32"/>
          <w:lang w:val="en-US" w:eastAsia="zh-CN"/>
        </w:rPr>
        <w:t>6.93</w:t>
      </w:r>
      <w:r>
        <w:rPr>
          <w:rFonts w:hint="eastAsia" w:ascii="Times New Roman" w:hAnsi="Times New Roman" w:eastAsia="仿宋_GB2312" w:cs="Times New Roman"/>
          <w:sz w:val="32"/>
          <w:szCs w:val="32"/>
        </w:rPr>
        <w:t>%。主要变动原因是</w:t>
      </w:r>
      <w:r>
        <w:rPr>
          <w:rFonts w:hint="eastAsia" w:ascii="Times New Roman" w:hAnsi="Times New Roman" w:eastAsia="仿宋_GB2312" w:cs="Times New Roman"/>
          <w:sz w:val="32"/>
          <w:szCs w:val="32"/>
          <w:lang w:eastAsia="zh-CN"/>
        </w:rPr>
        <w:t>人员减少导致人员经费减少。</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（图5：一般公共预算财政拨款支出决算变动情况）（柱状图）</w:t>
      </w:r>
    </w:p>
    <w:p>
      <w:pPr>
        <w:pStyle w:val="5"/>
        <w:rPr>
          <w:rFonts w:hint="eastAsia" w:ascii="仿宋" w:hAnsi="仿宋" w:eastAsia="仿宋"/>
          <w:sz w:val="32"/>
          <w:szCs w:val="32"/>
        </w:rPr>
      </w:pPr>
      <w:r>
        <w:rPr>
          <w:rFonts w:hint="default" w:ascii="Times New Roman" w:hAnsi="Times New Roman" w:eastAsia="仿宋" w:cs="Times New Roman"/>
          <w:color w:val="000000"/>
          <w:sz w:val="32"/>
          <w:szCs w:val="32"/>
          <w:lang w:eastAsia="zh-CN"/>
        </w:rPr>
        <w:pict>
          <v:shape id="Object 8" o:spid="_x0000_s1026" o:spt="75" type="#_x0000_t75" style="position:absolute;left:0pt;margin-left:32.95pt;margin-top:5.85pt;height:182.95pt;width:353.7pt;mso-wrap-distance-bottom:0pt;mso-wrap-distance-left:9pt;mso-wrap-distance-right:9pt;mso-wrap-distance-top:0pt;z-index:251659264;mso-width-relative:page;mso-height-relative:page;" o:ole="t" filled="f" o:preferrelative="t" stroked="f" coordsize="21600,21600">
            <v:path/>
            <v:fill on="f" focussize="0,0"/>
            <v:stroke on="f"/>
            <v:imagedata r:id="rId12" o:title=""/>
            <o:lock v:ext="edit" aspectratio="t"/>
            <w10:wrap type="square"/>
          </v:shape>
          <o:OLEObject Type="Embed" ProgID="Excel.Chart.8" ShapeID="Object 8" DrawAspect="Content" ObjectID="_1468075726" r:id="rId11">
            <o:LockedField>false</o:LockedField>
          </o:OLEObject>
        </w:pict>
      </w:r>
    </w:p>
    <w:p>
      <w:pPr>
        <w:pStyle w:val="5"/>
        <w:rPr>
          <w:rFonts w:hint="eastAsia" w:ascii="仿宋" w:hAnsi="仿宋" w:eastAsia="仿宋"/>
          <w:sz w:val="32"/>
          <w:szCs w:val="32"/>
        </w:rPr>
      </w:pPr>
    </w:p>
    <w:p>
      <w:pPr>
        <w:pStyle w:val="5"/>
        <w:rPr>
          <w:rFonts w:hint="eastAsia" w:ascii="仿宋" w:hAnsi="仿宋" w:eastAsia="仿宋"/>
          <w:sz w:val="32"/>
          <w:szCs w:val="32"/>
        </w:rPr>
      </w:pPr>
    </w:p>
    <w:p>
      <w:pPr>
        <w:pStyle w:val="5"/>
        <w:rPr>
          <w:rFonts w:hint="eastAsia"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2" w:firstLineChars="200"/>
        <w:outlineLvl w:val="9"/>
        <w:rPr>
          <w:rFonts w:hint="eastAsia" w:ascii="仿宋" w:hAnsi="仿宋" w:eastAsia="仿宋"/>
          <w:b/>
          <w:sz w:val="32"/>
          <w:szCs w:val="32"/>
          <w:lang w:eastAsia="zh-CN"/>
        </w:rPr>
      </w:pPr>
      <w:bookmarkStart w:id="43" w:name="_Toc15377211"/>
    </w:p>
    <w:p>
      <w:pPr>
        <w:spacing w:line="600" w:lineRule="exact"/>
        <w:ind w:firstLine="642" w:firstLineChars="200"/>
        <w:outlineLvl w:val="9"/>
        <w:rPr>
          <w:rFonts w:hint="eastAsia" w:ascii="仿宋" w:hAnsi="仿宋" w:eastAsia="仿宋"/>
          <w:b/>
          <w:sz w:val="32"/>
          <w:szCs w:val="32"/>
          <w:lang w:eastAsia="zh-CN"/>
        </w:rPr>
      </w:pPr>
    </w:p>
    <w:p>
      <w:pPr>
        <w:spacing w:line="600" w:lineRule="exact"/>
        <w:ind w:firstLine="642" w:firstLineChars="200"/>
        <w:outlineLvl w:val="9"/>
        <w:rPr>
          <w:rFonts w:hint="eastAsia" w:ascii="仿宋" w:hAnsi="仿宋" w:eastAsia="仿宋"/>
          <w:b/>
          <w:sz w:val="32"/>
          <w:szCs w:val="32"/>
          <w:lang w:eastAsia="zh-CN"/>
        </w:rPr>
      </w:pPr>
    </w:p>
    <w:p>
      <w:pPr>
        <w:spacing w:line="600" w:lineRule="exact"/>
        <w:ind w:firstLine="642" w:firstLineChars="200"/>
        <w:outlineLvl w:val="2"/>
        <w:rPr>
          <w:rFonts w:ascii="仿宋" w:hAnsi="仿宋" w:eastAsia="仿宋"/>
          <w:b/>
          <w:sz w:val="32"/>
          <w:szCs w:val="32"/>
        </w:rPr>
      </w:pPr>
      <w:r>
        <w:rPr>
          <w:rFonts w:hint="eastAsia" w:ascii="仿宋" w:hAnsi="仿宋" w:eastAsia="仿宋"/>
          <w:b/>
          <w:sz w:val="32"/>
          <w:szCs w:val="32"/>
          <w:lang w:eastAsia="zh-CN"/>
        </w:rPr>
        <w:t>（</w:t>
      </w:r>
      <w:r>
        <w:rPr>
          <w:rFonts w:hint="eastAsia" w:ascii="仿宋" w:hAnsi="仿宋" w:eastAsia="仿宋"/>
          <w:b/>
          <w:sz w:val="32"/>
          <w:szCs w:val="32"/>
        </w:rPr>
        <w:t>二）一般公共预算财政拨款支出决算结构情况</w:t>
      </w:r>
      <w:bookmarkEnd w:id="43"/>
    </w:p>
    <w:p>
      <w:pPr>
        <w:spacing w:line="600" w:lineRule="exact"/>
        <w:ind w:firstLine="640"/>
        <w:rPr>
          <w:rFonts w:ascii="仿宋" w:hAnsi="仿宋" w:eastAsia="仿宋"/>
          <w:sz w:val="32"/>
          <w:szCs w:val="32"/>
        </w:rPr>
      </w:pPr>
      <w:r>
        <w:rPr>
          <w:rFonts w:hint="default" w:ascii="Times New Roman" w:hAnsi="Times New Roman" w:eastAsia="仿宋_GB2312" w:cs="Times New Roman"/>
          <w:sz w:val="32"/>
          <w:szCs w:val="32"/>
        </w:rPr>
        <w:t>2022年一般公共预算财政拨款支出</w:t>
      </w:r>
      <w:r>
        <w:rPr>
          <w:rFonts w:hint="default" w:ascii="Times New Roman" w:hAnsi="Times New Roman" w:eastAsia="仿宋_GB2312" w:cs="Times New Roman"/>
          <w:sz w:val="32"/>
          <w:szCs w:val="32"/>
          <w:lang w:val="en-US" w:eastAsia="zh-CN"/>
        </w:rPr>
        <w:t>124.75</w:t>
      </w:r>
      <w:r>
        <w:rPr>
          <w:rFonts w:hint="default" w:ascii="Times New Roman" w:hAnsi="Times New Roman" w:eastAsia="仿宋_GB2312" w:cs="Times New Roman"/>
          <w:sz w:val="32"/>
          <w:szCs w:val="32"/>
        </w:rPr>
        <w:t>万元，主要用于以下方面:</w:t>
      </w:r>
      <w:r>
        <w:rPr>
          <w:rFonts w:hint="default" w:ascii="Times New Roman" w:hAnsi="Times New Roman" w:eastAsia="仿宋" w:cs="Times New Roman"/>
          <w:b/>
          <w:sz w:val="32"/>
          <w:szCs w:val="32"/>
        </w:rPr>
        <w:t>一般公共服务</w:t>
      </w:r>
      <w:r>
        <w:rPr>
          <w:rFonts w:hint="default" w:ascii="Times New Roman" w:hAnsi="Times New Roman" w:eastAsia="仿宋" w:cs="Times New Roman"/>
          <w:b/>
          <w:bCs/>
          <w:sz w:val="32"/>
          <w:szCs w:val="32"/>
        </w:rPr>
        <w:t>支出</w:t>
      </w:r>
      <w:r>
        <w:rPr>
          <w:rFonts w:hint="default" w:ascii="Times New Roman" w:hAnsi="Times New Roman" w:eastAsia="仿宋_GB2312" w:cs="Times New Roman"/>
          <w:sz w:val="32"/>
          <w:szCs w:val="32"/>
          <w:lang w:val="en-US" w:eastAsia="zh-CN"/>
        </w:rPr>
        <w:t>98.52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78.97</w:t>
      </w:r>
      <w:r>
        <w:rPr>
          <w:rFonts w:hint="default" w:ascii="Times New Roman" w:hAnsi="Times New Roman" w:eastAsia="仿宋_GB2312" w:cs="Times New Roman"/>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b/>
          <w:sz w:val="32"/>
          <w:szCs w:val="32"/>
        </w:rPr>
        <w:t>教育支出</w:t>
      </w:r>
      <w:r>
        <w:rPr>
          <w:rFonts w:hint="eastAsia" w:eastAsia="仿宋" w:cs="Times New Roman"/>
          <w:sz w:val="32"/>
          <w:szCs w:val="32"/>
          <w:lang w:val="en-US" w:eastAsia="zh-CN"/>
        </w:rPr>
        <w:t>0</w:t>
      </w:r>
      <w:r>
        <w:rPr>
          <w:rFonts w:hint="default" w:ascii="Times New Roman" w:hAnsi="Times New Roman" w:eastAsia="仿宋" w:cs="Times New Roman"/>
          <w:sz w:val="32"/>
          <w:szCs w:val="32"/>
        </w:rPr>
        <w:t>万元，占</w:t>
      </w:r>
      <w:r>
        <w:rPr>
          <w:rFonts w:hint="eastAsia" w:eastAsia="仿宋" w:cs="Times New Roman"/>
          <w:sz w:val="32"/>
          <w:szCs w:val="32"/>
          <w:lang w:val="en-US" w:eastAsia="zh-CN"/>
        </w:rPr>
        <w:t>0</w:t>
      </w:r>
      <w:r>
        <w:rPr>
          <w:rFonts w:hint="default" w:ascii="Times New Roman" w:hAnsi="Times New Roman" w:eastAsia="仿宋" w:cs="Times New Roman"/>
          <w:sz w:val="32"/>
          <w:szCs w:val="32"/>
        </w:rPr>
        <w:t>%；</w:t>
      </w:r>
      <w:r>
        <w:rPr>
          <w:rFonts w:hint="default" w:ascii="Times New Roman" w:hAnsi="Times New Roman" w:eastAsia="仿宋" w:cs="Times New Roman"/>
          <w:b/>
          <w:sz w:val="32"/>
          <w:szCs w:val="32"/>
        </w:rPr>
        <w:t>科学技术</w:t>
      </w:r>
      <w:r>
        <w:rPr>
          <w:rFonts w:hint="default" w:ascii="Times New Roman" w:hAnsi="Times New Roman" w:eastAsia="仿宋" w:cs="Times New Roman"/>
          <w:b/>
          <w:bCs/>
          <w:sz w:val="32"/>
          <w:szCs w:val="32"/>
        </w:rPr>
        <w:t>支出</w:t>
      </w:r>
      <w:r>
        <w:rPr>
          <w:rFonts w:hint="eastAsia" w:eastAsia="仿宋" w:cs="Times New Roman"/>
          <w:sz w:val="32"/>
          <w:szCs w:val="32"/>
          <w:lang w:val="en-US" w:eastAsia="zh-CN"/>
        </w:rPr>
        <w:t>0</w:t>
      </w:r>
      <w:r>
        <w:rPr>
          <w:rFonts w:hint="default" w:ascii="Times New Roman" w:hAnsi="Times New Roman" w:eastAsia="仿宋" w:cs="Times New Roman"/>
          <w:sz w:val="32"/>
          <w:szCs w:val="32"/>
        </w:rPr>
        <w:t>万元，占</w:t>
      </w:r>
      <w:r>
        <w:rPr>
          <w:rFonts w:hint="eastAsia" w:eastAsia="仿宋" w:cs="Times New Roman"/>
          <w:sz w:val="32"/>
          <w:szCs w:val="32"/>
          <w:lang w:val="en-US" w:eastAsia="zh-CN"/>
        </w:rPr>
        <w:t>0</w:t>
      </w:r>
      <w:r>
        <w:rPr>
          <w:rFonts w:hint="default" w:ascii="Times New Roman" w:hAnsi="Times New Roman" w:eastAsia="仿宋" w:cs="Times New Roman"/>
          <w:sz w:val="32"/>
          <w:szCs w:val="32"/>
        </w:rPr>
        <w:t>%；</w:t>
      </w:r>
      <w:r>
        <w:rPr>
          <w:rFonts w:hint="default" w:ascii="Times New Roman" w:hAnsi="Times New Roman" w:eastAsia="仿宋" w:cs="Times New Roman"/>
          <w:b/>
          <w:bCs/>
          <w:sz w:val="32"/>
          <w:szCs w:val="32"/>
        </w:rPr>
        <w:t>文化旅游体育与传媒支出</w:t>
      </w:r>
      <w:r>
        <w:rPr>
          <w:rFonts w:hint="eastAsia" w:eastAsia="仿宋" w:cs="Times New Roman"/>
          <w:b/>
          <w:bCs/>
          <w:sz w:val="32"/>
          <w:szCs w:val="32"/>
          <w:lang w:val="en-US" w:eastAsia="zh-CN"/>
        </w:rPr>
        <w:t>0</w:t>
      </w:r>
      <w:r>
        <w:rPr>
          <w:rFonts w:hint="default" w:ascii="Times New Roman" w:hAnsi="Times New Roman" w:eastAsia="仿宋" w:cs="Times New Roman"/>
          <w:b/>
          <w:bCs/>
          <w:sz w:val="32"/>
          <w:szCs w:val="32"/>
        </w:rPr>
        <w:t>万元，占</w:t>
      </w:r>
      <w:r>
        <w:rPr>
          <w:rFonts w:hint="eastAsia" w:eastAsia="仿宋" w:cs="Times New Roman"/>
          <w:b/>
          <w:bCs/>
          <w:sz w:val="32"/>
          <w:szCs w:val="32"/>
          <w:lang w:val="en-US" w:eastAsia="zh-CN"/>
        </w:rPr>
        <w:t>0</w:t>
      </w:r>
      <w:r>
        <w:rPr>
          <w:rFonts w:hint="default" w:ascii="Times New Roman" w:hAnsi="Times New Roman" w:eastAsia="仿宋" w:cs="Times New Roman"/>
          <w:b/>
          <w:bCs/>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b/>
          <w:sz w:val="32"/>
          <w:szCs w:val="32"/>
        </w:rPr>
        <w:t>社会保障和就业</w:t>
      </w:r>
      <w:r>
        <w:rPr>
          <w:rFonts w:hint="default" w:ascii="Times New Roman" w:hAnsi="Times New Roman" w:eastAsia="仿宋" w:cs="Times New Roman"/>
          <w:b/>
          <w:bCs/>
          <w:sz w:val="32"/>
          <w:szCs w:val="32"/>
        </w:rPr>
        <w:t>支出</w:t>
      </w:r>
      <w:r>
        <w:rPr>
          <w:rFonts w:hint="default" w:ascii="Times New Roman" w:hAnsi="Times New Roman" w:eastAsia="仿宋" w:cs="Times New Roman"/>
          <w:sz w:val="32"/>
          <w:szCs w:val="32"/>
          <w:lang w:val="en-US" w:eastAsia="zh-CN"/>
        </w:rPr>
        <w:t>8.14</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6.53</w:t>
      </w:r>
      <w:r>
        <w:rPr>
          <w:rFonts w:hint="default" w:ascii="Times New Roman" w:hAnsi="Times New Roman" w:eastAsia="仿宋" w:cs="Times New Roman"/>
          <w:sz w:val="32"/>
          <w:szCs w:val="32"/>
        </w:rPr>
        <w:t>%；</w:t>
      </w:r>
      <w:r>
        <w:rPr>
          <w:rFonts w:hint="default" w:ascii="Times New Roman" w:hAnsi="Times New Roman" w:eastAsia="仿宋" w:cs="Times New Roman"/>
          <w:b/>
          <w:bCs/>
          <w:sz w:val="32"/>
          <w:szCs w:val="32"/>
        </w:rPr>
        <w:t>卫生健康支出</w:t>
      </w:r>
      <w:r>
        <w:rPr>
          <w:rFonts w:hint="default" w:ascii="Times New Roman" w:hAnsi="Times New Roman" w:eastAsia="仿宋" w:cs="Times New Roman"/>
          <w:sz w:val="32"/>
          <w:szCs w:val="32"/>
          <w:lang w:val="en-US" w:eastAsia="zh-CN"/>
        </w:rPr>
        <w:t>7.62</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6.11</w:t>
      </w:r>
      <w:r>
        <w:rPr>
          <w:rFonts w:hint="default" w:ascii="Times New Roman" w:hAnsi="Times New Roman" w:eastAsia="仿宋" w:cs="Times New Roman"/>
          <w:sz w:val="32"/>
          <w:szCs w:val="32"/>
        </w:rPr>
        <w:t>%；</w:t>
      </w:r>
      <w:r>
        <w:rPr>
          <w:rFonts w:hint="default" w:ascii="Times New Roman" w:hAnsi="Times New Roman" w:eastAsia="仿宋" w:cs="Times New Roman"/>
          <w:b/>
          <w:bCs/>
          <w:sz w:val="32"/>
          <w:szCs w:val="32"/>
        </w:rPr>
        <w:t>住房保障支出</w:t>
      </w:r>
      <w:r>
        <w:rPr>
          <w:rFonts w:hint="default" w:ascii="Times New Roman" w:hAnsi="Times New Roman" w:eastAsia="仿宋" w:cs="Times New Roman"/>
          <w:sz w:val="32"/>
          <w:szCs w:val="32"/>
          <w:lang w:val="en-US" w:eastAsia="zh-CN"/>
        </w:rPr>
        <w:t>10.47</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8.39</w:t>
      </w:r>
      <w:r>
        <w:rPr>
          <w:rFonts w:hint="default" w:ascii="Times New Roman" w:hAnsi="Times New Roman" w:eastAsia="仿宋" w:cs="Times New Roman"/>
          <w:sz w:val="32"/>
          <w:szCs w:val="32"/>
        </w:rPr>
        <w:t>%。</w:t>
      </w:r>
    </w:p>
    <w:p>
      <w:pPr>
        <w:spacing w:line="600" w:lineRule="exact"/>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（图6：一般公共预算财政拨款支出决算结构）（饼状图）</w:t>
      </w:r>
    </w:p>
    <w:p>
      <w:pPr>
        <w:spacing w:line="60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color w:val="000000"/>
          <w:sz w:val="32"/>
          <w:szCs w:val="32"/>
          <w:lang w:eastAsia="zh-CN"/>
        </w:rPr>
        <w:pict>
          <v:shape id="_x0000_s1028" o:spid="_x0000_s1028" o:spt="75" type="#_x0000_t75" style="position:absolute;left:0pt;margin-left:37.4pt;margin-top:15.4pt;height:176.15pt;width:301.35pt;mso-wrap-distance-bottom:0pt;mso-wrap-distance-left:9pt;mso-wrap-distance-right:9pt;mso-wrap-distance-top:0pt;z-index:251661312;mso-width-relative:page;mso-height-relative:page;" o:ole="t" filled="f" o:preferrelative="t" stroked="f" coordsize="21600,21600">
            <v:path/>
            <v:fill on="f" focussize="0,0"/>
            <v:stroke on="f"/>
            <v:imagedata r:id="rId14" o:title=""/>
            <o:lock v:ext="edit" aspectratio="t"/>
            <w10:wrap type="square"/>
          </v:shape>
          <o:OLEObject Type="Embed" ProgID="Excel.Chart.8" ShapeID="_x0000_s1028" DrawAspect="Content" ObjectID="_1468075727" r:id="rId13">
            <o:LockedField>false</o:LockedField>
          </o:OLEObject>
        </w:pict>
      </w:r>
    </w:p>
    <w:p>
      <w:pPr>
        <w:pStyle w:val="5"/>
        <w:rPr>
          <w:rFonts w:ascii="仿宋" w:hAnsi="仿宋" w:eastAsia="仿宋"/>
          <w:sz w:val="32"/>
          <w:szCs w:val="32"/>
        </w:rPr>
      </w:pPr>
    </w:p>
    <w:p>
      <w:pPr>
        <w:pStyle w:val="5"/>
        <w:rPr>
          <w:rFonts w:ascii="仿宋" w:hAnsi="仿宋" w:eastAsia="仿宋"/>
          <w:sz w:val="32"/>
          <w:szCs w:val="32"/>
        </w:rPr>
      </w:pPr>
    </w:p>
    <w:p>
      <w:pPr>
        <w:pStyle w:val="5"/>
        <w:rPr>
          <w:rFonts w:ascii="仿宋" w:hAnsi="仿宋" w:eastAsia="仿宋"/>
          <w:sz w:val="32"/>
          <w:szCs w:val="32"/>
        </w:rPr>
      </w:pPr>
    </w:p>
    <w:p>
      <w:pPr>
        <w:pStyle w:val="5"/>
        <w:rPr>
          <w:rFonts w:ascii="仿宋" w:hAnsi="仿宋" w:eastAsia="仿宋"/>
          <w:sz w:val="32"/>
          <w:szCs w:val="32"/>
        </w:rPr>
      </w:pPr>
    </w:p>
    <w:p>
      <w:pPr>
        <w:pStyle w:val="5"/>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44" w:name="_Toc15377212"/>
      <w:r>
        <w:rPr>
          <w:rFonts w:hint="eastAsia" w:ascii="仿宋" w:hAnsi="仿宋" w:eastAsia="仿宋"/>
          <w:b/>
          <w:sz w:val="32"/>
          <w:szCs w:val="32"/>
        </w:rPr>
        <w:t>（三）一般公共预算财政拨款支出决算具体情况</w:t>
      </w:r>
      <w:bookmarkEnd w:id="44"/>
    </w:p>
    <w:p>
      <w:pPr>
        <w:spacing w:line="600" w:lineRule="exact"/>
        <w:ind w:firstLine="642" w:firstLineChars="200"/>
        <w:outlineLvl w:val="1"/>
        <w:rPr>
          <w:rFonts w:ascii="仿宋" w:hAnsi="仿宋" w:eastAsia="仿宋"/>
          <w:sz w:val="32"/>
          <w:szCs w:val="32"/>
        </w:rPr>
      </w:pPr>
      <w:bookmarkStart w:id="45" w:name="_Toc15378460"/>
      <w:bookmarkStart w:id="46" w:name="_Toc15377213"/>
      <w:bookmarkStart w:id="47" w:name="_Toc15377444"/>
      <w:bookmarkStart w:id="48" w:name="_Toc1286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124.75</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45"/>
      <w:bookmarkEnd w:id="46"/>
      <w:bookmarkEnd w:id="47"/>
      <w:bookmarkEnd w:id="48"/>
    </w:p>
    <w:p>
      <w:pPr>
        <w:numPr>
          <w:ilvl w:val="0"/>
          <w:numId w:val="0"/>
        </w:numPr>
        <w:spacing w:line="600" w:lineRule="exact"/>
        <w:ind w:firstLine="642" w:firstLineChars="200"/>
        <w:rPr>
          <w:rFonts w:hint="eastAsia" w:ascii="Times New Roman" w:hAnsi="Times New Roman" w:eastAsia="仿宋_GB2312" w:cs="Times New Roman"/>
          <w:sz w:val="32"/>
          <w:szCs w:val="32"/>
        </w:rPr>
      </w:pPr>
      <w:r>
        <w:rPr>
          <w:rStyle w:val="18"/>
          <w:rFonts w:hint="eastAsia" w:ascii="仿宋" w:hAnsi="仿宋" w:eastAsia="仿宋"/>
          <w:bCs/>
          <w:sz w:val="32"/>
          <w:szCs w:val="32"/>
          <w:lang w:val="en-US" w:eastAsia="zh-CN"/>
        </w:rPr>
        <w:t>1.</w:t>
      </w:r>
      <w:r>
        <w:rPr>
          <w:rStyle w:val="18"/>
          <w:rFonts w:hint="eastAsia" w:ascii="仿宋" w:hAnsi="仿宋" w:eastAsia="仿宋"/>
          <w:bCs/>
          <w:sz w:val="32"/>
          <w:szCs w:val="32"/>
        </w:rPr>
        <w:t>一般公共服务（类）</w:t>
      </w:r>
      <w:r>
        <w:rPr>
          <w:rStyle w:val="18"/>
          <w:rFonts w:hint="default" w:ascii="仿宋" w:hAnsi="仿宋" w:eastAsia="仿宋" w:cstheme="minorBidi"/>
          <w:bCs/>
          <w:sz w:val="32"/>
          <w:szCs w:val="32"/>
          <w:lang w:eastAsia="zh-CN"/>
        </w:rPr>
        <w:t>其他共产党事务支出</w:t>
      </w:r>
      <w:r>
        <w:rPr>
          <w:rStyle w:val="18"/>
          <w:rFonts w:hint="default" w:ascii="仿宋" w:hAnsi="仿宋" w:eastAsia="仿宋" w:cstheme="minorBidi"/>
          <w:bCs/>
          <w:sz w:val="32"/>
          <w:szCs w:val="32"/>
        </w:rPr>
        <w:t>（款）</w:t>
      </w:r>
      <w:r>
        <w:rPr>
          <w:rStyle w:val="18"/>
          <w:rFonts w:hint="default" w:ascii="仿宋" w:hAnsi="仿宋" w:eastAsia="仿宋" w:cstheme="minorBidi"/>
          <w:bCs/>
          <w:sz w:val="32"/>
          <w:szCs w:val="32"/>
          <w:lang w:eastAsia="zh-CN"/>
        </w:rPr>
        <w:t>行政运行</w:t>
      </w:r>
      <w:r>
        <w:rPr>
          <w:rStyle w:val="18"/>
          <w:rFonts w:hint="default" w:ascii="仿宋" w:hAnsi="仿宋" w:eastAsia="仿宋" w:cstheme="minorBidi"/>
          <w:bCs/>
          <w:sz w:val="32"/>
          <w:szCs w:val="32"/>
        </w:rPr>
        <w:t>（项）</w:t>
      </w:r>
      <w:r>
        <w:rPr>
          <w:rStyle w:val="18"/>
          <w:rFonts w:ascii="仿宋" w:hAnsi="仿宋" w:eastAsia="仿宋"/>
          <w:bCs/>
          <w:sz w:val="32"/>
          <w:szCs w:val="32"/>
        </w:rPr>
        <w:t>:</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96.92</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pPr>
        <w:numPr>
          <w:ilvl w:val="0"/>
          <w:numId w:val="0"/>
        </w:numPr>
        <w:spacing w:line="600" w:lineRule="exact"/>
        <w:ind w:firstLine="642" w:firstLineChars="200"/>
        <w:rPr>
          <w:rFonts w:hint="eastAsia" w:ascii="Times New Roman" w:hAnsi="Times New Roman" w:eastAsia="仿宋_GB2312" w:cs="Times New Roman"/>
          <w:sz w:val="32"/>
          <w:szCs w:val="32"/>
        </w:rPr>
      </w:pPr>
      <w:r>
        <w:rPr>
          <w:rStyle w:val="18"/>
          <w:rFonts w:hint="eastAsia" w:ascii="仿宋" w:hAnsi="仿宋" w:eastAsia="仿宋"/>
          <w:bCs/>
          <w:sz w:val="32"/>
          <w:szCs w:val="32"/>
          <w:lang w:val="en-US" w:eastAsia="zh-CN"/>
        </w:rPr>
        <w:t>2.</w:t>
      </w:r>
      <w:r>
        <w:rPr>
          <w:rStyle w:val="18"/>
          <w:rFonts w:hint="eastAsia" w:ascii="仿宋" w:hAnsi="仿宋" w:eastAsia="仿宋"/>
          <w:bCs/>
          <w:sz w:val="32"/>
          <w:szCs w:val="32"/>
        </w:rPr>
        <w:t>一般公共服务（类）</w:t>
      </w:r>
      <w:r>
        <w:rPr>
          <w:rStyle w:val="18"/>
          <w:rFonts w:hint="default" w:ascii="仿宋" w:hAnsi="仿宋" w:eastAsia="仿宋" w:cstheme="minorBidi"/>
          <w:bCs/>
          <w:sz w:val="32"/>
          <w:szCs w:val="32"/>
          <w:lang w:eastAsia="zh-CN"/>
        </w:rPr>
        <w:t>其他共产党事务支出</w:t>
      </w:r>
      <w:r>
        <w:rPr>
          <w:rStyle w:val="18"/>
          <w:rFonts w:hint="default" w:ascii="仿宋" w:hAnsi="仿宋" w:eastAsia="仿宋" w:cstheme="minorBidi"/>
          <w:bCs/>
          <w:sz w:val="32"/>
          <w:szCs w:val="32"/>
        </w:rPr>
        <w:t>（款）</w:t>
      </w:r>
      <w:r>
        <w:rPr>
          <w:rStyle w:val="18"/>
          <w:rFonts w:hint="eastAsia" w:ascii="仿宋" w:hAnsi="仿宋" w:eastAsia="仿宋" w:cstheme="minorBidi"/>
          <w:bCs/>
          <w:sz w:val="32"/>
          <w:szCs w:val="32"/>
          <w:lang w:eastAsia="zh-CN"/>
        </w:rPr>
        <w:t>一般行政管理事务</w:t>
      </w:r>
      <w:r>
        <w:rPr>
          <w:rStyle w:val="18"/>
          <w:rFonts w:hint="default" w:ascii="仿宋" w:hAnsi="仿宋" w:eastAsia="仿宋" w:cstheme="minorBidi"/>
          <w:bCs/>
          <w:sz w:val="32"/>
          <w:szCs w:val="32"/>
        </w:rPr>
        <w:t>（项）</w:t>
      </w:r>
      <w:r>
        <w:rPr>
          <w:rStyle w:val="18"/>
          <w:rFonts w:ascii="仿宋" w:hAnsi="仿宋" w:eastAsia="仿宋"/>
          <w:bCs/>
          <w:sz w:val="32"/>
          <w:szCs w:val="32"/>
        </w:rPr>
        <w:t>:</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1.61</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pPr>
        <w:spacing w:line="600" w:lineRule="exact"/>
        <w:ind w:firstLine="642" w:firstLineChars="200"/>
        <w:rPr>
          <w:rFonts w:hint="eastAsia" w:ascii="Times New Roman" w:hAnsi="Times New Roman" w:eastAsia="仿宋_GB2312" w:cs="Times New Roman"/>
          <w:sz w:val="32"/>
          <w:szCs w:val="32"/>
        </w:rPr>
      </w:pPr>
      <w:r>
        <w:rPr>
          <w:rStyle w:val="18"/>
          <w:rFonts w:hint="eastAsia" w:ascii="仿宋" w:hAnsi="仿宋" w:eastAsia="仿宋"/>
          <w:bCs/>
          <w:sz w:val="32"/>
          <w:szCs w:val="32"/>
          <w:lang w:val="en-US" w:eastAsia="zh-CN"/>
        </w:rPr>
        <w:t>3</w:t>
      </w:r>
      <w:r>
        <w:rPr>
          <w:rStyle w:val="18"/>
          <w:rFonts w:ascii="仿宋" w:hAnsi="仿宋" w:eastAsia="仿宋"/>
          <w:bCs/>
          <w:sz w:val="32"/>
          <w:szCs w:val="32"/>
        </w:rPr>
        <w:t>.</w:t>
      </w:r>
      <w:r>
        <w:rPr>
          <w:rStyle w:val="18"/>
          <w:rFonts w:hint="eastAsia" w:ascii="仿宋" w:hAnsi="仿宋" w:eastAsia="仿宋"/>
          <w:bCs/>
          <w:sz w:val="32"/>
          <w:szCs w:val="32"/>
        </w:rPr>
        <w:t>社会保障和就业（类）</w:t>
      </w:r>
      <w:r>
        <w:rPr>
          <w:rStyle w:val="18"/>
          <w:rFonts w:hint="default" w:ascii="仿宋" w:hAnsi="仿宋" w:eastAsia="仿宋" w:cstheme="minorBidi"/>
          <w:bCs/>
          <w:sz w:val="32"/>
          <w:szCs w:val="32"/>
          <w:lang w:eastAsia="zh-CN"/>
        </w:rPr>
        <w:t>行政事业单位养老支出</w:t>
      </w:r>
      <w:r>
        <w:rPr>
          <w:rStyle w:val="18"/>
          <w:rFonts w:hint="default" w:ascii="仿宋" w:hAnsi="仿宋" w:eastAsia="仿宋" w:cstheme="minorBidi"/>
          <w:bCs/>
          <w:sz w:val="32"/>
          <w:szCs w:val="32"/>
        </w:rPr>
        <w:t>（款）</w:t>
      </w:r>
      <w:r>
        <w:rPr>
          <w:rStyle w:val="18"/>
          <w:rFonts w:hint="default" w:ascii="仿宋" w:hAnsi="仿宋" w:eastAsia="仿宋" w:cstheme="minorBidi"/>
          <w:bCs/>
          <w:sz w:val="32"/>
          <w:szCs w:val="32"/>
          <w:lang w:eastAsia="zh-CN"/>
        </w:rPr>
        <w:t>机关事业单位基本养老保险缴费支出</w:t>
      </w:r>
      <w:r>
        <w:rPr>
          <w:rStyle w:val="18"/>
          <w:rFonts w:hint="default" w:ascii="仿宋" w:hAnsi="仿宋" w:eastAsia="仿宋" w:cstheme="minorBidi"/>
          <w:bCs/>
          <w:sz w:val="32"/>
          <w:szCs w:val="32"/>
        </w:rPr>
        <w:t>（项）</w:t>
      </w:r>
      <w:r>
        <w:rPr>
          <w:rStyle w:val="18"/>
          <w:rFonts w:hint="eastAsia" w:ascii="仿宋" w:hAnsi="仿宋" w:eastAsia="仿宋" w:cstheme="minorBidi"/>
          <w:bCs/>
          <w:sz w:val="32"/>
          <w:szCs w:val="32"/>
        </w:rPr>
        <w:t>:</w:t>
      </w:r>
      <w:r>
        <w:rPr>
          <w:rStyle w:val="18"/>
          <w:rFonts w:ascii="仿宋" w:hAnsi="仿宋" w:eastAsia="仿宋"/>
          <w:b w:val="0"/>
          <w:bCs/>
          <w:sz w:val="32"/>
          <w:szCs w:val="32"/>
        </w:rPr>
        <w:t xml:space="preserve"> </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8.14</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pPr>
        <w:spacing w:line="600" w:lineRule="exact"/>
        <w:ind w:firstLine="642" w:firstLineChars="200"/>
        <w:rPr>
          <w:rFonts w:ascii="仿宋" w:hAnsi="仿宋" w:eastAsia="仿宋"/>
          <w:b/>
          <w:sz w:val="32"/>
          <w:szCs w:val="32"/>
        </w:rPr>
      </w:pPr>
      <w:r>
        <w:rPr>
          <w:rStyle w:val="18"/>
          <w:rFonts w:hint="eastAsia" w:ascii="仿宋" w:hAnsi="仿宋" w:eastAsia="仿宋"/>
          <w:bCs/>
          <w:sz w:val="32"/>
          <w:szCs w:val="32"/>
          <w:lang w:val="en-US" w:eastAsia="zh-CN"/>
        </w:rPr>
        <w:t>4.</w:t>
      </w:r>
      <w:r>
        <w:rPr>
          <w:rFonts w:hint="eastAsia" w:ascii="仿宋" w:hAnsi="仿宋" w:eastAsia="仿宋"/>
          <w:b/>
          <w:bCs/>
          <w:sz w:val="32"/>
          <w:szCs w:val="32"/>
        </w:rPr>
        <w:t>卫生健康</w:t>
      </w:r>
      <w:r>
        <w:rPr>
          <w:rStyle w:val="18"/>
          <w:rFonts w:hint="eastAsia" w:ascii="仿宋" w:hAnsi="仿宋" w:eastAsia="仿宋"/>
          <w:bCs/>
          <w:sz w:val="32"/>
          <w:szCs w:val="32"/>
        </w:rPr>
        <w:t>（类）</w:t>
      </w:r>
      <w:r>
        <w:rPr>
          <w:rFonts w:hint="default" w:ascii="仿宋" w:hAnsi="仿宋" w:eastAsia="仿宋"/>
          <w:b/>
          <w:bCs/>
          <w:sz w:val="32"/>
          <w:szCs w:val="32"/>
          <w:lang w:eastAsia="zh-CN"/>
        </w:rPr>
        <w:t>行政事业单位医疗</w:t>
      </w:r>
      <w:r>
        <w:rPr>
          <w:rFonts w:hint="default" w:ascii="仿宋" w:hAnsi="仿宋" w:eastAsia="仿宋"/>
          <w:b/>
          <w:bCs/>
          <w:sz w:val="32"/>
          <w:szCs w:val="32"/>
        </w:rPr>
        <w:t>（款）</w:t>
      </w:r>
      <w:r>
        <w:rPr>
          <w:rFonts w:hint="default" w:ascii="仿宋" w:hAnsi="仿宋" w:eastAsia="仿宋"/>
          <w:b/>
          <w:bCs/>
          <w:sz w:val="32"/>
          <w:szCs w:val="32"/>
          <w:lang w:eastAsia="zh-CN"/>
        </w:rPr>
        <w:t>行政单位医疗</w:t>
      </w:r>
      <w:r>
        <w:rPr>
          <w:rFonts w:hint="default" w:ascii="仿宋" w:hAnsi="仿宋" w:eastAsia="仿宋"/>
          <w:b/>
          <w:bCs/>
          <w:sz w:val="32"/>
          <w:szCs w:val="32"/>
        </w:rPr>
        <w:t>（项）:</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7.08</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pPr>
        <w:spacing w:line="600" w:lineRule="exact"/>
        <w:ind w:firstLine="642" w:firstLineChars="200"/>
        <w:rPr>
          <w:rFonts w:hint="eastAsia" w:ascii="Times New Roman" w:hAnsi="Times New Roman" w:eastAsia="仿宋_GB2312" w:cs="Times New Roman"/>
          <w:sz w:val="32"/>
          <w:szCs w:val="32"/>
        </w:rPr>
      </w:pPr>
      <w:r>
        <w:rPr>
          <w:rFonts w:hint="eastAsia" w:ascii="仿宋" w:hAnsi="仿宋" w:eastAsia="仿宋"/>
          <w:b/>
          <w:bCs/>
          <w:sz w:val="32"/>
          <w:szCs w:val="32"/>
          <w:lang w:val="en-US" w:eastAsia="zh-CN"/>
        </w:rPr>
        <w:t>5.</w:t>
      </w:r>
      <w:r>
        <w:rPr>
          <w:rFonts w:hint="eastAsia" w:ascii="仿宋" w:hAnsi="仿宋" w:eastAsia="仿宋"/>
          <w:b/>
          <w:bCs/>
          <w:sz w:val="32"/>
          <w:szCs w:val="32"/>
        </w:rPr>
        <w:t>卫生健康</w:t>
      </w:r>
      <w:r>
        <w:rPr>
          <w:rStyle w:val="18"/>
          <w:rFonts w:hint="eastAsia" w:ascii="仿宋" w:hAnsi="仿宋" w:eastAsia="仿宋"/>
          <w:bCs/>
          <w:sz w:val="32"/>
          <w:szCs w:val="32"/>
        </w:rPr>
        <w:t>（类）</w:t>
      </w:r>
      <w:r>
        <w:rPr>
          <w:rFonts w:hint="default" w:ascii="仿宋" w:hAnsi="仿宋" w:eastAsia="仿宋"/>
          <w:b/>
          <w:bCs/>
          <w:sz w:val="32"/>
          <w:szCs w:val="32"/>
          <w:lang w:eastAsia="zh-CN"/>
        </w:rPr>
        <w:t>行政事业单位医疗</w:t>
      </w:r>
      <w:r>
        <w:rPr>
          <w:rFonts w:hint="default" w:ascii="仿宋" w:hAnsi="仿宋" w:eastAsia="仿宋"/>
          <w:b/>
          <w:bCs/>
          <w:sz w:val="32"/>
          <w:szCs w:val="32"/>
        </w:rPr>
        <w:t>（款）</w:t>
      </w:r>
      <w:r>
        <w:rPr>
          <w:rFonts w:hint="eastAsia" w:ascii="仿宋" w:hAnsi="仿宋" w:eastAsia="仿宋"/>
          <w:b/>
          <w:bCs/>
          <w:sz w:val="32"/>
          <w:szCs w:val="32"/>
          <w:lang w:eastAsia="zh-CN"/>
        </w:rPr>
        <w:t>公务员医疗补助</w:t>
      </w:r>
      <w:r>
        <w:rPr>
          <w:rFonts w:hint="default" w:ascii="仿宋" w:hAnsi="仿宋" w:eastAsia="仿宋"/>
          <w:b/>
          <w:bCs/>
          <w:sz w:val="32"/>
          <w:szCs w:val="32"/>
        </w:rPr>
        <w:t>（项）:</w:t>
      </w:r>
      <w:r>
        <w:rPr>
          <w:rFonts w:hint="eastAsia"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0.54</w:t>
      </w:r>
      <w:r>
        <w:rPr>
          <w:rFonts w:hint="eastAsia" w:ascii="Times New Roman" w:hAnsi="Times New Roman" w:eastAsia="仿宋_GB2312" w:cs="Times New Roman"/>
          <w:sz w:val="32"/>
          <w:szCs w:val="32"/>
        </w:rPr>
        <w:t>万元，完成预算</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w:t>
      </w:r>
    </w:p>
    <w:p>
      <w:pPr>
        <w:pStyle w:val="5"/>
        <w:ind w:firstLine="642" w:firstLineChars="200"/>
        <w:rPr>
          <w:rFonts w:ascii="仿宋" w:hAnsi="仿宋" w:eastAsia="仿宋"/>
          <w:b/>
          <w:sz w:val="32"/>
          <w:szCs w:val="32"/>
        </w:rPr>
      </w:pPr>
      <w:r>
        <w:rPr>
          <w:rFonts w:hint="eastAsia" w:ascii="仿宋" w:hAnsi="仿宋" w:eastAsia="仿宋"/>
          <w:b/>
          <w:bCs/>
          <w:sz w:val="32"/>
          <w:szCs w:val="32"/>
          <w:lang w:val="en-US" w:eastAsia="zh-CN"/>
        </w:rPr>
        <w:t>6.</w:t>
      </w:r>
      <w:r>
        <w:rPr>
          <w:rFonts w:hint="default" w:ascii="仿宋" w:hAnsi="仿宋" w:eastAsia="仿宋"/>
          <w:b/>
          <w:bCs/>
          <w:sz w:val="32"/>
          <w:szCs w:val="32"/>
          <w:lang w:val="en-US" w:eastAsia="zh-CN"/>
        </w:rPr>
        <w:t>住房保障（类）住房保障支出（款）住房</w:t>
      </w:r>
      <w:r>
        <w:rPr>
          <w:rFonts w:hint="eastAsia" w:ascii="仿宋" w:hAnsi="仿宋" w:eastAsia="仿宋"/>
          <w:b/>
          <w:bCs/>
          <w:sz w:val="32"/>
          <w:szCs w:val="32"/>
          <w:lang w:val="en-US" w:eastAsia="zh-CN"/>
        </w:rPr>
        <w:t>公积金</w:t>
      </w:r>
      <w:r>
        <w:rPr>
          <w:rFonts w:hint="default" w:ascii="仿宋" w:hAnsi="仿宋" w:eastAsia="仿宋"/>
          <w:b/>
          <w:bCs/>
          <w:sz w:val="32"/>
          <w:szCs w:val="32"/>
          <w:lang w:val="en-US" w:eastAsia="zh-CN"/>
        </w:rPr>
        <w:t>支出（项）：</w:t>
      </w:r>
      <w:r>
        <w:rPr>
          <w:rFonts w:hint="default" w:ascii="Times New Roman" w:hAnsi="Times New Roman" w:eastAsia="仿宋_GB2312" w:cs="Times New Roman"/>
          <w:kern w:val="2"/>
          <w:sz w:val="32"/>
          <w:szCs w:val="32"/>
          <w:lang w:val="en-US" w:eastAsia="zh-CN" w:bidi="ar-SA"/>
        </w:rPr>
        <w:t>支出决算为</w:t>
      </w:r>
      <w:r>
        <w:rPr>
          <w:rFonts w:hint="eastAsia" w:ascii="Times New Roman" w:hAnsi="Times New Roman" w:eastAsia="仿宋_GB2312" w:cs="Times New Roman"/>
          <w:kern w:val="2"/>
          <w:sz w:val="32"/>
          <w:szCs w:val="32"/>
          <w:lang w:val="en-US" w:eastAsia="zh-CN" w:bidi="ar-SA"/>
        </w:rPr>
        <w:t>10.47</w:t>
      </w:r>
      <w:r>
        <w:rPr>
          <w:rFonts w:hint="default" w:ascii="Times New Roman" w:hAnsi="Times New Roman" w:eastAsia="仿宋_GB2312" w:cs="Times New Roman"/>
          <w:kern w:val="2"/>
          <w:sz w:val="32"/>
          <w:szCs w:val="32"/>
          <w:lang w:val="en-US" w:eastAsia="zh-CN" w:bidi="ar-SA"/>
        </w:rPr>
        <w:t>万元，完成预算</w:t>
      </w:r>
      <w:r>
        <w:rPr>
          <w:rFonts w:hint="eastAsia" w:ascii="Times New Roman" w:hAnsi="Times New Roman" w:eastAsia="仿宋_GB2312" w:cs="Times New Roman"/>
          <w:kern w:val="2"/>
          <w:sz w:val="32"/>
          <w:szCs w:val="32"/>
          <w:lang w:val="en-US" w:eastAsia="zh-CN" w:bidi="ar-SA"/>
        </w:rPr>
        <w:t>100</w:t>
      </w:r>
      <w:r>
        <w:rPr>
          <w:rFonts w:hint="default" w:ascii="Times New Roman" w:hAnsi="Times New Roman" w:eastAsia="仿宋_GB2312" w:cs="Times New Roman"/>
          <w:kern w:val="2"/>
          <w:sz w:val="32"/>
          <w:szCs w:val="32"/>
          <w:lang w:val="en-US" w:eastAsia="zh-CN" w:bidi="ar-SA"/>
        </w:rPr>
        <w:t>%。</w:t>
      </w:r>
    </w:p>
    <w:p>
      <w:pPr>
        <w:tabs>
          <w:tab w:val="right" w:pos="8306"/>
        </w:tabs>
        <w:spacing w:line="600" w:lineRule="exact"/>
        <w:ind w:firstLine="640"/>
        <w:outlineLvl w:val="1"/>
        <w:rPr>
          <w:rStyle w:val="31"/>
        </w:rPr>
      </w:pPr>
      <w:bookmarkStart w:id="49" w:name="_Toc15396608"/>
      <w:bookmarkStart w:id="50" w:name="_Toc15377214"/>
      <w:bookmarkStart w:id="51" w:name="_Toc404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49"/>
      <w:bookmarkEnd w:id="50"/>
      <w:bookmarkEnd w:id="51"/>
      <w:r>
        <w:rPr>
          <w:rStyle w:val="31"/>
          <w:rFonts w:ascii="黑体" w:hAnsi="黑体" w:eastAsia="黑体"/>
          <w:b w:val="0"/>
        </w:rPr>
        <w:tab/>
      </w:r>
    </w:p>
    <w:p>
      <w:pPr>
        <w:spacing w:line="600" w:lineRule="exact"/>
        <w:ind w:firstLine="645"/>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w:t>
      </w:r>
      <w:r>
        <w:rPr>
          <w:rFonts w:hint="eastAsia" w:ascii="Times New Roman" w:hAnsi="Times New Roman" w:eastAsia="仿宋_GB2312" w:cs="Times New Roman"/>
          <w:kern w:val="2"/>
          <w:sz w:val="32"/>
          <w:szCs w:val="32"/>
          <w:lang w:val="en-US" w:eastAsia="zh-CN" w:bidi="ar-SA"/>
        </w:rPr>
        <w:t>22年一般公共预算财政拨款基本支出124.14万元，其中：</w:t>
      </w:r>
    </w:p>
    <w:p>
      <w:pPr>
        <w:spacing w:line="600" w:lineRule="exact"/>
        <w:ind w:firstLine="645"/>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人员经费112.89万元，主要包括：基本工资、津贴补贴、奖金、绩效工资、机关事业单位基本养老保险缴费、职业年金缴费、其他社会保障缴费、其他工资福利支出、生活补助、医疗费补助、奖励金、住房公积金、其他对个人和家庭的补助支出等。</w:t>
      </w:r>
    </w:p>
    <w:p>
      <w:pPr>
        <w:spacing w:line="600" w:lineRule="exact"/>
        <w:ind w:firstLine="640" w:firstLineChars="200"/>
        <w:rPr>
          <w:rFonts w:ascii="仿宋" w:hAnsi="仿宋" w:eastAsia="仿宋"/>
          <w:b/>
          <w:sz w:val="32"/>
          <w:szCs w:val="32"/>
        </w:rPr>
      </w:pPr>
      <w:r>
        <w:rPr>
          <w:rFonts w:hint="eastAsia" w:ascii="Times New Roman" w:hAnsi="Times New Roman" w:eastAsia="仿宋_GB2312" w:cs="Times New Roman"/>
          <w:kern w:val="2"/>
          <w:sz w:val="32"/>
          <w:szCs w:val="32"/>
          <w:lang w:val="en-US" w:eastAsia="zh-CN" w:bidi="ar-SA"/>
        </w:rPr>
        <w:t>公用经费10.25万元，主要包括：办公费、差旅费、工会经费、福利费、其他交通费、其他商品和服务支出等。</w:t>
      </w:r>
    </w:p>
    <w:p>
      <w:pPr>
        <w:spacing w:line="600" w:lineRule="exact"/>
        <w:ind w:firstLine="640"/>
        <w:outlineLvl w:val="1"/>
        <w:rPr>
          <w:rStyle w:val="31"/>
          <w:rFonts w:ascii="黑体" w:hAnsi="黑体" w:eastAsia="黑体"/>
          <w:b w:val="0"/>
        </w:rPr>
      </w:pPr>
      <w:bookmarkStart w:id="52" w:name="_Toc9180"/>
      <w:bookmarkStart w:id="53" w:name="_Toc15377215"/>
      <w:bookmarkStart w:id="54" w:name="_Toc15396609"/>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52"/>
      <w:bookmarkEnd w:id="53"/>
      <w:bookmarkEnd w:id="54"/>
    </w:p>
    <w:p>
      <w:pPr>
        <w:spacing w:line="600" w:lineRule="exact"/>
        <w:ind w:firstLine="640"/>
        <w:outlineLvl w:val="2"/>
        <w:rPr>
          <w:rFonts w:ascii="仿宋" w:hAnsi="仿宋" w:eastAsia="仿宋"/>
          <w:b/>
          <w:sz w:val="32"/>
          <w:szCs w:val="32"/>
        </w:rPr>
      </w:pPr>
      <w:bookmarkStart w:id="55" w:name="_Toc15377216"/>
      <w:r>
        <w:rPr>
          <w:rFonts w:hint="eastAsia" w:ascii="仿宋" w:hAnsi="仿宋" w:eastAsia="仿宋"/>
          <w:b/>
          <w:sz w:val="32"/>
          <w:szCs w:val="32"/>
        </w:rPr>
        <w:t>（一）“三公”经费财政拨款支出决算总体情况说明</w:t>
      </w:r>
      <w:bookmarkEnd w:id="55"/>
    </w:p>
    <w:p>
      <w:pPr>
        <w:spacing w:line="600" w:lineRule="exact"/>
        <w:ind w:firstLine="645"/>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w:t>
      </w:r>
      <w:r>
        <w:rPr>
          <w:rFonts w:hint="eastAsia" w:ascii="Times New Roman" w:hAnsi="Times New Roman" w:eastAsia="仿宋_GB2312" w:cs="Times New Roman"/>
          <w:kern w:val="2"/>
          <w:sz w:val="32"/>
          <w:szCs w:val="32"/>
          <w:lang w:val="en-US" w:eastAsia="zh-CN" w:bidi="ar-SA"/>
        </w:rPr>
        <w:t>22年“三公”经费财政拨款支出决算为0万元，完成预算0</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，较上年无变化。决算数预算数持平。</w:t>
      </w:r>
    </w:p>
    <w:p>
      <w:pPr>
        <w:spacing w:line="600" w:lineRule="exact"/>
        <w:ind w:firstLine="640"/>
        <w:outlineLvl w:val="2"/>
        <w:rPr>
          <w:rFonts w:ascii="仿宋" w:hAnsi="仿宋" w:eastAsia="仿宋"/>
          <w:b/>
          <w:sz w:val="32"/>
          <w:szCs w:val="32"/>
        </w:rPr>
      </w:pPr>
      <w:bookmarkStart w:id="56" w:name="_Toc15377217"/>
      <w:r>
        <w:rPr>
          <w:rFonts w:hint="eastAsia" w:ascii="仿宋" w:hAnsi="仿宋" w:eastAsia="仿宋"/>
          <w:b/>
          <w:sz w:val="32"/>
          <w:szCs w:val="32"/>
        </w:rPr>
        <w:t>（二）“三公”经费财政拨款支出决算具体情况说明</w:t>
      </w:r>
      <w:bookmarkEnd w:id="56"/>
    </w:p>
    <w:p>
      <w:pPr>
        <w:spacing w:line="600" w:lineRule="exact"/>
        <w:ind w:firstLine="645"/>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w:t>
      </w:r>
      <w:r>
        <w:rPr>
          <w:rFonts w:hint="eastAsia" w:ascii="Times New Roman" w:hAnsi="Times New Roman" w:eastAsia="仿宋_GB2312" w:cs="Times New Roman"/>
          <w:kern w:val="2"/>
          <w:sz w:val="32"/>
          <w:szCs w:val="32"/>
          <w:lang w:val="en-US" w:eastAsia="zh-CN" w:bidi="ar-SA"/>
        </w:rPr>
        <w:t>22年“三公”经费财政拨款支出决算中，因公出国（境）费支出决算0万元，占0</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；公务用车购置及运行维护费支出决算0万元，占0</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；公务接待费支出决算0万元，占0</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。具体情况如下：</w:t>
      </w:r>
    </w:p>
    <w:p>
      <w:pPr>
        <w:spacing w:line="600" w:lineRule="exact"/>
        <w:ind w:firstLine="640"/>
        <w:rPr>
          <w:rFonts w:hint="default" w:ascii="Times New Roman" w:hAnsi="Times New Roman" w:eastAsia="仿宋_GB2312" w:cs="Times New Roman"/>
          <w:kern w:val="2"/>
          <w:sz w:val="32"/>
          <w:szCs w:val="32"/>
          <w:lang w:val="en-US" w:eastAsia="zh-CN" w:bidi="ar-SA"/>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Times New Roman" w:hAnsi="Times New Roman" w:eastAsia="仿宋_GB2312" w:cs="Times New Roman"/>
          <w:kern w:val="2"/>
          <w:sz w:val="32"/>
          <w:szCs w:val="32"/>
          <w:lang w:val="en-US" w:eastAsia="zh-CN" w:bidi="ar-SA"/>
        </w:rPr>
        <w:t>0万元，完成预算0</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。全年安排因公出国（境）团组0次，出国（境）0人。因公出国（境）支出决算与</w:t>
      </w:r>
      <w:r>
        <w:rPr>
          <w:rFonts w:hint="default" w:ascii="Times New Roman" w:hAnsi="Times New Roman" w:eastAsia="仿宋_GB2312" w:cs="Times New Roman"/>
          <w:kern w:val="2"/>
          <w:sz w:val="32"/>
          <w:szCs w:val="32"/>
          <w:lang w:val="en-US" w:eastAsia="zh-CN" w:bidi="ar-SA"/>
        </w:rPr>
        <w:t>20</w:t>
      </w:r>
      <w:r>
        <w:rPr>
          <w:rFonts w:hint="eastAsia" w:ascii="Times New Roman" w:hAnsi="Times New Roman" w:eastAsia="仿宋_GB2312" w:cs="Times New Roman"/>
          <w:kern w:val="2"/>
          <w:sz w:val="32"/>
          <w:szCs w:val="32"/>
          <w:lang w:val="en-US" w:eastAsia="zh-CN" w:bidi="ar-SA"/>
        </w:rPr>
        <w:t>21年无变化。</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Times New Roman" w:hAnsi="Times New Roman" w:eastAsia="仿宋_GB2312" w:cs="Times New Roman"/>
          <w:kern w:val="2"/>
          <w:sz w:val="32"/>
          <w:szCs w:val="32"/>
          <w:lang w:val="en-US" w:eastAsia="zh-CN" w:bidi="ar-SA"/>
        </w:rPr>
        <w:t>万元,完成预算0%。公务用车购置及运行维护费支出决算与2021年无变化。</w:t>
      </w:r>
    </w:p>
    <w:p>
      <w:p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Times New Roman" w:hAnsi="Times New Roman" w:eastAsia="仿宋_GB2312" w:cs="Times New Roman"/>
          <w:kern w:val="2"/>
          <w:sz w:val="32"/>
          <w:szCs w:val="32"/>
          <w:lang w:val="en-US" w:eastAsia="zh-CN" w:bidi="ar-SA"/>
        </w:rPr>
        <w:t>0万元。全年按规定更新购置公务用车0辆，其中：轿车0辆、金额0万元，越野车0辆、金额0万元，载客汽车0辆、金额0万元。截至2022年12月底，单位共有公务用车0辆，其中：轿车0辆、越野车0辆、载客汽车0辆。</w:t>
      </w:r>
    </w:p>
    <w:p>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hint="eastAsia" w:ascii="Times New Roman" w:hAnsi="Times New Roman" w:eastAsia="仿宋_GB2312" w:cs="Times New Roman"/>
          <w:kern w:val="2"/>
          <w:sz w:val="32"/>
          <w:szCs w:val="32"/>
          <w:lang w:val="en-US" w:eastAsia="zh-CN" w:bidi="ar-SA"/>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Times New Roman" w:hAnsi="Times New Roman" w:eastAsia="仿宋_GB2312" w:cs="Times New Roman"/>
          <w:kern w:val="2"/>
          <w:sz w:val="32"/>
          <w:szCs w:val="32"/>
          <w:lang w:val="en-US" w:eastAsia="zh-CN" w:bidi="ar-SA"/>
        </w:rPr>
        <w:t>0万元，完成预算0%。公务接待费支出决算与2021年增无变化。其中：</w:t>
      </w:r>
    </w:p>
    <w:p>
      <w:pPr>
        <w:spacing w:line="600" w:lineRule="exact"/>
        <w:ind w:firstLine="640"/>
        <w:rPr>
          <w:rFonts w:hint="eastAsia" w:ascii="Times New Roman" w:hAnsi="Times New Roman" w:eastAsia="仿宋_GB2312" w:cs="Times New Roman"/>
          <w:kern w:val="2"/>
          <w:sz w:val="32"/>
          <w:szCs w:val="32"/>
          <w:lang w:val="en-US" w:eastAsia="zh-CN" w:bidi="ar-SA"/>
        </w:rPr>
      </w:pPr>
      <w:r>
        <w:rPr>
          <w:rFonts w:hint="eastAsia" w:ascii="仿宋" w:hAnsi="仿宋" w:eastAsia="仿宋"/>
          <w:b/>
          <w:sz w:val="32"/>
          <w:szCs w:val="32"/>
        </w:rPr>
        <w:t>国内公务接待支出</w:t>
      </w:r>
      <w:r>
        <w:rPr>
          <w:rFonts w:hint="eastAsia" w:ascii="Times New Roman" w:hAnsi="Times New Roman" w:eastAsia="仿宋_GB2312" w:cs="Times New Roman"/>
          <w:kern w:val="2"/>
          <w:sz w:val="32"/>
          <w:szCs w:val="32"/>
          <w:lang w:val="en-US" w:eastAsia="zh-CN" w:bidi="ar-SA"/>
        </w:rPr>
        <w:t>0万元。国内公务接待0批次，0人次（不包括陪同人员），共计支出0万元。</w:t>
      </w:r>
    </w:p>
    <w:p>
      <w:pPr>
        <w:spacing w:line="600" w:lineRule="exact"/>
        <w:ind w:firstLine="642" w:firstLineChars="200"/>
        <w:rPr>
          <w:rFonts w:hint="eastAsia" w:ascii="Times New Roman" w:hAnsi="Times New Roman" w:eastAsia="仿宋_GB2312" w:cs="Times New Roman"/>
          <w:kern w:val="2"/>
          <w:sz w:val="32"/>
          <w:szCs w:val="32"/>
          <w:lang w:val="en-US" w:eastAsia="zh-CN" w:bidi="ar-SA"/>
        </w:rPr>
      </w:pPr>
      <w:r>
        <w:rPr>
          <w:rFonts w:hint="eastAsia" w:ascii="仿宋" w:hAnsi="仿宋" w:eastAsia="仿宋"/>
          <w:b/>
          <w:sz w:val="32"/>
          <w:szCs w:val="32"/>
        </w:rPr>
        <w:t>外事接待支出</w:t>
      </w:r>
      <w:r>
        <w:rPr>
          <w:rFonts w:hint="eastAsia" w:ascii="Times New Roman" w:hAnsi="Times New Roman" w:eastAsia="仿宋_GB2312" w:cs="Times New Roman"/>
          <w:kern w:val="2"/>
          <w:sz w:val="32"/>
          <w:szCs w:val="32"/>
          <w:lang w:val="en-US" w:eastAsia="zh-CN" w:bidi="ar-SA"/>
        </w:rPr>
        <w:t>0万元。外事接待0批次，0人次（不包括陪同人员），共计支出0万元。</w:t>
      </w:r>
      <w:bookmarkStart w:id="57" w:name="_Toc15396610"/>
      <w:bookmarkStart w:id="58" w:name="_Toc15377218"/>
    </w:p>
    <w:p>
      <w:pPr>
        <w:spacing w:line="600" w:lineRule="exact"/>
        <w:ind w:firstLine="640"/>
        <w:outlineLvl w:val="1"/>
        <w:rPr>
          <w:rStyle w:val="31"/>
          <w:rFonts w:ascii="黑体" w:hAnsi="黑体" w:eastAsia="黑体"/>
        </w:rPr>
      </w:pPr>
      <w:bookmarkStart w:id="59" w:name="_Toc11333"/>
      <w:r>
        <w:rPr>
          <w:rFonts w:hint="eastAsia" w:ascii="黑体" w:eastAsia="黑体"/>
          <w:sz w:val="32"/>
          <w:szCs w:val="32"/>
        </w:rPr>
        <w:t>八、</w:t>
      </w:r>
      <w:r>
        <w:rPr>
          <w:rStyle w:val="31"/>
          <w:rFonts w:hint="eastAsia" w:ascii="黑体" w:hAnsi="黑体" w:eastAsia="黑体"/>
          <w:b w:val="0"/>
        </w:rPr>
        <w:t>政府性基金预算支出决算情况说明</w:t>
      </w:r>
      <w:bookmarkEnd w:id="57"/>
      <w:bookmarkEnd w:id="58"/>
      <w:bookmarkEnd w:id="59"/>
    </w:p>
    <w:p>
      <w:p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2022年政府性基金预算财政拨款支出4.14万元。</w:t>
      </w:r>
    </w:p>
    <w:p>
      <w:p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本部门在202</w:t>
      </w: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年度部门决算中共有“推进西区机关、群团、事业单位登记管理档案电子化管理经费”“机构编制核查及实名制系统维护</w:t>
      </w:r>
      <w:r>
        <w:rPr>
          <w:rFonts w:hint="eastAsia" w:ascii="Times New Roman" w:hAnsi="Times New Roman" w:eastAsia="仿宋_GB2312" w:cs="Times New Roman"/>
          <w:kern w:val="2"/>
          <w:sz w:val="32"/>
          <w:szCs w:val="32"/>
          <w:lang w:val="en-US" w:eastAsia="zh-CN" w:bidi="ar-SA"/>
        </w:rPr>
        <w:t>经费</w:t>
      </w:r>
      <w:r>
        <w:rPr>
          <w:rFonts w:hint="default" w:ascii="Times New Roman" w:hAnsi="Times New Roman" w:eastAsia="仿宋_GB2312" w:cs="Times New Roman"/>
          <w:kern w:val="2"/>
          <w:sz w:val="32"/>
          <w:szCs w:val="32"/>
          <w:lang w:val="en-US" w:eastAsia="zh-CN" w:bidi="ar-SA"/>
        </w:rPr>
        <w:t>”“机构改革业务费”三个项目。本年度共计支出</w:t>
      </w:r>
      <w:r>
        <w:rPr>
          <w:rFonts w:hint="eastAsia" w:ascii="Times New Roman" w:hAnsi="Times New Roman" w:eastAsia="仿宋_GB2312" w:cs="Times New Roman"/>
          <w:kern w:val="2"/>
          <w:sz w:val="32"/>
          <w:szCs w:val="32"/>
          <w:lang w:val="en-US" w:eastAsia="zh-CN" w:bidi="ar-SA"/>
        </w:rPr>
        <w:t>4.14</w:t>
      </w:r>
      <w:r>
        <w:rPr>
          <w:rFonts w:hint="default" w:ascii="Times New Roman" w:hAnsi="Times New Roman" w:eastAsia="仿宋_GB2312" w:cs="Times New Roman"/>
          <w:kern w:val="2"/>
          <w:sz w:val="32"/>
          <w:szCs w:val="32"/>
          <w:lang w:val="en-US" w:eastAsia="zh-CN" w:bidi="ar-SA"/>
        </w:rPr>
        <w:t>万元。</w:t>
      </w:r>
    </w:p>
    <w:p>
      <w:pPr>
        <w:numPr>
          <w:ilvl w:val="0"/>
          <w:numId w:val="2"/>
        </w:numPr>
        <w:spacing w:line="600" w:lineRule="exact"/>
        <w:ind w:firstLine="640"/>
        <w:outlineLvl w:val="1"/>
        <w:rPr>
          <w:rStyle w:val="31"/>
          <w:rFonts w:ascii="黑体" w:hAnsi="黑体" w:eastAsia="黑体"/>
          <w:b w:val="0"/>
        </w:rPr>
      </w:pPr>
      <w:bookmarkStart w:id="60" w:name="_Toc15377219"/>
      <w:bookmarkStart w:id="61" w:name="_Toc15396611"/>
      <w:bookmarkStart w:id="62" w:name="_Toc9524"/>
      <w:r>
        <w:rPr>
          <w:rStyle w:val="31"/>
          <w:rFonts w:hint="eastAsia" w:ascii="黑体" w:hAnsi="黑体" w:eastAsia="黑体"/>
          <w:b w:val="0"/>
        </w:rPr>
        <w:t>国有资本经营预算支出决算情况说明</w:t>
      </w:r>
      <w:bookmarkEnd w:id="60"/>
      <w:bookmarkEnd w:id="61"/>
      <w:bookmarkEnd w:id="62"/>
    </w:p>
    <w:p>
      <w:pPr>
        <w:spacing w:line="600" w:lineRule="exact"/>
        <w:ind w:firstLine="640"/>
        <w:rPr>
          <w:rFonts w:ascii="方正小标宋简体" w:hAnsi="方正小标宋简体" w:eastAsia="方正小标宋简体" w:cs="方正小标宋简体"/>
          <w:sz w:val="44"/>
          <w:szCs w:val="44"/>
        </w:rPr>
      </w:pPr>
      <w:r>
        <w:rPr>
          <w:rFonts w:hint="eastAsia" w:ascii="Times New Roman" w:hAnsi="Times New Roman" w:eastAsia="仿宋_GB2312" w:cs="Times New Roman"/>
          <w:kern w:val="2"/>
          <w:sz w:val="32"/>
          <w:szCs w:val="32"/>
          <w:lang w:val="en-US" w:eastAsia="zh-CN" w:bidi="ar-SA"/>
        </w:rPr>
        <w:t>2022年国有资本经营预算财政拨款支出0万元。</w:t>
      </w:r>
    </w:p>
    <w:p>
      <w:pPr>
        <w:numPr>
          <w:ilvl w:val="0"/>
          <w:numId w:val="2"/>
        </w:numPr>
        <w:spacing w:line="600" w:lineRule="exact"/>
        <w:ind w:firstLine="640"/>
        <w:outlineLvl w:val="1"/>
        <w:rPr>
          <w:rStyle w:val="31"/>
          <w:rFonts w:ascii="黑体" w:hAnsi="黑体" w:eastAsia="黑体"/>
          <w:b w:val="0"/>
        </w:rPr>
      </w:pPr>
      <w:bookmarkStart w:id="63" w:name="_Toc15396612"/>
      <w:bookmarkStart w:id="64" w:name="_Toc15377221"/>
      <w:bookmarkStart w:id="65" w:name="_Toc9239"/>
      <w:r>
        <w:rPr>
          <w:rStyle w:val="31"/>
          <w:rFonts w:hint="eastAsia" w:ascii="黑体" w:hAnsi="黑体" w:eastAsia="黑体"/>
          <w:b w:val="0"/>
        </w:rPr>
        <w:t>其他重要事项的情况说明</w:t>
      </w:r>
      <w:bookmarkEnd w:id="63"/>
      <w:bookmarkEnd w:id="64"/>
      <w:bookmarkEnd w:id="65"/>
    </w:p>
    <w:p>
      <w:pPr>
        <w:spacing w:line="600" w:lineRule="exact"/>
        <w:ind w:firstLine="642" w:firstLineChars="200"/>
        <w:outlineLvl w:val="2"/>
        <w:rPr>
          <w:rFonts w:ascii="仿宋" w:hAnsi="仿宋" w:eastAsia="仿宋"/>
          <w:sz w:val="32"/>
          <w:szCs w:val="32"/>
        </w:rPr>
      </w:pPr>
      <w:bookmarkStart w:id="66" w:name="_Toc15377222"/>
      <w:r>
        <w:rPr>
          <w:rFonts w:hint="eastAsia" w:ascii="仿宋" w:hAnsi="仿宋" w:eastAsia="仿宋"/>
          <w:b/>
          <w:sz w:val="32"/>
          <w:szCs w:val="32"/>
        </w:rPr>
        <w:t>（一）机关运行经费支出情况</w:t>
      </w:r>
      <w:bookmarkEnd w:id="66"/>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2022年，中共四川省攀枝花市西区区委机构编制委员会办公室机关运行经费支出10.25万元，比2021年减少4.52万元，下降30.6%。主要原因是人员减少和厉行节约引起。</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67" w:name="_Toc15377223"/>
      <w:r>
        <w:rPr>
          <w:rFonts w:hint="eastAsia" w:ascii="仿宋" w:hAnsi="仿宋" w:eastAsia="仿宋"/>
          <w:b/>
          <w:sz w:val="32"/>
          <w:szCs w:val="32"/>
        </w:rPr>
        <w:t>（二）政府采购支出情况</w:t>
      </w:r>
      <w:bookmarkEnd w:id="67"/>
    </w:p>
    <w:p>
      <w:pPr>
        <w:spacing w:line="60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2022年，0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68" w:name="_Toc15377224"/>
      <w:r>
        <w:rPr>
          <w:rFonts w:hint="eastAsia" w:ascii="仿宋" w:hAnsi="仿宋" w:eastAsia="仿宋"/>
          <w:b/>
          <w:sz w:val="32"/>
          <w:szCs w:val="32"/>
        </w:rPr>
        <w:t>（三）国有资产占有使用情况</w:t>
      </w:r>
      <w:bookmarkEnd w:id="68"/>
    </w:p>
    <w:p>
      <w:pPr>
        <w:spacing w:line="600" w:lineRule="exact"/>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截至</w:t>
      </w:r>
      <w:r>
        <w:rPr>
          <w:rFonts w:hint="default" w:ascii="Times New Roman" w:hAnsi="Times New Roman" w:eastAsia="仿宋_GB2312" w:cs="Times New Roman"/>
          <w:kern w:val="2"/>
          <w:sz w:val="32"/>
          <w:szCs w:val="32"/>
          <w:lang w:val="en-US" w:eastAsia="zh-CN" w:bidi="ar-SA"/>
        </w:rPr>
        <w:t>20</w:t>
      </w:r>
      <w:r>
        <w:rPr>
          <w:rFonts w:hint="eastAsia" w:ascii="Times New Roman" w:hAnsi="Times New Roman" w:eastAsia="仿宋_GB2312" w:cs="Times New Roman"/>
          <w:kern w:val="2"/>
          <w:sz w:val="32"/>
          <w:szCs w:val="32"/>
          <w:lang w:val="en-US" w:eastAsia="zh-CN" w:bidi="ar-SA"/>
        </w:rPr>
        <w:t>22年</w:t>
      </w:r>
      <w:r>
        <w:rPr>
          <w:rFonts w:hint="default" w:ascii="Times New Roman" w:hAnsi="Times New Roman" w:eastAsia="仿宋_GB2312" w:cs="Times New Roman"/>
          <w:kern w:val="2"/>
          <w:sz w:val="32"/>
          <w:szCs w:val="32"/>
          <w:lang w:val="en-US" w:eastAsia="zh-CN" w:bidi="ar-SA"/>
        </w:rPr>
        <w:t>12</w:t>
      </w:r>
      <w:r>
        <w:rPr>
          <w:rFonts w:hint="eastAsia" w:ascii="Times New Roman" w:hAnsi="Times New Roman" w:eastAsia="仿宋_GB2312" w:cs="Times New Roman"/>
          <w:kern w:val="2"/>
          <w:sz w:val="32"/>
          <w:szCs w:val="32"/>
          <w:lang w:val="en-US" w:eastAsia="zh-CN" w:bidi="ar-SA"/>
        </w:rPr>
        <w:t>月</w:t>
      </w:r>
      <w:r>
        <w:rPr>
          <w:rFonts w:hint="default" w:ascii="Times New Roman" w:hAnsi="Times New Roman" w:eastAsia="仿宋_GB2312" w:cs="Times New Roman"/>
          <w:kern w:val="2"/>
          <w:sz w:val="32"/>
          <w:szCs w:val="32"/>
          <w:lang w:val="en-US" w:eastAsia="zh-CN" w:bidi="ar-SA"/>
        </w:rPr>
        <w:t>31</w:t>
      </w:r>
      <w:r>
        <w:rPr>
          <w:rFonts w:hint="eastAsia" w:ascii="Times New Roman" w:hAnsi="Times New Roman" w:eastAsia="仿宋_GB2312" w:cs="Times New Roman"/>
          <w:kern w:val="2"/>
          <w:sz w:val="32"/>
          <w:szCs w:val="32"/>
          <w:lang w:val="en-US" w:eastAsia="zh-CN" w:bidi="ar-SA"/>
        </w:rPr>
        <w:t>日，</w:t>
      </w:r>
      <w:r>
        <w:rPr>
          <w:rFonts w:hint="default" w:ascii="Times New Roman" w:hAnsi="Times New Roman" w:eastAsia="仿宋_GB2312" w:cs="Times New Roman"/>
          <w:kern w:val="2"/>
          <w:sz w:val="32"/>
          <w:szCs w:val="32"/>
          <w:lang w:val="en-US" w:eastAsia="zh-CN" w:bidi="ar-SA"/>
        </w:rPr>
        <w:t>中共四川省攀枝花市西区区委机构编制委员会办公室</w:t>
      </w:r>
      <w:r>
        <w:rPr>
          <w:rFonts w:hint="eastAsia" w:ascii="Times New Roman" w:hAnsi="Times New Roman" w:eastAsia="仿宋_GB2312" w:cs="Times New Roman"/>
          <w:kern w:val="2"/>
          <w:sz w:val="32"/>
          <w:szCs w:val="32"/>
          <w:lang w:val="en-US" w:eastAsia="zh-CN" w:bidi="ar-SA"/>
        </w:rPr>
        <w:t>共有车辆0辆，其中：主要领导干部用车0辆、机要通信用车0辆、应急保障用车0辆、其他用车0辆。单价</w:t>
      </w:r>
      <w:r>
        <w:rPr>
          <w:rFonts w:hint="default" w:ascii="Times New Roman" w:hAnsi="Times New Roman" w:eastAsia="仿宋_GB2312" w:cs="Times New Roman"/>
          <w:kern w:val="2"/>
          <w:sz w:val="32"/>
          <w:szCs w:val="32"/>
          <w:lang w:val="en-US" w:eastAsia="zh-CN" w:bidi="ar-SA"/>
        </w:rPr>
        <w:t>100</w:t>
      </w:r>
      <w:r>
        <w:rPr>
          <w:rFonts w:hint="eastAsia" w:ascii="Times New Roman" w:hAnsi="Times New Roman" w:eastAsia="仿宋_GB2312" w:cs="Times New Roman"/>
          <w:kern w:val="2"/>
          <w:sz w:val="32"/>
          <w:szCs w:val="32"/>
          <w:lang w:val="en-US" w:eastAsia="zh-CN" w:bidi="ar-SA"/>
        </w:rPr>
        <w:t>万元以上专用设备0台（套）。</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根据预算绩效管理要求，本部门在2022年度预算编制阶段，组织对</w:t>
      </w:r>
      <w:r>
        <w:rPr>
          <w:rFonts w:hint="default" w:ascii="Times New Roman" w:hAnsi="Times New Roman" w:eastAsia="仿宋_GB2312" w:cs="Times New Roman"/>
          <w:kern w:val="2"/>
          <w:sz w:val="32"/>
          <w:szCs w:val="32"/>
          <w:lang w:val="en-US" w:eastAsia="zh-CN" w:bidi="ar-SA"/>
        </w:rPr>
        <w:t>“推进西区机关、群团、事业单位登记管理档案电子化管理经费”“机构编制核查及实名制系统维护</w:t>
      </w:r>
      <w:r>
        <w:rPr>
          <w:rFonts w:hint="eastAsia" w:ascii="Times New Roman" w:hAnsi="Times New Roman" w:eastAsia="仿宋_GB2312" w:cs="Times New Roman"/>
          <w:kern w:val="2"/>
          <w:sz w:val="32"/>
          <w:szCs w:val="32"/>
          <w:lang w:val="en-US" w:eastAsia="zh-CN" w:bidi="ar-SA"/>
        </w:rPr>
        <w:t>经费</w:t>
      </w:r>
      <w:r>
        <w:rPr>
          <w:rFonts w:hint="default" w:ascii="Times New Roman" w:hAnsi="Times New Roman" w:eastAsia="仿宋_GB2312" w:cs="Times New Roman"/>
          <w:kern w:val="2"/>
          <w:sz w:val="32"/>
          <w:szCs w:val="32"/>
          <w:lang w:val="en-US" w:eastAsia="zh-CN" w:bidi="ar-SA"/>
        </w:rPr>
        <w:t>”“机构改革业务费”</w:t>
      </w:r>
      <w:r>
        <w:rPr>
          <w:rFonts w:hint="eastAsia" w:ascii="Times New Roman" w:hAnsi="Times New Roman" w:eastAsia="仿宋_GB2312" w:cs="Times New Roman"/>
          <w:kern w:val="2"/>
          <w:sz w:val="32"/>
          <w:szCs w:val="32"/>
          <w:lang w:val="en-US" w:eastAsia="zh-CN" w:bidi="ar-SA"/>
        </w:rPr>
        <w:t>3个项目开展了预算事前绩效评估，对3个项目编制了绩效目标，预算执行过程中，选取3个项目开展绩效监控。</w:t>
      </w:r>
    </w:p>
    <w:p>
      <w:pPr>
        <w:spacing w:line="600" w:lineRule="exact"/>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组织对2022年度一般公共预算、政府性基金预算等全面开展绩效自评，形成《2022年西区区委编办部门整体绩效评价报告》，其中，西区区委编办部门整体（含部门预算项目）绩效自评得分为97分，绩效自评综述：我办严格遵守各项财经纪律和财务管理制度，及时公开预决算，自觉接受财政和社会监督。加强财务管理，强化预算编制和执行，有效实施内部监督和控制，保证会计资料的真实性和完整性。实行“收支两条线”，确保财务收支平衡，加强财产物资管理，保障各项工作正常开展和目标任务完成。整体支出平稳，较好地实现社会效益目标。绩效自评报告详见附件。</w:t>
      </w:r>
      <w:r>
        <w:rPr>
          <w:rFonts w:hint="eastAsia" w:ascii="Times New Roman" w:hAnsi="Times New Roman" w:eastAsia="仿宋_GB2312" w:cs="Times New Roman"/>
          <w:kern w:val="2"/>
          <w:sz w:val="32"/>
          <w:szCs w:val="32"/>
          <w:lang w:val="en-US" w:eastAsia="zh-CN" w:bidi="ar-SA"/>
        </w:rPr>
        <w:br w:type="page"/>
      </w:r>
    </w:p>
    <w:p>
      <w:pPr>
        <w:numPr>
          <w:ilvl w:val="0"/>
          <w:numId w:val="3"/>
        </w:numPr>
        <w:spacing w:line="600" w:lineRule="exact"/>
        <w:ind w:firstLine="660" w:firstLineChars="150"/>
        <w:jc w:val="center"/>
        <w:outlineLvl w:val="0"/>
        <w:rPr>
          <w:rStyle w:val="30"/>
          <w:rFonts w:ascii="黑体" w:hAnsi="黑体" w:eastAsia="黑体"/>
          <w:b w:val="0"/>
        </w:rPr>
      </w:pPr>
      <w:bookmarkStart w:id="69" w:name="_Toc15396613"/>
      <w:bookmarkStart w:id="70" w:name="_Toc18889"/>
      <w:bookmarkStart w:id="71" w:name="_Toc15377225"/>
      <w:r>
        <w:rPr>
          <w:rFonts w:hint="eastAsia" w:ascii="黑体" w:hAnsi="黑体" w:eastAsia="黑体"/>
          <w:sz w:val="44"/>
          <w:szCs w:val="44"/>
        </w:rPr>
        <w:t>名</w:t>
      </w:r>
      <w:r>
        <w:rPr>
          <w:rStyle w:val="30"/>
          <w:rFonts w:hint="eastAsia" w:ascii="黑体" w:hAnsi="黑体" w:eastAsia="黑体"/>
          <w:b w:val="0"/>
        </w:rPr>
        <w:t>词解释</w:t>
      </w:r>
      <w:bookmarkEnd w:id="69"/>
      <w:bookmarkEnd w:id="70"/>
      <w:bookmarkEnd w:id="71"/>
    </w:p>
    <w:p>
      <w:pPr>
        <w:spacing w:line="600" w:lineRule="exact"/>
        <w:jc w:val="left"/>
        <w:rPr>
          <w:rFonts w:ascii="宋体"/>
          <w:b/>
          <w:sz w:val="44"/>
          <w:szCs w:val="44"/>
        </w:rPr>
      </w:pPr>
    </w:p>
    <w:p>
      <w:pPr>
        <w:pStyle w:val="28"/>
        <w:spacing w:line="560" w:lineRule="exact"/>
        <w:ind w:firstLine="640" w:firstLineChars="200"/>
        <w:outlineLvl w:val="1"/>
        <w:rPr>
          <w:rFonts w:hint="eastAsia" w:ascii="Times New Roman" w:hAnsi="Times New Roman" w:eastAsia="仿宋_GB2312" w:cs="Times New Roman"/>
          <w:color w:val="auto"/>
          <w:kern w:val="2"/>
          <w:sz w:val="32"/>
          <w:szCs w:val="32"/>
          <w:lang w:val="en-US" w:eastAsia="zh-CN" w:bidi="ar-SA"/>
        </w:rPr>
      </w:pPr>
      <w:bookmarkStart w:id="72" w:name="_Toc4942"/>
      <w:r>
        <w:rPr>
          <w:rFonts w:hint="eastAsia" w:ascii="Times New Roman" w:hAnsi="Times New Roman" w:eastAsia="仿宋_GB2312" w:cs="Times New Roman"/>
          <w:color w:val="auto"/>
          <w:kern w:val="2"/>
          <w:sz w:val="32"/>
          <w:szCs w:val="32"/>
          <w:lang w:val="en-US" w:eastAsia="zh-CN" w:bidi="ar-SA"/>
        </w:rPr>
        <w:t>1.财政拨款收入：指单位从同级财政部门取得的财政预算资金。</w:t>
      </w:r>
      <w:bookmarkEnd w:id="72"/>
    </w:p>
    <w:p>
      <w:pPr>
        <w:pStyle w:val="28"/>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2.其他收入：指单位取得的除上述收入以外的各项收入。主要是利息收入等。 </w:t>
      </w:r>
    </w:p>
    <w:p>
      <w:pPr>
        <w:pStyle w:val="28"/>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3.使用非财政拨款结余：指事业单位使用以前年度积累的非财政拨款结余弥补当年收支差额的金额。 </w:t>
      </w:r>
    </w:p>
    <w:p>
      <w:pPr>
        <w:pStyle w:val="28"/>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4.年初结转和结余：指以前年度尚未完成、结转到本年按有关规定继续使用的资金。 </w:t>
      </w:r>
    </w:p>
    <w:p>
      <w:pPr>
        <w:pStyle w:val="28"/>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5.结余分配：指事业单位按照会计制度规定缴纳的所得税、提取的专用结余以及转入非财政拨款结余的金额等。</w:t>
      </w:r>
    </w:p>
    <w:p>
      <w:pPr>
        <w:pStyle w:val="28"/>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6.年末结转和结余：指单位按有关规定结转到下年或以后年度继续使用的资金。</w:t>
      </w:r>
    </w:p>
    <w:p>
      <w:pPr>
        <w:spacing w:line="60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7.一般公共服务（类）</w:t>
      </w:r>
      <w:r>
        <w:rPr>
          <w:rFonts w:hint="default" w:ascii="Times New Roman" w:hAnsi="Times New Roman" w:eastAsia="仿宋_GB2312" w:cs="Times New Roman"/>
          <w:color w:val="auto"/>
          <w:kern w:val="2"/>
          <w:sz w:val="32"/>
          <w:szCs w:val="32"/>
          <w:lang w:val="en-US" w:eastAsia="zh-CN" w:bidi="ar-SA"/>
        </w:rPr>
        <w:t>其他共产党事务支出（款）行政运行（项）：</w:t>
      </w:r>
      <w:r>
        <w:rPr>
          <w:rFonts w:hint="eastAsia" w:ascii="Times New Roman" w:hAnsi="Times New Roman" w:eastAsia="仿宋_GB2312" w:cs="Times New Roman"/>
          <w:color w:val="auto"/>
          <w:kern w:val="2"/>
          <w:sz w:val="32"/>
          <w:szCs w:val="32"/>
          <w:lang w:val="en-US" w:eastAsia="zh-CN" w:bidi="ar-SA"/>
        </w:rPr>
        <w:t xml:space="preserve"> 指其他用于中国共产党事务的支出，反映行政单位（包括实行公务员管理的事业单位）的基本支出。</w:t>
      </w:r>
    </w:p>
    <w:p>
      <w:pPr>
        <w:spacing w:line="60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8.社会保障和就业（类）</w:t>
      </w:r>
      <w:r>
        <w:rPr>
          <w:rFonts w:hint="default" w:ascii="Times New Roman" w:hAnsi="Times New Roman" w:eastAsia="仿宋_GB2312" w:cs="Times New Roman"/>
          <w:color w:val="auto"/>
          <w:kern w:val="2"/>
          <w:sz w:val="32"/>
          <w:szCs w:val="32"/>
          <w:lang w:val="en-US" w:eastAsia="zh-CN" w:bidi="ar-SA"/>
        </w:rPr>
        <w:t>行政事业单位养老支出（款）机关事业单位基本养老保险缴费支出（项）</w:t>
      </w:r>
      <w:r>
        <w:rPr>
          <w:rFonts w:hint="eastAsia" w:ascii="Times New Roman" w:hAnsi="Times New Roman" w:eastAsia="仿宋_GB2312" w:cs="Times New Roman"/>
          <w:color w:val="auto"/>
          <w:kern w:val="2"/>
          <w:sz w:val="32"/>
          <w:szCs w:val="32"/>
          <w:lang w:val="en-US" w:eastAsia="zh-CN" w:bidi="ar-SA"/>
        </w:rPr>
        <w:t>: 指反映用于行政事业单位养老方面的支出，反映机关事业单位实施养老保险制度由单位缴纳的基本养老保险费支出。</w:t>
      </w:r>
    </w:p>
    <w:p>
      <w:pPr>
        <w:spacing w:line="60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9.卫生健康（类）</w:t>
      </w:r>
      <w:r>
        <w:rPr>
          <w:rFonts w:hint="default" w:ascii="Times New Roman" w:hAnsi="Times New Roman" w:eastAsia="仿宋_GB2312" w:cs="Times New Roman"/>
          <w:color w:val="auto"/>
          <w:kern w:val="2"/>
          <w:sz w:val="32"/>
          <w:szCs w:val="32"/>
          <w:lang w:val="en-US" w:eastAsia="zh-CN" w:bidi="ar-SA"/>
        </w:rPr>
        <w:t>行政事业单位医疗（款）行政单位医疗（项）:</w:t>
      </w:r>
      <w:r>
        <w:rPr>
          <w:rFonts w:hint="eastAsia" w:ascii="Times New Roman" w:hAnsi="Times New Roman" w:eastAsia="仿宋_GB2312" w:cs="Times New Roman"/>
          <w:color w:val="auto"/>
          <w:kern w:val="2"/>
          <w:sz w:val="32"/>
          <w:szCs w:val="32"/>
          <w:lang w:val="en-US" w:eastAsia="zh-CN" w:bidi="ar-SA"/>
        </w:rPr>
        <w:t>指反映财政部门安排的行政单位（包括实行公务员管理的事业单位，下同）基本医疗保险缴费经费，未参加医疗保险的行政单位的公费医疗经费，按国家规定享受离休人员、红军老战士待遇人员的医疗经费。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10.</w:t>
      </w:r>
      <w:r>
        <w:rPr>
          <w:rFonts w:hint="default" w:ascii="Times New Roman" w:hAnsi="Times New Roman" w:eastAsia="仿宋_GB2312" w:cs="Times New Roman"/>
          <w:color w:val="auto"/>
          <w:kern w:val="2"/>
          <w:sz w:val="32"/>
          <w:szCs w:val="32"/>
          <w:lang w:val="en-US" w:eastAsia="zh-CN" w:bidi="ar-SA"/>
        </w:rPr>
        <w:t>卫生健康（类）行政事业单位医疗（款）公务员医疗补助（项）:</w:t>
      </w:r>
      <w:r>
        <w:rPr>
          <w:rFonts w:hint="eastAsia" w:ascii="Times New Roman" w:hAnsi="Times New Roman" w:eastAsia="仿宋_GB2312" w:cs="Times New Roman"/>
          <w:color w:val="auto"/>
          <w:kern w:val="2"/>
          <w:sz w:val="32"/>
          <w:szCs w:val="32"/>
          <w:lang w:val="en-US" w:eastAsia="zh-CN" w:bidi="ar-SA"/>
        </w:rPr>
        <w:t>指反映财政部门安排的公务员医疗补助经费。</w:t>
      </w:r>
    </w:p>
    <w:p>
      <w:pPr>
        <w:spacing w:line="60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11.</w:t>
      </w:r>
      <w:r>
        <w:rPr>
          <w:rFonts w:hint="default" w:ascii="Times New Roman" w:hAnsi="Times New Roman" w:eastAsia="仿宋_GB2312" w:cs="Times New Roman"/>
          <w:color w:val="auto"/>
          <w:kern w:val="2"/>
          <w:sz w:val="32"/>
          <w:szCs w:val="32"/>
          <w:lang w:val="en-US" w:eastAsia="zh-CN" w:bidi="ar-SA"/>
        </w:rPr>
        <w:t>住房保障（类）住房保障支出（款）住房</w:t>
      </w:r>
      <w:r>
        <w:rPr>
          <w:rFonts w:hint="eastAsia" w:ascii="Times New Roman" w:hAnsi="Times New Roman" w:eastAsia="仿宋_GB2312" w:cs="Times New Roman"/>
          <w:color w:val="auto"/>
          <w:kern w:val="2"/>
          <w:sz w:val="32"/>
          <w:szCs w:val="32"/>
          <w:lang w:val="en-US" w:eastAsia="zh-CN" w:bidi="ar-SA"/>
        </w:rPr>
        <w:t>公积金</w:t>
      </w:r>
      <w:r>
        <w:rPr>
          <w:rFonts w:hint="default" w:ascii="Times New Roman" w:hAnsi="Times New Roman" w:eastAsia="仿宋_GB2312" w:cs="Times New Roman"/>
          <w:color w:val="auto"/>
          <w:kern w:val="2"/>
          <w:sz w:val="32"/>
          <w:szCs w:val="32"/>
          <w:lang w:val="en-US" w:eastAsia="zh-CN" w:bidi="ar-SA"/>
        </w:rPr>
        <w:t>支出（项）：</w:t>
      </w:r>
      <w:r>
        <w:rPr>
          <w:rFonts w:hint="eastAsia" w:ascii="Times New Roman" w:hAnsi="Times New Roman" w:eastAsia="仿宋_GB2312" w:cs="Times New Roman"/>
          <w:color w:val="auto"/>
          <w:kern w:val="2"/>
          <w:sz w:val="32"/>
          <w:szCs w:val="32"/>
          <w:lang w:val="en-US" w:eastAsia="zh-CN" w:bidi="ar-SA"/>
        </w:rPr>
        <w:t>指反映行政事业单位按人力资源和社会保障部、财政部规定的基本工资和津贴补贴以及规定比例为职工缴纳的住房公积金。</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12.基本支出：指为保障机构正常运转、完成日常工作任务而发生的人员支出和公用支出。</w:t>
      </w:r>
    </w:p>
    <w:p>
      <w:p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 xml:space="preserve">13.项目支出：指在基本支出之外为完成特定行政任务和事业发展目标所发生的支出。 </w:t>
      </w:r>
    </w:p>
    <w:p>
      <w:pPr>
        <w:pStyle w:val="28"/>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8"/>
        <w:spacing w:line="560" w:lineRule="exact"/>
        <w:rPr>
          <w:rFonts w:ascii="仿宋_GB2312" w:eastAsia="仿宋_GB2312" w:cs="黑体"/>
          <w:color w:val="auto"/>
          <w:sz w:val="32"/>
          <w:szCs w:val="32"/>
        </w:rPr>
      </w:pPr>
    </w:p>
    <w:p>
      <w:pPr>
        <w:spacing w:line="600" w:lineRule="exact"/>
        <w:jc w:val="center"/>
        <w:outlineLvl w:val="0"/>
        <w:rPr>
          <w:rStyle w:val="30"/>
          <w:rFonts w:ascii="黑体" w:hAnsi="黑体" w:eastAsia="黑体"/>
          <w:b w:val="0"/>
        </w:rPr>
      </w:pPr>
      <w:bookmarkStart w:id="73" w:name="_Toc15377226"/>
      <w:r>
        <w:rPr>
          <w:rFonts w:ascii="宋体"/>
          <w:b/>
          <w:sz w:val="44"/>
          <w:szCs w:val="44"/>
        </w:rPr>
        <w:br w:type="page"/>
      </w:r>
      <w:bookmarkStart w:id="74" w:name="_Toc25056"/>
      <w:bookmarkStart w:id="75" w:name="_Toc15396614"/>
      <w:r>
        <w:rPr>
          <w:rFonts w:hint="eastAsia" w:ascii="黑体" w:hAnsi="黑体" w:eastAsia="黑体"/>
          <w:sz w:val="44"/>
          <w:szCs w:val="44"/>
        </w:rPr>
        <w:t>第</w:t>
      </w:r>
      <w:r>
        <w:rPr>
          <w:rStyle w:val="30"/>
          <w:rFonts w:hint="eastAsia" w:ascii="黑体" w:hAnsi="黑体" w:eastAsia="黑体"/>
          <w:b w:val="0"/>
        </w:rPr>
        <w:t>四部分 附件</w:t>
      </w:r>
      <w:bookmarkEnd w:id="74"/>
      <w:bookmarkEnd w:id="75"/>
    </w:p>
    <w:p>
      <w:pPr>
        <w:spacing w:line="572" w:lineRule="exact"/>
        <w:jc w:val="left"/>
        <w:outlineLvl w:val="1"/>
        <w:rPr>
          <w:rFonts w:hint="eastAsia" w:ascii="黑体" w:hAnsi="黑体" w:eastAsia="黑体" w:cs="黑体"/>
          <w:sz w:val="32"/>
          <w:szCs w:val="32"/>
          <w:lang w:val="en-US" w:eastAsia="zh-CN"/>
        </w:rPr>
      </w:pPr>
      <w:bookmarkStart w:id="76" w:name="_Toc9205"/>
      <w:r>
        <w:rPr>
          <w:rFonts w:hint="eastAsia" w:ascii="黑体" w:hAnsi="黑体" w:eastAsia="黑体" w:cs="黑体"/>
          <w:sz w:val="32"/>
          <w:szCs w:val="32"/>
        </w:rPr>
        <w:t>附件</w:t>
      </w:r>
      <w:r>
        <w:rPr>
          <w:rFonts w:hint="eastAsia" w:ascii="黑体" w:hAnsi="黑体" w:eastAsia="黑体" w:cs="黑体"/>
          <w:sz w:val="32"/>
          <w:szCs w:val="32"/>
          <w:lang w:val="en-US" w:eastAsia="zh-CN"/>
        </w:rPr>
        <w:t>1</w:t>
      </w:r>
      <w:bookmarkEnd w:id="76"/>
    </w:p>
    <w:p>
      <w:pPr>
        <w:spacing w:line="572" w:lineRule="exact"/>
        <w:jc w:val="left"/>
        <w:outlineLvl w:val="9"/>
        <w:rPr>
          <w:rFonts w:hint="eastAsia" w:ascii="黑体" w:hAnsi="黑体" w:eastAsia="黑体" w:cs="黑体"/>
          <w:sz w:val="32"/>
          <w:szCs w:val="32"/>
          <w:lang w:val="en-US" w:eastAsia="zh-CN"/>
        </w:rPr>
      </w:pPr>
    </w:p>
    <w:p>
      <w:pPr>
        <w:widowControl/>
        <w:spacing w:line="560" w:lineRule="exact"/>
        <w:contextualSpacing/>
        <w:jc w:val="center"/>
        <w:rPr>
          <w:rFonts w:hint="eastAsia" w:ascii="方正小标宋简体" w:hAnsi="方正小标宋简体" w:eastAsia="方正小标宋简体" w:cs="方正小标宋简体"/>
          <w:b/>
          <w:sz w:val="44"/>
          <w:szCs w:val="44"/>
          <w:shd w:val="clear" w:color="auto" w:fill="FFFFFF"/>
          <w:lang w:eastAsia="zh-CN"/>
        </w:rPr>
      </w:pPr>
      <w:r>
        <w:rPr>
          <w:rFonts w:hint="eastAsia" w:ascii="方正小标宋简体" w:hAnsi="方正小标宋简体" w:eastAsia="方正小标宋简体" w:cs="方正小标宋简体"/>
          <w:b/>
          <w:sz w:val="44"/>
          <w:szCs w:val="44"/>
          <w:shd w:val="clear" w:color="auto" w:fill="FFFFFF"/>
        </w:rPr>
        <w:t>202</w:t>
      </w:r>
      <w:r>
        <w:rPr>
          <w:rFonts w:hint="eastAsia" w:ascii="方正小标宋简体" w:hAnsi="方正小标宋简体" w:eastAsia="方正小标宋简体" w:cs="方正小标宋简体"/>
          <w:b/>
          <w:sz w:val="44"/>
          <w:szCs w:val="44"/>
          <w:shd w:val="clear" w:color="auto" w:fill="FFFFFF"/>
          <w:lang w:val="en-US" w:eastAsia="zh-CN"/>
        </w:rPr>
        <w:t>3</w:t>
      </w:r>
      <w:r>
        <w:rPr>
          <w:rFonts w:hint="eastAsia" w:ascii="方正小标宋简体" w:hAnsi="方正小标宋简体" w:eastAsia="方正小标宋简体" w:cs="方正小标宋简体"/>
          <w:b/>
          <w:sz w:val="44"/>
          <w:szCs w:val="44"/>
          <w:shd w:val="clear" w:color="auto" w:fill="FFFFFF"/>
        </w:rPr>
        <w:t>年</w:t>
      </w:r>
      <w:r>
        <w:rPr>
          <w:rFonts w:hint="eastAsia" w:ascii="方正小标宋简体" w:hAnsi="方正小标宋简体" w:eastAsia="方正小标宋简体" w:cs="方正小标宋简体"/>
          <w:b/>
          <w:sz w:val="44"/>
          <w:szCs w:val="44"/>
          <w:shd w:val="clear" w:color="auto" w:fill="FFFFFF"/>
          <w:lang w:eastAsia="zh-CN"/>
        </w:rPr>
        <w:t>中共西区区委机构编制委员会</w:t>
      </w:r>
    </w:p>
    <w:p>
      <w:pPr>
        <w:widowControl/>
        <w:spacing w:line="560" w:lineRule="exact"/>
        <w:contextualSpacing/>
        <w:jc w:val="center"/>
        <w:rPr>
          <w:rFonts w:hint="eastAsia" w:ascii="方正小标宋简体" w:hAnsi="方正小标宋简体" w:eastAsia="方正小标宋简体" w:cs="方正小标宋简体"/>
          <w:b/>
          <w:sz w:val="44"/>
          <w:szCs w:val="44"/>
          <w:shd w:val="clear" w:color="auto" w:fill="FFFFFF"/>
        </w:rPr>
      </w:pPr>
      <w:r>
        <w:rPr>
          <w:rFonts w:hint="eastAsia" w:ascii="方正小标宋简体" w:hAnsi="方正小标宋简体" w:eastAsia="方正小标宋简体" w:cs="方正小标宋简体"/>
          <w:b/>
          <w:sz w:val="44"/>
          <w:szCs w:val="44"/>
          <w:shd w:val="clear" w:color="auto" w:fill="FFFFFF"/>
          <w:lang w:eastAsia="zh-CN"/>
        </w:rPr>
        <w:t>办公室</w:t>
      </w:r>
      <w:r>
        <w:rPr>
          <w:rFonts w:hint="eastAsia" w:ascii="方正小标宋简体" w:hAnsi="方正小标宋简体" w:eastAsia="方正小标宋简体" w:cs="方正小标宋简体"/>
          <w:b/>
          <w:sz w:val="44"/>
          <w:szCs w:val="44"/>
          <w:shd w:val="clear" w:color="auto" w:fill="FFFFFF"/>
        </w:rPr>
        <w:t>整体绩效评价报告</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widowControl/>
        <w:numPr>
          <w:ilvl w:val="0"/>
          <w:numId w:val="4"/>
        </w:numPr>
        <w:adjustRightInd w:val="0"/>
        <w:snapToGrid w:val="0"/>
        <w:spacing w:line="560" w:lineRule="exact"/>
        <w:ind w:firstLine="640" w:firstLineChars="200"/>
        <w:contextualSpacing/>
        <w:jc w:val="left"/>
        <w:outlineLvl w:val="1"/>
        <w:rPr>
          <w:rFonts w:ascii="黑体" w:hAnsi="宋体" w:eastAsia="黑体" w:cs="宋体"/>
          <w:kern w:val="0"/>
          <w:sz w:val="32"/>
          <w:szCs w:val="32"/>
          <w:shd w:val="clear" w:color="auto" w:fill="FFFFFF"/>
          <w:lang w:val="zh-CN"/>
        </w:rPr>
      </w:pPr>
      <w:bookmarkStart w:id="77" w:name="_Toc1738"/>
      <w:r>
        <w:rPr>
          <w:rFonts w:hint="eastAsia" w:ascii="黑体" w:hAnsi="宋体" w:eastAsia="黑体" w:cs="宋体"/>
          <w:kern w:val="0"/>
          <w:sz w:val="32"/>
          <w:szCs w:val="32"/>
          <w:shd w:val="clear" w:color="auto" w:fill="FFFFFF"/>
          <w:lang w:val="zh-CN"/>
        </w:rPr>
        <w:t>部门（单位）基本情况</w:t>
      </w:r>
      <w:bookmarkEnd w:id="77"/>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（一）机构组成。（简要介绍）</w:t>
      </w:r>
    </w:p>
    <w:p>
      <w:pPr>
        <w:spacing w:line="560" w:lineRule="exact"/>
        <w:ind w:firstLine="662"/>
        <w:rPr>
          <w:rFonts w:hint="eastAsia" w:ascii="楷体_GB2312" w:hAnsi="楷体_GB2312" w:eastAsia="楷体_GB2312" w:cs="楷体_GB2312"/>
          <w:b/>
          <w:bCs/>
          <w:kern w:val="0"/>
          <w:sz w:val="32"/>
          <w:szCs w:val="32"/>
          <w:shd w:val="clear" w:color="auto" w:fill="FFFFFF"/>
          <w:lang w:val="zh-CN"/>
        </w:rPr>
      </w:pPr>
      <w:r>
        <w:rPr>
          <w:rFonts w:hint="eastAsia" w:ascii="Times New Roman" w:hAnsi="Times New Roman" w:eastAsia="仿宋_GB2312" w:cs="Times New Roman"/>
          <w:color w:val="auto"/>
          <w:kern w:val="2"/>
          <w:sz w:val="32"/>
          <w:szCs w:val="32"/>
          <w:lang w:val="en-US" w:eastAsia="zh-CN" w:bidi="ar-SA"/>
        </w:rPr>
        <w:t>中共攀枝花市西区区委机构编制委员会办公室（下称：区委编办）作为区委机构编制委员会的办事机构，承担区委机构编制委员会的日常工作，作为区委工作机关，归口区委组织部管理，区委编办机关设2个内设机构，分别是综合股（区事业单位登记管理局）、机构编制管理股（督查调研股）；下设1个参公管理事业单位（区事业单位登记服务中心）。</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（二）机构职能和人员概况。</w:t>
      </w:r>
    </w:p>
    <w:p>
      <w:pPr>
        <w:spacing w:line="560" w:lineRule="exact"/>
        <w:ind w:firstLine="662"/>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1.贯彻执行中央、省、市行政管理体制改革和机构改革、事业单位改革及机构编制管理的方针政策和法律法规，制定相关政策并监督实施。</w:t>
      </w:r>
    </w:p>
    <w:p>
      <w:pPr>
        <w:spacing w:line="560" w:lineRule="exact"/>
        <w:ind w:firstLine="662"/>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2.研究拟订全区行政管理体制改革和机构改革方案，审核区级各部门“三定”规定以及乡（镇）机构改革方案，评估改革效果。参与行政审批制度改革和行政区划调整的有关工作。</w:t>
      </w:r>
    </w:p>
    <w:p>
      <w:pPr>
        <w:spacing w:line="560" w:lineRule="exact"/>
        <w:ind w:firstLine="662"/>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拟订全区各级行政编制、政法专项编制总额分配方案。负责全区行政事业编制总量控制和机关事业单位机构编制实名制管理工作，建立健全机构编制管理联动机制，会同有关部门严格控制财政供养人员。对全区机关事业单位使用空缺编制补充人员进行核批。</w:t>
      </w:r>
    </w:p>
    <w:p>
      <w:pPr>
        <w:spacing w:line="560" w:lineRule="exact"/>
        <w:ind w:firstLine="662"/>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4.负责区委、区政府各部门，区人大、区政协机关，区法院、区检察院机关，工商联和群团机关以及其他行政机构的机构编制管理工作。</w:t>
      </w:r>
    </w:p>
    <w:p>
      <w:pPr>
        <w:spacing w:line="560" w:lineRule="exact"/>
        <w:ind w:firstLine="662"/>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5.拟订全区事业单位改革方案及相关配套政策，审核区属事业单位机构编制方案，评估改革效果。负责区属事业单位的机构编制管理工作。负责拟参照公务员法管理事业单位机构编制事项的审核工作。</w:t>
      </w:r>
    </w:p>
    <w:p>
      <w:pPr>
        <w:spacing w:line="560" w:lineRule="exact"/>
        <w:ind w:firstLine="662"/>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6.监督检查全区各级行政管理体制改革和机构改革方案及机构编制规定执行情况，建立机构编制工作考核评估制度，会同有关部门查处机构编制违法违纪行为。</w:t>
      </w:r>
    </w:p>
    <w:p>
      <w:pPr>
        <w:spacing w:line="560" w:lineRule="exact"/>
        <w:ind w:firstLine="662"/>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7.负责行政管理体制、机构改革及机构编制的理论研究和信息传递、交流工作，负责机构编制的统计工作。</w:t>
      </w:r>
    </w:p>
    <w:p>
      <w:pPr>
        <w:spacing w:line="560" w:lineRule="exact"/>
        <w:ind w:firstLine="662"/>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8.负责市委机构编制委员会及其办公室下达有关部门专项编制的分配和管理工作。</w:t>
      </w:r>
    </w:p>
    <w:p>
      <w:pPr>
        <w:spacing w:line="560" w:lineRule="exact"/>
        <w:ind w:firstLine="662"/>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9.监督检查全区事业单位登记管理工作。</w:t>
      </w:r>
    </w:p>
    <w:p>
      <w:pPr>
        <w:spacing w:line="560" w:lineRule="exact"/>
        <w:ind w:firstLine="662"/>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10.承办区委、区政府和区委编委交办的其他工作。</w:t>
      </w:r>
    </w:p>
    <w:p>
      <w:pPr>
        <w:spacing w:line="560" w:lineRule="exact"/>
        <w:ind w:firstLine="662"/>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en-US" w:eastAsia="zh-CN" w:bidi="ar-SA"/>
        </w:rPr>
        <w:t>2022年末，我办机关行政编制4名（实有3人），其中主任1名，副主任1名；核定参公管理事业编制6名（实有6人）。</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（三）年度主要工作任务。</w:t>
      </w:r>
    </w:p>
    <w:p>
      <w:pPr>
        <w:numPr>
          <w:ilvl w:val="0"/>
          <w:numId w:val="0"/>
        </w:numPr>
        <w:tabs>
          <w:tab w:val="left" w:pos="690"/>
        </w:tabs>
        <w:spacing w:line="554" w:lineRule="exact"/>
        <w:ind w:firstLine="662" w:firstLineChars="200"/>
        <w:rPr>
          <w:rFonts w:hint="eastAsia" w:ascii="Times New Roman" w:hAnsi="Times New Roman" w:eastAsia="仿宋_GB2312" w:cs="Times New Roman"/>
          <w:color w:val="auto"/>
          <w:kern w:val="2"/>
          <w:sz w:val="32"/>
          <w:szCs w:val="32"/>
          <w:lang w:val="en-US" w:eastAsia="zh-CN" w:bidi="ar-SA"/>
        </w:rPr>
      </w:pPr>
      <w:r>
        <w:rPr>
          <w:rFonts w:hint="eastAsia" w:ascii="方正楷体_GBK" w:hAnsi="方正楷体_GBK" w:eastAsia="方正楷体_GBK" w:cs="方正楷体_GBK"/>
          <w:b/>
          <w:bCs/>
          <w:snapToGrid w:val="0"/>
          <w:kern w:val="0"/>
          <w:sz w:val="33"/>
          <w:szCs w:val="33"/>
          <w:lang w:val="en-US" w:eastAsia="zh-CN"/>
        </w:rPr>
        <w:t>1.</w:t>
      </w:r>
      <w:r>
        <w:rPr>
          <w:rFonts w:hint="eastAsia" w:ascii="方正楷体_GBK" w:hAnsi="方正楷体_GBK" w:eastAsia="方正楷体_GBK" w:cs="方正楷体_GBK"/>
          <w:b/>
          <w:bCs/>
          <w:snapToGrid w:val="0"/>
          <w:kern w:val="0"/>
          <w:sz w:val="33"/>
          <w:szCs w:val="33"/>
        </w:rPr>
        <w:t>坚持和</w:t>
      </w:r>
      <w:r>
        <w:rPr>
          <w:rFonts w:ascii="方正楷体_GBK" w:hAnsi="方正楷体_GBK" w:eastAsia="方正楷体_GBK" w:cs="方正楷体_GBK"/>
          <w:b/>
          <w:bCs/>
          <w:snapToGrid w:val="0"/>
          <w:kern w:val="0"/>
          <w:sz w:val="33"/>
          <w:szCs w:val="33"/>
        </w:rPr>
        <w:t>加强</w:t>
      </w:r>
      <w:r>
        <w:rPr>
          <w:rFonts w:hint="eastAsia" w:ascii="方正楷体_GBK" w:hAnsi="方正楷体_GBK" w:eastAsia="方正楷体_GBK" w:cs="方正楷体_GBK"/>
          <w:b/>
          <w:bCs/>
          <w:snapToGrid w:val="0"/>
          <w:kern w:val="0"/>
          <w:sz w:val="33"/>
          <w:szCs w:val="33"/>
        </w:rPr>
        <w:t>党对机构编制工作的集中统一领导。</w:t>
      </w:r>
      <w:r>
        <w:rPr>
          <w:rFonts w:hint="eastAsia" w:ascii="Times New Roman" w:hAnsi="Times New Roman" w:eastAsia="仿宋_GB2312" w:cs="Times New Roman"/>
          <w:color w:val="auto"/>
          <w:kern w:val="2"/>
          <w:sz w:val="32"/>
          <w:szCs w:val="32"/>
          <w:lang w:val="en-US" w:eastAsia="zh-CN" w:bidi="ar-SA"/>
        </w:rPr>
        <w:t>深入学习贯彻党的十九届六中全会精神，持续宣传贯彻落实《中国共产党机构编制工作条例》及我省实施办法，贯彻落实中央、省、市编委会议精神，抓好区委全委会、区委常委会、区委编委会相关议定事项落实落地，坚持党管机构编制这一重大原则，把党的集中统一领导贯彻到机构编制工作的全过程各方面。</w:t>
      </w:r>
    </w:p>
    <w:p>
      <w:pPr>
        <w:tabs>
          <w:tab w:val="left" w:pos="690"/>
        </w:tabs>
        <w:spacing w:line="554" w:lineRule="exact"/>
        <w:ind w:firstLine="662" w:firstLineChars="200"/>
        <w:rPr>
          <w:rFonts w:hint="eastAsia" w:ascii="Times New Roman" w:hAnsi="Times New Roman" w:eastAsia="仿宋_GB2312" w:cs="Times New Roman"/>
          <w:color w:val="auto"/>
          <w:kern w:val="2"/>
          <w:sz w:val="32"/>
          <w:szCs w:val="32"/>
          <w:lang w:val="en-US" w:eastAsia="zh-CN" w:bidi="ar-SA"/>
        </w:rPr>
      </w:pPr>
      <w:r>
        <w:rPr>
          <w:rFonts w:hint="eastAsia" w:ascii="方正楷体_GBK" w:hAnsi="方正楷体_GBK" w:eastAsia="方正楷体_GBK" w:cs="方正楷体_GBK"/>
          <w:b/>
          <w:bCs/>
          <w:snapToGrid w:val="0"/>
          <w:kern w:val="0"/>
          <w:sz w:val="33"/>
          <w:szCs w:val="33"/>
          <w:lang w:val="en-US" w:eastAsia="zh-CN"/>
        </w:rPr>
        <w:t>2.</w:t>
      </w:r>
      <w:r>
        <w:rPr>
          <w:rFonts w:hint="eastAsia" w:ascii="方正楷体_GBK" w:hAnsi="方正楷体_GBK" w:eastAsia="方正楷体_GBK" w:cs="方正楷体_GBK"/>
          <w:b/>
          <w:bCs/>
          <w:snapToGrid w:val="0"/>
          <w:kern w:val="0"/>
          <w:sz w:val="33"/>
          <w:szCs w:val="33"/>
        </w:rPr>
        <w:t>主动作为，统筹谋划做好深化改革工作。</w:t>
      </w:r>
      <w:r>
        <w:rPr>
          <w:rFonts w:hint="eastAsia" w:ascii="Times New Roman" w:hAnsi="Times New Roman" w:eastAsia="仿宋_GB2312" w:cs="Times New Roman"/>
          <w:color w:val="auto"/>
          <w:kern w:val="2"/>
          <w:sz w:val="32"/>
          <w:szCs w:val="32"/>
          <w:lang w:val="en-US" w:eastAsia="zh-CN" w:bidi="ar-SA"/>
        </w:rPr>
        <w:t>紧紧围绕区委重大战略决策，主动跟进、主动服务，最大程度发挥好机构编制的保障作用。紧扣深化改革主题，加强与区级有关部门、格里坪镇和各街道的联系，进一步理顺相关执法部门职责，厘清职责边界，争取上级相关部门的指导和支持，持续深入推进牵头负责的各领域改革任务。</w:t>
      </w:r>
    </w:p>
    <w:p>
      <w:pPr>
        <w:tabs>
          <w:tab w:val="left" w:pos="690"/>
        </w:tabs>
        <w:spacing w:line="554" w:lineRule="exact"/>
        <w:ind w:firstLine="662" w:firstLineChars="200"/>
        <w:rPr>
          <w:rFonts w:hint="eastAsia" w:ascii="Times New Roman" w:hAnsi="Times New Roman" w:eastAsia="仿宋_GB2312" w:cs="Times New Roman"/>
          <w:color w:val="auto"/>
          <w:kern w:val="2"/>
          <w:sz w:val="32"/>
          <w:szCs w:val="32"/>
          <w:lang w:val="en-US" w:eastAsia="zh-CN" w:bidi="ar-SA"/>
        </w:rPr>
      </w:pPr>
      <w:r>
        <w:rPr>
          <w:rFonts w:hint="eastAsia" w:ascii="方正楷体_GBK" w:hAnsi="方正楷体_GBK" w:eastAsia="方正楷体_GBK" w:cs="方正楷体_GBK"/>
          <w:b/>
          <w:bCs/>
          <w:snapToGrid w:val="0"/>
          <w:kern w:val="0"/>
          <w:sz w:val="33"/>
          <w:szCs w:val="33"/>
          <w:lang w:val="en-US" w:eastAsia="zh-CN"/>
        </w:rPr>
        <w:t>3.</w:t>
      </w:r>
      <w:r>
        <w:rPr>
          <w:rFonts w:hint="eastAsia" w:ascii="方正楷体_GBK" w:hAnsi="方正楷体_GBK" w:eastAsia="方正楷体_GBK" w:cs="方正楷体_GBK"/>
          <w:b/>
          <w:bCs/>
          <w:snapToGrid w:val="0"/>
          <w:kern w:val="0"/>
          <w:sz w:val="33"/>
          <w:szCs w:val="33"/>
        </w:rPr>
        <w:t>敢于担当，强化机构编制监督检查。</w:t>
      </w:r>
      <w:r>
        <w:rPr>
          <w:rFonts w:hint="eastAsia" w:ascii="Times New Roman" w:hAnsi="Times New Roman" w:eastAsia="仿宋_GB2312" w:cs="Times New Roman"/>
          <w:color w:val="auto"/>
          <w:kern w:val="2"/>
          <w:sz w:val="32"/>
          <w:szCs w:val="32"/>
          <w:lang w:val="en-US" w:eastAsia="zh-CN" w:bidi="ar-SA"/>
        </w:rPr>
        <w:t>深入学习贯彻落实《“三定”规定制定和实施办法》《机构编制监督检查工作办法》《机构编制评估办法》等机构编制配套法规制度，强化机构编制监督检查和效益评估，不断提高机构编制使用效益，用法治思维和法治方式维护机构编制的权威性和严肃性。</w:t>
      </w:r>
    </w:p>
    <w:p>
      <w:pPr>
        <w:tabs>
          <w:tab w:val="left" w:pos="690"/>
        </w:tabs>
        <w:spacing w:line="554" w:lineRule="exact"/>
        <w:ind w:firstLine="662" w:firstLineChars="200"/>
        <w:rPr>
          <w:rFonts w:hint="eastAsia" w:ascii="Times New Roman" w:hAnsi="Times New Roman" w:eastAsia="仿宋_GB2312" w:cs="Times New Roman"/>
          <w:color w:val="auto"/>
          <w:kern w:val="2"/>
          <w:sz w:val="32"/>
          <w:szCs w:val="32"/>
          <w:lang w:val="zh-CN" w:eastAsia="zh-CN" w:bidi="ar-SA"/>
        </w:rPr>
      </w:pPr>
      <w:r>
        <w:rPr>
          <w:rFonts w:hint="eastAsia" w:ascii="方正楷体_GBK" w:hAnsi="方正楷体_GBK" w:eastAsia="方正楷体_GBK" w:cs="方正楷体_GBK"/>
          <w:b/>
          <w:bCs/>
          <w:snapToGrid w:val="0"/>
          <w:kern w:val="0"/>
          <w:sz w:val="33"/>
          <w:szCs w:val="33"/>
          <w:lang w:val="en-US" w:eastAsia="zh-CN"/>
        </w:rPr>
        <w:t>4.</w:t>
      </w:r>
      <w:r>
        <w:rPr>
          <w:rFonts w:hint="eastAsia" w:ascii="方正楷体_GBK" w:hAnsi="方正楷体_GBK" w:eastAsia="方正楷体_GBK" w:cs="方正楷体_GBK"/>
          <w:b/>
          <w:bCs/>
          <w:snapToGrid w:val="0"/>
          <w:kern w:val="0"/>
          <w:sz w:val="33"/>
          <w:szCs w:val="33"/>
        </w:rPr>
        <w:t>勇于创新，盘活用好机构编制资源。</w:t>
      </w:r>
      <w:r>
        <w:rPr>
          <w:rFonts w:hint="eastAsia" w:ascii="Times New Roman" w:hAnsi="Times New Roman" w:eastAsia="仿宋_GB2312" w:cs="Times New Roman"/>
          <w:color w:val="auto"/>
          <w:kern w:val="2"/>
          <w:sz w:val="32"/>
          <w:szCs w:val="32"/>
          <w:lang w:val="en-US" w:eastAsia="zh-CN" w:bidi="ar-SA"/>
        </w:rPr>
        <w:t>坚持“控制总量、盘活存量、有保有压、增减平衡”的工作思路，努力扭转旧观念、旧思维，向创新要编制、向管理要编制、向技术要编制，强化部门内部挖潜，盘活“存量”，避免陷入“只做加法”的单一模式，用好稀缺的机构编制资源，切实为区委“攀西工业强区”和“山水灵秀新城”建设目标做好机构编制保障。</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（四）部门整体支出绩效目标。</w:t>
      </w:r>
    </w:p>
    <w:p>
      <w:pPr>
        <w:pStyle w:val="5"/>
        <w:spacing w:before="93"/>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根据预算绩效目标及指标值逐项分析，编制2022年部门整体支出及项目支出绩效目标，紧紧围绕贯彻落实习近平总书记关于机构编制工作的重要论述、围绕党中央、省委、市委、区委重大决策部署、机构编制管理和重点领域体制改革等细化重点工作任务，逐一落实全年绩效目标考核，着力提高预算编制质量，不断提升财政资金使用效益。</w:t>
      </w:r>
    </w:p>
    <w:p>
      <w:pPr>
        <w:widowControl/>
        <w:adjustRightInd w:val="0"/>
        <w:snapToGrid w:val="0"/>
        <w:spacing w:line="560" w:lineRule="exact"/>
        <w:ind w:firstLine="640" w:firstLineChars="200"/>
        <w:contextualSpacing/>
        <w:jc w:val="left"/>
        <w:outlineLvl w:val="1"/>
        <w:rPr>
          <w:rFonts w:ascii="黑体" w:hAnsi="宋体" w:eastAsia="黑体" w:cs="宋体"/>
          <w:kern w:val="0"/>
          <w:sz w:val="32"/>
          <w:szCs w:val="32"/>
          <w:shd w:val="clear" w:color="auto" w:fill="FFFFFF"/>
        </w:rPr>
      </w:pPr>
      <w:bookmarkStart w:id="78" w:name="_Toc3011"/>
      <w:r>
        <w:rPr>
          <w:rFonts w:hint="eastAsia" w:ascii="黑体" w:hAnsi="宋体" w:eastAsia="黑体" w:cs="宋体"/>
          <w:kern w:val="0"/>
          <w:sz w:val="32"/>
          <w:szCs w:val="32"/>
          <w:shd w:val="clear" w:color="auto" w:fill="FFFFFF"/>
        </w:rPr>
        <w:t>二、部门资金收支情况</w:t>
      </w:r>
      <w:bookmarkEnd w:id="78"/>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pStyle w:val="5"/>
        <w:keepNext w:val="0"/>
        <w:keepLines w:val="0"/>
        <w:pageBreakBefore w:val="0"/>
        <w:widowControl w:val="0"/>
        <w:kinsoku/>
        <w:wordWrap/>
        <w:overflowPunct/>
        <w:topLinePunct w:val="0"/>
        <w:autoSpaceDE/>
        <w:autoSpaceDN/>
        <w:bidi w:val="0"/>
        <w:adjustRightInd/>
        <w:snapToGrid/>
        <w:spacing w:before="93"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1.部门总体收入情况</w:t>
      </w:r>
    </w:p>
    <w:p>
      <w:pPr>
        <w:pStyle w:val="5"/>
        <w:keepNext w:val="0"/>
        <w:keepLines w:val="0"/>
        <w:pageBreakBefore w:val="0"/>
        <w:widowControl w:val="0"/>
        <w:kinsoku/>
        <w:wordWrap/>
        <w:overflowPunct/>
        <w:topLinePunct w:val="0"/>
        <w:autoSpaceDE/>
        <w:autoSpaceDN/>
        <w:bidi w:val="0"/>
        <w:adjustRightInd/>
        <w:snapToGrid/>
        <w:spacing w:before="93"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2022年西区区委编办总体收入128.9万元，其中：一般公共预算财政拨款收入为124.75万元；政府性基金预算财政拨款收入为4.14万元，其他收入0.01万元。</w:t>
      </w:r>
    </w:p>
    <w:p>
      <w:pPr>
        <w:pStyle w:val="5"/>
        <w:keepNext w:val="0"/>
        <w:keepLines w:val="0"/>
        <w:pageBreakBefore w:val="0"/>
        <w:widowControl w:val="0"/>
        <w:kinsoku/>
        <w:wordWrap/>
        <w:overflowPunct/>
        <w:topLinePunct w:val="0"/>
        <w:autoSpaceDE/>
        <w:autoSpaceDN/>
        <w:bidi w:val="0"/>
        <w:adjustRightInd/>
        <w:snapToGrid/>
        <w:spacing w:before="93"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2.部门总体支出情况</w:t>
      </w:r>
    </w:p>
    <w:p>
      <w:pPr>
        <w:pStyle w:val="5"/>
        <w:keepNext w:val="0"/>
        <w:keepLines w:val="0"/>
        <w:pageBreakBefore w:val="0"/>
        <w:widowControl w:val="0"/>
        <w:kinsoku/>
        <w:wordWrap/>
        <w:overflowPunct/>
        <w:topLinePunct w:val="0"/>
        <w:autoSpaceDE/>
        <w:autoSpaceDN/>
        <w:bidi w:val="0"/>
        <w:adjustRightInd/>
        <w:snapToGrid/>
        <w:spacing w:before="93"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2022年西区区委编办总体支出128.89万元，其中：一般公共服务支出98.52万元，社会保障和就业支出8.14万元，卫生健康支出7.62万元，城乡社区支出4.14万元,住房保障支出10.47万元。</w:t>
      </w:r>
    </w:p>
    <w:p>
      <w:pPr>
        <w:pStyle w:val="5"/>
        <w:keepNext w:val="0"/>
        <w:keepLines w:val="0"/>
        <w:pageBreakBefore w:val="0"/>
        <w:widowControl w:val="0"/>
        <w:kinsoku/>
        <w:wordWrap/>
        <w:overflowPunct/>
        <w:topLinePunct w:val="0"/>
        <w:autoSpaceDE/>
        <w:autoSpaceDN/>
        <w:bidi w:val="0"/>
        <w:adjustRightInd/>
        <w:snapToGrid/>
        <w:spacing w:before="93"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3.部门总体结转结余情况</w:t>
      </w:r>
    </w:p>
    <w:p>
      <w:pPr>
        <w:pStyle w:val="5"/>
        <w:keepNext w:val="0"/>
        <w:keepLines w:val="0"/>
        <w:pageBreakBefore w:val="0"/>
        <w:widowControl w:val="0"/>
        <w:kinsoku/>
        <w:wordWrap/>
        <w:overflowPunct/>
        <w:topLinePunct w:val="0"/>
        <w:autoSpaceDE/>
        <w:autoSpaceDN/>
        <w:bidi w:val="0"/>
        <w:adjustRightInd/>
        <w:snapToGrid/>
        <w:spacing w:before="93"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我单位无财政拨款结转结余，其他收入结转结余0.01万元，为银行利息收入。</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1.部门财政拨款收入情况</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2022年西区区委编办财政拨款收入总额128.89万元，其中：一般公共预算财政拨款收入为124.75万元；政府性基金预算财政拨款收入为4.14万元。</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2.部门财政拨款支出情况</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2022年西区区委编办财政拨款支出总额128.89万元，其中：一般公共服务支出98.52万元，社会保障和就业支出8.14万元，卫生健康支出7.62万元，城乡社区支出4.14万元,住房保障支出10.47万元。</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3.部门财政拨款结转结余情况</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我单位无财政拨款结转结余。</w:t>
      </w:r>
    </w:p>
    <w:p>
      <w:pPr>
        <w:widowControl/>
        <w:adjustRightInd w:val="0"/>
        <w:snapToGrid w:val="0"/>
        <w:spacing w:line="560" w:lineRule="exact"/>
        <w:ind w:firstLine="640" w:firstLineChars="200"/>
        <w:contextualSpacing/>
        <w:jc w:val="left"/>
        <w:outlineLvl w:val="1"/>
        <w:rPr>
          <w:rFonts w:ascii="黑体" w:hAnsi="宋体" w:eastAsia="黑体" w:cs="宋体"/>
          <w:kern w:val="0"/>
          <w:sz w:val="32"/>
          <w:szCs w:val="32"/>
          <w:shd w:val="clear" w:color="auto" w:fill="FFFFFF"/>
        </w:rPr>
      </w:pPr>
      <w:bookmarkStart w:id="79" w:name="_Toc14941"/>
      <w:r>
        <w:rPr>
          <w:rFonts w:hint="eastAsia" w:ascii="黑体" w:hAnsi="宋体" w:eastAsia="黑体" w:cs="宋体"/>
          <w:kern w:val="0"/>
          <w:sz w:val="32"/>
          <w:szCs w:val="32"/>
          <w:shd w:val="clear" w:color="auto" w:fill="FFFFFF"/>
        </w:rPr>
        <w:t>三、部门整体绩效分析</w:t>
      </w:r>
      <w:bookmarkEnd w:id="79"/>
    </w:p>
    <w:p>
      <w:pPr>
        <w:widowControl/>
        <w:adjustRightInd w:val="0"/>
        <w:snapToGrid w:val="0"/>
        <w:spacing w:line="560" w:lineRule="exact"/>
        <w:ind w:firstLine="642"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1.人员类项目绩效分析。</w:t>
      </w:r>
    </w:p>
    <w:p>
      <w:pPr>
        <w:widowControl/>
        <w:adjustRightInd w:val="0"/>
        <w:snapToGrid w:val="0"/>
        <w:spacing w:line="580" w:lineRule="exact"/>
        <w:ind w:firstLine="640" w:firstLineChars="200"/>
        <w:contextualSpacing/>
        <w:jc w:val="left"/>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2022年</w:t>
      </w:r>
      <w:r>
        <w:rPr>
          <w:rFonts w:hint="eastAsia" w:ascii="Times New Roman" w:hAnsi="Times New Roman" w:eastAsia="仿宋_GB2312" w:cs="Times New Roman"/>
          <w:color w:val="auto"/>
          <w:kern w:val="2"/>
          <w:sz w:val="32"/>
          <w:szCs w:val="32"/>
          <w:lang w:val="en-US" w:eastAsia="zh-CN" w:bidi="ar-SA"/>
        </w:rPr>
        <w:t>，区委编办人员类项目共计11个，全年实现目标112.89万元，执行</w:t>
      </w:r>
      <w:r>
        <w:rPr>
          <w:rFonts w:hint="default" w:ascii="Times New Roman" w:hAnsi="Times New Roman" w:eastAsia="仿宋_GB2312" w:cs="Times New Roman"/>
          <w:color w:val="auto"/>
          <w:kern w:val="2"/>
          <w:sz w:val="32"/>
          <w:szCs w:val="32"/>
          <w:lang w:val="en-US" w:eastAsia="zh-CN" w:bidi="ar-SA"/>
        </w:rPr>
        <w:t>率100%</w:t>
      </w:r>
      <w:r>
        <w:rPr>
          <w:rFonts w:hint="eastAsia" w:ascii="Times New Roman" w:hAnsi="Times New Roman" w:eastAsia="仿宋_GB2312" w:cs="Times New Roman"/>
          <w:color w:val="auto"/>
          <w:kern w:val="2"/>
          <w:sz w:val="32"/>
          <w:szCs w:val="32"/>
          <w:lang w:val="en-US" w:eastAsia="zh-CN" w:bidi="ar-SA"/>
        </w:rPr>
        <w:t>。根据人员支出标准，由区财政按标准核定下达，并统一设置绩效考核指标。我办严格执行工资津贴补贴相关政策，确保全办人员工资及时发放；严格按照要求及时调整社保、医保、公积金的申报基数。</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2.运转类项目绩效分析。</w:t>
      </w:r>
    </w:p>
    <w:p>
      <w:pPr>
        <w:widowControl/>
        <w:adjustRightInd w:val="0"/>
        <w:snapToGrid w:val="0"/>
        <w:spacing w:line="580" w:lineRule="exact"/>
        <w:ind w:firstLine="640" w:firstLineChars="200"/>
        <w:contextualSpacing/>
        <w:jc w:val="left"/>
        <w:rPr>
          <w:rFonts w:hint="default"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一是公用经费类项目：全年实现目标</w:t>
      </w:r>
      <w:r>
        <w:rPr>
          <w:rFonts w:hint="default" w:ascii="Times New Roman" w:hAnsi="Times New Roman" w:eastAsia="仿宋_GB2312" w:cs="Times New Roman"/>
          <w:color w:val="auto"/>
          <w:kern w:val="2"/>
          <w:sz w:val="32"/>
          <w:szCs w:val="32"/>
          <w:lang w:val="en-US" w:eastAsia="zh-CN" w:bidi="ar-SA"/>
        </w:rPr>
        <w:t>10.25万元，</w:t>
      </w:r>
      <w:r>
        <w:rPr>
          <w:rFonts w:hint="default" w:ascii="Times New Roman" w:hAnsi="Times New Roman" w:eastAsia="仿宋_GB2312" w:cs="Times New Roman"/>
          <w:color w:val="auto"/>
          <w:kern w:val="2"/>
          <w:sz w:val="32"/>
          <w:szCs w:val="32"/>
          <w:lang w:val="zh-CN" w:eastAsia="zh-CN" w:bidi="ar-SA"/>
        </w:rPr>
        <w:t>执行率100%。根据定额公用经费核定标准，结合职能职责，由</w:t>
      </w:r>
      <w:r>
        <w:rPr>
          <w:rFonts w:hint="eastAsia" w:ascii="Times New Roman" w:hAnsi="Times New Roman" w:eastAsia="仿宋_GB2312" w:cs="Times New Roman"/>
          <w:color w:val="auto"/>
          <w:kern w:val="2"/>
          <w:sz w:val="32"/>
          <w:szCs w:val="32"/>
          <w:lang w:val="zh-CN" w:eastAsia="zh-CN" w:bidi="ar-SA"/>
        </w:rPr>
        <w:t>区</w:t>
      </w:r>
      <w:r>
        <w:rPr>
          <w:rFonts w:hint="default" w:ascii="Times New Roman" w:hAnsi="Times New Roman" w:eastAsia="仿宋_GB2312" w:cs="Times New Roman"/>
          <w:color w:val="auto"/>
          <w:kern w:val="2"/>
          <w:sz w:val="32"/>
          <w:szCs w:val="32"/>
          <w:lang w:val="zh-CN" w:eastAsia="zh-CN" w:bidi="ar-SA"/>
        </w:rPr>
        <w:t>财政按标准核定下达，并统一设置绩效考核指标。主要用于保障日常开支办公费、差旅费、工会经费、福利费、其他交通费、其他商品和服务支出等</w:t>
      </w:r>
      <w:r>
        <w:rPr>
          <w:rFonts w:hint="eastAsia" w:ascii="Times New Roman" w:hAnsi="Times New Roman" w:eastAsia="仿宋_GB2312" w:cs="Times New Roman"/>
          <w:color w:val="auto"/>
          <w:kern w:val="2"/>
          <w:sz w:val="32"/>
          <w:szCs w:val="32"/>
          <w:lang w:val="zh-CN" w:eastAsia="zh-CN" w:bidi="ar-SA"/>
        </w:rPr>
        <w:t>支出，有效保障单位日常运转</w:t>
      </w:r>
      <w:r>
        <w:rPr>
          <w:rFonts w:hint="default" w:ascii="Times New Roman" w:hAnsi="Times New Roman" w:eastAsia="仿宋_GB2312" w:cs="Times New Roman"/>
          <w:color w:val="auto"/>
          <w:kern w:val="2"/>
          <w:sz w:val="32"/>
          <w:szCs w:val="32"/>
          <w:lang w:val="zh-CN" w:eastAsia="zh-CN" w:bidi="ar-SA"/>
        </w:rPr>
        <w:t>。</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二是项目支出：一般公共预算财政拨款项目支出</w:t>
      </w:r>
      <w:r>
        <w:rPr>
          <w:rFonts w:hint="eastAsia" w:ascii="Times New Roman" w:hAnsi="Times New Roman" w:eastAsia="仿宋_GB2312" w:cs="Times New Roman"/>
          <w:color w:val="auto"/>
          <w:kern w:val="2"/>
          <w:sz w:val="32"/>
          <w:szCs w:val="32"/>
          <w:lang w:val="zh-CN" w:eastAsia="zh-CN" w:bidi="ar-SA"/>
        </w:rPr>
        <w:t>全年实现目标</w:t>
      </w:r>
      <w:r>
        <w:rPr>
          <w:rFonts w:hint="eastAsia" w:ascii="Times New Roman" w:hAnsi="Times New Roman" w:eastAsia="仿宋_GB2312" w:cs="Times New Roman"/>
          <w:color w:val="auto"/>
          <w:kern w:val="2"/>
          <w:sz w:val="32"/>
          <w:szCs w:val="32"/>
          <w:lang w:val="en-US" w:eastAsia="zh-CN" w:bidi="ar-SA"/>
        </w:rPr>
        <w:t>1.61万元，执行率100%。主要用于支付档案专用计算机经费。</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3.特定目标类项目绩效分析。</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特定目标类项目3个，全年实现目标4.14万元，执行率100%，主要用于</w:t>
      </w:r>
      <w:r>
        <w:rPr>
          <w:rFonts w:hint="default" w:ascii="Times New Roman" w:hAnsi="Times New Roman" w:eastAsia="仿宋_GB2312" w:cs="Times New Roman"/>
          <w:color w:val="auto"/>
          <w:kern w:val="2"/>
          <w:sz w:val="32"/>
          <w:szCs w:val="32"/>
          <w:lang w:val="en-US" w:eastAsia="zh-CN" w:bidi="ar-SA"/>
        </w:rPr>
        <w:t>“推进西区机关、群团、事业单位登记管理档案电子化管理经费”“机构编制核查及实名制系统维护</w:t>
      </w:r>
      <w:r>
        <w:rPr>
          <w:rFonts w:hint="eastAsia" w:ascii="Times New Roman" w:hAnsi="Times New Roman" w:eastAsia="仿宋_GB2312" w:cs="Times New Roman"/>
          <w:color w:val="auto"/>
          <w:kern w:val="2"/>
          <w:sz w:val="32"/>
          <w:szCs w:val="32"/>
          <w:lang w:val="en-US" w:eastAsia="zh-CN" w:bidi="ar-SA"/>
        </w:rPr>
        <w:t>经费</w:t>
      </w:r>
      <w:r>
        <w:rPr>
          <w:rFonts w:hint="default" w:ascii="Times New Roman" w:hAnsi="Times New Roman" w:eastAsia="仿宋_GB2312" w:cs="Times New Roman"/>
          <w:color w:val="auto"/>
          <w:kern w:val="2"/>
          <w:sz w:val="32"/>
          <w:szCs w:val="32"/>
          <w:lang w:val="en-US" w:eastAsia="zh-CN" w:bidi="ar-SA"/>
        </w:rPr>
        <w:t>”“机构改革业务费”</w:t>
      </w:r>
      <w:r>
        <w:rPr>
          <w:rFonts w:hint="eastAsia" w:ascii="Times New Roman" w:hAnsi="Times New Roman" w:eastAsia="仿宋_GB2312" w:cs="Times New Roman"/>
          <w:color w:val="auto"/>
          <w:kern w:val="2"/>
          <w:sz w:val="32"/>
          <w:szCs w:val="32"/>
          <w:lang w:val="en-US" w:eastAsia="zh-CN" w:bidi="ar-SA"/>
        </w:rPr>
        <w:t>。</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202</w:t>
      </w:r>
      <w:r>
        <w:rPr>
          <w:rFonts w:hint="eastAsia" w:ascii="Times New Roman" w:hAnsi="Times New Roman" w:eastAsia="仿宋_GB2312" w:cs="Times New Roman"/>
          <w:color w:val="auto"/>
          <w:kern w:val="2"/>
          <w:sz w:val="32"/>
          <w:szCs w:val="32"/>
          <w:lang w:val="en-US" w:eastAsia="zh-CN" w:bidi="ar-SA"/>
        </w:rPr>
        <w:t>2</w:t>
      </w:r>
      <w:r>
        <w:rPr>
          <w:rFonts w:hint="eastAsia" w:ascii="Times New Roman" w:hAnsi="Times New Roman" w:eastAsia="仿宋_GB2312" w:cs="Times New Roman"/>
          <w:color w:val="auto"/>
          <w:kern w:val="2"/>
          <w:sz w:val="32"/>
          <w:szCs w:val="32"/>
          <w:lang w:val="zh-CN" w:eastAsia="zh-CN" w:bidi="ar-SA"/>
        </w:rPr>
        <w:t>年，区委编办认真贯彻落实区委和区委编委安排部署，紧紧围绕中心大局和重点工作任务，做好机构编制服务保障工作。在制定全年目标任务时，我办从全力保障好经济社会发展的机构编制需求、构建与高质量发展和高效能治理相适应的机构职能体系、深耕重点领域和环节体制机制改革、增强机构编制优化配置等方面进一步细化了各项工作任务。在编制全年经费预算时紧扣制定的目标任务，通过对历年预算编制情况、上年预算执行情况及当年重点工作情况，并结合当前物价水平，严格按照财政部门的规定合理编制年度预算，同时要求编制预算时必须有相应的测算依据。从数量、质量、成本和时效等方面细化了绩效指标，能够量化的尽量进行定量表述，不能以量化形式表述的，采用定性的分级分档形式表述。同时注重绩效目标符合客观实际，能够在一定期限内如期实现。</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zh-CN" w:eastAsia="zh-CN" w:bidi="ar-SA"/>
        </w:rPr>
        <w:t>效益指标完成情况分析。</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各部门基本实现了机构按规定设置执行到位、人员配备到位、职能调整到位、职责履行到位、严控人员和编制到位。各部门间权责关系基本得到明确和理顺，职责履行较为充分，工作运转协调顺畅。通过本轮机构改革进一步提升西区党政治理体系和治理能力、基层治理能力，与目标无偏差。</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en-US" w:eastAsia="zh-CN" w:bidi="ar-SA"/>
        </w:rPr>
        <w:t>2.</w:t>
      </w:r>
      <w:r>
        <w:rPr>
          <w:rFonts w:hint="eastAsia" w:ascii="Times New Roman" w:hAnsi="Times New Roman" w:eastAsia="仿宋_GB2312" w:cs="Times New Roman"/>
          <w:color w:val="auto"/>
          <w:kern w:val="2"/>
          <w:sz w:val="32"/>
          <w:szCs w:val="32"/>
          <w:lang w:val="zh-CN" w:eastAsia="zh-CN" w:bidi="ar-SA"/>
        </w:rPr>
        <w:t>满意度指标完成情况分析。</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通过发放调查问卷和实地调研方式开展各部门对我办牵头的机构改革工作的满意度测评，从测评结果看，各部门（单位）对我办牵头开展的机构编制管理等工作均为满意。</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en-US" w:eastAsia="zh-CN" w:bidi="ar-SA"/>
        </w:rPr>
        <w:t>3.</w:t>
      </w:r>
      <w:r>
        <w:rPr>
          <w:rFonts w:hint="eastAsia" w:ascii="Times New Roman" w:hAnsi="Times New Roman" w:eastAsia="仿宋_GB2312" w:cs="Times New Roman"/>
          <w:color w:val="auto"/>
          <w:kern w:val="2"/>
          <w:sz w:val="32"/>
          <w:szCs w:val="32"/>
          <w:lang w:val="zh-CN" w:eastAsia="zh-CN" w:bidi="ar-SA"/>
        </w:rPr>
        <w:t>自评公开情况分析。</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en-US" w:eastAsia="zh-CN" w:bidi="ar-SA"/>
        </w:rPr>
        <w:t>绩效自评结果按照预算绩效自评工作要求，及时</w:t>
      </w:r>
      <w:r>
        <w:rPr>
          <w:rFonts w:hint="eastAsia" w:ascii="Times New Roman" w:hAnsi="Times New Roman" w:eastAsia="仿宋_GB2312" w:cs="Times New Roman"/>
          <w:color w:val="auto"/>
          <w:kern w:val="2"/>
          <w:sz w:val="32"/>
          <w:szCs w:val="32"/>
          <w:lang w:val="zh-CN" w:eastAsia="zh-CN" w:bidi="ar-SA"/>
        </w:rPr>
        <w:t>在攀枝花市西区人民政府官网上</w:t>
      </w:r>
      <w:r>
        <w:rPr>
          <w:rFonts w:hint="eastAsia" w:ascii="Times New Roman" w:hAnsi="Times New Roman" w:eastAsia="仿宋_GB2312" w:cs="Times New Roman"/>
          <w:color w:val="auto"/>
          <w:kern w:val="2"/>
          <w:sz w:val="32"/>
          <w:szCs w:val="32"/>
          <w:lang w:val="en-US" w:eastAsia="zh-CN" w:bidi="ar-SA"/>
        </w:rPr>
        <w:t>向社会公开。</w:t>
      </w:r>
    </w:p>
    <w:p>
      <w:pPr>
        <w:widowControl/>
        <w:numPr>
          <w:ilvl w:val="0"/>
          <w:numId w:val="5"/>
        </w:numPr>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自评质量。</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绩效自评结果应用于支出管理、项目管理、合理配置资源、优化支出结构、资金使用效益等方面。在2022年度部门整体支出绩效评价中，我办严格按照市财政局制定的《部门整体支出绩效评价指标体系》的评分要求，逐项开展自评，各项自评得分均真实准确、有据可查，自评质量较</w:t>
      </w:r>
      <w:r>
        <w:rPr>
          <w:rFonts w:hint="eastAsia" w:ascii="Times New Roman" w:hAnsi="Times New Roman" w:eastAsia="仿宋_GB2312" w:cs="Times New Roman"/>
          <w:color w:val="auto"/>
          <w:kern w:val="2"/>
          <w:sz w:val="32"/>
          <w:szCs w:val="32"/>
          <w:lang w:val="en" w:eastAsia="zh-CN" w:bidi="ar-SA"/>
        </w:rPr>
        <w:t>高，自评得分</w:t>
      </w:r>
      <w:r>
        <w:rPr>
          <w:rFonts w:hint="eastAsia" w:ascii="Times New Roman" w:hAnsi="Times New Roman" w:eastAsia="仿宋_GB2312" w:cs="Times New Roman"/>
          <w:color w:val="auto"/>
          <w:kern w:val="2"/>
          <w:sz w:val="32"/>
          <w:szCs w:val="32"/>
          <w:lang w:val="en-US" w:eastAsia="zh-CN" w:bidi="ar-SA"/>
        </w:rPr>
        <w:t>97</w:t>
      </w:r>
      <w:r>
        <w:rPr>
          <w:rFonts w:hint="eastAsia" w:ascii="Times New Roman" w:hAnsi="Times New Roman" w:eastAsia="仿宋_GB2312" w:cs="Times New Roman"/>
          <w:color w:val="auto"/>
          <w:kern w:val="2"/>
          <w:sz w:val="32"/>
          <w:szCs w:val="32"/>
          <w:lang w:val="en" w:eastAsia="zh-CN" w:bidi="ar-SA"/>
        </w:rPr>
        <w:t>分。</w:t>
      </w:r>
    </w:p>
    <w:p>
      <w:pPr>
        <w:widowControl/>
        <w:adjustRightInd w:val="0"/>
        <w:snapToGrid w:val="0"/>
        <w:spacing w:line="560" w:lineRule="exact"/>
        <w:ind w:firstLine="640" w:firstLineChars="200"/>
        <w:contextualSpacing/>
        <w:jc w:val="left"/>
        <w:outlineLvl w:val="1"/>
        <w:rPr>
          <w:rFonts w:ascii="黑体" w:hAnsi="宋体" w:eastAsia="黑体" w:cs="宋体"/>
          <w:kern w:val="0"/>
          <w:sz w:val="32"/>
          <w:szCs w:val="32"/>
          <w:shd w:val="clear" w:color="auto" w:fill="FFFFFF"/>
        </w:rPr>
      </w:pPr>
      <w:bookmarkStart w:id="80" w:name="_Toc25645"/>
      <w:r>
        <w:rPr>
          <w:rFonts w:hint="eastAsia" w:ascii="黑体" w:hAnsi="宋体" w:eastAsia="黑体" w:cs="宋体"/>
          <w:kern w:val="0"/>
          <w:sz w:val="32"/>
          <w:szCs w:val="32"/>
          <w:shd w:val="clear" w:color="auto" w:fill="FFFFFF"/>
        </w:rPr>
        <w:t>四、评价结论及建议</w:t>
      </w:r>
      <w:bookmarkEnd w:id="80"/>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en-US" w:eastAsia="zh-CN" w:bidi="ar-SA"/>
        </w:rPr>
        <w:t>从整体情况看，区委编办高度重视财政资金支出绩效，严格遵守各项财经纪律和财务管理制度，及时公开预决算，自觉接受财政和社会监督。加强财务管理，强化预算编制和执行，有效实施内部监督和控制，保证会计资料的真实性和完整性。实行“收支两条线”，确保财务收支平衡，加强财产物资管理，保障各项工作正常开展和目标任务完成。整体支出平稳，较好地实现社会效益目标。</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en-US" w:eastAsia="zh-CN" w:bidi="ar-SA"/>
        </w:rPr>
        <w:t>预算绩效管理工作经验不足，满意度评价范围还不够广泛。</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（三）改进建议。</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en-US" w:eastAsia="zh-CN" w:bidi="ar-SA"/>
        </w:rPr>
        <w:t>将不断学习借鉴先进经验和做法，充分发挥单位的主观能动性，不断健全绩效评价工作机制，扩大满意度测评范围，营造“讲绩效、重绩效、用绩效”的良好氛围。</w:t>
      </w:r>
    </w:p>
    <w:p>
      <w:pPr>
        <w:widowControl/>
        <w:adjustRightInd w:val="0"/>
        <w:snapToGrid w:val="0"/>
        <w:spacing w:line="580" w:lineRule="exact"/>
        <w:ind w:firstLine="640" w:firstLineChars="200"/>
        <w:contextualSpacing/>
        <w:jc w:val="left"/>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zh-CN" w:eastAsia="zh-CN" w:bidi="ar-SA"/>
        </w:rPr>
        <w:t>附表：</w:t>
      </w:r>
      <w:r>
        <w:rPr>
          <w:rFonts w:hint="eastAsia" w:ascii="Times New Roman" w:hAnsi="Times New Roman" w:eastAsia="仿宋_GB2312" w:cs="Times New Roman"/>
          <w:color w:val="auto"/>
          <w:kern w:val="2"/>
          <w:sz w:val="32"/>
          <w:szCs w:val="32"/>
          <w:lang w:val="en-US" w:eastAsia="zh-CN" w:bidi="ar-SA"/>
        </w:rPr>
        <w:t>部门预算项目支出绩效自评表（2022年度）见附件2.</w:t>
      </w:r>
    </w:p>
    <w:p>
      <w:pPr>
        <w:pStyle w:val="15"/>
        <w:spacing w:line="560" w:lineRule="exact"/>
        <w:ind w:left="0" w:leftChars="0" w:firstLine="0" w:firstLineChars="0"/>
        <w:rPr>
          <w:sz w:val="32"/>
          <w:lang w:val="zh-CN"/>
        </w:rPr>
      </w:pPr>
    </w:p>
    <w:p>
      <w:pPr>
        <w:pStyle w:val="15"/>
        <w:spacing w:line="560" w:lineRule="exact"/>
        <w:ind w:left="0" w:leftChars="0" w:firstLine="0" w:firstLineChars="0"/>
        <w:rPr>
          <w:sz w:val="32"/>
          <w:lang w:val="zh-CN"/>
        </w:rPr>
      </w:pPr>
    </w:p>
    <w:p>
      <w:pPr>
        <w:pStyle w:val="15"/>
        <w:spacing w:line="560" w:lineRule="exact"/>
        <w:ind w:left="0" w:leftChars="0" w:firstLine="0" w:firstLineChars="0"/>
        <w:rPr>
          <w:sz w:val="32"/>
          <w:lang w:val="zh-CN"/>
        </w:rPr>
      </w:pPr>
    </w:p>
    <w:p>
      <w:pPr>
        <w:pStyle w:val="15"/>
        <w:spacing w:line="560" w:lineRule="exact"/>
        <w:ind w:left="0" w:leftChars="0" w:firstLine="0" w:firstLineChars="0"/>
        <w:rPr>
          <w:sz w:val="32"/>
          <w:lang w:val="zh-CN"/>
        </w:rPr>
      </w:pPr>
    </w:p>
    <w:p>
      <w:pPr>
        <w:pStyle w:val="15"/>
        <w:spacing w:line="560" w:lineRule="exact"/>
        <w:ind w:left="0" w:leftChars="0" w:firstLine="0" w:firstLineChars="0"/>
        <w:rPr>
          <w:sz w:val="32"/>
          <w:lang w:val="zh-CN"/>
        </w:rPr>
      </w:pPr>
    </w:p>
    <w:p>
      <w:pPr>
        <w:pStyle w:val="15"/>
        <w:spacing w:line="560" w:lineRule="exact"/>
        <w:ind w:left="0" w:leftChars="0" w:firstLine="0" w:firstLineChars="0"/>
        <w:rPr>
          <w:sz w:val="32"/>
          <w:lang w:val="zh-CN"/>
        </w:rPr>
      </w:pPr>
    </w:p>
    <w:p>
      <w:pPr>
        <w:pStyle w:val="5"/>
        <w:spacing w:before="93"/>
        <w:rPr>
          <w:rFonts w:hAnsi="宋体" w:cs="宋体"/>
          <w:sz w:val="32"/>
          <w:szCs w:val="32"/>
          <w:shd w:val="clear" w:color="auto" w:fill="FFFFFF"/>
          <w:lang w:val="zh-CN"/>
        </w:rPr>
      </w:pPr>
    </w:p>
    <w:p>
      <w:pPr>
        <w:spacing w:line="572" w:lineRule="exact"/>
        <w:jc w:val="left"/>
        <w:outlineLvl w:val="1"/>
        <w:rPr>
          <w:rFonts w:hint="eastAsia" w:ascii="黑体" w:hAnsi="黑体" w:eastAsia="黑体" w:cs="黑体"/>
          <w:sz w:val="32"/>
          <w:szCs w:val="32"/>
        </w:rPr>
      </w:pPr>
      <w:bookmarkStart w:id="81" w:name="_Toc15186"/>
      <w:r>
        <w:rPr>
          <w:rFonts w:hint="eastAsia" w:ascii="黑体" w:hAnsi="黑体" w:eastAsia="黑体" w:cs="黑体"/>
          <w:sz w:val="32"/>
          <w:szCs w:val="32"/>
          <w:lang w:val="zh-CN"/>
        </w:rPr>
        <w:t>附件</w:t>
      </w:r>
      <w:r>
        <w:rPr>
          <w:rFonts w:hint="eastAsia" w:ascii="黑体" w:hAnsi="黑体" w:eastAsia="黑体" w:cs="黑体"/>
          <w:sz w:val="32"/>
          <w:szCs w:val="32"/>
        </w:rPr>
        <w:t>2</w:t>
      </w:r>
      <w:bookmarkEnd w:id="81"/>
    </w:p>
    <w:p>
      <w:pPr>
        <w:pStyle w:val="5"/>
        <w:spacing w:before="93"/>
        <w:rPr>
          <w:rFonts w:hint="eastAsia" w:hAnsi="宋体" w:cs="宋体"/>
          <w:sz w:val="32"/>
          <w:szCs w:val="32"/>
          <w:shd w:val="clear" w:color="auto" w:fill="FFFFFF"/>
        </w:rPr>
      </w:pPr>
    </w:p>
    <w:p>
      <w:pPr>
        <w:pStyle w:val="36"/>
        <w:spacing w:line="578" w:lineRule="exact"/>
        <w:jc w:val="center"/>
        <w:rPr>
          <w:rFonts w:ascii="方正小标宋简体" w:hAnsi="方正小标宋简体" w:eastAsia="方正小标宋简体" w:cs="方正小标宋简体"/>
          <w:color w:val="auto"/>
          <w:kern w:val="2"/>
          <w:sz w:val="36"/>
          <w:szCs w:val="36"/>
          <w:lang w:val="en-US"/>
        </w:rPr>
      </w:pPr>
      <w:r>
        <w:rPr>
          <w:rFonts w:hint="eastAsia" w:ascii="方正小标宋简体" w:hAnsi="方正小标宋简体" w:eastAsia="方正小标宋简体" w:cs="方正小标宋简体"/>
          <w:color w:val="auto"/>
          <w:kern w:val="2"/>
          <w:sz w:val="36"/>
          <w:szCs w:val="36"/>
          <w:lang w:val="en-US"/>
        </w:rPr>
        <w:t>2023年区级专项资金预算项目绩效自评报告</w:t>
      </w:r>
    </w:p>
    <w:p>
      <w:pPr>
        <w:pStyle w:val="36"/>
        <w:spacing w:line="578" w:lineRule="exact"/>
        <w:ind w:firstLine="640"/>
        <w:jc w:val="center"/>
        <w:rPr>
          <w:rFonts w:ascii="宋体" w:hAnsi="宋体"/>
          <w:color w:val="auto"/>
          <w:kern w:val="2"/>
          <w:sz w:val="32"/>
          <w:szCs w:val="32"/>
        </w:rPr>
      </w:pPr>
    </w:p>
    <w:p>
      <w:pPr>
        <w:adjustRightInd w:val="0"/>
        <w:snapToGrid w:val="0"/>
        <w:spacing w:line="578" w:lineRule="exact"/>
        <w:ind w:firstLine="720"/>
        <w:outlineLvl w:val="1"/>
        <w:rPr>
          <w:rFonts w:ascii="黑体" w:hAnsi="宋体" w:eastAsia="黑体"/>
          <w:sz w:val="32"/>
          <w:szCs w:val="32"/>
          <w:lang w:val="zh-CN"/>
        </w:rPr>
      </w:pPr>
      <w:bookmarkStart w:id="82" w:name="_Toc6103"/>
      <w:r>
        <w:rPr>
          <w:rFonts w:hint="eastAsia" w:ascii="黑体" w:hAnsi="宋体" w:eastAsia="黑体"/>
          <w:sz w:val="32"/>
          <w:szCs w:val="32"/>
        </w:rPr>
        <w:t>一、</w:t>
      </w:r>
      <w:r>
        <w:rPr>
          <w:rFonts w:hint="eastAsia" w:ascii="黑体" w:hAnsi="宋体" w:eastAsia="黑体"/>
          <w:sz w:val="32"/>
          <w:szCs w:val="32"/>
          <w:lang w:val="zh-CN"/>
        </w:rPr>
        <w:t>项目概况</w:t>
      </w:r>
      <w:bookmarkEnd w:id="82"/>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zh-CN" w:eastAsia="zh-CN" w:bidi="ar-SA"/>
        </w:rPr>
      </w:pPr>
      <w:r>
        <w:rPr>
          <w:rFonts w:hint="eastAsia"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zh-CN" w:eastAsia="zh-CN" w:bidi="ar-SA"/>
        </w:rPr>
        <w:t>说明项目主管部门（单位）在该项目管理中的职能。</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牵头实施项目、编制实施方案、采购必要设备、专人负责项目，及时更新机构编制实名制系统，</w:t>
      </w:r>
      <w:r>
        <w:rPr>
          <w:rFonts w:hint="default" w:ascii="Times New Roman" w:hAnsi="Times New Roman" w:eastAsia="仿宋_GB2312" w:cs="Times New Roman"/>
          <w:color w:val="auto"/>
          <w:kern w:val="2"/>
          <w:sz w:val="32"/>
          <w:szCs w:val="32"/>
          <w:lang w:val="zh-CN" w:eastAsia="zh-CN" w:bidi="ar-SA"/>
        </w:rPr>
        <w:t>提高机关群团、事业单位登记管理档案的利用率，实现</w:t>
      </w:r>
      <w:r>
        <w:rPr>
          <w:rFonts w:hint="eastAsia" w:ascii="Times New Roman" w:hAnsi="Times New Roman" w:eastAsia="仿宋_GB2312" w:cs="Times New Roman"/>
          <w:color w:val="auto"/>
          <w:kern w:val="2"/>
          <w:sz w:val="32"/>
          <w:szCs w:val="32"/>
          <w:lang w:val="zh-CN" w:eastAsia="zh-CN" w:bidi="ar-SA"/>
        </w:rPr>
        <w:t>“</w:t>
      </w:r>
      <w:r>
        <w:rPr>
          <w:rFonts w:hint="default" w:ascii="Times New Roman" w:hAnsi="Times New Roman" w:eastAsia="仿宋_GB2312" w:cs="Times New Roman"/>
          <w:color w:val="auto"/>
          <w:kern w:val="2"/>
          <w:sz w:val="32"/>
          <w:szCs w:val="32"/>
          <w:lang w:val="zh-CN" w:eastAsia="zh-CN" w:bidi="ar-SA"/>
        </w:rPr>
        <w:t>一户一档</w:t>
      </w:r>
      <w:r>
        <w:rPr>
          <w:rFonts w:hint="eastAsia" w:ascii="Times New Roman" w:hAnsi="Times New Roman" w:eastAsia="仿宋_GB2312" w:cs="Times New Roman"/>
          <w:color w:val="auto"/>
          <w:kern w:val="2"/>
          <w:sz w:val="32"/>
          <w:szCs w:val="32"/>
          <w:lang w:val="zh-CN" w:eastAsia="zh-CN" w:bidi="ar-SA"/>
        </w:rPr>
        <w:t>”</w:t>
      </w:r>
      <w:r>
        <w:rPr>
          <w:rFonts w:hint="default" w:ascii="Times New Roman" w:hAnsi="Times New Roman" w:eastAsia="仿宋_GB2312" w:cs="Times New Roman"/>
          <w:color w:val="auto"/>
          <w:kern w:val="2"/>
          <w:sz w:val="32"/>
          <w:szCs w:val="32"/>
          <w:lang w:val="zh-CN" w:eastAsia="zh-CN" w:bidi="ar-SA"/>
        </w:rPr>
        <w:t>的数字化管理，</w:t>
      </w:r>
      <w:r>
        <w:rPr>
          <w:rFonts w:hint="eastAsia" w:ascii="Times New Roman" w:hAnsi="Times New Roman" w:eastAsia="仿宋_GB2312" w:cs="Times New Roman"/>
          <w:color w:val="auto"/>
          <w:kern w:val="2"/>
          <w:sz w:val="32"/>
          <w:szCs w:val="32"/>
          <w:lang w:val="zh-CN" w:eastAsia="zh-CN" w:bidi="ar-SA"/>
        </w:rPr>
        <w:t>完成全区行政、事业单位改革，执法体制改革等改革业务，提升西区党政治理体系和治理能力、基层治理能力，保障机构高效运转。</w:t>
      </w:r>
      <w:r>
        <w:rPr>
          <w:rFonts w:hint="eastAsia" w:ascii="Times New Roman" w:hAnsi="Times New Roman" w:eastAsia="仿宋_GB2312" w:cs="Times New Roman"/>
          <w:color w:val="auto"/>
          <w:kern w:val="2"/>
          <w:sz w:val="32"/>
          <w:szCs w:val="32"/>
          <w:lang w:val="en-US" w:eastAsia="zh-CN" w:bidi="ar-SA"/>
        </w:rPr>
        <w:t xml:space="preserve"> </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en-US" w:eastAsia="zh-CN" w:bidi="ar-SA"/>
        </w:rPr>
        <w:t>2.</w:t>
      </w:r>
      <w:r>
        <w:rPr>
          <w:rFonts w:hint="eastAsia" w:ascii="Times New Roman" w:hAnsi="Times New Roman" w:eastAsia="仿宋_GB2312" w:cs="Times New Roman"/>
          <w:color w:val="auto"/>
          <w:kern w:val="2"/>
          <w:sz w:val="32"/>
          <w:szCs w:val="32"/>
          <w:lang w:val="zh-CN" w:eastAsia="zh-CN" w:bidi="ar-SA"/>
        </w:rPr>
        <w:t>项目立项、资金申报的依据。</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zh-CN" w:eastAsia="zh-CN" w:bidi="ar-SA"/>
        </w:rPr>
      </w:pPr>
      <w:r>
        <w:rPr>
          <w:rFonts w:hint="default" w:ascii="Times New Roman" w:hAnsi="Times New Roman" w:eastAsia="仿宋_GB2312" w:cs="Times New Roman"/>
          <w:color w:val="auto"/>
          <w:kern w:val="2"/>
          <w:sz w:val="32"/>
          <w:szCs w:val="32"/>
          <w:lang w:val="zh-CN" w:eastAsia="zh-CN" w:bidi="ar-SA"/>
        </w:rPr>
        <w:t>根据攀西财〔</w:t>
      </w:r>
      <w:r>
        <w:rPr>
          <w:rFonts w:hint="default" w:ascii="Times New Roman" w:hAnsi="Times New Roman" w:eastAsia="仿宋_GB2312" w:cs="Times New Roman"/>
          <w:color w:val="auto"/>
          <w:kern w:val="2"/>
          <w:sz w:val="32"/>
          <w:szCs w:val="32"/>
          <w:lang w:val="en-US" w:eastAsia="zh-CN" w:bidi="ar-SA"/>
        </w:rPr>
        <w:t>2022</w:t>
      </w:r>
      <w:r>
        <w:rPr>
          <w:rFonts w:hint="default" w:ascii="Times New Roman" w:hAnsi="Times New Roman" w:eastAsia="仿宋_GB2312" w:cs="Times New Roman"/>
          <w:color w:val="auto"/>
          <w:kern w:val="2"/>
          <w:sz w:val="32"/>
          <w:szCs w:val="32"/>
          <w:lang w:val="zh-CN" w:eastAsia="zh-CN" w:bidi="ar-SA"/>
        </w:rPr>
        <w:t>〕</w:t>
      </w:r>
      <w:r>
        <w:rPr>
          <w:rFonts w:hint="default" w:ascii="Times New Roman" w:hAnsi="Times New Roman" w:eastAsia="仿宋_GB2312" w:cs="Times New Roman"/>
          <w:color w:val="auto"/>
          <w:kern w:val="2"/>
          <w:sz w:val="32"/>
          <w:szCs w:val="32"/>
          <w:lang w:val="en-US" w:eastAsia="zh-CN" w:bidi="ar-SA"/>
        </w:rPr>
        <w:t>1号文件要求，结合本单位实际，共申报</w:t>
      </w:r>
      <w:r>
        <w:rPr>
          <w:rFonts w:hint="default" w:ascii="Times New Roman" w:hAnsi="Times New Roman" w:eastAsia="仿宋_GB2312" w:cs="Times New Roman"/>
          <w:color w:val="auto"/>
          <w:kern w:val="2"/>
          <w:sz w:val="32"/>
          <w:szCs w:val="32"/>
          <w:lang w:val="zh-CN" w:eastAsia="zh-CN" w:bidi="ar-SA"/>
        </w:rPr>
        <w:t>三个特定类项目：机构改革业务费；机构编制核查及实名制系统维护费；推进西区机关群团、事业单位登记管理档案电子化管理经费。</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en-US" w:eastAsia="zh-CN" w:bidi="ar-SA"/>
        </w:rPr>
        <w:t>3.</w:t>
      </w:r>
      <w:r>
        <w:rPr>
          <w:rFonts w:hint="eastAsia" w:ascii="Times New Roman" w:hAnsi="Times New Roman" w:eastAsia="仿宋_GB2312" w:cs="Times New Roman"/>
          <w:color w:val="auto"/>
          <w:kern w:val="2"/>
          <w:sz w:val="32"/>
          <w:szCs w:val="32"/>
          <w:lang w:val="zh-CN" w:eastAsia="zh-CN" w:bidi="ar-SA"/>
        </w:rPr>
        <w:t>资金</w:t>
      </w:r>
      <w:r>
        <w:rPr>
          <w:rFonts w:hint="eastAsia" w:ascii="Times New Roman" w:hAnsi="Times New Roman" w:eastAsia="仿宋_GB2312" w:cs="Times New Roman"/>
          <w:color w:val="auto"/>
          <w:kern w:val="2"/>
          <w:sz w:val="32"/>
          <w:szCs w:val="32"/>
          <w:lang w:val="en-US" w:eastAsia="zh-CN" w:bidi="ar-SA"/>
        </w:rPr>
        <w:t>或项目</w:t>
      </w:r>
      <w:r>
        <w:rPr>
          <w:rFonts w:hint="eastAsia" w:ascii="Times New Roman" w:hAnsi="Times New Roman" w:eastAsia="仿宋_GB2312" w:cs="Times New Roman"/>
          <w:color w:val="auto"/>
          <w:kern w:val="2"/>
          <w:sz w:val="32"/>
          <w:szCs w:val="32"/>
          <w:lang w:val="zh-CN" w:eastAsia="zh-CN" w:bidi="ar-SA"/>
        </w:rPr>
        <w:t>管理办法制定情况，资金支持具体项目的条件、范围与支持方式概况。</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制定了《建设项目管理制度》、《内控管理制度》、《合同管理制度》、《重大决策制度》、《收支业务管理办法》等。主要支持解决机构编制核查和实名制系统维护，机构改革业务，机关、群团、事业单位登记档案规范化管理。所需资金由本级财政解决。</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zh-CN" w:eastAsia="zh-CN" w:bidi="ar-SA"/>
        </w:rPr>
      </w:pPr>
      <w:r>
        <w:rPr>
          <w:rFonts w:hint="eastAsia" w:eastAsia="仿宋_GB2312" w:cs="Times New Roman"/>
          <w:color w:val="auto"/>
          <w:kern w:val="2"/>
          <w:sz w:val="32"/>
          <w:szCs w:val="32"/>
          <w:lang w:val="en-US" w:eastAsia="zh-CN" w:bidi="ar-SA"/>
        </w:rPr>
        <w:t>4.</w:t>
      </w:r>
      <w:r>
        <w:rPr>
          <w:rFonts w:hint="eastAsia" w:ascii="Times New Roman" w:hAnsi="Times New Roman" w:eastAsia="仿宋_GB2312" w:cs="Times New Roman"/>
          <w:color w:val="auto"/>
          <w:kern w:val="2"/>
          <w:sz w:val="32"/>
          <w:szCs w:val="32"/>
          <w:lang w:val="zh-CN" w:eastAsia="zh-CN" w:bidi="ar-SA"/>
        </w:rPr>
        <w:t>资金分配的原则及考虑因素。</w:t>
      </w:r>
    </w:p>
    <w:p>
      <w:pPr>
        <w:widowControl/>
        <w:adjustRightInd w:val="0"/>
        <w:snapToGrid w:val="0"/>
        <w:spacing w:line="580" w:lineRule="exact"/>
        <w:ind w:firstLine="640" w:firstLineChars="200"/>
        <w:contextualSpacing/>
        <w:jc w:val="left"/>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科学合理安排资金预算支出，实现资金落到实处，强化执行过程监督，项目成本严格控制在预算范围内。</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widowControl/>
        <w:adjustRightInd w:val="0"/>
        <w:snapToGrid w:val="0"/>
        <w:spacing w:line="580" w:lineRule="exact"/>
        <w:ind w:firstLine="640" w:firstLineChars="200"/>
        <w:contextualSpacing/>
        <w:jc w:val="left"/>
        <w:rPr>
          <w:rFonts w:hint="eastAsia" w:eastAsia="仿宋_GB2312" w:cs="Times New Roman"/>
          <w:color w:val="auto"/>
          <w:kern w:val="2"/>
          <w:sz w:val="32"/>
          <w:szCs w:val="32"/>
          <w:lang w:val="zh-CN" w:eastAsia="zh-CN" w:bidi="ar-SA"/>
        </w:rPr>
      </w:pPr>
      <w:r>
        <w:rPr>
          <w:rFonts w:hint="eastAsia" w:eastAsia="仿宋_GB2312" w:cs="Times New Roman"/>
          <w:color w:val="auto"/>
          <w:kern w:val="2"/>
          <w:sz w:val="32"/>
          <w:szCs w:val="32"/>
          <w:lang w:val="en-US" w:eastAsia="zh-CN" w:bidi="ar-SA"/>
        </w:rPr>
        <w:t>1.</w:t>
      </w:r>
      <w:r>
        <w:rPr>
          <w:rFonts w:hint="eastAsia" w:eastAsia="仿宋_GB2312" w:cs="Times New Roman"/>
          <w:color w:val="auto"/>
          <w:kern w:val="2"/>
          <w:sz w:val="32"/>
          <w:szCs w:val="32"/>
          <w:lang w:val="zh-CN" w:eastAsia="zh-CN" w:bidi="ar-SA"/>
        </w:rPr>
        <w:t>项目主要内容。</w:t>
      </w:r>
    </w:p>
    <w:p>
      <w:pPr>
        <w:widowControl/>
        <w:adjustRightInd w:val="0"/>
        <w:snapToGrid w:val="0"/>
        <w:spacing w:line="580" w:lineRule="exact"/>
        <w:ind w:firstLine="640" w:firstLineChars="200"/>
        <w:contextualSpacing/>
        <w:jc w:val="left"/>
        <w:rPr>
          <w:rFonts w:hint="eastAsia" w:eastAsia="仿宋_GB2312" w:cs="Times New Roman"/>
          <w:color w:val="auto"/>
          <w:kern w:val="2"/>
          <w:sz w:val="32"/>
          <w:szCs w:val="32"/>
          <w:lang w:val="zh-CN" w:eastAsia="zh-CN" w:bidi="ar-SA"/>
        </w:rPr>
      </w:pPr>
      <w:r>
        <w:rPr>
          <w:rFonts w:hint="eastAsia" w:eastAsia="仿宋_GB2312" w:cs="Times New Roman"/>
          <w:color w:val="auto"/>
          <w:kern w:val="2"/>
          <w:sz w:val="32"/>
          <w:szCs w:val="32"/>
          <w:lang w:val="zh-CN" w:eastAsia="zh-CN" w:bidi="ar-SA"/>
        </w:rPr>
        <w:t>做好机构编制核查和实名制系统维护，机构改革业务，机关、群团、事业单位登记档案规范化管理。</w:t>
      </w:r>
    </w:p>
    <w:p>
      <w:pPr>
        <w:widowControl/>
        <w:adjustRightInd w:val="0"/>
        <w:snapToGrid w:val="0"/>
        <w:spacing w:line="580" w:lineRule="exact"/>
        <w:ind w:firstLine="640" w:firstLineChars="200"/>
        <w:contextualSpacing/>
        <w:jc w:val="left"/>
        <w:rPr>
          <w:rFonts w:hint="eastAsia" w:eastAsia="仿宋_GB2312" w:cs="Times New Roman"/>
          <w:color w:val="auto"/>
          <w:kern w:val="2"/>
          <w:sz w:val="32"/>
          <w:szCs w:val="32"/>
          <w:lang w:val="zh-CN" w:eastAsia="zh-CN" w:bidi="ar-SA"/>
        </w:rPr>
      </w:pPr>
      <w:r>
        <w:rPr>
          <w:rFonts w:hint="eastAsia" w:eastAsia="仿宋_GB2312" w:cs="Times New Roman"/>
          <w:color w:val="auto"/>
          <w:kern w:val="2"/>
          <w:sz w:val="32"/>
          <w:szCs w:val="32"/>
          <w:lang w:val="en-US" w:eastAsia="zh-CN" w:bidi="ar-SA"/>
        </w:rPr>
        <w:t>2.</w:t>
      </w:r>
      <w:r>
        <w:rPr>
          <w:rFonts w:hint="eastAsia" w:eastAsia="仿宋_GB2312" w:cs="Times New Roman"/>
          <w:color w:val="auto"/>
          <w:kern w:val="2"/>
          <w:sz w:val="32"/>
          <w:szCs w:val="32"/>
          <w:lang w:val="zh-CN" w:eastAsia="zh-CN" w:bidi="ar-SA"/>
        </w:rPr>
        <w:t>项目应实现的具体绩效目标，</w:t>
      </w:r>
      <w:r>
        <w:rPr>
          <w:rFonts w:hint="eastAsia" w:eastAsia="仿宋_GB2312" w:cs="Times New Roman"/>
          <w:color w:val="auto"/>
          <w:kern w:val="2"/>
          <w:sz w:val="32"/>
          <w:szCs w:val="32"/>
          <w:lang w:val="en-US" w:eastAsia="zh-CN" w:bidi="ar-SA"/>
        </w:rPr>
        <w:t>包括但不限于：绩效</w:t>
      </w:r>
      <w:r>
        <w:rPr>
          <w:rFonts w:hint="eastAsia" w:eastAsia="仿宋_GB2312" w:cs="Times New Roman"/>
          <w:color w:val="auto"/>
          <w:kern w:val="2"/>
          <w:sz w:val="32"/>
          <w:szCs w:val="32"/>
          <w:lang w:val="zh-CN" w:eastAsia="zh-CN" w:bidi="ar-SA"/>
        </w:rPr>
        <w:t>目标的量化细化情况、项目实施进度计划等。</w:t>
      </w:r>
    </w:p>
    <w:p>
      <w:pPr>
        <w:widowControl/>
        <w:adjustRightInd w:val="0"/>
        <w:snapToGrid w:val="0"/>
        <w:spacing w:line="580" w:lineRule="exact"/>
        <w:ind w:firstLine="640" w:firstLineChars="200"/>
        <w:contextualSpacing/>
        <w:jc w:val="left"/>
        <w:rPr>
          <w:rFonts w:hint="eastAsia" w:eastAsia="仿宋_GB2312" w:cs="Times New Roman"/>
          <w:color w:val="auto"/>
          <w:kern w:val="2"/>
          <w:sz w:val="32"/>
          <w:szCs w:val="32"/>
          <w:lang w:val="zh-CN" w:eastAsia="zh-CN" w:bidi="ar-SA"/>
        </w:rPr>
      </w:pPr>
      <w:r>
        <w:rPr>
          <w:rFonts w:hint="eastAsia" w:eastAsia="仿宋_GB2312" w:cs="Times New Roman"/>
          <w:color w:val="auto"/>
          <w:kern w:val="2"/>
          <w:sz w:val="32"/>
          <w:szCs w:val="32"/>
          <w:lang w:val="zh-CN" w:eastAsia="zh-CN" w:bidi="ar-SA"/>
        </w:rPr>
        <w:t>项目实施为全年目标任务，</w:t>
      </w:r>
      <w:r>
        <w:rPr>
          <w:rFonts w:hint="default" w:eastAsia="仿宋_GB2312" w:cs="Times New Roman"/>
          <w:color w:val="auto"/>
          <w:kern w:val="2"/>
          <w:sz w:val="32"/>
          <w:szCs w:val="32"/>
          <w:lang w:val="zh-CN" w:eastAsia="zh-CN" w:bidi="ar-SA"/>
        </w:rPr>
        <w:t>实现</w:t>
      </w:r>
      <w:r>
        <w:rPr>
          <w:rFonts w:hint="eastAsia" w:eastAsia="仿宋_GB2312" w:cs="Times New Roman"/>
          <w:color w:val="auto"/>
          <w:kern w:val="2"/>
          <w:sz w:val="32"/>
          <w:szCs w:val="32"/>
          <w:lang w:val="zh-CN" w:eastAsia="zh-CN" w:bidi="ar-SA"/>
        </w:rPr>
        <w:t>“</w:t>
      </w:r>
      <w:r>
        <w:rPr>
          <w:rFonts w:hint="default" w:eastAsia="仿宋_GB2312" w:cs="Times New Roman"/>
          <w:color w:val="auto"/>
          <w:kern w:val="2"/>
          <w:sz w:val="32"/>
          <w:szCs w:val="32"/>
          <w:lang w:val="zh-CN" w:eastAsia="zh-CN" w:bidi="ar-SA"/>
        </w:rPr>
        <w:t>一户一档</w:t>
      </w:r>
      <w:r>
        <w:rPr>
          <w:rFonts w:hint="eastAsia" w:eastAsia="仿宋_GB2312" w:cs="Times New Roman"/>
          <w:color w:val="auto"/>
          <w:kern w:val="2"/>
          <w:sz w:val="32"/>
          <w:szCs w:val="32"/>
          <w:lang w:val="zh-CN" w:eastAsia="zh-CN" w:bidi="ar-SA"/>
        </w:rPr>
        <w:t>”</w:t>
      </w:r>
      <w:r>
        <w:rPr>
          <w:rFonts w:hint="default" w:eastAsia="仿宋_GB2312" w:cs="Times New Roman"/>
          <w:color w:val="auto"/>
          <w:kern w:val="2"/>
          <w:sz w:val="32"/>
          <w:szCs w:val="32"/>
          <w:lang w:val="zh-CN" w:eastAsia="zh-CN" w:bidi="ar-SA"/>
        </w:rPr>
        <w:t>的数字化管理</w:t>
      </w:r>
      <w:r>
        <w:rPr>
          <w:rFonts w:hint="eastAsia" w:eastAsia="仿宋_GB2312" w:cs="Times New Roman"/>
          <w:color w:val="auto"/>
          <w:kern w:val="2"/>
          <w:sz w:val="32"/>
          <w:szCs w:val="32"/>
          <w:lang w:val="zh-CN" w:eastAsia="zh-CN" w:bidi="ar-SA"/>
        </w:rPr>
        <w:t>，完成本年度机构编制核查和实名制系统维护和机构改革业务。</w:t>
      </w:r>
    </w:p>
    <w:p>
      <w:pPr>
        <w:widowControl/>
        <w:adjustRightInd w:val="0"/>
        <w:snapToGrid w:val="0"/>
        <w:spacing w:line="580" w:lineRule="exact"/>
        <w:ind w:firstLine="640" w:firstLineChars="200"/>
        <w:contextualSpacing/>
        <w:jc w:val="left"/>
        <w:rPr>
          <w:rFonts w:hint="eastAsia" w:eastAsia="仿宋_GB2312" w:cs="Times New Roman"/>
          <w:color w:val="auto"/>
          <w:kern w:val="2"/>
          <w:sz w:val="32"/>
          <w:szCs w:val="32"/>
          <w:lang w:val="zh-CN" w:eastAsia="zh-CN" w:bidi="ar-SA"/>
        </w:rPr>
      </w:pPr>
      <w:r>
        <w:rPr>
          <w:rFonts w:hint="eastAsia" w:eastAsia="仿宋_GB2312" w:cs="Times New Roman"/>
          <w:color w:val="auto"/>
          <w:kern w:val="2"/>
          <w:sz w:val="32"/>
          <w:szCs w:val="32"/>
          <w:lang w:val="en-US" w:eastAsia="zh-CN" w:bidi="ar-SA"/>
        </w:rPr>
        <w:t>3.</w:t>
      </w:r>
      <w:r>
        <w:rPr>
          <w:rFonts w:hint="eastAsia" w:eastAsia="仿宋_GB2312" w:cs="Times New Roman"/>
          <w:color w:val="auto"/>
          <w:kern w:val="2"/>
          <w:sz w:val="32"/>
          <w:szCs w:val="32"/>
          <w:lang w:val="zh-CN" w:eastAsia="zh-CN" w:bidi="ar-SA"/>
        </w:rPr>
        <w:t>分析评价申报内容是否与实际相符，申报目标是否合理可行。</w:t>
      </w:r>
    </w:p>
    <w:p>
      <w:pPr>
        <w:widowControl/>
        <w:adjustRightInd w:val="0"/>
        <w:snapToGrid w:val="0"/>
        <w:spacing w:line="580" w:lineRule="exact"/>
        <w:ind w:firstLine="640" w:firstLineChars="200"/>
        <w:contextualSpacing/>
        <w:jc w:val="left"/>
        <w:rPr>
          <w:rFonts w:hint="eastAsia" w:eastAsia="仿宋_GB2312" w:cs="Times New Roman"/>
          <w:color w:val="auto"/>
          <w:kern w:val="2"/>
          <w:sz w:val="32"/>
          <w:szCs w:val="32"/>
          <w:lang w:val="zh-CN" w:eastAsia="zh-CN" w:bidi="ar-SA"/>
        </w:rPr>
      </w:pPr>
      <w:r>
        <w:rPr>
          <w:rFonts w:hint="eastAsia" w:eastAsia="仿宋_GB2312" w:cs="Times New Roman"/>
          <w:color w:val="auto"/>
          <w:kern w:val="2"/>
          <w:sz w:val="32"/>
          <w:szCs w:val="32"/>
          <w:lang w:val="zh-CN" w:eastAsia="zh-CN" w:bidi="ar-SA"/>
        </w:rPr>
        <w:t>申报内容与实际相符，申报目标合理可行。</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39" w:firstLineChars="23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zh-CN" w:eastAsia="zh-CN" w:bidi="ar-SA"/>
        </w:rPr>
        <w:t>由业务股室经办人员、财务人员共同草拟自评报告，分别报分管领导、主要领导审阅后再报送。我单位自评分数为9</w:t>
      </w:r>
      <w:r>
        <w:rPr>
          <w:rFonts w:hint="eastAsia" w:ascii="Times New Roman" w:hAnsi="Times New Roman" w:eastAsia="仿宋_GB2312" w:cs="Times New Roman"/>
          <w:color w:val="auto"/>
          <w:kern w:val="2"/>
          <w:sz w:val="32"/>
          <w:szCs w:val="32"/>
          <w:lang w:val="en-US" w:eastAsia="zh-CN" w:bidi="ar-SA"/>
        </w:rPr>
        <w:t>7</w:t>
      </w:r>
      <w:r>
        <w:rPr>
          <w:rFonts w:hint="eastAsia" w:ascii="Times New Roman" w:hAnsi="Times New Roman" w:eastAsia="仿宋_GB2312" w:cs="Times New Roman"/>
          <w:color w:val="auto"/>
          <w:kern w:val="2"/>
          <w:sz w:val="32"/>
          <w:szCs w:val="32"/>
          <w:lang w:val="zh-CN" w:eastAsia="zh-CN" w:bidi="ar-SA"/>
        </w:rPr>
        <w:t>分。</w:t>
      </w:r>
    </w:p>
    <w:p>
      <w:pPr>
        <w:adjustRightInd w:val="0"/>
        <w:snapToGrid w:val="0"/>
        <w:spacing w:line="578" w:lineRule="exact"/>
        <w:ind w:firstLine="720"/>
        <w:outlineLvl w:val="1"/>
        <w:rPr>
          <w:rFonts w:ascii="黑体" w:hAnsi="宋体" w:eastAsia="黑体"/>
          <w:sz w:val="32"/>
          <w:szCs w:val="32"/>
        </w:rPr>
      </w:pPr>
      <w:bookmarkStart w:id="83" w:name="_Toc32092"/>
      <w:r>
        <w:rPr>
          <w:rFonts w:hint="eastAsia" w:ascii="黑体" w:hAnsi="宋体" w:eastAsia="黑体"/>
          <w:sz w:val="32"/>
          <w:szCs w:val="32"/>
        </w:rPr>
        <w:t>二、项目资金申报及使用情况</w:t>
      </w:r>
      <w:bookmarkEnd w:id="83"/>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我单位项目资金的申报和批复均为本级财政资金。</w:t>
      </w:r>
    </w:p>
    <w:p>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hint="eastAsia" w:ascii="Times New Roman" w:hAnsi="Times New Roman" w:eastAsia="仿宋_GB2312" w:cs="Times New Roman"/>
          <w:color w:val="auto"/>
          <w:kern w:val="2"/>
          <w:sz w:val="32"/>
          <w:szCs w:val="32"/>
          <w:lang w:val="zh-CN" w:eastAsia="zh-CN" w:bidi="ar-SA"/>
        </w:rPr>
      </w:pPr>
      <w:r>
        <w:rPr>
          <w:rFonts w:hint="eastAsia"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zh-CN" w:eastAsia="zh-CN" w:bidi="ar-SA"/>
        </w:rPr>
        <w:t>资金计划。</w:t>
      </w:r>
      <w:r>
        <w:rPr>
          <w:rFonts w:hint="default" w:ascii="Times New Roman" w:hAnsi="Times New Roman" w:eastAsia="仿宋_GB2312" w:cs="Times New Roman"/>
          <w:color w:val="auto"/>
          <w:kern w:val="2"/>
          <w:sz w:val="32"/>
          <w:szCs w:val="32"/>
          <w:lang w:val="en-US" w:eastAsia="zh-CN" w:bidi="ar-SA"/>
        </w:rPr>
        <w:t>2022年项目计划资金共7.4万元，其中</w:t>
      </w:r>
      <w:r>
        <w:rPr>
          <w:rFonts w:hint="default" w:ascii="Times New Roman" w:hAnsi="Times New Roman" w:eastAsia="仿宋_GB2312" w:cs="Times New Roman"/>
          <w:color w:val="auto"/>
          <w:kern w:val="2"/>
          <w:sz w:val="32"/>
          <w:szCs w:val="32"/>
          <w:lang w:val="zh-CN" w:eastAsia="zh-CN" w:bidi="ar-SA"/>
        </w:rPr>
        <w:t>县（市、区）财政资金</w:t>
      </w:r>
      <w:r>
        <w:rPr>
          <w:rFonts w:hint="default" w:ascii="Times New Roman" w:hAnsi="Times New Roman" w:eastAsia="仿宋_GB2312" w:cs="Times New Roman"/>
          <w:color w:val="auto"/>
          <w:kern w:val="2"/>
          <w:sz w:val="32"/>
          <w:szCs w:val="32"/>
          <w:lang w:val="en-US" w:eastAsia="zh-CN" w:bidi="ar-SA"/>
        </w:rPr>
        <w:t>7.4万元。</w:t>
      </w:r>
    </w:p>
    <w:p>
      <w:pPr>
        <w:adjustRightInd w:val="0"/>
        <w:snapToGrid w:val="0"/>
        <w:spacing w:line="600" w:lineRule="exact"/>
        <w:ind w:firstLine="720"/>
        <w:rPr>
          <w:rFonts w:hint="eastAsia" w:ascii="Times New Roman" w:hAnsi="Times New Roman" w:eastAsia="仿宋_GB2312" w:cs="Times New Roman"/>
          <w:color w:val="auto"/>
          <w:kern w:val="2"/>
          <w:sz w:val="32"/>
          <w:szCs w:val="32"/>
          <w:lang w:val="zh-CN" w:eastAsia="zh-CN" w:bidi="ar-SA"/>
        </w:rPr>
      </w:pPr>
      <w:r>
        <w:rPr>
          <w:rFonts w:hint="eastAsia" w:eastAsia="仿宋_GB2312" w:cs="Times New Roman"/>
          <w:color w:val="auto"/>
          <w:kern w:val="2"/>
          <w:sz w:val="32"/>
          <w:szCs w:val="32"/>
          <w:lang w:val="en-US" w:eastAsia="zh-CN" w:bidi="ar-SA"/>
        </w:rPr>
        <w:t>2.</w:t>
      </w:r>
      <w:r>
        <w:rPr>
          <w:rFonts w:hint="eastAsia" w:ascii="Times New Roman" w:hAnsi="Times New Roman" w:eastAsia="仿宋_GB2312" w:cs="Times New Roman"/>
          <w:color w:val="auto"/>
          <w:kern w:val="2"/>
          <w:sz w:val="32"/>
          <w:szCs w:val="32"/>
          <w:lang w:val="zh-CN" w:eastAsia="zh-CN" w:bidi="ar-SA"/>
        </w:rPr>
        <w:t>资金到位。</w:t>
      </w:r>
    </w:p>
    <w:p>
      <w:pPr>
        <w:adjustRightInd w:val="0"/>
        <w:snapToGrid w:val="0"/>
        <w:spacing w:line="600" w:lineRule="exact"/>
        <w:ind w:firstLine="720"/>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全部资金按时到位。</w:t>
      </w:r>
    </w:p>
    <w:p>
      <w:pPr>
        <w:adjustRightInd w:val="0"/>
        <w:snapToGrid w:val="0"/>
        <w:spacing w:line="600" w:lineRule="exact"/>
        <w:ind w:firstLine="720"/>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en-US" w:eastAsia="zh-CN" w:bidi="ar-SA"/>
        </w:rPr>
        <w:t>3.</w:t>
      </w:r>
      <w:r>
        <w:rPr>
          <w:rFonts w:hint="eastAsia" w:ascii="Times New Roman" w:hAnsi="Times New Roman" w:eastAsia="仿宋_GB2312" w:cs="Times New Roman"/>
          <w:color w:val="auto"/>
          <w:kern w:val="2"/>
          <w:sz w:val="32"/>
          <w:szCs w:val="32"/>
          <w:lang w:val="zh-CN" w:eastAsia="zh-CN" w:bidi="ar-SA"/>
        </w:rPr>
        <w:t>资金使用。</w:t>
      </w:r>
    </w:p>
    <w:p>
      <w:pPr>
        <w:adjustRightInd w:val="0"/>
        <w:snapToGrid w:val="0"/>
        <w:spacing w:line="600" w:lineRule="exact"/>
        <w:ind w:firstLine="720"/>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使用资金4.14万元，其中使用</w:t>
      </w:r>
      <w:r>
        <w:rPr>
          <w:rFonts w:hint="default" w:ascii="Times New Roman" w:hAnsi="Times New Roman" w:eastAsia="仿宋_GB2312" w:cs="Times New Roman"/>
          <w:color w:val="auto"/>
          <w:kern w:val="2"/>
          <w:sz w:val="32"/>
          <w:szCs w:val="32"/>
          <w:lang w:val="zh-CN" w:eastAsia="zh-CN" w:bidi="ar-SA"/>
        </w:rPr>
        <w:t>县（市、区）财政资金</w:t>
      </w:r>
      <w:r>
        <w:rPr>
          <w:rFonts w:hint="eastAsia" w:ascii="Times New Roman" w:hAnsi="Times New Roman" w:eastAsia="仿宋_GB2312" w:cs="Times New Roman"/>
          <w:color w:val="auto"/>
          <w:kern w:val="2"/>
          <w:sz w:val="32"/>
          <w:szCs w:val="32"/>
          <w:lang w:val="en-US" w:eastAsia="zh-CN" w:bidi="ar-SA"/>
        </w:rPr>
        <w:t>4.14万元。</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有健全的财务制度，项目合同签订、资金拨付严格按照财务管理制度进行管理。保证专款专用，资金支付复查由财务人员按照财务制度进行资金的审核、支付和核算，所有支出均以转账方式进行，在具体支付时，具备了资金发票、合同、验收清单等相关材料，手续完善，不存在虚假会计凭证的情况，会计严格执行财务管理制度，财务处理及时，核算规范。</w:t>
      </w:r>
    </w:p>
    <w:p>
      <w:pPr>
        <w:adjustRightInd w:val="0"/>
        <w:snapToGrid w:val="0"/>
        <w:spacing w:line="578" w:lineRule="exact"/>
        <w:ind w:firstLine="720"/>
        <w:outlineLvl w:val="1"/>
        <w:rPr>
          <w:rFonts w:ascii="黑体" w:hAnsi="宋体" w:eastAsia="黑体"/>
          <w:sz w:val="32"/>
          <w:szCs w:val="32"/>
        </w:rPr>
      </w:pPr>
      <w:bookmarkStart w:id="84" w:name="_Toc14527"/>
      <w:r>
        <w:rPr>
          <w:rFonts w:hint="eastAsia" w:ascii="黑体" w:hAnsi="宋体" w:eastAsia="黑体"/>
          <w:sz w:val="32"/>
          <w:szCs w:val="32"/>
        </w:rPr>
        <w:t>三、项目实施及管理情况</w:t>
      </w:r>
      <w:bookmarkEnd w:id="84"/>
    </w:p>
    <w:p>
      <w:pPr>
        <w:adjustRightInd w:val="0"/>
        <w:snapToGrid w:val="0"/>
        <w:spacing w:line="600" w:lineRule="exact"/>
        <w:ind w:firstLine="720"/>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结合项目组织实施管理办法，重点围绕以下内容进行分析评价，并对自评中发现的问题分析说明。</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1.业务股室根据项目申报和经费下达情况进行项目方案编制。</w:t>
      </w:r>
    </w:p>
    <w:p>
      <w:pPr>
        <w:adjustRightInd w:val="0"/>
        <w:snapToGrid w:val="0"/>
        <w:spacing w:line="600" w:lineRule="exact"/>
        <w:ind w:firstLine="720"/>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2.按照相关法律法规签订合同，履行合同权益、义务。</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Times New Roman" w:hAnsi="Times New Roman" w:eastAsia="仿宋_GB2312" w:cs="Times New Roman"/>
          <w:color w:val="auto"/>
          <w:kern w:val="2"/>
          <w:sz w:val="32"/>
          <w:szCs w:val="32"/>
          <w:lang w:val="en-US" w:eastAsia="zh-CN" w:bidi="ar-SA"/>
        </w:rPr>
        <w:t>3.</w:t>
      </w:r>
      <w:r>
        <w:rPr>
          <w:rFonts w:hint="eastAsia" w:ascii="Times New Roman" w:hAnsi="Times New Roman" w:eastAsia="仿宋_GB2312" w:cs="Times New Roman"/>
          <w:color w:val="auto"/>
          <w:kern w:val="2"/>
          <w:sz w:val="32"/>
          <w:szCs w:val="32"/>
          <w:lang w:val="zh-CN" w:eastAsia="zh-CN" w:bidi="ar-SA"/>
        </w:rPr>
        <w:t>编办组织人员验收项目，验收合格后，按合同签订的进度拨付资金。</w:t>
      </w:r>
    </w:p>
    <w:p>
      <w:pPr>
        <w:adjustRightInd w:val="0"/>
        <w:snapToGrid w:val="0"/>
        <w:spacing w:line="578"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600" w:lineRule="exact"/>
        <w:ind w:firstLine="720"/>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我单位项目各类工作责任机构明确,管理机制较为规范。项目的实施达到了预期的社会效益，有力的保障了我单位各项业务的长期有效运行，受益群众满意度较好。切实提升西区党政治理体系和治理能力、基层治理能力。及时按照绩效目标公开要求向社会公开公示。</w:t>
      </w:r>
    </w:p>
    <w:p>
      <w:pPr>
        <w:numPr>
          <w:ilvl w:val="0"/>
          <w:numId w:val="0"/>
        </w:numPr>
        <w:adjustRightInd w:val="0"/>
        <w:snapToGrid w:val="0"/>
        <w:spacing w:line="578" w:lineRule="exact"/>
        <w:ind w:firstLine="642" w:firstLineChars="20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adjustRightInd w:val="0"/>
        <w:snapToGrid w:val="0"/>
        <w:spacing w:line="600" w:lineRule="exact"/>
        <w:ind w:firstLine="720"/>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业务股室组织人员进行实地抽查项目实施过程中的质量和数量。</w:t>
      </w:r>
    </w:p>
    <w:p>
      <w:pPr>
        <w:adjustRightInd w:val="0"/>
        <w:snapToGrid w:val="0"/>
        <w:spacing w:line="578" w:lineRule="exact"/>
        <w:ind w:firstLine="720"/>
        <w:outlineLvl w:val="1"/>
        <w:rPr>
          <w:rFonts w:ascii="仿宋_GB2312" w:hAnsi="宋体"/>
          <w:sz w:val="32"/>
          <w:szCs w:val="32"/>
          <w:lang w:val="zh-CN"/>
        </w:rPr>
      </w:pPr>
      <w:bookmarkStart w:id="85" w:name="_Toc27447"/>
      <w:r>
        <w:rPr>
          <w:rFonts w:hint="eastAsia" w:ascii="黑体" w:hAnsi="宋体" w:eastAsia="黑体"/>
          <w:sz w:val="32"/>
          <w:szCs w:val="32"/>
        </w:rPr>
        <w:t>四、项目绩效情况</w:t>
      </w:r>
      <w:bookmarkEnd w:id="85"/>
      <w:r>
        <w:rPr>
          <w:rFonts w:hint="eastAsia" w:ascii="仿宋_GB2312" w:hAnsi="宋体"/>
          <w:sz w:val="32"/>
          <w:szCs w:val="32"/>
          <w:lang w:val="zh-CN"/>
        </w:rPr>
        <w:tab/>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项目各类工作责任机构明确，管理机制较为规范，达到了预期的社会效益，有力的保障了机关事业单位长期有效运行，受益群众满意度较好，切实提升了西区党政治理体系和治理能力、基层治理能力。严格控制成本，项目资金无结余，无违规记录。</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各部门基本实现了机构按规定设置执行到位、人员配备到位、职能调整到位、职责履行到位、严控人员和编制到位。各部门间权责关系基本得到明确和理顺，职责履行较为充分，工作运转协调顺畅。通过本轮机构改革进一步提升西区党政治理体系和治理能力、基层治理能力，与目标无偏差，取得了较好的社会效益。通过发放调查问卷和实地调研方式开展各部门对我办牵头的机构改革工作的满意度测评，从测评结果看，各部门（单位）对我办牵头开展机构编制管理等工作均为满意。</w:t>
      </w:r>
    </w:p>
    <w:p>
      <w:pPr>
        <w:adjustRightInd w:val="0"/>
        <w:snapToGrid w:val="0"/>
        <w:spacing w:line="578" w:lineRule="exact"/>
        <w:ind w:firstLine="720"/>
        <w:outlineLvl w:val="1"/>
        <w:rPr>
          <w:rFonts w:ascii="黑体" w:hAnsi="宋体" w:eastAsia="黑体"/>
          <w:sz w:val="32"/>
          <w:szCs w:val="32"/>
        </w:rPr>
      </w:pPr>
      <w:bookmarkStart w:id="86" w:name="_Toc27799"/>
      <w:r>
        <w:rPr>
          <w:rFonts w:hint="eastAsia" w:ascii="黑体" w:hAnsi="宋体" w:eastAsia="黑体"/>
          <w:sz w:val="32"/>
          <w:szCs w:val="32"/>
        </w:rPr>
        <w:t>五、评价结论及建议</w:t>
      </w:r>
      <w:bookmarkEnd w:id="86"/>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39" w:firstLineChars="231"/>
        <w:rPr>
          <w:rFonts w:hint="eastAsia" w:ascii="仿宋_GB2312" w:hAnsi="仿宋_GB2312" w:eastAsia="仿宋_GB2312" w:cs="仿宋_GB2312"/>
          <w:kern w:val="0"/>
          <w:sz w:val="32"/>
          <w:szCs w:val="32"/>
          <w:shd w:val="clear" w:color="auto" w:fill="FFFFFF"/>
          <w:lang w:val="zh-CN" w:eastAsia="zh-CN" w:bidi="ar-SA"/>
        </w:rPr>
      </w:pPr>
      <w:r>
        <w:rPr>
          <w:rFonts w:hint="eastAsia" w:ascii="Times New Roman" w:hAnsi="Times New Roman" w:eastAsia="仿宋_GB2312" w:cs="Times New Roman"/>
          <w:color w:val="auto"/>
          <w:kern w:val="2"/>
          <w:sz w:val="32"/>
          <w:szCs w:val="32"/>
          <w:lang w:val="zh-CN" w:eastAsia="zh-CN" w:bidi="ar-SA"/>
        </w:rPr>
        <w:t>项目决策符合国家政策方针，管理符合相关制度，严格完成任务，项目的实施达到了预期的社会效益，受益群众满意度较好。</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color w:val="auto"/>
          <w:kern w:val="2"/>
          <w:sz w:val="32"/>
          <w:szCs w:val="32"/>
          <w:lang w:val="zh-CN" w:eastAsia="zh-CN" w:bidi="ar-SA"/>
        </w:rPr>
        <w:t>存在预算绩效管理工作经验不足，满意度评价范围不广泛的问题。</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r>
        <w:rPr>
          <w:rFonts w:hint="eastAsia" w:ascii="Times New Roman" w:hAnsi="Times New Roman" w:eastAsia="仿宋_GB2312" w:cs="Times New Roman"/>
          <w:color w:val="auto"/>
          <w:kern w:val="2"/>
          <w:sz w:val="32"/>
          <w:szCs w:val="32"/>
          <w:lang w:val="zh-CN" w:eastAsia="zh-CN" w:bidi="ar-SA"/>
        </w:rPr>
        <w:t>将不断学习借鉴先进经验和做法，充分发挥单位的</w:t>
      </w:r>
      <w:r>
        <w:rPr>
          <w:rFonts w:hint="eastAsia" w:eastAsia="仿宋_GB2312" w:cs="Times New Roman"/>
          <w:color w:val="auto"/>
          <w:kern w:val="2"/>
          <w:sz w:val="32"/>
          <w:szCs w:val="32"/>
          <w:lang w:val="zh-CN" w:eastAsia="zh-CN" w:bidi="ar-SA"/>
        </w:rPr>
        <w:t>主观</w:t>
      </w:r>
      <w:r>
        <w:rPr>
          <w:rFonts w:hint="eastAsia" w:ascii="Times New Roman" w:hAnsi="Times New Roman" w:eastAsia="仿宋_GB2312" w:cs="Times New Roman"/>
          <w:color w:val="auto"/>
          <w:kern w:val="2"/>
          <w:sz w:val="32"/>
          <w:szCs w:val="32"/>
          <w:lang w:val="zh-CN" w:eastAsia="zh-CN" w:bidi="ar-SA"/>
        </w:rPr>
        <w:t>能动性，不断健全绩效评价工作机制，扩大满意度测评范围，营造“讲绩效、重绩效、用绩效”的良好氛围。</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lang w:val="zh-CN" w:eastAsia="zh-CN" w:bidi="ar-SA"/>
        </w:rPr>
      </w:pPr>
    </w:p>
    <w:p>
      <w:pPr>
        <w:widowControl/>
        <w:jc w:val="left"/>
        <w:rPr>
          <w:rStyle w:val="30"/>
          <w:rFonts w:ascii="黑体" w:hAnsi="黑体" w:eastAsia="黑体"/>
          <w:b w:val="0"/>
        </w:rPr>
      </w:pPr>
      <w:r>
        <w:rPr>
          <w:rStyle w:val="30"/>
          <w:rFonts w:ascii="黑体" w:hAnsi="黑体" w:eastAsia="黑体"/>
          <w:b w:val="0"/>
        </w:rPr>
        <w:br w:type="page"/>
      </w:r>
    </w:p>
    <w:p>
      <w:pPr>
        <w:spacing w:line="600" w:lineRule="exact"/>
        <w:jc w:val="center"/>
        <w:outlineLvl w:val="0"/>
        <w:rPr>
          <w:rFonts w:ascii="仿宋" w:hAnsi="仿宋" w:eastAsia="仿宋"/>
        </w:rPr>
      </w:pPr>
      <w:bookmarkStart w:id="87" w:name="_Toc15396618"/>
      <w:bookmarkStart w:id="88" w:name="_Toc2569"/>
      <w:r>
        <w:rPr>
          <w:rFonts w:hint="eastAsia" w:ascii="黑体" w:hAnsi="黑体" w:eastAsia="黑体"/>
          <w:sz w:val="44"/>
          <w:szCs w:val="44"/>
        </w:rPr>
        <w:t>第</w:t>
      </w:r>
      <w:r>
        <w:rPr>
          <w:rStyle w:val="30"/>
          <w:rFonts w:hint="eastAsia" w:ascii="黑体" w:hAnsi="黑体" w:eastAsia="黑体"/>
          <w:b w:val="0"/>
        </w:rPr>
        <w:t>五部分 附表</w:t>
      </w:r>
      <w:bookmarkEnd w:id="73"/>
      <w:bookmarkEnd w:id="87"/>
      <w:bookmarkEnd w:id="88"/>
      <w:bookmarkStart w:id="115" w:name="_GoBack"/>
      <w:bookmarkEnd w:id="115"/>
      <w:bookmarkStart w:id="89" w:name="_Toc15396619"/>
    </w:p>
    <w:p>
      <w:pPr>
        <w:pStyle w:val="3"/>
        <w:rPr>
          <w:rFonts w:ascii="仿宋" w:hAnsi="仿宋" w:eastAsia="仿宋"/>
        </w:rPr>
      </w:pPr>
      <w:bookmarkStart w:id="90" w:name="_Toc18735"/>
      <w:r>
        <w:rPr>
          <w:rFonts w:hint="eastAsia" w:ascii="仿宋" w:hAnsi="仿宋" w:eastAsia="仿宋"/>
          <w:b w:val="0"/>
        </w:rPr>
        <w:t>一、收</w:t>
      </w:r>
      <w:r>
        <w:rPr>
          <w:rStyle w:val="31"/>
          <w:rFonts w:hint="eastAsia" w:ascii="仿宋" w:hAnsi="仿宋" w:eastAsia="仿宋"/>
          <w:b w:val="0"/>
          <w:bCs w:val="0"/>
        </w:rPr>
        <w:t>入支出决算总表</w:t>
      </w:r>
      <w:bookmarkEnd w:id="89"/>
      <w:bookmarkEnd w:id="90"/>
    </w:p>
    <w:p>
      <w:pPr>
        <w:pStyle w:val="3"/>
        <w:rPr>
          <w:rFonts w:ascii="仿宋" w:hAnsi="仿宋" w:eastAsia="仿宋"/>
        </w:rPr>
      </w:pPr>
      <w:bookmarkStart w:id="91" w:name="_Toc15396620"/>
      <w:bookmarkStart w:id="92" w:name="_Toc4281"/>
      <w:r>
        <w:rPr>
          <w:rFonts w:hint="eastAsia" w:ascii="仿宋" w:hAnsi="仿宋" w:eastAsia="仿宋"/>
          <w:b w:val="0"/>
        </w:rPr>
        <w:t>二、收</w:t>
      </w:r>
      <w:r>
        <w:rPr>
          <w:rStyle w:val="31"/>
          <w:rFonts w:hint="eastAsia" w:ascii="仿宋" w:hAnsi="仿宋" w:eastAsia="仿宋"/>
          <w:b w:val="0"/>
          <w:bCs w:val="0"/>
        </w:rPr>
        <w:t>入决算表</w:t>
      </w:r>
      <w:bookmarkEnd w:id="91"/>
      <w:bookmarkEnd w:id="92"/>
    </w:p>
    <w:p>
      <w:pPr>
        <w:pStyle w:val="3"/>
        <w:rPr>
          <w:rFonts w:ascii="仿宋" w:hAnsi="仿宋" w:eastAsia="仿宋"/>
        </w:rPr>
      </w:pPr>
      <w:bookmarkStart w:id="93" w:name="_Toc2264"/>
      <w:bookmarkStart w:id="94" w:name="_Toc15396621"/>
      <w:r>
        <w:rPr>
          <w:rStyle w:val="31"/>
          <w:rFonts w:hint="eastAsia" w:ascii="仿宋" w:hAnsi="仿宋" w:eastAsia="仿宋"/>
          <w:b w:val="0"/>
          <w:bCs w:val="0"/>
        </w:rPr>
        <w:t>三、</w:t>
      </w:r>
      <w:r>
        <w:rPr>
          <w:rFonts w:hint="eastAsia" w:ascii="仿宋" w:hAnsi="仿宋" w:eastAsia="仿宋"/>
          <w:b w:val="0"/>
        </w:rPr>
        <w:t>支</w:t>
      </w:r>
      <w:r>
        <w:rPr>
          <w:rStyle w:val="31"/>
          <w:rFonts w:hint="eastAsia" w:ascii="仿宋" w:hAnsi="仿宋" w:eastAsia="仿宋"/>
          <w:b w:val="0"/>
          <w:bCs w:val="0"/>
        </w:rPr>
        <w:t>出决算表</w:t>
      </w:r>
      <w:bookmarkEnd w:id="93"/>
      <w:bookmarkEnd w:id="94"/>
    </w:p>
    <w:p>
      <w:pPr>
        <w:pStyle w:val="3"/>
        <w:rPr>
          <w:rFonts w:ascii="仿宋" w:hAnsi="仿宋" w:eastAsia="仿宋"/>
          <w:b w:val="0"/>
        </w:rPr>
      </w:pPr>
      <w:bookmarkStart w:id="95" w:name="_Toc15396622"/>
      <w:bookmarkStart w:id="96" w:name="_Toc23350"/>
      <w:r>
        <w:rPr>
          <w:rStyle w:val="31"/>
          <w:rFonts w:hint="eastAsia" w:ascii="仿宋" w:hAnsi="仿宋" w:eastAsia="仿宋"/>
          <w:b w:val="0"/>
          <w:bCs w:val="0"/>
        </w:rPr>
        <w:t>四、</w:t>
      </w:r>
      <w:r>
        <w:rPr>
          <w:rFonts w:hint="eastAsia" w:ascii="仿宋" w:hAnsi="仿宋" w:eastAsia="仿宋"/>
          <w:b w:val="0"/>
        </w:rPr>
        <w:t>财</w:t>
      </w:r>
      <w:r>
        <w:rPr>
          <w:rStyle w:val="31"/>
          <w:rFonts w:hint="eastAsia" w:ascii="仿宋" w:hAnsi="仿宋" w:eastAsia="仿宋"/>
          <w:b w:val="0"/>
          <w:bCs w:val="0"/>
        </w:rPr>
        <w:t>政拨款收入支出决算总表</w:t>
      </w:r>
      <w:bookmarkEnd w:id="95"/>
      <w:bookmarkEnd w:id="96"/>
    </w:p>
    <w:p>
      <w:pPr>
        <w:pStyle w:val="3"/>
        <w:rPr>
          <w:rStyle w:val="31"/>
          <w:rFonts w:ascii="仿宋" w:hAnsi="仿宋" w:eastAsia="仿宋"/>
          <w:b w:val="0"/>
          <w:bCs w:val="0"/>
        </w:rPr>
      </w:pPr>
      <w:bookmarkStart w:id="97" w:name="_Toc32545"/>
      <w:bookmarkStart w:id="98" w:name="_Toc15396623"/>
      <w:r>
        <w:rPr>
          <w:rStyle w:val="31"/>
          <w:rFonts w:hint="eastAsia" w:ascii="仿宋" w:hAnsi="仿宋" w:eastAsia="仿宋"/>
          <w:b w:val="0"/>
          <w:bCs w:val="0"/>
        </w:rPr>
        <w:t>五、</w:t>
      </w:r>
      <w:r>
        <w:rPr>
          <w:rFonts w:hint="eastAsia" w:ascii="仿宋" w:hAnsi="仿宋" w:eastAsia="仿宋"/>
          <w:b w:val="0"/>
        </w:rPr>
        <w:t>财</w:t>
      </w:r>
      <w:r>
        <w:rPr>
          <w:rStyle w:val="31"/>
          <w:rFonts w:hint="eastAsia" w:ascii="仿宋" w:hAnsi="仿宋" w:eastAsia="仿宋"/>
          <w:b w:val="0"/>
          <w:bCs w:val="0"/>
        </w:rPr>
        <w:t>政拨款支出决算明细表</w:t>
      </w:r>
      <w:bookmarkEnd w:id="97"/>
      <w:bookmarkEnd w:id="98"/>
      <w:bookmarkStart w:id="99" w:name="_Toc15396624"/>
    </w:p>
    <w:p>
      <w:pPr>
        <w:pStyle w:val="3"/>
        <w:rPr>
          <w:rFonts w:ascii="仿宋" w:hAnsi="仿宋" w:eastAsia="仿宋"/>
        </w:rPr>
      </w:pPr>
      <w:bookmarkStart w:id="100" w:name="_Toc8385"/>
      <w:r>
        <w:rPr>
          <w:rStyle w:val="31"/>
          <w:rFonts w:hint="eastAsia" w:ascii="仿宋" w:hAnsi="仿宋" w:eastAsia="仿宋"/>
          <w:b w:val="0"/>
          <w:bCs w:val="0"/>
        </w:rPr>
        <w:t>六、</w:t>
      </w:r>
      <w:r>
        <w:rPr>
          <w:rFonts w:hint="eastAsia" w:ascii="仿宋" w:hAnsi="仿宋" w:eastAsia="仿宋"/>
          <w:b w:val="0"/>
        </w:rPr>
        <w:t>一</w:t>
      </w:r>
      <w:r>
        <w:rPr>
          <w:rStyle w:val="31"/>
          <w:rFonts w:hint="eastAsia" w:ascii="仿宋" w:hAnsi="仿宋" w:eastAsia="仿宋"/>
          <w:b w:val="0"/>
          <w:bCs w:val="0"/>
        </w:rPr>
        <w:t>般公共预算财政拨款支出决算表</w:t>
      </w:r>
      <w:bookmarkEnd w:id="99"/>
      <w:bookmarkEnd w:id="100"/>
    </w:p>
    <w:p>
      <w:pPr>
        <w:pStyle w:val="3"/>
        <w:rPr>
          <w:rFonts w:ascii="仿宋" w:hAnsi="仿宋" w:eastAsia="仿宋"/>
        </w:rPr>
      </w:pPr>
      <w:bookmarkStart w:id="101" w:name="_Toc14445"/>
      <w:bookmarkStart w:id="102" w:name="_Toc15396625"/>
      <w:r>
        <w:rPr>
          <w:rStyle w:val="31"/>
          <w:rFonts w:hint="eastAsia" w:ascii="仿宋" w:hAnsi="仿宋" w:eastAsia="仿宋"/>
          <w:b w:val="0"/>
          <w:bCs w:val="0"/>
        </w:rPr>
        <w:t>七、</w:t>
      </w:r>
      <w:r>
        <w:rPr>
          <w:rFonts w:hint="eastAsia" w:ascii="仿宋" w:hAnsi="仿宋" w:eastAsia="仿宋"/>
          <w:b w:val="0"/>
        </w:rPr>
        <w:t>一</w:t>
      </w:r>
      <w:r>
        <w:rPr>
          <w:rStyle w:val="31"/>
          <w:rFonts w:hint="eastAsia" w:ascii="仿宋" w:hAnsi="仿宋" w:eastAsia="仿宋"/>
          <w:b w:val="0"/>
          <w:bCs w:val="0"/>
        </w:rPr>
        <w:t>般公共预算财政拨款支出决算明细表</w:t>
      </w:r>
      <w:bookmarkEnd w:id="101"/>
      <w:bookmarkEnd w:id="102"/>
    </w:p>
    <w:p>
      <w:pPr>
        <w:pStyle w:val="3"/>
        <w:rPr>
          <w:rFonts w:ascii="仿宋" w:hAnsi="仿宋" w:eastAsia="仿宋"/>
        </w:rPr>
      </w:pPr>
      <w:bookmarkStart w:id="103" w:name="_Toc19893"/>
      <w:bookmarkStart w:id="104" w:name="_Toc15396626"/>
      <w:r>
        <w:rPr>
          <w:rStyle w:val="31"/>
          <w:rFonts w:hint="eastAsia" w:ascii="仿宋" w:hAnsi="仿宋" w:eastAsia="仿宋"/>
          <w:b w:val="0"/>
          <w:bCs w:val="0"/>
        </w:rPr>
        <w:t>八、</w:t>
      </w:r>
      <w:r>
        <w:rPr>
          <w:rFonts w:hint="eastAsia" w:ascii="仿宋" w:hAnsi="仿宋" w:eastAsia="仿宋"/>
          <w:b w:val="0"/>
        </w:rPr>
        <w:t>一</w:t>
      </w:r>
      <w:r>
        <w:rPr>
          <w:rStyle w:val="31"/>
          <w:rFonts w:hint="eastAsia" w:ascii="仿宋" w:hAnsi="仿宋" w:eastAsia="仿宋"/>
          <w:b w:val="0"/>
          <w:bCs w:val="0"/>
        </w:rPr>
        <w:t>般公共预算财政拨款基本支出决算表</w:t>
      </w:r>
      <w:bookmarkEnd w:id="103"/>
      <w:bookmarkEnd w:id="104"/>
    </w:p>
    <w:p>
      <w:pPr>
        <w:pStyle w:val="3"/>
        <w:rPr>
          <w:rFonts w:ascii="仿宋" w:hAnsi="仿宋" w:eastAsia="仿宋"/>
        </w:rPr>
      </w:pPr>
      <w:bookmarkStart w:id="105" w:name="_Toc15396627"/>
      <w:bookmarkStart w:id="106" w:name="_Toc17190"/>
      <w:r>
        <w:rPr>
          <w:rStyle w:val="31"/>
          <w:rFonts w:hint="eastAsia" w:ascii="仿宋" w:hAnsi="仿宋" w:eastAsia="仿宋"/>
          <w:b w:val="0"/>
          <w:bCs w:val="0"/>
        </w:rPr>
        <w:t>九、</w:t>
      </w:r>
      <w:r>
        <w:rPr>
          <w:rFonts w:hint="eastAsia" w:ascii="仿宋" w:hAnsi="仿宋" w:eastAsia="仿宋"/>
          <w:b w:val="0"/>
        </w:rPr>
        <w:t>一</w:t>
      </w:r>
      <w:r>
        <w:rPr>
          <w:rStyle w:val="31"/>
          <w:rFonts w:hint="eastAsia" w:ascii="仿宋" w:hAnsi="仿宋" w:eastAsia="仿宋"/>
          <w:b w:val="0"/>
          <w:bCs w:val="0"/>
        </w:rPr>
        <w:t>般公共预算财政拨款项目支出决算表</w:t>
      </w:r>
      <w:bookmarkEnd w:id="105"/>
      <w:bookmarkEnd w:id="106"/>
    </w:p>
    <w:p>
      <w:pPr>
        <w:pStyle w:val="3"/>
        <w:rPr>
          <w:rFonts w:ascii="仿宋" w:hAnsi="仿宋" w:eastAsia="仿宋"/>
        </w:rPr>
      </w:pPr>
      <w:bookmarkStart w:id="107" w:name="_Toc15396628"/>
      <w:bookmarkStart w:id="108" w:name="_Toc9318"/>
      <w:r>
        <w:rPr>
          <w:rStyle w:val="31"/>
          <w:rFonts w:hint="eastAsia" w:ascii="仿宋" w:hAnsi="仿宋" w:eastAsia="仿宋"/>
          <w:b w:val="0"/>
          <w:bCs w:val="0"/>
        </w:rPr>
        <w:t>十、</w:t>
      </w:r>
      <w:bookmarkEnd w:id="107"/>
      <w:r>
        <w:rPr>
          <w:rFonts w:hint="eastAsia" w:ascii="仿宋" w:hAnsi="仿宋" w:eastAsia="仿宋"/>
          <w:b w:val="0"/>
        </w:rPr>
        <w:t>政</w:t>
      </w:r>
      <w:r>
        <w:rPr>
          <w:rStyle w:val="31"/>
          <w:rFonts w:hint="eastAsia" w:ascii="仿宋" w:hAnsi="仿宋" w:eastAsia="仿宋"/>
          <w:b w:val="0"/>
          <w:bCs w:val="0"/>
        </w:rPr>
        <w:t>府性基金预算财政拨款收入支出决算表</w:t>
      </w:r>
      <w:bookmarkEnd w:id="108"/>
    </w:p>
    <w:p>
      <w:pPr>
        <w:pStyle w:val="3"/>
        <w:rPr>
          <w:rFonts w:ascii="仿宋" w:hAnsi="仿宋" w:eastAsia="仿宋"/>
        </w:rPr>
      </w:pPr>
      <w:bookmarkStart w:id="109" w:name="_Toc15396629"/>
      <w:bookmarkStart w:id="110" w:name="_Toc22429"/>
      <w:r>
        <w:rPr>
          <w:rStyle w:val="31"/>
          <w:rFonts w:hint="eastAsia" w:ascii="仿宋" w:hAnsi="仿宋" w:eastAsia="仿宋"/>
          <w:b w:val="0"/>
          <w:bCs w:val="0"/>
        </w:rPr>
        <w:t>十一、</w:t>
      </w:r>
      <w:bookmarkEnd w:id="109"/>
      <w:r>
        <w:rPr>
          <w:rFonts w:hint="eastAsia" w:ascii="仿宋" w:hAnsi="仿宋" w:eastAsia="仿宋"/>
          <w:b w:val="0"/>
        </w:rPr>
        <w:t>国</w:t>
      </w:r>
      <w:r>
        <w:rPr>
          <w:rStyle w:val="31"/>
          <w:rFonts w:hint="eastAsia" w:ascii="仿宋" w:hAnsi="仿宋" w:eastAsia="仿宋"/>
          <w:b w:val="0"/>
          <w:bCs w:val="0"/>
        </w:rPr>
        <w:t>有资本经营预算财政拨款收入支出决算表</w:t>
      </w:r>
      <w:bookmarkEnd w:id="110"/>
    </w:p>
    <w:p>
      <w:pPr>
        <w:pStyle w:val="3"/>
        <w:rPr>
          <w:rFonts w:ascii="仿宋" w:hAnsi="仿宋" w:eastAsia="仿宋"/>
        </w:rPr>
      </w:pPr>
      <w:bookmarkStart w:id="111" w:name="_Toc15396630"/>
      <w:bookmarkStart w:id="112" w:name="_Toc9733"/>
      <w:r>
        <w:rPr>
          <w:rStyle w:val="31"/>
          <w:rFonts w:hint="eastAsia" w:ascii="仿宋" w:hAnsi="仿宋" w:eastAsia="仿宋"/>
          <w:b w:val="0"/>
          <w:bCs w:val="0"/>
        </w:rPr>
        <w:t>十二、</w:t>
      </w:r>
      <w:bookmarkEnd w:id="111"/>
      <w:r>
        <w:rPr>
          <w:rStyle w:val="31"/>
          <w:rFonts w:hint="eastAsia" w:ascii="仿宋" w:hAnsi="仿宋" w:eastAsia="仿宋"/>
          <w:b w:val="0"/>
          <w:bCs w:val="0"/>
        </w:rPr>
        <w:t>国有资本经营预算财政拨款支出决算表</w:t>
      </w:r>
      <w:bookmarkEnd w:id="112"/>
    </w:p>
    <w:p>
      <w:pPr>
        <w:pStyle w:val="3"/>
        <w:rPr>
          <w:rFonts w:eastAsia="仿宋"/>
        </w:rPr>
      </w:pPr>
      <w:bookmarkStart w:id="113" w:name="_Toc15396631"/>
      <w:bookmarkStart w:id="114" w:name="_Toc31702"/>
      <w:r>
        <w:rPr>
          <w:rStyle w:val="31"/>
          <w:rFonts w:hint="eastAsia" w:ascii="仿宋" w:hAnsi="仿宋" w:eastAsia="仿宋"/>
          <w:b w:val="0"/>
          <w:bCs w:val="0"/>
        </w:rPr>
        <w:t>十三、</w:t>
      </w:r>
      <w:bookmarkEnd w:id="113"/>
      <w:r>
        <w:rPr>
          <w:rStyle w:val="31"/>
          <w:rFonts w:hint="eastAsia" w:ascii="仿宋" w:hAnsi="仿宋" w:eastAsia="仿宋"/>
          <w:b w:val="0"/>
          <w:bCs w:val="0"/>
        </w:rPr>
        <w:t>财政拨款“三公”经费支出决算表</w:t>
      </w:r>
      <w:bookmarkEnd w:id="11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MzljOGRjY2FjOTNjZGEwM2RlNjJkMTY0NjQ3NzgifQ=="/>
  </w:docVars>
  <w:rsids>
    <w:rsidRoot w:val="00F1361C"/>
    <w:rsid w:val="000222C6"/>
    <w:rsid w:val="0002549F"/>
    <w:rsid w:val="000468DB"/>
    <w:rsid w:val="0006487A"/>
    <w:rsid w:val="00065F8F"/>
    <w:rsid w:val="00066A45"/>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6D0C"/>
    <w:rsid w:val="00142216"/>
    <w:rsid w:val="00144D6A"/>
    <w:rsid w:val="0014729F"/>
    <w:rsid w:val="00157BAB"/>
    <w:rsid w:val="001654D1"/>
    <w:rsid w:val="00174518"/>
    <w:rsid w:val="001801B2"/>
    <w:rsid w:val="0018106D"/>
    <w:rsid w:val="001877A7"/>
    <w:rsid w:val="00191536"/>
    <w:rsid w:val="00196687"/>
    <w:rsid w:val="001C0962"/>
    <w:rsid w:val="001D7531"/>
    <w:rsid w:val="001E2FF1"/>
    <w:rsid w:val="001E737D"/>
    <w:rsid w:val="001F0592"/>
    <w:rsid w:val="001F7506"/>
    <w:rsid w:val="002006CD"/>
    <w:rsid w:val="00202B36"/>
    <w:rsid w:val="00204B7A"/>
    <w:rsid w:val="00204CDE"/>
    <w:rsid w:val="0021101A"/>
    <w:rsid w:val="00217081"/>
    <w:rsid w:val="00220536"/>
    <w:rsid w:val="00235629"/>
    <w:rsid w:val="00247B82"/>
    <w:rsid w:val="00252F4E"/>
    <w:rsid w:val="00260C38"/>
    <w:rsid w:val="002616C0"/>
    <w:rsid w:val="00265372"/>
    <w:rsid w:val="002662AA"/>
    <w:rsid w:val="00280496"/>
    <w:rsid w:val="00294DC9"/>
    <w:rsid w:val="00295495"/>
    <w:rsid w:val="00296F34"/>
    <w:rsid w:val="002A31DE"/>
    <w:rsid w:val="002B2613"/>
    <w:rsid w:val="002C370C"/>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46E63"/>
    <w:rsid w:val="004501B0"/>
    <w:rsid w:val="00467094"/>
    <w:rsid w:val="00471401"/>
    <w:rsid w:val="00473F31"/>
    <w:rsid w:val="0048263A"/>
    <w:rsid w:val="00487E5D"/>
    <w:rsid w:val="004A711F"/>
    <w:rsid w:val="004B199D"/>
    <w:rsid w:val="004B4690"/>
    <w:rsid w:val="004E0A2D"/>
    <w:rsid w:val="004E206B"/>
    <w:rsid w:val="004E6DF7"/>
    <w:rsid w:val="004F0FBD"/>
    <w:rsid w:val="0050247A"/>
    <w:rsid w:val="00505A47"/>
    <w:rsid w:val="00512FDA"/>
    <w:rsid w:val="00520DA0"/>
    <w:rsid w:val="00525E15"/>
    <w:rsid w:val="005664BB"/>
    <w:rsid w:val="00566FFA"/>
    <w:rsid w:val="0057481D"/>
    <w:rsid w:val="0058486E"/>
    <w:rsid w:val="00585B33"/>
    <w:rsid w:val="0059014D"/>
    <w:rsid w:val="005B5C64"/>
    <w:rsid w:val="005B67C6"/>
    <w:rsid w:val="005C5337"/>
    <w:rsid w:val="005C6BD0"/>
    <w:rsid w:val="005D1C8B"/>
    <w:rsid w:val="005D468D"/>
    <w:rsid w:val="005D5CED"/>
    <w:rsid w:val="005D7D8C"/>
    <w:rsid w:val="005F1A4C"/>
    <w:rsid w:val="00605688"/>
    <w:rsid w:val="006070AF"/>
    <w:rsid w:val="00607E6C"/>
    <w:rsid w:val="006101B1"/>
    <w:rsid w:val="00614E44"/>
    <w:rsid w:val="0062270A"/>
    <w:rsid w:val="00622830"/>
    <w:rsid w:val="00623DA0"/>
    <w:rsid w:val="00630AEF"/>
    <w:rsid w:val="006325F8"/>
    <w:rsid w:val="00633463"/>
    <w:rsid w:val="00634C9A"/>
    <w:rsid w:val="006352FA"/>
    <w:rsid w:val="006440E4"/>
    <w:rsid w:val="0066343B"/>
    <w:rsid w:val="00664777"/>
    <w:rsid w:val="0067280B"/>
    <w:rsid w:val="006748A4"/>
    <w:rsid w:val="00681A31"/>
    <w:rsid w:val="00683E73"/>
    <w:rsid w:val="006A06EA"/>
    <w:rsid w:val="006A3141"/>
    <w:rsid w:val="006A5E34"/>
    <w:rsid w:val="006B2422"/>
    <w:rsid w:val="006B2B9A"/>
    <w:rsid w:val="006C1937"/>
    <w:rsid w:val="006F020C"/>
    <w:rsid w:val="007127B7"/>
    <w:rsid w:val="0071798E"/>
    <w:rsid w:val="007416B6"/>
    <w:rsid w:val="00746F48"/>
    <w:rsid w:val="0075404D"/>
    <w:rsid w:val="00755F0D"/>
    <w:rsid w:val="00756707"/>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0D27"/>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3DCE"/>
    <w:rsid w:val="00946945"/>
    <w:rsid w:val="00951248"/>
    <w:rsid w:val="0095152F"/>
    <w:rsid w:val="00954C49"/>
    <w:rsid w:val="00955E37"/>
    <w:rsid w:val="0097099F"/>
    <w:rsid w:val="00971997"/>
    <w:rsid w:val="00971FFC"/>
    <w:rsid w:val="0098660A"/>
    <w:rsid w:val="009931C3"/>
    <w:rsid w:val="009A64E7"/>
    <w:rsid w:val="009B2C43"/>
    <w:rsid w:val="009B4EAE"/>
    <w:rsid w:val="009B7573"/>
    <w:rsid w:val="009C22F4"/>
    <w:rsid w:val="009C2A4B"/>
    <w:rsid w:val="009C2E98"/>
    <w:rsid w:val="009D3447"/>
    <w:rsid w:val="009D4711"/>
    <w:rsid w:val="009E4DB6"/>
    <w:rsid w:val="009F1185"/>
    <w:rsid w:val="009F18CD"/>
    <w:rsid w:val="009F2A13"/>
    <w:rsid w:val="009F5540"/>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F0A50"/>
    <w:rsid w:val="00B03C9D"/>
    <w:rsid w:val="00B060AE"/>
    <w:rsid w:val="00B10517"/>
    <w:rsid w:val="00B14200"/>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1EF"/>
    <w:rsid w:val="00BF5BD6"/>
    <w:rsid w:val="00C03E31"/>
    <w:rsid w:val="00C33E72"/>
    <w:rsid w:val="00C354B2"/>
    <w:rsid w:val="00C35554"/>
    <w:rsid w:val="00C42709"/>
    <w:rsid w:val="00C52575"/>
    <w:rsid w:val="00C533CC"/>
    <w:rsid w:val="00C5751C"/>
    <w:rsid w:val="00C57EA6"/>
    <w:rsid w:val="00C61BFC"/>
    <w:rsid w:val="00C62B85"/>
    <w:rsid w:val="00C65438"/>
    <w:rsid w:val="00C87FD8"/>
    <w:rsid w:val="00C91381"/>
    <w:rsid w:val="00C91CBB"/>
    <w:rsid w:val="00CB4E70"/>
    <w:rsid w:val="00CC09B6"/>
    <w:rsid w:val="00CC666F"/>
    <w:rsid w:val="00CC6BAC"/>
    <w:rsid w:val="00CD1E3F"/>
    <w:rsid w:val="00CE44F6"/>
    <w:rsid w:val="00CE49DA"/>
    <w:rsid w:val="00CE7B61"/>
    <w:rsid w:val="00D00095"/>
    <w:rsid w:val="00D114F0"/>
    <w:rsid w:val="00D20620"/>
    <w:rsid w:val="00D254F7"/>
    <w:rsid w:val="00D26091"/>
    <w:rsid w:val="00D2685C"/>
    <w:rsid w:val="00D34E7C"/>
    <w:rsid w:val="00D34F17"/>
    <w:rsid w:val="00D35489"/>
    <w:rsid w:val="00D36AFE"/>
    <w:rsid w:val="00D51276"/>
    <w:rsid w:val="00D62F72"/>
    <w:rsid w:val="00D7035F"/>
    <w:rsid w:val="00DA634F"/>
    <w:rsid w:val="00DA65AC"/>
    <w:rsid w:val="00DB1913"/>
    <w:rsid w:val="00DC410D"/>
    <w:rsid w:val="00DC4B63"/>
    <w:rsid w:val="00DC5A81"/>
    <w:rsid w:val="00DC68CA"/>
    <w:rsid w:val="00DC7CBA"/>
    <w:rsid w:val="00DD73B7"/>
    <w:rsid w:val="00DF06E2"/>
    <w:rsid w:val="00DF28BC"/>
    <w:rsid w:val="00DF34B9"/>
    <w:rsid w:val="00E01053"/>
    <w:rsid w:val="00E07ACF"/>
    <w:rsid w:val="00E22135"/>
    <w:rsid w:val="00E331A1"/>
    <w:rsid w:val="00E33202"/>
    <w:rsid w:val="00E336A9"/>
    <w:rsid w:val="00E472B1"/>
    <w:rsid w:val="00E50624"/>
    <w:rsid w:val="00E5285B"/>
    <w:rsid w:val="00E568DF"/>
    <w:rsid w:val="00E64269"/>
    <w:rsid w:val="00E82267"/>
    <w:rsid w:val="00E853CE"/>
    <w:rsid w:val="00E867B6"/>
    <w:rsid w:val="00EA010F"/>
    <w:rsid w:val="00ED1B63"/>
    <w:rsid w:val="00ED3C1F"/>
    <w:rsid w:val="00ED4085"/>
    <w:rsid w:val="00ED420E"/>
    <w:rsid w:val="00ED6FBE"/>
    <w:rsid w:val="00EE2F57"/>
    <w:rsid w:val="00EF39C0"/>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CFB481B"/>
    <w:rsid w:val="0E594250"/>
    <w:rsid w:val="0F98263C"/>
    <w:rsid w:val="101860EC"/>
    <w:rsid w:val="10C055FF"/>
    <w:rsid w:val="118107EC"/>
    <w:rsid w:val="12853DF6"/>
    <w:rsid w:val="13D50BC4"/>
    <w:rsid w:val="14EA7956"/>
    <w:rsid w:val="151727A7"/>
    <w:rsid w:val="16AF7310"/>
    <w:rsid w:val="16BB723D"/>
    <w:rsid w:val="1A8707A2"/>
    <w:rsid w:val="1BE8440E"/>
    <w:rsid w:val="1D155CEE"/>
    <w:rsid w:val="1D540474"/>
    <w:rsid w:val="1E4E4190"/>
    <w:rsid w:val="1EC7098C"/>
    <w:rsid w:val="1FF35744"/>
    <w:rsid w:val="23860B96"/>
    <w:rsid w:val="240371BF"/>
    <w:rsid w:val="29FD04D3"/>
    <w:rsid w:val="2C8A61B5"/>
    <w:rsid w:val="2DA4527D"/>
    <w:rsid w:val="2DF04E50"/>
    <w:rsid w:val="2F040D46"/>
    <w:rsid w:val="319F7F4E"/>
    <w:rsid w:val="3304709D"/>
    <w:rsid w:val="36AA5135"/>
    <w:rsid w:val="376D39B2"/>
    <w:rsid w:val="37E16F03"/>
    <w:rsid w:val="38944809"/>
    <w:rsid w:val="38D469F0"/>
    <w:rsid w:val="3D98207C"/>
    <w:rsid w:val="3E78745D"/>
    <w:rsid w:val="44C33BF5"/>
    <w:rsid w:val="44E268DA"/>
    <w:rsid w:val="4A627F82"/>
    <w:rsid w:val="4B0E749A"/>
    <w:rsid w:val="4B4F25DA"/>
    <w:rsid w:val="4BE068DB"/>
    <w:rsid w:val="4D577224"/>
    <w:rsid w:val="4EAB630A"/>
    <w:rsid w:val="4ECE2238"/>
    <w:rsid w:val="4ECF2DA4"/>
    <w:rsid w:val="4F485926"/>
    <w:rsid w:val="537E6D0A"/>
    <w:rsid w:val="5A366C08"/>
    <w:rsid w:val="5AF92295"/>
    <w:rsid w:val="5CD71FC4"/>
    <w:rsid w:val="6C4A05C8"/>
    <w:rsid w:val="6D8276B5"/>
    <w:rsid w:val="6E7E3605"/>
    <w:rsid w:val="6FF5CC65"/>
    <w:rsid w:val="715C0E4B"/>
    <w:rsid w:val="71700006"/>
    <w:rsid w:val="72734D90"/>
    <w:rsid w:val="737A1DC7"/>
    <w:rsid w:val="73AD73D5"/>
    <w:rsid w:val="73B6EB34"/>
    <w:rsid w:val="744731E5"/>
    <w:rsid w:val="76E3355F"/>
    <w:rsid w:val="778769C8"/>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0"/>
    <w:rPr>
      <w:rFonts w:ascii="宋体" w:hAnsi="Courier New"/>
    </w:r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6"/>
    <w:unhideWhenUsed/>
    <w:qFormat/>
    <w:uiPriority w:val="99"/>
    <w:pPr>
      <w:ind w:firstLine="420" w:firstLineChars="200"/>
    </w:pPr>
  </w:style>
  <w:style w:type="character" w:styleId="18">
    <w:name w:val="Strong"/>
    <w:basedOn w:val="17"/>
    <w:qFormat/>
    <w:uiPriority w:val="99"/>
    <w:rPr>
      <w:b/>
    </w:rPr>
  </w:style>
  <w:style w:type="character" w:styleId="19">
    <w:name w:val="FollowedHyperlink"/>
    <w:basedOn w:val="17"/>
    <w:semiHidden/>
    <w:unhideWhenUsed/>
    <w:qFormat/>
    <w:uiPriority w:val="99"/>
    <w:rPr>
      <w:color w:val="954F72"/>
      <w:u w:val="single"/>
    </w:rPr>
  </w:style>
  <w:style w:type="character" w:styleId="20">
    <w:name w:val="Hyperlink"/>
    <w:basedOn w:val="17"/>
    <w:unhideWhenUsed/>
    <w:qFormat/>
    <w:uiPriority w:val="99"/>
    <w:rPr>
      <w:color w:val="0000FF" w:themeColor="hyperlink"/>
      <w:u w:val="single"/>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5"/>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2"/>
    <w:qFormat/>
    <w:uiPriority w:val="9"/>
    <w:rPr>
      <w:rFonts w:ascii="Times New Roman" w:hAnsi="Times New Roman"/>
      <w:b/>
      <w:bCs/>
      <w:kern w:val="44"/>
      <w:sz w:val="44"/>
      <w:szCs w:val="44"/>
    </w:rPr>
  </w:style>
  <w:style w:type="character" w:customStyle="1" w:styleId="31">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17"/>
    <w:link w:val="9"/>
    <w:semiHidden/>
    <w:qFormat/>
    <w:uiPriority w:val="99"/>
    <w:rPr>
      <w:rFonts w:ascii="Times New Roman" w:hAnsi="Times New Roman"/>
      <w:kern w:val="2"/>
      <w:sz w:val="18"/>
      <w:szCs w:val="18"/>
    </w:rPr>
  </w:style>
  <w:style w:type="character" w:customStyle="1" w:styleId="34">
    <w:name w:val="标题 3 Char"/>
    <w:basedOn w:val="17"/>
    <w:link w:val="4"/>
    <w:qFormat/>
    <w:uiPriority w:val="9"/>
    <w:rPr>
      <w:rFonts w:ascii="Times New Roman" w:hAnsi="Times New Roman"/>
      <w:b/>
      <w:bCs/>
      <w:kern w:val="2"/>
      <w:sz w:val="32"/>
      <w:szCs w:val="32"/>
    </w:rPr>
  </w:style>
  <w:style w:type="paragraph" w:customStyle="1" w:styleId="35">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TOC 标题3"/>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0">
    <w:name w:val="xl6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1">
    <w:name w:val="xl64"/>
    <w:basedOn w:val="1"/>
    <w:qFormat/>
    <w:uiPriority w:val="0"/>
    <w:pPr>
      <w:widowControl/>
      <w:spacing w:before="100" w:beforeAutospacing="1" w:after="100" w:afterAutospacing="1"/>
      <w:jc w:val="left"/>
    </w:pPr>
    <w:rPr>
      <w:rFonts w:ascii="Courier New" w:hAnsi="Courier New" w:cs="Courier New"/>
      <w:color w:val="000000"/>
      <w:kern w:val="0"/>
      <w:sz w:val="18"/>
      <w:szCs w:val="18"/>
    </w:rPr>
  </w:style>
  <w:style w:type="paragraph" w:customStyle="1" w:styleId="42">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3">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4">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5">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46">
    <w:name w:val="xl6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30"/>
      <w:szCs w:val="30"/>
    </w:rPr>
  </w:style>
  <w:style w:type="paragraph" w:customStyle="1" w:styleId="48">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kern w:val="0"/>
      <w:sz w:val="18"/>
      <w:szCs w:val="18"/>
    </w:rPr>
  </w:style>
  <w:style w:type="paragraph" w:customStyle="1" w:styleId="49">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kern w:val="0"/>
      <w:sz w:val="18"/>
      <w:szCs w:val="18"/>
    </w:rPr>
  </w:style>
  <w:style w:type="paragraph" w:customStyle="1" w:styleId="50">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i/>
      <w:iCs/>
      <w:color w:val="000000"/>
      <w:kern w:val="0"/>
      <w:sz w:val="18"/>
      <w:szCs w:val="18"/>
    </w:rPr>
  </w:style>
  <w:style w:type="paragraph" w:customStyle="1" w:styleId="51">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52">
    <w:name w:val="WPSOffice手动目录 1"/>
    <w:qFormat/>
    <w:uiPriority w:val="0"/>
    <w:pPr>
      <w:ind w:leftChars="0"/>
    </w:pPr>
    <w:rPr>
      <w:rFonts w:asciiTheme="minorHAnsi" w:hAnsiTheme="minorHAnsi" w:eastAsiaTheme="minorEastAsia" w:cstheme="minorBidi"/>
      <w:sz w:val="20"/>
      <w:szCs w:val="20"/>
    </w:rPr>
  </w:style>
  <w:style w:type="paragraph" w:customStyle="1" w:styleId="53">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6.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942795691644"/>
          <c:y val="0.139830330133849"/>
          <c:w val="0.582112357314819"/>
          <c:h val="0.590570053100271"/>
        </c:manualLayout>
      </c:layout>
      <c:barChart>
        <c:barDir val="col"/>
        <c:grouping val="clustered"/>
        <c:varyColors val="0"/>
        <c:ser>
          <c:idx val="0"/>
          <c:order val="0"/>
          <c:tx>
            <c:strRef>
              <c:f>Sheet1!$B$1</c:f>
              <c:strCache>
                <c:ptCount val="1"/>
                <c:pt idx="0">
                  <c:v>2021年</c:v>
                </c:pt>
              </c:strCache>
            </c:strRef>
          </c:tx>
          <c:invertIfNegative val="0"/>
          <c:dLbls>
            <c:delete val="1"/>
          </c:dLbls>
          <c:cat>
            <c:strRef>
              <c:f>Sheet1!$A$2:$A$3</c:f>
              <c:strCache>
                <c:ptCount val="2"/>
                <c:pt idx="0">
                  <c:v>2021年</c:v>
                </c:pt>
                <c:pt idx="1">
                  <c:v>2022年</c:v>
                </c:pt>
              </c:strCache>
            </c:strRef>
          </c:cat>
          <c:val>
            <c:numRef>
              <c:f>Sheet1!$B$2:$B$3</c:f>
              <c:numCache>
                <c:formatCode>General</c:formatCode>
                <c:ptCount val="2"/>
                <c:pt idx="0">
                  <c:v>141.96</c:v>
                </c:pt>
              </c:numCache>
            </c:numRef>
          </c:val>
        </c:ser>
        <c:ser>
          <c:idx val="1"/>
          <c:order val="1"/>
          <c:tx>
            <c:strRef>
              <c:f>Sheet1!$C$1</c:f>
              <c:strCache>
                <c:ptCount val="1"/>
                <c:pt idx="0">
                  <c:v>2022年</c:v>
                </c:pt>
              </c:strCache>
            </c:strRef>
          </c:tx>
          <c:invertIfNegative val="0"/>
          <c:dLbls>
            <c:delete val="1"/>
          </c:dLbls>
          <c:cat>
            <c:strRef>
              <c:f>Sheet1!$A$2:$A$3</c:f>
              <c:strCache>
                <c:ptCount val="2"/>
                <c:pt idx="0">
                  <c:v>2021年</c:v>
                </c:pt>
                <c:pt idx="1">
                  <c:v>2022年</c:v>
                </c:pt>
              </c:strCache>
            </c:strRef>
          </c:cat>
          <c:val>
            <c:numRef>
              <c:f>Sheet1!$C$2:$C$3</c:f>
              <c:numCache>
                <c:formatCode>General</c:formatCode>
                <c:ptCount val="2"/>
                <c:pt idx="1">
                  <c:v>128.89</c:v>
                </c:pt>
              </c:numCache>
            </c:numRef>
          </c:val>
        </c:ser>
        <c:dLbls>
          <c:showLegendKey val="0"/>
          <c:showVal val="0"/>
          <c:showCatName val="0"/>
          <c:showSerName val="0"/>
          <c:showPercent val="0"/>
          <c:showBubbleSize val="0"/>
        </c:dLbls>
        <c:gapWidth val="150"/>
        <c:axId val="178723072"/>
        <c:axId val="178749440"/>
      </c:barChart>
      <c:catAx>
        <c:axId val="17872307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8749440"/>
        <c:crosses val="autoZero"/>
        <c:auto val="1"/>
        <c:lblAlgn val="ctr"/>
        <c:lblOffset val="100"/>
        <c:noMultiLvlLbl val="0"/>
      </c:catAx>
      <c:valAx>
        <c:axId val="1787494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872307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t>收入决算结构图</a:t>
            </a:r>
            <a:endParaRPr lang="zh-CN"/>
          </a:p>
        </c:rich>
      </c:tx>
      <c:layout/>
      <c:overlay val="0"/>
    </c:title>
    <c:autoTitleDeleted val="0"/>
    <c:plotArea>
      <c:layout/>
      <c:pieChart>
        <c:varyColors val="1"/>
        <c:ser>
          <c:idx val="0"/>
          <c:order val="0"/>
          <c:tx>
            <c:strRef>
              <c:f>Sheet1!$B$1</c:f>
              <c:strCache>
                <c:ptCount val="1"/>
                <c:pt idx="0">
                  <c:v>2021年</c:v>
                </c:pt>
              </c:strCache>
            </c:strRef>
          </c:tx>
          <c:explosion val="0"/>
          <c:dPt>
            <c:idx val="0"/>
            <c:bubble3D val="0"/>
          </c:dPt>
          <c:dPt>
            <c:idx val="1"/>
            <c:bubble3D val="0"/>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134.04</c:v>
                </c:pt>
                <c:pt idx="1">
                  <c:v>7.92</c:v>
                </c:pt>
              </c:numCache>
            </c:numRef>
          </c:val>
        </c:ser>
        <c:ser>
          <c:idx val="1"/>
          <c:order val="1"/>
          <c:tx>
            <c:strRef>
              <c:f>Sheet1!$C$1</c:f>
              <c:strCache>
                <c:ptCount val="1"/>
                <c:pt idx="0">
                  <c:v>2022年</c:v>
                </c:pt>
              </c:strCache>
            </c:strRef>
          </c:tx>
          <c:explosion val="0"/>
          <c:dPt>
            <c:idx val="0"/>
            <c:bubble3D val="0"/>
          </c:dPt>
          <c:dPt>
            <c:idx val="1"/>
            <c:bubble3D val="0"/>
          </c:dPt>
          <c:dLbls>
            <c:delete val="1"/>
          </c:dLbls>
          <c:cat>
            <c:strRef>
              <c:f>Sheet1!$A$2:$A$3</c:f>
              <c:strCache>
                <c:ptCount val="2"/>
                <c:pt idx="0">
                  <c:v>一般公共预算财政拨款收入</c:v>
                </c:pt>
                <c:pt idx="1">
                  <c:v>政府性基金预算财政拨款收入</c:v>
                </c:pt>
              </c:strCache>
            </c:strRef>
          </c:cat>
          <c:val>
            <c:numRef>
              <c:f>Sheet1!$C$2:$C$3</c:f>
              <c:numCache>
                <c:formatCode>General</c:formatCode>
                <c:ptCount val="2"/>
                <c:pt idx="0">
                  <c:v>124.75</c:v>
                </c:pt>
                <c:pt idx="1">
                  <c:v>4.14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800" b="1" i="0" u="none" strike="noStrike" baseline="0"/>
              <a:t>支出决算结构图</a:t>
            </a:r>
            <a:endParaRPr lang="zh-CN" altLang="en-US"/>
          </a:p>
        </c:rich>
      </c:tx>
      <c:layout/>
      <c:overlay val="0"/>
    </c:title>
    <c:autoTitleDeleted val="0"/>
    <c:plotArea>
      <c:layout/>
      <c:pieChart>
        <c:varyColors val="1"/>
        <c:ser>
          <c:idx val="0"/>
          <c:order val="0"/>
          <c:tx>
            <c:strRef>
              <c:f>Sheet1!$B$1</c:f>
              <c:strCache>
                <c:ptCount val="1"/>
                <c:pt idx="0">
                  <c:v>2021年</c:v>
                </c:pt>
              </c:strCache>
            </c:strRef>
          </c:tx>
          <c:explosion val="0"/>
          <c:dPt>
            <c:idx val="0"/>
            <c:bubble3D val="0"/>
          </c:dPt>
          <c:dPt>
            <c:idx val="1"/>
            <c:bubble3D val="0"/>
          </c:dPt>
          <c:dLbls>
            <c:delete val="1"/>
          </c:dLbls>
          <c:cat>
            <c:strRef>
              <c:f>Sheet1!$A$2:$A$3</c:f>
              <c:strCache>
                <c:ptCount val="2"/>
                <c:pt idx="0">
                  <c:v>基本支出</c:v>
                </c:pt>
                <c:pt idx="1">
                  <c:v>项目支出</c:v>
                </c:pt>
              </c:strCache>
            </c:strRef>
          </c:cat>
          <c:val>
            <c:numRef>
              <c:f>Sheet1!$B$2:$B$3</c:f>
              <c:numCache>
                <c:formatCode>General</c:formatCode>
                <c:ptCount val="2"/>
                <c:pt idx="0">
                  <c:v>134.04</c:v>
                </c:pt>
                <c:pt idx="1">
                  <c:v>7.92</c:v>
                </c:pt>
              </c:numCache>
            </c:numRef>
          </c:val>
        </c:ser>
        <c:ser>
          <c:idx val="1"/>
          <c:order val="1"/>
          <c:tx>
            <c:strRef>
              <c:f>Sheet1!$C$1</c:f>
              <c:strCache>
                <c:ptCount val="1"/>
                <c:pt idx="0">
                  <c:v>2022年</c:v>
                </c:pt>
              </c:strCache>
            </c:strRef>
          </c:tx>
          <c:explosion val="0"/>
          <c:dPt>
            <c:idx val="0"/>
            <c:bubble3D val="0"/>
          </c:dPt>
          <c:dPt>
            <c:idx val="1"/>
            <c:bubble3D val="0"/>
          </c:dPt>
          <c:dLbls>
            <c:delete val="1"/>
          </c:dLbls>
          <c:cat>
            <c:strRef>
              <c:f>Sheet1!$A$2:$A$3</c:f>
              <c:strCache>
                <c:ptCount val="2"/>
                <c:pt idx="0">
                  <c:v>基本支出</c:v>
                </c:pt>
                <c:pt idx="1">
                  <c:v>项目支出</c:v>
                </c:pt>
              </c:strCache>
            </c:strRef>
          </c:cat>
          <c:val>
            <c:numRef>
              <c:f>Sheet1!$C$2:$C$3</c:f>
              <c:numCache>
                <c:formatCode>General</c:formatCode>
                <c:ptCount val="2"/>
                <c:pt idx="0">
                  <c:v>123.14</c:v>
                </c:pt>
                <c:pt idx="1">
                  <c:v>5.75</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1325</Words>
  <Characters>7556</Characters>
  <Lines>62</Lines>
  <Paragraphs>17</Paragraphs>
  <TotalTime>23</TotalTime>
  <ScaleCrop>false</ScaleCrop>
  <LinksUpToDate>false</LinksUpToDate>
  <CharactersWithSpaces>8864</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2023-07-31T10:35:00Z</cp:lastPrinted>
  <dcterms:modified xsi:type="dcterms:W3CDTF">2026-01-23T16:29:34Z</dcterms:modified>
  <dc:title>四川省***</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ECCCBD42C20F03686E31736956AA4875</vt:lpwstr>
  </property>
</Properties>
</file>