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39C10">
      <w:pPr>
        <w:jc w:val="center"/>
        <w:outlineLvl w:val="0"/>
        <w:rPr>
          <w:rFonts w:ascii="方正小标宋简体" w:hAnsi="宋体" w:eastAsia="方正小标宋简体"/>
          <w:color w:val="000000"/>
          <w:sz w:val="72"/>
          <w:szCs w:val="72"/>
        </w:rPr>
      </w:pPr>
      <w:bookmarkStart w:id="0" w:name="_Toc15306267"/>
    </w:p>
    <w:p w14:paraId="2076D92D">
      <w:pPr>
        <w:jc w:val="center"/>
        <w:outlineLvl w:val="0"/>
        <w:rPr>
          <w:rFonts w:ascii="方正小标宋简体" w:hAnsi="宋体" w:eastAsia="方正小标宋简体"/>
          <w:color w:val="000000"/>
          <w:sz w:val="72"/>
          <w:szCs w:val="72"/>
        </w:rPr>
      </w:pPr>
    </w:p>
    <w:p w14:paraId="603F4C0D">
      <w:pPr>
        <w:jc w:val="center"/>
        <w:outlineLvl w:val="0"/>
        <w:rPr>
          <w:rFonts w:ascii="方正小标宋简体" w:hAnsi="宋体" w:eastAsia="方正小标宋简体"/>
          <w:color w:val="000000"/>
          <w:sz w:val="72"/>
          <w:szCs w:val="72"/>
        </w:rPr>
      </w:pPr>
    </w:p>
    <w:p w14:paraId="1734FA55">
      <w:pPr>
        <w:jc w:val="center"/>
        <w:outlineLvl w:val="0"/>
        <w:rPr>
          <w:rFonts w:ascii="方正小标宋简体" w:hAnsi="宋体" w:eastAsia="方正小标宋简体"/>
          <w:color w:val="000000"/>
          <w:sz w:val="72"/>
          <w:szCs w:val="72"/>
        </w:rPr>
      </w:pPr>
    </w:p>
    <w:p w14:paraId="495C46A9">
      <w:pPr>
        <w:adjustRightInd w:val="0"/>
        <w:snapToGrid w:val="0"/>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193"/>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5D52BAC">
      <w:pPr>
        <w:adjustRightInd w:val="0"/>
        <w:snapToGrid w:val="0"/>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8442"/>
      <w:bookmarkStart w:id="9" w:name="_Toc15377194"/>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西区就业创业促进中心部门决算</w:t>
      </w:r>
      <w:bookmarkEnd w:id="6"/>
      <w:bookmarkEnd w:id="7"/>
      <w:bookmarkEnd w:id="8"/>
      <w:bookmarkEnd w:id="9"/>
      <w:bookmarkEnd w:id="10"/>
      <w:bookmarkEnd w:id="11"/>
    </w:p>
    <w:p w14:paraId="2004B457">
      <w:pPr>
        <w:widowControl/>
        <w:jc w:val="center"/>
        <w:rPr>
          <w:rFonts w:ascii="黑体" w:hAnsi="黑体" w:eastAsia="黑体"/>
          <w:color w:val="000000"/>
          <w:sz w:val="48"/>
          <w:szCs w:val="48"/>
        </w:rPr>
      </w:pPr>
    </w:p>
    <w:p w14:paraId="75324453">
      <w:pPr>
        <w:widowControl/>
        <w:jc w:val="center"/>
        <w:rPr>
          <w:rFonts w:ascii="黑体" w:hAnsi="黑体" w:eastAsia="黑体" w:cstheme="minorBidi"/>
          <w:sz w:val="28"/>
          <w:szCs w:val="28"/>
        </w:rPr>
      </w:pPr>
    </w:p>
    <w:p w14:paraId="7BD6C014">
      <w:pPr>
        <w:pStyle w:val="10"/>
      </w:pPr>
      <w:r>
        <w:rPr>
          <w:rFonts w:hint="eastAsia"/>
        </w:rPr>
        <w:t>公开时间：2020年11月23日</w:t>
      </w:r>
    </w:p>
    <w:p w14:paraId="6DC96505">
      <w:pPr>
        <w:rPr>
          <w:rFonts w:ascii="仿宋" w:hAnsi="仿宋" w:eastAsia="仿宋"/>
          <w:sz w:val="28"/>
          <w:szCs w:val="28"/>
        </w:rPr>
      </w:pPr>
      <w:r>
        <w:br w:type="page"/>
      </w:r>
    </w:p>
    <w:p w14:paraId="4344D4B5">
      <w:pPr>
        <w:pStyle w:val="10"/>
        <w:adjustRightInd w:val="0"/>
        <w:snapToGrid w:val="0"/>
        <w:spacing w:before="0" w:line="400" w:lineRule="exact"/>
        <w:jc w:val="left"/>
        <w:rPr>
          <w:rFonts w:cstheme="minorBidi"/>
          <w:sz w:val="24"/>
          <w:szCs w:val="24"/>
        </w:rPr>
      </w:pPr>
      <w:r>
        <w:rPr>
          <w:rFonts w:hint="eastAsia" w:ascii="Times New Roman" w:hAnsi="Times New Roman" w:eastAsia="宋体"/>
          <w:sz w:val="24"/>
          <w:szCs w:val="24"/>
        </w:rPr>
        <w:t>第一部分部门概况·</w:t>
      </w:r>
      <w:r>
        <w:rPr>
          <w:rFonts w:hint="eastAsia" w:ascii="Times New Roman" w:hAnsi="Times New Roman" w:eastAsia="宋体" w:cstheme="minorBidi"/>
          <w:sz w:val="24"/>
          <w:szCs w:val="24"/>
        </w:rPr>
        <w:t>················································</w:t>
      </w:r>
      <w:r>
        <w:rPr>
          <w:rFonts w:hint="eastAsia" w:cstheme="minorBidi"/>
          <w:sz w:val="24"/>
          <w:szCs w:val="24"/>
        </w:rPr>
        <w:t>5</w:t>
      </w:r>
    </w:p>
    <w:p w14:paraId="4608A159">
      <w:pPr>
        <w:pStyle w:val="10"/>
        <w:adjustRightInd w:val="0"/>
        <w:snapToGrid w:val="0"/>
        <w:spacing w:before="0" w:line="400" w:lineRule="exact"/>
        <w:jc w:val="left"/>
        <w:rPr>
          <w:sz w:val="24"/>
        </w:rPr>
      </w:pPr>
      <w:r>
        <w:rPr>
          <w:rFonts w:hint="eastAsia" w:ascii="Times New Roman" w:hAnsi="Times New Roman" w:eastAsia="宋体"/>
          <w:sz w:val="24"/>
          <w:szCs w:val="24"/>
        </w:rPr>
        <w:t>一、基本职能及主要工作·</w:t>
      </w:r>
      <w:r>
        <w:rPr>
          <w:rFonts w:hint="eastAsia" w:ascii="Times New Roman" w:hAnsi="Times New Roman" w:eastAsia="宋体" w:cstheme="minorBidi"/>
          <w:sz w:val="24"/>
          <w:szCs w:val="24"/>
        </w:rPr>
        <w:t>··········································</w:t>
      </w:r>
      <w:r>
        <w:rPr>
          <w:rFonts w:hint="eastAsia"/>
          <w:sz w:val="24"/>
        </w:rPr>
        <w:t>5</w:t>
      </w:r>
    </w:p>
    <w:p w14:paraId="67E23F01">
      <w:pPr>
        <w:pStyle w:val="11"/>
        <w:adjustRightInd w:val="0"/>
        <w:snapToGrid w:val="0"/>
        <w:spacing w:line="400" w:lineRule="exact"/>
        <w:ind w:left="0" w:leftChars="0"/>
        <w:jc w:val="left"/>
        <w:rPr>
          <w:rFonts w:ascii="仿宋" w:hAnsi="仿宋" w:eastAsia="仿宋" w:cstheme="minorBidi"/>
          <w:sz w:val="24"/>
        </w:rPr>
      </w:pPr>
      <w:r>
        <w:rPr>
          <w:rFonts w:hint="eastAsia"/>
          <w:sz w:val="24"/>
        </w:rPr>
        <w:t>二、机构设置</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5</w:t>
      </w:r>
    </w:p>
    <w:p w14:paraId="4A899AD5">
      <w:pPr>
        <w:pStyle w:val="10"/>
        <w:adjustRightInd w:val="0"/>
        <w:snapToGrid w:val="0"/>
        <w:spacing w:before="0" w:line="400" w:lineRule="exact"/>
        <w:jc w:val="left"/>
        <w:rPr>
          <w:sz w:val="24"/>
          <w:szCs w:val="24"/>
        </w:rPr>
      </w:pPr>
      <w:r>
        <w:rPr>
          <w:rFonts w:hint="eastAsia" w:ascii="Times New Roman" w:hAnsi="Times New Roman" w:eastAsia="宋体"/>
          <w:sz w:val="24"/>
          <w:szCs w:val="24"/>
        </w:rPr>
        <w:t>第二部 部门决算情况说明</w:t>
      </w:r>
      <w:r>
        <w:rPr>
          <w:rFonts w:hint="eastAsia" w:ascii="Times New Roman" w:hAnsi="Times New Roman" w:eastAsia="宋体" w:cstheme="minorBidi"/>
          <w:sz w:val="24"/>
          <w:szCs w:val="24"/>
        </w:rPr>
        <w:t>··········································1</w:t>
      </w:r>
      <w:r>
        <w:rPr>
          <w:rFonts w:hint="eastAsia"/>
          <w:sz w:val="24"/>
        </w:rPr>
        <w:t>6</w:t>
      </w:r>
    </w:p>
    <w:p w14:paraId="0155B43E">
      <w:pPr>
        <w:pStyle w:val="11"/>
        <w:adjustRightInd w:val="0"/>
        <w:snapToGrid w:val="0"/>
        <w:spacing w:line="400" w:lineRule="exact"/>
        <w:jc w:val="left"/>
        <w:rPr>
          <w:rFonts w:cstheme="minorBidi"/>
          <w:sz w:val="24"/>
        </w:rPr>
      </w:pPr>
      <w:r>
        <w:rPr>
          <w:rFonts w:hint="eastAsia"/>
          <w:sz w:val="24"/>
        </w:rPr>
        <w:t>一、收入支出决算总体情况说明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6</w:t>
      </w:r>
    </w:p>
    <w:p w14:paraId="5AABC9D6">
      <w:pPr>
        <w:pStyle w:val="11"/>
        <w:adjustRightInd w:val="0"/>
        <w:snapToGrid w:val="0"/>
        <w:spacing w:line="400" w:lineRule="exact"/>
        <w:jc w:val="left"/>
        <w:rPr>
          <w:rFonts w:ascii="仿宋" w:hAnsi="仿宋" w:eastAsia="仿宋" w:cstheme="minorBidi"/>
          <w:sz w:val="24"/>
        </w:rPr>
      </w:pPr>
      <w:r>
        <w:rPr>
          <w:rFonts w:hint="eastAsia"/>
          <w:sz w:val="24"/>
        </w:rPr>
        <w:t>二、收入决算情况说明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6</w:t>
      </w:r>
    </w:p>
    <w:p w14:paraId="439958AF">
      <w:pPr>
        <w:pStyle w:val="11"/>
        <w:adjustRightInd w:val="0"/>
        <w:snapToGrid w:val="0"/>
        <w:spacing w:line="400" w:lineRule="exact"/>
        <w:jc w:val="left"/>
        <w:rPr>
          <w:rFonts w:ascii="仿宋" w:hAnsi="仿宋" w:eastAsia="仿宋" w:cstheme="minorBidi"/>
          <w:sz w:val="24"/>
        </w:rPr>
      </w:pPr>
      <w:r>
        <w:rPr>
          <w:rFonts w:hint="eastAsia"/>
          <w:sz w:val="24"/>
        </w:rPr>
        <w:t>三、支出决算情况说明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7</w:t>
      </w:r>
    </w:p>
    <w:p w14:paraId="0EE38B9A">
      <w:pPr>
        <w:pStyle w:val="11"/>
        <w:adjustRightInd w:val="0"/>
        <w:snapToGrid w:val="0"/>
        <w:spacing w:line="400" w:lineRule="exact"/>
        <w:jc w:val="left"/>
        <w:rPr>
          <w:rFonts w:ascii="仿宋" w:hAnsi="仿宋" w:eastAsia="仿宋" w:cstheme="minorBidi"/>
          <w:sz w:val="24"/>
        </w:rPr>
      </w:pPr>
      <w:r>
        <w:rPr>
          <w:rFonts w:hint="eastAsia"/>
          <w:sz w:val="24"/>
        </w:rPr>
        <w:t>四、财政拨款收入支出决算总体情况说明·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7</w:t>
      </w:r>
    </w:p>
    <w:p w14:paraId="05E2EF74">
      <w:pPr>
        <w:pStyle w:val="11"/>
        <w:adjustRightInd w:val="0"/>
        <w:snapToGrid w:val="0"/>
        <w:spacing w:line="400" w:lineRule="exact"/>
        <w:jc w:val="left"/>
        <w:rPr>
          <w:rFonts w:ascii="仿宋" w:hAnsi="仿宋" w:eastAsia="仿宋" w:cstheme="minorBidi"/>
          <w:sz w:val="24"/>
        </w:rPr>
      </w:pPr>
      <w:r>
        <w:rPr>
          <w:rFonts w:hint="eastAsia"/>
          <w:sz w:val="24"/>
        </w:rPr>
        <w:t>五、一般公共预算财政拨款支出决算情况说明·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10</w:t>
      </w:r>
    </w:p>
    <w:p w14:paraId="6B973F67">
      <w:pPr>
        <w:pStyle w:val="11"/>
        <w:adjustRightInd w:val="0"/>
        <w:snapToGrid w:val="0"/>
        <w:spacing w:line="400" w:lineRule="exact"/>
        <w:jc w:val="left"/>
        <w:rPr>
          <w:rFonts w:ascii="仿宋" w:hAnsi="仿宋" w:eastAsia="仿宋" w:cstheme="minorBidi"/>
          <w:sz w:val="24"/>
        </w:rPr>
      </w:pPr>
      <w:r>
        <w:rPr>
          <w:rFonts w:hint="eastAsia"/>
          <w:sz w:val="24"/>
        </w:rPr>
        <w:t>六、一般公共预算财政拨款基本支出决算情况说明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···10</w:t>
      </w:r>
    </w:p>
    <w:p w14:paraId="1F6423DA">
      <w:pPr>
        <w:pStyle w:val="11"/>
        <w:adjustRightInd w:val="0"/>
        <w:snapToGrid w:val="0"/>
        <w:spacing w:line="40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····12</w:t>
      </w:r>
    </w:p>
    <w:p w14:paraId="027F97F2">
      <w:pPr>
        <w:pStyle w:val="11"/>
        <w:adjustRightInd w:val="0"/>
        <w:snapToGrid w:val="0"/>
        <w:spacing w:line="400" w:lineRule="exact"/>
        <w:jc w:val="left"/>
        <w:rPr>
          <w:rFonts w:ascii="仿宋" w:hAnsi="仿宋" w:eastAsia="仿宋" w:cstheme="minorBidi"/>
          <w:sz w:val="24"/>
        </w:rPr>
      </w:pPr>
      <w:r>
        <w:rPr>
          <w:rFonts w:hint="eastAsia"/>
          <w:sz w:val="24"/>
        </w:rPr>
        <w:t>八、政府性基金预算支出决算情况说明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·········12</w:t>
      </w:r>
    </w:p>
    <w:p w14:paraId="53578D4F">
      <w:pPr>
        <w:pStyle w:val="11"/>
        <w:adjustRightInd w:val="0"/>
        <w:snapToGrid w:val="0"/>
        <w:spacing w:line="400" w:lineRule="exact"/>
        <w:ind w:leftChars="0"/>
        <w:jc w:val="left"/>
        <w:rPr>
          <w:rFonts w:ascii="仿宋" w:hAnsi="仿宋" w:eastAsia="仿宋"/>
          <w:sz w:val="24"/>
        </w:rPr>
      </w:pPr>
      <w:r>
        <w:rPr>
          <w:rFonts w:hint="eastAsia"/>
        </w:rPr>
        <w:t>九、</w:t>
      </w:r>
      <w:r>
        <w:rPr>
          <w:sz w:val="24"/>
        </w:rPr>
        <w:t xml:space="preserve"> 国</w:t>
      </w:r>
      <w:r>
        <w:rPr>
          <w:rFonts w:hint="eastAsia"/>
          <w:sz w:val="24"/>
        </w:rPr>
        <w:t>有资本经营预算支出决算情况说明·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········12</w:t>
      </w:r>
    </w:p>
    <w:p w14:paraId="1C748923">
      <w:pPr>
        <w:adjustRightInd w:val="0"/>
        <w:snapToGrid w:val="0"/>
        <w:spacing w:line="400" w:lineRule="exact"/>
        <w:ind w:firstLine="420" w:firstLineChars="200"/>
        <w:jc w:val="left"/>
        <w:rPr>
          <w:rFonts w:ascii="仿宋" w:hAnsi="仿宋" w:eastAsia="仿宋" w:cstheme="minorBidi"/>
          <w:sz w:val="24"/>
        </w:rPr>
      </w:pPr>
      <w:r>
        <w:rPr>
          <w:rFonts w:hint="eastAsia"/>
        </w:rPr>
        <w:t>十、</w:t>
      </w:r>
      <w:r>
        <w:rPr>
          <w:rFonts w:hint="eastAsia"/>
          <w:sz w:val="24"/>
        </w:rPr>
        <w:t>其他重要事项的情况说明·</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·16</w:t>
      </w:r>
    </w:p>
    <w:p w14:paraId="556CF013">
      <w:pPr>
        <w:pStyle w:val="10"/>
        <w:adjustRightInd w:val="0"/>
        <w:snapToGrid w:val="0"/>
        <w:spacing w:before="0" w:line="400" w:lineRule="exact"/>
        <w:jc w:val="left"/>
        <w:rPr>
          <w:rFonts w:cstheme="minorBidi"/>
          <w:sz w:val="24"/>
          <w:szCs w:val="24"/>
        </w:rPr>
      </w:pPr>
      <w:r>
        <w:rPr>
          <w:rFonts w:hint="eastAsia" w:ascii="Times New Roman" w:hAnsi="Times New Roman" w:eastAsia="宋体"/>
          <w:sz w:val="24"/>
          <w:szCs w:val="24"/>
        </w:rPr>
        <w:t>第三部分名词解释</w:t>
      </w:r>
      <w:r>
        <w:rPr>
          <w:rFonts w:hint="eastAsia" w:ascii="Times New Roman" w:hAnsi="Times New Roman" w:eastAsia="宋体"/>
          <w:b/>
          <w:sz w:val="24"/>
          <w:szCs w:val="24"/>
        </w:rPr>
        <w:t>·················································</w:t>
      </w:r>
      <w:r>
        <w:rPr>
          <w:rFonts w:hint="eastAsia" w:cstheme="minorBidi"/>
          <w:sz w:val="24"/>
          <w:szCs w:val="24"/>
        </w:rPr>
        <w:t>19</w:t>
      </w:r>
    </w:p>
    <w:p w14:paraId="30801C9C">
      <w:pPr>
        <w:pStyle w:val="10"/>
        <w:adjustRightInd w:val="0"/>
        <w:snapToGrid w:val="0"/>
        <w:spacing w:before="0" w:line="400" w:lineRule="exact"/>
        <w:jc w:val="left"/>
        <w:rPr>
          <w:rFonts w:cstheme="minorBidi"/>
          <w:sz w:val="24"/>
          <w:szCs w:val="24"/>
        </w:rPr>
      </w:pPr>
      <w:r>
        <w:rPr>
          <w:rFonts w:hint="eastAsia" w:ascii="Times New Roman" w:hAnsi="Times New Roman" w:eastAsia="宋体"/>
          <w:sz w:val="24"/>
          <w:szCs w:val="24"/>
        </w:rPr>
        <w:t>第四部分附件··</w:t>
      </w:r>
      <w:r>
        <w:rPr>
          <w:rFonts w:hint="eastAsia" w:ascii="Times New Roman" w:hAnsi="Times New Roman" w:eastAsia="宋体"/>
          <w:b/>
          <w:sz w:val="24"/>
          <w:szCs w:val="24"/>
        </w:rPr>
        <w:t>····················································</w:t>
      </w:r>
      <w:r>
        <w:rPr>
          <w:rFonts w:hint="eastAsia" w:cstheme="minorBidi"/>
          <w:sz w:val="24"/>
          <w:szCs w:val="24"/>
        </w:rPr>
        <w:t>25</w:t>
      </w:r>
    </w:p>
    <w:p w14:paraId="02EA54F0">
      <w:pPr>
        <w:pStyle w:val="11"/>
        <w:adjustRightInd w:val="0"/>
        <w:snapToGrid w:val="0"/>
        <w:spacing w:line="400" w:lineRule="exact"/>
        <w:jc w:val="left"/>
        <w:rPr>
          <w:rFonts w:ascii="仿宋" w:hAnsi="仿宋" w:eastAsia="仿宋" w:cstheme="minorBidi"/>
          <w:sz w:val="24"/>
        </w:rPr>
      </w:pPr>
      <w:r>
        <w:rPr>
          <w:rFonts w:hint="eastAsia"/>
          <w:sz w:val="24"/>
        </w:rPr>
        <w:t>附件</w:t>
      </w:r>
      <w:r>
        <w:rPr>
          <w:sz w:val="24"/>
        </w:rPr>
        <w:t>1</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·23</w:t>
      </w:r>
    </w:p>
    <w:p w14:paraId="1FC487C9">
      <w:pPr>
        <w:pStyle w:val="11"/>
        <w:adjustRightInd w:val="0"/>
        <w:snapToGrid w:val="0"/>
        <w:spacing w:line="400" w:lineRule="exact"/>
        <w:jc w:val="left"/>
        <w:rPr>
          <w:rFonts w:ascii="仿宋" w:hAnsi="仿宋" w:eastAsia="仿宋" w:cstheme="minorBidi"/>
          <w:sz w:val="24"/>
        </w:rPr>
      </w:pPr>
      <w:r>
        <w:rPr>
          <w:rFonts w:hint="eastAsia"/>
          <w:sz w:val="24"/>
        </w:rPr>
        <w:t>附件</w:t>
      </w:r>
      <w:r>
        <w:rPr>
          <w:sz w:val="24"/>
        </w:rPr>
        <w:t>2</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25</w:t>
      </w:r>
    </w:p>
    <w:p w14:paraId="7A8B8540">
      <w:pPr>
        <w:pStyle w:val="10"/>
        <w:adjustRightInd w:val="0"/>
        <w:snapToGrid w:val="0"/>
        <w:spacing w:before="0" w:line="400" w:lineRule="exact"/>
        <w:jc w:val="left"/>
        <w:rPr>
          <w:rFonts w:cstheme="minorBidi"/>
          <w:sz w:val="24"/>
          <w:szCs w:val="24"/>
        </w:rPr>
      </w:pPr>
      <w:r>
        <w:rPr>
          <w:rFonts w:hint="eastAsia" w:ascii="Times New Roman" w:hAnsi="Times New Roman" w:eastAsia="宋体"/>
          <w:sz w:val="24"/>
          <w:szCs w:val="24"/>
        </w:rPr>
        <w:t>第五部分附表</w:t>
      </w:r>
      <w:r>
        <w:rPr>
          <w:rFonts w:hint="eastAsia" w:ascii="Times New Roman" w:hAnsi="Times New Roman" w:eastAsia="宋体" w:cstheme="minorBidi"/>
          <w:sz w:val="24"/>
          <w:szCs w:val="24"/>
        </w:rPr>
        <w:t>······················································</w:t>
      </w:r>
      <w:r>
        <w:rPr>
          <w:rFonts w:hint="eastAsia" w:cstheme="minorBidi"/>
          <w:sz w:val="24"/>
          <w:szCs w:val="24"/>
        </w:rPr>
        <w:t>26</w:t>
      </w:r>
    </w:p>
    <w:p w14:paraId="70637277">
      <w:pPr>
        <w:pStyle w:val="11"/>
        <w:adjustRightInd w:val="0"/>
        <w:snapToGrid w:val="0"/>
        <w:spacing w:line="40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1DAB033A">
      <w:pPr>
        <w:pStyle w:val="11"/>
        <w:adjustRightInd w:val="0"/>
        <w:snapToGrid w:val="0"/>
        <w:spacing w:line="400" w:lineRule="exact"/>
        <w:jc w:val="left"/>
        <w:rPr>
          <w:rFonts w:ascii="仿宋" w:hAnsi="仿宋" w:eastAsia="仿宋" w:cstheme="minorBidi"/>
          <w:sz w:val="24"/>
        </w:rPr>
      </w:pPr>
      <w:r>
        <w:rPr>
          <w:rFonts w:hint="eastAsia"/>
          <w:sz w:val="24"/>
        </w:rPr>
        <w:t>二、收入决算表··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26</w:t>
      </w:r>
    </w:p>
    <w:p w14:paraId="6D98CBBE">
      <w:pPr>
        <w:pStyle w:val="11"/>
        <w:adjustRightInd w:val="0"/>
        <w:snapToGrid w:val="0"/>
        <w:spacing w:line="400" w:lineRule="exact"/>
        <w:jc w:val="left"/>
        <w:rPr>
          <w:rFonts w:ascii="仿宋" w:hAnsi="仿宋" w:eastAsia="仿宋" w:cstheme="minorBidi"/>
          <w:sz w:val="24"/>
        </w:rPr>
      </w:pPr>
      <w:r>
        <w:rPr>
          <w:rFonts w:hint="eastAsia"/>
          <w:sz w:val="24"/>
        </w:rPr>
        <w:t>三、支出决算表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26</w:t>
      </w:r>
    </w:p>
    <w:p w14:paraId="0287B848">
      <w:pPr>
        <w:pStyle w:val="11"/>
        <w:adjustRightInd w:val="0"/>
        <w:snapToGrid w:val="0"/>
        <w:spacing w:line="400" w:lineRule="exact"/>
        <w:jc w:val="left"/>
        <w:rPr>
          <w:rFonts w:ascii="仿宋" w:hAnsi="仿宋" w:eastAsia="仿宋" w:cstheme="minorBidi"/>
          <w:sz w:val="24"/>
        </w:rPr>
      </w:pPr>
      <w:r>
        <w:rPr>
          <w:rFonts w:hint="eastAsia"/>
          <w:sz w:val="24"/>
        </w:rPr>
        <w:t>四、财政拨款收入支出决算总表·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23F32E29">
      <w:pPr>
        <w:pStyle w:val="11"/>
        <w:adjustRightInd w:val="0"/>
        <w:snapToGrid w:val="0"/>
        <w:spacing w:line="400" w:lineRule="exact"/>
        <w:jc w:val="left"/>
        <w:rPr>
          <w:rFonts w:ascii="仿宋" w:hAnsi="仿宋" w:eastAsia="仿宋"/>
          <w:sz w:val="24"/>
        </w:rPr>
      </w:pPr>
      <w:r>
        <w:rPr>
          <w:rFonts w:hint="eastAsia"/>
          <w:sz w:val="24"/>
        </w:rPr>
        <w:t>五、财政拨款支出决算明细表·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7465DA53">
      <w:pPr>
        <w:pStyle w:val="11"/>
        <w:adjustRightInd w:val="0"/>
        <w:snapToGrid w:val="0"/>
        <w:spacing w:line="400" w:lineRule="exact"/>
        <w:jc w:val="left"/>
        <w:rPr>
          <w:rFonts w:ascii="仿宋" w:hAnsi="仿宋" w:eastAsia="仿宋"/>
          <w:sz w:val="24"/>
        </w:rPr>
      </w:pPr>
      <w:r>
        <w:rPr>
          <w:rFonts w:hint="eastAsia"/>
          <w:sz w:val="24"/>
        </w:rPr>
        <w:t>六、一般公共预算财政拨款支出决算表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469FC64B">
      <w:pPr>
        <w:pStyle w:val="11"/>
        <w:adjustRightInd w:val="0"/>
        <w:snapToGrid w:val="0"/>
        <w:spacing w:line="400" w:lineRule="exact"/>
        <w:jc w:val="left"/>
        <w:rPr>
          <w:rFonts w:ascii="仿宋" w:hAnsi="仿宋" w:eastAsia="仿宋"/>
          <w:sz w:val="24"/>
        </w:rPr>
      </w:pPr>
      <w:r>
        <w:rPr>
          <w:rFonts w:hint="eastAsia"/>
          <w:sz w:val="24"/>
        </w:rPr>
        <w:t>七、一般公共预算财政拨款支出决算明细表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4CE934E5">
      <w:pPr>
        <w:pStyle w:val="11"/>
        <w:adjustRightInd w:val="0"/>
        <w:snapToGrid w:val="0"/>
        <w:spacing w:line="400" w:lineRule="exact"/>
        <w:jc w:val="left"/>
        <w:rPr>
          <w:rFonts w:ascii="仿宋" w:hAnsi="仿宋" w:eastAsia="仿宋"/>
          <w:sz w:val="24"/>
        </w:rPr>
      </w:pPr>
      <w:r>
        <w:rPr>
          <w:rFonts w:hint="eastAsia"/>
          <w:sz w:val="24"/>
        </w:rPr>
        <w:t>八、一般公共预算财政拨款基本支出决算表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4B303872">
      <w:pPr>
        <w:pStyle w:val="11"/>
        <w:adjustRightInd w:val="0"/>
        <w:snapToGrid w:val="0"/>
        <w:spacing w:line="400" w:lineRule="exact"/>
        <w:jc w:val="left"/>
        <w:rPr>
          <w:rFonts w:ascii="仿宋" w:hAnsi="仿宋" w:eastAsia="仿宋"/>
          <w:sz w:val="24"/>
        </w:rPr>
      </w:pPr>
      <w:r>
        <w:rPr>
          <w:rFonts w:hint="eastAsia"/>
          <w:sz w:val="24"/>
        </w:rPr>
        <w:t>九、一般公共预算财政拨款项目支出决算表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···26</w:t>
      </w:r>
    </w:p>
    <w:p w14:paraId="11FC0AA6">
      <w:pPr>
        <w:pStyle w:val="11"/>
        <w:adjustRightInd w:val="0"/>
        <w:snapToGrid w:val="0"/>
        <w:spacing w:line="400" w:lineRule="exact"/>
        <w:jc w:val="left"/>
        <w:rPr>
          <w:sz w:val="24"/>
        </w:rPr>
      </w:pPr>
      <w:r>
        <w:rPr>
          <w:rFonts w:hint="eastAsia"/>
          <w:sz w:val="24"/>
        </w:rPr>
        <w:t>十、一般公共预算财政拨款“三公”经费支出决算表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···26</w:t>
      </w:r>
    </w:p>
    <w:p w14:paraId="0B7A997A">
      <w:pPr>
        <w:pStyle w:val="11"/>
        <w:adjustRightInd w:val="0"/>
        <w:snapToGrid w:val="0"/>
        <w:spacing w:line="400" w:lineRule="exact"/>
        <w:jc w:val="left"/>
        <w:rPr>
          <w:rFonts w:ascii="仿宋" w:hAnsi="仿宋" w:eastAsia="仿宋" w:cstheme="minorBidi"/>
          <w:sz w:val="24"/>
        </w:rPr>
      </w:pPr>
      <w:r>
        <w:rPr>
          <w:rFonts w:hint="eastAsia"/>
          <w:sz w:val="24"/>
        </w:rPr>
        <w:t>十一、政府性基金预算财政拨款收入支出决算表·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·26</w:t>
      </w:r>
    </w:p>
    <w:p w14:paraId="027B61C9">
      <w:pPr>
        <w:pStyle w:val="11"/>
        <w:adjustRightInd w:val="0"/>
        <w:snapToGrid w:val="0"/>
        <w:spacing w:line="400" w:lineRule="exact"/>
        <w:jc w:val="left"/>
        <w:rPr>
          <w:rFonts w:ascii="仿宋" w:hAnsi="仿宋" w:eastAsia="仿宋" w:cstheme="minorBidi"/>
          <w:sz w:val="24"/>
        </w:rPr>
      </w:pPr>
      <w:r>
        <w:rPr>
          <w:rFonts w:hint="eastAsia"/>
          <w:sz w:val="24"/>
        </w:rPr>
        <w:t>十二、政府性基金预算财政拨款“三公”经费支出决算表·</w:t>
      </w:r>
      <w:r>
        <w:rPr>
          <w:rFonts w:hint="eastAsia" w:cstheme="minorBidi"/>
          <w:sz w:val="24"/>
        </w:rPr>
        <w:t>·</w:t>
      </w:r>
      <w:r>
        <w:rPr>
          <w:rFonts w:hint="eastAsia"/>
          <w:sz w:val="24"/>
        </w:rPr>
        <w:t>·</w:t>
      </w:r>
      <w:r>
        <w:rPr>
          <w:rFonts w:hint="eastAsia" w:cstheme="minorBidi"/>
          <w:sz w:val="24"/>
        </w:rPr>
        <w:t>·········</w:t>
      </w:r>
      <w:r>
        <w:rPr>
          <w:rFonts w:hint="eastAsia"/>
          <w:sz w:val="24"/>
        </w:rPr>
        <w:t>·26</w:t>
      </w:r>
    </w:p>
    <w:p w14:paraId="582C751C">
      <w:pPr>
        <w:pStyle w:val="11"/>
        <w:adjustRightInd w:val="0"/>
        <w:snapToGrid w:val="0"/>
        <w:spacing w:line="400" w:lineRule="exact"/>
        <w:jc w:val="left"/>
        <w:rPr>
          <w:rFonts w:ascii="仿宋" w:hAnsi="仿宋" w:eastAsia="仿宋" w:cstheme="minorBidi"/>
          <w:sz w:val="24"/>
        </w:rPr>
      </w:pPr>
      <w:r>
        <w:rPr>
          <w:rFonts w:hint="eastAsia"/>
          <w:sz w:val="24"/>
        </w:rPr>
        <w:t>十三、国有资本经营预算支出决算表·</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w:t>
      </w:r>
      <w:r>
        <w:rPr>
          <w:rFonts w:hint="eastAsia" w:cstheme="minorBidi"/>
          <w:sz w:val="24"/>
        </w:rPr>
        <w:t>··</w:t>
      </w:r>
      <w:r>
        <w:rPr>
          <w:rFonts w:hint="eastAsia"/>
          <w:sz w:val="24"/>
        </w:rPr>
        <w:t>··26</w:t>
      </w:r>
    </w:p>
    <w:p w14:paraId="6348153B">
      <w:pPr>
        <w:widowControl/>
        <w:spacing w:line="4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874D394">
      <w:pPr>
        <w:pStyle w:val="2"/>
        <w:spacing w:line="240" w:lineRule="auto"/>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A86031A">
      <w:pPr>
        <w:spacing w:line="500" w:lineRule="exact"/>
        <w:ind w:firstLine="624" w:firstLineChars="200"/>
        <w:rPr>
          <w:rFonts w:ascii="黑体" w:hAnsi="黑体" w:eastAsia="黑体"/>
          <w:spacing w:val="-4"/>
          <w:sz w:val="32"/>
          <w:szCs w:val="32"/>
        </w:rPr>
      </w:pPr>
      <w:bookmarkStart w:id="14" w:name="_Toc15377197"/>
      <w:bookmarkStart w:id="15" w:name="_Toc15396600"/>
      <w:r>
        <w:rPr>
          <w:rFonts w:hint="eastAsia" w:ascii="黑体" w:hAnsi="黑体" w:eastAsia="黑体"/>
          <w:spacing w:val="-4"/>
          <w:sz w:val="32"/>
          <w:szCs w:val="32"/>
        </w:rPr>
        <w:t>一、基本职能及主要工作</w:t>
      </w:r>
    </w:p>
    <w:bookmarkEnd w:id="14"/>
    <w:bookmarkEnd w:id="15"/>
    <w:p w14:paraId="0DB5D1BD">
      <w:pPr>
        <w:spacing w:line="500" w:lineRule="exact"/>
        <w:ind w:firstLine="468" w:firstLineChars="150"/>
        <w:rPr>
          <w:rFonts w:ascii="楷体_GB2312" w:hAnsi="宋体" w:eastAsia="楷体_GB2312"/>
          <w:spacing w:val="-4"/>
          <w:sz w:val="32"/>
          <w:szCs w:val="32"/>
        </w:rPr>
      </w:pPr>
      <w:bookmarkStart w:id="16" w:name="_Toc15377198"/>
      <w:bookmarkStart w:id="17" w:name="_Toc15378445"/>
      <w:r>
        <w:rPr>
          <w:rFonts w:hint="eastAsia" w:ascii="楷体_GB2312" w:hAnsi="宋体" w:eastAsia="楷体_GB2312"/>
          <w:spacing w:val="-4"/>
          <w:sz w:val="32"/>
          <w:szCs w:val="32"/>
        </w:rPr>
        <w:t>（一）主要职能。（职能参照省政府批准的三定方案）</w:t>
      </w:r>
      <w:bookmarkEnd w:id="16"/>
      <w:bookmarkEnd w:id="17"/>
    </w:p>
    <w:p w14:paraId="49C9EB7A">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1.负责贯彻执行《中华人民共和国就业促进法》、省、市有关促进就业的法律、法规、方针和政策，组织实施积极的就业政策，促进城乡劳动者充分就业、自主创业。</w:t>
      </w:r>
    </w:p>
    <w:p w14:paraId="4B2C4FDB">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14:paraId="180EA5CD">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3.负责全区公共就业服务体系建设。指导检查各街道（乡、镇）、社区（村）公共就业服务机构实施基层平台建设，开展就业（失业）登记、职业介绍、就业指导、就业培训等就业服务工作。</w:t>
      </w:r>
    </w:p>
    <w:p w14:paraId="488F9F41">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4.负责全区就业创业培训工作，全面开展对城乡劳动者、大学生的就业技能培训和创业培训。</w:t>
      </w:r>
    </w:p>
    <w:p w14:paraId="0DE2A5F2">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5.贯彻落实中央、省、市关于失业保险法律、法规和政策，负责失业保险各项待遇的申领发放和为领取失业保险金期间失业人员代缴基本医疗保险费等工作。</w:t>
      </w:r>
    </w:p>
    <w:p w14:paraId="0CCDF677">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6.负责全区就业援助工作，组织实施就业困难人员的认定，积极开展就业援助，并负责做好职业介绍补贴、社会保险补贴、职业培训补贴、岗位补贴、高校毕业生创业补贴等促进就业创业政策。</w:t>
      </w:r>
    </w:p>
    <w:p w14:paraId="2E0727CB">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7.负责高校毕业生就业创业服务、就业见习基地及见习生的认定审核、离校未就业的高校毕业生跟踪服务和实名制管理、困难高校毕业生的就业援助、大学生就业创业培训。</w:t>
      </w:r>
    </w:p>
    <w:p w14:paraId="503F24DE">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8.负责对城乡各类失业人员自主创业、合伙经营企业的创业担保贷款进行审核、推荐。</w:t>
      </w:r>
    </w:p>
    <w:p w14:paraId="63BBBC0B">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9.负责全区公共就业服务信息化建设，组织开展人力资源调查、失业预警监测、综合分析统计。</w:t>
      </w:r>
    </w:p>
    <w:p w14:paraId="5C4A4A8B">
      <w:pPr>
        <w:spacing w:line="5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10.行使区人力资源和社会保障局赋予的其他职权，完成区委、区政府和区人力资源和社会保障局交办的其它工作。</w:t>
      </w:r>
    </w:p>
    <w:p w14:paraId="1A45C5E1">
      <w:pPr>
        <w:pStyle w:val="5"/>
        <w:adjustRightInd w:val="0"/>
        <w:snapToGrid w:val="0"/>
        <w:spacing w:before="93"/>
        <w:ind w:firstLine="480" w:firstLineChars="150"/>
        <w:outlineLvl w:val="2"/>
        <w:rPr>
          <w:rFonts w:ascii="楷体_GB2312" w:hAnsi="仿宋" w:eastAsia="楷体_GB2312"/>
          <w:bCs/>
          <w:color w:val="000000"/>
          <w:sz w:val="32"/>
          <w:szCs w:val="32"/>
        </w:rPr>
      </w:pPr>
      <w:bookmarkStart w:id="18" w:name="_Toc15377199"/>
      <w:bookmarkStart w:id="19" w:name="_Toc15378446"/>
      <w:r>
        <w:rPr>
          <w:rFonts w:hint="eastAsia" w:ascii="楷体_GB2312" w:hAnsi="仿宋" w:eastAsia="楷体_GB2312"/>
          <w:bCs/>
          <w:color w:val="000000"/>
          <w:sz w:val="32"/>
          <w:szCs w:val="32"/>
        </w:rPr>
        <w:t>（二）2019年重点工作完成情况。</w:t>
      </w:r>
      <w:bookmarkEnd w:id="18"/>
      <w:bookmarkEnd w:id="19"/>
    </w:p>
    <w:p w14:paraId="5E18B4DF">
      <w:pPr>
        <w:autoSpaceDE w:val="0"/>
        <w:autoSpaceDN w:val="0"/>
        <w:adjustRightInd w:val="0"/>
        <w:spacing w:line="500" w:lineRule="exact"/>
        <w:ind w:firstLine="624" w:firstLineChars="200"/>
        <w:rPr>
          <w:rFonts w:ascii="仿宋_GB2312" w:hAnsi="黑体" w:eastAsia="仿宋_GB2312"/>
          <w:color w:val="000000"/>
          <w:spacing w:val="-4"/>
          <w:sz w:val="32"/>
          <w:szCs w:val="32"/>
        </w:rPr>
      </w:pPr>
      <w:r>
        <w:rPr>
          <w:rFonts w:hint="eastAsia" w:ascii="仿宋_GB2312" w:hAnsi="黑体" w:eastAsia="仿宋_GB2312"/>
          <w:color w:val="000000"/>
          <w:spacing w:val="-4"/>
          <w:sz w:val="32"/>
          <w:szCs w:val="32"/>
        </w:rPr>
        <w:t>1.城镇新增就业5206人,失业人员再就业1854人,就业困难人员再就业</w:t>
      </w:r>
      <w:r>
        <w:rPr>
          <w:rFonts w:hint="eastAsia" w:ascii="仿宋_GB2312" w:hAnsi="黑体" w:eastAsia="仿宋_GB2312"/>
          <w:color w:val="000000" w:themeColor="text1"/>
          <w:spacing w:val="-4"/>
          <w:sz w:val="32"/>
          <w:szCs w:val="32"/>
        </w:rPr>
        <w:t>423</w:t>
      </w:r>
      <w:r>
        <w:rPr>
          <w:rFonts w:hint="eastAsia" w:ascii="仿宋_GB2312" w:hAnsi="黑体" w:eastAsia="仿宋_GB2312"/>
          <w:color w:val="000000"/>
          <w:spacing w:val="-4"/>
          <w:sz w:val="32"/>
          <w:szCs w:val="32"/>
        </w:rPr>
        <w:t>人，分别完成目标任务的</w:t>
      </w:r>
      <w:r>
        <w:rPr>
          <w:rFonts w:hint="eastAsia" w:ascii="仿宋_GB2312" w:hAnsi="黑体" w:eastAsia="仿宋_GB2312"/>
          <w:color w:val="000000" w:themeColor="text1"/>
          <w:spacing w:val="-4"/>
          <w:sz w:val="32"/>
          <w:szCs w:val="32"/>
        </w:rPr>
        <w:t>130.15%、115.88%、120.86%，</w:t>
      </w:r>
      <w:r>
        <w:rPr>
          <w:rFonts w:hint="eastAsia" w:ascii="仿宋_GB2312" w:hAnsi="黑体" w:eastAsia="仿宋_GB2312"/>
          <w:color w:val="000000"/>
          <w:spacing w:val="-4"/>
          <w:sz w:val="32"/>
          <w:szCs w:val="32"/>
        </w:rPr>
        <w:t>城镇登记失业率3.26%。</w:t>
      </w:r>
    </w:p>
    <w:p w14:paraId="4354D584">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2.创新模式，提升就业扶持力度。拓宽就业见习、求职创业等政策惠及范围，鼓励就业见习基地组织16—24岁登记失业青年参加就业见习；辖区内中等职业学校符合条件的学生可申请求职创业补贴。职业培训精准发力，围绕市场发展需要、西区产业结构和不同群体培训需求，有针对性的开展定岗、订单、定向培训，并大力发挥网络创业（电商）培训优势，创新创业思维，提升网创能力，借助新型农民创新创业孵化园推进西区农村电商产业发展，助力农民创业致富。共组织各类职业培训15期，培训605人次，其中网络创业（电商）培训4期114人，已有30余人通过网创培训成功开店创业。</w:t>
      </w:r>
    </w:p>
    <w:p w14:paraId="6324AC39">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3.健全机制，扩大就业服务格局。健全动态化摸排机制，依托基层服务机构，对辖区内就业困难人员、低收入群体、困难职工家庭情况进行摸底调查，建立就业援助实名制台账；健全信息化管理机制，设置就业援助卡，建立一人一册就业困难人员管理台账，完善信息数据库，通过信息管理系统对每位就业困难人员就业失业状况实行数字化、信息化管理；健全个性化帮扶机制，针对不同情况、不同需求的就业困难对象，制定个性化帮扶计划，签订帮扶协议，实施“套餐式”就业援助，促进就业困难群体充分就业。共开展就业援助1100余人次，帮扶423人实现就业再就业；落实就业创业补助资金1606.27万元，惠及人员5213人次。</w:t>
      </w:r>
    </w:p>
    <w:p w14:paraId="16541874">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2019年共发放7580人次的失业保险1001.07万元，失业保险代缴医疗保险费422.27万元；</w:t>
      </w:r>
      <w:r>
        <w:rPr>
          <w:rFonts w:hint="eastAsia" w:ascii="仿宋_GB2312" w:hAnsi="Calibri" w:eastAsia="仿宋_GB2312"/>
          <w:sz w:val="32"/>
          <w:szCs w:val="32"/>
        </w:rPr>
        <w:t>发放符合职工提升职业技能补贴申领要求的</w:t>
      </w:r>
      <w:r>
        <w:rPr>
          <w:rFonts w:hint="eastAsia" w:ascii="仿宋_GB2312" w:eastAsia="仿宋_GB2312"/>
          <w:sz w:val="32"/>
          <w:szCs w:val="32"/>
        </w:rPr>
        <w:t>59</w:t>
      </w:r>
      <w:r>
        <w:rPr>
          <w:rFonts w:hint="eastAsia" w:ascii="仿宋_GB2312" w:hAnsi="Calibri" w:eastAsia="仿宋_GB2312"/>
          <w:sz w:val="32"/>
          <w:szCs w:val="32"/>
        </w:rPr>
        <w:t>名职工的提升职业技能补贴</w:t>
      </w:r>
      <w:r>
        <w:rPr>
          <w:rFonts w:hint="eastAsia" w:ascii="仿宋_GB2312" w:eastAsia="仿宋_GB2312"/>
          <w:sz w:val="32"/>
          <w:szCs w:val="32"/>
        </w:rPr>
        <w:t>11.55</w:t>
      </w:r>
      <w:r>
        <w:rPr>
          <w:rFonts w:hint="eastAsia" w:ascii="仿宋_GB2312" w:hAnsi="Calibri" w:eastAsia="仿宋_GB2312"/>
          <w:sz w:val="32"/>
          <w:szCs w:val="32"/>
        </w:rPr>
        <w:t>万元；发放2名领取失业金期间自主创业人员的创业补贴0.6万元；发放</w:t>
      </w:r>
      <w:r>
        <w:rPr>
          <w:rFonts w:hint="eastAsia" w:ascii="仿宋_GB2312" w:eastAsia="仿宋_GB2312"/>
          <w:sz w:val="32"/>
          <w:szCs w:val="32"/>
        </w:rPr>
        <w:t>4180</w:t>
      </w:r>
      <w:r>
        <w:rPr>
          <w:rFonts w:hint="eastAsia" w:ascii="仿宋_GB2312" w:hAnsi="Calibri" w:eastAsia="仿宋_GB2312"/>
          <w:sz w:val="32"/>
          <w:szCs w:val="32"/>
        </w:rPr>
        <w:t>人次2019年5—</w:t>
      </w:r>
      <w:r>
        <w:rPr>
          <w:rFonts w:hint="eastAsia" w:ascii="仿宋_GB2312" w:eastAsia="仿宋_GB2312"/>
          <w:sz w:val="32"/>
          <w:szCs w:val="32"/>
        </w:rPr>
        <w:t>11</w:t>
      </w:r>
      <w:r>
        <w:rPr>
          <w:rFonts w:hint="eastAsia" w:ascii="仿宋_GB2312" w:hAnsi="Calibri" w:eastAsia="仿宋_GB2312"/>
          <w:sz w:val="32"/>
          <w:szCs w:val="32"/>
        </w:rPr>
        <w:t>月价格临时补贴</w:t>
      </w:r>
      <w:r>
        <w:rPr>
          <w:rFonts w:hint="eastAsia" w:ascii="仿宋_GB2312" w:eastAsia="仿宋_GB2312"/>
          <w:sz w:val="32"/>
          <w:szCs w:val="32"/>
        </w:rPr>
        <w:t>16.82</w:t>
      </w:r>
      <w:r>
        <w:rPr>
          <w:rFonts w:hint="eastAsia" w:ascii="仿宋_GB2312" w:hAnsi="Calibri" w:eastAsia="仿宋_GB2312"/>
          <w:sz w:val="32"/>
          <w:szCs w:val="32"/>
        </w:rPr>
        <w:t>万元</w:t>
      </w:r>
      <w:r>
        <w:rPr>
          <w:rFonts w:hint="eastAsia" w:ascii="仿宋_GB2312" w:eastAsia="仿宋_GB2312"/>
          <w:color w:val="000000" w:themeColor="text1"/>
          <w:spacing w:val="-4"/>
          <w:sz w:val="32"/>
          <w:szCs w:val="32"/>
        </w:rPr>
        <w:t>。</w:t>
      </w:r>
    </w:p>
    <w:p w14:paraId="605714C9">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4.畅通渠道，拓展就业扶贫路径。畅通岗位收集和信息发布渠道，借助三级公共就业服务和“互联网+就业”平台，宣传就业困难优惠政策，加强企业用工调查，做好用工信息收集，积极搭建人力资源供需交流平台；就业服务无缝对接，积极主动对接企业，通过开展“春风行动”“就业援助月”等专项行动，联合工会、统战等部门共同举办招聘会，利用微信公众号、攀西人才网、电子显示屏等公共就业服务平台，实时发布招聘信息，为就业困难群体提供就业岗位。全年共开展现场大型招聘会3场，金秋招聘活动4场，通过各类渠道发布就业岗位3200余个，初步达成就业意向1600余人次，提供免费职业指导1400余人次和政策咨询3800余人次，发放宣传资料7000余份，帮助400余名就业困难人员实现就业再就业。</w:t>
      </w:r>
    </w:p>
    <w:p w14:paraId="5C5218F1">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5.创业引领，发挥创业带动效应</w:t>
      </w:r>
    </w:p>
    <w:p w14:paraId="7DDB7FF9">
      <w:pPr>
        <w:spacing w:line="50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畅通绿色服务渠道，实施“创业引领”工程，充分发挥创业带动就业倍增效应。组织辖区创业典型参加“天府杯”创业大赛、“邮储银行杯”青年创新创业大赛，西区参赛项目获得“天府杯”创业大赛“大学生创业典型”和“邮储银行杯”青年创新创业大赛一等奖。引导大众树立创业意识，拓宽创业思路，形成政府激励创业、社会支持创业、大众勇于创业的格局。</w:t>
      </w:r>
    </w:p>
    <w:p w14:paraId="7839C164">
      <w:pPr>
        <w:widowControl/>
        <w:adjustRightInd w:val="0"/>
        <w:snapToGrid w:val="0"/>
        <w:spacing w:line="50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二、机构设置</w:t>
      </w:r>
    </w:p>
    <w:p w14:paraId="2BF4E148">
      <w:pPr>
        <w:widowControl/>
        <w:adjustRightInd w:val="0"/>
        <w:snapToGrid w:val="0"/>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攀人办发[2009]174号文、川人发[2009]30号文，西区就业服务管理局于2009年4月14日获准列入参考公务员法管理范围，性质为参公事业单位。由西区人力资源和社会保障局主管。根据攀编发[2019]136号文，攀枝花市西区就业服务管理局更名为攀枝花市西区就业创业促进中心。属于纳入2019年度部门决算编制范围的一级预算单位。</w:t>
      </w:r>
    </w:p>
    <w:p w14:paraId="51E6D34E">
      <w:pPr>
        <w:pStyle w:val="2"/>
        <w:spacing w:line="240" w:lineRule="auto"/>
        <w:ind w:right="440"/>
        <w:jc w:val="right"/>
        <w:rPr>
          <w:rStyle w:val="24"/>
          <w:rFonts w:ascii="黑体" w:hAnsi="黑体" w:eastAsia="黑体"/>
          <w:b w:val="0"/>
          <w:bCs w:val="0"/>
        </w:rPr>
      </w:pPr>
      <w:bookmarkStart w:id="20" w:name="_Toc15396602"/>
      <w:bookmarkStart w:id="21" w:name="_Toc15377204"/>
      <w:r>
        <w:rPr>
          <w:rFonts w:hint="eastAsia" w:ascii="黑体" w:hAnsi="黑体" w:eastAsia="黑体"/>
          <w:color w:val="000000"/>
        </w:rPr>
        <w:t>第二部分</w:t>
      </w:r>
      <w:r>
        <w:rPr>
          <w:rStyle w:val="24"/>
          <w:rFonts w:hint="eastAsia" w:ascii="黑体" w:hAnsi="黑体" w:eastAsia="黑体"/>
          <w:b w:val="0"/>
          <w:bCs w:val="0"/>
        </w:rPr>
        <w:t>2019年度部门决算情况说明</w:t>
      </w:r>
      <w:bookmarkEnd w:id="20"/>
      <w:bookmarkEnd w:id="21"/>
    </w:p>
    <w:p w14:paraId="61ABBB67">
      <w:pPr>
        <w:ind w:left="640"/>
        <w:outlineLvl w:val="1"/>
        <w:rPr>
          <w:rStyle w:val="25"/>
          <w:rFonts w:ascii="黑体" w:hAnsi="黑体" w:eastAsia="黑体"/>
          <w:b w:val="0"/>
        </w:rPr>
      </w:pPr>
      <w:bookmarkStart w:id="22" w:name="_Toc15377205"/>
      <w:bookmarkStart w:id="23" w:name="_Toc15396603"/>
      <w:r>
        <w:rPr>
          <w:rFonts w:hint="eastAsia" w:ascii="黑体" w:hAnsi="黑体" w:eastAsia="黑体"/>
          <w:b/>
          <w:color w:val="000000"/>
          <w:sz w:val="32"/>
          <w:szCs w:val="32"/>
        </w:rPr>
        <w:t>一、收</w:t>
      </w:r>
      <w:r>
        <w:rPr>
          <w:rStyle w:val="25"/>
          <w:rFonts w:hint="eastAsia" w:ascii="黑体" w:hAnsi="黑体" w:eastAsia="黑体"/>
          <w:b w:val="0"/>
        </w:rPr>
        <w:t>入支出决算总体情况说明</w:t>
      </w:r>
      <w:bookmarkEnd w:id="22"/>
      <w:bookmarkEnd w:id="23"/>
    </w:p>
    <w:p w14:paraId="5C4945B8">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2019年度收、支总计225.66万元。与2018年相比，收、支总计各增加2.43万元，增长1.09%。主要变动原因是项目支出增加。</w:t>
      </w:r>
    </w:p>
    <w:p w14:paraId="1EB2176B">
      <w:pPr>
        <w:ind w:left="319" w:leftChars="152"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4639945" cy="2178050"/>
            <wp:effectExtent l="19050" t="0" r="2683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仿宋_GB2312" w:hAnsi="仿宋" w:eastAsia="仿宋_GB2312"/>
          <w:color w:val="000000" w:themeColor="text1"/>
          <w:sz w:val="32"/>
          <w:szCs w:val="32"/>
        </w:rPr>
        <w:t>（图1：收、支决算总计变动情况图）（柱状图）（金额：万元）</w:t>
      </w:r>
    </w:p>
    <w:p w14:paraId="63776D5C">
      <w:pPr>
        <w:ind w:left="640"/>
        <w:outlineLvl w:val="1"/>
        <w:rPr>
          <w:rStyle w:val="25"/>
          <w:rFonts w:ascii="黑体" w:hAnsi="黑体" w:eastAsia="黑体"/>
          <w:b w:val="0"/>
        </w:rPr>
      </w:pPr>
      <w:bookmarkStart w:id="24" w:name="_Toc15396604"/>
      <w:bookmarkStart w:id="25" w:name="_Toc15377206"/>
      <w:r>
        <w:rPr>
          <w:rFonts w:hint="eastAsia" w:ascii="黑体" w:hAnsi="黑体" w:eastAsia="黑体"/>
          <w:b/>
          <w:color w:val="000000"/>
          <w:sz w:val="32"/>
          <w:szCs w:val="32"/>
        </w:rPr>
        <w:t>二、收</w:t>
      </w:r>
      <w:r>
        <w:rPr>
          <w:rStyle w:val="25"/>
          <w:rFonts w:hint="eastAsia" w:ascii="黑体" w:hAnsi="黑体" w:eastAsia="黑体"/>
          <w:b w:val="0"/>
        </w:rPr>
        <w:t>入决算情况说明</w:t>
      </w:r>
      <w:bookmarkEnd w:id="24"/>
      <w:bookmarkEnd w:id="25"/>
    </w:p>
    <w:p w14:paraId="4E0EB6A6">
      <w:pPr>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2019年本年收入合计85.37万元，其中：一般公共预算财政拨款收入85.36万元，占99.99%；政府性基金预算财政拨款收入0万元，占0%；</w:t>
      </w:r>
      <w:r>
        <w:rPr>
          <w:rFonts w:hint="eastAsia" w:ascii="仿宋_GB2312" w:hAnsi="仿宋" w:eastAsia="仿宋_GB2312"/>
          <w:color w:val="000000" w:themeColor="text1"/>
          <w:sz w:val="32"/>
          <w:szCs w:val="32"/>
        </w:rPr>
        <w:t>上级补助收入0</w:t>
      </w:r>
      <w:r>
        <w:rPr>
          <w:rFonts w:hint="eastAsia" w:ascii="仿宋_GB2312" w:hAnsi="仿宋" w:eastAsia="仿宋_GB2312"/>
          <w:color w:val="000000"/>
          <w:sz w:val="32"/>
          <w:szCs w:val="32"/>
        </w:rPr>
        <w:t>万元，占0%；事业收入0万元，占0%；经营收入0万元，占0%；附属单位上缴收入0万元，占0%；其他收入0.01万元，占0.01%。</w:t>
      </w:r>
    </w:p>
    <w:p w14:paraId="2EE42773">
      <w:pPr>
        <w:ind w:firstLine="640" w:firstLineChars="200"/>
        <w:outlineLvl w:val="1"/>
        <w:rPr>
          <w:rFonts w:ascii="仿宋_GB2312" w:hAnsi="仿宋" w:eastAsia="仿宋_GB2312"/>
          <w:color w:val="000000"/>
          <w:sz w:val="32"/>
          <w:szCs w:val="32"/>
        </w:rPr>
      </w:pPr>
    </w:p>
    <w:p w14:paraId="2BB36CFD">
      <w:pPr>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drawing>
          <wp:inline distT="0" distB="0" distL="0" distR="0">
            <wp:extent cx="4100830" cy="1597660"/>
            <wp:effectExtent l="19050" t="0" r="13776" b="1988"/>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1CA0E8">
      <w:pPr>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（图2：收入决算结构图）（饼状图）（金额：万元）</w:t>
      </w:r>
    </w:p>
    <w:p w14:paraId="10D7CEB3">
      <w:pPr>
        <w:ind w:firstLine="643" w:firstLineChars="200"/>
        <w:outlineLvl w:val="1"/>
        <w:rPr>
          <w:rStyle w:val="25"/>
          <w:rFonts w:ascii="黑体" w:hAnsi="黑体" w:eastAsia="黑体"/>
          <w:b w:val="0"/>
        </w:rPr>
      </w:pPr>
      <w:bookmarkStart w:id="26" w:name="_Toc15377207"/>
      <w:bookmarkStart w:id="27" w:name="_Toc15396605"/>
      <w:r>
        <w:rPr>
          <w:rFonts w:hint="eastAsia" w:ascii="黑体" w:hAnsi="黑体" w:eastAsia="黑体"/>
          <w:b/>
          <w:color w:val="000000"/>
          <w:sz w:val="32"/>
          <w:szCs w:val="32"/>
        </w:rPr>
        <w:t>三、支</w:t>
      </w:r>
      <w:r>
        <w:rPr>
          <w:rStyle w:val="25"/>
          <w:rFonts w:hint="eastAsia" w:ascii="黑体" w:hAnsi="黑体" w:eastAsia="黑体"/>
          <w:b w:val="0"/>
        </w:rPr>
        <w:t>出决算情况说明</w:t>
      </w:r>
      <w:bookmarkEnd w:id="26"/>
      <w:bookmarkEnd w:id="27"/>
    </w:p>
    <w:p w14:paraId="0BC0EEA4">
      <w:pPr>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2019年本年支出合计万元，其中：基本支出113.64万元，占81%；项目支出26.65万元，占19%；上缴上级支出0万元，占0%；经营支出0万元，占0%；对附属单位补助支出0万元，占0%。</w:t>
      </w:r>
    </w:p>
    <w:p w14:paraId="316430E4">
      <w:pPr>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4314190" cy="1757045"/>
            <wp:effectExtent l="19050" t="0" r="9939"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CD65DF">
      <w:pPr>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（图3：支出决算结构图）（饼状图）（金额：万元）</w:t>
      </w:r>
    </w:p>
    <w:p w14:paraId="54CC5BA6">
      <w:pPr>
        <w:ind w:firstLine="643" w:firstLineChars="200"/>
        <w:outlineLvl w:val="1"/>
        <w:rPr>
          <w:rStyle w:val="25"/>
          <w:rFonts w:ascii="黑体" w:hAnsi="黑体" w:eastAsia="黑体"/>
          <w:b w:val="0"/>
        </w:rPr>
      </w:pPr>
      <w:bookmarkStart w:id="28" w:name="_Toc15396606"/>
      <w:bookmarkStart w:id="29" w:name="_Toc15377208"/>
      <w:r>
        <w:rPr>
          <w:rFonts w:hint="eastAsia" w:ascii="黑体" w:hAnsi="黑体" w:eastAsia="黑体"/>
          <w:b/>
          <w:color w:val="000000"/>
          <w:sz w:val="32"/>
          <w:szCs w:val="32"/>
        </w:rPr>
        <w:t>四、财</w:t>
      </w:r>
      <w:r>
        <w:rPr>
          <w:rStyle w:val="25"/>
          <w:rFonts w:hint="eastAsia" w:ascii="黑体" w:hAnsi="黑体" w:eastAsia="黑体"/>
          <w:b w:val="0"/>
        </w:rPr>
        <w:t>政拨款收入支出决算总体情况说明</w:t>
      </w:r>
      <w:bookmarkEnd w:id="28"/>
      <w:bookmarkEnd w:id="29"/>
    </w:p>
    <w:p w14:paraId="4C84A055">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2019年财政拨款收、支总计225.65万元。与2018年相比，财政拨款收、支总计增加2.45万元，增长1.09%，变动</w:t>
      </w:r>
    </w:p>
    <w:p w14:paraId="64F4E323">
      <w:pPr>
        <w:rPr>
          <w:rFonts w:ascii="仿宋_GB2312" w:hAnsi="仿宋" w:eastAsia="仿宋_GB2312"/>
          <w:color w:val="000000"/>
          <w:sz w:val="32"/>
          <w:szCs w:val="32"/>
        </w:rPr>
      </w:pPr>
      <w:r>
        <w:rPr>
          <w:rFonts w:hint="eastAsia" w:ascii="仿宋_GB2312" w:hAnsi="仿宋" w:eastAsia="仿宋_GB2312"/>
          <w:color w:val="000000"/>
          <w:sz w:val="32"/>
          <w:szCs w:val="32"/>
        </w:rPr>
        <w:t>原因是项目支出增加。</w:t>
      </w:r>
    </w:p>
    <w:p w14:paraId="69A87435">
      <w:pPr>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drawing>
          <wp:inline distT="0" distB="0" distL="0" distR="0">
            <wp:extent cx="4838700" cy="2242185"/>
            <wp:effectExtent l="19050" t="0" r="18553" b="5632"/>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_GB2312" w:hAnsi="仿宋" w:eastAsia="仿宋_GB2312"/>
          <w:color w:val="000000" w:themeColor="text1"/>
          <w:sz w:val="32"/>
          <w:szCs w:val="32"/>
        </w:rPr>
        <w:t>（图4：财政拨款收、支决算总计变动情况）（柱状图）（金额：万元）</w:t>
      </w:r>
    </w:p>
    <w:p w14:paraId="1EF24C8C">
      <w:pPr>
        <w:ind w:firstLine="643" w:firstLineChars="200"/>
        <w:outlineLvl w:val="1"/>
        <w:rPr>
          <w:rFonts w:ascii="仿宋_GB2312" w:hAnsi="仿宋" w:eastAsia="仿宋_GB2312"/>
          <w:b/>
          <w:color w:val="000000"/>
          <w:sz w:val="32"/>
          <w:szCs w:val="32"/>
        </w:rPr>
      </w:pPr>
      <w:bookmarkStart w:id="30" w:name="_Toc15377209"/>
      <w:bookmarkStart w:id="31" w:name="_Toc15396607"/>
      <w:r>
        <w:rPr>
          <w:rFonts w:hint="eastAsia" w:ascii="黑体" w:hAnsi="黑体" w:eastAsia="黑体"/>
          <w:b/>
          <w:color w:val="000000"/>
          <w:sz w:val="32"/>
          <w:szCs w:val="32"/>
        </w:rPr>
        <w:t>五、一</w:t>
      </w:r>
      <w:r>
        <w:rPr>
          <w:rStyle w:val="25"/>
          <w:rFonts w:hint="eastAsia" w:ascii="黑体" w:hAnsi="黑体" w:eastAsia="黑体"/>
          <w:b w:val="0"/>
        </w:rPr>
        <w:t>般公共预算财政拨款支出决算情况说明</w:t>
      </w:r>
      <w:bookmarkEnd w:id="30"/>
      <w:bookmarkEnd w:id="31"/>
      <w:bookmarkStart w:id="32" w:name="_Toc15377210"/>
    </w:p>
    <w:p w14:paraId="146C456A">
      <w:pPr>
        <w:ind w:firstLine="643" w:firstLineChars="200"/>
        <w:outlineLvl w:val="1"/>
        <w:rPr>
          <w:rFonts w:ascii="仿宋_GB2312" w:hAnsi="仿宋" w:eastAsia="仿宋_GB2312"/>
          <w:b/>
          <w:color w:val="000000"/>
          <w:sz w:val="32"/>
          <w:szCs w:val="32"/>
        </w:rPr>
      </w:pPr>
      <w:r>
        <w:rPr>
          <w:rFonts w:hint="eastAsia" w:ascii="仿宋_GB2312" w:hAnsi="仿宋" w:eastAsia="仿宋_GB2312"/>
          <w:b/>
          <w:color w:val="000000"/>
          <w:sz w:val="32"/>
          <w:szCs w:val="32"/>
        </w:rPr>
        <w:t>（一）一般公共预算财政拨款支出决算总体情况</w:t>
      </w:r>
      <w:bookmarkEnd w:id="32"/>
    </w:p>
    <w:p w14:paraId="4720663F">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2019年一般公共预算财政拨款支出139.85占本年支出合计的99.69%。与2018年相比，一般公共预算财政拨款增加23.79万元，增长20.5%。主要变动原因是项目支出增加。</w:t>
      </w:r>
    </w:p>
    <w:p w14:paraId="01E0EB25">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4836160" cy="1828800"/>
            <wp:effectExtent l="19050" t="0" r="2106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65FF6E">
      <w:pPr>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（图5：一般公共预算财政拨款支出决算变动情况）（柱状图）（金额：万元）</w:t>
      </w:r>
    </w:p>
    <w:p w14:paraId="50519CEE">
      <w:pPr>
        <w:ind w:firstLine="643" w:firstLineChars="200"/>
        <w:outlineLvl w:val="2"/>
        <w:rPr>
          <w:rFonts w:ascii="仿宋_GB2312" w:hAnsi="仿宋" w:eastAsia="仿宋_GB2312"/>
          <w:b/>
          <w:color w:val="000000"/>
          <w:sz w:val="32"/>
          <w:szCs w:val="32"/>
        </w:rPr>
      </w:pPr>
      <w:bookmarkStart w:id="33" w:name="_Toc15377211"/>
      <w:r>
        <w:rPr>
          <w:rFonts w:hint="eastAsia" w:ascii="仿宋_GB2312" w:hAnsi="仿宋" w:eastAsia="仿宋_GB2312"/>
          <w:b/>
          <w:color w:val="000000"/>
          <w:sz w:val="32"/>
          <w:szCs w:val="32"/>
        </w:rPr>
        <w:t>（二）一般公共预算财政拨款支出决算结构情况</w:t>
      </w:r>
      <w:bookmarkEnd w:id="33"/>
    </w:p>
    <w:p w14:paraId="5B9255DB">
      <w:pPr>
        <w:ind w:firstLine="640"/>
        <w:rPr>
          <w:rFonts w:ascii="仿宋_GB2312" w:hAnsi="仿宋" w:eastAsia="仿宋_GB2312"/>
          <w:color w:val="000000" w:themeColor="text1"/>
          <w:sz w:val="32"/>
          <w:szCs w:val="32"/>
        </w:rPr>
      </w:pPr>
      <w:r>
        <w:rPr>
          <w:rFonts w:hint="eastAsia" w:ascii="仿宋_GB2312" w:hAnsi="仿宋" w:eastAsia="仿宋_GB2312"/>
          <w:color w:val="000000"/>
          <w:sz w:val="32"/>
          <w:szCs w:val="32"/>
        </w:rPr>
        <w:t>2019年一般公共预算财</w:t>
      </w:r>
      <w:r>
        <w:rPr>
          <w:rFonts w:hint="eastAsia" w:ascii="仿宋_GB2312" w:hAnsi="仿宋" w:eastAsia="仿宋_GB2312"/>
          <w:color w:val="000000" w:themeColor="text1"/>
          <w:sz w:val="32"/>
          <w:szCs w:val="32"/>
        </w:rPr>
        <w:t>政拨款支出139.85万元，主要用于以下方面:</w:t>
      </w:r>
      <w:r>
        <w:rPr>
          <w:rFonts w:hint="eastAsia" w:ascii="仿宋_GB2312" w:hAnsi="仿宋" w:eastAsia="仿宋_GB2312"/>
          <w:b/>
          <w:color w:val="000000" w:themeColor="text1"/>
          <w:sz w:val="32"/>
          <w:szCs w:val="32"/>
        </w:rPr>
        <w:t>一般公共服务（类）</w:t>
      </w:r>
      <w:r>
        <w:rPr>
          <w:rFonts w:hint="eastAsia" w:ascii="仿宋_GB2312" w:hAnsi="仿宋" w:eastAsia="仿宋_GB2312"/>
          <w:color w:val="000000" w:themeColor="text1"/>
          <w:sz w:val="32"/>
          <w:szCs w:val="32"/>
        </w:rPr>
        <w:t>支出0万元，占0%；</w:t>
      </w:r>
      <w:r>
        <w:rPr>
          <w:rFonts w:hint="eastAsia" w:ascii="仿宋_GB2312" w:hAnsi="仿宋" w:eastAsia="仿宋_GB2312"/>
          <w:b/>
          <w:color w:val="000000" w:themeColor="text1"/>
          <w:sz w:val="32"/>
          <w:szCs w:val="32"/>
        </w:rPr>
        <w:t>教育支出（类）</w:t>
      </w:r>
      <w:r>
        <w:rPr>
          <w:rFonts w:hint="eastAsia" w:ascii="仿宋_GB2312" w:hAnsi="仿宋" w:eastAsia="仿宋_GB2312"/>
          <w:color w:val="000000" w:themeColor="text1"/>
          <w:sz w:val="32"/>
          <w:szCs w:val="32"/>
        </w:rPr>
        <w:t>0万元，占0%；</w:t>
      </w:r>
      <w:r>
        <w:rPr>
          <w:rFonts w:hint="eastAsia" w:ascii="仿宋_GB2312" w:hAnsi="仿宋" w:eastAsia="仿宋_GB2312"/>
          <w:b/>
          <w:color w:val="000000" w:themeColor="text1"/>
          <w:sz w:val="32"/>
          <w:szCs w:val="32"/>
        </w:rPr>
        <w:t>科学技术（类）</w:t>
      </w:r>
      <w:r>
        <w:rPr>
          <w:rFonts w:hint="eastAsia" w:ascii="仿宋_GB2312" w:hAnsi="仿宋" w:eastAsia="仿宋_GB2312"/>
          <w:color w:val="000000" w:themeColor="text1"/>
          <w:sz w:val="32"/>
          <w:szCs w:val="32"/>
        </w:rPr>
        <w:t>支出0万元，占0%；</w:t>
      </w:r>
      <w:r>
        <w:rPr>
          <w:rFonts w:hint="eastAsia" w:ascii="仿宋_GB2312" w:hAnsi="仿宋" w:eastAsia="仿宋_GB2312"/>
          <w:b/>
          <w:bCs/>
          <w:color w:val="000000" w:themeColor="text1"/>
          <w:sz w:val="32"/>
          <w:szCs w:val="32"/>
        </w:rPr>
        <w:t>文化旅游体育与传媒（类）支出0万元，占0%</w:t>
      </w:r>
      <w:r>
        <w:rPr>
          <w:rFonts w:hint="eastAsia" w:ascii="仿宋_GB2312" w:hAnsi="仿宋" w:eastAsia="仿宋_GB2312"/>
          <w:color w:val="000000" w:themeColor="text1"/>
          <w:sz w:val="32"/>
          <w:szCs w:val="32"/>
        </w:rPr>
        <w:t>；</w:t>
      </w:r>
      <w:r>
        <w:rPr>
          <w:rFonts w:hint="eastAsia" w:ascii="仿宋_GB2312" w:hAnsi="仿宋" w:eastAsia="仿宋_GB2312"/>
          <w:b/>
          <w:color w:val="000000" w:themeColor="text1"/>
          <w:sz w:val="32"/>
          <w:szCs w:val="32"/>
        </w:rPr>
        <w:t>社会保障和就业（类）</w:t>
      </w:r>
      <w:r>
        <w:rPr>
          <w:rFonts w:hint="eastAsia" w:ascii="仿宋_GB2312" w:hAnsi="仿宋" w:eastAsia="仿宋_GB2312"/>
          <w:color w:val="000000" w:themeColor="text1"/>
          <w:sz w:val="32"/>
          <w:szCs w:val="32"/>
        </w:rPr>
        <w:t>支出122.61万元，占87.67%；</w:t>
      </w:r>
      <w:r>
        <w:rPr>
          <w:rFonts w:hint="eastAsia" w:ascii="仿宋_GB2312" w:hAnsi="仿宋" w:eastAsia="仿宋_GB2312"/>
          <w:b/>
          <w:bCs/>
          <w:color w:val="000000" w:themeColor="text1"/>
          <w:sz w:val="32"/>
          <w:szCs w:val="32"/>
        </w:rPr>
        <w:t>卫生健康支出</w:t>
      </w:r>
      <w:r>
        <w:rPr>
          <w:rFonts w:hint="eastAsia" w:ascii="仿宋_GB2312" w:hAnsi="仿宋" w:eastAsia="仿宋_GB2312"/>
          <w:color w:val="000000" w:themeColor="text1"/>
          <w:sz w:val="32"/>
          <w:szCs w:val="32"/>
        </w:rPr>
        <w:t>6.88万元，占4.92%；住房保障支出10.36万元，占7.41%；。</w:t>
      </w:r>
      <w:r>
        <w:rPr>
          <w:rFonts w:hint="eastAsia" w:ascii="仿宋_GB2312" w:hAnsi="仿宋" w:eastAsia="仿宋_GB2312"/>
          <w:b/>
          <w:color w:val="000000" w:themeColor="text1"/>
          <w:sz w:val="32"/>
          <w:szCs w:val="32"/>
        </w:rPr>
        <w:t>（罗列全部功能分类科目，至类级。）</w:t>
      </w:r>
    </w:p>
    <w:p w14:paraId="4A6E3B77">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4655820" cy="1701165"/>
            <wp:effectExtent l="19050" t="0" r="10933"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_GB2312" w:hAnsi="仿宋" w:eastAsia="仿宋_GB2312"/>
          <w:color w:val="000000"/>
          <w:sz w:val="32"/>
          <w:szCs w:val="32"/>
        </w:rPr>
        <w:t>（图6：一般公共预算财政拨款支出决算结构）（饼状图）（金额：万元）</w:t>
      </w:r>
    </w:p>
    <w:p w14:paraId="1BBE094A">
      <w:pPr>
        <w:ind w:firstLine="643" w:firstLineChars="200"/>
        <w:outlineLvl w:val="2"/>
        <w:rPr>
          <w:rFonts w:ascii="仿宋_GB2312" w:hAnsi="仿宋" w:eastAsia="仿宋_GB2312"/>
          <w:b/>
          <w:color w:val="000000"/>
          <w:sz w:val="32"/>
          <w:szCs w:val="32"/>
        </w:rPr>
      </w:pPr>
      <w:bookmarkStart w:id="34" w:name="_Toc15377212"/>
      <w:r>
        <w:rPr>
          <w:rFonts w:hint="eastAsia" w:ascii="仿宋_GB2312" w:hAnsi="仿宋" w:eastAsia="仿宋_GB2312"/>
          <w:b/>
          <w:color w:val="000000"/>
          <w:sz w:val="32"/>
          <w:szCs w:val="32"/>
        </w:rPr>
        <w:t>（三）一般公共预算财政拨款支出决算具体情况</w:t>
      </w:r>
      <w:bookmarkEnd w:id="34"/>
    </w:p>
    <w:p w14:paraId="407D7CFE">
      <w:pPr>
        <w:ind w:firstLine="643" w:firstLineChars="200"/>
        <w:outlineLvl w:val="2"/>
        <w:rPr>
          <w:rStyle w:val="14"/>
          <w:rFonts w:ascii="仿宋_GB2312" w:hAnsi="仿宋" w:eastAsia="仿宋_GB2312"/>
          <w:bCs/>
          <w:color w:val="000000"/>
          <w:sz w:val="32"/>
          <w:szCs w:val="32"/>
        </w:rPr>
      </w:pPr>
      <w:bookmarkStart w:id="35" w:name="_Toc15377213"/>
      <w:bookmarkStart w:id="36" w:name="_Toc15378460"/>
      <w:bookmarkStart w:id="37" w:name="_Toc15377444"/>
      <w:r>
        <w:rPr>
          <w:rFonts w:hint="eastAsia" w:ascii="仿宋_GB2312" w:hAnsi="仿宋" w:eastAsia="仿宋_GB2312"/>
          <w:b/>
          <w:color w:val="000000" w:themeColor="text1"/>
          <w:sz w:val="32"/>
          <w:szCs w:val="32"/>
        </w:rPr>
        <w:t>2019年般公共预算支出决算数为139.85万元</w:t>
      </w:r>
      <w:r>
        <w:rPr>
          <w:rFonts w:hint="eastAsia" w:ascii="仿宋_GB2312" w:hAnsi="仿宋" w:eastAsia="仿宋_GB2312"/>
          <w:color w:val="000000" w:themeColor="text1"/>
          <w:sz w:val="32"/>
          <w:szCs w:val="32"/>
        </w:rPr>
        <w:t>，</w:t>
      </w:r>
      <w:r>
        <w:rPr>
          <w:rStyle w:val="14"/>
          <w:rFonts w:hint="eastAsia" w:ascii="仿宋_GB2312" w:hAnsi="仿宋" w:eastAsia="仿宋_GB2312"/>
          <w:bCs/>
          <w:color w:val="000000" w:themeColor="text1"/>
          <w:sz w:val="32"/>
          <w:szCs w:val="32"/>
        </w:rPr>
        <w:t>完成</w:t>
      </w:r>
      <w:r>
        <w:rPr>
          <w:rStyle w:val="14"/>
          <w:rFonts w:hint="eastAsia" w:ascii="仿宋_GB2312" w:hAnsi="仿宋" w:eastAsia="仿宋_GB2312"/>
          <w:bCs/>
          <w:color w:val="000000"/>
          <w:sz w:val="32"/>
          <w:szCs w:val="32"/>
        </w:rPr>
        <w:t>预算100%。其中：</w:t>
      </w:r>
      <w:bookmarkEnd w:id="35"/>
      <w:bookmarkEnd w:id="36"/>
      <w:bookmarkEnd w:id="37"/>
    </w:p>
    <w:p w14:paraId="581E8652">
      <w:pPr>
        <w:ind w:firstLine="643" w:firstLineChars="200"/>
        <w:rPr>
          <w:rFonts w:ascii="仿宋_GB2312" w:hAnsi="仿宋" w:eastAsia="仿宋_GB2312"/>
          <w:b/>
          <w:color w:val="000000"/>
          <w:sz w:val="32"/>
          <w:szCs w:val="32"/>
        </w:rPr>
      </w:pPr>
      <w:r>
        <w:rPr>
          <w:rStyle w:val="14"/>
          <w:rFonts w:hint="eastAsia" w:ascii="仿宋_GB2312" w:hAnsi="仿宋" w:eastAsia="仿宋_GB2312"/>
          <w:bCs/>
          <w:color w:val="000000"/>
          <w:sz w:val="32"/>
          <w:szCs w:val="32"/>
        </w:rPr>
        <w:t>1.社会保障和就业（类）人力资源和社会保障管理事务（款）行政运行（项）:</w:t>
      </w:r>
      <w:r>
        <w:rPr>
          <w:rStyle w:val="14"/>
          <w:rFonts w:hint="eastAsia" w:ascii="仿宋_GB2312" w:hAnsi="仿宋" w:eastAsia="仿宋_GB2312"/>
          <w:b w:val="0"/>
          <w:bCs/>
          <w:color w:val="000000"/>
          <w:sz w:val="32"/>
          <w:szCs w:val="32"/>
        </w:rPr>
        <w:t>支出决算为84.33万元，完成预算100%。</w:t>
      </w:r>
    </w:p>
    <w:p w14:paraId="13B1291F">
      <w:pPr>
        <w:spacing w:line="360" w:lineRule="auto"/>
        <w:ind w:firstLine="643" w:firstLineChars="200"/>
        <w:rPr>
          <w:rStyle w:val="14"/>
          <w:rFonts w:ascii="仿宋_GB2312" w:hAnsi="仿宋" w:eastAsia="仿宋_GB2312"/>
          <w:b w:val="0"/>
          <w:bCs/>
          <w:color w:val="000000"/>
          <w:sz w:val="32"/>
          <w:szCs w:val="32"/>
        </w:rPr>
      </w:pPr>
      <w:r>
        <w:rPr>
          <w:rStyle w:val="14"/>
          <w:rFonts w:hint="eastAsia" w:ascii="仿宋_GB2312" w:hAnsi="仿宋" w:eastAsia="仿宋_GB2312"/>
          <w:bCs/>
          <w:color w:val="000000"/>
          <w:sz w:val="32"/>
          <w:szCs w:val="32"/>
        </w:rPr>
        <w:t>2.社会保障和就业（类）人力资源和社会保障管理事务（款）社会保险经办机构（项）:</w:t>
      </w:r>
      <w:r>
        <w:rPr>
          <w:rStyle w:val="14"/>
          <w:rFonts w:hint="eastAsia" w:ascii="仿宋_GB2312" w:hAnsi="仿宋" w:eastAsia="仿宋_GB2312"/>
          <w:b w:val="0"/>
          <w:bCs/>
          <w:color w:val="000000"/>
          <w:sz w:val="32"/>
          <w:szCs w:val="32"/>
        </w:rPr>
        <w:t>支出决算为5.65万元，完成预算100%。</w:t>
      </w:r>
    </w:p>
    <w:p w14:paraId="6EF2A496">
      <w:pPr>
        <w:spacing w:line="360" w:lineRule="auto"/>
        <w:ind w:firstLine="640" w:firstLineChars="200"/>
        <w:rPr>
          <w:rStyle w:val="14"/>
          <w:rFonts w:ascii="仿宋_GB2312" w:hAnsi="仿宋" w:eastAsia="仿宋_GB2312"/>
          <w:b w:val="0"/>
          <w:bCs/>
          <w:color w:val="000000"/>
          <w:sz w:val="32"/>
          <w:szCs w:val="32"/>
        </w:rPr>
      </w:pPr>
      <w:r>
        <w:rPr>
          <w:rStyle w:val="14"/>
          <w:rFonts w:hint="eastAsia" w:ascii="仿宋_GB2312" w:hAnsi="仿宋" w:eastAsia="仿宋_GB2312"/>
          <w:b w:val="0"/>
          <w:bCs/>
          <w:color w:val="000000"/>
          <w:sz w:val="32"/>
          <w:szCs w:val="32"/>
        </w:rPr>
        <w:t>3.</w:t>
      </w:r>
      <w:r>
        <w:rPr>
          <w:rStyle w:val="14"/>
          <w:rFonts w:hint="eastAsia" w:ascii="仿宋_GB2312" w:hAnsi="仿宋" w:eastAsia="仿宋_GB2312"/>
          <w:bCs/>
          <w:color w:val="000000"/>
          <w:sz w:val="32"/>
          <w:szCs w:val="32"/>
        </w:rPr>
        <w:t>社会保障和就业（类）行政事业单位离退休（款）未归口管理的行政单位离退休（项）:</w:t>
      </w:r>
      <w:r>
        <w:rPr>
          <w:rStyle w:val="14"/>
          <w:rFonts w:hint="eastAsia" w:ascii="仿宋_GB2312" w:hAnsi="仿宋" w:eastAsia="仿宋_GB2312"/>
          <w:b w:val="0"/>
          <w:bCs/>
          <w:color w:val="000000"/>
          <w:sz w:val="32"/>
          <w:szCs w:val="32"/>
        </w:rPr>
        <w:t>支出决算为3.27万元，完成预算100%。</w:t>
      </w:r>
    </w:p>
    <w:p w14:paraId="17C366CD">
      <w:pPr>
        <w:spacing w:line="360" w:lineRule="auto"/>
        <w:ind w:firstLine="640" w:firstLineChars="200"/>
        <w:rPr>
          <w:rStyle w:val="14"/>
          <w:rFonts w:ascii="仿宋_GB2312" w:hAnsi="仿宋" w:eastAsia="仿宋_GB2312"/>
          <w:b w:val="0"/>
          <w:bCs/>
          <w:color w:val="000000"/>
          <w:sz w:val="32"/>
          <w:szCs w:val="32"/>
        </w:rPr>
      </w:pPr>
      <w:r>
        <w:rPr>
          <w:rStyle w:val="14"/>
          <w:rFonts w:hint="eastAsia" w:ascii="仿宋_GB2312" w:hAnsi="仿宋" w:eastAsia="仿宋_GB2312"/>
          <w:b w:val="0"/>
          <w:bCs/>
          <w:color w:val="000000"/>
          <w:sz w:val="32"/>
          <w:szCs w:val="32"/>
        </w:rPr>
        <w:t>4.</w:t>
      </w:r>
      <w:r>
        <w:rPr>
          <w:rStyle w:val="14"/>
          <w:rFonts w:hint="eastAsia" w:ascii="仿宋_GB2312" w:hAnsi="仿宋" w:eastAsia="仿宋_GB2312"/>
          <w:bCs/>
          <w:color w:val="000000"/>
          <w:sz w:val="32"/>
          <w:szCs w:val="32"/>
        </w:rPr>
        <w:t>社会保障和就业（类）行政事业单位离退休（款）机关事业单位基本养老保险缴费支出（项）:</w:t>
      </w:r>
      <w:r>
        <w:rPr>
          <w:rStyle w:val="14"/>
          <w:rFonts w:hint="eastAsia" w:ascii="仿宋_GB2312" w:hAnsi="仿宋" w:eastAsia="仿宋_GB2312"/>
          <w:b w:val="0"/>
          <w:bCs/>
          <w:color w:val="000000"/>
          <w:sz w:val="32"/>
          <w:szCs w:val="32"/>
        </w:rPr>
        <w:t>支出决算为8.38万元，完成预算100%。</w:t>
      </w:r>
    </w:p>
    <w:p w14:paraId="374CCF68">
      <w:pPr>
        <w:spacing w:line="360" w:lineRule="auto"/>
        <w:ind w:firstLine="640" w:firstLineChars="200"/>
        <w:rPr>
          <w:rStyle w:val="14"/>
          <w:rFonts w:ascii="仿宋_GB2312" w:hAnsi="仿宋" w:eastAsia="仿宋_GB2312"/>
          <w:b w:val="0"/>
          <w:bCs/>
          <w:color w:val="000000"/>
          <w:sz w:val="32"/>
          <w:szCs w:val="32"/>
        </w:rPr>
      </w:pPr>
      <w:r>
        <w:rPr>
          <w:rStyle w:val="14"/>
          <w:rFonts w:hint="eastAsia" w:ascii="仿宋_GB2312" w:hAnsi="仿宋" w:eastAsia="仿宋_GB2312"/>
          <w:b w:val="0"/>
          <w:bCs/>
          <w:color w:val="000000"/>
          <w:sz w:val="32"/>
          <w:szCs w:val="32"/>
        </w:rPr>
        <w:t>5.</w:t>
      </w:r>
      <w:r>
        <w:rPr>
          <w:rStyle w:val="14"/>
          <w:rFonts w:hint="eastAsia" w:ascii="仿宋_GB2312" w:hAnsi="仿宋" w:eastAsia="仿宋_GB2312"/>
          <w:bCs/>
          <w:color w:val="000000"/>
          <w:sz w:val="32"/>
          <w:szCs w:val="32"/>
        </w:rPr>
        <w:t>社会保障和就业（类）就业补助（款）其他就业补助支出（项）09:</w:t>
      </w:r>
      <w:r>
        <w:rPr>
          <w:rStyle w:val="14"/>
          <w:rFonts w:hint="eastAsia" w:ascii="仿宋_GB2312" w:hAnsi="仿宋" w:eastAsia="仿宋_GB2312"/>
          <w:b w:val="0"/>
          <w:bCs/>
          <w:color w:val="000000"/>
          <w:sz w:val="32"/>
          <w:szCs w:val="32"/>
        </w:rPr>
        <w:t xml:space="preserve"> 支出决算为21万元，完成预算100%。</w:t>
      </w:r>
    </w:p>
    <w:p w14:paraId="2DCB2B2E">
      <w:pPr>
        <w:spacing w:line="360" w:lineRule="auto"/>
        <w:ind w:firstLine="643" w:firstLineChars="200"/>
        <w:rPr>
          <w:rStyle w:val="14"/>
          <w:rFonts w:ascii="仿宋_GB2312" w:hAnsi="仿宋" w:eastAsia="仿宋_GB2312"/>
          <w:b w:val="0"/>
          <w:bCs/>
          <w:color w:val="000000"/>
          <w:sz w:val="32"/>
          <w:szCs w:val="32"/>
        </w:rPr>
      </w:pPr>
      <w:r>
        <w:rPr>
          <w:rStyle w:val="14"/>
          <w:rFonts w:hint="eastAsia" w:ascii="仿宋_GB2312" w:hAnsi="仿宋" w:eastAsia="仿宋_GB2312"/>
          <w:bCs/>
          <w:color w:val="000000"/>
          <w:sz w:val="32"/>
          <w:szCs w:val="32"/>
        </w:rPr>
        <w:t>6.医疗卫生与计划生育（类）行政事业单位医疗（款）行政单位医疗（项）:</w:t>
      </w:r>
      <w:r>
        <w:rPr>
          <w:rStyle w:val="14"/>
          <w:rFonts w:hint="eastAsia" w:ascii="仿宋_GB2312" w:hAnsi="仿宋" w:eastAsia="仿宋_GB2312"/>
          <w:b w:val="0"/>
          <w:bCs/>
          <w:color w:val="000000"/>
          <w:sz w:val="32"/>
          <w:szCs w:val="32"/>
        </w:rPr>
        <w:t xml:space="preserve">支出决算为5.83万元，完成预算100%。 </w:t>
      </w:r>
    </w:p>
    <w:p w14:paraId="610B0E09">
      <w:pPr>
        <w:spacing w:line="360" w:lineRule="auto"/>
        <w:ind w:firstLine="640" w:firstLineChars="200"/>
        <w:rPr>
          <w:rStyle w:val="14"/>
          <w:rFonts w:ascii="仿宋_GB2312" w:hAnsi="仿宋" w:eastAsia="仿宋_GB2312"/>
          <w:b w:val="0"/>
          <w:bCs/>
          <w:color w:val="000000"/>
          <w:sz w:val="32"/>
          <w:szCs w:val="32"/>
        </w:rPr>
      </w:pPr>
      <w:r>
        <w:rPr>
          <w:rStyle w:val="14"/>
          <w:rFonts w:hint="eastAsia" w:ascii="仿宋_GB2312" w:hAnsi="仿宋" w:eastAsia="仿宋_GB2312"/>
          <w:b w:val="0"/>
          <w:bCs/>
          <w:color w:val="000000"/>
          <w:sz w:val="32"/>
          <w:szCs w:val="32"/>
        </w:rPr>
        <w:t>7.</w:t>
      </w:r>
      <w:r>
        <w:rPr>
          <w:rStyle w:val="14"/>
          <w:rFonts w:hint="eastAsia" w:ascii="仿宋_GB2312" w:hAnsi="仿宋" w:eastAsia="仿宋_GB2312"/>
          <w:bCs/>
          <w:color w:val="000000"/>
          <w:sz w:val="32"/>
          <w:szCs w:val="32"/>
        </w:rPr>
        <w:t>医疗卫生与计划生育（类）行政事业单位医疗（款）公务员医疗补助（项）:</w:t>
      </w:r>
      <w:r>
        <w:rPr>
          <w:rStyle w:val="14"/>
          <w:rFonts w:hint="eastAsia" w:ascii="仿宋_GB2312" w:hAnsi="仿宋" w:eastAsia="仿宋_GB2312"/>
          <w:b w:val="0"/>
          <w:bCs/>
          <w:color w:val="000000"/>
          <w:sz w:val="32"/>
          <w:szCs w:val="32"/>
        </w:rPr>
        <w:t>支出决算为1.05万元，完成预算100%。</w:t>
      </w:r>
    </w:p>
    <w:p w14:paraId="5CDB4CDA">
      <w:pPr>
        <w:spacing w:line="360" w:lineRule="auto"/>
        <w:ind w:firstLine="640" w:firstLineChars="200"/>
        <w:rPr>
          <w:rFonts w:ascii="仿宋_GB2312" w:hAnsi="仿宋" w:eastAsia="仿宋_GB2312"/>
          <w:b/>
          <w:bCs/>
          <w:color w:val="000000"/>
          <w:sz w:val="32"/>
          <w:szCs w:val="32"/>
        </w:rPr>
      </w:pPr>
      <w:r>
        <w:rPr>
          <w:rStyle w:val="14"/>
          <w:rFonts w:hint="eastAsia" w:ascii="仿宋_GB2312" w:hAnsi="仿宋" w:eastAsia="仿宋_GB2312"/>
          <w:b w:val="0"/>
          <w:bCs/>
          <w:color w:val="000000"/>
          <w:sz w:val="32"/>
          <w:szCs w:val="32"/>
        </w:rPr>
        <w:t>8.</w:t>
      </w:r>
      <w:r>
        <w:rPr>
          <w:rStyle w:val="14"/>
          <w:rFonts w:hint="eastAsia" w:ascii="仿宋_GB2312" w:hAnsi="仿宋" w:eastAsia="仿宋_GB2312"/>
          <w:bCs/>
          <w:color w:val="000000"/>
          <w:sz w:val="32"/>
          <w:szCs w:val="32"/>
        </w:rPr>
        <w:t>住房保障支出（类）住房改革支出（款）住房公积金（项）:</w:t>
      </w:r>
      <w:r>
        <w:rPr>
          <w:rStyle w:val="14"/>
          <w:rFonts w:hint="eastAsia" w:ascii="仿宋_GB2312" w:hAnsi="仿宋" w:eastAsia="仿宋_GB2312"/>
          <w:b w:val="0"/>
          <w:bCs/>
          <w:color w:val="000000"/>
          <w:sz w:val="32"/>
          <w:szCs w:val="32"/>
        </w:rPr>
        <w:t>支出决算为10.36万元，完成预算100%。</w:t>
      </w:r>
    </w:p>
    <w:p w14:paraId="5F59FCEA">
      <w:pPr>
        <w:ind w:firstLine="643" w:firstLineChars="200"/>
        <w:rPr>
          <w:rFonts w:ascii="仿宋_GB2312" w:hAnsi="仿宋" w:eastAsia="仿宋_GB2312"/>
          <w:b/>
          <w:sz w:val="32"/>
          <w:szCs w:val="32"/>
        </w:rPr>
      </w:pPr>
      <w:r>
        <w:rPr>
          <w:rFonts w:hint="eastAsia" w:ascii="仿宋_GB2312" w:hAnsi="仿宋" w:eastAsia="仿宋_GB2312"/>
          <w:b/>
          <w:sz w:val="32"/>
          <w:szCs w:val="32"/>
        </w:rPr>
        <w:t>（注：数据来源于财决Z01-1表，罗列全部功能分类科目至项级。上述“预算”口径为调整预算数。增减变动原因为决算数&lt;项级&gt;和调整预算数&lt;项级&gt;比较，与预算数持平可以不写原因。）</w:t>
      </w:r>
    </w:p>
    <w:p w14:paraId="752A97F7">
      <w:pPr>
        <w:tabs>
          <w:tab w:val="right" w:pos="8306"/>
        </w:tabs>
        <w:ind w:firstLine="640"/>
        <w:outlineLvl w:val="1"/>
        <w:rPr>
          <w:rStyle w:val="25"/>
          <w:rFonts w:ascii="黑体" w:hAnsi="黑体" w:eastAsia="黑体"/>
          <w:b w:val="0"/>
        </w:rPr>
      </w:pPr>
      <w:bookmarkStart w:id="38" w:name="_Toc15396608"/>
      <w:bookmarkStart w:id="39" w:name="_Toc15377214"/>
      <w:r>
        <w:rPr>
          <w:rFonts w:hint="eastAsia" w:ascii="黑体" w:hAnsi="黑体" w:eastAsia="黑体"/>
          <w:b/>
          <w:color w:val="000000"/>
          <w:sz w:val="32"/>
          <w:szCs w:val="32"/>
        </w:rPr>
        <w:t>六、一</w:t>
      </w:r>
      <w:r>
        <w:rPr>
          <w:rStyle w:val="25"/>
          <w:rFonts w:hint="eastAsia" w:ascii="黑体" w:hAnsi="黑体" w:eastAsia="黑体"/>
          <w:b w:val="0"/>
        </w:rPr>
        <w:t>般公共预算财政拨款基本支出决算情况说明</w:t>
      </w:r>
      <w:bookmarkEnd w:id="38"/>
      <w:bookmarkEnd w:id="39"/>
      <w:r>
        <w:rPr>
          <w:rStyle w:val="25"/>
          <w:rFonts w:hint="eastAsia" w:ascii="黑体" w:hAnsi="黑体" w:eastAsia="黑体"/>
          <w:b w:val="0"/>
        </w:rPr>
        <w:tab/>
      </w:r>
    </w:p>
    <w:p w14:paraId="38FAC81C">
      <w:pPr>
        <w:ind w:firstLine="645"/>
        <w:rPr>
          <w:rFonts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2019年一般公共预算财政拨款基本支出113.21万元，其中：</w:t>
      </w:r>
    </w:p>
    <w:p w14:paraId="6E7BFE8E">
      <w:pPr>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113.21万元，主要包括：基本工资、津贴补贴、奖金、机关事业单位基本养老保险缴费、职工基本医疗保险缴费、公务员医疗补助缴费、其他社会保障缴费、其他工资福利支出、退休费、住房公积金、其他对个人和家庭的补助支出。</w:t>
      </w:r>
    </w:p>
    <w:p w14:paraId="6FC868EC">
      <w:pPr>
        <w:ind w:firstLine="645"/>
        <w:rPr>
          <w:rFonts w:ascii="仿宋_GB2312" w:hAnsi="仿宋" w:eastAsia="仿宋_GB2312"/>
          <w:color w:val="000000"/>
          <w:sz w:val="32"/>
          <w:szCs w:val="32"/>
        </w:rPr>
      </w:pPr>
      <w:r>
        <w:rPr>
          <w:rFonts w:hint="eastAsia" w:ascii="仿宋_GB2312" w:hAnsi="仿宋" w:eastAsia="仿宋_GB2312"/>
          <w:color w:val="000000"/>
          <w:sz w:val="32"/>
          <w:szCs w:val="32"/>
        </w:rPr>
        <w:t>日常公用经费10.85万元，主要包括：办公费、邮电费、差旅费、工会经费、福利费、其他交通费、其他商品和服务支出。</w:t>
      </w:r>
    </w:p>
    <w:p w14:paraId="4EABD47A">
      <w:pPr>
        <w:ind w:firstLine="640"/>
        <w:outlineLvl w:val="1"/>
        <w:rPr>
          <w:rStyle w:val="25"/>
          <w:rFonts w:ascii="黑体" w:hAnsi="黑体" w:eastAsia="黑体"/>
          <w:b w:val="0"/>
        </w:rPr>
      </w:pPr>
      <w:bookmarkStart w:id="40" w:name="_Toc15396609"/>
      <w:bookmarkStart w:id="41" w:name="_Toc15377215"/>
      <w:r>
        <w:rPr>
          <w:rFonts w:hint="eastAsia" w:ascii="黑体" w:hAnsi="黑体" w:eastAsia="黑体"/>
          <w:b/>
          <w:color w:val="000000"/>
          <w:sz w:val="32"/>
          <w:szCs w:val="32"/>
        </w:rPr>
        <w:t>七、</w:t>
      </w:r>
      <w:r>
        <w:rPr>
          <w:rStyle w:val="25"/>
          <w:rFonts w:hint="eastAsia" w:ascii="黑体" w:hAnsi="黑体" w:eastAsia="黑体"/>
          <w:b w:val="0"/>
        </w:rPr>
        <w:t>“三公”经费财政拨款支出决算情况说明</w:t>
      </w:r>
      <w:bookmarkEnd w:id="40"/>
      <w:bookmarkEnd w:id="41"/>
    </w:p>
    <w:p w14:paraId="4F7403A8">
      <w:pPr>
        <w:ind w:firstLine="640"/>
        <w:outlineLvl w:val="2"/>
        <w:rPr>
          <w:rFonts w:ascii="仿宋_GB2312" w:hAnsi="仿宋" w:eastAsia="仿宋_GB2312"/>
          <w:b/>
          <w:color w:val="000000"/>
          <w:sz w:val="32"/>
          <w:szCs w:val="32"/>
        </w:rPr>
      </w:pPr>
      <w:bookmarkStart w:id="42" w:name="_Toc15377216"/>
      <w:r>
        <w:rPr>
          <w:rFonts w:hint="eastAsia" w:ascii="仿宋_GB2312" w:hAnsi="仿宋" w:eastAsia="仿宋_GB2312"/>
          <w:b/>
          <w:color w:val="000000"/>
          <w:sz w:val="32"/>
          <w:szCs w:val="32"/>
        </w:rPr>
        <w:t>（一）“三公”经费财政拨款支出决算总体情况说明</w:t>
      </w:r>
      <w:bookmarkEnd w:id="42"/>
    </w:p>
    <w:p w14:paraId="0CBB3FA7">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2019年“三公”经费财政拨款支出决算为0万元，完成预算0%。</w:t>
      </w:r>
    </w:p>
    <w:p w14:paraId="620A18B4">
      <w:pPr>
        <w:ind w:firstLine="640"/>
        <w:rPr>
          <w:rFonts w:ascii="仿宋_GB2312" w:hAnsi="仿宋" w:eastAsia="仿宋_GB2312"/>
          <w:b/>
          <w:sz w:val="32"/>
          <w:szCs w:val="32"/>
        </w:rPr>
      </w:pPr>
      <w:r>
        <w:rPr>
          <w:rFonts w:hint="eastAsia" w:ascii="仿宋_GB2312" w:hAnsi="仿宋" w:eastAsia="仿宋_GB2312"/>
          <w:b/>
          <w:sz w:val="32"/>
          <w:szCs w:val="32"/>
        </w:rPr>
        <w:t>（注：上述“预算”口径为调整预算数，包括政府性基金支出决算情况。）</w:t>
      </w:r>
    </w:p>
    <w:p w14:paraId="04620E34">
      <w:pPr>
        <w:ind w:firstLine="640"/>
        <w:outlineLvl w:val="2"/>
        <w:rPr>
          <w:rFonts w:ascii="仿宋_GB2312" w:hAnsi="仿宋" w:eastAsia="仿宋_GB2312"/>
          <w:b/>
          <w:color w:val="000000"/>
          <w:sz w:val="32"/>
          <w:szCs w:val="32"/>
        </w:rPr>
      </w:pPr>
      <w:bookmarkStart w:id="43" w:name="_Toc15377217"/>
      <w:r>
        <w:rPr>
          <w:rFonts w:hint="eastAsia" w:ascii="仿宋_GB2312" w:hAnsi="仿宋" w:eastAsia="仿宋_GB2312"/>
          <w:b/>
          <w:color w:val="000000"/>
          <w:sz w:val="32"/>
          <w:szCs w:val="32"/>
        </w:rPr>
        <w:t>（二）“三公”经费财政拨款支出决算具体情况说明</w:t>
      </w:r>
      <w:bookmarkEnd w:id="43"/>
    </w:p>
    <w:p w14:paraId="3F0722C0">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2019年“三公”经费财政拨款支出决算中，因公出国（境）费支出决算0万元，占0%；公务用车购置及运行维护费支出决算0万元，占0%；公务接待费支出决算0万元，占0%。具体情况如下：</w:t>
      </w:r>
    </w:p>
    <w:p w14:paraId="0D925DCD">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（图7：“三公”经费财政拨款支出结构）（饼状图）</w:t>
      </w:r>
    </w:p>
    <w:p w14:paraId="0A46F56F">
      <w:pPr>
        <w:ind w:firstLine="640"/>
        <w:rPr>
          <w:rFonts w:ascii="仿宋_GB2312" w:eastAsia="仿宋_GB2312"/>
          <w:b/>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4"/>
          <w:rFonts w:hint="eastAsia" w:ascii="仿宋_GB2312" w:hAnsi="仿宋" w:eastAsia="仿宋_GB2312"/>
          <w:b w:val="0"/>
          <w:bCs/>
          <w:color w:val="000000"/>
          <w:sz w:val="32"/>
          <w:szCs w:val="32"/>
        </w:rPr>
        <w:t>完成预算0%。</w:t>
      </w:r>
      <w:r>
        <w:rPr>
          <w:rFonts w:hint="eastAsia" w:ascii="仿宋_GB2312" w:eastAsia="仿宋_GB2312"/>
          <w:color w:val="000000"/>
          <w:sz w:val="32"/>
          <w:szCs w:val="32"/>
        </w:rPr>
        <w:t>全年安排因公出国（境）团组0次，出国（境）0人。因公出国（境）支出决算比2018年增加/减少0万元，增长/下降0%。</w:t>
      </w: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0万元,</w:t>
      </w:r>
      <w:r>
        <w:rPr>
          <w:rStyle w:val="14"/>
          <w:rFonts w:hint="eastAsia" w:ascii="仿宋_GB2312" w:hAnsi="仿宋" w:eastAsia="仿宋_GB2312"/>
          <w:b w:val="0"/>
          <w:bCs/>
          <w:color w:val="000000"/>
          <w:sz w:val="32"/>
          <w:szCs w:val="32"/>
        </w:rPr>
        <w:t>完成预算0%。</w:t>
      </w:r>
      <w:r>
        <w:rPr>
          <w:rFonts w:hint="eastAsia" w:ascii="仿宋_GB2312" w:eastAsia="仿宋_GB2312"/>
          <w:color w:val="000000"/>
          <w:sz w:val="32"/>
          <w:szCs w:val="32"/>
        </w:rPr>
        <w:t>公务用车购置及运行维护费支出决算比2018年增加/减少0万元，增长/下降0%。</w:t>
      </w:r>
    </w:p>
    <w:p w14:paraId="5A273D8A">
      <w:pPr>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0万元。全年按规定更新购置公务用车0辆，金额0元。截至2019年12月底，单位共有公务用车0辆，其中：主要领导干部用车0辆、机要通信用车0辆、应急保障用车0辆、 执法执勤用车0辆…</w:t>
      </w:r>
    </w:p>
    <w:p w14:paraId="60BC9FB8">
      <w:pPr>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508F95F9">
      <w:pPr>
        <w:ind w:firstLine="640"/>
        <w:rPr>
          <w:rFonts w:ascii="仿宋_GB2312" w:hAnsi="仿宋" w:eastAsia="仿宋_GB2312"/>
          <w:b/>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r>
        <w:rPr>
          <w:rStyle w:val="14"/>
          <w:rFonts w:hint="eastAsia" w:ascii="仿宋_GB2312" w:hAnsi="仿宋" w:eastAsia="仿宋_GB2312"/>
          <w:b w:val="0"/>
          <w:bCs/>
          <w:color w:val="000000"/>
          <w:sz w:val="32"/>
          <w:szCs w:val="32"/>
        </w:rPr>
        <w:t>完成预算0%。</w:t>
      </w:r>
      <w:r>
        <w:rPr>
          <w:rFonts w:hint="eastAsia" w:ascii="仿宋_GB2312" w:eastAsia="仿宋_GB2312"/>
          <w:color w:val="000000"/>
          <w:sz w:val="32"/>
          <w:szCs w:val="32"/>
        </w:rPr>
        <w:t>公务接待费支出决算比2018年增加/减少0万元，增长/下降0%。</w:t>
      </w:r>
    </w:p>
    <w:p w14:paraId="34741398">
      <w:pPr>
        <w:ind w:firstLine="640"/>
        <w:rPr>
          <w:rFonts w:ascii="仿宋_GB2312" w:eastAsia="仿宋_GB2312"/>
          <w:color w:val="000000"/>
          <w:sz w:val="32"/>
          <w:szCs w:val="32"/>
        </w:rPr>
      </w:pPr>
      <w:r>
        <w:rPr>
          <w:rFonts w:hint="eastAsia" w:ascii="仿宋_GB2312" w:hAnsi="仿宋" w:eastAsia="仿宋_GB2312"/>
          <w:b/>
          <w:color w:val="000000"/>
          <w:sz w:val="32"/>
          <w:szCs w:val="32"/>
        </w:rPr>
        <w:t>国内公务接待支出</w:t>
      </w:r>
      <w:r>
        <w:rPr>
          <w:rFonts w:hint="eastAsia" w:ascii="仿宋_GB2312" w:hAnsi="仿宋" w:eastAsia="仿宋_GB2312"/>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万元，主要用于……(执行公务、开展业务活动开支的交通费、住宿费、用餐费等)。国内公务接待0批次，0人次（不包括陪同人员），共计支出0元，具体内容包括：…（接待具体项目、金额）。</w:t>
      </w:r>
    </w:p>
    <w:p w14:paraId="12BFDC31">
      <w:pPr>
        <w:ind w:firstLine="643" w:firstLineChars="200"/>
        <w:rPr>
          <w:rFonts w:ascii="仿宋_GB2312" w:eastAsia="仿宋_GB2312"/>
          <w:color w:val="000000" w:themeColor="text1"/>
          <w:sz w:val="32"/>
          <w:szCs w:val="32"/>
        </w:rPr>
      </w:pPr>
      <w:r>
        <w:rPr>
          <w:rFonts w:hint="eastAsia" w:ascii="仿宋_GB2312" w:hAnsi="仿宋" w:eastAsia="仿宋_GB2312"/>
          <w:b/>
          <w:color w:val="000000"/>
          <w:sz w:val="32"/>
          <w:szCs w:val="32"/>
        </w:rPr>
        <w:t>外事接待支出</w:t>
      </w:r>
      <w:r>
        <w:rPr>
          <w:rFonts w:hint="eastAsia" w:ascii="仿宋_GB2312" w:hAnsi="仿宋" w:eastAsia="仿宋_GB2312"/>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，外事接待0批次，0人，共计支出0万元，主要用于接待…（具体项目）</w:t>
      </w:r>
    </w:p>
    <w:p w14:paraId="1422155C">
      <w:pPr>
        <w:ind w:firstLine="640"/>
        <w:outlineLvl w:val="1"/>
        <w:rPr>
          <w:rStyle w:val="25"/>
          <w:rFonts w:ascii="黑体" w:hAnsi="黑体" w:eastAsia="黑体"/>
          <w:b w:val="0"/>
        </w:rPr>
      </w:pPr>
      <w:bookmarkStart w:id="44" w:name="_Toc15377218"/>
      <w:bookmarkStart w:id="45" w:name="_Toc15396610"/>
      <w:r>
        <w:rPr>
          <w:rFonts w:hint="eastAsia" w:ascii="黑体" w:hAnsi="黑体" w:eastAsia="黑体"/>
          <w:b/>
          <w:color w:val="000000"/>
          <w:sz w:val="32"/>
          <w:szCs w:val="32"/>
        </w:rPr>
        <w:t>八、</w:t>
      </w:r>
      <w:r>
        <w:rPr>
          <w:rStyle w:val="25"/>
          <w:rFonts w:hint="eastAsia" w:ascii="黑体" w:hAnsi="黑体" w:eastAsia="黑体"/>
          <w:b w:val="0"/>
        </w:rPr>
        <w:t>政府性基金预算支出决算情况说明</w:t>
      </w:r>
      <w:bookmarkEnd w:id="44"/>
      <w:bookmarkEnd w:id="45"/>
    </w:p>
    <w:p w14:paraId="14EC2F91">
      <w:pPr>
        <w:ind w:firstLine="640"/>
        <w:rPr>
          <w:rFonts w:ascii="仿宋_GB2312" w:eastAsia="仿宋_GB2312"/>
          <w:color w:val="000000"/>
          <w:sz w:val="32"/>
          <w:szCs w:val="32"/>
        </w:rPr>
      </w:pPr>
      <w:r>
        <w:rPr>
          <w:rFonts w:hint="eastAsia" w:ascii="仿宋_GB2312" w:eastAsia="仿宋_GB2312"/>
          <w:color w:val="000000"/>
          <w:sz w:val="32"/>
          <w:szCs w:val="32"/>
        </w:rPr>
        <w:t>2019年政府性基金预算拨款支出0万元。</w:t>
      </w:r>
    </w:p>
    <w:p w14:paraId="7955D553">
      <w:pPr>
        <w:numPr>
          <w:ilvl w:val="0"/>
          <w:numId w:val="1"/>
        </w:numPr>
        <w:ind w:firstLine="640"/>
        <w:outlineLvl w:val="1"/>
        <w:rPr>
          <w:rStyle w:val="25"/>
          <w:rFonts w:ascii="黑体" w:hAnsi="黑体" w:eastAsia="黑体"/>
        </w:rPr>
      </w:pPr>
      <w:bookmarkStart w:id="46" w:name="_Toc15377219"/>
      <w:bookmarkStart w:id="47" w:name="_Toc15396611"/>
      <w:r>
        <w:rPr>
          <w:rStyle w:val="25"/>
          <w:rFonts w:hint="eastAsia" w:ascii="黑体" w:hAnsi="黑体" w:eastAsia="黑体"/>
        </w:rPr>
        <w:t>国有资本经营预算支出决算情况说明</w:t>
      </w:r>
      <w:bookmarkEnd w:id="46"/>
      <w:bookmarkEnd w:id="47"/>
    </w:p>
    <w:p w14:paraId="104EC041">
      <w:pPr>
        <w:ind w:firstLine="640"/>
        <w:rPr>
          <w:rFonts w:ascii="仿宋_GB2312" w:eastAsia="仿宋_GB2312"/>
          <w:color w:val="000000"/>
          <w:sz w:val="32"/>
          <w:szCs w:val="32"/>
        </w:rPr>
      </w:pPr>
      <w:r>
        <w:rPr>
          <w:rFonts w:hint="eastAsia" w:ascii="仿宋_GB2312" w:eastAsia="仿宋_GB2312"/>
          <w:color w:val="000000"/>
          <w:sz w:val="32"/>
          <w:szCs w:val="32"/>
        </w:rPr>
        <w:t>2019年国有资本经营预算拨款支出0万元。</w:t>
      </w:r>
    </w:p>
    <w:p w14:paraId="28B744F6">
      <w:pPr>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、其他重要事项的情况说明</w:t>
      </w:r>
      <w:bookmarkEnd w:id="48"/>
      <w:bookmarkEnd w:id="49"/>
    </w:p>
    <w:p w14:paraId="73E57C2B">
      <w:pPr>
        <w:ind w:firstLine="643" w:firstLineChars="200"/>
        <w:outlineLvl w:val="2"/>
        <w:rPr>
          <w:rFonts w:ascii="仿宋_GB2312" w:hAnsi="仿宋" w:eastAsia="仿宋_GB2312"/>
          <w:color w:val="000000"/>
          <w:sz w:val="32"/>
          <w:szCs w:val="32"/>
        </w:rPr>
      </w:pPr>
      <w:r>
        <w:rPr>
          <w:rFonts w:hint="eastAsia" w:ascii="仿宋_GB2312" w:hAnsi="仿宋" w:eastAsia="仿宋_GB2312"/>
          <w:b/>
          <w:color w:val="000000"/>
          <w:sz w:val="32"/>
          <w:szCs w:val="32"/>
        </w:rPr>
        <w:t>（一）机关运行经费支出情况</w:t>
      </w:r>
    </w:p>
    <w:p w14:paraId="0479C29F">
      <w:pPr>
        <w:ind w:firstLine="640" w:firstLineChars="200"/>
        <w:rPr>
          <w:rFonts w:ascii="仿宋_GB2312" w:eastAsia="仿宋_GB2312"/>
          <w:color w:val="000000"/>
          <w:sz w:val="32"/>
          <w:szCs w:val="32"/>
        </w:rPr>
      </w:pPr>
      <w:r>
        <w:rPr>
          <w:rFonts w:hint="eastAsia" w:ascii="仿宋_GB2312" w:eastAsia="仿宋_GB2312"/>
          <w:color w:val="000000"/>
          <w:sz w:val="32"/>
          <w:szCs w:val="32"/>
        </w:rPr>
        <w:t>2019年，机关运行经费支出10.85万元，比2018年增加2.44万元，增长28.95%。</w:t>
      </w:r>
      <w:r>
        <w:rPr>
          <w:rFonts w:hint="eastAsia" w:ascii="仿宋_GB2312" w:eastAsia="仿宋_GB2312"/>
          <w:color w:val="000000" w:themeColor="text1"/>
          <w:sz w:val="32"/>
          <w:szCs w:val="32"/>
        </w:rPr>
        <w:t>主要原因是正常运转所需</w:t>
      </w:r>
    </w:p>
    <w:p w14:paraId="767998B1">
      <w:pPr>
        <w:ind w:firstLine="640" w:firstLineChars="200"/>
        <w:rPr>
          <w:rFonts w:ascii="仿宋_GB2312" w:eastAsia="仿宋_GB2312"/>
          <w:color w:val="000000"/>
          <w:sz w:val="32"/>
          <w:szCs w:val="32"/>
        </w:rPr>
      </w:pPr>
      <w:r>
        <w:rPr>
          <w:rFonts w:hint="eastAsia" w:ascii="仿宋_GB2312" w:eastAsia="仿宋_GB2312"/>
          <w:color w:val="000000"/>
          <w:sz w:val="32"/>
          <w:szCs w:val="32"/>
        </w:rPr>
        <w:t>（注：数据来源于财决附03表）</w:t>
      </w:r>
    </w:p>
    <w:p w14:paraId="39414B02">
      <w:pPr>
        <w:autoSpaceDE w:val="0"/>
        <w:autoSpaceDN w:val="0"/>
        <w:adjustRightInd w:val="0"/>
        <w:ind w:firstLine="643" w:firstLineChars="200"/>
        <w:jc w:val="left"/>
        <w:outlineLvl w:val="2"/>
        <w:rPr>
          <w:rFonts w:ascii="仿宋_GB2312" w:hAnsi="仿宋" w:eastAsia="仿宋_GB2312"/>
          <w:b/>
          <w:color w:val="000000"/>
          <w:sz w:val="32"/>
          <w:szCs w:val="32"/>
        </w:rPr>
      </w:pPr>
      <w:bookmarkStart w:id="50" w:name="_Toc15377223"/>
      <w:r>
        <w:rPr>
          <w:rFonts w:hint="eastAsia" w:ascii="仿宋_GB2312" w:hAnsi="仿宋" w:eastAsia="仿宋_GB2312"/>
          <w:b/>
          <w:color w:val="000000"/>
          <w:sz w:val="32"/>
          <w:szCs w:val="32"/>
        </w:rPr>
        <w:t>（二）政府采购支出情况</w:t>
      </w:r>
      <w:bookmarkEnd w:id="50"/>
    </w:p>
    <w:p w14:paraId="1B6887E5">
      <w:pPr>
        <w:ind w:firstLine="640" w:firstLineChars="200"/>
        <w:rPr>
          <w:rFonts w:ascii="仿宋_GB2312" w:eastAsia="仿宋_GB2312"/>
          <w:color w:val="000000"/>
          <w:sz w:val="32"/>
          <w:szCs w:val="32"/>
        </w:rPr>
      </w:pPr>
      <w:r>
        <w:rPr>
          <w:rFonts w:hint="eastAsia" w:ascii="仿宋_GB2312" w:eastAsia="仿宋_GB2312"/>
          <w:color w:val="000000"/>
          <w:sz w:val="32"/>
          <w:szCs w:val="32"/>
        </w:rPr>
        <w:t>2019年，政府采购支出总额2.24万元，其中：政府采购货物支出2.24万元、政府采购工程支出0万元、政府采购服务支出0万元。主要用于办公所需。授予中小企业合同金额0万元，占政府采购支出总额的0%，其中：授予小微企业合同金额0万元，占政府采购支出总额的0%。</w:t>
      </w:r>
    </w:p>
    <w:p w14:paraId="51F982F0">
      <w:pPr>
        <w:ind w:firstLine="640" w:firstLineChars="200"/>
        <w:rPr>
          <w:rFonts w:ascii="仿宋_GB2312" w:eastAsia="仿宋_GB2312"/>
          <w:color w:val="000000"/>
          <w:sz w:val="32"/>
          <w:szCs w:val="32"/>
        </w:rPr>
      </w:pPr>
      <w:r>
        <w:rPr>
          <w:rFonts w:hint="eastAsia" w:ascii="仿宋_GB2312" w:eastAsia="仿宋_GB2312"/>
          <w:color w:val="000000"/>
          <w:sz w:val="32"/>
          <w:szCs w:val="32"/>
        </w:rPr>
        <w:t>（注：数据来源于财决附03表）</w:t>
      </w:r>
    </w:p>
    <w:p w14:paraId="61B678BC">
      <w:pPr>
        <w:autoSpaceDE w:val="0"/>
        <w:autoSpaceDN w:val="0"/>
        <w:adjustRightInd w:val="0"/>
        <w:ind w:firstLine="640" w:firstLineChars="200"/>
        <w:jc w:val="left"/>
        <w:outlineLvl w:val="2"/>
        <w:rPr>
          <w:rFonts w:ascii="仿宋_GB2312" w:eastAsia="仿宋_GB2312"/>
          <w:color w:val="000000"/>
          <w:sz w:val="32"/>
          <w:szCs w:val="32"/>
        </w:rPr>
      </w:pPr>
      <w:bookmarkStart w:id="51" w:name="_Toc15377224"/>
      <w:r>
        <w:rPr>
          <w:rFonts w:hint="eastAsia" w:ascii="仿宋_GB2312" w:eastAsia="仿宋_GB2312"/>
          <w:color w:val="000000"/>
          <w:sz w:val="32"/>
          <w:szCs w:val="32"/>
        </w:rPr>
        <w:t>（三）国有资产占有使用情况</w:t>
      </w:r>
      <w:bookmarkEnd w:id="51"/>
    </w:p>
    <w:p w14:paraId="25BE8D21">
      <w:pPr>
        <w:autoSpaceDE w:val="0"/>
        <w:autoSpaceDN w:val="0"/>
        <w:adjustRightInd w:val="0"/>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2019年12月31日，共有车辆0辆，其中：主要领导干部用车0辆、机要通信用车0辆、应急保障用车0辆、其他用车0辆，其他用车主要是用于，单价50万元以上通用设备0台（套），单价100万元以上专用设备0台（套）。（注：数据来源财决附03表，按部门决算报表填报数据罗列车辆情况。）</w:t>
      </w:r>
    </w:p>
    <w:p w14:paraId="14C30F9F">
      <w:pPr>
        <w:autoSpaceDE w:val="0"/>
        <w:autoSpaceDN w:val="0"/>
        <w:adjustRightInd w:val="0"/>
        <w:ind w:firstLine="643" w:firstLineChars="200"/>
        <w:jc w:val="left"/>
        <w:outlineLvl w:val="2"/>
        <w:rPr>
          <w:rFonts w:ascii="仿宋_GB2312" w:hAnsi="仿宋" w:eastAsia="仿宋_GB2312"/>
          <w:b/>
          <w:color w:val="000000"/>
          <w:sz w:val="32"/>
          <w:szCs w:val="32"/>
        </w:rPr>
      </w:pPr>
      <w:r>
        <w:rPr>
          <w:rFonts w:hint="eastAsia" w:ascii="仿宋_GB2312" w:hAnsi="仿宋" w:eastAsia="仿宋_GB2312"/>
          <w:b/>
          <w:color w:val="000000"/>
          <w:sz w:val="32"/>
          <w:szCs w:val="32"/>
        </w:rPr>
        <w:t>（四）预算绩效管理情况。</w:t>
      </w:r>
    </w:p>
    <w:p w14:paraId="667B383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1项目（项目名称）开展了预算事前绩效评估，对1个项目编制了绩效目标，预算执行过程中，选取1个项目开展绩效监控，年终执行完毕后，对1个项目开展了绩效目标完成情况自评。</w:t>
      </w:r>
    </w:p>
    <w:p w14:paraId="58A9CE7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看我单位高校毕业生创业补贴项目预算（年终调整为1万元）执行率达标，鼓励、引导和支持高校毕业生创业，推动实现高质量就业创业、拓宽就业创业渠道，维护社会和谐。</w:t>
      </w:r>
    </w:p>
    <w:p w14:paraId="45D2B79B">
      <w:pPr>
        <w:numPr>
          <w:ilvl w:val="0"/>
          <w:numId w:val="2"/>
        </w:numPr>
        <w:ind w:firstLine="640" w:firstLineChars="200"/>
        <w:rPr>
          <w:rFonts w:ascii="仿宋_GB2312" w:hAnsi="仿宋_GB2312" w:eastAsia="仿宋_GB2312" w:cs="仿宋_GB2312"/>
          <w:sz w:val="32"/>
          <w:szCs w:val="32"/>
        </w:rPr>
      </w:pPr>
      <w:r>
        <w:rPr>
          <w:rFonts w:hint="eastAsia" w:ascii="仿宋_GB2312" w:hAnsi="楷体_GB2312" w:eastAsia="仿宋_GB2312" w:cs="楷体_GB2312"/>
          <w:sz w:val="32"/>
          <w:szCs w:val="32"/>
        </w:rPr>
        <w:t>项目绩效目标完成情况。</w:t>
      </w:r>
    </w:p>
    <w:p w14:paraId="24C1374D">
      <w:pPr>
        <w:tabs>
          <w:tab w:val="left" w:pos="312"/>
        </w:tabs>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本部门在2019年度部门决算中反映“高校毕业生创业补贴”1个项目绩效目标实际完成情况</w:t>
      </w:r>
    </w:p>
    <w:p w14:paraId="73D70643">
      <w:pPr>
        <w:tabs>
          <w:tab w:val="left" w:pos="312"/>
        </w:tabs>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2.（1）高校毕业生创业补贴项目绩效目标完成情况综述。项目全年预算数6万元，年终调整为1万元，执行数为1万元，完成调整预算的100%。通过项目实施，保障1个高校毕业生创业，促进了社会和谐稳定，引领更多社会资金扶持高校毕业生创业就业。发现的主要问题：</w:t>
      </w:r>
      <w:r>
        <w:rPr>
          <w:rFonts w:hint="eastAsia" w:ascii="仿宋_GB2312" w:hAnsi="宋体" w:eastAsia="仿宋_GB2312" w:cs="宋体"/>
          <w:kern w:val="0"/>
          <w:sz w:val="32"/>
          <w:szCs w:val="32"/>
        </w:rPr>
        <w:t>高校毕业生创业补贴属于动态管理项目，拨付补贴要根据符合条件的大学生实际申报情况，含不定性因素，开展绩效管理还有一定的难度，资金效益有待进一步提高。</w:t>
      </w:r>
      <w:r>
        <w:rPr>
          <w:rFonts w:hint="eastAsia" w:ascii="仿宋_GB2312" w:hAnsi="仿宋_GB2312" w:eastAsia="仿宋_GB2312" w:cs="仿宋_GB2312"/>
          <w:sz w:val="32"/>
          <w:szCs w:val="32"/>
        </w:rPr>
        <w:t>下一步改进措施：</w:t>
      </w:r>
      <w:r>
        <w:rPr>
          <w:rFonts w:hint="eastAsia" w:ascii="仿宋_GB2312" w:hAnsi="宋体" w:eastAsia="仿宋_GB2312" w:cs="宋体"/>
          <w:kern w:val="0"/>
          <w:sz w:val="32"/>
          <w:szCs w:val="32"/>
        </w:rPr>
        <w:t>一是加大宣传力度，通过媒体、网络、报纸、印制宣传资料等。二是多部门联合协作，信息共享，主动联系符合申报条件的大学生前来申报补贴。</w:t>
      </w:r>
      <w:r>
        <w:rPr>
          <w:rFonts w:hint="eastAsia" w:ascii="仿宋_GB2312" w:hAnsi="ˎ̥" w:eastAsia="仿宋_GB2312"/>
          <w:sz w:val="32"/>
          <w:szCs w:val="32"/>
        </w:rPr>
        <w:t>三是推进制度规范化建设。学习先进单位的经验和做法，完善绩效评价制度和管理办法，充实绩效评价指标体系，逐步健全绩效评价标准，提高财政资金使用效益</w:t>
      </w:r>
      <w:r>
        <w:rPr>
          <w:rFonts w:hint="eastAsia" w:ascii="仿宋_GB2312" w:hAnsi="宋体" w:eastAsia="仿宋_GB2312"/>
          <w:sz w:val="32"/>
          <w:szCs w:val="32"/>
        </w:rPr>
        <w:t>。</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F22AB3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840FDB0">
            <w:pPr>
              <w:widowControl/>
              <w:jc w:val="center"/>
              <w:textAlignment w:val="center"/>
              <w:rPr>
                <w:rFonts w:ascii="仿宋_GB2312" w:hAnsi="宋体" w:eastAsia="仿宋_GB2312" w:cs="宋体"/>
                <w:color w:val="000000"/>
                <w:szCs w:val="21"/>
              </w:rPr>
            </w:pPr>
            <w:r>
              <w:rPr>
                <w:rFonts w:hint="eastAsia" w:ascii="仿宋_GB2312" w:hAnsi="宋体" w:eastAsia="仿宋_GB2312" w:cs="宋体"/>
                <w:b/>
                <w:bCs/>
                <w:color w:val="000000"/>
                <w:kern w:val="0"/>
                <w:szCs w:val="21"/>
              </w:rPr>
              <w:t>项目绩效目标完成情况表</w:t>
            </w:r>
            <w:r>
              <w:rPr>
                <w:rFonts w:hint="eastAsia" w:ascii="仿宋_GB2312" w:hAnsi="宋体" w:eastAsia="仿宋_GB2312" w:cs="宋体"/>
                <w:b/>
                <w:bCs/>
                <w:color w:val="000000"/>
                <w:kern w:val="0"/>
                <w:szCs w:val="21"/>
              </w:rPr>
              <w:br w:type="textWrapping"/>
            </w:r>
            <w:r>
              <w:rPr>
                <w:rFonts w:hint="eastAsia" w:ascii="仿宋_GB2312" w:hAnsi="宋体" w:eastAsia="仿宋_GB2312" w:cs="宋体"/>
                <w:color w:val="000000"/>
                <w:kern w:val="0"/>
                <w:szCs w:val="21"/>
              </w:rPr>
              <w:t>(2019 年度)</w:t>
            </w:r>
          </w:p>
        </w:tc>
      </w:tr>
      <w:tr w14:paraId="4E71A01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3358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4510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高校毕业生创业补贴</w:t>
            </w:r>
          </w:p>
        </w:tc>
      </w:tr>
      <w:tr w14:paraId="438DA3A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030E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7333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西区就业创业促进中心</w:t>
            </w:r>
          </w:p>
        </w:tc>
      </w:tr>
      <w:tr w14:paraId="7784C35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E5CD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D3F5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1A6F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6CB2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3221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r>
      <w:tr w14:paraId="0308AFB3">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C104A">
            <w:pPr>
              <w:jc w:val="center"/>
              <w:rPr>
                <w:rFonts w:ascii="仿宋_GB2312" w:hAnsi="宋体" w:eastAsia="仿宋_GB2312" w:cs="宋体"/>
                <w:color w:val="00000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7B11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2144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EF19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69BC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r>
      <w:tr w14:paraId="15C8564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63F6D">
            <w:pPr>
              <w:jc w:val="center"/>
              <w:rPr>
                <w:rFonts w:ascii="仿宋_GB2312" w:hAnsi="宋体" w:eastAsia="仿宋_GB2312" w:cs="宋体"/>
                <w:color w:val="00000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D124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DC8F4">
            <w:pPr>
              <w:widowControl/>
              <w:jc w:val="center"/>
              <w:textAlignment w:val="center"/>
              <w:rPr>
                <w:rFonts w:ascii="仿宋_GB2312" w:hAnsi="宋体"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2F79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37189">
            <w:pPr>
              <w:jc w:val="center"/>
              <w:rPr>
                <w:rFonts w:ascii="仿宋_GB2312" w:hAnsi="宋体" w:eastAsia="仿宋_GB2312" w:cs="宋体"/>
                <w:color w:val="000000"/>
                <w:szCs w:val="21"/>
              </w:rPr>
            </w:pPr>
          </w:p>
        </w:tc>
      </w:tr>
      <w:tr w14:paraId="7C8FE77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1BC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D26A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34D9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6AF539AB">
        <w:tblPrEx>
          <w:tblCellMar>
            <w:top w:w="0" w:type="dxa"/>
            <w:left w:w="0" w:type="dxa"/>
            <w:bottom w:w="0" w:type="dxa"/>
            <w:right w:w="0" w:type="dxa"/>
          </w:tblCellMar>
        </w:tblPrEx>
        <w:trPr>
          <w:trHeight w:val="28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8AE0E">
            <w:pPr>
              <w:jc w:val="center"/>
              <w:rPr>
                <w:rFonts w:ascii="仿宋_GB2312" w:hAnsi="宋体" w:eastAsia="仿宋_GB2312" w:cs="宋体"/>
                <w:color w:val="000000"/>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16339">
            <w:pPr>
              <w:spacing w:line="500" w:lineRule="exact"/>
              <w:rPr>
                <w:rFonts w:ascii="仿宋_GB2312" w:eastAsia="仿宋_GB2312"/>
                <w:color w:val="000000" w:themeColor="text1"/>
                <w:spacing w:val="-4"/>
                <w:szCs w:val="21"/>
              </w:rPr>
            </w:pPr>
          </w:p>
          <w:p w14:paraId="3733BB4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促进高校毕业生等群体就业创业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FB16">
            <w:pPr>
              <w:spacing w:line="500" w:lineRule="exact"/>
              <w:ind w:firstLine="404" w:firstLineChars="200"/>
              <w:rPr>
                <w:rFonts w:ascii="仿宋_GB2312" w:eastAsia="仿宋_GB2312"/>
                <w:color w:val="000000" w:themeColor="text1"/>
                <w:spacing w:val="-4"/>
                <w:szCs w:val="21"/>
              </w:rPr>
            </w:pPr>
            <w:r>
              <w:rPr>
                <w:rFonts w:hint="eastAsia" w:ascii="仿宋_GB2312" w:eastAsia="仿宋_GB2312"/>
                <w:color w:val="000000" w:themeColor="text1"/>
                <w:spacing w:val="-4"/>
                <w:szCs w:val="21"/>
              </w:rPr>
              <w:t>畅通绿色服务渠道，实施“创业引领”工程，充分发挥创业带动就业倍增效应。组织辖区创业典型参加“天府杯”创业大赛、“邮储银行杯”青年创新创业大赛，西区参赛项目获得“天府杯”创业大赛“大学生创业典型”和“邮储银行杯”青年创新创业大赛一等奖。引导大众树立创业意识，拓宽创业思路，形成政府激励创业、社会支持创业、大众勇于创业的格局。</w:t>
            </w:r>
          </w:p>
          <w:p w14:paraId="2711B600">
            <w:pPr>
              <w:widowControl/>
              <w:jc w:val="center"/>
              <w:textAlignment w:val="center"/>
              <w:rPr>
                <w:rFonts w:ascii="仿宋_GB2312" w:hAnsi="宋体" w:eastAsia="仿宋_GB2312" w:cs="宋体"/>
                <w:color w:val="000000"/>
                <w:szCs w:val="21"/>
              </w:rPr>
            </w:pPr>
          </w:p>
        </w:tc>
      </w:tr>
      <w:tr w14:paraId="57A3FE9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E31FCC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45C1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F97A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8C96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DCE5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968B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4C835D8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7AFD82">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346E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8DDE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9B0C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促进高校毕业生就业创业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C2CF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促进高校毕业生就业创业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B1B6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按要求，及时拨付1名高校毕业生创业补贴</w:t>
            </w:r>
          </w:p>
        </w:tc>
      </w:tr>
      <w:tr w14:paraId="6A95F0F2">
        <w:tblPrEx>
          <w:tblCellMar>
            <w:top w:w="0" w:type="dxa"/>
            <w:left w:w="0" w:type="dxa"/>
            <w:bottom w:w="0" w:type="dxa"/>
            <w:right w:w="0" w:type="dxa"/>
          </w:tblCellMar>
        </w:tblPrEx>
        <w:trPr>
          <w:trHeight w:val="178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B683A4A">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0140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2A53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FD69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促进高校毕业生实现自主创业，引领更多社会资金扶持高校毕业生创业就业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672B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促进高校毕业生实现自主创业，引领更多社会资金扶持高校毕业生创业就业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D142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完成1名高校毕业生实现自主创业，引领更多社会资金扶持高校毕业生创业就业</w:t>
            </w:r>
          </w:p>
        </w:tc>
      </w:tr>
      <w:tr w14:paraId="612E6D3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18FA09">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FE9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68071">
            <w:pPr>
              <w:widowControl/>
              <w:jc w:val="center"/>
              <w:textAlignment w:val="center"/>
              <w:rPr>
                <w:rFonts w:ascii="仿宋_GB2312" w:hAnsi="宋体" w:eastAsia="仿宋_GB2312" w:cs="宋体"/>
                <w:color w:val="000000"/>
                <w:kern w:val="0"/>
                <w:szCs w:val="21"/>
              </w:rPr>
            </w:pPr>
          </w:p>
          <w:p w14:paraId="5214241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306A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全年按计划进行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29E6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全年按计划进行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64D3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全年按计划按进度拨付补贴</w:t>
            </w:r>
          </w:p>
        </w:tc>
      </w:tr>
      <w:tr w14:paraId="2949D8C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64AA2F0">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7AD88">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5446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FE5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按文件政策标准，每人1万元，区县按照比例配套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CD4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按文件政策标准，每人1万元，区县按照比例配套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D452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执行率达100%</w:t>
            </w:r>
          </w:p>
        </w:tc>
      </w:tr>
      <w:tr w14:paraId="779DF64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587C210">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2618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59E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92C0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减少就业压力，维护社会和谐发展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576A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减少就业压力，维护社会和谐发展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4F769">
            <w:pPr>
              <w:spacing w:line="500" w:lineRule="exact"/>
              <w:ind w:firstLine="404" w:firstLineChars="200"/>
              <w:rPr>
                <w:rFonts w:ascii="仿宋_GB2312" w:eastAsia="仿宋_GB2312"/>
                <w:color w:val="000000" w:themeColor="text1"/>
                <w:spacing w:val="-4"/>
                <w:szCs w:val="21"/>
              </w:rPr>
            </w:pPr>
            <w:r>
              <w:rPr>
                <w:rFonts w:hint="eastAsia" w:ascii="仿宋_GB2312" w:eastAsia="仿宋_GB2312"/>
                <w:color w:val="000000" w:themeColor="text1"/>
                <w:spacing w:val="-4"/>
                <w:szCs w:val="21"/>
              </w:rPr>
              <w:t>西区参赛项目获得“天府杯”创业大赛“大学生创业典型”和“邮储银行杯”青年创新创业大赛一等奖。引导大众树立创业意识，拓宽创业思路，形成政府激励创业、社会支持创业、大众勇于创业的格局。</w:t>
            </w:r>
          </w:p>
          <w:p w14:paraId="6C8E6FC6">
            <w:pPr>
              <w:widowControl/>
              <w:jc w:val="center"/>
              <w:textAlignment w:val="center"/>
              <w:rPr>
                <w:rFonts w:ascii="仿宋_GB2312" w:hAnsi="宋体" w:eastAsia="仿宋_GB2312" w:cs="宋体"/>
                <w:color w:val="000000"/>
                <w:szCs w:val="21"/>
              </w:rPr>
            </w:pPr>
          </w:p>
        </w:tc>
      </w:tr>
      <w:tr w14:paraId="64A74A7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C64717">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3A3C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82E2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B7E6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满意度达95%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F0AB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高校毕业生满意度达到95%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C88A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抽样调查高校毕业生满意度达100%以上</w:t>
            </w:r>
          </w:p>
        </w:tc>
      </w:tr>
      <w:tr w14:paraId="3F562BA2">
        <w:tblPrEx>
          <w:tblCellMar>
            <w:top w:w="0" w:type="dxa"/>
            <w:left w:w="0" w:type="dxa"/>
            <w:bottom w:w="0" w:type="dxa"/>
            <w:right w:w="0" w:type="dxa"/>
          </w:tblCellMar>
        </w:tblPrEx>
        <w:trPr>
          <w:trHeight w:val="50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0F94B1">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E3EE2">
            <w:pPr>
              <w:widowControl/>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F108">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AB0C7">
            <w:pPr>
              <w:widowControl/>
              <w:jc w:val="center"/>
              <w:textAlignment w:val="center"/>
              <w:rPr>
                <w:rFonts w:ascii="仿宋_GB2312" w:hAnsi="宋体"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A33D8">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321AE">
            <w:pPr>
              <w:widowControl/>
              <w:jc w:val="center"/>
              <w:textAlignment w:val="center"/>
              <w:rPr>
                <w:rFonts w:ascii="仿宋_GB2312" w:hAnsi="宋体" w:eastAsia="仿宋_GB2312" w:cs="宋体"/>
                <w:color w:val="000000"/>
                <w:szCs w:val="21"/>
              </w:rPr>
            </w:pPr>
          </w:p>
        </w:tc>
      </w:tr>
      <w:tr w14:paraId="44734EBC">
        <w:tblPrEx>
          <w:tblCellMar>
            <w:top w:w="0" w:type="dxa"/>
            <w:left w:w="0" w:type="dxa"/>
            <w:bottom w:w="0" w:type="dxa"/>
            <w:right w:w="0" w:type="dxa"/>
          </w:tblCellMar>
        </w:tblPrEx>
        <w:trPr>
          <w:trHeight w:val="28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79FB57">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7E7C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ECB06">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263D8">
            <w:pPr>
              <w:widowControl/>
              <w:jc w:val="center"/>
              <w:textAlignment w:val="center"/>
              <w:rPr>
                <w:rFonts w:ascii="仿宋_GB2312" w:hAnsi="宋体"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42CFB">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5A1E2">
            <w:pPr>
              <w:widowControl/>
              <w:jc w:val="center"/>
              <w:textAlignment w:val="center"/>
              <w:rPr>
                <w:rFonts w:ascii="仿宋_GB2312" w:hAnsi="宋体" w:eastAsia="仿宋_GB2312" w:cs="宋体"/>
                <w:color w:val="000000"/>
                <w:szCs w:val="21"/>
              </w:rPr>
            </w:pPr>
          </w:p>
        </w:tc>
      </w:tr>
      <w:tr w14:paraId="500703C0">
        <w:tblPrEx>
          <w:tblCellMar>
            <w:top w:w="0" w:type="dxa"/>
            <w:left w:w="0" w:type="dxa"/>
            <w:bottom w:w="0" w:type="dxa"/>
            <w:right w:w="0" w:type="dxa"/>
          </w:tblCellMar>
        </w:tblPrEx>
        <w:trPr>
          <w:trHeight w:val="3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9BF860">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FE41A">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6BCBB">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76E84">
            <w:pPr>
              <w:widowControl/>
              <w:jc w:val="center"/>
              <w:textAlignment w:val="center"/>
              <w:rPr>
                <w:rFonts w:ascii="仿宋_GB2312" w:hAnsi="宋体"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632C9">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84FF0">
            <w:pPr>
              <w:widowControl/>
              <w:jc w:val="center"/>
              <w:textAlignment w:val="center"/>
              <w:rPr>
                <w:rFonts w:ascii="仿宋_GB2312" w:hAnsi="宋体" w:eastAsia="仿宋_GB2312" w:cs="宋体"/>
                <w:color w:val="000000"/>
                <w:szCs w:val="21"/>
              </w:rPr>
            </w:pPr>
          </w:p>
        </w:tc>
      </w:tr>
      <w:tr w14:paraId="5F20A338">
        <w:tblPrEx>
          <w:tblCellMar>
            <w:top w:w="0" w:type="dxa"/>
            <w:left w:w="0" w:type="dxa"/>
            <w:bottom w:w="0" w:type="dxa"/>
            <w:right w:w="0" w:type="dxa"/>
          </w:tblCellMar>
        </w:tblPrEx>
        <w:trPr>
          <w:trHeight w:val="22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8139008">
            <w:pPr>
              <w:widowControl/>
              <w:jc w:val="center"/>
              <w:textAlignment w:val="center"/>
              <w:rPr>
                <w:rFonts w:ascii="仿宋_GB2312" w:hAnsi="宋体" w:eastAsia="仿宋_GB2312"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6A085">
            <w:pPr>
              <w:widowControl/>
              <w:jc w:val="center"/>
              <w:textAlignment w:val="center"/>
              <w:rPr>
                <w:rFonts w:ascii="仿宋_GB2312" w:hAnsi="宋体" w:eastAsia="仿宋_GB2312" w:cs="宋体"/>
                <w:color w:val="000000"/>
                <w:szCs w:val="21"/>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D55F6">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CE577">
            <w:pPr>
              <w:widowControl/>
              <w:jc w:val="center"/>
              <w:textAlignment w:val="center"/>
              <w:rPr>
                <w:rFonts w:ascii="仿宋_GB2312" w:hAnsi="宋体"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68329">
            <w:pPr>
              <w:widowControl/>
              <w:jc w:val="center"/>
              <w:textAlignment w:val="center"/>
              <w:rPr>
                <w:rFonts w:ascii="仿宋_GB2312" w:hAnsi="宋体"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F46C2">
            <w:pPr>
              <w:widowControl/>
              <w:jc w:val="center"/>
              <w:textAlignment w:val="center"/>
              <w:rPr>
                <w:rFonts w:ascii="仿宋_GB2312" w:hAnsi="宋体" w:eastAsia="仿宋_GB2312" w:cs="宋体"/>
                <w:color w:val="000000"/>
                <w:szCs w:val="21"/>
              </w:rPr>
            </w:pPr>
          </w:p>
        </w:tc>
      </w:tr>
    </w:tbl>
    <w:p w14:paraId="2DB16E65">
      <w:pPr>
        <w:ind w:left="630"/>
        <w:rPr>
          <w:rFonts w:ascii="仿宋_GB2312" w:hAnsi="仿宋_GB2312" w:eastAsia="仿宋_GB2312" w:cs="仿宋_GB2312"/>
          <w:sz w:val="32"/>
          <w:szCs w:val="32"/>
        </w:rPr>
      </w:pPr>
      <w:r>
        <w:rPr>
          <w:rFonts w:hint="eastAsia" w:ascii="仿宋_GB2312" w:hAnsi="楷体_GB2312" w:eastAsia="仿宋_GB2312" w:cs="楷体_GB2312"/>
          <w:sz w:val="32"/>
          <w:szCs w:val="32"/>
        </w:rPr>
        <w:t>2.部门绩效评价结果。</w:t>
      </w:r>
    </w:p>
    <w:p w14:paraId="5F0D09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本部门按要求对2019年部门整体支出绩效评价情况开展自评，《西区就业创业促进中心2019年部门整体支出绩效评价报告》见附件（附件1）。</w:t>
      </w:r>
    </w:p>
    <w:p w14:paraId="32E105E9">
      <w:pPr>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高校毕业生创业补贴项目开展了绩效评价，《高校毕业生创业补贴2019年绩效评价报告》见附件（附件2）。（非涉密部门均需公开部门整体支出评价报告，部门自行组织的绩效评价情况根据部门实际公开，若未组织项目绩效评价，则只需说明部门整体支出绩效评价情况）</w:t>
      </w:r>
      <w:r>
        <w:rPr>
          <w:rFonts w:hint="eastAsia" w:ascii="仿宋_GB2312" w:eastAsia="仿宋_GB2312"/>
          <w:b/>
          <w:color w:val="000000"/>
          <w:sz w:val="32"/>
          <w:szCs w:val="32"/>
        </w:rPr>
        <w:br w:type="page"/>
      </w:r>
    </w:p>
    <w:p w14:paraId="773BDDAF">
      <w:pPr>
        <w:numPr>
          <w:ilvl w:val="0"/>
          <w:numId w:val="3"/>
        </w:numPr>
        <w:ind w:firstLine="660" w:firstLineChars="150"/>
        <w:jc w:val="center"/>
        <w:outlineLvl w:val="0"/>
        <w:rPr>
          <w:rStyle w:val="24"/>
          <w:rFonts w:ascii="黑体" w:hAnsi="黑体" w:eastAsia="黑体"/>
          <w:b w:val="0"/>
        </w:rPr>
      </w:pPr>
      <w:bookmarkStart w:id="52" w:name="_Toc15377225"/>
      <w:bookmarkStart w:id="53"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2"/>
      <w:bookmarkEnd w:id="53"/>
    </w:p>
    <w:p w14:paraId="166CFA85">
      <w:pPr>
        <w:jc w:val="left"/>
        <w:rPr>
          <w:rFonts w:ascii="仿宋_GB2312" w:eastAsia="仿宋_GB2312"/>
          <w:b/>
          <w:color w:val="000000"/>
          <w:sz w:val="32"/>
          <w:szCs w:val="32"/>
        </w:rPr>
      </w:pPr>
    </w:p>
    <w:p w14:paraId="5AF8CF18">
      <w:pPr>
        <w:pStyle w:val="22"/>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14:paraId="077C03AD">
      <w:pPr>
        <w:pStyle w:val="22"/>
        <w:ind w:firstLine="640" w:firstLineChars="200"/>
        <w:rPr>
          <w:rFonts w:ascii="仿宋_GB2312" w:eastAsia="仿宋_GB2312"/>
          <w:sz w:val="32"/>
          <w:szCs w:val="32"/>
        </w:rPr>
      </w:pPr>
      <w:r>
        <w:rPr>
          <w:rFonts w:hint="eastAsia" w:ascii="仿宋_GB2312" w:eastAsia="仿宋_GB2312"/>
          <w:sz w:val="32"/>
          <w:szCs w:val="32"/>
        </w:rPr>
        <w:t>2.其他收入：指单位取得的除上述收入以外的各项收入。主要是…（收入类型）等。</w:t>
      </w:r>
    </w:p>
    <w:p w14:paraId="6AD89F4A">
      <w:pPr>
        <w:pStyle w:val="22"/>
        <w:ind w:firstLine="640" w:firstLineChars="200"/>
        <w:rPr>
          <w:rFonts w:ascii="仿宋_GB2312" w:eastAsia="仿宋_GB2312"/>
          <w:sz w:val="32"/>
          <w:szCs w:val="32"/>
        </w:rPr>
      </w:pPr>
      <w:r>
        <w:rPr>
          <w:rFonts w:hint="eastAsia" w:ascii="仿宋_GB2312" w:eastAsia="仿宋_GB2312"/>
          <w:sz w:val="32"/>
          <w:szCs w:val="32"/>
        </w:rPr>
        <w:t>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91372A7">
      <w:pPr>
        <w:pStyle w:val="22"/>
        <w:ind w:firstLine="640" w:firstLineChars="200"/>
        <w:rPr>
          <w:rFonts w:ascii="仿宋_GB2312" w:eastAsia="仿宋_GB2312"/>
          <w:sz w:val="32"/>
          <w:szCs w:val="32"/>
        </w:rPr>
      </w:pPr>
      <w:r>
        <w:rPr>
          <w:rFonts w:hint="eastAsia" w:ascii="仿宋_GB2312" w:eastAsia="仿宋_GB2312"/>
          <w:sz w:val="32"/>
          <w:szCs w:val="32"/>
        </w:rPr>
        <w:t>4年初结转和结余：指以前年度尚未完成、结转到本年按有关规定继续使用的资金。</w:t>
      </w:r>
    </w:p>
    <w:p w14:paraId="417F27B3">
      <w:pPr>
        <w:pStyle w:val="22"/>
        <w:ind w:firstLine="640" w:firstLineChars="200"/>
        <w:rPr>
          <w:rFonts w:ascii="仿宋_GB2312" w:eastAsia="仿宋_GB2312"/>
          <w:sz w:val="32"/>
          <w:szCs w:val="32"/>
        </w:rPr>
      </w:pPr>
      <w:r>
        <w:rPr>
          <w:rFonts w:hint="eastAsia" w:ascii="仿宋_GB2312" w:eastAsia="仿宋_GB2312"/>
          <w:sz w:val="32"/>
          <w:szCs w:val="32"/>
        </w:rPr>
        <w:t>5.结余分配：指事业单位按照事业单位会计制度的规定从非财政补助结余中分配的事业基金和职工福利基金等。</w:t>
      </w:r>
    </w:p>
    <w:p w14:paraId="60D5AF1D">
      <w:pPr>
        <w:pStyle w:val="22"/>
        <w:ind w:firstLine="640" w:firstLineChars="200"/>
        <w:rPr>
          <w:rFonts w:ascii="仿宋_GB2312" w:eastAsia="仿宋_GB2312"/>
          <w:sz w:val="32"/>
          <w:szCs w:val="32"/>
        </w:rPr>
      </w:pPr>
      <w:r>
        <w:rPr>
          <w:rFonts w:hint="eastAsia" w:ascii="仿宋_GB2312" w:eastAsia="仿宋_GB2312"/>
          <w:sz w:val="32"/>
          <w:szCs w:val="32"/>
        </w:rPr>
        <w:t>6、年末结转和结余：指单位按有关规定结转到下年或以后年度继续使用的资金。</w:t>
      </w:r>
    </w:p>
    <w:p w14:paraId="09CC9C7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7.社会保障和就业（类）社会保障和就业支出（款）人力资源和社会保障管理事务（项）社会保险经办机构:指社会保险经办机构开展业务工作的支出。</w:t>
      </w:r>
    </w:p>
    <w:p w14:paraId="406862CB">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8.社会保障和就业（类）社会保障和就业支出（款）行政事业单位离退休（项）未归口管理的行政单位离退休:指</w:t>
      </w:r>
    </w:p>
    <w:p w14:paraId="0221C174">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9.社会保障和就业（类）社会保障和就业支出（款）行政事业单位离退休（项）机关事业单位基本养老保险缴费支出: 指行政事业单位实施养老保险制度，由单位缴纳的基本养老保险费支出。</w:t>
      </w:r>
    </w:p>
    <w:p w14:paraId="2A26387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10.社会保障和就业（类）社会保障和就业支出（款）就业补助（项）求职创业补贴:指财政对符合规定天剑的高校毕业生等求职创业给予的补贴支出。</w:t>
      </w:r>
    </w:p>
    <w:p w14:paraId="089AF35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11.社会保障和就业（类）社会保障和就业支出（款）就业补助（项）其他就业补助支出:指除按规定确定的其他用于促进就业的补助支出。</w:t>
      </w:r>
    </w:p>
    <w:p w14:paraId="634855FD">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12. 住房保障支出（类）住房保障支出（款）住房改革支出（项）住房公积金:指行政事业单位按人力资源和社会保障部、财政部规定的基本工资和津贴补贴以及规定比例为职工缴纳的住房公积金。</w:t>
      </w:r>
    </w:p>
    <w:p w14:paraId="0E1160C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14:paraId="6BED7B38">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14.项目支出：指在基本支出之外为完成特定行政任务和事业发展目标所发生的支出。 </w:t>
      </w:r>
    </w:p>
    <w:p w14:paraId="3AE6788F">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15.经营支出：指事业单位在专业业务活动及其辅助活动之外开展非独立核算经营活动发生的支出。</w:t>
      </w:r>
    </w:p>
    <w:p w14:paraId="768F1788">
      <w:pPr>
        <w:pStyle w:val="22"/>
        <w:ind w:firstLine="640" w:firstLineChars="200"/>
        <w:rPr>
          <w:rFonts w:ascii="仿宋_GB2312" w:eastAsia="仿宋_GB2312"/>
          <w:sz w:val="32"/>
          <w:szCs w:val="32"/>
        </w:rPr>
      </w:pPr>
      <w:r>
        <w:rPr>
          <w:rFonts w:hint="eastAsia" w:ascii="仿宋_GB2312" w:eastAsia="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F86DC2">
      <w:pPr>
        <w:pStyle w:val="22"/>
        <w:ind w:firstLine="640" w:firstLineChars="200"/>
        <w:rPr>
          <w:rFonts w:ascii="仿宋_GB2312" w:eastAsia="仿宋_GB2312" w:cs="黑体"/>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8F907D">
      <w:pPr>
        <w:ind w:firstLine="640"/>
        <w:rPr>
          <w:rFonts w:ascii="仿宋_GB2312" w:hAnsi="仿宋" w:eastAsia="仿宋_GB2312"/>
          <w:b/>
          <w:color w:val="000000"/>
          <w:sz w:val="32"/>
          <w:szCs w:val="32"/>
        </w:rPr>
      </w:pPr>
      <w:bookmarkStart w:id="54" w:name="_Toc15377226"/>
      <w:r>
        <w:rPr>
          <w:rFonts w:hint="eastAsia" w:ascii="仿宋_GB2312" w:hAnsi="仿宋" w:eastAsia="仿宋_GB2312"/>
          <w:b/>
          <w:color w:val="000000"/>
          <w:sz w:val="32"/>
          <w:szCs w:val="32"/>
        </w:rPr>
        <w:t>（解释本部门决算报表中全部功能分类科目至项级，请参照《2019年政府收支分类科目》增减内容。）</w:t>
      </w:r>
    </w:p>
    <w:p w14:paraId="4A08BDE0">
      <w:pPr>
        <w:jc w:val="center"/>
        <w:outlineLvl w:val="0"/>
        <w:rPr>
          <w:rStyle w:val="24"/>
          <w:rFonts w:ascii="黑体" w:hAnsi="黑体" w:eastAsia="黑体"/>
        </w:rPr>
      </w:pPr>
      <w:r>
        <w:rPr>
          <w:rFonts w:hint="eastAsia" w:ascii="仿宋_GB2312" w:eastAsia="仿宋_GB2312"/>
          <w:b/>
          <w:color w:val="000000"/>
          <w:sz w:val="32"/>
          <w:szCs w:val="32"/>
        </w:rPr>
        <w:br w:type="page"/>
      </w:r>
      <w:bookmarkStart w:id="55" w:name="_Toc15396614"/>
      <w:r>
        <w:rPr>
          <w:rFonts w:hint="eastAsia" w:ascii="黑体" w:hAnsi="黑体" w:eastAsia="黑体"/>
          <w:color w:val="000000"/>
          <w:sz w:val="44"/>
          <w:szCs w:val="44"/>
        </w:rPr>
        <w:t>第</w:t>
      </w:r>
      <w:r>
        <w:rPr>
          <w:rStyle w:val="24"/>
          <w:rFonts w:hint="eastAsia" w:ascii="黑体" w:hAnsi="黑体" w:eastAsia="黑体"/>
        </w:rPr>
        <w:t>四部分 附件</w:t>
      </w:r>
      <w:bookmarkEnd w:id="55"/>
    </w:p>
    <w:p w14:paraId="6F4AE80E">
      <w:pPr>
        <w:jc w:val="left"/>
        <w:outlineLvl w:val="0"/>
        <w:rPr>
          <w:rFonts w:ascii="仿宋_GB2312" w:hAnsi="方正小标宋简体" w:eastAsia="仿宋_GB2312" w:cs="方正小标宋简体"/>
          <w:sz w:val="32"/>
          <w:szCs w:val="32"/>
        </w:rPr>
      </w:pPr>
      <w:r>
        <w:rPr>
          <w:rFonts w:hint="eastAsia" w:ascii="仿宋_GB2312" w:hAnsi="黑体" w:eastAsia="仿宋_GB2312" w:cs="黑体"/>
          <w:sz w:val="32"/>
          <w:szCs w:val="32"/>
        </w:rPr>
        <w:t>附件1</w:t>
      </w:r>
    </w:p>
    <w:p w14:paraId="250AD655">
      <w:pPr>
        <w:jc w:val="center"/>
        <w:rPr>
          <w:rFonts w:ascii="仿宋_GB2312" w:hAnsi="方正小标宋简体" w:eastAsia="仿宋_GB2312" w:cs="方正小标宋简体"/>
          <w:sz w:val="32"/>
          <w:szCs w:val="32"/>
        </w:rPr>
      </w:pPr>
    </w:p>
    <w:p w14:paraId="2CAB2EB6">
      <w:pPr>
        <w:jc w:val="center"/>
        <w:rPr>
          <w:rFonts w:ascii="黑体" w:hAnsi="黑体" w:eastAsia="黑体"/>
          <w:color w:val="000000"/>
          <w:kern w:val="0"/>
          <w:sz w:val="44"/>
          <w:szCs w:val="44"/>
        </w:rPr>
      </w:pPr>
      <w:r>
        <w:rPr>
          <w:rFonts w:hint="eastAsia" w:ascii="黑体" w:hAnsi="黑体" w:eastAsia="黑体"/>
          <w:color w:val="000000"/>
          <w:kern w:val="0"/>
          <w:sz w:val="44"/>
          <w:szCs w:val="44"/>
        </w:rPr>
        <w:t>西区就业创业促进中心</w:t>
      </w:r>
    </w:p>
    <w:p w14:paraId="7691BBFF">
      <w:pPr>
        <w:jc w:val="center"/>
        <w:rPr>
          <w:rFonts w:ascii="黑体" w:hAnsi="黑体" w:eastAsia="黑体"/>
          <w:color w:val="000000"/>
          <w:kern w:val="0"/>
          <w:sz w:val="44"/>
          <w:szCs w:val="44"/>
          <w:lang w:val="zh-CN"/>
        </w:rPr>
      </w:pPr>
      <w:r>
        <w:rPr>
          <w:rFonts w:hint="eastAsia" w:ascii="黑体" w:hAnsi="黑体" w:eastAsia="黑体"/>
          <w:color w:val="000000"/>
          <w:kern w:val="0"/>
          <w:sz w:val="44"/>
          <w:szCs w:val="44"/>
        </w:rPr>
        <w:t>2019年部门</w:t>
      </w:r>
      <w:r>
        <w:rPr>
          <w:rFonts w:hint="eastAsia" w:ascii="黑体" w:hAnsi="黑体" w:eastAsia="黑体"/>
          <w:color w:val="000000"/>
          <w:kern w:val="0"/>
          <w:sz w:val="44"/>
          <w:szCs w:val="44"/>
          <w:lang w:val="zh-CN"/>
        </w:rPr>
        <w:t>整体支出绩效评价报告</w:t>
      </w:r>
    </w:p>
    <w:p w14:paraId="16F91AAF">
      <w:pPr>
        <w:widowControl/>
        <w:adjustRightInd w:val="0"/>
        <w:snapToGrid w:val="0"/>
        <w:contextualSpacing/>
        <w:jc w:val="left"/>
        <w:rPr>
          <w:rFonts w:ascii="仿宋_GB2312" w:hAnsi="宋体" w:eastAsia="仿宋_GB2312" w:cs="宋体"/>
          <w:color w:val="000000"/>
          <w:kern w:val="0"/>
          <w:sz w:val="32"/>
          <w:szCs w:val="32"/>
          <w:shd w:val="clear" w:color="auto" w:fill="FFFFFF"/>
        </w:rPr>
      </w:pPr>
    </w:p>
    <w:p w14:paraId="08DBFD0C">
      <w:pPr>
        <w:widowControl/>
        <w:adjustRightInd w:val="0"/>
        <w:snapToGrid w:val="0"/>
        <w:ind w:firstLine="643" w:firstLineChars="200"/>
        <w:contextualSpacing/>
        <w:jc w:val="left"/>
        <w:rPr>
          <w:rFonts w:ascii="黑体" w:hAnsi="黑体" w:eastAsia="黑体" w:cs="宋体"/>
          <w:b/>
          <w:color w:val="000000"/>
          <w:kern w:val="0"/>
          <w:sz w:val="32"/>
          <w:szCs w:val="32"/>
          <w:shd w:val="clear" w:color="auto" w:fill="FFFFFF"/>
          <w:lang w:val="zh-CN"/>
        </w:rPr>
      </w:pPr>
      <w:r>
        <w:rPr>
          <w:rFonts w:hint="eastAsia" w:ascii="黑体" w:hAnsi="黑体" w:eastAsia="黑体" w:cs="宋体"/>
          <w:b/>
          <w:color w:val="000000"/>
          <w:kern w:val="0"/>
          <w:sz w:val="32"/>
          <w:szCs w:val="32"/>
          <w:shd w:val="clear" w:color="auto" w:fill="FFFFFF"/>
        </w:rPr>
        <w:t>一、</w:t>
      </w:r>
      <w:r>
        <w:rPr>
          <w:rFonts w:hint="eastAsia" w:ascii="黑体" w:hAnsi="黑体" w:eastAsia="黑体" w:cs="宋体"/>
          <w:b/>
          <w:color w:val="000000"/>
          <w:kern w:val="0"/>
          <w:sz w:val="32"/>
          <w:szCs w:val="32"/>
          <w:shd w:val="clear" w:color="auto" w:fill="FFFFFF"/>
          <w:lang w:val="zh-CN"/>
        </w:rPr>
        <w:t>部门（单位）概况</w:t>
      </w:r>
    </w:p>
    <w:p w14:paraId="7296F680">
      <w:pPr>
        <w:widowControl/>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6192DDCB">
      <w:pPr>
        <w:widowControl/>
        <w:adjustRightInd w:val="0"/>
        <w:snapToGrid w:val="0"/>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攀人办发[2009]174号文、川人发[2009]30号文，西区就业服务管理局于2009年4月14日获准列入参考公务员法管理范围，性质为参公事业单位。由西区人力资源和社会保障局主管。根据攀编发[2019]136号文，攀枝花市西区就业服务管理局更名为攀枝花市西区就业创业促进中心。属于纳入2019年度部门决算编制范围的一级预算单位。</w:t>
      </w:r>
    </w:p>
    <w:p w14:paraId="28834F6D">
      <w:pPr>
        <w:widowControl/>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4E7F8E25">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1.负责贯彻执行《中华人民共和国就业促进法》、省、市有关促进就业的法律、法规、方针和政策，组织实施积极的就业政策，促进城乡劳动者充分就业、自主创业。</w:t>
      </w:r>
    </w:p>
    <w:p w14:paraId="000A9A45">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14:paraId="51A2D428">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3.负责全区公共就业服务体系建设。指导检查各街道（乡、镇）、社区（村）公共就业服务机构实施基层平台建设，开展就业（失业）登记、职业介绍、就业指导、就业培训等就业服务工作。</w:t>
      </w:r>
    </w:p>
    <w:p w14:paraId="3374A4AE">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4.负责全区就业创业培训工作，全面开展对城乡劳动者、大学生的就业技能培训和创业培训。</w:t>
      </w:r>
    </w:p>
    <w:p w14:paraId="634742B6">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5.贯彻落实中央、省、市关于失业保险法律、法规和政策，负责失业保险各项待遇的申领发放和为领取失业保险金期间失业人员代缴基本医疗保险费等工作。</w:t>
      </w:r>
    </w:p>
    <w:p w14:paraId="136037A4">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6.负责全区就业援助工作，组织实施就业困难人员的认定，积极开展就业援助，并负责做好职业介绍补贴、社会保险补贴、职业培训补贴、岗位补贴、高校毕业生创业补贴等促进就业创业政策。</w:t>
      </w:r>
    </w:p>
    <w:p w14:paraId="6EC55CF2">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7.负责高校毕业生就业创业服务、就业见习基地及见习生的认定审核、离校未就业的高校毕业生跟踪服务和实名制管理、困难高校毕业生的就业援助、大学生就业创业培训。</w:t>
      </w:r>
    </w:p>
    <w:p w14:paraId="5AA63DC2">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8.负责对城乡各类失业人员自主创业、合伙经营企业的创业担保贷款进行审核、推荐。</w:t>
      </w:r>
    </w:p>
    <w:p w14:paraId="389B0E21">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9.负责全区公共就业服务信息化建设，组织开展人力资源调查、失业预警监测、综合分析统计。</w:t>
      </w:r>
    </w:p>
    <w:p w14:paraId="37B94327">
      <w:pPr>
        <w:pStyle w:val="5"/>
        <w:adjustRightInd w:val="0"/>
        <w:snapToGrid w:val="0"/>
        <w:spacing w:before="93" w:line="600" w:lineRule="exact"/>
        <w:ind w:firstLine="672" w:firstLineChars="210"/>
        <w:outlineLvl w:val="2"/>
        <w:rPr>
          <w:rFonts w:hAnsi="Calibri" w:cs="仿宋"/>
          <w:color w:val="000000"/>
          <w:sz w:val="32"/>
          <w:szCs w:val="32"/>
        </w:rPr>
      </w:pPr>
      <w:r>
        <w:rPr>
          <w:rFonts w:hint="eastAsia" w:hAnsi="Calibri" w:cs="仿宋"/>
          <w:color w:val="000000"/>
          <w:sz w:val="32"/>
          <w:szCs w:val="32"/>
        </w:rPr>
        <w:t>10.行使区人力资源和社会保障局赋予的其他职权，完成区委、区政府和区人力资源和社会保障局交办的其它工作。</w:t>
      </w:r>
    </w:p>
    <w:p w14:paraId="61C0D93D">
      <w:pPr>
        <w:widowControl/>
        <w:numPr>
          <w:ilvl w:val="0"/>
          <w:numId w:val="4"/>
        </w:numPr>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14:paraId="597E107D">
      <w:pPr>
        <w:pStyle w:val="22"/>
        <w:spacing w:line="560" w:lineRule="exact"/>
        <w:ind w:firstLine="640" w:firstLineChars="200"/>
        <w:rPr>
          <w:rFonts w:ascii="仿宋_GB2312" w:hAnsi="宋体" w:eastAsia="仿宋_GB2312" w:cs="宋体"/>
          <w:sz w:val="32"/>
          <w:szCs w:val="32"/>
          <w:shd w:val="clear" w:color="auto" w:fill="FFFFFF"/>
          <w:lang w:val="zh-CN"/>
        </w:rPr>
      </w:pPr>
      <w:r>
        <w:rPr>
          <w:rFonts w:hint="eastAsia" w:ascii="仿宋_GB2312" w:eastAsia="仿宋_GB2312"/>
          <w:sz w:val="32"/>
          <w:szCs w:val="32"/>
        </w:rPr>
        <w:t>西区就业局2019年末在职实有人数8人，其中参公5人，工勤编制2人，临聘1人；退休人员4人。</w:t>
      </w:r>
    </w:p>
    <w:p w14:paraId="3DE3AA6F">
      <w:pPr>
        <w:widowControl/>
        <w:adjustRightInd w:val="0"/>
        <w:snapToGrid w:val="0"/>
        <w:ind w:firstLine="643" w:firstLineChars="200"/>
        <w:contextualSpacing/>
        <w:jc w:val="left"/>
        <w:rPr>
          <w:rFonts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二、部门财政资金收支情况</w:t>
      </w:r>
    </w:p>
    <w:p w14:paraId="1C6CFF3B">
      <w:pPr>
        <w:widowControl/>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62424525">
      <w:pPr>
        <w:pStyle w:val="22"/>
        <w:spacing w:line="560" w:lineRule="exact"/>
        <w:ind w:firstLine="640" w:firstLineChars="200"/>
        <w:rPr>
          <w:rFonts w:ascii="仿宋_GB2312" w:hAnsi="宋体" w:eastAsia="仿宋_GB2312" w:cs="宋体"/>
          <w:sz w:val="32"/>
          <w:szCs w:val="32"/>
          <w:shd w:val="clear" w:color="auto" w:fill="FFFFFF"/>
          <w:lang w:val="zh-CN"/>
        </w:rPr>
      </w:pPr>
      <w:r>
        <w:rPr>
          <w:rFonts w:hint="eastAsia" w:ascii="仿宋_GB2312" w:eastAsia="仿宋_GB2312"/>
          <w:sz w:val="32"/>
          <w:szCs w:val="32"/>
        </w:rPr>
        <w:t>2019年共收到财政资金85.36万元。</w:t>
      </w:r>
    </w:p>
    <w:p w14:paraId="56FAF0BD">
      <w:pPr>
        <w:widowControl/>
        <w:numPr>
          <w:ilvl w:val="0"/>
          <w:numId w:val="5"/>
        </w:numPr>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43F2CE87">
      <w:pPr>
        <w:pStyle w:val="22"/>
        <w:spacing w:line="560" w:lineRule="exact"/>
        <w:ind w:firstLine="640" w:firstLineChars="200"/>
        <w:rPr>
          <w:rFonts w:ascii="仿宋_GB2312" w:hAnsi="宋体" w:eastAsia="仿宋_GB2312" w:cs="宋体"/>
          <w:sz w:val="32"/>
          <w:szCs w:val="32"/>
          <w:shd w:val="clear" w:color="auto" w:fill="FFFFFF"/>
          <w:lang w:val="zh-CN"/>
        </w:rPr>
      </w:pPr>
      <w:r>
        <w:rPr>
          <w:rFonts w:hint="eastAsia" w:ascii="仿宋_GB2312" w:eastAsia="仿宋_GB2312"/>
          <w:sz w:val="32"/>
          <w:szCs w:val="32"/>
        </w:rPr>
        <w:t>2019年支出139.85万元，其中：</w:t>
      </w:r>
      <w:r>
        <w:rPr>
          <w:rFonts w:hint="eastAsia" w:ascii="仿宋_GB2312" w:hAnsi="仿宋" w:eastAsia="仿宋_GB2312"/>
          <w:sz w:val="32"/>
          <w:szCs w:val="32"/>
        </w:rPr>
        <w:t>基本支出113.21万元，，项目支出26.65万元。</w:t>
      </w:r>
    </w:p>
    <w:p w14:paraId="4F3C9FA0">
      <w:pPr>
        <w:widowControl/>
        <w:adjustRightInd w:val="0"/>
        <w:snapToGrid w:val="0"/>
        <w:ind w:firstLine="643" w:firstLineChars="200"/>
        <w:contextualSpacing/>
        <w:jc w:val="left"/>
        <w:rPr>
          <w:rFonts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三、部门整体预算绩效管理情况</w:t>
      </w:r>
    </w:p>
    <w:p w14:paraId="6D69F9BC">
      <w:pPr>
        <w:widowControl/>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EDD7818">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2019年支出139.85万元，各项</w:t>
      </w:r>
      <w:r>
        <w:rPr>
          <w:rFonts w:hint="eastAsia" w:ascii="仿宋_GB2312" w:hAnsi="仿宋" w:eastAsia="仿宋_GB2312" w:cs="仿宋_GB2312"/>
          <w:sz w:val="32"/>
          <w:szCs w:val="32"/>
        </w:rPr>
        <w:t>目标完成较、预算编制情况准确、执行进度达100%无违规记录等情况。</w:t>
      </w:r>
      <w:r>
        <w:rPr>
          <w:rFonts w:hint="eastAsia" w:ascii="仿宋_GB2312" w:eastAsia="仿宋_GB2312"/>
          <w:sz w:val="32"/>
          <w:szCs w:val="32"/>
        </w:rPr>
        <w:t>预算绩效管是一项新的工作，我们一直把制度建设作为预算绩效管理重点工作来抓。出台了《预算管理内部控制制度》、《收支管理内部控制制度》，为开展项目评价工作、提高绩效管理水平提供制度保障。牢固树立“讲绩效、重绩效、用绩效” “花钱必问效、无效必问责”的绩效管理理念，进一步增强支出责任和效率意识，全面加强预算管理，优化资源配置，提高财政资金使用绩效和科学精细化管理水平。</w:t>
      </w:r>
    </w:p>
    <w:p w14:paraId="09B974A4">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（二）专项预算管理。</w:t>
      </w:r>
    </w:p>
    <w:p w14:paraId="59162005">
      <w:pPr>
        <w:spacing w:line="580" w:lineRule="exact"/>
        <w:ind w:firstLine="640" w:firstLineChars="200"/>
        <w:rPr>
          <w:rFonts w:ascii="仿宋_GB2312" w:eastAsia="仿宋_GB2312"/>
          <w:sz w:val="32"/>
          <w:szCs w:val="32"/>
          <w:lang w:val="zh-CN"/>
        </w:rPr>
      </w:pPr>
      <w:r>
        <w:rPr>
          <w:rFonts w:hint="eastAsia" w:ascii="仿宋_GB2312" w:hAnsi="仿宋" w:eastAsia="仿宋_GB2312" w:cs="仿宋_GB2312"/>
          <w:sz w:val="32"/>
          <w:szCs w:val="32"/>
        </w:rPr>
        <w:t>严格执行就业创业专项资金预算管理制度，在资金管理、资金支付、专款专用、用款计划、费用标准及支付管理等各方面进行了规范。专项预算执行情况良好，完成专项预算绩效目标，无违规情况。</w:t>
      </w:r>
    </w:p>
    <w:p w14:paraId="0A8E780E">
      <w:pPr>
        <w:widowControl/>
        <w:numPr>
          <w:ilvl w:val="0"/>
          <w:numId w:val="5"/>
        </w:numPr>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结果应用情况。</w:t>
      </w:r>
    </w:p>
    <w:p w14:paraId="21447B05">
      <w:pPr>
        <w:widowControl/>
        <w:adjustRightInd w:val="0"/>
        <w:snapToGrid w:val="0"/>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黑体" w:eastAsia="仿宋_GB2312"/>
          <w:sz w:val="32"/>
          <w:szCs w:val="32"/>
        </w:rPr>
        <w:t>全力扶持自主创业，实施就业促进民生工程，推进公共就业创业服务制度化、专业化、信息化、均等化。</w:t>
      </w:r>
    </w:p>
    <w:p w14:paraId="37FC5D12">
      <w:pPr>
        <w:widowControl/>
        <w:numPr>
          <w:ilvl w:val="0"/>
          <w:numId w:val="6"/>
        </w:numPr>
        <w:adjustRightInd w:val="0"/>
        <w:snapToGrid w:val="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评价结论及建议</w:t>
      </w:r>
    </w:p>
    <w:p w14:paraId="15B6B7ED">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（一）评价结论。我部门2019年绩效目标完成执行率达标，职责履行良好，履职效益明显，预算配置科学，预算执行有效，预算管理规范，抽样检查群众满意度达95%以上。</w:t>
      </w:r>
    </w:p>
    <w:p w14:paraId="1EC39BB0">
      <w:pPr>
        <w:spacing w:line="580" w:lineRule="exact"/>
        <w:ind w:firstLine="640" w:firstLineChars="200"/>
        <w:rPr>
          <w:rFonts w:ascii="仿宋_GB2312" w:hAnsi="方正仿宋_GBK" w:eastAsia="仿宋_GB2312" w:cs="方正仿宋_GBK"/>
          <w:sz w:val="32"/>
          <w:szCs w:val="32"/>
        </w:rPr>
      </w:pPr>
      <w:r>
        <w:rPr>
          <w:rFonts w:hint="eastAsia" w:ascii="仿宋_GB2312" w:hAnsi="仿宋" w:eastAsia="仿宋_GB2312" w:cs="仿宋_GB2312"/>
          <w:sz w:val="32"/>
          <w:szCs w:val="32"/>
        </w:rPr>
        <w:t>（二）存在问题。预算绩效管理是一项系统性、全面性的工作，单位人员对预算绩效管理工作认识还不够，各项指标设置不够科学合理。</w:t>
      </w:r>
    </w:p>
    <w:p w14:paraId="38691F3C">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（三）改进建议。在今后的预算绩效管理工作中，细化预算编制工作，完善绩效评价指标体系，逐步健全绩效评价指标体系，全面加快预算绩效管理步伐、健全预算绩效监控机制。</w:t>
      </w:r>
    </w:p>
    <w:p w14:paraId="701A7E32">
      <w:pPr>
        <w:rPr>
          <w:rFonts w:ascii="仿宋_GB2312" w:hAnsi="仿宋_GB2312" w:eastAsia="仿宋_GB2312" w:cs="仿宋_GB2312"/>
          <w:sz w:val="32"/>
          <w:szCs w:val="32"/>
        </w:rPr>
      </w:pPr>
    </w:p>
    <w:p w14:paraId="5C8BEC5B">
      <w:pPr>
        <w:rPr>
          <w:rFonts w:ascii="仿宋_GB2312" w:hAnsi="黑体" w:eastAsia="仿宋_GB2312" w:cs="黑体"/>
          <w:sz w:val="32"/>
          <w:szCs w:val="32"/>
        </w:rPr>
      </w:pPr>
    </w:p>
    <w:p w14:paraId="524ACDA1">
      <w:pPr>
        <w:rPr>
          <w:rFonts w:ascii="仿宋_GB2312" w:hAnsi="黑体" w:eastAsia="仿宋_GB2312" w:cs="黑体"/>
          <w:sz w:val="32"/>
          <w:szCs w:val="32"/>
        </w:rPr>
      </w:pPr>
    </w:p>
    <w:p w14:paraId="117352A0">
      <w:pPr>
        <w:rPr>
          <w:rFonts w:ascii="仿宋_GB2312" w:hAnsi="黑体" w:eastAsia="仿宋_GB2312" w:cs="黑体"/>
          <w:sz w:val="32"/>
          <w:szCs w:val="32"/>
        </w:rPr>
      </w:pPr>
    </w:p>
    <w:p w14:paraId="3CD73A7E">
      <w:pPr>
        <w:rPr>
          <w:rFonts w:ascii="仿宋_GB2312" w:hAnsi="黑体" w:eastAsia="仿宋_GB2312" w:cs="黑体"/>
          <w:sz w:val="32"/>
          <w:szCs w:val="32"/>
        </w:rPr>
      </w:pPr>
    </w:p>
    <w:p w14:paraId="63DCEDCA">
      <w:pPr>
        <w:rPr>
          <w:rFonts w:ascii="仿宋_GB2312" w:hAnsi="黑体" w:eastAsia="仿宋_GB2312" w:cs="黑体"/>
          <w:sz w:val="32"/>
          <w:szCs w:val="32"/>
        </w:rPr>
      </w:pPr>
    </w:p>
    <w:p w14:paraId="2B8B0124">
      <w:pPr>
        <w:rPr>
          <w:rFonts w:ascii="仿宋_GB2312" w:hAnsi="黑体" w:eastAsia="仿宋_GB2312" w:cs="黑体"/>
          <w:sz w:val="32"/>
          <w:szCs w:val="32"/>
        </w:rPr>
      </w:pPr>
    </w:p>
    <w:p w14:paraId="2250C15C">
      <w:pPr>
        <w:rPr>
          <w:rFonts w:ascii="仿宋_GB2312" w:hAnsi="黑体" w:eastAsia="仿宋_GB2312" w:cs="黑体"/>
          <w:sz w:val="32"/>
          <w:szCs w:val="32"/>
        </w:rPr>
      </w:pPr>
    </w:p>
    <w:p w14:paraId="33CDF5E2">
      <w:pPr>
        <w:rPr>
          <w:rFonts w:ascii="仿宋_GB2312" w:hAnsi="黑体" w:eastAsia="仿宋_GB2312" w:cs="黑体"/>
          <w:sz w:val="32"/>
          <w:szCs w:val="32"/>
        </w:rPr>
      </w:pPr>
    </w:p>
    <w:p w14:paraId="52ADC353">
      <w:pPr>
        <w:rPr>
          <w:rFonts w:ascii="仿宋_GB2312" w:hAnsi="黑体" w:eastAsia="仿宋_GB2312" w:cs="黑体"/>
          <w:sz w:val="32"/>
          <w:szCs w:val="32"/>
        </w:rPr>
      </w:pPr>
    </w:p>
    <w:p w14:paraId="188CCA55">
      <w:pPr>
        <w:rPr>
          <w:rFonts w:ascii="仿宋_GB2312" w:hAnsi="黑体" w:eastAsia="仿宋_GB2312" w:cs="黑体"/>
          <w:sz w:val="32"/>
          <w:szCs w:val="32"/>
        </w:rPr>
      </w:pPr>
    </w:p>
    <w:p w14:paraId="33FBF990">
      <w:pPr>
        <w:rPr>
          <w:rFonts w:ascii="仿宋_GB2312" w:hAnsi="仿宋_GB2312" w:eastAsia="仿宋_GB2312" w:cs="仿宋_GB2312"/>
          <w:sz w:val="32"/>
          <w:szCs w:val="32"/>
        </w:rPr>
      </w:pPr>
      <w:r>
        <w:rPr>
          <w:rFonts w:hint="eastAsia" w:ascii="仿宋_GB2312" w:hAnsi="黑体" w:eastAsia="仿宋_GB2312" w:cs="黑体"/>
          <w:sz w:val="32"/>
          <w:szCs w:val="32"/>
        </w:rPr>
        <w:t>附件2</w:t>
      </w:r>
    </w:p>
    <w:p w14:paraId="2E34FF55">
      <w:pPr>
        <w:ind w:firstLine="640" w:firstLineChars="200"/>
        <w:rPr>
          <w:rFonts w:ascii="仿宋_GB2312" w:hAnsi="仿宋_GB2312" w:eastAsia="仿宋_GB2312" w:cs="仿宋_GB2312"/>
          <w:sz w:val="32"/>
          <w:szCs w:val="32"/>
        </w:rPr>
      </w:pPr>
    </w:p>
    <w:p w14:paraId="1714D49E">
      <w:pPr>
        <w:jc w:val="center"/>
        <w:rPr>
          <w:rFonts w:ascii="黑体" w:hAnsi="黑体" w:eastAsia="黑体"/>
          <w:color w:val="000000"/>
          <w:kern w:val="0"/>
          <w:sz w:val="44"/>
          <w:szCs w:val="44"/>
        </w:rPr>
      </w:pPr>
      <w:r>
        <w:rPr>
          <w:rFonts w:hint="eastAsia" w:ascii="黑体" w:hAnsi="黑体" w:eastAsia="黑体"/>
          <w:color w:val="000000"/>
          <w:kern w:val="0"/>
          <w:sz w:val="44"/>
          <w:szCs w:val="44"/>
        </w:rPr>
        <w:t>西区就业创业促进中心</w:t>
      </w:r>
    </w:p>
    <w:p w14:paraId="70763F52">
      <w:pPr>
        <w:jc w:val="center"/>
        <w:rPr>
          <w:rFonts w:ascii="黑体" w:hAnsi="黑体" w:eastAsia="黑体"/>
          <w:color w:val="000000"/>
          <w:kern w:val="0"/>
          <w:sz w:val="44"/>
          <w:szCs w:val="44"/>
          <w:lang w:val="zh-CN"/>
        </w:rPr>
      </w:pPr>
      <w:r>
        <w:rPr>
          <w:rFonts w:hint="eastAsia" w:ascii="黑体" w:hAnsi="黑体" w:eastAsia="黑体"/>
          <w:color w:val="000000"/>
          <w:kern w:val="0"/>
          <w:sz w:val="44"/>
          <w:szCs w:val="44"/>
          <w:lang w:val="zh-CN"/>
        </w:rPr>
        <w:t>项目</w:t>
      </w:r>
      <w:r>
        <w:rPr>
          <w:rFonts w:hint="eastAsia" w:ascii="黑体" w:hAnsi="黑体" w:eastAsia="黑体"/>
          <w:color w:val="000000"/>
          <w:kern w:val="0"/>
          <w:sz w:val="44"/>
          <w:szCs w:val="44"/>
        </w:rPr>
        <w:t>2019年</w:t>
      </w:r>
      <w:r>
        <w:rPr>
          <w:rFonts w:hint="eastAsia" w:ascii="黑体" w:hAnsi="黑体" w:eastAsia="黑体"/>
          <w:color w:val="000000"/>
          <w:kern w:val="0"/>
          <w:sz w:val="44"/>
          <w:szCs w:val="44"/>
          <w:lang w:val="zh-CN"/>
        </w:rPr>
        <w:t>绩效评价报告</w:t>
      </w:r>
    </w:p>
    <w:p w14:paraId="0ED6D0CC">
      <w:pPr>
        <w:rPr>
          <w:rFonts w:ascii="仿宋_GB2312" w:hAnsi="宋体" w:eastAsia="仿宋_GB2312"/>
          <w:sz w:val="32"/>
          <w:szCs w:val="32"/>
          <w:lang w:val="zh-CN"/>
        </w:rPr>
      </w:pPr>
    </w:p>
    <w:p w14:paraId="6F08A6CB">
      <w:pPr>
        <w:adjustRightInd w:val="0"/>
        <w:snapToGrid w:val="0"/>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14:paraId="1D4F40C7">
      <w:pPr>
        <w:tabs>
          <w:tab w:val="center" w:pos="4153"/>
        </w:tabs>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（一）项目基本情况。</w:t>
      </w:r>
      <w:r>
        <w:rPr>
          <w:rFonts w:hint="eastAsia" w:ascii="仿宋_GB2312" w:hAnsi="宋体" w:eastAsia="仿宋_GB2312"/>
          <w:b/>
          <w:sz w:val="32"/>
          <w:szCs w:val="32"/>
          <w:lang w:val="zh-CN"/>
        </w:rPr>
        <w:tab/>
      </w:r>
    </w:p>
    <w:p w14:paraId="27221368">
      <w:pPr>
        <w:adjustRightInd w:val="0"/>
        <w:snapToGrid w:val="0"/>
        <w:ind w:firstLine="720"/>
        <w:rPr>
          <w:rFonts w:ascii="仿宋_GB2312" w:hAnsi="仿宋" w:eastAsia="仿宋_GB2312" w:cs="仿宋_GB2312"/>
          <w:sz w:val="32"/>
          <w:szCs w:val="32"/>
        </w:rPr>
      </w:pPr>
      <w:r>
        <w:rPr>
          <w:rFonts w:hint="eastAsia" w:ascii="仿宋_GB2312" w:hAnsi="仿宋" w:eastAsia="仿宋_GB2312" w:cs="仿宋_GB2312"/>
          <w:sz w:val="32"/>
          <w:szCs w:val="32"/>
        </w:rPr>
        <w:t>我中心将 “高校毕业生创业补贴”项目纳入绩效评价管理。按照绩效评价计划科学有序的开展自评自查工作，认真对照资金分配、资金到位、资金管理、组织实施等方面；评价指标包括数量指标、质量指标、时效指标、成本指标、社会效益指标和满意度指标。评价方法采用自评自查、公众评判法等方法进行。</w:t>
      </w:r>
    </w:p>
    <w:p w14:paraId="7844D894">
      <w:pPr>
        <w:adjustRightInd w:val="0"/>
        <w:snapToGrid w:val="0"/>
        <w:ind w:firstLine="643" w:firstLineChars="200"/>
        <w:rPr>
          <w:rFonts w:ascii="仿宋_GB2312" w:hAnsi="宋体" w:eastAsia="仿宋_GB2312"/>
          <w:b/>
          <w:sz w:val="32"/>
          <w:szCs w:val="32"/>
          <w:lang w:val="zh-CN"/>
        </w:rPr>
      </w:pPr>
      <w:r>
        <w:rPr>
          <w:rFonts w:hint="eastAsia" w:ascii="仿宋_GB2312" w:hAnsi="宋体" w:eastAsia="仿宋_GB2312"/>
          <w:b/>
          <w:sz w:val="32"/>
          <w:szCs w:val="32"/>
          <w:lang w:val="zh-CN"/>
        </w:rPr>
        <w:t>（二）项目绩效目标。</w:t>
      </w:r>
    </w:p>
    <w:p w14:paraId="397B7A42">
      <w:pPr>
        <w:adjustRightInd w:val="0"/>
        <w:snapToGrid w:val="0"/>
        <w:ind w:firstLine="720"/>
        <w:rPr>
          <w:rFonts w:ascii="仿宋_GB2312" w:hAnsi="仿宋" w:eastAsia="仿宋_GB2312" w:cs="仿宋_GB2312"/>
          <w:sz w:val="32"/>
          <w:szCs w:val="32"/>
        </w:rPr>
      </w:pPr>
      <w:r>
        <w:rPr>
          <w:rFonts w:hint="eastAsia" w:ascii="仿宋_GB2312" w:hAnsi="宋体" w:eastAsia="仿宋_GB2312"/>
          <w:sz w:val="32"/>
          <w:szCs w:val="32"/>
          <w:lang w:val="zh-CN"/>
        </w:rPr>
        <w:t>1．项目主要内容。</w:t>
      </w:r>
      <w:r>
        <w:rPr>
          <w:rFonts w:hint="eastAsia" w:ascii="仿宋_GB2312" w:hAnsi="仿宋" w:eastAsia="仿宋_GB2312" w:cs="仿宋_GB2312"/>
          <w:sz w:val="32"/>
          <w:szCs w:val="32"/>
        </w:rPr>
        <w:t>本部门在2019年度部门决算中反映“高校毕业生创业补贴”1个项目绩效目标实际完成情况。</w:t>
      </w:r>
    </w:p>
    <w:p w14:paraId="4A75FD60">
      <w:pPr>
        <w:spacing w:line="580" w:lineRule="exact"/>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rPr>
        <w:t>2.高校毕业生创业补贴。项目全年预算数1万元，执行数为1万元，完成预算的100%。通过项目实施，保障了我区高校毕业生创业补贴工作顺利开展。</w:t>
      </w:r>
    </w:p>
    <w:p w14:paraId="4C18F326">
      <w:pPr>
        <w:spacing w:line="580" w:lineRule="exact"/>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3．评价申报内容与实际相符，申报目标合理可行。</w:t>
      </w:r>
    </w:p>
    <w:p w14:paraId="7D44D488">
      <w:p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（三）项目自评步骤及方法。</w:t>
      </w:r>
    </w:p>
    <w:p w14:paraId="509814F1">
      <w:pPr>
        <w:spacing w:line="580" w:lineRule="exact"/>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rPr>
        <w:t>认真对照资金分配、资金到位、资金管理、组织实施等方面；评价方法采用自评自查、公众评判法等方法进行。</w:t>
      </w:r>
      <w:r>
        <w:rPr>
          <w:rFonts w:hint="eastAsia" w:ascii="仿宋_GB2312" w:hAnsi="仿宋" w:eastAsia="仿宋_GB2312" w:cs="仿宋_GB2312"/>
          <w:sz w:val="32"/>
          <w:szCs w:val="32"/>
          <w:lang w:val="zh-CN"/>
        </w:rPr>
        <w:t>项目编制采取事前绩效评估，项目开展绩效监控，年终执行完毕后绩效目标完成情况梳理填报。</w:t>
      </w:r>
    </w:p>
    <w:p w14:paraId="5D2B6312">
      <w:pPr>
        <w:adjustRightInd w:val="0"/>
        <w:snapToGrid w:val="0"/>
        <w:ind w:firstLine="720"/>
        <w:rPr>
          <w:rFonts w:ascii="仿宋_GB2312" w:hAnsi="宋体" w:eastAsia="仿宋_GB2312"/>
          <w:sz w:val="32"/>
          <w:szCs w:val="32"/>
        </w:rPr>
      </w:pPr>
      <w:r>
        <w:rPr>
          <w:rFonts w:hint="eastAsia" w:ascii="仿宋_GB2312" w:hAnsi="宋体" w:eastAsia="仿宋_GB2312"/>
          <w:sz w:val="32"/>
          <w:szCs w:val="32"/>
        </w:rPr>
        <w:t>二、项目资金申报及使用情况</w:t>
      </w:r>
    </w:p>
    <w:p w14:paraId="06A9C1F4">
      <w:pPr>
        <w:adjustRightInd w:val="0"/>
        <w:snapToGrid w:val="0"/>
        <w:ind w:firstLine="720"/>
        <w:rPr>
          <w:rFonts w:ascii="仿宋_GB2312" w:hAnsi="宋体" w:eastAsia="仿宋_GB2312"/>
          <w:sz w:val="32"/>
          <w:szCs w:val="32"/>
          <w:lang w:val="zh-CN"/>
        </w:rPr>
      </w:pPr>
      <w:r>
        <w:rPr>
          <w:rFonts w:hint="eastAsia" w:ascii="仿宋_GB2312" w:hAnsi="宋体" w:eastAsia="仿宋_GB2312"/>
          <w:b/>
          <w:sz w:val="32"/>
          <w:szCs w:val="32"/>
          <w:lang w:val="zh-CN"/>
        </w:rPr>
        <w:t>（一）项目资金申报及批复情况。</w:t>
      </w:r>
    </w:p>
    <w:p w14:paraId="1B7131DC">
      <w:pPr>
        <w:adjustRightInd w:val="0"/>
        <w:snapToGrid w:val="0"/>
        <w:ind w:firstLine="720"/>
        <w:rPr>
          <w:rFonts w:ascii="仿宋_GB2312" w:hAnsi="宋体" w:eastAsia="仿宋_GB2312"/>
          <w:sz w:val="32"/>
          <w:szCs w:val="32"/>
          <w:lang w:val="zh-CN"/>
        </w:rPr>
      </w:pPr>
      <w:r>
        <w:rPr>
          <w:rFonts w:hint="eastAsia" w:ascii="仿宋_GB2312" w:hAnsi="宋体" w:eastAsia="仿宋_GB2312"/>
          <w:sz w:val="32"/>
          <w:szCs w:val="32"/>
          <w:lang w:val="zh-CN"/>
        </w:rPr>
        <w:t>及时制定了部门绩效目标，接到财政下达预算批复后，严格支出控制、预算全面，无违规记录。（年初预算批复</w:t>
      </w:r>
      <w:r>
        <w:rPr>
          <w:rFonts w:hint="eastAsia" w:ascii="仿宋_GB2312" w:hAnsi="宋体" w:eastAsia="仿宋_GB2312"/>
          <w:sz w:val="32"/>
          <w:szCs w:val="32"/>
        </w:rPr>
        <w:t>6万元，年终调整预算为1万元</w:t>
      </w:r>
      <w:r>
        <w:rPr>
          <w:rFonts w:hint="eastAsia" w:ascii="仿宋_GB2312" w:hAnsi="宋体" w:eastAsia="仿宋_GB2312"/>
          <w:sz w:val="32"/>
          <w:szCs w:val="32"/>
          <w:lang w:val="zh-CN"/>
        </w:rPr>
        <w:t>）</w:t>
      </w:r>
    </w:p>
    <w:p w14:paraId="34FCBB82">
      <w:pPr>
        <w:numPr>
          <w:ilvl w:val="0"/>
          <w:numId w:val="7"/>
        </w:num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资金计划、到位及使用情况（可用表格形式反映）。</w:t>
      </w:r>
    </w:p>
    <w:p w14:paraId="672E0070">
      <w:pPr>
        <w:adjustRightInd w:val="0"/>
        <w:snapToGrid w:val="0"/>
        <w:ind w:firstLine="720"/>
        <w:rPr>
          <w:rFonts w:ascii="仿宋_GB2312" w:hAnsi="仿宋" w:eastAsia="仿宋_GB2312" w:cs="仿宋_GB2312"/>
          <w:sz w:val="32"/>
          <w:szCs w:val="32"/>
        </w:rPr>
      </w:pPr>
      <w:r>
        <w:rPr>
          <w:rFonts w:hint="eastAsia" w:ascii="仿宋_GB2312" w:hAnsi="仿宋" w:eastAsia="仿宋_GB2312" w:cs="仿宋_GB2312"/>
          <w:sz w:val="32"/>
          <w:szCs w:val="32"/>
        </w:rPr>
        <w:t>1．资金计划。已纳入年初预算。</w:t>
      </w:r>
    </w:p>
    <w:p w14:paraId="2D179C3B">
      <w:pPr>
        <w:adjustRightInd w:val="0"/>
        <w:snapToGrid w:val="0"/>
        <w:ind w:firstLine="720"/>
        <w:rPr>
          <w:rFonts w:ascii="仿宋_GB2312" w:hAnsi="仿宋" w:eastAsia="仿宋_GB2312" w:cs="仿宋_GB2312"/>
          <w:sz w:val="32"/>
          <w:szCs w:val="32"/>
        </w:rPr>
      </w:pPr>
      <w:r>
        <w:rPr>
          <w:rFonts w:hint="eastAsia" w:ascii="仿宋_GB2312" w:hAnsi="仿宋" w:eastAsia="仿宋_GB2312" w:cs="仿宋_GB2312"/>
          <w:sz w:val="32"/>
          <w:szCs w:val="32"/>
        </w:rPr>
        <w:t>2．资金到位。预算资金已及时到位。</w:t>
      </w:r>
    </w:p>
    <w:p w14:paraId="73AE5BD7">
      <w:pPr>
        <w:adjustRightInd w:val="0"/>
        <w:snapToGrid w:val="0"/>
        <w:ind w:firstLine="720"/>
        <w:rPr>
          <w:rFonts w:ascii="仿宋_GB2312" w:hAnsi="仿宋" w:eastAsia="仿宋_GB2312" w:cs="仿宋_GB2312"/>
          <w:sz w:val="32"/>
          <w:szCs w:val="32"/>
        </w:rPr>
      </w:pPr>
      <w:r>
        <w:rPr>
          <w:rFonts w:hint="eastAsia" w:ascii="仿宋_GB2312" w:hAnsi="仿宋" w:eastAsia="仿宋_GB2312" w:cs="仿宋_GB2312"/>
          <w:sz w:val="32"/>
          <w:szCs w:val="32"/>
        </w:rPr>
        <w:t>3．资金使用。统计资金支出情况，对资金使用的安全性、规范性及有效性进行重点分析，包括资金支付范围、支付标准、支付进度、支付依据等合规合法、与预算相符。</w:t>
      </w:r>
    </w:p>
    <w:p w14:paraId="51643BCA">
      <w:p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（三）项目财务管理情况。</w:t>
      </w:r>
    </w:p>
    <w:p w14:paraId="4BD5BF83">
      <w:pPr>
        <w:adjustRightInd w:val="0"/>
        <w:snapToGrid w:val="0"/>
        <w:ind w:firstLine="720"/>
        <w:rPr>
          <w:rFonts w:ascii="仿宋_GB2312" w:hAnsi="仿宋" w:eastAsia="仿宋_GB2312" w:cs="仿宋_GB2312"/>
          <w:sz w:val="32"/>
          <w:szCs w:val="32"/>
        </w:rPr>
      </w:pPr>
      <w:r>
        <w:rPr>
          <w:rFonts w:hint="eastAsia" w:ascii="仿宋_GB2312" w:hAnsi="仿宋" w:eastAsia="仿宋_GB2312" w:cs="仿宋_GB2312"/>
          <w:sz w:val="32"/>
          <w:szCs w:val="32"/>
        </w:rPr>
        <w:t>我单位财务管理制度健全，严格执行财务管理制度，账务处理及时，会计核算规范。</w:t>
      </w:r>
    </w:p>
    <w:p w14:paraId="6B2EA83E">
      <w:pPr>
        <w:adjustRightInd w:val="0"/>
        <w:snapToGrid w:val="0"/>
        <w:ind w:firstLine="720"/>
        <w:rPr>
          <w:rFonts w:ascii="仿宋_GB2312" w:hAnsi="宋体" w:eastAsia="仿宋_GB2312"/>
          <w:sz w:val="32"/>
          <w:szCs w:val="32"/>
        </w:rPr>
      </w:pPr>
      <w:r>
        <w:rPr>
          <w:rFonts w:hint="eastAsia" w:ascii="仿宋_GB2312" w:hAnsi="宋体" w:eastAsia="仿宋_GB2312"/>
          <w:sz w:val="32"/>
          <w:szCs w:val="32"/>
        </w:rPr>
        <w:t>三、项目实施及管理情况</w:t>
      </w:r>
    </w:p>
    <w:p w14:paraId="1EF744D6">
      <w:pPr>
        <w:numPr>
          <w:ilvl w:val="0"/>
          <w:numId w:val="8"/>
        </w:num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项目组织架构及实施流程。</w:t>
      </w:r>
    </w:p>
    <w:p w14:paraId="43E3E377">
      <w:pPr>
        <w:spacing w:line="580" w:lineRule="exact"/>
        <w:ind w:firstLine="640" w:firstLineChars="200"/>
        <w:rPr>
          <w:rFonts w:ascii="仿宋_GB2312" w:hAnsi="宋体" w:eastAsia="仿宋_GB2312"/>
          <w:b/>
          <w:sz w:val="32"/>
          <w:szCs w:val="32"/>
          <w:lang w:val="zh-CN"/>
        </w:rPr>
      </w:pPr>
      <w:r>
        <w:rPr>
          <w:rFonts w:hint="eastAsia" w:ascii="仿宋_GB2312" w:hAnsi="仿宋" w:eastAsia="仿宋_GB2312" w:cs="仿宋_GB2312"/>
          <w:sz w:val="32"/>
          <w:szCs w:val="32"/>
        </w:rPr>
        <w:t>根据《关于贯彻落实省政府办公厅加大力度促进高校毕业生就业创业意见有关问题的通知》（川人社发〔2014〕20号）、《关于转发〈四川省人力资源和社会保障厅</w:t>
      </w:r>
      <w:r>
        <w:rPr>
          <w:rFonts w:hint="eastAsia" w:ascii="Calibri" w:hAnsi="Calibri" w:eastAsia="仿宋_GB2312" w:cs="Calibri"/>
          <w:sz w:val="32"/>
          <w:szCs w:val="32"/>
        </w:rPr>
        <w:t> </w:t>
      </w:r>
      <w:r>
        <w:rPr>
          <w:rFonts w:hint="eastAsia" w:ascii="仿宋_GB2312" w:hAnsi="仿宋" w:eastAsia="仿宋_GB2312" w:cs="仿宋_GB2312"/>
          <w:sz w:val="32"/>
          <w:szCs w:val="32"/>
        </w:rPr>
        <w:t>四川省财政厅关于进一步落实普通高等学校毕业生就业政策的通知〉的通知》(攀人社发[2013]40号)文件规定执行，我中心及时拨付补贴。</w:t>
      </w:r>
    </w:p>
    <w:p w14:paraId="2F1B1340">
      <w:p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（二）项目管理及监管情况。</w:t>
      </w:r>
    </w:p>
    <w:p w14:paraId="39E65D74">
      <w:pPr>
        <w:spacing w:line="580" w:lineRule="exact"/>
        <w:ind w:firstLine="640" w:firstLineChars="200"/>
        <w:rPr>
          <w:rFonts w:ascii="仿宋_GB2312" w:hAnsi="宋体" w:eastAsia="仿宋_GB2312"/>
          <w:b/>
          <w:sz w:val="32"/>
          <w:szCs w:val="32"/>
          <w:lang w:val="zh-CN"/>
        </w:rPr>
      </w:pPr>
      <w:r>
        <w:rPr>
          <w:rFonts w:hint="eastAsia" w:ascii="仿宋_GB2312" w:hAnsi="仿宋" w:eastAsia="仿宋_GB2312" w:cs="仿宋_GB2312"/>
          <w:sz w:val="32"/>
          <w:szCs w:val="32"/>
        </w:rPr>
        <w:t>高校毕业生创业补贴严格按照就业创业资金补助办法管理，专款专用，严格实行报账制，严格执行公示制度，严禁挪作</w:t>
      </w:r>
      <w:r>
        <w:rPr>
          <w:rFonts w:hint="eastAsia" w:ascii="仿宋_GB2312" w:hAnsi="仿宋" w:eastAsia="仿宋_GB2312" w:cs="仿宋_GB2312"/>
          <w:sz w:val="32"/>
          <w:szCs w:val="32"/>
          <w:lang w:val="en-US" w:eastAsia="zh-CN"/>
        </w:rPr>
        <w:t>他</w:t>
      </w:r>
      <w:r>
        <w:rPr>
          <w:rFonts w:hint="eastAsia" w:ascii="仿宋_GB2312" w:hAnsi="仿宋" w:eastAsia="仿宋_GB2312" w:cs="仿宋_GB2312"/>
          <w:sz w:val="32"/>
          <w:szCs w:val="32"/>
        </w:rPr>
        <w:t>用，严格使用范围，</w:t>
      </w:r>
      <w:bookmarkStart w:id="70" w:name="_GoBack"/>
      <w:bookmarkEnd w:id="70"/>
      <w:r>
        <w:rPr>
          <w:rFonts w:hint="eastAsia" w:ascii="仿宋_GB2312" w:hAnsi="仿宋" w:eastAsia="仿宋_GB2312" w:cs="仿宋_GB2312"/>
          <w:sz w:val="32"/>
          <w:szCs w:val="32"/>
        </w:rPr>
        <w:t>无违规违纪现象。</w:t>
      </w:r>
    </w:p>
    <w:p w14:paraId="3935BEC1">
      <w:pPr>
        <w:adjustRightInd w:val="0"/>
        <w:snapToGrid w:val="0"/>
        <w:ind w:firstLine="72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14:paraId="6E5852AA">
      <w:p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（一）项目完成情况。</w:t>
      </w:r>
    </w:p>
    <w:p w14:paraId="6B0EABEB">
      <w:pPr>
        <w:spacing w:line="580" w:lineRule="exact"/>
        <w:ind w:firstLine="624" w:firstLineChars="200"/>
        <w:rPr>
          <w:rFonts w:ascii="仿宋_GB2312" w:eastAsia="仿宋_GB2312"/>
          <w:color w:val="000000" w:themeColor="text1"/>
          <w:spacing w:val="-4"/>
          <w:sz w:val="32"/>
          <w:szCs w:val="32"/>
        </w:rPr>
      </w:pPr>
      <w:r>
        <w:rPr>
          <w:rFonts w:hint="eastAsia" w:ascii="仿宋_GB2312" w:eastAsia="仿宋_GB2312"/>
          <w:color w:val="000000" w:themeColor="text1"/>
          <w:spacing w:val="-4"/>
          <w:sz w:val="32"/>
          <w:szCs w:val="32"/>
        </w:rPr>
        <w:t>2019年通过高校毕业生创业畅通了绿色服务渠道，实施“创业引领”工程，充分发挥创业带动就业倍增效应。组织辖区创业典型参加“天府杯”创业大赛、“邮储银行杯”青年创新创业大赛，西区参赛项目获得“天府杯”创业大赛“大学生创业典型”和“邮储银行杯”青年创新创业大赛一等奖。引导大众树立创业意识，拓宽创业思路，形成政府激励创业、社会支持创业、大众勇于创业的格局</w:t>
      </w:r>
    </w:p>
    <w:p w14:paraId="6E878C28">
      <w:pPr>
        <w:spacing w:line="580" w:lineRule="exact"/>
        <w:ind w:firstLine="643" w:firstLineChars="200"/>
        <w:rPr>
          <w:rFonts w:ascii="仿宋_GB2312" w:hAnsi="宋体" w:eastAsia="仿宋_GB2312" w:cs="宋体"/>
          <w:kern w:val="0"/>
          <w:sz w:val="32"/>
          <w:szCs w:val="32"/>
        </w:rPr>
      </w:pPr>
      <w:r>
        <w:rPr>
          <w:rFonts w:hint="eastAsia" w:ascii="仿宋_GB2312" w:hAnsi="宋体" w:eastAsia="仿宋_GB2312"/>
          <w:b/>
          <w:sz w:val="32"/>
          <w:szCs w:val="32"/>
          <w:lang w:val="zh-CN"/>
        </w:rPr>
        <w:t>（二）项目效益情况。</w:t>
      </w:r>
    </w:p>
    <w:p w14:paraId="5CD61002">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（1）数量指标：按审核标准，及时拨付1名高校毕业生创业补贴。</w:t>
      </w:r>
    </w:p>
    <w:p w14:paraId="156E0247">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（2）质量指标：完成促进高校毕业生实现自主创业。</w:t>
      </w:r>
    </w:p>
    <w:p w14:paraId="2B837A7E">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（3）时效指标：全年按计划按进度拨付补贴</w:t>
      </w:r>
    </w:p>
    <w:p w14:paraId="15432374">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（4）成本指标：按文件政策标准，每人1万元，区县按照比例配套</w:t>
      </w:r>
    </w:p>
    <w:p w14:paraId="26D50DB2">
      <w:pPr>
        <w:spacing w:line="580" w:lineRule="exact"/>
        <w:ind w:firstLine="640" w:firstLineChars="200"/>
        <w:rPr>
          <w:rFonts w:ascii="仿宋_GB2312" w:eastAsia="仿宋_GB2312"/>
          <w:color w:val="000000" w:themeColor="text1"/>
          <w:spacing w:val="-4"/>
          <w:sz w:val="32"/>
          <w:szCs w:val="32"/>
        </w:rPr>
      </w:pPr>
      <w:r>
        <w:rPr>
          <w:rFonts w:hint="eastAsia" w:ascii="仿宋_GB2312" w:hAnsi="宋体" w:eastAsia="仿宋_GB2312" w:cs="宋体"/>
          <w:kern w:val="0"/>
          <w:sz w:val="32"/>
          <w:szCs w:val="32"/>
        </w:rPr>
        <w:t>（5）社会效益指标：</w:t>
      </w:r>
      <w:r>
        <w:rPr>
          <w:rFonts w:hint="eastAsia" w:ascii="仿宋_GB2312" w:eastAsia="仿宋_GB2312"/>
          <w:color w:val="000000" w:themeColor="text1"/>
          <w:spacing w:val="-4"/>
          <w:sz w:val="32"/>
          <w:szCs w:val="32"/>
        </w:rPr>
        <w:t>引导大众树立创业意识，拓宽创业思路，形成政府激励创业、社会支持创业、大众勇于创业的格局。</w:t>
      </w:r>
    </w:p>
    <w:p w14:paraId="1E2555F9">
      <w:pPr>
        <w:spacing w:line="580" w:lineRule="exact"/>
        <w:ind w:firstLine="640" w:firstLineChars="200"/>
        <w:rPr>
          <w:rFonts w:ascii="仿宋_GB2312" w:hAnsi="宋体" w:eastAsia="仿宋_GB2312"/>
          <w:b/>
          <w:sz w:val="32"/>
          <w:szCs w:val="32"/>
          <w:lang w:val="zh-CN"/>
        </w:rPr>
      </w:pPr>
      <w:r>
        <w:rPr>
          <w:rFonts w:hint="eastAsia" w:ascii="仿宋_GB2312" w:hAnsi="宋体" w:eastAsia="仿宋_GB2312" w:cs="宋体"/>
          <w:kern w:val="0"/>
          <w:sz w:val="32"/>
          <w:szCs w:val="32"/>
        </w:rPr>
        <w:t>（6）服务对象满意度指标：调查高校毕业生满意度达100%。</w:t>
      </w:r>
    </w:p>
    <w:p w14:paraId="24F96AE2">
      <w:pPr>
        <w:adjustRightInd w:val="0"/>
        <w:snapToGrid w:val="0"/>
        <w:ind w:firstLine="720"/>
        <w:rPr>
          <w:rFonts w:ascii="仿宋_GB2312" w:hAnsi="宋体" w:eastAsia="仿宋_GB2312"/>
          <w:sz w:val="32"/>
          <w:szCs w:val="32"/>
        </w:rPr>
      </w:pPr>
      <w:r>
        <w:rPr>
          <w:rFonts w:hint="eastAsia" w:ascii="仿宋_GB2312" w:hAnsi="宋体" w:eastAsia="仿宋_GB2312"/>
          <w:sz w:val="32"/>
          <w:szCs w:val="32"/>
        </w:rPr>
        <w:t>五、评价结论及建议</w:t>
      </w:r>
    </w:p>
    <w:p w14:paraId="4B76D5A4">
      <w:pPr>
        <w:adjustRightInd w:val="0"/>
        <w:snapToGrid w:val="0"/>
        <w:ind w:firstLine="643" w:firstLineChars="200"/>
        <w:rPr>
          <w:rFonts w:ascii="仿宋_GB2312" w:hAnsi="宋体" w:eastAsia="仿宋_GB2312"/>
          <w:b/>
          <w:sz w:val="32"/>
          <w:szCs w:val="32"/>
          <w:lang w:val="zh-CN"/>
        </w:rPr>
      </w:pPr>
      <w:r>
        <w:rPr>
          <w:rFonts w:hint="eastAsia" w:ascii="仿宋_GB2312" w:hAnsi="宋体" w:eastAsia="仿宋_GB2312"/>
          <w:b/>
          <w:sz w:val="32"/>
          <w:szCs w:val="32"/>
          <w:lang w:val="zh-CN"/>
        </w:rPr>
        <w:t>（一）评价结论。</w:t>
      </w:r>
    </w:p>
    <w:p w14:paraId="508E1CBD">
      <w:pPr>
        <w:adjustRightInd w:val="0"/>
        <w:snapToGrid w:val="0"/>
        <w:ind w:firstLine="640" w:firstLineChars="200"/>
        <w:rPr>
          <w:rFonts w:ascii="仿宋_GB2312" w:hAnsi="宋体" w:eastAsia="仿宋_GB2312"/>
          <w:b/>
          <w:sz w:val="32"/>
          <w:szCs w:val="32"/>
          <w:lang w:val="zh-CN"/>
        </w:rPr>
      </w:pPr>
      <w:r>
        <w:rPr>
          <w:rFonts w:hint="eastAsia" w:ascii="仿宋_GB2312" w:hAnsi="仿宋" w:eastAsia="仿宋_GB2312" w:cs="仿宋_GB2312"/>
          <w:sz w:val="32"/>
          <w:szCs w:val="32"/>
        </w:rPr>
        <w:t>我部门2019年绩效目标完成，职责履行良好，履职效益明显，预算配置科学，预算执行有效，预算管理规范，服务对象满意度达100%。</w:t>
      </w:r>
    </w:p>
    <w:p w14:paraId="11749A9B">
      <w:pPr>
        <w:adjustRightInd w:val="0"/>
        <w:snapToGrid w:val="0"/>
        <w:ind w:firstLine="624" w:firstLineChars="200"/>
        <w:rPr>
          <w:rFonts w:ascii="仿宋_GB2312" w:eastAsia="仿宋_GB2312"/>
          <w:color w:val="000000" w:themeColor="text1"/>
          <w:spacing w:val="-4"/>
          <w:sz w:val="32"/>
          <w:szCs w:val="32"/>
          <w:lang w:val="zh-CN"/>
        </w:rPr>
      </w:pPr>
      <w:r>
        <w:rPr>
          <w:rFonts w:hint="eastAsia" w:ascii="仿宋_GB2312" w:eastAsia="仿宋_GB2312"/>
          <w:color w:val="000000" w:themeColor="text1"/>
          <w:spacing w:val="-4"/>
          <w:sz w:val="32"/>
          <w:szCs w:val="32"/>
        </w:rPr>
        <w:t xml:space="preserve">（二） </w:t>
      </w:r>
      <w:r>
        <w:rPr>
          <w:rFonts w:hint="eastAsia" w:ascii="仿宋_GB2312" w:eastAsia="仿宋_GB2312"/>
          <w:b/>
          <w:bCs/>
          <w:color w:val="000000" w:themeColor="text1"/>
          <w:spacing w:val="-4"/>
          <w:sz w:val="32"/>
          <w:szCs w:val="32"/>
          <w:lang w:val="zh-CN"/>
        </w:rPr>
        <w:t>存在的问题。</w:t>
      </w:r>
    </w:p>
    <w:p w14:paraId="7B589A99">
      <w:pPr>
        <w:adjustRightInd w:val="0"/>
        <w:snapToGrid w:val="0"/>
        <w:ind w:firstLine="640" w:firstLineChars="200"/>
        <w:rPr>
          <w:rFonts w:ascii="仿宋_GB2312" w:hAnsi="宋体" w:eastAsia="仿宋_GB2312"/>
          <w:sz w:val="32"/>
          <w:szCs w:val="32"/>
          <w:lang w:val="zh-CN"/>
        </w:rPr>
      </w:pPr>
      <w:r>
        <w:rPr>
          <w:rFonts w:hint="eastAsia" w:ascii="仿宋_GB2312" w:hAnsi="宋体" w:eastAsia="仿宋_GB2312" w:cs="宋体"/>
          <w:kern w:val="0"/>
          <w:sz w:val="32"/>
          <w:szCs w:val="32"/>
        </w:rPr>
        <w:t>高校毕业生创业补贴属于动态管理项目，拨付补贴要根据符合条件的大学生实际申报情况，含不定性因素，开展绩效管理还有一定的难度，资金效益有待进一步提高。</w:t>
      </w:r>
    </w:p>
    <w:p w14:paraId="6D5B5D9A">
      <w:pPr>
        <w:adjustRightInd w:val="0"/>
        <w:snapToGrid w:val="0"/>
        <w:ind w:firstLine="720"/>
        <w:rPr>
          <w:rFonts w:ascii="仿宋_GB2312" w:hAnsi="宋体" w:eastAsia="仿宋_GB2312"/>
          <w:b/>
          <w:sz w:val="32"/>
          <w:szCs w:val="32"/>
          <w:lang w:val="zh-CN"/>
        </w:rPr>
      </w:pPr>
      <w:r>
        <w:rPr>
          <w:rFonts w:hint="eastAsia" w:ascii="仿宋_GB2312" w:hAnsi="宋体" w:eastAsia="仿宋_GB2312"/>
          <w:b/>
          <w:sz w:val="32"/>
          <w:szCs w:val="32"/>
          <w:lang w:val="zh-CN"/>
        </w:rPr>
        <w:t>（三）相关建议。</w:t>
      </w:r>
    </w:p>
    <w:p w14:paraId="1E739EA6">
      <w:pPr>
        <w:adjustRightInd w:val="0"/>
        <w:snapToGrid w:val="0"/>
        <w:ind w:firstLine="640" w:firstLineChars="200"/>
        <w:rPr>
          <w:rFonts w:ascii="仿宋_GB2312" w:hAnsi="宋体" w:eastAsia="仿宋_GB2312"/>
          <w:b/>
          <w:sz w:val="32"/>
          <w:szCs w:val="32"/>
          <w:lang w:val="zh-CN"/>
        </w:rPr>
      </w:pPr>
      <w:r>
        <w:rPr>
          <w:rFonts w:hint="eastAsia" w:ascii="仿宋_GB2312" w:hAnsi="宋体" w:eastAsia="仿宋_GB2312" w:cs="宋体"/>
          <w:kern w:val="0"/>
          <w:sz w:val="32"/>
          <w:szCs w:val="32"/>
        </w:rPr>
        <w:t>一是加大宣传力度，通过媒体、网络、报纸、印制宣传资料等。二是多部门联合协作，信息共享，主动联系符合申报条件的大学生前来申报补贴。</w:t>
      </w:r>
      <w:r>
        <w:rPr>
          <w:rFonts w:hint="eastAsia" w:ascii="仿宋_GB2312" w:hAnsi="ˎ̥" w:eastAsia="仿宋_GB2312"/>
          <w:sz w:val="32"/>
          <w:szCs w:val="32"/>
        </w:rPr>
        <w:t>三是推进制度规范化建设。学习先进单位的经验和做法，完善绩效评价制度和管理办法，充实绩效评价指标体系，逐步健全绩效评价标准，提高财政资金使用效</w:t>
      </w:r>
    </w:p>
    <w:p w14:paraId="72F7B0D1">
      <w:pPr>
        <w:ind w:firstLine="640"/>
        <w:rPr>
          <w:rFonts w:ascii="仿宋_GB2312" w:hAnsi="仿宋_GB2312" w:eastAsia="仿宋_GB2312" w:cs="仿宋_GB2312"/>
          <w:sz w:val="32"/>
          <w:szCs w:val="32"/>
        </w:rPr>
      </w:pPr>
    </w:p>
    <w:p w14:paraId="15F88F70">
      <w:pPr>
        <w:ind w:firstLine="640"/>
        <w:rPr>
          <w:rFonts w:ascii="仿宋_GB2312" w:hAnsi="仿宋_GB2312" w:eastAsia="仿宋_GB2312" w:cs="仿宋_GB2312"/>
          <w:sz w:val="32"/>
          <w:szCs w:val="32"/>
        </w:rPr>
      </w:pPr>
    </w:p>
    <w:p w14:paraId="5B117D38">
      <w:pPr>
        <w:widowControl/>
        <w:jc w:val="left"/>
        <w:rPr>
          <w:rStyle w:val="24"/>
          <w:rFonts w:ascii="仿宋_GB2312" w:hAnsi="黑体" w:eastAsia="仿宋_GB2312"/>
          <w:b w:val="0"/>
          <w:sz w:val="32"/>
          <w:szCs w:val="32"/>
        </w:rPr>
      </w:pPr>
    </w:p>
    <w:p w14:paraId="70E30D9E">
      <w:pPr>
        <w:widowControl/>
        <w:jc w:val="left"/>
        <w:rPr>
          <w:rStyle w:val="24"/>
          <w:rFonts w:ascii="仿宋_GB2312" w:hAnsi="黑体" w:eastAsia="仿宋_GB2312"/>
          <w:b w:val="0"/>
          <w:sz w:val="32"/>
          <w:szCs w:val="32"/>
        </w:rPr>
      </w:pPr>
      <w:r>
        <w:rPr>
          <w:rStyle w:val="24"/>
          <w:rFonts w:hint="eastAsia" w:ascii="仿宋_GB2312" w:hAnsi="黑体" w:eastAsia="仿宋_GB2312"/>
          <w:b w:val="0"/>
          <w:sz w:val="32"/>
          <w:szCs w:val="32"/>
        </w:rPr>
        <w:br w:type="page"/>
      </w:r>
    </w:p>
    <w:p w14:paraId="0A58DA45">
      <w:pPr>
        <w:jc w:val="center"/>
        <w:outlineLvl w:val="0"/>
        <w:rPr>
          <w:rStyle w:val="24"/>
          <w:rFonts w:ascii="仿宋_GB2312" w:hAnsi="黑体" w:eastAsia="仿宋_GB2312"/>
          <w:b w:val="0"/>
          <w:sz w:val="32"/>
          <w:szCs w:val="32"/>
        </w:rPr>
      </w:pPr>
    </w:p>
    <w:p w14:paraId="38BD4EB0">
      <w:pPr>
        <w:jc w:val="center"/>
        <w:outlineLvl w:val="0"/>
        <w:rPr>
          <w:rStyle w:val="24"/>
          <w:rFonts w:ascii="黑体" w:hAnsi="黑体" w:eastAsia="黑体"/>
          <w:b w:val="0"/>
        </w:rPr>
      </w:pPr>
      <w:bookmarkStart w:id="56" w:name="_Toc15396618"/>
      <w:r>
        <w:rPr>
          <w:rFonts w:hint="eastAsia" w:ascii="黑体" w:hAnsi="黑体" w:eastAsia="黑体"/>
          <w:b/>
          <w:color w:val="000000"/>
          <w:sz w:val="44"/>
          <w:szCs w:val="44"/>
        </w:rPr>
        <w:t>第</w:t>
      </w:r>
      <w:r>
        <w:rPr>
          <w:rStyle w:val="24"/>
          <w:rFonts w:hint="eastAsia" w:ascii="黑体" w:hAnsi="黑体" w:eastAsia="黑体"/>
          <w:b w:val="0"/>
        </w:rPr>
        <w:t>五部分 附表</w:t>
      </w:r>
      <w:bookmarkEnd w:id="54"/>
      <w:bookmarkEnd w:id="56"/>
    </w:p>
    <w:p w14:paraId="50CBB7FA">
      <w:pPr>
        <w:jc w:val="center"/>
        <w:outlineLvl w:val="0"/>
        <w:rPr>
          <w:rFonts w:ascii="仿宋_GB2312" w:hAnsi="仿宋" w:eastAsia="仿宋_GB2312"/>
          <w:b/>
          <w:color w:val="000000"/>
          <w:sz w:val="32"/>
          <w:szCs w:val="32"/>
        </w:rPr>
      </w:pPr>
    </w:p>
    <w:p w14:paraId="5EED60EA">
      <w:pPr>
        <w:pStyle w:val="3"/>
        <w:spacing w:line="240" w:lineRule="auto"/>
        <w:rPr>
          <w:rFonts w:ascii="仿宋_GB2312" w:hAnsi="仿宋" w:eastAsia="仿宋_GB2312"/>
          <w:color w:val="000000"/>
        </w:rPr>
      </w:pPr>
      <w:bookmarkStart w:id="57" w:name="_Toc15396619"/>
      <w:r>
        <w:rPr>
          <w:rFonts w:hint="eastAsia" w:ascii="仿宋_GB2312" w:hAnsi="仿宋" w:eastAsia="仿宋_GB2312"/>
          <w:b w:val="0"/>
          <w:color w:val="000000"/>
        </w:rPr>
        <w:t>一、收</w:t>
      </w:r>
      <w:r>
        <w:rPr>
          <w:rStyle w:val="25"/>
          <w:rFonts w:hint="eastAsia" w:ascii="仿宋_GB2312" w:hAnsi="仿宋" w:eastAsia="仿宋_GB2312"/>
          <w:b w:val="0"/>
          <w:bCs w:val="0"/>
        </w:rPr>
        <w:t>入支出决算总表</w:t>
      </w:r>
      <w:bookmarkEnd w:id="57"/>
    </w:p>
    <w:p w14:paraId="6265959C">
      <w:pPr>
        <w:pStyle w:val="3"/>
        <w:spacing w:line="240" w:lineRule="auto"/>
        <w:rPr>
          <w:rFonts w:ascii="仿宋_GB2312" w:hAnsi="仿宋" w:eastAsia="仿宋_GB2312"/>
          <w:color w:val="000000"/>
        </w:rPr>
      </w:pPr>
      <w:bookmarkStart w:id="58" w:name="_Toc15396620"/>
      <w:r>
        <w:rPr>
          <w:rFonts w:hint="eastAsia" w:ascii="仿宋_GB2312" w:hAnsi="仿宋" w:eastAsia="仿宋_GB2312"/>
          <w:b w:val="0"/>
          <w:color w:val="000000"/>
        </w:rPr>
        <w:t>二、收</w:t>
      </w:r>
      <w:r>
        <w:rPr>
          <w:rStyle w:val="25"/>
          <w:rFonts w:hint="eastAsia" w:ascii="仿宋_GB2312" w:hAnsi="仿宋" w:eastAsia="仿宋_GB2312"/>
          <w:b w:val="0"/>
          <w:bCs w:val="0"/>
        </w:rPr>
        <w:t>入决算表</w:t>
      </w:r>
      <w:bookmarkEnd w:id="58"/>
    </w:p>
    <w:p w14:paraId="4528EFBD">
      <w:pPr>
        <w:pStyle w:val="3"/>
        <w:spacing w:line="240" w:lineRule="auto"/>
        <w:rPr>
          <w:rFonts w:ascii="仿宋_GB2312" w:hAnsi="仿宋" w:eastAsia="仿宋_GB2312"/>
          <w:color w:val="000000"/>
        </w:rPr>
      </w:pPr>
      <w:bookmarkStart w:id="59" w:name="_Toc15396621"/>
      <w:r>
        <w:rPr>
          <w:rStyle w:val="25"/>
          <w:rFonts w:hint="eastAsia" w:ascii="仿宋_GB2312" w:hAnsi="仿宋" w:eastAsia="仿宋_GB2312"/>
          <w:b w:val="0"/>
          <w:bCs w:val="0"/>
        </w:rPr>
        <w:t>三、</w:t>
      </w:r>
      <w:r>
        <w:rPr>
          <w:rFonts w:hint="eastAsia" w:ascii="仿宋_GB2312" w:hAnsi="仿宋" w:eastAsia="仿宋_GB2312"/>
          <w:b w:val="0"/>
          <w:color w:val="000000"/>
        </w:rPr>
        <w:t>支</w:t>
      </w:r>
      <w:r>
        <w:rPr>
          <w:rStyle w:val="25"/>
          <w:rFonts w:hint="eastAsia" w:ascii="仿宋_GB2312" w:hAnsi="仿宋" w:eastAsia="仿宋_GB2312"/>
          <w:b w:val="0"/>
          <w:bCs w:val="0"/>
        </w:rPr>
        <w:t>出决算表</w:t>
      </w:r>
      <w:bookmarkEnd w:id="59"/>
    </w:p>
    <w:p w14:paraId="6548E94B">
      <w:pPr>
        <w:pStyle w:val="3"/>
        <w:spacing w:line="240" w:lineRule="auto"/>
        <w:rPr>
          <w:rFonts w:ascii="仿宋_GB2312" w:hAnsi="仿宋" w:eastAsia="仿宋_GB2312"/>
          <w:b w:val="0"/>
          <w:color w:val="000000"/>
        </w:rPr>
      </w:pPr>
      <w:bookmarkStart w:id="60" w:name="_Toc15396622"/>
      <w:r>
        <w:rPr>
          <w:rStyle w:val="25"/>
          <w:rFonts w:hint="eastAsia" w:ascii="仿宋_GB2312" w:hAnsi="仿宋" w:eastAsia="仿宋_GB2312"/>
          <w:b w:val="0"/>
          <w:bCs w:val="0"/>
        </w:rPr>
        <w:t>四、</w:t>
      </w:r>
      <w:r>
        <w:rPr>
          <w:rFonts w:hint="eastAsia" w:ascii="仿宋_GB2312" w:hAnsi="仿宋" w:eastAsia="仿宋_GB2312"/>
          <w:b w:val="0"/>
          <w:color w:val="000000"/>
        </w:rPr>
        <w:t>财</w:t>
      </w:r>
      <w:r>
        <w:rPr>
          <w:rStyle w:val="25"/>
          <w:rFonts w:hint="eastAsia" w:ascii="仿宋_GB2312" w:hAnsi="仿宋" w:eastAsia="仿宋_GB2312"/>
          <w:b w:val="0"/>
          <w:bCs w:val="0"/>
        </w:rPr>
        <w:t>政拨款收入支出决算总表</w:t>
      </w:r>
      <w:bookmarkEnd w:id="60"/>
    </w:p>
    <w:p w14:paraId="7B714190">
      <w:pPr>
        <w:pStyle w:val="3"/>
        <w:spacing w:line="240" w:lineRule="auto"/>
        <w:rPr>
          <w:rStyle w:val="25"/>
          <w:rFonts w:ascii="仿宋_GB2312" w:hAnsi="仿宋" w:eastAsia="仿宋_GB2312"/>
          <w:b w:val="0"/>
          <w:bCs w:val="0"/>
        </w:rPr>
      </w:pPr>
      <w:bookmarkStart w:id="61" w:name="_Toc15396623"/>
      <w:r>
        <w:rPr>
          <w:rStyle w:val="25"/>
          <w:rFonts w:hint="eastAsia" w:ascii="仿宋_GB2312" w:hAnsi="仿宋" w:eastAsia="仿宋_GB2312"/>
          <w:b w:val="0"/>
          <w:bCs w:val="0"/>
        </w:rPr>
        <w:t>五、</w:t>
      </w:r>
      <w:r>
        <w:rPr>
          <w:rFonts w:hint="eastAsia" w:ascii="仿宋_GB2312" w:hAnsi="仿宋" w:eastAsia="仿宋_GB2312"/>
          <w:b w:val="0"/>
          <w:color w:val="000000"/>
        </w:rPr>
        <w:t>财</w:t>
      </w:r>
      <w:r>
        <w:rPr>
          <w:rStyle w:val="25"/>
          <w:rFonts w:hint="eastAsia" w:ascii="仿宋_GB2312" w:hAnsi="仿宋" w:eastAsia="仿宋_GB2312"/>
          <w:b w:val="0"/>
          <w:bCs w:val="0"/>
        </w:rPr>
        <w:t>政拨款支出决算明细表</w:t>
      </w:r>
      <w:bookmarkEnd w:id="61"/>
      <w:bookmarkStart w:id="62" w:name="_Toc15396624"/>
    </w:p>
    <w:p w14:paraId="5370A56A">
      <w:pPr>
        <w:pStyle w:val="3"/>
        <w:spacing w:line="240" w:lineRule="auto"/>
        <w:rPr>
          <w:rFonts w:ascii="仿宋_GB2312" w:hAnsi="仿宋" w:eastAsia="仿宋_GB2312"/>
          <w:color w:val="000000"/>
        </w:rPr>
      </w:pPr>
      <w:r>
        <w:rPr>
          <w:rStyle w:val="25"/>
          <w:rFonts w:hint="eastAsia" w:ascii="仿宋_GB2312" w:hAnsi="仿宋" w:eastAsia="仿宋_GB2312"/>
          <w:b w:val="0"/>
          <w:bCs w:val="0"/>
        </w:rPr>
        <w:t>六、</w:t>
      </w:r>
      <w:r>
        <w:rPr>
          <w:rFonts w:hint="eastAsia" w:ascii="仿宋_GB2312" w:hAnsi="仿宋" w:eastAsia="仿宋_GB2312"/>
          <w:b w:val="0"/>
          <w:color w:val="000000"/>
        </w:rPr>
        <w:t>一</w:t>
      </w:r>
      <w:r>
        <w:rPr>
          <w:rStyle w:val="25"/>
          <w:rFonts w:hint="eastAsia" w:ascii="仿宋_GB2312" w:hAnsi="仿宋" w:eastAsia="仿宋_GB2312"/>
          <w:b w:val="0"/>
          <w:bCs w:val="0"/>
        </w:rPr>
        <w:t>般公共预算财政拨款支出决算表</w:t>
      </w:r>
      <w:bookmarkEnd w:id="62"/>
    </w:p>
    <w:p w14:paraId="65BA34C4">
      <w:pPr>
        <w:pStyle w:val="3"/>
        <w:spacing w:line="240" w:lineRule="auto"/>
        <w:rPr>
          <w:rFonts w:ascii="仿宋_GB2312" w:hAnsi="仿宋" w:eastAsia="仿宋_GB2312"/>
          <w:color w:val="000000"/>
        </w:rPr>
      </w:pPr>
      <w:bookmarkStart w:id="63" w:name="_Toc15396625"/>
      <w:r>
        <w:rPr>
          <w:rStyle w:val="25"/>
          <w:rFonts w:hint="eastAsia" w:ascii="仿宋_GB2312" w:hAnsi="仿宋" w:eastAsia="仿宋_GB2312"/>
          <w:b w:val="0"/>
          <w:bCs w:val="0"/>
        </w:rPr>
        <w:t>七、</w:t>
      </w:r>
      <w:r>
        <w:rPr>
          <w:rFonts w:hint="eastAsia" w:ascii="仿宋_GB2312" w:hAnsi="仿宋" w:eastAsia="仿宋_GB2312"/>
          <w:b w:val="0"/>
          <w:color w:val="000000"/>
        </w:rPr>
        <w:t>一</w:t>
      </w:r>
      <w:r>
        <w:rPr>
          <w:rStyle w:val="25"/>
          <w:rFonts w:hint="eastAsia" w:ascii="仿宋_GB2312" w:hAnsi="仿宋" w:eastAsia="仿宋_GB2312"/>
          <w:b w:val="0"/>
          <w:bCs w:val="0"/>
        </w:rPr>
        <w:t>般公共预算财政拨款支出决算明细表</w:t>
      </w:r>
      <w:bookmarkEnd w:id="63"/>
    </w:p>
    <w:p w14:paraId="46325457">
      <w:pPr>
        <w:pStyle w:val="3"/>
        <w:spacing w:line="240" w:lineRule="auto"/>
        <w:rPr>
          <w:rFonts w:ascii="仿宋_GB2312" w:hAnsi="仿宋" w:eastAsia="仿宋_GB2312"/>
          <w:color w:val="000000"/>
        </w:rPr>
      </w:pPr>
      <w:bookmarkStart w:id="64" w:name="_Toc15396626"/>
      <w:r>
        <w:rPr>
          <w:rStyle w:val="25"/>
          <w:rFonts w:hint="eastAsia" w:ascii="仿宋_GB2312" w:hAnsi="仿宋" w:eastAsia="仿宋_GB2312"/>
          <w:b w:val="0"/>
          <w:bCs w:val="0"/>
        </w:rPr>
        <w:t>八、</w:t>
      </w:r>
      <w:r>
        <w:rPr>
          <w:rFonts w:hint="eastAsia" w:ascii="仿宋_GB2312" w:hAnsi="仿宋" w:eastAsia="仿宋_GB2312"/>
          <w:b w:val="0"/>
          <w:color w:val="000000"/>
        </w:rPr>
        <w:t>一</w:t>
      </w:r>
      <w:r>
        <w:rPr>
          <w:rStyle w:val="25"/>
          <w:rFonts w:hint="eastAsia" w:ascii="仿宋_GB2312" w:hAnsi="仿宋" w:eastAsia="仿宋_GB2312"/>
          <w:b w:val="0"/>
          <w:bCs w:val="0"/>
        </w:rPr>
        <w:t>般公共预算财政拨款基本支出决算表</w:t>
      </w:r>
      <w:bookmarkEnd w:id="64"/>
    </w:p>
    <w:p w14:paraId="7DD0248D">
      <w:pPr>
        <w:pStyle w:val="3"/>
        <w:spacing w:line="240" w:lineRule="auto"/>
        <w:rPr>
          <w:rFonts w:ascii="仿宋_GB2312" w:hAnsi="仿宋" w:eastAsia="仿宋_GB2312"/>
          <w:color w:val="000000"/>
        </w:rPr>
      </w:pPr>
      <w:bookmarkStart w:id="65" w:name="_Toc15396627"/>
      <w:r>
        <w:rPr>
          <w:rStyle w:val="25"/>
          <w:rFonts w:hint="eastAsia" w:ascii="仿宋_GB2312" w:hAnsi="仿宋" w:eastAsia="仿宋_GB2312"/>
          <w:b w:val="0"/>
          <w:bCs w:val="0"/>
        </w:rPr>
        <w:t>九、</w:t>
      </w:r>
      <w:r>
        <w:rPr>
          <w:rFonts w:hint="eastAsia" w:ascii="仿宋_GB2312" w:hAnsi="仿宋" w:eastAsia="仿宋_GB2312"/>
          <w:b w:val="0"/>
          <w:color w:val="000000"/>
        </w:rPr>
        <w:t>一</w:t>
      </w:r>
      <w:r>
        <w:rPr>
          <w:rStyle w:val="25"/>
          <w:rFonts w:hint="eastAsia" w:ascii="仿宋_GB2312" w:hAnsi="仿宋" w:eastAsia="仿宋_GB2312"/>
          <w:b w:val="0"/>
          <w:bCs w:val="0"/>
        </w:rPr>
        <w:t>般公共预算财政拨款项目支出决算表</w:t>
      </w:r>
      <w:bookmarkEnd w:id="65"/>
    </w:p>
    <w:p w14:paraId="41511276">
      <w:pPr>
        <w:pStyle w:val="3"/>
        <w:spacing w:line="240" w:lineRule="auto"/>
        <w:rPr>
          <w:rFonts w:ascii="仿宋_GB2312" w:hAnsi="仿宋" w:eastAsia="仿宋_GB2312"/>
          <w:color w:val="000000"/>
        </w:rPr>
      </w:pPr>
      <w:bookmarkStart w:id="66" w:name="_Toc15396628"/>
      <w:r>
        <w:rPr>
          <w:rStyle w:val="25"/>
          <w:rFonts w:hint="eastAsia" w:ascii="仿宋_GB2312" w:hAnsi="仿宋" w:eastAsia="仿宋_GB2312"/>
          <w:b w:val="0"/>
          <w:bCs w:val="0"/>
        </w:rPr>
        <w:t>十、</w:t>
      </w:r>
      <w:r>
        <w:rPr>
          <w:rFonts w:hint="eastAsia" w:ascii="仿宋_GB2312" w:hAnsi="仿宋" w:eastAsia="仿宋_GB2312"/>
          <w:b w:val="0"/>
          <w:color w:val="000000"/>
        </w:rPr>
        <w:t>一</w:t>
      </w:r>
      <w:r>
        <w:rPr>
          <w:rStyle w:val="25"/>
          <w:rFonts w:hint="eastAsia" w:ascii="仿宋_GB2312" w:hAnsi="仿宋" w:eastAsia="仿宋_GB2312"/>
          <w:b w:val="0"/>
          <w:bCs w:val="0"/>
        </w:rPr>
        <w:t>般公共预算财政拨款“三公”经费支出决算表</w:t>
      </w:r>
      <w:bookmarkEnd w:id="66"/>
    </w:p>
    <w:p w14:paraId="689A28D6">
      <w:pPr>
        <w:pStyle w:val="3"/>
        <w:spacing w:line="240" w:lineRule="auto"/>
        <w:rPr>
          <w:rFonts w:ascii="仿宋_GB2312" w:hAnsi="仿宋" w:eastAsia="仿宋_GB2312"/>
          <w:color w:val="000000"/>
        </w:rPr>
      </w:pPr>
      <w:bookmarkStart w:id="67" w:name="_Toc15396629"/>
      <w:r>
        <w:rPr>
          <w:rStyle w:val="25"/>
          <w:rFonts w:hint="eastAsia" w:ascii="仿宋_GB2312" w:hAnsi="仿宋" w:eastAsia="仿宋_GB2312"/>
          <w:b w:val="0"/>
          <w:bCs w:val="0"/>
        </w:rPr>
        <w:t>十一、</w:t>
      </w:r>
      <w:r>
        <w:rPr>
          <w:rFonts w:hint="eastAsia" w:ascii="仿宋_GB2312" w:hAnsi="仿宋" w:eastAsia="仿宋_GB2312"/>
          <w:b w:val="0"/>
          <w:color w:val="000000"/>
        </w:rPr>
        <w:t>政</w:t>
      </w:r>
      <w:r>
        <w:rPr>
          <w:rStyle w:val="25"/>
          <w:rFonts w:hint="eastAsia" w:ascii="仿宋_GB2312" w:hAnsi="仿宋" w:eastAsia="仿宋_GB2312"/>
          <w:b w:val="0"/>
          <w:bCs w:val="0"/>
        </w:rPr>
        <w:t>府性基金预算财政拨款收入支出决算表</w:t>
      </w:r>
      <w:bookmarkEnd w:id="67"/>
    </w:p>
    <w:p w14:paraId="516AD779">
      <w:pPr>
        <w:pStyle w:val="3"/>
        <w:spacing w:line="240" w:lineRule="auto"/>
        <w:rPr>
          <w:rFonts w:ascii="仿宋_GB2312" w:hAnsi="仿宋" w:eastAsia="仿宋_GB2312"/>
          <w:color w:val="000000"/>
        </w:rPr>
      </w:pPr>
      <w:bookmarkStart w:id="68" w:name="_Toc15396630"/>
      <w:r>
        <w:rPr>
          <w:rStyle w:val="25"/>
          <w:rFonts w:hint="eastAsia" w:ascii="仿宋_GB2312" w:hAnsi="仿宋" w:eastAsia="仿宋_GB2312"/>
          <w:b w:val="0"/>
          <w:bCs w:val="0"/>
        </w:rPr>
        <w:t>十二、</w:t>
      </w:r>
      <w:r>
        <w:rPr>
          <w:rFonts w:hint="eastAsia" w:ascii="仿宋_GB2312" w:hAnsi="仿宋" w:eastAsia="仿宋_GB2312"/>
          <w:b w:val="0"/>
          <w:color w:val="000000"/>
        </w:rPr>
        <w:t>政</w:t>
      </w:r>
      <w:r>
        <w:rPr>
          <w:rStyle w:val="25"/>
          <w:rFonts w:hint="eastAsia" w:ascii="仿宋_GB2312" w:hAnsi="仿宋" w:eastAsia="仿宋_GB2312"/>
          <w:b w:val="0"/>
          <w:bCs w:val="0"/>
        </w:rPr>
        <w:t>府性基金预算财政拨款“三公”经费支出决算表</w:t>
      </w:r>
      <w:bookmarkEnd w:id="68"/>
    </w:p>
    <w:p w14:paraId="18038F10">
      <w:pPr>
        <w:pStyle w:val="3"/>
        <w:spacing w:line="240" w:lineRule="auto"/>
        <w:rPr>
          <w:rFonts w:ascii="仿宋_GB2312" w:hAnsi="仿宋" w:eastAsia="仿宋_GB2312"/>
          <w:color w:val="000000" w:themeColor="text1"/>
        </w:rPr>
      </w:pPr>
      <w:bookmarkStart w:id="69" w:name="_Toc15396631"/>
      <w:r>
        <w:rPr>
          <w:rStyle w:val="25"/>
          <w:rFonts w:hint="eastAsia" w:ascii="仿宋_GB2312" w:hAnsi="仿宋" w:eastAsia="仿宋_GB2312"/>
          <w:b w:val="0"/>
          <w:bCs w:val="0"/>
        </w:rPr>
        <w:t>十三、</w:t>
      </w:r>
      <w:r>
        <w:rPr>
          <w:rFonts w:hint="eastAsia" w:ascii="仿宋_GB2312" w:hAnsi="仿宋" w:eastAsia="仿宋_GB2312"/>
          <w:b w:val="0"/>
          <w:color w:val="000000"/>
        </w:rPr>
        <w:t>国</w:t>
      </w:r>
      <w:r>
        <w:rPr>
          <w:rStyle w:val="25"/>
          <w:rFonts w:hint="eastAsia" w:ascii="仿宋_GB2312" w:hAnsi="仿宋" w:eastAsia="仿宋_GB2312"/>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imHei">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32407"/>
      <w:docPartObj>
        <w:docPartGallery w:val="AutoText"/>
      </w:docPartObj>
    </w:sdtPr>
    <w:sdtContent>
      <w:p w14:paraId="06D827FA">
        <w:pPr>
          <w:pStyle w:val="8"/>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CB9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B9CED"/>
    <w:multiLevelType w:val="singleLevel"/>
    <w:tmpl w:val="981B9CED"/>
    <w:lvl w:ilvl="0" w:tentative="0">
      <w:start w:val="1"/>
      <w:numFmt w:val="chineseCounting"/>
      <w:suff w:val="nothing"/>
      <w:lvlText w:val="（%1）"/>
      <w:lvlJc w:val="left"/>
      <w:rPr>
        <w:rFonts w:hint="eastAsia"/>
      </w:rPr>
    </w:lvl>
  </w:abstractNum>
  <w:abstractNum w:abstractNumId="1">
    <w:nsid w:val="C52464F3"/>
    <w:multiLevelType w:val="singleLevel"/>
    <w:tmpl w:val="C52464F3"/>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CF8B9646"/>
    <w:multiLevelType w:val="singleLevel"/>
    <w:tmpl w:val="CF8B9646"/>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3F35C0E"/>
    <w:multiLevelType w:val="singleLevel"/>
    <w:tmpl w:val="33F35C0E"/>
    <w:lvl w:ilvl="0" w:tentative="0">
      <w:start w:val="2"/>
      <w:numFmt w:val="chineseCounting"/>
      <w:suff w:val="nothing"/>
      <w:lvlText w:val="（%1）"/>
      <w:lvlJc w:val="left"/>
      <w:rPr>
        <w:rFonts w:hint="eastAsia"/>
      </w:rPr>
    </w:lvl>
  </w:abstractNum>
  <w:abstractNum w:abstractNumId="7">
    <w:nsid w:val="6FF7501D"/>
    <w:multiLevelType w:val="singleLevel"/>
    <w:tmpl w:val="6FF7501D"/>
    <w:lvl w:ilvl="0" w:tentative="0">
      <w:start w:val="3"/>
      <w:numFmt w:val="chineseCounting"/>
      <w:suff w:val="nothing"/>
      <w:lvlText w:val="（%1）"/>
      <w:lvlJc w:val="left"/>
      <w:rPr>
        <w:rFonts w:hint="eastAsia"/>
      </w:rPr>
    </w:lvl>
  </w:abstractNum>
  <w:num w:numId="1">
    <w:abstractNumId w:val="2"/>
  </w:num>
  <w:num w:numId="2">
    <w:abstractNumId w:val="1"/>
  </w:num>
  <w:num w:numId="3">
    <w:abstractNumId w:val="4"/>
  </w:num>
  <w:num w:numId="4">
    <w:abstractNumId w:val="7"/>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471C2"/>
    <w:rsid w:val="00051406"/>
    <w:rsid w:val="0006487A"/>
    <w:rsid w:val="00065F8F"/>
    <w:rsid w:val="00070A43"/>
    <w:rsid w:val="000768F2"/>
    <w:rsid w:val="00080419"/>
    <w:rsid w:val="0009184B"/>
    <w:rsid w:val="00094236"/>
    <w:rsid w:val="0009593C"/>
    <w:rsid w:val="00097322"/>
    <w:rsid w:val="000A6202"/>
    <w:rsid w:val="000A6A92"/>
    <w:rsid w:val="000A6FD6"/>
    <w:rsid w:val="000B047F"/>
    <w:rsid w:val="000B5923"/>
    <w:rsid w:val="000B5A48"/>
    <w:rsid w:val="000B6FF3"/>
    <w:rsid w:val="000C3467"/>
    <w:rsid w:val="000C3CA6"/>
    <w:rsid w:val="000D1267"/>
    <w:rsid w:val="000D1D50"/>
    <w:rsid w:val="000D5782"/>
    <w:rsid w:val="000E6613"/>
    <w:rsid w:val="000E7119"/>
    <w:rsid w:val="001020D0"/>
    <w:rsid w:val="00110E99"/>
    <w:rsid w:val="00114E9B"/>
    <w:rsid w:val="001353E0"/>
    <w:rsid w:val="00142216"/>
    <w:rsid w:val="00143FB7"/>
    <w:rsid w:val="00144D6A"/>
    <w:rsid w:val="0014729F"/>
    <w:rsid w:val="001541E7"/>
    <w:rsid w:val="00157BAB"/>
    <w:rsid w:val="001654D1"/>
    <w:rsid w:val="00174518"/>
    <w:rsid w:val="0018106D"/>
    <w:rsid w:val="001877A7"/>
    <w:rsid w:val="00191536"/>
    <w:rsid w:val="00196687"/>
    <w:rsid w:val="001C0962"/>
    <w:rsid w:val="001C61D1"/>
    <w:rsid w:val="001D3F6D"/>
    <w:rsid w:val="001D7531"/>
    <w:rsid w:val="001E737D"/>
    <w:rsid w:val="001F0592"/>
    <w:rsid w:val="001F7506"/>
    <w:rsid w:val="002006CD"/>
    <w:rsid w:val="00202B36"/>
    <w:rsid w:val="00204B7A"/>
    <w:rsid w:val="00204CDE"/>
    <w:rsid w:val="0021101A"/>
    <w:rsid w:val="00220536"/>
    <w:rsid w:val="0023001D"/>
    <w:rsid w:val="00235629"/>
    <w:rsid w:val="00243C62"/>
    <w:rsid w:val="00260C38"/>
    <w:rsid w:val="002616C0"/>
    <w:rsid w:val="00261F36"/>
    <w:rsid w:val="00265372"/>
    <w:rsid w:val="002662AA"/>
    <w:rsid w:val="00280496"/>
    <w:rsid w:val="0029366F"/>
    <w:rsid w:val="00294DC9"/>
    <w:rsid w:val="00295495"/>
    <w:rsid w:val="002A0C41"/>
    <w:rsid w:val="002A31DE"/>
    <w:rsid w:val="002B2613"/>
    <w:rsid w:val="002C0FEC"/>
    <w:rsid w:val="002D0913"/>
    <w:rsid w:val="002D19B0"/>
    <w:rsid w:val="002D6D05"/>
    <w:rsid w:val="002F1818"/>
    <w:rsid w:val="002F567B"/>
    <w:rsid w:val="00313C1E"/>
    <w:rsid w:val="003216A9"/>
    <w:rsid w:val="00321C3D"/>
    <w:rsid w:val="00335A74"/>
    <w:rsid w:val="00354FFC"/>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5913"/>
    <w:rsid w:val="00406254"/>
    <w:rsid w:val="00416CD4"/>
    <w:rsid w:val="004223DE"/>
    <w:rsid w:val="00434489"/>
    <w:rsid w:val="00437085"/>
    <w:rsid w:val="00443880"/>
    <w:rsid w:val="004464F4"/>
    <w:rsid w:val="00471401"/>
    <w:rsid w:val="00473F31"/>
    <w:rsid w:val="0048263A"/>
    <w:rsid w:val="00487E5D"/>
    <w:rsid w:val="00493F4C"/>
    <w:rsid w:val="00495599"/>
    <w:rsid w:val="004A3B1E"/>
    <w:rsid w:val="004A711F"/>
    <w:rsid w:val="004B199D"/>
    <w:rsid w:val="004B4690"/>
    <w:rsid w:val="004C5E30"/>
    <w:rsid w:val="004E0A2D"/>
    <w:rsid w:val="004E206B"/>
    <w:rsid w:val="004E6DF7"/>
    <w:rsid w:val="004F0FBD"/>
    <w:rsid w:val="004F403E"/>
    <w:rsid w:val="0050150E"/>
    <w:rsid w:val="00505A47"/>
    <w:rsid w:val="00512FDA"/>
    <w:rsid w:val="00520DA0"/>
    <w:rsid w:val="005664BB"/>
    <w:rsid w:val="00566FFA"/>
    <w:rsid w:val="0057481D"/>
    <w:rsid w:val="00575F0B"/>
    <w:rsid w:val="0058486E"/>
    <w:rsid w:val="00585B33"/>
    <w:rsid w:val="0059014D"/>
    <w:rsid w:val="005B322C"/>
    <w:rsid w:val="005B4E50"/>
    <w:rsid w:val="005B5C64"/>
    <w:rsid w:val="005C6BD0"/>
    <w:rsid w:val="005C6C4C"/>
    <w:rsid w:val="005D1C8B"/>
    <w:rsid w:val="005D468D"/>
    <w:rsid w:val="005D5CED"/>
    <w:rsid w:val="005F1A4C"/>
    <w:rsid w:val="005F1D36"/>
    <w:rsid w:val="005F2F64"/>
    <w:rsid w:val="00605688"/>
    <w:rsid w:val="006070AF"/>
    <w:rsid w:val="00607E6C"/>
    <w:rsid w:val="006101B1"/>
    <w:rsid w:val="00614E44"/>
    <w:rsid w:val="0062270A"/>
    <w:rsid w:val="00622830"/>
    <w:rsid w:val="0062367C"/>
    <w:rsid w:val="00623DA0"/>
    <w:rsid w:val="00630AEF"/>
    <w:rsid w:val="006325F8"/>
    <w:rsid w:val="00633463"/>
    <w:rsid w:val="00634C9A"/>
    <w:rsid w:val="006440E4"/>
    <w:rsid w:val="0066343B"/>
    <w:rsid w:val="00664777"/>
    <w:rsid w:val="006748A4"/>
    <w:rsid w:val="00681A31"/>
    <w:rsid w:val="00683E73"/>
    <w:rsid w:val="00691F27"/>
    <w:rsid w:val="006A3141"/>
    <w:rsid w:val="006A5E34"/>
    <w:rsid w:val="006B2422"/>
    <w:rsid w:val="006B2B9A"/>
    <w:rsid w:val="006C1937"/>
    <w:rsid w:val="006F020C"/>
    <w:rsid w:val="007127B7"/>
    <w:rsid w:val="00716C1A"/>
    <w:rsid w:val="0071798E"/>
    <w:rsid w:val="00727533"/>
    <w:rsid w:val="007416B6"/>
    <w:rsid w:val="00746F48"/>
    <w:rsid w:val="0075404D"/>
    <w:rsid w:val="0076182A"/>
    <w:rsid w:val="00767B7E"/>
    <w:rsid w:val="007770C3"/>
    <w:rsid w:val="007826D3"/>
    <w:rsid w:val="0078450A"/>
    <w:rsid w:val="00784D24"/>
    <w:rsid w:val="00785FBA"/>
    <w:rsid w:val="00786E4A"/>
    <w:rsid w:val="007875EB"/>
    <w:rsid w:val="0079426B"/>
    <w:rsid w:val="007B43D6"/>
    <w:rsid w:val="007D1682"/>
    <w:rsid w:val="007D312A"/>
    <w:rsid w:val="007D3F19"/>
    <w:rsid w:val="007E23B0"/>
    <w:rsid w:val="007F1991"/>
    <w:rsid w:val="007F2C2F"/>
    <w:rsid w:val="007F55FC"/>
    <w:rsid w:val="007F5665"/>
    <w:rsid w:val="00800112"/>
    <w:rsid w:val="0080129B"/>
    <w:rsid w:val="00813348"/>
    <w:rsid w:val="0082489E"/>
    <w:rsid w:val="008253BB"/>
    <w:rsid w:val="00830E42"/>
    <w:rsid w:val="0083178A"/>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48D9"/>
    <w:rsid w:val="008E1DE7"/>
    <w:rsid w:val="008E48C1"/>
    <w:rsid w:val="008E707C"/>
    <w:rsid w:val="00900B08"/>
    <w:rsid w:val="00902155"/>
    <w:rsid w:val="00902FA3"/>
    <w:rsid w:val="00923564"/>
    <w:rsid w:val="0092392E"/>
    <w:rsid w:val="009315F9"/>
    <w:rsid w:val="00933499"/>
    <w:rsid w:val="00935C98"/>
    <w:rsid w:val="00943D34"/>
    <w:rsid w:val="00946945"/>
    <w:rsid w:val="00951248"/>
    <w:rsid w:val="0095152F"/>
    <w:rsid w:val="00954C49"/>
    <w:rsid w:val="00955E37"/>
    <w:rsid w:val="0097099F"/>
    <w:rsid w:val="00971997"/>
    <w:rsid w:val="00971FFC"/>
    <w:rsid w:val="00984E36"/>
    <w:rsid w:val="0098660A"/>
    <w:rsid w:val="009931C3"/>
    <w:rsid w:val="009B2C43"/>
    <w:rsid w:val="009B4EAE"/>
    <w:rsid w:val="009B7573"/>
    <w:rsid w:val="009C22F4"/>
    <w:rsid w:val="009C2E98"/>
    <w:rsid w:val="009C37FB"/>
    <w:rsid w:val="009D3447"/>
    <w:rsid w:val="009D4711"/>
    <w:rsid w:val="009F1185"/>
    <w:rsid w:val="009F18CD"/>
    <w:rsid w:val="009F2A13"/>
    <w:rsid w:val="009F3C91"/>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0FB3"/>
    <w:rsid w:val="00A861AA"/>
    <w:rsid w:val="00A91760"/>
    <w:rsid w:val="00A93B00"/>
    <w:rsid w:val="00A93C21"/>
    <w:rsid w:val="00AA0801"/>
    <w:rsid w:val="00AA2FAA"/>
    <w:rsid w:val="00AB1C56"/>
    <w:rsid w:val="00AB64C9"/>
    <w:rsid w:val="00AC012F"/>
    <w:rsid w:val="00AC3C6A"/>
    <w:rsid w:val="00AD0F83"/>
    <w:rsid w:val="00AD291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3041"/>
    <w:rsid w:val="00B440AA"/>
    <w:rsid w:val="00B44B70"/>
    <w:rsid w:val="00B53C56"/>
    <w:rsid w:val="00B54BCC"/>
    <w:rsid w:val="00B57DAF"/>
    <w:rsid w:val="00B621BB"/>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0D0B"/>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4CAD"/>
    <w:rsid w:val="00D51276"/>
    <w:rsid w:val="00D7035F"/>
    <w:rsid w:val="00DA634F"/>
    <w:rsid w:val="00DA65AC"/>
    <w:rsid w:val="00DB1913"/>
    <w:rsid w:val="00DC410D"/>
    <w:rsid w:val="00DC4922"/>
    <w:rsid w:val="00DC5A81"/>
    <w:rsid w:val="00DC68CA"/>
    <w:rsid w:val="00DC7CBA"/>
    <w:rsid w:val="00DD73B7"/>
    <w:rsid w:val="00DF28BC"/>
    <w:rsid w:val="00DF34B9"/>
    <w:rsid w:val="00E01053"/>
    <w:rsid w:val="00E07ACF"/>
    <w:rsid w:val="00E331A1"/>
    <w:rsid w:val="00E33202"/>
    <w:rsid w:val="00E336A9"/>
    <w:rsid w:val="00E472B1"/>
    <w:rsid w:val="00E50624"/>
    <w:rsid w:val="00E50FC3"/>
    <w:rsid w:val="00E568DF"/>
    <w:rsid w:val="00E63946"/>
    <w:rsid w:val="00E64269"/>
    <w:rsid w:val="00E66797"/>
    <w:rsid w:val="00E82267"/>
    <w:rsid w:val="00E853CE"/>
    <w:rsid w:val="00E867B6"/>
    <w:rsid w:val="00E87F08"/>
    <w:rsid w:val="00E92090"/>
    <w:rsid w:val="00EA010F"/>
    <w:rsid w:val="00ED1B63"/>
    <w:rsid w:val="00ED3C1F"/>
    <w:rsid w:val="00ED4085"/>
    <w:rsid w:val="00ED420E"/>
    <w:rsid w:val="00ED6FBE"/>
    <w:rsid w:val="00EE2F57"/>
    <w:rsid w:val="00EF458D"/>
    <w:rsid w:val="00EF4C34"/>
    <w:rsid w:val="00EF77C6"/>
    <w:rsid w:val="00F05438"/>
    <w:rsid w:val="00F1214D"/>
    <w:rsid w:val="00F1361C"/>
    <w:rsid w:val="00F156F0"/>
    <w:rsid w:val="00F160C7"/>
    <w:rsid w:val="00F2408F"/>
    <w:rsid w:val="00F240E9"/>
    <w:rsid w:val="00F36D8F"/>
    <w:rsid w:val="00F417B1"/>
    <w:rsid w:val="00F45853"/>
    <w:rsid w:val="00F602DF"/>
    <w:rsid w:val="00F635AF"/>
    <w:rsid w:val="00F754A1"/>
    <w:rsid w:val="00F81FD9"/>
    <w:rsid w:val="00F841AA"/>
    <w:rsid w:val="00F84A94"/>
    <w:rsid w:val="00F87E96"/>
    <w:rsid w:val="00FA23E8"/>
    <w:rsid w:val="00FB2FD3"/>
    <w:rsid w:val="00FC2C98"/>
    <w:rsid w:val="00FD2855"/>
    <w:rsid w:val="00FD3CC1"/>
    <w:rsid w:val="00FE788E"/>
    <w:rsid w:val="00FF1E02"/>
    <w:rsid w:val="00FF30B4"/>
    <w:rsid w:val="016D5A19"/>
    <w:rsid w:val="03EC7509"/>
    <w:rsid w:val="07AF5F16"/>
    <w:rsid w:val="10C055FF"/>
    <w:rsid w:val="11870783"/>
    <w:rsid w:val="16BB723D"/>
    <w:rsid w:val="185572BC"/>
    <w:rsid w:val="1A75566D"/>
    <w:rsid w:val="1CB90162"/>
    <w:rsid w:val="240371BF"/>
    <w:rsid w:val="29FD04D3"/>
    <w:rsid w:val="2C377AD7"/>
    <w:rsid w:val="30831EBC"/>
    <w:rsid w:val="31387CF4"/>
    <w:rsid w:val="319F7F4E"/>
    <w:rsid w:val="37D94DE2"/>
    <w:rsid w:val="3F9765EA"/>
    <w:rsid w:val="40DA51BC"/>
    <w:rsid w:val="48EF29C3"/>
    <w:rsid w:val="4ECE2238"/>
    <w:rsid w:val="50B6257B"/>
    <w:rsid w:val="54837645"/>
    <w:rsid w:val="54B64FAD"/>
    <w:rsid w:val="572B4C92"/>
    <w:rsid w:val="589E64AC"/>
    <w:rsid w:val="6298359C"/>
    <w:rsid w:val="6D416549"/>
    <w:rsid w:val="6DC01BFF"/>
    <w:rsid w:val="72734D90"/>
    <w:rsid w:val="756D3AB9"/>
    <w:rsid w:val="7F333C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107.15</c:v>
                </c:pt>
                <c:pt idx="1">
                  <c:v>116.08</c:v>
                </c:pt>
              </c:numCache>
            </c:numRef>
          </c:val>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85.37</c:v>
                </c:pt>
                <c:pt idx="1">
                  <c:v>140.29</c:v>
                </c:pt>
              </c:numCache>
            </c:numRef>
          </c:val>
        </c:ser>
        <c:dLbls>
          <c:showLegendKey val="0"/>
          <c:showVal val="1"/>
          <c:showCatName val="0"/>
          <c:showSerName val="0"/>
          <c:showPercent val="0"/>
          <c:showBubbleSize val="0"/>
        </c:dLbls>
        <c:gapWidth val="150"/>
        <c:axId val="178729344"/>
        <c:axId val="188549760"/>
      </c:barChart>
      <c:catAx>
        <c:axId val="17872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549760"/>
        <c:crosses val="autoZero"/>
        <c:auto val="1"/>
        <c:lblAlgn val="ctr"/>
        <c:lblOffset val="100"/>
        <c:noMultiLvlLbl val="0"/>
      </c:catAx>
      <c:valAx>
        <c:axId val="188549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2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9cf5176-c0c1-42b5-a75d-0772ac80001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85.36</c:v>
                </c:pt>
                <c:pt idx="1">
                  <c:v>0.01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5b36390-c857-47eb-97a0-efd546456d6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113.64</c:v>
                </c:pt>
                <c:pt idx="1">
                  <c:v>26.65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dddaf26-c824-4d99-9fba-442677de2fc1}"/>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一般公预算财政拨款收支总计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Sheet1!$B$2:$B$3</c:f>
              <c:numCache>
                <c:formatCode>General</c:formatCode>
                <c:ptCount val="2"/>
                <c:pt idx="0">
                  <c:v>223.2</c:v>
                </c:pt>
                <c:pt idx="1">
                  <c:v>225.65</c:v>
                </c:pt>
              </c:numCache>
            </c:numRef>
          </c:val>
        </c:ser>
        <c:dLbls>
          <c:showLegendKey val="0"/>
          <c:showVal val="1"/>
          <c:showCatName val="0"/>
          <c:showSerName val="0"/>
          <c:showPercent val="0"/>
          <c:showBubbleSize val="0"/>
        </c:dLbls>
        <c:gapWidth val="150"/>
        <c:overlap val="100"/>
        <c:axId val="123400960"/>
        <c:axId val="123402496"/>
      </c:barChart>
      <c:catAx>
        <c:axId val="1234009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402496"/>
        <c:crosses val="autoZero"/>
        <c:auto val="1"/>
        <c:lblAlgn val="ctr"/>
        <c:lblOffset val="100"/>
        <c:noMultiLvlLbl val="0"/>
      </c:catAx>
      <c:valAx>
        <c:axId val="123402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40096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ca42c75-25a9-4057-98a7-2daa26da81e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一般公共预算拨款支出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Sheet1!$B$2:$B$3</c:f>
              <c:numCache>
                <c:formatCode>General</c:formatCode>
                <c:ptCount val="2"/>
                <c:pt idx="0">
                  <c:v>116.06</c:v>
                </c:pt>
                <c:pt idx="1">
                  <c:v>139.85</c:v>
                </c:pt>
              </c:numCache>
            </c:numRef>
          </c:val>
        </c:ser>
        <c:dLbls>
          <c:showLegendKey val="0"/>
          <c:showVal val="1"/>
          <c:showCatName val="0"/>
          <c:showSerName val="0"/>
          <c:showPercent val="0"/>
          <c:showBubbleSize val="0"/>
        </c:dLbls>
        <c:gapWidth val="150"/>
        <c:overlap val="100"/>
        <c:axId val="123459456"/>
        <c:axId val="123460992"/>
      </c:barChart>
      <c:catAx>
        <c:axId val="123459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460992"/>
        <c:crosses val="autoZero"/>
        <c:auto val="1"/>
        <c:lblAlgn val="ctr"/>
        <c:lblOffset val="100"/>
        <c:noMultiLvlLbl val="0"/>
      </c:catAx>
      <c:valAx>
        <c:axId val="1234609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4594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efb22d4-ec61-4677-9480-c28e16fc393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c:v>
                </c:pt>
                <c:pt idx="1">
                  <c:v>卫生健康支出</c:v>
                </c:pt>
                <c:pt idx="2">
                  <c:v>住房保障支出</c:v>
                </c:pt>
              </c:strCache>
            </c:strRef>
          </c:cat>
          <c:val>
            <c:numRef>
              <c:f>Sheet1!$B$2:$B$4</c:f>
              <c:numCache>
                <c:formatCode>General</c:formatCode>
                <c:ptCount val="3"/>
                <c:pt idx="0">
                  <c:v>122.61</c:v>
                </c:pt>
                <c:pt idx="1">
                  <c:v>6.88</c:v>
                </c:pt>
                <c:pt idx="2">
                  <c:v>10.36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b10cc34-1664-4fc7-bc50-87adfaacab1c}"/>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81EE-9758-4229-A0E5-765029BDFC1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12570</Words>
  <Characters>13250</Characters>
  <Lines>96</Lines>
  <Paragraphs>27</Paragraphs>
  <TotalTime>95</TotalTime>
  <ScaleCrop>false</ScaleCrop>
  <LinksUpToDate>false</LinksUpToDate>
  <CharactersWithSpaces>13269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许星</cp:lastModifiedBy>
  <cp:lastPrinted>2020-11-23T07:32:00Z</cp:lastPrinted>
  <dcterms:modified xsi:type="dcterms:W3CDTF">2026-01-22T09:36:00Z</dcterms:modified>
  <dc:title>四川省***</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eyJoZGlkIjoiNmJmYzZhNzA0NDJhZDg5YThiMjEyY2E4MWY2ZTE1ZDAiLCJ1c2VySWQiOiIxNjM2NzcxNDU0In0=</vt:lpwstr>
  </property>
  <property fmtid="{D5CDD505-2E9C-101B-9397-08002B2CF9AE}" pid="4" name="ICV">
    <vt:lpwstr>0E0DBAAB84D44D4EA170507871441E14_13</vt:lpwstr>
  </property>
</Properties>
</file>