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5960">
      <w:pPr>
        <w:spacing w:line="600" w:lineRule="exact"/>
        <w:jc w:val="left"/>
        <w:outlineLvl w:val="0"/>
        <w:rPr>
          <w:rFonts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4</w:t>
      </w:r>
    </w:p>
    <w:p w14:paraId="21B2BCCC">
      <w:pPr>
        <w:spacing w:line="600" w:lineRule="exact"/>
        <w:jc w:val="center"/>
        <w:outlineLvl w:val="0"/>
        <w:rPr>
          <w:rFonts w:ascii="方正小标宋简体" w:hAnsi="宋体" w:eastAsia="方正小标宋简体"/>
          <w:color w:val="000000"/>
          <w:sz w:val="72"/>
          <w:szCs w:val="72"/>
        </w:rPr>
      </w:pPr>
    </w:p>
    <w:p w14:paraId="34A1C9E9">
      <w:pPr>
        <w:spacing w:line="600" w:lineRule="exact"/>
        <w:jc w:val="center"/>
        <w:outlineLvl w:val="0"/>
        <w:rPr>
          <w:rFonts w:ascii="方正小标宋简体" w:hAnsi="宋体" w:eastAsia="方正小标宋简体"/>
          <w:color w:val="000000"/>
          <w:sz w:val="72"/>
          <w:szCs w:val="72"/>
        </w:rPr>
      </w:pPr>
    </w:p>
    <w:p w14:paraId="187D634D">
      <w:pPr>
        <w:spacing w:line="600" w:lineRule="exact"/>
        <w:jc w:val="center"/>
        <w:outlineLvl w:val="0"/>
        <w:rPr>
          <w:rFonts w:ascii="方正小标宋简体" w:hAnsi="宋体" w:eastAsia="方正小标宋简体"/>
          <w:color w:val="000000"/>
          <w:sz w:val="72"/>
          <w:szCs w:val="72"/>
        </w:rPr>
      </w:pPr>
    </w:p>
    <w:p w14:paraId="60DEAE67">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597"/>
      <w:bookmarkStart w:id="5" w:name="_Toc1539647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6478C51F">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8442"/>
      <w:bookmarkStart w:id="9" w:name="_Toc15377194"/>
      <w:bookmarkStart w:id="10" w:name="_Toc15396476"/>
      <w:bookmarkStart w:id="11" w:name="_Toc15306268"/>
      <w:r>
        <w:rPr>
          <w:rFonts w:hint="eastAsia" w:ascii="方正小标宋简体" w:hAnsi="宋体" w:eastAsia="方正小标宋简体"/>
          <w:color w:val="000000"/>
          <w:sz w:val="72"/>
          <w:szCs w:val="72"/>
        </w:rPr>
        <w:t>攀枝花市西区</w:t>
      </w:r>
      <w:r>
        <w:rPr>
          <w:rFonts w:ascii="方正小标宋简体" w:hAnsi="宋体" w:eastAsia="方正小标宋简体"/>
          <w:color w:val="000000"/>
          <w:sz w:val="72"/>
          <w:szCs w:val="72"/>
        </w:rPr>
        <w:t>就业创业</w:t>
      </w:r>
    </w:p>
    <w:p w14:paraId="4B5BA816">
      <w:pPr>
        <w:adjustRightInd w:val="0"/>
        <w:snapToGrid w:val="0"/>
        <w:spacing w:line="360" w:lineRule="auto"/>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72"/>
          <w:szCs w:val="72"/>
        </w:rPr>
        <w:t>促进中心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3ABB64DC">
      <w:pPr>
        <w:pStyle w:val="5"/>
      </w:pPr>
      <w:r>
        <w:rPr>
          <w:rFonts w:ascii="方正小标宋简体" w:hAnsi="宋体" w:eastAsia="方正小标宋简体"/>
          <w:sz w:val="36"/>
          <w:szCs w:val="36"/>
        </w:rPr>
        <w:br w:type="page"/>
      </w:r>
      <w:r>
        <w:rPr>
          <w:rFonts w:hint="eastAsia"/>
        </w:rPr>
        <w:t>目录</w:t>
      </w:r>
    </w:p>
    <w:p w14:paraId="5C2DB752">
      <w:pPr>
        <w:widowControl/>
        <w:jc w:val="center"/>
        <w:rPr>
          <w:rFonts w:ascii="黑体" w:hAnsi="黑体" w:eastAsia="黑体"/>
          <w:sz w:val="28"/>
          <w:szCs w:val="28"/>
        </w:rPr>
      </w:pPr>
    </w:p>
    <w:p w14:paraId="173F65F4">
      <w:pPr>
        <w:pStyle w:val="11"/>
      </w:pPr>
      <w:r>
        <w:rPr>
          <w:rFonts w:hint="eastAsia"/>
        </w:rPr>
        <w:t>公开时间：</w:t>
      </w:r>
      <w:r>
        <w:t>2021</w:t>
      </w:r>
      <w:r>
        <w:rPr>
          <w:rFonts w:hint="eastAsia"/>
        </w:rPr>
        <w:t>年10 月27 日</w:t>
      </w:r>
    </w:p>
    <w:p w14:paraId="249CCFB9"/>
    <w:p w14:paraId="3BE24394">
      <w:pPr>
        <w:pStyle w:val="1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14:paraId="7A613E94">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34D5BB7B">
      <w:pPr>
        <w:pStyle w:val="12"/>
        <w:adjustRightInd w:val="0"/>
        <w:snapToGrid w:val="0"/>
        <w:spacing w:line="440" w:lineRule="exact"/>
        <w:jc w:val="left"/>
        <w:rPr>
          <w:rFonts w:ascii="仿宋" w:hAnsi="仿宋" w:eastAsia="仿宋"/>
          <w:sz w:val="24"/>
        </w:rPr>
      </w:pPr>
      <w:r>
        <w:rPr>
          <w:rFonts w:hint="eastAsia"/>
          <w:sz w:val="24"/>
        </w:rPr>
        <w:t>二、机构设置</w:t>
      </w:r>
    </w:p>
    <w:p w14:paraId="606F126D">
      <w:pPr>
        <w:pStyle w:val="11"/>
        <w:adjustRightInd w:val="0"/>
        <w:snapToGrid w:val="0"/>
        <w:spacing w:before="0" w:line="440" w:lineRule="exact"/>
        <w:jc w:val="left"/>
        <w:rPr>
          <w:sz w:val="24"/>
          <w:szCs w:val="24"/>
        </w:rPr>
      </w:pPr>
      <w:r>
        <w:rPr>
          <w:rFonts w:hint="eastAsia"/>
          <w:sz w:val="24"/>
        </w:rPr>
        <w:t>第二部分度部门决算情况说明</w:t>
      </w:r>
    </w:p>
    <w:p w14:paraId="0675B3E8">
      <w:pPr>
        <w:pStyle w:val="12"/>
        <w:adjustRightInd w:val="0"/>
        <w:snapToGrid w:val="0"/>
        <w:spacing w:line="440" w:lineRule="exact"/>
        <w:jc w:val="left"/>
        <w:rPr>
          <w:rFonts w:ascii="仿宋" w:hAnsi="仿宋" w:eastAsia="仿宋"/>
          <w:sz w:val="24"/>
        </w:rPr>
      </w:pPr>
      <w:r>
        <w:rPr>
          <w:rFonts w:hint="eastAsia"/>
          <w:sz w:val="24"/>
        </w:rPr>
        <w:t>一、收入支出决算总体情况说明</w:t>
      </w:r>
    </w:p>
    <w:p w14:paraId="47DFD36E">
      <w:pPr>
        <w:pStyle w:val="12"/>
        <w:adjustRightInd w:val="0"/>
        <w:snapToGrid w:val="0"/>
        <w:spacing w:line="440" w:lineRule="exact"/>
        <w:jc w:val="left"/>
        <w:rPr>
          <w:rFonts w:ascii="仿宋" w:hAnsi="仿宋" w:eastAsia="仿宋"/>
          <w:sz w:val="24"/>
        </w:rPr>
      </w:pPr>
      <w:r>
        <w:rPr>
          <w:rFonts w:hint="eastAsia"/>
          <w:sz w:val="24"/>
        </w:rPr>
        <w:t>二、收入决算情况说明</w:t>
      </w:r>
    </w:p>
    <w:p w14:paraId="11BECFBD">
      <w:pPr>
        <w:pStyle w:val="12"/>
        <w:adjustRightInd w:val="0"/>
        <w:snapToGrid w:val="0"/>
        <w:spacing w:line="440" w:lineRule="exact"/>
        <w:jc w:val="left"/>
        <w:rPr>
          <w:rFonts w:ascii="仿宋" w:hAnsi="仿宋" w:eastAsia="仿宋"/>
          <w:sz w:val="24"/>
        </w:rPr>
      </w:pPr>
      <w:r>
        <w:rPr>
          <w:rFonts w:hint="eastAsia"/>
          <w:sz w:val="24"/>
        </w:rPr>
        <w:t>三、支出决算情况说明</w:t>
      </w:r>
    </w:p>
    <w:p w14:paraId="27D0BF28">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p>
    <w:p w14:paraId="6C56D105">
      <w:pPr>
        <w:pStyle w:val="12"/>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14:paraId="45BD29FB">
      <w:pPr>
        <w:pStyle w:val="12"/>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14:paraId="1CD28197">
      <w:pPr>
        <w:pStyle w:val="12"/>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14:paraId="6A8B6E0F">
      <w:pPr>
        <w:pStyle w:val="12"/>
        <w:adjustRightInd w:val="0"/>
        <w:snapToGrid w:val="0"/>
        <w:spacing w:line="440" w:lineRule="exact"/>
        <w:jc w:val="left"/>
        <w:rPr>
          <w:rFonts w:ascii="仿宋" w:hAnsi="仿宋" w:eastAsia="仿宋"/>
          <w:sz w:val="24"/>
        </w:rPr>
      </w:pPr>
      <w:r>
        <w:rPr>
          <w:rFonts w:hint="eastAsia"/>
          <w:sz w:val="24"/>
        </w:rPr>
        <w:t>八、政府性基金预算支出决算情况说明</w:t>
      </w:r>
    </w:p>
    <w:p w14:paraId="5CB5349E">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14:paraId="2CC95462">
      <w:pPr>
        <w:adjustRightInd w:val="0"/>
        <w:snapToGrid w:val="0"/>
        <w:spacing w:line="440" w:lineRule="exact"/>
        <w:ind w:firstLine="480" w:firstLineChars="200"/>
        <w:jc w:val="left"/>
        <w:rPr>
          <w:rFonts w:ascii="仿宋" w:hAnsi="仿宋" w:eastAsia="仿宋"/>
          <w:sz w:val="24"/>
        </w:rPr>
      </w:pPr>
      <w:r>
        <w:rPr>
          <w:rStyle w:val="16"/>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14:paraId="72F3A1DD">
      <w:pPr>
        <w:pStyle w:val="1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14:paraId="4AD4FF1A">
      <w:pPr>
        <w:pStyle w:val="1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14:paraId="3A2AE79A">
      <w:pPr>
        <w:pStyle w:val="12"/>
        <w:adjustRightInd w:val="0"/>
        <w:snapToGrid w:val="0"/>
        <w:spacing w:line="440" w:lineRule="exact"/>
        <w:jc w:val="left"/>
        <w:rPr>
          <w:rFonts w:ascii="仿宋" w:hAnsi="仿宋" w:eastAsia="仿宋"/>
          <w:sz w:val="24"/>
        </w:rPr>
      </w:pPr>
      <w:r>
        <w:rPr>
          <w:rFonts w:hint="eastAsia"/>
          <w:sz w:val="24"/>
        </w:rPr>
        <w:t>附件</w:t>
      </w:r>
      <w:r>
        <w:rPr>
          <w:sz w:val="24"/>
        </w:rPr>
        <w:t>1</w:t>
      </w:r>
    </w:p>
    <w:p w14:paraId="35D0F46B">
      <w:pPr>
        <w:pStyle w:val="12"/>
        <w:adjustRightInd w:val="0"/>
        <w:snapToGrid w:val="0"/>
        <w:spacing w:line="440" w:lineRule="exact"/>
        <w:jc w:val="left"/>
        <w:rPr>
          <w:rFonts w:ascii="仿宋" w:hAnsi="仿宋" w:eastAsia="仿宋"/>
          <w:sz w:val="24"/>
        </w:rPr>
      </w:pPr>
      <w:r>
        <w:rPr>
          <w:rFonts w:hint="eastAsia"/>
          <w:sz w:val="24"/>
        </w:rPr>
        <w:t>附件</w:t>
      </w:r>
      <w:r>
        <w:rPr>
          <w:sz w:val="24"/>
        </w:rPr>
        <w:t>2</w:t>
      </w:r>
    </w:p>
    <w:p w14:paraId="4937E04F">
      <w:pPr>
        <w:pStyle w:val="1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14:paraId="2BD6F878">
      <w:pPr>
        <w:pStyle w:val="12"/>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14:paraId="3117B7D9">
      <w:pPr>
        <w:pStyle w:val="12"/>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2A015143">
      <w:pPr>
        <w:pStyle w:val="12"/>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BD5B0A7">
      <w:pPr>
        <w:pStyle w:val="12"/>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14:paraId="6EBEF07E">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241EBCAE">
      <w:pPr>
        <w:pStyle w:val="12"/>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14:paraId="1C895C32">
      <w:pPr>
        <w:pStyle w:val="12"/>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14:paraId="24494C3D">
      <w:pPr>
        <w:pStyle w:val="12"/>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14:paraId="7A1C7A84">
      <w:pPr>
        <w:pStyle w:val="12"/>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14:paraId="379C6D5C">
      <w:pPr>
        <w:pStyle w:val="12"/>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14:paraId="07AF4EA1">
      <w:pPr>
        <w:pStyle w:val="12"/>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14:paraId="411CF905">
      <w:pPr>
        <w:pStyle w:val="12"/>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14:paraId="57A039D8">
      <w:pPr>
        <w:pStyle w:val="12"/>
        <w:adjustRightInd w:val="0"/>
        <w:snapToGrid w:val="0"/>
        <w:spacing w:line="440" w:lineRule="exact"/>
        <w:jc w:val="left"/>
        <w:rPr>
          <w:rFonts w:ascii="仿宋" w:hAnsi="仿宋" w:eastAsia="仿宋"/>
          <w:sz w:val="24"/>
        </w:rPr>
      </w:pPr>
      <w:r>
        <w:rPr>
          <w:rFonts w:hint="eastAsia" w:ascii="仿宋" w:hAnsi="仿宋" w:eastAsia="仿宋"/>
          <w:sz w:val="24"/>
        </w:rPr>
        <w:t>十三、国有资本经营预算财政拨款收入支出决算表</w:t>
      </w:r>
    </w:p>
    <w:p w14:paraId="1AADDABA">
      <w:pPr>
        <w:pStyle w:val="12"/>
        <w:adjustRightInd w:val="0"/>
        <w:snapToGrid w:val="0"/>
        <w:spacing w:line="440" w:lineRule="exact"/>
        <w:jc w:val="left"/>
        <w:rPr>
          <w:rFonts w:ascii="仿宋" w:hAnsi="仿宋" w:eastAsia="仿宋"/>
          <w:sz w:val="24"/>
        </w:rPr>
      </w:pPr>
      <w:r>
        <w:rPr>
          <w:rFonts w:hint="eastAsia" w:ascii="仿宋" w:hAnsi="仿宋" w:eastAsia="仿宋"/>
          <w:sz w:val="24"/>
        </w:rPr>
        <w:t>十四、国有资本经营预算财政拨款支出决算表</w:t>
      </w:r>
    </w:p>
    <w:p w14:paraId="0B37C189">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8A77CE0">
      <w:pPr>
        <w:pStyle w:val="2"/>
        <w:jc w:val="center"/>
        <w:rPr>
          <w:rStyle w:val="19"/>
          <w:rFonts w:ascii="黑体" w:hAnsi="黑体" w:eastAsia="黑体"/>
          <w:b w:val="0"/>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14:paraId="32906B02">
      <w:pPr>
        <w:widowControl/>
        <w:jc w:val="left"/>
        <w:rPr>
          <w:rFonts w:ascii="黑体" w:eastAsia="黑体"/>
          <w:color w:val="000000"/>
          <w:sz w:val="32"/>
          <w:szCs w:val="32"/>
        </w:rPr>
      </w:pPr>
    </w:p>
    <w:p w14:paraId="3BEB12F0">
      <w:pPr>
        <w:pStyle w:val="3"/>
        <w:spacing w:line="415" w:lineRule="auto"/>
        <w:ind w:firstLine="640" w:firstLineChars="200"/>
        <w:rPr>
          <w:rStyle w:val="2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14:paraId="5D54DF3C">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（一）主要职能。（职能参照省政府批准的三定方案）</w:t>
      </w:r>
      <w:bookmarkEnd w:id="16"/>
      <w:bookmarkEnd w:id="17"/>
    </w:p>
    <w:p w14:paraId="481462E1">
      <w:pPr>
        <w:ind w:firstLine="640" w:firstLineChars="200"/>
        <w:rPr>
          <w:rFonts w:ascii="仿宋_GB2312" w:eastAsia="仿宋_GB2312"/>
          <w:sz w:val="32"/>
          <w:szCs w:val="32"/>
        </w:rPr>
      </w:pPr>
      <w:r>
        <w:rPr>
          <w:rFonts w:hint="eastAsia" w:ascii="仿宋_GB2312" w:eastAsia="仿宋_GB2312"/>
          <w:sz w:val="32"/>
          <w:szCs w:val="32"/>
        </w:rPr>
        <w:t>（1）负责贯彻执行《中华人民共和国就业促进法》、省、市有关促进就业的法律、法规、方针和政策，组织实施积极的就业政策，促进城乡劳动者充分就业、自主创业。</w:t>
      </w:r>
    </w:p>
    <w:p w14:paraId="746E74E2">
      <w:pPr>
        <w:ind w:firstLine="640" w:firstLineChars="200"/>
        <w:rPr>
          <w:rFonts w:ascii="仿宋_GB2312" w:eastAsia="仿宋_GB2312"/>
          <w:sz w:val="32"/>
          <w:szCs w:val="32"/>
        </w:rPr>
      </w:pPr>
      <w:r>
        <w:rPr>
          <w:rFonts w:hint="eastAsia" w:ascii="仿宋_GB2312" w:eastAsia="仿宋_GB2312"/>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14:paraId="29BCF7C8">
      <w:pPr>
        <w:ind w:firstLine="640" w:firstLineChars="200"/>
        <w:rPr>
          <w:rFonts w:ascii="仿宋_GB2312" w:eastAsia="仿宋_GB2312"/>
          <w:sz w:val="32"/>
          <w:szCs w:val="32"/>
        </w:rPr>
      </w:pPr>
      <w:r>
        <w:rPr>
          <w:rFonts w:hint="eastAsia" w:ascii="仿宋_GB2312" w:eastAsia="仿宋_GB2312"/>
          <w:sz w:val="32"/>
          <w:szCs w:val="32"/>
        </w:rPr>
        <w:t>(3)负责全区公共就业服务体系建设。指导检查各街道（乡、镇）、社区（村）公共就业服务机构实施基层平台建设，开展就业（失业）登记、职业介绍、就业指导、就业培训等就业服务工作。</w:t>
      </w:r>
    </w:p>
    <w:p w14:paraId="0EE2597C">
      <w:pPr>
        <w:ind w:firstLine="640" w:firstLineChars="200"/>
        <w:rPr>
          <w:rFonts w:ascii="仿宋_GB2312" w:eastAsia="仿宋_GB2312"/>
          <w:sz w:val="32"/>
          <w:szCs w:val="32"/>
        </w:rPr>
      </w:pPr>
      <w:r>
        <w:rPr>
          <w:rFonts w:hint="eastAsia" w:ascii="仿宋_GB2312" w:eastAsia="仿宋_GB2312"/>
          <w:sz w:val="32"/>
          <w:szCs w:val="32"/>
        </w:rPr>
        <w:t>(4)负责全区就业创业培训工作，全面开展对城乡劳动者、大学生的就业技能培训和创业培训。</w:t>
      </w:r>
    </w:p>
    <w:p w14:paraId="7259BD47">
      <w:pPr>
        <w:ind w:firstLine="640" w:firstLineChars="200"/>
        <w:rPr>
          <w:rFonts w:ascii="仿宋_GB2312" w:eastAsia="仿宋_GB2312"/>
          <w:sz w:val="32"/>
          <w:szCs w:val="32"/>
        </w:rPr>
      </w:pPr>
      <w:r>
        <w:rPr>
          <w:rFonts w:hint="eastAsia" w:ascii="仿宋_GB2312" w:eastAsia="仿宋_GB2312"/>
          <w:sz w:val="32"/>
          <w:szCs w:val="32"/>
        </w:rPr>
        <w:t>(5)贯彻落实中央、省、市关于失业保险法律、法规和政策，负责失业保险各项待遇的申领发放和为领取失业保险金期间失业人员代缴基本医疗保险费等工作。</w:t>
      </w:r>
    </w:p>
    <w:p w14:paraId="706F7B0B">
      <w:pPr>
        <w:ind w:firstLine="640" w:firstLineChars="200"/>
        <w:rPr>
          <w:rFonts w:ascii="仿宋_GB2312" w:eastAsia="仿宋_GB2312"/>
          <w:sz w:val="32"/>
          <w:szCs w:val="32"/>
        </w:rPr>
      </w:pPr>
      <w:r>
        <w:rPr>
          <w:rFonts w:hint="eastAsia" w:ascii="仿宋_GB2312" w:eastAsia="仿宋_GB2312"/>
          <w:sz w:val="32"/>
          <w:szCs w:val="32"/>
        </w:rPr>
        <w:t>(6)负责全区就业援助工作，组织实施就业困难人员的认定，积极开展就业援助，并负责做好职业介绍补贴、社会保险补贴、职业培训补贴、岗位补贴、高校毕业生创业补贴等促进就业创业政策。</w:t>
      </w:r>
    </w:p>
    <w:p w14:paraId="6D4A97C2">
      <w:pPr>
        <w:ind w:firstLine="640" w:firstLineChars="200"/>
        <w:rPr>
          <w:rFonts w:ascii="仿宋_GB2312" w:eastAsia="仿宋_GB2312"/>
          <w:sz w:val="32"/>
          <w:szCs w:val="32"/>
        </w:rPr>
      </w:pPr>
      <w:r>
        <w:rPr>
          <w:rFonts w:hint="eastAsia" w:ascii="仿宋_GB2312" w:eastAsia="仿宋_GB2312"/>
          <w:sz w:val="32"/>
          <w:szCs w:val="32"/>
        </w:rPr>
        <w:t>(7)负责高校毕业生就业创业服务、就业见习基地及见习生的认定审核、离校未就业的高校毕业生跟踪服务和实名制管理、困难高校毕业生的就业援助、大学生就业创业培训。</w:t>
      </w:r>
    </w:p>
    <w:p w14:paraId="58EEEC1E">
      <w:pPr>
        <w:ind w:firstLine="640" w:firstLineChars="200"/>
        <w:rPr>
          <w:rFonts w:ascii="仿宋_GB2312" w:eastAsia="仿宋_GB2312"/>
          <w:sz w:val="32"/>
          <w:szCs w:val="32"/>
        </w:rPr>
      </w:pPr>
      <w:r>
        <w:rPr>
          <w:rFonts w:hint="eastAsia" w:ascii="仿宋_GB2312" w:eastAsia="仿宋_GB2312"/>
          <w:sz w:val="32"/>
          <w:szCs w:val="32"/>
        </w:rPr>
        <w:t>(8)负责对城乡各类失业人员自主创业、合伙经营企业的创业担保贷款进行审核、推荐。</w:t>
      </w:r>
    </w:p>
    <w:p w14:paraId="29DF5723">
      <w:pPr>
        <w:ind w:firstLine="640" w:firstLineChars="200"/>
        <w:rPr>
          <w:rFonts w:ascii="仿宋_GB2312" w:eastAsia="仿宋_GB2312"/>
          <w:sz w:val="32"/>
          <w:szCs w:val="32"/>
        </w:rPr>
      </w:pPr>
      <w:r>
        <w:rPr>
          <w:rFonts w:hint="eastAsia" w:ascii="仿宋_GB2312" w:eastAsia="仿宋_GB2312"/>
          <w:sz w:val="32"/>
          <w:szCs w:val="32"/>
        </w:rPr>
        <w:t>(9)负责全区公共就业服务信息化建设，组织开展人力资源调查、失业预警监测、综合分析统计。</w:t>
      </w:r>
    </w:p>
    <w:p w14:paraId="39245D26">
      <w:pPr>
        <w:ind w:firstLine="640" w:firstLineChars="200"/>
        <w:rPr>
          <w:rFonts w:ascii="仿宋_GB2312" w:eastAsia="仿宋_GB2312"/>
          <w:sz w:val="32"/>
          <w:szCs w:val="32"/>
        </w:rPr>
      </w:pPr>
      <w:r>
        <w:rPr>
          <w:rFonts w:hint="eastAsia" w:ascii="仿宋_GB2312" w:eastAsia="仿宋_GB2312"/>
          <w:sz w:val="32"/>
          <w:szCs w:val="32"/>
        </w:rPr>
        <w:t>(10)行使攀枝花市西区人力资源和社会保障局赋予的其他职权，完成区委、区政府和攀枝花市西区人力资源和社会保障局交办的其它工作。</w:t>
      </w:r>
    </w:p>
    <w:p w14:paraId="6BED51FC">
      <w:pPr>
        <w:ind w:firstLine="640" w:firstLineChars="200"/>
        <w:rPr>
          <w:rFonts w:ascii="仿宋_GB2312" w:hAnsi="仿宋" w:eastAsia="仿宋_GB2312" w:cs="仿宋"/>
          <w:bCs/>
          <w:color w:val="000000"/>
          <w:sz w:val="32"/>
          <w:szCs w:val="32"/>
        </w:rPr>
      </w:pPr>
      <w:r>
        <w:rPr>
          <w:rStyle w:val="32"/>
          <w:rFonts w:hint="default" w:ascii="仿宋_GB2312" w:eastAsia="仿宋_GB2312"/>
          <w:sz w:val="32"/>
          <w:szCs w:val="32"/>
        </w:rPr>
        <w:t>(11)承担农民工回引、就业创业、技能培训、维权救助、健康服务、关怀慰问、志愿服务、表扬激励等工作；承担农民工服务网站、基本信息数据库的运行维护、各类信息数据管理等工作。</w:t>
      </w:r>
    </w:p>
    <w:p w14:paraId="790649BE">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14:paraId="40D05697">
      <w:pPr>
        <w:autoSpaceDE w:val="0"/>
        <w:autoSpaceDN w:val="0"/>
        <w:adjustRightInd w:val="0"/>
        <w:spacing w:line="520" w:lineRule="exact"/>
        <w:ind w:firstLine="511" w:firstLineChars="164"/>
        <w:rPr>
          <w:rFonts w:ascii="仿宋_GB2312" w:eastAsia="仿宋_GB2312"/>
          <w:color w:val="000000"/>
          <w:spacing w:val="-4"/>
          <w:sz w:val="32"/>
          <w:szCs w:val="32"/>
        </w:rPr>
      </w:pPr>
      <w:r>
        <w:rPr>
          <w:rFonts w:hint="eastAsia" w:ascii="仿宋_GB2312" w:eastAsia="仿宋_GB2312"/>
          <w:color w:val="000000"/>
          <w:spacing w:val="-4"/>
          <w:sz w:val="32"/>
          <w:szCs w:val="32"/>
        </w:rPr>
        <w:t>1.创新服务方式，搭建用工桥梁“线上+线下”齐送岗。</w:t>
      </w:r>
    </w:p>
    <w:p w14:paraId="1C15961C">
      <w:pPr>
        <w:autoSpaceDE w:val="0"/>
        <w:autoSpaceDN w:val="0"/>
        <w:adjustRightInd w:val="0"/>
        <w:spacing w:line="520" w:lineRule="exact"/>
        <w:ind w:firstLine="624"/>
        <w:rPr>
          <w:rFonts w:ascii="仿宋_GB2312" w:eastAsia="仿宋_GB2312"/>
          <w:color w:val="000000"/>
          <w:spacing w:val="-4"/>
          <w:sz w:val="32"/>
          <w:szCs w:val="32"/>
        </w:rPr>
      </w:pPr>
      <w:r>
        <w:rPr>
          <w:rFonts w:hint="eastAsia" w:ascii="仿宋_GB2312" w:eastAsia="仿宋_GB2312"/>
          <w:color w:val="000000"/>
          <w:spacing w:val="-4"/>
          <w:sz w:val="32"/>
          <w:szCs w:val="32"/>
        </w:rPr>
        <w:t>（1）按照疫情防控要求及时将线下招聘转向线上，搭建区、街道、社区（村）三级联动就业信息网络一体化平台，充分利用“攀西人才网”“攀枝花西区就业服务”等微信公众平台、工作群等方式开展线上“春风行动”招聘活动；同时采取“送岗到一线”的方式，在高速路口、防控卡点等位置张贴招聘岗位海报，扩大求职者知晓率，让辖区群众在疫情防控期间足不出户就可获取就业岗位信息实现就业，真正实现“就业服务不打烊、网上招聘不停歇”。截至目前，共计精准推送80余家企业近2000个就业岗位，达成初步就业意向200余人。</w:t>
      </w:r>
    </w:p>
    <w:p w14:paraId="4E729BEC">
      <w:pPr>
        <w:autoSpaceDE w:val="0"/>
        <w:autoSpaceDN w:val="0"/>
        <w:adjustRightInd w:val="0"/>
        <w:spacing w:line="520" w:lineRule="exact"/>
        <w:ind w:firstLine="667" w:firstLineChars="214"/>
        <w:rPr>
          <w:rFonts w:ascii="仿宋_GB2312" w:eastAsia="仿宋_GB2312"/>
          <w:color w:val="000000"/>
          <w:spacing w:val="-4"/>
          <w:sz w:val="32"/>
          <w:szCs w:val="32"/>
        </w:rPr>
      </w:pPr>
      <w:r>
        <w:rPr>
          <w:rFonts w:hint="eastAsia" w:ascii="仿宋_GB2312" w:eastAsia="仿宋_GB2312"/>
          <w:color w:val="000000"/>
          <w:spacing w:val="-4"/>
          <w:sz w:val="32"/>
          <w:szCs w:val="32"/>
        </w:rPr>
        <w:t>（2）组织举办2020年西区民营企业专场招聘会和金秋招聘会。线下现场提供销售、家政服务、保安等100余种岗位类别的近770余个就业岗位；同步通过“攀枝花西区就业服务”微信公众号线上发布60余家企业提供的770余个就业岗位。现场共有求职人员2000余名，经用人单位与求职者初步洽谈，达成初步就业意向共计近400人。</w:t>
      </w:r>
    </w:p>
    <w:p w14:paraId="51238733">
      <w:pPr>
        <w:autoSpaceDE w:val="0"/>
        <w:autoSpaceDN w:val="0"/>
        <w:adjustRightInd w:val="0"/>
        <w:spacing w:line="520" w:lineRule="exact"/>
        <w:ind w:firstLine="511" w:firstLineChars="164"/>
        <w:rPr>
          <w:rFonts w:ascii="仿宋_GB2312" w:eastAsia="仿宋_GB2312"/>
          <w:color w:val="000000"/>
          <w:spacing w:val="-4"/>
          <w:sz w:val="32"/>
          <w:szCs w:val="32"/>
        </w:rPr>
      </w:pPr>
      <w:r>
        <w:rPr>
          <w:rFonts w:hint="eastAsia" w:ascii="仿宋_GB2312" w:eastAsia="仿宋_GB2312"/>
          <w:color w:val="000000"/>
          <w:spacing w:val="-4"/>
          <w:sz w:val="32"/>
          <w:szCs w:val="32"/>
        </w:rPr>
        <w:t>2.着力推进职业技能提升行动，提升各类人员就业创业能力。</w:t>
      </w:r>
    </w:p>
    <w:p w14:paraId="0FA19DD3">
      <w:pPr>
        <w:autoSpaceDE w:val="0"/>
        <w:autoSpaceDN w:val="0"/>
        <w:adjustRightInd w:val="0"/>
        <w:spacing w:line="520" w:lineRule="exact"/>
        <w:ind w:firstLine="624"/>
        <w:rPr>
          <w:rFonts w:ascii="仿宋_GB2312" w:eastAsia="仿宋_GB2312"/>
          <w:color w:val="000000"/>
          <w:spacing w:val="-4"/>
          <w:sz w:val="32"/>
          <w:szCs w:val="32"/>
        </w:rPr>
      </w:pPr>
      <w:r>
        <w:rPr>
          <w:rFonts w:hint="eastAsia" w:ascii="仿宋_GB2312" w:eastAsia="仿宋_GB2312"/>
          <w:color w:val="000000"/>
          <w:spacing w:val="-4"/>
          <w:sz w:val="32"/>
          <w:szCs w:val="32"/>
        </w:rPr>
        <w:t>围绕“以培训促就业，以培训促创业”的总体目标，大力实施技能提升培训行动，聚焦企业在岗、转岗职工以及各类重点群体培训需求，广泛开展职业培训，大力提升各类重点群体就业再就业能力。疫情期间，采用线上学习形式开展培训，杜绝集中式培训，最大限度减少人员接触，培训完成后按规定给予培训补贴。疫情暂缓后，主动对接攀枝花市远腾职业培训学校、攀枝花市西区浩学职业培训学校等5家培训学校，开办线下劳务品牌培训班15期,736人次参加培训，培训工种涉及家政服务员、保健按摩师、中式烹调师、农业技术员和挖掘机等；开办创业培训班共8期，243人次参加培训。同时积极联系区应急管理局、区民政局、区经信局等行业主管部门，共同开展对企业职工培训摸底，加强与企业沟通，筹措开办企业职工培训，已开办2期企业职工短期岗位培训，96人参加。</w:t>
      </w:r>
    </w:p>
    <w:p w14:paraId="7CB8FA1E">
      <w:pPr>
        <w:autoSpaceDE w:val="0"/>
        <w:autoSpaceDN w:val="0"/>
        <w:adjustRightInd w:val="0"/>
        <w:spacing w:line="520" w:lineRule="exact"/>
        <w:ind w:firstLine="511" w:firstLineChars="164"/>
        <w:rPr>
          <w:rFonts w:ascii="仿宋_GB2312" w:eastAsia="仿宋_GB2312"/>
          <w:color w:val="000000"/>
          <w:spacing w:val="-4"/>
          <w:sz w:val="32"/>
          <w:szCs w:val="32"/>
        </w:rPr>
      </w:pPr>
      <w:r>
        <w:rPr>
          <w:rFonts w:hint="eastAsia" w:ascii="仿宋_GB2312" w:eastAsia="仿宋_GB2312"/>
          <w:color w:val="000000"/>
          <w:spacing w:val="-4"/>
          <w:sz w:val="32"/>
          <w:szCs w:val="32"/>
        </w:rPr>
        <w:t>3.积极落实就业稳岗政策缓解企业经营困局。</w:t>
      </w:r>
    </w:p>
    <w:p w14:paraId="7E422C15">
      <w:pPr>
        <w:spacing w:line="520" w:lineRule="exact"/>
        <w:ind w:firstLine="643"/>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落实稳岗返还政策，为企业复工复产</w:t>
      </w:r>
      <w:r>
        <w:rPr>
          <w:rFonts w:hint="eastAsia" w:ascii="仿宋_GB2312" w:eastAsia="仿宋_GB2312"/>
          <w:spacing w:val="-4"/>
          <w:kern w:val="0"/>
          <w:sz w:val="32"/>
          <w:szCs w:val="32"/>
        </w:rPr>
        <w:t>“保驾护航”，针对符合不裁员少裁员条件的企业，实施放宽失业保险稳岗返还政策，返还其上年度实际缴纳失业保险费总额的100%，为企业纾困解难，减轻负担，保持有生力量。</w:t>
      </w:r>
      <w:r>
        <w:rPr>
          <w:rFonts w:hint="eastAsia" w:ascii="仿宋_GB2312" w:eastAsia="仿宋_GB2312"/>
          <w:sz w:val="32"/>
          <w:szCs w:val="32"/>
        </w:rPr>
        <w:t>通过微信公众号、微信群、QQ群等网络平台宣传政策和公布《稳岗补贴网上申报流程》，并实地进园区、进企业送政策。建立西区企业稳岗补贴工作群，做好政企联动对企业经办人员进行培训</w:t>
      </w:r>
      <w:r>
        <w:rPr>
          <w:rFonts w:hint="eastAsia" w:ascii="仿宋_GB2312" w:eastAsia="仿宋_GB2312"/>
          <w:color w:val="000000"/>
          <w:sz w:val="32"/>
          <w:szCs w:val="32"/>
        </w:rPr>
        <w:t>。2020年为164家企业申报普惠性稳岗补贴，涉及7654人，已拨付到位102家企业补贴资金185.45万元，受惠企业员工4121人，62家企业稳岗补贴资料正在审核中；我区共受理5家困难企业稳岗补贴申报资料，已交由市级审核拨付资金，目前审核通过3家，共计金额54.599329万元；</w:t>
      </w:r>
      <w:r>
        <w:rPr>
          <w:rFonts w:hint="eastAsia" w:ascii="仿宋_GB2312" w:eastAsia="仿宋_GB2312"/>
          <w:b/>
          <w:color w:val="000000"/>
          <w:sz w:val="32"/>
          <w:szCs w:val="32"/>
        </w:rPr>
        <w:t>二是</w:t>
      </w:r>
      <w:r>
        <w:rPr>
          <w:rFonts w:hint="eastAsia" w:ascii="仿宋_GB2312" w:eastAsia="仿宋_GB2312"/>
          <w:color w:val="000000"/>
          <w:sz w:val="32"/>
          <w:szCs w:val="32"/>
        </w:rPr>
        <w:t>落实一次性吸纳就业补贴、就业创业服务补助。西区就业创业促进中心主动服务，对2020年以来企业在西区新参保人员进行筛查，积极对接可能招用符合补贴条件人员企业，详细告知申报流程、需提交资料等。共6家企业申报，涉及人员32人，已拨付到位3家企业补贴资金1.8万元，惠及18人；</w:t>
      </w:r>
      <w:r>
        <w:rPr>
          <w:rFonts w:hint="eastAsia" w:ascii="仿宋_GB2312" w:eastAsia="仿宋_GB2312"/>
          <w:sz w:val="32"/>
          <w:szCs w:val="32"/>
        </w:rPr>
        <w:t>逐一对接全市各经营性人力资源服务机构，详细告知相关政策及申报流程，经排查，未有符合申报就业创业服务补助的经营性人力资源服务机构。</w:t>
      </w:r>
    </w:p>
    <w:p w14:paraId="5DAFF1A1">
      <w:pPr>
        <w:autoSpaceDE w:val="0"/>
        <w:autoSpaceDN w:val="0"/>
        <w:adjustRightInd w:val="0"/>
        <w:spacing w:line="520" w:lineRule="exact"/>
        <w:ind w:firstLine="511" w:firstLineChars="164"/>
        <w:rPr>
          <w:rFonts w:ascii="仿宋_GB2312" w:eastAsia="仿宋_GB2312"/>
          <w:color w:val="000000"/>
          <w:spacing w:val="-4"/>
          <w:sz w:val="32"/>
          <w:szCs w:val="32"/>
        </w:rPr>
      </w:pPr>
      <w:r>
        <w:rPr>
          <w:rFonts w:hint="eastAsia" w:ascii="仿宋_GB2312" w:eastAsia="仿宋_GB2312"/>
          <w:color w:val="000000"/>
          <w:spacing w:val="-4"/>
          <w:sz w:val="32"/>
          <w:szCs w:val="32"/>
        </w:rPr>
        <w:t>4.多措并举开展就业援助。</w:t>
      </w:r>
    </w:p>
    <w:p w14:paraId="07AE3781">
      <w:pPr>
        <w:autoSpaceDE w:val="0"/>
        <w:autoSpaceDN w:val="0"/>
        <w:adjustRightInd w:val="0"/>
        <w:spacing w:line="520" w:lineRule="exact"/>
        <w:ind w:firstLine="524" w:firstLineChars="164"/>
        <w:rPr>
          <w:rFonts w:ascii="仿宋_GB2312" w:eastAsia="仿宋_GB2312"/>
          <w:color w:val="000000"/>
          <w:sz w:val="32"/>
          <w:szCs w:val="32"/>
        </w:rPr>
      </w:pPr>
      <w:r>
        <w:rPr>
          <w:rFonts w:hint="eastAsia" w:ascii="仿宋_GB2312" w:eastAsia="仿宋_GB2312"/>
          <w:color w:val="000000"/>
          <w:sz w:val="32"/>
          <w:szCs w:val="32"/>
        </w:rPr>
        <w:t>（1）开发岗位、兜底安置就业。一是以疫情防控摸排走访为契机，结合我区实际，开发社区公共卫生、疫情防控、防疫宣传和消毒保洁等防控新型冠状病毒肺炎疫情临时公益性相关岗位，过渡性安置失业人员和受疫情影响就业困难人员通过临时性公益性岗位就业。2020年2月招用下岗失业人员和因疫情无法返岗的农民工可享受临时性公益性岗位补贴政策出台以来，西区迅速启动，排查辖区因疫情无法返岗农民工和失业人员，收集临时性公益性岗位开发计划，针对性开发对症岗位，共开发疫情期间临时性公益性岗位157个，累计安置就业150人，给予临时性岗位补贴每人每月2157元，累计已拨付到位临时性公益性岗位补贴92.54万元。二是延长公益性岗位安置政策。对从事公益性岗位政策期满仍未实现稳定就业的就业困难人员延长安置公益性岗位政策1年，截</w:t>
      </w:r>
      <w:r>
        <w:rPr>
          <w:rFonts w:hint="eastAsia" w:ascii="仿宋_GB2312" w:eastAsia="仿宋_GB2312"/>
          <w:color w:val="000000"/>
          <w:sz w:val="32"/>
          <w:szCs w:val="32"/>
          <w:lang w:val="en-US" w:eastAsia="zh-CN"/>
        </w:rPr>
        <w:t>至</w:t>
      </w:r>
      <w:bookmarkStart w:id="73" w:name="_GoBack"/>
      <w:bookmarkEnd w:id="73"/>
      <w:r>
        <w:rPr>
          <w:rFonts w:hint="eastAsia" w:ascii="仿宋_GB2312" w:eastAsia="仿宋_GB2312"/>
          <w:color w:val="000000"/>
          <w:sz w:val="32"/>
          <w:szCs w:val="32"/>
        </w:rPr>
        <w:t>目前，已延长安置符合条件就业困难人员11人。</w:t>
      </w:r>
    </w:p>
    <w:p w14:paraId="4351D7AC">
      <w:pPr>
        <w:autoSpaceDE w:val="0"/>
        <w:autoSpaceDN w:val="0"/>
        <w:adjustRightInd w:val="0"/>
        <w:spacing w:line="520" w:lineRule="exact"/>
        <w:ind w:firstLine="684" w:firstLineChars="214"/>
        <w:rPr>
          <w:rFonts w:ascii="仿宋_GB2312" w:eastAsia="仿宋_GB2312"/>
          <w:color w:val="000000"/>
          <w:sz w:val="32"/>
          <w:szCs w:val="32"/>
        </w:rPr>
      </w:pPr>
      <w:r>
        <w:rPr>
          <w:rFonts w:hint="eastAsia" w:ascii="仿宋_GB2312" w:eastAsia="仿宋_GB2312"/>
          <w:color w:val="000000"/>
          <w:sz w:val="32"/>
          <w:szCs w:val="32"/>
        </w:rPr>
        <w:t>（2）走访援助受疫情影响就业困难人员。对全区前期摸排出的34名因疫情影响无法就业人员进行走访和面对面沟通，了解其就业技能、就业愿望和培训需求等情况，针对性地宣讲就业创业扶持政策，邀请关注“攀枝花西区就业服务”微信公众号，对口帮扶地推荐就业岗位，并鼓励其积极参加培训，以提升就业技能。</w:t>
      </w:r>
    </w:p>
    <w:p w14:paraId="43E37960">
      <w:pPr>
        <w:autoSpaceDE w:val="0"/>
        <w:autoSpaceDN w:val="0"/>
        <w:adjustRightInd w:val="0"/>
        <w:spacing w:line="520" w:lineRule="exact"/>
        <w:ind w:firstLine="684" w:firstLineChars="214"/>
        <w:rPr>
          <w:rFonts w:ascii="仿宋_GB2312" w:eastAsia="仿宋_GB2312"/>
          <w:color w:val="000000"/>
          <w:sz w:val="32"/>
          <w:szCs w:val="32"/>
        </w:rPr>
      </w:pPr>
      <w:r>
        <w:rPr>
          <w:rFonts w:hint="eastAsia" w:ascii="仿宋_GB2312" w:eastAsia="仿宋_GB2312"/>
          <w:color w:val="000000"/>
          <w:sz w:val="32"/>
          <w:szCs w:val="32"/>
        </w:rPr>
        <w:t>（3）对非法营运人员开展就业疏导。通过实地走访电话回访深入了解其就业技能、培训需求、就业意愿等，共计走访21人；建立QQ群，针对性推送就业岗位信息和各类就业创业扶持政策，帮扶其拓宽就业渠道。截至目前，通过微信公众号、QQ群共推送就业岗位信息30次，提供岗位150个，目前有20人已就业。</w:t>
      </w:r>
    </w:p>
    <w:p w14:paraId="52FF1234">
      <w:pPr>
        <w:autoSpaceDE w:val="0"/>
        <w:autoSpaceDN w:val="0"/>
        <w:adjustRightInd w:val="0"/>
        <w:spacing w:line="520" w:lineRule="exact"/>
        <w:ind w:firstLine="684" w:firstLineChars="214"/>
        <w:rPr>
          <w:rFonts w:ascii="仿宋_GB2312" w:eastAsia="仿宋_GB2312"/>
          <w:color w:val="000000"/>
          <w:sz w:val="32"/>
          <w:szCs w:val="32"/>
        </w:rPr>
      </w:pPr>
      <w:r>
        <w:rPr>
          <w:rFonts w:hint="eastAsia" w:ascii="仿宋_GB2312" w:eastAsia="仿宋_GB2312"/>
          <w:color w:val="000000"/>
          <w:sz w:val="32"/>
          <w:szCs w:val="32"/>
        </w:rPr>
        <w:t>（4）积极落实青年就业见习政策。新增认定就业见习基地2家，新增开发就业见习岗位10余个，已成功安置27名就业见习人员上岗，为基层管理、一线岗位，特别是民营经济实体提供了人才储备力量。</w:t>
      </w:r>
    </w:p>
    <w:p w14:paraId="678085A5">
      <w:pPr>
        <w:autoSpaceDE w:val="0"/>
        <w:autoSpaceDN w:val="0"/>
        <w:adjustRightInd w:val="0"/>
        <w:spacing w:line="520" w:lineRule="exact"/>
        <w:ind w:firstLine="684" w:firstLineChars="214"/>
        <w:rPr>
          <w:rFonts w:ascii="仿宋_GB2312" w:eastAsia="仿宋_GB2312"/>
          <w:color w:val="000000"/>
          <w:sz w:val="32"/>
          <w:szCs w:val="32"/>
        </w:rPr>
      </w:pPr>
      <w:r>
        <w:rPr>
          <w:rFonts w:hint="eastAsia" w:ascii="仿宋_GB2312" w:eastAsia="仿宋_GB2312"/>
          <w:color w:val="000000"/>
          <w:sz w:val="32"/>
          <w:szCs w:val="32"/>
        </w:rPr>
        <w:t>（5）落实就业创业政策补贴惠民生。2020年以来共拨付到位就业创业政策资金1575.29万元，惠及3664人次（其中就业创业补助资金支出1435.28万元，惠及2850人次；技能提升行动专项资金支出140.01万元，惠及814人）。</w:t>
      </w:r>
    </w:p>
    <w:p w14:paraId="7C02FD97">
      <w:pPr>
        <w:autoSpaceDE w:val="0"/>
        <w:autoSpaceDN w:val="0"/>
        <w:adjustRightInd w:val="0"/>
        <w:spacing w:line="520" w:lineRule="exact"/>
        <w:ind w:firstLine="511" w:firstLineChars="164"/>
        <w:rPr>
          <w:rFonts w:ascii="仿宋_GB2312" w:eastAsia="仿宋_GB2312"/>
          <w:color w:val="000000"/>
          <w:spacing w:val="-4"/>
          <w:sz w:val="32"/>
          <w:szCs w:val="32"/>
        </w:rPr>
      </w:pPr>
      <w:r>
        <w:rPr>
          <w:rFonts w:hint="eastAsia" w:ascii="仿宋_GB2312" w:eastAsia="仿宋_GB2312"/>
          <w:color w:val="000000"/>
          <w:spacing w:val="-4"/>
          <w:sz w:val="32"/>
          <w:szCs w:val="32"/>
        </w:rPr>
        <w:t>5.发挥失业保险保障功能</w:t>
      </w:r>
    </w:p>
    <w:p w14:paraId="47BEBBF6">
      <w:pPr>
        <w:autoSpaceDE w:val="0"/>
        <w:autoSpaceDN w:val="0"/>
        <w:adjustRightInd w:val="0"/>
        <w:spacing w:line="520" w:lineRule="exact"/>
        <w:ind w:firstLine="640"/>
        <w:rPr>
          <w:rFonts w:ascii="仿宋_GB2312" w:eastAsia="仿宋_GB2312"/>
          <w:sz w:val="32"/>
          <w:szCs w:val="32"/>
        </w:rPr>
      </w:pPr>
      <w:r>
        <w:rPr>
          <w:rFonts w:hint="eastAsia" w:ascii="仿宋_GB2312" w:eastAsia="仿宋_GB2312"/>
          <w:sz w:val="32"/>
          <w:szCs w:val="32"/>
        </w:rPr>
        <w:t>按照有关政策要求，充分发挥失业保险保障民生作用。</w:t>
      </w:r>
    </w:p>
    <w:p w14:paraId="183BF026">
      <w:pPr>
        <w:autoSpaceDE w:val="0"/>
        <w:autoSpaceDN w:val="0"/>
        <w:adjustRightInd w:val="0"/>
        <w:spacing w:line="520" w:lineRule="exact"/>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按月及时足额兑现失业人员失业保险待遇。全年西区共发放失业保险金838.46万元，惠及失业人员6339人次；代缴医疗保险费331.47万元，惠及5836人次。</w:t>
      </w:r>
      <w:r>
        <w:rPr>
          <w:rFonts w:hint="eastAsia" w:ascii="仿宋_GB2312" w:eastAsia="仿宋_GB2312"/>
          <w:b/>
          <w:sz w:val="32"/>
          <w:szCs w:val="32"/>
        </w:rPr>
        <w:t>二是</w:t>
      </w:r>
      <w:r>
        <w:rPr>
          <w:rFonts w:hint="eastAsia" w:ascii="仿宋_GB2312" w:eastAsia="仿宋_GB2312"/>
          <w:sz w:val="32"/>
          <w:szCs w:val="32"/>
        </w:rPr>
        <w:t>落实价格临时补贴并阶段性提高价格临时补贴标准。2020年3月至6月，对领取失业保险金人员发放的价格临时补贴，执行补贴标准在物价部门核定标准基础上提高1倍，共落实2020年3-6月阶段性提高价格临时补贴18.42万元，惠及失业人员2080人次（累计发放2020年1-9月价格临时补贴34.51万元，惠及5345人次）。</w:t>
      </w:r>
      <w:r>
        <w:rPr>
          <w:rFonts w:hint="eastAsia" w:ascii="仿宋_GB2312" w:eastAsia="仿宋_GB2312"/>
          <w:b/>
          <w:sz w:val="32"/>
          <w:szCs w:val="32"/>
        </w:rPr>
        <w:t>三是</w:t>
      </w:r>
      <w:r>
        <w:rPr>
          <w:rFonts w:hint="eastAsia" w:ascii="仿宋_GB2312" w:eastAsia="仿宋_GB2312"/>
          <w:sz w:val="32"/>
          <w:szCs w:val="32"/>
        </w:rPr>
        <w:t>阶段性发放失业补助金。2020年3月至12月，领取失业保险金期满仍未就业的失业人员、参加失业保险缴费不足1年的失业人员、参加失业保险因本人原因解除劳动合同的失业人员，可以申领6个月的失业补助金。自政策启动以来，西区就业创业促进中心通过微信公众号、基层劳动就业服务平台等加大宣传力度，辐射辖区居民政策知晓度。2020年西区共拨付失业补助金816.71万元，惠及3006人。</w:t>
      </w:r>
      <w:r>
        <w:rPr>
          <w:rFonts w:hint="eastAsia" w:ascii="仿宋_GB2312" w:eastAsia="仿宋_GB2312"/>
          <w:b/>
          <w:sz w:val="32"/>
          <w:szCs w:val="32"/>
        </w:rPr>
        <w:t>四是</w:t>
      </w:r>
      <w:r>
        <w:rPr>
          <w:rFonts w:hint="eastAsia" w:ascii="仿宋_GB2312" w:eastAsia="仿宋_GB2312"/>
          <w:sz w:val="32"/>
          <w:szCs w:val="32"/>
        </w:rPr>
        <w:t>延长大龄失业人员领金期限。自2019年12月起，对领取失业保险金期满仍未就业，且距法定退休年龄不足1年的失业人员，可继续发放失业保险金至法定退休年龄，我区已有享受延长失业保险待遇政策大龄失业人员6名。</w:t>
      </w:r>
    </w:p>
    <w:p w14:paraId="27655560">
      <w:pPr>
        <w:autoSpaceDE w:val="0"/>
        <w:autoSpaceDN w:val="0"/>
        <w:adjustRightInd w:val="0"/>
        <w:spacing w:line="520" w:lineRule="exact"/>
        <w:ind w:firstLine="511" w:firstLineChars="164"/>
        <w:rPr>
          <w:rFonts w:ascii="仿宋_GB2312" w:eastAsia="仿宋_GB2312"/>
          <w:color w:val="000000"/>
          <w:spacing w:val="-4"/>
          <w:sz w:val="32"/>
          <w:szCs w:val="32"/>
        </w:rPr>
      </w:pPr>
      <w:r>
        <w:rPr>
          <w:rFonts w:hint="eastAsia" w:ascii="仿宋_GB2312" w:eastAsia="仿宋_GB2312"/>
          <w:color w:val="000000"/>
          <w:spacing w:val="-4"/>
          <w:sz w:val="32"/>
          <w:szCs w:val="32"/>
        </w:rPr>
        <w:t>6.专项工作检查，摸清底数针对性开展工作</w:t>
      </w:r>
    </w:p>
    <w:p w14:paraId="1509ACCF">
      <w:pPr>
        <w:autoSpaceDE w:val="0"/>
        <w:autoSpaceDN w:val="0"/>
        <w:adjustRightInd w:val="0"/>
        <w:spacing w:line="520" w:lineRule="exact"/>
        <w:ind w:firstLine="678" w:firstLineChars="212"/>
        <w:rPr>
          <w:rFonts w:ascii="仿宋_GB2312" w:eastAsia="仿宋_GB2312"/>
          <w:sz w:val="32"/>
          <w:szCs w:val="32"/>
          <w:lang w:val="zh-CN"/>
        </w:rPr>
      </w:pPr>
      <w:r>
        <w:rPr>
          <w:rFonts w:hint="eastAsia" w:ascii="仿宋_GB2312" w:eastAsia="仿宋_GB2312"/>
          <w:sz w:val="32"/>
          <w:szCs w:val="32"/>
          <w:lang w:val="zh-CN"/>
        </w:rPr>
        <w:t>年初，通过查阅资料、现场交流等方式，对随机抽取的全区17个社区（村）的灵活就业登记、灵活就业核查情况和公益性岗位人员的在岗情况、出勤情况、日常管理等情况进行了全面检查，为2020年灵活就业登记和2019年灵活就业社会保险补贴的申报工作打下坚实的基础。通过检查，发现并指导相关单位整改灵活就业登记和公益性岗位管理方面存在的问题75条。已于12月再次复查，查看问题整改情况及失业保险业务经办情况。</w:t>
      </w:r>
    </w:p>
    <w:p w14:paraId="05014AD1">
      <w:pPr>
        <w:pStyle w:val="3"/>
        <w:spacing w:line="415" w:lineRule="auto"/>
        <w:ind w:firstLine="640" w:firstLineChars="200"/>
        <w:rPr>
          <w:rStyle w:val="20"/>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20"/>
      <w:bookmarkEnd w:id="21"/>
    </w:p>
    <w:p w14:paraId="7A77A174">
      <w:pPr>
        <w:ind w:firstLine="640" w:firstLineChars="200"/>
        <w:rPr>
          <w:rStyle w:val="32"/>
          <w:rFonts w:hint="default" w:ascii="仿宋_GB2312" w:eastAsia="仿宋_GB2312"/>
          <w:sz w:val="32"/>
          <w:szCs w:val="32"/>
        </w:rPr>
      </w:pPr>
      <w:r>
        <w:rPr>
          <w:rFonts w:hint="eastAsia" w:ascii="仿宋_GB2312" w:eastAsia="仿宋_GB2312"/>
          <w:sz w:val="32"/>
          <w:szCs w:val="32"/>
        </w:rPr>
        <w:t>根据攀人办发[2009]174号文、川人发[2009]30号文，西区就业服务管理局于2009年4月14日获准列入参考公务员法管理范围，性质为参公事业单位。由攀枝花市西区人力资源和社会保障局主管。根据攀编发[2019]136号文，攀枝花市西区就业服务管理局更名为攀枝花市西区就业创业促进中心。属于纳入2020年度部门决算编制范围的预算单位。</w:t>
      </w:r>
      <w:r>
        <w:rPr>
          <w:rStyle w:val="32"/>
          <w:rFonts w:hint="default" w:ascii="仿宋_GB2312" w:eastAsia="仿宋_GB2312"/>
          <w:sz w:val="32"/>
          <w:szCs w:val="32"/>
        </w:rPr>
        <w:t xml:space="preserve">同时挂“攀枝花市西区农民工服务中心”牌子，增加参公事业编制 </w:t>
      </w:r>
      <w:r>
        <w:rPr>
          <w:rStyle w:val="36"/>
          <w:rFonts w:hint="eastAsia" w:ascii="仿宋_GB2312" w:eastAsia="仿宋_GB2312"/>
        </w:rPr>
        <w:t xml:space="preserve">2 </w:t>
      </w:r>
      <w:r>
        <w:rPr>
          <w:rStyle w:val="32"/>
          <w:rFonts w:hint="default" w:ascii="仿宋_GB2312" w:eastAsia="仿宋_GB2312"/>
          <w:sz w:val="32"/>
          <w:szCs w:val="32"/>
        </w:rPr>
        <w:t>名，专门负责农民工服务相关工作。</w:t>
      </w:r>
    </w:p>
    <w:p w14:paraId="40FC54B7">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D8EFEBF">
      <w:pPr>
        <w:pStyle w:val="2"/>
        <w:ind w:right="440"/>
        <w:jc w:val="right"/>
        <w:rPr>
          <w:rStyle w:val="19"/>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ascii="黑体" w:hAnsi="黑体" w:eastAsia="黑体"/>
          <w:color w:val="000000"/>
        </w:rPr>
        <w:t xml:space="preserve"> </w:t>
      </w:r>
      <w:r>
        <w:rPr>
          <w:rStyle w:val="19"/>
          <w:rFonts w:ascii="黑体" w:hAnsi="黑体" w:eastAsia="黑体"/>
          <w:b w:val="0"/>
          <w:bCs w:val="0"/>
        </w:rPr>
        <w:t>2020</w:t>
      </w:r>
      <w:r>
        <w:rPr>
          <w:rStyle w:val="19"/>
          <w:rFonts w:hint="eastAsia" w:ascii="黑体" w:hAnsi="黑体" w:eastAsia="黑体"/>
          <w:b w:val="0"/>
          <w:bCs w:val="0"/>
        </w:rPr>
        <w:t>年度部门决算情况说明</w:t>
      </w:r>
      <w:bookmarkEnd w:id="22"/>
      <w:bookmarkEnd w:id="23"/>
    </w:p>
    <w:p w14:paraId="37330871"/>
    <w:p w14:paraId="23012452">
      <w:pPr>
        <w:pStyle w:val="29"/>
        <w:numPr>
          <w:ilvl w:val="0"/>
          <w:numId w:val="1"/>
        </w:numPr>
        <w:spacing w:line="360" w:lineRule="auto"/>
        <w:ind w:firstLineChars="0"/>
        <w:outlineLvl w:val="1"/>
        <w:rPr>
          <w:rStyle w:val="20"/>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4"/>
      <w:bookmarkEnd w:id="25"/>
    </w:p>
    <w:p w14:paraId="1898A547">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年度收、支总计为1744.59万元万元。与</w:t>
      </w:r>
      <w:r>
        <w:rPr>
          <w:rFonts w:ascii="仿宋" w:hAnsi="仿宋" w:eastAsia="仿宋"/>
          <w:color w:val="000000"/>
          <w:sz w:val="32"/>
          <w:szCs w:val="32"/>
        </w:rPr>
        <w:t>2019</w:t>
      </w:r>
      <w:r>
        <w:rPr>
          <w:rFonts w:hint="eastAsia" w:ascii="仿宋" w:hAnsi="仿宋" w:eastAsia="仿宋"/>
          <w:color w:val="000000"/>
          <w:sz w:val="32"/>
          <w:szCs w:val="32"/>
        </w:rPr>
        <w:t>年相比，收、支总计增加1604.3万元万元，分别增长1143%。主要变动原因是就业创业补助资金增加。</w:t>
      </w:r>
    </w:p>
    <w:p w14:paraId="1507C5EF">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3095625" cy="2066925"/>
            <wp:effectExtent l="19050" t="0" r="9525" b="9371"/>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CDCA68">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6BDC2263">
      <w:pPr>
        <w:pStyle w:val="29"/>
        <w:numPr>
          <w:ilvl w:val="0"/>
          <w:numId w:val="1"/>
        </w:numPr>
        <w:spacing w:line="360" w:lineRule="auto"/>
        <w:ind w:firstLineChars="0"/>
        <w:outlineLvl w:val="1"/>
        <w:rPr>
          <w:rStyle w:val="20"/>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0"/>
          <w:rFonts w:hint="eastAsia" w:ascii="黑体" w:hAnsi="黑体" w:eastAsia="黑体"/>
          <w:b w:val="0"/>
        </w:rPr>
        <w:t>入决算情况说明</w:t>
      </w:r>
      <w:bookmarkEnd w:id="26"/>
      <w:bookmarkEnd w:id="27"/>
    </w:p>
    <w:p w14:paraId="498F9D62">
      <w:pPr>
        <w:spacing w:line="360" w:lineRule="auto"/>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年本年收入合计1741.59万元，其中：一般公共预算财政拨款收入1741.59万元，占100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2AD01220">
      <w:pPr>
        <w:spacing w:line="360" w:lineRule="auto"/>
        <w:ind w:firstLine="643" w:firstLineChars="200"/>
        <w:outlineLvl w:val="1"/>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01</w:t>
      </w:r>
      <w:r>
        <w:rPr>
          <w:rFonts w:hint="eastAsia" w:ascii="仿宋" w:hAnsi="仿宋" w:eastAsia="仿宋"/>
          <w:b/>
          <w:color w:val="FF0000"/>
          <w:sz w:val="32"/>
          <w:szCs w:val="32"/>
        </w:rPr>
        <w:t>表）</w:t>
      </w:r>
    </w:p>
    <w:p w14:paraId="004D2808">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3019425" cy="2005965"/>
            <wp:effectExtent l="19050" t="0" r="9525" b="0"/>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0C7C0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5F6D8772">
      <w:pPr>
        <w:pStyle w:val="29"/>
        <w:numPr>
          <w:ilvl w:val="0"/>
          <w:numId w:val="1"/>
        </w:numPr>
        <w:spacing w:line="360" w:lineRule="auto"/>
        <w:ind w:firstLineChars="0"/>
        <w:outlineLvl w:val="1"/>
        <w:rPr>
          <w:rStyle w:val="2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0"/>
          <w:rFonts w:hint="eastAsia" w:ascii="黑体" w:hAnsi="黑体" w:eastAsia="黑体"/>
          <w:b w:val="0"/>
        </w:rPr>
        <w:t>出决算情况说明</w:t>
      </w:r>
      <w:bookmarkEnd w:id="28"/>
      <w:bookmarkEnd w:id="29"/>
    </w:p>
    <w:p w14:paraId="3BF1366E">
      <w:pPr>
        <w:spacing w:line="360" w:lineRule="auto"/>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年本年支出合计1553.25万元，其中：基本支出114.81万元，占7</w:t>
      </w:r>
      <w:r>
        <w:rPr>
          <w:rFonts w:ascii="仿宋" w:hAnsi="仿宋" w:eastAsia="仿宋"/>
          <w:color w:val="000000"/>
          <w:sz w:val="32"/>
          <w:szCs w:val="32"/>
        </w:rPr>
        <w:t>%</w:t>
      </w:r>
      <w:r>
        <w:rPr>
          <w:rFonts w:hint="eastAsia" w:ascii="仿宋" w:hAnsi="仿宋" w:eastAsia="仿宋"/>
          <w:color w:val="000000"/>
          <w:sz w:val="32"/>
          <w:szCs w:val="32"/>
        </w:rPr>
        <w:t>；项目支出1438.44万元，占93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6412072A">
      <w:pPr>
        <w:spacing w:line="360" w:lineRule="auto"/>
        <w:ind w:firstLine="643" w:firstLineChars="200"/>
        <w:outlineLvl w:val="1"/>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04</w:t>
      </w:r>
      <w:r>
        <w:rPr>
          <w:rFonts w:hint="eastAsia" w:ascii="仿宋" w:hAnsi="仿宋" w:eastAsia="仿宋"/>
          <w:b/>
          <w:color w:val="FF0000"/>
          <w:sz w:val="32"/>
          <w:szCs w:val="32"/>
        </w:rPr>
        <w:t>表）</w:t>
      </w:r>
    </w:p>
    <w:p w14:paraId="7EEF25B9">
      <w:pPr>
        <w:spacing w:line="360" w:lineRule="auto"/>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3438525" cy="2295525"/>
            <wp:effectExtent l="19050" t="0" r="9525" b="0"/>
            <wp:docPr id="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A5248B">
      <w:pPr>
        <w:spacing w:line="360" w:lineRule="auto"/>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776EA6E7">
      <w:pPr>
        <w:spacing w:line="360" w:lineRule="auto"/>
        <w:ind w:firstLine="640" w:firstLineChars="200"/>
        <w:outlineLvl w:val="1"/>
        <w:rPr>
          <w:rStyle w:val="2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0"/>
      <w:bookmarkEnd w:id="31"/>
    </w:p>
    <w:p w14:paraId="6285A595">
      <w:pPr>
        <w:spacing w:line="360" w:lineRule="auto"/>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年财政拨款收、支总计为1744.59万元万元。与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年相比，财政拨款收、支总计各增长1604.73万元，增长1147</w:t>
      </w:r>
      <w:r>
        <w:rPr>
          <w:rFonts w:ascii="仿宋" w:hAnsi="仿宋" w:eastAsia="仿宋"/>
          <w:color w:val="000000"/>
          <w:sz w:val="32"/>
          <w:szCs w:val="32"/>
        </w:rPr>
        <w:t>%</w:t>
      </w:r>
      <w:r>
        <w:rPr>
          <w:rFonts w:hint="eastAsia" w:ascii="仿宋" w:hAnsi="仿宋" w:eastAsia="仿宋"/>
          <w:color w:val="000000"/>
          <w:sz w:val="32"/>
          <w:szCs w:val="32"/>
        </w:rPr>
        <w:t>。主要变动原因是就业创业补助资金收支增加。</w:t>
      </w:r>
    </w:p>
    <w:p w14:paraId="5C628B79">
      <w:pPr>
        <w:spacing w:line="360" w:lineRule="auto"/>
        <w:ind w:firstLine="640"/>
        <w:rPr>
          <w:rFonts w:ascii="仿宋" w:hAnsi="仿宋" w:eastAsia="仿宋"/>
          <w:b/>
          <w:color w:val="FF0000"/>
          <w:sz w:val="32"/>
          <w:szCs w:val="32"/>
        </w:rPr>
      </w:pP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14:paraId="3B391264">
      <w:pPr>
        <w:spacing w:line="360" w:lineRule="auto"/>
        <w:rPr>
          <w:rFonts w:ascii="仿宋" w:hAnsi="仿宋" w:eastAsia="仿宋"/>
          <w:color w:val="000000"/>
          <w:sz w:val="32"/>
          <w:szCs w:val="32"/>
        </w:rPr>
      </w:pPr>
      <w:r>
        <w:rPr>
          <w:rFonts w:ascii="仿宋" w:hAnsi="仿宋" w:eastAsia="仿宋"/>
          <w:color w:val="000000"/>
          <w:sz w:val="32"/>
          <w:szCs w:val="32"/>
        </w:rPr>
        <w:drawing>
          <wp:inline distT="0" distB="0" distL="0" distR="0">
            <wp:extent cx="3362325" cy="2254250"/>
            <wp:effectExtent l="19050" t="0" r="9525" b="0"/>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E6A9DD">
      <w:pPr>
        <w:spacing w:line="360" w:lineRule="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52770581">
      <w:pPr>
        <w:spacing w:line="360" w:lineRule="auto"/>
        <w:ind w:firstLine="640" w:firstLineChars="200"/>
        <w:outlineLvl w:val="1"/>
        <w:rPr>
          <w:rStyle w:val="20"/>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2"/>
      <w:bookmarkEnd w:id="33"/>
    </w:p>
    <w:p w14:paraId="75624E6A">
      <w:pPr>
        <w:spacing w:line="360" w:lineRule="auto"/>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55AA6408">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年一般公共预算财政拨款支出1553.24万元，占本年支出合计的100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年相比，一般公共预算财政拨款增加1413万元，增长1011</w:t>
      </w:r>
      <w:r>
        <w:rPr>
          <w:rFonts w:ascii="仿宋" w:hAnsi="仿宋" w:eastAsia="仿宋"/>
          <w:color w:val="000000"/>
          <w:sz w:val="32"/>
          <w:szCs w:val="32"/>
        </w:rPr>
        <w:t xml:space="preserve"> %</w:t>
      </w:r>
      <w:r>
        <w:rPr>
          <w:rFonts w:hint="eastAsia" w:ascii="仿宋" w:hAnsi="仿宋" w:eastAsia="仿宋"/>
          <w:color w:val="000000"/>
          <w:sz w:val="32"/>
          <w:szCs w:val="32"/>
        </w:rPr>
        <w:t>。主要变动原因是就业创业补助资金支出增加。</w:t>
      </w:r>
    </w:p>
    <w:p w14:paraId="34ACB77E">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2905125" cy="1936750"/>
            <wp:effectExtent l="19050" t="0" r="9525" b="6350"/>
            <wp:docPr id="5"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A6F295">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32492DC4">
      <w:pPr>
        <w:spacing w:line="360" w:lineRule="auto"/>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58A88EA">
      <w:pPr>
        <w:spacing w:line="360" w:lineRule="auto"/>
        <w:ind w:firstLine="640"/>
        <w:rPr>
          <w:rFonts w:ascii="仿宋" w:hAnsi="仿宋" w:eastAsia="仿宋"/>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年一般公共预算财政拨款支出1553.24元，主要用于以下方面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文化旅游体育与传媒（类）支出0万元，占0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支出1535.83万元，占99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6.91万元，占0</w:t>
      </w:r>
      <w:r>
        <w:rPr>
          <w:rFonts w:ascii="仿宋" w:hAnsi="仿宋" w:eastAsia="仿宋"/>
          <w:color w:val="000000"/>
          <w:sz w:val="32"/>
          <w:szCs w:val="32"/>
        </w:rPr>
        <w:t>%</w:t>
      </w:r>
      <w:r>
        <w:rPr>
          <w:rFonts w:hint="eastAsia" w:ascii="仿宋" w:hAnsi="仿宋" w:eastAsia="仿宋"/>
          <w:color w:val="000000"/>
          <w:sz w:val="32"/>
          <w:szCs w:val="32"/>
        </w:rPr>
        <w:t>；住房保障支出10.5万元，占1</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14:paraId="20D33E66">
      <w:pPr>
        <w:spacing w:line="360" w:lineRule="auto"/>
        <w:ind w:firstLine="640"/>
        <w:rPr>
          <w:rFonts w:ascii="仿宋" w:hAnsi="仿宋" w:eastAsia="仿宋"/>
          <w:color w:val="000000"/>
          <w:sz w:val="32"/>
          <w:szCs w:val="32"/>
        </w:rPr>
      </w:pPr>
      <w:r>
        <w:rPr>
          <w:rFonts w:ascii="仿宋" w:hAnsi="仿宋" w:eastAsia="仿宋"/>
          <w:color w:val="000000"/>
          <w:sz w:val="32"/>
          <w:szCs w:val="32"/>
        </w:rPr>
        <w:drawing>
          <wp:inline distT="0" distB="0" distL="0" distR="0">
            <wp:extent cx="3924300" cy="2622550"/>
            <wp:effectExtent l="19050" t="0" r="19050" b="6224"/>
            <wp:docPr id="6"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2466B1">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0A702B7E">
      <w:pPr>
        <w:spacing w:line="360" w:lineRule="auto"/>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6B96A3F3">
      <w:pPr>
        <w:spacing w:line="360" w:lineRule="auto"/>
        <w:ind w:firstLine="643" w:firstLineChars="200"/>
        <w:outlineLvl w:val="2"/>
        <w:rPr>
          <w:rStyle w:val="15"/>
          <w:rFonts w:ascii="仿宋" w:hAnsi="仿宋" w:eastAsia="仿宋"/>
          <w:bCs/>
          <w:color w:val="000000"/>
          <w:sz w:val="32"/>
          <w:szCs w:val="32"/>
        </w:rPr>
      </w:pPr>
      <w:bookmarkStart w:id="37" w:name="_Toc15377444"/>
      <w:bookmarkStart w:id="38" w:name="_Toc15377213"/>
      <w:bookmarkStart w:id="39"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color w:val="000000"/>
          <w:sz w:val="32"/>
          <w:szCs w:val="32"/>
        </w:rPr>
        <w:t>1553.24万元，</w:t>
      </w:r>
      <w:r>
        <w:rPr>
          <w:rStyle w:val="15"/>
          <w:rFonts w:hint="eastAsia" w:ascii="仿宋" w:hAnsi="仿宋" w:eastAsia="仿宋"/>
          <w:bCs/>
          <w:color w:val="000000"/>
          <w:sz w:val="32"/>
          <w:szCs w:val="32"/>
        </w:rPr>
        <w:t>完成预算100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14:paraId="216E21AA">
      <w:pPr>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1.社会保障和就业（类）人力资源和社会保障管理事务（款）行政运行（项）:支出决算为85.96万元，完成预算100%。</w:t>
      </w:r>
    </w:p>
    <w:p w14:paraId="66D0C0A3">
      <w:pPr>
        <w:spacing w:line="360" w:lineRule="auto"/>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2.社会保障和就业（类）人力资源和社会保障管理事务（款）其他人力资源和社会保障管理事务支出（项）:支出决算为3.56万元，完成预算20%。</w:t>
      </w:r>
      <w:r>
        <w:rPr>
          <w:rStyle w:val="15"/>
          <w:rFonts w:hint="eastAsia" w:ascii="仿宋" w:hAnsi="仿宋" w:eastAsia="仿宋"/>
          <w:b w:val="0"/>
          <w:bCs/>
          <w:color w:val="000000"/>
          <w:sz w:val="32"/>
          <w:szCs w:val="32"/>
        </w:rPr>
        <w:t>决算数小于预算数的主要原因是部分项目未开展完，延续至下年。</w:t>
      </w:r>
    </w:p>
    <w:p w14:paraId="7F1FC17F">
      <w:pPr>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3.社会保障和就业（类）行政事业单位养老支出（款）行政单位离退休（项）:支出决算为3.27万元，完成预算100%。</w:t>
      </w:r>
    </w:p>
    <w:p w14:paraId="474FA710">
      <w:pPr>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4.社会保障和就业（类）行政事业单位养老支出（款）机关事业单位基本养老保险缴费支出（项）:支出决算为8.16万元，完成预算100%。</w:t>
      </w:r>
    </w:p>
    <w:p w14:paraId="60490385">
      <w:pPr>
        <w:ind w:firstLine="643" w:firstLineChars="200"/>
        <w:rPr>
          <w:rFonts w:ascii="仿宋_GB2312" w:eastAsia="仿宋_GB2312"/>
          <w:sz w:val="32"/>
          <w:szCs w:val="32"/>
        </w:rPr>
      </w:pPr>
      <w:r>
        <w:rPr>
          <w:rStyle w:val="15"/>
          <w:rFonts w:hint="eastAsia" w:ascii="仿宋" w:hAnsi="仿宋" w:eastAsia="仿宋"/>
          <w:bCs/>
          <w:color w:val="000000"/>
          <w:sz w:val="32"/>
          <w:szCs w:val="32"/>
        </w:rPr>
        <w:t>5.社会保障和就业（类）就业补助（款）其他就业补助支出（项）09: 支出决算为1434.88万元，完成预算100%。</w:t>
      </w:r>
      <w:r>
        <w:rPr>
          <w:rStyle w:val="15"/>
          <w:rFonts w:hint="eastAsia" w:ascii="仿宋" w:hAnsi="仿宋" w:eastAsia="仿宋"/>
          <w:b w:val="0"/>
          <w:bCs/>
          <w:color w:val="000000"/>
          <w:sz w:val="32"/>
          <w:szCs w:val="32"/>
        </w:rPr>
        <w:t>，决算数小于预算数的主要原因是</w:t>
      </w:r>
      <w:r>
        <w:rPr>
          <w:rFonts w:hint="eastAsia" w:ascii="仿宋_GB2312" w:eastAsia="仿宋_GB2312"/>
          <w:sz w:val="32"/>
          <w:szCs w:val="32"/>
        </w:rPr>
        <w:t>就业创业补贴属于动态管理项目，补贴要根据符合条件的对象的申报情况来拨付，含不定性因素。</w:t>
      </w:r>
    </w:p>
    <w:p w14:paraId="252CFAE2">
      <w:pPr>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6.</w:t>
      </w:r>
      <w:r>
        <w:rPr>
          <w:rFonts w:hint="eastAsia"/>
        </w:rPr>
        <w:t xml:space="preserve"> </w:t>
      </w:r>
      <w:r>
        <w:rPr>
          <w:rStyle w:val="15"/>
          <w:rFonts w:hint="eastAsia" w:ascii="仿宋" w:hAnsi="仿宋" w:eastAsia="仿宋"/>
          <w:bCs/>
          <w:color w:val="000000"/>
          <w:sz w:val="32"/>
          <w:szCs w:val="32"/>
        </w:rPr>
        <w:t xml:space="preserve">卫生健康支出（类）行政事业单位医疗（款）行政单位医疗（项）:支出决算为6.03万元，完成预算100%。 </w:t>
      </w:r>
    </w:p>
    <w:p w14:paraId="6ECC085D">
      <w:pPr>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7.医疗卫生与计划生育（类）行政事业单位医疗（款）  公务员医疗补助（项）:支出决算为0.88万元，完成预算100%。</w:t>
      </w:r>
    </w:p>
    <w:p w14:paraId="11C522B0">
      <w:pPr>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8.住房保障支出（类）住房改革支出（款）住房公积金（项）:支出决算为10.5万元，完成预算100%。</w:t>
      </w:r>
    </w:p>
    <w:p w14:paraId="06AFD13E">
      <w:pPr>
        <w:spacing w:line="360" w:lineRule="auto"/>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表，罗列全部功能分类科目至项级。上述“预算”口径为调整预算数。增减变动原因为决算数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14:paraId="1DDB11B5">
      <w:pPr>
        <w:tabs>
          <w:tab w:val="right" w:pos="8306"/>
        </w:tabs>
        <w:spacing w:line="360" w:lineRule="auto"/>
        <w:ind w:firstLine="640"/>
        <w:outlineLvl w:val="1"/>
        <w:rPr>
          <w:rStyle w:val="2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0"/>
      <w:bookmarkEnd w:id="41"/>
      <w:r>
        <w:rPr>
          <w:rStyle w:val="20"/>
          <w:rFonts w:ascii="黑体" w:hAnsi="黑体" w:eastAsia="黑体"/>
          <w:b w:val="0"/>
        </w:rPr>
        <w:tab/>
      </w:r>
    </w:p>
    <w:p w14:paraId="2017E906">
      <w:pPr>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年一般公共预算财政拨款基本支出114.8万元，其中：</w:t>
      </w:r>
    </w:p>
    <w:p w14:paraId="21536D30">
      <w:pPr>
        <w:ind w:firstLine="640" w:firstLineChars="200"/>
        <w:rPr>
          <w:rFonts w:ascii="仿宋" w:hAnsi="仿宋" w:eastAsia="仿宋"/>
          <w:color w:val="000000"/>
          <w:sz w:val="32"/>
          <w:szCs w:val="32"/>
        </w:rPr>
      </w:pPr>
      <w:r>
        <w:rPr>
          <w:rFonts w:hint="eastAsia" w:ascii="仿宋" w:hAnsi="仿宋" w:eastAsia="仿宋"/>
          <w:color w:val="000000"/>
          <w:sz w:val="32"/>
          <w:szCs w:val="32"/>
        </w:rPr>
        <w:t>人员经费106.13万元，主要包括：基本工资、津贴补贴、奖金、伙食补助费、绩效工资、机关事业单位基本养老保险缴费、职业年金缴费、社会保障缴费、其他工资福利支出、退休费、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8.67万元，主要包括：办公费、手续费、邮电费、差旅费、维修（护）费、公务接待费、劳务费、委托业务费、工会经费、福利费、公务用车运行维护费、其他交通费、税金及附加费用、其他商品和服务支出、办公设备购置、专用设备购置、信息网络及软件购置更新、其他资本性支出等。</w:t>
      </w:r>
    </w:p>
    <w:p w14:paraId="01E508CD">
      <w:pPr>
        <w:spacing w:line="360" w:lineRule="auto"/>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14:paraId="5B3882CC">
      <w:pPr>
        <w:spacing w:line="360" w:lineRule="auto"/>
        <w:ind w:firstLine="640"/>
        <w:outlineLvl w:val="1"/>
        <w:rPr>
          <w:rStyle w:val="20"/>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2"/>
      <w:bookmarkEnd w:id="43"/>
    </w:p>
    <w:p w14:paraId="01D7FED5">
      <w:pPr>
        <w:spacing w:line="360" w:lineRule="auto"/>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644023BC">
      <w:pPr>
        <w:spacing w:line="360" w:lineRule="auto"/>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14:paraId="26363F27">
      <w:pPr>
        <w:spacing w:line="360" w:lineRule="auto"/>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14:paraId="673C5A11">
      <w:pPr>
        <w:spacing w:line="360" w:lineRule="auto"/>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5547D307">
      <w:pPr>
        <w:spacing w:line="360" w:lineRule="auto"/>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3D904761">
      <w:pPr>
        <w:spacing w:line="360" w:lineRule="auto"/>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14:paraId="4BF67EFE">
      <w:pPr>
        <w:spacing w:line="360" w:lineRule="auto"/>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p>
    <w:p w14:paraId="0327C751">
      <w:pPr>
        <w:spacing w:line="360" w:lineRule="auto"/>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p>
    <w:p w14:paraId="6910E728">
      <w:pPr>
        <w:spacing w:line="360" w:lineRule="auto"/>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p>
    <w:p w14:paraId="7F76F327">
      <w:pPr>
        <w:spacing w:line="360" w:lineRule="auto"/>
        <w:ind w:firstLine="640"/>
        <w:rPr>
          <w:rFonts w:ascii="仿宋_GB2312" w:eastAsia="仿宋_GB2312"/>
          <w:color w:val="000000"/>
          <w:sz w:val="32"/>
          <w:szCs w:val="32"/>
        </w:rPr>
      </w:pPr>
      <w:r>
        <w:rPr>
          <w:rFonts w:hint="eastAsia" w:ascii="仿宋" w:hAnsi="仿宋" w:eastAsia="仿宋"/>
          <w:b/>
          <w:color w:val="000000"/>
          <w:sz w:val="32"/>
          <w:szCs w:val="32"/>
        </w:rPr>
        <w:t>4.国内公务接待支出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14:paraId="48B75456">
      <w:pPr>
        <w:spacing w:line="360" w:lineRule="auto"/>
        <w:ind w:firstLine="640"/>
        <w:outlineLvl w:val="1"/>
        <w:rPr>
          <w:rStyle w:val="20"/>
          <w:rFonts w:ascii="黑体" w:hAnsi="黑体" w:eastAsia="黑体"/>
        </w:rPr>
      </w:pPr>
      <w:bookmarkStart w:id="46" w:name="_Toc15377218"/>
      <w:bookmarkStart w:id="47" w:name="_Toc15396610"/>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46"/>
      <w:bookmarkEnd w:id="47"/>
    </w:p>
    <w:p w14:paraId="2476858F">
      <w:pPr>
        <w:spacing w:line="360" w:lineRule="auto"/>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27810BCC">
      <w:pPr>
        <w:numPr>
          <w:ilvl w:val="0"/>
          <w:numId w:val="2"/>
        </w:numPr>
        <w:spacing w:line="360" w:lineRule="auto"/>
        <w:ind w:firstLine="640"/>
        <w:outlineLvl w:val="1"/>
        <w:rPr>
          <w:rStyle w:val="20"/>
          <w:rFonts w:ascii="黑体" w:hAnsi="黑体" w:eastAsia="黑体"/>
          <w:b w:val="0"/>
        </w:rPr>
      </w:pPr>
      <w:bookmarkStart w:id="48" w:name="_Toc15396611"/>
      <w:bookmarkStart w:id="49" w:name="_Toc15377219"/>
      <w:r>
        <w:rPr>
          <w:rStyle w:val="20"/>
          <w:rFonts w:hint="eastAsia" w:ascii="黑体" w:hAnsi="黑体" w:eastAsia="黑体"/>
          <w:b w:val="0"/>
        </w:rPr>
        <w:t>国有资本经营预算支出决算情况说明</w:t>
      </w:r>
      <w:bookmarkEnd w:id="48"/>
      <w:bookmarkEnd w:id="49"/>
    </w:p>
    <w:p w14:paraId="294C32A3">
      <w:pPr>
        <w:spacing w:line="360" w:lineRule="auto"/>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667882D1">
      <w:pPr>
        <w:spacing w:line="360" w:lineRule="auto"/>
        <w:ind w:firstLine="800" w:firstLineChars="250"/>
        <w:outlineLvl w:val="1"/>
        <w:rPr>
          <w:rStyle w:val="20"/>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0"/>
          <w:rFonts w:hint="eastAsia" w:ascii="黑体" w:hAnsi="黑体" w:eastAsia="黑体"/>
        </w:rPr>
        <w:t>、</w:t>
      </w:r>
      <w:r>
        <w:rPr>
          <w:rStyle w:val="20"/>
          <w:rFonts w:hint="eastAsia" w:ascii="黑体" w:hAnsi="黑体" w:eastAsia="黑体"/>
          <w:b w:val="0"/>
        </w:rPr>
        <w:t>其他重要事项的情况说明</w:t>
      </w:r>
      <w:bookmarkEnd w:id="50"/>
      <w:bookmarkEnd w:id="51"/>
    </w:p>
    <w:p w14:paraId="4F7991F1">
      <w:pPr>
        <w:spacing w:line="360" w:lineRule="auto"/>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56D7A9D2">
      <w:pPr>
        <w:spacing w:line="360" w:lineRule="auto"/>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年，机关运行经费支出8.67万元，比</w:t>
      </w:r>
      <w:r>
        <w:rPr>
          <w:rFonts w:ascii="仿宋_GB2312" w:eastAsia="仿宋_GB2312"/>
          <w:color w:val="000000"/>
          <w:sz w:val="32"/>
          <w:szCs w:val="32"/>
        </w:rPr>
        <w:t>2019</w:t>
      </w:r>
      <w:r>
        <w:rPr>
          <w:rFonts w:hint="eastAsia" w:ascii="仿宋_GB2312" w:eastAsia="仿宋_GB2312"/>
          <w:color w:val="000000"/>
          <w:sz w:val="32"/>
          <w:szCs w:val="32"/>
        </w:rPr>
        <w:t>年减少2.18万元，下降20.12</w:t>
      </w:r>
      <w:r>
        <w:rPr>
          <w:rFonts w:ascii="仿宋_GB2312" w:eastAsia="仿宋_GB2312"/>
          <w:color w:val="000000"/>
          <w:sz w:val="32"/>
          <w:szCs w:val="32"/>
        </w:rPr>
        <w:t>%</w:t>
      </w:r>
      <w:r>
        <w:rPr>
          <w:rFonts w:hint="eastAsia" w:ascii="仿宋_GB2312" w:eastAsia="仿宋_GB2312"/>
          <w:color w:val="000000"/>
          <w:sz w:val="32"/>
          <w:szCs w:val="32"/>
        </w:rPr>
        <w:t>。主要原因是厉行节约。</w:t>
      </w:r>
    </w:p>
    <w:p w14:paraId="0D6BD79E">
      <w:pPr>
        <w:spacing w:line="360" w:lineRule="auto"/>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6A6295F6">
      <w:pPr>
        <w:autoSpaceDE w:val="0"/>
        <w:autoSpaceDN w:val="0"/>
        <w:adjustRightInd w:val="0"/>
        <w:spacing w:line="360" w:lineRule="auto"/>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1FA7D9F9">
      <w:pPr>
        <w:spacing w:line="360" w:lineRule="auto"/>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年，政府采购支出总额4.87万元，其中：政府采购货物支出4.87万元、政府采购工程支出0万元、政府采购服务支出0万元。主要用于办公设备购置。授予中小企业合同金额0万元，占政府采购支出总额的0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7FB69E30">
      <w:pPr>
        <w:spacing w:line="360" w:lineRule="auto"/>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4C63D19B">
      <w:pPr>
        <w:autoSpaceDE w:val="0"/>
        <w:autoSpaceDN w:val="0"/>
        <w:adjustRightInd w:val="0"/>
        <w:spacing w:line="360" w:lineRule="auto"/>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29049EAF">
      <w:pPr>
        <w:autoSpaceDE w:val="0"/>
        <w:autoSpaceDN w:val="0"/>
        <w:adjustRightInd w:val="0"/>
        <w:spacing w:line="360" w:lineRule="auto"/>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14:paraId="5AB81BC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A4EE87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1个项目（高校毕业生创业工作经费）开展了预算事前绩效评估，对1个项目编制了绩效目标，预算执行过程中，选取3个项目开展绩效监控，年终执行完毕后，对3个项目开展了绩效目标完成情况自评。</w:t>
      </w:r>
    </w:p>
    <w:p w14:paraId="612BFD9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接受评价项目的申报、立项程序完整，预算执行及时，绩效目标得到较好地实现，绩效水平得到稳步提升。本部门还自行组织了3个项目支出绩效评价，从评价情况来看基本能按照绩效目标完成。</w:t>
      </w:r>
    </w:p>
    <w:p w14:paraId="28E7AA84">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78E9836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年度部门决算中反映“高校毕业生创业工作经费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宋体" w:hAnsi="宋体" w:cs="宋体"/>
          <w:kern w:val="0"/>
          <w:sz w:val="18"/>
          <w:szCs w:val="18"/>
        </w:rPr>
        <w:t xml:space="preserve"> </w:t>
      </w:r>
      <w:r>
        <w:rPr>
          <w:rFonts w:ascii="仿宋_GB2312" w:hAnsi="仿宋_GB2312" w:eastAsia="仿宋_GB2312" w:cs="仿宋_GB2312"/>
          <w:sz w:val="32"/>
          <w:szCs w:val="32"/>
        </w:rPr>
        <w:t>就业创业补助转移支付资金”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省级财政人社公共服务能力建设资金</w:t>
      </w:r>
      <w:r>
        <w:rPr>
          <w:rFonts w:hint="eastAsia" w:ascii="仿宋_GB2312" w:hAnsi="仿宋_GB2312" w:eastAsia="仿宋_GB2312" w:cs="仿宋_GB2312"/>
          <w:sz w:val="32"/>
          <w:szCs w:val="32"/>
        </w:rPr>
        <w:t>”3个项目绩效目标实际完成情况。</w:t>
      </w:r>
    </w:p>
    <w:p w14:paraId="28E9D065">
      <w:pPr>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高校毕业生创业工作经费</w:t>
      </w:r>
      <w:r>
        <w:rPr>
          <w:rFonts w:hint="eastAsia" w:ascii="仿宋_GB2312" w:hAnsi="仿宋_GB2312" w:eastAsia="仿宋_GB2312" w:cs="仿宋_GB2312"/>
          <w:sz w:val="32"/>
          <w:szCs w:val="32"/>
        </w:rPr>
        <w:t>项目绩效目标完成情况综述。项目全年预算数3万元，执行数为3万元，完成预算的100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eastAsia="仿宋_GB2312"/>
          <w:sz w:val="32"/>
          <w:szCs w:val="32"/>
        </w:rPr>
        <w:t>促进高校毕业生创业比例和就业质量不断提高，保持我区高校毕业就业局势总体稳定</w:t>
      </w:r>
      <w:r>
        <w:rPr>
          <w:rFonts w:hint="eastAsia" w:ascii="仿宋_GB2312" w:hAnsi="仿宋_GB2312" w:eastAsia="仿宋_GB2312" w:cs="仿宋_GB2312"/>
          <w:sz w:val="32"/>
          <w:szCs w:val="32"/>
        </w:rPr>
        <w:t>，发现的主要问题：</w:t>
      </w:r>
      <w:r>
        <w:rPr>
          <w:rFonts w:hint="eastAsia" w:ascii="仿宋_GB2312" w:hAnsi="宋体" w:eastAsia="仿宋_GB2312"/>
          <w:sz w:val="32"/>
          <w:szCs w:val="32"/>
          <w:lang w:val="zh-CN"/>
        </w:rPr>
        <w:t>高校毕业生创业补贴属于动态管理项目，拨付补贴要根据符合条件的大学生实际申报情况，含不定性因素，开展绩效管理还有一定的难度，资金效益有待进一步提高。</w:t>
      </w:r>
      <w:r>
        <w:rPr>
          <w:rFonts w:hint="eastAsia" w:ascii="仿宋_GB2312" w:hAnsi="仿宋_GB2312" w:eastAsia="仿宋_GB2312" w:cs="仿宋_GB2312"/>
          <w:sz w:val="32"/>
          <w:szCs w:val="32"/>
        </w:rPr>
        <w:t>下一步改进措施：</w:t>
      </w:r>
      <w:r>
        <w:rPr>
          <w:rFonts w:hint="eastAsia" w:ascii="仿宋_GB2312" w:hAnsi="宋体" w:eastAsia="仿宋_GB2312"/>
          <w:sz w:val="32"/>
          <w:szCs w:val="32"/>
          <w:lang w:val="zh-CN"/>
        </w:rPr>
        <w:t>一是加大宣传力度，通过媒体、网络、报纸、印制宣传资料等。二是多部门联合协作，信息共享，主动联系符合申报条件的大学生前来申报补贴。</w:t>
      </w:r>
    </w:p>
    <w:p w14:paraId="1EF23738">
      <w:pPr>
        <w:spacing w:line="580" w:lineRule="exact"/>
        <w:ind w:firstLine="640" w:firstLineChars="200"/>
        <w:rPr>
          <w:rFonts w:cs="Arial" w:asciiTheme="minorEastAsia" w:hAnsiTheme="minorEastAsia" w:eastAsiaTheme="minorEastAsia"/>
          <w:color w:val="333333"/>
          <w:sz w:val="18"/>
          <w:szCs w:val="18"/>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就业创业补助转移支付资金</w:t>
      </w:r>
      <w:r>
        <w:rPr>
          <w:rFonts w:hint="eastAsia" w:ascii="仿宋_GB2312" w:hAnsi="仿宋_GB2312" w:eastAsia="仿宋_GB2312" w:cs="仿宋_GB2312"/>
          <w:sz w:val="32"/>
          <w:szCs w:val="32"/>
        </w:rPr>
        <w:t>项目绩效目标完成情况综述。项目全年预算数1612.36万元，执行数为1434.28万元，完成预算的89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为大学生、农民工、贫困家庭劳动力、退役军人、残疾人等重点群体，特别是为就业困难人员提供职业技能培训、公益性岗位安置。启蒙了大学生的创业意识，为全面落实积极的就业创业政策、实现新增就业、帮助困难人员就业提供了坚实的制度和资金保障，圆满完成各项目标任务，有力促进了经济发展和社会稳定，社会效益显著，发现的主要问题：执行进度</w:t>
      </w:r>
      <w:r>
        <w:rPr>
          <w:rFonts w:ascii="仿宋_GB2312" w:hAnsi="仿宋_GB2312" w:eastAsia="仿宋_GB2312" w:cs="仿宋_GB2312"/>
          <w:sz w:val="32"/>
          <w:szCs w:val="32"/>
        </w:rPr>
        <w:t>稍缓慢</w:t>
      </w:r>
      <w:r>
        <w:rPr>
          <w:rFonts w:hint="eastAsia" w:ascii="仿宋_GB2312" w:hAnsi="仿宋_GB2312" w:eastAsia="仿宋_GB2312" w:cs="仿宋_GB2312"/>
          <w:sz w:val="32"/>
          <w:szCs w:val="32"/>
        </w:rPr>
        <w:t>。下一步改进措施：</w:t>
      </w:r>
      <w:r>
        <w:rPr>
          <w:rFonts w:ascii="仿宋_GB2312" w:hAnsi="仿宋_GB2312" w:eastAsia="仿宋_GB2312" w:cs="仿宋_GB2312"/>
          <w:sz w:val="32"/>
          <w:szCs w:val="32"/>
        </w:rPr>
        <w:t>积极加大宣传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让更多群体享受惠民政策</w:t>
      </w:r>
      <w:r>
        <w:rPr>
          <w:rFonts w:hint="eastAsia" w:ascii="仿宋_GB2312" w:hAnsi="仿宋_GB2312" w:eastAsia="仿宋_GB2312" w:cs="仿宋_GB2312"/>
          <w:sz w:val="32"/>
          <w:szCs w:val="32"/>
        </w:rPr>
        <w:t>，加快资金拨付进度，提高预算执行率。</w:t>
      </w:r>
    </w:p>
    <w:p w14:paraId="5B10DDD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省级财政人社公共服务能力建设资金</w:t>
      </w:r>
      <w:r>
        <w:rPr>
          <w:rFonts w:hint="eastAsia" w:ascii="仿宋_GB2312" w:hAnsi="仿宋_GB2312" w:eastAsia="仿宋_GB2312" w:cs="仿宋_GB2312"/>
          <w:sz w:val="32"/>
          <w:szCs w:val="32"/>
        </w:rPr>
        <w:t>项目绩效目标完成情况综述。项目全年预算数17.97万元，执行数为3.56万元，完成预算的20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。通过项目实施，保障信息网络建设（运维）等工作，提高了平台的标准化率，发现的主要问题：执行进度</w:t>
      </w:r>
      <w:r>
        <w:rPr>
          <w:rFonts w:ascii="仿宋_GB2312" w:hAnsi="仿宋_GB2312" w:eastAsia="仿宋_GB2312" w:cs="仿宋_GB2312"/>
          <w:sz w:val="32"/>
          <w:szCs w:val="32"/>
        </w:rPr>
        <w:t>较缓慢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部分项目延续至下年</w:t>
      </w:r>
      <w:r>
        <w:rPr>
          <w:rFonts w:hint="eastAsia" w:ascii="仿宋_GB2312" w:hAnsi="仿宋_GB2312" w:eastAsia="仿宋_GB2312" w:cs="仿宋_GB2312"/>
          <w:sz w:val="32"/>
          <w:szCs w:val="32"/>
        </w:rPr>
        <w:t>。下一步改进措施：加强</w:t>
      </w:r>
      <w:r>
        <w:rPr>
          <w:rFonts w:ascii="仿宋_GB2312" w:hAnsi="仿宋_GB2312" w:eastAsia="仿宋_GB2312" w:cs="仿宋_GB2312"/>
          <w:sz w:val="32"/>
          <w:szCs w:val="32"/>
        </w:rPr>
        <w:t>项目跟进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加快执行进度</w:t>
      </w:r>
      <w:r>
        <w:rPr>
          <w:rFonts w:hint="eastAsia" w:ascii="仿宋_GB2312" w:hAnsi="仿宋_GB2312" w:eastAsia="仿宋_GB2312" w:cs="仿宋_GB2312"/>
          <w:sz w:val="32"/>
          <w:szCs w:val="32"/>
        </w:rPr>
        <w:t>。</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24"/>
        <w:gridCol w:w="1033"/>
        <w:gridCol w:w="1025"/>
        <w:gridCol w:w="2392"/>
        <w:gridCol w:w="2394"/>
        <w:gridCol w:w="2392"/>
      </w:tblGrid>
      <w:tr w14:paraId="35FC501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6988252">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3EA1C4A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A0574">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8C089">
            <w:pPr>
              <w:widowControl/>
              <w:jc w:val="center"/>
              <w:textAlignment w:val="center"/>
              <w:rPr>
                <w:rFonts w:ascii="宋体" w:cs="宋体"/>
                <w:color w:val="000000"/>
                <w:sz w:val="18"/>
                <w:szCs w:val="18"/>
              </w:rPr>
            </w:pPr>
            <w:r>
              <w:rPr>
                <w:rFonts w:ascii="宋体" w:hAnsi="宋体" w:cs="宋体"/>
                <w:kern w:val="0"/>
                <w:sz w:val="18"/>
                <w:szCs w:val="18"/>
              </w:rPr>
              <w:t>高校毕业生创业工作经费</w:t>
            </w:r>
          </w:p>
        </w:tc>
      </w:tr>
      <w:tr w14:paraId="6AA57CD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731B1">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D2652">
            <w:pPr>
              <w:widowControl/>
              <w:jc w:val="center"/>
              <w:textAlignment w:val="center"/>
              <w:rPr>
                <w:rFonts w:ascii="宋体" w:cs="宋体"/>
                <w:color w:val="000000"/>
                <w:sz w:val="18"/>
                <w:szCs w:val="18"/>
              </w:rPr>
            </w:pPr>
            <w:r>
              <w:rPr>
                <w:rFonts w:hint="eastAsia" w:ascii="宋体" w:hAnsi="宋体" w:cs="宋体"/>
                <w:kern w:val="0"/>
                <w:sz w:val="18"/>
                <w:szCs w:val="18"/>
              </w:rPr>
              <w:t>攀枝花市</w:t>
            </w:r>
            <w:r>
              <w:rPr>
                <w:rFonts w:ascii="宋体" w:hAnsi="宋体" w:cs="宋体"/>
                <w:kern w:val="0"/>
                <w:sz w:val="18"/>
                <w:szCs w:val="18"/>
              </w:rPr>
              <w:t>西区就业创业促进中心</w:t>
            </w:r>
          </w:p>
        </w:tc>
      </w:tr>
      <w:tr w14:paraId="004E832C">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CC514">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8040A">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DE67E">
            <w:pPr>
              <w:widowControl/>
              <w:jc w:val="center"/>
              <w:textAlignment w:val="center"/>
              <w:rPr>
                <w:rFonts w:ascii="宋体" w:cs="宋体"/>
                <w:color w:val="000000"/>
                <w:sz w:val="18"/>
                <w:szCs w:val="18"/>
              </w:rPr>
            </w:pPr>
            <w:r>
              <w:rPr>
                <w:rFonts w:hint="eastAsia" w:ascii="宋体" w:cs="宋体"/>
                <w:color w:val="000000"/>
                <w:sz w:val="18"/>
                <w:szCs w:val="18"/>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9CEEE">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C2A18">
            <w:pPr>
              <w:widowControl/>
              <w:jc w:val="center"/>
              <w:textAlignment w:val="center"/>
              <w:rPr>
                <w:rFonts w:ascii="宋体" w:cs="宋体"/>
                <w:color w:val="000000"/>
                <w:sz w:val="18"/>
                <w:szCs w:val="18"/>
              </w:rPr>
            </w:pPr>
            <w:r>
              <w:rPr>
                <w:rFonts w:hint="eastAsia" w:ascii="宋体" w:cs="宋体"/>
                <w:color w:val="000000"/>
                <w:sz w:val="18"/>
                <w:szCs w:val="18"/>
              </w:rPr>
              <w:t>3万元</w:t>
            </w:r>
          </w:p>
        </w:tc>
      </w:tr>
      <w:tr w14:paraId="5F6272AB">
        <w:tblPrEx>
          <w:tblCellMar>
            <w:top w:w="0" w:type="dxa"/>
            <w:left w:w="0" w:type="dxa"/>
            <w:bottom w:w="0" w:type="dxa"/>
            <w:right w:w="0" w:type="dxa"/>
          </w:tblCellMar>
        </w:tblPrEx>
        <w:trPr>
          <w:trHeight w:val="27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64050">
            <w:pPr>
              <w:jc w:val="center"/>
              <w:rPr>
                <w:rFonts w:ascii="宋体" w:cs="宋体"/>
                <w:color w:val="000000"/>
                <w:sz w:val="18"/>
                <w:szCs w:val="18"/>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EFA80">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BED8F">
            <w:pPr>
              <w:widowControl/>
              <w:jc w:val="center"/>
              <w:textAlignment w:val="center"/>
              <w:rPr>
                <w:rFonts w:ascii="宋体" w:cs="宋体"/>
                <w:color w:val="000000"/>
                <w:sz w:val="18"/>
                <w:szCs w:val="18"/>
              </w:rPr>
            </w:pPr>
            <w:r>
              <w:rPr>
                <w:rFonts w:hint="eastAsia" w:ascii="宋体" w:cs="宋体"/>
                <w:color w:val="000000"/>
                <w:sz w:val="18"/>
                <w:szCs w:val="18"/>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678C3">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3EAD8">
            <w:pPr>
              <w:widowControl/>
              <w:jc w:val="center"/>
              <w:textAlignment w:val="center"/>
              <w:rPr>
                <w:rFonts w:ascii="宋体" w:cs="宋体"/>
                <w:color w:val="000000"/>
                <w:sz w:val="18"/>
                <w:szCs w:val="18"/>
              </w:rPr>
            </w:pPr>
            <w:r>
              <w:rPr>
                <w:rFonts w:hint="eastAsia" w:ascii="宋体" w:cs="宋体"/>
                <w:color w:val="000000"/>
                <w:sz w:val="18"/>
                <w:szCs w:val="18"/>
              </w:rPr>
              <w:t>3万元</w:t>
            </w:r>
          </w:p>
        </w:tc>
      </w:tr>
      <w:tr w14:paraId="61196CB4">
        <w:tblPrEx>
          <w:tblCellMar>
            <w:top w:w="0" w:type="dxa"/>
            <w:left w:w="0" w:type="dxa"/>
            <w:bottom w:w="0" w:type="dxa"/>
            <w:right w:w="0" w:type="dxa"/>
          </w:tblCellMar>
        </w:tblPrEx>
        <w:trPr>
          <w:trHeight w:val="482"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E46C4">
            <w:pPr>
              <w:jc w:val="center"/>
              <w:rPr>
                <w:rFonts w:ascii="宋体" w:cs="宋体"/>
                <w:color w:val="000000"/>
                <w:sz w:val="18"/>
                <w:szCs w:val="18"/>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86CD0">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07B27">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F4F82">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054F5">
            <w:pPr>
              <w:jc w:val="center"/>
              <w:rPr>
                <w:rFonts w:ascii="宋体" w:cs="宋体"/>
                <w:color w:val="000000"/>
                <w:sz w:val="18"/>
                <w:szCs w:val="18"/>
              </w:rPr>
            </w:pPr>
          </w:p>
        </w:tc>
      </w:tr>
      <w:tr w14:paraId="2449E850">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0E309">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88A08">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00BDC">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7818341D">
        <w:tblPrEx>
          <w:tblCellMar>
            <w:top w:w="0" w:type="dxa"/>
            <w:left w:w="0" w:type="dxa"/>
            <w:bottom w:w="0" w:type="dxa"/>
            <w:right w:w="0" w:type="dxa"/>
          </w:tblCellMar>
        </w:tblPrEx>
        <w:trPr>
          <w:trHeight w:val="1159"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1FAE7">
            <w:pPr>
              <w:jc w:val="center"/>
              <w:rPr>
                <w:rFonts w:ascii="宋体" w:cs="宋体"/>
                <w:color w:val="000000"/>
                <w:sz w:val="15"/>
                <w:szCs w:val="15"/>
              </w:rPr>
            </w:pP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347B9">
            <w:pPr>
              <w:widowControl/>
              <w:jc w:val="center"/>
              <w:textAlignment w:val="center"/>
              <w:rPr>
                <w:rFonts w:ascii="宋体" w:cs="宋体"/>
                <w:color w:val="000000"/>
                <w:sz w:val="18"/>
                <w:szCs w:val="18"/>
              </w:rPr>
            </w:pPr>
            <w:r>
              <w:rPr>
                <w:rFonts w:hint="eastAsia" w:ascii="宋体" w:hAnsi="宋体" w:cs="宋体"/>
                <w:kern w:val="0"/>
                <w:sz w:val="18"/>
                <w:szCs w:val="18"/>
              </w:rPr>
              <w:t>促进高校毕业生及失业人员等群体实现就业创业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E17CA">
            <w:pPr>
              <w:widowControl/>
              <w:jc w:val="left"/>
              <w:textAlignment w:val="center"/>
              <w:rPr>
                <w:rFonts w:ascii="宋体" w:cs="宋体"/>
                <w:color w:val="000000"/>
                <w:sz w:val="18"/>
                <w:szCs w:val="18"/>
              </w:rPr>
            </w:pPr>
            <w:r>
              <w:rPr>
                <w:rFonts w:hint="eastAsia" w:cs="Courier New"/>
                <w:sz w:val="18"/>
                <w:szCs w:val="18"/>
              </w:rPr>
              <w:t>离校未就业高校毕业生就业率达100%，促进500余名高校毕业生等群体就业，促进1名高校毕业生成功自主创业，推荐攀枝花市嘉骅生态农业开发有限公司创办者郭桔显参加评选，获四川省农民工工作领导小组授予的“四川省返乡下乡创业明星”荣誉称号</w:t>
            </w:r>
          </w:p>
        </w:tc>
      </w:tr>
      <w:tr w14:paraId="5A955AEE">
        <w:tblPrEx>
          <w:tblCellMar>
            <w:top w:w="0" w:type="dxa"/>
            <w:left w:w="0" w:type="dxa"/>
            <w:bottom w:w="0" w:type="dxa"/>
            <w:right w:w="0" w:type="dxa"/>
          </w:tblCellMar>
        </w:tblPrEx>
        <w:trPr>
          <w:trHeight w:val="639" w:hRule="atLeast"/>
          <w:jc w:val="center"/>
        </w:trPr>
        <w:tc>
          <w:tcPr>
            <w:tcW w:w="7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4823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绩效指标完成情况</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FC5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8C6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8DF1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2F6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预期指标值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A025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实际完成指标值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r>
      <w:tr w14:paraId="608DEBD0">
        <w:tblPrEx>
          <w:tblCellMar>
            <w:top w:w="0" w:type="dxa"/>
            <w:left w:w="0" w:type="dxa"/>
            <w:bottom w:w="0" w:type="dxa"/>
            <w:right w:w="0" w:type="dxa"/>
          </w:tblCellMar>
        </w:tblPrEx>
        <w:trPr>
          <w:trHeight w:val="953"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01527257">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EEB14">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D7E48">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3DEEA">
            <w:pPr>
              <w:rPr>
                <w:rFonts w:ascii="宋体" w:hAnsi="宋体" w:cs="宋体"/>
                <w:sz w:val="18"/>
                <w:szCs w:val="18"/>
              </w:rPr>
            </w:pPr>
            <w:r>
              <w:rPr>
                <w:rFonts w:hint="eastAsia"/>
                <w:sz w:val="18"/>
                <w:szCs w:val="18"/>
              </w:rPr>
              <w:t>促进高校毕业生及失业人员等群体实现就业创业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197D3">
            <w:pPr>
              <w:widowControl/>
              <w:spacing w:line="240" w:lineRule="exact"/>
              <w:jc w:val="center"/>
              <w:rPr>
                <w:rFonts w:ascii="宋体" w:hAnsi="宋体" w:cs="宋体"/>
                <w:kern w:val="0"/>
                <w:sz w:val="18"/>
                <w:szCs w:val="18"/>
              </w:rPr>
            </w:pPr>
            <w:r>
              <w:rPr>
                <w:rFonts w:hint="eastAsia" w:ascii="宋体" w:hAnsi="宋体" w:cs="宋体"/>
                <w:kern w:val="0"/>
                <w:sz w:val="18"/>
                <w:szCs w:val="18"/>
              </w:rPr>
              <w:t>全面</w:t>
            </w:r>
            <w:r>
              <w:rPr>
                <w:rFonts w:ascii="宋体" w:hAnsi="宋体" w:cs="宋体"/>
                <w:kern w:val="0"/>
                <w:sz w:val="18"/>
                <w:szCs w:val="18"/>
              </w:rPr>
              <w:t>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7A435">
            <w:pPr>
              <w:widowControl/>
              <w:spacing w:line="240" w:lineRule="exact"/>
              <w:jc w:val="center"/>
              <w:rPr>
                <w:rFonts w:ascii="宋体" w:hAnsi="宋体" w:cs="宋体"/>
                <w:kern w:val="0"/>
                <w:sz w:val="18"/>
                <w:szCs w:val="18"/>
              </w:rPr>
            </w:pPr>
            <w:r>
              <w:rPr>
                <w:rFonts w:hint="eastAsia" w:ascii="宋体" w:hAnsi="宋体" w:cs="宋体"/>
                <w:kern w:val="0"/>
                <w:sz w:val="18"/>
                <w:szCs w:val="18"/>
              </w:rPr>
              <w:t>得到全面提升</w:t>
            </w:r>
          </w:p>
        </w:tc>
      </w:tr>
      <w:tr w14:paraId="20F4B9CD">
        <w:tblPrEx>
          <w:tblCellMar>
            <w:top w:w="0" w:type="dxa"/>
            <w:left w:w="0" w:type="dxa"/>
            <w:bottom w:w="0" w:type="dxa"/>
            <w:right w:w="0" w:type="dxa"/>
          </w:tblCellMar>
        </w:tblPrEx>
        <w:trPr>
          <w:trHeight w:val="129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5535C715">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A0ECC">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75B1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C8BC7">
            <w:pPr>
              <w:rPr>
                <w:rFonts w:ascii="宋体" w:hAnsi="宋体" w:cs="宋体"/>
                <w:sz w:val="18"/>
                <w:szCs w:val="18"/>
              </w:rPr>
            </w:pPr>
            <w:r>
              <w:rPr>
                <w:rFonts w:hint="eastAsia"/>
                <w:sz w:val="18"/>
                <w:szCs w:val="18"/>
              </w:rPr>
              <w:t>高校毕业生工作经费支出准确率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7B2C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D26E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r>
      <w:tr w14:paraId="36CBC157">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2F5C8F34">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34054">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B333D">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839EB">
            <w:pPr>
              <w:rPr>
                <w:rFonts w:ascii="宋体" w:hAnsi="宋体" w:cs="宋体"/>
                <w:sz w:val="18"/>
                <w:szCs w:val="18"/>
              </w:rPr>
            </w:pPr>
            <w:r>
              <w:rPr>
                <w:rFonts w:hint="eastAsia"/>
                <w:sz w:val="18"/>
                <w:szCs w:val="18"/>
              </w:rPr>
              <w:t>2020年1-12月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473E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B875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r>
      <w:tr w14:paraId="71834B21">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59525533">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073E0">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21D4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797E1">
            <w:pPr>
              <w:rPr>
                <w:rFonts w:ascii="宋体" w:hAnsi="宋体" w:cs="宋体"/>
                <w:sz w:val="18"/>
                <w:szCs w:val="18"/>
              </w:rPr>
            </w:pPr>
            <w:r>
              <w:rPr>
                <w:rFonts w:hint="eastAsia"/>
                <w:sz w:val="18"/>
                <w:szCs w:val="18"/>
              </w:rPr>
              <w:t>高校毕业生创业补贴控制率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CA6B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27E2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r>
      <w:tr w14:paraId="499408EE">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75CA37AF">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D9D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9AFB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80E6">
            <w:pPr>
              <w:rPr>
                <w:rFonts w:ascii="宋体" w:hAnsi="宋体" w:cs="宋体"/>
                <w:sz w:val="18"/>
                <w:szCs w:val="18"/>
              </w:rPr>
            </w:pPr>
            <w:r>
              <w:rPr>
                <w:rFonts w:hint="eastAsia"/>
                <w:sz w:val="18"/>
                <w:szCs w:val="18"/>
              </w:rPr>
              <w:t>工作经费控制率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41D3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81B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r>
      <w:tr w14:paraId="193848DD">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1D8405A5">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A1C13">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E7382">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6919C6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52C61">
            <w:pPr>
              <w:rPr>
                <w:rFonts w:ascii="宋体" w:hAnsi="宋体" w:cs="宋体"/>
                <w:sz w:val="18"/>
                <w:szCs w:val="18"/>
              </w:rPr>
            </w:pPr>
            <w:r>
              <w:rPr>
                <w:rFonts w:hint="eastAsia"/>
                <w:sz w:val="18"/>
                <w:szCs w:val="18"/>
              </w:rPr>
              <w:t>年末高校毕业生总体就业率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366FF">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C535F">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r>
      <w:tr w14:paraId="0373173F">
        <w:tblPrEx>
          <w:tblCellMar>
            <w:top w:w="0" w:type="dxa"/>
            <w:left w:w="0" w:type="dxa"/>
            <w:bottom w:w="0" w:type="dxa"/>
            <w:right w:w="0" w:type="dxa"/>
          </w:tblCellMar>
        </w:tblPrEx>
        <w:trPr>
          <w:trHeight w:val="129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57B5D4D4">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83014">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76730">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0A83B">
            <w:pPr>
              <w:rPr>
                <w:rFonts w:ascii="宋体" w:hAnsi="宋体" w:cs="宋体"/>
                <w:sz w:val="18"/>
                <w:szCs w:val="18"/>
              </w:rPr>
            </w:pPr>
            <w:r>
              <w:rPr>
                <w:rFonts w:hint="eastAsia"/>
                <w:sz w:val="18"/>
                <w:szCs w:val="18"/>
              </w:rPr>
              <w:t>引导大众树立创业意识，创业带动就业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03FA5">
            <w:pPr>
              <w:widowControl/>
              <w:spacing w:line="240" w:lineRule="exact"/>
              <w:jc w:val="center"/>
              <w:rPr>
                <w:rFonts w:ascii="宋体" w:hAnsi="宋体" w:cs="宋体"/>
                <w:kern w:val="0"/>
                <w:sz w:val="18"/>
                <w:szCs w:val="18"/>
              </w:rPr>
            </w:pPr>
            <w:r>
              <w:rPr>
                <w:rFonts w:hint="eastAsia" w:ascii="宋体" w:hAnsi="宋体" w:cs="宋体"/>
                <w:kern w:val="0"/>
                <w:sz w:val="18"/>
                <w:szCs w:val="18"/>
              </w:rPr>
              <w:t>全面</w:t>
            </w:r>
            <w:r>
              <w:rPr>
                <w:rFonts w:ascii="宋体" w:hAnsi="宋体" w:cs="宋体"/>
                <w:kern w:val="0"/>
                <w:sz w:val="18"/>
                <w:szCs w:val="18"/>
              </w:rPr>
              <w:t>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CC028">
            <w:pPr>
              <w:widowControl/>
              <w:spacing w:line="240" w:lineRule="exact"/>
              <w:jc w:val="center"/>
              <w:rPr>
                <w:rFonts w:ascii="宋体" w:hAnsi="宋体" w:cs="宋体"/>
                <w:kern w:val="0"/>
                <w:sz w:val="18"/>
                <w:szCs w:val="18"/>
              </w:rPr>
            </w:pPr>
            <w:r>
              <w:rPr>
                <w:rFonts w:hint="eastAsia" w:ascii="宋体" w:hAnsi="宋体" w:cs="宋体"/>
                <w:kern w:val="0"/>
                <w:sz w:val="18"/>
                <w:szCs w:val="18"/>
              </w:rPr>
              <w:t>得到全面提升</w:t>
            </w:r>
          </w:p>
        </w:tc>
      </w:tr>
      <w:tr w14:paraId="7CE7D49F">
        <w:tblPrEx>
          <w:tblCellMar>
            <w:top w:w="0" w:type="dxa"/>
            <w:left w:w="0" w:type="dxa"/>
            <w:bottom w:w="0" w:type="dxa"/>
            <w:right w:w="0" w:type="dxa"/>
          </w:tblCellMar>
        </w:tblPrEx>
        <w:trPr>
          <w:trHeight w:val="1050" w:hRule="atLeast"/>
          <w:jc w:val="center"/>
        </w:trPr>
        <w:tc>
          <w:tcPr>
            <w:tcW w:w="7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8633005">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C3079">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377B6">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F71A9">
            <w:pPr>
              <w:rPr>
                <w:rFonts w:ascii="宋体" w:hAnsi="宋体" w:cs="宋体"/>
                <w:sz w:val="18"/>
                <w:szCs w:val="18"/>
              </w:rPr>
            </w:pPr>
            <w:r>
              <w:rPr>
                <w:rFonts w:hint="eastAsia"/>
                <w:sz w:val="18"/>
                <w:szCs w:val="18"/>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CBF82">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99ED0">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r>
      <w:tr w14:paraId="2A45E60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ADE9EBE">
            <w:pPr>
              <w:widowControl/>
              <w:jc w:val="center"/>
              <w:textAlignment w:val="center"/>
              <w:rPr>
                <w:rFonts w:hint="eastAsia" w:ascii="宋体" w:hAnsi="宋体" w:cs="宋体"/>
                <w:b/>
                <w:bCs/>
                <w:color w:val="000000"/>
                <w:kern w:val="0"/>
                <w:sz w:val="36"/>
                <w:szCs w:val="36"/>
              </w:rPr>
            </w:pPr>
          </w:p>
          <w:p w14:paraId="2BB1EEEA">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9A155D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E0E78">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FA9B8">
            <w:pPr>
              <w:widowControl/>
              <w:jc w:val="center"/>
              <w:textAlignment w:val="center"/>
              <w:rPr>
                <w:rFonts w:ascii="宋体" w:cs="宋体"/>
                <w:color w:val="000000"/>
                <w:sz w:val="18"/>
                <w:szCs w:val="18"/>
              </w:rPr>
            </w:pPr>
            <w:r>
              <w:rPr>
                <w:rFonts w:ascii="宋体" w:hAnsi="宋体" w:cs="宋体"/>
                <w:kern w:val="0"/>
                <w:sz w:val="18"/>
                <w:szCs w:val="18"/>
              </w:rPr>
              <w:t>就业创业补助转移支付资金</w:t>
            </w:r>
          </w:p>
        </w:tc>
      </w:tr>
      <w:tr w14:paraId="37E2DFA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81E44">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161DF">
            <w:pPr>
              <w:widowControl/>
              <w:jc w:val="center"/>
              <w:textAlignment w:val="center"/>
              <w:rPr>
                <w:rFonts w:ascii="宋体" w:cs="宋体"/>
                <w:color w:val="000000"/>
                <w:sz w:val="18"/>
                <w:szCs w:val="18"/>
              </w:rPr>
            </w:pPr>
            <w:r>
              <w:rPr>
                <w:rFonts w:hint="eastAsia" w:ascii="宋体" w:hAnsi="宋体" w:cs="宋体"/>
                <w:kern w:val="0"/>
                <w:sz w:val="18"/>
                <w:szCs w:val="18"/>
              </w:rPr>
              <w:t>攀枝花市</w:t>
            </w:r>
            <w:r>
              <w:rPr>
                <w:rFonts w:ascii="宋体" w:hAnsi="宋体" w:cs="宋体"/>
                <w:kern w:val="0"/>
                <w:sz w:val="18"/>
                <w:szCs w:val="18"/>
              </w:rPr>
              <w:t>西区就业创业促进中心</w:t>
            </w:r>
          </w:p>
        </w:tc>
      </w:tr>
      <w:tr w14:paraId="4B8FD725">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9F827">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75FF6">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79292">
            <w:pPr>
              <w:widowControl/>
              <w:jc w:val="center"/>
              <w:textAlignment w:val="center"/>
              <w:rPr>
                <w:rFonts w:ascii="宋体" w:cs="宋体"/>
                <w:color w:val="000000"/>
                <w:sz w:val="18"/>
                <w:szCs w:val="18"/>
              </w:rPr>
            </w:pPr>
            <w:r>
              <w:rPr>
                <w:rFonts w:hint="eastAsia" w:ascii="宋体" w:hAnsi="宋体" w:cs="宋体"/>
                <w:kern w:val="0"/>
                <w:sz w:val="18"/>
                <w:szCs w:val="18"/>
              </w:rPr>
              <w:t>1612.36</w:t>
            </w:r>
            <w:r>
              <w:rPr>
                <w:rFonts w:hint="eastAsia" w:ascii="宋体" w:cs="宋体"/>
                <w:color w:val="000000"/>
                <w:sz w:val="18"/>
                <w:szCs w:val="18"/>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276D7">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024B8">
            <w:pPr>
              <w:widowControl/>
              <w:jc w:val="center"/>
              <w:textAlignment w:val="center"/>
              <w:rPr>
                <w:rFonts w:ascii="宋体" w:cs="宋体"/>
                <w:color w:val="000000"/>
                <w:sz w:val="18"/>
                <w:szCs w:val="18"/>
              </w:rPr>
            </w:pPr>
            <w:r>
              <w:rPr>
                <w:rFonts w:hint="eastAsia" w:ascii="宋体" w:hAnsi="宋体" w:cs="宋体"/>
                <w:kern w:val="0"/>
                <w:sz w:val="18"/>
                <w:szCs w:val="18"/>
              </w:rPr>
              <w:t>1434.28</w:t>
            </w:r>
            <w:r>
              <w:rPr>
                <w:rFonts w:hint="eastAsia" w:ascii="宋体" w:cs="宋体"/>
                <w:color w:val="000000"/>
                <w:sz w:val="18"/>
                <w:szCs w:val="18"/>
              </w:rPr>
              <w:t>万元</w:t>
            </w:r>
          </w:p>
        </w:tc>
      </w:tr>
      <w:tr w14:paraId="2046DD36">
        <w:tblPrEx>
          <w:tblCellMar>
            <w:top w:w="0" w:type="dxa"/>
            <w:left w:w="0" w:type="dxa"/>
            <w:bottom w:w="0" w:type="dxa"/>
            <w:right w:w="0" w:type="dxa"/>
          </w:tblCellMar>
        </w:tblPrEx>
        <w:trPr>
          <w:trHeight w:val="27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1C2A1">
            <w:pPr>
              <w:jc w:val="center"/>
              <w:rPr>
                <w:rFonts w:ascii="宋体" w:cs="宋体"/>
                <w:color w:val="000000"/>
                <w:sz w:val="18"/>
                <w:szCs w:val="18"/>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7971E">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7F1DB">
            <w:pPr>
              <w:widowControl/>
              <w:spacing w:line="240" w:lineRule="exact"/>
              <w:jc w:val="center"/>
              <w:rPr>
                <w:rFonts w:ascii="宋体" w:hAnsi="宋体" w:cs="宋体"/>
                <w:kern w:val="0"/>
                <w:sz w:val="18"/>
                <w:szCs w:val="18"/>
              </w:rPr>
            </w:pPr>
            <w:r>
              <w:rPr>
                <w:rFonts w:hint="eastAsia" w:ascii="宋体" w:hAnsi="宋体" w:cs="宋体"/>
                <w:kern w:val="0"/>
                <w:sz w:val="18"/>
                <w:szCs w:val="18"/>
              </w:rPr>
              <w:t>1608.82万元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26EBD">
            <w:pPr>
              <w:widowControl/>
              <w:spacing w:line="240" w:lineRule="exact"/>
              <w:jc w:val="center"/>
              <w:rPr>
                <w:rFonts w:ascii="宋体" w:hAnsi="宋体" w:cs="宋体"/>
                <w:kern w:val="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1CDCB">
            <w:pPr>
              <w:widowControl/>
              <w:jc w:val="center"/>
              <w:textAlignment w:val="center"/>
              <w:rPr>
                <w:rFonts w:ascii="宋体" w:cs="宋体"/>
                <w:color w:val="000000"/>
                <w:sz w:val="18"/>
                <w:szCs w:val="18"/>
              </w:rPr>
            </w:pPr>
            <w:r>
              <w:rPr>
                <w:rFonts w:hint="eastAsia" w:ascii="宋体" w:cs="宋体"/>
                <w:color w:val="000000"/>
                <w:sz w:val="18"/>
                <w:szCs w:val="18"/>
              </w:rPr>
              <w:t>1431.88万元</w:t>
            </w:r>
          </w:p>
        </w:tc>
      </w:tr>
      <w:tr w14:paraId="70980ECA">
        <w:tblPrEx>
          <w:tblCellMar>
            <w:top w:w="0" w:type="dxa"/>
            <w:left w:w="0" w:type="dxa"/>
            <w:bottom w:w="0" w:type="dxa"/>
            <w:right w:w="0" w:type="dxa"/>
          </w:tblCellMar>
        </w:tblPrEx>
        <w:trPr>
          <w:trHeight w:val="482"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CE300">
            <w:pPr>
              <w:jc w:val="center"/>
              <w:rPr>
                <w:rFonts w:ascii="宋体" w:cs="宋体"/>
                <w:color w:val="000000"/>
                <w:sz w:val="18"/>
                <w:szCs w:val="18"/>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A09B5">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629A8">
            <w:pPr>
              <w:widowControl/>
              <w:jc w:val="center"/>
              <w:textAlignment w:val="center"/>
              <w:rPr>
                <w:rFonts w:ascii="宋体" w:cs="宋体"/>
                <w:color w:val="000000"/>
                <w:sz w:val="18"/>
                <w:szCs w:val="18"/>
              </w:rPr>
            </w:pPr>
            <w:r>
              <w:rPr>
                <w:rFonts w:hint="eastAsia" w:ascii="宋体" w:cs="宋体"/>
                <w:color w:val="000000"/>
                <w:sz w:val="18"/>
                <w:szCs w:val="18"/>
              </w:rPr>
              <w:t>3.54万元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1321B">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DD9E1">
            <w:pPr>
              <w:jc w:val="center"/>
              <w:rPr>
                <w:rFonts w:ascii="宋体" w:cs="宋体"/>
                <w:color w:val="000000"/>
                <w:sz w:val="18"/>
                <w:szCs w:val="18"/>
              </w:rPr>
            </w:pPr>
            <w:r>
              <w:rPr>
                <w:rFonts w:hint="eastAsia" w:ascii="宋体" w:cs="宋体"/>
                <w:color w:val="000000"/>
                <w:sz w:val="18"/>
                <w:szCs w:val="18"/>
              </w:rPr>
              <w:t>2.4万元</w:t>
            </w:r>
          </w:p>
        </w:tc>
      </w:tr>
      <w:tr w14:paraId="0B0DDA15">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E50B3">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99839">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C894D">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72ED8A54">
        <w:tblPrEx>
          <w:tblCellMar>
            <w:top w:w="0" w:type="dxa"/>
            <w:left w:w="0" w:type="dxa"/>
            <w:bottom w:w="0" w:type="dxa"/>
            <w:right w:w="0" w:type="dxa"/>
          </w:tblCellMar>
        </w:tblPrEx>
        <w:trPr>
          <w:trHeight w:val="1159"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A7CB8">
            <w:pPr>
              <w:jc w:val="center"/>
              <w:rPr>
                <w:rFonts w:ascii="宋体" w:cs="宋体"/>
                <w:color w:val="000000"/>
                <w:sz w:val="15"/>
                <w:szCs w:val="15"/>
              </w:rPr>
            </w:pP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B2107">
            <w:pPr>
              <w:widowControl/>
              <w:jc w:val="center"/>
              <w:textAlignment w:val="center"/>
              <w:rPr>
                <w:rFonts w:cs="宋体" w:asciiTheme="minorEastAsia" w:hAnsiTheme="minorEastAsia" w:eastAsiaTheme="minorEastAsia"/>
                <w:color w:val="000000"/>
                <w:sz w:val="18"/>
                <w:szCs w:val="18"/>
              </w:rPr>
            </w:pPr>
            <w:r>
              <w:rPr>
                <w:rFonts w:hint="eastAsia" w:cs="Arial" w:asciiTheme="minorEastAsia" w:hAnsiTheme="minorEastAsia" w:eastAsiaTheme="minorEastAsia"/>
                <w:color w:val="333333"/>
                <w:sz w:val="18"/>
                <w:szCs w:val="18"/>
              </w:rPr>
              <w:t>通过落实培训补贴、社会保险补贴、公益性岗位补贴、就业见习补贴、求职创业补贴、就业创业服务补助等补助政策，努力实现全区就业局势基本稳定。重要评价指标有：城镇新增就业4000人、城镇失业人员再就业1600人、就业困难人员就业350人，城镇登记失业率控制在4以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ADD9C">
            <w:pPr>
              <w:widowControl/>
              <w:jc w:val="left"/>
              <w:textAlignment w:val="center"/>
              <w:rPr>
                <w:rFonts w:cs="宋体" w:asciiTheme="minorEastAsia" w:hAnsiTheme="minorEastAsia" w:eastAsiaTheme="minorEastAsia"/>
                <w:color w:val="000000"/>
                <w:sz w:val="18"/>
                <w:szCs w:val="18"/>
              </w:rPr>
            </w:pPr>
            <w:r>
              <w:rPr>
                <w:rFonts w:hint="eastAsia" w:cs="Arial" w:asciiTheme="minorEastAsia" w:hAnsiTheme="minorEastAsia" w:eastAsiaTheme="minorEastAsia"/>
                <w:color w:val="333333"/>
                <w:sz w:val="18"/>
                <w:szCs w:val="18"/>
              </w:rPr>
              <w:t>为大学生、农民工、贫困家庭劳动力、退役军人、残疾人等重点群体，特别是就业困难人员提供职业技能培训、公益性岗位安置和灵活就业社保补贴，启蒙大学生的创业意识，为全面落实积极的就业创业政策、实现新增就业、帮助困难人员就业提供了坚实的制度和资金保障，圆满完成各项目标任务，有力促进了经济发展和社会稳定，社会效益显著。</w:t>
            </w:r>
          </w:p>
        </w:tc>
      </w:tr>
      <w:tr w14:paraId="7EDFD6A4">
        <w:tblPrEx>
          <w:tblCellMar>
            <w:top w:w="0" w:type="dxa"/>
            <w:left w:w="0" w:type="dxa"/>
            <w:bottom w:w="0" w:type="dxa"/>
            <w:right w:w="0" w:type="dxa"/>
          </w:tblCellMar>
        </w:tblPrEx>
        <w:trPr>
          <w:trHeight w:val="639" w:hRule="atLeast"/>
          <w:jc w:val="center"/>
        </w:trPr>
        <w:tc>
          <w:tcPr>
            <w:tcW w:w="7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2824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绩效指标完成情况</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C31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8BA6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A67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13D9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预期指标值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D6B0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实际完成指标值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r>
      <w:tr w14:paraId="110B53D9">
        <w:tblPrEx>
          <w:tblCellMar>
            <w:top w:w="0" w:type="dxa"/>
            <w:left w:w="0" w:type="dxa"/>
            <w:bottom w:w="0" w:type="dxa"/>
            <w:right w:w="0" w:type="dxa"/>
          </w:tblCellMar>
        </w:tblPrEx>
        <w:trPr>
          <w:trHeight w:val="953"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61E4D0E3">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7EBF5">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E37C5">
            <w:pPr>
              <w:widowControl/>
              <w:spacing w:line="240" w:lineRule="exact"/>
              <w:jc w:val="center"/>
              <w:rPr>
                <w:rFonts w:ascii="宋体" w:hAnsi="宋体" w:cs="宋体"/>
                <w:kern w:val="0"/>
                <w:sz w:val="18"/>
                <w:szCs w:val="18"/>
              </w:rPr>
            </w:pPr>
            <w:r>
              <w:rPr>
                <w:rFonts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86D43">
            <w:pPr>
              <w:jc w:val="left"/>
              <w:rPr>
                <w:rFonts w:ascii="宋体" w:hAnsi="宋体" w:cs="宋体"/>
                <w:sz w:val="18"/>
                <w:szCs w:val="18"/>
              </w:rPr>
            </w:pPr>
            <w:r>
              <w:rPr>
                <w:rFonts w:hint="eastAsia"/>
                <w:sz w:val="18"/>
                <w:szCs w:val="18"/>
              </w:rPr>
              <w:t>享受公益性岗位补贴人次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751B9">
            <w:pPr>
              <w:widowControl/>
              <w:spacing w:line="240" w:lineRule="exact"/>
              <w:jc w:val="center"/>
              <w:rPr>
                <w:rFonts w:ascii="宋体" w:hAnsi="宋体" w:cs="宋体"/>
                <w:kern w:val="0"/>
                <w:sz w:val="18"/>
                <w:szCs w:val="18"/>
              </w:rPr>
            </w:pPr>
            <w:r>
              <w:rPr>
                <w:rFonts w:hint="eastAsia" w:ascii="宋体" w:hAnsi="宋体" w:cs="宋体"/>
                <w:kern w:val="0"/>
                <w:sz w:val="18"/>
                <w:szCs w:val="18"/>
              </w:rPr>
              <w:t>600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9E489">
            <w:pPr>
              <w:widowControl/>
              <w:spacing w:line="240" w:lineRule="exact"/>
              <w:jc w:val="center"/>
              <w:rPr>
                <w:rFonts w:ascii="宋体" w:hAnsi="宋体" w:cs="宋体"/>
                <w:kern w:val="0"/>
                <w:sz w:val="18"/>
                <w:szCs w:val="18"/>
              </w:rPr>
            </w:pPr>
            <w:r>
              <w:rPr>
                <w:rFonts w:hint="eastAsia" w:ascii="宋体" w:hAnsi="宋体" w:cs="宋体"/>
                <w:kern w:val="0"/>
                <w:sz w:val="18"/>
                <w:szCs w:val="18"/>
              </w:rPr>
              <w:t>694</w:t>
            </w:r>
          </w:p>
        </w:tc>
      </w:tr>
      <w:tr w14:paraId="70DDDB6E">
        <w:tblPrEx>
          <w:tblCellMar>
            <w:top w:w="0" w:type="dxa"/>
            <w:left w:w="0" w:type="dxa"/>
            <w:bottom w:w="0" w:type="dxa"/>
            <w:right w:w="0" w:type="dxa"/>
          </w:tblCellMar>
        </w:tblPrEx>
        <w:trPr>
          <w:trHeight w:val="129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77517597">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17236">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9520C">
            <w:pPr>
              <w:widowControl/>
              <w:spacing w:line="240" w:lineRule="exact"/>
              <w:jc w:val="center"/>
              <w:rPr>
                <w:rFonts w:ascii="宋体" w:hAnsi="宋体" w:cs="宋体"/>
                <w:kern w:val="0"/>
                <w:sz w:val="18"/>
                <w:szCs w:val="18"/>
              </w:rPr>
            </w:pPr>
            <w:r>
              <w:rPr>
                <w:rFonts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2EC9D">
            <w:pPr>
              <w:jc w:val="left"/>
              <w:rPr>
                <w:sz w:val="18"/>
                <w:szCs w:val="18"/>
              </w:rPr>
            </w:pPr>
            <w:r>
              <w:rPr>
                <w:rFonts w:hint="eastAsia"/>
                <w:sz w:val="18"/>
                <w:szCs w:val="18"/>
              </w:rPr>
              <w:t>享受社保补贴人员人次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6CB97">
            <w:pPr>
              <w:widowControl/>
              <w:spacing w:line="240" w:lineRule="exact"/>
              <w:jc w:val="center"/>
              <w:rPr>
                <w:rFonts w:ascii="宋体" w:hAnsi="宋体" w:cs="宋体"/>
                <w:kern w:val="0"/>
                <w:sz w:val="18"/>
                <w:szCs w:val="18"/>
              </w:rPr>
            </w:pPr>
            <w:r>
              <w:rPr>
                <w:rFonts w:hint="eastAsia" w:ascii="宋体" w:hAnsi="宋体" w:cs="宋体"/>
                <w:kern w:val="0"/>
                <w:sz w:val="18"/>
                <w:szCs w:val="18"/>
              </w:rPr>
              <w:t>.1200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A84C9">
            <w:pPr>
              <w:widowControl/>
              <w:spacing w:line="240" w:lineRule="exact"/>
              <w:jc w:val="center"/>
              <w:rPr>
                <w:rFonts w:ascii="宋体" w:hAnsi="宋体" w:cs="宋体"/>
                <w:kern w:val="0"/>
                <w:sz w:val="18"/>
                <w:szCs w:val="18"/>
              </w:rPr>
            </w:pPr>
            <w:r>
              <w:rPr>
                <w:rFonts w:hint="eastAsia" w:ascii="宋体" w:hAnsi="宋体" w:cs="宋体"/>
                <w:kern w:val="0"/>
                <w:sz w:val="18"/>
                <w:szCs w:val="18"/>
              </w:rPr>
              <w:t>1581</w:t>
            </w:r>
          </w:p>
        </w:tc>
      </w:tr>
      <w:tr w14:paraId="35868573">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2589EBFB">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97D10">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49812">
            <w:pPr>
              <w:widowControl/>
              <w:spacing w:line="240" w:lineRule="exact"/>
              <w:jc w:val="center"/>
              <w:rPr>
                <w:rFonts w:ascii="宋体" w:hAnsi="宋体" w:cs="宋体"/>
                <w:kern w:val="0"/>
                <w:sz w:val="18"/>
                <w:szCs w:val="18"/>
              </w:rPr>
            </w:pPr>
            <w:r>
              <w:rPr>
                <w:rFonts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214AC">
            <w:pPr>
              <w:jc w:val="left"/>
              <w:rPr>
                <w:rFonts w:ascii="宋体" w:hAnsi="宋体" w:cs="宋体"/>
                <w:sz w:val="18"/>
                <w:szCs w:val="18"/>
              </w:rPr>
            </w:pPr>
            <w:r>
              <w:rPr>
                <w:rFonts w:hint="eastAsia"/>
                <w:sz w:val="18"/>
                <w:szCs w:val="18"/>
              </w:rPr>
              <w:t>企业职工技能培训人数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FFC74">
            <w:pPr>
              <w:widowControl/>
              <w:spacing w:line="240" w:lineRule="exact"/>
              <w:jc w:val="center"/>
              <w:rPr>
                <w:rFonts w:ascii="宋体" w:hAnsi="宋体" w:cs="宋体"/>
                <w:kern w:val="0"/>
                <w:sz w:val="18"/>
                <w:szCs w:val="18"/>
              </w:rPr>
            </w:pPr>
            <w:r>
              <w:rPr>
                <w:rFonts w:hint="eastAsia" w:ascii="宋体" w:hAnsi="宋体" w:cs="宋体"/>
                <w:kern w:val="0"/>
                <w:sz w:val="18"/>
                <w:szCs w:val="18"/>
              </w:rPr>
              <w:t>400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F39AC">
            <w:pPr>
              <w:widowControl/>
              <w:spacing w:line="240" w:lineRule="exact"/>
              <w:jc w:val="center"/>
              <w:rPr>
                <w:rFonts w:ascii="宋体" w:hAnsi="宋体" w:cs="宋体"/>
                <w:kern w:val="0"/>
                <w:sz w:val="18"/>
                <w:szCs w:val="18"/>
              </w:rPr>
            </w:pPr>
            <w:r>
              <w:rPr>
                <w:rFonts w:hint="eastAsia" w:ascii="宋体" w:hAnsi="宋体" w:cs="宋体"/>
                <w:kern w:val="0"/>
                <w:sz w:val="18"/>
                <w:szCs w:val="18"/>
              </w:rPr>
              <w:t>687</w:t>
            </w:r>
          </w:p>
        </w:tc>
      </w:tr>
      <w:tr w14:paraId="55211F82">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580C58CC">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675A9">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B8B6B">
            <w:pPr>
              <w:widowControl/>
              <w:spacing w:line="240" w:lineRule="exact"/>
              <w:jc w:val="center"/>
              <w:rPr>
                <w:rFonts w:ascii="宋体" w:hAnsi="宋体" w:cs="宋体"/>
                <w:kern w:val="0"/>
                <w:sz w:val="18"/>
                <w:szCs w:val="18"/>
              </w:rPr>
            </w:pPr>
            <w:r>
              <w:rPr>
                <w:rFonts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558A6">
            <w:pPr>
              <w:jc w:val="left"/>
              <w:rPr>
                <w:rFonts w:ascii="宋体" w:hAnsi="宋体" w:cs="宋体"/>
                <w:sz w:val="18"/>
                <w:szCs w:val="18"/>
              </w:rPr>
            </w:pPr>
            <w:r>
              <w:rPr>
                <w:rFonts w:hint="eastAsia"/>
                <w:sz w:val="18"/>
                <w:szCs w:val="18"/>
              </w:rPr>
              <w:t>创业培训人数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4C038">
            <w:pPr>
              <w:widowControl/>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D77CD">
            <w:pPr>
              <w:widowControl/>
              <w:spacing w:line="240" w:lineRule="exact"/>
              <w:jc w:val="center"/>
              <w:rPr>
                <w:rFonts w:ascii="宋体" w:hAnsi="宋体" w:cs="宋体"/>
                <w:kern w:val="0"/>
                <w:sz w:val="18"/>
                <w:szCs w:val="18"/>
              </w:rPr>
            </w:pPr>
            <w:r>
              <w:rPr>
                <w:rFonts w:hint="eastAsia" w:ascii="宋体" w:hAnsi="宋体" w:cs="宋体"/>
                <w:kern w:val="0"/>
                <w:sz w:val="18"/>
                <w:szCs w:val="18"/>
              </w:rPr>
              <w:t>243</w:t>
            </w:r>
          </w:p>
        </w:tc>
      </w:tr>
      <w:tr w14:paraId="5D8EC157">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34726403">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CB76D">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CD0DD">
            <w:pPr>
              <w:widowControl/>
              <w:spacing w:line="240" w:lineRule="exact"/>
              <w:jc w:val="center"/>
              <w:rPr>
                <w:rFonts w:ascii="宋体" w:hAnsi="宋体" w:cs="宋体"/>
                <w:kern w:val="0"/>
                <w:sz w:val="18"/>
                <w:szCs w:val="18"/>
              </w:rPr>
            </w:pPr>
            <w:r>
              <w:rPr>
                <w:rFonts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E3281">
            <w:pPr>
              <w:jc w:val="left"/>
              <w:rPr>
                <w:rFonts w:ascii="宋体" w:hAnsi="宋体" w:cs="宋体"/>
                <w:sz w:val="18"/>
                <w:szCs w:val="18"/>
              </w:rPr>
            </w:pPr>
            <w:r>
              <w:rPr>
                <w:rFonts w:hint="eastAsia"/>
                <w:sz w:val="18"/>
                <w:szCs w:val="18"/>
              </w:rPr>
              <w:t>劳务品牌培训人数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B2253">
            <w:pPr>
              <w:widowControl/>
              <w:spacing w:line="240" w:lineRule="exact"/>
              <w:jc w:val="center"/>
              <w:rPr>
                <w:rFonts w:ascii="宋体" w:hAnsi="宋体" w:cs="宋体"/>
                <w:kern w:val="0"/>
                <w:sz w:val="18"/>
                <w:szCs w:val="18"/>
              </w:rPr>
            </w:pPr>
            <w:r>
              <w:rPr>
                <w:rFonts w:hint="eastAsia" w:ascii="宋体" w:hAnsi="宋体" w:cs="宋体"/>
                <w:kern w:val="0"/>
                <w:sz w:val="18"/>
                <w:szCs w:val="18"/>
              </w:rPr>
              <w:t>600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F1537">
            <w:pPr>
              <w:widowControl/>
              <w:spacing w:line="240" w:lineRule="exact"/>
              <w:jc w:val="center"/>
              <w:rPr>
                <w:rFonts w:ascii="宋体" w:hAnsi="宋体" w:cs="宋体"/>
                <w:kern w:val="0"/>
                <w:sz w:val="18"/>
                <w:szCs w:val="18"/>
              </w:rPr>
            </w:pPr>
            <w:r>
              <w:rPr>
                <w:rFonts w:hint="eastAsia" w:ascii="宋体" w:hAnsi="宋体" w:cs="宋体"/>
                <w:kern w:val="0"/>
                <w:sz w:val="18"/>
                <w:szCs w:val="18"/>
              </w:rPr>
              <w:t>736</w:t>
            </w:r>
          </w:p>
        </w:tc>
      </w:tr>
      <w:tr w14:paraId="6DB5628F">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70785A64">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1DD58">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577C0">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41BCA">
            <w:pPr>
              <w:widowControl/>
              <w:spacing w:line="240" w:lineRule="exact"/>
              <w:jc w:val="left"/>
              <w:rPr>
                <w:sz w:val="18"/>
                <w:szCs w:val="18"/>
              </w:rPr>
            </w:pPr>
            <w:r>
              <w:rPr>
                <w:sz w:val="18"/>
                <w:szCs w:val="18"/>
              </w:rPr>
              <w:t>补贴</w:t>
            </w:r>
            <w:r>
              <w:rPr>
                <w:rFonts w:hint="eastAsia"/>
                <w:sz w:val="18"/>
                <w:szCs w:val="18"/>
              </w:rPr>
              <w:t>发放准确</w:t>
            </w:r>
            <w:r>
              <w:rPr>
                <w:sz w:val="18"/>
                <w:szCs w:val="18"/>
              </w:rPr>
              <w:t>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B1A75">
            <w:pPr>
              <w:widowControl/>
              <w:spacing w:line="240" w:lineRule="exact"/>
              <w:jc w:val="center"/>
              <w:rPr>
                <w:sz w:val="18"/>
                <w:szCs w:val="18"/>
              </w:rPr>
            </w:pPr>
            <w:r>
              <w:rPr>
                <w:rFonts w:hint="eastAsia"/>
                <w:sz w:val="18"/>
                <w:szCs w:val="18"/>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90E4F">
            <w:pPr>
              <w:widowControl/>
              <w:spacing w:line="240" w:lineRule="exact"/>
              <w:jc w:val="center"/>
              <w:rPr>
                <w:sz w:val="18"/>
                <w:szCs w:val="18"/>
              </w:rPr>
            </w:pPr>
            <w:r>
              <w:rPr>
                <w:rFonts w:hint="eastAsia"/>
                <w:sz w:val="18"/>
                <w:szCs w:val="18"/>
              </w:rPr>
              <w:t>〉95%</w:t>
            </w:r>
          </w:p>
        </w:tc>
      </w:tr>
      <w:tr w14:paraId="4EE0C10D">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2D272979">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07FCA">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3E04E">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2D37A">
            <w:pPr>
              <w:widowControl/>
              <w:spacing w:line="240" w:lineRule="exact"/>
              <w:jc w:val="left"/>
              <w:rPr>
                <w:sz w:val="18"/>
                <w:szCs w:val="18"/>
              </w:rPr>
            </w:pPr>
            <w:r>
              <w:rPr>
                <w:sz w:val="18"/>
                <w:szCs w:val="18"/>
              </w:rPr>
              <w:t>资金拨付进度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B74D0">
            <w:pPr>
              <w:widowControl/>
              <w:spacing w:line="240" w:lineRule="exact"/>
              <w:jc w:val="center"/>
              <w:rPr>
                <w:sz w:val="18"/>
                <w:szCs w:val="18"/>
              </w:rPr>
            </w:pPr>
            <w:r>
              <w:rPr>
                <w:rFonts w:hint="eastAsia"/>
                <w:sz w:val="18"/>
                <w:szCs w:val="18"/>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008F7">
            <w:pPr>
              <w:widowControl/>
              <w:spacing w:line="240" w:lineRule="exact"/>
              <w:jc w:val="center"/>
              <w:rPr>
                <w:sz w:val="18"/>
                <w:szCs w:val="18"/>
              </w:rPr>
            </w:pPr>
            <w:r>
              <w:rPr>
                <w:rFonts w:hint="eastAsia"/>
                <w:sz w:val="18"/>
                <w:szCs w:val="18"/>
              </w:rPr>
              <w:t>89%</w:t>
            </w:r>
          </w:p>
        </w:tc>
      </w:tr>
      <w:tr w14:paraId="2A25F3E8">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4A01375E">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35D5B">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E9EDE">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2ECBB">
            <w:pPr>
              <w:widowControl/>
              <w:spacing w:line="240" w:lineRule="exact"/>
              <w:jc w:val="left"/>
              <w:rPr>
                <w:sz w:val="18"/>
                <w:szCs w:val="18"/>
              </w:rPr>
            </w:pPr>
            <w:r>
              <w:rPr>
                <w:rFonts w:hint="eastAsia"/>
                <w:sz w:val="18"/>
                <w:szCs w:val="18"/>
              </w:rPr>
              <w:t>严格按照文件补贴标准发放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8CAD7">
            <w:pPr>
              <w:widowControl/>
              <w:spacing w:line="240" w:lineRule="exact"/>
              <w:jc w:val="center"/>
              <w:rPr>
                <w:sz w:val="18"/>
                <w:szCs w:val="18"/>
              </w:rPr>
            </w:pPr>
            <w:r>
              <w:rPr>
                <w:rFonts w:hint="eastAsia"/>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08192">
            <w:pPr>
              <w:widowControl/>
              <w:spacing w:line="240" w:lineRule="exact"/>
              <w:jc w:val="center"/>
              <w:rPr>
                <w:sz w:val="18"/>
                <w:szCs w:val="18"/>
              </w:rPr>
            </w:pPr>
            <w:r>
              <w:rPr>
                <w:rFonts w:hint="eastAsia"/>
                <w:sz w:val="18"/>
                <w:szCs w:val="18"/>
              </w:rPr>
              <w:t>100%</w:t>
            </w:r>
          </w:p>
        </w:tc>
      </w:tr>
      <w:tr w14:paraId="5FA7BB0B">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5B77C878">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6F0E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0A727">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C0681B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7F48F">
            <w:pPr>
              <w:jc w:val="left"/>
              <w:rPr>
                <w:rFonts w:ascii="宋体" w:hAnsi="宋体" w:cs="宋体"/>
                <w:sz w:val="18"/>
                <w:szCs w:val="18"/>
              </w:rPr>
            </w:pPr>
            <w:r>
              <w:rPr>
                <w:rFonts w:hint="eastAsia"/>
                <w:sz w:val="18"/>
                <w:szCs w:val="18"/>
              </w:rPr>
              <w:t>城镇新增就业人数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D13BC">
            <w:pPr>
              <w:widowControl/>
              <w:spacing w:line="240" w:lineRule="exact"/>
              <w:jc w:val="center"/>
              <w:rPr>
                <w:rFonts w:ascii="宋体" w:hAnsi="宋体" w:cs="宋体"/>
                <w:kern w:val="0"/>
                <w:sz w:val="18"/>
                <w:szCs w:val="18"/>
              </w:rPr>
            </w:pPr>
            <w:r>
              <w:rPr>
                <w:rFonts w:hint="eastAsia" w:ascii="宋体" w:hAnsi="宋体" w:cs="宋体"/>
                <w:kern w:val="0"/>
                <w:sz w:val="18"/>
                <w:szCs w:val="18"/>
              </w:rPr>
              <w:t>4000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18CA0">
            <w:pPr>
              <w:widowControl/>
              <w:spacing w:line="240" w:lineRule="exact"/>
              <w:jc w:val="center"/>
              <w:rPr>
                <w:rFonts w:ascii="宋体" w:hAnsi="宋体" w:cs="宋体"/>
                <w:kern w:val="0"/>
                <w:sz w:val="18"/>
                <w:szCs w:val="18"/>
              </w:rPr>
            </w:pPr>
            <w:r>
              <w:rPr>
                <w:rFonts w:hint="eastAsia" w:ascii="宋体" w:hAnsi="宋体" w:cs="宋体"/>
                <w:kern w:val="0"/>
                <w:sz w:val="18"/>
                <w:szCs w:val="18"/>
              </w:rPr>
              <w:t>4806</w:t>
            </w:r>
          </w:p>
        </w:tc>
      </w:tr>
      <w:tr w14:paraId="21EED3C7">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3BAD8E96">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AAC06">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888A3">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182D8E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7F7EF">
            <w:pPr>
              <w:jc w:val="left"/>
              <w:rPr>
                <w:rFonts w:ascii="宋体" w:hAnsi="宋体" w:cs="宋体"/>
                <w:sz w:val="18"/>
                <w:szCs w:val="18"/>
              </w:rPr>
            </w:pPr>
            <w:r>
              <w:rPr>
                <w:rFonts w:hint="eastAsia"/>
                <w:sz w:val="18"/>
                <w:szCs w:val="18"/>
              </w:rPr>
              <w:t>城镇失业人员再就业人数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6259D">
            <w:pPr>
              <w:widowControl/>
              <w:spacing w:line="240" w:lineRule="exact"/>
              <w:jc w:val="center"/>
              <w:rPr>
                <w:rFonts w:ascii="宋体" w:hAnsi="宋体" w:cs="宋体"/>
                <w:kern w:val="0"/>
                <w:sz w:val="18"/>
                <w:szCs w:val="18"/>
              </w:rPr>
            </w:pPr>
            <w:r>
              <w:rPr>
                <w:rFonts w:hint="eastAsia" w:ascii="宋体" w:hAnsi="宋体" w:cs="宋体"/>
                <w:kern w:val="0"/>
                <w:sz w:val="18"/>
                <w:szCs w:val="18"/>
              </w:rPr>
              <w:t>1600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106D0">
            <w:pPr>
              <w:widowControl/>
              <w:spacing w:line="240" w:lineRule="exact"/>
              <w:jc w:val="center"/>
              <w:rPr>
                <w:rFonts w:ascii="宋体" w:hAnsi="宋体" w:cs="宋体"/>
                <w:kern w:val="0"/>
                <w:sz w:val="18"/>
                <w:szCs w:val="18"/>
              </w:rPr>
            </w:pPr>
            <w:r>
              <w:rPr>
                <w:rFonts w:hint="eastAsia" w:ascii="宋体" w:hAnsi="宋体" w:cs="宋体"/>
                <w:kern w:val="0"/>
                <w:sz w:val="18"/>
                <w:szCs w:val="18"/>
              </w:rPr>
              <w:t>1976</w:t>
            </w:r>
          </w:p>
        </w:tc>
      </w:tr>
      <w:tr w14:paraId="246473EA">
        <w:tblPrEx>
          <w:tblCellMar>
            <w:top w:w="0" w:type="dxa"/>
            <w:left w:w="0" w:type="dxa"/>
            <w:bottom w:w="0" w:type="dxa"/>
            <w:right w:w="0" w:type="dxa"/>
          </w:tblCellMar>
        </w:tblPrEx>
        <w:trPr>
          <w:trHeight w:val="129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6CE45F31">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56BE8">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8E166">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4DA5CD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CD115">
            <w:pPr>
              <w:jc w:val="left"/>
              <w:rPr>
                <w:rFonts w:ascii="宋体" w:hAnsi="宋体" w:cs="宋体"/>
                <w:sz w:val="18"/>
                <w:szCs w:val="18"/>
              </w:rPr>
            </w:pPr>
            <w:r>
              <w:rPr>
                <w:rFonts w:hint="eastAsia"/>
                <w:sz w:val="18"/>
                <w:szCs w:val="18"/>
              </w:rPr>
              <w:t>就业困难人员就业人数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1DD72">
            <w:pPr>
              <w:widowControl/>
              <w:spacing w:line="240" w:lineRule="exact"/>
              <w:jc w:val="center"/>
              <w:rPr>
                <w:rFonts w:ascii="宋体" w:hAnsi="宋体" w:cs="宋体"/>
                <w:kern w:val="0"/>
                <w:sz w:val="18"/>
                <w:szCs w:val="18"/>
              </w:rPr>
            </w:pPr>
            <w:r>
              <w:rPr>
                <w:rFonts w:hint="eastAsia" w:ascii="宋体" w:hAnsi="宋体" w:cs="宋体"/>
                <w:kern w:val="0"/>
                <w:sz w:val="18"/>
                <w:szCs w:val="18"/>
              </w:rPr>
              <w:t>350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F3437">
            <w:pPr>
              <w:widowControl/>
              <w:spacing w:line="240" w:lineRule="exact"/>
              <w:jc w:val="center"/>
              <w:rPr>
                <w:rFonts w:ascii="宋体" w:hAnsi="宋体" w:cs="宋体"/>
                <w:kern w:val="0"/>
                <w:sz w:val="18"/>
                <w:szCs w:val="18"/>
              </w:rPr>
            </w:pPr>
            <w:r>
              <w:rPr>
                <w:rFonts w:hint="eastAsia" w:ascii="宋体" w:hAnsi="宋体" w:cs="宋体"/>
                <w:kern w:val="0"/>
                <w:sz w:val="18"/>
                <w:szCs w:val="18"/>
              </w:rPr>
              <w:t>414</w:t>
            </w:r>
          </w:p>
        </w:tc>
      </w:tr>
      <w:tr w14:paraId="6747BA01">
        <w:tblPrEx>
          <w:tblCellMar>
            <w:top w:w="0" w:type="dxa"/>
            <w:left w:w="0" w:type="dxa"/>
            <w:bottom w:w="0" w:type="dxa"/>
            <w:right w:w="0" w:type="dxa"/>
          </w:tblCellMar>
        </w:tblPrEx>
        <w:trPr>
          <w:trHeight w:val="1050" w:hRule="atLeast"/>
          <w:jc w:val="center"/>
        </w:trPr>
        <w:tc>
          <w:tcPr>
            <w:tcW w:w="7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EDDB594">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B6159">
            <w:pPr>
              <w:widowControl/>
              <w:spacing w:line="240" w:lineRule="exact"/>
              <w:jc w:val="center"/>
              <w:rPr>
                <w:rFonts w:ascii="宋体" w:hAnsi="宋体" w:cs="宋体"/>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93D8D">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BF16F6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A9A1">
            <w:pPr>
              <w:jc w:val="left"/>
              <w:rPr>
                <w:sz w:val="18"/>
                <w:szCs w:val="18"/>
              </w:rPr>
            </w:pPr>
            <w:r>
              <w:rPr>
                <w:rFonts w:hint="eastAsia"/>
                <w:sz w:val="18"/>
                <w:szCs w:val="18"/>
              </w:rPr>
              <w:t>有力促进了经济发展和社会稳定，社会效益显著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470F4">
            <w:pPr>
              <w:widowControl/>
              <w:spacing w:line="240" w:lineRule="exact"/>
              <w:jc w:val="center"/>
              <w:rPr>
                <w:rFonts w:ascii="宋体" w:hAnsi="宋体" w:cs="宋体"/>
                <w:kern w:val="0"/>
                <w:sz w:val="18"/>
                <w:szCs w:val="18"/>
              </w:rPr>
            </w:pPr>
            <w:r>
              <w:rPr>
                <w:rFonts w:ascii="宋体" w:hAnsi="宋体" w:cs="宋体"/>
                <w:kern w:val="0"/>
                <w:sz w:val="18"/>
                <w:szCs w:val="18"/>
              </w:rPr>
              <w:t>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3D4D6">
            <w:pPr>
              <w:widowControl/>
              <w:spacing w:line="240" w:lineRule="exact"/>
              <w:jc w:val="center"/>
              <w:rPr>
                <w:rFonts w:ascii="宋体" w:hAnsi="宋体" w:cs="宋体"/>
                <w:kern w:val="0"/>
                <w:sz w:val="18"/>
                <w:szCs w:val="18"/>
              </w:rPr>
            </w:pPr>
            <w:r>
              <w:rPr>
                <w:rFonts w:hint="eastAsia" w:ascii="宋体" w:hAnsi="宋体" w:cs="宋体"/>
                <w:kern w:val="0"/>
                <w:sz w:val="18"/>
                <w:szCs w:val="18"/>
              </w:rPr>
              <w:t>〉良</w:t>
            </w:r>
          </w:p>
        </w:tc>
      </w:tr>
      <w:tr w14:paraId="17E6C15A">
        <w:tblPrEx>
          <w:tblCellMar>
            <w:top w:w="0" w:type="dxa"/>
            <w:left w:w="0" w:type="dxa"/>
            <w:bottom w:w="0" w:type="dxa"/>
            <w:right w:w="0" w:type="dxa"/>
          </w:tblCellMar>
        </w:tblPrEx>
        <w:trPr>
          <w:trHeight w:val="1050" w:hRule="atLeast"/>
          <w:jc w:val="center"/>
        </w:trPr>
        <w:tc>
          <w:tcPr>
            <w:tcW w:w="7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FF1ED76">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AC6BE">
            <w:pPr>
              <w:widowControl/>
              <w:spacing w:line="240" w:lineRule="exact"/>
              <w:jc w:val="center"/>
              <w:rPr>
                <w:rFonts w:ascii="宋体" w:hAnsi="宋体" w:cs="宋体"/>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560C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EFF5FA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5B5FB">
            <w:pPr>
              <w:jc w:val="left"/>
              <w:rPr>
                <w:sz w:val="18"/>
                <w:szCs w:val="18"/>
              </w:rPr>
            </w:pPr>
            <w:r>
              <w:rPr>
                <w:rFonts w:hint="eastAsia"/>
                <w:sz w:val="18"/>
                <w:szCs w:val="18"/>
              </w:rPr>
              <w:t>城镇登记就业率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CDE45">
            <w:pPr>
              <w:widowControl/>
              <w:spacing w:line="240" w:lineRule="exact"/>
              <w:jc w:val="center"/>
              <w:rPr>
                <w:rFonts w:ascii="宋体" w:hAnsi="宋体" w:cs="宋体"/>
                <w:kern w:val="0"/>
                <w:sz w:val="18"/>
                <w:szCs w:val="18"/>
              </w:rPr>
            </w:pPr>
            <w:r>
              <w:rPr>
                <w:rFonts w:ascii="宋体" w:hAnsi="宋体" w:cs="宋体"/>
                <w:kern w:val="0"/>
                <w:sz w:val="18"/>
                <w:szCs w:val="18"/>
              </w:rPr>
              <w:t>低于</w:t>
            </w:r>
            <w:r>
              <w:rPr>
                <w:rFonts w:hint="eastAsia" w:ascii="宋体" w:hAnsi="宋体" w:cs="宋体"/>
                <w:kern w:val="0"/>
                <w:sz w:val="18"/>
                <w:szCs w:val="18"/>
              </w:rPr>
              <w:t>4%目标控制线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7EBF7">
            <w:pPr>
              <w:widowControl/>
              <w:spacing w:line="240" w:lineRule="exact"/>
              <w:jc w:val="center"/>
              <w:rPr>
                <w:rFonts w:ascii="宋体" w:hAnsi="宋体" w:cs="宋体"/>
                <w:kern w:val="0"/>
                <w:sz w:val="18"/>
                <w:szCs w:val="18"/>
              </w:rPr>
            </w:pPr>
            <w:r>
              <w:rPr>
                <w:rFonts w:hint="eastAsia" w:ascii="宋体" w:hAnsi="宋体" w:cs="宋体"/>
                <w:kern w:val="0"/>
                <w:sz w:val="18"/>
                <w:szCs w:val="18"/>
              </w:rPr>
              <w:t>3.56%</w:t>
            </w:r>
          </w:p>
        </w:tc>
      </w:tr>
      <w:tr w14:paraId="38438B63">
        <w:tblPrEx>
          <w:tblCellMar>
            <w:top w:w="0" w:type="dxa"/>
            <w:left w:w="0" w:type="dxa"/>
            <w:bottom w:w="0" w:type="dxa"/>
            <w:right w:w="0" w:type="dxa"/>
          </w:tblCellMar>
        </w:tblPrEx>
        <w:trPr>
          <w:trHeight w:val="1050" w:hRule="atLeast"/>
          <w:jc w:val="center"/>
        </w:trPr>
        <w:tc>
          <w:tcPr>
            <w:tcW w:w="7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888327C">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E1FEA">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6BABD">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074B9">
            <w:pPr>
              <w:widowControl/>
              <w:spacing w:line="240" w:lineRule="exact"/>
              <w:jc w:val="left"/>
              <w:rPr>
                <w:rFonts w:ascii="宋体" w:hAnsi="宋体" w:cs="宋体"/>
                <w:color w:val="000000"/>
                <w:kern w:val="0"/>
                <w:sz w:val="18"/>
                <w:szCs w:val="18"/>
              </w:rPr>
            </w:pPr>
            <w:r>
              <w:rPr>
                <w:rFonts w:hint="eastAsia"/>
                <w:sz w:val="18"/>
                <w:szCs w:val="18"/>
              </w:rPr>
              <w:t>公共就业服务满意度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B1E2C">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E0EFF">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r>
      <w:tr w14:paraId="71AF5B1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C9FBF30">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80E468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FC532">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07FAC">
            <w:pPr>
              <w:widowControl/>
              <w:jc w:val="center"/>
              <w:textAlignment w:val="center"/>
              <w:rPr>
                <w:rFonts w:ascii="宋体" w:cs="宋体"/>
                <w:color w:val="000000"/>
                <w:sz w:val="18"/>
                <w:szCs w:val="18"/>
              </w:rPr>
            </w:pPr>
            <w:r>
              <w:rPr>
                <w:rFonts w:ascii="宋体" w:hAnsi="宋体" w:cs="宋体"/>
                <w:kern w:val="0"/>
                <w:sz w:val="18"/>
                <w:szCs w:val="18"/>
              </w:rPr>
              <w:t>省级财政人社公共服务能力建设资金</w:t>
            </w:r>
          </w:p>
        </w:tc>
      </w:tr>
      <w:tr w14:paraId="16DCA5D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8D3C2">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4B564">
            <w:pPr>
              <w:widowControl/>
              <w:jc w:val="center"/>
              <w:textAlignment w:val="center"/>
              <w:rPr>
                <w:rFonts w:ascii="宋体" w:cs="宋体"/>
                <w:color w:val="000000"/>
                <w:sz w:val="18"/>
                <w:szCs w:val="18"/>
              </w:rPr>
            </w:pPr>
            <w:r>
              <w:rPr>
                <w:rFonts w:ascii="宋体" w:hAnsi="宋体" w:cs="宋体"/>
                <w:kern w:val="0"/>
                <w:sz w:val="18"/>
                <w:szCs w:val="18"/>
              </w:rPr>
              <w:t>西区就业创业促进中心</w:t>
            </w:r>
          </w:p>
        </w:tc>
      </w:tr>
      <w:tr w14:paraId="2F170F56">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B40FE">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7ED2E">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A391B">
            <w:pPr>
              <w:widowControl/>
              <w:jc w:val="center"/>
              <w:textAlignment w:val="center"/>
              <w:rPr>
                <w:rFonts w:ascii="宋体" w:cs="宋体"/>
                <w:color w:val="000000"/>
                <w:sz w:val="18"/>
                <w:szCs w:val="18"/>
              </w:rPr>
            </w:pPr>
            <w:r>
              <w:rPr>
                <w:rFonts w:hint="eastAsia" w:ascii="宋体" w:cs="宋体"/>
                <w:color w:val="000000"/>
                <w:sz w:val="18"/>
                <w:szCs w:val="18"/>
              </w:rPr>
              <w:t>17.97万元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6AE93">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C50AB">
            <w:pPr>
              <w:widowControl/>
              <w:jc w:val="center"/>
              <w:textAlignment w:val="center"/>
              <w:rPr>
                <w:rFonts w:ascii="宋体" w:cs="宋体"/>
                <w:color w:val="000000"/>
                <w:sz w:val="18"/>
                <w:szCs w:val="18"/>
              </w:rPr>
            </w:pPr>
            <w:r>
              <w:rPr>
                <w:rFonts w:hint="eastAsia" w:ascii="宋体" w:cs="宋体"/>
                <w:color w:val="000000"/>
                <w:sz w:val="18"/>
                <w:szCs w:val="18"/>
              </w:rPr>
              <w:t>3.56万元</w:t>
            </w:r>
          </w:p>
        </w:tc>
      </w:tr>
      <w:tr w14:paraId="15028D38">
        <w:tblPrEx>
          <w:tblCellMar>
            <w:top w:w="0" w:type="dxa"/>
            <w:left w:w="0" w:type="dxa"/>
            <w:bottom w:w="0" w:type="dxa"/>
            <w:right w:w="0" w:type="dxa"/>
          </w:tblCellMar>
        </w:tblPrEx>
        <w:trPr>
          <w:trHeight w:val="27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FA77A">
            <w:pPr>
              <w:jc w:val="center"/>
              <w:rPr>
                <w:rFonts w:ascii="宋体" w:cs="宋体"/>
                <w:color w:val="000000"/>
                <w:sz w:val="18"/>
                <w:szCs w:val="18"/>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DC108">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DE5F9">
            <w:pPr>
              <w:widowControl/>
              <w:jc w:val="center"/>
              <w:textAlignment w:val="center"/>
              <w:rPr>
                <w:rFonts w:ascii="宋体" w:cs="宋体"/>
                <w:color w:val="000000"/>
                <w:sz w:val="18"/>
                <w:szCs w:val="18"/>
              </w:rPr>
            </w:pPr>
            <w:r>
              <w:rPr>
                <w:rFonts w:hint="eastAsia" w:ascii="宋体" w:cs="宋体"/>
                <w:color w:val="000000"/>
                <w:sz w:val="18"/>
                <w:szCs w:val="18"/>
              </w:rPr>
              <w:t>17.97万元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8A8AE">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86763">
            <w:pPr>
              <w:widowControl/>
              <w:jc w:val="center"/>
              <w:textAlignment w:val="center"/>
              <w:rPr>
                <w:rFonts w:ascii="宋体" w:cs="宋体"/>
                <w:color w:val="000000"/>
                <w:sz w:val="18"/>
                <w:szCs w:val="18"/>
              </w:rPr>
            </w:pPr>
            <w:r>
              <w:rPr>
                <w:rFonts w:hint="eastAsia" w:ascii="宋体" w:cs="宋体"/>
                <w:color w:val="000000"/>
                <w:sz w:val="18"/>
                <w:szCs w:val="18"/>
              </w:rPr>
              <w:t>3.56万元</w:t>
            </w:r>
          </w:p>
        </w:tc>
      </w:tr>
      <w:tr w14:paraId="0C6FDBF1">
        <w:tblPrEx>
          <w:tblCellMar>
            <w:top w:w="0" w:type="dxa"/>
            <w:left w:w="0" w:type="dxa"/>
            <w:bottom w:w="0" w:type="dxa"/>
            <w:right w:w="0" w:type="dxa"/>
          </w:tblCellMar>
        </w:tblPrEx>
        <w:trPr>
          <w:trHeight w:val="482"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364D9">
            <w:pPr>
              <w:jc w:val="center"/>
              <w:rPr>
                <w:rFonts w:ascii="宋体" w:cs="宋体"/>
                <w:color w:val="000000"/>
                <w:sz w:val="18"/>
                <w:szCs w:val="18"/>
              </w:rPr>
            </w:pPr>
          </w:p>
        </w:tc>
        <w:tc>
          <w:tcPr>
            <w:tcW w:w="20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443EF">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1C206">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2DE2E">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16089">
            <w:pPr>
              <w:jc w:val="center"/>
              <w:rPr>
                <w:rFonts w:ascii="宋体" w:cs="宋体"/>
                <w:color w:val="000000"/>
                <w:sz w:val="18"/>
                <w:szCs w:val="18"/>
              </w:rPr>
            </w:pPr>
          </w:p>
        </w:tc>
      </w:tr>
      <w:tr w14:paraId="02CF409C">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86298">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EB93A">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DB4FE">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1085B49D">
        <w:tblPrEx>
          <w:tblCellMar>
            <w:top w:w="0" w:type="dxa"/>
            <w:left w:w="0" w:type="dxa"/>
            <w:bottom w:w="0" w:type="dxa"/>
            <w:right w:w="0" w:type="dxa"/>
          </w:tblCellMar>
        </w:tblPrEx>
        <w:trPr>
          <w:trHeight w:val="1159"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12E41">
            <w:pPr>
              <w:jc w:val="center"/>
              <w:rPr>
                <w:rFonts w:ascii="宋体" w:cs="宋体"/>
                <w:color w:val="000000"/>
                <w:sz w:val="15"/>
                <w:szCs w:val="15"/>
              </w:rPr>
            </w:pPr>
          </w:p>
        </w:tc>
        <w:tc>
          <w:tcPr>
            <w:tcW w:w="4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26CAE">
            <w:pPr>
              <w:widowControl/>
              <w:jc w:val="center"/>
              <w:textAlignment w:val="center"/>
              <w:rPr>
                <w:rFonts w:ascii="宋体" w:cs="宋体"/>
                <w:color w:val="000000"/>
                <w:sz w:val="18"/>
                <w:szCs w:val="18"/>
              </w:rPr>
            </w:pPr>
            <w:r>
              <w:rPr>
                <w:rFonts w:hint="eastAsia" w:ascii="宋体" w:hAnsi="宋体" w:cs="宋体"/>
                <w:kern w:val="0"/>
                <w:sz w:val="18"/>
                <w:szCs w:val="18"/>
              </w:rPr>
              <w:t>按照财政厅、人力资源社会保障厅印发的《四川省省级财政人力资源社会保障服务能力建设定向财力转移支付资金管理办法》要求，依照《四川省基层人力资源和社会保障公共服务平台建设标准（试行）》规定，做好设施设备购置、信息网络建设（运维）等支出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D4115">
            <w:pPr>
              <w:widowControl/>
              <w:jc w:val="left"/>
              <w:textAlignment w:val="center"/>
              <w:rPr>
                <w:rFonts w:ascii="宋体" w:cs="宋体"/>
                <w:color w:val="000000"/>
                <w:sz w:val="18"/>
                <w:szCs w:val="18"/>
              </w:rPr>
            </w:pPr>
            <w:r>
              <w:rPr>
                <w:rFonts w:hint="eastAsia" w:ascii="宋体" w:hAnsi="宋体" w:cs="宋体"/>
                <w:kern w:val="0"/>
                <w:sz w:val="18"/>
                <w:szCs w:val="18"/>
              </w:rPr>
              <w:t>按照财政厅、人力资源社会保障厅印发的《四川省省级财政人力资源社会保障服务能力建设定向财力转移支付资金管理办法》要求，依照《四川省基层人力资源和社会保障公共服务平台建设标准（试行）》规定，做好设施设备购置支出工作。</w:t>
            </w:r>
          </w:p>
        </w:tc>
      </w:tr>
      <w:tr w14:paraId="001A2287">
        <w:tblPrEx>
          <w:tblCellMar>
            <w:top w:w="0" w:type="dxa"/>
            <w:left w:w="0" w:type="dxa"/>
            <w:bottom w:w="0" w:type="dxa"/>
            <w:right w:w="0" w:type="dxa"/>
          </w:tblCellMar>
        </w:tblPrEx>
        <w:trPr>
          <w:trHeight w:val="639" w:hRule="atLeast"/>
          <w:jc w:val="center"/>
        </w:trPr>
        <w:tc>
          <w:tcPr>
            <w:tcW w:w="7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A1AF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绩效指标完成情况</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CB96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71C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9FF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53D4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预期指标值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EB5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实际完成指标值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r>
      <w:tr w14:paraId="7D8B1DE6">
        <w:tblPrEx>
          <w:tblCellMar>
            <w:top w:w="0" w:type="dxa"/>
            <w:left w:w="0" w:type="dxa"/>
            <w:bottom w:w="0" w:type="dxa"/>
            <w:right w:w="0" w:type="dxa"/>
          </w:tblCellMar>
        </w:tblPrEx>
        <w:trPr>
          <w:trHeight w:val="953"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0DC383D0">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E4B26">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F524C">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13B74">
            <w:pPr>
              <w:rPr>
                <w:rFonts w:ascii="宋体" w:hAnsi="宋体" w:cs="宋体"/>
                <w:color w:val="000000"/>
                <w:sz w:val="18"/>
                <w:szCs w:val="18"/>
              </w:rPr>
            </w:pPr>
            <w:r>
              <w:rPr>
                <w:rFonts w:hint="eastAsia"/>
                <w:color w:val="000000"/>
                <w:sz w:val="18"/>
                <w:szCs w:val="18"/>
              </w:rPr>
              <w:t>服务对象人数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F4906">
            <w:pPr>
              <w:jc w:val="center"/>
              <w:rPr>
                <w:rFonts w:ascii="宋体" w:hAnsi="宋体" w:cs="宋体"/>
                <w:color w:val="000000"/>
                <w:sz w:val="18"/>
                <w:szCs w:val="18"/>
              </w:rPr>
            </w:pPr>
            <w:r>
              <w:rPr>
                <w:rFonts w:hint="eastAsia"/>
                <w:color w:val="000000"/>
                <w:sz w:val="18"/>
                <w:szCs w:val="18"/>
              </w:rPr>
              <w:t>〉1000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CCDDA">
            <w:pPr>
              <w:jc w:val="center"/>
              <w:rPr>
                <w:rFonts w:ascii="宋体" w:hAnsi="宋体" w:cs="宋体"/>
                <w:color w:val="000000"/>
                <w:sz w:val="18"/>
                <w:szCs w:val="18"/>
              </w:rPr>
            </w:pPr>
            <w:r>
              <w:rPr>
                <w:rFonts w:hint="eastAsia"/>
                <w:color w:val="000000"/>
                <w:sz w:val="18"/>
                <w:szCs w:val="18"/>
              </w:rPr>
              <w:t>〉1000</w:t>
            </w:r>
          </w:p>
        </w:tc>
      </w:tr>
      <w:tr w14:paraId="15113D12">
        <w:tblPrEx>
          <w:tblCellMar>
            <w:top w:w="0" w:type="dxa"/>
            <w:left w:w="0" w:type="dxa"/>
            <w:bottom w:w="0" w:type="dxa"/>
            <w:right w:w="0" w:type="dxa"/>
          </w:tblCellMar>
        </w:tblPrEx>
        <w:trPr>
          <w:trHeight w:val="129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24C0588B">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CB212">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E9EA5">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7A9D9">
            <w:pPr>
              <w:rPr>
                <w:rFonts w:ascii="宋体" w:hAnsi="宋体" w:cs="宋体"/>
                <w:color w:val="000000"/>
                <w:sz w:val="18"/>
                <w:szCs w:val="18"/>
              </w:rPr>
            </w:pPr>
            <w:r>
              <w:rPr>
                <w:rFonts w:hint="eastAsia"/>
                <w:color w:val="000000"/>
                <w:sz w:val="18"/>
                <w:szCs w:val="18"/>
              </w:rPr>
              <w:t>平台标准化率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925A6">
            <w:pPr>
              <w:jc w:val="center"/>
              <w:rPr>
                <w:rFonts w:ascii="宋体" w:hAnsi="宋体" w:cs="宋体"/>
                <w:color w:val="000000"/>
                <w:sz w:val="18"/>
                <w:szCs w:val="18"/>
              </w:rPr>
            </w:pPr>
            <w:r>
              <w:rPr>
                <w:rFonts w:hint="eastAsia"/>
                <w:color w:val="000000"/>
                <w:sz w:val="18"/>
                <w:szCs w:val="1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49A38">
            <w:pPr>
              <w:jc w:val="center"/>
              <w:rPr>
                <w:rFonts w:ascii="宋体" w:hAnsi="宋体" w:cs="宋体"/>
                <w:color w:val="000000"/>
                <w:sz w:val="18"/>
                <w:szCs w:val="18"/>
              </w:rPr>
            </w:pPr>
            <w:r>
              <w:rPr>
                <w:rFonts w:hint="eastAsia"/>
                <w:color w:val="000000"/>
                <w:sz w:val="18"/>
                <w:szCs w:val="18"/>
              </w:rPr>
              <w:t>〉90%</w:t>
            </w:r>
          </w:p>
        </w:tc>
      </w:tr>
      <w:tr w14:paraId="55673D77">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02DF566A">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875C7">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55AC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B100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2020年1-12月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B825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07572">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r>
      <w:tr w14:paraId="7F742B19">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07121AF8">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6E18F">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77B3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C9475">
            <w:pPr>
              <w:widowControl/>
              <w:spacing w:line="240" w:lineRule="exact"/>
              <w:jc w:val="left"/>
              <w:rPr>
                <w:rFonts w:ascii="宋体" w:hAnsi="宋体" w:cs="宋体"/>
                <w:color w:val="000000"/>
                <w:kern w:val="0"/>
                <w:sz w:val="18"/>
                <w:szCs w:val="18"/>
              </w:rPr>
            </w:pPr>
            <w:r>
              <w:rPr>
                <w:rFonts w:ascii="宋体" w:hAnsi="宋体" w:cs="宋体"/>
                <w:color w:val="000000"/>
                <w:kern w:val="0"/>
                <w:sz w:val="18"/>
                <w:szCs w:val="18"/>
              </w:rPr>
              <w:t>成本控制率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1234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B508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r>
      <w:tr w14:paraId="3A250717">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4594BC66">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4609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55677">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166012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A18B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公共服务供给质量和水平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EA1E3">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全面提升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31FE7">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得到全面提升</w:t>
            </w:r>
          </w:p>
        </w:tc>
      </w:tr>
      <w:tr w14:paraId="53C4BB65">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333AD3FD">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1B2B9">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EE977">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46F0D4E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51DC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群众获得感、幸福感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5A58A">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不断加强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763A8">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得到不断加强</w:t>
            </w:r>
          </w:p>
        </w:tc>
      </w:tr>
      <w:tr w14:paraId="44697B7C">
        <w:tblPrEx>
          <w:tblCellMar>
            <w:top w:w="0" w:type="dxa"/>
            <w:left w:w="0" w:type="dxa"/>
            <w:bottom w:w="0" w:type="dxa"/>
            <w:right w:w="0" w:type="dxa"/>
          </w:tblCellMar>
        </w:tblPrEx>
        <w:trPr>
          <w:trHeight w:val="1297" w:hRule="atLeast"/>
          <w:jc w:val="center"/>
        </w:trPr>
        <w:tc>
          <w:tcPr>
            <w:tcW w:w="724" w:type="dxa"/>
            <w:vMerge w:val="continue"/>
            <w:tcBorders>
              <w:left w:val="single" w:color="000000" w:sz="4" w:space="0"/>
              <w:right w:val="single" w:color="000000" w:sz="4" w:space="0"/>
            </w:tcBorders>
            <w:tcMar>
              <w:top w:w="15" w:type="dxa"/>
              <w:left w:w="15" w:type="dxa"/>
              <w:right w:w="15" w:type="dxa"/>
            </w:tcMar>
            <w:vAlign w:val="center"/>
          </w:tcPr>
          <w:p w14:paraId="2AE6D48C">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B520D">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99563">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F9B2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为民众提供高效快捷方便的劳动就业和社会保障经办业务，不断完善群众满意的人社公共服务体系建设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A34FD">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全面提升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CCAEC">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得到全面提升</w:t>
            </w:r>
          </w:p>
        </w:tc>
      </w:tr>
      <w:tr w14:paraId="17ECBC62">
        <w:tblPrEx>
          <w:tblCellMar>
            <w:top w:w="0" w:type="dxa"/>
            <w:left w:w="0" w:type="dxa"/>
            <w:bottom w:w="0" w:type="dxa"/>
            <w:right w:w="0" w:type="dxa"/>
          </w:tblCellMar>
        </w:tblPrEx>
        <w:trPr>
          <w:trHeight w:val="1050" w:hRule="atLeast"/>
          <w:jc w:val="center"/>
        </w:trPr>
        <w:tc>
          <w:tcPr>
            <w:tcW w:w="7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3D2621C">
            <w:pPr>
              <w:widowControl/>
              <w:jc w:val="center"/>
              <w:textAlignment w:val="center"/>
              <w:rPr>
                <w:rFonts w:ascii="宋体" w:cs="宋体"/>
                <w:color w:val="000000"/>
                <w:sz w:val="24"/>
              </w:rPr>
            </w:pP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88476">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1AC14">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94FE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办事群众满意度达到96%以上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0CC01">
            <w:pPr>
              <w:widowControl/>
              <w:spacing w:line="240" w:lineRule="exact"/>
              <w:jc w:val="center"/>
              <w:rPr>
                <w:rFonts w:ascii="宋体" w:hAnsi="宋体" w:cs="宋体"/>
                <w:color w:val="000000"/>
                <w:kern w:val="0"/>
                <w:sz w:val="18"/>
                <w:szCs w:val="18"/>
              </w:rPr>
            </w:pPr>
            <w:r>
              <w:rPr>
                <w:rFonts w:hint="eastAsia"/>
                <w:color w:val="000000"/>
                <w:sz w:val="18"/>
                <w:szCs w:val="18"/>
              </w:rPr>
              <w:t>〉</w:t>
            </w:r>
            <w:r>
              <w:rPr>
                <w:rFonts w:hint="eastAsia" w:ascii="宋体" w:hAnsi="宋体" w:cs="宋体"/>
                <w:color w:val="000000"/>
                <w:kern w:val="0"/>
                <w:sz w:val="18"/>
                <w:szCs w:val="18"/>
              </w:rPr>
              <w:t>96%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C4FA7">
            <w:pPr>
              <w:widowControl/>
              <w:spacing w:line="240" w:lineRule="exact"/>
              <w:jc w:val="center"/>
              <w:rPr>
                <w:rFonts w:ascii="宋体" w:hAnsi="宋体" w:cs="宋体"/>
                <w:kern w:val="0"/>
                <w:sz w:val="18"/>
                <w:szCs w:val="18"/>
              </w:rPr>
            </w:pPr>
            <w:r>
              <w:rPr>
                <w:rFonts w:hint="eastAsia"/>
                <w:color w:val="000000"/>
                <w:sz w:val="18"/>
                <w:szCs w:val="18"/>
              </w:rPr>
              <w:t>〉96%</w:t>
            </w:r>
          </w:p>
        </w:tc>
      </w:tr>
    </w:tbl>
    <w:p w14:paraId="0D2EC159">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0757B03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年部门整体支出绩效评价情况开展自评，《西区就业创业促进中心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1D5A1DA0">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本部门自行组织对高校毕业生</w:t>
      </w:r>
      <w:r>
        <w:rPr>
          <w:rFonts w:ascii="仿宋_GB2312" w:hAnsi="仿宋_GB2312" w:eastAsia="仿宋_GB2312" w:cs="仿宋_GB2312"/>
          <w:sz w:val="32"/>
          <w:szCs w:val="32"/>
        </w:rPr>
        <w:t>创业工作经费</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省级财政人社公共服务能力建设资金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就业创业补助转移支付资金</w:t>
      </w:r>
      <w:r>
        <w:rPr>
          <w:rFonts w:hint="eastAsia" w:ascii="仿宋_GB2312" w:hAnsi="仿宋_GB2312" w:eastAsia="仿宋_GB2312" w:cs="仿宋_GB2312"/>
          <w:sz w:val="32"/>
          <w:szCs w:val="32"/>
        </w:rPr>
        <w:t>项目开展了绩效评价，《高校毕业生</w:t>
      </w:r>
      <w:r>
        <w:rPr>
          <w:rFonts w:ascii="仿宋_GB2312" w:hAnsi="仿宋_GB2312" w:eastAsia="仿宋_GB2312" w:cs="仿宋_GB2312"/>
          <w:sz w:val="32"/>
          <w:szCs w:val="32"/>
        </w:rPr>
        <w:t>创业工作经费</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14:paraId="2C770AA2">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05E0F01">
      <w:pPr>
        <w:numPr>
          <w:ilvl w:val="0"/>
          <w:numId w:val="3"/>
        </w:numPr>
        <w:spacing w:line="600" w:lineRule="exact"/>
        <w:ind w:firstLine="660" w:firstLineChars="150"/>
        <w:jc w:val="center"/>
        <w:outlineLvl w:val="0"/>
        <w:rPr>
          <w:rStyle w:val="19"/>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19"/>
          <w:rFonts w:hint="eastAsia" w:ascii="黑体" w:hAnsi="黑体" w:eastAsia="黑体"/>
          <w:b w:val="0"/>
        </w:rPr>
        <w:t>词解释</w:t>
      </w:r>
      <w:bookmarkEnd w:id="55"/>
      <w:bookmarkEnd w:id="56"/>
    </w:p>
    <w:p w14:paraId="4550CA89">
      <w:pPr>
        <w:spacing w:line="600" w:lineRule="exact"/>
        <w:jc w:val="left"/>
        <w:rPr>
          <w:rFonts w:ascii="宋体"/>
          <w:b/>
          <w:color w:val="000000"/>
          <w:sz w:val="44"/>
          <w:szCs w:val="44"/>
        </w:rPr>
      </w:pPr>
    </w:p>
    <w:p w14:paraId="14CF9743">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706E116">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D2C7F0E">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E4F822F">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124FA45C">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2C824611">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0CD7E23">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4BED323">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CBF7726">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类）…（款）…（项）：指反映政府在社会保障与就业方面的支出。其中：基层政权和社区事务：反映开展村民自治、村务公开等基层政权和社区建设工作的支出；财政对其他社会保险基金的补助：反映财政对其他社会保险基金的补助支出；未归口管理的行政单位离退休：反映未实行归口管理的行政单位开支的离退休支出；机关事业单位基本养老保险缴费：反映机关事业单位实施养老保险制度由单位缴纳的基本养老保险支出；死亡抚恤金：反映按规定用于烈士和牺牲、病故人员家属的一次性和定期抚恤金以及丧葬补助费；其他农村生活救助：反映除最低生活保障、临时救助、特困人员供养、自然灾害生活救助外，用于农村生活困难居民生活救助的其他支出。</w:t>
      </w:r>
    </w:p>
    <w:p w14:paraId="1B07EC43">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医疗卫生与计划生育（类）…（款）…（项）：指反映政府在医疗卫生与计划生育管理方面的支出。</w:t>
      </w:r>
    </w:p>
    <w:p w14:paraId="6C2332E9">
      <w:pPr>
        <w:ind w:firstLine="640" w:firstLineChars="200"/>
        <w:rPr>
          <w:rFonts w:ascii="仿宋" w:hAnsi="仿宋" w:eastAsia="仿宋"/>
          <w:b/>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住房保障（类）…（款）…（项）：指集中反映政府用于住房方面的支出。其中：住房公积金：反映行政事业单位按人力资源和社会保障部、财政部规定的基本工资和津贴补贴以及规定比例为职工缴纳的住房公积金。</w:t>
      </w:r>
    </w:p>
    <w:p w14:paraId="65EF5FB1">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BCD79EA">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C2F285A">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7BF7B284">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24F84BC">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970679">
      <w:pPr>
        <w:spacing w:line="600" w:lineRule="exact"/>
        <w:jc w:val="center"/>
        <w:outlineLvl w:val="0"/>
        <w:rPr>
          <w:rStyle w:val="19"/>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7"/>
    </w:p>
    <w:p w14:paraId="4ED99383">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4B4389FE">
      <w:pPr>
        <w:spacing w:line="580" w:lineRule="exact"/>
        <w:jc w:val="center"/>
        <w:rPr>
          <w:rFonts w:ascii="方正小标宋简体" w:hAnsi="方正小标宋简体" w:eastAsia="方正小标宋简体" w:cs="方正小标宋简体"/>
          <w:sz w:val="44"/>
          <w:szCs w:val="44"/>
        </w:rPr>
      </w:pPr>
    </w:p>
    <w:p w14:paraId="06AF6EFE">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西区就业创业促进中心</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2E188DCC">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69586E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D08481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47E74B5C">
      <w:pPr>
        <w:ind w:firstLine="709"/>
        <w:rPr>
          <w:rStyle w:val="32"/>
          <w:rFonts w:hint="default" w:ascii="仿宋_GB2312" w:hAnsi="仿宋" w:eastAsia="仿宋_GB2312" w:cs="仿宋"/>
          <w:bCs/>
          <w:sz w:val="32"/>
          <w:szCs w:val="32"/>
        </w:rPr>
      </w:pPr>
      <w:r>
        <w:rPr>
          <w:rFonts w:hint="eastAsia" w:ascii="仿宋_GB2312" w:eastAsia="仿宋_GB2312"/>
          <w:sz w:val="32"/>
          <w:szCs w:val="32"/>
        </w:rPr>
        <w:t>根据攀人办发[2009]174号文、川人发[2009]30号文，西区就业服务管理局于2009年4月14日获准列入参考公务员法管理范围，性质为参公事业单位。由攀枝花市西区人力资源和社会保障局主管。根据攀编发[2019]136号文，攀枝花市西区就业服务管理局更名为攀枝花市西区就业创业促进中心，属于纳入2020年度部门决算编制范围的预算单位。</w:t>
      </w:r>
      <w:r>
        <w:rPr>
          <w:rStyle w:val="32"/>
          <w:rFonts w:hint="default" w:ascii="仿宋_GB2312" w:eastAsia="仿宋_GB2312"/>
          <w:sz w:val="32"/>
          <w:szCs w:val="32"/>
        </w:rPr>
        <w:t xml:space="preserve">2020年挂“攀枝花市西区农民工服务中心”牌子，增加参公事业编制 </w:t>
      </w:r>
      <w:r>
        <w:rPr>
          <w:rStyle w:val="36"/>
          <w:rFonts w:hint="eastAsia" w:ascii="仿宋_GB2312" w:eastAsia="仿宋_GB2312"/>
        </w:rPr>
        <w:t xml:space="preserve">2 </w:t>
      </w:r>
      <w:r>
        <w:rPr>
          <w:rStyle w:val="32"/>
          <w:rFonts w:hint="default" w:ascii="仿宋_GB2312" w:eastAsia="仿宋_GB2312"/>
          <w:sz w:val="32"/>
          <w:szCs w:val="32"/>
        </w:rPr>
        <w:t>名，专门负责农民工服务相关工作。</w:t>
      </w:r>
    </w:p>
    <w:p w14:paraId="4D2EE86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5AB7A33B">
      <w:pPr>
        <w:ind w:firstLine="640" w:firstLineChars="200"/>
        <w:rPr>
          <w:rFonts w:ascii="仿宋_GB2312" w:eastAsia="仿宋_GB2312"/>
          <w:sz w:val="32"/>
          <w:szCs w:val="32"/>
        </w:rPr>
      </w:pPr>
      <w:r>
        <w:rPr>
          <w:rFonts w:hint="eastAsia" w:ascii="仿宋_GB2312" w:eastAsia="仿宋_GB2312"/>
          <w:sz w:val="32"/>
          <w:szCs w:val="32"/>
        </w:rPr>
        <w:t>（1）负责贯彻执行《中华人民共和国就业促进法》、省、市有关促进就业的法律、法规、方针和政策，组织实施积极的就业政策，促进城乡劳动者充分就业、自主创业。</w:t>
      </w:r>
    </w:p>
    <w:p w14:paraId="6E76C356">
      <w:pPr>
        <w:ind w:firstLine="640" w:firstLineChars="200"/>
        <w:rPr>
          <w:rFonts w:ascii="仿宋_GB2312" w:eastAsia="仿宋_GB2312"/>
          <w:sz w:val="32"/>
          <w:szCs w:val="32"/>
        </w:rPr>
      </w:pPr>
      <w:r>
        <w:rPr>
          <w:rFonts w:hint="eastAsia" w:ascii="仿宋_GB2312" w:eastAsia="仿宋_GB2312"/>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14:paraId="23F9183C">
      <w:pPr>
        <w:ind w:firstLine="640" w:firstLineChars="200"/>
        <w:rPr>
          <w:rFonts w:ascii="仿宋_GB2312" w:eastAsia="仿宋_GB2312"/>
          <w:sz w:val="32"/>
          <w:szCs w:val="32"/>
        </w:rPr>
      </w:pPr>
      <w:r>
        <w:rPr>
          <w:rFonts w:hint="eastAsia" w:ascii="仿宋_GB2312" w:eastAsia="仿宋_GB2312"/>
          <w:sz w:val="32"/>
          <w:szCs w:val="32"/>
        </w:rPr>
        <w:t>(3)负责全区公共就业服务体系建设。指导检查各街道（乡、镇）、社区（村）公共就业服务机构实施基层平台建设，开展就业（失业）登记、职业介绍、就业指导、就业培训等就业服务工作。</w:t>
      </w:r>
    </w:p>
    <w:p w14:paraId="5F1EF8DF">
      <w:pPr>
        <w:ind w:firstLine="640" w:firstLineChars="200"/>
        <w:rPr>
          <w:rFonts w:ascii="仿宋_GB2312" w:eastAsia="仿宋_GB2312"/>
          <w:sz w:val="32"/>
          <w:szCs w:val="32"/>
        </w:rPr>
      </w:pPr>
      <w:r>
        <w:rPr>
          <w:rFonts w:hint="eastAsia" w:ascii="仿宋_GB2312" w:eastAsia="仿宋_GB2312"/>
          <w:sz w:val="32"/>
          <w:szCs w:val="32"/>
        </w:rPr>
        <w:t>(4)负责全区就业创业培训工作，全面开展对城乡劳动者、大学生的就业技能培训和创业培训。</w:t>
      </w:r>
    </w:p>
    <w:p w14:paraId="6FDAFF06">
      <w:pPr>
        <w:ind w:firstLine="640" w:firstLineChars="200"/>
        <w:rPr>
          <w:rFonts w:ascii="仿宋_GB2312" w:eastAsia="仿宋_GB2312"/>
          <w:sz w:val="32"/>
          <w:szCs w:val="32"/>
        </w:rPr>
      </w:pPr>
      <w:r>
        <w:rPr>
          <w:rFonts w:hint="eastAsia" w:ascii="仿宋_GB2312" w:eastAsia="仿宋_GB2312"/>
          <w:sz w:val="32"/>
          <w:szCs w:val="32"/>
        </w:rPr>
        <w:t>(5)贯彻落实中央、省、市关于失业保险法律、法规和政策，负责失业保险各项待遇的申领发放和为领取失业保险金期间失业人员代缴基本医疗保险费等工作。</w:t>
      </w:r>
    </w:p>
    <w:p w14:paraId="79CB4A18">
      <w:pPr>
        <w:ind w:firstLine="640" w:firstLineChars="200"/>
        <w:rPr>
          <w:rFonts w:ascii="仿宋_GB2312" w:eastAsia="仿宋_GB2312"/>
          <w:sz w:val="32"/>
          <w:szCs w:val="32"/>
        </w:rPr>
      </w:pPr>
      <w:r>
        <w:rPr>
          <w:rFonts w:hint="eastAsia" w:ascii="仿宋_GB2312" w:eastAsia="仿宋_GB2312"/>
          <w:sz w:val="32"/>
          <w:szCs w:val="32"/>
        </w:rPr>
        <w:t>(6)负责全区就业援助工作，组织实施就业困难人员的认定，积极开展就业援助，并负责做好职业介绍补贴、社会保险补贴、职业培训补贴、岗位补贴、高校毕业生创业补贴等促进就业创业政策。</w:t>
      </w:r>
    </w:p>
    <w:p w14:paraId="0145BD25">
      <w:pPr>
        <w:ind w:firstLine="640" w:firstLineChars="200"/>
        <w:rPr>
          <w:rFonts w:ascii="仿宋_GB2312" w:eastAsia="仿宋_GB2312"/>
          <w:sz w:val="32"/>
          <w:szCs w:val="32"/>
        </w:rPr>
      </w:pPr>
      <w:r>
        <w:rPr>
          <w:rFonts w:hint="eastAsia" w:ascii="仿宋_GB2312" w:eastAsia="仿宋_GB2312"/>
          <w:sz w:val="32"/>
          <w:szCs w:val="32"/>
        </w:rPr>
        <w:t>(7)负责高校毕业生就业创业服务、就业见习基地及见习生的认定审核、离校未就业的高校毕业生跟踪服务和实名制管理、困难高校毕业生的就业援助、大学生就业创业培训。</w:t>
      </w:r>
    </w:p>
    <w:p w14:paraId="63E7EDBA">
      <w:pPr>
        <w:ind w:firstLine="640" w:firstLineChars="200"/>
        <w:rPr>
          <w:rFonts w:ascii="仿宋_GB2312" w:eastAsia="仿宋_GB2312"/>
          <w:sz w:val="32"/>
          <w:szCs w:val="32"/>
        </w:rPr>
      </w:pPr>
      <w:r>
        <w:rPr>
          <w:rFonts w:hint="eastAsia" w:ascii="仿宋_GB2312" w:eastAsia="仿宋_GB2312"/>
          <w:sz w:val="32"/>
          <w:szCs w:val="32"/>
        </w:rPr>
        <w:t>(8)负责对城乡各类失业人员自主创业、合伙经营企业的创业担保贷款进行审核、推荐。</w:t>
      </w:r>
    </w:p>
    <w:p w14:paraId="27E0645D">
      <w:pPr>
        <w:ind w:firstLine="640" w:firstLineChars="200"/>
        <w:rPr>
          <w:rFonts w:ascii="仿宋_GB2312" w:eastAsia="仿宋_GB2312"/>
          <w:sz w:val="32"/>
          <w:szCs w:val="32"/>
        </w:rPr>
      </w:pPr>
      <w:r>
        <w:rPr>
          <w:rFonts w:hint="eastAsia" w:ascii="仿宋_GB2312" w:eastAsia="仿宋_GB2312"/>
          <w:sz w:val="32"/>
          <w:szCs w:val="32"/>
        </w:rPr>
        <w:t>(9)负责全区公共就业服务信息化建设，组织开展人力资源调查、失业预警监测、综合分析统计。</w:t>
      </w:r>
    </w:p>
    <w:p w14:paraId="4842D901">
      <w:pPr>
        <w:ind w:firstLine="640" w:firstLineChars="200"/>
        <w:rPr>
          <w:rFonts w:ascii="仿宋_GB2312" w:eastAsia="仿宋_GB2312"/>
          <w:sz w:val="32"/>
          <w:szCs w:val="32"/>
        </w:rPr>
      </w:pPr>
      <w:r>
        <w:rPr>
          <w:rFonts w:hint="eastAsia" w:ascii="仿宋_GB2312" w:eastAsia="仿宋_GB2312"/>
          <w:sz w:val="32"/>
          <w:szCs w:val="32"/>
        </w:rPr>
        <w:t>(10)行使攀枝花市西区人力资源和社会保障局赋予的其他职权，完成区委、区政府和攀枝花市西区人力资源和社会保障局交办的其它工作。</w:t>
      </w:r>
    </w:p>
    <w:p w14:paraId="374DD53C">
      <w:pPr>
        <w:ind w:firstLine="640" w:firstLineChars="200"/>
        <w:rPr>
          <w:rFonts w:ascii="仿宋_GB2312" w:hAnsi="仿宋" w:eastAsia="仿宋_GB2312" w:cs="仿宋"/>
          <w:bCs/>
          <w:color w:val="000000"/>
          <w:sz w:val="32"/>
          <w:szCs w:val="32"/>
        </w:rPr>
      </w:pPr>
      <w:r>
        <w:rPr>
          <w:rStyle w:val="32"/>
          <w:rFonts w:hint="default" w:ascii="仿宋_GB2312" w:eastAsia="仿宋_GB2312"/>
          <w:sz w:val="32"/>
          <w:szCs w:val="32"/>
        </w:rPr>
        <w:t>(11)承担农民工回引、就业创业、技能培训、维权救助、健康服务、关怀慰问、志愿服务、表扬激励等工作；承担农民工服务网站、基本信息数据库的运行维护、各类信息数据管理等工作。</w:t>
      </w:r>
    </w:p>
    <w:p w14:paraId="0A84613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519F977E">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参公编制10名，临聘编制1名。年末实有人数在职职工（参公）8名，临聘人员1名，退休人员4名。变动原因为机构改革。</w:t>
      </w:r>
    </w:p>
    <w:p w14:paraId="07CFD73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3837B9C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0CF66799">
      <w:pPr>
        <w:ind w:firstLine="640" w:firstLineChars="200"/>
        <w:rPr>
          <w:rFonts w:ascii="仿宋_GB2312" w:eastAsia="仿宋_GB2312"/>
          <w:sz w:val="32"/>
          <w:szCs w:val="32"/>
        </w:rPr>
      </w:pPr>
      <w:r>
        <w:rPr>
          <w:rFonts w:hint="eastAsia" w:ascii="仿宋_GB2312" w:eastAsia="仿宋_GB2312"/>
          <w:sz w:val="32"/>
          <w:szCs w:val="32"/>
        </w:rPr>
        <w:t>2020年度西区就业创业促进中心财政资金收入1744.59万元。</w:t>
      </w:r>
    </w:p>
    <w:p w14:paraId="23BCD0A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2C79055A">
      <w:pPr>
        <w:ind w:firstLine="640" w:firstLineChars="200"/>
        <w:rPr>
          <w:rFonts w:ascii="仿宋_GB2312" w:eastAsia="仿宋_GB2312"/>
          <w:sz w:val="32"/>
          <w:szCs w:val="32"/>
        </w:rPr>
      </w:pPr>
      <w:r>
        <w:rPr>
          <w:rFonts w:hint="eastAsia" w:ascii="仿宋_GB2312" w:eastAsia="仿宋_GB2312"/>
          <w:sz w:val="32"/>
          <w:szCs w:val="32"/>
        </w:rPr>
        <w:t>2020年财政资金支出1553.24万元，其中：基本支出114.80万元（包括人员经费106.13万元和日常公用经费8.67万元）、项目支出1438.44万元。</w:t>
      </w:r>
    </w:p>
    <w:p w14:paraId="2B15D4C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0ED75C4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0512C26F">
      <w:pPr>
        <w:ind w:firstLine="640" w:firstLineChars="200"/>
        <w:rPr>
          <w:rFonts w:ascii="仿宋_GB2312" w:eastAsia="仿宋_GB2312"/>
          <w:sz w:val="32"/>
          <w:szCs w:val="32"/>
        </w:rPr>
      </w:pPr>
      <w:r>
        <w:rPr>
          <w:rFonts w:hint="eastAsia" w:ascii="仿宋_GB2312" w:hAnsi="微软雅黑" w:eastAsia="仿宋_GB2312" w:cs="宋体"/>
          <w:color w:val="000000"/>
          <w:kern w:val="0"/>
          <w:sz w:val="32"/>
          <w:szCs w:val="32"/>
        </w:rPr>
        <w:t>2020年支出1553.24万元，我单位</w:t>
      </w:r>
      <w:r>
        <w:rPr>
          <w:rFonts w:hint="eastAsia" w:ascii="仿宋_GB2312" w:eastAsia="仿宋_GB2312"/>
          <w:sz w:val="32"/>
          <w:szCs w:val="32"/>
        </w:rPr>
        <w:t>严格执行资金预算管理制度，</w:t>
      </w:r>
      <w:r>
        <w:rPr>
          <w:rFonts w:hint="eastAsia" w:ascii="仿宋_GB2312" w:hAnsi="微软雅黑" w:eastAsia="仿宋_GB2312" w:cs="宋体"/>
          <w:color w:val="000000"/>
          <w:kern w:val="0"/>
          <w:sz w:val="32"/>
          <w:szCs w:val="32"/>
        </w:rPr>
        <w:t>绩效目标制定明确，各项目标完成较好、预算编制情况准确、</w:t>
      </w:r>
      <w:r>
        <w:rPr>
          <w:rFonts w:hint="eastAsia" w:ascii="仿宋_GB2312" w:eastAsia="仿宋_GB2312"/>
          <w:sz w:val="32"/>
          <w:szCs w:val="32"/>
        </w:rPr>
        <w:t>预算执行情况良好，无违规情况。</w:t>
      </w:r>
      <w:r>
        <w:rPr>
          <w:rFonts w:hint="eastAsia" w:ascii="仿宋_GB2312" w:hAnsi="微软雅黑" w:eastAsia="仿宋_GB2312"/>
          <w:sz w:val="32"/>
          <w:szCs w:val="32"/>
        </w:rPr>
        <w:t>预算绩效管是一项长期的工作，我们一直把制度建设作为预算绩效管理重点工作来抓。</w:t>
      </w:r>
      <w:r>
        <w:rPr>
          <w:rFonts w:hint="eastAsia" w:ascii="仿宋_GB2312" w:eastAsia="仿宋_GB2312"/>
          <w:sz w:val="32"/>
          <w:szCs w:val="32"/>
        </w:rPr>
        <w:t>遵循全面性、重要性、制衡性、适应性和有效性原则，建立和实施内部控制制度，保证本单位经济活动合法合规、资产安全和使用有效、财务信息真实完整。并重点对财务收支管理、项目资金分配使用管理等经济活动的风险进行评估梳理，并研究制订风险的防范和管控措施，建立重大项目安排、大额资金使用的集体决策和内部监督机制，健全专项资金审批流程。</w:t>
      </w:r>
      <w:r>
        <w:rPr>
          <w:rFonts w:hint="eastAsia" w:ascii="仿宋_GB2312" w:hAnsi="微软雅黑" w:eastAsia="仿宋_GB2312"/>
          <w:sz w:val="32"/>
          <w:szCs w:val="32"/>
        </w:rPr>
        <w:t>为开展项目评价工作、提高绩效管理水平提供制度保障。</w:t>
      </w:r>
    </w:p>
    <w:p w14:paraId="139DDF8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4BF497C7">
      <w:pPr>
        <w:ind w:firstLine="640" w:firstLineChars="200"/>
        <w:rPr>
          <w:rFonts w:ascii="仿宋_GB2312" w:eastAsia="仿宋_GB2312"/>
          <w:sz w:val="32"/>
          <w:szCs w:val="32"/>
        </w:rPr>
      </w:pPr>
      <w:r>
        <w:rPr>
          <w:rFonts w:hint="eastAsia" w:ascii="仿宋_GB2312" w:eastAsia="仿宋_GB2312"/>
          <w:sz w:val="32"/>
          <w:szCs w:val="32"/>
        </w:rPr>
        <w:t>绩效自评公开：我中心</w:t>
      </w:r>
      <w:r>
        <w:rPr>
          <w:rFonts w:ascii="仿宋_GB2312" w:eastAsia="仿宋_GB2312"/>
          <w:sz w:val="32"/>
          <w:szCs w:val="32"/>
        </w:rPr>
        <w:t>绩效</w:t>
      </w:r>
      <w:r>
        <w:rPr>
          <w:rFonts w:hint="eastAsia" w:ascii="仿宋_GB2312" w:eastAsia="仿宋_GB2312"/>
          <w:sz w:val="32"/>
          <w:szCs w:val="32"/>
        </w:rPr>
        <w:t>目标、绩效评价、绩效监控等信息公开均按照区财政的规定在西区公众信息网上执行公开。</w:t>
      </w:r>
    </w:p>
    <w:p w14:paraId="087A8818">
      <w:pPr>
        <w:ind w:firstLine="640" w:firstLineChars="200"/>
        <w:rPr>
          <w:rFonts w:ascii="仿宋_GB2312" w:hAnsi="宋体" w:eastAsia="仿宋_GB2312" w:cs="宋体"/>
          <w:color w:val="000000"/>
          <w:kern w:val="0"/>
          <w:sz w:val="32"/>
          <w:szCs w:val="32"/>
          <w:shd w:val="clear" w:color="auto" w:fill="FFFFFF"/>
        </w:rPr>
      </w:pPr>
      <w:r>
        <w:rPr>
          <w:rFonts w:hint="eastAsia" w:ascii="仿宋_GB2312" w:eastAsia="仿宋_GB2312"/>
          <w:sz w:val="32"/>
          <w:szCs w:val="32"/>
        </w:rPr>
        <w:t>社会效益显著：该项目的实施，为大学生、农民工、贫困家庭劳动力、退役军人、残疾人等重点群体，特别是为就业困难人员提供职业技能培训、公益性岗位安置等；启蒙了大学生的创业意识，并提供初始创业支持；为全面落实积极的就业创业政策、实现新增就业、帮助困难人员就业提供了坚实的制度和资金保障，圆满完成</w:t>
      </w:r>
      <w:r>
        <w:rPr>
          <w:rFonts w:hint="eastAsia" w:ascii="仿宋_GB2312" w:eastAsia="仿宋_GB2312"/>
          <w:color w:val="333333"/>
          <w:sz w:val="32"/>
          <w:szCs w:val="32"/>
        </w:rPr>
        <w:t>了就业促进民生工程目标任务，有力促进了经济发展和社会稳定，社会效益显著。</w:t>
      </w:r>
    </w:p>
    <w:p w14:paraId="237350F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3B79452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7F8C22E7">
      <w:pPr>
        <w:ind w:firstLine="640" w:firstLineChars="200"/>
        <w:rPr>
          <w:rFonts w:ascii="仿宋_GB2312" w:eastAsia="仿宋_GB2312"/>
          <w:sz w:val="32"/>
          <w:szCs w:val="32"/>
        </w:rPr>
      </w:pPr>
      <w:r>
        <w:rPr>
          <w:rFonts w:hint="eastAsia" w:ascii="仿宋_GB2312" w:eastAsia="仿宋_GB2312"/>
          <w:sz w:val="32"/>
          <w:szCs w:val="32"/>
        </w:rPr>
        <w:t>西区就业创业促进中心严格执行资金预算管理制度，在资金管理、执行、支付等流程，进一步强化资金统筹，优化资金结构，明确开支范围，细化资金用途，全年基本支出保证了部门的正常运行和日常工作的正常开展，预算执行情况良好，无违规情况。</w:t>
      </w:r>
    </w:p>
    <w:p w14:paraId="2050119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1AF2A834">
      <w:pPr>
        <w:ind w:firstLine="640" w:firstLineChars="200"/>
        <w:rPr>
          <w:rFonts w:ascii="仿宋_GB2312" w:eastAsia="仿宋_GB2312"/>
          <w:sz w:val="32"/>
          <w:szCs w:val="32"/>
        </w:rPr>
      </w:pPr>
      <w:r>
        <w:rPr>
          <w:rFonts w:hint="eastAsia" w:ascii="仿宋_GB2312" w:eastAsia="仿宋_GB2312"/>
          <w:sz w:val="32"/>
          <w:szCs w:val="32"/>
        </w:rPr>
        <w:t>1.还需进一步加强预算编制的准确性和规范性，项目预算及专项经费执行情况受就业创业政策性影响较大，还需结合就业创业事业发展计划的统筹规划，提升预算编制质量和水平。</w:t>
      </w:r>
    </w:p>
    <w:p w14:paraId="45ADF166">
      <w:pPr>
        <w:ind w:firstLine="640" w:firstLineChars="200"/>
        <w:rPr>
          <w:rFonts w:ascii="仿宋_GB2312" w:eastAsia="仿宋_GB2312"/>
          <w:sz w:val="32"/>
          <w:szCs w:val="32"/>
        </w:rPr>
      </w:pPr>
      <w:r>
        <w:rPr>
          <w:rFonts w:hint="eastAsia" w:ascii="仿宋_GB2312" w:eastAsia="仿宋_GB2312"/>
          <w:sz w:val="32"/>
          <w:szCs w:val="32"/>
        </w:rPr>
        <w:t>2.还需要进一步加强项目经费事前、事中、事后监管，高校毕业生创业补贴等补贴属于动态管理项目，补贴要根据符合条件的对象的申报情况来拨付，含不定性因素，开展绩效管理还有一定的难度。</w:t>
      </w:r>
    </w:p>
    <w:p w14:paraId="7473945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1621D78C">
      <w:pPr>
        <w:ind w:firstLine="640" w:firstLineChars="200"/>
        <w:rPr>
          <w:rFonts w:ascii="仿宋_GB2312" w:eastAsia="仿宋_GB2312"/>
          <w:sz w:val="32"/>
          <w:szCs w:val="32"/>
        </w:rPr>
      </w:pPr>
      <w:r>
        <w:rPr>
          <w:rFonts w:hint="eastAsia" w:ascii="仿宋_GB2312" w:eastAsia="仿宋_GB2312"/>
          <w:sz w:val="32"/>
          <w:szCs w:val="32"/>
        </w:rPr>
        <w:t>一是科学合理编制部门预算，推进预算编制科学化、准确化。加强事前、事中、事后监管，定期做好预算分析，加快预算执行进度。二是加大就业创业政策宣传力度，通过多媒体、网络、印制宣传资料等方式。三是多部门联合协作，信息共享，充分发挥主动性，主动联系符合申报条件的补贴对象前来申报补贴。三是推进制度规范化建设。学习先进单位的经验和做法，完善绩效评价制度和管理办法，充实绩效评价指标体系，提高财政资金使用效益。实现“及时纠偏、约束有力，全面覆盖、突出重点，信息共享、运用结果”的预算绩效目标。</w:t>
      </w:r>
    </w:p>
    <w:p w14:paraId="7C10BC96">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4AF32C16">
      <w:pPr>
        <w:spacing w:line="580" w:lineRule="exact"/>
        <w:ind w:firstLine="640" w:firstLineChars="200"/>
        <w:rPr>
          <w:rFonts w:ascii="仿宋_GB2312" w:hAnsi="仿宋_GB2312" w:eastAsia="仿宋_GB2312" w:cs="仿宋_GB2312"/>
          <w:sz w:val="32"/>
          <w:szCs w:val="32"/>
        </w:rPr>
      </w:pPr>
    </w:p>
    <w:p w14:paraId="30128248">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高校毕业生创业工作经费</w:t>
      </w:r>
      <w:r>
        <w:rPr>
          <w:rFonts w:hint="eastAsia" w:ascii="方正小标宋简体" w:hAnsi="宋体" w:eastAsia="方正小标宋简体"/>
          <w:color w:val="000000"/>
          <w:kern w:val="0"/>
          <w:sz w:val="44"/>
          <w:szCs w:val="44"/>
          <w:lang w:val="zh-CN"/>
        </w:rPr>
        <w:t>项目</w:t>
      </w:r>
    </w:p>
    <w:p w14:paraId="51D70918">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10DA7FFA">
      <w:pPr>
        <w:spacing w:line="600" w:lineRule="exact"/>
        <w:rPr>
          <w:rFonts w:ascii="宋体"/>
          <w:sz w:val="32"/>
          <w:szCs w:val="32"/>
          <w:lang w:val="zh-CN"/>
        </w:rPr>
      </w:pPr>
    </w:p>
    <w:p w14:paraId="421602FF">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8BADC9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1A1DC3EA">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14:paraId="599C0839">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（1）负责贯彻执行《中华人民共和国就业促进法》、省、市有关促进就业的法律、法规、方针和政策，组织实施积极的就业政策，促进城乡劳动者充分就业、自主创业。</w:t>
      </w:r>
    </w:p>
    <w:p w14:paraId="2EEAF464">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2）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14:paraId="6B8E9B3F">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（3）负责全区就业援助工作，组织实施就业困难人员的认定，积极开展就业援助，并负责做好职业介绍补贴、社会保险补贴、职业培训补贴、岗位补贴、高校毕业生创业补贴等促进就业创业政策。</w:t>
      </w:r>
    </w:p>
    <w:p w14:paraId="3CFEB79F">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（4）负责高校毕业生就业创业服务、就业见习基地及见习生的认定审核、离校未就业的高校毕业生跟踪服务和实名制管理、困难高校毕业生的就业援助、大学生就业创业培训。</w:t>
      </w:r>
    </w:p>
    <w:p w14:paraId="3FECED7E">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14:paraId="7BBF8808">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根据《四川省人民政府办公厅关于加大力度促进高校毕业生就业创业的意见》（川办发 [2014]26号）文件要求，对省内普通高等学校在全日制在校大学生、服务基层项目的大学生、毕业5年内处于失业状态的毕业生（含国家承认学历的留学回国人员；技工院校高级工班、预备技师班和特殊教育院校职业院校类学生），在我省高校各类创新创业平台或地方建立的创新创业园区（孵化基地）内且正在孵化的创业项目，以及在我省通过工商注册、民政登记、或以其他方式依法设立、免于注册和登记创办的创业实体（包括符合条件的网店和农业职业经理人），给予一次性创业补贴，按属地管理原则，由所在县区政府给予1万元创业补贴，其中省财政从高校毕业生创业补贴资金中补助5000元，市财政补助2000元，同级财政配套3000元。</w:t>
      </w:r>
    </w:p>
    <w:p w14:paraId="5AB54D7D">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14:paraId="4966DFE4">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一是我中心将 “高校毕业生创业工作经费”项目纳入事前绩效评估。评价指标包括数量指标、质量指标、时效指标、成本指标、社会效益指标、可持续效益指标和满意度指标。评价方法采用自评自查、公众评判法等方法进行。二是为规范本单位财务工作，加强会计核算与内部监督，提高财政资金使用效益，我单位出台了《预算管理内部控制制度》、《收支管理内部控制制度》，为开展项目评价工作、提高绩效管理水平提供制度保障。牢固树立“讲绩效、重绩效、用绩效”“花钱必问效、无效必问责”的绩效管理理念，进一步增强支出责任和效率意识，全面加强预算管理，优化资源配置，提高财政资金使用绩效和科学精细化管理水平。三是在预算管理上：执行事前预算评审，事后进行结算评审，保证预算支出的有效性。四是如遇突发事件或不可抗力因素引起的突然情况，立即启动应急预案，上报上级单位，妥善处理。</w:t>
      </w:r>
    </w:p>
    <w:p w14:paraId="058D4046">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14:paraId="4BF46737">
      <w:pPr>
        <w:pStyle w:val="37"/>
        <w:spacing w:line="500" w:lineRule="exact"/>
        <w:ind w:firstLine="566" w:firstLineChars="177"/>
        <w:rPr>
          <w:rFonts w:ascii="仿宋_GB2312" w:eastAsia="仿宋_GB2312"/>
          <w:sz w:val="32"/>
          <w:szCs w:val="32"/>
        </w:rPr>
      </w:pPr>
      <w:r>
        <w:rPr>
          <w:rFonts w:hint="eastAsia" w:ascii="仿宋_GB2312" w:eastAsia="仿宋_GB2312"/>
          <w:sz w:val="32"/>
          <w:szCs w:val="32"/>
        </w:rPr>
        <w:t>该项目主要促进高校毕业生创业比例和就业质量不断提高，保持我区高校毕业就业局势总体稳定。资金分配严格按照预算安排，主要用于高校毕业生创业补贴，就业创业政策印刷、宣传、项目实地核查监督、平台标准化建设、招聘会等经费。</w:t>
      </w:r>
    </w:p>
    <w:p w14:paraId="035292B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5AE5D58">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微软雅黑" w:eastAsia="仿宋_GB2312" w:cs="宋体"/>
          <w:color w:val="000000"/>
          <w:kern w:val="0"/>
          <w:sz w:val="32"/>
          <w:szCs w:val="32"/>
        </w:rPr>
        <w:t>本部门在2020年度部门决算中反映“高校毕业生创业工作经费”1个项目绩效目标实际完成情况。</w:t>
      </w:r>
    </w:p>
    <w:p w14:paraId="2D7C2AF8">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微软雅黑" w:eastAsia="仿宋_GB2312" w:cs="宋体"/>
          <w:color w:val="000000"/>
          <w:kern w:val="0"/>
          <w:sz w:val="32"/>
          <w:szCs w:val="32"/>
        </w:rPr>
        <w:t xml:space="preserve"> 高校毕业生创业工作经费</w:t>
      </w:r>
      <w:r>
        <w:rPr>
          <w:rFonts w:hint="eastAsia" w:ascii="仿宋_GB2312" w:hAnsi="宋体" w:eastAsia="仿宋_GB2312"/>
          <w:sz w:val="32"/>
          <w:szCs w:val="32"/>
          <w:lang w:val="zh-CN"/>
        </w:rPr>
        <w:t>。项目全年预算数3万元，执行数为3万元，完成预算的100%。通过项目实施，保障了</w:t>
      </w:r>
      <w:r>
        <w:rPr>
          <w:rFonts w:hint="eastAsia" w:ascii="仿宋_GB2312" w:eastAsia="仿宋_GB2312"/>
          <w:sz w:val="32"/>
          <w:szCs w:val="32"/>
        </w:rPr>
        <w:t>高校毕业生创业比例和就业质量不断提高</w:t>
      </w:r>
      <w:r>
        <w:rPr>
          <w:rFonts w:hint="eastAsia" w:ascii="仿宋_GB2312" w:hAnsi="宋体" w:eastAsia="仿宋_GB2312"/>
          <w:sz w:val="32"/>
          <w:szCs w:val="32"/>
          <w:lang w:val="zh-CN"/>
        </w:rPr>
        <w:t>。</w:t>
      </w:r>
    </w:p>
    <w:p w14:paraId="4D4ACDBA">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3．评价申报内容与实际相符，申报目标合理可行。</w:t>
      </w:r>
    </w:p>
    <w:p w14:paraId="376ED48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53E3E30F">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认真对照资金分配、资金到位、资金管理、组织实施等方面；评价方法采用自评自查、公众评判法等方法进行。项目编制采取事前绩效评估，项目开展绩效监控，年终执行完毕后绩效目标完成情况梳理填报。</w:t>
      </w:r>
    </w:p>
    <w:p w14:paraId="011D364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07AF387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64883862">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及时制定了部门绩效目标，接到财政下达预算批复后，严格支出控制、预算全面，无违规记录。（年初预算批复6万元，年终追减后为3万元）</w:t>
      </w:r>
    </w:p>
    <w:p w14:paraId="4B3D9CA7">
      <w:pPr>
        <w:adjustRightInd w:val="0"/>
        <w:snapToGrid w:val="0"/>
        <w:spacing w:line="600" w:lineRule="exact"/>
        <w:ind w:firstLine="630" w:firstLineChars="196"/>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2E06A7D7">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1．资金计划。已纳入年初预算。</w:t>
      </w:r>
    </w:p>
    <w:p w14:paraId="5C7091EA">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2．资金到位。预算资金已及时到位。</w:t>
      </w:r>
    </w:p>
    <w:p w14:paraId="622B8054">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3．资金使用。统计资金支出情况，对资金使用的安全性、规范性及有效性进行重点分析，包括资金支付范围、支付标准、支付进度、支付依据等合规合法、与预算相符。</w:t>
      </w:r>
    </w:p>
    <w:p w14:paraId="5B9667BB">
      <w:pPr>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3DE30B1B">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我单位财务管理制度健全，严格执行财务管理制度，账务处理及时，会计核算规范。</w:t>
      </w:r>
    </w:p>
    <w:p w14:paraId="7164D66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5EEC1205">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711CD4A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235181FB">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根据《关于贯彻落实省政府办公厅加大力度促进高校毕业生就业创业意见有关问题的通知》（川人社发〔2014〕20号）、《关于转发〈四川省人力资源和社会保障厅 四川省财政厅关于进一步落实普通高等学校毕业生就业政策的通知〉的通知》(攀人社发[2013]40号)文件规定执行，我中心及时拨付补贴。</w:t>
      </w:r>
    </w:p>
    <w:p w14:paraId="3FEDEC8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14:paraId="041AB0A4">
      <w:pPr>
        <w:ind w:firstLine="640" w:firstLineChars="200"/>
        <w:rPr>
          <w:rFonts w:ascii="仿宋_GB2312" w:hAnsi="宋体" w:eastAsia="仿宋_GB2312"/>
          <w:sz w:val="32"/>
          <w:szCs w:val="32"/>
          <w:lang w:val="zh-CN"/>
        </w:rPr>
      </w:pPr>
      <w:r>
        <w:rPr>
          <w:rFonts w:hint="eastAsia" w:ascii="仿宋_GB2312" w:hAnsi="微软雅黑" w:eastAsia="仿宋_GB2312" w:cs="宋体"/>
          <w:color w:val="000000"/>
          <w:kern w:val="0"/>
          <w:sz w:val="32"/>
          <w:szCs w:val="32"/>
        </w:rPr>
        <w:t>高校毕业生创业工作经费项目</w:t>
      </w:r>
      <w:r>
        <w:rPr>
          <w:rFonts w:hint="eastAsia" w:ascii="仿宋_GB2312" w:hAnsi="宋体" w:eastAsia="仿宋_GB2312"/>
          <w:sz w:val="32"/>
          <w:szCs w:val="32"/>
          <w:lang w:val="zh-CN"/>
        </w:rPr>
        <w:t>严格按照就业创业资金补助办法管理，专款专用，严格实行报账制，严格使用范围，无违规违纪现象。</w:t>
      </w:r>
    </w:p>
    <w:p w14:paraId="0AE3660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2BDB3B10">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采用工作考勤、日常检查、财务监督的方式执行，项目建立档案资料和图片资料，</w:t>
      </w:r>
      <w:r>
        <w:rPr>
          <w:rFonts w:hint="eastAsia" w:ascii="仿宋_GB2312" w:hAnsi="宋体" w:eastAsia="仿宋_GB2312"/>
          <w:sz w:val="32"/>
          <w:szCs w:val="32"/>
          <w:lang w:val="zh-CN"/>
        </w:rPr>
        <w:t>严格执行公示制度，严禁挪作他用，无违规违纪现象。</w:t>
      </w:r>
    </w:p>
    <w:p w14:paraId="048282E9">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7F79796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35266B0">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数量指标：完成。促进了高校毕业生及失业人员等群体实现就业创业。</w:t>
      </w:r>
    </w:p>
    <w:p w14:paraId="21ADD07C">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质量指标：完成。高校毕业生工作经费支出准确率达100%。</w:t>
      </w:r>
    </w:p>
    <w:p w14:paraId="001358B4">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时效指标：完成。全年按计划按进度拨付补贴。</w:t>
      </w:r>
    </w:p>
    <w:p w14:paraId="606C5973">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成本指标：完成。高校毕业生创业补贴及工作经费成本控制率达标。</w:t>
      </w:r>
    </w:p>
    <w:p w14:paraId="1E09A85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34D4A3D">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社会效益：完成。年末高校毕业生总体就业率达98%以上。</w:t>
      </w:r>
    </w:p>
    <w:p w14:paraId="05CC3855">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可持续效益：完成。引导大众树立创业意识，创业带动就业得到全面提升。</w:t>
      </w:r>
    </w:p>
    <w:p w14:paraId="50930FD8">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服务对象满意度：完成。满意度达95%以上</w:t>
      </w:r>
    </w:p>
    <w:p w14:paraId="56EB177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630B0E2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DB7FA0D">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中心2020年高校毕业生创业补贴绩效目标完成，职责履行良好，履职效益明显，预算配置科学，预算执行有效，预算管理规范，服务对象满意度达100%。离校未就业高校毕业生就业率达100%，促进500余名高校毕业生等群体就业，促进1名高校毕业生成功自主创业，推荐攀枝花市嘉骅生态农业开发有限公司创办者郭桔显参加评选，获四川省农民工工作领导小组授予的“四川省返乡下乡创业明星”荣誉称号。</w:t>
      </w:r>
    </w:p>
    <w:p w14:paraId="1F67293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7A0DD9AC">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高校毕业生创业补贴属于动态管理项目，拨付补贴要根据符合条件的大学生实际申报情况，含不定性因素，开展绩效管理还有一定的难度，资金效益有待进一步提高。</w:t>
      </w:r>
    </w:p>
    <w:p w14:paraId="2FA655C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774E4D49">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是加大宣传力度，通过媒体、网络、报纸、印制宣传资料等。二是多部门联合协作，信息共享，主动联系符合申报条件的大学生前来申报补贴。三是推进制度规范化建设。学习先进单位的经验和做法，完善绩效评价制度和管理办法，充实绩效评价指标体系，逐步健全绩效评价标准，提高财政资金使用效益</w:t>
      </w:r>
    </w:p>
    <w:p w14:paraId="380F0666">
      <w:pPr>
        <w:ind w:firstLine="640" w:firstLineChars="200"/>
        <w:rPr>
          <w:rFonts w:ascii="仿宋_GB2312" w:hAnsi="宋体" w:eastAsia="仿宋_GB2312"/>
          <w:sz w:val="32"/>
          <w:szCs w:val="32"/>
          <w:lang w:val="zh-CN"/>
        </w:rPr>
      </w:pPr>
    </w:p>
    <w:p w14:paraId="7FBF288A">
      <w:pPr>
        <w:spacing w:line="580" w:lineRule="exact"/>
        <w:ind w:firstLine="640"/>
        <w:rPr>
          <w:rFonts w:ascii="仿宋_GB2312" w:hAnsi="仿宋_GB2312" w:eastAsia="仿宋_GB2312" w:cs="仿宋_GB2312"/>
          <w:sz w:val="32"/>
          <w:szCs w:val="32"/>
        </w:rPr>
      </w:pPr>
    </w:p>
    <w:p w14:paraId="56BFA16E">
      <w:pPr>
        <w:widowControl/>
        <w:jc w:val="left"/>
        <w:rPr>
          <w:rStyle w:val="19"/>
          <w:rFonts w:ascii="黑体" w:hAnsi="黑体" w:eastAsia="黑体"/>
          <w:b w:val="0"/>
        </w:rPr>
      </w:pPr>
    </w:p>
    <w:p w14:paraId="7DEBCF88">
      <w:pPr>
        <w:widowControl/>
        <w:jc w:val="left"/>
        <w:rPr>
          <w:rStyle w:val="19"/>
          <w:rFonts w:ascii="黑体" w:hAnsi="黑体" w:eastAsia="黑体"/>
          <w:b w:val="0"/>
        </w:rPr>
      </w:pPr>
      <w:r>
        <w:rPr>
          <w:rStyle w:val="19"/>
          <w:rFonts w:ascii="黑体" w:hAnsi="黑体" w:eastAsia="黑体"/>
          <w:b w:val="0"/>
        </w:rPr>
        <w:br w:type="page"/>
      </w:r>
    </w:p>
    <w:p w14:paraId="0929DE85">
      <w:pPr>
        <w:spacing w:line="600" w:lineRule="exact"/>
        <w:jc w:val="center"/>
        <w:outlineLvl w:val="0"/>
        <w:rPr>
          <w:rStyle w:val="19"/>
          <w:rFonts w:ascii="黑体" w:hAnsi="黑体" w:eastAsia="黑体"/>
          <w:b w:val="0"/>
        </w:rPr>
      </w:pPr>
    </w:p>
    <w:p w14:paraId="7613C8DA">
      <w:pPr>
        <w:spacing w:line="600" w:lineRule="exact"/>
        <w:jc w:val="center"/>
        <w:outlineLvl w:val="0"/>
        <w:rPr>
          <w:rStyle w:val="19"/>
          <w:rFonts w:ascii="黑体" w:hAnsi="黑体" w:eastAsia="黑体"/>
          <w:b w:val="0"/>
        </w:rPr>
      </w:pPr>
      <w:bookmarkStart w:id="59" w:name="_Toc15396618"/>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58"/>
      <w:bookmarkEnd w:id="59"/>
    </w:p>
    <w:p w14:paraId="74A777DB">
      <w:pPr>
        <w:spacing w:line="600" w:lineRule="exact"/>
        <w:jc w:val="center"/>
        <w:outlineLvl w:val="0"/>
        <w:rPr>
          <w:rFonts w:ascii="仿宋" w:hAnsi="仿宋" w:eastAsia="仿宋"/>
          <w:b/>
          <w:color w:val="000000"/>
          <w:sz w:val="44"/>
          <w:szCs w:val="44"/>
        </w:rPr>
      </w:pPr>
    </w:p>
    <w:p w14:paraId="07C51310">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60"/>
    </w:p>
    <w:p w14:paraId="03EDCF21">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0"/>
          <w:rFonts w:hint="eastAsia" w:ascii="仿宋" w:hAnsi="仿宋" w:eastAsia="仿宋"/>
          <w:b w:val="0"/>
          <w:bCs w:val="0"/>
        </w:rPr>
        <w:t>入决算表</w:t>
      </w:r>
      <w:bookmarkEnd w:id="61"/>
    </w:p>
    <w:p w14:paraId="43C0D411">
      <w:pPr>
        <w:pStyle w:val="3"/>
        <w:rPr>
          <w:rFonts w:ascii="仿宋" w:hAnsi="仿宋" w:eastAsia="仿宋"/>
          <w:color w:val="000000"/>
        </w:rPr>
      </w:pPr>
      <w:bookmarkStart w:id="62"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出决算表</w:t>
      </w:r>
      <w:bookmarkEnd w:id="62"/>
    </w:p>
    <w:p w14:paraId="37CF2612">
      <w:pPr>
        <w:pStyle w:val="3"/>
        <w:rPr>
          <w:rFonts w:ascii="仿宋" w:hAnsi="仿宋" w:eastAsia="仿宋"/>
          <w:b w:val="0"/>
          <w:color w:val="000000"/>
        </w:rPr>
      </w:pPr>
      <w:bookmarkStart w:id="63"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63"/>
    </w:p>
    <w:p w14:paraId="3B9AB331">
      <w:pPr>
        <w:pStyle w:val="3"/>
        <w:rPr>
          <w:rStyle w:val="20"/>
          <w:rFonts w:ascii="仿宋" w:hAnsi="仿宋" w:eastAsia="仿宋"/>
          <w:b w:val="0"/>
          <w:bCs w:val="0"/>
        </w:rPr>
      </w:pPr>
      <w:bookmarkStart w:id="64"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w:t>
      </w:r>
      <w:bookmarkEnd w:id="64"/>
      <w:bookmarkStart w:id="65" w:name="_Toc15396624"/>
    </w:p>
    <w:p w14:paraId="1CA02913">
      <w:pPr>
        <w:pStyle w:val="3"/>
        <w:rPr>
          <w:rFonts w:ascii="仿宋" w:hAnsi="仿宋" w:eastAsia="仿宋"/>
          <w:color w:val="000000"/>
        </w:rPr>
      </w:pPr>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65"/>
    </w:p>
    <w:p w14:paraId="195F6F9F">
      <w:pPr>
        <w:pStyle w:val="3"/>
        <w:rPr>
          <w:rFonts w:ascii="仿宋" w:hAnsi="仿宋" w:eastAsia="仿宋"/>
          <w:color w:val="000000"/>
        </w:rPr>
      </w:pPr>
      <w:bookmarkStart w:id="66"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66"/>
    </w:p>
    <w:p w14:paraId="5C8EE528">
      <w:pPr>
        <w:pStyle w:val="3"/>
        <w:rPr>
          <w:rFonts w:ascii="仿宋" w:hAnsi="仿宋" w:eastAsia="仿宋"/>
          <w:color w:val="000000"/>
        </w:rPr>
      </w:pPr>
      <w:bookmarkStart w:id="67"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67"/>
    </w:p>
    <w:p w14:paraId="31FEBBF8">
      <w:pPr>
        <w:pStyle w:val="3"/>
        <w:rPr>
          <w:rFonts w:ascii="仿宋" w:hAnsi="仿宋" w:eastAsia="仿宋"/>
          <w:color w:val="000000"/>
        </w:rPr>
      </w:pPr>
      <w:bookmarkStart w:id="68"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68"/>
    </w:p>
    <w:p w14:paraId="75AFE2E1">
      <w:pPr>
        <w:pStyle w:val="3"/>
        <w:rPr>
          <w:rFonts w:ascii="仿宋" w:hAnsi="仿宋" w:eastAsia="仿宋"/>
          <w:color w:val="000000"/>
        </w:rPr>
      </w:pPr>
      <w:bookmarkStart w:id="69"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69"/>
    </w:p>
    <w:p w14:paraId="74B50DF9">
      <w:pPr>
        <w:pStyle w:val="3"/>
        <w:rPr>
          <w:rFonts w:ascii="仿宋" w:hAnsi="仿宋" w:eastAsia="仿宋"/>
          <w:color w:val="000000"/>
        </w:rPr>
      </w:pPr>
      <w:bookmarkStart w:id="70"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70"/>
    </w:p>
    <w:p w14:paraId="24F2E3EE">
      <w:pPr>
        <w:pStyle w:val="3"/>
        <w:rPr>
          <w:rFonts w:ascii="仿宋" w:hAnsi="仿宋" w:eastAsia="仿宋"/>
          <w:color w:val="000000"/>
        </w:rPr>
      </w:pPr>
      <w:bookmarkStart w:id="71"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71"/>
    </w:p>
    <w:p w14:paraId="0D48EEF7">
      <w:pPr>
        <w:pStyle w:val="3"/>
        <w:rPr>
          <w:rFonts w:ascii="仿宋" w:hAnsi="仿宋" w:eastAsia="仿宋"/>
          <w:color w:val="000000"/>
        </w:rPr>
      </w:pPr>
      <w:bookmarkStart w:id="72"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有资本经营预算财政拨款支出决算表</w:t>
      </w:r>
      <w:bookmarkEnd w:id="72"/>
    </w:p>
    <w:p w14:paraId="38333D7C"/>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SimHei">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BF35">
    <w:pPr>
      <w:pStyle w:val="9"/>
      <w:jc w:val="center"/>
    </w:pPr>
    <w:r>
      <w:fldChar w:fldCharType="begin"/>
    </w:r>
    <w:r>
      <w:instrText xml:space="preserve">PAGE   \* MERGEFORMAT</w:instrText>
    </w:r>
    <w:r>
      <w:fldChar w:fldCharType="separate"/>
    </w:r>
    <w:r>
      <w:rPr>
        <w:lang w:val="zh-CN"/>
      </w:rPr>
      <w:t>37</w:t>
    </w:r>
    <w:r>
      <w:rPr>
        <w:lang w:val="zh-CN"/>
      </w:rPr>
      <w:fldChar w:fldCharType="end"/>
    </w:r>
  </w:p>
  <w:p w14:paraId="38147E2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E69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8D"/>
    <w:rsid w:val="00025B62"/>
    <w:rsid w:val="00041867"/>
    <w:rsid w:val="000A27B2"/>
    <w:rsid w:val="00121E74"/>
    <w:rsid w:val="0014058D"/>
    <w:rsid w:val="00150F11"/>
    <w:rsid w:val="001617AC"/>
    <w:rsid w:val="001A2033"/>
    <w:rsid w:val="002920A1"/>
    <w:rsid w:val="002B4985"/>
    <w:rsid w:val="002F030B"/>
    <w:rsid w:val="00306242"/>
    <w:rsid w:val="00332E07"/>
    <w:rsid w:val="00353D6B"/>
    <w:rsid w:val="003947FC"/>
    <w:rsid w:val="00397379"/>
    <w:rsid w:val="003A680B"/>
    <w:rsid w:val="003F2191"/>
    <w:rsid w:val="003F6BBA"/>
    <w:rsid w:val="00490EEA"/>
    <w:rsid w:val="004C0E2B"/>
    <w:rsid w:val="00514526"/>
    <w:rsid w:val="005640EA"/>
    <w:rsid w:val="005C13FD"/>
    <w:rsid w:val="006964C3"/>
    <w:rsid w:val="006C1776"/>
    <w:rsid w:val="00763720"/>
    <w:rsid w:val="0076557F"/>
    <w:rsid w:val="00797EE5"/>
    <w:rsid w:val="007A62BA"/>
    <w:rsid w:val="007F04A0"/>
    <w:rsid w:val="00825C38"/>
    <w:rsid w:val="00834B10"/>
    <w:rsid w:val="00896AC2"/>
    <w:rsid w:val="009E7361"/>
    <w:rsid w:val="00A34363"/>
    <w:rsid w:val="00AE4C9E"/>
    <w:rsid w:val="00B97F75"/>
    <w:rsid w:val="00BD49B2"/>
    <w:rsid w:val="00BF189C"/>
    <w:rsid w:val="00C3269E"/>
    <w:rsid w:val="00CA20CA"/>
    <w:rsid w:val="00CD37CC"/>
    <w:rsid w:val="00D86BA1"/>
    <w:rsid w:val="00E47A9F"/>
    <w:rsid w:val="00E53B25"/>
    <w:rsid w:val="00E77176"/>
    <w:rsid w:val="00E80E8C"/>
    <w:rsid w:val="00EB690E"/>
    <w:rsid w:val="00F04436"/>
    <w:rsid w:val="00F32CE6"/>
    <w:rsid w:val="00FA3738"/>
    <w:rsid w:val="00FC0FBB"/>
    <w:rsid w:val="31B5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3"/>
    <w:qFormat/>
    <w:uiPriority w:val="99"/>
    <w:pPr>
      <w:spacing w:beforeLines="30"/>
    </w:pPr>
    <w:rPr>
      <w:rFonts w:ascii="仿宋_GB2312" w:eastAsia="仿宋_GB2312"/>
      <w:kern w:val="0"/>
      <w:sz w:val="24"/>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rFonts w:cs="Times New Roman"/>
      <w:b/>
    </w:rPr>
  </w:style>
  <w:style w:type="character" w:styleId="16">
    <w:name w:val="Hyperlink"/>
    <w:basedOn w:val="14"/>
    <w:unhideWhenUsed/>
    <w:qFormat/>
    <w:uiPriority w:val="99"/>
    <w:rPr>
      <w:rFonts w:cs="Times New Roman"/>
      <w:color w:val="0000FF"/>
      <w:u w:val="single"/>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9"/>
    <w:rPr>
      <w:rFonts w:ascii="Times New Roman" w:hAnsi="Times New Roman" w:eastAsia="宋体" w:cs="Times New Roman"/>
      <w:b/>
      <w:bCs/>
      <w:kern w:val="44"/>
      <w:sz w:val="44"/>
      <w:szCs w:val="44"/>
    </w:rPr>
  </w:style>
  <w:style w:type="character" w:customStyle="1" w:styleId="20">
    <w:name w:val="标题 2 Char"/>
    <w:basedOn w:val="14"/>
    <w:link w:val="3"/>
    <w:qFormat/>
    <w:uiPriority w:val="9"/>
    <w:rPr>
      <w:rFonts w:ascii="Cambria" w:hAnsi="Cambria" w:eastAsia="宋体" w:cs="Times New Roman"/>
      <w:b/>
      <w:bCs/>
      <w:sz w:val="32"/>
      <w:szCs w:val="32"/>
    </w:rPr>
  </w:style>
  <w:style w:type="character" w:customStyle="1" w:styleId="21">
    <w:name w:val="标题 3 Char"/>
    <w:basedOn w:val="14"/>
    <w:link w:val="4"/>
    <w:qFormat/>
    <w:uiPriority w:val="9"/>
    <w:rPr>
      <w:rFonts w:ascii="Times New Roman" w:hAnsi="Times New Roman" w:eastAsia="宋体" w:cs="Times New Roman"/>
      <w:b/>
      <w:bCs/>
      <w:sz w:val="32"/>
      <w:szCs w:val="32"/>
    </w:rPr>
  </w:style>
  <w:style w:type="character" w:customStyle="1" w:styleId="22">
    <w:name w:val="标题 4 Char"/>
    <w:basedOn w:val="14"/>
    <w:link w:val="5"/>
    <w:qFormat/>
    <w:uiPriority w:val="9"/>
    <w:rPr>
      <w:rFonts w:ascii="Cambria" w:hAnsi="Cambria" w:eastAsia="宋体" w:cs="Times New Roman"/>
      <w:b/>
      <w:bCs/>
      <w:sz w:val="28"/>
      <w:szCs w:val="28"/>
    </w:rPr>
  </w:style>
  <w:style w:type="character" w:customStyle="1" w:styleId="23">
    <w:name w:val="正文文本 Char"/>
    <w:basedOn w:val="14"/>
    <w:link w:val="6"/>
    <w:qFormat/>
    <w:uiPriority w:val="99"/>
    <w:rPr>
      <w:rFonts w:ascii="仿宋_GB2312" w:hAnsi="Times New Roman" w:eastAsia="仿宋_GB2312" w:cs="Times New Roman"/>
      <w:kern w:val="0"/>
      <w:sz w:val="24"/>
      <w:szCs w:val="20"/>
    </w:rPr>
  </w:style>
  <w:style w:type="character" w:customStyle="1" w:styleId="24">
    <w:name w:val="Body Text Char"/>
    <w:basedOn w:val="14"/>
    <w:semiHidden/>
    <w:qFormat/>
    <w:uiPriority w:val="99"/>
    <w:rPr>
      <w:rFonts w:ascii="Times New Roman" w:hAnsi="Times New Roman" w:cs="Times New Roman"/>
      <w:sz w:val="24"/>
      <w:szCs w:val="24"/>
    </w:rPr>
  </w:style>
  <w:style w:type="character" w:customStyle="1" w:styleId="25">
    <w:name w:val="批注框文本 Char"/>
    <w:basedOn w:val="14"/>
    <w:link w:val="8"/>
    <w:semiHidden/>
    <w:qFormat/>
    <w:uiPriority w:val="99"/>
    <w:rPr>
      <w:rFonts w:ascii="Times New Roman" w:hAnsi="Times New Roman" w:eastAsia="宋体" w:cs="Times New Roman"/>
      <w:sz w:val="18"/>
      <w:szCs w:val="18"/>
    </w:rPr>
  </w:style>
  <w:style w:type="character" w:customStyle="1" w:styleId="26">
    <w:name w:val="Footer Char"/>
    <w:basedOn w:val="14"/>
    <w:semiHidden/>
    <w:qFormat/>
    <w:uiPriority w:val="99"/>
    <w:rPr>
      <w:rFonts w:ascii="Times New Roman" w:hAnsi="Times New Roman" w:cs="Times New Roman"/>
      <w:sz w:val="18"/>
      <w:szCs w:val="18"/>
    </w:rPr>
  </w:style>
  <w:style w:type="character" w:customStyle="1" w:styleId="27">
    <w:name w:val="Header Char"/>
    <w:basedOn w:val="14"/>
    <w:semiHidden/>
    <w:qFormat/>
    <w:uiPriority w:val="99"/>
    <w:rPr>
      <w:rFonts w:ascii="Times New Roman" w:hAnsi="Times New Roman" w:cs="Times New Roman"/>
      <w:sz w:val="18"/>
      <w:szCs w:val="18"/>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9">
    <w:name w:val="列出段落1"/>
    <w:basedOn w:val="1"/>
    <w:qFormat/>
    <w:uiPriority w:val="34"/>
    <w:pPr>
      <w:ind w:firstLine="420" w:firstLineChars="200"/>
    </w:pPr>
  </w:style>
  <w:style w:type="paragraph" w:customStyle="1" w:styleId="3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2">
    <w:name w:val="fontstyle01"/>
    <w:qFormat/>
    <w:uiPriority w:val="0"/>
    <w:rPr>
      <w:rFonts w:hint="eastAsia" w:ascii="方正小标宋_GBK" w:eastAsia="方正小标宋_GBK"/>
      <w:color w:val="000000"/>
      <w:sz w:val="44"/>
      <w:szCs w:val="44"/>
    </w:rPr>
  </w:style>
  <w:style w:type="character" w:customStyle="1" w:styleId="33">
    <w:name w:val="fontstyle31"/>
    <w:qFormat/>
    <w:uiPriority w:val="0"/>
    <w:rPr>
      <w:rFonts w:hint="eastAsia" w:ascii="黑体" w:hAnsi="黑体" w:eastAsia="黑体"/>
      <w:color w:val="000000"/>
      <w:sz w:val="32"/>
      <w:szCs w:val="32"/>
    </w:rPr>
  </w:style>
  <w:style w:type="character" w:customStyle="1" w:styleId="34">
    <w:name w:val="fontstyle41"/>
    <w:qFormat/>
    <w:uiPriority w:val="0"/>
    <w:rPr>
      <w:rFonts w:hint="eastAsia" w:ascii="仿宋_GB2312" w:eastAsia="仿宋_GB2312"/>
      <w:color w:val="000000"/>
      <w:sz w:val="32"/>
      <w:szCs w:val="32"/>
    </w:rPr>
  </w:style>
  <w:style w:type="character" w:customStyle="1" w:styleId="35">
    <w:name w:val="fontstyle61"/>
    <w:qFormat/>
    <w:uiPriority w:val="0"/>
    <w:rPr>
      <w:rFonts w:hint="eastAsia" w:ascii="楷体_GB2312" w:eastAsia="楷体_GB2312"/>
      <w:color w:val="000000"/>
      <w:sz w:val="32"/>
      <w:szCs w:val="32"/>
    </w:rPr>
  </w:style>
  <w:style w:type="character" w:customStyle="1" w:styleId="36">
    <w:name w:val="fontstyle21"/>
    <w:basedOn w:val="14"/>
    <w:qFormat/>
    <w:uiPriority w:val="0"/>
    <w:rPr>
      <w:rFonts w:hint="default" w:ascii="TimesNewRoman" w:hAnsi="TimesNewRoman"/>
      <w:color w:val="000000"/>
      <w:sz w:val="34"/>
      <w:szCs w:val="34"/>
    </w:rPr>
  </w:style>
  <w:style w:type="paragraph" w:styleId="37">
    <w:name w:val="List Paragraph"/>
    <w:basedOn w:val="1"/>
    <w:qFormat/>
    <w:uiPriority w:val="34"/>
    <w:pPr>
      <w:ind w:firstLine="420" w:firstLineChars="200"/>
    </w:pPr>
    <w:rPr>
      <w:rFonts w:ascii="Calibri" w:hAnsi="Calibri"/>
      <w:szCs w:val="22"/>
    </w:rPr>
  </w:style>
  <w:style w:type="character" w:customStyle="1" w:styleId="38">
    <w:name w:val="s7"/>
    <w:basedOn w:val="14"/>
    <w:qFormat/>
    <w:uiPriority w:val="0"/>
  </w:style>
  <w:style w:type="character" w:customStyle="1" w:styleId="39">
    <w:name w:val="s3"/>
    <w:basedOn w:val="14"/>
    <w:qFormat/>
    <w:uiPriority w:val="0"/>
  </w:style>
  <w:style w:type="character" w:customStyle="1" w:styleId="40">
    <w:name w:val="s10"/>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收入总计</c:v>
                </c:pt>
              </c:strCache>
            </c:strRef>
          </c:tx>
          <c:invertIfNegative val="0"/>
          <c:dLbls>
            <c:delete val="1"/>
          </c:dLbls>
          <c:cat>
            <c:strRef>
              <c:f>Sheet1!$B$1:$C$1</c:f>
              <c:strCache>
                <c:ptCount val="2"/>
                <c:pt idx="0">
                  <c:v>2019年</c:v>
                </c:pt>
                <c:pt idx="1">
                  <c:v>2020年</c:v>
                </c:pt>
              </c:strCache>
            </c:strRef>
          </c:cat>
          <c:val>
            <c:numRef>
              <c:f>Sheet1!$B$2:$C$2</c:f>
              <c:numCache>
                <c:formatCode>General</c:formatCode>
                <c:ptCount val="2"/>
                <c:pt idx="0">
                  <c:v>140.29</c:v>
                </c:pt>
                <c:pt idx="1">
                  <c:v>1744.59</c:v>
                </c:pt>
              </c:numCache>
            </c:numRef>
          </c:val>
        </c:ser>
        <c:ser>
          <c:idx val="1"/>
          <c:order val="1"/>
          <c:tx>
            <c:strRef>
              <c:f>Sheet1!$A$3</c:f>
              <c:strCache>
                <c:ptCount val="1"/>
                <c:pt idx="0">
                  <c:v>支出总计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2019年</c:v>
                </c:pt>
                <c:pt idx="1">
                  <c:v>2020年</c:v>
                </c:pt>
              </c:strCache>
            </c:strRef>
          </c:cat>
          <c:val>
            <c:numRef>
              <c:f>Sheet1!$B$3:$C$3</c:f>
              <c:numCache>
                <c:formatCode>General</c:formatCode>
                <c:ptCount val="2"/>
                <c:pt idx="0">
                  <c:v>140.29</c:v>
                </c:pt>
                <c:pt idx="1">
                  <c:v>1744.59</c:v>
                </c:pt>
              </c:numCache>
            </c:numRef>
          </c:val>
        </c:ser>
        <c:dLbls>
          <c:showLegendKey val="0"/>
          <c:showVal val="0"/>
          <c:showCatName val="0"/>
          <c:showSerName val="0"/>
          <c:showPercent val="0"/>
          <c:showBubbleSize val="0"/>
        </c:dLbls>
        <c:gapWidth val="150"/>
        <c:axId val="183083392"/>
        <c:axId val="183086464"/>
      </c:barChart>
      <c:catAx>
        <c:axId val="183083392"/>
        <c:scaling>
          <c:orientation val="minMax"/>
        </c:scaling>
        <c:delete val="0"/>
        <c:axPos val="b"/>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3086464"/>
        <c:crosses val="autoZero"/>
        <c:auto val="1"/>
        <c:lblAlgn val="ctr"/>
        <c:lblOffset val="100"/>
        <c:tickLblSkip val="1"/>
        <c:noMultiLvlLbl val="0"/>
      </c:catAx>
      <c:valAx>
        <c:axId val="183086464"/>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30833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d095678-1c3f-4df9-9e68-54d40effae6d}"/>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Sheet1!$A$2</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Sheet1!$B$1:$B$1</c:f>
              <c:strCache>
                <c:ptCount val="1"/>
                <c:pt idx="0">
                  <c:v>一般公共预算财政拨款收入</c:v>
                </c:pt>
              </c:strCache>
            </c:strRef>
          </c:cat>
          <c:val>
            <c:numRef>
              <c:f>Sheet1!$B$2:$B$2</c:f>
              <c:numCache>
                <c:formatCode>General</c:formatCode>
                <c:ptCount val="1"/>
                <c:pt idx="0">
                  <c:v>1741.59</c:v>
                </c:pt>
              </c:numCache>
            </c:numRef>
          </c:val>
        </c:ser>
        <c:dLbls>
          <c:showLegendKey val="0"/>
          <c:showVal val="1"/>
          <c:showCatName val="0"/>
          <c:showSerName val="0"/>
          <c:showPercent val="1"/>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fc244b1-7632-41d2-96aa-8e73909e1e7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Sheet1!$A$2</c:f>
              <c:strCache>
                <c:ptCount val="1"/>
                <c:pt idx="0">
                  <c:v>本年支出</c:v>
                </c:pt>
              </c:strCache>
            </c:strRef>
          </c:tx>
          <c:explosion val="0"/>
          <c:dPt>
            <c:idx val="0"/>
            <c:bubble3D val="0"/>
          </c:dPt>
          <c:dPt>
            <c:idx val="1"/>
            <c:bubble3D val="0"/>
          </c:dPt>
          <c:dLbls>
            <c:dLbl>
              <c:idx val="1"/>
              <c:layout>
                <c:manualLayout>
                  <c:x val="0.0259800350440959"/>
                  <c:y val="-0.26748695832108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Sheet1!$B$2:$C$2</c:f>
              <c:numCache>
                <c:formatCode>General</c:formatCode>
                <c:ptCount val="2"/>
                <c:pt idx="0">
                  <c:v>114.81</c:v>
                </c:pt>
                <c:pt idx="1">
                  <c:v>1438.44</c:v>
                </c:pt>
              </c:numCache>
            </c:numRef>
          </c:val>
        </c:ser>
        <c:dLbls>
          <c:showLegendKey val="0"/>
          <c:showVal val="1"/>
          <c:showCatName val="0"/>
          <c:showSerName val="0"/>
          <c:showPercent val="1"/>
          <c:showBubbleSize val="0"/>
          <c:showLeaderLines val="1"/>
        </c:dLbls>
        <c:firstSliceAng val="2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b3ced08-af97-4e50-a91d-7265617dd64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财政拨款收入总计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Sheet1!$B$1:$D$1</c:f>
              <c:strCache>
                <c:ptCount val="2"/>
                <c:pt idx="0">
                  <c:v>2019年</c:v>
                </c:pt>
                <c:pt idx="1">
                  <c:v>2020年</c:v>
                </c:pt>
              </c:strCache>
            </c:strRef>
          </c:cat>
          <c:val>
            <c:numRef>
              <c:f>Sheet1!$B$2:$D$2</c:f>
              <c:numCache>
                <c:formatCode>General</c:formatCode>
                <c:ptCount val="3"/>
                <c:pt idx="0">
                  <c:v>139.85</c:v>
                </c:pt>
                <c:pt idx="1">
                  <c:v>1744.59</c:v>
                </c:pt>
              </c:numCache>
            </c:numRef>
          </c:val>
        </c:ser>
        <c:ser>
          <c:idx val="1"/>
          <c:order val="1"/>
          <c:tx>
            <c:strRef>
              <c:f>Sheet1!$A$3</c:f>
              <c:strCache>
                <c:ptCount val="1"/>
                <c:pt idx="0">
                  <c:v>财政拨款支出总计</c:v>
                </c:pt>
              </c:strCache>
            </c:strRef>
          </c:tx>
          <c:invertIfNegative val="0"/>
          <c:dLbls>
            <c:delete val="1"/>
          </c:dLbls>
          <c:cat>
            <c:strRef>
              <c:f>Sheet1!$B$1:$D$1</c:f>
              <c:strCache>
                <c:ptCount val="2"/>
                <c:pt idx="0">
                  <c:v>2019年</c:v>
                </c:pt>
                <c:pt idx="1">
                  <c:v>2020年</c:v>
                </c:pt>
              </c:strCache>
            </c:strRef>
          </c:cat>
          <c:val>
            <c:numRef>
              <c:f>Sheet1!$B$3:$D$3</c:f>
              <c:numCache>
                <c:formatCode>General</c:formatCode>
                <c:ptCount val="3"/>
                <c:pt idx="0">
                  <c:v>139.85</c:v>
                </c:pt>
                <c:pt idx="1">
                  <c:v>1744.59</c:v>
                </c:pt>
              </c:numCache>
            </c:numRef>
          </c:val>
        </c:ser>
        <c:dLbls>
          <c:showLegendKey val="0"/>
          <c:showVal val="0"/>
          <c:showCatName val="0"/>
          <c:showSerName val="0"/>
          <c:showPercent val="0"/>
          <c:showBubbleSize val="0"/>
        </c:dLbls>
        <c:gapWidth val="150"/>
        <c:axId val="61392000"/>
        <c:axId val="61393536"/>
      </c:barChart>
      <c:catAx>
        <c:axId val="61392000"/>
        <c:scaling>
          <c:orientation val="minMax"/>
        </c:scaling>
        <c:delete val="0"/>
        <c:axPos val="b"/>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393536"/>
        <c:crosses val="autoZero"/>
        <c:auto val="1"/>
        <c:lblAlgn val="ctr"/>
        <c:lblOffset val="100"/>
        <c:tickLblSkip val="1"/>
        <c:noMultiLvlLbl val="0"/>
      </c:catAx>
      <c:valAx>
        <c:axId val="61393536"/>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3920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38c90b8-68dd-4317-b2e3-16542be5af4b}"/>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Sheet1!$B$1:$B$1</c:f>
              <c:strCache>
                <c:ptCount val="1"/>
                <c:pt idx="0">
                  <c:v>一般公共预算财政拨款支出</c:v>
                </c:pt>
              </c:strCache>
            </c:strRef>
          </c:cat>
          <c:val>
            <c:numRef>
              <c:f>Sheet1!$B$2:$B$2</c:f>
              <c:numCache>
                <c:formatCode>General</c:formatCode>
                <c:ptCount val="1"/>
                <c:pt idx="0">
                  <c:v>139.85</c:v>
                </c:pt>
              </c:numCache>
            </c:numRef>
          </c:val>
        </c:ser>
        <c:ser>
          <c:idx val="1"/>
          <c:order val="1"/>
          <c:tx>
            <c:strRef>
              <c:f>Sheet1!$A$3</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Sheet1!$B$1:$B$1</c:f>
              <c:strCache>
                <c:ptCount val="1"/>
                <c:pt idx="0">
                  <c:v>一般公共预算财政拨款支出</c:v>
                </c:pt>
              </c:strCache>
            </c:strRef>
          </c:cat>
          <c:val>
            <c:numRef>
              <c:f>Sheet1!$B$3:$B$3</c:f>
              <c:numCache>
                <c:formatCode>General</c:formatCode>
                <c:ptCount val="1"/>
                <c:pt idx="0">
                  <c:v>1741.59</c:v>
                </c:pt>
              </c:numCache>
            </c:numRef>
          </c:val>
        </c:ser>
        <c:dLbls>
          <c:showLegendKey val="0"/>
          <c:showVal val="1"/>
          <c:showCatName val="0"/>
          <c:showSerName val="0"/>
          <c:showPercent val="0"/>
          <c:showBubbleSize val="0"/>
        </c:dLbls>
        <c:gapWidth val="150"/>
        <c:axId val="118541696"/>
        <c:axId val="118543488"/>
      </c:barChart>
      <c:catAx>
        <c:axId val="118541696"/>
        <c:scaling>
          <c:orientation val="minMax"/>
        </c:scaling>
        <c:delete val="0"/>
        <c:axPos val="b"/>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543488"/>
        <c:crosses val="autoZero"/>
        <c:auto val="1"/>
        <c:lblAlgn val="ctr"/>
        <c:lblOffset val="100"/>
        <c:tickLblSkip val="1"/>
        <c:noMultiLvlLbl val="0"/>
      </c:catAx>
      <c:valAx>
        <c:axId val="118543488"/>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5416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e306cd6-73da-421a-a05a-4608aed4644c}"/>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pie3DChart>
        <c:varyColors val="1"/>
        <c:ser>
          <c:idx val="0"/>
          <c:order val="0"/>
          <c:tx>
            <c:strRef>
              <c:f>Sheet1!$A$2</c:f>
              <c:strCache>
                <c:ptCount val="1"/>
                <c:pt idx="0">
                  <c:v/>
                </c:pt>
              </c:strCache>
            </c:strRef>
          </c:tx>
          <c:explosion val="14"/>
          <c:dPt>
            <c:idx val="0"/>
            <c:bubble3D val="0"/>
          </c:dPt>
          <c:dPt>
            <c:idx val="1"/>
            <c:bubble3D val="0"/>
          </c:dPt>
          <c:dPt>
            <c:idx val="2"/>
            <c:bubble3D val="0"/>
          </c:dPt>
          <c:dLbls>
            <c:dLbl>
              <c:idx val="1"/>
              <c:layout>
                <c:manualLayout>
                  <c:x val="-0.282832306852733"/>
                  <c:y val="-0.049605910372314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8418687144305"/>
                  <c:y val="0.0047150772820064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Sheet1!$B$1:$D$1</c:f>
              <c:strCache>
                <c:ptCount val="3"/>
                <c:pt idx="0">
                  <c:v>社会保障和就业（类）支出</c:v>
                </c:pt>
                <c:pt idx="1">
                  <c:v>卫生健康支出</c:v>
                </c:pt>
                <c:pt idx="2">
                  <c:v>住房保障支出</c:v>
                </c:pt>
              </c:strCache>
            </c:strRef>
          </c:cat>
          <c:val>
            <c:numRef>
              <c:f>Sheet1!$B$2:$D$2</c:f>
              <c:numCache>
                <c:formatCode>General</c:formatCode>
                <c:ptCount val="3"/>
                <c:pt idx="0">
                  <c:v>1535.83</c:v>
                </c:pt>
                <c:pt idx="1">
                  <c:v>6.91</c:v>
                </c:pt>
                <c:pt idx="2">
                  <c:v>10.5</c:v>
                </c:pt>
              </c:numCache>
            </c:numRef>
          </c:val>
        </c:ser>
        <c:dLbls>
          <c:showLegendKey val="0"/>
          <c:showVal val="1"/>
          <c:showCatName val="1"/>
          <c:showSerName val="0"/>
          <c:showPercent val="0"/>
          <c:showBubbleSize val="0"/>
        </c:dLbls>
      </c:pie3D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bd9604f-220e-4dba-9800-40b1a5451b79}"/>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45D0-B0D8-410A-9C53-580E84F1AB84}">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499</Words>
  <Characters>507</Characters>
  <Lines>128</Lines>
  <Paragraphs>36</Paragraphs>
  <TotalTime>260</TotalTime>
  <ScaleCrop>false</ScaleCrop>
  <LinksUpToDate>false</LinksUpToDate>
  <CharactersWithSpaces>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2021-10-25T07:55:00Z</dcterms:created>
  <dc:creator>米玲</dc:creator>
  <cp:lastModifiedBy>许星</cp:lastModifiedBy>
  <dcterms:modified xsi:type="dcterms:W3CDTF">2026-01-22T09:28:33Z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eyJoZGlkIjoiNmJmYzZhNzA0NDJhZDg5YThiMjEyY2E4MWY2ZTE1ZDAiLCJ1c2VySWQiOiIxNjM2NzcxNDU0In0=</vt:lpwstr>
  </property>
  <property fmtid="{D5CDD505-2E9C-101B-9397-08002B2CF9AE}" pid="3" name="KSOProductBuildVer">
    <vt:lpwstr>2052-12.1.0.24657</vt:lpwstr>
  </property>
  <property fmtid="{D5CDD505-2E9C-101B-9397-08002B2CF9AE}" pid="4" name="ICV">
    <vt:lpwstr>2E5FB28487C84612B50C89FFAEE3B485_13</vt:lpwstr>
  </property>
</Properties>
</file>