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193"/>
      <w:bookmarkStart w:id="1" w:name="_Toc15378441"/>
      <w:bookmarkStart w:id="2" w:name="_Toc15396475"/>
      <w:bookmarkStart w:id="3" w:name="_Toc15396597"/>
      <w:bookmarkStart w:id="4" w:name="_Toc15377425"/>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8442"/>
      <w:bookmarkStart w:id="7" w:name="_Toc15377194"/>
      <w:bookmarkStart w:id="8" w:name="_Toc15377426"/>
      <w:bookmarkStart w:id="9" w:name="_Toc15396476"/>
      <w:bookmarkStart w:id="10" w:name="_Toc15396598"/>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rPr>
        <w:t>攀枝花市西区清香坪街道办事处部门决算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公开时间：2022年10月9日</w:t>
      </w:r>
    </w:p>
    <w:p/>
    <w:sdt>
      <w:sdtPr>
        <w:rPr>
          <w:rFonts w:ascii="宋体" w:hAnsi="宋体"/>
          <w:kern w:val="0"/>
          <w:sz w:val="20"/>
          <w:szCs w:val="20"/>
        </w:rPr>
        <w:id w:val="147474148"/>
        <w:docPartObj>
          <w:docPartGallery w:val="Table of Contents"/>
          <w:docPartUnique/>
        </w:docPartObj>
      </w:sdtPr>
      <w:sdtEndPr>
        <w:rPr>
          <w:rFonts w:ascii="Calibri" w:hAnsi="Calibri"/>
          <w:kern w:val="0"/>
          <w:sz w:val="20"/>
          <w:szCs w:val="20"/>
        </w:rPr>
      </w:sdtEndPr>
      <w:sdtContent>
        <w:p>
          <w:pPr>
            <w:jc w:val="center"/>
          </w:pPr>
          <w:bookmarkStart w:id="12" w:name="_Toc15396599"/>
          <w:bookmarkStart w:id="13" w:name="_Toc15377196"/>
        </w:p>
        <w:p>
          <w:pPr>
            <w:pStyle w:val="31"/>
            <w:tabs>
              <w:tab w:val="right" w:leader="dot" w:pos="8306"/>
            </w:tabs>
          </w:pPr>
          <w:r>
            <w:fldChar w:fldCharType="begin"/>
          </w:r>
          <w:r>
            <w:instrText xml:space="preserve"> HYPERLINK \l "_Toc28768" </w:instrText>
          </w:r>
          <w:r>
            <w:fldChar w:fldCharType="separate"/>
          </w:r>
          <w:r>
            <w:rPr>
              <w:rFonts w:hint="eastAsia" w:ascii="黑体" w:hAnsi="黑体" w:eastAsia="黑体"/>
              <w:b/>
              <w:bCs/>
            </w:rPr>
            <w:t>第一部分 部门概况</w:t>
          </w:r>
          <w:r>
            <w:rPr>
              <w:b/>
              <w:bCs/>
            </w:rPr>
            <w:tab/>
          </w:r>
          <w:r>
            <w:rPr>
              <w:b/>
              <w:bCs/>
            </w:rPr>
            <w:t>3</w:t>
          </w:r>
          <w:r>
            <w:rPr>
              <w:b/>
              <w:bCs/>
            </w:rPr>
            <w:fldChar w:fldCharType="end"/>
          </w:r>
        </w:p>
        <w:p>
          <w:pPr>
            <w:pStyle w:val="32"/>
            <w:tabs>
              <w:tab w:val="right" w:leader="dot" w:pos="8306"/>
            </w:tabs>
            <w:ind w:left="420"/>
          </w:pPr>
          <w:r>
            <w:fldChar w:fldCharType="begin"/>
          </w:r>
          <w:r>
            <w:instrText xml:space="preserve"> HYPERLINK \l "_Toc947" </w:instrText>
          </w:r>
          <w:r>
            <w:fldChar w:fldCharType="separate"/>
          </w:r>
          <w:r>
            <w:rPr>
              <w:rFonts w:hint="eastAsia" w:ascii="黑体" w:hAnsi="黑体" w:eastAsia="黑体" w:cstheme="majorBidi"/>
            </w:rPr>
            <w:t>一、基本职能及主要工作</w:t>
          </w:r>
          <w:r>
            <w:tab/>
          </w:r>
          <w:r>
            <w:t>3</w:t>
          </w:r>
          <w:r>
            <w:fldChar w:fldCharType="end"/>
          </w:r>
        </w:p>
        <w:p>
          <w:pPr>
            <w:pStyle w:val="32"/>
            <w:tabs>
              <w:tab w:val="right" w:leader="dot" w:pos="8306"/>
            </w:tabs>
            <w:ind w:left="420"/>
          </w:pPr>
          <w:r>
            <w:fldChar w:fldCharType="begin"/>
          </w:r>
          <w:r>
            <w:instrText xml:space="preserve"> HYPERLINK \l "_Toc25775" </w:instrText>
          </w:r>
          <w:r>
            <w:fldChar w:fldCharType="separate"/>
          </w:r>
          <w:r>
            <w:rPr>
              <w:rFonts w:hint="eastAsia" w:ascii="黑体" w:eastAsia="黑体" w:hAnsiTheme="majorHAnsi" w:cstheme="majorBidi"/>
            </w:rPr>
            <w:t>二、</w:t>
          </w:r>
          <w:r>
            <w:rPr>
              <w:rFonts w:hint="eastAsia" w:ascii="黑体" w:hAnsi="黑体" w:eastAsia="黑体" w:cstheme="majorBidi"/>
            </w:rPr>
            <w:t>机构设置</w:t>
          </w:r>
          <w:r>
            <w:tab/>
          </w:r>
          <w:r>
            <w:t>9</w:t>
          </w:r>
          <w:r>
            <w:fldChar w:fldCharType="end"/>
          </w:r>
        </w:p>
        <w:p>
          <w:pPr>
            <w:pStyle w:val="31"/>
            <w:tabs>
              <w:tab w:val="right" w:leader="dot" w:pos="8306"/>
            </w:tabs>
          </w:pPr>
          <w:r>
            <w:fldChar w:fldCharType="begin"/>
          </w:r>
          <w:r>
            <w:instrText xml:space="preserve"> HYPERLINK \l "_Toc20064" </w:instrText>
          </w:r>
          <w:r>
            <w:fldChar w:fldCharType="separate"/>
          </w:r>
          <w:r>
            <w:rPr>
              <w:rFonts w:hint="eastAsia" w:ascii="黑体" w:hAnsi="黑体" w:eastAsia="黑体"/>
              <w:b/>
              <w:bCs/>
            </w:rPr>
            <w:t>第二部分 2021年度部门决算情况说明</w:t>
          </w:r>
          <w:r>
            <w:rPr>
              <w:b/>
              <w:bCs/>
            </w:rPr>
            <w:tab/>
          </w:r>
          <w:r>
            <w:rPr>
              <w:b/>
              <w:bCs/>
            </w:rPr>
            <w:t>10</w:t>
          </w:r>
          <w:r>
            <w:rPr>
              <w:b/>
              <w:bCs/>
            </w:rPr>
            <w:fldChar w:fldCharType="end"/>
          </w:r>
        </w:p>
        <w:p>
          <w:pPr>
            <w:pStyle w:val="32"/>
            <w:tabs>
              <w:tab w:val="right" w:leader="dot" w:pos="8306"/>
            </w:tabs>
            <w:ind w:left="420"/>
          </w:pPr>
          <w:r>
            <w:fldChar w:fldCharType="begin"/>
          </w:r>
          <w:r>
            <w:instrText xml:space="preserve"> HYPERLINK \l "_Toc8850" </w:instrText>
          </w:r>
          <w:r>
            <w:fldChar w:fldCharType="separate"/>
          </w:r>
          <w:r>
            <w:rPr>
              <w:rFonts w:ascii="黑体" w:hAnsi="黑体" w:eastAsia="黑体" w:cstheme="majorBidi"/>
            </w:rPr>
            <w:t xml:space="preserve">一、 </w:t>
          </w:r>
          <w:r>
            <w:rPr>
              <w:rFonts w:hint="eastAsia" w:ascii="黑体" w:hAnsi="黑体" w:eastAsia="黑体"/>
            </w:rPr>
            <w:t>收</w:t>
          </w:r>
          <w:r>
            <w:rPr>
              <w:rFonts w:hint="eastAsia" w:ascii="黑体" w:hAnsi="黑体" w:eastAsia="黑体" w:cstheme="majorBidi"/>
            </w:rPr>
            <w:t>入支出决算总体情况说明</w:t>
          </w:r>
          <w:r>
            <w:tab/>
          </w:r>
          <w:r>
            <w:t>10</w:t>
          </w:r>
          <w:r>
            <w:fldChar w:fldCharType="end"/>
          </w:r>
        </w:p>
        <w:p>
          <w:pPr>
            <w:pStyle w:val="32"/>
            <w:tabs>
              <w:tab w:val="right" w:leader="dot" w:pos="8306"/>
            </w:tabs>
            <w:ind w:left="420"/>
          </w:pPr>
          <w:r>
            <w:fldChar w:fldCharType="begin"/>
          </w:r>
          <w:r>
            <w:instrText xml:space="preserve"> HYPERLINK \l "_Toc3231" </w:instrText>
          </w:r>
          <w:r>
            <w:fldChar w:fldCharType="separate"/>
          </w:r>
          <w:r>
            <w:rPr>
              <w:rFonts w:ascii="黑体" w:hAnsi="黑体" w:eastAsia="黑体" w:cstheme="majorBidi"/>
            </w:rPr>
            <w:t xml:space="preserve">二、 </w:t>
          </w:r>
          <w:r>
            <w:rPr>
              <w:rFonts w:hint="eastAsia" w:ascii="黑体" w:hAnsi="黑体" w:eastAsia="黑体"/>
            </w:rPr>
            <w:t>收</w:t>
          </w:r>
          <w:r>
            <w:rPr>
              <w:rFonts w:hint="eastAsia" w:ascii="黑体" w:hAnsi="黑体" w:eastAsia="黑体" w:cstheme="majorBidi"/>
            </w:rPr>
            <w:t>入决算情况说明</w:t>
          </w:r>
          <w:r>
            <w:tab/>
          </w:r>
          <w:r>
            <w:t>10</w:t>
          </w:r>
          <w:r>
            <w:fldChar w:fldCharType="end"/>
          </w:r>
        </w:p>
        <w:p>
          <w:pPr>
            <w:pStyle w:val="32"/>
            <w:tabs>
              <w:tab w:val="right" w:leader="dot" w:pos="8306"/>
            </w:tabs>
            <w:ind w:left="420"/>
          </w:pPr>
          <w:r>
            <w:fldChar w:fldCharType="begin"/>
          </w:r>
          <w:r>
            <w:instrText xml:space="preserve"> HYPERLINK \l "_Toc2876" </w:instrText>
          </w:r>
          <w:r>
            <w:fldChar w:fldCharType="separate"/>
          </w:r>
          <w:r>
            <w:rPr>
              <w:rFonts w:ascii="黑体" w:hAnsi="黑体" w:eastAsia="黑体" w:cstheme="majorBidi"/>
            </w:rPr>
            <w:t xml:space="preserve">三、 </w:t>
          </w:r>
          <w:r>
            <w:rPr>
              <w:rFonts w:hint="eastAsia" w:ascii="黑体" w:hAnsi="黑体" w:eastAsia="黑体"/>
            </w:rPr>
            <w:t>支</w:t>
          </w:r>
          <w:r>
            <w:rPr>
              <w:rFonts w:hint="eastAsia" w:ascii="黑体" w:hAnsi="黑体" w:eastAsia="黑体" w:cstheme="majorBidi"/>
            </w:rPr>
            <w:t>出决算情况说明</w:t>
          </w:r>
          <w:r>
            <w:tab/>
          </w:r>
          <w:r>
            <w:t>11</w:t>
          </w:r>
          <w:r>
            <w:fldChar w:fldCharType="end"/>
          </w:r>
        </w:p>
        <w:p>
          <w:pPr>
            <w:pStyle w:val="32"/>
            <w:tabs>
              <w:tab w:val="right" w:leader="dot" w:pos="8306"/>
            </w:tabs>
            <w:ind w:left="420"/>
          </w:pPr>
          <w:r>
            <w:fldChar w:fldCharType="begin"/>
          </w:r>
          <w:r>
            <w:instrText xml:space="preserve"> HYPERLINK \l "_Toc18188" </w:instrText>
          </w:r>
          <w:r>
            <w:fldChar w:fldCharType="separate"/>
          </w:r>
          <w:r>
            <w:rPr>
              <w:rFonts w:hint="eastAsia" w:ascii="黑体" w:hAnsi="黑体" w:eastAsia="黑体"/>
            </w:rPr>
            <w:t>四、财</w:t>
          </w:r>
          <w:r>
            <w:rPr>
              <w:rFonts w:hint="eastAsia" w:ascii="黑体" w:hAnsi="黑体" w:eastAsia="黑体" w:cstheme="majorBidi"/>
            </w:rPr>
            <w:t>政拨款收入支出决算总体情况说明</w:t>
          </w:r>
          <w:r>
            <w:tab/>
          </w:r>
          <w:r>
            <w:t>11</w:t>
          </w:r>
          <w:r>
            <w:fldChar w:fldCharType="end"/>
          </w:r>
        </w:p>
        <w:p>
          <w:pPr>
            <w:pStyle w:val="32"/>
            <w:tabs>
              <w:tab w:val="right" w:leader="dot" w:pos="8306"/>
            </w:tabs>
            <w:ind w:left="420"/>
          </w:pPr>
          <w:r>
            <w:fldChar w:fldCharType="begin"/>
          </w:r>
          <w:r>
            <w:instrText xml:space="preserve"> HYPERLINK \l "_Toc25301" </w:instrText>
          </w:r>
          <w:r>
            <w:fldChar w:fldCharType="separate"/>
          </w:r>
          <w:r>
            <w:rPr>
              <w:rFonts w:hint="eastAsia" w:ascii="黑体" w:hAnsi="黑体" w:eastAsia="黑体"/>
            </w:rPr>
            <w:t>五、一</w:t>
          </w:r>
          <w:r>
            <w:rPr>
              <w:rFonts w:hint="eastAsia" w:ascii="黑体" w:hAnsi="黑体" w:eastAsia="黑体" w:cstheme="majorBidi"/>
            </w:rPr>
            <w:t>般公共预算财政拨款支出决算情况说明</w:t>
          </w:r>
          <w:r>
            <w:tab/>
          </w:r>
          <w:r>
            <w:t>12</w:t>
          </w:r>
          <w:r>
            <w:fldChar w:fldCharType="end"/>
          </w:r>
        </w:p>
        <w:p>
          <w:pPr>
            <w:pStyle w:val="32"/>
            <w:tabs>
              <w:tab w:val="right" w:leader="dot" w:pos="8306"/>
            </w:tabs>
            <w:ind w:left="420"/>
          </w:pPr>
          <w:r>
            <w:fldChar w:fldCharType="begin"/>
          </w:r>
          <w:r>
            <w:instrText xml:space="preserve"> HYPERLINK \l "_Toc32576" </w:instrText>
          </w:r>
          <w:r>
            <w:fldChar w:fldCharType="separate"/>
          </w:r>
          <w:r>
            <w:rPr>
              <w:rFonts w:hint="eastAsia" w:ascii="黑体" w:hAnsi="Times New Roman" w:eastAsia="黑体"/>
            </w:rPr>
            <w:t>六、</w:t>
          </w:r>
          <w:r>
            <w:rPr>
              <w:rFonts w:hint="eastAsia" w:ascii="黑体" w:hAnsi="黑体" w:eastAsia="黑体"/>
            </w:rPr>
            <w:t>一</w:t>
          </w:r>
          <w:r>
            <w:rPr>
              <w:rFonts w:hint="eastAsia" w:ascii="黑体" w:hAnsi="黑体" w:eastAsia="黑体" w:cstheme="majorBidi"/>
            </w:rPr>
            <w:t>般公共预算财政拨款基本支出决算情况说明</w:t>
          </w:r>
          <w:r>
            <w:tab/>
          </w:r>
          <w:r>
            <w:t>16</w:t>
          </w:r>
          <w:r>
            <w:fldChar w:fldCharType="end"/>
          </w:r>
        </w:p>
        <w:p>
          <w:pPr>
            <w:pStyle w:val="32"/>
            <w:tabs>
              <w:tab w:val="right" w:leader="dot" w:pos="8306"/>
            </w:tabs>
            <w:ind w:left="420"/>
          </w:pPr>
          <w:r>
            <w:fldChar w:fldCharType="begin"/>
          </w:r>
          <w:r>
            <w:instrText xml:space="preserve"> HYPERLINK \l "_Toc604" </w:instrText>
          </w:r>
          <w:r>
            <w:fldChar w:fldCharType="separate"/>
          </w:r>
          <w:r>
            <w:rPr>
              <w:rFonts w:hint="eastAsia" w:ascii="黑体" w:hAnsi="Times New Roman" w:eastAsia="黑体"/>
            </w:rPr>
            <w:t>七、</w:t>
          </w:r>
          <w:r>
            <w:rPr>
              <w:rFonts w:hint="eastAsia" w:ascii="黑体" w:hAnsi="黑体" w:eastAsia="黑体" w:cstheme="majorBidi"/>
            </w:rPr>
            <w:t>“三公”经费财政拨款支出决算情况说明</w:t>
          </w:r>
          <w:r>
            <w:tab/>
          </w:r>
          <w:r>
            <w:t>16</w:t>
          </w:r>
          <w:r>
            <w:fldChar w:fldCharType="end"/>
          </w:r>
        </w:p>
        <w:p>
          <w:pPr>
            <w:pStyle w:val="32"/>
            <w:tabs>
              <w:tab w:val="right" w:leader="dot" w:pos="8306"/>
            </w:tabs>
            <w:ind w:left="420"/>
          </w:pPr>
          <w:r>
            <w:fldChar w:fldCharType="begin"/>
          </w:r>
          <w:r>
            <w:instrText xml:space="preserve"> HYPERLINK \l "_Toc14559" </w:instrText>
          </w:r>
          <w:r>
            <w:fldChar w:fldCharType="separate"/>
          </w:r>
          <w:r>
            <w:rPr>
              <w:rFonts w:hint="eastAsia" w:ascii="黑体" w:hAnsi="Times New Roman" w:eastAsia="黑体"/>
            </w:rPr>
            <w:t>八、</w:t>
          </w:r>
          <w:r>
            <w:rPr>
              <w:rFonts w:hint="eastAsia" w:ascii="黑体" w:hAnsi="黑体" w:eastAsia="黑体" w:cstheme="majorBidi"/>
            </w:rPr>
            <w:t>政府性基金预算支出决算情况说明</w:t>
          </w:r>
          <w:r>
            <w:tab/>
          </w:r>
          <w:r>
            <w:t>18</w:t>
          </w:r>
          <w:r>
            <w:fldChar w:fldCharType="end"/>
          </w:r>
        </w:p>
        <w:p>
          <w:pPr>
            <w:pStyle w:val="32"/>
            <w:tabs>
              <w:tab w:val="right" w:leader="dot" w:pos="8306"/>
            </w:tabs>
            <w:ind w:left="420"/>
          </w:pPr>
          <w:r>
            <w:fldChar w:fldCharType="begin"/>
          </w:r>
          <w:r>
            <w:instrText xml:space="preserve"> HYPERLINK \l "_Toc15103" </w:instrText>
          </w:r>
          <w:r>
            <w:fldChar w:fldCharType="separate"/>
          </w:r>
          <w:r>
            <w:rPr>
              <w:rFonts w:hint="eastAsia" w:ascii="黑体" w:hAnsi="黑体" w:eastAsia="黑体" w:cstheme="majorBidi"/>
            </w:rPr>
            <w:t>九、 国有资本经营预算支出决算情况说明</w:t>
          </w:r>
          <w:r>
            <w:tab/>
          </w:r>
          <w:r>
            <w:t>18</w:t>
          </w:r>
          <w:r>
            <w:fldChar w:fldCharType="end"/>
          </w:r>
        </w:p>
        <w:p>
          <w:pPr>
            <w:pStyle w:val="32"/>
            <w:tabs>
              <w:tab w:val="right" w:leader="dot" w:pos="8306"/>
            </w:tabs>
            <w:ind w:left="420"/>
          </w:pPr>
          <w:r>
            <w:fldChar w:fldCharType="begin"/>
          </w:r>
          <w:r>
            <w:instrText xml:space="preserve"> HYPERLINK \l "_Toc21524" </w:instrText>
          </w:r>
          <w:r>
            <w:fldChar w:fldCharType="separate"/>
          </w:r>
          <w:r>
            <w:rPr>
              <w:rFonts w:hint="eastAsia" w:ascii="黑体" w:hAnsi="黑体" w:eastAsia="黑体" w:cstheme="majorBidi"/>
            </w:rPr>
            <w:t>十、 其他重要事项的情况说明</w:t>
          </w:r>
          <w:r>
            <w:tab/>
          </w:r>
          <w:r>
            <w:t>19</w:t>
          </w:r>
          <w:r>
            <w:fldChar w:fldCharType="end"/>
          </w:r>
        </w:p>
        <w:p>
          <w:pPr>
            <w:pStyle w:val="31"/>
            <w:tabs>
              <w:tab w:val="right" w:leader="dot" w:pos="8306"/>
            </w:tabs>
          </w:pPr>
          <w:r>
            <w:fldChar w:fldCharType="begin"/>
          </w:r>
          <w:r>
            <w:instrText xml:space="preserve"> HYPERLINK \l "_Toc14633" </w:instrText>
          </w:r>
          <w:r>
            <w:fldChar w:fldCharType="separate"/>
          </w:r>
          <w:r>
            <w:rPr>
              <w:rFonts w:hint="eastAsia" w:ascii="黑体" w:hAnsi="黑体" w:eastAsia="黑体"/>
              <w:b/>
              <w:bCs/>
            </w:rPr>
            <w:t>第三部分 名词解释</w:t>
          </w:r>
          <w:r>
            <w:rPr>
              <w:b/>
              <w:bCs/>
            </w:rPr>
            <w:tab/>
          </w:r>
          <w:r>
            <w:rPr>
              <w:b/>
              <w:bCs/>
            </w:rPr>
            <w:t>21</w:t>
          </w:r>
          <w:r>
            <w:rPr>
              <w:b/>
              <w:bCs/>
            </w:rPr>
            <w:fldChar w:fldCharType="end"/>
          </w:r>
        </w:p>
        <w:p>
          <w:pPr>
            <w:pStyle w:val="31"/>
            <w:tabs>
              <w:tab w:val="right" w:leader="dot" w:pos="8306"/>
            </w:tabs>
          </w:pPr>
          <w:r>
            <w:fldChar w:fldCharType="begin"/>
          </w:r>
          <w:r>
            <w:instrText xml:space="preserve"> HYPERLINK \l "_Toc3294" </w:instrText>
          </w:r>
          <w:r>
            <w:fldChar w:fldCharType="separate"/>
          </w:r>
          <w:r>
            <w:rPr>
              <w:rFonts w:hint="eastAsia" w:ascii="黑体" w:hAnsi="黑体" w:eastAsia="黑体"/>
              <w:b/>
              <w:bCs/>
            </w:rPr>
            <w:t>第四部分 附件</w:t>
          </w:r>
          <w:r>
            <w:rPr>
              <w:b/>
              <w:bCs/>
            </w:rPr>
            <w:tab/>
          </w:r>
          <w:r>
            <w:rPr>
              <w:b/>
              <w:bCs/>
            </w:rPr>
            <w:t>25</w:t>
          </w:r>
          <w:r>
            <w:rPr>
              <w:b/>
              <w:bCs/>
            </w:rPr>
            <w:fldChar w:fldCharType="end"/>
          </w:r>
        </w:p>
        <w:p>
          <w:pPr>
            <w:pStyle w:val="32"/>
            <w:tabs>
              <w:tab w:val="right" w:leader="dot" w:pos="8306"/>
            </w:tabs>
            <w:ind w:left="420"/>
          </w:pPr>
          <w:r>
            <w:fldChar w:fldCharType="begin"/>
          </w:r>
          <w:r>
            <w:instrText xml:space="preserve"> HYPERLINK \l "_Toc3348" </w:instrText>
          </w:r>
          <w:r>
            <w:fldChar w:fldCharType="separate"/>
          </w:r>
          <w:r>
            <w:rPr>
              <w:rFonts w:hint="eastAsia" w:ascii="方正小标宋简体" w:hAnsi="宋体" w:eastAsia="方正小标宋简体"/>
            </w:rPr>
            <w:t>2021年攀枝花市西区清香坪街道办事处部门整体绩效评价报告</w:t>
          </w:r>
          <w:r>
            <w:tab/>
          </w:r>
          <w:r>
            <w:t>25</w:t>
          </w:r>
          <w:r>
            <w:fldChar w:fldCharType="end"/>
          </w:r>
        </w:p>
        <w:p>
          <w:pPr>
            <w:pStyle w:val="32"/>
            <w:tabs>
              <w:tab w:val="right" w:leader="dot" w:pos="8306"/>
            </w:tabs>
            <w:ind w:left="420"/>
          </w:pPr>
          <w:r>
            <w:fldChar w:fldCharType="begin"/>
          </w:r>
          <w:r>
            <w:instrText xml:space="preserve"> HYPERLINK \l "_Toc19935" </w:instrText>
          </w:r>
          <w:r>
            <w:fldChar w:fldCharType="separate"/>
          </w:r>
          <w:r>
            <w:rPr>
              <w:rFonts w:hint="eastAsia" w:ascii="黑体" w:hAnsi="宋体" w:eastAsia="黑体" w:cs="宋体"/>
            </w:rPr>
            <w:t>一、部门（单位）概况</w:t>
          </w:r>
          <w:r>
            <w:tab/>
          </w:r>
          <w:r>
            <w:t>25</w:t>
          </w:r>
          <w:r>
            <w:fldChar w:fldCharType="end"/>
          </w:r>
        </w:p>
        <w:p>
          <w:pPr>
            <w:pStyle w:val="32"/>
            <w:tabs>
              <w:tab w:val="right" w:leader="dot" w:pos="8306"/>
            </w:tabs>
            <w:ind w:left="420"/>
          </w:pPr>
          <w:r>
            <w:fldChar w:fldCharType="begin"/>
          </w:r>
          <w:r>
            <w:instrText xml:space="preserve"> HYPERLINK \l "_Toc27878" </w:instrText>
          </w:r>
          <w:r>
            <w:fldChar w:fldCharType="separate"/>
          </w:r>
          <w:r>
            <w:rPr>
              <w:rFonts w:hint="eastAsia" w:ascii="黑体" w:hAnsi="宋体" w:eastAsia="黑体" w:cs="宋体"/>
            </w:rPr>
            <w:t>二、部门财政资金收支情况</w:t>
          </w:r>
          <w:r>
            <w:tab/>
          </w:r>
          <w:r>
            <w:t>26</w:t>
          </w:r>
          <w:r>
            <w:fldChar w:fldCharType="end"/>
          </w:r>
        </w:p>
        <w:p>
          <w:pPr>
            <w:pStyle w:val="32"/>
            <w:tabs>
              <w:tab w:val="right" w:leader="dot" w:pos="8306"/>
            </w:tabs>
            <w:ind w:left="420"/>
          </w:pPr>
          <w:r>
            <w:fldChar w:fldCharType="begin"/>
          </w:r>
          <w:r>
            <w:instrText xml:space="preserve"> HYPERLINK \l "_Toc14989" </w:instrText>
          </w:r>
          <w:r>
            <w:fldChar w:fldCharType="separate"/>
          </w:r>
          <w:r>
            <w:rPr>
              <w:rFonts w:hint="eastAsia" w:ascii="黑体" w:hAnsi="宋体" w:eastAsia="黑体" w:cs="宋体"/>
            </w:rPr>
            <w:t>三、部门整体预算绩效管理情况</w:t>
          </w:r>
          <w:r>
            <w:tab/>
          </w:r>
          <w:r>
            <w:t>27</w:t>
          </w:r>
          <w:r>
            <w:fldChar w:fldCharType="end"/>
          </w:r>
        </w:p>
        <w:p>
          <w:pPr>
            <w:pStyle w:val="32"/>
            <w:tabs>
              <w:tab w:val="right" w:leader="dot" w:pos="8306"/>
            </w:tabs>
            <w:ind w:left="420"/>
          </w:pPr>
          <w:r>
            <w:fldChar w:fldCharType="begin"/>
          </w:r>
          <w:r>
            <w:instrText xml:space="preserve"> HYPERLINK \l "_Toc9365" </w:instrText>
          </w:r>
          <w:r>
            <w:fldChar w:fldCharType="separate"/>
          </w:r>
          <w:r>
            <w:rPr>
              <w:rFonts w:hint="eastAsia" w:ascii="黑体" w:hAnsi="宋体" w:eastAsia="黑体" w:cs="宋体"/>
            </w:rPr>
            <w:t>四、评价结论及建议</w:t>
          </w:r>
          <w:r>
            <w:tab/>
          </w:r>
          <w:r>
            <w:t>28</w:t>
          </w:r>
          <w:r>
            <w:fldChar w:fldCharType="end"/>
          </w:r>
        </w:p>
        <w:p>
          <w:pPr>
            <w:pStyle w:val="31"/>
            <w:tabs>
              <w:tab w:val="right" w:leader="dot" w:pos="8306"/>
            </w:tabs>
          </w:pPr>
          <w:r>
            <w:fldChar w:fldCharType="begin"/>
          </w:r>
          <w:r>
            <w:instrText xml:space="preserve"> HYPERLINK \l "_Toc13297" </w:instrText>
          </w:r>
          <w:r>
            <w:fldChar w:fldCharType="separate"/>
          </w:r>
          <w:r>
            <w:rPr>
              <w:rFonts w:hint="eastAsia" w:ascii="黑体" w:hAnsi="黑体" w:eastAsia="黑体"/>
              <w:b/>
              <w:bCs/>
            </w:rPr>
            <w:t>第五部分 附表</w:t>
          </w:r>
          <w:r>
            <w:rPr>
              <w:b/>
              <w:bCs/>
            </w:rPr>
            <w:tab/>
          </w:r>
          <w:r>
            <w:rPr>
              <w:b/>
              <w:bCs/>
            </w:rPr>
            <w:t>34</w:t>
          </w:r>
          <w:r>
            <w:rPr>
              <w:b/>
              <w:bCs/>
            </w:rPr>
            <w:fldChar w:fldCharType="end"/>
          </w:r>
        </w:p>
        <w:p>
          <w:pPr>
            <w:pStyle w:val="32"/>
            <w:tabs>
              <w:tab w:val="right" w:leader="dot" w:pos="8306"/>
            </w:tabs>
            <w:ind w:left="420"/>
          </w:pPr>
          <w:r>
            <w:fldChar w:fldCharType="begin"/>
          </w:r>
          <w:r>
            <w:instrText xml:space="preserve"> HYPERLINK \l "_Toc2612" </w:instrText>
          </w:r>
          <w:r>
            <w:fldChar w:fldCharType="separate"/>
          </w:r>
          <w:r>
            <w:rPr>
              <w:rFonts w:hint="eastAsia" w:ascii="仿宋" w:hAnsi="仿宋" w:eastAsia="仿宋" w:cstheme="majorBidi"/>
            </w:rPr>
            <w:t>一、收入支出决算总表</w:t>
          </w:r>
          <w:r>
            <w:tab/>
          </w:r>
          <w:r>
            <w:t>34</w:t>
          </w:r>
          <w:r>
            <w:fldChar w:fldCharType="end"/>
          </w:r>
        </w:p>
        <w:p>
          <w:pPr>
            <w:pStyle w:val="32"/>
            <w:tabs>
              <w:tab w:val="right" w:leader="dot" w:pos="8306"/>
            </w:tabs>
            <w:ind w:left="420"/>
          </w:pPr>
          <w:r>
            <w:fldChar w:fldCharType="begin"/>
          </w:r>
          <w:r>
            <w:instrText xml:space="preserve"> HYPERLINK \l "_Toc29783" </w:instrText>
          </w:r>
          <w:r>
            <w:fldChar w:fldCharType="separate"/>
          </w:r>
          <w:r>
            <w:rPr>
              <w:rFonts w:hint="eastAsia" w:ascii="仿宋" w:hAnsi="仿宋" w:eastAsia="仿宋" w:cstheme="majorBidi"/>
            </w:rPr>
            <w:t>二、收入决算表</w:t>
          </w:r>
          <w:r>
            <w:tab/>
          </w:r>
          <w:r>
            <w:t>34</w:t>
          </w:r>
          <w:r>
            <w:fldChar w:fldCharType="end"/>
          </w:r>
        </w:p>
        <w:p>
          <w:pPr>
            <w:pStyle w:val="32"/>
            <w:tabs>
              <w:tab w:val="right" w:leader="dot" w:pos="8306"/>
            </w:tabs>
            <w:ind w:left="420"/>
          </w:pPr>
          <w:r>
            <w:fldChar w:fldCharType="begin"/>
          </w:r>
          <w:r>
            <w:instrText xml:space="preserve"> HYPERLINK \l "_Toc16722" </w:instrText>
          </w:r>
          <w:r>
            <w:fldChar w:fldCharType="separate"/>
          </w:r>
          <w:r>
            <w:rPr>
              <w:rFonts w:hint="eastAsia" w:ascii="仿宋" w:hAnsi="仿宋" w:eastAsia="仿宋" w:cstheme="majorBidi"/>
            </w:rPr>
            <w:t>三、支出决算表</w:t>
          </w:r>
          <w:r>
            <w:tab/>
          </w:r>
          <w:r>
            <w:t>34</w:t>
          </w:r>
          <w:r>
            <w:fldChar w:fldCharType="end"/>
          </w:r>
        </w:p>
        <w:p>
          <w:pPr>
            <w:pStyle w:val="32"/>
            <w:tabs>
              <w:tab w:val="right" w:leader="dot" w:pos="8306"/>
            </w:tabs>
            <w:ind w:left="420"/>
          </w:pPr>
          <w:r>
            <w:fldChar w:fldCharType="begin"/>
          </w:r>
          <w:r>
            <w:instrText xml:space="preserve"> HYPERLINK \l "_Toc423" </w:instrText>
          </w:r>
          <w:r>
            <w:fldChar w:fldCharType="separate"/>
          </w:r>
          <w:r>
            <w:rPr>
              <w:rFonts w:hint="eastAsia" w:ascii="仿宋" w:hAnsi="仿宋" w:eastAsia="仿宋" w:cstheme="majorBidi"/>
            </w:rPr>
            <w:t>四、财政拨款收入支出决算总表</w:t>
          </w:r>
          <w:r>
            <w:tab/>
          </w:r>
          <w:r>
            <w:t>34</w:t>
          </w:r>
          <w:r>
            <w:fldChar w:fldCharType="end"/>
          </w:r>
        </w:p>
        <w:p>
          <w:pPr>
            <w:pStyle w:val="32"/>
            <w:tabs>
              <w:tab w:val="right" w:leader="dot" w:pos="8306"/>
            </w:tabs>
            <w:ind w:left="420"/>
          </w:pPr>
          <w:r>
            <w:fldChar w:fldCharType="begin"/>
          </w:r>
          <w:r>
            <w:instrText xml:space="preserve"> HYPERLINK \l "_Toc11913" </w:instrText>
          </w:r>
          <w:r>
            <w:fldChar w:fldCharType="separate"/>
          </w:r>
          <w:r>
            <w:rPr>
              <w:rFonts w:hint="eastAsia" w:ascii="仿宋" w:hAnsi="仿宋" w:eastAsia="仿宋" w:cstheme="majorBidi"/>
            </w:rPr>
            <w:t>五、财政拨款支出决算明细表</w:t>
          </w:r>
          <w:r>
            <w:tab/>
          </w:r>
          <w:r>
            <w:t>34</w:t>
          </w:r>
          <w:r>
            <w:fldChar w:fldCharType="end"/>
          </w:r>
        </w:p>
        <w:p>
          <w:pPr>
            <w:pStyle w:val="32"/>
            <w:tabs>
              <w:tab w:val="right" w:leader="dot" w:pos="8306"/>
            </w:tabs>
            <w:ind w:left="420"/>
          </w:pPr>
          <w:r>
            <w:fldChar w:fldCharType="begin"/>
          </w:r>
          <w:r>
            <w:instrText xml:space="preserve"> HYPERLINK \l "_Toc29488" </w:instrText>
          </w:r>
          <w:r>
            <w:fldChar w:fldCharType="separate"/>
          </w:r>
          <w:r>
            <w:rPr>
              <w:rFonts w:hint="eastAsia" w:ascii="仿宋" w:hAnsi="仿宋" w:eastAsia="仿宋" w:cstheme="majorBidi"/>
            </w:rPr>
            <w:t>六、一般公共预算财政拨款支出决算表</w:t>
          </w:r>
          <w:r>
            <w:tab/>
          </w:r>
          <w:r>
            <w:t>34</w:t>
          </w:r>
          <w:r>
            <w:fldChar w:fldCharType="end"/>
          </w:r>
        </w:p>
        <w:p>
          <w:pPr>
            <w:pStyle w:val="32"/>
            <w:tabs>
              <w:tab w:val="right" w:leader="dot" w:pos="8306"/>
            </w:tabs>
            <w:ind w:left="420"/>
          </w:pPr>
          <w:r>
            <w:fldChar w:fldCharType="begin"/>
          </w:r>
          <w:r>
            <w:instrText xml:space="preserve"> HYPERLINK \l "_Toc17536" </w:instrText>
          </w:r>
          <w:r>
            <w:fldChar w:fldCharType="separate"/>
          </w:r>
          <w:r>
            <w:rPr>
              <w:rFonts w:hint="eastAsia" w:ascii="仿宋" w:hAnsi="仿宋" w:eastAsia="仿宋" w:cstheme="majorBidi"/>
            </w:rPr>
            <w:t>七、一般公共预算财政拨款支出决算明细表</w:t>
          </w:r>
          <w:r>
            <w:tab/>
          </w:r>
          <w:r>
            <w:t>34</w:t>
          </w:r>
          <w:r>
            <w:fldChar w:fldCharType="end"/>
          </w:r>
        </w:p>
        <w:p>
          <w:pPr>
            <w:pStyle w:val="32"/>
            <w:tabs>
              <w:tab w:val="right" w:leader="dot" w:pos="8306"/>
            </w:tabs>
            <w:ind w:left="420"/>
          </w:pPr>
          <w:r>
            <w:fldChar w:fldCharType="begin"/>
          </w:r>
          <w:r>
            <w:instrText xml:space="preserve"> HYPERLINK \l "_Toc12084" </w:instrText>
          </w:r>
          <w:r>
            <w:fldChar w:fldCharType="separate"/>
          </w:r>
          <w:r>
            <w:rPr>
              <w:rFonts w:hint="eastAsia" w:ascii="仿宋" w:hAnsi="仿宋" w:eastAsia="仿宋" w:cstheme="majorBidi"/>
            </w:rPr>
            <w:t>八、一般公共预算财政拨款基本支出决算表</w:t>
          </w:r>
          <w:r>
            <w:tab/>
          </w:r>
          <w:r>
            <w:t>34</w:t>
          </w:r>
          <w:r>
            <w:fldChar w:fldCharType="end"/>
          </w:r>
        </w:p>
        <w:p>
          <w:pPr>
            <w:pStyle w:val="32"/>
            <w:tabs>
              <w:tab w:val="right" w:leader="dot" w:pos="8306"/>
            </w:tabs>
            <w:ind w:left="420"/>
          </w:pPr>
          <w:r>
            <w:fldChar w:fldCharType="begin"/>
          </w:r>
          <w:r>
            <w:instrText xml:space="preserve"> HYPERLINK \l "_Toc24031" </w:instrText>
          </w:r>
          <w:r>
            <w:fldChar w:fldCharType="separate"/>
          </w:r>
          <w:r>
            <w:rPr>
              <w:rFonts w:hint="eastAsia" w:ascii="仿宋" w:hAnsi="仿宋" w:eastAsia="仿宋" w:cstheme="majorBidi"/>
            </w:rPr>
            <w:t>九、一般公共预算财政拨款项目支出决算表</w:t>
          </w:r>
          <w:r>
            <w:tab/>
          </w:r>
          <w:r>
            <w:t>34</w:t>
          </w:r>
          <w:r>
            <w:fldChar w:fldCharType="end"/>
          </w:r>
        </w:p>
        <w:p>
          <w:pPr>
            <w:pStyle w:val="32"/>
            <w:tabs>
              <w:tab w:val="right" w:leader="dot" w:pos="8306"/>
            </w:tabs>
            <w:ind w:left="420"/>
          </w:pPr>
          <w:r>
            <w:fldChar w:fldCharType="begin"/>
          </w:r>
          <w:r>
            <w:instrText xml:space="preserve"> HYPERLINK \l "_Toc9593" </w:instrText>
          </w:r>
          <w:r>
            <w:fldChar w:fldCharType="separate"/>
          </w:r>
          <w:r>
            <w:rPr>
              <w:rFonts w:hint="eastAsia" w:ascii="仿宋" w:hAnsi="仿宋" w:eastAsia="仿宋" w:cstheme="majorBidi"/>
            </w:rPr>
            <w:t>十、一般公共预算财政拨款“三公”经费支出决算表</w:t>
          </w:r>
          <w:r>
            <w:tab/>
          </w:r>
          <w:r>
            <w:t>34</w:t>
          </w:r>
          <w:r>
            <w:fldChar w:fldCharType="end"/>
          </w:r>
        </w:p>
        <w:p>
          <w:pPr>
            <w:pStyle w:val="32"/>
            <w:tabs>
              <w:tab w:val="right" w:leader="dot" w:pos="8306"/>
            </w:tabs>
            <w:ind w:left="420"/>
          </w:pPr>
          <w:r>
            <w:fldChar w:fldCharType="begin"/>
          </w:r>
          <w:r>
            <w:instrText xml:space="preserve"> HYPERLINK \l "_Toc13323" </w:instrText>
          </w:r>
          <w:r>
            <w:fldChar w:fldCharType="separate"/>
          </w:r>
          <w:r>
            <w:rPr>
              <w:rFonts w:hint="eastAsia" w:ascii="仿宋" w:hAnsi="仿宋" w:eastAsia="仿宋" w:cstheme="majorBidi"/>
            </w:rPr>
            <w:t>十一、政府性基金预算财政拨款收入支出决算表</w:t>
          </w:r>
          <w:r>
            <w:tab/>
          </w:r>
          <w:r>
            <w:t>34</w:t>
          </w:r>
          <w:r>
            <w:fldChar w:fldCharType="end"/>
          </w:r>
        </w:p>
        <w:p>
          <w:pPr>
            <w:pStyle w:val="32"/>
            <w:tabs>
              <w:tab w:val="right" w:leader="dot" w:pos="8306"/>
            </w:tabs>
            <w:ind w:left="420"/>
          </w:pPr>
          <w:r>
            <w:fldChar w:fldCharType="begin"/>
          </w:r>
          <w:r>
            <w:instrText xml:space="preserve"> HYPERLINK \l "_Toc30625" </w:instrText>
          </w:r>
          <w:r>
            <w:fldChar w:fldCharType="separate"/>
          </w:r>
          <w:r>
            <w:rPr>
              <w:rFonts w:hint="eastAsia" w:ascii="仿宋" w:hAnsi="仿宋" w:eastAsia="仿宋" w:cstheme="majorBidi"/>
            </w:rPr>
            <w:t>十二、政府性基金预算财政拨款“三公”经费支出决算表</w:t>
          </w:r>
          <w:r>
            <w:tab/>
          </w:r>
          <w:r>
            <w:t>34</w:t>
          </w:r>
          <w:r>
            <w:fldChar w:fldCharType="end"/>
          </w:r>
        </w:p>
        <w:p>
          <w:pPr>
            <w:pStyle w:val="32"/>
            <w:tabs>
              <w:tab w:val="right" w:leader="dot" w:pos="8306"/>
            </w:tabs>
            <w:ind w:left="420"/>
          </w:pPr>
          <w:r>
            <w:fldChar w:fldCharType="begin"/>
          </w:r>
          <w:r>
            <w:instrText xml:space="preserve"> HYPERLINK \l "_Toc16553" </w:instrText>
          </w:r>
          <w:r>
            <w:fldChar w:fldCharType="separate"/>
          </w:r>
          <w:r>
            <w:rPr>
              <w:rFonts w:hint="eastAsia" w:ascii="仿宋" w:hAnsi="仿宋" w:eastAsia="仿宋" w:cstheme="majorBidi"/>
            </w:rPr>
            <w:t>十三、国有资本经营预算财政拨款收入支出决算表</w:t>
          </w:r>
          <w:r>
            <w:tab/>
          </w:r>
          <w:r>
            <w:t>34</w:t>
          </w:r>
          <w:r>
            <w:fldChar w:fldCharType="end"/>
          </w:r>
        </w:p>
        <w:p>
          <w:pPr>
            <w:pStyle w:val="32"/>
            <w:tabs>
              <w:tab w:val="right" w:leader="dot" w:pos="8306"/>
            </w:tabs>
            <w:ind w:left="420"/>
          </w:pPr>
          <w:r>
            <w:fldChar w:fldCharType="begin"/>
          </w:r>
          <w:r>
            <w:instrText xml:space="preserve"> HYPERLINK \l "_Toc17700" </w:instrText>
          </w:r>
          <w:r>
            <w:fldChar w:fldCharType="separate"/>
          </w:r>
          <w:r>
            <w:rPr>
              <w:rFonts w:hint="eastAsia" w:ascii="仿宋" w:hAnsi="仿宋" w:eastAsia="仿宋" w:cstheme="majorBidi"/>
            </w:rPr>
            <w:t>十四、国有资本经营预算财政拨款支出决算表</w:t>
          </w:r>
          <w:r>
            <w:tab/>
          </w:r>
          <w:r>
            <w:t>34</w:t>
          </w:r>
          <w:r>
            <w:fldChar w:fldCharType="end"/>
          </w:r>
        </w:p>
      </w:sdtContent>
    </w:sdt>
    <w:p>
      <w:pPr>
        <w:widowControl/>
        <w:spacing w:line="440" w:lineRule="exact"/>
        <w:jc w:val="left"/>
        <w:rPr>
          <w:rFonts w:ascii="仿宋" w:hAnsi="仿宋" w:eastAsia="仿宋"/>
          <w:bCs/>
          <w:kern w:val="44"/>
          <w:sz w:val="24"/>
        </w:rPr>
      </w:pPr>
      <w:r>
        <w:rPr>
          <w:rFonts w:ascii="仿宋" w:hAnsi="仿宋" w:eastAsia="仿宋"/>
          <w:b/>
          <w:sz w:val="24"/>
        </w:rPr>
        <w:br w:type="page"/>
      </w:r>
    </w:p>
    <w:p>
      <w:pPr>
        <w:pStyle w:val="3"/>
        <w:jc w:val="center"/>
        <w:rPr>
          <w:rStyle w:val="25"/>
          <w:rFonts w:ascii="黑体" w:hAnsi="黑体" w:eastAsia="黑体"/>
          <w:b/>
          <w:bCs w:val="0"/>
        </w:rPr>
      </w:pPr>
      <w:bookmarkStart w:id="14" w:name="_Toc26313"/>
      <w:bookmarkStart w:id="15" w:name="_Toc28768"/>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bookmarkEnd w:id="14"/>
      <w:bookmarkEnd w:id="15"/>
    </w:p>
    <w:p>
      <w:pPr>
        <w:widowControl/>
        <w:jc w:val="left"/>
        <w:rPr>
          <w:rFonts w:ascii="黑体" w:eastAsia="黑体"/>
          <w:sz w:val="32"/>
          <w:szCs w:val="32"/>
        </w:rPr>
      </w:pPr>
    </w:p>
    <w:p>
      <w:pPr>
        <w:pStyle w:val="4"/>
        <w:rPr>
          <w:rStyle w:val="26"/>
          <w:rFonts w:ascii="仿宋" w:hAnsi="仿宋" w:eastAsia="仿宋"/>
          <w:b w:val="0"/>
          <w:bCs w:val="0"/>
        </w:rPr>
      </w:pPr>
      <w:bookmarkStart w:id="16" w:name="_Toc947"/>
      <w:bookmarkStart w:id="17" w:name="_Toc15377197"/>
      <w:bookmarkStart w:id="18" w:name="_Toc7281"/>
      <w:bookmarkStart w:id="19" w:name="_Toc15396600"/>
      <w:r>
        <w:rPr>
          <w:rFonts w:hint="eastAsia" w:ascii="黑体" w:hAnsi="黑体" w:eastAsia="黑体"/>
          <w:b w:val="0"/>
        </w:rPr>
        <w:t>一、基</w:t>
      </w:r>
      <w:r>
        <w:rPr>
          <w:rStyle w:val="26"/>
          <w:rFonts w:hint="eastAsia" w:ascii="黑体" w:hAnsi="黑体" w:eastAsia="黑体"/>
          <w:b w:val="0"/>
          <w:bCs w:val="0"/>
        </w:rPr>
        <w:t>本职能及主要工作</w:t>
      </w:r>
      <w:bookmarkEnd w:id="16"/>
      <w:bookmarkEnd w:id="17"/>
      <w:bookmarkEnd w:id="18"/>
      <w:bookmarkEnd w:id="19"/>
    </w:p>
    <w:p>
      <w:pPr>
        <w:pStyle w:val="2"/>
        <w:adjustRightInd w:val="0"/>
        <w:snapToGrid w:val="0"/>
        <w:spacing w:before="93" w:line="600" w:lineRule="exact"/>
        <w:ind w:firstLine="672" w:firstLineChars="210"/>
        <w:outlineLvl w:val="2"/>
        <w:rPr>
          <w:rFonts w:ascii="仿宋" w:hAnsi="仿宋" w:eastAsia="仿宋"/>
          <w:bCs/>
          <w:sz w:val="32"/>
          <w:szCs w:val="32"/>
        </w:rPr>
      </w:pPr>
      <w:bookmarkStart w:id="20" w:name="_Toc15378445"/>
      <w:bookmarkStart w:id="21" w:name="_Toc15377198"/>
      <w:r>
        <w:rPr>
          <w:rFonts w:hint="eastAsia" w:ascii="仿宋" w:hAnsi="仿宋" w:eastAsia="仿宋"/>
          <w:bCs/>
          <w:sz w:val="32"/>
          <w:szCs w:val="32"/>
        </w:rPr>
        <w:t>（一）主要职能。</w:t>
      </w:r>
      <w:bookmarkEnd w:id="20"/>
      <w:bookmarkEnd w:id="21"/>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bookmarkStart w:id="22" w:name="_Toc15378446"/>
      <w:bookmarkStart w:id="23" w:name="_Toc15377199"/>
      <w:r>
        <w:rPr>
          <w:rFonts w:hint="eastAsia" w:ascii="仿宋_GB2312" w:hAnsi="宋体" w:eastAsia="仿宋_GB2312" w:cs="宋体"/>
          <w:color w:val="000000"/>
          <w:kern w:val="0"/>
          <w:sz w:val="32"/>
          <w:szCs w:val="32"/>
          <w:shd w:val="clear" w:color="auto" w:fill="FFFFFF"/>
          <w:lang w:val="zh-CN"/>
        </w:rPr>
        <w:t>1.贯彻执行党和国家的各项法律、法规、规章以及上级政府的决议、决定，依法管理基层公共事务。</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负责辖区经济、文化、教育体育、科技、卫生健康、民政、社会保障、民族宗教、住房保障、司法、退役军人、统计等公共管理和公共服务工作，积极构建公共服务均等化体系，促进社会事业发展。推进“最多跑一次”改革，建立健全群众办事一次办结机制，优化便民服务质量。</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负责辖区环境保护、秩序治理、物业管理、城乡环境综合治理等城市管理工作，开展爱国卫生、环境卫生监督检查，营造良好发展环境。整合基层一线执法力量，充分发挥属地管理优势，强化对辖区范围内执法力量的统一指挥和统筹协调。</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4.负责辖区平安建设、社会治安综合治理工作，处理群众来信来访，反映社情民意，建立社会矛盾纠纷排查调处机制，维护社会和谐稳定。</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5.负责辖区公共安全，协助做好安全生产、防汛、防火、</w:t>
      </w:r>
    </w:p>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防灾减灾等应急管理工作，构建公共安全防控体系，建立应对突发紧急事件的处理预案。</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6.领导社区居委会建设，指导社区居委会工作，培育、发展社区社会组织，组织社区居民参与社区建设和管理，健全完善自治、法治、德治相结合的城市基层治理体系。</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7.牵头协调职能部门及其派出机构，共同处理地区性、综合性社会管理事务。动员辖区各类单位、社会组织和社区居民等社会力量参与基层社会治理，引导辖区单位履行社会责任，统筹辖区资源，实现共建共治共享。</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8.完成区委、区政府交办的其他工作。</w:t>
      </w:r>
    </w:p>
    <w:p>
      <w:pPr>
        <w:pStyle w:val="2"/>
        <w:adjustRightInd w:val="0"/>
        <w:snapToGrid w:val="0"/>
        <w:spacing w:before="93" w:line="600" w:lineRule="exact"/>
        <w:ind w:firstLine="672" w:firstLineChars="210"/>
        <w:outlineLvl w:val="2"/>
        <w:rPr>
          <w:rFonts w:ascii="仿宋" w:hAnsi="仿宋" w:eastAsia="仿宋"/>
          <w:bCs/>
          <w:sz w:val="32"/>
          <w:szCs w:val="32"/>
        </w:rPr>
      </w:pPr>
      <w:r>
        <w:rPr>
          <w:rFonts w:hint="eastAsia" w:ascii="仿宋" w:hAnsi="仿宋" w:eastAsia="仿宋"/>
          <w:bCs/>
          <w:sz w:val="32"/>
          <w:szCs w:val="32"/>
        </w:rPr>
        <w:t>（二）</w:t>
      </w:r>
      <w:r>
        <w:rPr>
          <w:rFonts w:ascii="仿宋" w:hAnsi="仿宋" w:eastAsia="仿宋"/>
          <w:bCs/>
          <w:sz w:val="32"/>
          <w:szCs w:val="32"/>
        </w:rPr>
        <w:t>20</w:t>
      </w:r>
      <w:r>
        <w:rPr>
          <w:rFonts w:hint="eastAsia" w:ascii="仿宋" w:hAnsi="仿宋" w:eastAsia="仿宋"/>
          <w:bCs/>
          <w:sz w:val="32"/>
          <w:szCs w:val="32"/>
        </w:rPr>
        <w:t>21年重点工作完成情况。</w:t>
      </w:r>
      <w:bookmarkEnd w:id="22"/>
      <w:bookmarkEnd w:id="23"/>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rPr>
        <w:t>1.</w:t>
      </w:r>
      <w:r>
        <w:rPr>
          <w:rFonts w:hint="eastAsia" w:ascii="仿宋_GB2312" w:hAnsi="宋体" w:eastAsia="仿宋_GB2312" w:cs="宋体"/>
          <w:color w:val="000000"/>
          <w:kern w:val="0"/>
          <w:sz w:val="32"/>
          <w:szCs w:val="32"/>
          <w:shd w:val="clear" w:color="auto" w:fill="FFFFFF"/>
          <w:lang w:val="zh-CN"/>
        </w:rPr>
        <w:t>“加减乘除”，党建工作走新走实。</w:t>
      </w:r>
      <w:r>
        <w:rPr>
          <w:rFonts w:hint="eastAsia" w:ascii="仿宋_GB2312" w:hAnsi="宋体" w:eastAsia="仿宋_GB2312" w:cs="宋体"/>
          <w:color w:val="000000"/>
          <w:kern w:val="0"/>
          <w:sz w:val="32"/>
          <w:szCs w:val="32"/>
          <w:shd w:val="clear" w:color="auto" w:fill="FFFFFF"/>
        </w:rPr>
        <w:t>(</w:t>
      </w:r>
      <w:r>
        <w:rPr>
          <w:rFonts w:hint="eastAsia" w:ascii="仿宋_GB2312" w:hAnsi="宋体" w:eastAsia="仿宋_GB2312" w:cs="宋体"/>
          <w:color w:val="000000"/>
          <w:kern w:val="0"/>
          <w:sz w:val="32"/>
          <w:szCs w:val="32"/>
          <w:shd w:val="clear" w:color="auto" w:fill="FFFFFF"/>
          <w:lang w:val="zh-CN"/>
        </w:rPr>
        <w:t>1</w:t>
      </w:r>
      <w:r>
        <w:rPr>
          <w:rFonts w:hint="eastAsia" w:ascii="仿宋_GB2312" w:hAnsi="宋体" w:eastAsia="仿宋_GB2312" w:cs="宋体"/>
          <w:color w:val="000000"/>
          <w:kern w:val="0"/>
          <w:sz w:val="32"/>
          <w:szCs w:val="32"/>
          <w:shd w:val="clear" w:color="auto" w:fill="FFFFFF"/>
        </w:rPr>
        <w:t>)</w:t>
      </w:r>
      <w:r>
        <w:rPr>
          <w:rFonts w:hint="eastAsia" w:ascii="仿宋_GB2312" w:hAnsi="宋体" w:eastAsia="仿宋_GB2312" w:cs="宋体"/>
          <w:color w:val="000000"/>
          <w:kern w:val="0"/>
          <w:sz w:val="32"/>
          <w:szCs w:val="32"/>
          <w:shd w:val="clear" w:color="auto" w:fill="FFFFFF"/>
          <w:lang w:val="zh-CN"/>
        </w:rPr>
        <w:t>党建“+”活动，加足精神之钙。紧紧围绕党史学习教育要求，组织开展“参观红色教育基地”“讲好党史故事”“打卡红色基地”“我与党旗合个影”等主题活动20余次。各社区依托“坝坝电影会”优势资源，让经典红色电影走入千家万户，共放映17场惠及500余人次。在“全民读书月”“世界读书日”携手新华文轩开展“读党史 学党史”主题活动3次，通过微信公众号推送“党史天天读”105期，以群众喜闻乐见的方式让党史学习走入千家万户，增强学习覆盖面。</w:t>
      </w:r>
      <w:r>
        <w:rPr>
          <w:rFonts w:hint="eastAsia" w:ascii="仿宋_GB2312" w:hAnsi="宋体" w:eastAsia="仿宋_GB2312" w:cs="宋体"/>
          <w:color w:val="000000"/>
          <w:kern w:val="0"/>
          <w:sz w:val="32"/>
          <w:szCs w:val="32"/>
          <w:shd w:val="clear" w:color="auto" w:fill="FFFFFF"/>
        </w:rPr>
        <w:t>(</w:t>
      </w:r>
      <w:r>
        <w:rPr>
          <w:rFonts w:hint="eastAsia" w:ascii="仿宋_GB2312" w:hAnsi="宋体" w:eastAsia="仿宋_GB2312" w:cs="宋体"/>
          <w:color w:val="000000"/>
          <w:kern w:val="0"/>
          <w:sz w:val="32"/>
          <w:szCs w:val="32"/>
          <w:shd w:val="clear" w:color="auto" w:fill="FFFFFF"/>
          <w:lang w:val="zh-CN"/>
        </w:rPr>
        <w:t>2</w:t>
      </w:r>
      <w:r>
        <w:rPr>
          <w:rFonts w:hint="eastAsia" w:ascii="仿宋_GB2312" w:hAnsi="宋体" w:eastAsia="仿宋_GB2312" w:cs="宋体"/>
          <w:color w:val="000000"/>
          <w:kern w:val="0"/>
          <w:sz w:val="32"/>
          <w:szCs w:val="32"/>
          <w:shd w:val="clear" w:color="auto" w:fill="FFFFFF"/>
        </w:rPr>
        <w:t>)</w:t>
      </w:r>
      <w:r>
        <w:rPr>
          <w:rFonts w:hint="eastAsia" w:ascii="仿宋_GB2312" w:hAnsi="宋体" w:eastAsia="仿宋_GB2312" w:cs="宋体"/>
          <w:color w:val="000000"/>
          <w:kern w:val="0"/>
          <w:sz w:val="32"/>
          <w:szCs w:val="32"/>
          <w:shd w:val="clear" w:color="auto" w:fill="FFFFFF"/>
          <w:lang w:val="zh-CN"/>
        </w:rPr>
        <w:t>党建“-”距离，减出工作新方式。结合6个社区实际，创新推出“五红”“五心”“五线”“五微”“五零”“五园”六大工作法。开展“家庭签约式”服务，为1134名高龄老人建立“联系服务台账”，开展结对帮扶活动350次，并依托“长者餐厅”，借助“便民利民15分钟服务圈”提供送餐服务，年服务特殊老年人群1200余人次，切实解决老年人用餐“凑合”“吃饭难”等问题。组建志愿服务队伍45支，发动1200余名党员与辖区36000余名群众全覆盖结对联系。推广使用“西区社区通”，通过办事指南、政策文件、便民服务、房屋租售、问卷调查5个功能性板块和随手拍、微心愿、一起议、邻里圈4个互动性板块，全天候响应居民需求，目前已完成注册2000余人，回应居民诉求500余件。</w:t>
      </w:r>
      <w:r>
        <w:rPr>
          <w:rFonts w:hint="eastAsia" w:ascii="仿宋_GB2312" w:hAnsi="宋体" w:eastAsia="仿宋_GB2312" w:cs="宋体"/>
          <w:color w:val="000000"/>
          <w:kern w:val="0"/>
          <w:sz w:val="32"/>
          <w:szCs w:val="32"/>
          <w:shd w:val="clear" w:color="auto" w:fill="FFFFFF"/>
        </w:rPr>
        <w:t>(</w:t>
      </w:r>
      <w:r>
        <w:rPr>
          <w:rFonts w:hint="eastAsia" w:ascii="仿宋_GB2312" w:hAnsi="宋体" w:eastAsia="仿宋_GB2312" w:cs="宋体"/>
          <w:color w:val="000000"/>
          <w:kern w:val="0"/>
          <w:sz w:val="32"/>
          <w:szCs w:val="32"/>
          <w:shd w:val="clear" w:color="auto" w:fill="FFFFFF"/>
          <w:lang w:val="zh-CN"/>
        </w:rPr>
        <w:t>3</w:t>
      </w:r>
      <w:r>
        <w:rPr>
          <w:rFonts w:hint="eastAsia" w:ascii="仿宋_GB2312" w:hAnsi="宋体" w:eastAsia="仿宋_GB2312" w:cs="宋体"/>
          <w:color w:val="000000"/>
          <w:kern w:val="0"/>
          <w:sz w:val="32"/>
          <w:szCs w:val="32"/>
          <w:shd w:val="clear" w:color="auto" w:fill="FFFFFF"/>
        </w:rPr>
        <w:t>)</w:t>
      </w:r>
      <w:r>
        <w:rPr>
          <w:rFonts w:hint="eastAsia" w:ascii="仿宋_GB2312" w:hAnsi="宋体" w:eastAsia="仿宋_GB2312" w:cs="宋体"/>
          <w:color w:val="000000"/>
          <w:kern w:val="0"/>
          <w:sz w:val="32"/>
          <w:szCs w:val="32"/>
          <w:shd w:val="clear" w:color="auto" w:fill="FFFFFF"/>
          <w:lang w:val="zh-CN"/>
        </w:rPr>
        <w:t>党建“×”联合，乘添红色助发展。围绕街道党工委这一核心，建起以街道党工委为龙头、社区党委为主体、小区党支部为堡垒、网格（楼栋）为单元的“四级城市党建体系”。 用好“社区党委+业主委员会+物业公司”三方联动机制，设置6个环境与物业管理委员会，不断推动组织力量下沉。搭建院落议事会、党群议事会、居民见面会等10余种居民议事平台，建立健全《社区党群议事制度》《小区院落议事制度》等议事协商制度23个，组织共建单位、辖区企业、社区居民等多方代表召开联席会议35次，协商解决集中晾晒区选定、垃圾分类、绿化带整治等群众急难愁盼问题150个。</w:t>
      </w:r>
      <w:r>
        <w:rPr>
          <w:rFonts w:hint="eastAsia" w:ascii="仿宋_GB2312" w:hAnsi="宋体" w:eastAsia="仿宋_GB2312" w:cs="宋体"/>
          <w:color w:val="000000"/>
          <w:kern w:val="0"/>
          <w:sz w:val="32"/>
          <w:szCs w:val="32"/>
          <w:shd w:val="clear" w:color="auto" w:fill="FFFFFF"/>
        </w:rPr>
        <w:t>(</w:t>
      </w:r>
      <w:r>
        <w:rPr>
          <w:rFonts w:hint="eastAsia" w:ascii="仿宋_GB2312" w:hAnsi="宋体" w:eastAsia="仿宋_GB2312" w:cs="宋体"/>
          <w:color w:val="000000"/>
          <w:kern w:val="0"/>
          <w:sz w:val="32"/>
          <w:szCs w:val="32"/>
          <w:shd w:val="clear" w:color="auto" w:fill="FFFFFF"/>
          <w:lang w:val="zh-CN"/>
        </w:rPr>
        <w:t>4</w:t>
      </w:r>
      <w:r>
        <w:rPr>
          <w:rFonts w:hint="eastAsia" w:ascii="仿宋_GB2312" w:hAnsi="宋体" w:eastAsia="仿宋_GB2312" w:cs="宋体"/>
          <w:color w:val="000000"/>
          <w:kern w:val="0"/>
          <w:sz w:val="32"/>
          <w:szCs w:val="32"/>
          <w:shd w:val="clear" w:color="auto" w:fill="FFFFFF"/>
        </w:rPr>
        <w:t>)</w:t>
      </w:r>
      <w:r>
        <w:rPr>
          <w:rFonts w:hint="eastAsia" w:ascii="仿宋_GB2312" w:hAnsi="宋体" w:eastAsia="仿宋_GB2312" w:cs="宋体"/>
          <w:color w:val="000000"/>
          <w:kern w:val="0"/>
          <w:sz w:val="32"/>
          <w:szCs w:val="32"/>
          <w:shd w:val="clear" w:color="auto" w:fill="FFFFFF"/>
          <w:lang w:val="zh-CN"/>
        </w:rPr>
        <w:t>党建“÷”瓶颈，除掉短板促提升。严格执行民主生活会、组织生活会等党内政治生活制度，让红脸出汗成为常态。紧抓廉政建设，听取班子成员抓分管领域党风廉政建设情况汇报4次，开展作风监督检查12次。</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rPr>
        <w:t>2.</w:t>
      </w:r>
      <w:r>
        <w:rPr>
          <w:rFonts w:hint="eastAsia" w:ascii="仿宋_GB2312" w:hAnsi="宋体" w:eastAsia="仿宋_GB2312" w:cs="宋体"/>
          <w:color w:val="000000"/>
          <w:kern w:val="0"/>
          <w:sz w:val="32"/>
          <w:szCs w:val="32"/>
          <w:shd w:val="clear" w:color="auto" w:fill="FFFFFF"/>
          <w:lang w:val="zh-CN"/>
        </w:rPr>
        <w:t>抓细抓实，“三防”工作筑牢稳固。</w:t>
      </w:r>
      <w:r>
        <w:rPr>
          <w:rFonts w:hint="eastAsia" w:ascii="仿宋_GB2312" w:hAnsi="宋体" w:eastAsia="仿宋_GB2312" w:cs="宋体"/>
          <w:color w:val="000000"/>
          <w:kern w:val="0"/>
          <w:sz w:val="32"/>
          <w:szCs w:val="32"/>
          <w:shd w:val="clear" w:color="auto" w:fill="FFFFFF"/>
        </w:rPr>
        <w:t>(</w:t>
      </w:r>
      <w:r>
        <w:rPr>
          <w:rFonts w:hint="eastAsia" w:ascii="仿宋_GB2312" w:hAnsi="宋体" w:eastAsia="仿宋_GB2312" w:cs="宋体"/>
          <w:color w:val="000000"/>
          <w:kern w:val="0"/>
          <w:sz w:val="32"/>
          <w:szCs w:val="32"/>
          <w:shd w:val="clear" w:color="auto" w:fill="FFFFFF"/>
          <w:lang w:val="zh-CN"/>
        </w:rPr>
        <w:t>1</w:t>
      </w:r>
      <w:r>
        <w:rPr>
          <w:rFonts w:hint="eastAsia" w:ascii="仿宋_GB2312" w:hAnsi="宋体" w:eastAsia="仿宋_GB2312" w:cs="宋体"/>
          <w:color w:val="000000"/>
          <w:kern w:val="0"/>
          <w:sz w:val="32"/>
          <w:szCs w:val="32"/>
          <w:shd w:val="clear" w:color="auto" w:fill="FFFFFF"/>
        </w:rPr>
        <w:t>)</w:t>
      </w:r>
      <w:r>
        <w:rPr>
          <w:rFonts w:hint="eastAsia" w:ascii="仿宋_GB2312" w:hAnsi="宋体" w:eastAsia="仿宋_GB2312" w:cs="宋体"/>
          <w:color w:val="000000"/>
          <w:kern w:val="0"/>
          <w:sz w:val="32"/>
          <w:szCs w:val="32"/>
          <w:shd w:val="clear" w:color="auto" w:fill="FFFFFF"/>
          <w:lang w:val="zh-CN"/>
        </w:rPr>
        <w:t>抓细抓实防控措施，筑牢疫情防线。街道认真执行省、市、区疫情防控要求，严格落实属地责任。一是实行领导分包责任制，6名包片责任人分片包抓社区疫情防控，其余全员下沉辖区网格，实现齐抓共管的工作局面。二是扎实开展“敲门”行动。通过对2.5万余户居民开展入户走访，详细宣传返攀报备、疫情防控要求，督促1200余家商户落实了扫码、测温要求。三是加强返攀人员管控服务，排查重点地区返攀人员621人，按要求落实管控措施。四是做好新冠疫苗人群接种工作，通过入户走访、上门接送等方式，提高接种率，完成54746人疫苗接种工作。五是严格疫情期间24小时值班值守制度，满足返攀人员第一时间报备需求。六是加强问题整改落实。针对市、区反馈的问题，街道立即采取行动，现场查验整改20余人次，所有问题全部整改到位。</w:t>
      </w:r>
      <w:r>
        <w:rPr>
          <w:rFonts w:hint="eastAsia" w:ascii="仿宋_GB2312" w:hAnsi="宋体" w:eastAsia="仿宋_GB2312" w:cs="宋体"/>
          <w:color w:val="000000"/>
          <w:kern w:val="0"/>
          <w:sz w:val="32"/>
          <w:szCs w:val="32"/>
          <w:shd w:val="clear" w:color="auto" w:fill="FFFFFF"/>
        </w:rPr>
        <w:t>(</w:t>
      </w:r>
      <w:r>
        <w:rPr>
          <w:rFonts w:hint="eastAsia" w:ascii="仿宋_GB2312" w:hAnsi="宋体" w:eastAsia="仿宋_GB2312" w:cs="宋体"/>
          <w:color w:val="000000"/>
          <w:kern w:val="0"/>
          <w:sz w:val="32"/>
          <w:szCs w:val="32"/>
          <w:shd w:val="clear" w:color="auto" w:fill="FFFFFF"/>
          <w:lang w:val="zh-CN"/>
        </w:rPr>
        <w:t>2</w:t>
      </w:r>
      <w:r>
        <w:rPr>
          <w:rFonts w:hint="eastAsia" w:ascii="仿宋_GB2312" w:hAnsi="宋体" w:eastAsia="仿宋_GB2312" w:cs="宋体"/>
          <w:color w:val="000000"/>
          <w:kern w:val="0"/>
          <w:sz w:val="32"/>
          <w:szCs w:val="32"/>
          <w:shd w:val="clear" w:color="auto" w:fill="FFFFFF"/>
        </w:rPr>
        <w:t>)</w:t>
      </w:r>
      <w:r>
        <w:rPr>
          <w:rFonts w:hint="eastAsia" w:ascii="仿宋_GB2312" w:hAnsi="宋体" w:eastAsia="仿宋_GB2312" w:cs="宋体"/>
          <w:color w:val="000000"/>
          <w:kern w:val="0"/>
          <w:sz w:val="32"/>
          <w:szCs w:val="32"/>
          <w:shd w:val="clear" w:color="auto" w:fill="FFFFFF"/>
          <w:lang w:val="zh-CN"/>
        </w:rPr>
        <w:t>抓细抓实关键环节，筑牢火险防线。一是紧盯组织体系，落实职能职责。修改完善《森林草原防灭火专项整治工作方案》《森林草原防灭火专项整治工作应急预案》，建立《森林草原防灭火专项整治工作包保责任机制》《森林草原防灭火群防群治末端发力终端工作督查机制》，明确领导小组、办公室、各社区职责，确保森林草原防灭火工作责任清晰、明确，不留漏洞和空白。二是紧盯重要节点，强化防火意识。结合春节、清明等重点时间节点，在人员密集场所、重点林区入口、居民小区内用张贴温馨提示、布置森林防火喷绘、悬挂横幅、张贴海报等方式向居民宣传森林草原防灭火知识2000余次。加强以案说法，每月将火灾事故反面案例线上、线下同步宣传，做到“警示一片、教育一片”。 三是紧盯隐患排查，落实火灾防范。在节日期间，街道班子带头开展禁燃烟花爆竹、文明祭祀等劝导巡查70余次，劝导居民150余名，排查辖区复工复产企业及个体经营户100余家。四是紧盯隐患消除，落实问题整改。在辖区开展“可燃物清理”30余次，清理1500余平方米，及时消除易燃隐患。同时，针对发现的问题做好台账，实施分级管理，列出森林草原防灭火风险清单、问题清单和整改清单，逐条细化整改措施，累计梳理问题10条，排查安全隐患18条，整改18条。</w:t>
      </w:r>
      <w:r>
        <w:rPr>
          <w:rFonts w:hint="eastAsia" w:ascii="仿宋_GB2312" w:hAnsi="宋体" w:eastAsia="仿宋_GB2312" w:cs="宋体"/>
          <w:color w:val="000000"/>
          <w:kern w:val="0"/>
          <w:sz w:val="32"/>
          <w:szCs w:val="32"/>
          <w:shd w:val="clear" w:color="auto" w:fill="FFFFFF"/>
        </w:rPr>
        <w:t>(</w:t>
      </w:r>
      <w:r>
        <w:rPr>
          <w:rFonts w:hint="eastAsia" w:ascii="仿宋_GB2312" w:hAnsi="宋体" w:eastAsia="仿宋_GB2312" w:cs="宋体"/>
          <w:color w:val="000000"/>
          <w:kern w:val="0"/>
          <w:sz w:val="32"/>
          <w:szCs w:val="32"/>
          <w:shd w:val="clear" w:color="auto" w:fill="FFFFFF"/>
          <w:lang w:val="zh-CN"/>
        </w:rPr>
        <w:t>3</w:t>
      </w:r>
      <w:r>
        <w:rPr>
          <w:rFonts w:hint="eastAsia" w:ascii="仿宋_GB2312" w:hAnsi="宋体" w:eastAsia="仿宋_GB2312" w:cs="宋体"/>
          <w:color w:val="000000"/>
          <w:kern w:val="0"/>
          <w:sz w:val="32"/>
          <w:szCs w:val="32"/>
          <w:shd w:val="clear" w:color="auto" w:fill="FFFFFF"/>
        </w:rPr>
        <w:t>)</w:t>
      </w:r>
      <w:r>
        <w:rPr>
          <w:rFonts w:hint="eastAsia" w:ascii="仿宋_GB2312" w:hAnsi="宋体" w:eastAsia="仿宋_GB2312" w:cs="宋体"/>
          <w:color w:val="000000"/>
          <w:kern w:val="0"/>
          <w:sz w:val="32"/>
          <w:szCs w:val="32"/>
          <w:shd w:val="clear" w:color="auto" w:fill="FFFFFF"/>
          <w:lang w:val="zh-CN"/>
        </w:rPr>
        <w:t>抓细抓实预判预控，筑牢安全减灾防线。一是加强组织领导。及时调整街道安全工作领导小组，完善修订《清香坪街道防震减灾应急预案》，组织应急演练8次，进一步熟悉掌握启动应急预案的方法、步骤，明确在应急行动中的职责，达到召之即来，来之能战，战之必胜的效果。加强防灾救灾指挥体系建设，及时充实减灾应急队伍及应急小分队成员，确保预案启动及时、运转顺利。二是加强隐患排查。开展老旧小区消防设施隐患排查治理，在建筑施工、劳动密集型企业和人员密集场所等高风险行业领域，推行风险等级管控、隐患排查治理双重预防性工作机制，排查重点企业5家，排查出隐患2条，整改2条。三是加强宣传引导。加强社区安全阵地建设，通过LED显示屏滚动播放宣传标语6条，开展集中宣传6次，发放宣传资料1000余份。</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rPr>
        <w:t>3.</w:t>
      </w:r>
      <w:r>
        <w:rPr>
          <w:rFonts w:hint="eastAsia" w:ascii="仿宋_GB2312" w:hAnsi="宋体" w:eastAsia="仿宋_GB2312" w:cs="宋体"/>
          <w:color w:val="000000"/>
          <w:kern w:val="0"/>
          <w:sz w:val="32"/>
          <w:szCs w:val="32"/>
          <w:shd w:val="clear" w:color="auto" w:fill="FFFFFF"/>
          <w:lang w:val="zh-CN"/>
        </w:rPr>
        <w:t>以人为本，社会治理提质增效。</w:t>
      </w:r>
      <w:r>
        <w:rPr>
          <w:rFonts w:hint="eastAsia" w:ascii="仿宋_GB2312" w:hAnsi="宋体" w:eastAsia="仿宋_GB2312" w:cs="宋体"/>
          <w:color w:val="000000"/>
          <w:kern w:val="0"/>
          <w:sz w:val="32"/>
          <w:szCs w:val="32"/>
          <w:shd w:val="clear" w:color="auto" w:fill="FFFFFF"/>
        </w:rPr>
        <w:t>(</w:t>
      </w:r>
      <w:r>
        <w:rPr>
          <w:rFonts w:hint="eastAsia" w:ascii="仿宋_GB2312" w:hAnsi="宋体" w:eastAsia="仿宋_GB2312" w:cs="宋体"/>
          <w:color w:val="000000"/>
          <w:kern w:val="0"/>
          <w:sz w:val="32"/>
          <w:szCs w:val="32"/>
          <w:shd w:val="clear" w:color="auto" w:fill="FFFFFF"/>
          <w:lang w:val="zh-CN"/>
        </w:rPr>
        <w:t>1</w:t>
      </w:r>
      <w:r>
        <w:rPr>
          <w:rFonts w:hint="eastAsia" w:ascii="仿宋_GB2312" w:hAnsi="宋体" w:eastAsia="仿宋_GB2312" w:cs="宋体"/>
          <w:color w:val="000000"/>
          <w:kern w:val="0"/>
          <w:sz w:val="32"/>
          <w:szCs w:val="32"/>
          <w:shd w:val="clear" w:color="auto" w:fill="FFFFFF"/>
        </w:rPr>
        <w:t>)</w:t>
      </w:r>
      <w:r>
        <w:rPr>
          <w:rFonts w:hint="eastAsia" w:ascii="仿宋_GB2312" w:hAnsi="宋体" w:eastAsia="仿宋_GB2312" w:cs="宋体"/>
          <w:color w:val="000000"/>
          <w:kern w:val="0"/>
          <w:sz w:val="32"/>
          <w:szCs w:val="32"/>
          <w:shd w:val="clear" w:color="auto" w:fill="FFFFFF"/>
          <w:lang w:val="zh-CN"/>
        </w:rPr>
        <w:t>民生政策落地落实。一是加强就业宣传，召开现场招聘会1次，提供政策咨询1000余人次，发放宣传资料20000余份。走访企业400余家、个体商户1000余户。通过“五分”服务试点工作帮助辖区7名失业人员实现就业。城镇新增就业2171人，完成全年目标任务的81%，路南社区被认定为“第五批省级充分就业社区”。二是惠民资金落实到位。发放低保金617.5853万元、困难残疾人生活补贴26.2万元、临时救助金6.1307万元、公共租赁住房补贴4.68万元、重度残疾人护理补贴28.7万元。开展残疾人温暖万家行春节慰问活动，慰问110人。</w:t>
      </w:r>
      <w:r>
        <w:rPr>
          <w:rFonts w:hint="eastAsia" w:ascii="仿宋_GB2312" w:hAnsi="宋体" w:eastAsia="仿宋_GB2312" w:cs="宋体"/>
          <w:color w:val="000000"/>
          <w:kern w:val="0"/>
          <w:sz w:val="32"/>
          <w:szCs w:val="32"/>
          <w:shd w:val="clear" w:color="auto" w:fill="FFFFFF"/>
        </w:rPr>
        <w:t>(</w:t>
      </w:r>
      <w:r>
        <w:rPr>
          <w:rFonts w:hint="eastAsia" w:ascii="仿宋_GB2312" w:hAnsi="宋体" w:eastAsia="仿宋_GB2312" w:cs="宋体"/>
          <w:color w:val="000000"/>
          <w:kern w:val="0"/>
          <w:sz w:val="32"/>
          <w:szCs w:val="32"/>
          <w:shd w:val="clear" w:color="auto" w:fill="FFFFFF"/>
          <w:lang w:val="zh-CN"/>
        </w:rPr>
        <w:t>2</w:t>
      </w:r>
      <w:r>
        <w:rPr>
          <w:rFonts w:hint="eastAsia" w:ascii="仿宋_GB2312" w:hAnsi="宋体" w:eastAsia="仿宋_GB2312" w:cs="宋体"/>
          <w:color w:val="000000"/>
          <w:kern w:val="0"/>
          <w:sz w:val="32"/>
          <w:szCs w:val="32"/>
          <w:shd w:val="clear" w:color="auto" w:fill="FFFFFF"/>
        </w:rPr>
        <w:t>)</w:t>
      </w:r>
      <w:r>
        <w:rPr>
          <w:rFonts w:hint="eastAsia" w:ascii="仿宋_GB2312" w:hAnsi="宋体" w:eastAsia="仿宋_GB2312" w:cs="宋体"/>
          <w:color w:val="000000"/>
          <w:kern w:val="0"/>
          <w:sz w:val="32"/>
          <w:szCs w:val="32"/>
          <w:shd w:val="clear" w:color="auto" w:fill="FFFFFF"/>
          <w:lang w:val="zh-CN"/>
        </w:rPr>
        <w:t>城市面貌不断美化。一是以环保督察为契机，成立环境保护工作领导小组，制定工作制度，明确工作职责。坚持“污染防治与生态保护并重”，以开</w:t>
      </w:r>
      <w:bookmarkStart w:id="145" w:name="_GoBack"/>
      <w:bookmarkEnd w:id="145"/>
      <w:r>
        <w:rPr>
          <w:rFonts w:hint="eastAsia" w:ascii="仿宋_GB2312" w:hAnsi="宋体" w:eastAsia="仿宋_GB2312" w:cs="宋体"/>
          <w:color w:val="000000"/>
          <w:kern w:val="0"/>
          <w:sz w:val="32"/>
          <w:szCs w:val="32"/>
          <w:shd w:val="clear" w:color="auto" w:fill="FFFFFF"/>
          <w:lang w:val="zh-CN"/>
        </w:rPr>
        <w:t>展“城乡清洁工程”为切入点，开展突击性清理30余次，疏通沟渠21条、3600米。加强建筑工地规范管理，清理乱抛洒建筑垃圾20余吨。以提高辖区居民的环保意识为目的，开展集中宣传3次，刊出环境保护专栏黑板报16期，制发宣传册1600余份。二是以创文工作为抓手，针对辖区道路破损、路灯不亮、空中飞线、宣传氛围不浓厚等问题，积极协调解决，完成修复杨家坪宪法广场等破损路面6处120 m²、捆扎飞线12处、更换破损路灯15个、更换破损垃圾桶32个、增加停车位142个，完成金沙充电桩安装、杨家坪广场公厕改造工作。</w:t>
      </w:r>
      <w:r>
        <w:rPr>
          <w:rFonts w:hint="eastAsia" w:ascii="仿宋_GB2312" w:hAnsi="宋体" w:eastAsia="仿宋_GB2312" w:cs="宋体"/>
          <w:color w:val="000000"/>
          <w:kern w:val="0"/>
          <w:sz w:val="32"/>
          <w:szCs w:val="32"/>
          <w:shd w:val="clear" w:color="auto" w:fill="FFFFFF"/>
        </w:rPr>
        <w:t>(</w:t>
      </w:r>
      <w:r>
        <w:rPr>
          <w:rFonts w:hint="eastAsia" w:ascii="仿宋_GB2312" w:hAnsi="宋体" w:eastAsia="仿宋_GB2312" w:cs="宋体"/>
          <w:color w:val="000000"/>
          <w:kern w:val="0"/>
          <w:sz w:val="32"/>
          <w:szCs w:val="32"/>
          <w:shd w:val="clear" w:color="auto" w:fill="FFFFFF"/>
          <w:lang w:val="zh-CN"/>
        </w:rPr>
        <w:t>3</w:t>
      </w:r>
      <w:r>
        <w:rPr>
          <w:rFonts w:hint="eastAsia" w:ascii="仿宋_GB2312" w:hAnsi="宋体" w:eastAsia="仿宋_GB2312" w:cs="宋体"/>
          <w:color w:val="000000"/>
          <w:kern w:val="0"/>
          <w:sz w:val="32"/>
          <w:szCs w:val="32"/>
          <w:shd w:val="clear" w:color="auto" w:fill="FFFFFF"/>
        </w:rPr>
        <w:t>)</w:t>
      </w:r>
      <w:r>
        <w:rPr>
          <w:rFonts w:hint="eastAsia" w:ascii="仿宋_GB2312" w:hAnsi="宋体" w:eastAsia="仿宋_GB2312" w:cs="宋体"/>
          <w:color w:val="000000"/>
          <w:kern w:val="0"/>
          <w:sz w:val="32"/>
          <w:szCs w:val="32"/>
          <w:shd w:val="clear" w:color="auto" w:fill="FFFFFF"/>
          <w:lang w:val="zh-CN"/>
        </w:rPr>
        <w:t>综合治理成效显著。一是推进平安建设暨市域社会治理现代化工作，招聘专职网格员24名，构建以网格党支部为核心的小区治理体系。完成“雪亮工程”安装工作，建立常态化视频巡查制度，实现公安机关专业用、政法综合用、相关部门共享用、发动基层群众用有效结合。二是强化排查稳控，全力维护辖区社会稳定。在建党100周年，全国两会等重要节点，制定重点群体、人员稳控方案，按照领导包片、责任到人的原则，严格落实信息每日报告制度，全年无人员进京赴蓉上访。三是全面开展依法治区。坚持法律顾问制度，建立公共法律服务站点6个，开展法律咨询20人次。加强全民普法宣传，开展民法典进社区活动3次，结合“3.15”“4.15”等大力宣传国家法律法规，营造依法治区的良好氛围。杨家坪社区法制广场申报为第三批四川省法制宣传教育基地。</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rPr>
        <w:t>4.</w:t>
      </w:r>
      <w:r>
        <w:rPr>
          <w:rFonts w:hint="eastAsia" w:ascii="仿宋_GB2312" w:hAnsi="宋体" w:eastAsia="仿宋_GB2312" w:cs="宋体"/>
          <w:color w:val="000000"/>
          <w:kern w:val="0"/>
          <w:sz w:val="32"/>
          <w:szCs w:val="32"/>
          <w:shd w:val="clear" w:color="auto" w:fill="FFFFFF"/>
          <w:lang w:val="zh-CN"/>
        </w:rPr>
        <w:t>内练外融，经济工作稳步推进。练强内功，经济指标稳中向好。协调要素生产、培育新经济增长点，完成工业产值15462.7万元，增速28.11%；社会消费品零售25778.3万元，增速27.53%；固定资产投资30381万元，完成60.76%；招商引资36602万元，完成81.34%。2.融入“外圈”，积极促进协同发展。</w:t>
      </w:r>
    </w:p>
    <w:p>
      <w:pPr>
        <w:pStyle w:val="4"/>
        <w:rPr>
          <w:rFonts w:eastAsia="黑体"/>
        </w:rPr>
      </w:pPr>
      <w:bookmarkStart w:id="24" w:name="_Toc14968"/>
      <w:bookmarkStart w:id="25" w:name="_Toc25775"/>
      <w:bookmarkStart w:id="26" w:name="_Toc15396601"/>
      <w:bookmarkStart w:id="27" w:name="_Toc15377200"/>
      <w:r>
        <w:rPr>
          <w:rFonts w:hint="eastAsia" w:ascii="黑体" w:eastAsia="黑体"/>
          <w:b w:val="0"/>
        </w:rPr>
        <w:t>二、</w:t>
      </w:r>
      <w:r>
        <w:rPr>
          <w:rFonts w:hint="eastAsia" w:ascii="黑体" w:hAnsi="黑体" w:eastAsia="黑体"/>
          <w:b w:val="0"/>
        </w:rPr>
        <w:t>机</w:t>
      </w:r>
      <w:r>
        <w:rPr>
          <w:rStyle w:val="26"/>
          <w:rFonts w:hint="eastAsia" w:ascii="黑体" w:hAnsi="黑体" w:eastAsia="黑体"/>
          <w:b w:val="0"/>
          <w:bCs w:val="0"/>
        </w:rPr>
        <w:t>构设置</w:t>
      </w:r>
      <w:bookmarkEnd w:id="24"/>
      <w:bookmarkEnd w:id="25"/>
      <w:bookmarkEnd w:id="26"/>
      <w:bookmarkEnd w:id="27"/>
    </w:p>
    <w:p>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西区清香坪街道办事处</w:t>
      </w:r>
      <w:r>
        <w:rPr>
          <w:rFonts w:hint="eastAsia" w:ascii="仿宋" w:hAnsi="仿宋" w:eastAsia="仿宋" w:cs="仿宋"/>
          <w:sz w:val="32"/>
          <w:szCs w:val="32"/>
          <w:lang w:eastAsia="zh-CN"/>
        </w:rPr>
        <w:t>内设机构</w:t>
      </w:r>
      <w:r>
        <w:rPr>
          <w:rFonts w:hint="eastAsia" w:ascii="仿宋" w:hAnsi="仿宋" w:eastAsia="仿宋" w:cs="仿宋"/>
          <w:sz w:val="32"/>
          <w:szCs w:val="32"/>
          <w:lang w:val="en-US" w:eastAsia="zh-CN"/>
        </w:rPr>
        <w:t>8个（党政办公室、党建办公室、社区建设办公室、社会事务管理办公室、财政所、公共管理办公室、社会治理事务中心、综合行政执法办公室），共设编制26个，其中，行政编制9人，事业编制17人，2021年年末实有23人。</w:t>
      </w:r>
    </w:p>
    <w:p>
      <w:pPr>
        <w:pStyle w:val="3"/>
        <w:ind w:right="440"/>
        <w:jc w:val="center"/>
        <w:rPr>
          <w:rFonts w:hint="eastAsia" w:ascii="黑体" w:hAnsi="黑体" w:eastAsia="黑体"/>
          <w:b w:val="0"/>
        </w:rPr>
      </w:pPr>
      <w:bookmarkStart w:id="28" w:name="_Toc15377204"/>
      <w:bookmarkStart w:id="29" w:name="_Toc15396602"/>
      <w:bookmarkStart w:id="30" w:name="_Toc20064"/>
      <w:bookmarkStart w:id="31" w:name="_Toc25277"/>
    </w:p>
    <w:p>
      <w:pPr>
        <w:pStyle w:val="3"/>
        <w:ind w:right="440"/>
        <w:jc w:val="center"/>
      </w:pPr>
      <w:r>
        <w:rPr>
          <w:rFonts w:hint="eastAsia" w:ascii="黑体" w:hAnsi="黑体" w:eastAsia="黑体"/>
          <w:b w:val="0"/>
        </w:rPr>
        <w:t>第二部分 2021年度</w:t>
      </w:r>
      <w:r>
        <w:rPr>
          <w:rStyle w:val="25"/>
          <w:rFonts w:hint="eastAsia" w:ascii="黑体" w:hAnsi="黑体" w:eastAsia="黑体"/>
          <w:b w:val="0"/>
          <w:bCs/>
        </w:rPr>
        <w:t>部门决算情况说明</w:t>
      </w:r>
      <w:bookmarkEnd w:id="28"/>
      <w:bookmarkEnd w:id="29"/>
      <w:bookmarkEnd w:id="30"/>
      <w:bookmarkEnd w:id="31"/>
    </w:p>
    <w:p>
      <w:pPr>
        <w:pStyle w:val="24"/>
        <w:numPr>
          <w:ilvl w:val="0"/>
          <w:numId w:val="1"/>
        </w:numPr>
        <w:spacing w:line="600" w:lineRule="exact"/>
        <w:ind w:firstLineChars="0"/>
        <w:outlineLvl w:val="1"/>
        <w:rPr>
          <w:rStyle w:val="26"/>
          <w:rFonts w:ascii="黑体" w:hAnsi="黑体" w:eastAsia="黑体"/>
          <w:b w:val="0"/>
        </w:rPr>
      </w:pPr>
      <w:bookmarkStart w:id="32" w:name="_Toc15396603"/>
      <w:bookmarkStart w:id="33" w:name="_Toc15377205"/>
      <w:bookmarkStart w:id="34" w:name="_Toc17169"/>
      <w:bookmarkStart w:id="35" w:name="_Toc8850"/>
      <w:r>
        <w:rPr>
          <w:rFonts w:hint="eastAsia" w:ascii="黑体" w:hAnsi="黑体" w:eastAsia="黑体"/>
          <w:sz w:val="32"/>
          <w:szCs w:val="32"/>
        </w:rPr>
        <w:t>收</w:t>
      </w:r>
      <w:r>
        <w:rPr>
          <w:rStyle w:val="26"/>
          <w:rFonts w:hint="eastAsia" w:ascii="黑体" w:hAnsi="黑体" w:eastAsia="黑体"/>
          <w:b w:val="0"/>
        </w:rPr>
        <w:t>入支出决算总体情况说明</w:t>
      </w:r>
      <w:bookmarkEnd w:id="32"/>
      <w:bookmarkEnd w:id="33"/>
      <w:bookmarkEnd w:id="34"/>
      <w:bookmarkEnd w:id="35"/>
    </w:p>
    <w:p>
      <w:pPr>
        <w:ind w:firstLine="640" w:firstLineChars="200"/>
        <w:rPr>
          <w:rFonts w:ascii="仿宋" w:hAnsi="仿宋" w:eastAsia="仿宋"/>
          <w:sz w:val="32"/>
          <w:szCs w:val="32"/>
        </w:rPr>
      </w:pPr>
      <w:r>
        <w:rPr>
          <w:rFonts w:hint="eastAsia" w:ascii="仿宋" w:hAnsi="仿宋" w:eastAsia="仿宋"/>
          <w:sz w:val="32"/>
          <w:szCs w:val="32"/>
        </w:rPr>
        <w:t>2021年度收、支总计1341.76万元。与2020年相比，收、支总计各减少59.80万元，下降4.27</w:t>
      </w:r>
      <w:r>
        <w:rPr>
          <w:rFonts w:ascii="仿宋" w:hAnsi="仿宋" w:eastAsia="仿宋"/>
          <w:sz w:val="32"/>
          <w:szCs w:val="32"/>
        </w:rPr>
        <w:t>%</w:t>
      </w:r>
      <w:r>
        <w:rPr>
          <w:rFonts w:hint="eastAsia" w:ascii="仿宋" w:hAnsi="仿宋" w:eastAsia="仿宋"/>
          <w:sz w:val="32"/>
          <w:szCs w:val="32"/>
        </w:rPr>
        <w:t>。主要变动原因是项目</w:t>
      </w:r>
      <w:r>
        <w:rPr>
          <w:rFonts w:hint="eastAsia" w:ascii="仿宋_GB2312" w:eastAsia="仿宋_GB2312"/>
          <w:sz w:val="32"/>
          <w:szCs w:val="32"/>
        </w:rPr>
        <w:t>收入减少。</w:t>
      </w:r>
    </w:p>
    <w:p>
      <w:pPr>
        <w:pStyle w:val="2"/>
        <w:spacing w:before="93"/>
      </w:pPr>
    </w:p>
    <w:p>
      <w:pPr>
        <w:ind w:firstLine="640" w:firstLineChars="200"/>
        <w:rPr>
          <w:rFonts w:ascii="仿宋" w:hAnsi="仿宋" w:eastAsia="仿宋"/>
          <w:sz w:val="32"/>
          <w:szCs w:val="32"/>
        </w:rPr>
      </w:pPr>
      <w:r>
        <w:rPr>
          <w:rFonts w:hint="eastAsia" w:ascii="仿宋" w:hAnsi="仿宋" w:eastAsia="仿宋"/>
          <w:sz w:val="32"/>
          <w:szCs w:val="32"/>
        </w:rPr>
        <w:drawing>
          <wp:inline distT="0" distB="0" distL="114300" distR="114300">
            <wp:extent cx="4590415" cy="2761615"/>
            <wp:effectExtent l="0" t="0" r="635" b="635"/>
            <wp:docPr id="2" name="图片 2" descr="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1"/>
                    <pic:cNvPicPr>
                      <a:picLocks noChangeAspect="1"/>
                    </pic:cNvPicPr>
                  </pic:nvPicPr>
                  <pic:blipFill>
                    <a:blip r:embed="rId6"/>
                    <a:stretch>
                      <a:fillRect/>
                    </a:stretch>
                  </pic:blipFill>
                  <pic:spPr>
                    <a:xfrm>
                      <a:off x="0" y="0"/>
                      <a:ext cx="4590415" cy="2761615"/>
                    </a:xfrm>
                    <a:prstGeom prst="rect">
                      <a:avLst/>
                    </a:prstGeom>
                  </pic:spPr>
                </pic:pic>
              </a:graphicData>
            </a:graphic>
          </wp:inline>
        </w:drawing>
      </w:r>
    </w:p>
    <w:p>
      <w:pPr>
        <w:pStyle w:val="24"/>
        <w:numPr>
          <w:ilvl w:val="0"/>
          <w:numId w:val="1"/>
        </w:numPr>
        <w:spacing w:line="600" w:lineRule="exact"/>
        <w:ind w:firstLineChars="0"/>
        <w:outlineLvl w:val="1"/>
        <w:rPr>
          <w:rStyle w:val="26"/>
          <w:rFonts w:ascii="黑体" w:hAnsi="黑体" w:eastAsia="黑体"/>
          <w:b w:val="0"/>
        </w:rPr>
      </w:pPr>
      <w:bookmarkStart w:id="36" w:name="_Toc15396604"/>
      <w:bookmarkStart w:id="37" w:name="_Toc3231"/>
      <w:bookmarkStart w:id="38" w:name="_Toc13856"/>
      <w:bookmarkStart w:id="39" w:name="_Toc15377206"/>
      <w:r>
        <w:rPr>
          <w:rFonts w:hint="eastAsia" w:ascii="黑体" w:hAnsi="黑体" w:eastAsia="黑体"/>
          <w:sz w:val="32"/>
          <w:szCs w:val="32"/>
        </w:rPr>
        <w:t>收</w:t>
      </w:r>
      <w:r>
        <w:rPr>
          <w:rStyle w:val="26"/>
          <w:rFonts w:hint="eastAsia" w:ascii="黑体" w:hAnsi="黑体" w:eastAsia="黑体"/>
          <w:b w:val="0"/>
        </w:rPr>
        <w:t>入决算情况说明</w:t>
      </w:r>
      <w:bookmarkEnd w:id="36"/>
      <w:bookmarkEnd w:id="37"/>
      <w:bookmarkEnd w:id="38"/>
      <w:bookmarkEnd w:id="39"/>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21年本年收入合计1341.76万元，其中：一般公共预算财政拨款收入1134.41万元，占84.55</w:t>
      </w:r>
      <w:r>
        <w:rPr>
          <w:rFonts w:ascii="仿宋" w:hAnsi="仿宋" w:eastAsia="仿宋"/>
          <w:sz w:val="32"/>
          <w:szCs w:val="32"/>
        </w:rPr>
        <w:t>%</w:t>
      </w:r>
      <w:r>
        <w:rPr>
          <w:rFonts w:hint="eastAsia" w:ascii="仿宋" w:hAnsi="仿宋" w:eastAsia="仿宋"/>
          <w:sz w:val="32"/>
          <w:szCs w:val="32"/>
        </w:rPr>
        <w:t>；政府性基金预算财政拨款收入64.91万元，占4.84</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；其他收入0.11万元，占0.01</w:t>
      </w:r>
      <w:r>
        <w:rPr>
          <w:rFonts w:ascii="仿宋" w:hAnsi="仿宋" w:eastAsia="仿宋"/>
          <w:sz w:val="32"/>
          <w:szCs w:val="32"/>
        </w:rPr>
        <w:t>%</w:t>
      </w:r>
      <w:r>
        <w:rPr>
          <w:rFonts w:hint="eastAsia" w:ascii="仿宋" w:hAnsi="仿宋" w:eastAsia="仿宋"/>
          <w:sz w:val="32"/>
          <w:szCs w:val="32"/>
        </w:rPr>
        <w:t>。</w:t>
      </w:r>
    </w:p>
    <w:p>
      <w:pPr>
        <w:ind w:firstLine="640" w:firstLineChars="200"/>
        <w:outlineLvl w:val="1"/>
        <w:rPr>
          <w:rFonts w:ascii="仿宋_GB2312" w:eastAsia="仿宋_GB2312"/>
          <w:sz w:val="32"/>
          <w:szCs w:val="32"/>
        </w:rPr>
      </w:pPr>
      <w:r>
        <w:rPr>
          <w:rFonts w:hint="eastAsia" w:ascii="仿宋_GB2312" w:eastAsia="仿宋_GB2312"/>
          <w:sz w:val="32"/>
          <w:szCs w:val="32"/>
        </w:rPr>
        <w:drawing>
          <wp:inline distT="0" distB="0" distL="114300" distR="114300">
            <wp:extent cx="4590415" cy="2761615"/>
            <wp:effectExtent l="0" t="0" r="635" b="635"/>
            <wp:docPr id="4" name="图片 4"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2"/>
                    <pic:cNvPicPr>
                      <a:picLocks noChangeAspect="1"/>
                    </pic:cNvPicPr>
                  </pic:nvPicPr>
                  <pic:blipFill>
                    <a:blip r:embed="rId7"/>
                    <a:stretch>
                      <a:fillRect/>
                    </a:stretch>
                  </pic:blipFill>
                  <pic:spPr>
                    <a:xfrm>
                      <a:off x="0" y="0"/>
                      <a:ext cx="4590415" cy="2761615"/>
                    </a:xfrm>
                    <a:prstGeom prst="rect">
                      <a:avLst/>
                    </a:prstGeom>
                  </pic:spPr>
                </pic:pic>
              </a:graphicData>
            </a:graphic>
          </wp:inline>
        </w:drawing>
      </w:r>
    </w:p>
    <w:p>
      <w:pPr>
        <w:pStyle w:val="24"/>
        <w:numPr>
          <w:ilvl w:val="0"/>
          <w:numId w:val="1"/>
        </w:numPr>
        <w:spacing w:line="600" w:lineRule="exact"/>
        <w:ind w:firstLineChars="0"/>
        <w:outlineLvl w:val="1"/>
        <w:rPr>
          <w:rStyle w:val="26"/>
          <w:rFonts w:ascii="黑体" w:hAnsi="黑体" w:eastAsia="黑体"/>
          <w:b w:val="0"/>
        </w:rPr>
      </w:pPr>
      <w:bookmarkStart w:id="40" w:name="_Toc2876"/>
      <w:bookmarkStart w:id="41" w:name="_Toc15396605"/>
      <w:bookmarkStart w:id="42" w:name="_Toc15377207"/>
      <w:bookmarkStart w:id="43" w:name="_Toc636"/>
      <w:r>
        <w:rPr>
          <w:rFonts w:hint="eastAsia" w:ascii="黑体" w:hAnsi="黑体" w:eastAsia="黑体"/>
          <w:sz w:val="32"/>
          <w:szCs w:val="32"/>
        </w:rPr>
        <w:t>支</w:t>
      </w:r>
      <w:r>
        <w:rPr>
          <w:rStyle w:val="26"/>
          <w:rFonts w:hint="eastAsia" w:ascii="黑体" w:hAnsi="黑体" w:eastAsia="黑体"/>
          <w:b w:val="0"/>
        </w:rPr>
        <w:t>出决算情况说明</w:t>
      </w:r>
      <w:bookmarkEnd w:id="40"/>
      <w:bookmarkEnd w:id="41"/>
      <w:bookmarkEnd w:id="42"/>
      <w:bookmarkEnd w:id="4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21年本年支出合计1341.76万元，其中：基本支出839.93万元，占62.60</w:t>
      </w:r>
      <w:r>
        <w:rPr>
          <w:rFonts w:ascii="仿宋" w:hAnsi="仿宋" w:eastAsia="仿宋"/>
          <w:sz w:val="32"/>
          <w:szCs w:val="32"/>
        </w:rPr>
        <w:t>%</w:t>
      </w:r>
      <w:r>
        <w:rPr>
          <w:rFonts w:hint="eastAsia" w:ascii="仿宋" w:hAnsi="仿宋" w:eastAsia="仿宋"/>
          <w:sz w:val="32"/>
          <w:szCs w:val="32"/>
        </w:rPr>
        <w:t>；项目支出501.84万元，占37.40</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p>
    <w:p>
      <w:pPr>
        <w:pStyle w:val="2"/>
        <w:spacing w:before="93"/>
      </w:pPr>
    </w:p>
    <w:p>
      <w:pPr>
        <w:ind w:firstLine="640"/>
        <w:rPr>
          <w:rFonts w:ascii="仿宋" w:hAnsi="仿宋" w:eastAsia="仿宋"/>
          <w:sz w:val="32"/>
          <w:szCs w:val="32"/>
          <w:shd w:val="pct10" w:color="auto" w:fill="FFFFFF"/>
        </w:rPr>
      </w:pPr>
      <w:r>
        <w:rPr>
          <w:rFonts w:hint="eastAsia" w:ascii="仿宋" w:hAnsi="仿宋" w:eastAsia="仿宋"/>
          <w:sz w:val="32"/>
          <w:szCs w:val="32"/>
          <w:shd w:val="pct10" w:color="auto" w:fill="FFFFFF"/>
        </w:rPr>
        <w:drawing>
          <wp:inline distT="0" distB="0" distL="114300" distR="114300">
            <wp:extent cx="4590415" cy="2761615"/>
            <wp:effectExtent l="0" t="0" r="635" b="635"/>
            <wp:docPr id="5" name="图片 5" descr="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3"/>
                    <pic:cNvPicPr>
                      <a:picLocks noChangeAspect="1"/>
                    </pic:cNvPicPr>
                  </pic:nvPicPr>
                  <pic:blipFill>
                    <a:blip r:embed="rId8"/>
                    <a:stretch>
                      <a:fillRect/>
                    </a:stretch>
                  </pic:blipFill>
                  <pic:spPr>
                    <a:xfrm>
                      <a:off x="0" y="0"/>
                      <a:ext cx="4590415" cy="2761615"/>
                    </a:xfrm>
                    <a:prstGeom prst="rect">
                      <a:avLst/>
                    </a:prstGeom>
                  </pic:spPr>
                </pic:pic>
              </a:graphicData>
            </a:graphic>
          </wp:inline>
        </w:drawing>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6"/>
          <w:rFonts w:ascii="黑体" w:hAnsi="黑体" w:eastAsia="黑体"/>
          <w:b w:val="0"/>
        </w:rPr>
      </w:pPr>
      <w:bookmarkStart w:id="44" w:name="_Toc15377208"/>
      <w:bookmarkStart w:id="45" w:name="_Toc18364"/>
      <w:bookmarkStart w:id="46" w:name="_Toc18188"/>
      <w:bookmarkStart w:id="47" w:name="_Toc15396606"/>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44"/>
      <w:bookmarkEnd w:id="45"/>
      <w:bookmarkEnd w:id="46"/>
      <w:bookmarkEnd w:id="47"/>
    </w:p>
    <w:p>
      <w:pPr>
        <w:ind w:firstLine="640" w:firstLineChars="200"/>
        <w:rPr>
          <w:rFonts w:ascii="仿宋" w:hAnsi="仿宋" w:eastAsia="仿宋"/>
          <w:color w:val="000000"/>
          <w:sz w:val="32"/>
          <w:szCs w:val="32"/>
        </w:rPr>
      </w:pPr>
      <w:r>
        <w:rPr>
          <w:rFonts w:ascii="仿宋" w:hAnsi="仿宋" w:eastAsia="仿宋"/>
          <w:sz w:val="32"/>
          <w:szCs w:val="32"/>
        </w:rPr>
        <w:t>20</w:t>
      </w:r>
      <w:r>
        <w:rPr>
          <w:rFonts w:hint="eastAsia" w:ascii="仿宋" w:hAnsi="仿宋" w:eastAsia="仿宋"/>
          <w:sz w:val="32"/>
          <w:szCs w:val="32"/>
        </w:rPr>
        <w:t>21年财政拨款收、支总计1341.65万元。与</w:t>
      </w:r>
      <w:r>
        <w:rPr>
          <w:rFonts w:ascii="仿宋" w:hAnsi="仿宋" w:eastAsia="仿宋"/>
          <w:sz w:val="32"/>
          <w:szCs w:val="32"/>
        </w:rPr>
        <w:t>20</w:t>
      </w:r>
      <w:r>
        <w:rPr>
          <w:rFonts w:hint="eastAsia" w:ascii="仿宋" w:hAnsi="仿宋" w:eastAsia="仿宋"/>
          <w:sz w:val="32"/>
          <w:szCs w:val="32"/>
        </w:rPr>
        <w:t>20年相比，财政拨款收、支总计各减少59.59万元，下降4.25</w:t>
      </w:r>
      <w:r>
        <w:rPr>
          <w:rFonts w:ascii="仿宋" w:hAnsi="仿宋" w:eastAsia="仿宋"/>
          <w:sz w:val="32"/>
          <w:szCs w:val="32"/>
        </w:rPr>
        <w:t>%</w:t>
      </w:r>
      <w:r>
        <w:rPr>
          <w:rFonts w:hint="eastAsia" w:ascii="仿宋" w:hAnsi="仿宋" w:eastAsia="仿宋"/>
          <w:sz w:val="32"/>
          <w:szCs w:val="32"/>
        </w:rPr>
        <w:t>。主要变动原因是项目收入减少</w:t>
      </w:r>
      <w:r>
        <w:rPr>
          <w:rFonts w:hint="eastAsia" w:ascii="仿宋_GB2312" w:eastAsia="仿宋_GB2312"/>
          <w:sz w:val="32"/>
          <w:szCs w:val="32"/>
        </w:rPr>
        <w:t>。</w:t>
      </w:r>
    </w:p>
    <w:p>
      <w:pPr>
        <w:pStyle w:val="2"/>
        <w:spacing w:before="93"/>
      </w:pPr>
    </w:p>
    <w:p>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rPr>
        <w:drawing>
          <wp:inline distT="0" distB="0" distL="114300" distR="114300">
            <wp:extent cx="4590415" cy="2761615"/>
            <wp:effectExtent l="0" t="0" r="635" b="635"/>
            <wp:docPr id="7" name="图片 7" descr="图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4"/>
                    <pic:cNvPicPr>
                      <a:picLocks noChangeAspect="1"/>
                    </pic:cNvPicPr>
                  </pic:nvPicPr>
                  <pic:blipFill>
                    <a:blip r:embed="rId9"/>
                    <a:stretch>
                      <a:fillRect/>
                    </a:stretch>
                  </pic:blipFill>
                  <pic:spPr>
                    <a:xfrm>
                      <a:off x="0" y="0"/>
                      <a:ext cx="4590415" cy="2761615"/>
                    </a:xfrm>
                    <a:prstGeom prst="rect">
                      <a:avLst/>
                    </a:prstGeom>
                  </pic:spPr>
                </pic:pic>
              </a:graphicData>
            </a:graphic>
          </wp:inline>
        </w:drawing>
      </w:r>
    </w:p>
    <w:p>
      <w:pPr>
        <w:spacing w:line="600" w:lineRule="exact"/>
        <w:rPr>
          <w:rFonts w:ascii="仿宋" w:hAnsi="仿宋" w:eastAsia="仿宋"/>
          <w:b/>
          <w:sz w:val="32"/>
          <w:szCs w:val="32"/>
        </w:rPr>
      </w:pPr>
    </w:p>
    <w:p>
      <w:pPr>
        <w:spacing w:line="600" w:lineRule="exact"/>
        <w:ind w:firstLine="640" w:firstLineChars="200"/>
        <w:outlineLvl w:val="1"/>
        <w:rPr>
          <w:rStyle w:val="26"/>
          <w:rFonts w:ascii="黑体" w:hAnsi="黑体" w:eastAsia="黑体"/>
          <w:b w:val="0"/>
        </w:rPr>
      </w:pPr>
      <w:bookmarkStart w:id="48" w:name="_Toc15396607"/>
      <w:bookmarkStart w:id="49" w:name="_Toc15377209"/>
      <w:bookmarkStart w:id="50" w:name="_Toc26678"/>
      <w:bookmarkStart w:id="51" w:name="_Toc25301"/>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48"/>
      <w:bookmarkEnd w:id="49"/>
      <w:bookmarkEnd w:id="50"/>
      <w:bookmarkEnd w:id="51"/>
    </w:p>
    <w:p>
      <w:pPr>
        <w:spacing w:line="600" w:lineRule="exact"/>
        <w:ind w:firstLine="642" w:firstLineChars="200"/>
        <w:outlineLvl w:val="2"/>
        <w:rPr>
          <w:rFonts w:ascii="仿宋" w:hAnsi="仿宋" w:eastAsia="仿宋"/>
          <w:b/>
          <w:sz w:val="32"/>
          <w:szCs w:val="32"/>
        </w:rPr>
      </w:pPr>
      <w:bookmarkStart w:id="52" w:name="_Toc15377210"/>
      <w:r>
        <w:rPr>
          <w:rFonts w:hint="eastAsia" w:ascii="仿宋" w:hAnsi="仿宋" w:eastAsia="仿宋"/>
          <w:b/>
          <w:sz w:val="32"/>
          <w:szCs w:val="32"/>
        </w:rPr>
        <w:t>（一）一般公共预算财政拨款支出决算总体情况</w:t>
      </w:r>
      <w:bookmarkEnd w:id="52"/>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2021年一般公共预算财政拨款支出1249.99万元，占本年支出合计的93.16%。与2020年相比，一般公共预算财政拨款支出增加24.47万元，上升2.02%。主要变动原因是</w:t>
      </w:r>
      <w:r>
        <w:rPr>
          <w:rFonts w:hint="eastAsia" w:ascii="仿宋" w:hAnsi="仿宋" w:eastAsia="仿宋" w:cs="仿宋"/>
          <w:color w:val="000000"/>
          <w:sz w:val="32"/>
          <w:szCs w:val="32"/>
        </w:rPr>
        <w:t>在编人员人数增加，相应经费增加。</w:t>
      </w:r>
    </w:p>
    <w:p>
      <w:pPr>
        <w:spacing w:line="600" w:lineRule="exact"/>
        <w:ind w:firstLine="640" w:firstLineChars="200"/>
        <w:rPr>
          <w:rFonts w:ascii="仿宋" w:hAnsi="仿宋" w:eastAsia="仿宋"/>
          <w:color w:val="FF0000"/>
          <w:sz w:val="32"/>
          <w:szCs w:val="32"/>
        </w:rPr>
      </w:pPr>
    </w:p>
    <w:p>
      <w:pPr>
        <w:ind w:firstLine="640" w:firstLineChars="200"/>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rPr>
        <w:drawing>
          <wp:inline distT="0" distB="0" distL="114300" distR="114300">
            <wp:extent cx="4590415" cy="2761615"/>
            <wp:effectExtent l="0" t="0" r="635" b="635"/>
            <wp:docPr id="10" name="图片 10" descr="图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5"/>
                    <pic:cNvPicPr>
                      <a:picLocks noChangeAspect="1"/>
                    </pic:cNvPicPr>
                  </pic:nvPicPr>
                  <pic:blipFill>
                    <a:blip r:embed="rId10"/>
                    <a:stretch>
                      <a:fillRect/>
                    </a:stretch>
                  </pic:blipFill>
                  <pic:spPr>
                    <a:xfrm>
                      <a:off x="0" y="0"/>
                      <a:ext cx="4590415" cy="2761615"/>
                    </a:xfrm>
                    <a:prstGeom prst="rect">
                      <a:avLst/>
                    </a:prstGeom>
                  </pic:spPr>
                </pic:pic>
              </a:graphicData>
            </a:graphic>
          </wp:inline>
        </w:drawing>
      </w:r>
    </w:p>
    <w:p>
      <w:pPr>
        <w:spacing w:line="600" w:lineRule="exact"/>
        <w:ind w:firstLine="642" w:firstLineChars="200"/>
        <w:outlineLvl w:val="2"/>
        <w:rPr>
          <w:rFonts w:ascii="仿宋" w:hAnsi="仿宋" w:eastAsia="仿宋"/>
          <w:b/>
          <w:sz w:val="32"/>
          <w:szCs w:val="32"/>
        </w:rPr>
      </w:pPr>
      <w:bookmarkStart w:id="53" w:name="_Toc15377211"/>
      <w:r>
        <w:rPr>
          <w:rFonts w:hint="eastAsia" w:ascii="仿宋" w:hAnsi="仿宋" w:eastAsia="仿宋"/>
          <w:b/>
          <w:sz w:val="32"/>
          <w:szCs w:val="32"/>
        </w:rPr>
        <w:t>（二）一般公共预算财政拨款支出决算结构情况</w:t>
      </w:r>
      <w:bookmarkEnd w:id="53"/>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21年一般公共预算财政拨款支出1249.99万元，主要用于以下方面</w:t>
      </w:r>
      <w:r>
        <w:rPr>
          <w:rFonts w:ascii="仿宋" w:hAnsi="仿宋" w:eastAsia="仿宋"/>
          <w:sz w:val="32"/>
          <w:szCs w:val="32"/>
        </w:rPr>
        <w:t>:</w:t>
      </w:r>
      <w:r>
        <w:rPr>
          <w:rFonts w:hint="eastAsia" w:ascii="仿宋" w:hAnsi="仿宋" w:eastAsia="仿宋"/>
          <w:b/>
          <w:sz w:val="32"/>
          <w:szCs w:val="32"/>
        </w:rPr>
        <w:t>一般公共服务（类）</w:t>
      </w:r>
      <w:r>
        <w:rPr>
          <w:rFonts w:hint="eastAsia" w:ascii="仿宋" w:hAnsi="仿宋" w:eastAsia="仿宋"/>
          <w:sz w:val="32"/>
          <w:szCs w:val="32"/>
        </w:rPr>
        <w:t>支出941.14万元，占75.29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文化旅游体育与传媒（类）</w:t>
      </w:r>
      <w:r>
        <w:rPr>
          <w:rFonts w:hint="eastAsia" w:ascii="仿宋" w:hAnsi="仿宋" w:eastAsia="仿宋"/>
          <w:sz w:val="32"/>
          <w:szCs w:val="32"/>
        </w:rPr>
        <w:t>支出5.60万元，占0.45%；</w:t>
      </w:r>
      <w:r>
        <w:rPr>
          <w:rFonts w:hint="eastAsia" w:ascii="仿宋" w:hAnsi="仿宋" w:eastAsia="仿宋"/>
          <w:b/>
          <w:sz w:val="32"/>
          <w:szCs w:val="32"/>
        </w:rPr>
        <w:t>社会保障和就业（类）</w:t>
      </w:r>
      <w:r>
        <w:rPr>
          <w:rFonts w:hint="eastAsia" w:ascii="仿宋" w:hAnsi="仿宋" w:eastAsia="仿宋"/>
          <w:sz w:val="32"/>
          <w:szCs w:val="32"/>
        </w:rPr>
        <w:t>支出75.50万元，占6.04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w:t>
      </w:r>
      <w:r>
        <w:rPr>
          <w:rFonts w:hint="eastAsia" w:ascii="仿宋" w:hAnsi="仿宋" w:eastAsia="仿宋"/>
          <w:b/>
          <w:sz w:val="32"/>
          <w:szCs w:val="32"/>
        </w:rPr>
        <w:t>（类）</w:t>
      </w:r>
      <w:r>
        <w:rPr>
          <w:rFonts w:hint="eastAsia" w:ascii="仿宋" w:hAnsi="仿宋" w:eastAsia="仿宋"/>
          <w:sz w:val="32"/>
          <w:szCs w:val="32"/>
        </w:rPr>
        <w:t>支出21.32万元，占1.71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31.31万元，占2.50</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drawing>
          <wp:inline distT="0" distB="0" distL="114300" distR="114300">
            <wp:extent cx="4590415" cy="2761615"/>
            <wp:effectExtent l="0" t="0" r="635" b="635"/>
            <wp:docPr id="11" name="图片 11" descr="图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6"/>
                    <pic:cNvPicPr>
                      <a:picLocks noChangeAspect="1"/>
                    </pic:cNvPicPr>
                  </pic:nvPicPr>
                  <pic:blipFill>
                    <a:blip r:embed="rId11"/>
                    <a:stretch>
                      <a:fillRect/>
                    </a:stretch>
                  </pic:blipFill>
                  <pic:spPr>
                    <a:xfrm>
                      <a:off x="0" y="0"/>
                      <a:ext cx="4590415" cy="2761615"/>
                    </a:xfrm>
                    <a:prstGeom prst="rect">
                      <a:avLst/>
                    </a:prstGeom>
                  </pic:spPr>
                </pic:pic>
              </a:graphicData>
            </a:graphic>
          </wp:inline>
        </w:drawing>
      </w:r>
    </w:p>
    <w:p>
      <w:pPr>
        <w:spacing w:line="600" w:lineRule="exact"/>
        <w:ind w:firstLine="642" w:firstLineChars="200"/>
        <w:outlineLvl w:val="2"/>
        <w:rPr>
          <w:rFonts w:ascii="仿宋" w:hAnsi="仿宋" w:eastAsia="仿宋"/>
          <w:b/>
          <w:sz w:val="32"/>
          <w:szCs w:val="32"/>
        </w:rPr>
      </w:pPr>
      <w:bookmarkStart w:id="54" w:name="_Toc15377212"/>
      <w:r>
        <w:rPr>
          <w:rFonts w:hint="eastAsia" w:ascii="仿宋" w:hAnsi="仿宋" w:eastAsia="仿宋"/>
          <w:b/>
          <w:sz w:val="32"/>
          <w:szCs w:val="32"/>
        </w:rPr>
        <w:t>（三）一般公共预算财政拨款支出决算具体情况</w:t>
      </w:r>
      <w:bookmarkEnd w:id="54"/>
    </w:p>
    <w:p>
      <w:pPr>
        <w:spacing w:line="600" w:lineRule="exact"/>
        <w:ind w:firstLine="642" w:firstLineChars="200"/>
        <w:outlineLvl w:val="2"/>
        <w:rPr>
          <w:rFonts w:ascii="仿宋" w:hAnsi="仿宋" w:eastAsia="仿宋"/>
          <w:sz w:val="32"/>
          <w:szCs w:val="32"/>
        </w:rPr>
      </w:pPr>
      <w:bookmarkStart w:id="55" w:name="_Toc15377444"/>
      <w:bookmarkStart w:id="56" w:name="_Toc15377213"/>
      <w:bookmarkStart w:id="57" w:name="_Toc15378460"/>
      <w:r>
        <w:rPr>
          <w:rFonts w:hint="eastAsia" w:ascii="仿宋" w:hAnsi="仿宋" w:eastAsia="仿宋"/>
          <w:b/>
          <w:sz w:val="32"/>
          <w:szCs w:val="32"/>
        </w:rPr>
        <w:t>2021年一般公共预算支出决算数为</w:t>
      </w:r>
      <w:r>
        <w:rPr>
          <w:rFonts w:hint="eastAsia" w:ascii="仿宋" w:hAnsi="仿宋" w:eastAsia="仿宋"/>
          <w:sz w:val="32"/>
          <w:szCs w:val="32"/>
        </w:rPr>
        <w:t>1249.99，</w:t>
      </w:r>
      <w:r>
        <w:rPr>
          <w:rStyle w:val="15"/>
          <w:rFonts w:hint="eastAsia" w:ascii="仿宋" w:hAnsi="仿宋" w:eastAsia="仿宋"/>
          <w:bCs/>
          <w:sz w:val="32"/>
          <w:szCs w:val="32"/>
        </w:rPr>
        <w:t>完成预算93.16</w:t>
      </w:r>
      <w:r>
        <w:rPr>
          <w:rStyle w:val="15"/>
          <w:rFonts w:ascii="仿宋" w:hAnsi="仿宋" w:eastAsia="仿宋"/>
          <w:bCs/>
          <w:sz w:val="32"/>
          <w:szCs w:val="32"/>
        </w:rPr>
        <w:t>%</w:t>
      </w:r>
      <w:r>
        <w:rPr>
          <w:rStyle w:val="15"/>
          <w:rFonts w:hint="eastAsia" w:ascii="仿宋" w:hAnsi="仿宋" w:eastAsia="仿宋"/>
          <w:bCs/>
          <w:sz w:val="32"/>
          <w:szCs w:val="32"/>
        </w:rPr>
        <w:t>。其中：</w:t>
      </w:r>
      <w:bookmarkEnd w:id="55"/>
      <w:bookmarkEnd w:id="56"/>
      <w:bookmarkEnd w:id="57"/>
    </w:p>
    <w:p>
      <w:pPr>
        <w:spacing w:line="600" w:lineRule="exact"/>
        <w:ind w:firstLine="642" w:firstLineChars="200"/>
        <w:rPr>
          <w:rFonts w:ascii="仿宋" w:hAnsi="仿宋" w:eastAsia="仿宋"/>
          <w:b/>
          <w:sz w:val="32"/>
          <w:szCs w:val="32"/>
        </w:rPr>
      </w:pPr>
      <w:r>
        <w:rPr>
          <w:rStyle w:val="15"/>
          <w:rFonts w:ascii="仿宋" w:hAnsi="仿宋" w:eastAsia="仿宋"/>
          <w:bCs/>
          <w:sz w:val="32"/>
          <w:szCs w:val="32"/>
        </w:rPr>
        <w:t>1.</w:t>
      </w:r>
      <w:r>
        <w:rPr>
          <w:rStyle w:val="15"/>
          <w:rFonts w:hint="eastAsia" w:ascii="仿宋" w:hAnsi="仿宋" w:eastAsia="仿宋"/>
          <w:bCs/>
          <w:sz w:val="32"/>
          <w:szCs w:val="32"/>
        </w:rPr>
        <w:t>一般公共服务（类）</w:t>
      </w:r>
      <w:r>
        <w:rPr>
          <w:rStyle w:val="15"/>
          <w:rFonts w:hint="eastAsia" w:ascii="仿宋" w:hAnsi="仿宋" w:eastAsia="仿宋"/>
          <w:bCs/>
          <w:color w:val="000000"/>
          <w:sz w:val="32"/>
          <w:szCs w:val="32"/>
        </w:rPr>
        <w:t>政府办公厅（室）及相关机构事务</w:t>
      </w:r>
      <w:r>
        <w:rPr>
          <w:rStyle w:val="15"/>
          <w:rFonts w:hint="eastAsia" w:ascii="仿宋" w:hAnsi="仿宋" w:eastAsia="仿宋"/>
          <w:bCs/>
          <w:sz w:val="32"/>
          <w:szCs w:val="32"/>
        </w:rPr>
        <w:t>（款）行政运行（项）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支出决算为136.86万元，完成预算10.95</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5"/>
          <w:rFonts w:ascii="仿宋" w:hAnsi="仿宋" w:eastAsia="仿宋"/>
          <w:bCs/>
          <w:sz w:val="32"/>
          <w:szCs w:val="32"/>
        </w:rPr>
        <w:t>2.</w:t>
      </w:r>
      <w:r>
        <w:rPr>
          <w:rStyle w:val="15"/>
          <w:rFonts w:hint="eastAsia" w:ascii="仿宋" w:hAnsi="仿宋" w:eastAsia="仿宋"/>
          <w:bCs/>
          <w:sz w:val="32"/>
          <w:szCs w:val="32"/>
        </w:rPr>
        <w:t>般公共服务（类）</w:t>
      </w:r>
      <w:r>
        <w:rPr>
          <w:rStyle w:val="15"/>
          <w:rFonts w:hint="eastAsia" w:ascii="仿宋" w:hAnsi="仿宋" w:eastAsia="仿宋"/>
          <w:bCs/>
          <w:color w:val="000000"/>
          <w:sz w:val="32"/>
          <w:szCs w:val="32"/>
        </w:rPr>
        <w:t>政府办公厅（室）及相关机构事务</w:t>
      </w:r>
      <w:r>
        <w:rPr>
          <w:rStyle w:val="15"/>
          <w:rFonts w:hint="eastAsia" w:ascii="仿宋" w:hAnsi="仿宋" w:eastAsia="仿宋"/>
          <w:bCs/>
          <w:sz w:val="32"/>
          <w:szCs w:val="32"/>
        </w:rPr>
        <w:t>（款）一般行政管理事务（项）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支出决算为171.96万元，完成预算13.76</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2" w:firstLineChars="200"/>
        <w:rPr>
          <w:rStyle w:val="15"/>
          <w:rFonts w:ascii="仿宋" w:hAnsi="仿宋" w:eastAsia="仿宋"/>
          <w:b w:val="0"/>
          <w:bCs/>
          <w:sz w:val="32"/>
          <w:szCs w:val="32"/>
        </w:rPr>
      </w:pPr>
      <w:r>
        <w:rPr>
          <w:rStyle w:val="15"/>
          <w:rFonts w:ascii="仿宋" w:hAnsi="仿宋" w:eastAsia="仿宋"/>
          <w:bCs/>
          <w:sz w:val="32"/>
          <w:szCs w:val="32"/>
        </w:rPr>
        <w:t>3.</w:t>
      </w:r>
      <w:r>
        <w:rPr>
          <w:rStyle w:val="15"/>
          <w:rFonts w:hint="eastAsia" w:ascii="仿宋" w:hAnsi="仿宋" w:eastAsia="仿宋"/>
          <w:bCs/>
          <w:sz w:val="32"/>
          <w:szCs w:val="32"/>
        </w:rPr>
        <w:t>一般公共服务（类）</w:t>
      </w:r>
      <w:r>
        <w:rPr>
          <w:rStyle w:val="15"/>
          <w:rFonts w:hint="eastAsia" w:ascii="仿宋" w:hAnsi="仿宋" w:eastAsia="仿宋"/>
          <w:bCs/>
          <w:color w:val="000000"/>
          <w:sz w:val="32"/>
          <w:szCs w:val="32"/>
        </w:rPr>
        <w:t>政府办公厅（室）及相关机构事务</w:t>
      </w:r>
      <w:r>
        <w:rPr>
          <w:rStyle w:val="15"/>
          <w:rFonts w:hint="eastAsia" w:ascii="仿宋" w:hAnsi="仿宋" w:eastAsia="仿宋"/>
          <w:bCs/>
          <w:sz w:val="32"/>
          <w:szCs w:val="32"/>
        </w:rPr>
        <w:t>（款）信访事务（项）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支出决算为2.00万元，完成预算0.16</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2" w:firstLineChars="200"/>
        <w:rPr>
          <w:rStyle w:val="15"/>
          <w:rFonts w:ascii="仿宋" w:hAnsi="仿宋" w:eastAsia="仿宋"/>
          <w:b w:val="0"/>
          <w:bCs/>
          <w:sz w:val="32"/>
          <w:szCs w:val="32"/>
        </w:rPr>
      </w:pPr>
      <w:r>
        <w:rPr>
          <w:rStyle w:val="15"/>
          <w:rFonts w:hint="eastAsia" w:ascii="仿宋" w:hAnsi="仿宋" w:eastAsia="仿宋"/>
          <w:bCs/>
          <w:sz w:val="32"/>
          <w:szCs w:val="32"/>
        </w:rPr>
        <w:t>4</w:t>
      </w:r>
      <w:r>
        <w:rPr>
          <w:rStyle w:val="15"/>
          <w:rFonts w:ascii="仿宋" w:hAnsi="仿宋" w:eastAsia="仿宋"/>
          <w:bCs/>
          <w:sz w:val="32"/>
          <w:szCs w:val="32"/>
        </w:rPr>
        <w:t>.</w:t>
      </w:r>
      <w:r>
        <w:rPr>
          <w:rStyle w:val="15"/>
          <w:rFonts w:hint="eastAsia" w:ascii="仿宋" w:hAnsi="仿宋" w:eastAsia="仿宋"/>
          <w:bCs/>
          <w:sz w:val="32"/>
          <w:szCs w:val="32"/>
        </w:rPr>
        <w:t>一般公共服务（类）</w:t>
      </w:r>
      <w:r>
        <w:rPr>
          <w:rStyle w:val="15"/>
          <w:rFonts w:hint="eastAsia" w:ascii="仿宋" w:hAnsi="仿宋" w:eastAsia="仿宋"/>
          <w:bCs/>
          <w:color w:val="000000"/>
          <w:sz w:val="32"/>
          <w:szCs w:val="32"/>
        </w:rPr>
        <w:t>政府办公厅（室）及相关机构事务</w:t>
      </w:r>
      <w:r>
        <w:rPr>
          <w:rStyle w:val="15"/>
          <w:rFonts w:hint="eastAsia" w:ascii="仿宋" w:hAnsi="仿宋" w:eastAsia="仿宋"/>
          <w:bCs/>
          <w:sz w:val="32"/>
          <w:szCs w:val="32"/>
        </w:rPr>
        <w:t>（款）事业运行（项）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支出决算为134.80万元，完成预算10.78</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2" w:firstLineChars="200"/>
        <w:rPr>
          <w:rStyle w:val="15"/>
          <w:rFonts w:ascii="仿宋" w:hAnsi="仿宋" w:eastAsia="仿宋"/>
          <w:b w:val="0"/>
          <w:bCs/>
          <w:sz w:val="32"/>
          <w:szCs w:val="32"/>
        </w:rPr>
      </w:pPr>
      <w:r>
        <w:rPr>
          <w:rStyle w:val="15"/>
          <w:rFonts w:hint="eastAsia" w:ascii="仿宋" w:hAnsi="仿宋" w:eastAsia="仿宋"/>
          <w:bCs/>
          <w:sz w:val="32"/>
          <w:szCs w:val="32"/>
        </w:rPr>
        <w:t>5</w:t>
      </w:r>
      <w:r>
        <w:rPr>
          <w:rStyle w:val="15"/>
          <w:rFonts w:ascii="仿宋" w:hAnsi="仿宋" w:eastAsia="仿宋"/>
          <w:bCs/>
          <w:sz w:val="32"/>
          <w:szCs w:val="32"/>
        </w:rPr>
        <w:t>.</w:t>
      </w:r>
      <w:r>
        <w:rPr>
          <w:rStyle w:val="15"/>
          <w:rFonts w:hint="eastAsia" w:ascii="仿宋" w:hAnsi="仿宋" w:eastAsia="仿宋"/>
          <w:bCs/>
          <w:sz w:val="32"/>
          <w:szCs w:val="32"/>
        </w:rPr>
        <w:t>一般公共服务（类）</w:t>
      </w:r>
      <w:r>
        <w:rPr>
          <w:rStyle w:val="15"/>
          <w:rFonts w:hint="eastAsia" w:ascii="仿宋" w:hAnsi="仿宋" w:eastAsia="仿宋"/>
          <w:bCs/>
          <w:color w:val="000000"/>
          <w:sz w:val="32"/>
          <w:szCs w:val="32"/>
        </w:rPr>
        <w:t>政府办公厅（室）及相关机构事务</w:t>
      </w:r>
      <w:r>
        <w:rPr>
          <w:rStyle w:val="15"/>
          <w:rFonts w:hint="eastAsia" w:ascii="仿宋" w:hAnsi="仿宋" w:eastAsia="仿宋"/>
          <w:bCs/>
          <w:sz w:val="32"/>
          <w:szCs w:val="32"/>
        </w:rPr>
        <w:t>（款）  其他政府办公厅（室）及相关机构事务支出（项）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支出决算为487.47万元，完成预算39.00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2" w:firstLineChars="200"/>
        <w:rPr>
          <w:rStyle w:val="15"/>
          <w:rFonts w:ascii="仿宋" w:hAnsi="仿宋" w:eastAsia="仿宋"/>
          <w:b w:val="0"/>
          <w:bCs/>
          <w:sz w:val="32"/>
          <w:szCs w:val="32"/>
        </w:rPr>
      </w:pPr>
      <w:r>
        <w:rPr>
          <w:rStyle w:val="15"/>
          <w:rFonts w:hint="eastAsia" w:ascii="仿宋" w:hAnsi="仿宋" w:eastAsia="仿宋"/>
          <w:bCs/>
          <w:sz w:val="32"/>
          <w:szCs w:val="32"/>
        </w:rPr>
        <w:t>6</w:t>
      </w:r>
      <w:r>
        <w:rPr>
          <w:rStyle w:val="15"/>
          <w:rFonts w:ascii="仿宋" w:hAnsi="仿宋" w:eastAsia="仿宋"/>
          <w:bCs/>
          <w:sz w:val="32"/>
          <w:szCs w:val="32"/>
        </w:rPr>
        <w:t>.</w:t>
      </w:r>
      <w:r>
        <w:rPr>
          <w:rStyle w:val="15"/>
          <w:rFonts w:hint="eastAsia" w:ascii="仿宋" w:hAnsi="仿宋" w:eastAsia="仿宋"/>
          <w:bCs/>
          <w:sz w:val="32"/>
          <w:szCs w:val="32"/>
        </w:rPr>
        <w:t>一般公共服务（类）</w:t>
      </w:r>
      <w:r>
        <w:rPr>
          <w:rStyle w:val="15"/>
          <w:rFonts w:hint="eastAsia" w:ascii="仿宋" w:hAnsi="仿宋" w:eastAsia="仿宋"/>
          <w:bCs/>
          <w:color w:val="000000"/>
          <w:sz w:val="32"/>
          <w:szCs w:val="32"/>
        </w:rPr>
        <w:t>统计信息事务</w:t>
      </w:r>
      <w:r>
        <w:rPr>
          <w:rStyle w:val="15"/>
          <w:rFonts w:hint="eastAsia" w:ascii="仿宋" w:hAnsi="仿宋" w:eastAsia="仿宋"/>
          <w:bCs/>
          <w:sz w:val="32"/>
          <w:szCs w:val="32"/>
        </w:rPr>
        <w:t>（款）专项统计业务（项）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支出决算为6.30万元，完成预算0.50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2" w:firstLineChars="200"/>
        <w:rPr>
          <w:rStyle w:val="15"/>
          <w:rFonts w:ascii="仿宋" w:hAnsi="仿宋" w:eastAsia="仿宋"/>
          <w:b w:val="0"/>
          <w:bCs/>
          <w:sz w:val="32"/>
          <w:szCs w:val="32"/>
        </w:rPr>
      </w:pPr>
      <w:r>
        <w:rPr>
          <w:rStyle w:val="15"/>
          <w:rFonts w:hint="eastAsia" w:ascii="仿宋" w:hAnsi="仿宋" w:eastAsia="仿宋"/>
          <w:bCs/>
          <w:sz w:val="32"/>
          <w:szCs w:val="32"/>
        </w:rPr>
        <w:t>7</w:t>
      </w:r>
      <w:r>
        <w:rPr>
          <w:rStyle w:val="15"/>
          <w:rFonts w:ascii="仿宋" w:hAnsi="仿宋" w:eastAsia="仿宋"/>
          <w:bCs/>
          <w:sz w:val="32"/>
          <w:szCs w:val="32"/>
        </w:rPr>
        <w:t>.</w:t>
      </w:r>
      <w:r>
        <w:rPr>
          <w:rStyle w:val="15"/>
          <w:rFonts w:hint="eastAsia" w:ascii="仿宋" w:hAnsi="仿宋" w:eastAsia="仿宋"/>
          <w:bCs/>
          <w:sz w:val="32"/>
          <w:szCs w:val="32"/>
        </w:rPr>
        <w:t>一般公共服务（类）</w:t>
      </w:r>
      <w:r>
        <w:rPr>
          <w:rStyle w:val="15"/>
          <w:rFonts w:hint="eastAsia" w:ascii="仿宋" w:hAnsi="仿宋" w:eastAsia="仿宋"/>
          <w:bCs/>
          <w:color w:val="000000"/>
          <w:sz w:val="32"/>
          <w:szCs w:val="32"/>
        </w:rPr>
        <w:t>其他共产党事务支出</w:t>
      </w:r>
      <w:r>
        <w:rPr>
          <w:rStyle w:val="15"/>
          <w:rFonts w:hint="eastAsia" w:ascii="仿宋" w:hAnsi="仿宋" w:eastAsia="仿宋"/>
          <w:bCs/>
          <w:sz w:val="32"/>
          <w:szCs w:val="32"/>
        </w:rPr>
        <w:t>款）一般行政管理事务（项）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支出决算为0.60万元，完成预算0.05</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2" w:firstLineChars="200"/>
        <w:rPr>
          <w:rStyle w:val="15"/>
          <w:rFonts w:ascii="仿宋" w:hAnsi="仿宋" w:eastAsia="仿宋"/>
          <w:b w:val="0"/>
          <w:bCs/>
          <w:sz w:val="32"/>
          <w:szCs w:val="32"/>
        </w:rPr>
      </w:pPr>
      <w:r>
        <w:rPr>
          <w:rStyle w:val="15"/>
          <w:rFonts w:hint="eastAsia" w:ascii="仿宋" w:hAnsi="仿宋" w:eastAsia="仿宋"/>
          <w:bCs/>
          <w:sz w:val="32"/>
          <w:szCs w:val="32"/>
        </w:rPr>
        <w:t>8</w:t>
      </w:r>
      <w:r>
        <w:rPr>
          <w:rStyle w:val="15"/>
          <w:rFonts w:ascii="仿宋" w:hAnsi="仿宋" w:eastAsia="仿宋"/>
          <w:bCs/>
          <w:sz w:val="32"/>
          <w:szCs w:val="32"/>
        </w:rPr>
        <w:t>.</w:t>
      </w:r>
      <w:r>
        <w:rPr>
          <w:rStyle w:val="15"/>
          <w:rFonts w:hint="eastAsia" w:ascii="仿宋" w:hAnsi="仿宋" w:eastAsia="仿宋"/>
          <w:bCs/>
          <w:sz w:val="32"/>
          <w:szCs w:val="32"/>
        </w:rPr>
        <w:t>一般公共服务（类）</w:t>
      </w:r>
      <w:r>
        <w:rPr>
          <w:rStyle w:val="15"/>
          <w:rFonts w:hint="eastAsia" w:ascii="仿宋" w:hAnsi="仿宋" w:eastAsia="仿宋"/>
          <w:bCs/>
          <w:color w:val="000000"/>
          <w:sz w:val="32"/>
          <w:szCs w:val="32"/>
        </w:rPr>
        <w:t>群众团体事务</w:t>
      </w:r>
      <w:r>
        <w:rPr>
          <w:rStyle w:val="15"/>
          <w:rFonts w:hint="eastAsia" w:ascii="仿宋" w:hAnsi="仿宋" w:eastAsia="仿宋"/>
          <w:bCs/>
          <w:sz w:val="32"/>
          <w:szCs w:val="32"/>
        </w:rPr>
        <w:t>（款）  其他群众团体事务支出（项）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支出决算为1.15万元，完成预算0.09</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2" w:firstLineChars="200"/>
        <w:rPr>
          <w:rStyle w:val="15"/>
          <w:rFonts w:ascii="仿宋" w:hAnsi="仿宋" w:eastAsia="仿宋"/>
          <w:b w:val="0"/>
          <w:bCs/>
          <w:sz w:val="32"/>
          <w:szCs w:val="32"/>
        </w:rPr>
      </w:pPr>
      <w:r>
        <w:rPr>
          <w:rStyle w:val="15"/>
          <w:rFonts w:hint="eastAsia" w:ascii="仿宋" w:hAnsi="仿宋" w:eastAsia="仿宋"/>
          <w:bCs/>
          <w:sz w:val="32"/>
          <w:szCs w:val="32"/>
        </w:rPr>
        <w:t>9</w:t>
      </w:r>
      <w:r>
        <w:rPr>
          <w:rStyle w:val="15"/>
          <w:rFonts w:ascii="仿宋" w:hAnsi="仿宋" w:eastAsia="仿宋"/>
          <w:bCs/>
          <w:sz w:val="32"/>
          <w:szCs w:val="32"/>
        </w:rPr>
        <w:t>.</w:t>
      </w:r>
      <w:r>
        <w:rPr>
          <w:rStyle w:val="15"/>
          <w:rFonts w:hint="eastAsia" w:ascii="仿宋" w:hAnsi="仿宋" w:eastAsia="仿宋"/>
          <w:bCs/>
          <w:sz w:val="32"/>
          <w:szCs w:val="32"/>
        </w:rPr>
        <w:t>文化旅游体育与传媒（类）文化和旅游（款）群众文化（项）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支出决算为0.90万元，完成预算0.07</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2" w:firstLineChars="200"/>
      </w:pPr>
      <w:r>
        <w:rPr>
          <w:rStyle w:val="15"/>
          <w:rFonts w:hint="eastAsia" w:ascii="仿宋" w:hAnsi="仿宋" w:eastAsia="仿宋"/>
          <w:bCs/>
          <w:sz w:val="32"/>
          <w:szCs w:val="32"/>
        </w:rPr>
        <w:t>10</w:t>
      </w:r>
      <w:r>
        <w:rPr>
          <w:rStyle w:val="15"/>
          <w:rFonts w:ascii="仿宋" w:hAnsi="仿宋" w:eastAsia="仿宋"/>
          <w:bCs/>
          <w:sz w:val="32"/>
          <w:szCs w:val="32"/>
        </w:rPr>
        <w:t>.</w:t>
      </w:r>
      <w:r>
        <w:rPr>
          <w:rStyle w:val="15"/>
          <w:rFonts w:hint="eastAsia" w:ascii="仿宋" w:hAnsi="仿宋" w:eastAsia="仿宋"/>
          <w:bCs/>
          <w:sz w:val="32"/>
          <w:szCs w:val="32"/>
        </w:rPr>
        <w:t>文化旅游体育与传媒（类）其他文化旅游体育与传媒支出（款）其他文化旅游体育与传媒支出（项）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支出决算为4.70万元，完成预算0.38</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5"/>
          <w:rFonts w:hint="eastAsia" w:ascii="仿宋" w:hAnsi="仿宋" w:eastAsia="仿宋"/>
          <w:bCs/>
          <w:sz w:val="32"/>
          <w:szCs w:val="32"/>
        </w:rPr>
        <w:t>11</w:t>
      </w:r>
      <w:r>
        <w:rPr>
          <w:rStyle w:val="15"/>
          <w:rFonts w:ascii="仿宋" w:hAnsi="仿宋" w:eastAsia="仿宋"/>
          <w:bCs/>
          <w:sz w:val="32"/>
          <w:szCs w:val="32"/>
        </w:rPr>
        <w:t>.</w:t>
      </w:r>
      <w:r>
        <w:rPr>
          <w:rStyle w:val="15"/>
          <w:rFonts w:hint="eastAsia" w:ascii="仿宋" w:hAnsi="仿宋" w:eastAsia="仿宋"/>
          <w:bCs/>
          <w:sz w:val="32"/>
          <w:szCs w:val="32"/>
        </w:rPr>
        <w:t>社会保障和就业（类）行政事业单位养老支出（款）  行政单位离退休（项）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支出决算为4.06万元，完成预算0.32</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5"/>
          <w:rFonts w:hint="eastAsia" w:ascii="仿宋" w:hAnsi="仿宋" w:eastAsia="仿宋"/>
          <w:bCs/>
          <w:sz w:val="32"/>
          <w:szCs w:val="32"/>
        </w:rPr>
        <w:t>12</w:t>
      </w:r>
      <w:r>
        <w:rPr>
          <w:rStyle w:val="15"/>
          <w:rFonts w:ascii="仿宋" w:hAnsi="仿宋" w:eastAsia="仿宋"/>
          <w:bCs/>
          <w:sz w:val="32"/>
          <w:szCs w:val="32"/>
        </w:rPr>
        <w:t>.</w:t>
      </w:r>
      <w:r>
        <w:rPr>
          <w:rStyle w:val="15"/>
          <w:rFonts w:hint="eastAsia" w:ascii="仿宋" w:hAnsi="仿宋" w:eastAsia="仿宋"/>
          <w:bCs/>
          <w:sz w:val="32"/>
          <w:szCs w:val="32"/>
        </w:rPr>
        <w:t>社会保障和就业（类）行政事业单位养老支出（款）      机关事业单位基本养老保险缴费支出（项）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支出决算为23.99万元，完成预算1.92</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5"/>
          <w:rFonts w:hint="eastAsia" w:ascii="仿宋" w:hAnsi="仿宋" w:eastAsia="仿宋"/>
          <w:bCs/>
          <w:sz w:val="32"/>
          <w:szCs w:val="32"/>
        </w:rPr>
        <w:t>13</w:t>
      </w:r>
      <w:r>
        <w:rPr>
          <w:rStyle w:val="15"/>
          <w:rFonts w:ascii="仿宋" w:hAnsi="仿宋" w:eastAsia="仿宋"/>
          <w:bCs/>
          <w:sz w:val="32"/>
          <w:szCs w:val="32"/>
        </w:rPr>
        <w:t>.</w:t>
      </w:r>
      <w:r>
        <w:rPr>
          <w:rStyle w:val="15"/>
          <w:rFonts w:hint="eastAsia" w:ascii="仿宋" w:hAnsi="仿宋" w:eastAsia="仿宋"/>
          <w:bCs/>
          <w:sz w:val="32"/>
          <w:szCs w:val="32"/>
        </w:rPr>
        <w:t>社会保障和就业（类）企业改革补助（款）  其他企业改革发展补助（项）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支出决算为47.45万元，完成预算3.80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5"/>
          <w:rFonts w:hint="eastAsia" w:ascii="仿宋" w:hAnsi="仿宋" w:eastAsia="仿宋"/>
          <w:bCs/>
          <w:sz w:val="32"/>
          <w:szCs w:val="32"/>
        </w:rPr>
        <w:t>14</w:t>
      </w:r>
      <w:r>
        <w:rPr>
          <w:rStyle w:val="15"/>
          <w:rFonts w:ascii="仿宋" w:hAnsi="仿宋" w:eastAsia="仿宋"/>
          <w:bCs/>
          <w:sz w:val="32"/>
          <w:szCs w:val="32"/>
        </w:rPr>
        <w:t>.</w:t>
      </w:r>
      <w:r>
        <w:rPr>
          <w:rFonts w:hint="eastAsia" w:ascii="仿宋" w:hAnsi="仿宋" w:eastAsia="仿宋"/>
          <w:b/>
          <w:bCs/>
          <w:sz w:val="32"/>
          <w:szCs w:val="32"/>
        </w:rPr>
        <w:t>卫生健康</w:t>
      </w:r>
      <w:r>
        <w:rPr>
          <w:rStyle w:val="15"/>
          <w:rFonts w:hint="eastAsia" w:ascii="仿宋" w:hAnsi="仿宋" w:eastAsia="仿宋"/>
          <w:bCs/>
          <w:sz w:val="32"/>
          <w:szCs w:val="32"/>
        </w:rPr>
        <w:t>（类）行政事业单位医疗（款）行政单位医疗（项）</w:t>
      </w:r>
      <w:r>
        <w:rPr>
          <w:rStyle w:val="15"/>
          <w:rFonts w:ascii="仿宋" w:hAnsi="仿宋" w:eastAsia="仿宋"/>
          <w:bCs/>
          <w:sz w:val="32"/>
          <w:szCs w:val="32"/>
        </w:rPr>
        <w:t>:</w:t>
      </w:r>
      <w:r>
        <w:rPr>
          <w:rStyle w:val="15"/>
          <w:rFonts w:hint="eastAsia" w:ascii="仿宋" w:hAnsi="仿宋" w:eastAsia="仿宋"/>
          <w:b w:val="0"/>
          <w:bCs/>
          <w:sz w:val="32"/>
          <w:szCs w:val="32"/>
        </w:rPr>
        <w:t>支出决算为9.24万元，完成预算0.74</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5"/>
          <w:rFonts w:hint="eastAsia" w:ascii="仿宋" w:hAnsi="仿宋" w:eastAsia="仿宋"/>
          <w:bCs/>
          <w:sz w:val="32"/>
          <w:szCs w:val="32"/>
        </w:rPr>
        <w:t>15</w:t>
      </w:r>
      <w:r>
        <w:rPr>
          <w:rStyle w:val="15"/>
          <w:rFonts w:ascii="仿宋" w:hAnsi="仿宋" w:eastAsia="仿宋"/>
          <w:bCs/>
          <w:sz w:val="32"/>
          <w:szCs w:val="32"/>
        </w:rPr>
        <w:t>.</w:t>
      </w:r>
      <w:r>
        <w:rPr>
          <w:rFonts w:hint="eastAsia" w:ascii="仿宋" w:hAnsi="仿宋" w:eastAsia="仿宋"/>
          <w:b/>
          <w:bCs/>
          <w:sz w:val="32"/>
          <w:szCs w:val="32"/>
        </w:rPr>
        <w:t>卫生健康</w:t>
      </w:r>
      <w:r>
        <w:rPr>
          <w:rStyle w:val="15"/>
          <w:rFonts w:hint="eastAsia" w:ascii="仿宋" w:hAnsi="仿宋" w:eastAsia="仿宋"/>
          <w:bCs/>
          <w:sz w:val="32"/>
          <w:szCs w:val="32"/>
        </w:rPr>
        <w:t>（类）行政事业单位医疗（款）事业单位医疗（项）</w:t>
      </w:r>
      <w:r>
        <w:rPr>
          <w:rStyle w:val="15"/>
          <w:rFonts w:ascii="仿宋" w:hAnsi="仿宋" w:eastAsia="仿宋"/>
          <w:bCs/>
          <w:sz w:val="32"/>
          <w:szCs w:val="32"/>
        </w:rPr>
        <w:t>:</w:t>
      </w:r>
      <w:r>
        <w:rPr>
          <w:rStyle w:val="15"/>
          <w:rFonts w:hint="eastAsia" w:ascii="仿宋" w:hAnsi="仿宋" w:eastAsia="仿宋"/>
          <w:b w:val="0"/>
          <w:bCs/>
          <w:sz w:val="32"/>
          <w:szCs w:val="32"/>
        </w:rPr>
        <w:t>支出决算为9.98万元，完成预算0.80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5"/>
          <w:rFonts w:hint="eastAsia" w:ascii="仿宋" w:hAnsi="仿宋" w:eastAsia="仿宋"/>
          <w:bCs/>
          <w:sz w:val="32"/>
          <w:szCs w:val="32"/>
        </w:rPr>
        <w:t>16</w:t>
      </w:r>
      <w:r>
        <w:rPr>
          <w:rStyle w:val="15"/>
          <w:rFonts w:ascii="仿宋" w:hAnsi="仿宋" w:eastAsia="仿宋"/>
          <w:bCs/>
          <w:sz w:val="32"/>
          <w:szCs w:val="32"/>
        </w:rPr>
        <w:t>.</w:t>
      </w:r>
      <w:r>
        <w:rPr>
          <w:rFonts w:hint="eastAsia" w:ascii="仿宋" w:hAnsi="仿宋" w:eastAsia="仿宋"/>
          <w:b/>
          <w:bCs/>
          <w:sz w:val="32"/>
          <w:szCs w:val="32"/>
        </w:rPr>
        <w:t>卫生健康</w:t>
      </w:r>
      <w:r>
        <w:rPr>
          <w:rStyle w:val="15"/>
          <w:rFonts w:hint="eastAsia" w:ascii="仿宋" w:hAnsi="仿宋" w:eastAsia="仿宋"/>
          <w:bCs/>
          <w:sz w:val="32"/>
          <w:szCs w:val="32"/>
        </w:rPr>
        <w:t>（类）行政事业单位医疗（款）  公务员医疗补助（项）</w:t>
      </w:r>
      <w:r>
        <w:rPr>
          <w:rStyle w:val="15"/>
          <w:rFonts w:ascii="仿宋" w:hAnsi="仿宋" w:eastAsia="仿宋"/>
          <w:bCs/>
          <w:sz w:val="32"/>
          <w:szCs w:val="32"/>
        </w:rPr>
        <w:t>:</w:t>
      </w:r>
      <w:r>
        <w:rPr>
          <w:rStyle w:val="15"/>
          <w:rFonts w:hint="eastAsia" w:ascii="仿宋" w:hAnsi="仿宋" w:eastAsia="仿宋"/>
          <w:b w:val="0"/>
          <w:bCs/>
          <w:sz w:val="32"/>
          <w:szCs w:val="32"/>
        </w:rPr>
        <w:t>支出决算为2.10万元，完成预算0.17</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2"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17</w:t>
      </w:r>
      <w:r>
        <w:rPr>
          <w:rStyle w:val="15"/>
          <w:rFonts w:ascii="仿宋" w:hAnsi="仿宋" w:eastAsia="仿宋"/>
          <w:bCs/>
          <w:color w:val="000000"/>
          <w:sz w:val="32"/>
          <w:szCs w:val="32"/>
        </w:rPr>
        <w:t>.</w:t>
      </w:r>
      <w:r>
        <w:rPr>
          <w:rFonts w:hint="eastAsia"/>
        </w:rPr>
        <w:t xml:space="preserve"> </w:t>
      </w:r>
      <w:r>
        <w:rPr>
          <w:rFonts w:hint="eastAsia" w:ascii="仿宋" w:hAnsi="仿宋" w:eastAsia="仿宋"/>
          <w:b/>
          <w:bCs/>
          <w:color w:val="000000"/>
          <w:sz w:val="32"/>
          <w:szCs w:val="32"/>
        </w:rPr>
        <w:t>城乡社区支出</w:t>
      </w:r>
      <w:r>
        <w:rPr>
          <w:rStyle w:val="15"/>
          <w:rFonts w:hint="eastAsia" w:ascii="仿宋" w:hAnsi="仿宋" w:eastAsia="仿宋"/>
          <w:bCs/>
          <w:color w:val="000000"/>
          <w:sz w:val="32"/>
          <w:szCs w:val="32"/>
        </w:rPr>
        <w:t>（类）城乡社区管理事务（款）其他城乡社区管理事务支出（项）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支出决算为172.62万元，完成预算13.81</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2"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18</w:t>
      </w:r>
      <w:r>
        <w:rPr>
          <w:rStyle w:val="15"/>
          <w:rFonts w:ascii="仿宋" w:hAnsi="仿宋" w:eastAsia="仿宋"/>
          <w:bCs/>
          <w:color w:val="000000"/>
          <w:sz w:val="32"/>
          <w:szCs w:val="32"/>
        </w:rPr>
        <w:t>.</w:t>
      </w:r>
      <w:r>
        <w:rPr>
          <w:rFonts w:hint="eastAsia"/>
        </w:rPr>
        <w:t xml:space="preserve"> </w:t>
      </w:r>
      <w:r>
        <w:rPr>
          <w:rFonts w:hint="eastAsia" w:ascii="仿宋" w:hAnsi="仿宋" w:eastAsia="仿宋"/>
          <w:b/>
          <w:bCs/>
          <w:color w:val="000000"/>
          <w:sz w:val="32"/>
          <w:szCs w:val="32"/>
        </w:rPr>
        <w:t>农林水支出</w:t>
      </w:r>
      <w:r>
        <w:rPr>
          <w:rStyle w:val="15"/>
          <w:rFonts w:hint="eastAsia" w:ascii="仿宋" w:hAnsi="仿宋" w:eastAsia="仿宋"/>
          <w:bCs/>
          <w:color w:val="000000"/>
          <w:sz w:val="32"/>
          <w:szCs w:val="32"/>
        </w:rPr>
        <w:t>（类）农村综合改革（款）对村民委员会和村党支部的补助（项）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支出决算为2.50万元，完成预算0.2</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2" w:firstLineChars="200"/>
      </w:pPr>
      <w:r>
        <w:rPr>
          <w:rStyle w:val="15"/>
          <w:rFonts w:hint="eastAsia" w:ascii="仿宋" w:hAnsi="仿宋" w:eastAsia="仿宋"/>
          <w:bCs/>
          <w:color w:val="000000"/>
          <w:sz w:val="32"/>
          <w:szCs w:val="32"/>
        </w:rPr>
        <w:t>19</w:t>
      </w:r>
      <w:r>
        <w:rPr>
          <w:rStyle w:val="15"/>
          <w:rFonts w:ascii="仿宋" w:hAnsi="仿宋" w:eastAsia="仿宋"/>
          <w:bCs/>
          <w:color w:val="000000"/>
          <w:sz w:val="32"/>
          <w:szCs w:val="32"/>
        </w:rPr>
        <w:t>.</w:t>
      </w:r>
      <w:r>
        <w:rPr>
          <w:rFonts w:hint="eastAsia"/>
        </w:rPr>
        <w:t xml:space="preserve"> </w:t>
      </w:r>
      <w:r>
        <w:rPr>
          <w:rFonts w:hint="eastAsia" w:ascii="仿宋" w:hAnsi="仿宋" w:eastAsia="仿宋"/>
          <w:b/>
          <w:bCs/>
          <w:color w:val="000000"/>
          <w:sz w:val="32"/>
          <w:szCs w:val="32"/>
        </w:rPr>
        <w:t>住房保障支出</w:t>
      </w:r>
      <w:r>
        <w:rPr>
          <w:rStyle w:val="15"/>
          <w:rFonts w:hint="eastAsia" w:ascii="仿宋" w:hAnsi="仿宋" w:eastAsia="仿宋"/>
          <w:bCs/>
          <w:color w:val="000000"/>
          <w:sz w:val="32"/>
          <w:szCs w:val="32"/>
        </w:rPr>
        <w:t>（类）住房改革支出（款）住房公积金（项）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支出决算为31.31万元，完成预算2.51</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6"/>
        </w:rPr>
      </w:pPr>
      <w:bookmarkStart w:id="58" w:name="_Toc15396608"/>
      <w:bookmarkStart w:id="59" w:name="_Toc15377214"/>
      <w:bookmarkStart w:id="60" w:name="_Toc10376"/>
      <w:bookmarkStart w:id="61" w:name="_Toc32576"/>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58"/>
      <w:bookmarkEnd w:id="59"/>
      <w:bookmarkEnd w:id="60"/>
      <w:bookmarkEnd w:id="61"/>
      <w:r>
        <w:rPr>
          <w:rStyle w:val="26"/>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21年一般公共预算财政拨款基本支出839.81万元，其中：</w:t>
      </w:r>
    </w:p>
    <w:p>
      <w:pPr>
        <w:spacing w:line="600" w:lineRule="exact"/>
        <w:ind w:firstLine="645"/>
        <w:rPr>
          <w:rFonts w:ascii="仿宋" w:hAnsi="仿宋" w:eastAsia="仿宋"/>
          <w:b/>
          <w:sz w:val="32"/>
          <w:szCs w:val="32"/>
        </w:rPr>
      </w:pPr>
      <w:r>
        <w:rPr>
          <w:rFonts w:hint="eastAsia" w:ascii="仿宋" w:hAnsi="仿宋" w:eastAsia="仿宋"/>
          <w:sz w:val="32"/>
          <w:szCs w:val="32"/>
        </w:rPr>
        <w:t>人员经费813.28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26.53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Fonts w:ascii="黑体" w:eastAsia="黑体"/>
          <w:sz w:val="32"/>
          <w:szCs w:val="32"/>
        </w:rPr>
      </w:pPr>
      <w:bookmarkStart w:id="62" w:name="_Toc604"/>
      <w:bookmarkStart w:id="63" w:name="_Toc27387"/>
      <w:bookmarkStart w:id="64" w:name="_Toc15396609"/>
      <w:bookmarkStart w:id="65" w:name="_Toc15377215"/>
    </w:p>
    <w:p>
      <w:pPr>
        <w:spacing w:line="600" w:lineRule="exact"/>
        <w:ind w:firstLine="640"/>
        <w:outlineLvl w:val="1"/>
        <w:rPr>
          <w:rStyle w:val="26"/>
          <w:rFonts w:ascii="黑体" w:hAnsi="黑体" w:eastAsia="黑体"/>
          <w:b w:val="0"/>
        </w:rPr>
      </w:pPr>
      <w:r>
        <w:rPr>
          <w:rFonts w:hint="eastAsia" w:ascii="黑体" w:eastAsia="黑体"/>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62"/>
      <w:bookmarkEnd w:id="63"/>
      <w:bookmarkEnd w:id="64"/>
      <w:bookmarkEnd w:id="65"/>
    </w:p>
    <w:p>
      <w:pPr>
        <w:spacing w:line="600" w:lineRule="exact"/>
        <w:ind w:firstLine="640"/>
        <w:outlineLvl w:val="2"/>
        <w:rPr>
          <w:rFonts w:ascii="仿宋" w:hAnsi="仿宋" w:eastAsia="仿宋"/>
          <w:b/>
          <w:sz w:val="32"/>
          <w:szCs w:val="32"/>
        </w:rPr>
      </w:pPr>
      <w:bookmarkStart w:id="66" w:name="_Toc15377216"/>
      <w:r>
        <w:rPr>
          <w:rFonts w:hint="eastAsia" w:ascii="仿宋" w:hAnsi="仿宋" w:eastAsia="仿宋"/>
          <w:b/>
          <w:sz w:val="32"/>
          <w:szCs w:val="32"/>
        </w:rPr>
        <w:t>（一）“三公”经费财政拨款支出决算总体情况说明</w:t>
      </w:r>
      <w:bookmarkEnd w:id="66"/>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21年“三公”经费财政拨款支出决算为2.06万元，完成预算82.40</w:t>
      </w:r>
      <w:r>
        <w:rPr>
          <w:rFonts w:ascii="仿宋" w:hAnsi="仿宋" w:eastAsia="仿宋"/>
          <w:sz w:val="32"/>
          <w:szCs w:val="32"/>
        </w:rPr>
        <w:t>%</w:t>
      </w:r>
      <w:r>
        <w:rPr>
          <w:rFonts w:hint="eastAsia" w:ascii="仿宋" w:hAnsi="仿宋" w:eastAsia="仿宋"/>
          <w:sz w:val="32"/>
          <w:szCs w:val="32"/>
        </w:rPr>
        <w:t>，决算数小于预算数的主要原因是</w:t>
      </w:r>
      <w:r>
        <w:rPr>
          <w:rFonts w:ascii="仿宋" w:hAnsi="仿宋" w:eastAsia="仿宋"/>
          <w:sz w:val="32"/>
          <w:szCs w:val="32"/>
        </w:rPr>
        <w:t>机关落实过紧日子的思想，加强公务用车管理，节能降耗，节约公务用车运行维护费</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67" w:name="_Toc15377217"/>
      <w:r>
        <w:rPr>
          <w:rFonts w:hint="eastAsia" w:ascii="仿宋" w:hAnsi="仿宋" w:eastAsia="仿宋"/>
          <w:b/>
          <w:sz w:val="32"/>
          <w:szCs w:val="32"/>
        </w:rPr>
        <w:t>（二）“三公”经费财政拨款支出决算具体情况说明</w:t>
      </w:r>
      <w:bookmarkEnd w:id="67"/>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；公务用车购置及运行维护费支出决算2.06万元，占82.40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 w:hAnsi="仿宋" w:eastAsia="仿宋"/>
          <w:color w:val="FF0000"/>
          <w:sz w:val="32"/>
          <w:szCs w:val="32"/>
        </w:rPr>
      </w:pPr>
    </w:p>
    <w:p>
      <w:pPr>
        <w:pStyle w:val="2"/>
        <w:spacing w:before="93"/>
        <w:rPr>
          <w:rFonts w:eastAsia="仿宋"/>
        </w:rPr>
      </w:pPr>
      <w:r>
        <w:rPr>
          <w:rFonts w:hint="eastAsia" w:ascii="仿宋" w:hAnsi="仿宋" w:eastAsia="仿宋"/>
          <w:color w:val="FF0000"/>
          <w:sz w:val="32"/>
          <w:szCs w:val="32"/>
        </w:rPr>
        <w:t xml:space="preserve">      </w:t>
      </w:r>
      <w:r>
        <w:rPr>
          <w:rFonts w:hint="eastAsia" w:eastAsia="仿宋"/>
        </w:rPr>
        <w:drawing>
          <wp:inline distT="0" distB="0" distL="114300" distR="114300">
            <wp:extent cx="4590415" cy="2761615"/>
            <wp:effectExtent l="0" t="0" r="635" b="635"/>
            <wp:docPr id="1" name="图片 1" descr="图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7"/>
                    <pic:cNvPicPr>
                      <a:picLocks noChangeAspect="1"/>
                    </pic:cNvPicPr>
                  </pic:nvPicPr>
                  <pic:blipFill>
                    <a:blip r:embed="rId12"/>
                    <a:stretch>
                      <a:fillRect/>
                    </a:stretch>
                  </pic:blipFill>
                  <pic:spPr>
                    <a:xfrm>
                      <a:off x="0" y="0"/>
                      <a:ext cx="4590415" cy="2761615"/>
                    </a:xfrm>
                    <a:prstGeom prst="rect">
                      <a:avLst/>
                    </a:prstGeom>
                  </pic:spPr>
                </pic:pic>
              </a:graphicData>
            </a:graphic>
          </wp:inline>
        </w:drawing>
      </w:r>
    </w:p>
    <w:p>
      <w:pPr>
        <w:spacing w:line="600" w:lineRule="exact"/>
        <w:ind w:firstLine="640"/>
        <w:rPr>
          <w:rFonts w:ascii="仿宋" w:hAnsi="仿宋" w:eastAsia="仿宋"/>
          <w:color w:val="000000"/>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5"/>
          <w:rFonts w:hint="eastAsia" w:ascii="仿宋" w:hAnsi="仿宋" w:eastAsia="仿宋"/>
          <w:b w:val="0"/>
          <w:bCs/>
          <w:sz w:val="32"/>
          <w:szCs w:val="32"/>
        </w:rPr>
        <w:t>完成预算0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全年安排因公出国（境）团组0次，出国（境）0人。</w:t>
      </w:r>
      <w:r>
        <w:rPr>
          <w:rFonts w:hint="eastAsia" w:ascii="仿宋" w:hAnsi="仿宋" w:eastAsia="仿宋"/>
          <w:color w:val="000000"/>
          <w:sz w:val="32"/>
          <w:szCs w:val="32"/>
        </w:rPr>
        <w:t>因公出国（境）支出决算与</w:t>
      </w:r>
      <w:r>
        <w:rPr>
          <w:rFonts w:ascii="仿宋" w:hAnsi="仿宋" w:eastAsia="仿宋"/>
          <w:color w:val="000000"/>
          <w:sz w:val="32"/>
          <w:szCs w:val="32"/>
        </w:rPr>
        <w:t>20</w:t>
      </w:r>
      <w:r>
        <w:rPr>
          <w:rFonts w:hint="eastAsia" w:ascii="仿宋" w:hAnsi="仿宋" w:eastAsia="仿宋"/>
          <w:color w:val="000000"/>
          <w:sz w:val="32"/>
          <w:szCs w:val="32"/>
        </w:rPr>
        <w:t>20年</w:t>
      </w:r>
      <w:r>
        <w:rPr>
          <w:rFonts w:ascii="仿宋_GB2312" w:hAnsi="仿宋_GB2312" w:eastAsia="仿宋_GB2312" w:cs="仿宋_GB2312"/>
          <w:color w:val="333333"/>
          <w:sz w:val="33"/>
          <w:szCs w:val="33"/>
        </w:rPr>
        <w:t>持平</w:t>
      </w:r>
      <w:r>
        <w:rPr>
          <w:rFonts w:hint="eastAsia" w:ascii="仿宋" w:hAnsi="仿宋" w:eastAsia="仿宋"/>
          <w:color w:val="000000"/>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 w:hAnsi="仿宋" w:eastAsia="仿宋"/>
          <w:sz w:val="32"/>
          <w:szCs w:val="32"/>
        </w:rPr>
        <w:t>2.06</w:t>
      </w:r>
      <w:r>
        <w:rPr>
          <w:rFonts w:hint="eastAsia" w:ascii="仿宋_GB2312" w:eastAsia="仿宋_GB2312"/>
          <w:sz w:val="32"/>
          <w:szCs w:val="32"/>
        </w:rPr>
        <w:t>万元,</w:t>
      </w:r>
      <w:r>
        <w:rPr>
          <w:rStyle w:val="15"/>
          <w:rFonts w:hint="eastAsia" w:ascii="仿宋" w:hAnsi="仿宋" w:eastAsia="仿宋"/>
          <w:b w:val="0"/>
          <w:bCs/>
          <w:sz w:val="32"/>
          <w:szCs w:val="32"/>
        </w:rPr>
        <w:t>完成预算82.40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20年减少0.31万元，下降13.08</w:t>
      </w:r>
      <w:r>
        <w:rPr>
          <w:rFonts w:ascii="仿宋_GB2312" w:eastAsia="仿宋_GB2312"/>
          <w:sz w:val="32"/>
          <w:szCs w:val="32"/>
        </w:rPr>
        <w:t>%</w:t>
      </w:r>
      <w:r>
        <w:rPr>
          <w:rFonts w:hint="eastAsia" w:ascii="仿宋_GB2312" w:eastAsia="仿宋_GB2312"/>
          <w:sz w:val="32"/>
          <w:szCs w:val="32"/>
        </w:rPr>
        <w:t>。主要原因是</w:t>
      </w:r>
      <w:r>
        <w:rPr>
          <w:rFonts w:hint="eastAsia" w:ascii="仿宋_GB2312" w:hAnsi="仿宋_GB2312" w:eastAsia="仿宋_GB2312" w:cs="仿宋_GB2312"/>
          <w:color w:val="000000"/>
          <w:sz w:val="32"/>
          <w:szCs w:val="32"/>
        </w:rPr>
        <w:t>车辆维护多方比价，选择最优惠的定点维修单位，减少维修费用,</w:t>
      </w:r>
      <w:r>
        <w:rPr>
          <w:rFonts w:ascii="仿宋" w:hAnsi="仿宋" w:eastAsia="仿宋"/>
          <w:sz w:val="32"/>
          <w:szCs w:val="32"/>
        </w:rPr>
        <w:t>节能降耗</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0万元。全年按规定更新购置公务用车0辆，其中：轿车0辆、金额0万元，越野车0辆、金额0万元，载客汽车0辆、金额0万元0。截至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月底，单位共有公务用车1辆，其中：轿车0辆、越野车0辆、载客汽车0辆,其他车辆1</w:t>
      </w:r>
      <w:r>
        <w:rPr>
          <w:rFonts w:hint="eastAsia" w:ascii="仿宋_GB2312" w:eastAsia="仿宋_GB2312"/>
          <w:color w:val="000000"/>
          <w:sz w:val="32"/>
          <w:szCs w:val="32"/>
        </w:rPr>
        <w:t>辆</w:t>
      </w:r>
      <w:r>
        <w:rPr>
          <w:rFonts w:hint="eastAsia" w:ascii="仿宋_GB2312" w:eastAsia="仿宋_GB2312"/>
          <w:sz w:val="32"/>
          <w:szCs w:val="32"/>
        </w:rPr>
        <w:t>。</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 w:hAnsi="仿宋" w:eastAsia="仿宋"/>
          <w:sz w:val="32"/>
          <w:szCs w:val="32"/>
        </w:rPr>
        <w:t>2.06</w:t>
      </w:r>
      <w:r>
        <w:rPr>
          <w:rFonts w:hint="eastAsia" w:ascii="仿宋_GB2312" w:eastAsia="仿宋_GB2312"/>
          <w:sz w:val="32"/>
          <w:szCs w:val="32"/>
        </w:rPr>
        <w:t>万元。主要用于</w:t>
      </w:r>
      <w:r>
        <w:rPr>
          <w:rFonts w:ascii="仿宋_GB2312" w:hAnsi="仿宋_GB2312" w:eastAsia="仿宋_GB2312" w:cs="仿宋_GB2312"/>
          <w:color w:val="333333"/>
          <w:sz w:val="33"/>
          <w:szCs w:val="33"/>
        </w:rPr>
        <w:t>推动</w:t>
      </w:r>
      <w:r>
        <w:rPr>
          <w:rFonts w:hint="eastAsia" w:ascii="仿宋_GB2312" w:hAnsi="仿宋_GB2312" w:eastAsia="仿宋_GB2312" w:cs="仿宋_GB2312"/>
          <w:color w:val="333333"/>
          <w:sz w:val="33"/>
          <w:szCs w:val="33"/>
        </w:rPr>
        <w:t>辖区经济建设、</w:t>
      </w:r>
      <w:r>
        <w:rPr>
          <w:rFonts w:hint="eastAsia" w:ascii="仿宋_GB2312" w:eastAsia="仿宋_GB2312"/>
          <w:sz w:val="32"/>
          <w:szCs w:val="32"/>
        </w:rPr>
        <w:t>环境保护、秩序治理、物业管理、处理群众来信来访、防汛、防火、防灾减灾等应急管理等工作等所需的公务用车燃料费、维修费、过路过桥费、保险费等支出。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0万元，完成预算0</w:t>
      </w:r>
      <w:r>
        <w:rPr>
          <w:rFonts w:ascii="仿宋_GB2312" w:eastAsia="仿宋_GB2312"/>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w:t>
      </w:r>
      <w:r>
        <w:rPr>
          <w:rFonts w:ascii="仿宋_GB2312" w:hAnsi="仿宋_GB2312" w:eastAsia="仿宋_GB2312" w:cs="仿宋_GB2312"/>
          <w:color w:val="333333"/>
          <w:sz w:val="33"/>
          <w:szCs w:val="33"/>
        </w:rPr>
        <w:t>持平</w:t>
      </w:r>
      <w:r>
        <w:rPr>
          <w:rFonts w:hint="eastAsia" w:ascii="仿宋" w:hAnsi="仿宋" w:eastAsia="仿宋"/>
          <w:color w:val="000000"/>
          <w:sz w:val="32"/>
          <w:szCs w:val="32"/>
        </w:rPr>
        <w:t>。</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w:t>
      </w:r>
      <w:r>
        <w:rPr>
          <w:rFonts w:hint="eastAsia" w:ascii="仿宋_GB2312" w:eastAsia="仿宋_GB2312"/>
          <w:sz w:val="32"/>
          <w:szCs w:val="32"/>
        </w:rPr>
        <w:t>万元，主要用于执行公务、开展业务活动开支的交通费、住宿费、用餐费等。国内公务接待0批次，0人次（不包括陪同人员），共计支出0万元。</w:t>
      </w:r>
    </w:p>
    <w:p>
      <w:pPr>
        <w:spacing w:line="600" w:lineRule="exact"/>
        <w:ind w:firstLine="640" w:firstLineChars="200"/>
        <w:rPr>
          <w:rFonts w:ascii="黑体" w:eastAsia="黑体"/>
          <w:sz w:val="32"/>
          <w:szCs w:val="32"/>
        </w:rPr>
      </w:pPr>
      <w:r>
        <w:rPr>
          <w:rFonts w:hint="eastAsia" w:ascii="仿宋_GB2312" w:eastAsia="仿宋_GB2312"/>
          <w:sz w:val="32"/>
          <w:szCs w:val="32"/>
        </w:rPr>
        <w:t>外事接待支出0万元，外事接待0批次，0人，共计支出0万元。</w:t>
      </w:r>
      <w:bookmarkStart w:id="68" w:name="_Toc15396610"/>
      <w:bookmarkStart w:id="69" w:name="_Toc15377218"/>
    </w:p>
    <w:p>
      <w:pPr>
        <w:spacing w:line="600" w:lineRule="exact"/>
        <w:ind w:firstLine="640"/>
        <w:outlineLvl w:val="1"/>
        <w:rPr>
          <w:rStyle w:val="26"/>
          <w:rFonts w:ascii="黑体" w:hAnsi="黑体" w:eastAsia="黑体"/>
        </w:rPr>
      </w:pPr>
      <w:bookmarkStart w:id="70" w:name="_Toc14559"/>
      <w:bookmarkStart w:id="71" w:name="_Toc8024"/>
      <w:r>
        <w:rPr>
          <w:rFonts w:hint="eastAsia" w:ascii="黑体" w:eastAsia="黑体"/>
          <w:sz w:val="32"/>
          <w:szCs w:val="32"/>
        </w:rPr>
        <w:t>八、</w:t>
      </w:r>
      <w:r>
        <w:rPr>
          <w:rStyle w:val="26"/>
          <w:rFonts w:hint="eastAsia" w:ascii="黑体" w:hAnsi="黑体" w:eastAsia="黑体"/>
          <w:b w:val="0"/>
        </w:rPr>
        <w:t>政府性基金预算支出决算情况说明</w:t>
      </w:r>
      <w:bookmarkEnd w:id="68"/>
      <w:bookmarkEnd w:id="69"/>
      <w:bookmarkEnd w:id="70"/>
      <w:bookmarkEnd w:id="7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21年政府性基金预算财政拨款支出91.66万元。</w:t>
      </w:r>
    </w:p>
    <w:p>
      <w:pPr>
        <w:pStyle w:val="2"/>
        <w:spacing w:before="93"/>
      </w:pPr>
    </w:p>
    <w:p>
      <w:pPr>
        <w:numPr>
          <w:ilvl w:val="0"/>
          <w:numId w:val="2"/>
        </w:numPr>
        <w:spacing w:line="600" w:lineRule="exact"/>
        <w:ind w:firstLine="640"/>
        <w:outlineLvl w:val="1"/>
        <w:rPr>
          <w:rStyle w:val="26"/>
          <w:rFonts w:ascii="黑体" w:hAnsi="黑体" w:eastAsia="黑体"/>
          <w:b w:val="0"/>
        </w:rPr>
      </w:pPr>
      <w:bookmarkStart w:id="72" w:name="_Toc15696"/>
      <w:bookmarkStart w:id="73" w:name="_Toc15396611"/>
      <w:bookmarkStart w:id="74" w:name="_Toc15377219"/>
      <w:bookmarkStart w:id="75" w:name="_Toc15103"/>
      <w:r>
        <w:rPr>
          <w:rStyle w:val="26"/>
          <w:rFonts w:hint="eastAsia" w:ascii="黑体" w:hAnsi="黑体" w:eastAsia="黑体"/>
          <w:b w:val="0"/>
        </w:rPr>
        <w:t>国有资本经营预算支出决算情况说明</w:t>
      </w:r>
      <w:bookmarkEnd w:id="72"/>
      <w:bookmarkEnd w:id="73"/>
      <w:bookmarkEnd w:id="74"/>
      <w:bookmarkEnd w:id="75"/>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spacing w:line="580" w:lineRule="exact"/>
        <w:jc w:val="center"/>
        <w:rPr>
          <w:rFonts w:ascii="方正小标宋简体" w:hAnsi="方正小标宋简体" w:eastAsia="方正小标宋简体" w:cs="方正小标宋简体"/>
          <w:sz w:val="44"/>
          <w:szCs w:val="44"/>
        </w:rPr>
      </w:pPr>
    </w:p>
    <w:p>
      <w:pPr>
        <w:numPr>
          <w:ilvl w:val="0"/>
          <w:numId w:val="2"/>
        </w:numPr>
        <w:spacing w:line="600" w:lineRule="exact"/>
        <w:ind w:firstLine="640"/>
        <w:outlineLvl w:val="1"/>
        <w:rPr>
          <w:rStyle w:val="26"/>
          <w:rFonts w:ascii="黑体" w:hAnsi="黑体" w:eastAsia="黑体"/>
          <w:b w:val="0"/>
        </w:rPr>
      </w:pPr>
      <w:bookmarkStart w:id="76" w:name="_Toc15396612"/>
      <w:bookmarkStart w:id="77" w:name="_Toc15377221"/>
      <w:bookmarkStart w:id="78" w:name="_Toc21524"/>
      <w:bookmarkStart w:id="79" w:name="_Toc26540"/>
      <w:r>
        <w:rPr>
          <w:rStyle w:val="26"/>
          <w:rFonts w:hint="eastAsia" w:ascii="黑体" w:hAnsi="黑体" w:eastAsia="黑体"/>
          <w:b w:val="0"/>
        </w:rPr>
        <w:t>其他重要事项的情况说明</w:t>
      </w:r>
      <w:bookmarkEnd w:id="76"/>
      <w:bookmarkEnd w:id="77"/>
      <w:bookmarkEnd w:id="78"/>
      <w:bookmarkEnd w:id="79"/>
    </w:p>
    <w:p>
      <w:pPr>
        <w:spacing w:line="600" w:lineRule="exact"/>
        <w:ind w:firstLine="642" w:firstLineChars="200"/>
        <w:outlineLvl w:val="2"/>
        <w:rPr>
          <w:rFonts w:ascii="仿宋" w:hAnsi="仿宋" w:eastAsia="仿宋"/>
          <w:sz w:val="32"/>
          <w:szCs w:val="32"/>
        </w:rPr>
      </w:pPr>
      <w:bookmarkStart w:id="80" w:name="_Toc15377222"/>
      <w:r>
        <w:rPr>
          <w:rFonts w:hint="eastAsia" w:ascii="仿宋" w:hAnsi="仿宋" w:eastAsia="仿宋"/>
          <w:b/>
          <w:sz w:val="32"/>
          <w:szCs w:val="32"/>
        </w:rPr>
        <w:t>（一）机关运行经费支出情况</w:t>
      </w:r>
      <w:bookmarkEnd w:id="80"/>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sz w:val="32"/>
          <w:szCs w:val="32"/>
        </w:rPr>
        <w:t>2021年，</w:t>
      </w:r>
      <w:r>
        <w:rPr>
          <w:rFonts w:hint="eastAsia" w:ascii="仿宋" w:hAnsi="仿宋" w:eastAsia="仿宋" w:cs="仿宋"/>
          <w:color w:val="000000"/>
          <w:sz w:val="32"/>
          <w:szCs w:val="32"/>
        </w:rPr>
        <w:t>西区清香坪街道办事处</w:t>
      </w:r>
      <w:r>
        <w:rPr>
          <w:rFonts w:hint="eastAsia" w:ascii="仿宋" w:hAnsi="仿宋" w:eastAsia="仿宋" w:cs="仿宋"/>
          <w:sz w:val="32"/>
          <w:szCs w:val="32"/>
        </w:rPr>
        <w:t>机关运行经费支出</w:t>
      </w:r>
      <w:r>
        <w:rPr>
          <w:rFonts w:hint="eastAsia" w:ascii="仿宋" w:hAnsi="仿宋" w:eastAsia="仿宋" w:cs="仿宋"/>
          <w:color w:val="000000"/>
          <w:sz w:val="32"/>
          <w:szCs w:val="32"/>
        </w:rPr>
        <w:t>26.64万元，比2020年增加2.41万元，增长8.30%。主要原因是在编人员人数增加，相应经费增加。</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81" w:name="_Toc15377223"/>
      <w:r>
        <w:rPr>
          <w:rFonts w:hint="eastAsia" w:ascii="仿宋" w:hAnsi="仿宋" w:eastAsia="仿宋"/>
          <w:b/>
          <w:sz w:val="32"/>
          <w:szCs w:val="32"/>
        </w:rPr>
        <w:t>（二）政府采购支出情况</w:t>
      </w:r>
      <w:bookmarkEnd w:id="81"/>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2021年，</w:t>
      </w:r>
      <w:r>
        <w:rPr>
          <w:rFonts w:hint="eastAsia" w:ascii="仿宋" w:hAnsi="仿宋" w:eastAsia="仿宋" w:cs="仿宋"/>
          <w:color w:val="000000"/>
          <w:sz w:val="32"/>
          <w:szCs w:val="32"/>
        </w:rPr>
        <w:t>西区清香坪街道办事处</w:t>
      </w:r>
      <w:r>
        <w:rPr>
          <w:rFonts w:hint="eastAsia" w:ascii="仿宋" w:hAnsi="仿宋" w:eastAsia="仿宋" w:cs="仿宋"/>
          <w:sz w:val="32"/>
          <w:szCs w:val="32"/>
        </w:rPr>
        <w:t>政府采购支出总额107.63万元，其中：政府采购货物支出38.03万元、政府采购工程支出0万元、政府采购服务支出69.60万元。主要用于社区普及人社各项惠民政策，落实就业创业政策、街办日常办公，辖区清扫保洁服务。授予中小企业合同金额107.63万元，占政府采购支出总额的100%，其中：授予小微企业合同金额0万元，占政府采购支出总额的0%。</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82" w:name="_Toc15377224"/>
      <w:r>
        <w:rPr>
          <w:rFonts w:hint="eastAsia" w:ascii="仿宋" w:hAnsi="仿宋" w:eastAsia="仿宋"/>
          <w:b/>
          <w:sz w:val="32"/>
          <w:szCs w:val="32"/>
        </w:rPr>
        <w:t>（三）国有资产占有使用情况</w:t>
      </w:r>
      <w:bookmarkEnd w:id="82"/>
    </w:p>
    <w:p>
      <w:pPr>
        <w:autoSpaceDE w:val="0"/>
        <w:autoSpaceDN w:val="0"/>
        <w:adjustRightInd w:val="0"/>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截至2021年12月31日，</w:t>
      </w:r>
      <w:r>
        <w:rPr>
          <w:rFonts w:hint="eastAsia" w:ascii="仿宋" w:hAnsi="仿宋" w:eastAsia="仿宋" w:cs="仿宋"/>
          <w:color w:val="000000"/>
          <w:sz w:val="32"/>
          <w:szCs w:val="32"/>
        </w:rPr>
        <w:t>西区清香坪街道办事处</w:t>
      </w:r>
      <w:r>
        <w:rPr>
          <w:rFonts w:hint="eastAsia" w:ascii="仿宋" w:hAnsi="仿宋" w:eastAsia="仿宋" w:cs="仿宋"/>
          <w:sz w:val="32"/>
          <w:szCs w:val="32"/>
        </w:rPr>
        <w:t>共有车辆1辆，其中：主要领导干部用车0辆、机要通信用车0辆、应急保障用车0辆、其他用车1辆，其他用车主要是用于</w:t>
      </w:r>
      <w:r>
        <w:rPr>
          <w:rFonts w:hint="eastAsia" w:ascii="仿宋" w:hAnsi="仿宋" w:eastAsia="仿宋" w:cs="仿宋"/>
          <w:color w:val="000000"/>
          <w:sz w:val="32"/>
          <w:szCs w:val="32"/>
        </w:rPr>
        <w:t>单位日常工作使用，</w:t>
      </w:r>
      <w:r>
        <w:rPr>
          <w:rFonts w:hint="eastAsia" w:ascii="仿宋" w:hAnsi="仿宋" w:eastAsia="仿宋" w:cs="仿宋"/>
          <w:sz w:val="32"/>
          <w:szCs w:val="32"/>
        </w:rPr>
        <w:t>单价50万元以上通用设备0台（套），单价100万元以上专用设备0台（套）。</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2021年度预算编制阶段，组织对环卫生产管理经费、“人大代表之家”工作经费、信访、综治维稳工作经费项目等5个项目开展了预算事前绩效评估，对3个项目编制了绩效目标，预算执行过程中，选取2个项目开展绩效监控，年终执行完毕后，对5个项目开展了绩效自评。同时，本部门对2021年部门整体开展绩效自评，《2021年西区清香坪街道办事处部门整体绩效评价报告》见附件（第四部分）。</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25"/>
          <w:rFonts w:ascii="黑体" w:hAnsi="黑体" w:eastAsia="黑体"/>
          <w:b w:val="0"/>
        </w:rPr>
      </w:pPr>
      <w:bookmarkStart w:id="83" w:name="_Toc15396613"/>
      <w:bookmarkStart w:id="84" w:name="_Toc14633"/>
      <w:bookmarkStart w:id="85" w:name="_Toc15377225"/>
      <w:bookmarkStart w:id="86" w:name="_Toc31612"/>
      <w:r>
        <w:rPr>
          <w:rFonts w:hint="eastAsia" w:ascii="黑体" w:hAnsi="黑体" w:eastAsia="黑体"/>
          <w:sz w:val="44"/>
          <w:szCs w:val="44"/>
        </w:rPr>
        <w:t>名</w:t>
      </w:r>
      <w:r>
        <w:rPr>
          <w:rStyle w:val="25"/>
          <w:rFonts w:hint="eastAsia" w:ascii="黑体" w:hAnsi="黑体" w:eastAsia="黑体"/>
          <w:b w:val="0"/>
        </w:rPr>
        <w:t>词解释</w:t>
      </w:r>
      <w:bookmarkEnd w:id="83"/>
      <w:bookmarkEnd w:id="84"/>
      <w:bookmarkEnd w:id="85"/>
      <w:bookmarkEnd w:id="86"/>
    </w:p>
    <w:p>
      <w:pPr>
        <w:spacing w:line="600" w:lineRule="exact"/>
        <w:jc w:val="left"/>
        <w:rPr>
          <w:rFonts w:ascii="宋体"/>
          <w:b/>
          <w:sz w:val="44"/>
          <w:szCs w:val="44"/>
        </w:rPr>
      </w:pP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ascii="仿宋_GB2312" w:eastAsia="仿宋_GB2312"/>
          <w:color w:val="auto"/>
          <w:sz w:val="32"/>
          <w:szCs w:val="32"/>
        </w:rPr>
        <w:t>.</w:t>
      </w:r>
      <w:r>
        <w:rPr>
          <w:rFonts w:hint="eastAsia" w:ascii="仿宋_GB2312" w:eastAsia="仿宋_GB2312"/>
          <w:color w:val="auto"/>
          <w:sz w:val="32"/>
          <w:szCs w:val="32"/>
        </w:rPr>
        <w:t>其他收入：指单位取得的除上述收入以外的各项收入。主要是本单位银行利息收入。</w:t>
      </w:r>
      <w:r>
        <w:rPr>
          <w:rFonts w:ascii="仿宋_GB2312" w:eastAsia="仿宋_GB2312"/>
          <w:color w:val="auto"/>
          <w:sz w:val="32"/>
          <w:szCs w:val="32"/>
        </w:rPr>
        <w:t xml:space="preserve"> </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4、年末结转和结余：指单位按有关规定结转到下年或以后年度继续使用的资金。</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5.一般公共服务（类）政府办公厅（室）及相关机构事务（款）行政运行（项）：指行政单位的基本支出。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6.一般公共服务（类）政府办公厅（室）及相关机构事务（款）一般行政管理事务（项）：指行政单位未单独设置项级科目的其他项目支出。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7.一般公共服务（类）政府办公厅（室）及相关机构事务（款）信访事物（项）：指各级政府用于接待群众来信来访方面的支出。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8.一般公共服务（类）政府办公厅（室）及相关机构事务（款）事业运行（项）：指事业单位的基本支出。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9.一般公共服务（类）政府办公厅（室）及相关机构事务（款）其他政府办公厅（室）及相关机构事务支出（项）：指除上述项目以外的其他政府办公厅及相关机构事务支出。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10.一般公共服务（类）其他一般公共服务支出（款）其他一般公共服务支出（项）：指除上述项目以外的其他一般公共服务支出。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11.文化体育与传媒支出（类）其他文化体育与传媒支出（款）宣传文化发展专项支出（项）:指按照国家有关政策支持宣传文化单位发展的专项支出。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12.社会保障和就业支出（类）行政事业单位离退休（款）未归口管理的行政单位离退休（项）：指未实行归口管理的行政单位（包括实行公务员管理的事业单位）开支的离退休支出。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13.社会保障和就业支出（类）行政事业单位离退休（款）机关事业单位基本养老保险缴费支出（项）：指机关事业单位实施养老保险制度由单位缴纳的基本养老保险费支出。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14.社会保障和就业支出（类）抚恤（款）死亡抚恤（项）：指按规定用于烈士和牺牲、病故人员家属的一次性定期抚恤金以及丧葬补助费。</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15.社会保障和就业支出（类）特困人员救助供养（款）城市特困人员救助供养（项）：指城市特困人员救助供养支出。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16.社会保障和就业支出（类）其他社会保障和就业支出（款）其他社会保障和就业支出（项）：指除上述项目以外其他用于社会保障和就业方面的支出。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17.医疗卫生与计划生育（类）计划生育事务（款）其他计划生育事务（项）：指上述项目以外其他用于计划生育管理事务方面的支出。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18.医疗卫生与计划生育（类）行政事业单位医疗（款）行政单位医疗（项）：指财政部门集中安排的行政单位基本医疗保险缴费经费。</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19.医疗卫生与计划生育（类）行政事业单位医疗（款）事业单位医疗（项）：指财政部门集中安排的事业单位基本医疗保险缴费经费。</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20.医疗卫生与计划生育（类）行政事业单位医疗（款）公务员医疗补助（项）：指财政部门集中安排的公务员医疗补助经费。</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21.医疗卫生与计划生育（类）其他医疗卫生与计划生育支出（款）其他医疗卫生与计划生育支出（项）：指财政部门集中安排的公务员医疗补助经费。</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22.城乡社区支出（类）城乡社区管理事务（款）其他城乡社区管理事务（项）：指上述项目以外其他用于城乡社区管理事务方面的支出。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23.城乡社区支出（类）城乡社区公共设施（款）其他城乡社区公共设施支出（项）：指上述项目外其他用于城乡社区公共设施方面的支出。</w:t>
      </w:r>
    </w:p>
    <w:p>
      <w:pPr>
        <w:pStyle w:val="23"/>
        <w:spacing w:line="560" w:lineRule="exact"/>
        <w:ind w:firstLine="640" w:firstLineChars="200"/>
        <w:rPr>
          <w:rFonts w:ascii="仿宋_GB2312" w:eastAsia="仿宋_GB2312"/>
          <w:sz w:val="32"/>
          <w:szCs w:val="32"/>
        </w:rPr>
      </w:pPr>
      <w:r>
        <w:rPr>
          <w:rStyle w:val="15"/>
          <w:rFonts w:hint="eastAsia" w:ascii="仿宋_GB2312" w:hAnsi="仿宋_GB2312" w:eastAsia="仿宋_GB2312" w:cs="仿宋_GB2312"/>
          <w:b w:val="0"/>
          <w:bCs/>
          <w:sz w:val="32"/>
          <w:szCs w:val="32"/>
        </w:rPr>
        <w:t>24.</w:t>
      </w:r>
      <w:r>
        <w:rPr>
          <w:rFonts w:hint="eastAsia" w:ascii="仿宋_GB2312" w:eastAsia="仿宋_GB2312"/>
          <w:sz w:val="32"/>
          <w:szCs w:val="32"/>
        </w:rPr>
        <w:t>住房保障支出（类）住房改革支出（款）住房公积金（项）：指反映行政事业单位按人事、财政部门规定的基本工资和津贴补贴以及规定比例为职工缴纳的住房公积金。</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25.基本支出：指为保障机构正常运转、完成日常工作任务而发生的人员支出和公用支出。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26.项目支出：指在基本支出之外为完成特定行政任务和事业发展目标所发生的支出。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sz w:val="32"/>
          <w:szCs w:val="32"/>
        </w:rPr>
        <w:t>28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5"/>
          <w:rFonts w:ascii="黑体" w:hAnsi="黑体" w:eastAsia="黑体"/>
          <w:b w:val="0"/>
        </w:rPr>
      </w:pPr>
      <w:bookmarkStart w:id="87" w:name="_Toc15377226"/>
      <w:r>
        <w:rPr>
          <w:rFonts w:ascii="宋体"/>
          <w:b/>
          <w:sz w:val="44"/>
          <w:szCs w:val="44"/>
        </w:rPr>
        <w:br w:type="page"/>
      </w:r>
      <w:bookmarkStart w:id="88" w:name="_Toc26707"/>
      <w:bookmarkStart w:id="89" w:name="_Toc15396614"/>
      <w:bookmarkStart w:id="90" w:name="_Toc3294"/>
      <w:r>
        <w:rPr>
          <w:rFonts w:hint="eastAsia" w:ascii="黑体" w:hAnsi="黑体" w:eastAsia="黑体"/>
          <w:sz w:val="44"/>
          <w:szCs w:val="44"/>
        </w:rPr>
        <w:t>第</w:t>
      </w:r>
      <w:r>
        <w:rPr>
          <w:rStyle w:val="25"/>
          <w:rFonts w:hint="eastAsia" w:ascii="黑体" w:hAnsi="黑体" w:eastAsia="黑体"/>
          <w:b w:val="0"/>
        </w:rPr>
        <w:t>四部分 附件</w:t>
      </w:r>
      <w:bookmarkEnd w:id="88"/>
      <w:bookmarkEnd w:id="89"/>
      <w:bookmarkEnd w:id="90"/>
    </w:p>
    <w:p>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spacing w:line="572" w:lineRule="exact"/>
        <w:jc w:val="center"/>
        <w:rPr>
          <w:rFonts w:ascii="方正小标宋简体" w:hAnsi="宋体" w:eastAsia="方正小标宋简体"/>
          <w:kern w:val="0"/>
          <w:sz w:val="40"/>
          <w:szCs w:val="44"/>
          <w:lang w:val="zh-CN"/>
        </w:rPr>
      </w:pPr>
      <w:bookmarkStart w:id="91" w:name="_Toc3348"/>
      <w:bookmarkStart w:id="92" w:name="_Toc18029"/>
      <w:r>
        <w:rPr>
          <w:rFonts w:hint="eastAsia" w:ascii="方正小标宋简体" w:hAnsi="宋体" w:eastAsia="方正小标宋简体"/>
          <w:kern w:val="0"/>
          <w:sz w:val="40"/>
          <w:szCs w:val="44"/>
        </w:rPr>
        <w:t>2021年攀枝花市西区清香坪街道办事处部门整体绩效评价报告</w:t>
      </w:r>
      <w:bookmarkEnd w:id="91"/>
      <w:bookmarkEnd w:id="92"/>
    </w:p>
    <w:p>
      <w:pPr>
        <w:widowControl/>
        <w:adjustRightInd w:val="0"/>
        <w:snapToGrid w:val="0"/>
        <w:spacing w:line="572" w:lineRule="exact"/>
        <w:ind w:firstLine="480" w:firstLineChars="200"/>
        <w:contextualSpacing/>
        <w:jc w:val="left"/>
        <w:rPr>
          <w:rFonts w:ascii="黑体" w:hAnsi="宋体" w:eastAsia="黑体" w:cs="宋体"/>
          <w:kern w:val="0"/>
          <w:sz w:val="24"/>
          <w:szCs w:val="32"/>
          <w:shd w:val="clear" w:color="auto" w:fill="FFFFFF"/>
        </w:rPr>
      </w:pP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lang w:val="zh-CN"/>
        </w:rPr>
      </w:pPr>
      <w:bookmarkStart w:id="93" w:name="_Toc64"/>
      <w:bookmarkStart w:id="94" w:name="_Toc19935"/>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部门（单位）概况</w:t>
      </w:r>
      <w:bookmarkEnd w:id="93"/>
      <w:bookmarkEnd w:id="94"/>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（一）机构组成。</w:t>
      </w:r>
    </w:p>
    <w:p>
      <w:pPr>
        <w:pStyle w:val="2"/>
        <w:spacing w:before="93"/>
        <w:ind w:firstLine="660" w:firstLineChars="200"/>
        <w:rPr>
          <w:lang w:val="zh-CN"/>
        </w:rPr>
      </w:pPr>
      <w:r>
        <w:rPr>
          <w:rFonts w:hint="eastAsia" w:hAnsi="仿宋_GB2312" w:cs="仿宋_GB2312"/>
          <w:color w:val="333333"/>
          <w:sz w:val="33"/>
          <w:szCs w:val="33"/>
        </w:rPr>
        <w:t>西区清香坪街道办事处</w:t>
      </w:r>
      <w:r>
        <w:rPr>
          <w:rFonts w:hAnsi="仿宋_GB2312" w:cs="仿宋_GB2312"/>
          <w:color w:val="333333"/>
          <w:sz w:val="33"/>
          <w:szCs w:val="33"/>
        </w:rPr>
        <w:t>下设</w:t>
      </w:r>
      <w:r>
        <w:rPr>
          <w:rFonts w:hint="eastAsia" w:hAnsi="仿宋_GB2312" w:cs="仿宋_GB2312"/>
          <w:color w:val="333333"/>
          <w:sz w:val="33"/>
          <w:szCs w:val="33"/>
        </w:rPr>
        <w:t>8</w:t>
      </w:r>
      <w:r>
        <w:rPr>
          <w:rFonts w:hAnsi="仿宋_GB2312" w:cs="仿宋_GB2312"/>
          <w:color w:val="333333"/>
          <w:sz w:val="33"/>
          <w:szCs w:val="33"/>
        </w:rPr>
        <w:t>科室，</w:t>
      </w:r>
      <w:r>
        <w:rPr>
          <w:rFonts w:hint="eastAsia" w:hAnsi="仿宋_GB2312" w:cs="仿宋_GB2312"/>
          <w:sz w:val="32"/>
          <w:szCs w:val="32"/>
        </w:rPr>
        <w:t>下属三个非独立核算事业单位</w:t>
      </w:r>
      <w:r>
        <w:rPr>
          <w:rFonts w:hint="eastAsia"/>
          <w:sz w:val="32"/>
          <w:szCs w:val="32"/>
        </w:rPr>
        <w:t>：便民服务中心、社会治理事务中心、党群服务中心</w:t>
      </w:r>
      <w:r>
        <w:rPr>
          <w:rFonts w:hAnsi="仿宋_GB2312" w:cs="仿宋_GB2312"/>
          <w:color w:val="333333"/>
          <w:sz w:val="33"/>
          <w:szCs w:val="33"/>
        </w:rPr>
        <w:t>。　</w:t>
      </w:r>
    </w:p>
    <w:p>
      <w:pPr>
        <w:widowControl/>
        <w:numPr>
          <w:ilvl w:val="0"/>
          <w:numId w:val="4"/>
        </w:numPr>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机构职能。</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1.贯彻执行党和国家的各项法律、法规、规章以及上级政府的决议、决定，依法管理基层公共事务。</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负责辖区经济、文化、教育体育、科技、卫生健康、民政、社会保障、民族宗教、住房保障、司法、退役军人、统计等公共管理和公共服务工作，积极构建公共服务均等化体系，促进社会事业发展。推进“最多跑一次”改革，建立健全群众办事一次办结机制，优化便民服务质量。</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负责辖区环境保护、秩序治理、物业管理、城乡环境综合治理等城市管理工作，开展爱国卫生、环境卫生监督检查，营造良好发展环境。整合基层一线执法力量，充分发挥属地管理优势，强化对辖区范围内执法力量的统一指挥和统筹协调。</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4.负责辖区平安建设、社会治安综合治理工作，处理群众来信来访，反映社情民意，建立社会矛盾纠纷排查调处机制，维护社会和谐稳定。</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5.负责辖区公共安全，协助做好安全生产、防汛、防火、</w:t>
      </w:r>
    </w:p>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防灾减灾等应急管理工作，构建公共安全防控体系，建立应对突发紧急事件的处理预案。</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6.领导社区居委会建设，指导社区居委会工作，培育、发展社区社会组织，组织社区居民参与社区建设和管理，健全完善自治、法治、德治相结合的城市基层治理体系。</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7.牵头协调职能部门及其派出机构，共同处理地区性、综合性社会管理事务。动员辖区各类单位、社会组织和社区居民等社会力量参与基层社会治理，引导辖区单位履行社会责任，统筹辖区资源，实现共建共治共享。</w:t>
      </w:r>
    </w:p>
    <w:p>
      <w:pPr>
        <w:widowControl/>
        <w:adjustRightInd w:val="0"/>
        <w:snapToGrid w:val="0"/>
        <w:spacing w:line="580" w:lineRule="exact"/>
        <w:ind w:firstLine="640" w:firstLineChars="200"/>
        <w:contextualSpacing/>
        <w:jc w:val="left"/>
        <w:rPr>
          <w:sz w:val="32"/>
          <w:szCs w:val="32"/>
          <w:lang w:val="zh-CN"/>
        </w:rPr>
      </w:pPr>
      <w:r>
        <w:rPr>
          <w:rFonts w:hint="eastAsia" w:ascii="仿宋_GB2312" w:hAnsi="宋体" w:eastAsia="仿宋_GB2312" w:cs="宋体"/>
          <w:color w:val="000000"/>
          <w:kern w:val="0"/>
          <w:sz w:val="32"/>
          <w:szCs w:val="32"/>
          <w:shd w:val="clear" w:color="auto" w:fill="FFFFFF"/>
          <w:lang w:val="zh-CN"/>
        </w:rPr>
        <w:t>8.完成区委、区政府交办的其他工作。</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（三）人员概况。</w:t>
      </w:r>
    </w:p>
    <w:p>
      <w:pPr>
        <w:ind w:firstLine="640" w:firstLineChars="200"/>
        <w:rPr>
          <w:sz w:val="32"/>
          <w:szCs w:val="32"/>
          <w:lang w:val="zh-CN"/>
        </w:rPr>
      </w:pPr>
      <w:r>
        <w:rPr>
          <w:rFonts w:hint="eastAsia" w:ascii="仿宋_GB2312" w:eastAsia="仿宋_GB2312"/>
          <w:sz w:val="32"/>
          <w:szCs w:val="32"/>
        </w:rPr>
        <w:t>2021年底西区清香坪街道办事处行政正式编制9名，实有9名，事业编制17名，实有14名，聘用人员4名，实有2名。</w:t>
      </w: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rPr>
      </w:pPr>
      <w:bookmarkStart w:id="95" w:name="_Toc27878"/>
      <w:bookmarkStart w:id="96" w:name="_Toc16572"/>
      <w:r>
        <w:rPr>
          <w:rFonts w:hint="eastAsia" w:ascii="黑体" w:hAnsi="宋体" w:eastAsia="黑体" w:cs="宋体"/>
          <w:kern w:val="0"/>
          <w:sz w:val="32"/>
          <w:szCs w:val="32"/>
          <w:shd w:val="clear" w:color="auto" w:fill="FFFFFF"/>
        </w:rPr>
        <w:t>二、部门财政资金收支情况</w:t>
      </w:r>
      <w:bookmarkEnd w:id="95"/>
      <w:bookmarkEnd w:id="96"/>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（一）部门财政资金收入情况。</w:t>
      </w:r>
    </w:p>
    <w:p>
      <w:pPr>
        <w:ind w:firstLine="640" w:firstLineChars="200"/>
        <w:rPr>
          <w:rFonts w:ascii="仿宋_GB2312" w:eastAsia="仿宋_GB2312"/>
          <w:sz w:val="32"/>
          <w:szCs w:val="32"/>
          <w:lang w:val="zh-CN"/>
        </w:rPr>
      </w:pPr>
      <w:r>
        <w:rPr>
          <w:rFonts w:hint="eastAsia" w:ascii="仿宋_GB2312" w:eastAsia="仿宋_GB2312"/>
          <w:sz w:val="32"/>
          <w:szCs w:val="32"/>
        </w:rPr>
        <w:t>2021年初财政预算收入下达870.37万元，年中各项人员经费追加下达39.49万元；项目经费追加下达431.79万元，2021年全年收入1341.65万元。</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（二）部门财政资金支出情况。</w:t>
      </w:r>
    </w:p>
    <w:p>
      <w:pPr>
        <w:ind w:firstLine="640" w:firstLineChars="200"/>
        <w:rPr>
          <w:rFonts w:ascii="仿宋_GB2312" w:eastAsia="仿宋_GB2312"/>
          <w:sz w:val="32"/>
          <w:szCs w:val="32"/>
          <w:lang w:val="zh-CN"/>
        </w:rPr>
      </w:pPr>
      <w:r>
        <w:rPr>
          <w:rFonts w:hint="eastAsia" w:ascii="仿宋_GB2312" w:eastAsia="仿宋_GB2312"/>
          <w:sz w:val="32"/>
          <w:szCs w:val="32"/>
        </w:rPr>
        <w:t>2021年部门全年支出1341.76万元，其中人员经费支出813.28万元；2021年日常公用经费支出26.64万元；2021年项目经费支出501.84万元。</w:t>
      </w: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rPr>
      </w:pPr>
      <w:bookmarkStart w:id="97" w:name="_Toc27484"/>
      <w:bookmarkStart w:id="98" w:name="_Toc14989"/>
      <w:r>
        <w:rPr>
          <w:rFonts w:hint="eastAsia" w:ascii="黑体" w:hAnsi="宋体" w:eastAsia="黑体" w:cs="宋体"/>
          <w:kern w:val="0"/>
          <w:sz w:val="32"/>
          <w:szCs w:val="32"/>
          <w:shd w:val="clear" w:color="auto" w:fill="FFFFFF"/>
        </w:rPr>
        <w:t>三、部门整体预算绩效管理情况</w:t>
      </w:r>
      <w:bookmarkEnd w:id="97"/>
      <w:bookmarkEnd w:id="98"/>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（一）部门预算项目绩效管理。</w:t>
      </w:r>
    </w:p>
    <w:p>
      <w:pPr>
        <w:widowControl/>
        <w:adjustRightInd w:val="0"/>
        <w:snapToGrid w:val="0"/>
        <w:spacing w:line="572" w:lineRule="exact"/>
        <w:ind w:firstLine="640" w:firstLineChars="200"/>
        <w:contextualSpacing/>
        <w:jc w:val="left"/>
        <w:rPr>
          <w:rFonts w:ascii="仿宋_GB2312" w:hAnsi="仿宋_GB2312" w:eastAsia="仿宋_GB2312" w:cs="仿宋_GB2312"/>
          <w:color w:val="333333"/>
          <w:kern w:val="0"/>
          <w:sz w:val="32"/>
          <w:szCs w:val="32"/>
          <w:lang w:val="zh-CN"/>
        </w:rPr>
      </w:pPr>
      <w:r>
        <w:rPr>
          <w:rFonts w:hint="eastAsia" w:ascii="仿宋_GB2312" w:hAnsi="仿宋_GB2312" w:eastAsia="仿宋_GB2312" w:cs="仿宋_GB2312"/>
          <w:color w:val="333333"/>
          <w:kern w:val="0"/>
          <w:sz w:val="32"/>
          <w:szCs w:val="32"/>
          <w:lang w:val="zh-CN"/>
        </w:rPr>
        <w:t>202</w:t>
      </w:r>
      <w:r>
        <w:rPr>
          <w:rFonts w:hint="eastAsia" w:ascii="仿宋_GB2312" w:hAnsi="仿宋_GB2312" w:eastAsia="仿宋_GB2312" w:cs="仿宋_GB2312"/>
          <w:color w:val="333333"/>
          <w:kern w:val="0"/>
          <w:sz w:val="32"/>
          <w:szCs w:val="32"/>
        </w:rPr>
        <w:t>1</w:t>
      </w:r>
      <w:r>
        <w:rPr>
          <w:rFonts w:hint="eastAsia" w:ascii="仿宋_GB2312" w:hAnsi="仿宋_GB2312" w:eastAsia="仿宋_GB2312" w:cs="仿宋_GB2312"/>
          <w:color w:val="333333"/>
          <w:kern w:val="0"/>
          <w:sz w:val="32"/>
          <w:szCs w:val="32"/>
          <w:lang w:val="zh-CN"/>
        </w:rPr>
        <w:t>年，西区清香坪街道办事处紧紧围绕区委、区政府中心工作，以提高群众的安全感及满意度为目标，创新工作举措，不断深化平安和谐街办创建工作，为辖区发展营造了和谐稳定的环境，切实履行部门职能职责，扎实做好各项工作。</w:t>
      </w:r>
    </w:p>
    <w:p>
      <w:pPr>
        <w:pStyle w:val="2"/>
        <w:spacing w:before="93"/>
        <w:ind w:firstLine="640" w:firstLineChars="200"/>
        <w:rPr>
          <w:rFonts w:hAnsi="仿宋_GB2312" w:cs="仿宋_GB2312"/>
          <w:color w:val="333333"/>
          <w:sz w:val="32"/>
          <w:szCs w:val="32"/>
        </w:rPr>
      </w:pPr>
      <w:r>
        <w:rPr>
          <w:rFonts w:hint="eastAsia" w:hAnsi="仿宋_GB2312" w:cs="仿宋_GB2312"/>
          <w:color w:val="333333"/>
          <w:sz w:val="32"/>
          <w:szCs w:val="32"/>
          <w:lang w:val="zh-CN"/>
        </w:rPr>
        <w:t>一是以预算编报为起点，科学设置绩效指标。我办财务与申请项目资金的业务部门一道以业务工作为基础，合理预测年度预算，科学设置各项绩效指标，对我办“</w:t>
      </w:r>
      <w:r>
        <w:rPr>
          <w:rFonts w:hint="eastAsia" w:hAnsi="仿宋_GB2312" w:cs="仿宋_GB2312"/>
          <w:color w:val="333333"/>
          <w:sz w:val="32"/>
          <w:szCs w:val="32"/>
        </w:rPr>
        <w:t>攀钢清香坪生活区市政设施管理工作经费</w:t>
      </w:r>
      <w:r>
        <w:rPr>
          <w:rFonts w:hint="eastAsia" w:hAnsi="仿宋_GB2312" w:cs="仿宋_GB2312"/>
          <w:color w:val="333333"/>
          <w:sz w:val="32"/>
          <w:szCs w:val="32"/>
          <w:lang w:val="zh-CN"/>
        </w:rPr>
        <w:t>”、“</w:t>
      </w:r>
      <w:r>
        <w:rPr>
          <w:rFonts w:hint="eastAsia" w:hAnsi="仿宋_GB2312" w:cs="仿宋_GB2312"/>
          <w:color w:val="333333"/>
          <w:sz w:val="32"/>
          <w:szCs w:val="32"/>
        </w:rPr>
        <w:t>信访、综治维稳经费</w:t>
      </w:r>
      <w:r>
        <w:rPr>
          <w:rFonts w:hint="eastAsia" w:hAnsi="仿宋_GB2312" w:cs="仿宋_GB2312"/>
          <w:color w:val="333333"/>
          <w:sz w:val="32"/>
          <w:szCs w:val="32"/>
          <w:lang w:val="zh-CN"/>
        </w:rPr>
        <w:t>、”、“人大代表之家工作经费”“</w:t>
      </w:r>
      <w:r>
        <w:rPr>
          <w:rFonts w:hint="eastAsia" w:hAnsi="仿宋_GB2312" w:cs="仿宋_GB2312"/>
          <w:color w:val="333333"/>
          <w:sz w:val="32"/>
          <w:szCs w:val="32"/>
        </w:rPr>
        <w:t>森林草原防灭火工作经费</w:t>
      </w:r>
      <w:r>
        <w:rPr>
          <w:rFonts w:hint="eastAsia" w:hAnsi="仿宋_GB2312" w:cs="仿宋_GB2312"/>
          <w:color w:val="333333"/>
          <w:sz w:val="32"/>
          <w:szCs w:val="32"/>
          <w:lang w:val="zh-CN"/>
        </w:rPr>
        <w:t>”等</w:t>
      </w:r>
      <w:r>
        <w:rPr>
          <w:rFonts w:hint="eastAsia" w:hAnsi="仿宋_GB2312" w:cs="仿宋_GB2312"/>
          <w:color w:val="333333"/>
          <w:sz w:val="32"/>
          <w:szCs w:val="32"/>
        </w:rPr>
        <w:t>5</w:t>
      </w:r>
      <w:r>
        <w:rPr>
          <w:rFonts w:hint="eastAsia" w:hAnsi="仿宋_GB2312" w:cs="仿宋_GB2312"/>
          <w:color w:val="333333"/>
          <w:sz w:val="32"/>
          <w:szCs w:val="32"/>
          <w:lang w:val="zh-CN"/>
        </w:rPr>
        <w:t>个项目编制了绩效目标，设定年度绩效数量指标、成本指标、效益指标等，详细反映相应项目工作任务、达成的效果，要求项目执行科室加强项目日常管理，在预算执行过程中落实“过紧日子”的思想，注意收集和分析指标设置的科学性，确保钱花在“刀刃上”。</w:t>
      </w:r>
    </w:p>
    <w:p>
      <w:pPr>
        <w:pStyle w:val="2"/>
        <w:spacing w:before="93"/>
        <w:ind w:firstLine="640" w:firstLineChars="200"/>
        <w:rPr>
          <w:sz w:val="32"/>
          <w:szCs w:val="32"/>
          <w:lang w:val="zh-CN"/>
        </w:rPr>
      </w:pPr>
      <w:r>
        <w:rPr>
          <w:rFonts w:hAnsi="仿宋_GB2312" w:cs="仿宋_GB2312"/>
          <w:color w:val="333333"/>
          <w:sz w:val="32"/>
          <w:szCs w:val="32"/>
        </w:rPr>
        <w:t>二是以年中监控为抓手，促进绩效目标达成。攀枝花市</w:t>
      </w:r>
      <w:r>
        <w:rPr>
          <w:rFonts w:hint="eastAsia" w:hAnsi="仿宋_GB2312" w:cs="仿宋_GB2312"/>
          <w:color w:val="333333"/>
          <w:sz w:val="32"/>
          <w:szCs w:val="32"/>
        </w:rPr>
        <w:t>西区</w:t>
      </w:r>
      <w:r>
        <w:rPr>
          <w:rFonts w:hAnsi="仿宋_GB2312" w:cs="仿宋_GB2312"/>
          <w:color w:val="333333"/>
          <w:sz w:val="32"/>
          <w:szCs w:val="32"/>
        </w:rPr>
        <w:t>财政局于2021年</w:t>
      </w:r>
      <w:r>
        <w:rPr>
          <w:rFonts w:hint="eastAsia" w:hAnsi="仿宋_GB2312" w:cs="仿宋_GB2312"/>
          <w:color w:val="333333"/>
          <w:sz w:val="32"/>
          <w:szCs w:val="32"/>
        </w:rPr>
        <w:t>8</w:t>
      </w:r>
      <w:r>
        <w:rPr>
          <w:rFonts w:hAnsi="仿宋_GB2312" w:cs="仿宋_GB2312"/>
          <w:color w:val="333333"/>
          <w:sz w:val="32"/>
          <w:szCs w:val="32"/>
        </w:rPr>
        <w:t>月按照《关于开展 2021 年度事中绩效监控工作的通知》（攀</w:t>
      </w:r>
      <w:r>
        <w:rPr>
          <w:rFonts w:hint="eastAsia" w:hAnsi="仿宋_GB2312" w:cs="仿宋_GB2312"/>
          <w:color w:val="333333"/>
          <w:sz w:val="32"/>
          <w:szCs w:val="32"/>
        </w:rPr>
        <w:t>西财</w:t>
      </w:r>
      <w:r>
        <w:rPr>
          <w:rFonts w:hAnsi="仿宋_GB2312" w:cs="仿宋_GB2312"/>
          <w:color w:val="333333"/>
          <w:sz w:val="32"/>
          <w:szCs w:val="32"/>
        </w:rPr>
        <w:t>〔 2021〕</w:t>
      </w:r>
      <w:r>
        <w:rPr>
          <w:rFonts w:hint="eastAsia" w:hAnsi="仿宋_GB2312" w:cs="仿宋_GB2312"/>
          <w:color w:val="333333"/>
          <w:sz w:val="32"/>
          <w:szCs w:val="32"/>
        </w:rPr>
        <w:t>153</w:t>
      </w:r>
      <w:r>
        <w:rPr>
          <w:rFonts w:hAnsi="仿宋_GB2312" w:cs="仿宋_GB2312"/>
          <w:color w:val="333333"/>
          <w:sz w:val="32"/>
          <w:szCs w:val="32"/>
        </w:rPr>
        <w:t>号）要求开展了绩效运行监控工作，填制《预算项目绩效运行监控分析表》，提高预算执行与绩效目标的匹配度，并要求资金申请</w:t>
      </w:r>
      <w:r>
        <w:rPr>
          <w:rFonts w:hint="eastAsia" w:hAnsi="仿宋_GB2312" w:cs="仿宋_GB2312"/>
          <w:color w:val="333333"/>
          <w:sz w:val="32"/>
          <w:szCs w:val="32"/>
        </w:rPr>
        <w:t>股</w:t>
      </w:r>
      <w:r>
        <w:rPr>
          <w:rFonts w:hAnsi="仿宋_GB2312" w:cs="仿宋_GB2312"/>
          <w:color w:val="333333"/>
          <w:sz w:val="32"/>
          <w:szCs w:val="32"/>
        </w:rPr>
        <w:t>室优化2022年度预算编报、项目绩效指标的设置。</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（二）结果应用情况。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我街办专项预算项目在执行中严格按照资金用途使用资金，资金分配科学，分配及时，不存在超预算支出的情况，使用结果符合要求，确保了专项预算绩效目标的完成。</w:t>
      </w:r>
    </w:p>
    <w:p>
      <w:pPr>
        <w:widowControl/>
        <w:numPr>
          <w:ilvl w:val="0"/>
          <w:numId w:val="5"/>
        </w:numPr>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自评质量</w:t>
      </w:r>
    </w:p>
    <w:p>
      <w:pPr>
        <w:widowControl/>
        <w:adjustRightInd w:val="0"/>
        <w:snapToGrid w:val="0"/>
        <w:spacing w:line="576" w:lineRule="exact"/>
        <w:contextualSpacing/>
        <w:jc w:val="left"/>
        <w:rPr>
          <w:rFonts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 xml:space="preserve">    </w:t>
      </w:r>
      <w:r>
        <w:rPr>
          <w:rFonts w:ascii="仿宋_GB2312" w:hAnsi="仿宋_GB2312" w:eastAsia="仿宋_GB2312" w:cs="仿宋_GB2312"/>
          <w:color w:val="333333"/>
          <w:sz w:val="33"/>
          <w:szCs w:val="33"/>
        </w:rPr>
        <w:t>我</w:t>
      </w:r>
      <w:r>
        <w:rPr>
          <w:rFonts w:hint="eastAsia" w:ascii="仿宋_GB2312" w:hAnsi="仿宋_GB2312" w:eastAsia="仿宋_GB2312" w:cs="仿宋_GB2312"/>
          <w:color w:val="333333"/>
          <w:sz w:val="33"/>
          <w:szCs w:val="33"/>
        </w:rPr>
        <w:t>办</w:t>
      </w:r>
      <w:r>
        <w:rPr>
          <w:rFonts w:ascii="仿宋_GB2312" w:hAnsi="仿宋_GB2312" w:eastAsia="仿宋_GB2312" w:cs="仿宋_GB2312"/>
          <w:color w:val="333333"/>
          <w:sz w:val="33"/>
          <w:szCs w:val="33"/>
        </w:rPr>
        <w:t>2021年无财政重点绩效评价工作。　</w:t>
      </w:r>
    </w:p>
    <w:p>
      <w:pPr>
        <w:widowControl/>
        <w:adjustRightInd w:val="0"/>
        <w:snapToGrid w:val="0"/>
        <w:spacing w:line="576" w:lineRule="exact"/>
        <w:ind w:firstLine="640" w:firstLineChars="200"/>
        <w:contextualSpacing/>
        <w:jc w:val="left"/>
        <w:rPr>
          <w:rFonts w:ascii="黑体" w:hAnsi="宋体" w:eastAsia="黑体" w:cs="宋体"/>
          <w:kern w:val="0"/>
          <w:sz w:val="32"/>
          <w:szCs w:val="32"/>
          <w:shd w:val="clear" w:color="auto" w:fill="FFFFFF"/>
        </w:rPr>
      </w:pPr>
      <w:bookmarkStart w:id="99" w:name="_Toc17783"/>
      <w:bookmarkStart w:id="100" w:name="_Toc9365"/>
      <w:r>
        <w:rPr>
          <w:rFonts w:hint="eastAsia" w:ascii="黑体" w:hAnsi="宋体" w:eastAsia="黑体" w:cs="宋体"/>
          <w:kern w:val="0"/>
          <w:sz w:val="32"/>
          <w:szCs w:val="32"/>
          <w:shd w:val="clear" w:color="auto" w:fill="FFFFFF"/>
        </w:rPr>
        <w:t>四、评价结论及建议</w:t>
      </w:r>
      <w:bookmarkEnd w:id="99"/>
      <w:bookmarkEnd w:id="100"/>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（一）评价结论。</w:t>
      </w:r>
    </w:p>
    <w:p>
      <w:pPr>
        <w:pStyle w:val="12"/>
        <w:spacing w:before="72"/>
        <w:ind w:firstLine="640" w:firstLineChars="200"/>
        <w:rPr>
          <w:sz w:val="32"/>
          <w:szCs w:val="32"/>
          <w:lang w:val="zh-CN"/>
        </w:rPr>
      </w:pPr>
      <w:r>
        <w:rPr>
          <w:rFonts w:hint="eastAsia" w:ascii="仿宋_GB2312" w:hAnsi="仿宋_GB2312" w:eastAsia="仿宋_GB2312" w:cs="仿宋_GB2312"/>
          <w:sz w:val="32"/>
          <w:szCs w:val="32"/>
        </w:rPr>
        <w:t>我街办支出重点用于项目经费支出，基本完成了当年度年初计划经费的拨付工作，有效对其实行了监管，确保了专项经费专款专用。对于基本支出也能遵守各项规章制度，人员经费安排基本得当，业务工作与项目经费、人员经费安排配比率良好。</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（二）存在问题。</w:t>
      </w:r>
    </w:p>
    <w:p>
      <w:pPr>
        <w:pStyle w:val="2"/>
        <w:spacing w:before="93"/>
        <w:ind w:firstLine="640" w:firstLineChars="200"/>
        <w:rPr>
          <w:rFonts w:hAnsi="仿宋_GB2312" w:cs="仿宋_GB2312"/>
          <w:kern w:val="2"/>
          <w:sz w:val="32"/>
          <w:szCs w:val="32"/>
          <w:lang w:val="zh-CN"/>
        </w:rPr>
      </w:pPr>
      <w:r>
        <w:rPr>
          <w:rFonts w:hint="eastAsia" w:hAnsi="仿宋_GB2312" w:cs="仿宋_GB2312"/>
          <w:kern w:val="2"/>
          <w:sz w:val="32"/>
          <w:szCs w:val="32"/>
          <w:lang w:val="zh-CN"/>
        </w:rPr>
        <w:t>无</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（三）改进建议。</w:t>
      </w:r>
    </w:p>
    <w:p>
      <w:pPr>
        <w:pStyle w:val="2"/>
        <w:spacing w:before="93"/>
        <w:ind w:firstLine="640" w:firstLineChars="200"/>
        <w:rPr>
          <w:lang w:val="zh-CN"/>
        </w:rPr>
      </w:pPr>
      <w:r>
        <w:rPr>
          <w:rFonts w:hint="eastAsia" w:hAnsi="仿宋_GB2312" w:cs="仿宋_GB2312"/>
          <w:kern w:val="2"/>
          <w:sz w:val="32"/>
          <w:szCs w:val="32"/>
          <w:lang w:val="zh-CN"/>
        </w:rPr>
        <w:t>无</w:t>
      </w:r>
    </w:p>
    <w:tbl>
      <w:tblPr>
        <w:tblStyle w:val="13"/>
        <w:tblpPr w:leftFromText="180" w:rightFromText="180" w:vertAnchor="text" w:horzAnchor="page" w:tblpX="1281" w:tblpY="660"/>
        <w:tblOverlap w:val="never"/>
        <w:tblW w:w="9940" w:type="dxa"/>
        <w:tblInd w:w="0" w:type="dxa"/>
        <w:tblLayout w:type="fixed"/>
        <w:tblCellMar>
          <w:top w:w="0" w:type="dxa"/>
          <w:left w:w="108" w:type="dxa"/>
          <w:bottom w:w="0" w:type="dxa"/>
          <w:right w:w="108" w:type="dxa"/>
        </w:tblCellMar>
      </w:tblPr>
      <w:tblGrid>
        <w:gridCol w:w="1756"/>
        <w:gridCol w:w="1113"/>
        <w:gridCol w:w="1385"/>
        <w:gridCol w:w="1877"/>
        <w:gridCol w:w="2135"/>
        <w:gridCol w:w="1438"/>
        <w:gridCol w:w="236"/>
      </w:tblGrid>
      <w:tr>
        <w:tblPrEx>
          <w:tblCellMar>
            <w:top w:w="0" w:type="dxa"/>
            <w:left w:w="108" w:type="dxa"/>
            <w:bottom w:w="0" w:type="dxa"/>
            <w:right w:w="108" w:type="dxa"/>
          </w:tblCellMar>
        </w:tblPrEx>
        <w:trPr>
          <w:trHeight w:val="646" w:hRule="atLeast"/>
        </w:trPr>
        <w:tc>
          <w:tcPr>
            <w:tcW w:w="9704" w:type="dxa"/>
            <w:gridSpan w:val="6"/>
            <w:tcBorders>
              <w:top w:val="nil"/>
              <w:left w:val="nil"/>
              <w:bottom w:val="nil"/>
              <w:right w:val="nil"/>
            </w:tcBorders>
            <w:shd w:val="clear" w:color="auto" w:fill="auto"/>
            <w:vAlign w:val="center"/>
          </w:tcPr>
          <w:p>
            <w:pPr>
              <w:widowControl/>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2021年100万元以上（含）特定目标类部门预算项目绩效目标自评</w:t>
            </w:r>
          </w:p>
        </w:tc>
        <w:tc>
          <w:tcPr>
            <w:tcW w:w="236" w:type="dxa"/>
            <w:tcBorders>
              <w:top w:val="nil"/>
              <w:left w:val="nil"/>
              <w:bottom w:val="nil"/>
              <w:right w:val="nil"/>
            </w:tcBorders>
            <w:shd w:val="clear" w:color="auto" w:fill="auto"/>
            <w:vAlign w:val="center"/>
          </w:tcPr>
          <w:p>
            <w:pPr>
              <w:widowControl/>
              <w:jc w:val="center"/>
              <w:textAlignment w:val="center"/>
              <w:rPr>
                <w:rFonts w:ascii="仿宋_GB2312" w:hAnsi="仿宋_GB2312" w:eastAsia="仿宋_GB2312" w:cs="仿宋_GB2312"/>
                <w:sz w:val="32"/>
                <w:szCs w:val="32"/>
              </w:rPr>
            </w:pPr>
          </w:p>
        </w:tc>
      </w:tr>
      <w:tr>
        <w:tblPrEx>
          <w:tblCellMar>
            <w:top w:w="0" w:type="dxa"/>
            <w:left w:w="108" w:type="dxa"/>
            <w:bottom w:w="0" w:type="dxa"/>
            <w:right w:w="108" w:type="dxa"/>
          </w:tblCellMar>
        </w:tblPrEx>
        <w:trPr>
          <w:trHeight w:val="646" w:hRule="atLeast"/>
        </w:trPr>
        <w:tc>
          <w:tcPr>
            <w:tcW w:w="9704"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r>
              <w:rPr>
                <w:rFonts w:hint="eastAsia" w:ascii="宋体" w:hAnsi="宋体" w:cs="宋体"/>
                <w:b/>
                <w:sz w:val="32"/>
                <w:szCs w:val="32"/>
              </w:rPr>
              <w:t>2021年环卫经费绩效评价</w:t>
            </w:r>
          </w:p>
        </w:tc>
        <w:tc>
          <w:tcPr>
            <w:tcW w:w="236"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236" w:type="dxa"/>
          <w:trHeight w:val="622" w:hRule="atLeast"/>
        </w:trPr>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3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128001</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西区清香坪街道办事处</w:t>
            </w:r>
          </w:p>
        </w:tc>
      </w:tr>
      <w:tr>
        <w:tblPrEx>
          <w:tblCellMar>
            <w:top w:w="0" w:type="dxa"/>
            <w:left w:w="108" w:type="dxa"/>
            <w:bottom w:w="0" w:type="dxa"/>
            <w:right w:w="108" w:type="dxa"/>
          </w:tblCellMar>
        </w:tblPrEx>
        <w:trPr>
          <w:gridAfter w:val="1"/>
          <w:wAfter w:w="236" w:type="dxa"/>
          <w:trHeight w:val="336" w:hRule="atLeast"/>
        </w:trPr>
        <w:tc>
          <w:tcPr>
            <w:tcW w:w="28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项目预算</w:t>
            </w:r>
            <w:r>
              <w:rPr>
                <w:rFonts w:hint="eastAsia" w:ascii="宋体" w:hAnsi="宋体" w:cs="宋体"/>
                <w:kern w:val="0"/>
                <w:sz w:val="24"/>
              </w:rPr>
              <w:br w:type="textWrapping"/>
            </w:r>
            <w:r>
              <w:rPr>
                <w:rFonts w:hint="eastAsia" w:ascii="宋体" w:hAnsi="宋体" w:cs="宋体"/>
                <w:kern w:val="0"/>
                <w:sz w:val="24"/>
              </w:rPr>
              <w:t>执行情况</w:t>
            </w:r>
            <w:r>
              <w:rPr>
                <w:rFonts w:hint="eastAsia" w:ascii="宋体" w:hAnsi="宋体" w:cs="宋体"/>
                <w:kern w:val="0"/>
                <w:sz w:val="24"/>
              </w:rPr>
              <w:br w:type="textWrapping"/>
            </w:r>
            <w:r>
              <w:rPr>
                <w:rFonts w:hint="eastAsia" w:ascii="宋体" w:hAnsi="宋体" w:cs="宋体"/>
                <w:kern w:val="0"/>
                <w:sz w:val="24"/>
              </w:rPr>
              <w:t>（万元）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188.71</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172.62</w:t>
            </w:r>
          </w:p>
        </w:tc>
      </w:tr>
      <w:tr>
        <w:tblPrEx>
          <w:tblCellMar>
            <w:top w:w="0" w:type="dxa"/>
            <w:left w:w="108" w:type="dxa"/>
            <w:bottom w:w="0" w:type="dxa"/>
            <w:right w:w="108" w:type="dxa"/>
          </w:tblCellMar>
        </w:tblPrEx>
        <w:trPr>
          <w:gridAfter w:val="1"/>
          <w:wAfter w:w="236" w:type="dxa"/>
          <w:trHeight w:val="622" w:hRule="atLeast"/>
        </w:trPr>
        <w:tc>
          <w:tcPr>
            <w:tcW w:w="28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188.71</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172.62</w:t>
            </w:r>
          </w:p>
        </w:tc>
      </w:tr>
      <w:tr>
        <w:tblPrEx>
          <w:tblCellMar>
            <w:top w:w="0" w:type="dxa"/>
            <w:left w:w="108" w:type="dxa"/>
            <w:bottom w:w="0" w:type="dxa"/>
            <w:right w:w="108" w:type="dxa"/>
          </w:tblCellMar>
        </w:tblPrEx>
        <w:trPr>
          <w:gridAfter w:val="1"/>
          <w:wAfter w:w="236" w:type="dxa"/>
          <w:trHeight w:val="336" w:hRule="atLeast"/>
        </w:trPr>
        <w:tc>
          <w:tcPr>
            <w:tcW w:w="28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gridAfter w:val="1"/>
          <w:wAfter w:w="236" w:type="dxa"/>
          <w:trHeight w:val="454" w:hRule="atLeast"/>
        </w:trPr>
        <w:tc>
          <w:tcPr>
            <w:tcW w:w="1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4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gridAfter w:val="1"/>
          <w:wAfter w:w="236" w:type="dxa"/>
          <w:trHeight w:val="1177"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4375"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用于辖区打扫公共环境卫生，保持环境清洁，改善城市市容市貌，提升居民满意度。</w:t>
            </w:r>
          </w:p>
        </w:tc>
        <w:tc>
          <w:tcPr>
            <w:tcW w:w="3573"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改善了城市市容市貌，提高了居民生活质量，提升了居民满意度。</w:t>
            </w:r>
          </w:p>
        </w:tc>
      </w:tr>
      <w:tr>
        <w:tblPrEx>
          <w:tblCellMar>
            <w:top w:w="0" w:type="dxa"/>
            <w:left w:w="108" w:type="dxa"/>
            <w:bottom w:w="0" w:type="dxa"/>
            <w:right w:w="108" w:type="dxa"/>
          </w:tblCellMar>
        </w:tblPrEx>
        <w:trPr>
          <w:gridAfter w:val="1"/>
          <w:wAfter w:w="236" w:type="dxa"/>
          <w:trHeight w:val="965" w:hRule="atLeast"/>
        </w:trPr>
        <w:tc>
          <w:tcPr>
            <w:tcW w:w="175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13"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gridAfter w:val="1"/>
          <w:wAfter w:w="236" w:type="dxa"/>
          <w:trHeight w:val="611" w:hRule="atLeast"/>
        </w:trPr>
        <w:tc>
          <w:tcPr>
            <w:tcW w:w="175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清扫保洁</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1000余次</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1000余次</w:t>
            </w:r>
          </w:p>
        </w:tc>
      </w:tr>
      <w:tr>
        <w:tblPrEx>
          <w:tblCellMar>
            <w:top w:w="0" w:type="dxa"/>
            <w:left w:w="108" w:type="dxa"/>
            <w:bottom w:w="0" w:type="dxa"/>
            <w:right w:w="108" w:type="dxa"/>
          </w:tblCellMar>
        </w:tblPrEx>
        <w:trPr>
          <w:gridAfter w:val="1"/>
          <w:wAfter w:w="236" w:type="dxa"/>
          <w:trHeight w:val="1024" w:hRule="atLeast"/>
        </w:trPr>
        <w:tc>
          <w:tcPr>
            <w:tcW w:w="175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清洁度达标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对辖区环境抽查</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达标</w:t>
            </w:r>
          </w:p>
        </w:tc>
      </w:tr>
      <w:tr>
        <w:tblPrEx>
          <w:tblCellMar>
            <w:top w:w="0" w:type="dxa"/>
            <w:left w:w="108" w:type="dxa"/>
            <w:bottom w:w="0" w:type="dxa"/>
            <w:right w:w="108" w:type="dxa"/>
          </w:tblCellMar>
        </w:tblPrEx>
        <w:trPr>
          <w:gridAfter w:val="1"/>
          <w:wAfter w:w="236" w:type="dxa"/>
          <w:trHeight w:val="648" w:hRule="atLeast"/>
        </w:trPr>
        <w:tc>
          <w:tcPr>
            <w:tcW w:w="175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完成时限</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全年</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w:t>
            </w:r>
          </w:p>
        </w:tc>
      </w:tr>
      <w:tr>
        <w:tblPrEx>
          <w:tblCellMar>
            <w:top w:w="0" w:type="dxa"/>
            <w:left w:w="108" w:type="dxa"/>
            <w:bottom w:w="0" w:type="dxa"/>
            <w:right w:w="108" w:type="dxa"/>
          </w:tblCellMar>
        </w:tblPrEx>
        <w:trPr>
          <w:gridAfter w:val="1"/>
          <w:wAfter w:w="236" w:type="dxa"/>
          <w:trHeight w:val="540" w:hRule="atLeast"/>
        </w:trPr>
        <w:tc>
          <w:tcPr>
            <w:tcW w:w="175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清扫保洁费</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188.71万</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172.62万</w:t>
            </w:r>
          </w:p>
        </w:tc>
      </w:tr>
      <w:tr>
        <w:tblPrEx>
          <w:tblCellMar>
            <w:top w:w="0" w:type="dxa"/>
            <w:left w:w="108" w:type="dxa"/>
            <w:bottom w:w="0" w:type="dxa"/>
            <w:right w:w="108" w:type="dxa"/>
          </w:tblCellMar>
        </w:tblPrEx>
        <w:trPr>
          <w:gridAfter w:val="1"/>
          <w:wAfter w:w="236" w:type="dxa"/>
          <w:trHeight w:val="1320" w:hRule="atLeast"/>
        </w:trPr>
        <w:tc>
          <w:tcPr>
            <w:tcW w:w="175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  指标</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给群众提供洁净的场所</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改善了城市市容市貌</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改善了城市市容市貌</w:t>
            </w:r>
          </w:p>
        </w:tc>
      </w:tr>
      <w:tr>
        <w:tblPrEx>
          <w:tblCellMar>
            <w:top w:w="0" w:type="dxa"/>
            <w:left w:w="108" w:type="dxa"/>
            <w:bottom w:w="0" w:type="dxa"/>
            <w:right w:w="108" w:type="dxa"/>
          </w:tblCellMar>
        </w:tblPrEx>
        <w:trPr>
          <w:gridAfter w:val="1"/>
          <w:wAfter w:w="236" w:type="dxa"/>
          <w:trHeight w:val="761" w:hRule="atLeast"/>
        </w:trPr>
        <w:tc>
          <w:tcPr>
            <w:tcW w:w="1756"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度指标</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群众满意度</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≥95%</w:t>
            </w:r>
          </w:p>
        </w:tc>
      </w:tr>
    </w:tbl>
    <w:p>
      <w:pPr>
        <w:widowControl/>
        <w:adjustRightInd w:val="0"/>
        <w:snapToGrid w:val="0"/>
        <w:spacing w:line="580" w:lineRule="exact"/>
        <w:ind w:firstLine="640" w:firstLineChars="200"/>
        <w:contextualSpacing/>
        <w:jc w:val="left"/>
        <w:rPr>
          <w:rStyle w:val="25"/>
          <w:rFonts w:ascii="黑体" w:hAnsi="黑体" w:eastAsia="黑体"/>
          <w:b w:val="0"/>
        </w:rPr>
      </w:pPr>
      <w:r>
        <w:rPr>
          <w:rFonts w:hint="eastAsia" w:ascii="仿宋_GB2312" w:hAnsi="宋体" w:eastAsia="仿宋_GB2312" w:cs="宋体"/>
          <w:kern w:val="0"/>
          <w:sz w:val="32"/>
          <w:szCs w:val="32"/>
          <w:shd w:val="clear" w:color="auto" w:fill="FFFFFF"/>
          <w:lang w:val="zh-CN"/>
        </w:rPr>
        <w:t>附表：</w:t>
      </w:r>
    </w:p>
    <w:p>
      <w:pPr>
        <w:widowControl/>
        <w:jc w:val="left"/>
        <w:rPr>
          <w:rStyle w:val="25"/>
          <w:rFonts w:ascii="黑体" w:hAnsi="黑体" w:eastAsia="黑体"/>
          <w:b w:val="0"/>
        </w:rPr>
      </w:pPr>
      <w:r>
        <w:rPr>
          <w:rStyle w:val="25"/>
          <w:rFonts w:ascii="黑体" w:hAnsi="黑体" w:eastAsia="黑体"/>
          <w:b w:val="0"/>
        </w:rPr>
        <w:br w:type="page"/>
      </w:r>
    </w:p>
    <w:p>
      <w:pPr>
        <w:pStyle w:val="2"/>
        <w:spacing w:before="93"/>
        <w:rPr>
          <w:rStyle w:val="25"/>
          <w:rFonts w:ascii="黑体" w:hAnsi="黑体" w:eastAsia="黑体"/>
          <w:b w:val="0"/>
        </w:rPr>
      </w:pPr>
    </w:p>
    <w:tbl>
      <w:tblPr>
        <w:tblStyle w:val="13"/>
        <w:tblpPr w:leftFromText="180" w:rightFromText="180" w:vertAnchor="text" w:horzAnchor="page" w:tblpX="1281" w:tblpY="660"/>
        <w:tblOverlap w:val="never"/>
        <w:tblW w:w="9940" w:type="dxa"/>
        <w:tblInd w:w="0" w:type="dxa"/>
        <w:tblLayout w:type="fixed"/>
        <w:tblCellMar>
          <w:top w:w="0" w:type="dxa"/>
          <w:left w:w="108" w:type="dxa"/>
          <w:bottom w:w="0" w:type="dxa"/>
          <w:right w:w="108" w:type="dxa"/>
        </w:tblCellMar>
      </w:tblPr>
      <w:tblGrid>
        <w:gridCol w:w="1756"/>
        <w:gridCol w:w="1113"/>
        <w:gridCol w:w="1385"/>
        <w:gridCol w:w="1877"/>
        <w:gridCol w:w="2135"/>
        <w:gridCol w:w="1434"/>
        <w:gridCol w:w="240"/>
      </w:tblGrid>
      <w:tr>
        <w:tblPrEx>
          <w:tblCellMar>
            <w:top w:w="0" w:type="dxa"/>
            <w:left w:w="108" w:type="dxa"/>
            <w:bottom w:w="0" w:type="dxa"/>
            <w:right w:w="108" w:type="dxa"/>
          </w:tblCellMar>
        </w:tblPrEx>
        <w:trPr>
          <w:trHeight w:val="646" w:hRule="atLeast"/>
        </w:trPr>
        <w:tc>
          <w:tcPr>
            <w:tcW w:w="9700"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r>
              <w:rPr>
                <w:rFonts w:hint="eastAsia" w:ascii="宋体" w:hAnsi="宋体" w:cs="宋体"/>
                <w:b/>
                <w:sz w:val="32"/>
                <w:szCs w:val="32"/>
              </w:rPr>
              <w:t>“人大代表之家”工作经费绩效评价</w:t>
            </w:r>
          </w:p>
        </w:tc>
        <w:tc>
          <w:tcPr>
            <w:tcW w:w="240"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240" w:type="dxa"/>
          <w:trHeight w:val="622" w:hRule="atLeast"/>
        </w:trPr>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3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128001</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西区清香坪街道办事处</w:t>
            </w:r>
          </w:p>
        </w:tc>
      </w:tr>
      <w:tr>
        <w:tblPrEx>
          <w:tblCellMar>
            <w:top w:w="0" w:type="dxa"/>
            <w:left w:w="108" w:type="dxa"/>
            <w:bottom w:w="0" w:type="dxa"/>
            <w:right w:w="108" w:type="dxa"/>
          </w:tblCellMar>
        </w:tblPrEx>
        <w:trPr>
          <w:gridAfter w:val="1"/>
          <w:wAfter w:w="240" w:type="dxa"/>
          <w:trHeight w:val="336" w:hRule="atLeast"/>
        </w:trPr>
        <w:tc>
          <w:tcPr>
            <w:tcW w:w="28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项目预算</w:t>
            </w:r>
            <w:r>
              <w:rPr>
                <w:rFonts w:hint="eastAsia" w:ascii="宋体" w:hAnsi="宋体" w:cs="宋体"/>
                <w:kern w:val="0"/>
                <w:sz w:val="24"/>
              </w:rPr>
              <w:br w:type="textWrapping"/>
            </w:r>
            <w:r>
              <w:rPr>
                <w:rFonts w:hint="eastAsia" w:ascii="宋体" w:hAnsi="宋体" w:cs="宋体"/>
                <w:kern w:val="0"/>
                <w:sz w:val="24"/>
              </w:rPr>
              <w:t>执行情况</w:t>
            </w:r>
            <w:r>
              <w:rPr>
                <w:rFonts w:hint="eastAsia" w:ascii="宋体" w:hAnsi="宋体" w:cs="宋体"/>
                <w:kern w:val="0"/>
                <w:sz w:val="24"/>
              </w:rPr>
              <w:br w:type="textWrapping"/>
            </w:r>
            <w:r>
              <w:rPr>
                <w:rFonts w:hint="eastAsia" w:ascii="宋体" w:hAnsi="宋体" w:cs="宋体"/>
                <w:kern w:val="0"/>
                <w:sz w:val="24"/>
              </w:rPr>
              <w:t>（万元）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1.00</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1.00</w:t>
            </w:r>
          </w:p>
        </w:tc>
      </w:tr>
      <w:tr>
        <w:tblPrEx>
          <w:tblCellMar>
            <w:top w:w="0" w:type="dxa"/>
            <w:left w:w="108" w:type="dxa"/>
            <w:bottom w:w="0" w:type="dxa"/>
            <w:right w:w="108" w:type="dxa"/>
          </w:tblCellMar>
        </w:tblPrEx>
        <w:trPr>
          <w:gridAfter w:val="1"/>
          <w:wAfter w:w="240" w:type="dxa"/>
          <w:trHeight w:val="622" w:hRule="atLeast"/>
        </w:trPr>
        <w:tc>
          <w:tcPr>
            <w:tcW w:w="28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1.00</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1.00</w:t>
            </w:r>
          </w:p>
        </w:tc>
      </w:tr>
      <w:tr>
        <w:tblPrEx>
          <w:tblCellMar>
            <w:top w:w="0" w:type="dxa"/>
            <w:left w:w="108" w:type="dxa"/>
            <w:bottom w:w="0" w:type="dxa"/>
            <w:right w:w="108" w:type="dxa"/>
          </w:tblCellMar>
        </w:tblPrEx>
        <w:trPr>
          <w:gridAfter w:val="1"/>
          <w:wAfter w:w="240" w:type="dxa"/>
          <w:trHeight w:val="336" w:hRule="atLeast"/>
        </w:trPr>
        <w:tc>
          <w:tcPr>
            <w:tcW w:w="28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gridAfter w:val="1"/>
          <w:wAfter w:w="240" w:type="dxa"/>
          <w:trHeight w:val="454" w:hRule="atLeast"/>
        </w:trPr>
        <w:tc>
          <w:tcPr>
            <w:tcW w:w="1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4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gridAfter w:val="1"/>
          <w:wAfter w:w="240" w:type="dxa"/>
          <w:trHeight w:val="1177"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4375"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通过人大等相关专业性的培训，提高在职工作人员的工作水平，按照要求做好人大代表换届工作。</w:t>
            </w:r>
          </w:p>
        </w:tc>
        <w:tc>
          <w:tcPr>
            <w:tcW w:w="3569"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通过人大等相关专业性的培训，提高在职工作人员的工作水平，按照要求做好人大代表换届工作。</w:t>
            </w:r>
          </w:p>
        </w:tc>
      </w:tr>
      <w:tr>
        <w:tblPrEx>
          <w:tblCellMar>
            <w:top w:w="0" w:type="dxa"/>
            <w:left w:w="108" w:type="dxa"/>
            <w:bottom w:w="0" w:type="dxa"/>
            <w:right w:w="108" w:type="dxa"/>
          </w:tblCellMar>
        </w:tblPrEx>
        <w:trPr>
          <w:gridAfter w:val="1"/>
          <w:wAfter w:w="240" w:type="dxa"/>
          <w:trHeight w:val="965" w:hRule="atLeast"/>
        </w:trPr>
        <w:tc>
          <w:tcPr>
            <w:tcW w:w="175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13"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gridAfter w:val="1"/>
          <w:wAfter w:w="240" w:type="dxa"/>
          <w:trHeight w:val="611" w:hRule="atLeast"/>
        </w:trPr>
        <w:tc>
          <w:tcPr>
            <w:tcW w:w="175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标准化打造</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宣传广告15张、维护、更新1次</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宣传广告15张、维护、更新1次</w:t>
            </w:r>
          </w:p>
        </w:tc>
      </w:tr>
      <w:tr>
        <w:tblPrEx>
          <w:tblCellMar>
            <w:top w:w="0" w:type="dxa"/>
            <w:left w:w="108" w:type="dxa"/>
            <w:bottom w:w="0" w:type="dxa"/>
            <w:right w:w="108" w:type="dxa"/>
          </w:tblCellMar>
        </w:tblPrEx>
        <w:trPr>
          <w:gridAfter w:val="1"/>
          <w:wAfter w:w="240" w:type="dxa"/>
          <w:trHeight w:val="2082" w:hRule="atLeast"/>
        </w:trPr>
        <w:tc>
          <w:tcPr>
            <w:tcW w:w="175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代表学习培训的课堂，联系选民的桥梁</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通过人大等相关专业性的培训，提高在职工作人员的工作水平。</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通过与选民见面等服务，倾听群众心声，表达居民诉求。</w:t>
            </w:r>
          </w:p>
        </w:tc>
      </w:tr>
      <w:tr>
        <w:tblPrEx>
          <w:tblCellMar>
            <w:top w:w="0" w:type="dxa"/>
            <w:left w:w="108" w:type="dxa"/>
            <w:bottom w:w="0" w:type="dxa"/>
            <w:right w:w="108" w:type="dxa"/>
          </w:tblCellMar>
        </w:tblPrEx>
        <w:trPr>
          <w:gridAfter w:val="1"/>
          <w:wAfter w:w="240" w:type="dxa"/>
          <w:trHeight w:val="477" w:hRule="atLeast"/>
        </w:trPr>
        <w:tc>
          <w:tcPr>
            <w:tcW w:w="175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完成时限</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全年</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w:t>
            </w:r>
          </w:p>
        </w:tc>
      </w:tr>
      <w:tr>
        <w:tblPrEx>
          <w:tblCellMar>
            <w:top w:w="0" w:type="dxa"/>
            <w:left w:w="108" w:type="dxa"/>
            <w:bottom w:w="0" w:type="dxa"/>
            <w:right w:w="108" w:type="dxa"/>
          </w:tblCellMar>
        </w:tblPrEx>
        <w:trPr>
          <w:gridAfter w:val="1"/>
          <w:wAfter w:w="240" w:type="dxa"/>
          <w:trHeight w:val="540" w:hRule="atLeast"/>
        </w:trPr>
        <w:tc>
          <w:tcPr>
            <w:tcW w:w="175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标准化打造费</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1万</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1万</w:t>
            </w:r>
          </w:p>
        </w:tc>
      </w:tr>
      <w:tr>
        <w:tblPrEx>
          <w:tblCellMar>
            <w:top w:w="0" w:type="dxa"/>
            <w:left w:w="108" w:type="dxa"/>
            <w:bottom w:w="0" w:type="dxa"/>
            <w:right w:w="108" w:type="dxa"/>
          </w:tblCellMar>
        </w:tblPrEx>
        <w:trPr>
          <w:gridAfter w:val="1"/>
          <w:wAfter w:w="240" w:type="dxa"/>
          <w:trHeight w:val="1494" w:hRule="atLeast"/>
        </w:trPr>
        <w:tc>
          <w:tcPr>
            <w:tcW w:w="175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  指标</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为闭会期间人大代表履职提供平台</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服务群众的窗口、民主法治建设的阵地、创新社会治理的抓手。</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做人民群众的“代言人”</w:t>
            </w:r>
          </w:p>
        </w:tc>
      </w:tr>
      <w:tr>
        <w:tblPrEx>
          <w:tblCellMar>
            <w:top w:w="0" w:type="dxa"/>
            <w:left w:w="108" w:type="dxa"/>
            <w:bottom w:w="0" w:type="dxa"/>
            <w:right w:w="108" w:type="dxa"/>
          </w:tblCellMar>
        </w:tblPrEx>
        <w:trPr>
          <w:gridAfter w:val="1"/>
          <w:wAfter w:w="240" w:type="dxa"/>
          <w:trHeight w:val="761" w:hRule="atLeast"/>
        </w:trPr>
        <w:tc>
          <w:tcPr>
            <w:tcW w:w="1756"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度指标</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居民满意度</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≥95%</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≥95%</w:t>
            </w:r>
          </w:p>
        </w:tc>
      </w:tr>
    </w:tbl>
    <w:p>
      <w:pPr>
        <w:pStyle w:val="2"/>
        <w:spacing w:before="93"/>
        <w:rPr>
          <w:rFonts w:ascii="黑体" w:hAnsi="黑体" w:eastAsia="黑体"/>
          <w:sz w:val="44"/>
          <w:szCs w:val="44"/>
        </w:rPr>
      </w:pPr>
      <w:bookmarkStart w:id="101" w:name="_Toc15396618"/>
    </w:p>
    <w:tbl>
      <w:tblPr>
        <w:tblStyle w:val="13"/>
        <w:tblpPr w:leftFromText="180" w:rightFromText="180" w:vertAnchor="text" w:horzAnchor="page" w:tblpX="1281" w:tblpY="660"/>
        <w:tblOverlap w:val="never"/>
        <w:tblW w:w="9940" w:type="dxa"/>
        <w:tblInd w:w="0" w:type="dxa"/>
        <w:tblLayout w:type="fixed"/>
        <w:tblCellMar>
          <w:top w:w="0" w:type="dxa"/>
          <w:left w:w="108" w:type="dxa"/>
          <w:bottom w:w="0" w:type="dxa"/>
          <w:right w:w="108" w:type="dxa"/>
        </w:tblCellMar>
      </w:tblPr>
      <w:tblGrid>
        <w:gridCol w:w="1756"/>
        <w:gridCol w:w="1113"/>
        <w:gridCol w:w="1385"/>
        <w:gridCol w:w="1877"/>
        <w:gridCol w:w="2135"/>
        <w:gridCol w:w="1438"/>
        <w:gridCol w:w="236"/>
      </w:tblGrid>
      <w:tr>
        <w:tblPrEx>
          <w:tblCellMar>
            <w:top w:w="0" w:type="dxa"/>
            <w:left w:w="108" w:type="dxa"/>
            <w:bottom w:w="0" w:type="dxa"/>
            <w:right w:w="108" w:type="dxa"/>
          </w:tblCellMar>
        </w:tblPrEx>
        <w:trPr>
          <w:trHeight w:val="646" w:hRule="atLeast"/>
        </w:trPr>
        <w:tc>
          <w:tcPr>
            <w:tcW w:w="9704"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r>
              <w:rPr>
                <w:rFonts w:hint="eastAsia" w:ascii="宋体" w:hAnsi="宋体" w:cs="宋体"/>
                <w:b/>
                <w:sz w:val="32"/>
                <w:szCs w:val="32"/>
              </w:rPr>
              <w:t>信访、综治维稳经费绩效评价</w:t>
            </w:r>
          </w:p>
        </w:tc>
        <w:tc>
          <w:tcPr>
            <w:tcW w:w="236"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236" w:type="dxa"/>
          <w:trHeight w:val="622" w:hRule="atLeast"/>
        </w:trPr>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3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128001</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西区清香坪街道办事处</w:t>
            </w:r>
          </w:p>
        </w:tc>
      </w:tr>
      <w:tr>
        <w:tblPrEx>
          <w:tblCellMar>
            <w:top w:w="0" w:type="dxa"/>
            <w:left w:w="108" w:type="dxa"/>
            <w:bottom w:w="0" w:type="dxa"/>
            <w:right w:w="108" w:type="dxa"/>
          </w:tblCellMar>
        </w:tblPrEx>
        <w:trPr>
          <w:gridAfter w:val="1"/>
          <w:wAfter w:w="236" w:type="dxa"/>
          <w:trHeight w:val="336" w:hRule="atLeast"/>
        </w:trPr>
        <w:tc>
          <w:tcPr>
            <w:tcW w:w="28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项目预算</w:t>
            </w:r>
            <w:r>
              <w:rPr>
                <w:rFonts w:hint="eastAsia" w:ascii="宋体" w:hAnsi="宋体" w:cs="宋体"/>
                <w:kern w:val="0"/>
                <w:sz w:val="24"/>
              </w:rPr>
              <w:br w:type="textWrapping"/>
            </w:r>
            <w:r>
              <w:rPr>
                <w:rFonts w:hint="eastAsia" w:ascii="宋体" w:hAnsi="宋体" w:cs="宋体"/>
                <w:kern w:val="0"/>
                <w:sz w:val="24"/>
              </w:rPr>
              <w:t>执行情况</w:t>
            </w:r>
            <w:r>
              <w:rPr>
                <w:rFonts w:hint="eastAsia" w:ascii="宋体" w:hAnsi="宋体" w:cs="宋体"/>
                <w:kern w:val="0"/>
                <w:sz w:val="24"/>
              </w:rPr>
              <w:br w:type="textWrapping"/>
            </w:r>
            <w:r>
              <w:rPr>
                <w:rFonts w:hint="eastAsia" w:ascii="宋体" w:hAnsi="宋体" w:cs="宋体"/>
                <w:kern w:val="0"/>
                <w:sz w:val="24"/>
              </w:rPr>
              <w:t>（万元）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34.02</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23.5</w:t>
            </w:r>
          </w:p>
        </w:tc>
      </w:tr>
      <w:tr>
        <w:tblPrEx>
          <w:tblCellMar>
            <w:top w:w="0" w:type="dxa"/>
            <w:left w:w="108" w:type="dxa"/>
            <w:bottom w:w="0" w:type="dxa"/>
            <w:right w:w="108" w:type="dxa"/>
          </w:tblCellMar>
        </w:tblPrEx>
        <w:trPr>
          <w:gridAfter w:val="1"/>
          <w:wAfter w:w="236" w:type="dxa"/>
          <w:trHeight w:val="622" w:hRule="atLeast"/>
        </w:trPr>
        <w:tc>
          <w:tcPr>
            <w:tcW w:w="28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34.02</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23.5</w:t>
            </w:r>
          </w:p>
        </w:tc>
      </w:tr>
      <w:tr>
        <w:tblPrEx>
          <w:tblCellMar>
            <w:top w:w="0" w:type="dxa"/>
            <w:left w:w="108" w:type="dxa"/>
            <w:bottom w:w="0" w:type="dxa"/>
            <w:right w:w="108" w:type="dxa"/>
          </w:tblCellMar>
        </w:tblPrEx>
        <w:trPr>
          <w:gridAfter w:val="1"/>
          <w:wAfter w:w="236" w:type="dxa"/>
          <w:trHeight w:val="336" w:hRule="atLeast"/>
        </w:trPr>
        <w:tc>
          <w:tcPr>
            <w:tcW w:w="28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gridAfter w:val="1"/>
          <w:wAfter w:w="236" w:type="dxa"/>
          <w:trHeight w:val="454" w:hRule="atLeast"/>
        </w:trPr>
        <w:tc>
          <w:tcPr>
            <w:tcW w:w="1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4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gridAfter w:val="1"/>
          <w:wAfter w:w="236" w:type="dxa"/>
          <w:trHeight w:val="1177"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4375"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2021年辖区信访、维稳重点人员和群体稳控费用以及2022年各级两会信访、维稳情况和党的二十大召开信访、维稳重点人员和群体稳控。</w:t>
            </w:r>
          </w:p>
        </w:tc>
        <w:tc>
          <w:tcPr>
            <w:tcW w:w="3573"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完成2021年辖区信访、维稳重点人员和群体稳控费用以及2022年各级两会信访、维稳重点人员和群体稳控。</w:t>
            </w:r>
          </w:p>
        </w:tc>
      </w:tr>
      <w:tr>
        <w:tblPrEx>
          <w:tblCellMar>
            <w:top w:w="0" w:type="dxa"/>
            <w:left w:w="108" w:type="dxa"/>
            <w:bottom w:w="0" w:type="dxa"/>
            <w:right w:w="108" w:type="dxa"/>
          </w:tblCellMar>
        </w:tblPrEx>
        <w:trPr>
          <w:gridAfter w:val="1"/>
          <w:wAfter w:w="236" w:type="dxa"/>
          <w:trHeight w:val="965" w:hRule="atLeast"/>
        </w:trPr>
        <w:tc>
          <w:tcPr>
            <w:tcW w:w="175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13"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gridAfter w:val="1"/>
          <w:wAfter w:w="236" w:type="dxa"/>
          <w:trHeight w:val="611" w:hRule="atLeast"/>
        </w:trPr>
        <w:tc>
          <w:tcPr>
            <w:tcW w:w="175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特殊疑难信访、维稳案件资金</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20人</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20人</w:t>
            </w:r>
          </w:p>
        </w:tc>
      </w:tr>
      <w:tr>
        <w:tblPrEx>
          <w:tblCellMar>
            <w:top w:w="0" w:type="dxa"/>
            <w:left w:w="108" w:type="dxa"/>
            <w:bottom w:w="0" w:type="dxa"/>
            <w:right w:w="108" w:type="dxa"/>
          </w:tblCellMar>
        </w:tblPrEx>
        <w:trPr>
          <w:gridAfter w:val="1"/>
          <w:wAfter w:w="236" w:type="dxa"/>
          <w:trHeight w:val="1024" w:hRule="atLeast"/>
        </w:trPr>
        <w:tc>
          <w:tcPr>
            <w:tcW w:w="175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提升工作管理水平</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保障辖区社会和谐稳定</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稳控重点人员不非法上访，保障辖区和谐安定。</w:t>
            </w:r>
          </w:p>
        </w:tc>
      </w:tr>
      <w:tr>
        <w:tblPrEx>
          <w:tblCellMar>
            <w:top w:w="0" w:type="dxa"/>
            <w:left w:w="108" w:type="dxa"/>
            <w:bottom w:w="0" w:type="dxa"/>
            <w:right w:w="108" w:type="dxa"/>
          </w:tblCellMar>
        </w:tblPrEx>
        <w:trPr>
          <w:gridAfter w:val="1"/>
          <w:wAfter w:w="236" w:type="dxa"/>
          <w:trHeight w:val="648" w:hRule="atLeast"/>
        </w:trPr>
        <w:tc>
          <w:tcPr>
            <w:tcW w:w="175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完成时限</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全年</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w:t>
            </w:r>
          </w:p>
        </w:tc>
      </w:tr>
      <w:tr>
        <w:tblPrEx>
          <w:tblCellMar>
            <w:top w:w="0" w:type="dxa"/>
            <w:left w:w="108" w:type="dxa"/>
            <w:bottom w:w="0" w:type="dxa"/>
            <w:right w:w="108" w:type="dxa"/>
          </w:tblCellMar>
        </w:tblPrEx>
        <w:trPr>
          <w:gridAfter w:val="1"/>
          <w:wAfter w:w="236" w:type="dxa"/>
          <w:trHeight w:val="540" w:hRule="atLeast"/>
        </w:trPr>
        <w:tc>
          <w:tcPr>
            <w:tcW w:w="175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维稳费</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34.02万</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23.5万</w:t>
            </w:r>
          </w:p>
        </w:tc>
      </w:tr>
      <w:tr>
        <w:tblPrEx>
          <w:tblCellMar>
            <w:top w:w="0" w:type="dxa"/>
            <w:left w:w="108" w:type="dxa"/>
            <w:bottom w:w="0" w:type="dxa"/>
            <w:right w:w="108" w:type="dxa"/>
          </w:tblCellMar>
        </w:tblPrEx>
        <w:trPr>
          <w:gridAfter w:val="1"/>
          <w:wAfter w:w="236" w:type="dxa"/>
          <w:trHeight w:val="1320" w:hRule="atLeast"/>
        </w:trPr>
        <w:tc>
          <w:tcPr>
            <w:tcW w:w="175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  指标</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保障辖区社会和谐稳定</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稳控重点人员不非法上访</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保障辖区和谐安定</w:t>
            </w:r>
          </w:p>
        </w:tc>
      </w:tr>
      <w:tr>
        <w:tblPrEx>
          <w:tblCellMar>
            <w:top w:w="0" w:type="dxa"/>
            <w:left w:w="108" w:type="dxa"/>
            <w:bottom w:w="0" w:type="dxa"/>
            <w:right w:w="108" w:type="dxa"/>
          </w:tblCellMar>
        </w:tblPrEx>
        <w:trPr>
          <w:gridAfter w:val="1"/>
          <w:wAfter w:w="236" w:type="dxa"/>
          <w:trHeight w:val="761" w:hRule="atLeast"/>
        </w:trPr>
        <w:tc>
          <w:tcPr>
            <w:tcW w:w="1756"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度指标</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群众满意度</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≥95%</w:t>
            </w:r>
          </w:p>
        </w:tc>
      </w:tr>
    </w:tbl>
    <w:p>
      <w:pPr>
        <w:widowControl/>
        <w:adjustRightInd w:val="0"/>
        <w:snapToGrid w:val="0"/>
        <w:spacing w:line="580" w:lineRule="exact"/>
        <w:contextualSpacing/>
        <w:jc w:val="left"/>
        <w:rPr>
          <w:rStyle w:val="25"/>
          <w:rFonts w:ascii="黑体" w:hAnsi="黑体" w:eastAsia="黑体"/>
          <w:b w:val="0"/>
        </w:rPr>
      </w:pPr>
    </w:p>
    <w:p>
      <w:pPr>
        <w:pStyle w:val="2"/>
        <w:spacing w:before="93"/>
        <w:rPr>
          <w:rFonts w:ascii="黑体" w:hAnsi="黑体" w:eastAsia="黑体"/>
          <w:sz w:val="44"/>
          <w:szCs w:val="44"/>
        </w:rPr>
      </w:pPr>
      <w:r>
        <w:rPr>
          <w:rStyle w:val="25"/>
          <w:rFonts w:ascii="黑体" w:hAnsi="黑体" w:eastAsia="黑体"/>
          <w:b w:val="0"/>
        </w:rPr>
        <w:br w:type="page"/>
      </w:r>
    </w:p>
    <w:tbl>
      <w:tblPr>
        <w:tblStyle w:val="13"/>
        <w:tblpPr w:leftFromText="180" w:rightFromText="180" w:vertAnchor="text" w:horzAnchor="page" w:tblpX="1281" w:tblpY="660"/>
        <w:tblOverlap w:val="never"/>
        <w:tblW w:w="9940" w:type="dxa"/>
        <w:tblInd w:w="0" w:type="dxa"/>
        <w:tblLayout w:type="fixed"/>
        <w:tblCellMar>
          <w:top w:w="0" w:type="dxa"/>
          <w:left w:w="108" w:type="dxa"/>
          <w:bottom w:w="0" w:type="dxa"/>
          <w:right w:w="108" w:type="dxa"/>
        </w:tblCellMar>
      </w:tblPr>
      <w:tblGrid>
        <w:gridCol w:w="1756"/>
        <w:gridCol w:w="1113"/>
        <w:gridCol w:w="1385"/>
        <w:gridCol w:w="1877"/>
        <w:gridCol w:w="2135"/>
        <w:gridCol w:w="1438"/>
        <w:gridCol w:w="236"/>
      </w:tblGrid>
      <w:tr>
        <w:tblPrEx>
          <w:tblCellMar>
            <w:top w:w="0" w:type="dxa"/>
            <w:left w:w="108" w:type="dxa"/>
            <w:bottom w:w="0" w:type="dxa"/>
            <w:right w:w="108" w:type="dxa"/>
          </w:tblCellMar>
        </w:tblPrEx>
        <w:trPr>
          <w:trHeight w:val="646" w:hRule="atLeast"/>
        </w:trPr>
        <w:tc>
          <w:tcPr>
            <w:tcW w:w="9704"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r>
              <w:rPr>
                <w:rFonts w:hint="eastAsia" w:ascii="宋体" w:hAnsi="宋体" w:cs="宋体"/>
                <w:b/>
                <w:sz w:val="32"/>
                <w:szCs w:val="32"/>
              </w:rPr>
              <w:t>攀钢清香坪生活区市政设施管理工作经费绩效评价</w:t>
            </w:r>
          </w:p>
        </w:tc>
        <w:tc>
          <w:tcPr>
            <w:tcW w:w="236"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236" w:type="dxa"/>
          <w:trHeight w:val="622" w:hRule="atLeast"/>
        </w:trPr>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3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128001</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西区清香坪街道办事处</w:t>
            </w:r>
          </w:p>
        </w:tc>
      </w:tr>
      <w:tr>
        <w:tblPrEx>
          <w:tblCellMar>
            <w:top w:w="0" w:type="dxa"/>
            <w:left w:w="108" w:type="dxa"/>
            <w:bottom w:w="0" w:type="dxa"/>
            <w:right w:w="108" w:type="dxa"/>
          </w:tblCellMar>
        </w:tblPrEx>
        <w:trPr>
          <w:gridAfter w:val="1"/>
          <w:wAfter w:w="236" w:type="dxa"/>
          <w:trHeight w:val="336" w:hRule="atLeast"/>
        </w:trPr>
        <w:tc>
          <w:tcPr>
            <w:tcW w:w="28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项目预算</w:t>
            </w:r>
            <w:r>
              <w:rPr>
                <w:rFonts w:hint="eastAsia" w:ascii="宋体" w:hAnsi="宋体" w:cs="宋体"/>
                <w:kern w:val="0"/>
                <w:sz w:val="24"/>
              </w:rPr>
              <w:br w:type="textWrapping"/>
            </w:r>
            <w:r>
              <w:rPr>
                <w:rFonts w:hint="eastAsia" w:ascii="宋体" w:hAnsi="宋体" w:cs="宋体"/>
                <w:kern w:val="0"/>
                <w:sz w:val="24"/>
              </w:rPr>
              <w:t>执行情况</w:t>
            </w:r>
            <w:r>
              <w:rPr>
                <w:rFonts w:hint="eastAsia" w:ascii="宋体" w:hAnsi="宋体" w:cs="宋体"/>
                <w:kern w:val="0"/>
                <w:sz w:val="24"/>
              </w:rPr>
              <w:br w:type="textWrapping"/>
            </w:r>
            <w:r>
              <w:rPr>
                <w:rFonts w:hint="eastAsia" w:ascii="宋体" w:hAnsi="宋体" w:cs="宋体"/>
                <w:kern w:val="0"/>
                <w:sz w:val="24"/>
              </w:rPr>
              <w:t>（万元）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48.05</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48.05</w:t>
            </w:r>
          </w:p>
        </w:tc>
      </w:tr>
      <w:tr>
        <w:tblPrEx>
          <w:tblCellMar>
            <w:top w:w="0" w:type="dxa"/>
            <w:left w:w="108" w:type="dxa"/>
            <w:bottom w:w="0" w:type="dxa"/>
            <w:right w:w="108" w:type="dxa"/>
          </w:tblCellMar>
        </w:tblPrEx>
        <w:trPr>
          <w:gridAfter w:val="1"/>
          <w:wAfter w:w="236" w:type="dxa"/>
          <w:trHeight w:val="622" w:hRule="atLeast"/>
        </w:trPr>
        <w:tc>
          <w:tcPr>
            <w:tcW w:w="28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48.05</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48.05</w:t>
            </w:r>
          </w:p>
        </w:tc>
      </w:tr>
      <w:tr>
        <w:tblPrEx>
          <w:tblCellMar>
            <w:top w:w="0" w:type="dxa"/>
            <w:left w:w="108" w:type="dxa"/>
            <w:bottom w:w="0" w:type="dxa"/>
            <w:right w:w="108" w:type="dxa"/>
          </w:tblCellMar>
        </w:tblPrEx>
        <w:trPr>
          <w:gridAfter w:val="1"/>
          <w:wAfter w:w="236" w:type="dxa"/>
          <w:trHeight w:val="336" w:hRule="atLeast"/>
        </w:trPr>
        <w:tc>
          <w:tcPr>
            <w:tcW w:w="28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gridAfter w:val="1"/>
          <w:wAfter w:w="236" w:type="dxa"/>
          <w:trHeight w:val="454" w:hRule="atLeast"/>
        </w:trPr>
        <w:tc>
          <w:tcPr>
            <w:tcW w:w="1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4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gridAfter w:val="1"/>
          <w:wAfter w:w="236" w:type="dxa"/>
          <w:trHeight w:val="1177"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4375"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p>
          <w:p>
            <w:pPr>
              <w:widowControl/>
              <w:spacing w:line="320" w:lineRule="exact"/>
              <w:jc w:val="left"/>
              <w:textAlignment w:val="top"/>
              <w:rPr>
                <w:rFonts w:ascii="宋体" w:hAnsi="宋体" w:cs="宋体"/>
                <w:sz w:val="24"/>
              </w:rPr>
            </w:pPr>
            <w:r>
              <w:rPr>
                <w:rFonts w:hint="eastAsia" w:ascii="宋体" w:hAnsi="宋体" w:cs="宋体"/>
                <w:sz w:val="24"/>
              </w:rPr>
              <w:t>通过实行专业化清扫保洁，为辖区居民创造干净舒适的居住环境。</w:t>
            </w:r>
          </w:p>
        </w:tc>
        <w:tc>
          <w:tcPr>
            <w:tcW w:w="3573"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通过实行专业化清扫保洁，为辖区居民创造干净舒适的居住环境。</w:t>
            </w:r>
          </w:p>
        </w:tc>
      </w:tr>
      <w:tr>
        <w:tblPrEx>
          <w:tblCellMar>
            <w:top w:w="0" w:type="dxa"/>
            <w:left w:w="108" w:type="dxa"/>
            <w:bottom w:w="0" w:type="dxa"/>
            <w:right w:w="108" w:type="dxa"/>
          </w:tblCellMar>
        </w:tblPrEx>
        <w:trPr>
          <w:gridAfter w:val="1"/>
          <w:wAfter w:w="236" w:type="dxa"/>
          <w:trHeight w:val="965" w:hRule="atLeast"/>
        </w:trPr>
        <w:tc>
          <w:tcPr>
            <w:tcW w:w="175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13"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gridAfter w:val="1"/>
          <w:wAfter w:w="236" w:type="dxa"/>
          <w:trHeight w:val="611" w:hRule="atLeast"/>
        </w:trPr>
        <w:tc>
          <w:tcPr>
            <w:tcW w:w="175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垃圾清运、公厕管理、清扫保洁</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攀钢家属区34路、103及104路公交车沿线垃圾清运工作，6-8月每天垃圾及时清运。</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已完成</w:t>
            </w:r>
          </w:p>
        </w:tc>
      </w:tr>
      <w:tr>
        <w:tblPrEx>
          <w:tblCellMar>
            <w:top w:w="0" w:type="dxa"/>
            <w:left w:w="108" w:type="dxa"/>
            <w:bottom w:w="0" w:type="dxa"/>
            <w:right w:w="108" w:type="dxa"/>
          </w:tblCellMar>
        </w:tblPrEx>
        <w:trPr>
          <w:gridAfter w:val="1"/>
          <w:wAfter w:w="236" w:type="dxa"/>
          <w:trHeight w:val="1024" w:hRule="atLeast"/>
        </w:trPr>
        <w:tc>
          <w:tcPr>
            <w:tcW w:w="175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提升工作管理水平</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通过考核及巡查等方式提升保洁水平，卫生达到干净整洁。</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监督好垃圾清运工作，做到垃圾清运及时。</w:t>
            </w:r>
          </w:p>
        </w:tc>
      </w:tr>
      <w:tr>
        <w:tblPrEx>
          <w:tblCellMar>
            <w:top w:w="0" w:type="dxa"/>
            <w:left w:w="108" w:type="dxa"/>
            <w:bottom w:w="0" w:type="dxa"/>
            <w:right w:w="108" w:type="dxa"/>
          </w:tblCellMar>
        </w:tblPrEx>
        <w:trPr>
          <w:gridAfter w:val="1"/>
          <w:wAfter w:w="236" w:type="dxa"/>
          <w:trHeight w:val="648" w:hRule="atLeast"/>
        </w:trPr>
        <w:tc>
          <w:tcPr>
            <w:tcW w:w="175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完成时限</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全年</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w:t>
            </w:r>
          </w:p>
        </w:tc>
      </w:tr>
      <w:tr>
        <w:tblPrEx>
          <w:tblCellMar>
            <w:top w:w="0" w:type="dxa"/>
            <w:left w:w="108" w:type="dxa"/>
            <w:bottom w:w="0" w:type="dxa"/>
            <w:right w:w="108" w:type="dxa"/>
          </w:tblCellMar>
        </w:tblPrEx>
        <w:trPr>
          <w:gridAfter w:val="1"/>
          <w:wAfter w:w="236" w:type="dxa"/>
          <w:trHeight w:val="540" w:hRule="atLeast"/>
        </w:trPr>
        <w:tc>
          <w:tcPr>
            <w:tcW w:w="175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垃圾清运、公厕管理、清扫保洁费用</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宋体"/>
                <w:sz w:val="24"/>
              </w:rPr>
              <w:t>48.05</w:t>
            </w:r>
            <w:r>
              <w:rPr>
                <w:rFonts w:hint="eastAsia" w:ascii="仿宋_GB2312" w:hAnsi="仿宋_GB2312" w:eastAsia="仿宋_GB2312" w:cs="仿宋_GB2312"/>
                <w:sz w:val="28"/>
                <w:szCs w:val="28"/>
              </w:rPr>
              <w:t>万</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宋体"/>
                <w:sz w:val="24"/>
              </w:rPr>
              <w:t>48.05</w:t>
            </w:r>
            <w:r>
              <w:rPr>
                <w:rFonts w:hint="eastAsia" w:ascii="仿宋_GB2312" w:hAnsi="仿宋_GB2312" w:eastAsia="仿宋_GB2312" w:cs="仿宋_GB2312"/>
                <w:sz w:val="28"/>
                <w:szCs w:val="28"/>
              </w:rPr>
              <w:t>万</w:t>
            </w:r>
          </w:p>
        </w:tc>
      </w:tr>
      <w:tr>
        <w:tblPrEx>
          <w:tblCellMar>
            <w:top w:w="0" w:type="dxa"/>
            <w:left w:w="108" w:type="dxa"/>
            <w:bottom w:w="0" w:type="dxa"/>
            <w:right w:w="108" w:type="dxa"/>
          </w:tblCellMar>
        </w:tblPrEx>
        <w:trPr>
          <w:gridAfter w:val="1"/>
          <w:wAfter w:w="236" w:type="dxa"/>
          <w:trHeight w:val="90" w:hRule="atLeast"/>
        </w:trPr>
        <w:tc>
          <w:tcPr>
            <w:tcW w:w="175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  指标</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管理好社会事务</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改善人居环境</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更好为居民提供便利。</w:t>
            </w:r>
          </w:p>
        </w:tc>
      </w:tr>
      <w:tr>
        <w:tblPrEx>
          <w:tblCellMar>
            <w:top w:w="0" w:type="dxa"/>
            <w:left w:w="108" w:type="dxa"/>
            <w:bottom w:w="0" w:type="dxa"/>
            <w:right w:w="108" w:type="dxa"/>
          </w:tblCellMar>
        </w:tblPrEx>
        <w:trPr>
          <w:gridAfter w:val="1"/>
          <w:wAfter w:w="236" w:type="dxa"/>
          <w:trHeight w:val="761" w:hRule="atLeast"/>
        </w:trPr>
        <w:tc>
          <w:tcPr>
            <w:tcW w:w="1756"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度指标</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居民满意度</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≥95%</w:t>
            </w:r>
          </w:p>
        </w:tc>
      </w:tr>
    </w:tbl>
    <w:p>
      <w:pPr>
        <w:widowControl/>
        <w:adjustRightInd w:val="0"/>
        <w:snapToGrid w:val="0"/>
        <w:spacing w:line="580" w:lineRule="exact"/>
        <w:contextualSpacing/>
        <w:jc w:val="left"/>
        <w:rPr>
          <w:rStyle w:val="25"/>
          <w:rFonts w:ascii="黑体" w:hAnsi="黑体" w:eastAsia="黑体"/>
          <w:b w:val="0"/>
        </w:rPr>
      </w:pPr>
    </w:p>
    <w:p>
      <w:pPr>
        <w:pStyle w:val="2"/>
        <w:spacing w:before="93"/>
        <w:rPr>
          <w:rFonts w:ascii="黑体" w:hAnsi="黑体" w:eastAsia="黑体"/>
          <w:sz w:val="44"/>
          <w:szCs w:val="44"/>
        </w:rPr>
      </w:pPr>
      <w:r>
        <w:rPr>
          <w:rStyle w:val="25"/>
          <w:rFonts w:ascii="黑体" w:hAnsi="黑体" w:eastAsia="黑体"/>
          <w:b w:val="0"/>
        </w:rPr>
        <w:br w:type="page"/>
      </w:r>
    </w:p>
    <w:tbl>
      <w:tblPr>
        <w:tblStyle w:val="13"/>
        <w:tblpPr w:leftFromText="180" w:rightFromText="180" w:vertAnchor="text" w:horzAnchor="page" w:tblpX="1281" w:tblpY="660"/>
        <w:tblOverlap w:val="never"/>
        <w:tblW w:w="9704" w:type="dxa"/>
        <w:tblInd w:w="0" w:type="dxa"/>
        <w:tblLayout w:type="fixed"/>
        <w:tblCellMar>
          <w:top w:w="0" w:type="dxa"/>
          <w:left w:w="108" w:type="dxa"/>
          <w:bottom w:w="0" w:type="dxa"/>
          <w:right w:w="108" w:type="dxa"/>
        </w:tblCellMar>
      </w:tblPr>
      <w:tblGrid>
        <w:gridCol w:w="1756"/>
        <w:gridCol w:w="1113"/>
        <w:gridCol w:w="1385"/>
        <w:gridCol w:w="1877"/>
        <w:gridCol w:w="2135"/>
        <w:gridCol w:w="1438"/>
      </w:tblGrid>
      <w:tr>
        <w:tblPrEx>
          <w:tblCellMar>
            <w:top w:w="0" w:type="dxa"/>
            <w:left w:w="108" w:type="dxa"/>
            <w:bottom w:w="0" w:type="dxa"/>
            <w:right w:w="108" w:type="dxa"/>
          </w:tblCellMar>
        </w:tblPrEx>
        <w:trPr>
          <w:trHeight w:val="646" w:hRule="atLeast"/>
        </w:trPr>
        <w:tc>
          <w:tcPr>
            <w:tcW w:w="9704"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r>
              <w:rPr>
                <w:rFonts w:hint="eastAsia" w:ascii="宋体" w:hAnsi="宋体" w:cs="宋体"/>
                <w:b/>
                <w:sz w:val="32"/>
                <w:szCs w:val="32"/>
              </w:rPr>
              <w:t>森林草原防灭火工作经费绩效评价</w:t>
            </w:r>
          </w:p>
        </w:tc>
      </w:tr>
      <w:tr>
        <w:tblPrEx>
          <w:tblCellMar>
            <w:top w:w="0" w:type="dxa"/>
            <w:left w:w="108" w:type="dxa"/>
            <w:bottom w:w="0" w:type="dxa"/>
            <w:right w:w="108" w:type="dxa"/>
          </w:tblCellMar>
        </w:tblPrEx>
        <w:trPr>
          <w:trHeight w:val="622" w:hRule="atLeast"/>
        </w:trPr>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3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128001</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西区清香坪街道办事处</w:t>
            </w:r>
          </w:p>
        </w:tc>
      </w:tr>
      <w:tr>
        <w:tblPrEx>
          <w:tblCellMar>
            <w:top w:w="0" w:type="dxa"/>
            <w:left w:w="108" w:type="dxa"/>
            <w:bottom w:w="0" w:type="dxa"/>
            <w:right w:w="108" w:type="dxa"/>
          </w:tblCellMar>
        </w:tblPrEx>
        <w:trPr>
          <w:trHeight w:val="336" w:hRule="atLeast"/>
        </w:trPr>
        <w:tc>
          <w:tcPr>
            <w:tcW w:w="28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项目预算</w:t>
            </w:r>
            <w:r>
              <w:rPr>
                <w:rFonts w:hint="eastAsia" w:ascii="宋体" w:hAnsi="宋体" w:cs="宋体"/>
                <w:kern w:val="0"/>
                <w:sz w:val="24"/>
              </w:rPr>
              <w:br w:type="textWrapping"/>
            </w:r>
            <w:r>
              <w:rPr>
                <w:rFonts w:hint="eastAsia" w:ascii="宋体" w:hAnsi="宋体" w:cs="宋体"/>
                <w:kern w:val="0"/>
                <w:sz w:val="24"/>
              </w:rPr>
              <w:t>执行情况</w:t>
            </w:r>
            <w:r>
              <w:rPr>
                <w:rFonts w:hint="eastAsia" w:ascii="宋体" w:hAnsi="宋体" w:cs="宋体"/>
                <w:kern w:val="0"/>
                <w:sz w:val="24"/>
              </w:rPr>
              <w:br w:type="textWrapping"/>
            </w:r>
            <w:r>
              <w:rPr>
                <w:rFonts w:hint="eastAsia" w:ascii="宋体" w:hAnsi="宋体" w:cs="宋体"/>
                <w:kern w:val="0"/>
                <w:sz w:val="24"/>
              </w:rPr>
              <w:t>（万元）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11.00</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9.90</w:t>
            </w:r>
          </w:p>
        </w:tc>
      </w:tr>
      <w:tr>
        <w:tblPrEx>
          <w:tblCellMar>
            <w:top w:w="0" w:type="dxa"/>
            <w:left w:w="108" w:type="dxa"/>
            <w:bottom w:w="0" w:type="dxa"/>
            <w:right w:w="108" w:type="dxa"/>
          </w:tblCellMar>
        </w:tblPrEx>
        <w:trPr>
          <w:trHeight w:val="622" w:hRule="atLeast"/>
        </w:trPr>
        <w:tc>
          <w:tcPr>
            <w:tcW w:w="28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11.00</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9.90</w:t>
            </w:r>
          </w:p>
        </w:tc>
      </w:tr>
      <w:tr>
        <w:tblPrEx>
          <w:tblCellMar>
            <w:top w:w="0" w:type="dxa"/>
            <w:left w:w="108" w:type="dxa"/>
            <w:bottom w:w="0" w:type="dxa"/>
            <w:right w:w="108" w:type="dxa"/>
          </w:tblCellMar>
        </w:tblPrEx>
        <w:trPr>
          <w:trHeight w:val="336" w:hRule="atLeast"/>
        </w:trPr>
        <w:tc>
          <w:tcPr>
            <w:tcW w:w="28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trHeight w:val="454" w:hRule="atLeast"/>
        </w:trPr>
        <w:tc>
          <w:tcPr>
            <w:tcW w:w="1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4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trHeight w:val="1177"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4375"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p>
          <w:p>
            <w:pPr>
              <w:widowControl/>
              <w:spacing w:line="320" w:lineRule="exact"/>
              <w:jc w:val="left"/>
              <w:textAlignment w:val="top"/>
              <w:rPr>
                <w:rFonts w:ascii="宋体" w:hAnsi="宋体" w:cs="宋体"/>
                <w:sz w:val="24"/>
              </w:rPr>
            </w:pPr>
            <w:r>
              <w:rPr>
                <w:rFonts w:hint="eastAsia" w:ascii="宋体" w:hAnsi="宋体" w:cs="宋体"/>
                <w:sz w:val="24"/>
              </w:rPr>
              <w:t>保证全年森林草原防灭火工作顺利进行，全年不出现森林火灾。</w:t>
            </w:r>
          </w:p>
        </w:tc>
        <w:tc>
          <w:tcPr>
            <w:tcW w:w="3573"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已完成全年森林草原防灭火工作顺利进行，保障全年不出现森林火灾。</w:t>
            </w:r>
          </w:p>
        </w:tc>
      </w:tr>
      <w:tr>
        <w:tblPrEx>
          <w:tblCellMar>
            <w:top w:w="0" w:type="dxa"/>
            <w:left w:w="108" w:type="dxa"/>
            <w:bottom w:w="0" w:type="dxa"/>
            <w:right w:w="108" w:type="dxa"/>
          </w:tblCellMar>
        </w:tblPrEx>
        <w:trPr>
          <w:trHeight w:val="965" w:hRule="atLeast"/>
        </w:trPr>
        <w:tc>
          <w:tcPr>
            <w:tcW w:w="175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13"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trHeight w:val="909" w:hRule="atLeast"/>
        </w:trPr>
        <w:tc>
          <w:tcPr>
            <w:tcW w:w="175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森林草原防灭火</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kern w:val="0"/>
                <w:sz w:val="28"/>
                <w:szCs w:val="28"/>
              </w:rPr>
              <w:t>14000份</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kern w:val="0"/>
                <w:sz w:val="28"/>
                <w:szCs w:val="28"/>
              </w:rPr>
              <w:t>14000份</w:t>
            </w:r>
          </w:p>
        </w:tc>
      </w:tr>
      <w:tr>
        <w:tblPrEx>
          <w:tblCellMar>
            <w:top w:w="0" w:type="dxa"/>
            <w:left w:w="108" w:type="dxa"/>
            <w:bottom w:w="0" w:type="dxa"/>
            <w:right w:w="108" w:type="dxa"/>
          </w:tblCellMar>
        </w:tblPrEx>
        <w:trPr>
          <w:trHeight w:val="1024" w:hRule="atLeast"/>
        </w:trPr>
        <w:tc>
          <w:tcPr>
            <w:tcW w:w="175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有效预防森林火灾</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保障辖区全年不出现森林火灾</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保障全年不出现森林火灾。</w:t>
            </w:r>
          </w:p>
        </w:tc>
      </w:tr>
      <w:tr>
        <w:tblPrEx>
          <w:tblCellMar>
            <w:top w:w="0" w:type="dxa"/>
            <w:left w:w="108" w:type="dxa"/>
            <w:bottom w:w="0" w:type="dxa"/>
            <w:right w:w="108" w:type="dxa"/>
          </w:tblCellMar>
        </w:tblPrEx>
        <w:trPr>
          <w:trHeight w:val="648" w:hRule="atLeast"/>
        </w:trPr>
        <w:tc>
          <w:tcPr>
            <w:tcW w:w="175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完成时限</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全年</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w:t>
            </w:r>
          </w:p>
        </w:tc>
      </w:tr>
      <w:tr>
        <w:tblPrEx>
          <w:tblCellMar>
            <w:top w:w="0" w:type="dxa"/>
            <w:left w:w="108" w:type="dxa"/>
            <w:bottom w:w="0" w:type="dxa"/>
            <w:right w:w="108" w:type="dxa"/>
          </w:tblCellMar>
        </w:tblPrEx>
        <w:trPr>
          <w:trHeight w:val="961" w:hRule="atLeast"/>
        </w:trPr>
        <w:tc>
          <w:tcPr>
            <w:tcW w:w="175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森林草原防灭火费</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宋体"/>
                <w:sz w:val="24"/>
              </w:rPr>
              <w:t>11.00</w:t>
            </w:r>
            <w:r>
              <w:rPr>
                <w:rFonts w:hint="eastAsia" w:ascii="仿宋_GB2312" w:hAnsi="仿宋_GB2312" w:eastAsia="仿宋_GB2312" w:cs="仿宋_GB2312"/>
                <w:sz w:val="28"/>
                <w:szCs w:val="28"/>
              </w:rPr>
              <w:t>万</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宋体"/>
                <w:sz w:val="24"/>
              </w:rPr>
              <w:t>9.9万</w:t>
            </w:r>
          </w:p>
        </w:tc>
      </w:tr>
      <w:tr>
        <w:tblPrEx>
          <w:tblCellMar>
            <w:top w:w="0" w:type="dxa"/>
            <w:left w:w="108" w:type="dxa"/>
            <w:bottom w:w="0" w:type="dxa"/>
            <w:right w:w="108" w:type="dxa"/>
          </w:tblCellMar>
        </w:tblPrEx>
        <w:trPr>
          <w:trHeight w:val="1320" w:hRule="atLeast"/>
        </w:trPr>
        <w:tc>
          <w:tcPr>
            <w:tcW w:w="175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  指标</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提供群众防护意识</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增强森林防火责任意识</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森林资源得到有效保护</w:t>
            </w:r>
          </w:p>
        </w:tc>
      </w:tr>
      <w:tr>
        <w:tblPrEx>
          <w:tblCellMar>
            <w:top w:w="0" w:type="dxa"/>
            <w:left w:w="108" w:type="dxa"/>
            <w:bottom w:w="0" w:type="dxa"/>
            <w:right w:w="108" w:type="dxa"/>
          </w:tblCellMar>
        </w:tblPrEx>
        <w:trPr>
          <w:trHeight w:val="761" w:hRule="atLeast"/>
        </w:trPr>
        <w:tc>
          <w:tcPr>
            <w:tcW w:w="1756"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度指标</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群众满意度</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≥95%</w:t>
            </w:r>
          </w:p>
        </w:tc>
      </w:tr>
    </w:tbl>
    <w:p>
      <w:pPr>
        <w:pStyle w:val="2"/>
        <w:spacing w:before="93"/>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仿宋" w:hAnsi="仿宋" w:eastAsia="仿宋"/>
        </w:rPr>
      </w:pPr>
      <w:bookmarkStart w:id="102" w:name="_Toc13297"/>
      <w:bookmarkStart w:id="103" w:name="_Toc3748"/>
      <w:r>
        <w:rPr>
          <w:rFonts w:hint="eastAsia" w:ascii="黑体" w:hAnsi="黑体" w:eastAsia="黑体"/>
          <w:sz w:val="44"/>
          <w:szCs w:val="44"/>
        </w:rPr>
        <w:t>第</w:t>
      </w:r>
      <w:r>
        <w:rPr>
          <w:rStyle w:val="25"/>
          <w:rFonts w:hint="eastAsia" w:ascii="黑体" w:hAnsi="黑体" w:eastAsia="黑体"/>
          <w:b w:val="0"/>
        </w:rPr>
        <w:t>五部分 附表</w:t>
      </w:r>
      <w:bookmarkEnd w:id="87"/>
      <w:bookmarkEnd w:id="101"/>
      <w:bookmarkEnd w:id="102"/>
      <w:bookmarkEnd w:id="103"/>
      <w:bookmarkStart w:id="104" w:name="_Toc15396619"/>
    </w:p>
    <w:p>
      <w:pPr>
        <w:pStyle w:val="4"/>
        <w:rPr>
          <w:rFonts w:ascii="仿宋" w:hAnsi="仿宋" w:eastAsia="仿宋"/>
        </w:rPr>
      </w:pPr>
      <w:bookmarkStart w:id="105" w:name="_Toc15436"/>
      <w:bookmarkStart w:id="106" w:name="_Toc2612"/>
      <w:r>
        <w:rPr>
          <w:rFonts w:hint="eastAsia" w:ascii="仿宋" w:hAnsi="仿宋" w:eastAsia="仿宋"/>
          <w:b w:val="0"/>
        </w:rPr>
        <w:t>一、收</w:t>
      </w:r>
      <w:r>
        <w:rPr>
          <w:rStyle w:val="26"/>
          <w:rFonts w:hint="eastAsia" w:ascii="仿宋" w:hAnsi="仿宋" w:eastAsia="仿宋"/>
          <w:b w:val="0"/>
          <w:bCs w:val="0"/>
        </w:rPr>
        <w:t>入支出决算总表</w:t>
      </w:r>
      <w:bookmarkEnd w:id="104"/>
      <w:bookmarkEnd w:id="105"/>
      <w:bookmarkEnd w:id="106"/>
    </w:p>
    <w:p>
      <w:pPr>
        <w:pStyle w:val="4"/>
        <w:rPr>
          <w:rFonts w:ascii="仿宋" w:hAnsi="仿宋" w:eastAsia="仿宋"/>
        </w:rPr>
      </w:pPr>
      <w:bookmarkStart w:id="107" w:name="_Toc15396620"/>
      <w:bookmarkStart w:id="108" w:name="_Toc10422"/>
      <w:bookmarkStart w:id="109" w:name="_Toc29783"/>
      <w:r>
        <w:rPr>
          <w:rFonts w:hint="eastAsia" w:ascii="仿宋" w:hAnsi="仿宋" w:eastAsia="仿宋"/>
          <w:b w:val="0"/>
        </w:rPr>
        <w:t>二、收</w:t>
      </w:r>
      <w:r>
        <w:rPr>
          <w:rStyle w:val="26"/>
          <w:rFonts w:hint="eastAsia" w:ascii="仿宋" w:hAnsi="仿宋" w:eastAsia="仿宋"/>
          <w:b w:val="0"/>
          <w:bCs w:val="0"/>
        </w:rPr>
        <w:t>入决算表</w:t>
      </w:r>
      <w:bookmarkEnd w:id="107"/>
      <w:bookmarkEnd w:id="108"/>
      <w:bookmarkEnd w:id="109"/>
    </w:p>
    <w:p>
      <w:pPr>
        <w:pStyle w:val="4"/>
        <w:rPr>
          <w:rFonts w:ascii="仿宋" w:hAnsi="仿宋" w:eastAsia="仿宋"/>
        </w:rPr>
      </w:pPr>
      <w:bookmarkStart w:id="110" w:name="_Toc16722"/>
      <w:bookmarkStart w:id="111" w:name="_Toc15396621"/>
      <w:bookmarkStart w:id="112" w:name="_Toc4228"/>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110"/>
      <w:bookmarkEnd w:id="111"/>
      <w:bookmarkEnd w:id="112"/>
    </w:p>
    <w:p>
      <w:pPr>
        <w:pStyle w:val="4"/>
        <w:rPr>
          <w:rFonts w:ascii="仿宋" w:hAnsi="仿宋" w:eastAsia="仿宋"/>
          <w:b w:val="0"/>
        </w:rPr>
      </w:pPr>
      <w:bookmarkStart w:id="113" w:name="_Toc27239"/>
      <w:bookmarkStart w:id="114" w:name="_Toc423"/>
      <w:bookmarkStart w:id="115" w:name="_Toc15396622"/>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113"/>
      <w:bookmarkEnd w:id="114"/>
      <w:bookmarkEnd w:id="115"/>
    </w:p>
    <w:p>
      <w:pPr>
        <w:pStyle w:val="4"/>
        <w:rPr>
          <w:rStyle w:val="26"/>
          <w:rFonts w:ascii="仿宋" w:hAnsi="仿宋" w:eastAsia="仿宋"/>
          <w:b w:val="0"/>
          <w:bCs w:val="0"/>
        </w:rPr>
      </w:pPr>
      <w:bookmarkStart w:id="116" w:name="_Toc15396623"/>
      <w:bookmarkStart w:id="117" w:name="_Toc11913"/>
      <w:bookmarkStart w:id="118" w:name="_Toc8068"/>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116"/>
      <w:bookmarkEnd w:id="117"/>
      <w:bookmarkEnd w:id="118"/>
      <w:bookmarkStart w:id="119" w:name="_Toc15396624"/>
    </w:p>
    <w:p>
      <w:pPr>
        <w:pStyle w:val="4"/>
        <w:rPr>
          <w:rFonts w:ascii="仿宋" w:hAnsi="仿宋" w:eastAsia="仿宋"/>
        </w:rPr>
      </w:pPr>
      <w:bookmarkStart w:id="120" w:name="_Toc5067"/>
      <w:bookmarkStart w:id="121" w:name="_Toc29488"/>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119"/>
      <w:bookmarkEnd w:id="120"/>
      <w:bookmarkEnd w:id="121"/>
    </w:p>
    <w:p>
      <w:pPr>
        <w:pStyle w:val="4"/>
        <w:rPr>
          <w:rFonts w:ascii="仿宋" w:hAnsi="仿宋" w:eastAsia="仿宋"/>
        </w:rPr>
      </w:pPr>
      <w:bookmarkStart w:id="122" w:name="_Toc15396625"/>
      <w:bookmarkStart w:id="123" w:name="_Toc10319"/>
      <w:bookmarkStart w:id="124" w:name="_Toc17536"/>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122"/>
      <w:bookmarkEnd w:id="123"/>
      <w:bookmarkEnd w:id="124"/>
    </w:p>
    <w:p>
      <w:pPr>
        <w:pStyle w:val="4"/>
        <w:rPr>
          <w:rFonts w:ascii="仿宋" w:hAnsi="仿宋" w:eastAsia="仿宋"/>
        </w:rPr>
      </w:pPr>
      <w:bookmarkStart w:id="125" w:name="_Toc12084"/>
      <w:bookmarkStart w:id="126" w:name="_Toc15396626"/>
      <w:bookmarkStart w:id="127" w:name="_Toc21036"/>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125"/>
      <w:bookmarkEnd w:id="126"/>
      <w:bookmarkEnd w:id="127"/>
    </w:p>
    <w:p>
      <w:pPr>
        <w:pStyle w:val="4"/>
        <w:rPr>
          <w:rFonts w:ascii="仿宋" w:hAnsi="仿宋" w:eastAsia="仿宋"/>
        </w:rPr>
      </w:pPr>
      <w:bookmarkStart w:id="128" w:name="_Toc15396627"/>
      <w:bookmarkStart w:id="129" w:name="_Toc24031"/>
      <w:bookmarkStart w:id="130" w:name="_Toc11277"/>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128"/>
      <w:bookmarkEnd w:id="129"/>
      <w:bookmarkEnd w:id="130"/>
    </w:p>
    <w:p>
      <w:pPr>
        <w:pStyle w:val="4"/>
        <w:rPr>
          <w:rFonts w:ascii="仿宋" w:hAnsi="仿宋" w:eastAsia="仿宋"/>
        </w:rPr>
      </w:pPr>
      <w:bookmarkStart w:id="131" w:name="_Toc12014"/>
      <w:bookmarkStart w:id="132" w:name="_Toc9593"/>
      <w:bookmarkStart w:id="133" w:name="_Toc15396628"/>
      <w:r>
        <w:rPr>
          <w:rStyle w:val="26"/>
          <w:rFonts w:hint="eastAsia" w:ascii="仿宋" w:hAnsi="仿宋" w:eastAsia="仿宋"/>
          <w:b w:val="0"/>
          <w:bCs w:val="0"/>
        </w:rPr>
        <w:t>十、</w:t>
      </w:r>
      <w:r>
        <w:rPr>
          <w:rFonts w:hint="eastAsia" w:ascii="仿宋" w:hAnsi="仿宋" w:eastAsia="仿宋"/>
          <w:b w:val="0"/>
        </w:rPr>
        <w:t>一</w:t>
      </w:r>
      <w:r>
        <w:rPr>
          <w:rStyle w:val="26"/>
          <w:rFonts w:hint="eastAsia" w:ascii="仿宋" w:hAnsi="仿宋" w:eastAsia="仿宋"/>
          <w:b w:val="0"/>
          <w:bCs w:val="0"/>
        </w:rPr>
        <w:t>般公共预算财政拨款“三公”经费支出决算表</w:t>
      </w:r>
      <w:bookmarkEnd w:id="131"/>
      <w:bookmarkEnd w:id="132"/>
      <w:bookmarkEnd w:id="133"/>
    </w:p>
    <w:p>
      <w:pPr>
        <w:pStyle w:val="4"/>
        <w:rPr>
          <w:rFonts w:ascii="仿宋" w:hAnsi="仿宋" w:eastAsia="仿宋"/>
        </w:rPr>
      </w:pPr>
      <w:bookmarkStart w:id="134" w:name="_Toc13323"/>
      <w:bookmarkStart w:id="135" w:name="_Toc28652"/>
      <w:bookmarkStart w:id="136" w:name="_Toc15396629"/>
      <w:r>
        <w:rPr>
          <w:rStyle w:val="26"/>
          <w:rFonts w:hint="eastAsia" w:ascii="仿宋" w:hAnsi="仿宋" w:eastAsia="仿宋"/>
          <w:b w:val="0"/>
          <w:bCs w:val="0"/>
        </w:rPr>
        <w:t>十一、</w:t>
      </w:r>
      <w:r>
        <w:rPr>
          <w:rFonts w:hint="eastAsia" w:ascii="仿宋" w:hAnsi="仿宋" w:eastAsia="仿宋"/>
          <w:b w:val="0"/>
        </w:rPr>
        <w:t>政</w:t>
      </w:r>
      <w:r>
        <w:rPr>
          <w:rStyle w:val="26"/>
          <w:rFonts w:hint="eastAsia" w:ascii="仿宋" w:hAnsi="仿宋" w:eastAsia="仿宋"/>
          <w:b w:val="0"/>
          <w:bCs w:val="0"/>
        </w:rPr>
        <w:t>府性基金预算财政拨款收入支出决算表</w:t>
      </w:r>
      <w:bookmarkEnd w:id="134"/>
      <w:bookmarkEnd w:id="135"/>
      <w:bookmarkEnd w:id="136"/>
    </w:p>
    <w:p>
      <w:pPr>
        <w:pStyle w:val="4"/>
        <w:rPr>
          <w:rFonts w:ascii="仿宋" w:hAnsi="仿宋" w:eastAsia="仿宋"/>
        </w:rPr>
      </w:pPr>
      <w:bookmarkStart w:id="137" w:name="_Toc15396630"/>
      <w:bookmarkStart w:id="138" w:name="_Toc7807"/>
      <w:bookmarkStart w:id="139" w:name="_Toc30625"/>
      <w:r>
        <w:rPr>
          <w:rStyle w:val="26"/>
          <w:rFonts w:hint="eastAsia" w:ascii="仿宋" w:hAnsi="仿宋" w:eastAsia="仿宋"/>
          <w:b w:val="0"/>
          <w:bCs w:val="0"/>
        </w:rPr>
        <w:t>十二、</w:t>
      </w:r>
      <w:r>
        <w:rPr>
          <w:rFonts w:hint="eastAsia" w:ascii="仿宋" w:hAnsi="仿宋" w:eastAsia="仿宋"/>
          <w:b w:val="0"/>
        </w:rPr>
        <w:t>政</w:t>
      </w:r>
      <w:r>
        <w:rPr>
          <w:rStyle w:val="26"/>
          <w:rFonts w:hint="eastAsia" w:ascii="仿宋" w:hAnsi="仿宋" w:eastAsia="仿宋"/>
          <w:b w:val="0"/>
          <w:bCs w:val="0"/>
        </w:rPr>
        <w:t>府性基金预算财政拨款“三公”经费支出决算表</w:t>
      </w:r>
      <w:bookmarkEnd w:id="137"/>
      <w:bookmarkEnd w:id="138"/>
      <w:bookmarkEnd w:id="139"/>
    </w:p>
    <w:p>
      <w:pPr>
        <w:pStyle w:val="4"/>
        <w:rPr>
          <w:rStyle w:val="26"/>
          <w:rFonts w:ascii="仿宋" w:hAnsi="仿宋" w:eastAsia="仿宋"/>
          <w:b w:val="0"/>
          <w:bCs w:val="0"/>
        </w:rPr>
      </w:pPr>
      <w:bookmarkStart w:id="140" w:name="_Toc16553"/>
      <w:bookmarkStart w:id="141" w:name="_Toc4815"/>
      <w:bookmarkStart w:id="142" w:name="_Toc15396631"/>
      <w:r>
        <w:rPr>
          <w:rStyle w:val="26"/>
          <w:rFonts w:hint="eastAsia" w:ascii="仿宋" w:hAnsi="仿宋" w:eastAsia="仿宋"/>
          <w:b w:val="0"/>
          <w:bCs w:val="0"/>
        </w:rPr>
        <w:t>十三、</w:t>
      </w:r>
      <w:r>
        <w:rPr>
          <w:rFonts w:hint="eastAsia" w:ascii="仿宋" w:hAnsi="仿宋" w:eastAsia="仿宋"/>
          <w:b w:val="0"/>
        </w:rPr>
        <w:t>国</w:t>
      </w:r>
      <w:r>
        <w:rPr>
          <w:rStyle w:val="26"/>
          <w:rFonts w:hint="eastAsia" w:ascii="仿宋" w:hAnsi="仿宋" w:eastAsia="仿宋"/>
          <w:b w:val="0"/>
          <w:bCs w:val="0"/>
        </w:rPr>
        <w:t>有资本经营预算财政拨款收入支出决算表</w:t>
      </w:r>
      <w:bookmarkEnd w:id="140"/>
      <w:bookmarkEnd w:id="141"/>
      <w:bookmarkEnd w:id="142"/>
    </w:p>
    <w:p>
      <w:pPr>
        <w:rPr>
          <w:rFonts w:eastAsia="仿宋"/>
        </w:rPr>
      </w:pPr>
      <w:bookmarkStart w:id="143" w:name="_Toc17700"/>
      <w:bookmarkStart w:id="144" w:name="_Toc30647"/>
      <w:r>
        <w:rPr>
          <w:rStyle w:val="26"/>
          <w:rFonts w:hint="eastAsia" w:ascii="仿宋" w:hAnsi="仿宋" w:eastAsia="仿宋"/>
          <w:b w:val="0"/>
          <w:bCs w:val="0"/>
        </w:rPr>
        <w:t>十四、国有资本经营预算财政拨款支出决算表</w:t>
      </w:r>
      <w:bookmarkEnd w:id="143"/>
      <w:bookmarkEnd w:id="14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8"/>
          <w:jc w:val="center"/>
        </w:pPr>
        <w:r>
          <w:fldChar w:fldCharType="begin"/>
        </w:r>
        <w:r>
          <w:instrText xml:space="preserve">PAGE   \* MERGEFORMAT</w:instrText>
        </w:r>
        <w:r>
          <w:fldChar w:fldCharType="separate"/>
        </w:r>
        <w:r>
          <w:rPr>
            <w:lang w:val="zh-CN"/>
          </w:rPr>
          <w:t>34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53994"/>
    <w:multiLevelType w:val="singleLevel"/>
    <w:tmpl w:val="93153994"/>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E794925"/>
    <w:multiLevelType w:val="singleLevel"/>
    <w:tmpl w:val="3E794925"/>
    <w:lvl w:ilvl="0" w:tentative="0">
      <w:start w:val="3"/>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M2OGNhZTk0NDYxNWM5MGE1MTMzMzVjZGVkYTU5Nz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25AF8"/>
    <w:rsid w:val="00142216"/>
    <w:rsid w:val="00144D6A"/>
    <w:rsid w:val="0014729F"/>
    <w:rsid w:val="00157BAB"/>
    <w:rsid w:val="001654D1"/>
    <w:rsid w:val="00174518"/>
    <w:rsid w:val="0018106D"/>
    <w:rsid w:val="001877A7"/>
    <w:rsid w:val="00191536"/>
    <w:rsid w:val="00196687"/>
    <w:rsid w:val="001C0962"/>
    <w:rsid w:val="001D7531"/>
    <w:rsid w:val="001E1200"/>
    <w:rsid w:val="001E737D"/>
    <w:rsid w:val="001F0592"/>
    <w:rsid w:val="001F7506"/>
    <w:rsid w:val="002006CD"/>
    <w:rsid w:val="00202B36"/>
    <w:rsid w:val="00204B7A"/>
    <w:rsid w:val="00204CDE"/>
    <w:rsid w:val="0021101A"/>
    <w:rsid w:val="00220536"/>
    <w:rsid w:val="00235629"/>
    <w:rsid w:val="00260C38"/>
    <w:rsid w:val="002616C0"/>
    <w:rsid w:val="00265372"/>
    <w:rsid w:val="00265D5B"/>
    <w:rsid w:val="002662AA"/>
    <w:rsid w:val="00280496"/>
    <w:rsid w:val="00294DC9"/>
    <w:rsid w:val="00295495"/>
    <w:rsid w:val="002A31DE"/>
    <w:rsid w:val="002B036C"/>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0996"/>
    <w:rsid w:val="00406254"/>
    <w:rsid w:val="004223DE"/>
    <w:rsid w:val="00433985"/>
    <w:rsid w:val="00434489"/>
    <w:rsid w:val="00437085"/>
    <w:rsid w:val="00443880"/>
    <w:rsid w:val="004464F4"/>
    <w:rsid w:val="004708E9"/>
    <w:rsid w:val="00471401"/>
    <w:rsid w:val="00473F31"/>
    <w:rsid w:val="0048263A"/>
    <w:rsid w:val="00487E5D"/>
    <w:rsid w:val="004A711F"/>
    <w:rsid w:val="004B199D"/>
    <w:rsid w:val="004B4690"/>
    <w:rsid w:val="004E0A2D"/>
    <w:rsid w:val="004E206B"/>
    <w:rsid w:val="004E6DF7"/>
    <w:rsid w:val="004F0FBD"/>
    <w:rsid w:val="004F3D43"/>
    <w:rsid w:val="00505A47"/>
    <w:rsid w:val="00512FDA"/>
    <w:rsid w:val="00520DA0"/>
    <w:rsid w:val="00553ACA"/>
    <w:rsid w:val="005664BB"/>
    <w:rsid w:val="00566FFA"/>
    <w:rsid w:val="0057481D"/>
    <w:rsid w:val="0058486E"/>
    <w:rsid w:val="00585B33"/>
    <w:rsid w:val="0059014D"/>
    <w:rsid w:val="005B5C64"/>
    <w:rsid w:val="005C5337"/>
    <w:rsid w:val="005C6A8D"/>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34D38"/>
    <w:rsid w:val="006440E4"/>
    <w:rsid w:val="0066343B"/>
    <w:rsid w:val="00664777"/>
    <w:rsid w:val="006748A4"/>
    <w:rsid w:val="00681A31"/>
    <w:rsid w:val="00683E73"/>
    <w:rsid w:val="00685A16"/>
    <w:rsid w:val="006A3141"/>
    <w:rsid w:val="006A5E34"/>
    <w:rsid w:val="006B2422"/>
    <w:rsid w:val="006B2B9A"/>
    <w:rsid w:val="006C1937"/>
    <w:rsid w:val="006F020C"/>
    <w:rsid w:val="007127B7"/>
    <w:rsid w:val="0071798E"/>
    <w:rsid w:val="007416B6"/>
    <w:rsid w:val="00746EB9"/>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7F59C0"/>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16"/>
    <w:rsid w:val="00902155"/>
    <w:rsid w:val="00902FA3"/>
    <w:rsid w:val="00923564"/>
    <w:rsid w:val="0092392E"/>
    <w:rsid w:val="009315F9"/>
    <w:rsid w:val="00933499"/>
    <w:rsid w:val="00935C98"/>
    <w:rsid w:val="0093615D"/>
    <w:rsid w:val="0094581C"/>
    <w:rsid w:val="00946945"/>
    <w:rsid w:val="00951248"/>
    <w:rsid w:val="0095152F"/>
    <w:rsid w:val="00954C49"/>
    <w:rsid w:val="00955E37"/>
    <w:rsid w:val="0097099F"/>
    <w:rsid w:val="00970BA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03FD"/>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40E"/>
    <w:rsid w:val="00B77EA6"/>
    <w:rsid w:val="00B81598"/>
    <w:rsid w:val="00B841F1"/>
    <w:rsid w:val="00B944D6"/>
    <w:rsid w:val="00BA60E4"/>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2C77"/>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56EC"/>
    <w:rsid w:val="00E01053"/>
    <w:rsid w:val="00E07ACF"/>
    <w:rsid w:val="00E331A1"/>
    <w:rsid w:val="00E33202"/>
    <w:rsid w:val="00E336A9"/>
    <w:rsid w:val="00E472B1"/>
    <w:rsid w:val="00E50624"/>
    <w:rsid w:val="00E568DF"/>
    <w:rsid w:val="00E64269"/>
    <w:rsid w:val="00E82267"/>
    <w:rsid w:val="00E853CE"/>
    <w:rsid w:val="00E867B6"/>
    <w:rsid w:val="00EA010F"/>
    <w:rsid w:val="00EA2658"/>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C4B06"/>
    <w:rsid w:val="00FD3CC1"/>
    <w:rsid w:val="00FF1E02"/>
    <w:rsid w:val="00FF30B4"/>
    <w:rsid w:val="01091830"/>
    <w:rsid w:val="010C6961"/>
    <w:rsid w:val="0115484C"/>
    <w:rsid w:val="01290D4F"/>
    <w:rsid w:val="017B4F7A"/>
    <w:rsid w:val="01855E75"/>
    <w:rsid w:val="018D47E0"/>
    <w:rsid w:val="01BB08E4"/>
    <w:rsid w:val="01F5453D"/>
    <w:rsid w:val="024022CC"/>
    <w:rsid w:val="02532603"/>
    <w:rsid w:val="02962674"/>
    <w:rsid w:val="030E1E01"/>
    <w:rsid w:val="032B06F8"/>
    <w:rsid w:val="03993F48"/>
    <w:rsid w:val="03AE72BF"/>
    <w:rsid w:val="03FB1A96"/>
    <w:rsid w:val="04017077"/>
    <w:rsid w:val="04431AA6"/>
    <w:rsid w:val="044E2FC1"/>
    <w:rsid w:val="045B3267"/>
    <w:rsid w:val="048F48D1"/>
    <w:rsid w:val="049565F6"/>
    <w:rsid w:val="049B779D"/>
    <w:rsid w:val="04A07401"/>
    <w:rsid w:val="04E81F54"/>
    <w:rsid w:val="051245C6"/>
    <w:rsid w:val="05151D6C"/>
    <w:rsid w:val="05243518"/>
    <w:rsid w:val="058401FF"/>
    <w:rsid w:val="05960C0C"/>
    <w:rsid w:val="05A44991"/>
    <w:rsid w:val="05D9547A"/>
    <w:rsid w:val="060E3DCC"/>
    <w:rsid w:val="06437994"/>
    <w:rsid w:val="066A4116"/>
    <w:rsid w:val="066E0107"/>
    <w:rsid w:val="06A23F41"/>
    <w:rsid w:val="06B153FC"/>
    <w:rsid w:val="06C364F7"/>
    <w:rsid w:val="06D00800"/>
    <w:rsid w:val="06DD33B1"/>
    <w:rsid w:val="06F855A2"/>
    <w:rsid w:val="070678D8"/>
    <w:rsid w:val="072C49CA"/>
    <w:rsid w:val="0777260C"/>
    <w:rsid w:val="07996F6E"/>
    <w:rsid w:val="07E80769"/>
    <w:rsid w:val="07F47E77"/>
    <w:rsid w:val="08351025"/>
    <w:rsid w:val="083E571F"/>
    <w:rsid w:val="084D2CE4"/>
    <w:rsid w:val="08831069"/>
    <w:rsid w:val="0895520D"/>
    <w:rsid w:val="08B60441"/>
    <w:rsid w:val="08B6413A"/>
    <w:rsid w:val="08BA707F"/>
    <w:rsid w:val="08E44E70"/>
    <w:rsid w:val="09EB3178"/>
    <w:rsid w:val="09EE6E42"/>
    <w:rsid w:val="0A0B64A3"/>
    <w:rsid w:val="0A2032A3"/>
    <w:rsid w:val="0A3538F6"/>
    <w:rsid w:val="0A522A3F"/>
    <w:rsid w:val="0A945E32"/>
    <w:rsid w:val="0A971A0D"/>
    <w:rsid w:val="0A9A184B"/>
    <w:rsid w:val="0AE51BD0"/>
    <w:rsid w:val="0B6909C3"/>
    <w:rsid w:val="0B9C7757"/>
    <w:rsid w:val="0BC74F4F"/>
    <w:rsid w:val="0BDE2D04"/>
    <w:rsid w:val="0C045C9A"/>
    <w:rsid w:val="0C066182"/>
    <w:rsid w:val="0C075E29"/>
    <w:rsid w:val="0C0E2DC7"/>
    <w:rsid w:val="0C167913"/>
    <w:rsid w:val="0C1D4BF8"/>
    <w:rsid w:val="0C8241BB"/>
    <w:rsid w:val="0C85516D"/>
    <w:rsid w:val="0C967D9C"/>
    <w:rsid w:val="0CC6468B"/>
    <w:rsid w:val="0CF22801"/>
    <w:rsid w:val="0CF556D8"/>
    <w:rsid w:val="0D041D6E"/>
    <w:rsid w:val="0D454939"/>
    <w:rsid w:val="0D474637"/>
    <w:rsid w:val="0D485E59"/>
    <w:rsid w:val="0D604ABB"/>
    <w:rsid w:val="0D655811"/>
    <w:rsid w:val="0DC17883"/>
    <w:rsid w:val="0DF8647A"/>
    <w:rsid w:val="0E1812A8"/>
    <w:rsid w:val="0E4473D0"/>
    <w:rsid w:val="0E6A1F09"/>
    <w:rsid w:val="0E9C7FE8"/>
    <w:rsid w:val="0EBF0A45"/>
    <w:rsid w:val="0EC51B58"/>
    <w:rsid w:val="0ECA71E1"/>
    <w:rsid w:val="0ED565B7"/>
    <w:rsid w:val="0F4468D9"/>
    <w:rsid w:val="0F4904B0"/>
    <w:rsid w:val="0F766D94"/>
    <w:rsid w:val="0F951D48"/>
    <w:rsid w:val="0F9B1B31"/>
    <w:rsid w:val="0FAA7FD8"/>
    <w:rsid w:val="0FB83883"/>
    <w:rsid w:val="0FB87953"/>
    <w:rsid w:val="0FC2134F"/>
    <w:rsid w:val="0FD07A63"/>
    <w:rsid w:val="0FDD5522"/>
    <w:rsid w:val="0FFA31E4"/>
    <w:rsid w:val="101860EC"/>
    <w:rsid w:val="10596CAC"/>
    <w:rsid w:val="10A85521"/>
    <w:rsid w:val="10C055FF"/>
    <w:rsid w:val="10CB4865"/>
    <w:rsid w:val="10CD7784"/>
    <w:rsid w:val="10DA139D"/>
    <w:rsid w:val="10F97770"/>
    <w:rsid w:val="10F97C61"/>
    <w:rsid w:val="111179B6"/>
    <w:rsid w:val="111F6936"/>
    <w:rsid w:val="11437CC0"/>
    <w:rsid w:val="1153431D"/>
    <w:rsid w:val="1159086D"/>
    <w:rsid w:val="11727446"/>
    <w:rsid w:val="118024B7"/>
    <w:rsid w:val="118107EC"/>
    <w:rsid w:val="118B38AE"/>
    <w:rsid w:val="11AC4B61"/>
    <w:rsid w:val="121B57F7"/>
    <w:rsid w:val="12244128"/>
    <w:rsid w:val="122E47B7"/>
    <w:rsid w:val="1251247A"/>
    <w:rsid w:val="125B4186"/>
    <w:rsid w:val="12741D95"/>
    <w:rsid w:val="128E0F23"/>
    <w:rsid w:val="1291385D"/>
    <w:rsid w:val="12BF17AB"/>
    <w:rsid w:val="12DF1BBD"/>
    <w:rsid w:val="12EB5CC1"/>
    <w:rsid w:val="132A46FD"/>
    <w:rsid w:val="1342137F"/>
    <w:rsid w:val="134649B0"/>
    <w:rsid w:val="13767A26"/>
    <w:rsid w:val="13B65FC8"/>
    <w:rsid w:val="13BC5636"/>
    <w:rsid w:val="13CC51CC"/>
    <w:rsid w:val="13D50BC4"/>
    <w:rsid w:val="13F26A7E"/>
    <w:rsid w:val="14094C3F"/>
    <w:rsid w:val="141C2B16"/>
    <w:rsid w:val="145E3A5E"/>
    <w:rsid w:val="14AB6416"/>
    <w:rsid w:val="14BF68B5"/>
    <w:rsid w:val="14C90887"/>
    <w:rsid w:val="14F14A2C"/>
    <w:rsid w:val="15514054"/>
    <w:rsid w:val="157E3E86"/>
    <w:rsid w:val="157E667E"/>
    <w:rsid w:val="15BD5A27"/>
    <w:rsid w:val="15E3749A"/>
    <w:rsid w:val="165667F4"/>
    <w:rsid w:val="16BB723D"/>
    <w:rsid w:val="16F051B5"/>
    <w:rsid w:val="171A3FEE"/>
    <w:rsid w:val="17473180"/>
    <w:rsid w:val="17507229"/>
    <w:rsid w:val="176761D0"/>
    <w:rsid w:val="176937BB"/>
    <w:rsid w:val="17767FD4"/>
    <w:rsid w:val="17997BAD"/>
    <w:rsid w:val="179A5842"/>
    <w:rsid w:val="179A71F5"/>
    <w:rsid w:val="17BF722E"/>
    <w:rsid w:val="17F30A7F"/>
    <w:rsid w:val="184950B8"/>
    <w:rsid w:val="18817122"/>
    <w:rsid w:val="18B062A4"/>
    <w:rsid w:val="18CE2227"/>
    <w:rsid w:val="18DB70D8"/>
    <w:rsid w:val="18E37AC9"/>
    <w:rsid w:val="18E91D6D"/>
    <w:rsid w:val="19253EE3"/>
    <w:rsid w:val="19431D36"/>
    <w:rsid w:val="195054A6"/>
    <w:rsid w:val="195A3363"/>
    <w:rsid w:val="195D6C5C"/>
    <w:rsid w:val="19667307"/>
    <w:rsid w:val="19854E68"/>
    <w:rsid w:val="19950666"/>
    <w:rsid w:val="19B8795B"/>
    <w:rsid w:val="1A245B3E"/>
    <w:rsid w:val="1A3F5827"/>
    <w:rsid w:val="1A6472CA"/>
    <w:rsid w:val="1A6842DA"/>
    <w:rsid w:val="1A6E0DBC"/>
    <w:rsid w:val="1A84171B"/>
    <w:rsid w:val="1A9305A7"/>
    <w:rsid w:val="1AB06F63"/>
    <w:rsid w:val="1AB605CA"/>
    <w:rsid w:val="1ABB3497"/>
    <w:rsid w:val="1B436F72"/>
    <w:rsid w:val="1B831F1B"/>
    <w:rsid w:val="1B8B4B55"/>
    <w:rsid w:val="1BCD604B"/>
    <w:rsid w:val="1BE8440E"/>
    <w:rsid w:val="1CC27EB3"/>
    <w:rsid w:val="1CD2457C"/>
    <w:rsid w:val="1D155CEE"/>
    <w:rsid w:val="1D325B1C"/>
    <w:rsid w:val="1D3D576D"/>
    <w:rsid w:val="1D587496"/>
    <w:rsid w:val="1D5B3A83"/>
    <w:rsid w:val="1DB07D6A"/>
    <w:rsid w:val="1DB747DE"/>
    <w:rsid w:val="1DC239D5"/>
    <w:rsid w:val="1DCC5A70"/>
    <w:rsid w:val="1DCF095B"/>
    <w:rsid w:val="1E2D3F37"/>
    <w:rsid w:val="1E5E7F76"/>
    <w:rsid w:val="1E6E1C6C"/>
    <w:rsid w:val="1E8709B0"/>
    <w:rsid w:val="1E9929E3"/>
    <w:rsid w:val="1EAE4B19"/>
    <w:rsid w:val="1EEF31CF"/>
    <w:rsid w:val="1F637374"/>
    <w:rsid w:val="1F7D1AA1"/>
    <w:rsid w:val="1FBF421F"/>
    <w:rsid w:val="1FC71A92"/>
    <w:rsid w:val="1FE91A2A"/>
    <w:rsid w:val="200D3B4B"/>
    <w:rsid w:val="20711C7A"/>
    <w:rsid w:val="209D7AEE"/>
    <w:rsid w:val="209F26D8"/>
    <w:rsid w:val="20AA5465"/>
    <w:rsid w:val="20AE11CF"/>
    <w:rsid w:val="20AF4401"/>
    <w:rsid w:val="20CB3BA1"/>
    <w:rsid w:val="20D15EB2"/>
    <w:rsid w:val="20D85889"/>
    <w:rsid w:val="20E202C3"/>
    <w:rsid w:val="210C2976"/>
    <w:rsid w:val="21166B2E"/>
    <w:rsid w:val="2127553A"/>
    <w:rsid w:val="213E6E7B"/>
    <w:rsid w:val="21417AB3"/>
    <w:rsid w:val="214C0C99"/>
    <w:rsid w:val="2158689D"/>
    <w:rsid w:val="21966254"/>
    <w:rsid w:val="21AC0780"/>
    <w:rsid w:val="21B340E2"/>
    <w:rsid w:val="21F029CB"/>
    <w:rsid w:val="2209493D"/>
    <w:rsid w:val="220C37CE"/>
    <w:rsid w:val="22152696"/>
    <w:rsid w:val="225007FA"/>
    <w:rsid w:val="22812B22"/>
    <w:rsid w:val="22BA2CA8"/>
    <w:rsid w:val="22E74FD0"/>
    <w:rsid w:val="230E7FF1"/>
    <w:rsid w:val="231A3C96"/>
    <w:rsid w:val="232D7DF0"/>
    <w:rsid w:val="23367294"/>
    <w:rsid w:val="233F1C40"/>
    <w:rsid w:val="236502DB"/>
    <w:rsid w:val="2365790D"/>
    <w:rsid w:val="237274BF"/>
    <w:rsid w:val="23804B56"/>
    <w:rsid w:val="23860B96"/>
    <w:rsid w:val="23924D00"/>
    <w:rsid w:val="23A00BC1"/>
    <w:rsid w:val="23B0735D"/>
    <w:rsid w:val="23C9311C"/>
    <w:rsid w:val="23CC42BC"/>
    <w:rsid w:val="23CF09C3"/>
    <w:rsid w:val="240371BF"/>
    <w:rsid w:val="24325332"/>
    <w:rsid w:val="246F5586"/>
    <w:rsid w:val="24750490"/>
    <w:rsid w:val="247E1223"/>
    <w:rsid w:val="247E5B8C"/>
    <w:rsid w:val="247F73E6"/>
    <w:rsid w:val="248C699D"/>
    <w:rsid w:val="249B6D9F"/>
    <w:rsid w:val="24A16ED1"/>
    <w:rsid w:val="24B77513"/>
    <w:rsid w:val="24F83FC1"/>
    <w:rsid w:val="250A09A8"/>
    <w:rsid w:val="250A6865"/>
    <w:rsid w:val="250B3BA2"/>
    <w:rsid w:val="257B0759"/>
    <w:rsid w:val="25D574BF"/>
    <w:rsid w:val="25D66FD4"/>
    <w:rsid w:val="25E30742"/>
    <w:rsid w:val="25F53EDB"/>
    <w:rsid w:val="25FB3C1C"/>
    <w:rsid w:val="26256B3F"/>
    <w:rsid w:val="265576DC"/>
    <w:rsid w:val="26777E83"/>
    <w:rsid w:val="26974B89"/>
    <w:rsid w:val="26984FED"/>
    <w:rsid w:val="269C4305"/>
    <w:rsid w:val="26A54D73"/>
    <w:rsid w:val="26D85317"/>
    <w:rsid w:val="26F5729B"/>
    <w:rsid w:val="271355FE"/>
    <w:rsid w:val="27194004"/>
    <w:rsid w:val="271F51D3"/>
    <w:rsid w:val="275D14A5"/>
    <w:rsid w:val="275F60E5"/>
    <w:rsid w:val="27904D8C"/>
    <w:rsid w:val="27B900AF"/>
    <w:rsid w:val="27C7450B"/>
    <w:rsid w:val="27E00411"/>
    <w:rsid w:val="27E740A7"/>
    <w:rsid w:val="27FC4BEF"/>
    <w:rsid w:val="282F1B3A"/>
    <w:rsid w:val="28BB52E8"/>
    <w:rsid w:val="28BC6351"/>
    <w:rsid w:val="28C50886"/>
    <w:rsid w:val="28CD7E3D"/>
    <w:rsid w:val="28D854FB"/>
    <w:rsid w:val="2919543F"/>
    <w:rsid w:val="29511420"/>
    <w:rsid w:val="296C1643"/>
    <w:rsid w:val="297C32E4"/>
    <w:rsid w:val="298751C8"/>
    <w:rsid w:val="298826BA"/>
    <w:rsid w:val="29D92930"/>
    <w:rsid w:val="29FD04D3"/>
    <w:rsid w:val="2A146244"/>
    <w:rsid w:val="2A200A3F"/>
    <w:rsid w:val="2A3D6AA2"/>
    <w:rsid w:val="2A581386"/>
    <w:rsid w:val="2A5A560D"/>
    <w:rsid w:val="2A7039E8"/>
    <w:rsid w:val="2A76100C"/>
    <w:rsid w:val="2A783558"/>
    <w:rsid w:val="2A965C50"/>
    <w:rsid w:val="2AA64E6B"/>
    <w:rsid w:val="2AB618D7"/>
    <w:rsid w:val="2ABA13D0"/>
    <w:rsid w:val="2ADF1069"/>
    <w:rsid w:val="2B2E5C44"/>
    <w:rsid w:val="2B340A17"/>
    <w:rsid w:val="2B3E2646"/>
    <w:rsid w:val="2B506954"/>
    <w:rsid w:val="2B647B05"/>
    <w:rsid w:val="2B7174E1"/>
    <w:rsid w:val="2B7E6C22"/>
    <w:rsid w:val="2B9535AF"/>
    <w:rsid w:val="2BD1235D"/>
    <w:rsid w:val="2C1208FA"/>
    <w:rsid w:val="2C470826"/>
    <w:rsid w:val="2C644FE3"/>
    <w:rsid w:val="2C8A61B5"/>
    <w:rsid w:val="2CA16604"/>
    <w:rsid w:val="2D294C0D"/>
    <w:rsid w:val="2D295035"/>
    <w:rsid w:val="2D392AEE"/>
    <w:rsid w:val="2D7E4E96"/>
    <w:rsid w:val="2DF04E50"/>
    <w:rsid w:val="2DF90AE5"/>
    <w:rsid w:val="2E071DFD"/>
    <w:rsid w:val="2E181D0B"/>
    <w:rsid w:val="2E3239DC"/>
    <w:rsid w:val="2E506BE6"/>
    <w:rsid w:val="2E622848"/>
    <w:rsid w:val="2E901121"/>
    <w:rsid w:val="2E9E03D7"/>
    <w:rsid w:val="2E9F533A"/>
    <w:rsid w:val="2EA93462"/>
    <w:rsid w:val="2EAA1653"/>
    <w:rsid w:val="2EDC424A"/>
    <w:rsid w:val="2EE761E3"/>
    <w:rsid w:val="2F0D14C5"/>
    <w:rsid w:val="2F3C182B"/>
    <w:rsid w:val="2F4D4569"/>
    <w:rsid w:val="2F9E41BB"/>
    <w:rsid w:val="2FBF3946"/>
    <w:rsid w:val="2FDE5E13"/>
    <w:rsid w:val="2FE6447C"/>
    <w:rsid w:val="2FF532AC"/>
    <w:rsid w:val="2FFB0A12"/>
    <w:rsid w:val="30045F9E"/>
    <w:rsid w:val="30091808"/>
    <w:rsid w:val="30110230"/>
    <w:rsid w:val="303644EA"/>
    <w:rsid w:val="30434338"/>
    <w:rsid w:val="308C3346"/>
    <w:rsid w:val="309157A7"/>
    <w:rsid w:val="30E97D27"/>
    <w:rsid w:val="31091036"/>
    <w:rsid w:val="310C328C"/>
    <w:rsid w:val="31154FBA"/>
    <w:rsid w:val="314F6842"/>
    <w:rsid w:val="317F5C96"/>
    <w:rsid w:val="31867B6B"/>
    <w:rsid w:val="319F7F4E"/>
    <w:rsid w:val="31BD306C"/>
    <w:rsid w:val="31FC2AC3"/>
    <w:rsid w:val="320B4D3B"/>
    <w:rsid w:val="32267C43"/>
    <w:rsid w:val="323C07B9"/>
    <w:rsid w:val="326412CA"/>
    <w:rsid w:val="327A5B4F"/>
    <w:rsid w:val="329D441A"/>
    <w:rsid w:val="32C0476E"/>
    <w:rsid w:val="32D67CBF"/>
    <w:rsid w:val="332D3766"/>
    <w:rsid w:val="333115BA"/>
    <w:rsid w:val="337F4B30"/>
    <w:rsid w:val="339D2815"/>
    <w:rsid w:val="33AC3DCE"/>
    <w:rsid w:val="33B26F6C"/>
    <w:rsid w:val="33B97E7C"/>
    <w:rsid w:val="33E64DD6"/>
    <w:rsid w:val="33FA599D"/>
    <w:rsid w:val="343A6129"/>
    <w:rsid w:val="344C3D66"/>
    <w:rsid w:val="347B76B8"/>
    <w:rsid w:val="34821D40"/>
    <w:rsid w:val="349C4B3D"/>
    <w:rsid w:val="34CB7096"/>
    <w:rsid w:val="34D0571F"/>
    <w:rsid w:val="351E7B13"/>
    <w:rsid w:val="352C1B7E"/>
    <w:rsid w:val="35302210"/>
    <w:rsid w:val="3533541A"/>
    <w:rsid w:val="354A762E"/>
    <w:rsid w:val="355C6DEA"/>
    <w:rsid w:val="358C0E8B"/>
    <w:rsid w:val="361C46D7"/>
    <w:rsid w:val="3626082E"/>
    <w:rsid w:val="36284713"/>
    <w:rsid w:val="364B5B0E"/>
    <w:rsid w:val="3659713A"/>
    <w:rsid w:val="36765B0D"/>
    <w:rsid w:val="3688378B"/>
    <w:rsid w:val="369548EE"/>
    <w:rsid w:val="36A107A8"/>
    <w:rsid w:val="36A8046D"/>
    <w:rsid w:val="36AA5135"/>
    <w:rsid w:val="36B42CA1"/>
    <w:rsid w:val="36BE16D6"/>
    <w:rsid w:val="36CC7CA5"/>
    <w:rsid w:val="36E84F5A"/>
    <w:rsid w:val="3704314C"/>
    <w:rsid w:val="373C7A4E"/>
    <w:rsid w:val="37617C4C"/>
    <w:rsid w:val="37C04D24"/>
    <w:rsid w:val="37C42285"/>
    <w:rsid w:val="37D710ED"/>
    <w:rsid w:val="37D80324"/>
    <w:rsid w:val="37E16F03"/>
    <w:rsid w:val="38861B2B"/>
    <w:rsid w:val="38974685"/>
    <w:rsid w:val="38F86FF8"/>
    <w:rsid w:val="38FD35F2"/>
    <w:rsid w:val="390213F5"/>
    <w:rsid w:val="39036CFE"/>
    <w:rsid w:val="39397A70"/>
    <w:rsid w:val="394E6848"/>
    <w:rsid w:val="39804856"/>
    <w:rsid w:val="398E5232"/>
    <w:rsid w:val="39D86678"/>
    <w:rsid w:val="3A4311AB"/>
    <w:rsid w:val="3A463D62"/>
    <w:rsid w:val="3ACA50CD"/>
    <w:rsid w:val="3AF6137E"/>
    <w:rsid w:val="3B071750"/>
    <w:rsid w:val="3B775AFF"/>
    <w:rsid w:val="3B7F4644"/>
    <w:rsid w:val="3BA13705"/>
    <w:rsid w:val="3BA82824"/>
    <w:rsid w:val="3BD25EE6"/>
    <w:rsid w:val="3C6440F4"/>
    <w:rsid w:val="3CB65506"/>
    <w:rsid w:val="3CD036F8"/>
    <w:rsid w:val="3D18563F"/>
    <w:rsid w:val="3D4E37D2"/>
    <w:rsid w:val="3D691D82"/>
    <w:rsid w:val="3D8D1BB4"/>
    <w:rsid w:val="3D98207C"/>
    <w:rsid w:val="3D9D51C5"/>
    <w:rsid w:val="3E2C5549"/>
    <w:rsid w:val="3E35199E"/>
    <w:rsid w:val="3E383F45"/>
    <w:rsid w:val="3E4466E9"/>
    <w:rsid w:val="3E4D5359"/>
    <w:rsid w:val="3E94082C"/>
    <w:rsid w:val="3E9B029F"/>
    <w:rsid w:val="3EA72A49"/>
    <w:rsid w:val="3EED435A"/>
    <w:rsid w:val="3F021AE1"/>
    <w:rsid w:val="3F30457E"/>
    <w:rsid w:val="3F496B51"/>
    <w:rsid w:val="3F576A0F"/>
    <w:rsid w:val="3F835CC2"/>
    <w:rsid w:val="3F9D7926"/>
    <w:rsid w:val="3FA072F6"/>
    <w:rsid w:val="3FC369AE"/>
    <w:rsid w:val="3FD62799"/>
    <w:rsid w:val="3FE55BE9"/>
    <w:rsid w:val="3FE66D73"/>
    <w:rsid w:val="3FF27780"/>
    <w:rsid w:val="3FFD236E"/>
    <w:rsid w:val="409648EB"/>
    <w:rsid w:val="40AE1E80"/>
    <w:rsid w:val="40B77561"/>
    <w:rsid w:val="40C30912"/>
    <w:rsid w:val="40C34FA7"/>
    <w:rsid w:val="40D00A3D"/>
    <w:rsid w:val="40D62625"/>
    <w:rsid w:val="40E21F36"/>
    <w:rsid w:val="41133E54"/>
    <w:rsid w:val="4144196C"/>
    <w:rsid w:val="415E7C46"/>
    <w:rsid w:val="416737F4"/>
    <w:rsid w:val="41951D7D"/>
    <w:rsid w:val="41A143A9"/>
    <w:rsid w:val="41BC2038"/>
    <w:rsid w:val="41D423F7"/>
    <w:rsid w:val="41E259C7"/>
    <w:rsid w:val="41E35178"/>
    <w:rsid w:val="42164021"/>
    <w:rsid w:val="42241C7D"/>
    <w:rsid w:val="425A1E78"/>
    <w:rsid w:val="429D21D3"/>
    <w:rsid w:val="430550A8"/>
    <w:rsid w:val="4330066E"/>
    <w:rsid w:val="436D28CF"/>
    <w:rsid w:val="437065E7"/>
    <w:rsid w:val="43BF6F20"/>
    <w:rsid w:val="43C91DDA"/>
    <w:rsid w:val="43CB24CB"/>
    <w:rsid w:val="43ED71DC"/>
    <w:rsid w:val="441C0297"/>
    <w:rsid w:val="441E7CAD"/>
    <w:rsid w:val="442818BE"/>
    <w:rsid w:val="446878B8"/>
    <w:rsid w:val="4487599C"/>
    <w:rsid w:val="4496221B"/>
    <w:rsid w:val="44B8217D"/>
    <w:rsid w:val="44E268DA"/>
    <w:rsid w:val="44FC3FD0"/>
    <w:rsid w:val="452603EF"/>
    <w:rsid w:val="45533FC9"/>
    <w:rsid w:val="45784A72"/>
    <w:rsid w:val="458346FC"/>
    <w:rsid w:val="45977B98"/>
    <w:rsid w:val="459C5DE7"/>
    <w:rsid w:val="45EE2DB9"/>
    <w:rsid w:val="45F83C74"/>
    <w:rsid w:val="4636558A"/>
    <w:rsid w:val="463E6DB9"/>
    <w:rsid w:val="466F0159"/>
    <w:rsid w:val="46B609BF"/>
    <w:rsid w:val="46F40FDF"/>
    <w:rsid w:val="470D325F"/>
    <w:rsid w:val="4730523E"/>
    <w:rsid w:val="473B1F20"/>
    <w:rsid w:val="47433F5C"/>
    <w:rsid w:val="474714B0"/>
    <w:rsid w:val="4770272D"/>
    <w:rsid w:val="479B55BB"/>
    <w:rsid w:val="47B5633F"/>
    <w:rsid w:val="47BC2F9F"/>
    <w:rsid w:val="47F8268C"/>
    <w:rsid w:val="47FD1771"/>
    <w:rsid w:val="48085774"/>
    <w:rsid w:val="48763D02"/>
    <w:rsid w:val="487A12E5"/>
    <w:rsid w:val="489A117C"/>
    <w:rsid w:val="48D558C4"/>
    <w:rsid w:val="492028B2"/>
    <w:rsid w:val="49654945"/>
    <w:rsid w:val="49695030"/>
    <w:rsid w:val="496E2C25"/>
    <w:rsid w:val="497B6C94"/>
    <w:rsid w:val="49AC0451"/>
    <w:rsid w:val="49CD14F5"/>
    <w:rsid w:val="4A2F5D6C"/>
    <w:rsid w:val="4A5716E9"/>
    <w:rsid w:val="4A5B5A10"/>
    <w:rsid w:val="4A627F82"/>
    <w:rsid w:val="4A693CD5"/>
    <w:rsid w:val="4A72792A"/>
    <w:rsid w:val="4A741B1F"/>
    <w:rsid w:val="4A773794"/>
    <w:rsid w:val="4AD40A7D"/>
    <w:rsid w:val="4AEE6945"/>
    <w:rsid w:val="4B3B068F"/>
    <w:rsid w:val="4B460FAC"/>
    <w:rsid w:val="4B4F25DA"/>
    <w:rsid w:val="4BB70863"/>
    <w:rsid w:val="4BE068DB"/>
    <w:rsid w:val="4BEE40A3"/>
    <w:rsid w:val="4C1278E1"/>
    <w:rsid w:val="4C3A6B70"/>
    <w:rsid w:val="4C562C49"/>
    <w:rsid w:val="4C935FAC"/>
    <w:rsid w:val="4CD47592"/>
    <w:rsid w:val="4CE86D55"/>
    <w:rsid w:val="4D044455"/>
    <w:rsid w:val="4D0B1733"/>
    <w:rsid w:val="4D31313B"/>
    <w:rsid w:val="4D3B56B2"/>
    <w:rsid w:val="4D577224"/>
    <w:rsid w:val="4D62160A"/>
    <w:rsid w:val="4D65311C"/>
    <w:rsid w:val="4D6C44E1"/>
    <w:rsid w:val="4DA9279B"/>
    <w:rsid w:val="4DE714B2"/>
    <w:rsid w:val="4E0011C6"/>
    <w:rsid w:val="4E0237B6"/>
    <w:rsid w:val="4E4A6FAE"/>
    <w:rsid w:val="4E4F6604"/>
    <w:rsid w:val="4E503EB6"/>
    <w:rsid w:val="4E6F23CF"/>
    <w:rsid w:val="4E7A436B"/>
    <w:rsid w:val="4E8D3D56"/>
    <w:rsid w:val="4EAB54CE"/>
    <w:rsid w:val="4EAB630A"/>
    <w:rsid w:val="4EB26ECD"/>
    <w:rsid w:val="4EB67814"/>
    <w:rsid w:val="4EB864B2"/>
    <w:rsid w:val="4ECE2238"/>
    <w:rsid w:val="4F0D7015"/>
    <w:rsid w:val="4F1559F4"/>
    <w:rsid w:val="4F2043AF"/>
    <w:rsid w:val="4F3E03CA"/>
    <w:rsid w:val="4F4144B9"/>
    <w:rsid w:val="4F42306B"/>
    <w:rsid w:val="4FFD4D24"/>
    <w:rsid w:val="50060D67"/>
    <w:rsid w:val="50535D3C"/>
    <w:rsid w:val="50797B41"/>
    <w:rsid w:val="50932AE9"/>
    <w:rsid w:val="50961A69"/>
    <w:rsid w:val="509750DA"/>
    <w:rsid w:val="50A81C41"/>
    <w:rsid w:val="50D3541E"/>
    <w:rsid w:val="51216259"/>
    <w:rsid w:val="512655F7"/>
    <w:rsid w:val="512864C0"/>
    <w:rsid w:val="515176A8"/>
    <w:rsid w:val="51686300"/>
    <w:rsid w:val="516C032F"/>
    <w:rsid w:val="516E0083"/>
    <w:rsid w:val="519A277F"/>
    <w:rsid w:val="51AA0013"/>
    <w:rsid w:val="51F74E2F"/>
    <w:rsid w:val="52133FCF"/>
    <w:rsid w:val="52137370"/>
    <w:rsid w:val="5234797F"/>
    <w:rsid w:val="52966817"/>
    <w:rsid w:val="5298444A"/>
    <w:rsid w:val="52A20CA8"/>
    <w:rsid w:val="52DD5763"/>
    <w:rsid w:val="52F85284"/>
    <w:rsid w:val="531C1893"/>
    <w:rsid w:val="53223EA2"/>
    <w:rsid w:val="53227C50"/>
    <w:rsid w:val="53384BFA"/>
    <w:rsid w:val="534E5494"/>
    <w:rsid w:val="53834254"/>
    <w:rsid w:val="538B28F6"/>
    <w:rsid w:val="538C3850"/>
    <w:rsid w:val="539F2057"/>
    <w:rsid w:val="53BA30E9"/>
    <w:rsid w:val="53CF14D5"/>
    <w:rsid w:val="541B019D"/>
    <w:rsid w:val="54427392"/>
    <w:rsid w:val="54F41EE9"/>
    <w:rsid w:val="554B1A60"/>
    <w:rsid w:val="55615404"/>
    <w:rsid w:val="557F2F42"/>
    <w:rsid w:val="55BB733C"/>
    <w:rsid w:val="55D460A4"/>
    <w:rsid w:val="55E55DB4"/>
    <w:rsid w:val="560E5B73"/>
    <w:rsid w:val="5611753E"/>
    <w:rsid w:val="56A25592"/>
    <w:rsid w:val="56A50707"/>
    <w:rsid w:val="56BB51B4"/>
    <w:rsid w:val="57106D15"/>
    <w:rsid w:val="573041D1"/>
    <w:rsid w:val="57450995"/>
    <w:rsid w:val="575416F3"/>
    <w:rsid w:val="578106BC"/>
    <w:rsid w:val="57C2156F"/>
    <w:rsid w:val="57FB0945"/>
    <w:rsid w:val="58257700"/>
    <w:rsid w:val="5832725D"/>
    <w:rsid w:val="583407A6"/>
    <w:rsid w:val="584E7327"/>
    <w:rsid w:val="58551680"/>
    <w:rsid w:val="58656CC3"/>
    <w:rsid w:val="586B0552"/>
    <w:rsid w:val="586F2DCF"/>
    <w:rsid w:val="58D323B0"/>
    <w:rsid w:val="591E6699"/>
    <w:rsid w:val="5935634A"/>
    <w:rsid w:val="593A2A59"/>
    <w:rsid w:val="59707295"/>
    <w:rsid w:val="59841E6D"/>
    <w:rsid w:val="59DA44CD"/>
    <w:rsid w:val="59F04477"/>
    <w:rsid w:val="59F444FD"/>
    <w:rsid w:val="5A275E33"/>
    <w:rsid w:val="5A4724AA"/>
    <w:rsid w:val="5A55417E"/>
    <w:rsid w:val="5AB73ACF"/>
    <w:rsid w:val="5AD60C6D"/>
    <w:rsid w:val="5ADB5E6E"/>
    <w:rsid w:val="5AEE5C31"/>
    <w:rsid w:val="5AF92295"/>
    <w:rsid w:val="5B57521E"/>
    <w:rsid w:val="5B6017CA"/>
    <w:rsid w:val="5B935021"/>
    <w:rsid w:val="5BB803A7"/>
    <w:rsid w:val="5BEC5FDC"/>
    <w:rsid w:val="5BED1229"/>
    <w:rsid w:val="5C031EA3"/>
    <w:rsid w:val="5C1420AC"/>
    <w:rsid w:val="5C1F038B"/>
    <w:rsid w:val="5C1F0FA7"/>
    <w:rsid w:val="5C2E7661"/>
    <w:rsid w:val="5C530271"/>
    <w:rsid w:val="5C63415A"/>
    <w:rsid w:val="5C8D5CD0"/>
    <w:rsid w:val="5CAE67B5"/>
    <w:rsid w:val="5CD71FC4"/>
    <w:rsid w:val="5CE6662C"/>
    <w:rsid w:val="5CE77421"/>
    <w:rsid w:val="5D090F80"/>
    <w:rsid w:val="5D095D96"/>
    <w:rsid w:val="5D1800F3"/>
    <w:rsid w:val="5D364DD0"/>
    <w:rsid w:val="5D4169E1"/>
    <w:rsid w:val="5D604C48"/>
    <w:rsid w:val="5D721667"/>
    <w:rsid w:val="5D74445A"/>
    <w:rsid w:val="5D8D3C45"/>
    <w:rsid w:val="5DB64D23"/>
    <w:rsid w:val="5DC366E4"/>
    <w:rsid w:val="5DD077B2"/>
    <w:rsid w:val="5DD60F0C"/>
    <w:rsid w:val="5DDD1E97"/>
    <w:rsid w:val="5DDE68B4"/>
    <w:rsid w:val="5DE35C23"/>
    <w:rsid w:val="5DF928F6"/>
    <w:rsid w:val="5DF93BED"/>
    <w:rsid w:val="5E110540"/>
    <w:rsid w:val="5E2870AC"/>
    <w:rsid w:val="5E3D04B9"/>
    <w:rsid w:val="5E6767B4"/>
    <w:rsid w:val="5E741F3B"/>
    <w:rsid w:val="5E7C3131"/>
    <w:rsid w:val="5E8A6A0F"/>
    <w:rsid w:val="5EC87E95"/>
    <w:rsid w:val="5EDE2327"/>
    <w:rsid w:val="5EE042DB"/>
    <w:rsid w:val="5EF31208"/>
    <w:rsid w:val="5F54514B"/>
    <w:rsid w:val="5F860324"/>
    <w:rsid w:val="5F9C2263"/>
    <w:rsid w:val="5FEE61D3"/>
    <w:rsid w:val="60013C9E"/>
    <w:rsid w:val="60341DB0"/>
    <w:rsid w:val="604F0111"/>
    <w:rsid w:val="609A5CF5"/>
    <w:rsid w:val="60E62328"/>
    <w:rsid w:val="60F97220"/>
    <w:rsid w:val="61073C87"/>
    <w:rsid w:val="61402E9A"/>
    <w:rsid w:val="6146459D"/>
    <w:rsid w:val="616756BB"/>
    <w:rsid w:val="61776E52"/>
    <w:rsid w:val="61B36631"/>
    <w:rsid w:val="61B76D00"/>
    <w:rsid w:val="61D7412C"/>
    <w:rsid w:val="61DB0CBC"/>
    <w:rsid w:val="61F53564"/>
    <w:rsid w:val="62103205"/>
    <w:rsid w:val="62117A9A"/>
    <w:rsid w:val="622B08C0"/>
    <w:rsid w:val="62335D0D"/>
    <w:rsid w:val="624932C1"/>
    <w:rsid w:val="62606896"/>
    <w:rsid w:val="62813AC7"/>
    <w:rsid w:val="62984542"/>
    <w:rsid w:val="62B535DD"/>
    <w:rsid w:val="62C76A1A"/>
    <w:rsid w:val="63556279"/>
    <w:rsid w:val="63666165"/>
    <w:rsid w:val="63705D6A"/>
    <w:rsid w:val="637D65EE"/>
    <w:rsid w:val="63D65E6D"/>
    <w:rsid w:val="64110195"/>
    <w:rsid w:val="6454025C"/>
    <w:rsid w:val="648F5EC2"/>
    <w:rsid w:val="64B876B6"/>
    <w:rsid w:val="650825FE"/>
    <w:rsid w:val="6538370A"/>
    <w:rsid w:val="65500154"/>
    <w:rsid w:val="656A1EF1"/>
    <w:rsid w:val="65B336CA"/>
    <w:rsid w:val="65B72CC4"/>
    <w:rsid w:val="65B75F60"/>
    <w:rsid w:val="65DD78B3"/>
    <w:rsid w:val="66141C2E"/>
    <w:rsid w:val="665C0C65"/>
    <w:rsid w:val="66681AE2"/>
    <w:rsid w:val="67647575"/>
    <w:rsid w:val="677A3FAF"/>
    <w:rsid w:val="677B58A2"/>
    <w:rsid w:val="677B7781"/>
    <w:rsid w:val="677E4406"/>
    <w:rsid w:val="67806F15"/>
    <w:rsid w:val="679B6668"/>
    <w:rsid w:val="67A4115A"/>
    <w:rsid w:val="67AC2478"/>
    <w:rsid w:val="67CA51AF"/>
    <w:rsid w:val="67D27F22"/>
    <w:rsid w:val="67DA0229"/>
    <w:rsid w:val="680667BE"/>
    <w:rsid w:val="68173DC4"/>
    <w:rsid w:val="683F2458"/>
    <w:rsid w:val="68424D34"/>
    <w:rsid w:val="684E5CAC"/>
    <w:rsid w:val="686929C9"/>
    <w:rsid w:val="68797B6C"/>
    <w:rsid w:val="689264F4"/>
    <w:rsid w:val="68936803"/>
    <w:rsid w:val="68A03C75"/>
    <w:rsid w:val="68B711AA"/>
    <w:rsid w:val="68B7639F"/>
    <w:rsid w:val="69293D7F"/>
    <w:rsid w:val="69301DCF"/>
    <w:rsid w:val="69473769"/>
    <w:rsid w:val="69D549D4"/>
    <w:rsid w:val="69E67CCB"/>
    <w:rsid w:val="69F809B8"/>
    <w:rsid w:val="6A2C7C9A"/>
    <w:rsid w:val="6A411207"/>
    <w:rsid w:val="6A905DFA"/>
    <w:rsid w:val="6ABD05EA"/>
    <w:rsid w:val="6AD629F4"/>
    <w:rsid w:val="6AE55DF4"/>
    <w:rsid w:val="6B097AF9"/>
    <w:rsid w:val="6B390E2A"/>
    <w:rsid w:val="6B5031FB"/>
    <w:rsid w:val="6B5C032D"/>
    <w:rsid w:val="6B5C2933"/>
    <w:rsid w:val="6B9F1206"/>
    <w:rsid w:val="6BBF7073"/>
    <w:rsid w:val="6BCF2DE9"/>
    <w:rsid w:val="6C4A05C8"/>
    <w:rsid w:val="6C505D65"/>
    <w:rsid w:val="6C602F5C"/>
    <w:rsid w:val="6C7F18D4"/>
    <w:rsid w:val="6C8310FC"/>
    <w:rsid w:val="6CBF0C05"/>
    <w:rsid w:val="6CC87595"/>
    <w:rsid w:val="6D226E32"/>
    <w:rsid w:val="6D297763"/>
    <w:rsid w:val="6D3F3721"/>
    <w:rsid w:val="6D6150AF"/>
    <w:rsid w:val="6D6369E9"/>
    <w:rsid w:val="6D7116C1"/>
    <w:rsid w:val="6D8E1B2D"/>
    <w:rsid w:val="6DB832EC"/>
    <w:rsid w:val="6DF763A5"/>
    <w:rsid w:val="6E046B22"/>
    <w:rsid w:val="6E2C3026"/>
    <w:rsid w:val="6E2F4092"/>
    <w:rsid w:val="6E3A03A6"/>
    <w:rsid w:val="6E3A685F"/>
    <w:rsid w:val="6E717C9A"/>
    <w:rsid w:val="6E7E3605"/>
    <w:rsid w:val="6E926015"/>
    <w:rsid w:val="6EA50DD8"/>
    <w:rsid w:val="6EC52C3A"/>
    <w:rsid w:val="6ED80306"/>
    <w:rsid w:val="6EE9429B"/>
    <w:rsid w:val="6EFD5035"/>
    <w:rsid w:val="6EFD53F2"/>
    <w:rsid w:val="6F0719CA"/>
    <w:rsid w:val="6F196EAA"/>
    <w:rsid w:val="6F2B154E"/>
    <w:rsid w:val="6F3C1E93"/>
    <w:rsid w:val="6F755CF6"/>
    <w:rsid w:val="6F83112A"/>
    <w:rsid w:val="6F8A5152"/>
    <w:rsid w:val="6F8F1BAA"/>
    <w:rsid w:val="6FA333C4"/>
    <w:rsid w:val="6FA6130A"/>
    <w:rsid w:val="6FBD508E"/>
    <w:rsid w:val="6FC566C8"/>
    <w:rsid w:val="6FF5CC65"/>
    <w:rsid w:val="70044FFD"/>
    <w:rsid w:val="703278B3"/>
    <w:rsid w:val="704C0E89"/>
    <w:rsid w:val="70716DEF"/>
    <w:rsid w:val="70AC5EB4"/>
    <w:rsid w:val="70B1350E"/>
    <w:rsid w:val="70C755F3"/>
    <w:rsid w:val="70C82306"/>
    <w:rsid w:val="70DA74CA"/>
    <w:rsid w:val="70DE2CE2"/>
    <w:rsid w:val="70E02BFB"/>
    <w:rsid w:val="70E47A5F"/>
    <w:rsid w:val="710110A1"/>
    <w:rsid w:val="711D219F"/>
    <w:rsid w:val="712B2773"/>
    <w:rsid w:val="712C4FAF"/>
    <w:rsid w:val="713A01A2"/>
    <w:rsid w:val="715C0E4B"/>
    <w:rsid w:val="717626F8"/>
    <w:rsid w:val="719A425D"/>
    <w:rsid w:val="719C4D62"/>
    <w:rsid w:val="71B35F6A"/>
    <w:rsid w:val="71DB66D8"/>
    <w:rsid w:val="71E51D43"/>
    <w:rsid w:val="71F0631D"/>
    <w:rsid w:val="720E2F6C"/>
    <w:rsid w:val="722431E1"/>
    <w:rsid w:val="722D7C93"/>
    <w:rsid w:val="726A3AA2"/>
    <w:rsid w:val="72734D90"/>
    <w:rsid w:val="72790165"/>
    <w:rsid w:val="728A1D4F"/>
    <w:rsid w:val="72B76419"/>
    <w:rsid w:val="72D3536D"/>
    <w:rsid w:val="72D82658"/>
    <w:rsid w:val="72DA7947"/>
    <w:rsid w:val="72E8514D"/>
    <w:rsid w:val="72EF586F"/>
    <w:rsid w:val="730B3F85"/>
    <w:rsid w:val="731A47A6"/>
    <w:rsid w:val="734768B3"/>
    <w:rsid w:val="73A077CB"/>
    <w:rsid w:val="73AC6B6F"/>
    <w:rsid w:val="73AD73D5"/>
    <w:rsid w:val="73B6EB34"/>
    <w:rsid w:val="73CD5530"/>
    <w:rsid w:val="73E137A8"/>
    <w:rsid w:val="73EB6EC5"/>
    <w:rsid w:val="73FD72E8"/>
    <w:rsid w:val="74230F8F"/>
    <w:rsid w:val="74377F86"/>
    <w:rsid w:val="74392244"/>
    <w:rsid w:val="743D473C"/>
    <w:rsid w:val="7450112E"/>
    <w:rsid w:val="746B47AF"/>
    <w:rsid w:val="749F2657"/>
    <w:rsid w:val="74E52017"/>
    <w:rsid w:val="750749C3"/>
    <w:rsid w:val="751E5C6E"/>
    <w:rsid w:val="756718D5"/>
    <w:rsid w:val="756A58E1"/>
    <w:rsid w:val="7575319F"/>
    <w:rsid w:val="75777A67"/>
    <w:rsid w:val="76023B54"/>
    <w:rsid w:val="76530CDA"/>
    <w:rsid w:val="76803D70"/>
    <w:rsid w:val="768B42B5"/>
    <w:rsid w:val="768F1582"/>
    <w:rsid w:val="76A45364"/>
    <w:rsid w:val="76E176BF"/>
    <w:rsid w:val="76F2672C"/>
    <w:rsid w:val="77122DDD"/>
    <w:rsid w:val="773341AE"/>
    <w:rsid w:val="773B4D1F"/>
    <w:rsid w:val="777326C5"/>
    <w:rsid w:val="77B45C73"/>
    <w:rsid w:val="77BE37CD"/>
    <w:rsid w:val="78122E48"/>
    <w:rsid w:val="7843539D"/>
    <w:rsid w:val="785B70AC"/>
    <w:rsid w:val="78A03233"/>
    <w:rsid w:val="78B443B5"/>
    <w:rsid w:val="78B62E7E"/>
    <w:rsid w:val="78EA7352"/>
    <w:rsid w:val="79471021"/>
    <w:rsid w:val="79507728"/>
    <w:rsid w:val="797646C5"/>
    <w:rsid w:val="799E20ED"/>
    <w:rsid w:val="799E73B8"/>
    <w:rsid w:val="79EE5BA4"/>
    <w:rsid w:val="79F71E34"/>
    <w:rsid w:val="7A0126BB"/>
    <w:rsid w:val="7A4052AB"/>
    <w:rsid w:val="7A47466A"/>
    <w:rsid w:val="7A78727D"/>
    <w:rsid w:val="7A7A5166"/>
    <w:rsid w:val="7A894339"/>
    <w:rsid w:val="7B53773F"/>
    <w:rsid w:val="7B5623C3"/>
    <w:rsid w:val="7B7D1828"/>
    <w:rsid w:val="7B934679"/>
    <w:rsid w:val="7BB133C3"/>
    <w:rsid w:val="7BD17DC7"/>
    <w:rsid w:val="7BF261E1"/>
    <w:rsid w:val="7BF272E6"/>
    <w:rsid w:val="7C686B5E"/>
    <w:rsid w:val="7C716B4A"/>
    <w:rsid w:val="7CAF3E0B"/>
    <w:rsid w:val="7D094697"/>
    <w:rsid w:val="7D15362F"/>
    <w:rsid w:val="7D205AE0"/>
    <w:rsid w:val="7D33472B"/>
    <w:rsid w:val="7D3D7A51"/>
    <w:rsid w:val="7D4B08A1"/>
    <w:rsid w:val="7D6813A4"/>
    <w:rsid w:val="7D9A5C0A"/>
    <w:rsid w:val="7DF864BE"/>
    <w:rsid w:val="7E147761"/>
    <w:rsid w:val="7E2A3838"/>
    <w:rsid w:val="7E370B3D"/>
    <w:rsid w:val="7EA17F8B"/>
    <w:rsid w:val="7EA82DD0"/>
    <w:rsid w:val="7EB45DB0"/>
    <w:rsid w:val="7ECF35F7"/>
    <w:rsid w:val="7ED64ED9"/>
    <w:rsid w:val="7EEF11D3"/>
    <w:rsid w:val="7EFE2FED"/>
    <w:rsid w:val="7F01545A"/>
    <w:rsid w:val="7F314338"/>
    <w:rsid w:val="7F44105B"/>
    <w:rsid w:val="7F4535B2"/>
    <w:rsid w:val="7F460E0D"/>
    <w:rsid w:val="7F7E630F"/>
    <w:rsid w:val="7F805664"/>
    <w:rsid w:val="7FA30C79"/>
    <w:rsid w:val="7FB07C18"/>
    <w:rsid w:val="7FC96657"/>
    <w:rsid w:val="7FD17476"/>
    <w:rsid w:val="7FD86039"/>
    <w:rsid w:val="7FDC453B"/>
    <w:rsid w:val="AFFF1D3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Body Text First Indent"/>
    <w:basedOn w:val="2"/>
    <w:unhideWhenUsed/>
    <w:qFormat/>
    <w:uiPriority w:val="99"/>
    <w:pPr>
      <w:spacing w:beforeLines="0" w:after="120"/>
      <w:ind w:firstLine="420" w:firstLineChars="100"/>
    </w:pPr>
    <w:rPr>
      <w:rFonts w:ascii="Times New Roman" w:eastAsia="宋体"/>
      <w:kern w:val="2"/>
      <w:sz w:val="21"/>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1">
    <w:name w:val="WPSOffice手动目录 1"/>
    <w:qFormat/>
    <w:uiPriority w:val="0"/>
    <w:rPr>
      <w:rFonts w:ascii="Calibri" w:hAnsi="Calibri" w:eastAsia="宋体" w:cs="Times New Roman"/>
      <w:lang w:val="en-US" w:eastAsia="zh-CN" w:bidi="ar-SA"/>
    </w:rPr>
  </w:style>
  <w:style w:type="paragraph" w:customStyle="1" w:styleId="32">
    <w:name w:val="WPSOffice手动目录 2"/>
    <w:qFormat/>
    <w:uiPriority w:val="0"/>
    <w:pPr>
      <w:ind w:left="200" w:leftChars="200"/>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35</Pages>
  <Words>13410</Words>
  <Characters>2935</Characters>
  <Lines>24</Lines>
  <Paragraphs>32</Paragraphs>
  <TotalTime>28</TotalTime>
  <ScaleCrop>false</ScaleCrop>
  <LinksUpToDate>false</LinksUpToDate>
  <CharactersWithSpaces>16313</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HUAWEI</cp:lastModifiedBy>
  <cp:lastPrinted>2022-09-29T18:44:00Z</cp:lastPrinted>
  <dcterms:modified xsi:type="dcterms:W3CDTF">2026-01-22T16:44:38Z</dcterms:modified>
  <dc:title>四川省***</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25B4C94C48064680AFF2BBCAB63CCDA5</vt:lpwstr>
  </property>
</Properties>
</file>