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7AC8F">
      <w:pPr>
        <w:pageBreakBefore w:val="0"/>
        <w:kinsoku/>
        <w:wordWrap/>
        <w:overflowPunct/>
        <w:topLinePunct w:val="0"/>
        <w:bidi w:val="0"/>
        <w:spacing w:line="353" w:lineRule="auto"/>
        <w:jc w:val="center"/>
        <w:outlineLvl w:val="0"/>
        <w:rPr>
          <w:rFonts w:ascii="方正小标宋简体" w:hAnsi="宋体" w:eastAsia="方正小标宋简体"/>
          <w:color w:val="000000"/>
          <w:sz w:val="72"/>
          <w:szCs w:val="72"/>
        </w:rPr>
      </w:pPr>
    </w:p>
    <w:p w14:paraId="2DC57411">
      <w:pPr>
        <w:pageBreakBefore w:val="0"/>
        <w:kinsoku/>
        <w:wordWrap/>
        <w:overflowPunct/>
        <w:topLinePunct w:val="0"/>
        <w:bidi w:val="0"/>
        <w:adjustRightInd w:val="0"/>
        <w:snapToGrid w:val="0"/>
        <w:spacing w:line="353" w:lineRule="auto"/>
        <w:jc w:val="center"/>
        <w:outlineLvl w:val="0"/>
        <w:rPr>
          <w:rFonts w:ascii="方正小标宋简体" w:hAnsi="宋体" w:eastAsia="方正小标宋简体"/>
          <w:color w:val="000000"/>
          <w:sz w:val="72"/>
          <w:szCs w:val="72"/>
        </w:rPr>
      </w:pPr>
      <w:bookmarkStart w:id="0" w:name="_Toc15378441"/>
      <w:bookmarkStart w:id="1" w:name="_Toc15377425"/>
      <w:bookmarkStart w:id="2" w:name="_Toc15377193"/>
      <w:bookmarkStart w:id="3" w:name="_Toc15396597"/>
      <w:bookmarkStart w:id="4"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p>
    <w:p w14:paraId="6FE55DAC">
      <w:pPr>
        <w:pageBreakBefore w:val="0"/>
        <w:kinsoku/>
        <w:wordWrap/>
        <w:overflowPunct/>
        <w:topLinePunct w:val="0"/>
        <w:bidi w:val="0"/>
        <w:adjustRightInd w:val="0"/>
        <w:snapToGrid w:val="0"/>
        <w:spacing w:line="353" w:lineRule="auto"/>
        <w:jc w:val="center"/>
        <w:outlineLvl w:val="0"/>
        <w:rPr>
          <w:rFonts w:hint="eastAsia" w:ascii="方正小标宋简体" w:hAnsi="宋体" w:eastAsia="方正小标宋简体"/>
          <w:color w:val="000000"/>
          <w:sz w:val="72"/>
          <w:szCs w:val="72"/>
          <w:lang w:eastAsia="zh-CN"/>
        </w:rPr>
      </w:pPr>
      <w:bookmarkStart w:id="5" w:name="_Toc15377426"/>
      <w:bookmarkStart w:id="6" w:name="_Toc15377194"/>
      <w:bookmarkStart w:id="7" w:name="_Toc15306268"/>
      <w:bookmarkStart w:id="8" w:name="_Toc15396598"/>
      <w:bookmarkStart w:id="9" w:name="_Toc15396476"/>
      <w:bookmarkStart w:id="10" w:name="_Toc15378442"/>
      <w:r>
        <w:rPr>
          <w:rFonts w:hint="eastAsia" w:ascii="方正小标宋简体" w:hAnsi="宋体" w:eastAsia="方正小标宋简体"/>
          <w:color w:val="000000"/>
          <w:sz w:val="72"/>
          <w:szCs w:val="72"/>
          <w:lang w:eastAsia="zh-CN"/>
        </w:rPr>
        <w:t>攀枝花市西区综合行政</w:t>
      </w:r>
    </w:p>
    <w:p w14:paraId="5EA8E000">
      <w:pPr>
        <w:pageBreakBefore w:val="0"/>
        <w:kinsoku/>
        <w:wordWrap/>
        <w:overflowPunct/>
        <w:topLinePunct w:val="0"/>
        <w:bidi w:val="0"/>
        <w:adjustRightInd w:val="0"/>
        <w:snapToGrid w:val="0"/>
        <w:spacing w:line="353"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执法局</w:t>
      </w:r>
      <w:r>
        <w:rPr>
          <w:rFonts w:hint="eastAsia" w:ascii="方正小标宋简体" w:hAnsi="宋体" w:eastAsia="方正小标宋简体"/>
          <w:color w:val="000000"/>
          <w:sz w:val="72"/>
          <w:szCs w:val="72"/>
        </w:rPr>
        <w:t>部门决算</w:t>
      </w:r>
      <w:bookmarkEnd w:id="5"/>
      <w:bookmarkEnd w:id="6"/>
      <w:bookmarkEnd w:id="7"/>
      <w:bookmarkEnd w:id="8"/>
      <w:bookmarkEnd w:id="9"/>
      <w:bookmarkEnd w:id="10"/>
    </w:p>
    <w:p w14:paraId="77E4FBEC">
      <w:pPr>
        <w:pageBreakBefore w:val="0"/>
        <w:widowControl/>
        <w:kinsoku/>
        <w:wordWrap/>
        <w:overflowPunct/>
        <w:topLinePunct w:val="0"/>
        <w:bidi w:val="0"/>
        <w:spacing w:line="353" w:lineRule="auto"/>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4BACE5B7">
      <w:pPr>
        <w:pageBreakBefore w:val="0"/>
        <w:widowControl/>
        <w:kinsoku/>
        <w:wordWrap/>
        <w:overflowPunct/>
        <w:topLinePunct w:val="0"/>
        <w:bidi w:val="0"/>
        <w:spacing w:line="353" w:lineRule="auto"/>
        <w:jc w:val="center"/>
        <w:rPr>
          <w:rFonts w:ascii="黑体" w:hAnsi="黑体" w:eastAsia="黑体" w:cstheme="minorBidi"/>
          <w:sz w:val="28"/>
          <w:szCs w:val="28"/>
        </w:rPr>
      </w:pPr>
    </w:p>
    <w:p w14:paraId="20742959">
      <w:pPr>
        <w:pStyle w:val="7"/>
        <w:pageBreakBefore w:val="0"/>
        <w:kinsoku/>
        <w:wordWrap/>
        <w:overflowPunct/>
        <w:topLinePunct w:val="0"/>
        <w:bidi w:val="0"/>
        <w:spacing w:line="353" w:lineRule="auto"/>
      </w:pPr>
      <w:r>
        <w:rPr>
          <w:rFonts w:hint="eastAsia"/>
        </w:rPr>
        <w:t>公开时间：2020年</w:t>
      </w:r>
      <w:r>
        <w:rPr>
          <w:rFonts w:hint="eastAsia"/>
          <w:lang w:val="en-US" w:eastAsia="zh-CN"/>
        </w:rPr>
        <w:t>11</w:t>
      </w:r>
      <w:r>
        <w:rPr>
          <w:rFonts w:hint="eastAsia"/>
        </w:rPr>
        <w:t>月</w:t>
      </w:r>
      <w:r>
        <w:rPr>
          <w:rFonts w:hint="eastAsia"/>
          <w:lang w:val="en-US" w:eastAsia="zh-CN"/>
        </w:rPr>
        <w:t>20</w:t>
      </w:r>
      <w:r>
        <w:rPr>
          <w:rFonts w:hint="eastAsia"/>
        </w:rPr>
        <w:t>日</w:t>
      </w:r>
    </w:p>
    <w:p w14:paraId="0AD987BE">
      <w:pPr>
        <w:pageBreakBefore w:val="0"/>
        <w:kinsoku/>
        <w:wordWrap/>
        <w:overflowPunct/>
        <w:topLinePunct w:val="0"/>
        <w:bidi w:val="0"/>
        <w:spacing w:line="353" w:lineRule="auto"/>
      </w:pPr>
    </w:p>
    <w:p w14:paraId="2391E560">
      <w:pPr>
        <w:pStyle w:val="7"/>
        <w:spacing w:before="0" w:line="360" w:lineRule="auto"/>
        <w:jc w:val="left"/>
        <w:rPr>
          <w:rFonts w:hint="eastAsia" w:eastAsia="仿宋_GB2312"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ascii="仿宋_GB2312" w:hAnsi="Times New Roman" w:eastAsia="仿宋_GB2312"/>
          <w:sz w:val="32"/>
          <w:szCs w:val="32"/>
        </w:rPr>
        <w:t>……………………………………</w:t>
      </w:r>
      <w:r>
        <w:rPr>
          <w:rFonts w:hint="eastAsia" w:ascii="仿宋_GB2312" w:hAnsi="Times New Roman" w:eastAsia="仿宋_GB2312"/>
          <w:sz w:val="32"/>
          <w:szCs w:val="32"/>
          <w:lang w:val="en-US" w:eastAsia="zh-CN"/>
        </w:rPr>
        <w:t xml:space="preserve">  </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4</w:t>
      </w:r>
    </w:p>
    <w:p w14:paraId="13874B48">
      <w:pPr>
        <w:pStyle w:val="7"/>
        <w:spacing w:before="0" w:line="360" w:lineRule="auto"/>
        <w:jc w:val="left"/>
        <w:rPr>
          <w:rFonts w:hint="eastAsia"/>
          <w:sz w:val="24"/>
          <w:lang w:eastAsia="zh-CN"/>
        </w:rPr>
      </w:pPr>
      <w:r>
        <w:rPr>
          <w:rFonts w:hint="eastAsia"/>
          <w:sz w:val="24"/>
        </w:rPr>
        <w:t>一、基本职能及主要工作</w:t>
      </w:r>
      <w:r>
        <w:rPr>
          <w:rFonts w:ascii="仿宋_GB2312" w:hAnsi="Times New Roman" w:eastAsia="仿宋_GB2312"/>
          <w:sz w:val="32"/>
          <w:szCs w:val="32"/>
        </w:rPr>
        <w:t>………………………………………………</w:t>
      </w:r>
      <w:r>
        <w:rPr>
          <w:rFonts w:hint="eastAsia" w:ascii="仿宋_GB2312" w:hAnsi="Times New Roman" w:eastAsia="仿宋_GB2312"/>
          <w:sz w:val="32"/>
          <w:szCs w:val="32"/>
        </w:rPr>
        <w:t>.4</w:t>
      </w:r>
    </w:p>
    <w:p w14:paraId="20E7324A">
      <w:pPr>
        <w:pStyle w:val="8"/>
        <w:pageBreakBefore w:val="0"/>
        <w:numPr>
          <w:ilvl w:val="0"/>
          <w:numId w:val="1"/>
        </w:numPr>
        <w:kinsoku/>
        <w:wordWrap/>
        <w:overflowPunct/>
        <w:topLinePunct w:val="0"/>
        <w:bidi w:val="0"/>
        <w:adjustRightInd w:val="0"/>
        <w:snapToGrid w:val="0"/>
        <w:spacing w:line="353" w:lineRule="auto"/>
        <w:jc w:val="left"/>
      </w:pPr>
      <w:r>
        <w:rPr>
          <w:rFonts w:hint="eastAsia"/>
          <w:sz w:val="24"/>
        </w:rPr>
        <w:t>机构设置</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eastAsia="仿宋_GB2312"/>
          <w:sz w:val="32"/>
          <w:szCs w:val="32"/>
          <w:lang w:val="en-US" w:eastAsia="zh-CN"/>
        </w:rPr>
        <w:t>12</w:t>
      </w:r>
    </w:p>
    <w:p w14:paraId="3549756F">
      <w:pPr>
        <w:pStyle w:val="7"/>
        <w:pageBreakBefore w:val="0"/>
        <w:kinsoku/>
        <w:wordWrap/>
        <w:overflowPunct/>
        <w:topLinePunct w:val="0"/>
        <w:bidi w:val="0"/>
        <w:adjustRightInd w:val="0"/>
        <w:snapToGrid w:val="0"/>
        <w:spacing w:before="0" w:line="353" w:lineRule="auto"/>
        <w:jc w:val="left"/>
        <w:rPr>
          <w:rFonts w:hint="eastAsia" w:eastAsia="仿宋_GB2312"/>
          <w:sz w:val="24"/>
          <w:szCs w:val="24"/>
          <w:lang w:val="en-US" w:eastAsia="zh-CN"/>
        </w:rPr>
      </w:pPr>
      <w:r>
        <w:rPr>
          <w:rFonts w:hint="eastAsia"/>
          <w:sz w:val="24"/>
        </w:rPr>
        <w:t>第二部分</w:t>
      </w:r>
      <w:r>
        <w:rPr>
          <w:rFonts w:hint="eastAsia"/>
          <w:sz w:val="24"/>
          <w:lang w:val="en-US" w:eastAsia="zh-CN"/>
        </w:rPr>
        <w:t xml:space="preserve"> </w:t>
      </w:r>
      <w:r>
        <w:rPr>
          <w:rFonts w:hint="eastAsia"/>
          <w:sz w:val="24"/>
        </w:rPr>
        <w:t>部门决算情况说明</w:t>
      </w:r>
      <w:r>
        <w:rPr>
          <w:rFonts w:ascii="仿宋_GB2312" w:hAnsi="Times New Roman" w:eastAsia="仿宋_GB2312"/>
          <w:sz w:val="32"/>
          <w:szCs w:val="32"/>
        </w:rPr>
        <w:t>………………………</w:t>
      </w:r>
      <w:r>
        <w:rPr>
          <w:rFonts w:hint="eastAsia" w:ascii="仿宋_GB2312" w:hAnsi="Times New Roman" w:eastAsia="仿宋_GB2312"/>
          <w:sz w:val="32"/>
          <w:szCs w:val="32"/>
          <w:lang w:val="en-US" w:eastAsia="zh-CN"/>
        </w:rPr>
        <w:t xml:space="preserve"> </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13</w:t>
      </w:r>
    </w:p>
    <w:p w14:paraId="6C54D03C">
      <w:pPr>
        <w:pStyle w:val="8"/>
        <w:pageBreakBefore w:val="0"/>
        <w:kinsoku/>
        <w:wordWrap/>
        <w:overflowPunct/>
        <w:topLinePunct w:val="0"/>
        <w:bidi w:val="0"/>
        <w:adjustRightInd w:val="0"/>
        <w:snapToGrid w:val="0"/>
        <w:spacing w:line="353" w:lineRule="auto"/>
        <w:jc w:val="left"/>
        <w:rPr>
          <w:rFonts w:hint="eastAsia" w:ascii="仿宋" w:hAnsi="仿宋" w:eastAsia="仿宋_GB2312" w:cstheme="minorBidi"/>
          <w:sz w:val="24"/>
          <w:lang w:val="en-US" w:eastAsia="zh-CN"/>
        </w:rPr>
      </w:pPr>
      <w:r>
        <w:rPr>
          <w:rFonts w:hint="eastAsia"/>
          <w:sz w:val="24"/>
        </w:rPr>
        <w:t>一、收入支出决算总体情况说明</w:t>
      </w:r>
      <w:r>
        <w:rPr>
          <w:rFonts w:ascii="仿宋_GB2312" w:hAnsi="Times New Roman" w:eastAsia="仿宋_GB2312"/>
          <w:sz w:val="32"/>
          <w:szCs w:val="32"/>
        </w:rPr>
        <w:t>………………………………………</w:t>
      </w:r>
      <w:r>
        <w:rPr>
          <w:rFonts w:hint="eastAsia" w:ascii="仿宋_GB2312" w:eastAsia="仿宋_GB2312"/>
          <w:sz w:val="32"/>
          <w:szCs w:val="32"/>
          <w:lang w:val="en-US" w:eastAsia="zh-CN"/>
        </w:rPr>
        <w:t>13</w:t>
      </w:r>
    </w:p>
    <w:p w14:paraId="184E894E">
      <w:pPr>
        <w:pStyle w:val="8"/>
        <w:pageBreakBefore w:val="0"/>
        <w:kinsoku/>
        <w:wordWrap/>
        <w:overflowPunct/>
        <w:topLinePunct w:val="0"/>
        <w:bidi w:val="0"/>
        <w:adjustRightInd w:val="0"/>
        <w:snapToGrid w:val="0"/>
        <w:spacing w:line="353" w:lineRule="auto"/>
        <w:jc w:val="left"/>
        <w:rPr>
          <w:rFonts w:hint="eastAsia" w:ascii="仿宋" w:hAnsi="仿宋" w:eastAsia="仿宋_GB2312" w:cstheme="minorBidi"/>
          <w:sz w:val="24"/>
          <w:lang w:val="en-US" w:eastAsia="zh-CN"/>
        </w:rPr>
      </w:pPr>
      <w:r>
        <w:rPr>
          <w:rFonts w:hint="eastAsia"/>
          <w:sz w:val="24"/>
        </w:rPr>
        <w:t>二、收入决算情况说明</w:t>
      </w:r>
      <w:r>
        <w:rPr>
          <w:rFonts w:ascii="仿宋_GB2312" w:hAnsi="Times New Roman" w:eastAsia="仿宋_GB2312"/>
          <w:sz w:val="32"/>
          <w:szCs w:val="32"/>
        </w:rPr>
        <w:t>…………………………………</w:t>
      </w:r>
      <w:r>
        <w:rPr>
          <w:rFonts w:hint="eastAsia" w:ascii="仿宋_GB2312" w:eastAsia="仿宋_GB2312"/>
          <w:sz w:val="32"/>
          <w:szCs w:val="32"/>
          <w:lang w:val="en-US" w:eastAsia="zh-CN"/>
        </w:rPr>
        <w:t xml:space="preserve"> </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eastAsia="仿宋_GB2312"/>
          <w:sz w:val="32"/>
          <w:szCs w:val="32"/>
          <w:lang w:val="en-US" w:eastAsia="zh-CN"/>
        </w:rPr>
        <w:t>13</w:t>
      </w:r>
    </w:p>
    <w:p w14:paraId="2BCE4EC6">
      <w:pPr>
        <w:pStyle w:val="8"/>
        <w:pageBreakBefore w:val="0"/>
        <w:kinsoku/>
        <w:wordWrap/>
        <w:overflowPunct/>
        <w:topLinePunct w:val="0"/>
        <w:bidi w:val="0"/>
        <w:adjustRightInd w:val="0"/>
        <w:snapToGrid w:val="0"/>
        <w:spacing w:line="353" w:lineRule="auto"/>
        <w:jc w:val="left"/>
        <w:rPr>
          <w:rFonts w:hint="eastAsia" w:ascii="仿宋" w:hAnsi="仿宋" w:eastAsia="仿宋_GB2312" w:cstheme="minorBidi"/>
          <w:sz w:val="24"/>
          <w:lang w:val="en-US" w:eastAsia="zh-CN"/>
        </w:rPr>
      </w:pPr>
      <w:r>
        <w:rPr>
          <w:rFonts w:hint="eastAsia"/>
          <w:sz w:val="24"/>
        </w:rPr>
        <w:t>三、支出决算情况说明</w:t>
      </w:r>
      <w:r>
        <w:rPr>
          <w:rFonts w:ascii="仿宋_GB2312" w:hAnsi="Times New Roman" w:eastAsia="仿宋_GB2312"/>
          <w:sz w:val="32"/>
          <w:szCs w:val="32"/>
        </w:rPr>
        <w:t>…………………………</w:t>
      </w:r>
      <w:r>
        <w:rPr>
          <w:rFonts w:hint="eastAsia" w:ascii="仿宋_GB2312" w:eastAsia="仿宋_GB2312"/>
          <w:sz w:val="32"/>
          <w:szCs w:val="32"/>
          <w:lang w:val="en-US" w:eastAsia="zh-CN"/>
        </w:rPr>
        <w:t xml:space="preserve"> </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eastAsia="仿宋_GB2312"/>
          <w:sz w:val="32"/>
          <w:szCs w:val="32"/>
          <w:lang w:val="en-US" w:eastAsia="zh-CN"/>
        </w:rPr>
        <w:t>14</w:t>
      </w:r>
    </w:p>
    <w:p w14:paraId="5AD534D6">
      <w:pPr>
        <w:pStyle w:val="8"/>
        <w:pageBreakBefore w:val="0"/>
        <w:kinsoku/>
        <w:wordWrap/>
        <w:overflowPunct/>
        <w:topLinePunct w:val="0"/>
        <w:bidi w:val="0"/>
        <w:adjustRightInd w:val="0"/>
        <w:snapToGrid w:val="0"/>
        <w:spacing w:line="353" w:lineRule="auto"/>
        <w:jc w:val="left"/>
        <w:rPr>
          <w:rFonts w:hint="eastAsia" w:ascii="仿宋" w:hAnsi="仿宋" w:eastAsia="仿宋_GB2312" w:cstheme="minorBidi"/>
          <w:sz w:val="24"/>
          <w:lang w:val="en-US" w:eastAsia="zh-CN"/>
        </w:rPr>
      </w:pPr>
      <w:r>
        <w:rPr>
          <w:rFonts w:hint="eastAsia"/>
          <w:sz w:val="24"/>
        </w:rPr>
        <w:t>四、财政拨款收入支出决算总体情况说明</w:t>
      </w:r>
      <w:r>
        <w:rPr>
          <w:rFonts w:ascii="仿宋_GB2312" w:hAnsi="Times New Roman" w:eastAsia="仿宋_GB2312"/>
          <w:sz w:val="32"/>
          <w:szCs w:val="32"/>
        </w:rPr>
        <w:t>…………………</w:t>
      </w:r>
      <w:r>
        <w:rPr>
          <w:rFonts w:hint="eastAsia" w:ascii="仿宋_GB2312" w:eastAsia="仿宋_GB2312"/>
          <w:sz w:val="32"/>
          <w:szCs w:val="32"/>
          <w:lang w:val="en-US" w:eastAsia="zh-CN"/>
        </w:rPr>
        <w:t xml:space="preserve"> </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eastAsia="仿宋_GB2312"/>
          <w:sz w:val="32"/>
          <w:szCs w:val="32"/>
          <w:lang w:val="en-US" w:eastAsia="zh-CN"/>
        </w:rPr>
        <w:t>15</w:t>
      </w:r>
    </w:p>
    <w:p w14:paraId="313F1BA7">
      <w:pPr>
        <w:pStyle w:val="8"/>
        <w:pageBreakBefore w:val="0"/>
        <w:kinsoku/>
        <w:wordWrap/>
        <w:overflowPunct/>
        <w:topLinePunct w:val="0"/>
        <w:bidi w:val="0"/>
        <w:adjustRightInd w:val="0"/>
        <w:snapToGrid w:val="0"/>
        <w:spacing w:line="353" w:lineRule="auto"/>
        <w:jc w:val="left"/>
        <w:rPr>
          <w:rFonts w:hint="eastAsia" w:ascii="仿宋" w:hAnsi="仿宋" w:eastAsia="仿宋_GB2312" w:cstheme="minorBidi"/>
          <w:sz w:val="24"/>
          <w:lang w:val="en-US" w:eastAsia="zh-CN"/>
        </w:rPr>
      </w:pPr>
      <w:r>
        <w:rPr>
          <w:rFonts w:hint="eastAsia"/>
          <w:sz w:val="24"/>
        </w:rPr>
        <w:t>五、一般公共预算财政拨款支出决算情况说明</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eastAsia="仿宋_GB2312"/>
          <w:sz w:val="32"/>
          <w:szCs w:val="32"/>
          <w:lang w:val="en-US" w:eastAsia="zh-CN"/>
        </w:rPr>
        <w:t>15</w:t>
      </w:r>
    </w:p>
    <w:p w14:paraId="2C221F54">
      <w:pPr>
        <w:pStyle w:val="8"/>
        <w:pageBreakBefore w:val="0"/>
        <w:kinsoku/>
        <w:wordWrap/>
        <w:overflowPunct/>
        <w:topLinePunct w:val="0"/>
        <w:bidi w:val="0"/>
        <w:adjustRightInd w:val="0"/>
        <w:snapToGrid w:val="0"/>
        <w:spacing w:line="353" w:lineRule="auto"/>
        <w:jc w:val="left"/>
        <w:rPr>
          <w:rFonts w:hint="eastAsia" w:ascii="仿宋" w:hAnsi="仿宋" w:eastAsia="仿宋_GB2312" w:cstheme="minorBidi"/>
          <w:sz w:val="24"/>
          <w:lang w:val="en-US" w:eastAsia="zh-CN"/>
        </w:rPr>
      </w:pPr>
      <w:r>
        <w:rPr>
          <w:rFonts w:hint="eastAsia"/>
          <w:sz w:val="24"/>
        </w:rPr>
        <w:t>六、一般公共预算财政拨款基本支出决算情况说明</w:t>
      </w:r>
      <w:r>
        <w:rPr>
          <w:rFonts w:ascii="仿宋_GB2312" w:hAnsi="Times New Roman" w:eastAsia="仿宋_GB2312"/>
          <w:sz w:val="32"/>
          <w:szCs w:val="32"/>
        </w:rPr>
        <w:t>………………</w:t>
      </w:r>
      <w:r>
        <w:rPr>
          <w:rFonts w:hint="eastAsia" w:ascii="仿宋_GB2312" w:eastAsia="仿宋_GB2312"/>
          <w:sz w:val="32"/>
          <w:szCs w:val="32"/>
          <w:lang w:val="en-US" w:eastAsia="zh-CN"/>
        </w:rPr>
        <w:t xml:space="preserve"> </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eastAsia="仿宋_GB2312"/>
          <w:sz w:val="32"/>
          <w:szCs w:val="32"/>
          <w:lang w:val="en-US" w:eastAsia="zh-CN"/>
        </w:rPr>
        <w:t>19</w:t>
      </w:r>
    </w:p>
    <w:p w14:paraId="526C688B">
      <w:pPr>
        <w:pStyle w:val="8"/>
        <w:pageBreakBefore w:val="0"/>
        <w:kinsoku/>
        <w:wordWrap/>
        <w:overflowPunct/>
        <w:topLinePunct w:val="0"/>
        <w:bidi w:val="0"/>
        <w:adjustRightInd w:val="0"/>
        <w:snapToGrid w:val="0"/>
        <w:spacing w:line="353" w:lineRule="auto"/>
        <w:jc w:val="left"/>
        <w:rPr>
          <w:rFonts w:hint="eastAsia" w:ascii="仿宋" w:hAnsi="仿宋" w:eastAsia="仿宋_GB2312" w:cstheme="minorBidi"/>
          <w:sz w:val="24"/>
          <w:lang w:val="en-US" w:eastAsia="zh-CN"/>
        </w:rPr>
      </w:pPr>
      <w:r>
        <w:rPr>
          <w:rFonts w:hint="eastAsia"/>
          <w:sz w:val="24"/>
        </w:rPr>
        <w:t>七、</w:t>
      </w:r>
      <w:r>
        <w:rPr>
          <w:sz w:val="24"/>
        </w:rPr>
        <w:t>“</w:t>
      </w:r>
      <w:r>
        <w:rPr>
          <w:rFonts w:hint="eastAsia"/>
          <w:sz w:val="24"/>
        </w:rPr>
        <w:t>三公”经费财政拨款支出决算情况说明</w:t>
      </w:r>
      <w:r>
        <w:rPr>
          <w:rFonts w:ascii="仿宋_GB2312" w:hAnsi="Times New Roman" w:eastAsia="仿宋_GB2312"/>
          <w:sz w:val="32"/>
          <w:szCs w:val="32"/>
        </w:rPr>
        <w:t>…………………</w:t>
      </w:r>
      <w:r>
        <w:rPr>
          <w:rFonts w:hint="eastAsia" w:ascii="仿宋_GB2312" w:eastAsia="仿宋_GB2312"/>
          <w:sz w:val="32"/>
          <w:szCs w:val="32"/>
          <w:lang w:val="en-US" w:eastAsia="zh-CN"/>
        </w:rPr>
        <w:t xml:space="preserve"> </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eastAsia="仿宋_GB2312"/>
          <w:sz w:val="32"/>
          <w:szCs w:val="32"/>
          <w:lang w:val="en-US" w:eastAsia="zh-CN"/>
        </w:rPr>
        <w:t>19</w:t>
      </w:r>
    </w:p>
    <w:p w14:paraId="15D29E1B">
      <w:pPr>
        <w:pStyle w:val="8"/>
        <w:pageBreakBefore w:val="0"/>
        <w:kinsoku/>
        <w:wordWrap/>
        <w:overflowPunct/>
        <w:topLinePunct w:val="0"/>
        <w:bidi w:val="0"/>
        <w:adjustRightInd w:val="0"/>
        <w:snapToGrid w:val="0"/>
        <w:spacing w:line="353" w:lineRule="auto"/>
        <w:jc w:val="left"/>
        <w:rPr>
          <w:rFonts w:hint="eastAsia" w:ascii="仿宋" w:hAnsi="仿宋" w:eastAsia="仿宋_GB2312" w:cstheme="minorBidi"/>
          <w:sz w:val="24"/>
          <w:lang w:val="en-US" w:eastAsia="zh-CN"/>
        </w:rPr>
      </w:pPr>
      <w:r>
        <w:rPr>
          <w:rFonts w:hint="eastAsia"/>
          <w:sz w:val="24"/>
        </w:rPr>
        <w:t>八、政府性基金预算支出决算情况说明</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eastAsia="仿宋_GB2312"/>
          <w:sz w:val="32"/>
          <w:szCs w:val="32"/>
          <w:lang w:val="en-US" w:eastAsia="zh-CN"/>
        </w:rPr>
        <w:t>21</w:t>
      </w:r>
    </w:p>
    <w:p w14:paraId="2CB655A6">
      <w:pPr>
        <w:pStyle w:val="8"/>
        <w:pageBreakBefore w:val="0"/>
        <w:kinsoku/>
        <w:wordWrap/>
        <w:overflowPunct/>
        <w:topLinePunct w:val="0"/>
        <w:bidi w:val="0"/>
        <w:adjustRightInd w:val="0"/>
        <w:snapToGrid w:val="0"/>
        <w:spacing w:line="353" w:lineRule="auto"/>
        <w:jc w:val="left"/>
        <w:rPr>
          <w:rFonts w:hint="eastAsia" w:eastAsia="仿宋_GB2312"/>
          <w:sz w:val="24"/>
          <w:lang w:val="en-US" w:eastAsia="zh-CN"/>
        </w:rPr>
      </w:pPr>
      <w:r>
        <w:rPr>
          <w:rFonts w:hint="eastAsia"/>
          <w:sz w:val="24"/>
        </w:rPr>
        <w:t>九、国有资本经营预算支出决算情况说明</w:t>
      </w:r>
      <w:r>
        <w:rPr>
          <w:rFonts w:ascii="仿宋_GB2312" w:hAnsi="Times New Roman" w:eastAsia="仿宋_GB2312"/>
          <w:sz w:val="32"/>
          <w:szCs w:val="32"/>
        </w:rPr>
        <w:t>………………………</w:t>
      </w:r>
      <w:r>
        <w:rPr>
          <w:rFonts w:hint="eastAsia" w:ascii="仿宋_GB2312" w:eastAsia="仿宋_GB2312"/>
          <w:sz w:val="32"/>
          <w:szCs w:val="32"/>
          <w:lang w:val="en-US" w:eastAsia="zh-CN"/>
        </w:rPr>
        <w:t xml:space="preserve"> </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eastAsia="仿宋_GB2312"/>
          <w:sz w:val="32"/>
          <w:szCs w:val="32"/>
          <w:lang w:val="en-US" w:eastAsia="zh-CN"/>
        </w:rPr>
        <w:t>21</w:t>
      </w:r>
    </w:p>
    <w:p w14:paraId="3BFE8E17">
      <w:pPr>
        <w:pStyle w:val="8"/>
        <w:pageBreakBefore w:val="0"/>
        <w:kinsoku/>
        <w:wordWrap/>
        <w:overflowPunct/>
        <w:topLinePunct w:val="0"/>
        <w:bidi w:val="0"/>
        <w:adjustRightInd w:val="0"/>
        <w:snapToGrid w:val="0"/>
        <w:spacing w:line="353" w:lineRule="auto"/>
        <w:jc w:val="left"/>
        <w:rPr>
          <w:rFonts w:hint="eastAsia" w:ascii="仿宋" w:hAnsi="仿宋" w:eastAsia="仿宋_GB2312" w:cstheme="minorBidi"/>
          <w:sz w:val="24"/>
          <w:lang w:val="en-US" w:eastAsia="zh-CN"/>
        </w:rPr>
      </w:pPr>
      <w:r>
        <w:rPr>
          <w:rFonts w:hint="eastAsia"/>
          <w:sz w:val="24"/>
        </w:rPr>
        <w:t>十</w:t>
      </w:r>
      <w:r>
        <w:rPr>
          <w:rStyle w:val="12"/>
          <w:rFonts w:hint="eastAsia" w:ascii="仿宋" w:hAnsi="仿宋" w:eastAsia="仿宋"/>
          <w:color w:val="000000" w:themeColor="text1"/>
          <w:sz w:val="24"/>
          <w:u w:val="none"/>
          <w14:textFill>
            <w14:solidFill>
              <w14:schemeClr w14:val="tx1"/>
            </w14:solidFill>
          </w14:textFill>
        </w:rPr>
        <w:t>、</w:t>
      </w:r>
      <w:r>
        <w:rPr>
          <w:rFonts w:hint="eastAsia"/>
          <w:sz w:val="24"/>
        </w:rPr>
        <w:t>其他重要事项的情况说明</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eastAsia="仿宋_GB2312"/>
          <w:sz w:val="32"/>
          <w:szCs w:val="32"/>
          <w:lang w:val="en-US" w:eastAsia="zh-CN"/>
        </w:rPr>
        <w:t>21</w:t>
      </w:r>
    </w:p>
    <w:p w14:paraId="784DBA0F">
      <w:pPr>
        <w:pStyle w:val="7"/>
        <w:pageBreakBefore w:val="0"/>
        <w:kinsoku/>
        <w:wordWrap/>
        <w:overflowPunct/>
        <w:topLinePunct w:val="0"/>
        <w:bidi w:val="0"/>
        <w:adjustRightInd w:val="0"/>
        <w:snapToGrid w:val="0"/>
        <w:spacing w:before="0" w:line="353" w:lineRule="auto"/>
        <w:jc w:val="left"/>
        <w:rPr>
          <w:rFonts w:hint="eastAsia" w:eastAsia="仿宋_GB2312"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ascii="仿宋_GB2312" w:hAnsi="Times New Roman" w:eastAsia="仿宋_GB2312"/>
          <w:sz w:val="32"/>
          <w:szCs w:val="32"/>
        </w:rPr>
        <w:t>…………………………………………………</w:t>
      </w: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33</w:t>
      </w:r>
    </w:p>
    <w:p w14:paraId="24E0C293">
      <w:pPr>
        <w:pStyle w:val="7"/>
        <w:pageBreakBefore w:val="0"/>
        <w:kinsoku/>
        <w:wordWrap/>
        <w:overflowPunct/>
        <w:topLinePunct w:val="0"/>
        <w:bidi w:val="0"/>
        <w:adjustRightInd w:val="0"/>
        <w:snapToGrid w:val="0"/>
        <w:spacing w:before="0" w:line="353" w:lineRule="auto"/>
        <w:jc w:val="left"/>
        <w:rPr>
          <w:rFonts w:hint="eastAsia" w:eastAsia="仿宋_GB2312" w:cstheme="minorBidi"/>
          <w:sz w:val="24"/>
          <w:szCs w:val="24"/>
          <w:lang w:val="en-US" w:eastAsia="zh-CN"/>
        </w:rPr>
      </w:pPr>
      <w:r>
        <w:rPr>
          <w:rFonts w:hint="eastAsia"/>
          <w:sz w:val="24"/>
        </w:rPr>
        <w:t>第四部分</w:t>
      </w:r>
      <w:r>
        <w:rPr>
          <w:sz w:val="24"/>
        </w:rPr>
        <w:t xml:space="preserve"> </w:t>
      </w:r>
      <w:r>
        <w:rPr>
          <w:rFonts w:hint="eastAsia"/>
          <w:sz w:val="24"/>
        </w:rPr>
        <w:t>附件</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37</w:t>
      </w:r>
    </w:p>
    <w:p w14:paraId="799DF589">
      <w:pPr>
        <w:pStyle w:val="8"/>
        <w:pageBreakBefore w:val="0"/>
        <w:kinsoku/>
        <w:wordWrap/>
        <w:overflowPunct/>
        <w:topLinePunct w:val="0"/>
        <w:bidi w:val="0"/>
        <w:adjustRightInd w:val="0"/>
        <w:snapToGrid w:val="0"/>
        <w:spacing w:line="353" w:lineRule="auto"/>
        <w:jc w:val="left"/>
        <w:rPr>
          <w:rFonts w:hint="eastAsia" w:ascii="仿宋" w:hAnsi="仿宋" w:eastAsia="仿宋_GB2312" w:cstheme="minorBidi"/>
          <w:sz w:val="24"/>
          <w:lang w:val="en-US" w:eastAsia="zh-CN"/>
        </w:rPr>
      </w:pPr>
      <w:r>
        <w:rPr>
          <w:rFonts w:hint="eastAsia"/>
          <w:sz w:val="24"/>
        </w:rPr>
        <w:t>附件</w:t>
      </w:r>
      <w:r>
        <w:rPr>
          <w:sz w:val="24"/>
        </w:rPr>
        <w:t>1</w:t>
      </w:r>
      <w:r>
        <w:rPr>
          <w:rFonts w:ascii="仿宋_GB2312" w:hAnsi="Times New Roman" w:eastAsia="仿宋_GB2312"/>
          <w:sz w:val="32"/>
          <w:szCs w:val="32"/>
        </w:rPr>
        <w:t>………………………………………………………</w:t>
      </w:r>
      <w:r>
        <w:rPr>
          <w:rFonts w:hint="eastAsia" w:ascii="仿宋_GB2312" w:eastAsia="仿宋_GB2312"/>
          <w:sz w:val="32"/>
          <w:szCs w:val="32"/>
          <w:lang w:val="en-US" w:eastAsia="zh-CN"/>
        </w:rPr>
        <w:t xml:space="preserve"> </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eastAsia="仿宋_GB2312"/>
          <w:sz w:val="32"/>
          <w:szCs w:val="32"/>
          <w:lang w:val="en-US" w:eastAsia="zh-CN"/>
        </w:rPr>
        <w:t>37</w:t>
      </w:r>
    </w:p>
    <w:p w14:paraId="767B604F">
      <w:pPr>
        <w:pStyle w:val="8"/>
        <w:pageBreakBefore w:val="0"/>
        <w:kinsoku/>
        <w:wordWrap/>
        <w:overflowPunct/>
        <w:topLinePunct w:val="0"/>
        <w:bidi w:val="0"/>
        <w:adjustRightInd w:val="0"/>
        <w:snapToGrid w:val="0"/>
        <w:spacing w:line="353" w:lineRule="auto"/>
        <w:jc w:val="left"/>
        <w:rPr>
          <w:rFonts w:hint="eastAsia" w:ascii="仿宋" w:hAnsi="仿宋" w:eastAsia="仿宋_GB2312" w:cstheme="minorBidi"/>
          <w:sz w:val="24"/>
          <w:lang w:val="en-US" w:eastAsia="zh-CN"/>
        </w:rPr>
      </w:pPr>
      <w:r>
        <w:rPr>
          <w:rFonts w:hint="eastAsia"/>
          <w:sz w:val="24"/>
        </w:rPr>
        <w:t>附件</w:t>
      </w:r>
      <w:r>
        <w:rPr>
          <w:sz w:val="24"/>
        </w:rPr>
        <w:t>2</w:t>
      </w:r>
      <w:r>
        <w:rPr>
          <w:rFonts w:ascii="仿宋_GB2312" w:hAnsi="Times New Roman" w:eastAsia="仿宋_GB2312"/>
          <w:sz w:val="32"/>
          <w:szCs w:val="32"/>
        </w:rPr>
        <w:t>……………………………………………………</w:t>
      </w:r>
      <w:r>
        <w:rPr>
          <w:rFonts w:hint="eastAsia" w:ascii="仿宋_GB2312" w:eastAsia="仿宋_GB2312"/>
          <w:sz w:val="32"/>
          <w:szCs w:val="32"/>
          <w:lang w:val="en-US" w:eastAsia="zh-CN"/>
        </w:rPr>
        <w:t xml:space="preserve"> </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eastAsia="仿宋_GB2312"/>
          <w:sz w:val="32"/>
          <w:szCs w:val="32"/>
          <w:lang w:val="en-US" w:eastAsia="zh-CN"/>
        </w:rPr>
        <w:t>41</w:t>
      </w:r>
    </w:p>
    <w:p w14:paraId="6ADC4711">
      <w:pPr>
        <w:pStyle w:val="7"/>
        <w:pageBreakBefore w:val="0"/>
        <w:kinsoku/>
        <w:wordWrap/>
        <w:overflowPunct/>
        <w:topLinePunct w:val="0"/>
        <w:bidi w:val="0"/>
        <w:adjustRightInd w:val="0"/>
        <w:snapToGrid w:val="0"/>
        <w:spacing w:before="0" w:line="353" w:lineRule="auto"/>
        <w:jc w:val="left"/>
        <w:rPr>
          <w:rFonts w:hint="eastAsia" w:eastAsia="仿宋_GB2312" w:cstheme="minorBidi"/>
          <w:sz w:val="24"/>
          <w:szCs w:val="24"/>
          <w:lang w:val="en-US" w:eastAsia="zh-CN"/>
        </w:rPr>
      </w:pPr>
      <w:r>
        <w:rPr>
          <w:rFonts w:hint="eastAsia"/>
          <w:sz w:val="24"/>
        </w:rPr>
        <w:t>第五部分</w:t>
      </w:r>
      <w:r>
        <w:rPr>
          <w:sz w:val="24"/>
        </w:rPr>
        <w:t xml:space="preserve"> </w:t>
      </w:r>
      <w:r>
        <w:rPr>
          <w:rFonts w:hint="eastAsia"/>
          <w:sz w:val="24"/>
        </w:rPr>
        <w:t>附表</w:t>
      </w:r>
      <w:r>
        <w:rPr>
          <w:rFonts w:ascii="仿宋_GB2312" w:hAnsi="Times New Roman" w:eastAsia="仿宋_GB2312"/>
          <w:sz w:val="32"/>
          <w:szCs w:val="32"/>
        </w:rPr>
        <w:t>………………………………………………………</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48</w:t>
      </w:r>
    </w:p>
    <w:p w14:paraId="7F4A9A12">
      <w:pPr>
        <w:pStyle w:val="8"/>
        <w:pageBreakBefore w:val="0"/>
        <w:kinsoku/>
        <w:wordWrap/>
        <w:overflowPunct/>
        <w:topLinePunct w:val="0"/>
        <w:bidi w:val="0"/>
        <w:adjustRightInd w:val="0"/>
        <w:snapToGrid w:val="0"/>
        <w:spacing w:line="353" w:lineRule="auto"/>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72FC2DEB">
      <w:pPr>
        <w:pStyle w:val="8"/>
        <w:pageBreakBefore w:val="0"/>
        <w:kinsoku/>
        <w:wordWrap/>
        <w:overflowPunct/>
        <w:topLinePunct w:val="0"/>
        <w:bidi w:val="0"/>
        <w:adjustRightInd w:val="0"/>
        <w:snapToGrid w:val="0"/>
        <w:spacing w:line="353" w:lineRule="auto"/>
        <w:jc w:val="left"/>
        <w:rPr>
          <w:rFonts w:ascii="仿宋" w:hAnsi="仿宋" w:eastAsia="仿宋" w:cstheme="minorBidi"/>
          <w:sz w:val="24"/>
        </w:rPr>
      </w:pPr>
      <w:r>
        <w:rPr>
          <w:rFonts w:hint="eastAsia" w:ascii="仿宋" w:hAnsi="仿宋" w:eastAsia="仿宋"/>
          <w:sz w:val="24"/>
        </w:rPr>
        <w:t>二、</w:t>
      </w:r>
      <w:r>
        <w:rPr>
          <w:rFonts w:hint="eastAsia"/>
          <w:sz w:val="24"/>
        </w:rPr>
        <w:t>收入决算表</w:t>
      </w:r>
    </w:p>
    <w:p w14:paraId="2940E748">
      <w:pPr>
        <w:pStyle w:val="8"/>
        <w:pageBreakBefore w:val="0"/>
        <w:kinsoku/>
        <w:wordWrap/>
        <w:overflowPunct/>
        <w:topLinePunct w:val="0"/>
        <w:bidi w:val="0"/>
        <w:adjustRightInd w:val="0"/>
        <w:snapToGrid w:val="0"/>
        <w:spacing w:line="353" w:lineRule="auto"/>
        <w:jc w:val="left"/>
        <w:rPr>
          <w:rFonts w:ascii="仿宋" w:hAnsi="仿宋" w:eastAsia="仿宋" w:cstheme="minorBidi"/>
          <w:sz w:val="24"/>
        </w:rPr>
      </w:pPr>
      <w:r>
        <w:rPr>
          <w:rFonts w:hint="eastAsia" w:ascii="仿宋" w:hAnsi="仿宋" w:eastAsia="仿宋"/>
          <w:sz w:val="24"/>
        </w:rPr>
        <w:t>三、</w:t>
      </w:r>
      <w:r>
        <w:rPr>
          <w:rFonts w:hint="eastAsia"/>
          <w:sz w:val="24"/>
        </w:rPr>
        <w:t>支出决算表</w:t>
      </w:r>
    </w:p>
    <w:p w14:paraId="4BA6EEA1">
      <w:pPr>
        <w:pStyle w:val="8"/>
        <w:pageBreakBefore w:val="0"/>
        <w:kinsoku/>
        <w:wordWrap/>
        <w:overflowPunct/>
        <w:topLinePunct w:val="0"/>
        <w:bidi w:val="0"/>
        <w:adjustRightInd w:val="0"/>
        <w:snapToGrid w:val="0"/>
        <w:spacing w:line="353" w:lineRule="auto"/>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332F19F8">
      <w:pPr>
        <w:pStyle w:val="8"/>
        <w:pageBreakBefore w:val="0"/>
        <w:kinsoku/>
        <w:wordWrap/>
        <w:overflowPunct/>
        <w:topLinePunct w:val="0"/>
        <w:bidi w:val="0"/>
        <w:adjustRightInd w:val="0"/>
        <w:snapToGrid w:val="0"/>
        <w:spacing w:line="353" w:lineRule="auto"/>
        <w:jc w:val="left"/>
        <w:rPr>
          <w:rFonts w:hint="eastAsia"/>
          <w:sz w:val="24"/>
        </w:rPr>
      </w:pPr>
      <w:r>
        <w:rPr>
          <w:rFonts w:hint="eastAsia"/>
          <w:sz w:val="24"/>
        </w:rPr>
        <w:t>五、财政拨款支出决算明细表</w:t>
      </w:r>
    </w:p>
    <w:p w14:paraId="41DA0595">
      <w:pPr>
        <w:pStyle w:val="8"/>
        <w:pageBreakBefore w:val="0"/>
        <w:kinsoku/>
        <w:wordWrap/>
        <w:overflowPunct/>
        <w:topLinePunct w:val="0"/>
        <w:bidi w:val="0"/>
        <w:adjustRightInd w:val="0"/>
        <w:snapToGrid w:val="0"/>
        <w:spacing w:line="353" w:lineRule="auto"/>
        <w:jc w:val="left"/>
        <w:rPr>
          <w:rFonts w:ascii="仿宋" w:hAnsi="仿宋" w:eastAsia="仿宋" w:cstheme="minorBidi"/>
          <w:sz w:val="24"/>
        </w:rPr>
      </w:pPr>
      <w:r>
        <w:rPr>
          <w:rFonts w:hint="eastAsia"/>
          <w:sz w:val="24"/>
        </w:rPr>
        <w:t>六、一般公共预算财政拨款支出决算表</w:t>
      </w:r>
    </w:p>
    <w:p w14:paraId="6FD4E3B6">
      <w:pPr>
        <w:pStyle w:val="8"/>
        <w:pageBreakBefore w:val="0"/>
        <w:kinsoku/>
        <w:wordWrap/>
        <w:overflowPunct/>
        <w:topLinePunct w:val="0"/>
        <w:bidi w:val="0"/>
        <w:adjustRightInd w:val="0"/>
        <w:snapToGrid w:val="0"/>
        <w:spacing w:line="353" w:lineRule="auto"/>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1677F368">
      <w:pPr>
        <w:pStyle w:val="8"/>
        <w:pageBreakBefore w:val="0"/>
        <w:kinsoku/>
        <w:wordWrap/>
        <w:overflowPunct/>
        <w:topLinePunct w:val="0"/>
        <w:bidi w:val="0"/>
        <w:adjustRightInd w:val="0"/>
        <w:snapToGrid w:val="0"/>
        <w:spacing w:line="353" w:lineRule="auto"/>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4702C54B">
      <w:pPr>
        <w:pStyle w:val="8"/>
        <w:pageBreakBefore w:val="0"/>
        <w:kinsoku/>
        <w:wordWrap/>
        <w:overflowPunct/>
        <w:topLinePunct w:val="0"/>
        <w:bidi w:val="0"/>
        <w:adjustRightInd w:val="0"/>
        <w:snapToGrid w:val="0"/>
        <w:spacing w:line="353" w:lineRule="auto"/>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5B77763C">
      <w:pPr>
        <w:pStyle w:val="8"/>
        <w:pageBreakBefore w:val="0"/>
        <w:kinsoku/>
        <w:wordWrap/>
        <w:overflowPunct/>
        <w:topLinePunct w:val="0"/>
        <w:bidi w:val="0"/>
        <w:adjustRightInd w:val="0"/>
        <w:snapToGrid w:val="0"/>
        <w:spacing w:line="353" w:lineRule="auto"/>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7643E7B7">
      <w:pPr>
        <w:pStyle w:val="8"/>
        <w:pageBreakBefore w:val="0"/>
        <w:kinsoku/>
        <w:wordWrap/>
        <w:overflowPunct/>
        <w:topLinePunct w:val="0"/>
        <w:bidi w:val="0"/>
        <w:adjustRightInd w:val="0"/>
        <w:snapToGrid w:val="0"/>
        <w:spacing w:line="353" w:lineRule="auto"/>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764D3CF8">
      <w:pPr>
        <w:pStyle w:val="8"/>
        <w:pageBreakBefore w:val="0"/>
        <w:kinsoku/>
        <w:wordWrap/>
        <w:overflowPunct/>
        <w:topLinePunct w:val="0"/>
        <w:bidi w:val="0"/>
        <w:adjustRightInd w:val="0"/>
        <w:snapToGrid w:val="0"/>
        <w:spacing w:line="353" w:lineRule="auto"/>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35212265">
      <w:pPr>
        <w:pStyle w:val="8"/>
        <w:pageBreakBefore w:val="0"/>
        <w:kinsoku/>
        <w:wordWrap/>
        <w:overflowPunct/>
        <w:topLinePunct w:val="0"/>
        <w:bidi w:val="0"/>
        <w:adjustRightInd w:val="0"/>
        <w:snapToGrid w:val="0"/>
        <w:spacing w:line="353" w:lineRule="auto"/>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630EAD0E">
      <w:pPr>
        <w:pageBreakBefore w:val="0"/>
        <w:widowControl/>
        <w:kinsoku/>
        <w:wordWrap/>
        <w:overflowPunct/>
        <w:topLinePunct w:val="0"/>
        <w:bidi w:val="0"/>
        <w:spacing w:line="353" w:lineRule="auto"/>
        <w:jc w:val="left"/>
        <w:rPr>
          <w:rFonts w:ascii="仿宋" w:hAnsi="仿宋" w:eastAsia="仿宋"/>
          <w:bCs/>
          <w:kern w:val="44"/>
          <w:sz w:val="24"/>
        </w:rPr>
      </w:pPr>
      <w:bookmarkStart w:id="11" w:name="_Toc15396599"/>
      <w:bookmarkStart w:id="12" w:name="_Toc15377196"/>
      <w:r>
        <w:rPr>
          <w:rFonts w:ascii="仿宋" w:hAnsi="仿宋" w:eastAsia="仿宋"/>
          <w:b/>
          <w:sz w:val="24"/>
        </w:rPr>
        <w:br w:type="page"/>
      </w:r>
    </w:p>
    <w:p w14:paraId="38FE02B2">
      <w:pPr>
        <w:pStyle w:val="2"/>
        <w:keepNext/>
        <w:keepLines/>
        <w:pageBreakBefore w:val="0"/>
        <w:widowControl w:val="0"/>
        <w:kinsoku/>
        <w:wordWrap/>
        <w:overflowPunct/>
        <w:topLinePunct w:val="0"/>
        <w:autoSpaceDE/>
        <w:autoSpaceDN/>
        <w:bidi w:val="0"/>
        <w:adjustRightInd/>
        <w:snapToGrid/>
        <w:spacing w:line="353" w:lineRule="auto"/>
        <w:jc w:val="center"/>
        <w:textAlignment w:val="auto"/>
        <w:outlineLvl w:val="0"/>
        <w:rPr>
          <w:rStyle w:val="13"/>
          <w:rFonts w:ascii="黑体" w:hAnsi="黑体" w:eastAsia="黑体"/>
          <w:b/>
          <w:bCs w:val="0"/>
        </w:rPr>
      </w:pPr>
      <w:r>
        <w:rPr>
          <w:rFonts w:hint="eastAsia" w:ascii="黑体" w:hAnsi="黑体" w:eastAsia="黑体"/>
          <w:b w:val="0"/>
        </w:rPr>
        <w:t xml:space="preserve">第一部分 </w:t>
      </w:r>
      <w:r>
        <w:rPr>
          <w:rStyle w:val="13"/>
          <w:rFonts w:hint="eastAsia" w:ascii="黑体" w:hAnsi="黑体" w:eastAsia="黑体"/>
          <w:b w:val="0"/>
          <w:bCs w:val="0"/>
        </w:rPr>
        <w:t>部门概况</w:t>
      </w:r>
      <w:bookmarkEnd w:id="11"/>
      <w:bookmarkEnd w:id="12"/>
    </w:p>
    <w:p w14:paraId="5D76D78D">
      <w:pPr>
        <w:pageBreakBefore w:val="0"/>
        <w:widowControl/>
        <w:kinsoku/>
        <w:wordWrap/>
        <w:overflowPunct/>
        <w:topLinePunct w:val="0"/>
        <w:bidi w:val="0"/>
        <w:spacing w:line="353" w:lineRule="auto"/>
        <w:jc w:val="left"/>
        <w:rPr>
          <w:rFonts w:ascii="黑体" w:eastAsia="黑体"/>
          <w:color w:val="000000"/>
          <w:sz w:val="32"/>
          <w:szCs w:val="32"/>
        </w:rPr>
      </w:pPr>
    </w:p>
    <w:p w14:paraId="719672A3">
      <w:pPr>
        <w:pStyle w:val="3"/>
        <w:pageBreakBefore w:val="0"/>
        <w:kinsoku/>
        <w:wordWrap/>
        <w:overflowPunct/>
        <w:topLinePunct w:val="0"/>
        <w:bidi w:val="0"/>
        <w:spacing w:line="353" w:lineRule="auto"/>
        <w:rPr>
          <w:rStyle w:val="14"/>
          <w:rFonts w:ascii="仿宋" w:hAnsi="仿宋" w:eastAsia="仿宋"/>
          <w:b w:val="0"/>
          <w:bCs w:val="0"/>
        </w:rPr>
      </w:pPr>
      <w:bookmarkStart w:id="13" w:name="_Toc15377197"/>
      <w:bookmarkStart w:id="14" w:name="_Toc15396600"/>
      <w:r>
        <w:rPr>
          <w:rFonts w:hint="eastAsia" w:ascii="黑体" w:hAnsi="黑体" w:eastAsia="黑体"/>
          <w:b w:val="0"/>
          <w:color w:val="000000"/>
        </w:rPr>
        <w:t>一、基</w:t>
      </w:r>
      <w:r>
        <w:rPr>
          <w:rStyle w:val="14"/>
          <w:rFonts w:hint="eastAsia" w:ascii="黑体" w:hAnsi="黑体" w:eastAsia="黑体"/>
          <w:b w:val="0"/>
          <w:bCs w:val="0"/>
        </w:rPr>
        <w:t>本职能及主要工作</w:t>
      </w:r>
      <w:bookmarkEnd w:id="13"/>
      <w:bookmarkEnd w:id="14"/>
    </w:p>
    <w:p w14:paraId="33626A9C">
      <w:pPr>
        <w:pStyle w:val="4"/>
        <w:pageBreakBefore w:val="0"/>
        <w:kinsoku/>
        <w:wordWrap/>
        <w:overflowPunct/>
        <w:topLinePunct w:val="0"/>
        <w:bidi w:val="0"/>
        <w:adjustRightInd w:val="0"/>
        <w:snapToGrid w:val="0"/>
        <w:spacing w:before="93" w:line="353" w:lineRule="auto"/>
        <w:ind w:firstLine="672" w:firstLineChars="210"/>
        <w:outlineLvl w:val="2"/>
        <w:rPr>
          <w:rFonts w:hint="eastAsia" w:ascii="仿宋" w:hAnsi="仿宋" w:eastAsia="仿宋"/>
          <w:bCs/>
          <w:color w:val="000000"/>
          <w:sz w:val="32"/>
          <w:szCs w:val="32"/>
        </w:rPr>
      </w:pPr>
      <w:bookmarkStart w:id="15" w:name="_Toc15378445"/>
      <w:bookmarkStart w:id="16" w:name="_Toc15377198"/>
      <w:r>
        <w:rPr>
          <w:rFonts w:hint="eastAsia" w:ascii="仿宋" w:hAnsi="仿宋" w:eastAsia="仿宋"/>
          <w:bCs/>
          <w:color w:val="000000"/>
          <w:sz w:val="32"/>
          <w:szCs w:val="32"/>
        </w:rPr>
        <w:t>（一）主要职能。</w:t>
      </w:r>
      <w:bookmarkEnd w:id="15"/>
      <w:bookmarkEnd w:id="16"/>
    </w:p>
    <w:p w14:paraId="73D77170">
      <w:pPr>
        <w:pageBreakBefore w:val="0"/>
        <w:kinsoku/>
        <w:wordWrap/>
        <w:overflowPunct/>
        <w:topLinePunct w:val="0"/>
        <w:bidi w:val="0"/>
        <w:snapToGrid w:val="0"/>
        <w:spacing w:line="353"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执行国家、省、市、区有关综合执法、城市管理的法律法规和政策，拟订全区综合执法和城市管理发展规划、实施计划、管理标准等规范性文件，会同相关部门拟订综合执法和城市管理工作目标并组织实施。</w:t>
      </w:r>
    </w:p>
    <w:p w14:paraId="18CA8D68">
      <w:pPr>
        <w:pageBreakBefore w:val="0"/>
        <w:kinsoku/>
        <w:wordWrap/>
        <w:overflowPunct/>
        <w:topLinePunct w:val="0"/>
        <w:bidi w:val="0"/>
        <w:snapToGrid w:val="0"/>
        <w:spacing w:line="353"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负责城市管理的行政执法工作。集中行使市容环境卫生管理、城市绿化管理、市政设施管理、公用事业管理方面的行政处罚权。根据省、市、区部署和要求，推进城市执法体制改革、改进城市管理工作。</w:t>
      </w:r>
    </w:p>
    <w:p w14:paraId="14D89D7E">
      <w:pPr>
        <w:pageBreakBefore w:val="0"/>
        <w:kinsoku/>
        <w:wordWrap/>
        <w:overflowPunct/>
        <w:topLinePunct w:val="0"/>
        <w:bidi w:val="0"/>
        <w:snapToGrid w:val="0"/>
        <w:spacing w:line="353"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负责城市市容环境卫生综合管理工作。依法对城市市容环境卫生实施监督检查和考核；负责环境卫生作业企业的行业管理。负责事权范围内城市建城区户外广告和招牌的监督管理。</w:t>
      </w:r>
    </w:p>
    <w:p w14:paraId="15EFF437">
      <w:pPr>
        <w:pageBreakBefore w:val="0"/>
        <w:kinsoku/>
        <w:wordWrap/>
        <w:overflowPunct/>
        <w:topLinePunct w:val="0"/>
        <w:bidi w:val="0"/>
        <w:snapToGrid w:val="0"/>
        <w:spacing w:line="353"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负责全区市政公用设施综合管理工作。拟订市政公用设施发展计划并组织实施。负责事权范围内城市主干道、城市主干道桥涵、隧道、城市照明、景观照明及其附属设施和城市雕塑的监督管理工作。参与临时占用城市道路的机动车、非机动车停车场（点）的规划定点工作。</w:t>
      </w:r>
    </w:p>
    <w:p w14:paraId="43E1A97F">
      <w:pPr>
        <w:pageBreakBefore w:val="0"/>
        <w:kinsoku/>
        <w:wordWrap/>
        <w:overflowPunct/>
        <w:topLinePunct w:val="0"/>
        <w:bidi w:val="0"/>
        <w:snapToGrid w:val="0"/>
        <w:spacing w:line="353"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负责全区城市绿化监督管理工作。负责对全区城市园林绿化行业的管理、业务指导、培训、督促和检查。负责全区城市园林绿化管理标准的制定。负责城市建成区管理权限内行道树及其附属公共绿地的管理。负责城市规划区古树名木的保护管理工作。</w:t>
      </w:r>
    </w:p>
    <w:p w14:paraId="0637109A">
      <w:pPr>
        <w:pageBreakBefore w:val="0"/>
        <w:kinsoku/>
        <w:wordWrap/>
        <w:overflowPunct/>
        <w:topLinePunct w:val="0"/>
        <w:bidi w:val="0"/>
        <w:snapToGrid w:val="0"/>
        <w:spacing w:line="353"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负责城市供水、城市排水、城市节约用水、污水处理和再生水利用的行业指导和监督管理工作。组织协调拟订城市供水、城市排水、污水处理和再生水利用规划。执行城市供排水行业的服务标准并监督实施。负责城市供水、城市排水管网的监督管理。参与城市建设中供排水管线的改（扩）建项目的规划及审批工作。</w:t>
      </w:r>
    </w:p>
    <w:p w14:paraId="68EF2E16">
      <w:pPr>
        <w:pageBreakBefore w:val="0"/>
        <w:kinsoku/>
        <w:wordWrap/>
        <w:overflowPunct/>
        <w:topLinePunct w:val="0"/>
        <w:bidi w:val="0"/>
        <w:snapToGrid w:val="0"/>
        <w:spacing w:line="353"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负责燃气行业综合管理工作；拟订燃气行业发展规划并组织实施；监督指导燃气经营单位落实行业规范、标准。</w:t>
      </w:r>
    </w:p>
    <w:p w14:paraId="4D7414C6">
      <w:pPr>
        <w:pageBreakBefore w:val="0"/>
        <w:kinsoku/>
        <w:wordWrap/>
        <w:overflowPunct/>
        <w:topLinePunct w:val="0"/>
        <w:bidi w:val="0"/>
        <w:snapToGrid w:val="0"/>
        <w:spacing w:line="353"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8、</w:t>
      </w:r>
      <w:r>
        <w:rPr>
          <w:rFonts w:hint="eastAsia" w:ascii="仿宋_GB2312" w:hAnsi="仿宋" w:eastAsia="仿宋_GB2312"/>
          <w:sz w:val="32"/>
          <w:szCs w:val="32"/>
        </w:rPr>
        <w:t>负责与市数字化城市管理监督机构对接，在规定时间内完成案件的派遣、批转、回复工作。</w:t>
      </w:r>
    </w:p>
    <w:p w14:paraId="105DD8D6">
      <w:pPr>
        <w:pageBreakBefore w:val="0"/>
        <w:kinsoku/>
        <w:wordWrap/>
        <w:overflowPunct/>
        <w:topLinePunct w:val="0"/>
        <w:bidi w:val="0"/>
        <w:snapToGrid w:val="0"/>
        <w:spacing w:line="353"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拟订综合执法和城市管理工作经费的中长期计划和年度计划，会同有关部门对使用情况实施监督管理。</w:t>
      </w:r>
    </w:p>
    <w:p w14:paraId="33C2C0AA">
      <w:pPr>
        <w:pageBreakBefore w:val="0"/>
        <w:kinsoku/>
        <w:wordWrap/>
        <w:overflowPunct/>
        <w:topLinePunct w:val="0"/>
        <w:bidi w:val="0"/>
        <w:snapToGrid w:val="0"/>
        <w:spacing w:line="353"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10、</w:t>
      </w:r>
      <w:r>
        <w:rPr>
          <w:rFonts w:hint="eastAsia" w:ascii="仿宋_GB2312" w:hAnsi="仿宋" w:eastAsia="仿宋_GB2312"/>
          <w:sz w:val="32"/>
          <w:szCs w:val="32"/>
        </w:rPr>
        <w:t>参与城市新建、改扩建项目中涉及市容环境卫生、园林绿化、市政公用设施建设项目的规划、方案审查、综合验收。</w:t>
      </w:r>
    </w:p>
    <w:p w14:paraId="4FD8097E">
      <w:pPr>
        <w:pageBreakBefore w:val="0"/>
        <w:kinsoku/>
        <w:wordWrap/>
        <w:overflowPunct/>
        <w:topLinePunct w:val="0"/>
        <w:bidi w:val="0"/>
        <w:snapToGrid w:val="0"/>
        <w:spacing w:line="353"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11、</w:t>
      </w:r>
      <w:r>
        <w:rPr>
          <w:rFonts w:hint="eastAsia" w:ascii="仿宋_GB2312" w:hAnsi="仿宋" w:eastAsia="仿宋_GB2312"/>
          <w:sz w:val="32"/>
          <w:szCs w:val="32"/>
        </w:rPr>
        <w:t>负责职责范围内的安全生产和职业健康、生态环境保护、审批服务便民化等工作。</w:t>
      </w:r>
    </w:p>
    <w:p w14:paraId="25A24D8F">
      <w:pPr>
        <w:pageBreakBefore w:val="0"/>
        <w:kinsoku/>
        <w:wordWrap/>
        <w:overflowPunct/>
        <w:topLinePunct w:val="0"/>
        <w:bidi w:val="0"/>
        <w:snapToGrid w:val="0"/>
        <w:spacing w:line="353"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12、</w:t>
      </w:r>
      <w:r>
        <w:rPr>
          <w:rFonts w:hint="eastAsia" w:ascii="仿宋_GB2312" w:hAnsi="仿宋" w:eastAsia="仿宋_GB2312"/>
          <w:sz w:val="32"/>
          <w:szCs w:val="32"/>
        </w:rPr>
        <w:t>完成区委、区政府交办的其他任务。</w:t>
      </w:r>
    </w:p>
    <w:p w14:paraId="3EBC8F43">
      <w:pPr>
        <w:pageBreakBefore w:val="0"/>
        <w:kinsoku/>
        <w:wordWrap/>
        <w:overflowPunct/>
        <w:topLinePunct w:val="0"/>
        <w:bidi w:val="0"/>
        <w:snapToGrid w:val="0"/>
        <w:spacing w:line="353" w:lineRule="auto"/>
        <w:ind w:firstLine="640" w:firstLineChars="200"/>
        <w:rPr>
          <w:rFonts w:hint="eastAsia" w:ascii="仿宋" w:hAnsi="仿宋" w:eastAsia="仿宋"/>
          <w:bCs/>
          <w:color w:val="000000"/>
          <w:sz w:val="32"/>
          <w:szCs w:val="32"/>
        </w:rPr>
      </w:pPr>
      <w:r>
        <w:rPr>
          <w:rFonts w:hint="eastAsia" w:ascii="仿宋_GB2312" w:hAnsi="仿宋" w:eastAsia="仿宋_GB2312"/>
          <w:sz w:val="32"/>
          <w:szCs w:val="32"/>
          <w:lang w:val="en-US" w:eastAsia="zh-CN"/>
        </w:rPr>
        <w:t>13、</w:t>
      </w:r>
      <w:r>
        <w:rPr>
          <w:rFonts w:hint="eastAsia" w:ascii="仿宋_GB2312" w:hAnsi="仿宋" w:eastAsia="仿宋_GB2312"/>
          <w:sz w:val="32"/>
          <w:szCs w:val="32"/>
        </w:rPr>
        <w:t>职能转变：根据 “放管服”改革和政府职能转变的要求，精简审批环节，优化项目报建审批流程，推动“最多跑一次”“互联网+政务服务”等改革事项取得重大突破。参与并联审批、联合勘验、联合测绘、联合审图、联合验收以及区域评估。推动审批服务理念、制度、作风全方位深层次变革，最大限度提高企业和群众办事便捷性。推进线上线下深度融合。运用大数据精准分析和评估审批服务办件情况，有针对性地改进办理流程，让办事更便捷、服务更优质。以审批智能化、服务自助化、办事移动化为重点，整合实体大厅、网上平台、移动客户端、自助终端、服务热线等，建立统一的政务咨询投诉举报平台，实现线上线下功能互补、融合发展。加快水、气等服务领域改革，引入社会竞争，强化行业监管和社会监督，解决办事手续繁、效率低问题，提高服务质量。压缩办水办气时间，推动尽快取消申请费、手续费等收费。</w:t>
      </w:r>
    </w:p>
    <w:p w14:paraId="51269C11">
      <w:pPr>
        <w:pStyle w:val="4"/>
        <w:pageBreakBefore w:val="0"/>
        <w:kinsoku/>
        <w:wordWrap/>
        <w:overflowPunct/>
        <w:topLinePunct w:val="0"/>
        <w:bidi w:val="0"/>
        <w:adjustRightInd w:val="0"/>
        <w:snapToGrid w:val="0"/>
        <w:spacing w:before="93" w:line="353" w:lineRule="auto"/>
        <w:ind w:firstLine="672" w:firstLineChars="210"/>
        <w:outlineLvl w:val="2"/>
        <w:rPr>
          <w:rFonts w:hint="eastAsia" w:ascii="仿宋" w:hAnsi="仿宋" w:eastAsia="仿宋"/>
          <w:bCs/>
          <w:color w:val="000000"/>
          <w:sz w:val="32"/>
          <w:szCs w:val="32"/>
        </w:rPr>
      </w:pPr>
      <w:bookmarkStart w:id="17" w:name="_Toc15378446"/>
      <w:bookmarkStart w:id="18"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7"/>
      <w:bookmarkEnd w:id="18"/>
    </w:p>
    <w:p w14:paraId="2A5E08D3">
      <w:pPr>
        <w:pStyle w:val="4"/>
        <w:pageBreakBefore w:val="0"/>
        <w:kinsoku/>
        <w:wordWrap/>
        <w:overflowPunct/>
        <w:topLinePunct w:val="0"/>
        <w:bidi w:val="0"/>
        <w:adjustRightInd w:val="0"/>
        <w:snapToGrid w:val="0"/>
        <w:spacing w:before="93" w:line="353" w:lineRule="auto"/>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lang w:eastAsia="zh-CN"/>
        </w:rPr>
        <w:t>亮点工作</w:t>
      </w:r>
    </w:p>
    <w:p w14:paraId="565E56A8">
      <w:pPr>
        <w:pageBreakBefore w:val="0"/>
        <w:kinsoku/>
        <w:wordWrap/>
        <w:overflowPunct/>
        <w:topLinePunct w:val="0"/>
        <w:autoSpaceDE/>
        <w:autoSpaceDN/>
        <w:bidi w:val="0"/>
        <w:adjustRightInd w:val="0"/>
        <w:snapToGrid w:val="0"/>
        <w:spacing w:line="353" w:lineRule="auto"/>
        <w:ind w:firstLine="624"/>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1</w:t>
      </w:r>
      <w:r>
        <w:rPr>
          <w:rFonts w:hint="eastAsia" w:ascii="楷体_GB2312" w:hAnsi="楷体_GB2312" w:eastAsia="楷体_GB2312" w:cs="楷体_GB2312"/>
          <w:color w:val="auto"/>
          <w:sz w:val="32"/>
          <w:szCs w:val="32"/>
          <w:highlight w:val="none"/>
          <w:lang w:eastAsia="zh-CN"/>
        </w:rPr>
        <w:t>）积极开展重点区域专项整治。</w:t>
      </w:r>
    </w:p>
    <w:p w14:paraId="0F1DDD36">
      <w:pPr>
        <w:pageBreakBefore w:val="0"/>
        <w:kinsoku/>
        <w:wordWrap/>
        <w:overflowPunct/>
        <w:topLinePunct w:val="0"/>
        <w:bidi w:val="0"/>
        <w:spacing w:line="353" w:lineRule="auto"/>
        <w:ind w:firstLine="640"/>
        <w:jc w:val="both"/>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为有效改善西区格萨拉大道凉风坳洞口至乌龟井路段和晨光巷</w:t>
      </w:r>
      <w:r>
        <w:rPr>
          <w:rFonts w:hint="default" w:ascii="Times New Roman" w:hAnsi="Times New Roman" w:eastAsia="仿宋_GB2312" w:cs="Times New Roman"/>
          <w:color w:val="000000"/>
          <w:sz w:val="32"/>
          <w:szCs w:val="32"/>
          <w:lang w:eastAsia="zh-CN"/>
        </w:rPr>
        <w:t>及周边存在城市排洪系统不畅、污染源尚未消除等问题，</w:t>
      </w:r>
      <w:r>
        <w:rPr>
          <w:rFonts w:hint="eastAsia" w:ascii="Times New Roman" w:hAnsi="Times New Roman" w:eastAsia="仿宋_GB2312" w:cs="Times New Roman"/>
          <w:color w:val="000000"/>
          <w:sz w:val="32"/>
          <w:szCs w:val="32"/>
          <w:lang w:val="en-US" w:eastAsia="zh-CN"/>
        </w:rPr>
        <w:t>推动重点区域市容环境整治，</w:t>
      </w:r>
      <w:r>
        <w:rPr>
          <w:rFonts w:hint="eastAsia" w:ascii="Times New Roman" w:hAnsi="Times New Roman" w:eastAsia="仿宋_GB2312" w:cs="Times New Roman"/>
          <w:color w:val="000000"/>
          <w:sz w:val="32"/>
          <w:szCs w:val="32"/>
          <w:lang w:eastAsia="zh-CN"/>
        </w:rPr>
        <w:t>根据区委区政府安排部署，由</w:t>
      </w:r>
      <w:r>
        <w:rPr>
          <w:rFonts w:hint="default" w:ascii="Times New Roman" w:hAnsi="Times New Roman" w:eastAsia="仿宋_GB2312" w:cs="Times New Roman"/>
          <w:color w:val="000000"/>
          <w:sz w:val="32"/>
          <w:szCs w:val="32"/>
          <w:lang w:eastAsia="zh-CN"/>
        </w:rPr>
        <w:t>区综合行政执法局牵头，重点对晨光巷进行环保综合整治，对周边道路进行黑化、修缮城市防洪设施，开展绿化、美化、靓化的整治，规范周边经营户的经营行为，同步对晨光巷口格萨拉大道破损路面开展维修</w:t>
      </w:r>
      <w:r>
        <w:rPr>
          <w:rFonts w:hint="eastAsia" w:ascii="Times New Roman" w:hAnsi="Times New Roman" w:eastAsia="仿宋_GB2312" w:cs="Times New Roman"/>
          <w:color w:val="000000"/>
          <w:sz w:val="32"/>
          <w:szCs w:val="32"/>
          <w:lang w:eastAsia="zh-CN"/>
        </w:rPr>
        <w:t>。此项工作共新建黑化道路540米，新增绿地1000平方米，清理排洪沟1000米，增加公益广告6处，为居民</w:t>
      </w:r>
      <w:r>
        <w:rPr>
          <w:rFonts w:hint="eastAsia" w:ascii="Times New Roman" w:hAnsi="Times New Roman" w:eastAsia="仿宋_GB2312" w:cs="Times New Roman"/>
          <w:color w:val="000000"/>
          <w:sz w:val="32"/>
          <w:szCs w:val="32"/>
          <w:lang w:val="en-US" w:eastAsia="zh-CN"/>
        </w:rPr>
        <w:t>营造了干净整洁、秩序井然的居住环境。</w:t>
      </w:r>
    </w:p>
    <w:p w14:paraId="336A1588">
      <w:pPr>
        <w:keepNext w:val="0"/>
        <w:keepLines w:val="0"/>
        <w:pageBreakBefore w:val="0"/>
        <w:widowControl w:val="0"/>
        <w:numPr>
          <w:ilvl w:val="0"/>
          <w:numId w:val="0"/>
        </w:numPr>
        <w:kinsoku/>
        <w:wordWrap/>
        <w:overflowPunct/>
        <w:topLinePunct w:val="0"/>
        <w:autoSpaceDE/>
        <w:autoSpaceDN/>
        <w:bidi w:val="0"/>
        <w:adjustRightInd/>
        <w:snapToGrid/>
        <w:spacing w:line="353" w:lineRule="auto"/>
        <w:ind w:left="0" w:firstLine="640" w:firstLineChars="200"/>
        <w:textAlignment w:val="auto"/>
        <w:rPr>
          <w:rFonts w:hint="eastAsia" w:ascii="楷体_GB2312" w:hAnsi="楷体_GB2312" w:eastAsia="楷体_GB2312" w:cs="楷体_GB2312"/>
          <w:color w:val="000000"/>
          <w:sz w:val="32"/>
          <w:szCs w:val="32"/>
          <w:shd w:val="clear" w:color="auto" w:fill="FFFFFF"/>
          <w:lang w:val="en-US" w:eastAsia="zh-CN"/>
        </w:rPr>
      </w:pPr>
      <w:r>
        <w:rPr>
          <w:rFonts w:hint="eastAsia" w:ascii="楷体_GB2312" w:hAnsi="楷体_GB2312" w:eastAsia="楷体_GB2312" w:cs="楷体_GB2312"/>
          <w:color w:val="000000"/>
          <w:sz w:val="32"/>
          <w:szCs w:val="32"/>
          <w:shd w:val="clear" w:color="auto" w:fill="FFFFFF"/>
          <w:lang w:val="en-US" w:eastAsia="zh-CN"/>
        </w:rPr>
        <w:t>（2）全力攻坚“国卫复审”。</w:t>
      </w:r>
    </w:p>
    <w:p w14:paraId="3D8F9AF8">
      <w:pPr>
        <w:pageBreakBefore w:val="0"/>
        <w:kinsoku/>
        <w:wordWrap/>
        <w:overflowPunct/>
        <w:topLinePunct w:val="0"/>
        <w:bidi w:val="0"/>
        <w:spacing w:line="353" w:lineRule="auto"/>
        <w:ind w:firstLine="640" w:firstLineChars="200"/>
        <w:rPr>
          <w:rFonts w:hint="eastAsia" w:ascii="宋体" w:hAnsi="宋体" w:eastAsia="仿宋_GB2312" w:cs="宋体"/>
          <w:kern w:val="0"/>
          <w:sz w:val="32"/>
          <w:szCs w:val="32"/>
          <w:lang w:eastAsia="zh-CN"/>
        </w:rPr>
      </w:pPr>
      <w:r>
        <w:rPr>
          <w:rFonts w:hint="eastAsia" w:ascii="Times New Roman" w:hAnsi="Times New Roman" w:eastAsia="仿宋_GB2312" w:cs="Times New Roman"/>
          <w:color w:val="000000"/>
          <w:sz w:val="32"/>
          <w:szCs w:val="32"/>
          <w:lang w:val="en-US" w:eastAsia="zh-CN"/>
        </w:rPr>
        <w:t>成立以蒋光红副区长为指挥长，区级各部门负责人为成员的市容环境卫生专项指挥部，各街道（镇）及其他单位相应成立配套工作小组</w:t>
      </w:r>
      <w:r>
        <w:rPr>
          <w:rFonts w:hint="eastAsia" w:eastAsia="仿宋_GB2312" w:cs="Times New Roman"/>
          <w:color w:val="000000"/>
          <w:sz w:val="32"/>
          <w:szCs w:val="32"/>
          <w:lang w:val="en-US" w:eastAsia="zh-CN"/>
        </w:rPr>
        <w:t>。</w:t>
      </w:r>
      <w:r>
        <w:rPr>
          <w:rFonts w:hint="default" w:ascii="Times New Roman" w:hAnsi="Times New Roman" w:eastAsia="仿宋_GB2312" w:cs="Times New Roman"/>
          <w:color w:val="000000"/>
          <w:kern w:val="0"/>
          <w:sz w:val="32"/>
          <w:szCs w:val="32"/>
          <w:lang w:val="en-US" w:eastAsia="zh-CN" w:bidi="ar"/>
        </w:rPr>
        <w:t>召开市容环境卫生专项组会议6次，召开现场协调会议60余次，参会人员共计900余人次。详细传达了市、区国卫复审工作会议和精神，对</w:t>
      </w:r>
      <w:r>
        <w:rPr>
          <w:rFonts w:hint="eastAsia" w:ascii="Times New Roman" w:hAnsi="Times New Roman" w:eastAsia="仿宋_GB2312" w:cs="Times New Roman"/>
          <w:color w:val="000000"/>
          <w:kern w:val="0"/>
          <w:sz w:val="32"/>
          <w:szCs w:val="32"/>
          <w:lang w:val="en-US" w:eastAsia="zh-CN" w:bidi="ar"/>
        </w:rPr>
        <w:t>西</w:t>
      </w:r>
      <w:r>
        <w:rPr>
          <w:rFonts w:hint="default" w:ascii="Times New Roman" w:hAnsi="Times New Roman" w:eastAsia="仿宋_GB2312" w:cs="Times New Roman"/>
          <w:color w:val="000000"/>
          <w:kern w:val="0"/>
          <w:sz w:val="32"/>
          <w:szCs w:val="32"/>
          <w:lang w:val="en-US" w:eastAsia="zh-CN" w:bidi="ar"/>
        </w:rPr>
        <w:t>区市容卫生治理工作作</w:t>
      </w:r>
      <w:r>
        <w:rPr>
          <w:rFonts w:hint="eastAsia" w:ascii="Times New Roman" w:hAnsi="Times New Roman" w:eastAsia="仿宋_GB2312" w:cs="Times New Roman"/>
          <w:color w:val="000000"/>
          <w:kern w:val="0"/>
          <w:sz w:val="32"/>
          <w:szCs w:val="32"/>
          <w:lang w:val="en-US" w:eastAsia="zh-CN" w:bidi="ar"/>
        </w:rPr>
        <w:t>出</w:t>
      </w:r>
      <w:r>
        <w:rPr>
          <w:rFonts w:hint="default" w:ascii="Times New Roman" w:hAnsi="Times New Roman" w:eastAsia="仿宋_GB2312" w:cs="Times New Roman"/>
          <w:color w:val="000000"/>
          <w:kern w:val="0"/>
          <w:sz w:val="32"/>
          <w:szCs w:val="32"/>
          <w:lang w:val="en-US" w:eastAsia="zh-CN" w:bidi="ar"/>
        </w:rPr>
        <w:t>周密的安排和部署</w:t>
      </w:r>
      <w:r>
        <w:rPr>
          <w:rFonts w:hint="eastAsia" w:ascii="Times New Roman" w:hAnsi="Times New Roman" w:eastAsia="仿宋_GB2312" w:cs="Times New Roman"/>
          <w:color w:val="000000"/>
          <w:kern w:val="0"/>
          <w:sz w:val="32"/>
          <w:szCs w:val="32"/>
          <w:lang w:val="en-US" w:eastAsia="zh-CN" w:bidi="ar"/>
        </w:rPr>
        <w:t>。及时收集上级部门和巡查员反映的问题，建立国卫复审专项工作台账，下发整改通知书920余份，督促有关单位限期整改。经过各成员单位与全区同志长达8个月的奋战，西区市容市貌得到了有效提升，并</w:t>
      </w:r>
      <w:r>
        <w:rPr>
          <w:rFonts w:hint="eastAsia" w:ascii="宋体" w:hAnsi="宋体" w:eastAsia="仿宋_GB2312" w:cs="宋体"/>
          <w:kern w:val="0"/>
          <w:sz w:val="32"/>
          <w:szCs w:val="32"/>
          <w:lang w:eastAsia="zh-CN"/>
        </w:rPr>
        <w:t>顺利通过了全国爱卫办的暗访检查。</w:t>
      </w:r>
    </w:p>
    <w:p w14:paraId="74EC9781">
      <w:pPr>
        <w:keepNext w:val="0"/>
        <w:keepLines w:val="0"/>
        <w:pageBreakBefore w:val="0"/>
        <w:widowControl w:val="0"/>
        <w:numPr>
          <w:ilvl w:val="0"/>
          <w:numId w:val="0"/>
        </w:numPr>
        <w:kinsoku/>
        <w:wordWrap/>
        <w:overflowPunct/>
        <w:topLinePunct w:val="0"/>
        <w:autoSpaceDE/>
        <w:autoSpaceDN/>
        <w:bidi w:val="0"/>
        <w:adjustRightInd/>
        <w:snapToGrid/>
        <w:spacing w:line="353" w:lineRule="auto"/>
        <w:ind w:left="0" w:firstLine="640" w:firstLineChars="200"/>
        <w:textAlignment w:val="auto"/>
        <w:rPr>
          <w:rFonts w:hint="eastAsia" w:ascii="楷体_GB2312" w:hAnsi="楷体_GB2312" w:eastAsia="楷体_GB2312" w:cs="楷体_GB2312"/>
          <w:color w:val="000000"/>
          <w:sz w:val="32"/>
          <w:szCs w:val="32"/>
          <w:shd w:val="clear" w:color="auto" w:fill="FFFFFF"/>
          <w:lang w:val="en-US" w:eastAsia="zh-CN"/>
        </w:rPr>
      </w:pPr>
      <w:r>
        <w:rPr>
          <w:rFonts w:hint="eastAsia" w:ascii="楷体_GB2312" w:hAnsi="楷体_GB2312" w:eastAsia="楷体_GB2312" w:cs="楷体_GB2312"/>
          <w:color w:val="000000"/>
          <w:sz w:val="32"/>
          <w:szCs w:val="32"/>
          <w:shd w:val="clear" w:color="auto" w:fill="FFFFFF"/>
          <w:lang w:val="en-US" w:eastAsia="zh-CN"/>
        </w:rPr>
        <w:t>（3）大力实施亮化民生工程。</w:t>
      </w:r>
    </w:p>
    <w:p w14:paraId="3DD60782">
      <w:pPr>
        <w:pageBreakBefore w:val="0"/>
        <w:kinsoku/>
        <w:wordWrap/>
        <w:overflowPunct/>
        <w:topLinePunct w:val="0"/>
        <w:bidi w:val="0"/>
        <w:spacing w:line="353" w:lineRule="auto"/>
        <w:ind w:firstLine="640" w:firstLineChars="200"/>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snapToGrid/>
          <w:kern w:val="2"/>
          <w:sz w:val="32"/>
          <w:szCs w:val="32"/>
          <w:lang w:val="en-US" w:eastAsia="zh-CN"/>
        </w:rPr>
        <w:t>成立以</w:t>
      </w:r>
      <w:r>
        <w:rPr>
          <w:rFonts w:eastAsia="仿宋_GB2312"/>
          <w:sz w:val="32"/>
          <w:szCs w:val="32"/>
        </w:rPr>
        <w:t>区政府</w:t>
      </w:r>
      <w:r>
        <w:rPr>
          <w:rFonts w:hint="eastAsia" w:eastAsia="仿宋_GB2312"/>
          <w:sz w:val="32"/>
          <w:szCs w:val="32"/>
          <w:lang w:eastAsia="zh-CN"/>
        </w:rPr>
        <w:t>分管领导</w:t>
      </w:r>
      <w:r>
        <w:rPr>
          <w:rFonts w:hint="eastAsia" w:ascii="仿宋_GB2312" w:hAnsi="仿宋_GB2312" w:eastAsia="仿宋_GB2312" w:cs="仿宋_GB2312"/>
          <w:snapToGrid/>
          <w:kern w:val="2"/>
          <w:sz w:val="32"/>
          <w:szCs w:val="32"/>
          <w:lang w:val="en-US" w:eastAsia="zh-CN"/>
        </w:rPr>
        <w:t>任组长，区级相关部门负责人任成员的</w:t>
      </w:r>
      <w:r>
        <w:rPr>
          <w:rFonts w:hAnsi="仿宋_GB2312" w:eastAsia="仿宋_GB2312"/>
          <w:sz w:val="32"/>
          <w:szCs w:val="32"/>
        </w:rPr>
        <w:t>亮化工作领导小组</w:t>
      </w:r>
      <w:r>
        <w:rPr>
          <w:rFonts w:hint="eastAsia" w:hAnsi="仿宋_GB2312" w:eastAsia="仿宋_GB2312"/>
          <w:sz w:val="32"/>
          <w:szCs w:val="32"/>
        </w:rPr>
        <w:t>。</w:t>
      </w:r>
      <w:r>
        <w:rPr>
          <w:rFonts w:hint="eastAsia" w:hAnsi="仿宋_GB2312" w:eastAsia="仿宋_GB2312"/>
          <w:sz w:val="32"/>
          <w:szCs w:val="32"/>
          <w:lang w:eastAsia="zh-CN"/>
        </w:rPr>
        <w:t>由</w:t>
      </w:r>
      <w:r>
        <w:rPr>
          <w:rFonts w:hAnsi="仿宋_GB2312" w:eastAsia="仿宋_GB2312"/>
          <w:sz w:val="32"/>
          <w:szCs w:val="32"/>
        </w:rPr>
        <w:t>区综合行政执法局</w:t>
      </w:r>
      <w:r>
        <w:rPr>
          <w:rFonts w:hint="eastAsia" w:hAnsi="仿宋_GB2312" w:eastAsia="仿宋_GB2312"/>
          <w:sz w:val="32"/>
          <w:szCs w:val="32"/>
          <w:lang w:eastAsia="zh-CN"/>
        </w:rPr>
        <w:t>牵头，</w:t>
      </w:r>
      <w:r>
        <w:rPr>
          <w:rFonts w:hAnsi="仿宋_GB2312" w:eastAsia="仿宋_GB2312"/>
          <w:sz w:val="32"/>
          <w:szCs w:val="32"/>
        </w:rPr>
        <w:t>区级相关部门</w:t>
      </w:r>
      <w:r>
        <w:rPr>
          <w:rFonts w:hint="eastAsia" w:hAnsi="仿宋_GB2312" w:eastAsia="仿宋_GB2312"/>
          <w:sz w:val="32"/>
          <w:szCs w:val="32"/>
          <w:lang w:eastAsia="zh-CN"/>
        </w:rPr>
        <w:t>、</w:t>
      </w:r>
      <w:r>
        <w:rPr>
          <w:rFonts w:hAnsi="仿宋_GB2312" w:eastAsia="仿宋_GB2312"/>
          <w:sz w:val="32"/>
          <w:szCs w:val="32"/>
        </w:rPr>
        <w:t>街</w:t>
      </w:r>
      <w:r>
        <w:rPr>
          <w:rFonts w:hint="eastAsia" w:hAnsi="仿宋_GB2312" w:eastAsia="仿宋_GB2312"/>
          <w:sz w:val="32"/>
          <w:szCs w:val="32"/>
        </w:rPr>
        <w:t>办</w:t>
      </w:r>
      <w:r>
        <w:rPr>
          <w:rFonts w:hAnsi="仿宋_GB2312" w:eastAsia="仿宋_GB2312"/>
          <w:sz w:val="32"/>
          <w:szCs w:val="32"/>
        </w:rPr>
        <w:t>、格里坪镇</w:t>
      </w:r>
      <w:r>
        <w:rPr>
          <w:rFonts w:hint="eastAsia" w:hAnsi="仿宋_GB2312" w:eastAsia="仿宋_GB2312"/>
          <w:sz w:val="32"/>
          <w:szCs w:val="32"/>
          <w:lang w:eastAsia="zh-CN"/>
        </w:rPr>
        <w:t>全面介入，形成合力，确保亮化方案落地</w:t>
      </w:r>
      <w:r>
        <w:rPr>
          <w:rFonts w:hAnsi="仿宋_GB2312" w:eastAsia="仿宋_GB2312"/>
          <w:sz w:val="32"/>
          <w:szCs w:val="32"/>
        </w:rPr>
        <w:t>。</w:t>
      </w:r>
      <w:r>
        <w:rPr>
          <w:rFonts w:hint="eastAsia" w:ascii="仿宋_GB2312" w:hAnsi="仿宋_GB2312" w:eastAsia="仿宋_GB2312" w:cs="仿宋_GB2312"/>
          <w:kern w:val="2"/>
          <w:sz w:val="32"/>
          <w:szCs w:val="32"/>
          <w:lang w:eastAsia="zh-CN"/>
        </w:rPr>
        <w:t>做到既要解决出行照明，又要解决夜间景观营造。</w:t>
      </w:r>
      <w:r>
        <w:rPr>
          <w:rFonts w:hint="eastAsia" w:ascii="Times New Roman" w:hAnsi="Times New Roman" w:eastAsia="仿宋_GB2312"/>
          <w:kern w:val="2"/>
          <w:sz w:val="32"/>
          <w:szCs w:val="32"/>
          <w:lang w:eastAsia="zh-CN"/>
        </w:rPr>
        <w:t>各部门按照职责全力做好协调工作，引导全社会单位共同参与，区内的企事业单位大力支持，积极参与亮化工作。通过三个月的连续奋战，共对</w:t>
      </w:r>
      <w:r>
        <w:rPr>
          <w:rFonts w:hint="eastAsia" w:ascii="Times New Roman" w:hAnsi="Times New Roman" w:eastAsia="仿宋_GB2312"/>
          <w:kern w:val="2"/>
          <w:sz w:val="32"/>
          <w:szCs w:val="32"/>
          <w:lang w:val="en-US" w:eastAsia="zh-CN"/>
        </w:rPr>
        <w:t>25余栋建筑进行了亮化提升，对</w:t>
      </w:r>
      <w:r>
        <w:rPr>
          <w:rFonts w:hint="eastAsia" w:ascii="仿宋_GB2312" w:eastAsia="仿宋_GB2312"/>
          <w:sz w:val="32"/>
          <w:szCs w:val="32"/>
        </w:rPr>
        <w:t>欧郦景苑</w:t>
      </w:r>
      <w:r>
        <w:rPr>
          <w:rFonts w:hint="eastAsia" w:ascii="仿宋_GB2312" w:eastAsia="仿宋_GB2312"/>
          <w:sz w:val="32"/>
          <w:szCs w:val="32"/>
          <w:lang w:eastAsia="zh-CN"/>
        </w:rPr>
        <w:t>、清香坪北街、</w:t>
      </w:r>
      <w:r>
        <w:rPr>
          <w:rFonts w:hint="eastAsia" w:ascii="仿宋_GB2312" w:eastAsia="仿宋_GB2312"/>
          <w:sz w:val="32"/>
          <w:szCs w:val="32"/>
        </w:rPr>
        <w:t>西贵金沙</w:t>
      </w:r>
      <w:r>
        <w:rPr>
          <w:rFonts w:hint="eastAsia" w:ascii="仿宋_GB2312" w:eastAsia="仿宋_GB2312"/>
          <w:sz w:val="32"/>
          <w:szCs w:val="32"/>
          <w:lang w:eastAsia="zh-CN"/>
        </w:rPr>
        <w:t>等多个点位的路灯进行了维修更换，</w:t>
      </w:r>
      <w:r>
        <w:rPr>
          <w:rFonts w:ascii="Times New Roman" w:hAnsi="Times New Roman" w:eastAsia="仿宋_GB2312"/>
          <w:sz w:val="32"/>
          <w:szCs w:val="32"/>
        </w:rPr>
        <w:t>对遮挡路灯影响亮度</w:t>
      </w:r>
      <w:r>
        <w:rPr>
          <w:rFonts w:hint="eastAsia" w:ascii="Times New Roman" w:hAnsi="Times New Roman" w:eastAsia="仿宋_GB2312"/>
          <w:sz w:val="32"/>
          <w:szCs w:val="32"/>
          <w:lang w:eastAsia="zh-CN"/>
        </w:rPr>
        <w:t>的</w:t>
      </w:r>
      <w:r>
        <w:rPr>
          <w:rFonts w:ascii="Times New Roman" w:hAnsi="Times New Roman" w:eastAsia="仿宋_GB2312"/>
          <w:sz w:val="32"/>
          <w:szCs w:val="32"/>
        </w:rPr>
        <w:t>行道树集中进行了修枝处理</w:t>
      </w:r>
      <w:r>
        <w:rPr>
          <w:rFonts w:hint="eastAsia" w:ascii="Times New Roman" w:hAnsi="Times New Roman" w:eastAsia="仿宋_GB2312"/>
          <w:sz w:val="32"/>
          <w:szCs w:val="32"/>
          <w:lang w:eastAsia="zh-CN"/>
        </w:rPr>
        <w:t>，</w:t>
      </w:r>
      <w:r>
        <w:rPr>
          <w:rFonts w:hint="eastAsia" w:ascii="Times New Roman" w:hAnsi="Times New Roman" w:eastAsia="仿宋_GB2312"/>
          <w:kern w:val="2"/>
          <w:sz w:val="32"/>
          <w:szCs w:val="32"/>
          <w:lang w:eastAsia="zh-CN"/>
        </w:rPr>
        <w:t>在亮化区域新增各类灯具25000余套。</w:t>
      </w:r>
      <w:r>
        <w:rPr>
          <w:rFonts w:hint="default" w:ascii="Times New Roman" w:hAnsi="Times New Roman" w:eastAsia="仿宋_GB2312" w:cs="Times New Roman"/>
          <w:kern w:val="2"/>
          <w:sz w:val="32"/>
          <w:szCs w:val="32"/>
          <w:lang w:val="en-US" w:eastAsia="zh-CN" w:bidi="ar-SA"/>
        </w:rPr>
        <w:t>不仅解决了</w:t>
      </w:r>
      <w:r>
        <w:rPr>
          <w:rFonts w:hint="eastAsia" w:ascii="Times New Roman" w:hAnsi="Times New Roman" w:eastAsia="仿宋_GB2312" w:cs="Times New Roman"/>
          <w:kern w:val="2"/>
          <w:sz w:val="32"/>
          <w:szCs w:val="32"/>
          <w:lang w:val="en-US" w:eastAsia="zh-CN" w:bidi="ar-SA"/>
        </w:rPr>
        <w:t>民生</w:t>
      </w:r>
      <w:r>
        <w:rPr>
          <w:rFonts w:hint="default" w:ascii="Times New Roman" w:hAnsi="Times New Roman" w:eastAsia="仿宋_GB2312" w:cs="Times New Roman"/>
          <w:kern w:val="2"/>
          <w:sz w:val="32"/>
          <w:szCs w:val="32"/>
          <w:lang w:val="en-US" w:eastAsia="zh-CN" w:bidi="ar-SA"/>
        </w:rPr>
        <w:t>问题，</w:t>
      </w:r>
      <w:r>
        <w:rPr>
          <w:rFonts w:hint="eastAsia" w:ascii="Times New Roman" w:hAnsi="Times New Roman" w:eastAsia="仿宋_GB2312" w:cs="Times New Roman"/>
          <w:kern w:val="2"/>
          <w:sz w:val="32"/>
          <w:szCs w:val="32"/>
          <w:lang w:val="en-US" w:eastAsia="zh-CN" w:bidi="ar-SA"/>
        </w:rPr>
        <w:t>更</w:t>
      </w:r>
      <w:r>
        <w:rPr>
          <w:rFonts w:hint="default" w:ascii="Times New Roman" w:hAnsi="Times New Roman" w:eastAsia="仿宋_GB2312" w:cs="Times New Roman"/>
          <w:kern w:val="2"/>
          <w:sz w:val="32"/>
          <w:szCs w:val="32"/>
          <w:lang w:val="en-US" w:eastAsia="zh-CN" w:bidi="ar-SA"/>
        </w:rPr>
        <w:t>提升</w:t>
      </w:r>
      <w:r>
        <w:rPr>
          <w:rFonts w:hint="eastAsia" w:ascii="Times New Roman" w:hAnsi="Times New Roman" w:eastAsia="仿宋_GB2312" w:cs="Times New Roman"/>
          <w:kern w:val="2"/>
          <w:sz w:val="32"/>
          <w:szCs w:val="32"/>
          <w:lang w:val="en-US" w:eastAsia="zh-CN" w:bidi="ar-SA"/>
        </w:rPr>
        <w:t>了城市</w:t>
      </w:r>
      <w:r>
        <w:rPr>
          <w:rFonts w:hint="default" w:ascii="Times New Roman" w:hAnsi="Times New Roman" w:eastAsia="仿宋_GB2312" w:cs="Times New Roman"/>
          <w:kern w:val="2"/>
          <w:sz w:val="32"/>
          <w:szCs w:val="32"/>
          <w:lang w:val="en-US" w:eastAsia="zh-CN" w:bidi="ar-SA"/>
        </w:rPr>
        <w:t>形象和品位</w:t>
      </w:r>
      <w:r>
        <w:rPr>
          <w:rFonts w:hint="eastAsia" w:ascii="Times New Roman" w:hAnsi="Times New Roman" w:eastAsia="仿宋_GB2312" w:cs="Times New Roman"/>
          <w:kern w:val="2"/>
          <w:sz w:val="32"/>
          <w:szCs w:val="32"/>
          <w:lang w:val="en-US" w:eastAsia="zh-CN" w:bidi="ar-SA"/>
        </w:rPr>
        <w:t>，为全区人民创造了优美舒适的生活环境。</w:t>
      </w:r>
    </w:p>
    <w:p w14:paraId="3470F837">
      <w:pPr>
        <w:keepNext w:val="0"/>
        <w:keepLines w:val="0"/>
        <w:pageBreakBefore w:val="0"/>
        <w:widowControl w:val="0"/>
        <w:numPr>
          <w:ilvl w:val="0"/>
          <w:numId w:val="0"/>
        </w:numPr>
        <w:kinsoku/>
        <w:wordWrap/>
        <w:overflowPunct/>
        <w:topLinePunct w:val="0"/>
        <w:autoSpaceDE/>
        <w:autoSpaceDN/>
        <w:bidi w:val="0"/>
        <w:adjustRightInd/>
        <w:snapToGrid/>
        <w:spacing w:line="353" w:lineRule="auto"/>
        <w:ind w:left="0" w:firstLine="640" w:firstLineChars="200"/>
        <w:textAlignment w:val="auto"/>
        <w:rPr>
          <w:rFonts w:hint="eastAsia" w:ascii="楷体_GB2312" w:hAnsi="楷体_GB2312" w:eastAsia="楷体_GB2312" w:cs="楷体_GB2312"/>
          <w:color w:val="000000"/>
          <w:sz w:val="32"/>
          <w:szCs w:val="32"/>
          <w:shd w:val="clear" w:color="auto" w:fill="FFFFFF"/>
          <w:lang w:val="en-US" w:eastAsia="zh-CN"/>
        </w:rPr>
      </w:pPr>
      <w:r>
        <w:rPr>
          <w:rFonts w:hint="eastAsia" w:ascii="楷体_GB2312" w:hAnsi="楷体_GB2312" w:eastAsia="楷体_GB2312" w:cs="楷体_GB2312"/>
          <w:color w:val="000000"/>
          <w:sz w:val="32"/>
          <w:szCs w:val="32"/>
          <w:shd w:val="clear" w:color="auto" w:fill="FFFFFF"/>
          <w:lang w:val="en-US" w:eastAsia="zh-CN"/>
        </w:rPr>
        <w:t>（4）全面推进垃圾分类试点。</w:t>
      </w:r>
    </w:p>
    <w:p w14:paraId="583D765C">
      <w:pPr>
        <w:pageBreakBefore w:val="0"/>
        <w:kinsoku/>
        <w:wordWrap/>
        <w:overflowPunct/>
        <w:topLinePunct w:val="0"/>
        <w:bidi w:val="0"/>
        <w:spacing w:line="353" w:lineRule="auto"/>
        <w:ind w:firstLine="640" w:firstLineChars="200"/>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自垃圾分类试点工作开展以来，在辖区主次干道、各生活小区、社区周边共摆放垃圾分类箱体85个，分类果皮箱110余个，完善辖区垃圾收集设施垃圾分类相关标识标志，配备标志清晰的分类收集容器，对字体模糊的垃圾分类收集容器进行清洗，重新喷绘。对广大群众、商家广泛宣传餐厨垃圾干湿分离，要求沿线商家、住户在生活垃圾清运前做好干湿分离工作，严格规定商家餐厨垃圾投放时间，目前已完成辖区垃圾收集设备设施新建、改造工作，于2019年8月正式通过验收并投入使用。</w:t>
      </w:r>
    </w:p>
    <w:p w14:paraId="6AE38801">
      <w:pPr>
        <w:keepNext w:val="0"/>
        <w:keepLines w:val="0"/>
        <w:pageBreakBefore w:val="0"/>
        <w:widowControl w:val="0"/>
        <w:numPr>
          <w:ilvl w:val="0"/>
          <w:numId w:val="0"/>
        </w:numPr>
        <w:kinsoku/>
        <w:wordWrap/>
        <w:overflowPunct/>
        <w:topLinePunct w:val="0"/>
        <w:autoSpaceDE/>
        <w:autoSpaceDN/>
        <w:bidi w:val="0"/>
        <w:adjustRightInd/>
        <w:snapToGrid/>
        <w:spacing w:line="353" w:lineRule="auto"/>
        <w:ind w:left="0" w:firstLine="640" w:firstLineChars="200"/>
        <w:textAlignment w:val="auto"/>
        <w:rPr>
          <w:rFonts w:hint="eastAsia" w:ascii="楷体_GB2312" w:hAnsi="楷体_GB2312" w:eastAsia="楷体_GB2312" w:cs="楷体_GB2312"/>
          <w:color w:val="000000"/>
          <w:sz w:val="32"/>
          <w:szCs w:val="32"/>
          <w:shd w:val="clear" w:color="auto" w:fill="FFFFFF"/>
          <w:lang w:val="en-US" w:eastAsia="zh-CN"/>
        </w:rPr>
      </w:pPr>
      <w:r>
        <w:rPr>
          <w:rFonts w:hint="eastAsia" w:ascii="楷体_GB2312" w:hAnsi="楷体_GB2312" w:eastAsia="楷体_GB2312" w:cs="楷体_GB2312"/>
          <w:color w:val="000000"/>
          <w:sz w:val="32"/>
          <w:szCs w:val="32"/>
          <w:shd w:val="clear" w:color="auto" w:fill="FFFFFF"/>
          <w:lang w:val="en-US" w:eastAsia="zh-CN"/>
        </w:rPr>
        <w:t>（5）圆满完成垃圾中转站建设。</w:t>
      </w:r>
    </w:p>
    <w:p w14:paraId="0B31EE21">
      <w:pPr>
        <w:pageBreakBefore w:val="0"/>
        <w:kinsoku/>
        <w:wordWrap/>
        <w:overflowPunct/>
        <w:topLinePunct w:val="0"/>
        <w:bidi w:val="0"/>
        <w:spacing w:line="353" w:lineRule="auto"/>
        <w:ind w:firstLine="640" w:firstLineChars="200"/>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按照区委区政府工作安排，由攀枝花市西区西鼎投资有限责任公司公司作为项目业主负责实施攀枝花市西区生活垃圾中转站附属设施建设项目，该项目占地面积约14亩，建设地点位于攀枝花市西区玉泉街道席草坪社区二坪子，建设计划工期为45日历天，建设垃圾中转站附属厂房，配套建设周边绿化等设施等，项目总投资约1454万元。目前项目已进入试运营阶段，已由业主西鼎公司组织专家对中转设备、车辆等进行验收，设备方正按专家验收报告进行整改。待国有土地划拨、工程规划许可证、质量安全监督备案、施工许可证等相关建设手续完成办理后，开展工程竣工验收工作。</w:t>
      </w:r>
    </w:p>
    <w:p w14:paraId="429C8524">
      <w:pPr>
        <w:pageBreakBefore w:val="0"/>
        <w:kinsoku/>
        <w:wordWrap/>
        <w:overflowPunct/>
        <w:topLinePunct w:val="0"/>
        <w:bidi w:val="0"/>
        <w:spacing w:line="353" w:lineRule="auto"/>
        <w:ind w:firstLine="640" w:firstLineChars="200"/>
        <w:rPr>
          <w:rFonts w:hint="eastAsia" w:ascii="Times New Roman" w:hAnsi="Times New Roman" w:eastAsia="仿宋_GB2312" w:cs="Times New Roman"/>
          <w:color w:val="000000"/>
          <w:kern w:val="0"/>
          <w:sz w:val="32"/>
          <w:szCs w:val="32"/>
          <w:lang w:val="en-US" w:eastAsia="zh-CN" w:bidi="ar"/>
        </w:rPr>
      </w:pPr>
      <w:r>
        <w:rPr>
          <w:rFonts w:hint="eastAsia" w:eastAsia="仿宋_GB2312" w:cs="Times New Roman"/>
          <w:color w:val="000000"/>
          <w:kern w:val="0"/>
          <w:sz w:val="32"/>
          <w:szCs w:val="32"/>
          <w:lang w:val="en-US" w:eastAsia="zh-CN" w:bidi="ar"/>
        </w:rPr>
        <w:t>2、日常重点工作</w:t>
      </w:r>
    </w:p>
    <w:p w14:paraId="74719EB1">
      <w:pPr>
        <w:keepNext w:val="0"/>
        <w:keepLines w:val="0"/>
        <w:pageBreakBefore w:val="0"/>
        <w:kinsoku/>
        <w:wordWrap/>
        <w:overflowPunct/>
        <w:topLinePunct w:val="0"/>
        <w:bidi w:val="0"/>
        <w:spacing w:line="353" w:lineRule="auto"/>
        <w:ind w:left="0" w:firstLine="643"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仿宋_GB2312" w:hAnsi="仿宋_GB2312" w:eastAsia="仿宋_GB2312" w:cs="仿宋_GB2312"/>
          <w:b/>
          <w:bCs/>
          <w:color w:val="000000"/>
          <w:sz w:val="32"/>
          <w:szCs w:val="32"/>
          <w:lang w:val="en-US" w:eastAsia="zh-CN"/>
        </w:rPr>
        <w:t>（1）垃圾清运。</w:t>
      </w:r>
      <w:r>
        <w:rPr>
          <w:rFonts w:hint="eastAsia" w:ascii="Times New Roman" w:hAnsi="Times New Roman" w:eastAsia="仿宋_GB2312" w:cs="Times New Roman"/>
          <w:color w:val="000000"/>
          <w:sz w:val="32"/>
          <w:szCs w:val="32"/>
        </w:rPr>
        <w:t>截</w:t>
      </w:r>
      <w:r>
        <w:rPr>
          <w:rFonts w:hint="eastAsia" w:eastAsia="仿宋_GB2312" w:cs="Times New Roman"/>
          <w:color w:val="000000"/>
          <w:sz w:val="32"/>
          <w:szCs w:val="32"/>
          <w:lang w:eastAsia="zh-CN"/>
        </w:rPr>
        <w:t>至</w:t>
      </w:r>
      <w:r>
        <w:rPr>
          <w:rFonts w:hint="eastAsia" w:ascii="Times New Roman" w:hAnsi="Times New Roman" w:eastAsia="仿宋_GB2312" w:cs="Times New Roman"/>
          <w:color w:val="000000"/>
          <w:sz w:val="32"/>
          <w:szCs w:val="32"/>
        </w:rPr>
        <w:t>目前</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共开展环境卫生巡查约200余次，清运垃圾约12106.5吨，用水约40512吨。市场化作业保洁公司投入清扫保洁人员约3万人次，清除沿街小广告9818余张；清理卫生死角 988余处；擦洗花箱、果皮箱、垃圾桶及垃圾池共约819余次，擦洗天桥40次、地下通道40次。</w:t>
      </w:r>
      <w:r>
        <w:rPr>
          <w:rFonts w:hint="eastAsia" w:ascii="仿宋_GB2312" w:hAnsi="仿宋_GB2312" w:eastAsia="仿宋_GB2312" w:cs="仿宋_GB2312"/>
          <w:b/>
          <w:bCs/>
          <w:color w:val="000000"/>
          <w:sz w:val="32"/>
          <w:szCs w:val="32"/>
          <w:shd w:val="clear" w:color="auto" w:fill="FFFFFF"/>
          <w:lang w:val="en-US" w:eastAsia="zh-CN"/>
        </w:rPr>
        <w:t>加强街面秩序管理。</w:t>
      </w:r>
      <w:r>
        <w:rPr>
          <w:rFonts w:hint="eastAsia" w:ascii="Times New Roman" w:hAnsi="Times New Roman" w:eastAsia="仿宋_GB2312" w:cs="Times New Roman"/>
          <w:color w:val="000000"/>
          <w:sz w:val="32"/>
          <w:szCs w:val="32"/>
        </w:rPr>
        <w:t>我局采</w:t>
      </w:r>
      <w:r>
        <w:rPr>
          <w:rFonts w:hint="default" w:ascii="Times New Roman" w:hAnsi="Times New Roman" w:eastAsia="仿宋_GB2312" w:cs="Times New Roman"/>
          <w:color w:val="000000"/>
          <w:sz w:val="32"/>
          <w:szCs w:val="32"/>
        </w:rPr>
        <w:t>用服务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管理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执法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“三位一体”的容貌治理模式。</w:t>
      </w:r>
      <w:r>
        <w:rPr>
          <w:rFonts w:hint="eastAsia" w:ascii="Times New Roman" w:hAnsi="Times New Roman" w:eastAsia="仿宋_GB2312" w:cs="Times New Roman"/>
          <w:color w:val="000000"/>
          <w:sz w:val="32"/>
          <w:szCs w:val="32"/>
        </w:rPr>
        <w:t>共治理占道经营</w:t>
      </w:r>
      <w:r>
        <w:rPr>
          <w:rFonts w:hint="eastAsia" w:ascii="Times New Roman" w:hAnsi="Times New Roman" w:eastAsia="仿宋_GB2312" w:cs="Times New Roman"/>
          <w:color w:val="000000"/>
          <w:sz w:val="32"/>
          <w:szCs w:val="32"/>
          <w:lang w:val="en-US" w:eastAsia="zh-CN"/>
        </w:rPr>
        <w:t>5845</w:t>
      </w:r>
      <w:r>
        <w:rPr>
          <w:rFonts w:hint="eastAsia" w:ascii="Times New Roman" w:hAnsi="Times New Roman" w:eastAsia="仿宋_GB2312" w:cs="Times New Roman"/>
          <w:color w:val="000000"/>
          <w:sz w:val="32"/>
          <w:szCs w:val="32"/>
        </w:rPr>
        <w:t>余处、出门摆摊</w:t>
      </w:r>
      <w:r>
        <w:rPr>
          <w:rFonts w:hint="eastAsia" w:ascii="Times New Roman" w:hAnsi="Times New Roman" w:eastAsia="仿宋_GB2312" w:cs="Times New Roman"/>
          <w:color w:val="000000"/>
          <w:sz w:val="32"/>
          <w:szCs w:val="32"/>
          <w:lang w:val="en-US" w:eastAsia="zh-CN"/>
        </w:rPr>
        <w:t>4247</w:t>
      </w:r>
      <w:r>
        <w:rPr>
          <w:rFonts w:hint="eastAsia" w:ascii="Times New Roman" w:hAnsi="Times New Roman" w:eastAsia="仿宋_GB2312" w:cs="Times New Roman"/>
          <w:color w:val="000000"/>
          <w:sz w:val="32"/>
          <w:szCs w:val="32"/>
        </w:rPr>
        <w:t>余处、车辆乱停</w:t>
      </w:r>
      <w:r>
        <w:rPr>
          <w:rFonts w:hint="eastAsia" w:ascii="Times New Roman" w:hAnsi="Times New Roman" w:eastAsia="仿宋_GB2312" w:cs="Times New Roman"/>
          <w:color w:val="000000"/>
          <w:sz w:val="32"/>
          <w:szCs w:val="32"/>
          <w:lang w:val="en-US" w:eastAsia="zh-CN"/>
        </w:rPr>
        <w:t>570</w:t>
      </w:r>
      <w:r>
        <w:rPr>
          <w:rFonts w:hint="eastAsia" w:ascii="Times New Roman" w:hAnsi="Times New Roman" w:eastAsia="仿宋_GB2312" w:cs="Times New Roman"/>
          <w:color w:val="000000"/>
          <w:sz w:val="32"/>
          <w:szCs w:val="32"/>
        </w:rPr>
        <w:t>余起。</w:t>
      </w:r>
      <w:r>
        <w:rPr>
          <w:rFonts w:hint="eastAsia" w:ascii="仿宋_GB2312" w:hAnsi="仿宋_GB2312" w:eastAsia="仿宋_GB2312" w:cs="仿宋_GB2312"/>
          <w:b/>
          <w:bCs/>
          <w:color w:val="000000"/>
          <w:sz w:val="32"/>
          <w:szCs w:val="32"/>
          <w:shd w:val="clear" w:color="auto" w:fill="FFFFFF"/>
          <w:lang w:val="en-US" w:eastAsia="zh-CN"/>
        </w:rPr>
        <w:t>夜间烧烤整治。</w:t>
      </w:r>
      <w:r>
        <w:rPr>
          <w:rFonts w:hint="eastAsia" w:ascii="Times New Roman" w:hAnsi="Times New Roman" w:eastAsia="仿宋_GB2312" w:cs="Times New Roman"/>
          <w:color w:val="000000"/>
          <w:sz w:val="32"/>
          <w:szCs w:val="32"/>
          <w:lang w:eastAsia="zh-CN"/>
        </w:rPr>
        <w:t>出动执法人员</w:t>
      </w:r>
      <w:r>
        <w:rPr>
          <w:rFonts w:hint="eastAsia" w:ascii="Times New Roman" w:hAnsi="Times New Roman" w:eastAsia="仿宋_GB2312" w:cs="Times New Roman"/>
          <w:color w:val="000000"/>
          <w:sz w:val="32"/>
          <w:szCs w:val="32"/>
          <w:lang w:val="en-US" w:eastAsia="zh-CN"/>
        </w:rPr>
        <w:t>603人、执法车辆220辆次；发放宣传单600余份、发放整改告知书70余份、发放限期整改通知书2家、处理烧烤油烟信访件26件、规范出门烧烤摊70家，已取缔露天烧烤经营乱象，</w:t>
      </w:r>
      <w:r>
        <w:rPr>
          <w:rFonts w:hint="eastAsia" w:ascii="Times New Roman" w:hAnsi="Times New Roman" w:eastAsia="仿宋_GB2312" w:cs="Times New Roman"/>
          <w:color w:val="000000"/>
          <w:sz w:val="32"/>
          <w:szCs w:val="32"/>
        </w:rPr>
        <w:t>有效遏制了辖区内烧烤油烟的排放</w:t>
      </w:r>
      <w:r>
        <w:rPr>
          <w:rFonts w:hint="eastAsia" w:ascii="Times New Roman" w:hAnsi="Times New Roman" w:eastAsia="仿宋_GB2312" w:cs="Times New Roman"/>
          <w:color w:val="000000"/>
          <w:sz w:val="32"/>
          <w:szCs w:val="32"/>
          <w:lang w:eastAsia="zh-CN"/>
        </w:rPr>
        <w:t>。</w:t>
      </w:r>
      <w:r>
        <w:rPr>
          <w:rFonts w:hint="default" w:ascii="仿宋_GB2312" w:hAnsi="仿宋_GB2312" w:eastAsia="仿宋_GB2312" w:cs="仿宋_GB2312"/>
          <w:b/>
          <w:bCs/>
          <w:color w:val="000000"/>
          <w:sz w:val="32"/>
          <w:szCs w:val="32"/>
          <w:shd w:val="clear" w:color="auto" w:fill="FFFFFF"/>
          <w:lang w:val="en-US" w:eastAsia="zh-CN"/>
        </w:rPr>
        <w:t>道路扬尘治理工作。</w:t>
      </w:r>
      <w:r>
        <w:rPr>
          <w:rFonts w:hint="default" w:ascii="Times New Roman" w:hAnsi="Times New Roman" w:eastAsia="仿宋_GB2312" w:cs="Times New Roman"/>
          <w:color w:val="000000"/>
          <w:sz w:val="32"/>
          <w:szCs w:val="32"/>
          <w:lang w:val="en-US" w:eastAsia="zh-CN"/>
        </w:rPr>
        <w:t xml:space="preserve">发放告知书460余份，教育违规司机50余人次，减少了车辆洒漏现象，对乱倾倒建筑垃圾行政处罚1件。进一步抑制扬尘产生，辖区市容市貌秩序得到了明显的改善。 </w:t>
      </w:r>
      <w:r>
        <w:rPr>
          <w:rFonts w:hint="default" w:ascii="Times New Roman" w:hAnsi="Times New Roman" w:eastAsia="仿宋_GB2312" w:cs="Times New Roman"/>
          <w:b/>
          <w:bCs/>
          <w:color w:val="000000"/>
          <w:sz w:val="32"/>
          <w:szCs w:val="32"/>
          <w:shd w:val="clear" w:color="auto" w:fill="FFFFFF"/>
          <w:lang w:val="en-US" w:eastAsia="zh-CN"/>
        </w:rPr>
        <w:t>规范市容秩序。</w:t>
      </w:r>
      <w:r>
        <w:rPr>
          <w:rFonts w:hint="eastAsia" w:ascii="Times New Roman" w:hAnsi="Times New Roman" w:eastAsia="仿宋_GB2312" w:cs="Times New Roman"/>
          <w:color w:val="000000"/>
          <w:kern w:val="0"/>
          <w:sz w:val="32"/>
          <w:szCs w:val="32"/>
          <w:lang w:val="en-US" w:eastAsia="zh-CN" w:bidi="ar"/>
        </w:rPr>
        <w:t>在日常巡查中，发现店招陈旧破损、广告违规设置、灯箱广告牌随意摆放等影响市容市貌的现象，立即下达整改通知书，并督促整改。对新申请的户外广告及店招资料进行认真审核，同时做好现场勘查工作，使西区的户外广告及店招逐步规范化。经统计清除违规户外广告230余块，拆除破损横幅170余幅，违规落地灯箱270余块，更新陈旧破损店招50余块。</w:t>
      </w:r>
    </w:p>
    <w:p w14:paraId="253F9619">
      <w:pPr>
        <w:keepNext w:val="0"/>
        <w:keepLines w:val="0"/>
        <w:pageBreakBefore w:val="0"/>
        <w:widowControl w:val="0"/>
        <w:numPr>
          <w:ilvl w:val="0"/>
          <w:numId w:val="0"/>
        </w:numPr>
        <w:kinsoku/>
        <w:wordWrap/>
        <w:overflowPunct/>
        <w:topLinePunct w:val="0"/>
        <w:autoSpaceDE/>
        <w:autoSpaceDN/>
        <w:bidi w:val="0"/>
        <w:adjustRightInd/>
        <w:snapToGrid/>
        <w:spacing w:line="353" w:lineRule="auto"/>
        <w:ind w:left="0"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shd w:val="clear" w:color="auto" w:fill="FFFFFF"/>
          <w:lang w:val="en-US" w:eastAsia="zh-CN"/>
        </w:rPr>
        <w:t>（2）园林绿化整治行动。</w:t>
      </w:r>
      <w:r>
        <w:rPr>
          <w:rFonts w:hint="eastAsia" w:ascii="仿宋_GB2312" w:hAnsi="仿宋_GB2312" w:eastAsia="仿宋_GB2312" w:cs="仿宋_GB2312"/>
          <w:b/>
          <w:bCs/>
          <w:color w:val="000000"/>
          <w:sz w:val="32"/>
          <w:szCs w:val="32"/>
        </w:rPr>
        <w:t>补植补栽修剪树木、清理枯枝落叶整治</w:t>
      </w:r>
      <w:r>
        <w:rPr>
          <w:rFonts w:hint="eastAsia" w:ascii="仿宋_GB2312" w:hAnsi="仿宋_GB2312" w:eastAsia="仿宋_GB2312" w:cs="仿宋_GB2312"/>
          <w:b/>
          <w:bCs/>
          <w:color w:val="000000"/>
          <w:sz w:val="32"/>
          <w:szCs w:val="32"/>
          <w:lang w:eastAsia="zh-CN"/>
        </w:rPr>
        <w:t>。</w:t>
      </w:r>
      <w:r>
        <w:rPr>
          <w:rFonts w:hint="eastAsia" w:ascii="Times New Roman" w:hAnsi="Times New Roman" w:eastAsia="仿宋_GB2312" w:cs="Times New Roman"/>
          <w:color w:val="000000"/>
          <w:kern w:val="0"/>
          <w:sz w:val="32"/>
          <w:szCs w:val="32"/>
          <w:lang w:val="en-US" w:eastAsia="zh-CN" w:bidi="ar"/>
        </w:rPr>
        <w:t>截</w:t>
      </w:r>
      <w:r>
        <w:rPr>
          <w:rFonts w:hint="eastAsia" w:eastAsia="仿宋_GB2312" w:cs="Times New Roman"/>
          <w:color w:val="000000"/>
          <w:kern w:val="0"/>
          <w:sz w:val="32"/>
          <w:szCs w:val="32"/>
          <w:lang w:val="en-US" w:eastAsia="zh-CN" w:bidi="ar"/>
        </w:rPr>
        <w:t>至</w:t>
      </w:r>
      <w:r>
        <w:rPr>
          <w:rFonts w:hint="eastAsia" w:ascii="Times New Roman" w:hAnsi="Times New Roman" w:eastAsia="仿宋_GB2312" w:cs="Times New Roman"/>
          <w:color w:val="000000"/>
          <w:kern w:val="0"/>
          <w:sz w:val="32"/>
          <w:szCs w:val="32"/>
          <w:lang w:val="en-US" w:eastAsia="zh-CN" w:bidi="ar"/>
        </w:rPr>
        <w:t>目</w:t>
      </w:r>
      <w:bookmarkStart w:id="76" w:name="_GoBack"/>
      <w:bookmarkEnd w:id="76"/>
      <w:r>
        <w:rPr>
          <w:rFonts w:hint="eastAsia" w:ascii="Times New Roman" w:hAnsi="Times New Roman" w:eastAsia="仿宋_GB2312" w:cs="Times New Roman"/>
          <w:color w:val="000000"/>
          <w:kern w:val="0"/>
          <w:sz w:val="32"/>
          <w:szCs w:val="32"/>
          <w:lang w:val="en-US" w:eastAsia="zh-CN" w:bidi="ar"/>
        </w:rPr>
        <w:t>前，共计绿地补植苗木2050余平方米、修剪灌木9330余平方米、修剪乔木44株、清理枯枝、落叶及白色垃圾47车次</w:t>
      </w:r>
      <w:r>
        <w:rPr>
          <w:rFonts w:hint="eastAsia" w:eastAsia="仿宋_GB2312" w:cs="Times New Roman"/>
          <w:color w:val="000000"/>
          <w:kern w:val="0"/>
          <w:sz w:val="32"/>
          <w:szCs w:val="32"/>
          <w:lang w:val="en-US" w:eastAsia="zh-CN" w:bidi="ar"/>
        </w:rPr>
        <w:t>。</w:t>
      </w:r>
      <w:r>
        <w:rPr>
          <w:rFonts w:hint="eastAsia" w:ascii="仿宋_GB2312" w:hAnsi="仿宋_GB2312" w:eastAsia="仿宋_GB2312" w:cs="仿宋_GB2312"/>
          <w:b/>
          <w:bCs/>
          <w:color w:val="000000"/>
          <w:sz w:val="32"/>
          <w:szCs w:val="32"/>
          <w:lang w:val="en-US" w:eastAsia="zh-CN"/>
        </w:rPr>
        <w:t>病虫害的防治工作。</w:t>
      </w:r>
      <w:r>
        <w:rPr>
          <w:rFonts w:hint="eastAsia" w:ascii="Times New Roman" w:hAnsi="Times New Roman" w:eastAsia="仿宋_GB2312" w:cs="Times New Roman"/>
          <w:color w:val="000000"/>
          <w:kern w:val="0"/>
          <w:sz w:val="32"/>
          <w:szCs w:val="32"/>
          <w:lang w:val="en-US" w:eastAsia="zh-CN" w:bidi="ar"/>
        </w:rPr>
        <w:t>为巩固国家园林城市创建成果，保障辖区园林植物正常生长，绿化股组织施工单位对辖区行道树、绿地进行病虫害治理15次，清除玉巴路、玉泉连接线、欧郦景苑小区树木菟丝子82余株。</w:t>
      </w:r>
      <w:r>
        <w:rPr>
          <w:rFonts w:hint="eastAsia" w:ascii="仿宋_GB2312" w:hAnsi="仿宋_GB2312" w:eastAsia="仿宋_GB2312" w:cs="仿宋_GB2312"/>
          <w:b/>
          <w:bCs/>
          <w:color w:val="000000"/>
          <w:sz w:val="32"/>
          <w:szCs w:val="32"/>
        </w:rPr>
        <w:t>枯树、危树清理</w:t>
      </w:r>
      <w:r>
        <w:rPr>
          <w:rFonts w:hint="eastAsia" w:ascii="仿宋_GB2312" w:hAnsi="仿宋_GB2312" w:eastAsia="仿宋_GB2312" w:cs="仿宋_GB2312"/>
          <w:b/>
          <w:bCs/>
          <w:color w:val="000000"/>
          <w:sz w:val="32"/>
          <w:szCs w:val="32"/>
          <w:lang w:eastAsia="zh-CN"/>
        </w:rPr>
        <w:t>。</w:t>
      </w:r>
      <w:r>
        <w:rPr>
          <w:rFonts w:hint="eastAsia" w:ascii="Times New Roman" w:hAnsi="Times New Roman" w:eastAsia="仿宋_GB2312" w:cs="Times New Roman"/>
          <w:color w:val="000000"/>
          <w:kern w:val="0"/>
          <w:sz w:val="32"/>
          <w:szCs w:val="32"/>
          <w:lang w:val="en-US" w:eastAsia="zh-CN" w:bidi="ar"/>
        </w:rPr>
        <w:t>枯树、危树存在安全隐患，严重影响到居民的人身和财产安全，为消除安全隐患，出动施工作业人员35人，清理枯树、危树36株。</w:t>
      </w:r>
    </w:p>
    <w:p w14:paraId="07DA2C09">
      <w:pPr>
        <w:keepNext w:val="0"/>
        <w:keepLines w:val="0"/>
        <w:pageBreakBefore w:val="0"/>
        <w:widowControl w:val="0"/>
        <w:numPr>
          <w:ilvl w:val="0"/>
          <w:numId w:val="0"/>
        </w:numPr>
        <w:kinsoku/>
        <w:wordWrap/>
        <w:overflowPunct/>
        <w:topLinePunct w:val="0"/>
        <w:autoSpaceDE/>
        <w:autoSpaceDN/>
        <w:bidi w:val="0"/>
        <w:adjustRightInd/>
        <w:snapToGrid/>
        <w:spacing w:line="353" w:lineRule="auto"/>
        <w:ind w:left="0" w:firstLine="640" w:firstLineChars="200"/>
        <w:textAlignment w:val="auto"/>
        <w:rPr>
          <w:rFonts w:hint="eastAsia" w:ascii="仿宋_GB2312" w:hAnsi="Times New Roman" w:eastAsia="仿宋_GB2312"/>
          <w:sz w:val="32"/>
          <w:szCs w:val="32"/>
        </w:rPr>
      </w:pPr>
      <w:r>
        <w:rPr>
          <w:rFonts w:hint="eastAsia" w:ascii="楷体_GB2312" w:hAnsi="楷体_GB2312" w:eastAsia="楷体_GB2312" w:cs="楷体_GB2312"/>
          <w:color w:val="000000"/>
          <w:sz w:val="32"/>
          <w:szCs w:val="32"/>
          <w:shd w:val="clear" w:color="auto" w:fill="FFFFFF"/>
          <w:lang w:val="en-US" w:eastAsia="zh-CN"/>
        </w:rPr>
        <w:t>（3）</w:t>
      </w:r>
      <w:r>
        <w:rPr>
          <w:rFonts w:hint="eastAsia" w:ascii="仿宋_GB2312" w:hAnsi="Times New Roman" w:eastAsia="仿宋_GB2312"/>
          <w:sz w:val="32"/>
          <w:szCs w:val="32"/>
          <w:lang w:eastAsia="zh-CN"/>
        </w:rPr>
        <w:t>西区生活污水项目实施情况</w:t>
      </w:r>
      <w:r>
        <w:rPr>
          <w:rFonts w:hint="eastAsia" w:ascii="仿宋_GB2312" w:eastAsia="仿宋_GB2312"/>
          <w:sz w:val="32"/>
          <w:szCs w:val="32"/>
          <w:lang w:eastAsia="zh-CN"/>
        </w:rPr>
        <w:t>。</w:t>
      </w:r>
      <w:r>
        <w:rPr>
          <w:rFonts w:hint="eastAsia" w:ascii="仿宋_GB2312" w:hAnsi="Times New Roman" w:eastAsia="仿宋_GB2312"/>
          <w:b/>
          <w:bCs/>
          <w:sz w:val="32"/>
          <w:szCs w:val="32"/>
        </w:rPr>
        <w:t>陶家渡污水处理厂</w:t>
      </w:r>
      <w:r>
        <w:rPr>
          <w:rFonts w:hint="eastAsia" w:ascii="仿宋_GB2312" w:hAnsi="Times New Roman" w:eastAsia="仿宋_GB2312"/>
          <w:b/>
          <w:bCs/>
          <w:sz w:val="32"/>
          <w:szCs w:val="32"/>
          <w:lang w:eastAsia="zh-CN"/>
        </w:rPr>
        <w:t>。</w:t>
      </w:r>
      <w:r>
        <w:rPr>
          <w:rFonts w:hint="eastAsia" w:ascii="仿宋_GB2312" w:hAnsi="Times New Roman" w:eastAsia="仿宋_GB2312"/>
          <w:sz w:val="32"/>
          <w:szCs w:val="32"/>
        </w:rPr>
        <w:t>总投资5495.51万元</w:t>
      </w:r>
      <w:r>
        <w:rPr>
          <w:rFonts w:hint="eastAsia" w:ascii="仿宋_GB2312" w:hAnsi="Times New Roman" w:eastAsia="仿宋_GB2312"/>
          <w:sz w:val="32"/>
          <w:szCs w:val="32"/>
          <w:lang w:eastAsia="zh-CN"/>
        </w:rPr>
        <w:t>，正在施工中，预计</w:t>
      </w:r>
      <w:r>
        <w:rPr>
          <w:rFonts w:hint="eastAsia" w:ascii="仿宋_GB2312" w:hAnsi="Times New Roman" w:eastAsia="仿宋_GB2312"/>
          <w:sz w:val="32"/>
          <w:szCs w:val="32"/>
          <w:lang w:val="en-US" w:eastAsia="zh-CN"/>
        </w:rPr>
        <w:t>12月底完成，建成后可以解决江南片区的城市生活污水收集和处理问题</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同步建设</w:t>
      </w:r>
      <w:r>
        <w:rPr>
          <w:rFonts w:hint="eastAsia" w:ascii="仿宋_GB2312" w:hAnsi="Times New Roman" w:eastAsia="仿宋_GB2312"/>
          <w:sz w:val="32"/>
          <w:szCs w:val="32"/>
        </w:rPr>
        <w:t>陶家渡片区生活污水配套管网</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设计总长31.85千米，总投资8689.58万元，工程建设结合污水处理厂建设</w:t>
      </w:r>
      <w:r>
        <w:rPr>
          <w:rFonts w:hint="eastAsia" w:ascii="仿宋_GB2312" w:hAnsi="Times New Roman" w:eastAsia="仿宋_GB2312"/>
          <w:sz w:val="32"/>
          <w:szCs w:val="32"/>
          <w:lang w:eastAsia="zh-CN"/>
        </w:rPr>
        <w:t>正</w:t>
      </w:r>
      <w:r>
        <w:rPr>
          <w:rFonts w:hint="eastAsia" w:ascii="仿宋_GB2312" w:hAnsi="Times New Roman" w:eastAsia="仿宋_GB2312"/>
          <w:sz w:val="32"/>
          <w:szCs w:val="32"/>
        </w:rPr>
        <w:t>同步实施。</w:t>
      </w:r>
      <w:r>
        <w:rPr>
          <w:rFonts w:hint="eastAsia" w:ascii="仿宋_GB2312" w:hAnsi="Times New Roman" w:eastAsia="仿宋_GB2312"/>
          <w:b/>
          <w:bCs/>
          <w:sz w:val="32"/>
          <w:szCs w:val="32"/>
          <w:lang w:val="en-US" w:eastAsia="zh-CN"/>
        </w:rPr>
        <w:t>新庄片区生活污水泵站及管网建设。</w:t>
      </w:r>
      <w:r>
        <w:rPr>
          <w:rFonts w:hint="eastAsia" w:ascii="仿宋_GB2312" w:hAnsi="Times New Roman" w:eastAsia="仿宋_GB2312"/>
          <w:sz w:val="32"/>
          <w:szCs w:val="32"/>
        </w:rPr>
        <w:t>主要收集清香坪攀钢生活区东侧未进入市政污水管网的生活污水，建提泵站</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rPr>
        <w:t>座，新建配套管网16千米，总投资6236.14万元</w:t>
      </w:r>
      <w:r>
        <w:rPr>
          <w:rFonts w:hint="eastAsia" w:ascii="仿宋_GB2312" w:hAnsi="Times New Roman" w:eastAsia="仿宋_GB2312"/>
          <w:sz w:val="32"/>
          <w:szCs w:val="32"/>
          <w:lang w:eastAsia="zh-CN"/>
        </w:rPr>
        <w:t>，预计</w:t>
      </w:r>
      <w:r>
        <w:rPr>
          <w:rFonts w:hint="eastAsia" w:ascii="仿宋_GB2312" w:hAnsi="Times New Roman" w:eastAsia="仿宋_GB2312"/>
          <w:sz w:val="32"/>
          <w:szCs w:val="32"/>
          <w:lang w:val="en-US" w:eastAsia="zh-CN"/>
        </w:rPr>
        <w:t>12月底完成，建成后可以解决清香坪东侧主城区的城市生活污水收集和处理问题</w:t>
      </w:r>
      <w:r>
        <w:rPr>
          <w:rFonts w:hint="eastAsia" w:ascii="仿宋_GB2312" w:hAnsi="Times New Roman" w:eastAsia="仿宋_GB2312"/>
          <w:sz w:val="32"/>
          <w:szCs w:val="32"/>
        </w:rPr>
        <w:t>。</w:t>
      </w:r>
      <w:r>
        <w:rPr>
          <w:rFonts w:hint="eastAsia" w:ascii="仿宋_GB2312" w:hAnsi="Times New Roman" w:eastAsia="仿宋_GB2312"/>
          <w:b/>
          <w:bCs/>
          <w:sz w:val="32"/>
          <w:szCs w:val="32"/>
        </w:rPr>
        <w:t>江北片区生活污水管网建设</w:t>
      </w:r>
      <w:r>
        <w:rPr>
          <w:rFonts w:hint="eastAsia" w:ascii="仿宋_GB2312" w:hAnsi="Times New Roman" w:eastAsia="仿宋_GB2312"/>
          <w:b/>
          <w:bCs/>
          <w:sz w:val="32"/>
          <w:szCs w:val="32"/>
          <w:lang w:eastAsia="zh-CN"/>
        </w:rPr>
        <w:t>。</w:t>
      </w:r>
      <w:r>
        <w:rPr>
          <w:rFonts w:hint="eastAsia" w:ascii="仿宋_GB2312" w:hAnsi="Times New Roman" w:eastAsia="仿宋_GB2312"/>
          <w:sz w:val="32"/>
          <w:szCs w:val="32"/>
        </w:rPr>
        <w:t>设计总</w:t>
      </w:r>
      <w:r>
        <w:rPr>
          <w:rFonts w:hint="eastAsia" w:ascii="仿宋_GB2312" w:hAnsi="Times New Roman" w:eastAsia="仿宋_GB2312"/>
          <w:color w:val="000000"/>
          <w:kern w:val="1"/>
          <w:sz w:val="32"/>
          <w:szCs w:val="32"/>
        </w:rPr>
        <w:t>长度25.7千米，总投资7390.57</w:t>
      </w:r>
      <w:r>
        <w:rPr>
          <w:rFonts w:hint="eastAsia" w:ascii="Times New Roman" w:hAnsi="Times New Roman" w:eastAsia="仿宋_GB2312"/>
          <w:color w:val="000000"/>
          <w:kern w:val="1"/>
          <w:sz w:val="32"/>
          <w:szCs w:val="32"/>
        </w:rPr>
        <w:t>万元</w:t>
      </w:r>
      <w:r>
        <w:rPr>
          <w:rFonts w:hint="eastAsia" w:ascii="Times New Roman" w:hAnsi="Times New Roman" w:eastAsia="仿宋_GB2312"/>
          <w:color w:val="000000"/>
          <w:kern w:val="1"/>
          <w:sz w:val="32"/>
          <w:szCs w:val="32"/>
          <w:lang w:eastAsia="zh-CN"/>
        </w:rPr>
        <w:t>，</w:t>
      </w:r>
      <w:r>
        <w:rPr>
          <w:rFonts w:hint="eastAsia" w:ascii="仿宋_GB2312" w:hAnsi="Times New Roman" w:eastAsia="仿宋_GB2312"/>
          <w:sz w:val="32"/>
          <w:szCs w:val="32"/>
          <w:lang w:eastAsia="zh-CN"/>
        </w:rPr>
        <w:t>预计</w:t>
      </w:r>
      <w:r>
        <w:rPr>
          <w:rFonts w:hint="eastAsia" w:ascii="仿宋_GB2312" w:hAnsi="Times New Roman" w:eastAsia="仿宋_GB2312"/>
          <w:sz w:val="32"/>
          <w:szCs w:val="32"/>
          <w:lang w:val="en-US" w:eastAsia="zh-CN"/>
        </w:rPr>
        <w:t>12月底完成，建成后可以解决格里坪片区、河门口片区和清香坪部分区域的城市生活污水收集和处理问题</w:t>
      </w:r>
      <w:r>
        <w:rPr>
          <w:rFonts w:hint="eastAsia" w:ascii="仿宋_GB2312" w:hAnsi="Times New Roman" w:eastAsia="仿宋_GB2312"/>
          <w:sz w:val="32"/>
          <w:szCs w:val="32"/>
        </w:rPr>
        <w:t>。</w:t>
      </w:r>
    </w:p>
    <w:p w14:paraId="6796A427">
      <w:pPr>
        <w:keepNext w:val="0"/>
        <w:keepLines w:val="0"/>
        <w:pageBreakBefore w:val="0"/>
        <w:widowControl w:val="0"/>
        <w:numPr>
          <w:ilvl w:val="0"/>
          <w:numId w:val="0"/>
        </w:numPr>
        <w:kinsoku/>
        <w:wordWrap/>
        <w:overflowPunct/>
        <w:topLinePunct w:val="0"/>
        <w:autoSpaceDE/>
        <w:autoSpaceDN/>
        <w:bidi w:val="0"/>
        <w:adjustRightInd/>
        <w:snapToGrid/>
        <w:spacing w:line="353" w:lineRule="auto"/>
        <w:ind w:left="0" w:firstLine="640" w:firstLineChars="200"/>
        <w:textAlignment w:val="auto"/>
        <w:rPr>
          <w:rFonts w:hint="eastAsia" w:ascii="仿宋" w:hAnsi="仿宋" w:eastAsia="仿宋"/>
          <w:bCs/>
          <w:color w:val="000000"/>
          <w:sz w:val="32"/>
          <w:szCs w:val="32"/>
        </w:rPr>
      </w:pPr>
      <w:r>
        <w:rPr>
          <w:rFonts w:hint="eastAsia" w:ascii="楷体_GB2312" w:hAnsi="楷体_GB2312" w:eastAsia="楷体_GB2312" w:cs="楷体_GB2312"/>
          <w:color w:val="000000"/>
          <w:sz w:val="32"/>
          <w:szCs w:val="32"/>
          <w:shd w:val="clear" w:color="auto" w:fill="FFFFFF"/>
          <w:lang w:val="en-US" w:eastAsia="zh-CN"/>
        </w:rPr>
        <w:t>（4）法制宣传工作。</w:t>
      </w:r>
      <w:r>
        <w:rPr>
          <w:rFonts w:hint="eastAsia" w:ascii="仿宋_GB2312" w:hAnsi="Times New Roman" w:eastAsia="仿宋_GB2312"/>
          <w:sz w:val="32"/>
          <w:szCs w:val="32"/>
        </w:rPr>
        <w:t>重点抓好依法治区、宪法学习宣传教育等工作，加强法治教育，提高职工法治意识和依法办事的能力。将扫黑除恶专项斗争工作与日常检查、执法检查相结合，</w:t>
      </w:r>
      <w:r>
        <w:rPr>
          <w:rFonts w:hint="eastAsia" w:ascii="仿宋_GB2312" w:hAnsi="Times New Roman" w:eastAsia="仿宋_GB2312"/>
          <w:sz w:val="32"/>
          <w:szCs w:val="32"/>
          <w:lang w:eastAsia="zh-CN"/>
        </w:rPr>
        <w:t>共</w:t>
      </w:r>
      <w:r>
        <w:rPr>
          <w:rFonts w:hint="default" w:ascii="仿宋_GB2312" w:hAnsi="Times New Roman" w:eastAsia="仿宋_GB2312"/>
          <w:sz w:val="32"/>
          <w:szCs w:val="32"/>
          <w:lang w:val="en-US" w:eastAsia="zh-CN"/>
        </w:rPr>
        <w:t>设置举报信箱1个、公布举报电话1部、LED显示屏2处（攀西商场和玉泉广场）、横幅标语14条、张贴扫黑除恶宣传单60余张。</w:t>
      </w:r>
      <w:r>
        <w:rPr>
          <w:rFonts w:hint="eastAsia" w:ascii="仿宋_GB2312" w:hAnsi="Times New Roman" w:eastAsia="仿宋_GB2312"/>
          <w:sz w:val="32"/>
          <w:szCs w:val="32"/>
          <w:lang w:val="en-US" w:eastAsia="zh-CN"/>
        </w:rPr>
        <w:t>全年</w:t>
      </w:r>
      <w:r>
        <w:rPr>
          <w:rFonts w:hint="eastAsia" w:ascii="仿宋_GB2312" w:hAnsi="Times New Roman" w:eastAsia="仿宋_GB2312"/>
          <w:sz w:val="32"/>
          <w:szCs w:val="32"/>
        </w:rPr>
        <w:t>共收到信访案件</w:t>
      </w:r>
      <w:r>
        <w:rPr>
          <w:rFonts w:hint="eastAsia" w:ascii="仿宋_GB2312" w:hAnsi="Times New Roman" w:eastAsia="仿宋_GB2312"/>
          <w:sz w:val="32"/>
          <w:szCs w:val="32"/>
          <w:lang w:val="en-US" w:eastAsia="zh-CN"/>
        </w:rPr>
        <w:t>90</w:t>
      </w:r>
      <w:r>
        <w:rPr>
          <w:rFonts w:hint="eastAsia" w:ascii="仿宋_GB2312" w:hAnsi="Times New Roman" w:eastAsia="仿宋_GB2312"/>
          <w:sz w:val="32"/>
          <w:szCs w:val="32"/>
        </w:rPr>
        <w:t>余件，</w:t>
      </w:r>
      <w:r>
        <w:rPr>
          <w:rFonts w:hint="eastAsia" w:ascii="仿宋_GB2312" w:hAnsi="Times New Roman" w:eastAsia="仿宋_GB2312"/>
          <w:sz w:val="32"/>
          <w:szCs w:val="32"/>
          <w:lang w:eastAsia="zh-CN"/>
        </w:rPr>
        <w:t>其中</w:t>
      </w:r>
      <w:r>
        <w:rPr>
          <w:rFonts w:hint="eastAsia" w:ascii="仿宋_GB2312" w:hAnsi="Times New Roman" w:eastAsia="仿宋_GB2312"/>
          <w:sz w:val="32"/>
          <w:szCs w:val="32"/>
        </w:rPr>
        <w:t>《市长信箱》8件</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《攀枝花市西区“书记区长信箱”信访事项交办通知书1</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rPr>
        <w:t>件</w:t>
      </w:r>
      <w:r>
        <w:rPr>
          <w:rFonts w:hint="eastAsia" w:ascii="仿宋_GB2312" w:hAnsi="Times New Roman" w:eastAsia="仿宋_GB2312"/>
          <w:sz w:val="32"/>
          <w:szCs w:val="32"/>
          <w:lang w:eastAsia="zh-CN"/>
        </w:rPr>
        <w:t>，市民</w:t>
      </w:r>
      <w:r>
        <w:rPr>
          <w:rFonts w:hint="eastAsia" w:ascii="仿宋_GB2312" w:hAnsi="Times New Roman" w:eastAsia="仿宋_GB2312"/>
          <w:sz w:val="32"/>
          <w:szCs w:val="32"/>
        </w:rPr>
        <w:t>来电受理工单</w:t>
      </w:r>
      <w:r>
        <w:rPr>
          <w:rFonts w:hint="eastAsia" w:ascii="仿宋_GB2312" w:hAnsi="Times New Roman" w:eastAsia="仿宋_GB2312"/>
          <w:sz w:val="32"/>
          <w:szCs w:val="32"/>
          <w:lang w:val="en-US" w:eastAsia="zh-CN"/>
        </w:rPr>
        <w:t>80</w:t>
      </w:r>
      <w:r>
        <w:rPr>
          <w:rFonts w:hint="eastAsia" w:ascii="仿宋_GB2312" w:hAnsi="Times New Roman" w:eastAsia="仿宋_GB2312"/>
          <w:sz w:val="32"/>
          <w:szCs w:val="32"/>
        </w:rPr>
        <w:t>件，四川省网上信访信息系统收到信</w:t>
      </w:r>
      <w:r>
        <w:rPr>
          <w:rFonts w:hint="eastAsia" w:ascii="仿宋_GB2312" w:hAnsi="Times New Roman" w:eastAsia="仿宋_GB2312"/>
          <w:sz w:val="32"/>
          <w:szCs w:val="32"/>
          <w:lang w:eastAsia="zh-CN"/>
        </w:rPr>
        <w:t>件</w:t>
      </w:r>
      <w:r>
        <w:rPr>
          <w:rFonts w:hint="eastAsia" w:ascii="仿宋_GB2312" w:hAnsi="Times New Roman" w:eastAsia="仿宋_GB2312"/>
          <w:sz w:val="32"/>
          <w:szCs w:val="32"/>
          <w:lang w:val="en-US" w:eastAsia="zh-CN"/>
        </w:rPr>
        <w:t>4件，</w:t>
      </w:r>
      <w:r>
        <w:rPr>
          <w:rFonts w:hint="eastAsia" w:ascii="仿宋_GB2312" w:hAnsi="Times New Roman" w:eastAsia="仿宋_GB2312"/>
          <w:sz w:val="32"/>
          <w:szCs w:val="32"/>
          <w:lang w:eastAsia="zh-CN"/>
        </w:rPr>
        <w:t>办结率达到</w:t>
      </w:r>
      <w:r>
        <w:rPr>
          <w:rFonts w:hint="eastAsia" w:ascii="仿宋_GB2312" w:hAnsi="Times New Roman" w:eastAsia="仿宋_GB2312"/>
          <w:sz w:val="32"/>
          <w:szCs w:val="32"/>
          <w:lang w:val="en-US" w:eastAsia="zh-CN"/>
        </w:rPr>
        <w:t>96%</w:t>
      </w:r>
      <w:r>
        <w:rPr>
          <w:rFonts w:hint="eastAsia" w:ascii="仿宋_GB2312" w:hAnsi="Times New Roman" w:eastAsia="仿宋_GB2312"/>
          <w:sz w:val="32"/>
          <w:szCs w:val="32"/>
        </w:rPr>
        <w:t>。</w:t>
      </w:r>
      <w:r>
        <w:rPr>
          <w:rFonts w:hint="eastAsia" w:ascii="仿宋_GB2312" w:hAnsi="Times New Roman" w:eastAsia="仿宋_GB2312"/>
          <w:color w:val="000000"/>
          <w:kern w:val="1"/>
          <w:sz w:val="32"/>
          <w:szCs w:val="32"/>
          <w:lang w:val="en-US" w:eastAsia="zh-CN"/>
        </w:rPr>
        <w:t>数字城管系统共收集各类案件30487件，实际处置25709件，处置率为84.33% 。12345市民服务热线共收到投诉488件，结案452件，结案率92.62%。</w:t>
      </w:r>
    </w:p>
    <w:p w14:paraId="1C4585F9">
      <w:pPr>
        <w:pStyle w:val="3"/>
        <w:pageBreakBefore w:val="0"/>
        <w:widowControl w:val="0"/>
        <w:kinsoku/>
        <w:wordWrap/>
        <w:overflowPunct/>
        <w:topLinePunct w:val="0"/>
        <w:autoSpaceDE/>
        <w:autoSpaceDN/>
        <w:bidi w:val="0"/>
        <w:adjustRightInd/>
        <w:spacing w:line="353" w:lineRule="auto"/>
        <w:textAlignment w:val="auto"/>
        <w:rPr>
          <w:rStyle w:val="14"/>
          <w:b w:val="0"/>
          <w:bCs w:val="0"/>
        </w:rPr>
      </w:pPr>
      <w:bookmarkStart w:id="19" w:name="_Toc15377200"/>
      <w:bookmarkStart w:id="20" w:name="_Toc15396601"/>
      <w:r>
        <w:rPr>
          <w:rFonts w:hint="eastAsia" w:ascii="黑体" w:eastAsia="黑体"/>
          <w:b w:val="0"/>
          <w:color w:val="000000"/>
        </w:rPr>
        <w:t>二、</w:t>
      </w:r>
      <w:r>
        <w:rPr>
          <w:rFonts w:hint="eastAsia" w:ascii="黑体" w:hAnsi="黑体" w:eastAsia="黑体"/>
          <w:b w:val="0"/>
          <w:color w:val="000000"/>
        </w:rPr>
        <w:t>机</w:t>
      </w:r>
      <w:r>
        <w:rPr>
          <w:rStyle w:val="14"/>
          <w:rFonts w:hint="eastAsia" w:ascii="黑体" w:hAnsi="黑体" w:eastAsia="黑体"/>
          <w:b w:val="0"/>
          <w:bCs w:val="0"/>
        </w:rPr>
        <w:t>构设置</w:t>
      </w:r>
      <w:bookmarkEnd w:id="19"/>
      <w:bookmarkEnd w:id="20"/>
    </w:p>
    <w:p w14:paraId="4E6E9BE2">
      <w:pPr>
        <w:pageBreakBefore w:val="0"/>
        <w:widowControl w:val="0"/>
        <w:kinsoku/>
        <w:wordWrap/>
        <w:overflowPunct/>
        <w:topLinePunct w:val="0"/>
        <w:autoSpaceDE/>
        <w:autoSpaceDN/>
        <w:bidi w:val="0"/>
        <w:adjustRightInd/>
        <w:snapToGrid w:val="0"/>
        <w:spacing w:line="353" w:lineRule="auto"/>
        <w:ind w:firstLine="640" w:firstLineChars="200"/>
        <w:textAlignment w:val="auto"/>
        <w:rPr>
          <w:rFonts w:hint="eastAsia" w:ascii="仿宋_GB2312" w:hAnsi="仿宋" w:eastAsia="仿宋_GB2312"/>
          <w:sz w:val="32"/>
          <w:szCs w:val="32"/>
          <w:lang w:val="en-US"/>
        </w:rPr>
      </w:pPr>
      <w:bookmarkStart w:id="21" w:name="_Toc15378448"/>
      <w:bookmarkStart w:id="22" w:name="_Toc15377201"/>
      <w:bookmarkStart w:id="23" w:name="_Toc15306275"/>
      <w:bookmarkStart w:id="24" w:name="_Toc15377432"/>
      <w:r>
        <w:rPr>
          <w:rFonts w:hint="eastAsia" w:ascii="仿宋_GB2312" w:hAnsi="仿宋" w:eastAsia="仿宋_GB2312"/>
          <w:sz w:val="32"/>
          <w:szCs w:val="32"/>
          <w:lang w:val="en-US" w:eastAsia="zh-CN"/>
        </w:rPr>
        <w:t>（1）2019年</w:t>
      </w:r>
      <w:r>
        <w:rPr>
          <w:rFonts w:hint="eastAsia" w:ascii="仿宋_GB2312" w:hAnsi="仿宋" w:eastAsia="仿宋_GB2312"/>
          <w:sz w:val="32"/>
          <w:szCs w:val="32"/>
        </w:rPr>
        <w:t>区综合执法局设下列</w:t>
      </w:r>
      <w:r>
        <w:rPr>
          <w:rFonts w:hint="eastAsia" w:ascii="仿宋_GB2312" w:hAnsi="仿宋" w:eastAsia="仿宋_GB2312"/>
          <w:sz w:val="32"/>
          <w:szCs w:val="32"/>
          <w:lang w:val="en-US" w:eastAsia="zh-CN"/>
        </w:rPr>
        <w:t>4个</w:t>
      </w:r>
      <w:r>
        <w:rPr>
          <w:rFonts w:hint="eastAsia" w:ascii="仿宋_GB2312" w:hAnsi="仿宋" w:eastAsia="仿宋_GB2312"/>
          <w:sz w:val="32"/>
          <w:szCs w:val="32"/>
        </w:rPr>
        <w:t>内设机构：办公室</w:t>
      </w:r>
      <w:r>
        <w:rPr>
          <w:rFonts w:hint="eastAsia" w:ascii="仿宋_GB2312" w:hAnsi="仿宋" w:eastAsia="仿宋_GB2312"/>
          <w:sz w:val="32"/>
          <w:szCs w:val="32"/>
          <w:lang w:eastAsia="zh-CN"/>
        </w:rPr>
        <w:t>、法制股（数字化管理中心）、市政容貌股、园林绿化股。</w:t>
      </w:r>
    </w:p>
    <w:p w14:paraId="3182EFC5">
      <w:pPr>
        <w:pageBreakBefore w:val="0"/>
        <w:widowControl w:val="0"/>
        <w:kinsoku/>
        <w:wordWrap/>
        <w:overflowPunct/>
        <w:topLinePunct w:val="0"/>
        <w:autoSpaceDE/>
        <w:autoSpaceDN/>
        <w:bidi w:val="0"/>
        <w:adjustRightInd/>
        <w:snapToGrid w:val="0"/>
        <w:spacing w:line="353" w:lineRule="auto"/>
        <w:ind w:firstLine="640" w:firstLineChars="200"/>
        <w:textAlignment w:val="auto"/>
        <w:rPr>
          <w:rFonts w:ascii="仿宋" w:hAnsi="仿宋" w:eastAsia="仿宋"/>
          <w:color w:val="000000"/>
          <w:kern w:val="0"/>
          <w:sz w:val="32"/>
          <w:szCs w:val="32"/>
        </w:rPr>
      </w:pPr>
      <w:r>
        <w:rPr>
          <w:rFonts w:hint="eastAsia" w:ascii="仿宋_GB2312" w:hAnsi="仿宋" w:eastAsia="仿宋_GB2312"/>
          <w:sz w:val="32"/>
          <w:szCs w:val="32"/>
          <w:lang w:val="en-US" w:eastAsia="zh-CN"/>
        </w:rPr>
        <w:t>（2）2</w:t>
      </w:r>
      <w:r>
        <w:rPr>
          <w:rFonts w:hint="eastAsia" w:ascii="仿宋_GB2312" w:hAnsi="仿宋" w:eastAsia="仿宋_GB2312"/>
          <w:sz w:val="32"/>
          <w:szCs w:val="32"/>
        </w:rPr>
        <w:t>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年攀枝花市西区</w:t>
      </w:r>
      <w:r>
        <w:rPr>
          <w:rFonts w:hint="eastAsia" w:ascii="仿宋_GB2312" w:hAnsi="仿宋" w:eastAsia="仿宋_GB2312"/>
          <w:sz w:val="32"/>
          <w:szCs w:val="32"/>
          <w:lang w:eastAsia="zh-CN"/>
        </w:rPr>
        <w:t>综合行政执法局</w:t>
      </w:r>
      <w:r>
        <w:rPr>
          <w:rFonts w:hint="eastAsia" w:ascii="仿宋_GB2312" w:hAnsi="仿宋" w:eastAsia="仿宋_GB2312"/>
          <w:sz w:val="32"/>
          <w:szCs w:val="32"/>
        </w:rPr>
        <w:t>下属二级单位4个，其中行政单位0个，参照公务员法管理的事业单位2个，其他事业单位2个。</w:t>
      </w:r>
      <w:r>
        <w:rPr>
          <w:rFonts w:hint="eastAsia" w:ascii="仿宋_GB2312" w:hAnsi="仿宋" w:eastAsia="仿宋_GB2312"/>
          <w:sz w:val="32"/>
          <w:szCs w:val="32"/>
          <w:lang w:val="en-US" w:eastAsia="zh-CN"/>
        </w:rPr>
        <w:t>纳入攀枝花市</w:t>
      </w:r>
      <w:r>
        <w:rPr>
          <w:rFonts w:hint="eastAsia" w:ascii="仿宋_GB2312" w:hAnsi="仿宋" w:eastAsia="仿宋_GB2312"/>
          <w:sz w:val="32"/>
          <w:szCs w:val="32"/>
        </w:rPr>
        <w:t>西区</w:t>
      </w:r>
      <w:r>
        <w:rPr>
          <w:rFonts w:hint="eastAsia" w:ascii="仿宋_GB2312" w:hAnsi="仿宋" w:eastAsia="仿宋_GB2312"/>
          <w:sz w:val="32"/>
          <w:szCs w:val="32"/>
          <w:lang w:eastAsia="zh-CN"/>
        </w:rPr>
        <w:t>综合行政执法局</w:t>
      </w:r>
      <w:r>
        <w:rPr>
          <w:rFonts w:hint="eastAsia" w:ascii="仿宋_GB2312" w:hAnsi="仿宋" w:eastAsia="仿宋_GB2312"/>
          <w:sz w:val="32"/>
          <w:szCs w:val="32"/>
          <w:lang w:val="en-US" w:eastAsia="zh-CN"/>
        </w:rPr>
        <w:t>2019年度部门决算编制范围的二级预算单位包括：攀枝花市西区市容环境卫生管理局、攀枝花市西区城建监察大队、攀枝花市西区生活垃圾处理中心、攀枝花市河门口公园</w:t>
      </w:r>
      <w:bookmarkEnd w:id="21"/>
      <w:bookmarkEnd w:id="22"/>
      <w:bookmarkEnd w:id="23"/>
      <w:bookmarkEnd w:id="24"/>
      <w:r>
        <w:rPr>
          <w:rFonts w:hint="eastAsia" w:ascii="仿宋_GB2312" w:hAnsi="仿宋" w:eastAsia="仿宋_GB2312"/>
          <w:sz w:val="32"/>
          <w:szCs w:val="32"/>
          <w:lang w:val="en-US" w:eastAsia="zh-CN"/>
        </w:rPr>
        <w:t>。</w:t>
      </w:r>
    </w:p>
    <w:p w14:paraId="3D77C6A5">
      <w:pPr>
        <w:pStyle w:val="2"/>
        <w:pageBreakBefore w:val="0"/>
        <w:widowControl w:val="0"/>
        <w:kinsoku/>
        <w:wordWrap/>
        <w:overflowPunct/>
        <w:topLinePunct w:val="0"/>
        <w:autoSpaceDE/>
        <w:autoSpaceDN/>
        <w:bidi w:val="0"/>
        <w:adjustRightInd/>
        <w:spacing w:line="353" w:lineRule="auto"/>
        <w:ind w:right="440"/>
        <w:jc w:val="both"/>
        <w:textAlignment w:val="auto"/>
        <w:rPr>
          <w:rFonts w:hint="eastAsia" w:ascii="黑体" w:hAnsi="黑体" w:eastAsia="黑体"/>
          <w:b w:val="0"/>
          <w:color w:val="000000"/>
        </w:rPr>
      </w:pPr>
      <w:bookmarkStart w:id="25" w:name="_Toc15377204"/>
      <w:bookmarkStart w:id="26" w:name="_Toc15396602"/>
    </w:p>
    <w:p w14:paraId="4F8E77FD">
      <w:pPr>
        <w:pageBreakBefore w:val="0"/>
        <w:kinsoku/>
        <w:wordWrap/>
        <w:overflowPunct/>
        <w:topLinePunct w:val="0"/>
        <w:bidi w:val="0"/>
        <w:spacing w:line="353" w:lineRule="auto"/>
        <w:rPr>
          <w:rFonts w:hint="eastAsia" w:ascii="黑体" w:hAnsi="黑体" w:eastAsia="黑体"/>
          <w:b w:val="0"/>
          <w:color w:val="000000"/>
        </w:rPr>
      </w:pPr>
    </w:p>
    <w:p w14:paraId="5D169CAA">
      <w:pPr>
        <w:pageBreakBefore w:val="0"/>
        <w:kinsoku/>
        <w:wordWrap/>
        <w:overflowPunct/>
        <w:topLinePunct w:val="0"/>
        <w:bidi w:val="0"/>
        <w:spacing w:line="353" w:lineRule="auto"/>
        <w:rPr>
          <w:rFonts w:hint="eastAsia" w:ascii="黑体" w:hAnsi="黑体" w:eastAsia="黑体"/>
          <w:b w:val="0"/>
          <w:color w:val="000000"/>
        </w:rPr>
      </w:pPr>
    </w:p>
    <w:p w14:paraId="3B02019E">
      <w:pPr>
        <w:pageBreakBefore w:val="0"/>
        <w:kinsoku/>
        <w:wordWrap/>
        <w:overflowPunct/>
        <w:topLinePunct w:val="0"/>
        <w:bidi w:val="0"/>
        <w:spacing w:line="353" w:lineRule="auto"/>
        <w:rPr>
          <w:rFonts w:hint="eastAsia" w:ascii="黑体" w:hAnsi="黑体" w:eastAsia="黑体"/>
          <w:b w:val="0"/>
          <w:color w:val="000000"/>
        </w:rPr>
      </w:pPr>
    </w:p>
    <w:p w14:paraId="2E13BA5A">
      <w:pPr>
        <w:pageBreakBefore w:val="0"/>
        <w:kinsoku/>
        <w:wordWrap/>
        <w:overflowPunct/>
        <w:topLinePunct w:val="0"/>
        <w:bidi w:val="0"/>
        <w:spacing w:line="353" w:lineRule="auto"/>
        <w:rPr>
          <w:rFonts w:hint="eastAsia" w:ascii="黑体" w:hAnsi="黑体" w:eastAsia="黑体"/>
          <w:b w:val="0"/>
          <w:color w:val="000000"/>
        </w:rPr>
      </w:pPr>
    </w:p>
    <w:p w14:paraId="45EDAC2E">
      <w:pPr>
        <w:pageBreakBefore w:val="0"/>
        <w:kinsoku/>
        <w:wordWrap/>
        <w:overflowPunct/>
        <w:topLinePunct w:val="0"/>
        <w:bidi w:val="0"/>
        <w:spacing w:line="353" w:lineRule="auto"/>
        <w:rPr>
          <w:rFonts w:hint="eastAsia" w:ascii="黑体" w:hAnsi="黑体" w:eastAsia="黑体"/>
          <w:b w:val="0"/>
          <w:color w:val="000000"/>
        </w:rPr>
      </w:pPr>
    </w:p>
    <w:p w14:paraId="18A0F5BF">
      <w:pPr>
        <w:pageBreakBefore w:val="0"/>
        <w:kinsoku/>
        <w:wordWrap/>
        <w:overflowPunct/>
        <w:topLinePunct w:val="0"/>
        <w:bidi w:val="0"/>
        <w:spacing w:line="353" w:lineRule="auto"/>
        <w:rPr>
          <w:rFonts w:hint="eastAsia" w:ascii="黑体" w:hAnsi="黑体" w:eastAsia="黑体"/>
          <w:b w:val="0"/>
          <w:color w:val="000000"/>
        </w:rPr>
      </w:pPr>
    </w:p>
    <w:p w14:paraId="17FFD0B5">
      <w:pPr>
        <w:pStyle w:val="2"/>
        <w:pageBreakBefore w:val="0"/>
        <w:widowControl w:val="0"/>
        <w:kinsoku/>
        <w:wordWrap/>
        <w:overflowPunct/>
        <w:topLinePunct w:val="0"/>
        <w:autoSpaceDE/>
        <w:autoSpaceDN/>
        <w:bidi w:val="0"/>
        <w:adjustRightInd/>
        <w:snapToGrid/>
        <w:spacing w:line="353" w:lineRule="auto"/>
        <w:ind w:right="440"/>
        <w:jc w:val="right"/>
        <w:textAlignment w:val="auto"/>
      </w:pPr>
      <w:r>
        <w:rPr>
          <w:rFonts w:hint="eastAsia" w:ascii="黑体" w:hAnsi="黑体" w:eastAsia="黑体"/>
          <w:b w:val="0"/>
          <w:color w:val="000000"/>
        </w:rPr>
        <w:t>第二部分</w:t>
      </w:r>
      <w:r>
        <w:rPr>
          <w:rFonts w:hint="eastAsia" w:ascii="黑体" w:hAnsi="黑体" w:eastAsia="黑体"/>
          <w:color w:val="000000"/>
        </w:rPr>
        <w:t xml:space="preserve"> </w:t>
      </w:r>
      <w:r>
        <w:rPr>
          <w:rStyle w:val="13"/>
          <w:rFonts w:hint="eastAsia" w:ascii="黑体" w:hAnsi="黑体" w:eastAsia="黑体"/>
          <w:b w:val="0"/>
          <w:bCs w:val="0"/>
        </w:rPr>
        <w:t>2019年度部门决算情况说明</w:t>
      </w:r>
      <w:bookmarkEnd w:id="25"/>
      <w:bookmarkEnd w:id="26"/>
    </w:p>
    <w:p w14:paraId="098B892B">
      <w:pPr>
        <w:pStyle w:val="15"/>
        <w:pageBreakBefore w:val="0"/>
        <w:widowControl w:val="0"/>
        <w:numPr>
          <w:ilvl w:val="0"/>
          <w:numId w:val="2"/>
        </w:numPr>
        <w:kinsoku/>
        <w:wordWrap/>
        <w:overflowPunct/>
        <w:topLinePunct w:val="0"/>
        <w:autoSpaceDE/>
        <w:autoSpaceDN/>
        <w:bidi w:val="0"/>
        <w:adjustRightInd/>
        <w:snapToGrid/>
        <w:spacing w:line="353" w:lineRule="auto"/>
        <w:ind w:firstLineChars="0"/>
        <w:textAlignment w:val="auto"/>
        <w:outlineLvl w:val="1"/>
        <w:rPr>
          <w:rStyle w:val="14"/>
          <w:rFonts w:ascii="黑体" w:hAnsi="黑体" w:eastAsia="黑体"/>
          <w:b w:val="0"/>
        </w:rPr>
      </w:pPr>
      <w:bookmarkStart w:id="27" w:name="_Toc15396603"/>
      <w:bookmarkStart w:id="28" w:name="_Toc15377205"/>
      <w:r>
        <w:rPr>
          <w:rFonts w:hint="eastAsia" w:ascii="黑体" w:hAnsi="黑体" w:eastAsia="黑体"/>
          <w:color w:val="000000"/>
          <w:sz w:val="32"/>
          <w:szCs w:val="32"/>
        </w:rPr>
        <w:t>收</w:t>
      </w:r>
      <w:r>
        <w:rPr>
          <w:rStyle w:val="14"/>
          <w:rFonts w:hint="eastAsia" w:ascii="黑体" w:hAnsi="黑体" w:eastAsia="黑体"/>
          <w:b w:val="0"/>
        </w:rPr>
        <w:t>入支出决算总体情况说明</w:t>
      </w:r>
      <w:bookmarkEnd w:id="27"/>
      <w:bookmarkEnd w:id="28"/>
    </w:p>
    <w:p w14:paraId="1539AF66">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color w:val="0000FF"/>
          <w:sz w:val="32"/>
          <w:szCs w:val="32"/>
          <w:lang w:val="en-US" w:eastAsia="zh-CN"/>
        </w:rPr>
      </w:pPr>
      <w:r>
        <w:rPr>
          <w:rFonts w:hint="eastAsia" w:ascii="仿宋" w:hAnsi="仿宋" w:eastAsia="仿宋"/>
          <w:color w:val="000000"/>
          <w:sz w:val="32"/>
          <w:szCs w:val="32"/>
          <w:lang w:val="en-US" w:eastAsia="zh-CN"/>
        </w:rPr>
        <w:t>2019年度收入总计502.16万元，支出总计1325.77万元。与2018年相比，2019年收入总计减少853.87万元，下降62.97%，支出总计减少2851.24万元，下降68.26%。主要变动原因是本年比去年项目经费减少。</w:t>
      </w:r>
    </w:p>
    <w:p w14:paraId="0956A6F4">
      <w:pPr>
        <w:pageBreakBefore w:val="0"/>
        <w:kinsoku/>
        <w:wordWrap/>
        <w:overflowPunct/>
        <w:topLinePunct w:val="0"/>
        <w:bidi w:val="0"/>
        <w:spacing w:line="353" w:lineRule="auto"/>
        <w:ind w:firstLine="1920" w:firstLineChars="6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14:paraId="45065A51">
      <w:pPr>
        <w:pageBreakBefore w:val="0"/>
        <w:kinsoku/>
        <w:wordWrap/>
        <w:overflowPunct/>
        <w:topLinePunct w:val="0"/>
        <w:bidi w:val="0"/>
        <w:spacing w:line="353" w:lineRule="auto"/>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anchor distT="0" distB="0" distL="114300" distR="114300" simplePos="0" relativeHeight="251659264" behindDoc="0" locked="0" layoutInCell="1" allowOverlap="1">
            <wp:simplePos x="0" y="0"/>
            <wp:positionH relativeFrom="column">
              <wp:posOffset>982345</wp:posOffset>
            </wp:positionH>
            <wp:positionV relativeFrom="paragraph">
              <wp:posOffset>106680</wp:posOffset>
            </wp:positionV>
            <wp:extent cx="3718560" cy="2962275"/>
            <wp:effectExtent l="4445" t="4445" r="10795" b="508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058D085">
      <w:pPr>
        <w:pStyle w:val="15"/>
        <w:pageBreakBefore w:val="0"/>
        <w:numPr>
          <w:ilvl w:val="0"/>
          <w:numId w:val="2"/>
        </w:numPr>
        <w:kinsoku/>
        <w:wordWrap/>
        <w:overflowPunct/>
        <w:topLinePunct w:val="0"/>
        <w:bidi w:val="0"/>
        <w:spacing w:line="353" w:lineRule="auto"/>
        <w:ind w:firstLineChars="0"/>
        <w:outlineLvl w:val="1"/>
        <w:rPr>
          <w:rStyle w:val="14"/>
          <w:rFonts w:ascii="黑体" w:hAnsi="黑体" w:eastAsia="黑体"/>
          <w:b w:val="0"/>
        </w:rPr>
      </w:pPr>
      <w:bookmarkStart w:id="29" w:name="_Toc15396604"/>
      <w:bookmarkStart w:id="30" w:name="_Toc15377206"/>
      <w:r>
        <w:rPr>
          <w:rFonts w:hint="eastAsia" w:ascii="黑体" w:hAnsi="黑体" w:eastAsia="黑体"/>
          <w:color w:val="000000"/>
          <w:sz w:val="32"/>
          <w:szCs w:val="32"/>
        </w:rPr>
        <w:t>收</w:t>
      </w:r>
      <w:r>
        <w:rPr>
          <w:rStyle w:val="14"/>
          <w:rFonts w:hint="eastAsia" w:ascii="黑体" w:hAnsi="黑体" w:eastAsia="黑体"/>
          <w:b w:val="0"/>
        </w:rPr>
        <w:t>入决算情况说明</w:t>
      </w:r>
      <w:bookmarkEnd w:id="29"/>
      <w:bookmarkEnd w:id="30"/>
    </w:p>
    <w:p w14:paraId="679B4902">
      <w:pPr>
        <w:pageBreakBefore w:val="0"/>
        <w:kinsoku/>
        <w:wordWrap/>
        <w:overflowPunct/>
        <w:topLinePunct w:val="0"/>
        <w:bidi w:val="0"/>
        <w:spacing w:line="353" w:lineRule="auto"/>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502.16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308.62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61.46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193.28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38.49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0.05</w:t>
      </w:r>
      <w:r>
        <w:rPr>
          <w:rFonts w:ascii="仿宋" w:hAnsi="仿宋" w:eastAsia="仿宋"/>
          <w:color w:val="000000"/>
          <w:sz w:val="32"/>
          <w:szCs w:val="32"/>
        </w:rPr>
        <w:t>%</w:t>
      </w:r>
      <w:r>
        <w:rPr>
          <w:rFonts w:hint="eastAsia" w:ascii="仿宋" w:hAnsi="仿宋" w:eastAsia="仿宋"/>
          <w:color w:val="000000"/>
          <w:sz w:val="32"/>
          <w:szCs w:val="32"/>
        </w:rPr>
        <w:t>。</w:t>
      </w:r>
    </w:p>
    <w:p w14:paraId="618CBF21">
      <w:pPr>
        <w:pageBreakBefore w:val="0"/>
        <w:kinsoku/>
        <w:wordWrap/>
        <w:overflowPunct/>
        <w:topLinePunct w:val="0"/>
        <w:bidi w:val="0"/>
        <w:spacing w:line="353" w:lineRule="auto"/>
        <w:ind w:firstLine="2560" w:firstLineChars="800"/>
        <w:rPr>
          <w:rFonts w:hint="eastAsia" w:ascii="仿宋" w:hAnsi="仿宋" w:eastAsia="仿宋"/>
          <w:color w:val="000000" w:themeColor="text1"/>
          <w:sz w:val="32"/>
          <w:szCs w:val="32"/>
          <w:lang w:eastAsia="zh-CN"/>
          <w14:textFill>
            <w14:solidFill>
              <w14:schemeClr w14:val="tx1"/>
            </w14:solidFill>
          </w14:textFill>
        </w:rPr>
      </w:pPr>
      <w:r>
        <w:rPr>
          <w:rFonts w:hint="eastAsia" w:ascii="仿宋_GB2312" w:eastAsia="仿宋_GB2312"/>
          <w:color w:val="FF0000"/>
          <w:sz w:val="32"/>
          <w:szCs w:val="32"/>
          <w:lang w:eastAsia="zh-CN"/>
        </w:rPr>
        <w:drawing>
          <wp:anchor distT="0" distB="0" distL="114300" distR="114300" simplePos="0" relativeHeight="251660288" behindDoc="0" locked="0" layoutInCell="1" allowOverlap="1">
            <wp:simplePos x="0" y="0"/>
            <wp:positionH relativeFrom="column">
              <wp:posOffset>782320</wp:posOffset>
            </wp:positionH>
            <wp:positionV relativeFrom="paragraph">
              <wp:posOffset>52070</wp:posOffset>
            </wp:positionV>
            <wp:extent cx="3775710" cy="3067050"/>
            <wp:effectExtent l="4445" t="4445" r="1079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14:textFill>
            <w14:solidFill>
              <w14:schemeClr w14:val="tx1"/>
            </w14:solidFill>
          </w14:textFill>
        </w:rPr>
        <w:t>图2：收入决算结构图</w:t>
      </w:r>
    </w:p>
    <w:p w14:paraId="4E0907AB">
      <w:pPr>
        <w:pStyle w:val="15"/>
        <w:pageBreakBefore w:val="0"/>
        <w:numPr>
          <w:ilvl w:val="0"/>
          <w:numId w:val="2"/>
        </w:numPr>
        <w:kinsoku/>
        <w:wordWrap/>
        <w:overflowPunct/>
        <w:topLinePunct w:val="0"/>
        <w:bidi w:val="0"/>
        <w:spacing w:line="353" w:lineRule="auto"/>
        <w:ind w:firstLineChars="0"/>
        <w:outlineLvl w:val="1"/>
        <w:rPr>
          <w:rStyle w:val="14"/>
          <w:rFonts w:ascii="黑体" w:hAnsi="黑体" w:eastAsia="黑体"/>
          <w:b w:val="0"/>
        </w:rPr>
      </w:pPr>
      <w:bookmarkStart w:id="31" w:name="_Toc15377207"/>
      <w:bookmarkStart w:id="32" w:name="_Toc15396605"/>
      <w:r>
        <w:rPr>
          <w:rFonts w:hint="eastAsia" w:ascii="黑体" w:hAnsi="黑体" w:eastAsia="黑体"/>
          <w:color w:val="000000"/>
          <w:sz w:val="32"/>
          <w:szCs w:val="32"/>
        </w:rPr>
        <w:t>支</w:t>
      </w:r>
      <w:r>
        <w:rPr>
          <w:rStyle w:val="14"/>
          <w:rFonts w:hint="eastAsia" w:ascii="黑体" w:hAnsi="黑体" w:eastAsia="黑体"/>
          <w:b w:val="0"/>
        </w:rPr>
        <w:t>出决算情况说明</w:t>
      </w:r>
      <w:bookmarkEnd w:id="31"/>
      <w:bookmarkEnd w:id="32"/>
    </w:p>
    <w:p w14:paraId="313E6792">
      <w:pPr>
        <w:pageBreakBefore w:val="0"/>
        <w:kinsoku/>
        <w:wordWrap/>
        <w:overflowPunct/>
        <w:topLinePunct w:val="0"/>
        <w:bidi w:val="0"/>
        <w:spacing w:line="353" w:lineRule="auto"/>
        <w:ind w:firstLine="640" w:firstLineChars="200"/>
        <w:outlineLvl w:val="1"/>
        <w:rPr>
          <w:rFonts w:ascii="仿宋" w:hAnsi="仿宋" w:eastAsia="仿宋"/>
          <w:color w:val="000000"/>
          <w:sz w:val="32"/>
          <w:szCs w:val="32"/>
        </w:rPr>
      </w:pPr>
      <w:r>
        <w:rPr>
          <w:rFonts w:hint="eastAsia" w:ascii="仿宋_GB2312" w:eastAsia="仿宋_GB2312"/>
          <w:color w:val="FF0000"/>
          <w:sz w:val="32"/>
          <w:szCs w:val="32"/>
          <w:lang w:eastAsia="zh-CN"/>
        </w:rPr>
        <w:drawing>
          <wp:anchor distT="0" distB="0" distL="114300" distR="114300" simplePos="0" relativeHeight="251661312" behindDoc="0" locked="0" layoutInCell="1" allowOverlap="1">
            <wp:simplePos x="0" y="0"/>
            <wp:positionH relativeFrom="column">
              <wp:posOffset>1753870</wp:posOffset>
            </wp:positionH>
            <wp:positionV relativeFrom="paragraph">
              <wp:posOffset>1408430</wp:posOffset>
            </wp:positionV>
            <wp:extent cx="3432810" cy="2429510"/>
            <wp:effectExtent l="4445" t="4445" r="10795" b="2349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1325.77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112.6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8.49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1213.17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91.51</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7CFADA3B">
      <w:pPr>
        <w:pageBreakBefore w:val="0"/>
        <w:kinsoku/>
        <w:wordWrap/>
        <w:overflowPunct/>
        <w:topLinePunct w:val="0"/>
        <w:bidi w:val="0"/>
        <w:spacing w:line="353" w:lineRule="auto"/>
        <w:ind w:firstLine="3520" w:firstLineChars="1100"/>
        <w:rPr>
          <w:rFonts w:hint="eastAsia" w:ascii="仿宋_GB2312" w:eastAsia="仿宋_GB2312"/>
          <w:color w:val="FF0000"/>
          <w:sz w:val="32"/>
          <w:szCs w:val="32"/>
          <w:lang w:eastAsia="zh-CN"/>
        </w:rPr>
      </w:pPr>
      <w:r>
        <w:rPr>
          <w:rFonts w:hint="eastAsia" w:ascii="仿宋" w:hAnsi="仿宋" w:eastAsia="仿宋"/>
          <w:color w:val="000000" w:themeColor="text1"/>
          <w:sz w:val="32"/>
          <w:szCs w:val="32"/>
          <w14:textFill>
            <w14:solidFill>
              <w14:schemeClr w14:val="tx1"/>
            </w14:solidFill>
          </w14:textFill>
        </w:rPr>
        <w:t>图3：支出决算结构图</w:t>
      </w:r>
    </w:p>
    <w:p w14:paraId="62583273">
      <w:pPr>
        <w:pageBreakBefore w:val="0"/>
        <w:kinsoku/>
        <w:wordWrap/>
        <w:overflowPunct/>
        <w:topLinePunct w:val="0"/>
        <w:bidi w:val="0"/>
        <w:spacing w:line="353" w:lineRule="auto"/>
        <w:ind w:firstLine="640" w:firstLineChars="200"/>
        <w:outlineLvl w:val="1"/>
        <w:rPr>
          <w:rStyle w:val="14"/>
          <w:rFonts w:ascii="黑体" w:hAnsi="黑体" w:eastAsia="黑体"/>
          <w:b w:val="0"/>
        </w:rPr>
      </w:pPr>
      <w:bookmarkStart w:id="33" w:name="_Toc15377208"/>
      <w:bookmarkStart w:id="34" w:name="_Toc15396606"/>
      <w:r>
        <w:rPr>
          <w:rFonts w:hint="eastAsia" w:ascii="黑体" w:hAnsi="黑体" w:eastAsia="黑体"/>
          <w:color w:val="000000"/>
          <w:sz w:val="32"/>
          <w:szCs w:val="32"/>
        </w:rPr>
        <w:t>四、财</w:t>
      </w:r>
      <w:r>
        <w:rPr>
          <w:rStyle w:val="14"/>
          <w:rFonts w:hint="eastAsia" w:ascii="黑体" w:hAnsi="黑体" w:eastAsia="黑体"/>
          <w:b w:val="0"/>
        </w:rPr>
        <w:t>政拨款收入支出决算总体情况说明</w:t>
      </w:r>
      <w:bookmarkEnd w:id="33"/>
      <w:bookmarkEnd w:id="34"/>
    </w:p>
    <w:p w14:paraId="491666BE">
      <w:pPr>
        <w:pageBreakBefore w:val="0"/>
        <w:kinsoku/>
        <w:wordWrap/>
        <w:overflowPunct/>
        <w:topLinePunct w:val="0"/>
        <w:bidi w:val="0"/>
        <w:spacing w:line="353" w:lineRule="auto"/>
        <w:ind w:firstLine="640"/>
        <w:rPr>
          <w:rFonts w:hint="eastAsia" w:ascii="仿宋" w:hAnsi="仿宋" w:eastAsia="仿宋"/>
          <w:color w:val="auto"/>
          <w:sz w:val="32"/>
          <w:szCs w:val="32"/>
          <w:lang w:val="en-US" w:eastAsia="zh-CN"/>
        </w:rPr>
      </w:pPr>
      <w:r>
        <w:rPr>
          <w:rFonts w:hint="eastAsia" w:ascii="仿宋" w:hAnsi="仿宋" w:eastAsia="仿宋"/>
          <w:color w:val="000000"/>
          <w:sz w:val="32"/>
          <w:szCs w:val="32"/>
          <w:lang w:val="en-US" w:eastAsia="zh-CN"/>
        </w:rPr>
        <w:t>2019年财政拨款收入总计501.9万元，财政拨款支出总计1304.64万元。与2018年相比，财政拨款收入总计减少853.88万元，下降62.98%，财政拨款支出总计减少2869.08万元，下降68.74%。</w:t>
      </w:r>
      <w:r>
        <w:rPr>
          <w:rFonts w:hint="eastAsia" w:ascii="仿宋" w:hAnsi="仿宋" w:eastAsia="仿宋"/>
          <w:color w:val="auto"/>
          <w:sz w:val="32"/>
          <w:szCs w:val="32"/>
          <w:lang w:val="en-US" w:eastAsia="zh-CN"/>
        </w:rPr>
        <w:t>主要变动原因是项目经费支出减少，如“四花”等项目经费。</w:t>
      </w:r>
    </w:p>
    <w:p w14:paraId="5B10BD9A">
      <w:pPr>
        <w:pageBreakBefore w:val="0"/>
        <w:kinsoku/>
        <w:wordWrap/>
        <w:overflowPunct/>
        <w:topLinePunct w:val="0"/>
        <w:bidi w:val="0"/>
        <w:spacing w:line="353" w:lineRule="auto"/>
        <w:ind w:firstLine="640"/>
        <w:rPr>
          <w:rFonts w:hint="eastAsia" w:ascii="仿宋" w:hAnsi="仿宋" w:eastAsia="仿宋"/>
          <w:color w:val="auto"/>
          <w:sz w:val="32"/>
          <w:szCs w:val="32"/>
          <w:lang w:val="en-US" w:eastAsia="zh-CN"/>
        </w:rPr>
      </w:pPr>
      <w:r>
        <w:rPr>
          <w:rFonts w:hint="eastAsia" w:ascii="仿宋" w:hAnsi="仿宋" w:eastAsia="仿宋"/>
          <w:b/>
          <w:color w:val="00B050"/>
          <w:sz w:val="32"/>
          <w:szCs w:val="32"/>
          <w:lang w:eastAsia="zh-CN"/>
        </w:rPr>
        <w:drawing>
          <wp:anchor distT="0" distB="0" distL="114300" distR="114300" simplePos="0" relativeHeight="251662336" behindDoc="0" locked="0" layoutInCell="1" allowOverlap="1">
            <wp:simplePos x="0" y="0"/>
            <wp:positionH relativeFrom="column">
              <wp:posOffset>1115695</wp:posOffset>
            </wp:positionH>
            <wp:positionV relativeFrom="paragraph">
              <wp:posOffset>73660</wp:posOffset>
            </wp:positionV>
            <wp:extent cx="3881755" cy="2638425"/>
            <wp:effectExtent l="4445" t="5080" r="19050" b="444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0CAF51E">
      <w:pPr>
        <w:pageBreakBefore w:val="0"/>
        <w:kinsoku/>
        <w:wordWrap/>
        <w:overflowPunct/>
        <w:topLinePunct w:val="0"/>
        <w:bidi w:val="0"/>
        <w:spacing w:line="353" w:lineRule="auto"/>
        <w:ind w:firstLine="640"/>
        <w:rPr>
          <w:rFonts w:hint="eastAsia" w:ascii="仿宋" w:hAnsi="仿宋" w:eastAsia="仿宋"/>
          <w:color w:val="auto"/>
          <w:sz w:val="32"/>
          <w:szCs w:val="32"/>
          <w:lang w:val="en-US" w:eastAsia="zh-CN"/>
        </w:rPr>
      </w:pPr>
    </w:p>
    <w:p w14:paraId="1D0C98FA">
      <w:pPr>
        <w:pageBreakBefore w:val="0"/>
        <w:kinsoku/>
        <w:wordWrap/>
        <w:overflowPunct/>
        <w:topLinePunct w:val="0"/>
        <w:bidi w:val="0"/>
        <w:spacing w:line="353" w:lineRule="auto"/>
        <w:rPr>
          <w:rFonts w:hint="eastAsia" w:ascii="仿宋" w:hAnsi="仿宋" w:eastAsia="仿宋"/>
          <w:color w:val="auto"/>
          <w:sz w:val="32"/>
          <w:szCs w:val="32"/>
          <w:lang w:val="en-US" w:eastAsia="zh-CN"/>
        </w:rPr>
      </w:pPr>
    </w:p>
    <w:p w14:paraId="5AE609AE">
      <w:pPr>
        <w:pageBreakBefore w:val="0"/>
        <w:kinsoku/>
        <w:wordWrap/>
        <w:overflowPunct/>
        <w:topLinePunct w:val="0"/>
        <w:bidi w:val="0"/>
        <w:spacing w:line="353" w:lineRule="auto"/>
        <w:ind w:firstLine="640"/>
        <w:rPr>
          <w:rFonts w:hint="eastAsia" w:ascii="仿宋" w:hAnsi="仿宋" w:eastAsia="仿宋"/>
          <w:color w:val="auto"/>
          <w:sz w:val="32"/>
          <w:szCs w:val="32"/>
          <w:lang w:val="en-US" w:eastAsia="zh-CN"/>
        </w:rPr>
      </w:pPr>
    </w:p>
    <w:p w14:paraId="6B3F975B">
      <w:pPr>
        <w:pageBreakBefore w:val="0"/>
        <w:kinsoku/>
        <w:wordWrap/>
        <w:overflowPunct/>
        <w:topLinePunct w:val="0"/>
        <w:bidi w:val="0"/>
        <w:spacing w:line="353" w:lineRule="auto"/>
        <w:ind w:firstLine="640"/>
        <w:rPr>
          <w:rFonts w:hint="eastAsia" w:ascii="仿宋" w:hAnsi="仿宋" w:eastAsia="仿宋"/>
          <w:color w:val="auto"/>
          <w:sz w:val="32"/>
          <w:szCs w:val="32"/>
          <w:lang w:val="en-US" w:eastAsia="zh-CN"/>
        </w:rPr>
      </w:pPr>
    </w:p>
    <w:p w14:paraId="4DF06969">
      <w:pPr>
        <w:pageBreakBefore w:val="0"/>
        <w:kinsoku/>
        <w:wordWrap/>
        <w:overflowPunct/>
        <w:topLinePunct w:val="0"/>
        <w:bidi w:val="0"/>
        <w:spacing w:line="353" w:lineRule="auto"/>
        <w:ind w:firstLine="640"/>
        <w:rPr>
          <w:rFonts w:hint="eastAsia" w:ascii="仿宋" w:hAnsi="仿宋" w:eastAsia="仿宋"/>
          <w:color w:val="auto"/>
          <w:sz w:val="32"/>
          <w:szCs w:val="32"/>
          <w:lang w:val="en-US" w:eastAsia="zh-CN"/>
        </w:rPr>
      </w:pPr>
    </w:p>
    <w:p w14:paraId="58454FAD">
      <w:pPr>
        <w:pageBreakBefore w:val="0"/>
        <w:kinsoku/>
        <w:wordWrap/>
        <w:overflowPunct/>
        <w:topLinePunct w:val="0"/>
        <w:bidi w:val="0"/>
        <w:spacing w:line="353" w:lineRule="auto"/>
        <w:ind w:left="2236" w:leftChars="760" w:hanging="640" w:hangingChars="200"/>
        <w:rPr>
          <w:rFonts w:hint="eastAsia" w:ascii="仿宋" w:hAnsi="仿宋" w:eastAsia="仿宋"/>
          <w:color w:val="000000" w:themeColor="text1"/>
          <w:sz w:val="32"/>
          <w:szCs w:val="32"/>
          <w14:textFill>
            <w14:solidFill>
              <w14:schemeClr w14:val="tx1"/>
            </w14:solidFill>
          </w14:textFill>
        </w:rPr>
      </w:pPr>
    </w:p>
    <w:p w14:paraId="5661A8F5">
      <w:pPr>
        <w:pageBreakBefore w:val="0"/>
        <w:kinsoku/>
        <w:wordWrap/>
        <w:overflowPunct/>
        <w:topLinePunct w:val="0"/>
        <w:bidi w:val="0"/>
        <w:spacing w:line="353" w:lineRule="auto"/>
        <w:ind w:left="2235" w:leftChars="912" w:hanging="320" w:hangingChars="100"/>
        <w:rPr>
          <w:rFonts w:hint="eastAsia" w:ascii="仿宋" w:hAnsi="仿宋" w:eastAsia="仿宋"/>
          <w:b/>
          <w:color w:val="00B050"/>
          <w:sz w:val="32"/>
          <w:szCs w:val="32"/>
          <w:lang w:eastAsia="zh-CN"/>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14:paraId="54108AAF">
      <w:pPr>
        <w:pageBreakBefore w:val="0"/>
        <w:kinsoku/>
        <w:wordWrap/>
        <w:overflowPunct/>
        <w:topLinePunct w:val="0"/>
        <w:bidi w:val="0"/>
        <w:spacing w:line="353" w:lineRule="auto"/>
        <w:ind w:firstLine="640" w:firstLineChars="200"/>
        <w:outlineLvl w:val="1"/>
        <w:rPr>
          <w:rStyle w:val="14"/>
          <w:rFonts w:ascii="黑体" w:hAnsi="黑体" w:eastAsia="黑体"/>
          <w:b w:val="0"/>
        </w:rPr>
      </w:pPr>
      <w:bookmarkStart w:id="35" w:name="_Toc15377209"/>
      <w:bookmarkStart w:id="36"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4"/>
          <w:rFonts w:hint="eastAsia" w:ascii="黑体" w:hAnsi="黑体" w:eastAsia="黑体"/>
          <w:b w:val="0"/>
        </w:rPr>
        <w:t>般公共预算财政拨款支出决算情况说明</w:t>
      </w:r>
      <w:bookmarkEnd w:id="35"/>
      <w:bookmarkEnd w:id="36"/>
    </w:p>
    <w:p w14:paraId="56C90B9E">
      <w:pPr>
        <w:pageBreakBefore w:val="0"/>
        <w:kinsoku/>
        <w:wordWrap/>
        <w:overflowPunct/>
        <w:topLinePunct w:val="0"/>
        <w:bidi w:val="0"/>
        <w:spacing w:line="353" w:lineRule="auto"/>
        <w:ind w:firstLine="643" w:firstLineChars="200"/>
        <w:outlineLvl w:val="2"/>
        <w:rPr>
          <w:rFonts w:ascii="仿宋" w:hAnsi="仿宋" w:eastAsia="仿宋"/>
          <w:b/>
          <w:color w:val="000000"/>
          <w:sz w:val="32"/>
          <w:szCs w:val="32"/>
        </w:rPr>
      </w:pPr>
      <w:bookmarkStart w:id="37" w:name="_Toc15377210"/>
      <w:r>
        <w:rPr>
          <w:rFonts w:hint="eastAsia" w:ascii="仿宋" w:hAnsi="仿宋" w:eastAsia="仿宋"/>
          <w:b/>
          <w:color w:val="000000"/>
          <w:sz w:val="32"/>
          <w:szCs w:val="32"/>
        </w:rPr>
        <w:t>（一）一般公共预算财政拨款支出决算总体情况</w:t>
      </w:r>
      <w:bookmarkEnd w:id="37"/>
    </w:p>
    <w:p w14:paraId="08870D3F">
      <w:pPr>
        <w:pageBreakBefore w:val="0"/>
        <w:kinsoku/>
        <w:wordWrap/>
        <w:overflowPunct/>
        <w:topLinePunct w:val="0"/>
        <w:bidi w:val="0"/>
        <w:spacing w:line="353" w:lineRule="auto"/>
        <w:ind w:firstLine="64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1110.15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83.74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3020.88</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73.13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auto"/>
          <w:sz w:val="32"/>
          <w:szCs w:val="32"/>
          <w:lang w:val="en-US" w:eastAsia="zh-CN"/>
        </w:rPr>
        <w:t>主要变动原因是项目经费支出</w:t>
      </w:r>
      <w:r>
        <w:rPr>
          <w:rFonts w:hint="eastAsia" w:ascii="仿宋" w:hAnsi="仿宋" w:eastAsia="仿宋"/>
          <w:color w:val="000000"/>
          <w:sz w:val="32"/>
          <w:szCs w:val="32"/>
          <w:lang w:eastAsia="zh-CN"/>
        </w:rPr>
        <w:drawing>
          <wp:anchor distT="0" distB="0" distL="114300" distR="114300" simplePos="0" relativeHeight="251663360" behindDoc="0" locked="0" layoutInCell="1" allowOverlap="1">
            <wp:simplePos x="0" y="0"/>
            <wp:positionH relativeFrom="column">
              <wp:posOffset>727075</wp:posOffset>
            </wp:positionH>
            <wp:positionV relativeFrom="page">
              <wp:posOffset>2090420</wp:posOffset>
            </wp:positionV>
            <wp:extent cx="4238625" cy="2560955"/>
            <wp:effectExtent l="4445" t="5080" r="5080" b="571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lang w:val="en-US" w:eastAsia="zh-CN"/>
        </w:rPr>
        <w:t>减少，如“四花”等项目经费。</w:t>
      </w:r>
    </w:p>
    <w:p w14:paraId="4767C88C">
      <w:pPr>
        <w:pageBreakBefore w:val="0"/>
        <w:kinsoku/>
        <w:wordWrap/>
        <w:overflowPunct/>
        <w:topLinePunct w:val="0"/>
        <w:bidi w:val="0"/>
        <w:spacing w:line="353"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14:paraId="4DC1740D">
      <w:pPr>
        <w:pageBreakBefore w:val="0"/>
        <w:kinsoku/>
        <w:wordWrap/>
        <w:overflowPunct/>
        <w:topLinePunct w:val="0"/>
        <w:bidi w:val="0"/>
        <w:spacing w:line="353" w:lineRule="auto"/>
        <w:ind w:firstLine="643" w:firstLineChars="200"/>
        <w:outlineLvl w:val="2"/>
        <w:rPr>
          <w:rFonts w:ascii="仿宋" w:hAnsi="仿宋" w:eastAsia="仿宋"/>
          <w:b/>
          <w:color w:val="000000"/>
          <w:sz w:val="32"/>
          <w:szCs w:val="32"/>
        </w:rPr>
      </w:pPr>
      <w:bookmarkStart w:id="38" w:name="_Toc15377211"/>
      <w:r>
        <w:rPr>
          <w:rFonts w:hint="eastAsia" w:ascii="仿宋" w:hAnsi="仿宋" w:eastAsia="仿宋"/>
          <w:b/>
          <w:color w:val="000000"/>
          <w:sz w:val="32"/>
          <w:szCs w:val="32"/>
        </w:rPr>
        <w:t>（二）一般公共预算财政拨款支出决算结构情况</w:t>
      </w:r>
      <w:bookmarkEnd w:id="38"/>
    </w:p>
    <w:p w14:paraId="3E21B492">
      <w:pPr>
        <w:pageBreakBefore w:val="0"/>
        <w:kinsoku/>
        <w:wordWrap/>
        <w:overflowPunct/>
        <w:topLinePunct w:val="0"/>
        <w:bidi w:val="0"/>
        <w:spacing w:line="353" w:lineRule="auto"/>
        <w:ind w:firstLine="64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1110.15</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0.98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0.09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0</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b/>
          <w:bCs/>
          <w:color w:val="000000" w:themeColor="text1"/>
          <w:sz w:val="32"/>
          <w:szCs w:val="32"/>
          <w:lang w:val="en-US" w:eastAsia="zh-CN"/>
          <w14:textFill>
            <w14:solidFill>
              <w14:schemeClr w14:val="tx1"/>
            </w14:solidFill>
          </w14:textFill>
        </w:rPr>
        <w:t>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9.45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0.85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6.2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0.56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10.96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0.99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城乡社区支出（类）</w:t>
      </w:r>
      <w:r>
        <w:rPr>
          <w:rFonts w:hint="eastAsia" w:ascii="仿宋" w:hAnsi="仿宋" w:eastAsia="仿宋"/>
          <w:color w:val="000000" w:themeColor="text1"/>
          <w:sz w:val="32"/>
          <w:szCs w:val="32"/>
          <w:lang w:val="en-US" w:eastAsia="zh-CN"/>
          <w14:textFill>
            <w14:solidFill>
              <w14:schemeClr w14:val="tx1"/>
            </w14:solidFill>
          </w14:textFill>
        </w:rPr>
        <w:t>739.92万元，占66.65%；</w:t>
      </w:r>
      <w:r>
        <w:rPr>
          <w:rFonts w:hint="eastAsia" w:ascii="仿宋" w:hAnsi="仿宋" w:eastAsia="仿宋"/>
          <w:b/>
          <w:bCs/>
          <w:color w:val="000000" w:themeColor="text1"/>
          <w:sz w:val="32"/>
          <w:szCs w:val="32"/>
          <w:lang w:val="en-US" w:eastAsia="zh-CN"/>
          <w14:textFill>
            <w14:solidFill>
              <w14:schemeClr w14:val="tx1"/>
            </w14:solidFill>
          </w14:textFill>
        </w:rPr>
        <w:t>其他支出（类）</w:t>
      </w:r>
      <w:r>
        <w:rPr>
          <w:rFonts w:hint="eastAsia" w:ascii="仿宋" w:hAnsi="仿宋" w:eastAsia="仿宋"/>
          <w:color w:val="000000" w:themeColor="text1"/>
          <w:sz w:val="32"/>
          <w:szCs w:val="32"/>
          <w:lang w:val="en-US" w:eastAsia="zh-CN"/>
          <w14:textFill>
            <w14:solidFill>
              <w14:schemeClr w14:val="tx1"/>
            </w14:solidFill>
          </w14:textFill>
        </w:rPr>
        <w:t>342.64万元，占30.86%</w:t>
      </w:r>
      <w:r>
        <w:rPr>
          <w:rFonts w:hint="eastAsia" w:ascii="仿宋" w:hAnsi="仿宋" w:eastAsia="仿宋"/>
          <w:color w:val="000000" w:themeColor="text1"/>
          <w:sz w:val="32"/>
          <w:szCs w:val="32"/>
          <w14:textFill>
            <w14:solidFill>
              <w14:schemeClr w14:val="tx1"/>
            </w14:solidFill>
          </w14:textFill>
        </w:rPr>
        <w:t>。</w:t>
      </w:r>
    </w:p>
    <w:p w14:paraId="3804E843">
      <w:pPr>
        <w:pageBreakBefore w:val="0"/>
        <w:kinsoku/>
        <w:wordWrap/>
        <w:overflowPunct/>
        <w:topLinePunct w:val="0"/>
        <w:bidi w:val="0"/>
        <w:spacing w:line="353" w:lineRule="auto"/>
        <w:ind w:firstLine="640"/>
        <w:rPr>
          <w:rFonts w:hint="eastAsia" w:ascii="仿宋" w:hAnsi="仿宋" w:eastAsia="仿宋"/>
          <w:color w:val="000000" w:themeColor="text1"/>
          <w:sz w:val="32"/>
          <w:szCs w:val="32"/>
          <w14:textFill>
            <w14:solidFill>
              <w14:schemeClr w14:val="tx1"/>
            </w14:solidFill>
          </w14:textFill>
        </w:rPr>
      </w:pPr>
    </w:p>
    <w:p w14:paraId="66D25C72">
      <w:pPr>
        <w:pageBreakBefore w:val="0"/>
        <w:kinsoku/>
        <w:wordWrap/>
        <w:overflowPunct/>
        <w:topLinePunct w:val="0"/>
        <w:bidi w:val="0"/>
        <w:spacing w:line="353" w:lineRule="auto"/>
        <w:ind w:firstLine="640"/>
        <w:rPr>
          <w:rFonts w:hint="eastAsia" w:ascii="仿宋" w:hAnsi="仿宋" w:eastAsia="仿宋"/>
          <w:color w:val="000000" w:themeColor="text1"/>
          <w:sz w:val="32"/>
          <w:szCs w:val="32"/>
          <w14:textFill>
            <w14:solidFill>
              <w14:schemeClr w14:val="tx1"/>
            </w14:solidFill>
          </w14:textFill>
        </w:rPr>
      </w:pPr>
    </w:p>
    <w:p w14:paraId="6A0B88E2">
      <w:pPr>
        <w:pageBreakBefore w:val="0"/>
        <w:kinsoku/>
        <w:wordWrap/>
        <w:overflowPunct/>
        <w:topLinePunct w:val="0"/>
        <w:bidi w:val="0"/>
        <w:spacing w:line="353" w:lineRule="auto"/>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4384" behindDoc="1" locked="0" layoutInCell="1" allowOverlap="1">
            <wp:simplePos x="0" y="0"/>
            <wp:positionH relativeFrom="column">
              <wp:posOffset>410845</wp:posOffset>
            </wp:positionH>
            <wp:positionV relativeFrom="paragraph">
              <wp:posOffset>95885</wp:posOffset>
            </wp:positionV>
            <wp:extent cx="4298950" cy="2696210"/>
            <wp:effectExtent l="4445" t="5080" r="20955" b="22860"/>
            <wp:wrapTight wrapText="bothSides">
              <wp:wrapPolygon>
                <wp:start x="-22" y="-41"/>
                <wp:lineTo x="-22" y="21478"/>
                <wp:lineTo x="21514" y="21478"/>
                <wp:lineTo x="21514" y="-41"/>
                <wp:lineTo x="-22" y="-41"/>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94D68E1">
      <w:pPr>
        <w:pageBreakBefore w:val="0"/>
        <w:kinsoku/>
        <w:wordWrap/>
        <w:overflowPunct/>
        <w:topLinePunct w:val="0"/>
        <w:bidi w:val="0"/>
        <w:spacing w:line="353" w:lineRule="auto"/>
        <w:ind w:firstLine="640"/>
        <w:rPr>
          <w:rFonts w:hint="eastAsia" w:ascii="仿宋" w:hAnsi="仿宋" w:eastAsia="仿宋"/>
          <w:color w:val="000000" w:themeColor="text1"/>
          <w:sz w:val="32"/>
          <w:szCs w:val="32"/>
          <w14:textFill>
            <w14:solidFill>
              <w14:schemeClr w14:val="tx1"/>
            </w14:solidFill>
          </w14:textFill>
        </w:rPr>
      </w:pPr>
    </w:p>
    <w:p w14:paraId="6F986E9F">
      <w:pPr>
        <w:pageBreakBefore w:val="0"/>
        <w:kinsoku/>
        <w:wordWrap/>
        <w:overflowPunct/>
        <w:topLinePunct w:val="0"/>
        <w:bidi w:val="0"/>
        <w:spacing w:line="353" w:lineRule="auto"/>
        <w:ind w:firstLine="640"/>
        <w:rPr>
          <w:rFonts w:hint="eastAsia" w:ascii="仿宋" w:hAnsi="仿宋" w:eastAsia="仿宋"/>
          <w:color w:val="000000" w:themeColor="text1"/>
          <w:sz w:val="32"/>
          <w:szCs w:val="32"/>
          <w14:textFill>
            <w14:solidFill>
              <w14:schemeClr w14:val="tx1"/>
            </w14:solidFill>
          </w14:textFill>
        </w:rPr>
      </w:pPr>
    </w:p>
    <w:p w14:paraId="3FEBD325">
      <w:pPr>
        <w:pageBreakBefore w:val="0"/>
        <w:kinsoku/>
        <w:wordWrap/>
        <w:overflowPunct/>
        <w:topLinePunct w:val="0"/>
        <w:bidi w:val="0"/>
        <w:spacing w:line="353" w:lineRule="auto"/>
        <w:ind w:firstLine="640"/>
        <w:rPr>
          <w:rFonts w:hint="eastAsia" w:ascii="仿宋" w:hAnsi="仿宋" w:eastAsia="仿宋"/>
          <w:color w:val="000000" w:themeColor="text1"/>
          <w:sz w:val="32"/>
          <w:szCs w:val="32"/>
          <w14:textFill>
            <w14:solidFill>
              <w14:schemeClr w14:val="tx1"/>
            </w14:solidFill>
          </w14:textFill>
        </w:rPr>
      </w:pPr>
    </w:p>
    <w:p w14:paraId="1ACFCFE8">
      <w:pPr>
        <w:pageBreakBefore w:val="0"/>
        <w:kinsoku/>
        <w:wordWrap/>
        <w:overflowPunct/>
        <w:topLinePunct w:val="0"/>
        <w:bidi w:val="0"/>
        <w:spacing w:line="353" w:lineRule="auto"/>
        <w:ind w:firstLine="640"/>
        <w:rPr>
          <w:rFonts w:hint="eastAsia" w:ascii="仿宋" w:hAnsi="仿宋" w:eastAsia="仿宋"/>
          <w:color w:val="000000" w:themeColor="text1"/>
          <w:sz w:val="32"/>
          <w:szCs w:val="32"/>
          <w14:textFill>
            <w14:solidFill>
              <w14:schemeClr w14:val="tx1"/>
            </w14:solidFill>
          </w14:textFill>
        </w:rPr>
      </w:pPr>
    </w:p>
    <w:p w14:paraId="3D28C678">
      <w:pPr>
        <w:pageBreakBefore w:val="0"/>
        <w:kinsoku/>
        <w:wordWrap/>
        <w:overflowPunct/>
        <w:topLinePunct w:val="0"/>
        <w:bidi w:val="0"/>
        <w:spacing w:line="353" w:lineRule="auto"/>
        <w:ind w:firstLine="640"/>
        <w:rPr>
          <w:rFonts w:hint="eastAsia" w:ascii="仿宋" w:hAnsi="仿宋" w:eastAsia="仿宋"/>
          <w:color w:val="000000" w:themeColor="text1"/>
          <w:sz w:val="32"/>
          <w:szCs w:val="32"/>
          <w14:textFill>
            <w14:solidFill>
              <w14:schemeClr w14:val="tx1"/>
            </w14:solidFill>
          </w14:textFill>
        </w:rPr>
      </w:pPr>
    </w:p>
    <w:p w14:paraId="71158884">
      <w:pPr>
        <w:pageBreakBefore w:val="0"/>
        <w:kinsoku/>
        <w:wordWrap/>
        <w:overflowPunct/>
        <w:topLinePunct w:val="0"/>
        <w:bidi w:val="0"/>
        <w:spacing w:line="353" w:lineRule="auto"/>
        <w:rPr>
          <w:rFonts w:hint="eastAsia" w:ascii="仿宋" w:hAnsi="仿宋" w:eastAsia="仿宋"/>
          <w:color w:val="000000"/>
          <w:sz w:val="32"/>
          <w:szCs w:val="32"/>
        </w:rPr>
      </w:pPr>
      <w:bookmarkStart w:id="39" w:name="_Toc15377212"/>
    </w:p>
    <w:p w14:paraId="31FEA75A">
      <w:pPr>
        <w:pageBreakBefore w:val="0"/>
        <w:kinsoku/>
        <w:wordWrap/>
        <w:overflowPunct/>
        <w:topLinePunct w:val="0"/>
        <w:bidi w:val="0"/>
        <w:spacing w:line="353" w:lineRule="auto"/>
        <w:ind w:firstLine="1280" w:firstLineChars="400"/>
        <w:rPr>
          <w:rFonts w:hint="eastAsia" w:ascii="仿宋" w:hAnsi="仿宋" w:eastAsia="仿宋"/>
          <w:b/>
          <w:color w:val="000000"/>
          <w:sz w:val="32"/>
          <w:szCs w:val="32"/>
        </w:rPr>
      </w:pPr>
      <w:r>
        <w:rPr>
          <w:rFonts w:hint="eastAsia" w:ascii="仿宋" w:hAnsi="仿宋" w:eastAsia="仿宋"/>
          <w:color w:val="000000"/>
          <w:sz w:val="32"/>
          <w:szCs w:val="32"/>
        </w:rPr>
        <w:t>图6：一般公共预算财政拨款支出决算结构</w:t>
      </w:r>
    </w:p>
    <w:p w14:paraId="65EA3EFF">
      <w:pPr>
        <w:pageBreakBefore w:val="0"/>
        <w:kinsoku/>
        <w:wordWrap/>
        <w:overflowPunct/>
        <w:topLinePunct w:val="0"/>
        <w:bidi w:val="0"/>
        <w:spacing w:line="353" w:lineRule="auto"/>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9"/>
    </w:p>
    <w:p w14:paraId="0EE642BF">
      <w:pPr>
        <w:pageBreakBefore w:val="0"/>
        <w:kinsoku/>
        <w:wordWrap/>
        <w:overflowPunct/>
        <w:topLinePunct w:val="0"/>
        <w:bidi w:val="0"/>
        <w:spacing w:line="353" w:lineRule="auto"/>
        <w:ind w:firstLine="643" w:firstLineChars="200"/>
        <w:outlineLvl w:val="2"/>
        <w:rPr>
          <w:rFonts w:ascii="仿宋" w:hAnsi="仿宋" w:eastAsia="仿宋"/>
          <w:color w:val="FF0000"/>
          <w:sz w:val="32"/>
          <w:szCs w:val="32"/>
        </w:rPr>
      </w:pPr>
      <w:bookmarkStart w:id="40" w:name="_Toc15377213"/>
      <w:bookmarkStart w:id="41" w:name="_Toc15377444"/>
      <w:bookmarkStart w:id="42" w:name="_Toc15378460"/>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1110.15万元</w:t>
      </w:r>
      <w:r>
        <w:rPr>
          <w:rFonts w:hint="eastAsia" w:ascii="仿宋" w:hAnsi="仿宋" w:eastAsia="仿宋"/>
          <w:color w:val="000000" w:themeColor="text1"/>
          <w:sz w:val="32"/>
          <w:szCs w:val="32"/>
          <w14:textFill>
            <w14:solidFill>
              <w14:schemeClr w14:val="tx1"/>
            </w14:solidFill>
          </w14:textFill>
        </w:rPr>
        <w:t>，</w:t>
      </w:r>
      <w:r>
        <w:rPr>
          <w:rStyle w:val="11"/>
          <w:rFonts w:hint="eastAsia" w:ascii="仿宋" w:hAnsi="仿宋" w:eastAsia="仿宋"/>
          <w:bCs/>
          <w:color w:val="000000" w:themeColor="text1"/>
          <w:sz w:val="32"/>
          <w:szCs w:val="32"/>
          <w14:textFill>
            <w14:solidFill>
              <w14:schemeClr w14:val="tx1"/>
            </w14:solidFill>
          </w14:textFill>
        </w:rPr>
        <w:t>完成</w:t>
      </w:r>
      <w:r>
        <w:rPr>
          <w:rStyle w:val="11"/>
          <w:rFonts w:hint="eastAsia" w:ascii="仿宋" w:hAnsi="仿宋" w:eastAsia="仿宋"/>
          <w:bCs/>
          <w:color w:val="000000"/>
          <w:sz w:val="32"/>
          <w:szCs w:val="32"/>
        </w:rPr>
        <w:t>预算</w:t>
      </w:r>
      <w:r>
        <w:rPr>
          <w:rStyle w:val="11"/>
          <w:rFonts w:hint="eastAsia" w:ascii="仿宋" w:hAnsi="仿宋" w:eastAsia="仿宋"/>
          <w:bCs/>
          <w:color w:val="000000"/>
          <w:sz w:val="32"/>
          <w:szCs w:val="32"/>
          <w:lang w:val="en-US" w:eastAsia="zh-CN"/>
        </w:rPr>
        <w:t>46</w:t>
      </w:r>
      <w:r>
        <w:rPr>
          <w:rStyle w:val="11"/>
          <w:rFonts w:ascii="仿宋" w:hAnsi="仿宋" w:eastAsia="仿宋"/>
          <w:bCs/>
          <w:color w:val="000000"/>
          <w:sz w:val="32"/>
          <w:szCs w:val="32"/>
        </w:rPr>
        <w:t>%</w:t>
      </w:r>
      <w:r>
        <w:rPr>
          <w:rStyle w:val="11"/>
          <w:rFonts w:hint="eastAsia" w:ascii="仿宋" w:hAnsi="仿宋" w:eastAsia="仿宋"/>
          <w:bCs/>
          <w:color w:val="000000"/>
          <w:sz w:val="32"/>
          <w:szCs w:val="32"/>
        </w:rPr>
        <w:t>。其中：</w:t>
      </w:r>
      <w:bookmarkEnd w:id="40"/>
      <w:bookmarkEnd w:id="41"/>
      <w:bookmarkEnd w:id="42"/>
    </w:p>
    <w:p w14:paraId="0F99A5D5">
      <w:pPr>
        <w:pageBreakBefore w:val="0"/>
        <w:kinsoku/>
        <w:wordWrap/>
        <w:overflowPunct/>
        <w:topLinePunct w:val="0"/>
        <w:bidi w:val="0"/>
        <w:spacing w:line="353" w:lineRule="auto"/>
        <w:ind w:firstLine="643" w:firstLineChars="200"/>
        <w:rPr>
          <w:rFonts w:ascii="仿宋" w:hAnsi="仿宋" w:eastAsia="仿宋"/>
          <w:b/>
          <w:color w:val="000000"/>
          <w:sz w:val="32"/>
          <w:szCs w:val="32"/>
        </w:rPr>
      </w:pPr>
      <w:r>
        <w:rPr>
          <w:rStyle w:val="11"/>
          <w:rFonts w:ascii="仿宋" w:hAnsi="仿宋" w:eastAsia="仿宋"/>
          <w:bCs/>
          <w:color w:val="000000"/>
          <w:sz w:val="32"/>
          <w:szCs w:val="32"/>
        </w:rPr>
        <w:t>1.</w:t>
      </w:r>
      <w:r>
        <w:rPr>
          <w:rStyle w:val="11"/>
          <w:rFonts w:hint="eastAsia" w:ascii="仿宋" w:hAnsi="仿宋" w:eastAsia="仿宋"/>
          <w:bCs/>
          <w:color w:val="000000"/>
          <w:sz w:val="32"/>
          <w:szCs w:val="32"/>
        </w:rPr>
        <w:t>一般公共服务（类）</w:t>
      </w:r>
      <w:r>
        <w:rPr>
          <w:rStyle w:val="11"/>
          <w:rFonts w:hint="eastAsia" w:ascii="仿宋" w:hAnsi="仿宋" w:eastAsia="仿宋"/>
          <w:bCs/>
          <w:color w:val="000000"/>
          <w:sz w:val="32"/>
          <w:szCs w:val="32"/>
          <w:lang w:eastAsia="zh-CN"/>
        </w:rPr>
        <w:t>其他一般公共服务支出</w:t>
      </w:r>
      <w:r>
        <w:rPr>
          <w:rStyle w:val="11"/>
          <w:rFonts w:hint="eastAsia" w:ascii="仿宋" w:hAnsi="仿宋" w:eastAsia="仿宋"/>
          <w:bCs/>
          <w:color w:val="000000"/>
          <w:sz w:val="32"/>
          <w:szCs w:val="32"/>
        </w:rPr>
        <w:t>（款）</w:t>
      </w:r>
      <w:r>
        <w:rPr>
          <w:rStyle w:val="11"/>
          <w:rFonts w:hint="eastAsia" w:ascii="仿宋" w:hAnsi="仿宋" w:eastAsia="仿宋"/>
          <w:bCs/>
          <w:color w:val="000000"/>
          <w:sz w:val="32"/>
          <w:szCs w:val="32"/>
          <w:lang w:eastAsia="zh-CN"/>
        </w:rPr>
        <w:t>其他一般公共服务支出</w:t>
      </w:r>
      <w:r>
        <w:rPr>
          <w:rStyle w:val="11"/>
          <w:rFonts w:hint="eastAsia" w:ascii="仿宋" w:hAnsi="仿宋" w:eastAsia="仿宋"/>
          <w:bCs/>
          <w:color w:val="000000"/>
          <w:sz w:val="32"/>
          <w:szCs w:val="32"/>
        </w:rPr>
        <w:t>（项）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0.98</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14:paraId="4D43CA57">
      <w:pPr>
        <w:pageBreakBefore w:val="0"/>
        <w:kinsoku/>
        <w:wordWrap/>
        <w:overflowPunct/>
        <w:topLinePunct w:val="0"/>
        <w:bidi w:val="0"/>
        <w:spacing w:line="353" w:lineRule="auto"/>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lang w:val="en-US" w:eastAsia="zh-CN"/>
        </w:rPr>
        <w:t>2</w:t>
      </w:r>
      <w:r>
        <w:rPr>
          <w:rStyle w:val="11"/>
          <w:rFonts w:ascii="仿宋" w:hAnsi="仿宋" w:eastAsia="仿宋"/>
          <w:bCs/>
          <w:color w:val="000000"/>
          <w:sz w:val="32"/>
          <w:szCs w:val="32"/>
        </w:rPr>
        <w:t>.</w:t>
      </w:r>
      <w:r>
        <w:rPr>
          <w:rStyle w:val="11"/>
          <w:rFonts w:hint="eastAsia" w:ascii="仿宋" w:hAnsi="仿宋" w:eastAsia="仿宋"/>
          <w:bCs/>
          <w:color w:val="000000"/>
          <w:sz w:val="32"/>
          <w:szCs w:val="32"/>
        </w:rPr>
        <w:t>社会保障和就业（类）行政事业单位离退休（款）未归口管理的行政单位离退休（项）</w:t>
      </w:r>
      <w:r>
        <w:rPr>
          <w:rStyle w:val="11"/>
          <w:rFonts w:ascii="仿宋" w:hAnsi="仿宋" w:eastAsia="仿宋"/>
          <w:bCs/>
          <w:color w:val="000000"/>
          <w:sz w:val="32"/>
          <w:szCs w:val="32"/>
        </w:rPr>
        <w:t>:</w:t>
      </w:r>
      <w:r>
        <w:rPr>
          <w:rStyle w:val="11"/>
          <w:rFonts w:ascii="仿宋" w:hAnsi="仿宋" w:eastAsia="仿宋"/>
          <w:b w:val="0"/>
          <w:bCs/>
          <w:color w:val="000000"/>
          <w:sz w:val="32"/>
          <w:szCs w:val="32"/>
        </w:rPr>
        <w:t xml:space="preserve"> </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1.98</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14:paraId="00994705">
      <w:pPr>
        <w:pageBreakBefore w:val="0"/>
        <w:kinsoku/>
        <w:wordWrap/>
        <w:overflowPunct/>
        <w:topLinePunct w:val="0"/>
        <w:bidi w:val="0"/>
        <w:spacing w:line="353" w:lineRule="auto"/>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lang w:val="en-US" w:eastAsia="zh-CN"/>
        </w:rPr>
        <w:t>3</w:t>
      </w:r>
      <w:r>
        <w:rPr>
          <w:rStyle w:val="11"/>
          <w:rFonts w:ascii="仿宋" w:hAnsi="仿宋" w:eastAsia="仿宋"/>
          <w:bCs/>
          <w:color w:val="000000"/>
          <w:sz w:val="32"/>
          <w:szCs w:val="32"/>
        </w:rPr>
        <w:t>.</w:t>
      </w:r>
      <w:r>
        <w:rPr>
          <w:rStyle w:val="11"/>
          <w:rFonts w:hint="eastAsia" w:ascii="仿宋" w:hAnsi="仿宋" w:eastAsia="仿宋"/>
          <w:bCs/>
          <w:color w:val="000000"/>
          <w:sz w:val="32"/>
          <w:szCs w:val="32"/>
        </w:rPr>
        <w:t>社会保障和就业（类）行政事业单位离退休（款）机关事业单位基本养老保险缴费支出（项）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7.47</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14:paraId="0CBB442E">
      <w:pPr>
        <w:pageBreakBefore w:val="0"/>
        <w:kinsoku/>
        <w:wordWrap/>
        <w:overflowPunct/>
        <w:topLinePunct w:val="0"/>
        <w:bidi w:val="0"/>
        <w:spacing w:line="353" w:lineRule="auto"/>
        <w:ind w:firstLine="643" w:firstLineChars="200"/>
        <w:rPr>
          <w:rStyle w:val="11"/>
          <w:rFonts w:hint="eastAsia" w:ascii="仿宋" w:hAnsi="仿宋" w:eastAsia="仿宋"/>
          <w:bCs/>
          <w:color w:val="000000"/>
          <w:sz w:val="32"/>
          <w:szCs w:val="32"/>
          <w:lang w:val="en-US" w:eastAsia="zh-CN"/>
        </w:rPr>
      </w:pPr>
      <w:r>
        <w:rPr>
          <w:rStyle w:val="11"/>
          <w:rFonts w:hint="eastAsia" w:ascii="仿宋" w:hAnsi="仿宋" w:eastAsia="仿宋"/>
          <w:bCs/>
          <w:color w:val="000000"/>
          <w:sz w:val="32"/>
          <w:szCs w:val="32"/>
          <w:lang w:val="en-US" w:eastAsia="zh-CN"/>
        </w:rPr>
        <w:t>4.</w:t>
      </w:r>
      <w:r>
        <w:rPr>
          <w:rFonts w:hint="eastAsia" w:ascii="仿宋" w:hAnsi="仿宋" w:eastAsia="仿宋"/>
          <w:b/>
          <w:bCs/>
          <w:color w:val="000000" w:themeColor="text1"/>
          <w:sz w:val="32"/>
          <w:szCs w:val="32"/>
          <w14:textFill>
            <w14:solidFill>
              <w14:schemeClr w14:val="tx1"/>
            </w14:solidFill>
          </w14:textFill>
        </w:rPr>
        <w:t>卫生健康</w:t>
      </w:r>
      <w:r>
        <w:rPr>
          <w:rStyle w:val="11"/>
          <w:rFonts w:hint="eastAsia" w:ascii="仿宋" w:hAnsi="仿宋" w:eastAsia="仿宋"/>
          <w:bCs/>
          <w:color w:val="000000"/>
          <w:sz w:val="32"/>
          <w:szCs w:val="32"/>
        </w:rPr>
        <w:t>（类）行政事业单位医疗（款）行政单位医疗（项）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5.69</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14:paraId="051CD81B">
      <w:pPr>
        <w:pageBreakBefore w:val="0"/>
        <w:kinsoku/>
        <w:wordWrap/>
        <w:overflowPunct/>
        <w:topLinePunct w:val="0"/>
        <w:bidi w:val="0"/>
        <w:spacing w:line="353" w:lineRule="auto"/>
        <w:ind w:firstLine="643" w:firstLineChars="200"/>
        <w:rPr>
          <w:rStyle w:val="11"/>
          <w:rFonts w:hint="eastAsia" w:ascii="仿宋" w:hAnsi="仿宋" w:eastAsia="仿宋"/>
          <w:bCs/>
          <w:color w:val="000000"/>
          <w:sz w:val="32"/>
          <w:szCs w:val="32"/>
          <w:lang w:val="en-US" w:eastAsia="zh-CN"/>
        </w:rPr>
      </w:pPr>
      <w:r>
        <w:rPr>
          <w:rStyle w:val="11"/>
          <w:rFonts w:hint="eastAsia" w:ascii="仿宋" w:hAnsi="仿宋" w:eastAsia="仿宋"/>
          <w:bCs/>
          <w:color w:val="000000"/>
          <w:sz w:val="32"/>
          <w:szCs w:val="32"/>
          <w:lang w:val="en-US" w:eastAsia="zh-CN"/>
        </w:rPr>
        <w:t>5.</w:t>
      </w:r>
      <w:r>
        <w:rPr>
          <w:rFonts w:hint="eastAsia" w:ascii="仿宋" w:hAnsi="仿宋" w:eastAsia="仿宋"/>
          <w:b/>
          <w:bCs/>
          <w:color w:val="000000" w:themeColor="text1"/>
          <w:sz w:val="32"/>
          <w:szCs w:val="32"/>
          <w14:textFill>
            <w14:solidFill>
              <w14:schemeClr w14:val="tx1"/>
            </w14:solidFill>
          </w14:textFill>
        </w:rPr>
        <w:t>卫生健康</w:t>
      </w:r>
      <w:r>
        <w:rPr>
          <w:rStyle w:val="11"/>
          <w:rFonts w:hint="eastAsia" w:ascii="仿宋" w:hAnsi="仿宋" w:eastAsia="仿宋"/>
          <w:bCs/>
          <w:color w:val="000000"/>
          <w:sz w:val="32"/>
          <w:szCs w:val="32"/>
        </w:rPr>
        <w:t>（类）行政事业单位医疗（款）公务员医疗补助（项）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0.51</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14:paraId="2D650B1E">
      <w:pPr>
        <w:pageBreakBefore w:val="0"/>
        <w:kinsoku/>
        <w:wordWrap/>
        <w:overflowPunct/>
        <w:topLinePunct w:val="0"/>
        <w:bidi w:val="0"/>
        <w:spacing w:line="353" w:lineRule="auto"/>
        <w:ind w:firstLine="643" w:firstLineChars="200"/>
        <w:rPr>
          <w:rStyle w:val="11"/>
          <w:rFonts w:hint="eastAsia" w:ascii="仿宋" w:hAnsi="仿宋" w:eastAsia="仿宋"/>
          <w:b w:val="0"/>
          <w:bCs/>
          <w:color w:val="000000"/>
          <w:sz w:val="32"/>
          <w:szCs w:val="32"/>
        </w:rPr>
      </w:pPr>
      <w:r>
        <w:rPr>
          <w:rStyle w:val="11"/>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住房保障支出</w:t>
      </w:r>
      <w:r>
        <w:rPr>
          <w:rStyle w:val="11"/>
          <w:rFonts w:hint="eastAsia" w:ascii="仿宋" w:hAnsi="仿宋" w:eastAsia="仿宋"/>
          <w:bCs/>
          <w:color w:val="000000"/>
          <w:sz w:val="32"/>
          <w:szCs w:val="32"/>
        </w:rPr>
        <w:t>（类）住房改革支出（款）住房公积金（项）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10.96</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14:paraId="502087BA">
      <w:pPr>
        <w:pageBreakBefore w:val="0"/>
        <w:kinsoku/>
        <w:wordWrap/>
        <w:overflowPunct/>
        <w:topLinePunct w:val="0"/>
        <w:bidi w:val="0"/>
        <w:spacing w:line="353" w:lineRule="auto"/>
        <w:ind w:firstLine="643" w:firstLineChars="200"/>
        <w:rPr>
          <w:rFonts w:ascii="仿宋" w:hAnsi="仿宋" w:eastAsia="仿宋"/>
          <w:b/>
          <w:color w:val="000000"/>
          <w:sz w:val="32"/>
          <w:szCs w:val="32"/>
        </w:rPr>
      </w:pPr>
      <w:r>
        <w:rPr>
          <w:rStyle w:val="11"/>
          <w:rFonts w:hint="eastAsia" w:ascii="仿宋" w:hAnsi="仿宋" w:eastAsia="仿宋"/>
          <w:bCs/>
          <w:color w:val="000000"/>
          <w:sz w:val="32"/>
          <w:szCs w:val="32"/>
          <w:lang w:val="en-US" w:eastAsia="zh-CN"/>
        </w:rPr>
        <w:t>7</w:t>
      </w:r>
      <w:r>
        <w:rPr>
          <w:rStyle w:val="11"/>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城乡社区支出</w:t>
      </w:r>
      <w:r>
        <w:rPr>
          <w:rStyle w:val="11"/>
          <w:rFonts w:hint="eastAsia" w:ascii="仿宋" w:hAnsi="仿宋" w:eastAsia="仿宋"/>
          <w:bCs/>
          <w:color w:val="000000"/>
          <w:sz w:val="32"/>
          <w:szCs w:val="32"/>
        </w:rPr>
        <w:t>（类）城乡社区管理事务（款）行政运行（项）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85.81</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14:paraId="1E8ECCD3">
      <w:pPr>
        <w:pageBreakBefore w:val="0"/>
        <w:kinsoku/>
        <w:wordWrap/>
        <w:overflowPunct/>
        <w:topLinePunct w:val="0"/>
        <w:bidi w:val="0"/>
        <w:spacing w:line="353" w:lineRule="auto"/>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lang w:val="en-US" w:eastAsia="zh-CN"/>
        </w:rPr>
        <w:t>8</w:t>
      </w:r>
      <w:r>
        <w:rPr>
          <w:rStyle w:val="11"/>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城乡社区支出</w:t>
      </w:r>
      <w:r>
        <w:rPr>
          <w:rStyle w:val="11"/>
          <w:rFonts w:hint="eastAsia" w:ascii="仿宋" w:hAnsi="仿宋" w:eastAsia="仿宋"/>
          <w:bCs/>
          <w:color w:val="000000"/>
          <w:sz w:val="32"/>
          <w:szCs w:val="32"/>
        </w:rPr>
        <w:t>（类）城乡社区管理事务（款）其他城乡社区管理事务支出（项）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14.25</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14:paraId="14D05417">
      <w:pPr>
        <w:pageBreakBefore w:val="0"/>
        <w:kinsoku/>
        <w:wordWrap/>
        <w:overflowPunct/>
        <w:topLinePunct w:val="0"/>
        <w:bidi w:val="0"/>
        <w:spacing w:line="353" w:lineRule="auto"/>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lang w:val="en-US" w:eastAsia="zh-CN"/>
        </w:rPr>
        <w:t>9</w:t>
      </w:r>
      <w:r>
        <w:rPr>
          <w:rStyle w:val="11"/>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城乡社区支出</w:t>
      </w:r>
      <w:r>
        <w:rPr>
          <w:rStyle w:val="11"/>
          <w:rFonts w:hint="eastAsia" w:ascii="仿宋" w:hAnsi="仿宋" w:eastAsia="仿宋"/>
          <w:bCs/>
          <w:color w:val="000000"/>
          <w:sz w:val="32"/>
          <w:szCs w:val="32"/>
        </w:rPr>
        <w:t>（类）城乡社区管理事务（款）一般行政管理事务（项）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5.15</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14:paraId="67C32274">
      <w:pPr>
        <w:pageBreakBefore w:val="0"/>
        <w:kinsoku/>
        <w:wordWrap/>
        <w:overflowPunct/>
        <w:topLinePunct w:val="0"/>
        <w:bidi w:val="0"/>
        <w:spacing w:line="353" w:lineRule="auto"/>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lang w:val="en-US" w:eastAsia="zh-CN"/>
        </w:rPr>
        <w:t>10</w:t>
      </w:r>
      <w:r>
        <w:rPr>
          <w:rStyle w:val="11"/>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城乡社区支出</w:t>
      </w:r>
      <w:r>
        <w:rPr>
          <w:rStyle w:val="11"/>
          <w:rFonts w:hint="eastAsia" w:ascii="仿宋" w:hAnsi="仿宋" w:eastAsia="仿宋"/>
          <w:bCs/>
          <w:color w:val="000000"/>
          <w:sz w:val="32"/>
          <w:szCs w:val="32"/>
        </w:rPr>
        <w:t>（类）城乡社区规划与管理（款） 城乡社区规划与管理（项）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11.83</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14:paraId="4E81EB1F">
      <w:pPr>
        <w:pageBreakBefore w:val="0"/>
        <w:kinsoku/>
        <w:wordWrap/>
        <w:overflowPunct/>
        <w:topLinePunct w:val="0"/>
        <w:bidi w:val="0"/>
        <w:spacing w:line="353" w:lineRule="auto"/>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lang w:val="en-US" w:eastAsia="zh-CN"/>
        </w:rPr>
        <w:t>11</w:t>
      </w:r>
      <w:r>
        <w:rPr>
          <w:rStyle w:val="11"/>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城乡社区支出</w:t>
      </w:r>
      <w:r>
        <w:rPr>
          <w:rStyle w:val="11"/>
          <w:rFonts w:hint="eastAsia" w:ascii="仿宋" w:hAnsi="仿宋" w:eastAsia="仿宋"/>
          <w:bCs/>
          <w:color w:val="000000"/>
          <w:sz w:val="32"/>
          <w:szCs w:val="32"/>
        </w:rPr>
        <w:t>（类）城乡社区公共设施（款）其他城乡社区公共设施支出（项）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1.9</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100</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p>
    <w:p w14:paraId="776287D8">
      <w:pPr>
        <w:pageBreakBefore w:val="0"/>
        <w:kinsoku/>
        <w:wordWrap/>
        <w:overflowPunct/>
        <w:topLinePunct w:val="0"/>
        <w:bidi w:val="0"/>
        <w:spacing w:line="353" w:lineRule="auto"/>
        <w:ind w:firstLine="643" w:firstLineChars="200"/>
        <w:rPr>
          <w:rStyle w:val="11"/>
          <w:rFonts w:hint="eastAsia" w:ascii="仿宋" w:hAnsi="仿宋" w:eastAsia="仿宋"/>
          <w:b w:val="0"/>
          <w:bCs/>
          <w:color w:val="000000"/>
          <w:sz w:val="32"/>
          <w:szCs w:val="32"/>
        </w:rPr>
      </w:pPr>
      <w:r>
        <w:rPr>
          <w:rStyle w:val="11"/>
          <w:rFonts w:hint="eastAsia" w:ascii="仿宋" w:hAnsi="仿宋" w:eastAsia="仿宋"/>
          <w:bCs/>
          <w:color w:val="000000"/>
          <w:sz w:val="32"/>
          <w:szCs w:val="32"/>
          <w:lang w:val="en-US" w:eastAsia="zh-CN"/>
        </w:rPr>
        <w:t>12</w:t>
      </w:r>
      <w:r>
        <w:rPr>
          <w:rStyle w:val="11"/>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城乡社区支出</w:t>
      </w:r>
      <w:r>
        <w:rPr>
          <w:rStyle w:val="11"/>
          <w:rFonts w:hint="eastAsia" w:ascii="仿宋" w:hAnsi="仿宋" w:eastAsia="仿宋"/>
          <w:bCs/>
          <w:color w:val="000000"/>
          <w:sz w:val="32"/>
          <w:szCs w:val="32"/>
        </w:rPr>
        <w:t>（类）其他城乡社区支出（款）其他城乡社区支出（项）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620.97</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76.38</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r>
        <w:rPr>
          <w:rStyle w:val="11"/>
          <w:rFonts w:hint="eastAsia" w:ascii="仿宋" w:hAnsi="仿宋" w:eastAsia="仿宋"/>
          <w:b w:val="0"/>
          <w:bCs/>
          <w:color w:val="auto"/>
          <w:sz w:val="32"/>
          <w:szCs w:val="32"/>
        </w:rPr>
        <w:t>决算数小于预算数的主要原因是</w:t>
      </w:r>
      <w:r>
        <w:rPr>
          <w:rStyle w:val="11"/>
          <w:rFonts w:hint="eastAsia" w:ascii="仿宋" w:hAnsi="仿宋" w:eastAsia="仿宋"/>
          <w:b w:val="0"/>
          <w:bCs/>
          <w:color w:val="auto"/>
          <w:sz w:val="32"/>
          <w:szCs w:val="32"/>
          <w:lang w:eastAsia="zh-CN"/>
        </w:rPr>
        <w:t>污水截污干管补助项目资金未支付完成</w:t>
      </w:r>
      <w:r>
        <w:rPr>
          <w:rStyle w:val="11"/>
          <w:rFonts w:hint="eastAsia" w:ascii="仿宋" w:hAnsi="仿宋" w:eastAsia="仿宋"/>
          <w:b w:val="0"/>
          <w:bCs/>
          <w:color w:val="auto"/>
          <w:sz w:val="32"/>
          <w:szCs w:val="32"/>
        </w:rPr>
        <w:t>。</w:t>
      </w:r>
    </w:p>
    <w:p w14:paraId="0D899218">
      <w:pPr>
        <w:pageBreakBefore w:val="0"/>
        <w:kinsoku/>
        <w:wordWrap/>
        <w:overflowPunct/>
        <w:topLinePunct w:val="0"/>
        <w:bidi w:val="0"/>
        <w:spacing w:line="353" w:lineRule="auto"/>
        <w:ind w:firstLine="643" w:firstLineChars="200"/>
        <w:rPr>
          <w:rStyle w:val="11"/>
          <w:rFonts w:hint="eastAsia" w:ascii="仿宋" w:hAnsi="仿宋" w:eastAsia="仿宋"/>
          <w:b w:val="0"/>
          <w:bCs/>
          <w:color w:val="auto"/>
          <w:sz w:val="32"/>
          <w:szCs w:val="32"/>
        </w:rPr>
      </w:pPr>
      <w:r>
        <w:rPr>
          <w:rStyle w:val="11"/>
          <w:rFonts w:hint="eastAsia" w:ascii="仿宋" w:hAnsi="仿宋" w:eastAsia="仿宋"/>
          <w:bCs/>
          <w:color w:val="000000"/>
          <w:sz w:val="32"/>
          <w:szCs w:val="32"/>
          <w:lang w:val="en-US" w:eastAsia="zh-CN"/>
        </w:rPr>
        <w:t>13</w:t>
      </w:r>
      <w:r>
        <w:rPr>
          <w:rStyle w:val="11"/>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其他支出</w:t>
      </w:r>
      <w:r>
        <w:rPr>
          <w:rStyle w:val="11"/>
          <w:rFonts w:hint="eastAsia" w:ascii="仿宋" w:hAnsi="仿宋" w:eastAsia="仿宋"/>
          <w:bCs/>
          <w:color w:val="000000"/>
          <w:sz w:val="32"/>
          <w:szCs w:val="32"/>
        </w:rPr>
        <w:t>（类）其他支出（款）其他支出（项）</w:t>
      </w:r>
      <w:r>
        <w:rPr>
          <w:rStyle w:val="11"/>
          <w:rFonts w:ascii="仿宋" w:hAnsi="仿宋" w:eastAsia="仿宋"/>
          <w:bCs/>
          <w:color w:val="000000"/>
          <w:sz w:val="32"/>
          <w:szCs w:val="32"/>
        </w:rPr>
        <w:t>:</w:t>
      </w:r>
      <w:r>
        <w:rPr>
          <w:rStyle w:val="11"/>
          <w:rFonts w:hint="eastAsia" w:ascii="仿宋" w:hAnsi="仿宋" w:eastAsia="仿宋"/>
          <w:b w:val="0"/>
          <w:bCs/>
          <w:color w:val="000000"/>
          <w:sz w:val="32"/>
          <w:szCs w:val="32"/>
        </w:rPr>
        <w:t>支出决算为</w:t>
      </w:r>
      <w:r>
        <w:rPr>
          <w:rStyle w:val="11"/>
          <w:rFonts w:hint="eastAsia" w:ascii="仿宋" w:hAnsi="仿宋" w:eastAsia="仿宋"/>
          <w:b w:val="0"/>
          <w:bCs/>
          <w:color w:val="000000"/>
          <w:sz w:val="32"/>
          <w:szCs w:val="32"/>
          <w:lang w:val="en-US" w:eastAsia="zh-CN"/>
        </w:rPr>
        <w:t>342.64</w:t>
      </w:r>
      <w:r>
        <w:rPr>
          <w:rStyle w:val="11"/>
          <w:rFonts w:hint="eastAsia" w:ascii="仿宋" w:hAnsi="仿宋" w:eastAsia="仿宋"/>
          <w:b w:val="0"/>
          <w:bCs/>
          <w:color w:val="000000"/>
          <w:sz w:val="32"/>
          <w:szCs w:val="32"/>
        </w:rPr>
        <w:t>万元，完成预算</w:t>
      </w:r>
      <w:r>
        <w:rPr>
          <w:rStyle w:val="11"/>
          <w:rFonts w:hint="eastAsia" w:ascii="仿宋" w:hAnsi="仿宋" w:eastAsia="仿宋"/>
          <w:b w:val="0"/>
          <w:bCs/>
          <w:color w:val="000000"/>
          <w:sz w:val="32"/>
          <w:szCs w:val="32"/>
          <w:lang w:val="en-US" w:eastAsia="zh-CN"/>
        </w:rPr>
        <w:t>23.57</w:t>
      </w:r>
      <w:r>
        <w:rPr>
          <w:rStyle w:val="11"/>
          <w:rFonts w:ascii="仿宋" w:hAnsi="仿宋" w:eastAsia="仿宋"/>
          <w:b w:val="0"/>
          <w:bCs/>
          <w:color w:val="000000"/>
          <w:sz w:val="32"/>
          <w:szCs w:val="32"/>
        </w:rPr>
        <w:t>%</w:t>
      </w:r>
      <w:r>
        <w:rPr>
          <w:rStyle w:val="11"/>
          <w:rFonts w:hint="eastAsia" w:ascii="仿宋" w:hAnsi="仿宋" w:eastAsia="仿宋"/>
          <w:b w:val="0"/>
          <w:bCs/>
          <w:color w:val="000000"/>
          <w:sz w:val="32"/>
          <w:szCs w:val="32"/>
        </w:rPr>
        <w:t>，</w:t>
      </w:r>
      <w:r>
        <w:rPr>
          <w:rStyle w:val="11"/>
          <w:rFonts w:hint="eastAsia" w:ascii="仿宋" w:hAnsi="仿宋" w:eastAsia="仿宋"/>
          <w:b w:val="0"/>
          <w:bCs/>
          <w:color w:val="auto"/>
          <w:sz w:val="32"/>
          <w:szCs w:val="32"/>
        </w:rPr>
        <w:t>决算数小于预算数的主要原因是</w:t>
      </w:r>
      <w:r>
        <w:rPr>
          <w:rStyle w:val="11"/>
          <w:rFonts w:hint="eastAsia" w:ascii="仿宋" w:hAnsi="仿宋" w:eastAsia="仿宋"/>
          <w:b w:val="0"/>
          <w:bCs/>
          <w:color w:val="auto"/>
          <w:sz w:val="32"/>
          <w:szCs w:val="32"/>
          <w:lang w:eastAsia="zh-CN"/>
        </w:rPr>
        <w:t>垃圾中转站建设经费未支付完成</w:t>
      </w:r>
      <w:r>
        <w:rPr>
          <w:rStyle w:val="11"/>
          <w:rFonts w:hint="eastAsia" w:ascii="仿宋" w:hAnsi="仿宋" w:eastAsia="仿宋"/>
          <w:b w:val="0"/>
          <w:bCs/>
          <w:color w:val="auto"/>
          <w:sz w:val="32"/>
          <w:szCs w:val="32"/>
        </w:rPr>
        <w:t>。</w:t>
      </w:r>
    </w:p>
    <w:p w14:paraId="2277DED8">
      <w:pPr>
        <w:pageBreakBefore w:val="0"/>
        <w:tabs>
          <w:tab w:val="right" w:pos="8306"/>
        </w:tabs>
        <w:kinsoku/>
        <w:wordWrap/>
        <w:overflowPunct/>
        <w:topLinePunct w:val="0"/>
        <w:bidi w:val="0"/>
        <w:spacing w:line="353" w:lineRule="auto"/>
        <w:ind w:firstLine="640"/>
        <w:outlineLvl w:val="1"/>
        <w:rPr>
          <w:rStyle w:val="14"/>
        </w:rPr>
      </w:pPr>
      <w:bookmarkStart w:id="43" w:name="_Toc15377214"/>
      <w:bookmarkStart w:id="44"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4"/>
          <w:rFonts w:hint="eastAsia" w:ascii="黑体" w:hAnsi="黑体" w:eastAsia="黑体"/>
          <w:b w:val="0"/>
        </w:rPr>
        <w:t>般公共预算财政拨款基本支出决算情况说明</w:t>
      </w:r>
      <w:bookmarkEnd w:id="43"/>
      <w:bookmarkEnd w:id="44"/>
      <w:r>
        <w:rPr>
          <w:rStyle w:val="14"/>
          <w:rFonts w:ascii="黑体" w:hAnsi="黑体" w:eastAsia="黑体"/>
          <w:b w:val="0"/>
        </w:rPr>
        <w:tab/>
      </w:r>
    </w:p>
    <w:p w14:paraId="24F961DC">
      <w:pPr>
        <w:pageBreakBefore w:val="0"/>
        <w:kinsoku/>
        <w:wordWrap/>
        <w:overflowPunct/>
        <w:topLinePunct w:val="0"/>
        <w:bidi w:val="0"/>
        <w:spacing w:line="353" w:lineRule="auto"/>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112.55</w:t>
      </w:r>
      <w:r>
        <w:rPr>
          <w:rFonts w:hint="eastAsia" w:ascii="仿宋" w:hAnsi="仿宋" w:eastAsia="仿宋"/>
          <w:color w:val="000000"/>
          <w:sz w:val="32"/>
          <w:szCs w:val="32"/>
        </w:rPr>
        <w:t>万元，其中：</w:t>
      </w:r>
    </w:p>
    <w:p w14:paraId="1168F071">
      <w:pPr>
        <w:pageBreakBefore w:val="0"/>
        <w:kinsoku/>
        <w:wordWrap/>
        <w:overflowPunct/>
        <w:topLinePunct w:val="0"/>
        <w:bidi w:val="0"/>
        <w:spacing w:line="353" w:lineRule="auto"/>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96.85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15.7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32AD377">
      <w:pPr>
        <w:pageBreakBefore w:val="0"/>
        <w:kinsoku/>
        <w:wordWrap/>
        <w:overflowPunct/>
        <w:topLinePunct w:val="0"/>
        <w:bidi w:val="0"/>
        <w:spacing w:line="353" w:lineRule="auto"/>
        <w:ind w:firstLine="640"/>
        <w:outlineLvl w:val="1"/>
        <w:rPr>
          <w:rStyle w:val="14"/>
          <w:rFonts w:ascii="黑体" w:hAnsi="黑体" w:eastAsia="黑体"/>
          <w:b w:val="0"/>
        </w:rPr>
      </w:pPr>
      <w:bookmarkStart w:id="45" w:name="_Toc15396609"/>
      <w:bookmarkStart w:id="46" w:name="_Toc15377215"/>
      <w:r>
        <w:rPr>
          <w:rFonts w:hint="eastAsia" w:ascii="黑体" w:eastAsia="黑体"/>
          <w:color w:val="000000"/>
          <w:sz w:val="32"/>
          <w:szCs w:val="32"/>
        </w:rPr>
        <w:t>七、</w:t>
      </w:r>
      <w:r>
        <w:rPr>
          <w:rStyle w:val="14"/>
          <w:rFonts w:hint="eastAsia" w:ascii="黑体" w:hAnsi="黑体" w:eastAsia="黑体"/>
        </w:rPr>
        <w:t>“</w:t>
      </w:r>
      <w:r>
        <w:rPr>
          <w:rStyle w:val="14"/>
          <w:rFonts w:hint="eastAsia" w:ascii="黑体" w:hAnsi="黑体" w:eastAsia="黑体"/>
          <w:b w:val="0"/>
        </w:rPr>
        <w:t>三公”经费财政拨款支出决算情况说明</w:t>
      </w:r>
      <w:bookmarkEnd w:id="45"/>
      <w:bookmarkEnd w:id="46"/>
    </w:p>
    <w:p w14:paraId="024401C6">
      <w:pPr>
        <w:pageBreakBefore w:val="0"/>
        <w:kinsoku/>
        <w:wordWrap/>
        <w:overflowPunct/>
        <w:topLinePunct w:val="0"/>
        <w:bidi w:val="0"/>
        <w:spacing w:line="353" w:lineRule="auto"/>
        <w:ind w:firstLine="640"/>
        <w:outlineLvl w:val="2"/>
        <w:rPr>
          <w:rFonts w:ascii="仿宋" w:hAnsi="仿宋" w:eastAsia="仿宋"/>
          <w:b/>
          <w:color w:val="000000"/>
          <w:sz w:val="32"/>
          <w:szCs w:val="32"/>
        </w:rPr>
      </w:pPr>
      <w:bookmarkStart w:id="47" w:name="_Toc15377216"/>
      <w:r>
        <w:rPr>
          <w:rFonts w:hint="eastAsia" w:ascii="仿宋" w:hAnsi="仿宋" w:eastAsia="仿宋"/>
          <w:b/>
          <w:color w:val="000000"/>
          <w:sz w:val="32"/>
          <w:szCs w:val="32"/>
        </w:rPr>
        <w:t>（一）“三公”经费财政拨款支出决算总体情况说明</w:t>
      </w:r>
      <w:bookmarkEnd w:id="47"/>
    </w:p>
    <w:p w14:paraId="22FA898B">
      <w:pPr>
        <w:pageBreakBefore w:val="0"/>
        <w:kinsoku/>
        <w:wordWrap/>
        <w:overflowPunct/>
        <w:topLinePunct w:val="0"/>
        <w:bidi w:val="0"/>
        <w:spacing w:line="353" w:lineRule="auto"/>
        <w:ind w:firstLine="64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2019年无三公经费支出。</w:t>
      </w:r>
    </w:p>
    <w:p w14:paraId="106A1B46">
      <w:pPr>
        <w:pageBreakBefore w:val="0"/>
        <w:kinsoku/>
        <w:wordWrap/>
        <w:overflowPunct/>
        <w:topLinePunct w:val="0"/>
        <w:bidi w:val="0"/>
        <w:spacing w:line="353" w:lineRule="auto"/>
        <w:ind w:firstLine="640"/>
        <w:outlineLvl w:val="2"/>
        <w:rPr>
          <w:rFonts w:ascii="仿宋" w:hAnsi="仿宋" w:eastAsia="仿宋"/>
          <w:b/>
          <w:color w:val="000000"/>
          <w:sz w:val="32"/>
          <w:szCs w:val="32"/>
        </w:rPr>
      </w:pPr>
      <w:bookmarkStart w:id="48" w:name="_Toc15377217"/>
      <w:r>
        <w:rPr>
          <w:rFonts w:hint="eastAsia" w:ascii="仿宋" w:hAnsi="仿宋" w:eastAsia="仿宋"/>
          <w:b/>
          <w:color w:val="000000"/>
          <w:sz w:val="32"/>
          <w:szCs w:val="32"/>
        </w:rPr>
        <w:t>（二）“三公”经费财政拨款支出决算具体情况说明</w:t>
      </w:r>
      <w:bookmarkEnd w:id="48"/>
    </w:p>
    <w:p w14:paraId="39D31C72">
      <w:pPr>
        <w:pageBreakBefore w:val="0"/>
        <w:kinsoku/>
        <w:wordWrap/>
        <w:overflowPunct/>
        <w:topLinePunct w:val="0"/>
        <w:bidi w:val="0"/>
        <w:spacing w:line="353" w:lineRule="auto"/>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万元。具体情况如下：</w:t>
      </w:r>
    </w:p>
    <w:p w14:paraId="276586CE">
      <w:pPr>
        <w:pageBreakBefore w:val="0"/>
        <w:kinsoku/>
        <w:wordWrap/>
        <w:overflowPunct/>
        <w:topLinePunct w:val="0"/>
        <w:bidi w:val="0"/>
        <w:spacing w:line="353" w:lineRule="auto"/>
        <w:ind w:firstLine="640"/>
        <w:rPr>
          <w:rFonts w:hint="eastAsia" w:ascii="仿宋_GB2312" w:eastAsia="仿宋_GB2312"/>
          <w:b/>
          <w:color w:val="000000"/>
          <w:sz w:val="32"/>
          <w:szCs w:val="32"/>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1"/>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2018年、2019年均无因公出国（境）经费支出。</w:t>
      </w:r>
    </w:p>
    <w:p w14:paraId="281DDB33">
      <w:pPr>
        <w:pageBreakBefore w:val="0"/>
        <w:kinsoku/>
        <w:wordWrap/>
        <w:overflowPunct/>
        <w:topLinePunct w:val="0"/>
        <w:bidi w:val="0"/>
        <w:spacing w:line="353" w:lineRule="auto"/>
        <w:ind w:firstLine="643" w:firstLineChars="200"/>
        <w:rPr>
          <w:rFonts w:hint="eastAsia" w:ascii="仿宋_GB2312" w:eastAsia="仿宋_GB2312"/>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1"/>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2018年、2019年均无公务用车购置及运行维护费支出。</w:t>
      </w:r>
    </w:p>
    <w:p w14:paraId="6DFFCBDB">
      <w:pPr>
        <w:pageBreakBefore w:val="0"/>
        <w:kinsoku/>
        <w:wordWrap/>
        <w:overflowPunct/>
        <w:topLinePunct w:val="0"/>
        <w:bidi w:val="0"/>
        <w:spacing w:line="353" w:lineRule="auto"/>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14:paraId="50E0F865">
      <w:pPr>
        <w:pageBreakBefore w:val="0"/>
        <w:kinsoku/>
        <w:wordWrap/>
        <w:overflowPunct/>
        <w:topLinePunct w:val="0"/>
        <w:bidi w:val="0"/>
        <w:spacing w:line="353" w:lineRule="auto"/>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560A035">
      <w:pPr>
        <w:pageBreakBefore w:val="0"/>
        <w:kinsoku/>
        <w:wordWrap/>
        <w:overflowPunct/>
        <w:topLinePunct w:val="0"/>
        <w:bidi w:val="0"/>
        <w:spacing w:line="353" w:lineRule="auto"/>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1"/>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2018年、2019年均无公务接待费支出。</w:t>
      </w:r>
      <w:r>
        <w:rPr>
          <w:rFonts w:hint="eastAsia" w:ascii="仿宋_GB2312" w:eastAsia="仿宋_GB2312"/>
          <w:color w:val="000000"/>
          <w:sz w:val="32"/>
          <w:szCs w:val="32"/>
        </w:rPr>
        <w:t>其中：</w:t>
      </w:r>
    </w:p>
    <w:p w14:paraId="2FBEF623">
      <w:pPr>
        <w:pageBreakBefore w:val="0"/>
        <w:kinsoku/>
        <w:wordWrap/>
        <w:overflowPunct/>
        <w:topLinePunct w:val="0"/>
        <w:bidi w:val="0"/>
        <w:spacing w:line="353" w:lineRule="auto"/>
        <w:ind w:firstLine="640"/>
        <w:rPr>
          <w:rFonts w:hint="eastAsia" w:ascii="仿宋_GB2312" w:eastAsia="仿宋_GB2312"/>
          <w:color w:val="000000"/>
          <w:sz w:val="32"/>
          <w:szCs w:val="32"/>
          <w:lang w:eastAsia="zh-CN"/>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136F9BE7">
      <w:pPr>
        <w:pageBreakBefore w:val="0"/>
        <w:kinsoku/>
        <w:wordWrap/>
        <w:overflowPunct/>
        <w:topLinePunct w:val="0"/>
        <w:bidi w:val="0"/>
        <w:spacing w:line="353" w:lineRule="auto"/>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bookmarkStart w:id="49" w:name="_Toc15377218"/>
      <w:bookmarkStart w:id="50" w:name="_Toc15396610"/>
    </w:p>
    <w:p w14:paraId="497D7E23">
      <w:pPr>
        <w:pageBreakBefore w:val="0"/>
        <w:kinsoku/>
        <w:wordWrap/>
        <w:overflowPunct/>
        <w:topLinePunct w:val="0"/>
        <w:bidi w:val="0"/>
        <w:spacing w:line="353" w:lineRule="auto"/>
        <w:ind w:firstLine="640"/>
        <w:outlineLvl w:val="1"/>
        <w:rPr>
          <w:rStyle w:val="14"/>
          <w:rFonts w:ascii="黑体" w:hAnsi="黑体" w:eastAsia="黑体"/>
        </w:rPr>
      </w:pPr>
      <w:r>
        <w:rPr>
          <w:rFonts w:hint="eastAsia" w:ascii="黑体" w:eastAsia="黑体"/>
          <w:color w:val="000000"/>
          <w:sz w:val="32"/>
          <w:szCs w:val="32"/>
        </w:rPr>
        <w:t>八、</w:t>
      </w:r>
      <w:r>
        <w:rPr>
          <w:rStyle w:val="14"/>
          <w:rFonts w:hint="eastAsia" w:ascii="黑体" w:hAnsi="黑体" w:eastAsia="黑体"/>
          <w:b w:val="0"/>
        </w:rPr>
        <w:t>政府性基金预算支出决算情况说明</w:t>
      </w:r>
      <w:bookmarkEnd w:id="49"/>
      <w:bookmarkEnd w:id="50"/>
    </w:p>
    <w:p w14:paraId="3315FC97">
      <w:pPr>
        <w:pageBreakBefore w:val="0"/>
        <w:kinsoku/>
        <w:wordWrap/>
        <w:overflowPunct/>
        <w:topLinePunct w:val="0"/>
        <w:bidi w:val="0"/>
        <w:spacing w:line="353" w:lineRule="auto"/>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194.48</w:t>
      </w:r>
      <w:r>
        <w:rPr>
          <w:rFonts w:hint="eastAsia" w:ascii="仿宋_GB2312" w:eastAsia="仿宋_GB2312"/>
          <w:color w:val="000000"/>
          <w:sz w:val="32"/>
          <w:szCs w:val="32"/>
        </w:rPr>
        <w:t>万元。</w:t>
      </w:r>
    </w:p>
    <w:p w14:paraId="4F012248">
      <w:pPr>
        <w:pageBreakBefore w:val="0"/>
        <w:numPr>
          <w:ilvl w:val="0"/>
          <w:numId w:val="3"/>
        </w:numPr>
        <w:kinsoku/>
        <w:wordWrap/>
        <w:overflowPunct/>
        <w:topLinePunct w:val="0"/>
        <w:bidi w:val="0"/>
        <w:spacing w:line="353" w:lineRule="auto"/>
        <w:ind w:firstLine="640"/>
        <w:outlineLvl w:val="1"/>
        <w:rPr>
          <w:rStyle w:val="14"/>
          <w:rFonts w:ascii="黑体" w:hAnsi="黑体" w:eastAsia="黑体"/>
          <w:b w:val="0"/>
        </w:rPr>
      </w:pPr>
      <w:bookmarkStart w:id="51" w:name="_Toc15396611"/>
      <w:bookmarkStart w:id="52" w:name="_Toc15377219"/>
      <w:r>
        <w:rPr>
          <w:rStyle w:val="14"/>
          <w:rFonts w:hint="eastAsia" w:ascii="黑体" w:hAnsi="黑体" w:eastAsia="黑体"/>
          <w:b w:val="0"/>
        </w:rPr>
        <w:t>国有资本经营预算支出决算情况说明</w:t>
      </w:r>
      <w:bookmarkEnd w:id="51"/>
      <w:bookmarkEnd w:id="52"/>
    </w:p>
    <w:p w14:paraId="78F4781B">
      <w:pPr>
        <w:pageBreakBefore w:val="0"/>
        <w:kinsoku/>
        <w:wordWrap/>
        <w:overflowPunct/>
        <w:topLinePunct w:val="0"/>
        <w:bidi w:val="0"/>
        <w:spacing w:line="353" w:lineRule="auto"/>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14:paraId="46676B52">
      <w:pPr>
        <w:pageBreakBefore w:val="0"/>
        <w:kinsoku/>
        <w:wordWrap/>
        <w:overflowPunct/>
        <w:topLinePunct w:val="0"/>
        <w:bidi w:val="0"/>
        <w:spacing w:line="353" w:lineRule="auto"/>
        <w:ind w:firstLine="800" w:firstLineChars="250"/>
        <w:outlineLvl w:val="1"/>
        <w:rPr>
          <w:rStyle w:val="14"/>
          <w:rFonts w:ascii="黑体" w:hAnsi="黑体" w:eastAsia="黑体"/>
        </w:rPr>
      </w:pPr>
      <w:bookmarkStart w:id="53" w:name="_Toc15377221"/>
      <w:bookmarkStart w:id="54" w:name="_Toc15396612"/>
      <w:r>
        <w:rPr>
          <w:rFonts w:hint="eastAsia" w:ascii="黑体" w:hAnsi="黑体" w:eastAsia="黑体"/>
          <w:color w:val="000000"/>
          <w:sz w:val="32"/>
          <w:szCs w:val="32"/>
        </w:rPr>
        <w:t>十</w:t>
      </w:r>
      <w:r>
        <w:rPr>
          <w:rStyle w:val="14"/>
          <w:rFonts w:hint="eastAsia" w:ascii="黑体" w:hAnsi="黑体" w:eastAsia="黑体"/>
        </w:rPr>
        <w:t>、</w:t>
      </w:r>
      <w:r>
        <w:rPr>
          <w:rStyle w:val="14"/>
          <w:rFonts w:hint="eastAsia" w:ascii="黑体" w:hAnsi="黑体" w:eastAsia="黑体"/>
          <w:b w:val="0"/>
        </w:rPr>
        <w:t>其他重要事项的情况说明</w:t>
      </w:r>
      <w:bookmarkEnd w:id="53"/>
      <w:bookmarkEnd w:id="54"/>
    </w:p>
    <w:p w14:paraId="192559EE">
      <w:pPr>
        <w:pageBreakBefore w:val="0"/>
        <w:kinsoku/>
        <w:wordWrap/>
        <w:overflowPunct/>
        <w:topLinePunct w:val="0"/>
        <w:bidi w:val="0"/>
        <w:spacing w:line="353" w:lineRule="auto"/>
        <w:ind w:firstLine="643" w:firstLineChars="200"/>
        <w:outlineLvl w:val="2"/>
        <w:rPr>
          <w:rFonts w:ascii="仿宋" w:hAnsi="仿宋" w:eastAsia="仿宋"/>
          <w:color w:val="000000"/>
          <w:sz w:val="32"/>
          <w:szCs w:val="32"/>
        </w:rPr>
      </w:pPr>
      <w:bookmarkStart w:id="55" w:name="_Toc15377222"/>
      <w:r>
        <w:rPr>
          <w:rFonts w:hint="eastAsia" w:ascii="仿宋" w:hAnsi="仿宋" w:eastAsia="仿宋"/>
          <w:b/>
          <w:color w:val="000000"/>
          <w:sz w:val="32"/>
          <w:szCs w:val="32"/>
        </w:rPr>
        <w:t>（一）机关运行经费支出情况</w:t>
      </w:r>
      <w:bookmarkEnd w:id="55"/>
    </w:p>
    <w:p w14:paraId="5EAED30F">
      <w:pPr>
        <w:pageBreakBefore w:val="0"/>
        <w:kinsoku/>
        <w:wordWrap/>
        <w:overflowPunct/>
        <w:topLinePunct w:val="0"/>
        <w:bidi w:val="0"/>
        <w:spacing w:line="353" w:lineRule="auto"/>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9年，机关运行经费支出</w:t>
      </w:r>
      <w:r>
        <w:rPr>
          <w:rFonts w:hint="eastAsia" w:ascii="仿宋_GB2312" w:eastAsia="仿宋_GB2312"/>
          <w:color w:val="000000"/>
          <w:sz w:val="32"/>
          <w:szCs w:val="32"/>
          <w:lang w:val="en-US" w:eastAsia="zh-CN"/>
        </w:rPr>
        <w:t>15.7</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6.78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76.18</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编制内及办公人员增加。</w:t>
      </w:r>
    </w:p>
    <w:p w14:paraId="0E0D9C2C">
      <w:pPr>
        <w:pageBreakBefore w:val="0"/>
        <w:kinsoku/>
        <w:wordWrap/>
        <w:overflowPunct/>
        <w:topLinePunct w:val="0"/>
        <w:autoSpaceDE w:val="0"/>
        <w:autoSpaceDN w:val="0"/>
        <w:bidi w:val="0"/>
        <w:adjustRightInd w:val="0"/>
        <w:spacing w:line="353" w:lineRule="auto"/>
        <w:ind w:firstLine="643" w:firstLineChars="200"/>
        <w:jc w:val="left"/>
        <w:outlineLvl w:val="2"/>
        <w:rPr>
          <w:rFonts w:ascii="仿宋" w:hAnsi="仿宋" w:eastAsia="仿宋"/>
          <w:b/>
          <w:color w:val="000000"/>
          <w:sz w:val="32"/>
          <w:szCs w:val="32"/>
        </w:rPr>
      </w:pPr>
      <w:bookmarkStart w:id="56" w:name="_Toc15377223"/>
      <w:r>
        <w:rPr>
          <w:rFonts w:hint="eastAsia" w:ascii="仿宋" w:hAnsi="仿宋" w:eastAsia="仿宋"/>
          <w:b/>
          <w:color w:val="000000"/>
          <w:sz w:val="32"/>
          <w:szCs w:val="32"/>
        </w:rPr>
        <w:t>（二）政府采购支出情况</w:t>
      </w:r>
      <w:bookmarkEnd w:id="56"/>
    </w:p>
    <w:p w14:paraId="2FA0D5B9">
      <w:pPr>
        <w:pageBreakBefore w:val="0"/>
        <w:kinsoku/>
        <w:wordWrap/>
        <w:overflowPunct/>
        <w:topLinePunct w:val="0"/>
        <w:bidi w:val="0"/>
        <w:spacing w:line="353" w:lineRule="auto"/>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9年，政府采购支出总额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69C5270E">
      <w:pPr>
        <w:pageBreakBefore w:val="0"/>
        <w:kinsoku/>
        <w:wordWrap/>
        <w:overflowPunct/>
        <w:topLinePunct w:val="0"/>
        <w:autoSpaceDE w:val="0"/>
        <w:autoSpaceDN w:val="0"/>
        <w:bidi w:val="0"/>
        <w:adjustRightInd w:val="0"/>
        <w:spacing w:line="353" w:lineRule="auto"/>
        <w:ind w:firstLine="643" w:firstLineChars="200"/>
        <w:jc w:val="left"/>
        <w:outlineLvl w:val="2"/>
        <w:rPr>
          <w:rFonts w:ascii="仿宋" w:hAnsi="仿宋" w:eastAsia="仿宋"/>
          <w:b/>
          <w:color w:val="000000"/>
          <w:sz w:val="32"/>
          <w:szCs w:val="32"/>
        </w:rPr>
      </w:pPr>
      <w:bookmarkStart w:id="57" w:name="_Toc15377224"/>
      <w:r>
        <w:rPr>
          <w:rFonts w:hint="eastAsia" w:ascii="仿宋" w:hAnsi="仿宋" w:eastAsia="仿宋"/>
          <w:b/>
          <w:color w:val="000000"/>
          <w:sz w:val="32"/>
          <w:szCs w:val="32"/>
        </w:rPr>
        <w:t>（三）国有资产占有使用情况</w:t>
      </w:r>
      <w:bookmarkEnd w:id="57"/>
    </w:p>
    <w:p w14:paraId="51582730">
      <w:pPr>
        <w:pageBreakBefore w:val="0"/>
        <w:kinsoku/>
        <w:wordWrap/>
        <w:overflowPunct/>
        <w:topLinePunct w:val="0"/>
        <w:autoSpaceDE w:val="0"/>
        <w:autoSpaceDN w:val="0"/>
        <w:bidi w:val="0"/>
        <w:adjustRightInd w:val="0"/>
        <w:spacing w:line="353" w:lineRule="auto"/>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，单</w:t>
      </w:r>
      <w:r>
        <w:rPr>
          <w:rFonts w:hint="eastAsia" w:ascii="仿宋_GB2312" w:eastAsia="仿宋_GB2312"/>
          <w:color w:val="000000" w:themeColor="text1"/>
          <w:sz w:val="32"/>
          <w:szCs w:val="32"/>
          <w14:textFill>
            <w14:solidFill>
              <w14:schemeClr w14:val="tx1"/>
            </w14:solidFill>
          </w14:textFill>
        </w:rPr>
        <w:t>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eastAsia="zh-CN"/>
        </w:rPr>
        <w:t>0</w:t>
      </w:r>
      <w:r>
        <w:rPr>
          <w:rFonts w:hint="eastAsia" w:ascii="仿宋_GB2312" w:eastAsia="仿宋_GB2312"/>
          <w:color w:val="000000"/>
          <w:sz w:val="32"/>
          <w:szCs w:val="32"/>
        </w:rPr>
        <w:t>台（套）。</w:t>
      </w:r>
    </w:p>
    <w:p w14:paraId="7C805530">
      <w:pPr>
        <w:pageBreakBefore w:val="0"/>
        <w:kinsoku/>
        <w:wordWrap/>
        <w:overflowPunct/>
        <w:topLinePunct w:val="0"/>
        <w:autoSpaceDE w:val="0"/>
        <w:autoSpaceDN w:val="0"/>
        <w:bidi w:val="0"/>
        <w:adjustRightInd w:val="0"/>
        <w:spacing w:line="353" w:lineRule="auto"/>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B13968B">
      <w:pPr>
        <w:pageBreakBefore w:val="0"/>
        <w:kinsoku/>
        <w:wordWrap/>
        <w:overflowPunct/>
        <w:topLinePunct w:val="0"/>
        <w:bidi w:val="0"/>
        <w:spacing w:line="353"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14:paraId="12001A85">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本部门按要求对2019年部门整体支出开展绩效自评，从评价情况来看看总体效果较好，通过财政资金的使用，加强了城市管理工作，为提升攀枝花城市形象、</w:t>
      </w:r>
      <w:r>
        <w:rPr>
          <w:rFonts w:hint="eastAsia" w:ascii="仿宋_GB2312" w:hAnsi="仿宋_GB2312" w:eastAsia="仿宋_GB2312" w:cs="仿宋_GB2312"/>
          <w:color w:val="auto"/>
          <w:sz w:val="32"/>
          <w:szCs w:val="32"/>
        </w:rPr>
        <w:t>招商引资、经济发展做出了积</w:t>
      </w:r>
      <w:r>
        <w:rPr>
          <w:rFonts w:hint="eastAsia" w:ascii="仿宋_GB2312" w:hAnsi="仿宋_GB2312" w:eastAsia="仿宋_GB2312" w:cs="仿宋_GB2312"/>
          <w:sz w:val="32"/>
          <w:szCs w:val="32"/>
        </w:rPr>
        <w:t>极贡献。本部门还自行组织了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个项目绩效评价，从评价情况来看能够完成年初制定的绩效目标，能够正确使用财政预算资金，项目完成度较高，完成了年度工作目标，达到了预期效果。</w:t>
      </w:r>
    </w:p>
    <w:p w14:paraId="604F015F">
      <w:pPr>
        <w:pageBreakBefore w:val="0"/>
        <w:numPr>
          <w:ilvl w:val="0"/>
          <w:numId w:val="4"/>
        </w:numPr>
        <w:kinsoku/>
        <w:wordWrap/>
        <w:overflowPunct/>
        <w:topLinePunct w:val="0"/>
        <w:bidi w:val="0"/>
        <w:spacing w:line="353" w:lineRule="auto"/>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本部门在2019年度部门决算中反映“通电路灯维修费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数字化城市管理信息系统项目运行经费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“春节氛围营造项目专项经费”等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14:paraId="415351D1">
      <w:pPr>
        <w:pageBreakBefore w:val="0"/>
        <w:kinsoku/>
        <w:wordWrap/>
        <w:overflowPunct/>
        <w:topLinePunct w:val="0"/>
        <w:bidi w:val="0"/>
        <w:spacing w:line="353" w:lineRule="auto"/>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（1）通电路灯维修费项目绩效目标完成情况综述。项目全年预算数</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%。通过项目实施，保障了通电路灯及时维修，</w:t>
      </w:r>
      <w:r>
        <w:rPr>
          <w:rFonts w:hint="eastAsia" w:ascii="仿宋_GB2312" w:hAnsi="仿宋_GB2312" w:eastAsia="仿宋_GB2312" w:cs="仿宋_GB2312"/>
          <w:sz w:val="32"/>
          <w:szCs w:val="32"/>
          <w:lang w:eastAsia="zh-CN"/>
        </w:rPr>
        <w:t>保障居民夜间出行。</w:t>
      </w:r>
      <w:r>
        <w:rPr>
          <w:rFonts w:hint="eastAsia" w:ascii="仿宋_GB2312" w:hAnsi="仿宋_GB2312" w:eastAsia="仿宋_GB2312" w:cs="仿宋_GB2312"/>
          <w:color w:val="auto"/>
          <w:sz w:val="32"/>
          <w:szCs w:val="32"/>
        </w:rPr>
        <w:t>发现的主要问题：由于城市建设日新月异，路灯的迁移、维护维修工作负荷增加，需进一步加强路灯的维护维修管理，从而更好地为路灯管理维护部门在创建和谐文明整洁的</w:t>
      </w:r>
      <w:r>
        <w:rPr>
          <w:rFonts w:hint="eastAsia" w:ascii="仿宋_GB2312" w:hAnsi="仿宋_GB2312" w:eastAsia="仿宋_GB2312" w:cs="仿宋_GB2312"/>
          <w:color w:val="auto"/>
          <w:sz w:val="32"/>
          <w:szCs w:val="32"/>
          <w:lang w:eastAsia="zh-CN"/>
        </w:rPr>
        <w:t>西区</w:t>
      </w:r>
      <w:r>
        <w:rPr>
          <w:rFonts w:hint="eastAsia" w:ascii="仿宋_GB2312" w:hAnsi="仿宋_GB2312" w:eastAsia="仿宋_GB2312" w:cs="仿宋_GB2312"/>
          <w:color w:val="auto"/>
          <w:sz w:val="32"/>
          <w:szCs w:val="32"/>
        </w:rPr>
        <w:t>建设中发挥作用。</w:t>
      </w:r>
    </w:p>
    <w:p w14:paraId="48F0C756">
      <w:pPr>
        <w:pageBreakBefore w:val="0"/>
        <w:kinsoku/>
        <w:wordWrap/>
        <w:overflowPunct/>
        <w:topLinePunct w:val="0"/>
        <w:bidi w:val="0"/>
        <w:spacing w:line="353"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（2）数字化城市管理信息系统项目运行经费项目绩效目标完成情况综述。项目全年预算数</w:t>
      </w:r>
      <w:r>
        <w:rPr>
          <w:rFonts w:hint="eastAsia" w:ascii="仿宋_GB2312" w:hAnsi="仿宋_GB2312" w:eastAsia="仿宋_GB2312" w:cs="仿宋_GB2312"/>
          <w:sz w:val="32"/>
          <w:szCs w:val="32"/>
          <w:lang w:val="en-US" w:eastAsia="zh-CN"/>
        </w:rPr>
        <w:t>94.8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48.97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51.66</w:t>
      </w:r>
      <w:r>
        <w:rPr>
          <w:rFonts w:hint="eastAsia" w:ascii="仿宋_GB2312" w:hAnsi="仿宋_GB2312" w:eastAsia="仿宋_GB2312" w:cs="仿宋_GB2312"/>
          <w:sz w:val="32"/>
          <w:szCs w:val="32"/>
        </w:rPr>
        <w:t>%。通过项目实施，保</w:t>
      </w:r>
      <w:r>
        <w:rPr>
          <w:rFonts w:hint="eastAsia" w:ascii="仿宋_GB2312" w:hAnsi="仿宋_GB2312" w:eastAsia="仿宋_GB2312" w:cs="仿宋_GB2312"/>
          <w:sz w:val="32"/>
          <w:szCs w:val="32"/>
          <w:lang w:eastAsia="zh-CN"/>
        </w:rPr>
        <w:t>障</w:t>
      </w:r>
      <w:r>
        <w:rPr>
          <w:rFonts w:hint="eastAsia" w:ascii="仿宋_GB2312" w:hAnsi="仿宋_GB2312" w:eastAsia="仿宋_GB2312" w:cs="仿宋_GB2312"/>
          <w:sz w:val="32"/>
          <w:szCs w:val="32"/>
        </w:rPr>
        <w:t>对全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数字城管区域内的事件、部件信息进行更新、采集、上报、核实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对接听、上报的案件进行派遣、回访等工作，保证了数字城管系统的有序运行。</w:t>
      </w:r>
      <w:r>
        <w:rPr>
          <w:rFonts w:hint="eastAsia" w:ascii="仿宋_GB2312" w:hAnsi="仿宋_GB2312" w:eastAsia="仿宋_GB2312" w:cs="仿宋_GB2312"/>
          <w:color w:val="auto"/>
          <w:sz w:val="32"/>
          <w:szCs w:val="32"/>
        </w:rPr>
        <w:t>发现的主要问题：</w:t>
      </w:r>
      <w:r>
        <w:rPr>
          <w:rFonts w:hint="eastAsia" w:ascii="仿宋_GB2312" w:hAnsi="仿宋_GB2312" w:eastAsia="仿宋_GB2312" w:cs="仿宋_GB2312"/>
          <w:color w:val="auto"/>
          <w:sz w:val="32"/>
          <w:szCs w:val="32"/>
          <w:lang w:eastAsia="zh-CN"/>
        </w:rPr>
        <w:t>资金不能及时到位</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color w:val="auto"/>
          <w:sz w:val="32"/>
          <w:szCs w:val="32"/>
          <w:lang w:eastAsia="zh-CN"/>
        </w:rPr>
        <w:t>加强与财政之间的沟通联系，争取资金能及时到位。</w:t>
      </w:r>
    </w:p>
    <w:p w14:paraId="446C6728">
      <w:pPr>
        <w:pageBreakBefore w:val="0"/>
        <w:kinsoku/>
        <w:wordWrap/>
        <w:overflowPunct/>
        <w:topLinePunct w:val="0"/>
        <w:bidi w:val="0"/>
        <w:spacing w:line="353"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（3）春节氛围营造项目专项经费目标完成情况综述。项目全年预算数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default" w:ascii="Times New Roman" w:hAnsi="Times New Roman" w:eastAsia="仿宋_GB2312" w:cs="Times New Roman"/>
          <w:kern w:val="2"/>
          <w:sz w:val="32"/>
          <w:szCs w:val="32"/>
          <w:lang w:val="en-US" w:eastAsia="zh-CN" w:bidi="ar-SA"/>
        </w:rPr>
        <w:t>不仅解决了</w:t>
      </w:r>
      <w:r>
        <w:rPr>
          <w:rFonts w:hint="eastAsia" w:ascii="Times New Roman" w:hAnsi="Times New Roman" w:eastAsia="仿宋_GB2312" w:cs="Times New Roman"/>
          <w:kern w:val="2"/>
          <w:sz w:val="32"/>
          <w:szCs w:val="32"/>
          <w:lang w:val="en-US" w:eastAsia="zh-CN" w:bidi="ar-SA"/>
        </w:rPr>
        <w:t>民生</w:t>
      </w:r>
      <w:r>
        <w:rPr>
          <w:rFonts w:hint="default" w:ascii="Times New Roman" w:hAnsi="Times New Roman" w:eastAsia="仿宋_GB2312" w:cs="Times New Roman"/>
          <w:kern w:val="2"/>
          <w:sz w:val="32"/>
          <w:szCs w:val="32"/>
          <w:lang w:val="en-US" w:eastAsia="zh-CN" w:bidi="ar-SA"/>
        </w:rPr>
        <w:t>问题，</w:t>
      </w:r>
      <w:r>
        <w:rPr>
          <w:rFonts w:hint="eastAsia" w:ascii="Times New Roman" w:hAnsi="Times New Roman" w:eastAsia="仿宋_GB2312" w:cs="Times New Roman"/>
          <w:kern w:val="2"/>
          <w:sz w:val="32"/>
          <w:szCs w:val="32"/>
          <w:lang w:val="en-US" w:eastAsia="zh-CN" w:bidi="ar-SA"/>
        </w:rPr>
        <w:t>更</w:t>
      </w:r>
      <w:r>
        <w:rPr>
          <w:rFonts w:hint="default" w:ascii="Times New Roman" w:hAnsi="Times New Roman" w:eastAsia="仿宋_GB2312" w:cs="Times New Roman"/>
          <w:kern w:val="2"/>
          <w:sz w:val="32"/>
          <w:szCs w:val="32"/>
          <w:lang w:val="en-US" w:eastAsia="zh-CN" w:bidi="ar-SA"/>
        </w:rPr>
        <w:t>提升</w:t>
      </w:r>
      <w:r>
        <w:rPr>
          <w:rFonts w:hint="eastAsia" w:ascii="Times New Roman" w:hAnsi="Times New Roman" w:eastAsia="仿宋_GB2312" w:cs="Times New Roman"/>
          <w:kern w:val="2"/>
          <w:sz w:val="32"/>
          <w:szCs w:val="32"/>
          <w:lang w:val="en-US" w:eastAsia="zh-CN" w:bidi="ar-SA"/>
        </w:rPr>
        <w:t>了城市</w:t>
      </w:r>
      <w:r>
        <w:rPr>
          <w:rFonts w:hint="default" w:ascii="Times New Roman" w:hAnsi="Times New Roman" w:eastAsia="仿宋_GB2312" w:cs="Times New Roman"/>
          <w:kern w:val="2"/>
          <w:sz w:val="32"/>
          <w:szCs w:val="32"/>
          <w:lang w:val="en-US" w:eastAsia="zh-CN" w:bidi="ar-SA"/>
        </w:rPr>
        <w:t>形象和品位</w:t>
      </w:r>
      <w:r>
        <w:rPr>
          <w:rFonts w:hint="eastAsia" w:ascii="Times New Roman" w:hAnsi="Times New Roman" w:eastAsia="仿宋_GB2312" w:cs="Times New Roman"/>
          <w:kern w:val="2"/>
          <w:sz w:val="32"/>
          <w:szCs w:val="32"/>
          <w:lang w:val="en-US" w:eastAsia="zh-CN" w:bidi="ar-SA"/>
        </w:rPr>
        <w:t>，为全区人民创造了优美舒适的生活环境。</w:t>
      </w:r>
      <w:r>
        <w:rPr>
          <w:rFonts w:hint="eastAsia" w:ascii="仿宋_GB2312" w:hAnsi="仿宋_GB2312" w:eastAsia="仿宋_GB2312" w:cs="仿宋_GB2312"/>
          <w:color w:val="auto"/>
          <w:sz w:val="32"/>
          <w:szCs w:val="32"/>
          <w:lang w:eastAsia="zh-CN"/>
        </w:rPr>
        <w:t>下一步将进一步完善</w:t>
      </w:r>
      <w:r>
        <w:rPr>
          <w:rFonts w:ascii="仿宋_GB2312" w:hAnsi="仿宋_GB2312" w:eastAsia="仿宋_GB2312" w:cs="仿宋_GB2312"/>
          <w:color w:val="auto"/>
          <w:sz w:val="32"/>
          <w:szCs w:val="32"/>
        </w:rPr>
        <w:t>造型制作及亮化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顺应</w:t>
      </w:r>
      <w:r>
        <w:rPr>
          <w:rFonts w:ascii="仿宋_GB2312" w:hAnsi="仿宋_GB2312" w:eastAsia="仿宋_GB2312" w:cs="仿宋_GB2312"/>
          <w:color w:val="auto"/>
          <w:sz w:val="32"/>
          <w:szCs w:val="32"/>
        </w:rPr>
        <w:t>民声</w:t>
      </w:r>
      <w:r>
        <w:rPr>
          <w:rFonts w:hint="eastAsia" w:ascii="仿宋_GB2312" w:hAnsi="仿宋_GB2312" w:eastAsia="仿宋_GB2312" w:cs="仿宋_GB2312"/>
          <w:color w:val="auto"/>
          <w:sz w:val="32"/>
          <w:szCs w:val="32"/>
          <w:lang w:eastAsia="zh-CN"/>
        </w:rPr>
        <w:t>，增添</w:t>
      </w:r>
      <w:r>
        <w:rPr>
          <w:rFonts w:ascii="仿宋_GB2312" w:hAnsi="仿宋_GB2312" w:eastAsia="仿宋_GB2312" w:cs="仿宋_GB2312"/>
          <w:color w:val="auto"/>
          <w:sz w:val="32"/>
          <w:szCs w:val="32"/>
        </w:rPr>
        <w:t>市民</w:t>
      </w:r>
      <w:r>
        <w:rPr>
          <w:rFonts w:hint="eastAsia" w:ascii="仿宋_GB2312" w:hAnsi="仿宋_GB2312" w:eastAsia="仿宋_GB2312" w:cs="仿宋_GB2312"/>
          <w:color w:val="auto"/>
          <w:sz w:val="32"/>
          <w:szCs w:val="32"/>
          <w:lang w:eastAsia="zh-CN"/>
        </w:rPr>
        <w:t>的</w:t>
      </w:r>
      <w:r>
        <w:rPr>
          <w:rFonts w:ascii="仿宋_GB2312" w:hAnsi="仿宋_GB2312" w:eastAsia="仿宋_GB2312" w:cs="仿宋_GB2312"/>
          <w:color w:val="auto"/>
          <w:sz w:val="32"/>
          <w:szCs w:val="32"/>
        </w:rPr>
        <w:t>幸福指数</w:t>
      </w:r>
      <w:r>
        <w:rPr>
          <w:rFonts w:hint="eastAsia" w:ascii="仿宋_GB2312" w:hAnsi="仿宋_GB2312" w:eastAsia="仿宋_GB2312" w:cs="仿宋_GB2312"/>
          <w:color w:val="auto"/>
          <w:sz w:val="32"/>
          <w:szCs w:val="32"/>
          <w:lang w:eastAsia="zh-CN"/>
        </w:rPr>
        <w:t>。</w:t>
      </w:r>
    </w:p>
    <w:p w14:paraId="7DA9F12E">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）绿化管护费（补栽、修补等）项目绩效目标完成情况综述。项目全年预算数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对辖区绿地进行补植补栽修剪树木、清理枯枝落叶等整治项目，组织施工单位对辖区行道树、绿地进行病虫害治理，清除树木菟丝子，清理枯树、危树，保护环境，增加绿化面积，提升攀枝花品牌形象</w:t>
      </w:r>
      <w:r>
        <w:rPr>
          <w:rFonts w:hint="eastAsia" w:ascii="仿宋_GB2312" w:hAnsi="仿宋_GB2312" w:eastAsia="仿宋_GB2312" w:cs="仿宋_GB2312"/>
          <w:sz w:val="32"/>
          <w:szCs w:val="32"/>
          <w:lang w:eastAsia="zh-CN"/>
        </w:rPr>
        <w:t>。下一步将进一步</w:t>
      </w:r>
      <w:r>
        <w:rPr>
          <w:rFonts w:ascii="仿宋_GB2312" w:hAnsi="仿宋_GB2312" w:eastAsia="仿宋_GB2312" w:cs="仿宋_GB2312"/>
          <w:sz w:val="32"/>
          <w:szCs w:val="32"/>
        </w:rPr>
        <w:t>改善</w:t>
      </w:r>
      <w:r>
        <w:rPr>
          <w:rFonts w:hint="eastAsia" w:ascii="仿宋_GB2312" w:hAnsi="仿宋_GB2312" w:eastAsia="仿宋_GB2312" w:cs="仿宋_GB2312"/>
          <w:sz w:val="32"/>
          <w:szCs w:val="32"/>
        </w:rPr>
        <w:t>环</w:t>
      </w:r>
      <w:r>
        <w:rPr>
          <w:rFonts w:ascii="仿宋_GB2312" w:hAnsi="仿宋_GB2312" w:eastAsia="仿宋_GB2312" w:cs="仿宋_GB2312"/>
          <w:sz w:val="32"/>
          <w:szCs w:val="32"/>
        </w:rPr>
        <w:t>境</w:t>
      </w:r>
      <w:r>
        <w:rPr>
          <w:rFonts w:hint="eastAsia" w:ascii="仿宋_GB2312" w:hAnsi="仿宋_GB2312" w:eastAsia="仿宋_GB2312" w:cs="仿宋_GB2312"/>
          <w:sz w:val="32"/>
          <w:szCs w:val="32"/>
        </w:rPr>
        <w:t>质</w:t>
      </w:r>
      <w:r>
        <w:rPr>
          <w:rFonts w:ascii="仿宋_GB2312" w:hAnsi="仿宋_GB2312" w:eastAsia="仿宋_GB2312" w:cs="仿宋_GB2312"/>
          <w:sz w:val="32"/>
          <w:szCs w:val="32"/>
        </w:rPr>
        <w:t>量，美化城区</w:t>
      </w:r>
      <w:r>
        <w:rPr>
          <w:rFonts w:hint="eastAsia" w:ascii="仿宋_GB2312" w:hAnsi="仿宋_GB2312" w:eastAsia="仿宋_GB2312" w:cs="仿宋_GB2312"/>
          <w:sz w:val="32"/>
          <w:szCs w:val="32"/>
        </w:rPr>
        <w:t>绿</w:t>
      </w:r>
      <w:r>
        <w:rPr>
          <w:rFonts w:ascii="仿宋_GB2312" w:hAnsi="仿宋_GB2312" w:eastAsia="仿宋_GB2312" w:cs="仿宋_GB2312"/>
          <w:sz w:val="32"/>
          <w:szCs w:val="32"/>
        </w:rPr>
        <w:t>化景</w:t>
      </w:r>
      <w:r>
        <w:rPr>
          <w:rFonts w:hint="eastAsia" w:ascii="仿宋_GB2312" w:hAnsi="仿宋_GB2312" w:eastAsia="仿宋_GB2312" w:cs="仿宋_GB2312"/>
          <w:sz w:val="32"/>
          <w:szCs w:val="32"/>
        </w:rPr>
        <w:t>观</w:t>
      </w:r>
      <w:r>
        <w:rPr>
          <w:rFonts w:ascii="仿宋_GB2312" w:hAnsi="仿宋_GB2312" w:eastAsia="仿宋_GB2312" w:cs="仿宋_GB2312"/>
          <w:sz w:val="32"/>
          <w:szCs w:val="32"/>
        </w:rPr>
        <w:t>。</w:t>
      </w:r>
    </w:p>
    <w:p w14:paraId="27547277">
      <w:pPr>
        <w:pageBreakBefore w:val="0"/>
        <w:kinsoku/>
        <w:wordWrap/>
        <w:overflowPunct/>
        <w:topLinePunct w:val="0"/>
        <w:bidi w:val="0"/>
        <w:spacing w:line="353" w:lineRule="auto"/>
        <w:ind w:firstLine="640" w:firstLineChars="200"/>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）紧急零星工程、应急抢险专项经费项目绩效目标完成情况综述。项目全年预算数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%。通过项目实施，及时处理潜在危险，保障群众生命财产安全，让群众安心</w:t>
      </w:r>
      <w:r>
        <w:rPr>
          <w:rFonts w:hint="eastAsia" w:ascii="仿宋_GB2312" w:hAnsi="仿宋_GB2312" w:eastAsia="仿宋_GB2312" w:cs="仿宋_GB2312"/>
          <w:sz w:val="32"/>
          <w:szCs w:val="32"/>
          <w:lang w:eastAsia="zh-CN"/>
        </w:rPr>
        <w:t>。下一步将更加及时的处理</w:t>
      </w:r>
      <w:r>
        <w:rPr>
          <w:rFonts w:ascii="仿宋_GB2312" w:hAnsi="仿宋_GB2312" w:eastAsia="仿宋_GB2312" w:cs="仿宋_GB2312"/>
          <w:sz w:val="32"/>
          <w:szCs w:val="32"/>
        </w:rPr>
        <w:t>存在的安全</w:t>
      </w:r>
      <w:r>
        <w:rPr>
          <w:rFonts w:hint="eastAsia" w:ascii="仿宋_GB2312" w:hAnsi="仿宋_GB2312" w:eastAsia="仿宋_GB2312" w:cs="仿宋_GB2312"/>
          <w:sz w:val="32"/>
          <w:szCs w:val="32"/>
        </w:rPr>
        <w:t>隐</w:t>
      </w:r>
      <w:r>
        <w:rPr>
          <w:rFonts w:ascii="仿宋_GB2312" w:hAnsi="仿宋_GB2312" w:eastAsia="仿宋_GB2312" w:cs="仿宋_GB2312"/>
          <w:sz w:val="32"/>
          <w:szCs w:val="32"/>
        </w:rPr>
        <w:t>患，确保危</w:t>
      </w:r>
      <w:r>
        <w:rPr>
          <w:rFonts w:hint="eastAsia" w:ascii="仿宋_GB2312" w:hAnsi="仿宋_GB2312" w:eastAsia="仿宋_GB2312" w:cs="仿宋_GB2312"/>
          <w:sz w:val="32"/>
          <w:szCs w:val="32"/>
        </w:rPr>
        <w:t>险</w:t>
      </w:r>
      <w:r>
        <w:rPr>
          <w:rFonts w:ascii="仿宋_GB2312" w:hAnsi="仿宋_GB2312" w:eastAsia="仿宋_GB2312" w:cs="仿宋_GB2312"/>
          <w:sz w:val="32"/>
          <w:szCs w:val="32"/>
        </w:rPr>
        <w:t>区域内居民、游人生命</w:t>
      </w:r>
      <w:r>
        <w:rPr>
          <w:rFonts w:hint="eastAsia" w:ascii="仿宋_GB2312" w:hAnsi="仿宋_GB2312" w:eastAsia="仿宋_GB2312" w:cs="仿宋_GB2312"/>
          <w:sz w:val="32"/>
          <w:szCs w:val="32"/>
        </w:rPr>
        <w:t>财产</w:t>
      </w:r>
      <w:r>
        <w:rPr>
          <w:rFonts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w:t>
      </w:r>
    </w:p>
    <w:tbl>
      <w:tblPr>
        <w:tblStyle w:val="9"/>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7A851314">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94E3EEA">
            <w:pPr>
              <w:pageBreakBefore w:val="0"/>
              <w:widowControl/>
              <w:kinsoku/>
              <w:wordWrap/>
              <w:overflowPunct/>
              <w:topLinePunct w:val="0"/>
              <w:bidi w:val="0"/>
              <w:spacing w:line="353" w:lineRule="auto"/>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44E3074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DF204">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F9F8E">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通电路灯维修费</w:t>
            </w:r>
          </w:p>
        </w:tc>
      </w:tr>
      <w:tr w14:paraId="2CD6909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4903D">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B1EB4">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攀枝花市西区综合行政执法局</w:t>
            </w:r>
          </w:p>
        </w:tc>
      </w:tr>
      <w:tr w14:paraId="15C54D8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FC02B">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3822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1DFB0">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81BC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6C196">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6</w:t>
            </w:r>
          </w:p>
        </w:tc>
      </w:tr>
      <w:tr w14:paraId="67478B6B">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82DE8">
            <w:pPr>
              <w:pageBreakBefore w:val="0"/>
              <w:kinsoku/>
              <w:wordWrap/>
              <w:overflowPunct/>
              <w:topLinePunct w:val="0"/>
              <w:bidi w:val="0"/>
              <w:spacing w:line="353" w:lineRule="auto"/>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ED4EE">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83FA4">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E3A6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F4CB5">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6</w:t>
            </w:r>
          </w:p>
        </w:tc>
      </w:tr>
      <w:tr w14:paraId="4CB4E68B">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1BA0E">
            <w:pPr>
              <w:pageBreakBefore w:val="0"/>
              <w:kinsoku/>
              <w:wordWrap/>
              <w:overflowPunct/>
              <w:topLinePunct w:val="0"/>
              <w:bidi w:val="0"/>
              <w:spacing w:line="353" w:lineRule="auto"/>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870B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4718B">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364E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2D9F6">
            <w:pPr>
              <w:pageBreakBefore w:val="0"/>
              <w:kinsoku/>
              <w:wordWrap/>
              <w:overflowPunct/>
              <w:topLinePunct w:val="0"/>
              <w:bidi w:val="0"/>
              <w:spacing w:line="353" w:lineRule="auto"/>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7D30475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B0842">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7E40D">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8A17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710D3E2A">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292F2">
            <w:pPr>
              <w:pageBreakBefore w:val="0"/>
              <w:kinsoku/>
              <w:wordWrap/>
              <w:overflowPunct/>
              <w:topLinePunct w:val="0"/>
              <w:bidi w:val="0"/>
              <w:spacing w:line="353" w:lineRule="auto"/>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EB57C">
            <w:pPr>
              <w:pageBreakBefore w:val="0"/>
              <w:widowControl/>
              <w:kinsoku/>
              <w:wordWrap/>
              <w:overflowPunct/>
              <w:topLinePunct w:val="0"/>
              <w:bidi w:val="0"/>
              <w:spacing w:line="353" w:lineRule="auto"/>
              <w:jc w:val="center"/>
              <w:textAlignment w:val="center"/>
              <w:rPr>
                <w:rFonts w:hint="eastAsia" w:ascii="宋体" w:hAnsi="宋体" w:cs="宋体"/>
                <w:color w:val="000000"/>
                <w:sz w:val="24"/>
              </w:rPr>
            </w:pPr>
            <w:r>
              <w:rPr>
                <w:rFonts w:hint="eastAsia" w:ascii="宋体" w:hAnsi="宋体" w:cs="宋体"/>
                <w:color w:val="000000"/>
                <w:sz w:val="24"/>
              </w:rPr>
              <w:t>保障2019年全年通电路灯及时维修，正常使用</w:t>
            </w:r>
          </w:p>
          <w:p w14:paraId="2BA2ABAE">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CD4C4">
            <w:pPr>
              <w:pageBreakBefore w:val="0"/>
              <w:widowControl/>
              <w:kinsoku/>
              <w:wordWrap/>
              <w:overflowPunct/>
              <w:topLinePunct w:val="0"/>
              <w:bidi w:val="0"/>
              <w:spacing w:line="353" w:lineRule="auto"/>
              <w:jc w:val="center"/>
              <w:textAlignment w:val="center"/>
              <w:rPr>
                <w:rFonts w:hint="eastAsia" w:ascii="宋体" w:hAnsi="宋体" w:cs="宋体"/>
                <w:color w:val="000000"/>
                <w:sz w:val="24"/>
              </w:rPr>
            </w:pPr>
            <w:r>
              <w:rPr>
                <w:rFonts w:hint="eastAsia" w:ascii="宋体" w:hAnsi="宋体" w:cs="宋体"/>
                <w:color w:val="000000"/>
                <w:sz w:val="24"/>
              </w:rPr>
              <w:t>保障2019年全年通电路灯及时维修，正常使用</w:t>
            </w:r>
          </w:p>
          <w:p w14:paraId="5F36F85B">
            <w:pPr>
              <w:pageBreakBefore w:val="0"/>
              <w:widowControl/>
              <w:kinsoku/>
              <w:wordWrap/>
              <w:overflowPunct/>
              <w:topLinePunct w:val="0"/>
              <w:bidi w:val="0"/>
              <w:spacing w:line="353" w:lineRule="auto"/>
              <w:jc w:val="center"/>
              <w:textAlignment w:val="center"/>
              <w:rPr>
                <w:rFonts w:ascii="宋体" w:hAnsi="宋体" w:cs="宋体"/>
                <w:color w:val="000000"/>
                <w:sz w:val="24"/>
              </w:rPr>
            </w:pPr>
          </w:p>
        </w:tc>
      </w:tr>
      <w:tr w14:paraId="5239C3A1">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E6AD81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0CB63">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C148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4C31E">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A1DD4">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88C9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075877C5">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3A20CCD">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4A13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DEB24">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6406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管辖内路灯维修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27F00">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2019年通电路灯维修，全区500盏路灯维护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CBB6B">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2019年通电路灯维修，全区500盏路灯维护</w:t>
            </w:r>
          </w:p>
        </w:tc>
      </w:tr>
      <w:tr w14:paraId="25629952">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D4475A7">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7A59D">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A7362">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B716E">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新增路灯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F407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新安装欧郦景苑小区庭院灯20盏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E27AD">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新安装欧郦景苑小区庭院灯20盏</w:t>
            </w:r>
          </w:p>
        </w:tc>
      </w:tr>
      <w:tr w14:paraId="4031C37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8175B3D">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1098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35945">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FA4B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路灯检查维护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FACA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及时维修，保障夜间出行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0D51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及时维修，保障夜间出行</w:t>
            </w:r>
          </w:p>
        </w:tc>
      </w:tr>
      <w:tr w14:paraId="29FB9D5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8F4B9D1">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786D1">
            <w:pPr>
              <w:pageBreakBefore w:val="0"/>
              <w:widowControl/>
              <w:kinsoku/>
              <w:wordWrap/>
              <w:overflowPunct/>
              <w:topLinePunct w:val="0"/>
              <w:bidi w:val="0"/>
              <w:spacing w:line="353" w:lineRule="auto"/>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4D067">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0296E">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工作任务时间节点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621C5">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2019年全年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328C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lang w:val="en-US" w:eastAsia="zh-CN"/>
              </w:rPr>
              <w:t>2019年全年</w:t>
            </w:r>
          </w:p>
        </w:tc>
      </w:tr>
      <w:tr w14:paraId="393D10D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E31234A">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C452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A1466">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050E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维修费用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F42F4">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控制在预算内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8749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预算内较好完成</w:t>
            </w:r>
          </w:p>
        </w:tc>
      </w:tr>
      <w:tr w14:paraId="2A118DB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A68E93D">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2734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B249B">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07D44">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完善城市基础设施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5952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市政设施维护，营造便利社会环境，方便群众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B59F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市政设施维护，营造便利社会环境，方便群众</w:t>
            </w:r>
          </w:p>
        </w:tc>
      </w:tr>
      <w:tr w14:paraId="15930A5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ABADC67">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1C68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9B4B3">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764DF">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服务对象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270F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D972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&gt;90%</w:t>
            </w:r>
          </w:p>
        </w:tc>
      </w:tr>
    </w:tbl>
    <w:p w14:paraId="288F442D">
      <w:pPr>
        <w:pageBreakBefore w:val="0"/>
        <w:kinsoku/>
        <w:wordWrap/>
        <w:overflowPunct/>
        <w:topLinePunct w:val="0"/>
        <w:bidi w:val="0"/>
        <w:spacing w:line="353" w:lineRule="auto"/>
        <w:ind w:left="630"/>
        <w:rPr>
          <w:rFonts w:ascii="仿宋_GB2312" w:hAnsi="仿宋_GB2312" w:eastAsia="仿宋_GB2312" w:cs="仿宋_GB2312"/>
          <w:sz w:val="32"/>
          <w:szCs w:val="32"/>
        </w:rPr>
      </w:pPr>
    </w:p>
    <w:tbl>
      <w:tblPr>
        <w:tblStyle w:val="9"/>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FDDBC0B">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628D89A">
            <w:pPr>
              <w:pageBreakBefore w:val="0"/>
              <w:widowControl/>
              <w:kinsoku/>
              <w:wordWrap/>
              <w:overflowPunct/>
              <w:topLinePunct w:val="0"/>
              <w:bidi w:val="0"/>
              <w:spacing w:line="353" w:lineRule="auto"/>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31CA2BC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5E7F0">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704A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数字化城市管理信息系统项目运行经费</w:t>
            </w:r>
          </w:p>
        </w:tc>
      </w:tr>
      <w:tr w14:paraId="0477432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4DF7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43A9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攀枝花市西区综合行政执法局</w:t>
            </w:r>
          </w:p>
        </w:tc>
      </w:tr>
      <w:tr w14:paraId="7F06A60B">
        <w:tblPrEx>
          <w:tblCellMar>
            <w:top w:w="0" w:type="dxa"/>
            <w:left w:w="0" w:type="dxa"/>
            <w:bottom w:w="0" w:type="dxa"/>
            <w:right w:w="0" w:type="dxa"/>
          </w:tblCellMar>
        </w:tblPrEx>
        <w:trPr>
          <w:trHeight w:val="90"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0B1AD">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44BAE">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E15F0">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94.8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EE950">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B4338">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48.97</w:t>
            </w:r>
          </w:p>
        </w:tc>
      </w:tr>
      <w:tr w14:paraId="257D8FFB">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7F29D">
            <w:pPr>
              <w:pageBreakBefore w:val="0"/>
              <w:kinsoku/>
              <w:wordWrap/>
              <w:overflowPunct/>
              <w:topLinePunct w:val="0"/>
              <w:bidi w:val="0"/>
              <w:spacing w:line="353" w:lineRule="auto"/>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B762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16C7B">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94.8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47A7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2B813">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48.97</w:t>
            </w:r>
          </w:p>
        </w:tc>
      </w:tr>
      <w:tr w14:paraId="7719A56C">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B040C">
            <w:pPr>
              <w:pageBreakBefore w:val="0"/>
              <w:kinsoku/>
              <w:wordWrap/>
              <w:overflowPunct/>
              <w:topLinePunct w:val="0"/>
              <w:bidi w:val="0"/>
              <w:spacing w:line="353" w:lineRule="auto"/>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F143C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8E564">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BD27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33104">
            <w:pPr>
              <w:pageBreakBefore w:val="0"/>
              <w:kinsoku/>
              <w:wordWrap/>
              <w:overflowPunct/>
              <w:topLinePunct w:val="0"/>
              <w:bidi w:val="0"/>
              <w:spacing w:line="353" w:lineRule="auto"/>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61E2A76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8AD80">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2A3EB">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68532">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ED581E5">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7FF6A">
            <w:pPr>
              <w:pageBreakBefore w:val="0"/>
              <w:kinsoku/>
              <w:wordWrap/>
              <w:overflowPunct/>
              <w:topLinePunct w:val="0"/>
              <w:bidi w:val="0"/>
              <w:spacing w:line="353" w:lineRule="auto"/>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63FB4">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kern w:val="0"/>
                <w:szCs w:val="21"/>
              </w:rPr>
              <w:t>通过信息采集业务及指挥大厅调度工作，实现对城市管理问题得及时发现、处置，为市民群众打造良好的人居环境并提供更方便、快捷的综合性服务。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25D3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kern w:val="0"/>
                <w:szCs w:val="21"/>
              </w:rPr>
              <w:t>通过信息采集业务及指挥大厅调度工作，实现对城市管理问题得及时发现、处置，为市民群众打造良好的人居环境并提供更方便、快捷的综合性服务。</w:t>
            </w:r>
          </w:p>
        </w:tc>
      </w:tr>
      <w:tr w14:paraId="075CC75A">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5CC057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795B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FBEC0">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C385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F2B8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7153A">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5B63A136">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92984E5">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9EAB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CA8FE">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BFDA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Cs w:val="21"/>
              </w:rPr>
              <w:t>信息采集、部件更新及案件立案、派遣</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51E5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kern w:val="0"/>
                <w:szCs w:val="21"/>
              </w:rPr>
              <w:t>根据实际完成</w:t>
            </w:r>
            <w:r>
              <w:rPr>
                <w:rFonts w:hint="eastAsia" w:ascii="宋体" w:hAnsi="宋体" w:cs="宋体"/>
                <w:color w:val="000000"/>
                <w:kern w:val="0"/>
                <w:szCs w:val="21"/>
              </w:rPr>
              <w:t>信息采集、部件更新及案件立案、派遣</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7785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kern w:val="0"/>
                <w:szCs w:val="21"/>
              </w:rPr>
              <w:t>根据实际完成</w:t>
            </w:r>
            <w:r>
              <w:rPr>
                <w:rFonts w:hint="eastAsia" w:ascii="宋体" w:hAnsi="宋体" w:cs="宋体"/>
                <w:color w:val="000000"/>
                <w:kern w:val="0"/>
                <w:szCs w:val="21"/>
              </w:rPr>
              <w:t>信息采集、部件更新及案件立案、派遣</w:t>
            </w:r>
          </w:p>
        </w:tc>
      </w:tr>
      <w:tr w14:paraId="1932507B">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9E39C09">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B53E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E4596">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A51BB">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数字化系统管理费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5FE5B">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数字化系统1套运行管理费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5F1F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数字化系统1套运行管理费，合同价94.8万元，实际支付48.97万元</w:t>
            </w:r>
          </w:p>
        </w:tc>
      </w:tr>
      <w:tr w14:paraId="0B80064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F724AD5">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2ADB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D0536">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9E9E4">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Cs w:val="21"/>
              </w:rPr>
              <w:t>完成工作任务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AFB5A">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kern w:val="0"/>
                <w:szCs w:val="21"/>
              </w:rPr>
              <w:t>通过业务考核，基本完成相关工作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E801A">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kern w:val="0"/>
                <w:szCs w:val="21"/>
              </w:rPr>
              <w:t>通过业务考核，基本完成相关工作</w:t>
            </w:r>
          </w:p>
        </w:tc>
      </w:tr>
      <w:tr w14:paraId="7D96477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9A54ED2">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B896A">
            <w:pPr>
              <w:pageBreakBefore w:val="0"/>
              <w:widowControl/>
              <w:kinsoku/>
              <w:wordWrap/>
              <w:overflowPunct/>
              <w:topLinePunct w:val="0"/>
              <w:bidi w:val="0"/>
              <w:spacing w:line="353" w:lineRule="auto"/>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2BE19">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CFF37">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工作任务时间节点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A4493">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2019年全年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43A9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2019年全年</w:t>
            </w:r>
          </w:p>
        </w:tc>
      </w:tr>
      <w:tr w14:paraId="36F9F5E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CF4DED6">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1F28E">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8B7E7">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C66C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系统管理费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4F70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降低运行成本，提高办事效率，推进工作顺利进行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3E46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降低运行成本，提高办事效率，推进工作顺利进行</w:t>
            </w:r>
          </w:p>
        </w:tc>
      </w:tr>
      <w:tr w14:paraId="057DCF7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701FF6A">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E002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068C2">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A589A">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Cs w:val="21"/>
              </w:rPr>
              <w:t>改善城市环境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6D41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kern w:val="0"/>
                <w:szCs w:val="21"/>
              </w:rPr>
              <w:t>打造良好的城市人居环境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1A677">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kern w:val="0"/>
                <w:szCs w:val="21"/>
              </w:rPr>
              <w:t>一定程度上改善了社会人居环境</w:t>
            </w:r>
          </w:p>
        </w:tc>
      </w:tr>
      <w:tr w14:paraId="7AA4868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AB5C4D9">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5714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53BEB">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CCB73">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服务对象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7175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lang w:eastAsia="zh-CN"/>
              </w:rPr>
              <w:t>高度</w:t>
            </w:r>
            <w:r>
              <w:rPr>
                <w:rFonts w:hint="eastAsia" w:ascii="宋体" w:hAnsi="宋体" w:cs="宋体"/>
                <w:color w:val="000000"/>
                <w:sz w:val="24"/>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F151A">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基本满意</w:t>
            </w:r>
          </w:p>
        </w:tc>
      </w:tr>
      <w:tr w14:paraId="46377780">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2A87D08">
            <w:pPr>
              <w:pageBreakBefore w:val="0"/>
              <w:widowControl/>
              <w:kinsoku/>
              <w:wordWrap/>
              <w:overflowPunct/>
              <w:topLinePunct w:val="0"/>
              <w:bidi w:val="0"/>
              <w:spacing w:line="353" w:lineRule="auto"/>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07F3640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D72F7">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55F1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春节氛围营造项目专项经费</w:t>
            </w:r>
          </w:p>
        </w:tc>
      </w:tr>
      <w:tr w14:paraId="7C19791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61B6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D3217">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攀枝花市西区综合行政执法局</w:t>
            </w:r>
          </w:p>
        </w:tc>
      </w:tr>
      <w:tr w14:paraId="2FC0290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C2D4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C584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E6DBE">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F589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FCA65">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30</w:t>
            </w:r>
          </w:p>
        </w:tc>
      </w:tr>
      <w:tr w14:paraId="1A07A6CD">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182D4">
            <w:pPr>
              <w:pageBreakBefore w:val="0"/>
              <w:kinsoku/>
              <w:wordWrap/>
              <w:overflowPunct/>
              <w:topLinePunct w:val="0"/>
              <w:bidi w:val="0"/>
              <w:spacing w:line="353" w:lineRule="auto"/>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7C1C3">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88BB5">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E65AB">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79EE6">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30</w:t>
            </w:r>
          </w:p>
        </w:tc>
      </w:tr>
      <w:tr w14:paraId="44CADF81">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8B223">
            <w:pPr>
              <w:pageBreakBefore w:val="0"/>
              <w:kinsoku/>
              <w:wordWrap/>
              <w:overflowPunct/>
              <w:topLinePunct w:val="0"/>
              <w:bidi w:val="0"/>
              <w:spacing w:line="353" w:lineRule="auto"/>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AF02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C380F">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297CB">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8A1B4">
            <w:pPr>
              <w:pageBreakBefore w:val="0"/>
              <w:kinsoku/>
              <w:wordWrap/>
              <w:overflowPunct/>
              <w:topLinePunct w:val="0"/>
              <w:bidi w:val="0"/>
              <w:spacing w:line="353" w:lineRule="auto"/>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2AD19D7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138A4">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84B8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8246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0389453D">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BA27D">
            <w:pPr>
              <w:pageBreakBefore w:val="0"/>
              <w:kinsoku/>
              <w:wordWrap/>
              <w:overflowPunct/>
              <w:topLinePunct w:val="0"/>
              <w:bidi w:val="0"/>
              <w:spacing w:line="353" w:lineRule="auto"/>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4B747">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2019年在去年基础上亮化、美化效果需提升。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E50A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2019年在去年基础上亮化、美化效果需提升。</w:t>
            </w:r>
          </w:p>
        </w:tc>
      </w:tr>
      <w:tr w14:paraId="78C5C3E3">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58E2CC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AA8B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E06C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B9E94">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37187">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8EA90">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4BF8B0B1">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99A19A2">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4E9EB">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516AC">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C7709">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亮化道路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91037">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lang w:val="en-US" w:eastAsia="zh-CN"/>
              </w:rPr>
              <w:t>1条</w:t>
            </w:r>
            <w:r>
              <w:rPr>
                <w:rFonts w:hint="eastAsia" w:ascii="宋体" w:hAnsi="宋体" w:cs="宋体"/>
                <w:color w:val="000000"/>
                <w:sz w:val="24"/>
              </w:rPr>
              <w:t>主干道</w:t>
            </w:r>
            <w:r>
              <w:rPr>
                <w:rFonts w:hint="eastAsia" w:ascii="宋体" w:hAnsi="宋体" w:cs="宋体"/>
                <w:color w:val="000000"/>
                <w:sz w:val="24"/>
                <w:lang w:eastAsia="zh-CN"/>
              </w:rPr>
              <w:t>、</w:t>
            </w:r>
            <w:r>
              <w:rPr>
                <w:rFonts w:hint="eastAsia" w:ascii="宋体" w:hAnsi="宋体" w:cs="宋体"/>
                <w:color w:val="000000"/>
                <w:sz w:val="24"/>
                <w:lang w:val="en-US" w:eastAsia="zh-CN"/>
              </w:rPr>
              <w:t>3个</w:t>
            </w:r>
            <w:r>
              <w:rPr>
                <w:rFonts w:hint="eastAsia" w:ascii="宋体" w:hAnsi="宋体" w:cs="宋体"/>
                <w:color w:val="000000"/>
                <w:sz w:val="24"/>
                <w:lang w:eastAsia="zh-CN"/>
              </w:rPr>
              <w:t>高速路口</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DB7F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lang w:val="en-US" w:eastAsia="zh-CN"/>
              </w:rPr>
              <w:t>1条</w:t>
            </w:r>
            <w:r>
              <w:rPr>
                <w:rFonts w:hint="eastAsia" w:ascii="宋体" w:hAnsi="宋体" w:cs="宋体"/>
                <w:color w:val="000000"/>
                <w:sz w:val="24"/>
              </w:rPr>
              <w:t>主干道</w:t>
            </w:r>
            <w:r>
              <w:rPr>
                <w:rFonts w:hint="eastAsia" w:ascii="宋体" w:hAnsi="宋体" w:cs="宋体"/>
                <w:color w:val="000000"/>
                <w:sz w:val="24"/>
                <w:lang w:eastAsia="zh-CN"/>
              </w:rPr>
              <w:t>、</w:t>
            </w:r>
            <w:r>
              <w:rPr>
                <w:rFonts w:hint="eastAsia" w:ascii="宋体" w:hAnsi="宋体" w:cs="宋体"/>
                <w:color w:val="000000"/>
                <w:sz w:val="24"/>
                <w:lang w:val="en-US" w:eastAsia="zh-CN"/>
              </w:rPr>
              <w:t>3个</w:t>
            </w:r>
            <w:r>
              <w:rPr>
                <w:rFonts w:hint="eastAsia" w:ascii="宋体" w:hAnsi="宋体" w:cs="宋体"/>
                <w:color w:val="000000"/>
                <w:sz w:val="24"/>
                <w:lang w:eastAsia="zh-CN"/>
              </w:rPr>
              <w:t>高速路口</w:t>
            </w:r>
          </w:p>
        </w:tc>
      </w:tr>
      <w:tr w14:paraId="0D688449">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EC049B3">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E27E4">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69A74">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20FD4">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重点点位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BBEB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五个重点点位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0FB4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五个重点点位</w:t>
            </w:r>
          </w:p>
        </w:tc>
      </w:tr>
      <w:tr w14:paraId="6DECFC1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4F82920">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AF8A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72F1A">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08672">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增加亮化，增添年味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4F4B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2019年在去年基础上亮化、美化效果需提升，主城街道年味更加浓厚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F4BF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2019年在去年基础上亮化、美化效果需提升，主城街道年味更加浓厚</w:t>
            </w:r>
          </w:p>
        </w:tc>
      </w:tr>
      <w:tr w14:paraId="775E0FE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DB4DC68">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023F6">
            <w:pPr>
              <w:pageBreakBefore w:val="0"/>
              <w:widowControl/>
              <w:kinsoku/>
              <w:wordWrap/>
              <w:overflowPunct/>
              <w:topLinePunct w:val="0"/>
              <w:bidi w:val="0"/>
              <w:spacing w:line="353" w:lineRule="auto"/>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CEF70">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7DF7E">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工作任务时间节点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5E7E8">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2019年春节节日期间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ECEE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2019年春节节日期间</w:t>
            </w:r>
          </w:p>
        </w:tc>
      </w:tr>
      <w:tr w14:paraId="480F504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EB19410">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0D69E">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3DBB5">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D09B2">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春节亮化布置成本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DB714">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造型、装饰、人工等费用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4D33D">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lang w:eastAsia="zh-CN"/>
              </w:rPr>
              <w:t>造型、装饰、人工等费用</w:t>
            </w:r>
          </w:p>
        </w:tc>
      </w:tr>
      <w:tr w14:paraId="7776A2B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7C64A47">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E05BA">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68DA7">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1CA5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营造传统节日氛围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6849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营造传统节日氛围，社会认同归属感强烈，文化传承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E4EC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营造传统节日氛围，社会认同归属感强烈，文化传承</w:t>
            </w:r>
          </w:p>
        </w:tc>
      </w:tr>
      <w:tr w14:paraId="1A07989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B56F89D">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5AFF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261F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507C2">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服务对象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73B07">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居民群众高度满意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05623">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基本满意</w:t>
            </w:r>
          </w:p>
        </w:tc>
      </w:tr>
      <w:tr w14:paraId="0B008448">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1D4880D">
            <w:pPr>
              <w:pageBreakBefore w:val="0"/>
              <w:widowControl/>
              <w:kinsoku/>
              <w:wordWrap/>
              <w:overflowPunct/>
              <w:topLinePunct w:val="0"/>
              <w:bidi w:val="0"/>
              <w:spacing w:line="353" w:lineRule="auto"/>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77C42C1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A9C1A">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D4C34">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绿化管护费（补栽、修补等）</w:t>
            </w:r>
          </w:p>
        </w:tc>
      </w:tr>
      <w:tr w14:paraId="76B26F6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0C4C3">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4CCBD">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攀枝花市西区综合行政执法局</w:t>
            </w:r>
          </w:p>
        </w:tc>
      </w:tr>
      <w:tr w14:paraId="7C7DD56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4EA2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4EBA2">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2082B">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E566E">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354ED">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40</w:t>
            </w:r>
          </w:p>
        </w:tc>
      </w:tr>
      <w:tr w14:paraId="0E916C23">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D65CD">
            <w:pPr>
              <w:pageBreakBefore w:val="0"/>
              <w:kinsoku/>
              <w:wordWrap/>
              <w:overflowPunct/>
              <w:topLinePunct w:val="0"/>
              <w:bidi w:val="0"/>
              <w:spacing w:line="353" w:lineRule="auto"/>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561CE">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C1621">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6EA0A">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8B552">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40</w:t>
            </w:r>
          </w:p>
        </w:tc>
      </w:tr>
      <w:tr w14:paraId="15AB657D">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09AB4">
            <w:pPr>
              <w:pageBreakBefore w:val="0"/>
              <w:kinsoku/>
              <w:wordWrap/>
              <w:overflowPunct/>
              <w:topLinePunct w:val="0"/>
              <w:bidi w:val="0"/>
              <w:spacing w:line="353" w:lineRule="auto"/>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1029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080D3">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A783B">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47E0B">
            <w:pPr>
              <w:pageBreakBefore w:val="0"/>
              <w:kinsoku/>
              <w:wordWrap/>
              <w:overflowPunct/>
              <w:topLinePunct w:val="0"/>
              <w:bidi w:val="0"/>
              <w:spacing w:line="353" w:lineRule="auto"/>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2DE4837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9A4B3">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7FC3D">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BD690">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E10E623">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1BC18">
            <w:pPr>
              <w:pageBreakBefore w:val="0"/>
              <w:kinsoku/>
              <w:wordWrap/>
              <w:overflowPunct/>
              <w:topLinePunct w:val="0"/>
              <w:bidi w:val="0"/>
              <w:spacing w:line="353" w:lineRule="auto"/>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540A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辖区内绿化面积养护，营造优美宜居环境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5BD3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对辖区绿地进行补植补栽修剪树木、清理枯枝落叶等整治项目，组织施工单位对辖区行道树、绿地进行病虫害治理，清除树木菟丝子，清理枯树、危树，组织水车对辖区行道树、花箱开展每周一次，每月四次循环浇水保苗工作。</w:t>
            </w:r>
          </w:p>
        </w:tc>
      </w:tr>
      <w:tr w14:paraId="7D849039">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A65B862">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3896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1E26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F1CCA">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5B66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AED3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444725CD">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6611C48">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CBF7D">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9FC5C">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B550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绿地补植及灌木管护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3F2C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辖区内7.87万平方绿化面积养护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D3E32">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绿地补植苗木2050余平方米、修剪灌木9330余平方米、修剪乔木44株</w:t>
            </w:r>
          </w:p>
        </w:tc>
      </w:tr>
      <w:tr w14:paraId="639228A5">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B562D33">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132DA">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13320">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B1F0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绿化用水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709D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绿化浇水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841ED">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累计用水3320吨、累计浇水9个月、出动人员78人</w:t>
            </w:r>
          </w:p>
        </w:tc>
      </w:tr>
      <w:tr w14:paraId="34A8A9B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315BBF7">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A6828">
            <w:pPr>
              <w:pageBreakBefore w:val="0"/>
              <w:widowControl/>
              <w:kinsoku/>
              <w:wordWrap/>
              <w:overflowPunct/>
              <w:topLinePunct w:val="0"/>
              <w:bidi w:val="0"/>
              <w:spacing w:line="353" w:lineRule="auto"/>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70BD5">
            <w:pPr>
              <w:pageBreakBefore w:val="0"/>
              <w:widowControl/>
              <w:kinsoku/>
              <w:wordWrap/>
              <w:overflowPunct/>
              <w:topLinePunct w:val="0"/>
              <w:bidi w:val="0"/>
              <w:spacing w:line="353" w:lineRule="auto"/>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60D5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绿地病虫害处理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545A2">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行道树、绿地病虫害处理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D057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对辖区行道树、绿地进行病虫害治理15次、清理枯枝、落叶及白色垃圾47车次</w:t>
            </w:r>
          </w:p>
        </w:tc>
      </w:tr>
      <w:tr w14:paraId="13BCDD2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5F37293">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6F593">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AEEF2">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6775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绿地管护质量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0FEC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按照绿地日常管护标准管护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D0E3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按照绿地日常管护标准管护</w:t>
            </w:r>
          </w:p>
        </w:tc>
      </w:tr>
      <w:tr w14:paraId="42A8552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68C9B10">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41CFD">
            <w:pPr>
              <w:pageBreakBefore w:val="0"/>
              <w:widowControl/>
              <w:kinsoku/>
              <w:wordWrap/>
              <w:overflowPunct/>
              <w:topLinePunct w:val="0"/>
              <w:bidi w:val="0"/>
              <w:spacing w:line="353" w:lineRule="auto"/>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59E12">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AB912">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工作任务完成节点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7AE8B">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2019年全年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E7DAA">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2019年全年</w:t>
            </w:r>
          </w:p>
        </w:tc>
      </w:tr>
      <w:tr w14:paraId="2BCDCE8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440D276">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445D63">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FA95A">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EE9F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绿化日常管护经费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ADAD7">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预计修剪、浇水等费用40万元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1C008">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已完成</w:t>
            </w:r>
          </w:p>
        </w:tc>
      </w:tr>
      <w:tr w14:paraId="607B0D8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B03013E">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BD0B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03DD0">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4D48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lang w:eastAsia="zh-CN"/>
              </w:rPr>
              <w:t>提</w:t>
            </w:r>
            <w:r>
              <w:rPr>
                <w:rFonts w:hint="eastAsia" w:ascii="宋体" w:hAnsi="宋体" w:cs="宋体"/>
                <w:color w:val="000000"/>
                <w:sz w:val="24"/>
              </w:rPr>
              <w:t>升攀枝花品牌形象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A66A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保护环境，增加绿化面积，提升攀枝花品牌形象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3310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保护环境，增加绿化面积，提升攀枝花品牌形象</w:t>
            </w:r>
          </w:p>
        </w:tc>
      </w:tr>
      <w:tr w14:paraId="2B15757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0C62B33">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EDA9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0A51E">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B5616">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服务对象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6E2F7">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居民群众高度满意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221DD">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居民群众高度满意</w:t>
            </w:r>
          </w:p>
        </w:tc>
      </w:tr>
      <w:tr w14:paraId="3E8C574C">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FB427E8">
            <w:pPr>
              <w:pageBreakBefore w:val="0"/>
              <w:widowControl/>
              <w:kinsoku/>
              <w:wordWrap/>
              <w:overflowPunct/>
              <w:topLinePunct w:val="0"/>
              <w:bidi w:val="0"/>
              <w:spacing w:line="353" w:lineRule="auto"/>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0DEC0672">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A74C3">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756EB">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紧急零星工程、应急抢险专项经费</w:t>
            </w:r>
          </w:p>
        </w:tc>
      </w:tr>
      <w:tr w14:paraId="2649BFE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2F146">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4ACFA">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攀枝花市西区综合行政执法局</w:t>
            </w:r>
          </w:p>
        </w:tc>
      </w:tr>
      <w:tr w14:paraId="49130AA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E84A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A3557">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2C2D8">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459C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DCC4E">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w:t>
            </w:r>
          </w:p>
        </w:tc>
      </w:tr>
      <w:tr w14:paraId="208ECBBB">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E22D2">
            <w:pPr>
              <w:pageBreakBefore w:val="0"/>
              <w:kinsoku/>
              <w:wordWrap/>
              <w:overflowPunct/>
              <w:topLinePunct w:val="0"/>
              <w:bidi w:val="0"/>
              <w:spacing w:line="353" w:lineRule="auto"/>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6564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31278">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02FBD">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BAF22">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w:t>
            </w:r>
          </w:p>
        </w:tc>
      </w:tr>
      <w:tr w14:paraId="0353AAA0">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7DC19">
            <w:pPr>
              <w:pageBreakBefore w:val="0"/>
              <w:kinsoku/>
              <w:wordWrap/>
              <w:overflowPunct/>
              <w:topLinePunct w:val="0"/>
              <w:bidi w:val="0"/>
              <w:spacing w:line="353" w:lineRule="auto"/>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6E75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913F3">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E31C2">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1CFF4">
            <w:pPr>
              <w:pageBreakBefore w:val="0"/>
              <w:kinsoku/>
              <w:wordWrap/>
              <w:overflowPunct/>
              <w:topLinePunct w:val="0"/>
              <w:bidi w:val="0"/>
              <w:spacing w:line="353" w:lineRule="auto"/>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4615A10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4814B">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B1F4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64ED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7948267C">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16451">
            <w:pPr>
              <w:pageBreakBefore w:val="0"/>
              <w:kinsoku/>
              <w:wordWrap/>
              <w:overflowPunct/>
              <w:topLinePunct w:val="0"/>
              <w:bidi w:val="0"/>
              <w:spacing w:line="353" w:lineRule="auto"/>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9B00E">
            <w:pPr>
              <w:pageBreakBefore w:val="0"/>
              <w:widowControl/>
              <w:kinsoku/>
              <w:wordWrap/>
              <w:overflowPunct/>
              <w:topLinePunct w:val="0"/>
              <w:bidi w:val="0"/>
              <w:spacing w:line="353" w:lineRule="auto"/>
              <w:jc w:val="center"/>
              <w:textAlignment w:val="center"/>
              <w:rPr>
                <w:rFonts w:hint="eastAsia" w:ascii="宋体" w:hAnsi="宋体" w:cs="宋体"/>
                <w:color w:val="000000"/>
                <w:sz w:val="24"/>
              </w:rPr>
            </w:pPr>
            <w:r>
              <w:rPr>
                <w:rFonts w:hint="eastAsia" w:ascii="宋体" w:hAnsi="宋体" w:cs="宋体"/>
                <w:color w:val="000000"/>
                <w:sz w:val="24"/>
              </w:rPr>
              <w:t>及时处理潜在危险，保障群众生命财产安全，让群众安心</w:t>
            </w:r>
          </w:p>
          <w:p w14:paraId="23676816">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DD1D5">
            <w:pPr>
              <w:pageBreakBefore w:val="0"/>
              <w:widowControl/>
              <w:kinsoku/>
              <w:wordWrap/>
              <w:overflowPunct/>
              <w:topLinePunct w:val="0"/>
              <w:bidi w:val="0"/>
              <w:spacing w:line="353" w:lineRule="auto"/>
              <w:jc w:val="center"/>
              <w:textAlignment w:val="center"/>
              <w:rPr>
                <w:rFonts w:hint="eastAsia" w:ascii="宋体" w:hAnsi="宋体" w:cs="宋体"/>
                <w:color w:val="000000"/>
                <w:sz w:val="24"/>
              </w:rPr>
            </w:pPr>
            <w:r>
              <w:rPr>
                <w:rFonts w:hint="eastAsia" w:ascii="宋体" w:hAnsi="宋体" w:cs="宋体"/>
                <w:color w:val="000000"/>
                <w:sz w:val="24"/>
              </w:rPr>
              <w:t>及时处理潜在危险，保障群众生命财产安全，让群众安心</w:t>
            </w:r>
          </w:p>
          <w:p w14:paraId="216A805C">
            <w:pPr>
              <w:pageBreakBefore w:val="0"/>
              <w:widowControl/>
              <w:kinsoku/>
              <w:wordWrap/>
              <w:overflowPunct/>
              <w:topLinePunct w:val="0"/>
              <w:bidi w:val="0"/>
              <w:spacing w:line="353" w:lineRule="auto"/>
              <w:jc w:val="center"/>
              <w:textAlignment w:val="center"/>
              <w:rPr>
                <w:rFonts w:ascii="宋体" w:hAnsi="宋体" w:cs="宋体"/>
                <w:color w:val="000000"/>
                <w:sz w:val="24"/>
              </w:rPr>
            </w:pPr>
          </w:p>
        </w:tc>
      </w:tr>
      <w:tr w14:paraId="43F1FD2B">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D464330">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6FDE3">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7D80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663C3">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C00F2">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7AF5C">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4832AEEF">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637E63A">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DF475">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0005A">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A042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紧急情况处理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AD132">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人工费预计20000元，材料费20000元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B2C70">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修补人行道砖16m2时修复隔离护栏186米，更换沙桶16个</w:t>
            </w:r>
          </w:p>
        </w:tc>
      </w:tr>
      <w:tr w14:paraId="06364D4F">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6586822">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6D97F">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16A9D">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735D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紧急情况处理效果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C191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及时处理潜在危险，保障群众生命财产安全，让群众安心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DF7CA">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lang w:eastAsia="zh-CN"/>
              </w:rPr>
              <w:t>已完成</w:t>
            </w:r>
          </w:p>
        </w:tc>
      </w:tr>
      <w:tr w14:paraId="53A74B7F">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932E491">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0245B">
            <w:pPr>
              <w:pageBreakBefore w:val="0"/>
              <w:widowControl/>
              <w:kinsoku/>
              <w:wordWrap/>
              <w:overflowPunct/>
              <w:topLinePunct w:val="0"/>
              <w:bidi w:val="0"/>
              <w:spacing w:line="353" w:lineRule="auto"/>
              <w:jc w:val="center"/>
              <w:textAlignment w:val="center"/>
              <w:rPr>
                <w:rFonts w:hint="eastAsia"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39299">
            <w:pPr>
              <w:pageBreakBefore w:val="0"/>
              <w:widowControl/>
              <w:kinsoku/>
              <w:wordWrap/>
              <w:overflowPunct/>
              <w:topLinePunct w:val="0"/>
              <w:bidi w:val="0"/>
              <w:spacing w:line="353" w:lineRule="auto"/>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43AB1">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工作任务时间节点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CF877">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eastAsia="宋体" w:cs="宋体"/>
                <w:color w:val="000000"/>
                <w:sz w:val="24"/>
                <w:lang w:val="en-US" w:eastAsia="zh-CN"/>
              </w:rPr>
              <w:t>2019年全年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2D472">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2019年全年</w:t>
            </w:r>
          </w:p>
        </w:tc>
      </w:tr>
      <w:tr w14:paraId="1869D9C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7E15489">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64B74">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CD83D">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25B32">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紧急零星维修维护成本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BCD8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处理紧急零星工程产生相关费用，人工费、材料费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54D38">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已完成</w:t>
            </w:r>
          </w:p>
        </w:tc>
      </w:tr>
      <w:tr w14:paraId="2C01138F">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8A6051C">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F620E">
            <w:pPr>
              <w:pageBreakBefore w:val="0"/>
              <w:widowControl/>
              <w:kinsoku/>
              <w:wordWrap/>
              <w:overflowPunct/>
              <w:topLinePunct w:val="0"/>
              <w:bidi w:val="0"/>
              <w:spacing w:line="353" w:lineRule="auto"/>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522F1">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20B78">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保障群众生命财产安全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3FE1D">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rPr>
              <w:t>保障群众生命财产安全，让群众安心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CC599">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lang w:eastAsia="zh-CN"/>
              </w:rPr>
              <w:t>已完成</w:t>
            </w:r>
          </w:p>
        </w:tc>
      </w:tr>
      <w:tr w14:paraId="4DF76E6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15EA36E">
            <w:pPr>
              <w:pageBreakBefore w:val="0"/>
              <w:widowControl/>
              <w:kinsoku/>
              <w:wordWrap/>
              <w:overflowPunct/>
              <w:topLinePunct w:val="0"/>
              <w:bidi w:val="0"/>
              <w:spacing w:line="353" w:lineRule="auto"/>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4658B">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C90C9">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04127">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eastAsia="宋体" w:cs="宋体"/>
                <w:color w:val="000000"/>
                <w:sz w:val="24"/>
                <w:lang w:eastAsia="zh-CN"/>
              </w:rPr>
              <w:t>服务对象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8FC73">
            <w:pPr>
              <w:pageBreakBefore w:val="0"/>
              <w:widowControl/>
              <w:kinsoku/>
              <w:wordWrap/>
              <w:overflowPunct/>
              <w:topLinePunct w:val="0"/>
              <w:bidi w:val="0"/>
              <w:spacing w:line="353" w:lineRule="auto"/>
              <w:jc w:val="center"/>
              <w:textAlignment w:val="center"/>
              <w:rPr>
                <w:rFonts w:ascii="宋体" w:hAnsi="宋体" w:cs="宋体"/>
                <w:color w:val="000000"/>
                <w:sz w:val="24"/>
              </w:rPr>
            </w:pPr>
            <w:r>
              <w:rPr>
                <w:rFonts w:hint="eastAsia" w:ascii="宋体" w:hAnsi="宋体" w:cs="宋体"/>
                <w:color w:val="000000"/>
                <w:sz w:val="24"/>
              </w:rPr>
              <w:t>居民群众高度满意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28509">
            <w:pPr>
              <w:pageBreakBefore w:val="0"/>
              <w:widowControl/>
              <w:kinsoku/>
              <w:wordWrap/>
              <w:overflowPunct/>
              <w:topLinePunct w:val="0"/>
              <w:bidi w:val="0"/>
              <w:spacing w:line="353" w:lineRule="auto"/>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居民群众高度满意</w:t>
            </w:r>
          </w:p>
        </w:tc>
      </w:tr>
    </w:tbl>
    <w:p w14:paraId="7B949585">
      <w:pPr>
        <w:pageBreakBefore w:val="0"/>
        <w:kinsoku/>
        <w:wordWrap/>
        <w:overflowPunct/>
        <w:topLinePunct w:val="0"/>
        <w:bidi w:val="0"/>
        <w:spacing w:line="353" w:lineRule="auto"/>
        <w:ind w:left="630"/>
        <w:rPr>
          <w:rFonts w:ascii="仿宋_GB2312" w:hAnsi="仿宋_GB2312" w:eastAsia="仿宋_GB2312" w:cs="仿宋_GB2312"/>
          <w:sz w:val="32"/>
          <w:szCs w:val="32"/>
        </w:rPr>
      </w:pPr>
    </w:p>
    <w:p w14:paraId="30394B73">
      <w:pPr>
        <w:pageBreakBefore w:val="0"/>
        <w:kinsoku/>
        <w:wordWrap/>
        <w:overflowPunct/>
        <w:topLinePunct w:val="0"/>
        <w:bidi w:val="0"/>
        <w:spacing w:line="353" w:lineRule="auto"/>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0B1B92E1">
      <w:pPr>
        <w:pageBreakBefore w:val="0"/>
        <w:kinsoku/>
        <w:wordWrap/>
        <w:overflowPunct/>
        <w:topLinePunct w:val="0"/>
        <w:bidi w:val="0"/>
        <w:spacing w:line="353"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攀枝花市西区综合行政执法局</w:t>
      </w:r>
      <w:r>
        <w:rPr>
          <w:rFonts w:hint="eastAsia" w:ascii="仿宋_GB2312" w:hAnsi="仿宋_GB2312" w:eastAsia="仿宋_GB2312" w:cs="仿宋_GB2312"/>
          <w:sz w:val="32"/>
          <w:szCs w:val="32"/>
        </w:rPr>
        <w:t>2019年部门整体支出绩效评价报告》见附件（附件1）。</w:t>
      </w:r>
    </w:p>
    <w:p w14:paraId="25031B5B">
      <w:pPr>
        <w:pageBreakBefore w:val="0"/>
        <w:kinsoku/>
        <w:wordWrap/>
        <w:overflowPunct/>
        <w:topLinePunct w:val="0"/>
        <w:bidi w:val="0"/>
        <w:spacing w:line="353" w:lineRule="auto"/>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本部门自行组织对2018年攀枝花市西区生活垃圾中转站资金项目开展了绩效评价，《2018年攀枝花市西区生活垃圾中转站资金项目2019年绩效评价报告》见附件（附件2）。</w:t>
      </w:r>
    </w:p>
    <w:p w14:paraId="0C4EAD24">
      <w:pPr>
        <w:pageBreakBefore w:val="0"/>
        <w:widowControl/>
        <w:kinsoku/>
        <w:wordWrap/>
        <w:overflowPunct/>
        <w:topLinePunct w:val="0"/>
        <w:bidi w:val="0"/>
        <w:spacing w:line="353" w:lineRule="auto"/>
        <w:jc w:val="left"/>
        <w:rPr>
          <w:rFonts w:ascii="仿宋_GB2312" w:eastAsia="仿宋_GB2312"/>
          <w:b/>
          <w:color w:val="000000"/>
          <w:sz w:val="32"/>
          <w:szCs w:val="32"/>
        </w:rPr>
      </w:pPr>
      <w:r>
        <w:rPr>
          <w:rFonts w:ascii="仿宋_GB2312" w:eastAsia="仿宋_GB2312"/>
          <w:b/>
          <w:color w:val="000000"/>
          <w:sz w:val="32"/>
          <w:szCs w:val="32"/>
        </w:rPr>
        <w:br w:type="page"/>
      </w:r>
    </w:p>
    <w:p w14:paraId="1EAC1C49">
      <w:pPr>
        <w:pageBreakBefore w:val="0"/>
        <w:numPr>
          <w:ilvl w:val="0"/>
          <w:numId w:val="5"/>
        </w:numPr>
        <w:kinsoku/>
        <w:wordWrap/>
        <w:overflowPunct/>
        <w:topLinePunct w:val="0"/>
        <w:bidi w:val="0"/>
        <w:spacing w:line="353" w:lineRule="auto"/>
        <w:ind w:firstLine="660" w:firstLineChars="150"/>
        <w:jc w:val="center"/>
        <w:outlineLvl w:val="0"/>
        <w:rPr>
          <w:rStyle w:val="13"/>
          <w:rFonts w:ascii="黑体" w:hAnsi="黑体" w:eastAsia="黑体"/>
          <w:b w:val="0"/>
        </w:rPr>
      </w:pPr>
      <w:bookmarkStart w:id="58" w:name="_Toc15396613"/>
      <w:bookmarkStart w:id="59" w:name="_Toc15377225"/>
      <w:r>
        <w:rPr>
          <w:rFonts w:hint="eastAsia" w:ascii="黑体" w:hAnsi="黑体" w:eastAsia="黑体"/>
          <w:color w:val="000000"/>
          <w:sz w:val="44"/>
          <w:szCs w:val="44"/>
        </w:rPr>
        <w:t>名</w:t>
      </w:r>
      <w:r>
        <w:rPr>
          <w:rStyle w:val="13"/>
          <w:rFonts w:hint="eastAsia" w:ascii="黑体" w:hAnsi="黑体" w:eastAsia="黑体"/>
          <w:b w:val="0"/>
        </w:rPr>
        <w:t>词解释</w:t>
      </w:r>
      <w:bookmarkEnd w:id="58"/>
      <w:bookmarkEnd w:id="59"/>
    </w:p>
    <w:p w14:paraId="28EB5E08">
      <w:pPr>
        <w:pageBreakBefore w:val="0"/>
        <w:kinsoku/>
        <w:wordWrap/>
        <w:overflowPunct/>
        <w:topLinePunct w:val="0"/>
        <w:bidi w:val="0"/>
        <w:spacing w:line="353" w:lineRule="auto"/>
        <w:jc w:val="left"/>
        <w:rPr>
          <w:rFonts w:ascii="宋体"/>
          <w:b/>
          <w:color w:val="000000"/>
          <w:sz w:val="44"/>
          <w:szCs w:val="44"/>
        </w:rPr>
      </w:pPr>
    </w:p>
    <w:p w14:paraId="6929668B">
      <w:pPr>
        <w:pStyle w:val="16"/>
        <w:pageBreakBefore w:val="0"/>
        <w:kinsoku/>
        <w:wordWrap/>
        <w:overflowPunct/>
        <w:topLinePunct w:val="0"/>
        <w:bidi w:val="0"/>
        <w:spacing w:line="353"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07CC7980">
      <w:pPr>
        <w:pStyle w:val="16"/>
        <w:pageBreakBefore w:val="0"/>
        <w:kinsoku/>
        <w:wordWrap/>
        <w:overflowPunct/>
        <w:topLinePunct w:val="0"/>
        <w:bidi w:val="0"/>
        <w:spacing w:line="353"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383CE7CB">
      <w:pPr>
        <w:pStyle w:val="16"/>
        <w:pageBreakBefore w:val="0"/>
        <w:kinsoku/>
        <w:wordWrap/>
        <w:overflowPunct/>
        <w:topLinePunct w:val="0"/>
        <w:bidi w:val="0"/>
        <w:spacing w:line="353" w:lineRule="auto"/>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4C98DA97">
      <w:pPr>
        <w:pStyle w:val="16"/>
        <w:pageBreakBefore w:val="0"/>
        <w:kinsoku/>
        <w:wordWrap/>
        <w:overflowPunct/>
        <w:topLinePunct w:val="0"/>
        <w:bidi w:val="0"/>
        <w:spacing w:line="353" w:lineRule="auto"/>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18F7FC64">
      <w:pPr>
        <w:pStyle w:val="16"/>
        <w:pageBreakBefore w:val="0"/>
        <w:kinsoku/>
        <w:wordWrap/>
        <w:overflowPunct/>
        <w:topLinePunct w:val="0"/>
        <w:bidi w:val="0"/>
        <w:spacing w:line="353" w:lineRule="auto"/>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52B50B81">
      <w:pPr>
        <w:pStyle w:val="16"/>
        <w:pageBreakBefore w:val="0"/>
        <w:kinsoku/>
        <w:wordWrap/>
        <w:overflowPunct/>
        <w:topLinePunct w:val="0"/>
        <w:bidi w:val="0"/>
        <w:spacing w:line="353" w:lineRule="auto"/>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6E88F26">
      <w:pPr>
        <w:pStyle w:val="16"/>
        <w:pageBreakBefore w:val="0"/>
        <w:kinsoku/>
        <w:wordWrap/>
        <w:overflowPunct/>
        <w:topLinePunct w:val="0"/>
        <w:bidi w:val="0"/>
        <w:spacing w:line="353" w:lineRule="auto"/>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09BD8B2B">
      <w:pPr>
        <w:pStyle w:val="16"/>
        <w:pageBreakBefore w:val="0"/>
        <w:kinsoku/>
        <w:wordWrap/>
        <w:overflowPunct/>
        <w:topLinePunct w:val="0"/>
        <w:bidi w:val="0"/>
        <w:spacing w:line="353" w:lineRule="auto"/>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49EB5783">
      <w:pPr>
        <w:pageBreakBefore w:val="0"/>
        <w:kinsoku/>
        <w:wordWrap/>
        <w:overflowPunct/>
        <w:topLinePunct w:val="0"/>
        <w:bidi w:val="0"/>
        <w:spacing w:line="353" w:lineRule="auto"/>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一般公共服务（类）其他一般公共服务支出（款）其他一般公共服务支出（项）：指</w:t>
      </w:r>
      <w:r>
        <w:rPr>
          <w:rFonts w:hint="eastAsia" w:ascii="仿宋_GB2312" w:eastAsia="仿宋_GB2312"/>
          <w:color w:val="000000"/>
          <w:sz w:val="32"/>
          <w:szCs w:val="32"/>
          <w:lang w:eastAsia="zh-CN"/>
        </w:rPr>
        <w:t>反映除人大事务、政协事务、发展与改革事务、统计信息事务、财政事务、税收事务、审计事务、海关事务、人力资源事务、纪检监察事务等项目以外的其他一般公共服务支出</w:t>
      </w:r>
      <w:r>
        <w:rPr>
          <w:rFonts w:hint="eastAsia" w:ascii="仿宋_GB2312" w:eastAsia="仿宋_GB2312"/>
          <w:color w:val="000000"/>
          <w:sz w:val="32"/>
          <w:szCs w:val="32"/>
        </w:rPr>
        <w:t>。</w:t>
      </w:r>
    </w:p>
    <w:p w14:paraId="23814A65">
      <w:pPr>
        <w:pageBreakBefore w:val="0"/>
        <w:kinsoku/>
        <w:wordWrap/>
        <w:overflowPunct/>
        <w:topLinePunct w:val="0"/>
        <w:bidi w:val="0"/>
        <w:spacing w:line="353" w:lineRule="auto"/>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社会保障和就业（类）行政事业单位离退休（款）机关事业单位基本养老保险缴费支出（项）：</w:t>
      </w:r>
      <w:r>
        <w:rPr>
          <w:rFonts w:hint="eastAsia" w:ascii="仿宋_GB2312" w:hAnsi="仿宋_GB2312" w:eastAsia="仿宋_GB2312" w:cs="仿宋_GB2312"/>
          <w:sz w:val="32"/>
          <w:szCs w:val="32"/>
        </w:rPr>
        <w:t>指反映机关事业单位实施养老保险制度由单位缴纳的基本养老保险费支出。</w:t>
      </w:r>
    </w:p>
    <w:p w14:paraId="44BF8857">
      <w:pPr>
        <w:pageBreakBefore w:val="0"/>
        <w:kinsoku/>
        <w:wordWrap/>
        <w:overflowPunct/>
        <w:topLinePunct w:val="0"/>
        <w:bidi w:val="0"/>
        <w:spacing w:line="353" w:lineRule="auto"/>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社会保障和就业（类）行政事业单位离退休（款）未归口管理的行政单位离退休（项）：</w:t>
      </w:r>
      <w:r>
        <w:rPr>
          <w:rFonts w:hint="eastAsia" w:ascii="仿宋_GB2312" w:hAnsi="仿宋_GB2312" w:eastAsia="仿宋_GB2312" w:cs="仿宋_GB2312"/>
          <w:sz w:val="32"/>
          <w:szCs w:val="32"/>
        </w:rPr>
        <w:t>指反映未实行归口管理的行政单位开支的离退休支出。</w:t>
      </w:r>
    </w:p>
    <w:p w14:paraId="31D50A8F">
      <w:pPr>
        <w:pageBreakBefore w:val="0"/>
        <w:kinsoku/>
        <w:wordWrap/>
        <w:overflowPunct/>
        <w:topLinePunct w:val="0"/>
        <w:bidi w:val="0"/>
        <w:spacing w:line="353" w:lineRule="auto"/>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卫生健康（类）行政事业单位医疗（款）行政单位医疗（项）：指</w:t>
      </w:r>
      <w:r>
        <w:rPr>
          <w:rFonts w:hint="eastAsia" w:ascii="仿宋_GB2312" w:eastAsia="仿宋_GB2312"/>
          <w:color w:val="000000"/>
          <w:sz w:val="32"/>
          <w:szCs w:val="32"/>
          <w:lang w:eastAsia="zh-CN"/>
        </w:rPr>
        <w:t>反映行政单位（包含实行公务员管理的事业单位）基本医疗保险缴费经费，未参加医疗保险的行政单位的公费医疗经费，按国家规定享受离休人员、红军老战士待遇人员的医疗经费</w:t>
      </w:r>
      <w:r>
        <w:rPr>
          <w:rFonts w:hint="eastAsia" w:ascii="仿宋_GB2312" w:eastAsia="仿宋_GB2312"/>
          <w:color w:val="000000"/>
          <w:sz w:val="32"/>
          <w:szCs w:val="32"/>
        </w:rPr>
        <w:t>。</w:t>
      </w:r>
    </w:p>
    <w:p w14:paraId="7F6B2486">
      <w:pPr>
        <w:pageBreakBefore w:val="0"/>
        <w:kinsoku/>
        <w:wordWrap/>
        <w:overflowPunct/>
        <w:topLinePunct w:val="0"/>
        <w:bidi w:val="0"/>
        <w:spacing w:line="353" w:lineRule="auto"/>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卫生健康（类）行政事业单位医疗（款）公务员医疗补助（项）：指</w:t>
      </w:r>
      <w:r>
        <w:rPr>
          <w:rFonts w:hint="eastAsia" w:ascii="仿宋_GB2312" w:eastAsia="仿宋_GB2312"/>
          <w:color w:val="000000"/>
          <w:sz w:val="32"/>
          <w:szCs w:val="32"/>
          <w:lang w:eastAsia="zh-CN"/>
        </w:rPr>
        <w:t>反映公务员医疗补助的经费</w:t>
      </w:r>
      <w:r>
        <w:rPr>
          <w:rFonts w:hint="eastAsia" w:ascii="仿宋_GB2312" w:eastAsia="仿宋_GB2312"/>
          <w:color w:val="000000"/>
          <w:sz w:val="32"/>
          <w:szCs w:val="32"/>
        </w:rPr>
        <w:t>。</w:t>
      </w:r>
    </w:p>
    <w:p w14:paraId="4E75BE6E">
      <w:pPr>
        <w:pageBreakBefore w:val="0"/>
        <w:kinsoku/>
        <w:wordWrap/>
        <w:overflowPunct/>
        <w:topLinePunct w:val="0"/>
        <w:bidi w:val="0"/>
        <w:spacing w:line="353" w:lineRule="auto"/>
        <w:ind w:firstLine="640" w:firstLineChars="200"/>
        <w:rPr>
          <w:rFonts w:ascii="仿宋_GB2312" w:hAnsi="仿宋_GB2312" w:eastAsia="仿宋_GB2312" w:cs="仿宋_GB2312"/>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住房保障支出（类）住房改革支出（款）住房公积金（项）：</w:t>
      </w:r>
      <w:r>
        <w:rPr>
          <w:rFonts w:hint="eastAsia" w:ascii="仿宋_GB2312" w:hAnsi="仿宋_GB2312" w:eastAsia="仿宋_GB2312" w:cs="仿宋_GB2312"/>
          <w:sz w:val="32"/>
          <w:szCs w:val="32"/>
        </w:rPr>
        <w:t>指反映行政事业单位按人力资源和社会保障部、财政部规定的基本工资和津贴补贴以及规定比例为职工缴纳的住房公积金。</w:t>
      </w:r>
    </w:p>
    <w:p w14:paraId="361304BD">
      <w:pPr>
        <w:pageBreakBefore w:val="0"/>
        <w:kinsoku/>
        <w:wordWrap/>
        <w:overflowPunct/>
        <w:topLinePunct w:val="0"/>
        <w:bidi w:val="0"/>
        <w:spacing w:line="353" w:lineRule="auto"/>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城乡社区支出（类）城乡社区管理事务（款）行政运行（项）：</w:t>
      </w:r>
      <w:r>
        <w:rPr>
          <w:rFonts w:hint="eastAsia" w:ascii="仿宋_GB2312" w:hAnsi="仿宋_GB2312" w:eastAsia="仿宋_GB2312" w:cs="仿宋_GB2312"/>
          <w:sz w:val="32"/>
          <w:szCs w:val="32"/>
        </w:rPr>
        <w:t>指反映城乡社区管理行政单位的基本支出。</w:t>
      </w:r>
    </w:p>
    <w:p w14:paraId="4DD903DE">
      <w:pPr>
        <w:pageBreakBefore w:val="0"/>
        <w:kinsoku/>
        <w:wordWrap/>
        <w:overflowPunct/>
        <w:topLinePunct w:val="0"/>
        <w:bidi w:val="0"/>
        <w:spacing w:line="353" w:lineRule="auto"/>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城乡社区支出（类）城乡社区管理事务（款）其他城乡社区管理事务支出（项）：</w:t>
      </w:r>
      <w:r>
        <w:rPr>
          <w:rFonts w:hint="eastAsia" w:ascii="仿宋_GB2312" w:hAnsi="仿宋_GB2312" w:eastAsia="仿宋_GB2312" w:cs="仿宋_GB2312"/>
          <w:sz w:val="32"/>
          <w:szCs w:val="32"/>
        </w:rPr>
        <w:t>指反映其他用于城乡社区管理事务方面的支出。</w:t>
      </w:r>
    </w:p>
    <w:p w14:paraId="50F6336F">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城乡社区支出（类）城乡社区管理事务（款）一般行政管理事务（项）：</w:t>
      </w:r>
      <w:r>
        <w:rPr>
          <w:rFonts w:hint="eastAsia" w:ascii="仿宋_GB2312" w:hAnsi="仿宋_GB2312" w:eastAsia="仿宋_GB2312" w:cs="仿宋_GB2312"/>
          <w:sz w:val="32"/>
          <w:szCs w:val="32"/>
        </w:rPr>
        <w:t>指反映城乡社区管理行政单位未单独设置项级科目的其他项目支出。</w:t>
      </w:r>
    </w:p>
    <w:p w14:paraId="128CF31A">
      <w:pPr>
        <w:pageBreakBefore w:val="0"/>
        <w:kinsoku/>
        <w:wordWrap/>
        <w:overflowPunct/>
        <w:topLinePunct w:val="0"/>
        <w:bidi w:val="0"/>
        <w:spacing w:line="353" w:lineRule="auto"/>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城乡社区支出（类）城乡社区规划与管理（款） 城乡社区规划与管理（项）：指</w:t>
      </w:r>
      <w:r>
        <w:rPr>
          <w:rFonts w:hint="eastAsia" w:ascii="仿宋_GB2312" w:eastAsia="仿宋_GB2312"/>
          <w:color w:val="000000"/>
          <w:sz w:val="32"/>
          <w:szCs w:val="32"/>
          <w:lang w:eastAsia="zh-CN"/>
        </w:rPr>
        <w:t>反映城乡社区、名胜风景区、防灾减灾、历史名城规划制定与管理等方面的支出</w:t>
      </w:r>
      <w:r>
        <w:rPr>
          <w:rFonts w:hint="eastAsia" w:ascii="仿宋_GB2312" w:eastAsia="仿宋_GB2312"/>
          <w:color w:val="000000"/>
          <w:sz w:val="32"/>
          <w:szCs w:val="32"/>
        </w:rPr>
        <w:t>。</w:t>
      </w:r>
    </w:p>
    <w:p w14:paraId="0DC50337">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城乡社区支出（类）城乡社区公共设施（款）其他城乡社区公共设施支出（项）：</w:t>
      </w:r>
      <w:r>
        <w:rPr>
          <w:rFonts w:hint="eastAsia" w:ascii="仿宋_GB2312" w:hAnsi="仿宋_GB2312" w:eastAsia="仿宋_GB2312" w:cs="仿宋_GB2312"/>
          <w:sz w:val="32"/>
          <w:szCs w:val="32"/>
        </w:rPr>
        <w:t>指反映其他用于城乡社区公共设施方面的支出。</w:t>
      </w:r>
    </w:p>
    <w:p w14:paraId="7839902D">
      <w:pPr>
        <w:pageBreakBefore w:val="0"/>
        <w:kinsoku/>
        <w:wordWrap/>
        <w:overflowPunct/>
        <w:topLinePunct w:val="0"/>
        <w:bidi w:val="0"/>
        <w:spacing w:line="353" w:lineRule="auto"/>
        <w:ind w:firstLine="640" w:firstLineChars="200"/>
        <w:rPr>
          <w:rFonts w:hint="eastAsia" w:ascii="仿宋_GB2312" w:hAnsi="仿宋_GB2312" w:eastAsia="仿宋_GB2312" w:cs="仿宋_GB2312"/>
          <w:b/>
          <w:bCs/>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城乡社区支出（类）其他城乡社区支出（款）其他城乡社区支出（项）：</w:t>
      </w:r>
      <w:r>
        <w:rPr>
          <w:rFonts w:hint="eastAsia" w:ascii="仿宋_GB2312" w:hAnsi="仿宋_GB2312" w:eastAsia="仿宋_GB2312" w:cs="仿宋_GB2312"/>
          <w:sz w:val="32"/>
          <w:szCs w:val="32"/>
        </w:rPr>
        <w:t>指反映其他用于城乡社区方面的支出。</w:t>
      </w:r>
    </w:p>
    <w:p w14:paraId="3E33A8B2">
      <w:pPr>
        <w:pageBreakBefore w:val="0"/>
        <w:kinsoku/>
        <w:wordWrap/>
        <w:overflowPunct/>
        <w:topLinePunct w:val="0"/>
        <w:bidi w:val="0"/>
        <w:spacing w:line="353" w:lineRule="auto"/>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ascii="仿宋_GB2312" w:eastAsia="仿宋_GB2312"/>
          <w:color w:val="000000"/>
          <w:sz w:val="32"/>
          <w:szCs w:val="32"/>
        </w:rPr>
        <w:t>.</w:t>
      </w:r>
      <w:r>
        <w:rPr>
          <w:rFonts w:hint="eastAsia" w:ascii="仿宋_GB2312" w:eastAsia="仿宋_GB2312"/>
          <w:color w:val="000000"/>
          <w:sz w:val="32"/>
          <w:szCs w:val="32"/>
        </w:rPr>
        <w:t>其他支出（类）其他支出（款）其他支出（项）：指</w:t>
      </w:r>
      <w:r>
        <w:rPr>
          <w:rFonts w:hint="eastAsia" w:ascii="仿宋_GB2312" w:eastAsia="仿宋_GB2312"/>
          <w:color w:val="000000"/>
          <w:sz w:val="32"/>
          <w:szCs w:val="32"/>
          <w:lang w:eastAsia="zh-CN"/>
        </w:rPr>
        <w:t>反映除预备费、预留、补充全国社会保障基金、未划分的项目支出、国有资产经营预算其他支出以外的其他支出</w:t>
      </w:r>
      <w:r>
        <w:rPr>
          <w:rFonts w:hint="eastAsia" w:ascii="仿宋_GB2312" w:eastAsia="仿宋_GB2312"/>
          <w:color w:val="000000"/>
          <w:sz w:val="32"/>
          <w:szCs w:val="32"/>
        </w:rPr>
        <w:t>。</w:t>
      </w:r>
    </w:p>
    <w:p w14:paraId="3A7045D7">
      <w:pPr>
        <w:pageBreakBefore w:val="0"/>
        <w:kinsoku/>
        <w:wordWrap/>
        <w:overflowPunct/>
        <w:topLinePunct w:val="0"/>
        <w:bidi w:val="0"/>
        <w:spacing w:line="353" w:lineRule="auto"/>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672B2825">
      <w:pPr>
        <w:pageBreakBefore w:val="0"/>
        <w:kinsoku/>
        <w:wordWrap/>
        <w:overflowPunct/>
        <w:topLinePunct w:val="0"/>
        <w:bidi w:val="0"/>
        <w:spacing w:line="353" w:lineRule="auto"/>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51FF4F31">
      <w:pPr>
        <w:pageBreakBefore w:val="0"/>
        <w:kinsoku/>
        <w:wordWrap/>
        <w:overflowPunct/>
        <w:topLinePunct w:val="0"/>
        <w:bidi w:val="0"/>
        <w:spacing w:line="353" w:lineRule="auto"/>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4EC09AE3">
      <w:pPr>
        <w:pStyle w:val="16"/>
        <w:pageBreakBefore w:val="0"/>
        <w:kinsoku/>
        <w:wordWrap/>
        <w:overflowPunct/>
        <w:topLinePunct w:val="0"/>
        <w:bidi w:val="0"/>
        <w:spacing w:line="353" w:lineRule="auto"/>
        <w:ind w:firstLine="640" w:firstLineChars="200"/>
        <w:rPr>
          <w:rFonts w:ascii="仿宋_GB2312" w:eastAsia="仿宋_GB2312"/>
          <w:sz w:val="32"/>
          <w:szCs w:val="32"/>
        </w:rPr>
      </w:pPr>
      <w:r>
        <w:rPr>
          <w:rFonts w:hint="eastAsia" w:ascii="仿宋_GB2312" w:eastAsia="仿宋_GB2312"/>
          <w:sz w:val="32"/>
          <w:szCs w:val="32"/>
          <w:lang w:val="en-US" w:eastAsia="zh-CN"/>
        </w:rPr>
        <w:t>25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4FF92BD">
      <w:pPr>
        <w:pStyle w:val="16"/>
        <w:pageBreakBefore w:val="0"/>
        <w:kinsoku/>
        <w:wordWrap/>
        <w:overflowPunct/>
        <w:topLinePunct w:val="0"/>
        <w:bidi w:val="0"/>
        <w:spacing w:line="353"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26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54CC02">
      <w:pPr>
        <w:pStyle w:val="16"/>
        <w:pageBreakBefore w:val="0"/>
        <w:kinsoku/>
        <w:wordWrap/>
        <w:overflowPunct/>
        <w:topLinePunct w:val="0"/>
        <w:bidi w:val="0"/>
        <w:spacing w:line="353" w:lineRule="auto"/>
        <w:ind w:firstLine="640" w:firstLineChars="200"/>
        <w:rPr>
          <w:rFonts w:hint="eastAsia" w:ascii="仿宋_GB2312" w:eastAsia="仿宋_GB2312"/>
          <w:sz w:val="32"/>
          <w:szCs w:val="32"/>
        </w:rPr>
      </w:pPr>
    </w:p>
    <w:p w14:paraId="60E4B64A">
      <w:pPr>
        <w:pStyle w:val="16"/>
        <w:pageBreakBefore w:val="0"/>
        <w:kinsoku/>
        <w:wordWrap/>
        <w:overflowPunct/>
        <w:topLinePunct w:val="0"/>
        <w:bidi w:val="0"/>
        <w:spacing w:line="353" w:lineRule="auto"/>
        <w:ind w:firstLine="640" w:firstLineChars="200"/>
        <w:rPr>
          <w:rFonts w:hint="eastAsia" w:ascii="仿宋_GB2312" w:eastAsia="仿宋_GB2312"/>
          <w:sz w:val="32"/>
          <w:szCs w:val="32"/>
        </w:rPr>
      </w:pPr>
    </w:p>
    <w:p w14:paraId="40FE9559">
      <w:pPr>
        <w:pStyle w:val="16"/>
        <w:pageBreakBefore w:val="0"/>
        <w:kinsoku/>
        <w:wordWrap/>
        <w:overflowPunct/>
        <w:topLinePunct w:val="0"/>
        <w:bidi w:val="0"/>
        <w:spacing w:line="353" w:lineRule="auto"/>
        <w:rPr>
          <w:rFonts w:hint="eastAsia" w:ascii="仿宋_GB2312" w:eastAsia="仿宋_GB2312"/>
          <w:sz w:val="32"/>
          <w:szCs w:val="32"/>
        </w:rPr>
      </w:pPr>
    </w:p>
    <w:p w14:paraId="4E3BFCCB">
      <w:pPr>
        <w:pageBreakBefore w:val="0"/>
        <w:kinsoku/>
        <w:wordWrap/>
        <w:overflowPunct/>
        <w:topLinePunct w:val="0"/>
        <w:bidi w:val="0"/>
        <w:spacing w:line="353" w:lineRule="auto"/>
        <w:jc w:val="center"/>
        <w:outlineLvl w:val="0"/>
        <w:rPr>
          <w:rStyle w:val="13"/>
          <w:rFonts w:ascii="黑体" w:hAnsi="黑体" w:eastAsia="黑体"/>
          <w:b w:val="0"/>
        </w:rPr>
      </w:pPr>
      <w:bookmarkStart w:id="60" w:name="_Toc15396614"/>
      <w:bookmarkStart w:id="61" w:name="_Toc15377226"/>
      <w:r>
        <w:rPr>
          <w:rFonts w:hint="eastAsia" w:ascii="黑体" w:hAnsi="黑体" w:eastAsia="黑体"/>
          <w:color w:val="000000"/>
          <w:sz w:val="44"/>
          <w:szCs w:val="44"/>
        </w:rPr>
        <w:t>第</w:t>
      </w:r>
      <w:r>
        <w:rPr>
          <w:rStyle w:val="13"/>
          <w:rFonts w:hint="eastAsia" w:ascii="黑体" w:hAnsi="黑体" w:eastAsia="黑体"/>
          <w:b w:val="0"/>
        </w:rPr>
        <w:t>四部分 附件</w:t>
      </w:r>
      <w:bookmarkEnd w:id="60"/>
    </w:p>
    <w:p w14:paraId="3017812B">
      <w:pPr>
        <w:pageBreakBefore w:val="0"/>
        <w:kinsoku/>
        <w:wordWrap/>
        <w:overflowPunct/>
        <w:topLinePunct w:val="0"/>
        <w:bidi w:val="0"/>
        <w:spacing w:line="353" w:lineRule="auto"/>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6199C087">
      <w:pPr>
        <w:pageBreakBefore w:val="0"/>
        <w:kinsoku/>
        <w:wordWrap/>
        <w:overflowPunct/>
        <w:topLinePunct w:val="0"/>
        <w:bidi w:val="0"/>
        <w:spacing w:line="353" w:lineRule="auto"/>
        <w:jc w:val="center"/>
        <w:rPr>
          <w:rFonts w:ascii="方正小标宋简体" w:hAnsi="方正小标宋简体" w:eastAsia="方正小标宋简体" w:cs="方正小标宋简体"/>
          <w:sz w:val="44"/>
          <w:szCs w:val="44"/>
        </w:rPr>
      </w:pPr>
    </w:p>
    <w:p w14:paraId="4D3CA0B8">
      <w:pPr>
        <w:pageBreakBefore w:val="0"/>
        <w:kinsoku/>
        <w:wordWrap/>
        <w:overflowPunct/>
        <w:topLinePunct w:val="0"/>
        <w:bidi w:val="0"/>
        <w:spacing w:line="353" w:lineRule="auto"/>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攀枝花市西区综合行政执法局</w:t>
      </w:r>
    </w:p>
    <w:p w14:paraId="31523150">
      <w:pPr>
        <w:pageBreakBefore w:val="0"/>
        <w:kinsoku/>
        <w:wordWrap/>
        <w:overflowPunct/>
        <w:topLinePunct w:val="0"/>
        <w:bidi w:val="0"/>
        <w:spacing w:line="353" w:lineRule="auto"/>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0BADE3A8">
      <w:pPr>
        <w:pageBreakBefore w:val="0"/>
        <w:widowControl/>
        <w:kinsoku/>
        <w:wordWrap/>
        <w:overflowPunct/>
        <w:topLinePunct w:val="0"/>
        <w:bidi w:val="0"/>
        <w:adjustRightInd w:val="0"/>
        <w:snapToGrid w:val="0"/>
        <w:spacing w:line="353" w:lineRule="auto"/>
        <w:contextualSpacing/>
        <w:jc w:val="left"/>
        <w:rPr>
          <w:rFonts w:ascii="黑体" w:hAnsi="宋体" w:eastAsia="黑体" w:cs="宋体"/>
          <w:color w:val="000000"/>
          <w:kern w:val="0"/>
          <w:sz w:val="24"/>
          <w:szCs w:val="32"/>
          <w:shd w:val="clear" w:color="auto" w:fill="FFFFFF"/>
        </w:rPr>
      </w:pPr>
    </w:p>
    <w:p w14:paraId="085A22B2">
      <w:pPr>
        <w:pageBreakBefore w:val="0"/>
        <w:widowControl/>
        <w:kinsoku/>
        <w:wordWrap/>
        <w:overflowPunct/>
        <w:topLinePunct w:val="0"/>
        <w:bidi w:val="0"/>
        <w:adjustRightInd w:val="0"/>
        <w:snapToGrid w:val="0"/>
        <w:spacing w:line="353" w:lineRule="auto"/>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59485C72">
      <w:pPr>
        <w:pageBreakBefore w:val="0"/>
        <w:widowControl/>
        <w:kinsoku/>
        <w:wordWrap/>
        <w:overflowPunct/>
        <w:topLinePunct w:val="0"/>
        <w:bidi w:val="0"/>
        <w:adjustRightInd w:val="0"/>
        <w:snapToGrid w:val="0"/>
        <w:spacing w:line="353"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1F7032EE">
      <w:pPr>
        <w:pageBreakBefore w:val="0"/>
        <w:widowControl w:val="0"/>
        <w:kinsoku/>
        <w:wordWrap/>
        <w:overflowPunct/>
        <w:topLinePunct w:val="0"/>
        <w:autoSpaceDE/>
        <w:autoSpaceDN/>
        <w:bidi w:val="0"/>
        <w:adjustRightInd/>
        <w:snapToGrid w:val="0"/>
        <w:spacing w:line="353" w:lineRule="auto"/>
        <w:ind w:firstLine="640" w:firstLineChars="200"/>
        <w:textAlignment w:val="auto"/>
        <w:rPr>
          <w:rFonts w:hint="eastAsia" w:ascii="仿宋_GB2312" w:hAnsi="仿宋" w:eastAsia="仿宋_GB2312"/>
          <w:sz w:val="32"/>
          <w:szCs w:val="32"/>
          <w:lang w:val="en-US"/>
        </w:rPr>
      </w:pPr>
      <w:r>
        <w:rPr>
          <w:rFonts w:hint="eastAsia" w:ascii="仿宋_GB2312" w:hAnsi="仿宋" w:eastAsia="仿宋_GB2312"/>
          <w:sz w:val="32"/>
          <w:szCs w:val="32"/>
          <w:lang w:val="en-US" w:eastAsia="zh-CN"/>
        </w:rPr>
        <w:t>1、2019年</w:t>
      </w:r>
      <w:r>
        <w:rPr>
          <w:rFonts w:hint="eastAsia" w:ascii="仿宋_GB2312" w:hAnsi="仿宋" w:eastAsia="仿宋_GB2312"/>
          <w:sz w:val="32"/>
          <w:szCs w:val="32"/>
        </w:rPr>
        <w:t>区综合执法局设下列</w:t>
      </w:r>
      <w:r>
        <w:rPr>
          <w:rFonts w:hint="eastAsia" w:ascii="仿宋_GB2312" w:hAnsi="仿宋" w:eastAsia="仿宋_GB2312"/>
          <w:sz w:val="32"/>
          <w:szCs w:val="32"/>
          <w:lang w:val="en-US" w:eastAsia="zh-CN"/>
        </w:rPr>
        <w:t>4个</w:t>
      </w:r>
      <w:r>
        <w:rPr>
          <w:rFonts w:hint="eastAsia" w:ascii="仿宋_GB2312" w:hAnsi="仿宋" w:eastAsia="仿宋_GB2312"/>
          <w:sz w:val="32"/>
          <w:szCs w:val="32"/>
        </w:rPr>
        <w:t>内设机构：办公室</w:t>
      </w:r>
      <w:r>
        <w:rPr>
          <w:rFonts w:hint="eastAsia" w:ascii="仿宋_GB2312" w:hAnsi="仿宋" w:eastAsia="仿宋_GB2312"/>
          <w:sz w:val="32"/>
          <w:szCs w:val="32"/>
          <w:lang w:eastAsia="zh-CN"/>
        </w:rPr>
        <w:t>、法制股（数字化管理中心）、市政容貌股、园林绿化股。</w:t>
      </w:r>
    </w:p>
    <w:p w14:paraId="0EC80D47">
      <w:pPr>
        <w:pageBreakBefore w:val="0"/>
        <w:widowControl w:val="0"/>
        <w:kinsoku/>
        <w:wordWrap/>
        <w:overflowPunct/>
        <w:topLinePunct w:val="0"/>
        <w:autoSpaceDE/>
        <w:autoSpaceDN/>
        <w:bidi w:val="0"/>
        <w:adjustRightInd/>
        <w:snapToGrid w:val="0"/>
        <w:spacing w:line="353" w:lineRule="auto"/>
        <w:ind w:firstLine="640" w:firstLineChars="200"/>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lang w:val="en-US" w:eastAsia="zh-CN"/>
        </w:rPr>
        <w:t>2、2</w:t>
      </w:r>
      <w:r>
        <w:rPr>
          <w:rFonts w:hint="eastAsia" w:ascii="仿宋_GB2312" w:hAnsi="仿宋" w:eastAsia="仿宋_GB2312"/>
          <w:sz w:val="32"/>
          <w:szCs w:val="32"/>
        </w:rPr>
        <w:t>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年攀枝花市西区</w:t>
      </w:r>
      <w:r>
        <w:rPr>
          <w:rFonts w:hint="eastAsia" w:ascii="仿宋_GB2312" w:hAnsi="仿宋" w:eastAsia="仿宋_GB2312"/>
          <w:sz w:val="32"/>
          <w:szCs w:val="32"/>
          <w:lang w:eastAsia="zh-CN"/>
        </w:rPr>
        <w:t>综合行政执法局</w:t>
      </w:r>
      <w:r>
        <w:rPr>
          <w:rFonts w:hint="eastAsia" w:ascii="仿宋_GB2312" w:hAnsi="仿宋" w:eastAsia="仿宋_GB2312"/>
          <w:sz w:val="32"/>
          <w:szCs w:val="32"/>
        </w:rPr>
        <w:t>下属二级单位4个，其中行政单位0个，参照公务员法管理的事业单位2个，其他事业单位2个。</w:t>
      </w:r>
      <w:r>
        <w:rPr>
          <w:rFonts w:hint="eastAsia" w:ascii="仿宋_GB2312" w:hAnsi="仿宋" w:eastAsia="仿宋_GB2312"/>
          <w:sz w:val="32"/>
          <w:szCs w:val="32"/>
          <w:lang w:val="en-US" w:eastAsia="zh-CN"/>
        </w:rPr>
        <w:t>纳入攀枝花市</w:t>
      </w:r>
      <w:r>
        <w:rPr>
          <w:rFonts w:hint="eastAsia" w:ascii="仿宋_GB2312" w:hAnsi="仿宋" w:eastAsia="仿宋_GB2312"/>
          <w:sz w:val="32"/>
          <w:szCs w:val="32"/>
        </w:rPr>
        <w:t>西区</w:t>
      </w:r>
      <w:r>
        <w:rPr>
          <w:rFonts w:hint="eastAsia" w:ascii="仿宋_GB2312" w:hAnsi="仿宋" w:eastAsia="仿宋_GB2312"/>
          <w:sz w:val="32"/>
          <w:szCs w:val="32"/>
          <w:lang w:eastAsia="zh-CN"/>
        </w:rPr>
        <w:t>综合行政执法局</w:t>
      </w:r>
      <w:r>
        <w:rPr>
          <w:rFonts w:hint="eastAsia" w:ascii="仿宋_GB2312" w:hAnsi="仿宋" w:eastAsia="仿宋_GB2312"/>
          <w:sz w:val="32"/>
          <w:szCs w:val="32"/>
          <w:lang w:val="en-US" w:eastAsia="zh-CN"/>
        </w:rPr>
        <w:t>2019年度部门决算编制范围的二级预算单位包括：攀枝花市西区市容环境卫生管理局、攀枝花市西区城建监察大队、攀枝花市西区生活垃圾处理中心、攀枝花市河门口公园。</w:t>
      </w:r>
    </w:p>
    <w:p w14:paraId="13B84349">
      <w:pPr>
        <w:pageBreakBefore w:val="0"/>
        <w:widowControl/>
        <w:numPr>
          <w:ilvl w:val="0"/>
          <w:numId w:val="6"/>
        </w:numPr>
        <w:kinsoku/>
        <w:wordWrap/>
        <w:overflowPunct/>
        <w:topLinePunct w:val="0"/>
        <w:bidi w:val="0"/>
        <w:adjustRightInd w:val="0"/>
        <w:snapToGrid w:val="0"/>
        <w:spacing w:line="353"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14:paraId="07320D76">
      <w:pPr>
        <w:pageBreakBefore w:val="0"/>
        <w:widowControl/>
        <w:numPr>
          <w:ilvl w:val="0"/>
          <w:numId w:val="0"/>
        </w:numPr>
        <w:kinsoku/>
        <w:wordWrap/>
        <w:overflowPunct/>
        <w:topLinePunct w:val="0"/>
        <w:bidi w:val="0"/>
        <w:adjustRightInd w:val="0"/>
        <w:snapToGrid w:val="0"/>
        <w:spacing w:line="353"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承担着全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园林绿化、市政设施、煤气</w:t>
      </w:r>
      <w:r>
        <w:rPr>
          <w:rFonts w:hint="eastAsia" w:ascii="仿宋_GB2312" w:hAnsi="仿宋_GB2312" w:eastAsia="仿宋_GB2312" w:cs="仿宋_GB2312"/>
          <w:sz w:val="32"/>
          <w:szCs w:val="32"/>
          <w:lang w:eastAsia="zh-CN"/>
        </w:rPr>
        <w:t>燃气</w:t>
      </w:r>
      <w:r>
        <w:rPr>
          <w:rFonts w:hint="eastAsia" w:ascii="仿宋_GB2312" w:hAnsi="仿宋_GB2312" w:eastAsia="仿宋_GB2312" w:cs="仿宋_GB2312"/>
          <w:sz w:val="32"/>
          <w:szCs w:val="32"/>
        </w:rPr>
        <w:t>、城管执法、规划执法、数字化监督指挥等城市管理工作。</w:t>
      </w:r>
    </w:p>
    <w:p w14:paraId="05153847">
      <w:pPr>
        <w:pageBreakBefore w:val="0"/>
        <w:widowControl/>
        <w:kinsoku/>
        <w:wordWrap/>
        <w:overflowPunct/>
        <w:topLinePunct w:val="0"/>
        <w:bidi w:val="0"/>
        <w:adjustRightInd w:val="0"/>
        <w:snapToGrid w:val="0"/>
        <w:spacing w:line="353"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72C7548C">
      <w:pPr>
        <w:pageBreakBefore w:val="0"/>
        <w:widowControl/>
        <w:kinsoku/>
        <w:wordWrap/>
        <w:overflowPunct/>
        <w:topLinePunct w:val="0"/>
        <w:bidi w:val="0"/>
        <w:adjustRightInd w:val="0"/>
        <w:snapToGrid w:val="0"/>
        <w:spacing w:line="353"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截止2019年12月31日，共有财政拨款供供养在职人员</w:t>
      </w:r>
      <w:r>
        <w:rPr>
          <w:rFonts w:hint="eastAsia" w:ascii="仿宋_GB2312" w:hAnsi="仿宋_GB2312" w:eastAsia="仿宋_GB2312" w:cs="仿宋_GB2312"/>
          <w:sz w:val="32"/>
          <w:szCs w:val="32"/>
          <w:lang w:val="en-US" w:eastAsia="zh-CN"/>
        </w:rPr>
        <w:t>153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退</w:t>
      </w:r>
      <w:r>
        <w:rPr>
          <w:rFonts w:hint="eastAsia" w:ascii="仿宋_GB2312" w:hAnsi="仿宋_GB2312" w:eastAsia="仿宋_GB2312" w:cs="仿宋_GB2312"/>
          <w:sz w:val="32"/>
          <w:szCs w:val="32"/>
        </w:rPr>
        <w:t>休人员</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人。</w:t>
      </w:r>
    </w:p>
    <w:p w14:paraId="640A7485">
      <w:pPr>
        <w:pageBreakBefore w:val="0"/>
        <w:widowControl/>
        <w:kinsoku/>
        <w:wordWrap/>
        <w:overflowPunct/>
        <w:topLinePunct w:val="0"/>
        <w:bidi w:val="0"/>
        <w:adjustRightInd w:val="0"/>
        <w:snapToGrid w:val="0"/>
        <w:spacing w:line="353"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4BCB8C05">
      <w:pPr>
        <w:pageBreakBefore w:val="0"/>
        <w:kinsoku/>
        <w:wordWrap/>
        <w:overflowPunct/>
        <w:topLinePunct w:val="0"/>
        <w:bidi w:val="0"/>
        <w:spacing w:line="353" w:lineRule="auto"/>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7A264FD7">
      <w:pPr>
        <w:pageBreakBefore w:val="0"/>
        <w:kinsoku/>
        <w:wordWrap/>
        <w:overflowPunct/>
        <w:topLinePunct w:val="0"/>
        <w:bidi w:val="0"/>
        <w:spacing w:line="353" w:lineRule="auto"/>
        <w:ind w:firstLine="640" w:firstLineChars="200"/>
        <w:rPr>
          <w:rFonts w:ascii="仿宋_GB2312" w:hAnsi="宋体" w:eastAsia="仿宋_GB2312" w:cs="宋体"/>
          <w:color w:val="000000"/>
          <w:kern w:val="0"/>
          <w:sz w:val="32"/>
          <w:szCs w:val="32"/>
          <w:shd w:val="clear" w:color="auto" w:fill="FFFFFF"/>
          <w:lang w:val="zh-CN"/>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9年部门预算本年</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rPr>
        <w:t>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2064.2</w:t>
      </w:r>
      <w:r>
        <w:rPr>
          <w:rFonts w:hint="eastAsia" w:ascii="仿宋_GB2312" w:hAnsi="仿宋_GB2312" w:eastAsia="仿宋_GB2312" w:cs="仿宋_GB2312"/>
          <w:sz w:val="32"/>
          <w:szCs w:val="32"/>
        </w:rPr>
        <w:t>万元，较上年减少了</w:t>
      </w:r>
      <w:r>
        <w:rPr>
          <w:rFonts w:hint="eastAsia" w:ascii="仿宋_GB2312" w:hAnsi="仿宋_GB2312" w:eastAsia="仿宋_GB2312" w:cs="仿宋_GB2312"/>
          <w:sz w:val="32"/>
          <w:szCs w:val="32"/>
          <w:lang w:val="en-US" w:eastAsia="zh-CN"/>
        </w:rPr>
        <w:t>2325.75</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52.98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14:paraId="6D3414A7">
      <w:pPr>
        <w:pageBreakBefore w:val="0"/>
        <w:numPr>
          <w:ilvl w:val="0"/>
          <w:numId w:val="0"/>
        </w:numPr>
        <w:kinsoku/>
        <w:wordWrap/>
        <w:overflowPunct/>
        <w:topLinePunct w:val="0"/>
        <w:bidi w:val="0"/>
        <w:spacing w:line="353" w:lineRule="auto"/>
        <w:ind w:leftChars="200" w:firstLine="320" w:firstLineChars="100"/>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（二）部门财政资金支出情况。</w:t>
      </w:r>
    </w:p>
    <w:p w14:paraId="2134E17B">
      <w:pPr>
        <w:pageBreakBefore w:val="0"/>
        <w:numPr>
          <w:ilvl w:val="0"/>
          <w:numId w:val="0"/>
        </w:numPr>
        <w:kinsoku/>
        <w:wordWrap/>
        <w:overflowPunct/>
        <w:topLinePunct w:val="0"/>
        <w:bidi w:val="0"/>
        <w:spacing w:line="353"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9年攀枝花市</w:t>
      </w:r>
      <w:r>
        <w:rPr>
          <w:rFonts w:hint="eastAsia" w:ascii="仿宋_GB2312" w:hAnsi="仿宋_GB2312" w:eastAsia="仿宋_GB2312" w:cs="仿宋_GB2312"/>
          <w:sz w:val="32"/>
          <w:szCs w:val="32"/>
          <w:lang w:eastAsia="zh-CN"/>
        </w:rPr>
        <w:t>西区综合行政执法局</w:t>
      </w:r>
      <w:r>
        <w:rPr>
          <w:rFonts w:hint="eastAsia" w:ascii="仿宋_GB2312" w:hAnsi="仿宋_GB2312" w:eastAsia="仿宋_GB2312" w:cs="仿宋_GB2312"/>
          <w:sz w:val="32"/>
          <w:szCs w:val="32"/>
        </w:rPr>
        <w:t>本年支出</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计</w:t>
      </w:r>
      <w:r>
        <w:rPr>
          <w:rFonts w:hint="eastAsia" w:ascii="仿宋_GB2312" w:hAnsi="仿宋_GB2312" w:eastAsia="仿宋_GB2312" w:cs="仿宋_GB2312"/>
          <w:sz w:val="32"/>
          <w:szCs w:val="32"/>
          <w:lang w:val="en-US" w:eastAsia="zh-CN"/>
        </w:rPr>
        <w:t>3003.51</w:t>
      </w:r>
      <w:r>
        <w:rPr>
          <w:rFonts w:hint="eastAsia" w:ascii="仿宋_GB2312" w:hAnsi="仿宋_GB2312" w:eastAsia="仿宋_GB2312" w:cs="仿宋_GB2312"/>
          <w:sz w:val="32"/>
          <w:szCs w:val="32"/>
        </w:rPr>
        <w:t>万元，较上年</w:t>
      </w:r>
      <w:r>
        <w:rPr>
          <w:rFonts w:hint="eastAsia" w:ascii="仿宋_GB2312" w:hAnsi="仿宋_GB2312" w:eastAsia="仿宋_GB2312" w:cs="仿宋_GB2312"/>
          <w:sz w:val="32"/>
          <w:szCs w:val="32"/>
          <w:lang w:eastAsia="zh-CN"/>
        </w:rPr>
        <w:t>减少了</w:t>
      </w:r>
      <w:r>
        <w:rPr>
          <w:rFonts w:hint="eastAsia" w:ascii="仿宋_GB2312" w:hAnsi="仿宋_GB2312" w:eastAsia="仿宋_GB2312" w:cs="仿宋_GB2312"/>
          <w:sz w:val="32"/>
          <w:szCs w:val="32"/>
          <w:lang w:val="en-US" w:eastAsia="zh-CN"/>
        </w:rPr>
        <w:t>2653.58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46.91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14:paraId="5E229545">
      <w:pPr>
        <w:pageBreakBefore w:val="0"/>
        <w:kinsoku/>
        <w:wordWrap/>
        <w:overflowPunct/>
        <w:topLinePunct w:val="0"/>
        <w:bidi w:val="0"/>
        <w:spacing w:line="353" w:lineRule="auto"/>
        <w:ind w:firstLine="640" w:firstLineChars="200"/>
        <w:rPr>
          <w:rFonts w:ascii="仿宋_GB2312" w:hAnsi="宋体" w:eastAsia="仿宋_GB2312" w:cs="宋体"/>
          <w:color w:val="000000"/>
          <w:kern w:val="0"/>
          <w:sz w:val="32"/>
          <w:szCs w:val="32"/>
          <w:shd w:val="clear" w:color="auto" w:fill="FFFFFF"/>
          <w:lang w:val="zh-CN"/>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rPr>
        <w:t>9年财政资金支出主要用于市容环境卫生管理、城市绿化管理、市政设施管理、城市数字化管理、城市防洪、燃气供应</w:t>
      </w:r>
      <w:r>
        <w:rPr>
          <w:rFonts w:hint="eastAsia" w:ascii="仿宋_GB2312" w:hAnsi="仿宋_GB2312" w:eastAsia="仿宋_GB2312" w:cs="仿宋_GB2312"/>
          <w:sz w:val="32"/>
          <w:szCs w:val="32"/>
          <w:lang w:eastAsia="zh-CN"/>
        </w:rPr>
        <w:t>、城管执法</w:t>
      </w:r>
      <w:r>
        <w:rPr>
          <w:rFonts w:hint="eastAsia" w:ascii="仿宋_GB2312" w:hAnsi="仿宋_GB2312" w:eastAsia="仿宋_GB2312" w:cs="仿宋_GB2312"/>
          <w:sz w:val="32"/>
          <w:szCs w:val="32"/>
        </w:rPr>
        <w:t>等公用事业管理方面城市管理工作。</w:t>
      </w:r>
    </w:p>
    <w:p w14:paraId="4B63052B">
      <w:pPr>
        <w:pageBreakBefore w:val="0"/>
        <w:widowControl/>
        <w:kinsoku/>
        <w:wordWrap/>
        <w:overflowPunct/>
        <w:topLinePunct w:val="0"/>
        <w:bidi w:val="0"/>
        <w:adjustRightInd w:val="0"/>
        <w:snapToGrid w:val="0"/>
        <w:spacing w:line="353"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6BC147F5">
      <w:pPr>
        <w:pageBreakBefore w:val="0"/>
        <w:widowControl/>
        <w:kinsoku/>
        <w:wordWrap/>
        <w:overflowPunct/>
        <w:topLinePunct w:val="0"/>
        <w:bidi w:val="0"/>
        <w:adjustRightInd w:val="0"/>
        <w:snapToGrid w:val="0"/>
        <w:spacing w:line="353"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741030C9">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w:t>
      </w:r>
      <w:r>
        <w:rPr>
          <w:rFonts w:hint="eastAsia" w:ascii="仿宋_GB2312" w:hAnsi="仿宋_GB2312" w:eastAsia="仿宋_GB2312" w:cs="仿宋_GB2312"/>
          <w:sz w:val="32"/>
          <w:szCs w:val="32"/>
          <w:lang w:eastAsia="zh-CN"/>
        </w:rPr>
        <w:t>区综合执法局</w:t>
      </w:r>
      <w:r>
        <w:rPr>
          <w:rFonts w:hint="eastAsia" w:ascii="仿宋_GB2312" w:hAnsi="仿宋_GB2312" w:eastAsia="仿宋_GB2312" w:cs="仿宋_GB2312"/>
          <w:sz w:val="32"/>
          <w:szCs w:val="32"/>
        </w:rPr>
        <w:t>财政拨款支出预算</w:t>
      </w:r>
      <w:r>
        <w:rPr>
          <w:rFonts w:hint="eastAsia" w:ascii="仿宋_GB2312" w:hAnsi="仿宋_GB2312" w:eastAsia="仿宋_GB2312" w:cs="仿宋_GB2312"/>
          <w:color w:val="auto"/>
          <w:sz w:val="32"/>
          <w:szCs w:val="32"/>
        </w:rPr>
        <w:t>18219.42万元，当年完成预算财政拨款资金经费支出17290.94万元，完成年初预算数的94.90%，绩效目标明确，预算</w:t>
      </w:r>
      <w:r>
        <w:rPr>
          <w:rFonts w:hint="eastAsia" w:ascii="仿宋_GB2312" w:hAnsi="仿宋_GB2312" w:eastAsia="仿宋_GB2312" w:cs="仿宋_GB2312"/>
          <w:sz w:val="32"/>
          <w:szCs w:val="32"/>
        </w:rPr>
        <w:t>执行中无违规现象发生。</w:t>
      </w:r>
    </w:p>
    <w:p w14:paraId="4DF32488">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区综合执法局</w:t>
      </w:r>
      <w:r>
        <w:rPr>
          <w:rFonts w:hint="eastAsia" w:ascii="仿宋_GB2312" w:hAnsi="仿宋_GB2312" w:eastAsia="仿宋_GB2312" w:cs="仿宋_GB2312"/>
          <w:sz w:val="32"/>
          <w:szCs w:val="32"/>
        </w:rPr>
        <w:t>充分运用绩效考评结果，调整工作方向，加强与财政部门的沟通协调，不断完善财政资金的预算编制工作，并根据相关要求对预算编制中的绩效目标编制和年终的绩效考评结果进行了公开公示。</w:t>
      </w:r>
    </w:p>
    <w:p w14:paraId="6749CFED">
      <w:pPr>
        <w:pageBreakBefore w:val="0"/>
        <w:widowControl/>
        <w:kinsoku/>
        <w:wordWrap/>
        <w:overflowPunct/>
        <w:topLinePunct w:val="0"/>
        <w:bidi w:val="0"/>
        <w:adjustRightInd w:val="0"/>
        <w:snapToGrid w:val="0"/>
        <w:spacing w:line="353"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7A5119A0">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城市管理行政执法各项工作经费的使用不产生直接的经济效益，而是体现在社会效益。2019年，</w:t>
      </w:r>
      <w:r>
        <w:rPr>
          <w:rFonts w:hint="eastAsia" w:ascii="仿宋_GB2312" w:hAnsi="仿宋_GB2312" w:eastAsia="仿宋_GB2312" w:cs="仿宋_GB2312"/>
          <w:sz w:val="32"/>
          <w:szCs w:val="32"/>
          <w:lang w:eastAsia="zh-CN"/>
        </w:rPr>
        <w:t>区综合执法局</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的正确领导下，紧扣省委对攀枝花的“3+2”新定位新要求,以生活垃圾、污水处理设施建设为载体，以国卫复审、全国文明城市创建和环保督察整治工作为重点，切实履行职能职责，不断加强市政基础设施建设，不断实施市容环境综合整治，不断提升服务水平，保证了城市巡查、城市防洪、综合执法、公益广告宣传维护、垃圾处理、污水处理、数字化城管建设、城乡环境综合治理等特定的行政工作任务各项工作的顺利开展。提高了社会各界的城乡环境意识，加大城乡环境综合治理工作的投入，加强城市管理工作，</w:t>
      </w:r>
      <w:r>
        <w:rPr>
          <w:rFonts w:hint="eastAsia" w:ascii="仿宋_GB2312" w:hAnsi="仿宋_GB2312" w:eastAsia="仿宋_GB2312" w:cs="仿宋_GB2312"/>
          <w:sz w:val="32"/>
          <w:szCs w:val="32"/>
          <w:lang w:eastAsia="zh-CN"/>
        </w:rPr>
        <w:t>提高了群众满意度，</w:t>
      </w:r>
      <w:r>
        <w:rPr>
          <w:rFonts w:hint="eastAsia" w:ascii="仿宋_GB2312" w:hAnsi="仿宋_GB2312" w:eastAsia="仿宋_GB2312" w:cs="仿宋_GB2312"/>
          <w:sz w:val="32"/>
          <w:szCs w:val="32"/>
        </w:rPr>
        <w:t>为提升攀枝花城市形象，招商引资，经济发展做出积极贡献。</w:t>
      </w:r>
      <w:r>
        <w:rPr>
          <w:rFonts w:hint="eastAsia" w:ascii="仿宋_GB2312" w:hAnsi="仿宋_GB2312" w:eastAsia="仿宋_GB2312" w:cs="仿宋_GB2312"/>
          <w:sz w:val="32"/>
          <w:szCs w:val="32"/>
          <w:lang w:eastAsia="zh-CN"/>
        </w:rPr>
        <w:t>基本完成了年初制定的绩效目标。</w:t>
      </w:r>
    </w:p>
    <w:p w14:paraId="3F505FC9">
      <w:pPr>
        <w:pageBreakBefore w:val="0"/>
        <w:widowControl/>
        <w:kinsoku/>
        <w:wordWrap/>
        <w:overflowPunct/>
        <w:topLinePunct w:val="0"/>
        <w:bidi w:val="0"/>
        <w:adjustRightInd w:val="0"/>
        <w:snapToGrid w:val="0"/>
        <w:spacing w:line="353"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6429CE82">
      <w:pPr>
        <w:pageBreakBefore w:val="0"/>
        <w:kinsoku/>
        <w:wordWrap/>
        <w:overflowPunct/>
        <w:topLinePunct w:val="0"/>
        <w:bidi w:val="0"/>
        <w:spacing w:line="353" w:lineRule="auto"/>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304F7D9E">
      <w:pPr>
        <w:pageBreakBefore w:val="0"/>
        <w:kinsoku/>
        <w:wordWrap/>
        <w:overflowPunct/>
        <w:topLinePunct w:val="0"/>
        <w:bidi w:val="0"/>
        <w:spacing w:line="353" w:lineRule="auto"/>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通过绩效考评，我们认为，2019年我单位资金到位情况良好，</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保证了城市管理各项工作的顺利进行，我单位在财政资金的使用中能够严格执行会计制度及财政相关规定，通过财政资金的使用，保证了</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城市管理各项工作的顺利开展，完成了</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政府安排的各项城市管理工作任务，确保攀枝花市顺利通过了省委、省政府城乡环境综合治理各项工作的检查验收，有效地增强了社会各界的城乡环境治理意识，提升了城市形象和城乡居民的生活环境。</w:t>
      </w:r>
    </w:p>
    <w:p w14:paraId="025F2961">
      <w:pPr>
        <w:pageBreakBefore w:val="0"/>
        <w:numPr>
          <w:ilvl w:val="0"/>
          <w:numId w:val="6"/>
        </w:numPr>
        <w:kinsoku/>
        <w:wordWrap/>
        <w:overflowPunct/>
        <w:topLinePunct w:val="0"/>
        <w:bidi w:val="0"/>
        <w:spacing w:line="353" w:lineRule="auto"/>
        <w:ind w:left="0" w:leftChars="0"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14:paraId="24CC3F84">
      <w:pPr>
        <w:pageBreakBefore w:val="0"/>
        <w:numPr>
          <w:ilvl w:val="0"/>
          <w:numId w:val="0"/>
        </w:numPr>
        <w:kinsoku/>
        <w:wordWrap/>
        <w:overflowPunct/>
        <w:topLinePunct w:val="0"/>
        <w:bidi w:val="0"/>
        <w:spacing w:line="353" w:lineRule="auto"/>
        <w:ind w:leftChars="200"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在本年度预算执行中，存在年中调整预算及年末资金结转下年等问题，主要原因是年初财政资金较紧张，预算安排有缺口，年中追加了部分项目，导致资金支付延迟结转下年。</w:t>
      </w:r>
    </w:p>
    <w:p w14:paraId="68772B5B">
      <w:pPr>
        <w:pageBreakBefore w:val="0"/>
        <w:widowControl/>
        <w:kinsoku/>
        <w:wordWrap/>
        <w:overflowPunct/>
        <w:topLinePunct w:val="0"/>
        <w:bidi w:val="0"/>
        <w:adjustRightInd w:val="0"/>
        <w:snapToGrid w:val="0"/>
        <w:spacing w:line="353"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4A52641A">
      <w:pPr>
        <w:pageBreakBefore w:val="0"/>
        <w:kinsoku/>
        <w:wordWrap/>
        <w:overflowPunct/>
        <w:topLinePunct w:val="0"/>
        <w:bidi w:val="0"/>
        <w:spacing w:line="353"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在以后的工作中，我们将加强与财政部门对年初部门预算的沟通协调，加强项目管理，多方举措，预防预算执行中的不确定因素，确保财政预算资金的顺利执行。</w:t>
      </w:r>
    </w:p>
    <w:p w14:paraId="356B3FC3">
      <w:pPr>
        <w:pageBreakBefore w:val="0"/>
        <w:kinsoku/>
        <w:wordWrap/>
        <w:overflowPunct/>
        <w:topLinePunct w:val="0"/>
        <w:bidi w:val="0"/>
        <w:spacing w:line="353" w:lineRule="auto"/>
        <w:ind w:firstLine="640" w:firstLineChars="200"/>
        <w:rPr>
          <w:rFonts w:ascii="仿宋_GB2312" w:hAnsi="仿宋_GB2312" w:eastAsia="仿宋_GB2312" w:cs="仿宋_GB2312"/>
          <w:sz w:val="32"/>
          <w:szCs w:val="32"/>
        </w:rPr>
      </w:pPr>
    </w:p>
    <w:p w14:paraId="028BD6D3">
      <w:pPr>
        <w:pageBreakBefore w:val="0"/>
        <w:kinsoku/>
        <w:wordWrap/>
        <w:overflowPunct/>
        <w:topLinePunct w:val="0"/>
        <w:bidi w:val="0"/>
        <w:spacing w:line="353" w:lineRule="auto"/>
        <w:ind w:firstLine="640" w:firstLineChars="200"/>
        <w:rPr>
          <w:rFonts w:ascii="仿宋_GB2312" w:hAnsi="仿宋_GB2312" w:eastAsia="仿宋_GB2312" w:cs="仿宋_GB2312"/>
          <w:sz w:val="32"/>
          <w:szCs w:val="32"/>
        </w:rPr>
      </w:pPr>
    </w:p>
    <w:p w14:paraId="4FE5D7EF">
      <w:pPr>
        <w:pageBreakBefore w:val="0"/>
        <w:kinsoku/>
        <w:wordWrap/>
        <w:overflowPunct/>
        <w:topLinePunct w:val="0"/>
        <w:bidi w:val="0"/>
        <w:spacing w:line="353" w:lineRule="auto"/>
        <w:ind w:firstLine="640" w:firstLineChars="200"/>
        <w:rPr>
          <w:rFonts w:ascii="仿宋_GB2312" w:hAnsi="仿宋_GB2312" w:eastAsia="仿宋_GB2312" w:cs="仿宋_GB2312"/>
          <w:sz w:val="32"/>
          <w:szCs w:val="32"/>
        </w:rPr>
      </w:pPr>
    </w:p>
    <w:p w14:paraId="7FFBC584">
      <w:pPr>
        <w:pageBreakBefore w:val="0"/>
        <w:kinsoku/>
        <w:wordWrap/>
        <w:overflowPunct/>
        <w:topLinePunct w:val="0"/>
        <w:bidi w:val="0"/>
        <w:spacing w:line="353" w:lineRule="auto"/>
        <w:ind w:firstLine="640" w:firstLineChars="200"/>
        <w:rPr>
          <w:rFonts w:ascii="仿宋_GB2312" w:hAnsi="仿宋_GB2312" w:eastAsia="仿宋_GB2312" w:cs="仿宋_GB2312"/>
          <w:sz w:val="32"/>
          <w:szCs w:val="32"/>
        </w:rPr>
      </w:pPr>
    </w:p>
    <w:p w14:paraId="73E7AC66">
      <w:pPr>
        <w:pageBreakBefore w:val="0"/>
        <w:kinsoku/>
        <w:wordWrap/>
        <w:overflowPunct/>
        <w:topLinePunct w:val="0"/>
        <w:bidi w:val="0"/>
        <w:spacing w:line="353" w:lineRule="auto"/>
        <w:ind w:firstLine="640" w:firstLineChars="200"/>
        <w:rPr>
          <w:rFonts w:ascii="仿宋_GB2312" w:hAnsi="仿宋_GB2312" w:eastAsia="仿宋_GB2312" w:cs="仿宋_GB2312"/>
          <w:sz w:val="32"/>
          <w:szCs w:val="32"/>
        </w:rPr>
      </w:pPr>
    </w:p>
    <w:p w14:paraId="635222A3">
      <w:pPr>
        <w:pageBreakBefore w:val="0"/>
        <w:kinsoku/>
        <w:wordWrap/>
        <w:overflowPunct/>
        <w:topLinePunct w:val="0"/>
        <w:bidi w:val="0"/>
        <w:spacing w:line="353" w:lineRule="auto"/>
        <w:ind w:firstLine="640" w:firstLineChars="200"/>
        <w:rPr>
          <w:rFonts w:ascii="仿宋_GB2312" w:hAnsi="仿宋_GB2312" w:eastAsia="仿宋_GB2312" w:cs="仿宋_GB2312"/>
          <w:sz w:val="32"/>
          <w:szCs w:val="32"/>
        </w:rPr>
      </w:pPr>
    </w:p>
    <w:p w14:paraId="605052CC">
      <w:pPr>
        <w:pageBreakBefore w:val="0"/>
        <w:kinsoku/>
        <w:wordWrap/>
        <w:overflowPunct/>
        <w:topLinePunct w:val="0"/>
        <w:bidi w:val="0"/>
        <w:spacing w:line="353" w:lineRule="auto"/>
        <w:rPr>
          <w:rFonts w:hint="eastAsia" w:ascii="仿宋_GB2312" w:hAnsi="仿宋_GB2312" w:eastAsia="仿宋_GB2312" w:cs="仿宋_GB2312"/>
          <w:sz w:val="32"/>
          <w:szCs w:val="32"/>
          <w:lang w:eastAsia="zh-CN"/>
        </w:rPr>
      </w:pPr>
    </w:p>
    <w:p w14:paraId="6E01D3C5">
      <w:pPr>
        <w:pageBreakBefore w:val="0"/>
        <w:kinsoku/>
        <w:wordWrap/>
        <w:overflowPunct/>
        <w:topLinePunct w:val="0"/>
        <w:bidi w:val="0"/>
        <w:spacing w:line="353" w:lineRule="auto"/>
        <w:rPr>
          <w:rFonts w:ascii="仿宋_GB2312" w:hAnsi="仿宋_GB2312" w:eastAsia="仿宋_GB2312" w:cs="仿宋_GB2312"/>
          <w:sz w:val="32"/>
          <w:szCs w:val="32"/>
        </w:rPr>
      </w:pPr>
      <w:r>
        <w:rPr>
          <w:rFonts w:hint="eastAsia" w:ascii="黑体" w:hAnsi="黑体" w:eastAsia="黑体" w:cs="黑体"/>
          <w:sz w:val="32"/>
          <w:szCs w:val="32"/>
        </w:rPr>
        <w:t>附件2</w:t>
      </w:r>
    </w:p>
    <w:p w14:paraId="00BBF421">
      <w:pPr>
        <w:pageBreakBefore w:val="0"/>
        <w:kinsoku/>
        <w:wordWrap/>
        <w:overflowPunct/>
        <w:topLinePunct w:val="0"/>
        <w:bidi w:val="0"/>
        <w:spacing w:line="353" w:lineRule="auto"/>
        <w:ind w:firstLine="640" w:firstLineChars="200"/>
        <w:rPr>
          <w:rFonts w:ascii="仿宋_GB2312" w:hAnsi="仿宋_GB2312" w:eastAsia="仿宋_GB2312" w:cs="仿宋_GB2312"/>
          <w:sz w:val="32"/>
          <w:szCs w:val="32"/>
        </w:rPr>
      </w:pPr>
    </w:p>
    <w:p w14:paraId="1A09E8A6">
      <w:pPr>
        <w:pageBreakBefore w:val="0"/>
        <w:kinsoku/>
        <w:wordWrap/>
        <w:overflowPunct/>
        <w:topLinePunct w:val="0"/>
        <w:bidi w:val="0"/>
        <w:spacing w:line="353" w:lineRule="auto"/>
        <w:jc w:val="center"/>
        <w:rPr>
          <w:rFonts w:ascii="方正小标宋简体" w:hAnsi="宋体" w:eastAsia="方正小标宋简体"/>
          <w:color w:val="000000"/>
          <w:kern w:val="0"/>
          <w:sz w:val="44"/>
          <w:szCs w:val="44"/>
          <w:lang w:val="zh-CN"/>
        </w:rPr>
      </w:pPr>
      <w:r>
        <w:rPr>
          <w:rFonts w:ascii="方正小标宋简体" w:hAnsi="宋体" w:eastAsia="方正小标宋简体"/>
          <w:color w:val="000000"/>
          <w:kern w:val="0"/>
          <w:sz w:val="44"/>
          <w:szCs w:val="44"/>
        </w:rPr>
        <w:t>2018</w:t>
      </w:r>
      <w:r>
        <w:rPr>
          <w:rFonts w:hint="eastAsia" w:ascii="方正小标宋简体" w:hAnsi="宋体" w:eastAsia="方正小标宋简体"/>
          <w:color w:val="000000"/>
          <w:kern w:val="0"/>
          <w:sz w:val="44"/>
          <w:szCs w:val="44"/>
        </w:rPr>
        <w:t>年攀枝花市西区生活垃圾中转站资金</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14:paraId="467D5603">
      <w:pPr>
        <w:pageBreakBefore w:val="0"/>
        <w:kinsoku/>
        <w:wordWrap/>
        <w:overflowPunct/>
        <w:topLinePunct w:val="0"/>
        <w:bidi w:val="0"/>
        <w:spacing w:line="353" w:lineRule="auto"/>
        <w:rPr>
          <w:rFonts w:ascii="宋体" w:hAnsi="宋体"/>
          <w:sz w:val="32"/>
          <w:szCs w:val="32"/>
          <w:lang w:val="zh-CN"/>
        </w:rPr>
      </w:pPr>
    </w:p>
    <w:p w14:paraId="21B4D814">
      <w:pPr>
        <w:pageBreakBefore w:val="0"/>
        <w:kinsoku/>
        <w:wordWrap/>
        <w:overflowPunct/>
        <w:topLinePunct w:val="0"/>
        <w:bidi w:val="0"/>
        <w:adjustRightInd w:val="0"/>
        <w:snapToGrid w:val="0"/>
        <w:spacing w:line="353" w:lineRule="auto"/>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22B03925">
      <w:pPr>
        <w:pageBreakBefore w:val="0"/>
        <w:kinsoku/>
        <w:wordWrap/>
        <w:overflowPunct/>
        <w:topLinePunct w:val="0"/>
        <w:bidi w:val="0"/>
        <w:adjustRightInd w:val="0"/>
        <w:snapToGrid w:val="0"/>
        <w:spacing w:line="353"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269DD148">
      <w:pPr>
        <w:spacing w:line="360" w:lineRule="auto"/>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hAnsi="仿宋_GB2312" w:eastAsia="仿宋_GB2312" w:cs="仿宋_GB2312"/>
          <w:sz w:val="32"/>
          <w:szCs w:val="32"/>
        </w:rPr>
        <w:t>攀枝花市西区综合行政执法局垃圾处理中心为</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年攀枝花市西区生活垃圾中转站资金</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的业主。</w:t>
      </w:r>
    </w:p>
    <w:p w14:paraId="14A621E4">
      <w:pPr>
        <w:pageBreakBefore w:val="0"/>
        <w:kinsoku/>
        <w:wordWrap/>
        <w:overflowPunct/>
        <w:topLinePunct w:val="0"/>
        <w:bidi w:val="0"/>
        <w:spacing w:line="353" w:lineRule="auto"/>
        <w:ind w:firstLine="640" w:firstLineChars="200"/>
        <w:rPr>
          <w:rFonts w:hint="eastAsia" w:ascii="仿宋_GB2312" w:hAnsi="宋体" w:eastAsia="仿宋_GB2312"/>
          <w:color w:val="auto"/>
          <w:sz w:val="32"/>
          <w:szCs w:val="32"/>
          <w:lang w:val="zh-CN" w:eastAsia="zh-CN"/>
        </w:rPr>
      </w:pPr>
      <w:r>
        <w:rPr>
          <w:rFonts w:hint="eastAsia" w:ascii="仿宋_GB2312" w:hAnsi="宋体" w:eastAsia="仿宋_GB2312"/>
          <w:sz w:val="32"/>
          <w:szCs w:val="32"/>
          <w:lang w:val="zh-CN"/>
        </w:rPr>
        <w:t>2</w:t>
      </w:r>
      <w:r>
        <w:rPr>
          <w:rFonts w:hint="eastAsia" w:ascii="仿宋_GB2312" w:hAnsi="宋体" w:eastAsia="仿宋_GB2312"/>
          <w:sz w:val="32"/>
          <w:szCs w:val="32"/>
          <w:lang w:val="en-US" w:eastAsia="zh-CN"/>
        </w:rPr>
        <w:t>.</w:t>
      </w:r>
      <w:r>
        <w:rPr>
          <w:rFonts w:hint="eastAsia" w:ascii="仿宋_GB2312" w:hAnsi="仿宋_GB2312" w:eastAsia="仿宋_GB2312" w:cs="仿宋_GB2312"/>
          <w:color w:val="auto"/>
          <w:sz w:val="32"/>
          <w:szCs w:val="32"/>
        </w:rPr>
        <w:t>项目为市政设施</w:t>
      </w:r>
      <w:r>
        <w:rPr>
          <w:rFonts w:hint="eastAsia" w:ascii="仿宋_GB2312" w:hAnsi="仿宋_GB2312" w:eastAsia="仿宋_GB2312" w:cs="仿宋_GB2312"/>
          <w:color w:val="auto"/>
          <w:sz w:val="32"/>
          <w:szCs w:val="32"/>
          <w:lang w:eastAsia="zh-CN"/>
        </w:rPr>
        <w:t>修缮</w:t>
      </w:r>
      <w:r>
        <w:rPr>
          <w:rFonts w:hint="eastAsia" w:ascii="仿宋_GB2312" w:hAnsi="仿宋_GB2312" w:eastAsia="仿宋_GB2312" w:cs="仿宋_GB2312"/>
          <w:color w:val="auto"/>
          <w:sz w:val="32"/>
          <w:szCs w:val="32"/>
        </w:rPr>
        <w:t>项目，已进行项目立项。</w:t>
      </w:r>
      <w:r>
        <w:rPr>
          <w:rFonts w:ascii="仿宋_GB2312" w:hAnsi="仿宋_GB2312" w:eastAsia="仿宋_GB2312" w:cs="仿宋_GB2312"/>
          <w:color w:val="auto"/>
          <w:sz w:val="32"/>
          <w:szCs w:val="32"/>
        </w:rPr>
        <w:t>2018</w:t>
      </w:r>
      <w:r>
        <w:rPr>
          <w:rFonts w:hint="eastAsia" w:ascii="仿宋_GB2312" w:hAnsi="仿宋_GB2312" w:eastAsia="仿宋_GB2312" w:cs="仿宋_GB2312"/>
          <w:color w:val="auto"/>
          <w:sz w:val="32"/>
          <w:szCs w:val="32"/>
        </w:rPr>
        <w:t>年</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月</w:t>
      </w:r>
      <w:r>
        <w:rPr>
          <w:rFonts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rPr>
        <w:t>日，《关于攀枝花市西区生活垃圾中转站附属设施建设项目可行性研究报告的批复》（攀西发改</w:t>
      </w:r>
      <w:r>
        <w:rPr>
          <w:rFonts w:ascii="仿宋_GB2312" w:hAnsi="仿宋_GB2312" w:eastAsia="仿宋_GB2312" w:cs="仿宋_GB2312"/>
          <w:color w:val="auto"/>
          <w:sz w:val="32"/>
          <w:szCs w:val="32"/>
        </w:rPr>
        <w:t>[2018]60</w:t>
      </w:r>
      <w:r>
        <w:rPr>
          <w:rFonts w:hint="eastAsia" w:ascii="仿宋_GB2312" w:hAnsi="仿宋_GB2312" w:eastAsia="仿宋_GB2312" w:cs="仿宋_GB2312"/>
          <w:color w:val="auto"/>
          <w:sz w:val="32"/>
          <w:szCs w:val="32"/>
        </w:rPr>
        <w:t>文号文件），西区发改局同意立项，并要求具体实施方西鼎公司按程序开展项目。</w:t>
      </w:r>
    </w:p>
    <w:p w14:paraId="65637512">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rPr>
      </w:pPr>
      <w:r>
        <w:rPr>
          <w:rFonts w:hint="eastAsia" w:ascii="仿宋_GB2312" w:hAnsi="宋体" w:eastAsia="仿宋_GB2312"/>
          <w:sz w:val="32"/>
          <w:szCs w:val="32"/>
          <w:lang w:val="zh-CN"/>
        </w:rPr>
        <w:t>3</w:t>
      </w:r>
      <w:r>
        <w:rPr>
          <w:rFonts w:hint="eastAsia" w:ascii="仿宋_GB2312" w:hAnsi="宋体" w:eastAsia="仿宋_GB2312"/>
          <w:sz w:val="32"/>
          <w:szCs w:val="32"/>
          <w:lang w:val="en-US" w:eastAsia="zh-CN"/>
        </w:rPr>
        <w:t>.</w:t>
      </w:r>
      <w:r>
        <w:rPr>
          <w:rFonts w:hint="eastAsia" w:ascii="仿宋_GB2312" w:hAnsi="宋体" w:eastAsia="仿宋_GB2312"/>
          <w:sz w:val="32"/>
          <w:szCs w:val="32"/>
          <w:lang w:val="zh-CN"/>
        </w:rPr>
        <w:t>资金分配的原则及考虑因素为</w:t>
      </w:r>
      <w:r>
        <w:rPr>
          <w:rFonts w:hint="eastAsia" w:ascii="仿宋_GB2312" w:hAnsi="仿宋_GB2312" w:eastAsia="仿宋_GB2312" w:cs="仿宋_GB2312"/>
          <w:sz w:val="32"/>
          <w:szCs w:val="32"/>
        </w:rPr>
        <w:t>项目资金管理使用上实行层层把关，多级审查付款制度。</w:t>
      </w:r>
    </w:p>
    <w:p w14:paraId="7A410977">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资金用于：新建日转运生活垃圾能力200吨生活垃圾中转站1座及附属厂房、配套完善周边绿化等。</w:t>
      </w:r>
    </w:p>
    <w:p w14:paraId="5FA110A0">
      <w:pPr>
        <w:pageBreakBefore w:val="0"/>
        <w:kinsoku/>
        <w:wordWrap/>
        <w:overflowPunct/>
        <w:topLinePunct w:val="0"/>
        <w:bidi w:val="0"/>
        <w:adjustRightInd w:val="0"/>
        <w:snapToGrid w:val="0"/>
        <w:spacing w:line="353"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512B5614">
      <w:pPr>
        <w:pageBreakBefore w:val="0"/>
        <w:kinsoku/>
        <w:wordWrap/>
        <w:overflowPunct/>
        <w:topLinePunct w:val="0"/>
        <w:bidi w:val="0"/>
        <w:spacing w:line="353"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1．项目主要内容。</w:t>
      </w:r>
    </w:p>
    <w:p w14:paraId="69E60695">
      <w:pPr>
        <w:pageBreakBefore w:val="0"/>
        <w:kinsoku/>
        <w:wordWrap/>
        <w:overflowPunct/>
        <w:topLinePunct w:val="0"/>
        <w:bidi w:val="0"/>
        <w:spacing w:line="353" w:lineRule="auto"/>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新建日转运生活垃圾能力200吨生活垃圾中转站1座及附属厂房、配套完善周边绿化等。</w:t>
      </w:r>
    </w:p>
    <w:p w14:paraId="0871F68B">
      <w:pPr>
        <w:pageBreakBefore w:val="0"/>
        <w:kinsoku/>
        <w:wordWrap/>
        <w:overflowPunct/>
        <w:topLinePunct w:val="0"/>
        <w:bidi w:val="0"/>
        <w:spacing w:line="353"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项目应实现的具体绩效目标。</w:t>
      </w:r>
    </w:p>
    <w:p w14:paraId="7C9A9A2F">
      <w:pPr>
        <w:pageBreakBefore w:val="0"/>
        <w:kinsoku/>
        <w:wordWrap/>
        <w:overflowPunct/>
        <w:topLinePunct w:val="0"/>
        <w:bidi w:val="0"/>
        <w:spacing w:line="353"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（1）具体绩效目标</w:t>
      </w:r>
    </w:p>
    <w:p w14:paraId="653F4F3F">
      <w:pPr>
        <w:pageBreakBefore w:val="0"/>
        <w:kinsoku/>
        <w:wordWrap/>
        <w:overflowPunct/>
        <w:topLinePunct w:val="0"/>
        <w:bidi w:val="0"/>
        <w:spacing w:line="353"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本项目按中型Ⅲ类转运站新建垂直式垃圾压缩站一座，有4个处理工位，最大处理能力为150吨/天，项目建设用地面积9400.78㎡，建筑面积861.73㎡（其中垃圾中转站建筑面积807.57㎡，值班室建筑面积54.16㎡），绿地率30.16%，绿地面积2835.28㎡，停车位27个。规划总用地面积15107 ㎡（22.66 亩） ，总建筑面积 1887.81 ㎡。</w:t>
      </w:r>
    </w:p>
    <w:p w14:paraId="0813F55C">
      <w:pPr>
        <w:pageBreakBefore w:val="0"/>
        <w:kinsoku/>
        <w:wordWrap/>
        <w:overflowPunct/>
        <w:topLinePunct w:val="0"/>
        <w:bidi w:val="0"/>
        <w:spacing w:line="353"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（2）项目实施进度</w:t>
      </w:r>
    </w:p>
    <w:p w14:paraId="6D14BA93">
      <w:pPr>
        <w:pageBreakBefore w:val="0"/>
        <w:kinsoku/>
        <w:wordWrap/>
        <w:overflowPunct/>
        <w:topLinePunct w:val="0"/>
        <w:bidi w:val="0"/>
        <w:spacing w:line="353" w:lineRule="auto"/>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 xml:space="preserve">项目施工招标于2019年1月24日挂网，2月13日在市公共资源交易中心开标及评标，经评标专家评审，确定项目施工单位为四川雪臣建筑工程有限公司，中标价为444万元。3月4日由攀枝花市西部城市建设综合开发有限公司组织施工、监理、设计、项目业主等5方主体召开施工图汇审及安全技术交底会。并于3月14日完成基础验槽工作，开始实施厂房基础支模施工。工程进入紧张施工阶段。截止6月25日项目建设工作基本已完成，进行竣工验收整改阶段。   </w:t>
      </w:r>
    </w:p>
    <w:p w14:paraId="7BC99D92">
      <w:pPr>
        <w:pageBreakBefore w:val="0"/>
        <w:kinsoku/>
        <w:wordWrap/>
        <w:overflowPunct/>
        <w:topLinePunct w:val="0"/>
        <w:bidi w:val="0"/>
        <w:spacing w:line="353" w:lineRule="auto"/>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仿宋_GB2312" w:eastAsia="仿宋_GB2312" w:cs="仿宋_GB2312"/>
          <w:color w:val="auto"/>
          <w:sz w:val="32"/>
          <w:szCs w:val="32"/>
        </w:rPr>
        <w:t>本项目为市政设施</w:t>
      </w:r>
      <w:r>
        <w:rPr>
          <w:rFonts w:hint="eastAsia" w:ascii="仿宋_GB2312" w:hAnsi="仿宋_GB2312" w:eastAsia="仿宋_GB2312" w:cs="仿宋_GB2312"/>
          <w:color w:val="auto"/>
          <w:sz w:val="32"/>
          <w:szCs w:val="32"/>
          <w:lang w:eastAsia="zh-CN"/>
        </w:rPr>
        <w:t>修缮</w:t>
      </w:r>
      <w:r>
        <w:rPr>
          <w:rFonts w:hint="eastAsia" w:ascii="仿宋_GB2312" w:hAnsi="仿宋_GB2312" w:eastAsia="仿宋_GB2312" w:cs="仿宋_GB2312"/>
          <w:color w:val="auto"/>
          <w:sz w:val="32"/>
          <w:szCs w:val="32"/>
        </w:rPr>
        <w:t>项目，该项目前期经过专家充分论证，在实施前根据现场调查后申报需要</w:t>
      </w:r>
      <w:r>
        <w:rPr>
          <w:rFonts w:hint="eastAsia" w:ascii="仿宋_GB2312" w:hAnsi="仿宋_GB2312" w:eastAsia="仿宋_GB2312" w:cs="仿宋_GB2312"/>
          <w:color w:val="auto"/>
          <w:sz w:val="32"/>
          <w:szCs w:val="32"/>
          <w:lang w:eastAsia="zh-CN"/>
        </w:rPr>
        <w:t>改造</w:t>
      </w:r>
      <w:r>
        <w:rPr>
          <w:rFonts w:hint="eastAsia" w:ascii="仿宋_GB2312" w:hAnsi="仿宋_GB2312" w:eastAsia="仿宋_GB2312" w:cs="仿宋_GB2312"/>
          <w:color w:val="auto"/>
          <w:sz w:val="32"/>
          <w:szCs w:val="32"/>
        </w:rPr>
        <w:t>的工程内容，因此申报内容与实际相符，申报目标可行。</w:t>
      </w:r>
    </w:p>
    <w:p w14:paraId="60EBF3D6">
      <w:pPr>
        <w:pageBreakBefore w:val="0"/>
        <w:kinsoku/>
        <w:wordWrap/>
        <w:overflowPunct/>
        <w:topLinePunct w:val="0"/>
        <w:bidi w:val="0"/>
        <w:adjustRightInd w:val="0"/>
        <w:snapToGrid w:val="0"/>
        <w:spacing w:line="353"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65D33F19">
      <w:pPr>
        <w:pageBreakBefore w:val="0"/>
        <w:kinsoku/>
        <w:wordWrap/>
        <w:overflowPunct/>
        <w:topLinePunct w:val="0"/>
        <w:bidi w:val="0"/>
        <w:spacing w:line="353" w:lineRule="auto"/>
        <w:ind w:firstLine="640" w:firstLineChars="200"/>
        <w:rPr>
          <w:rFonts w:hint="eastAsia" w:ascii="仿宋_GB2312" w:hAnsi="宋体" w:eastAsia="仿宋_GB2312"/>
          <w:color w:val="0000FF"/>
          <w:sz w:val="32"/>
          <w:szCs w:val="32"/>
          <w:lang w:val="zh-CN" w:eastAsia="zh-CN"/>
        </w:rPr>
      </w:pPr>
      <w:r>
        <w:rPr>
          <w:rFonts w:hint="eastAsia" w:ascii="仿宋_GB2312" w:hAnsi="仿宋_GB2312" w:eastAsia="仿宋_GB2312" w:cs="仿宋_GB2312"/>
          <w:color w:val="auto"/>
          <w:sz w:val="32"/>
          <w:szCs w:val="32"/>
        </w:rPr>
        <w:t>项目单位开展全面自评，从项目决策、项目管理、项目绩效三个方面开展了绩效评价。采取收集资料，结合现场座谈、翻阅资料、踏勘等方式。</w:t>
      </w:r>
    </w:p>
    <w:p w14:paraId="27D4F9EB">
      <w:pPr>
        <w:pageBreakBefore w:val="0"/>
        <w:kinsoku/>
        <w:wordWrap/>
        <w:overflowPunct/>
        <w:topLinePunct w:val="0"/>
        <w:bidi w:val="0"/>
        <w:adjustRightInd w:val="0"/>
        <w:snapToGrid w:val="0"/>
        <w:spacing w:line="353" w:lineRule="auto"/>
        <w:ind w:firstLine="720"/>
        <w:rPr>
          <w:rFonts w:ascii="黑体" w:hAnsi="宋体" w:eastAsia="黑体"/>
          <w:sz w:val="32"/>
          <w:szCs w:val="32"/>
        </w:rPr>
      </w:pPr>
      <w:r>
        <w:rPr>
          <w:rFonts w:hint="eastAsia" w:ascii="黑体" w:hAnsi="宋体" w:eastAsia="黑体"/>
          <w:sz w:val="32"/>
          <w:szCs w:val="32"/>
        </w:rPr>
        <w:t>二、项目资金申报及使用情况</w:t>
      </w:r>
    </w:p>
    <w:p w14:paraId="5CF51FEE">
      <w:pPr>
        <w:pageBreakBefore w:val="0"/>
        <w:kinsoku/>
        <w:wordWrap/>
        <w:overflowPunct/>
        <w:topLinePunct w:val="0"/>
        <w:bidi w:val="0"/>
        <w:adjustRightInd w:val="0"/>
        <w:snapToGrid w:val="0"/>
        <w:spacing w:line="353"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3F39DDC1">
      <w:pPr>
        <w:pageBreakBefore w:val="0"/>
        <w:kinsoku/>
        <w:wordWrap/>
        <w:overflowPunct/>
        <w:topLinePunct w:val="0"/>
        <w:bidi w:val="0"/>
        <w:spacing w:line="353" w:lineRule="auto"/>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2018年3月《攀枝花市财政局关于城乡垃圾处理设施建设三年方案项目专项资金预算的通知》(攀财资投【2018】30号)，以及2018年中央下达老工业区生态建设和污染治理资金共计下达了市政设施改造经费1454万元。</w:t>
      </w:r>
    </w:p>
    <w:p w14:paraId="755CDDA9">
      <w:pPr>
        <w:pageBreakBefore w:val="0"/>
        <w:kinsoku/>
        <w:wordWrap/>
        <w:overflowPunct/>
        <w:topLinePunct w:val="0"/>
        <w:bidi w:val="0"/>
        <w:adjustRightInd w:val="0"/>
        <w:snapToGrid w:val="0"/>
        <w:spacing w:line="353" w:lineRule="auto"/>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14:paraId="7C9E9ABD">
      <w:pPr>
        <w:pageBreakBefore w:val="0"/>
        <w:numPr>
          <w:ilvl w:val="0"/>
          <w:numId w:val="7"/>
        </w:numPr>
        <w:kinsoku/>
        <w:wordWrap/>
        <w:overflowPunct/>
        <w:topLinePunct w:val="0"/>
        <w:bidi w:val="0"/>
        <w:adjustRightInd w:val="0"/>
        <w:snapToGrid w:val="0"/>
        <w:spacing w:line="353" w:lineRule="auto"/>
        <w:ind w:firstLine="72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资金计划</w:t>
      </w:r>
      <w:r>
        <w:rPr>
          <w:rFonts w:hint="eastAsia" w:ascii="仿宋_GB2312" w:hAnsi="仿宋_GB2312" w:eastAsia="仿宋_GB2312" w:cs="仿宋_GB2312"/>
          <w:color w:val="auto"/>
          <w:sz w:val="32"/>
          <w:szCs w:val="32"/>
          <w:lang w:val="en-US" w:eastAsia="zh-CN"/>
        </w:rPr>
        <w:t>1454万元。</w:t>
      </w:r>
    </w:p>
    <w:p w14:paraId="79241416">
      <w:pPr>
        <w:pageBreakBefore w:val="0"/>
        <w:kinsoku/>
        <w:wordWrap/>
        <w:overflowPunct/>
        <w:topLinePunct w:val="0"/>
        <w:bidi w:val="0"/>
        <w:adjustRightInd w:val="0"/>
        <w:snapToGrid w:val="0"/>
        <w:spacing w:line="353" w:lineRule="auto"/>
        <w:ind w:firstLine="72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rPr>
        <w:t>项目资金下拨及时到位，资金到位率100%。</w:t>
      </w:r>
    </w:p>
    <w:p w14:paraId="554CACE4">
      <w:pPr>
        <w:pageBreakBefore w:val="0"/>
        <w:kinsoku/>
        <w:wordWrap/>
        <w:overflowPunct/>
        <w:topLinePunct w:val="0"/>
        <w:bidi w:val="0"/>
        <w:adjustRightInd w:val="0"/>
        <w:snapToGrid w:val="0"/>
        <w:spacing w:line="353" w:lineRule="auto"/>
        <w:ind w:firstLine="720"/>
        <w:rPr>
          <w:rFonts w:hint="eastAsia" w:ascii="楷体_GB2312" w:hAnsi="宋体" w:eastAsia="楷体_GB2312"/>
          <w:sz w:val="32"/>
          <w:szCs w:val="32"/>
          <w:lang w:val="en-US"/>
        </w:rPr>
      </w:pPr>
      <w:r>
        <w:rPr>
          <w:rFonts w:hint="eastAsia" w:ascii="仿宋_GB2312" w:hAnsi="仿宋_GB2312" w:eastAsia="仿宋_GB2312" w:cs="仿宋_GB2312"/>
          <w:color w:val="auto"/>
          <w:sz w:val="32"/>
          <w:szCs w:val="32"/>
          <w:lang w:val="zh-CN"/>
        </w:rPr>
        <w:t>3．资金使用。</w:t>
      </w:r>
      <w:r>
        <w:rPr>
          <w:rFonts w:hint="eastAsia" w:ascii="仿宋_GB2312" w:hAnsi="仿宋_GB2312" w:eastAsia="仿宋_GB2312" w:cs="仿宋_GB2312"/>
          <w:color w:val="auto"/>
          <w:sz w:val="32"/>
          <w:szCs w:val="32"/>
          <w:lang w:val="en-US" w:eastAsia="zh-CN"/>
        </w:rPr>
        <w:t>2019年底总共已支付342.64万元。</w:t>
      </w:r>
    </w:p>
    <w:p w14:paraId="5B3DB8D3">
      <w:pPr>
        <w:pageBreakBefore w:val="0"/>
        <w:kinsoku/>
        <w:wordWrap/>
        <w:overflowPunct/>
        <w:topLinePunct w:val="0"/>
        <w:bidi w:val="0"/>
        <w:adjustRightInd w:val="0"/>
        <w:snapToGrid w:val="0"/>
        <w:spacing w:line="353"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1D9B1069">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根据“专项资金，专项使用”的原则，项目资金管理使用上实行层层把关，多级审查付款制度，根据《建设项目管理规定》和《支出管理制度》，</w:t>
      </w:r>
      <w:r>
        <w:rPr>
          <w:rFonts w:hint="eastAsia" w:ascii="仿宋_GB2312" w:hAnsi="仿宋_GB2312" w:eastAsia="仿宋_GB2312" w:cs="仿宋_GB2312"/>
          <w:sz w:val="32"/>
          <w:szCs w:val="32"/>
          <w:lang w:eastAsia="zh-CN"/>
        </w:rPr>
        <w:t>西区垃圾处理中心审核工程量以及是否按合同执行</w:t>
      </w:r>
      <w:r>
        <w:rPr>
          <w:rFonts w:hint="eastAsia" w:ascii="仿宋_GB2312" w:hAnsi="仿宋_GB2312" w:eastAsia="仿宋_GB2312" w:cs="仿宋_GB2312"/>
          <w:sz w:val="32"/>
          <w:szCs w:val="32"/>
        </w:rPr>
        <w:t>—财务人员审核会计资料是否完整—分管领导审核—单位负责人审批签字—财政部门审批通过的程序予以拨付。账务处理上设置了专项会计科目，会计核算清晰，相关附件完整。财务收支符合相关财经法规的规定。</w:t>
      </w:r>
    </w:p>
    <w:p w14:paraId="46222A9A">
      <w:pPr>
        <w:pageBreakBefore w:val="0"/>
        <w:kinsoku/>
        <w:wordWrap/>
        <w:overflowPunct/>
        <w:topLinePunct w:val="0"/>
        <w:bidi w:val="0"/>
        <w:adjustRightInd w:val="0"/>
        <w:snapToGrid w:val="0"/>
        <w:spacing w:line="353" w:lineRule="auto"/>
        <w:ind w:firstLine="720"/>
        <w:rPr>
          <w:rFonts w:ascii="黑体" w:hAnsi="宋体" w:eastAsia="黑体"/>
          <w:sz w:val="32"/>
          <w:szCs w:val="32"/>
        </w:rPr>
      </w:pPr>
      <w:r>
        <w:rPr>
          <w:rFonts w:hint="eastAsia" w:ascii="黑体" w:hAnsi="宋体" w:eastAsia="黑体"/>
          <w:sz w:val="32"/>
          <w:szCs w:val="32"/>
        </w:rPr>
        <w:t>三、项目实施及管理情况</w:t>
      </w:r>
    </w:p>
    <w:p w14:paraId="34B51833">
      <w:pPr>
        <w:pageBreakBefore w:val="0"/>
        <w:numPr>
          <w:ilvl w:val="0"/>
          <w:numId w:val="8"/>
        </w:numPr>
        <w:kinsoku/>
        <w:wordWrap/>
        <w:overflowPunct/>
        <w:topLinePunct w:val="0"/>
        <w:bidi w:val="0"/>
        <w:adjustRightInd w:val="0"/>
        <w:snapToGrid w:val="0"/>
        <w:spacing w:line="353" w:lineRule="auto"/>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14:paraId="469D67F3">
      <w:pPr>
        <w:pageBreakBefore w:val="0"/>
        <w:kinsoku/>
        <w:wordWrap/>
        <w:overflowPunct/>
        <w:topLinePunct w:val="0"/>
        <w:bidi w:val="0"/>
        <w:adjustRightInd w:val="0"/>
        <w:snapToGrid w:val="0"/>
        <w:spacing w:line="353" w:lineRule="auto"/>
        <w:ind w:firstLine="720"/>
        <w:rPr>
          <w:rFonts w:hint="eastAsia" w:ascii="楷体_GB2312" w:hAnsi="宋体" w:eastAsia="楷体_GB2312"/>
          <w:b/>
          <w:sz w:val="32"/>
          <w:szCs w:val="32"/>
          <w:lang w:val="zh-CN"/>
        </w:rPr>
      </w:pPr>
      <w:r>
        <w:rPr>
          <w:rFonts w:hint="eastAsia" w:ascii="仿宋_GB2312" w:hAnsi="仿宋_GB2312" w:eastAsia="仿宋_GB2312" w:cs="仿宋_GB2312"/>
          <w:sz w:val="32"/>
          <w:szCs w:val="32"/>
        </w:rPr>
        <w:t>设立由生产、计划、安全质量、设施、物资供应、以及维护管理部门组成的项目管理机构，项目负责人承担内外协调和组织管理及监督实施工作，各业务部门充分发挥各个专业、技术、经济和管理优势，确保预定目标的最终实现。</w:t>
      </w:r>
    </w:p>
    <w:p w14:paraId="0C0AE90C">
      <w:pPr>
        <w:pageBreakBefore w:val="0"/>
        <w:numPr>
          <w:ilvl w:val="0"/>
          <w:numId w:val="8"/>
        </w:numPr>
        <w:kinsoku/>
        <w:wordWrap/>
        <w:overflowPunct/>
        <w:topLinePunct w:val="0"/>
        <w:bidi w:val="0"/>
        <w:spacing w:line="353" w:lineRule="auto"/>
        <w:ind w:left="0" w:leftChars="0" w:firstLine="720" w:firstLineChars="0"/>
        <w:rPr>
          <w:rFonts w:hint="eastAsia" w:ascii="仿宋_GB2312" w:hAnsi="仿宋_GB2312" w:eastAsia="仿宋_GB2312" w:cs="仿宋_GB2312"/>
          <w:sz w:val="32"/>
          <w:szCs w:val="32"/>
          <w:lang w:val="zh-CN"/>
        </w:rPr>
      </w:pPr>
      <w:r>
        <w:rPr>
          <w:rFonts w:hint="eastAsia" w:ascii="楷体_GB2312" w:hAnsi="宋体" w:eastAsia="楷体_GB2312"/>
          <w:b/>
          <w:sz w:val="32"/>
          <w:szCs w:val="32"/>
          <w:lang w:val="zh-CN"/>
        </w:rPr>
        <w:t>项目管理情况。</w:t>
      </w:r>
    </w:p>
    <w:p w14:paraId="23CCB48F">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严格按照相关项目管理制度、以及建筑工程施工技术规范等，做好项目进度、质量、安全、造价控制，目前项目按计划、安全推进。</w:t>
      </w:r>
    </w:p>
    <w:p w14:paraId="7A106E99">
      <w:pPr>
        <w:pageBreakBefore w:val="0"/>
        <w:numPr>
          <w:ilvl w:val="0"/>
          <w:numId w:val="8"/>
        </w:numPr>
        <w:kinsoku/>
        <w:wordWrap/>
        <w:overflowPunct/>
        <w:topLinePunct w:val="0"/>
        <w:bidi w:val="0"/>
        <w:spacing w:line="353" w:lineRule="auto"/>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14:paraId="2F36F9F3">
      <w:pPr>
        <w:pageBreakBefore w:val="0"/>
        <w:numPr>
          <w:ilvl w:val="0"/>
          <w:numId w:val="0"/>
        </w:numPr>
        <w:kinsoku/>
        <w:wordWrap/>
        <w:overflowPunct/>
        <w:topLinePunct w:val="0"/>
        <w:bidi w:val="0"/>
        <w:spacing w:line="353" w:lineRule="auto"/>
        <w:ind w:firstLine="640" w:firstLineChars="200"/>
        <w:rPr>
          <w:rFonts w:hint="eastAsia" w:ascii="楷体_GB2312" w:hAnsi="宋体" w:eastAsia="楷体_GB2312"/>
          <w:b/>
          <w:sz w:val="32"/>
          <w:szCs w:val="32"/>
          <w:lang w:val="zh-CN"/>
        </w:rPr>
      </w:pPr>
      <w:r>
        <w:rPr>
          <w:rFonts w:hint="eastAsia" w:ascii="仿宋_GB2312" w:hAnsi="仿宋_GB2312" w:eastAsia="仿宋_GB2312" w:cs="仿宋_GB2312"/>
          <w:sz w:val="32"/>
          <w:szCs w:val="32"/>
        </w:rPr>
        <w:t>单位纪委全程参与项目管理过程，从项目申报到竣工。项目严格按照相关项目管理制度、以及建筑工程施工技术规范等，做好项目进度、质量、安全、造价控制，</w:t>
      </w:r>
    </w:p>
    <w:p w14:paraId="0A4E25D3">
      <w:pPr>
        <w:pageBreakBefore w:val="0"/>
        <w:kinsoku/>
        <w:wordWrap/>
        <w:overflowPunct/>
        <w:topLinePunct w:val="0"/>
        <w:bidi w:val="0"/>
        <w:adjustRightInd w:val="0"/>
        <w:snapToGrid w:val="0"/>
        <w:spacing w:line="353" w:lineRule="auto"/>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7BB06ECF">
      <w:pPr>
        <w:pageBreakBefore w:val="0"/>
        <w:kinsoku/>
        <w:wordWrap/>
        <w:overflowPunct/>
        <w:topLinePunct w:val="0"/>
        <w:bidi w:val="0"/>
        <w:adjustRightInd w:val="0"/>
        <w:snapToGrid w:val="0"/>
        <w:spacing w:line="353"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E5DF79E">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项目完成保值保量、按任务时间节点推进，施工单位严格控制成本、圆满完成任务。</w:t>
      </w:r>
    </w:p>
    <w:p w14:paraId="66B6DFD5">
      <w:pPr>
        <w:pageBreakBefore w:val="0"/>
        <w:kinsoku/>
        <w:wordWrap/>
        <w:overflowPunct/>
        <w:topLinePunct w:val="0"/>
        <w:bidi w:val="0"/>
        <w:adjustRightInd w:val="0"/>
        <w:snapToGrid w:val="0"/>
        <w:spacing w:line="353"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1D8CCDB0">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环境效益</w:t>
      </w:r>
    </w:p>
    <w:p w14:paraId="688D70DB">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项目的实施将产生巨大的环境效益：它实现了生活垃圾封闭化、压缩化、集装化运输，从根本上改善环卫作业对周围环境的影响。同时，工程的工艺路线及一系列环保措施(对渗沥液、臭气、 ‘噪声、蚊蝇等都实施了可靠的防治措施)，从而可确保由于工程本身的建设而对周围环境的影响最小。 此外， 按国家的有关技术标准对已经填满、超负荷运行的西区生活垃圾填埋场进行规范封场，可减少污染源，改善城乡环境卫生状况。所以，该项目的建设对保持攀枝花市西区城市清洁、美化市容、提高环境质量等方面产生巨大的作用。</w:t>
      </w:r>
    </w:p>
    <w:p w14:paraId="55FDAA50">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 xml:space="preserve">社会效益 </w:t>
      </w:r>
    </w:p>
    <w:p w14:paraId="3CBC0CDA">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该项目的实施将有效解决因西区生活垃圾处理中心垃圾填埋场库容饱和封场后，全区城镇生活垃圾的出路问题，同时提高了生活垃圾运输的封闭化、压缩化、集装化率。 项目的实施不仅有效配合了全市城镇生活垃圾无害化处理工作规划的实施， 同时，对西区生活垃圾填埋场按规范的标准要求进行封场建设，并植被复绿，有利于改善周围景观，因而具有重大的社会效益。</w:t>
      </w:r>
    </w:p>
    <w:p w14:paraId="0D4A1192">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 xml:space="preserve">经济效益 </w:t>
      </w:r>
    </w:p>
    <w:p w14:paraId="3A62CF64">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由于中转站实现了机械化、密封化、压缩装箱工艺，使垃圾运输的经济性得以提高，同时转运后的城镇生活垃圾将用焚烧方式进行处理。这不仅有利于节约用于填埋的土地资源，有效控制二次污染，并可以综合利用，回收能源用于发电，使垃圾处理达到无害化、资源化和减量化，并能满足日益发展的城市建设和广大人民群众对环境的要求。 </w:t>
      </w:r>
    </w:p>
    <w:p w14:paraId="63A28312">
      <w:pPr>
        <w:pageBreakBefore w:val="0"/>
        <w:kinsoku/>
        <w:wordWrap/>
        <w:overflowPunct/>
        <w:topLinePunct w:val="0"/>
        <w:bidi w:val="0"/>
        <w:spacing w:line="353"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此外，该项目的实施，改善了全区的投资，居住环境，将产生巨大的经济效益。</w:t>
      </w:r>
    </w:p>
    <w:p w14:paraId="40ECD084">
      <w:pPr>
        <w:pageBreakBefore w:val="0"/>
        <w:kinsoku/>
        <w:wordWrap/>
        <w:overflowPunct/>
        <w:topLinePunct w:val="0"/>
        <w:bidi w:val="0"/>
        <w:spacing w:line="353" w:lineRule="auto"/>
        <w:ind w:firstLine="640" w:firstLineChars="200"/>
        <w:rPr>
          <w:rFonts w:ascii="黑体" w:hAnsi="宋体" w:eastAsia="黑体"/>
          <w:sz w:val="32"/>
          <w:szCs w:val="32"/>
        </w:rPr>
      </w:pPr>
      <w:r>
        <w:rPr>
          <w:rFonts w:hint="eastAsia" w:ascii="黑体" w:hAnsi="宋体" w:eastAsia="黑体"/>
          <w:sz w:val="32"/>
          <w:szCs w:val="32"/>
        </w:rPr>
        <w:t>五、评价结论及建议</w:t>
      </w:r>
    </w:p>
    <w:p w14:paraId="33FEE2B3">
      <w:pPr>
        <w:pageBreakBefore w:val="0"/>
        <w:kinsoku/>
        <w:wordWrap/>
        <w:overflowPunct/>
        <w:topLinePunct w:val="0"/>
        <w:bidi w:val="0"/>
        <w:adjustRightInd w:val="0"/>
        <w:snapToGrid w:val="0"/>
        <w:spacing w:line="353"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7D0A63F0">
      <w:pPr>
        <w:pageBreakBefore w:val="0"/>
        <w:kinsoku/>
        <w:wordWrap/>
        <w:overflowPunct/>
        <w:topLinePunct w:val="0"/>
        <w:bidi w:val="0"/>
        <w:adjustRightInd w:val="0"/>
        <w:snapToGrid w:val="0"/>
        <w:spacing w:line="353" w:lineRule="auto"/>
        <w:ind w:firstLine="640" w:firstLineChars="200"/>
        <w:rPr>
          <w:rFonts w:ascii="仿宋_GB2312" w:hAnsi="宋体" w:eastAsia="仿宋_GB2312"/>
          <w:sz w:val="32"/>
          <w:szCs w:val="32"/>
          <w:bdr w:val="single" w:color="auto" w:sz="4" w:space="0"/>
          <w:lang w:val="zh-CN"/>
        </w:rPr>
      </w:pPr>
      <w:r>
        <w:rPr>
          <w:rFonts w:hint="eastAsia" w:ascii="仿宋_GB2312" w:hAnsi="仿宋_GB2312" w:eastAsia="仿宋_GB2312" w:cs="仿宋_GB2312"/>
          <w:sz w:val="32"/>
          <w:szCs w:val="32"/>
        </w:rPr>
        <w:t>通过本次</w:t>
      </w:r>
      <w:r>
        <w:rPr>
          <w:rFonts w:hint="eastAsia" w:ascii="仿宋_GB2312" w:hAnsi="仿宋_GB2312" w:eastAsia="仿宋_GB2312" w:cs="仿宋_GB2312"/>
          <w:sz w:val="32"/>
          <w:szCs w:val="32"/>
          <w:lang w:eastAsia="zh-CN"/>
        </w:rPr>
        <w:t>垃圾中转站建设</w:t>
      </w:r>
      <w:r>
        <w:rPr>
          <w:rFonts w:hint="eastAsia" w:ascii="仿宋_GB2312" w:hAnsi="仿宋_GB2312" w:eastAsia="仿宋_GB2312" w:cs="仿宋_GB2312"/>
          <w:sz w:val="32"/>
          <w:szCs w:val="32"/>
        </w:rPr>
        <w:t>工作，我单位得到很多宝贵的经验和教训。</w:t>
      </w:r>
      <w:r>
        <w:rPr>
          <w:rFonts w:hint="eastAsia" w:ascii="仿宋_GB2312" w:hAnsi="宋体" w:eastAsia="仿宋_GB2312"/>
          <w:sz w:val="32"/>
          <w:szCs w:val="32"/>
        </w:rPr>
        <w:t>每日</w:t>
      </w:r>
      <w:r>
        <w:rPr>
          <w:rFonts w:ascii="仿宋_GB2312" w:hAnsi="宋体" w:eastAsia="仿宋_GB2312"/>
          <w:sz w:val="32"/>
          <w:szCs w:val="32"/>
        </w:rPr>
        <w:t>2</w:t>
      </w:r>
      <w:r>
        <w:rPr>
          <w:rFonts w:hint="eastAsia" w:ascii="仿宋_GB2312" w:hAnsi="宋体" w:eastAsia="仿宋_GB2312"/>
          <w:sz w:val="32"/>
          <w:szCs w:val="32"/>
        </w:rPr>
        <w:t>个工作组、监理单位和住建执法部门等现场跟踪指导，指挥部领导实行轮流夜班值守等工作制度保障工程按期，按质量完成施工内容。发挥创新意识，采用</w:t>
      </w:r>
      <w:r>
        <w:rPr>
          <w:rFonts w:hint="eastAsia" w:ascii="仿宋_GB2312" w:hAnsi="仿宋_GB2312" w:eastAsia="仿宋_GB2312" w:cs="仿宋_GB2312"/>
          <w:sz w:val="32"/>
          <w:szCs w:val="32"/>
        </w:rPr>
        <w:t>倒排工期、挂图作战</w:t>
      </w:r>
      <w:r>
        <w:rPr>
          <w:rFonts w:hint="eastAsia" w:ascii="仿宋_GB2312" w:hAnsi="宋体" w:eastAsia="仿宋_GB2312"/>
          <w:sz w:val="32"/>
          <w:szCs w:val="32"/>
        </w:rPr>
        <w:t>推进两个批次施工图纸审核、清单编制、财评等工作，并根据施工内容</w:t>
      </w:r>
      <w:r>
        <w:rPr>
          <w:rFonts w:hint="eastAsia" w:ascii="仿宋_GB2312" w:hAnsi="仿宋_GB2312" w:eastAsia="仿宋_GB2312" w:cs="仿宋_GB2312"/>
          <w:sz w:val="32"/>
          <w:szCs w:val="32"/>
        </w:rPr>
        <w:t>协调处理属地、道路、交通等问题，规范、和谐、良好的确保施工环境。</w:t>
      </w:r>
    </w:p>
    <w:p w14:paraId="5D0225D4">
      <w:pPr>
        <w:pageBreakBefore w:val="0"/>
        <w:kinsoku/>
        <w:wordWrap/>
        <w:overflowPunct/>
        <w:topLinePunct w:val="0"/>
        <w:bidi w:val="0"/>
        <w:adjustRightInd w:val="0"/>
        <w:snapToGrid w:val="0"/>
        <w:spacing w:line="353"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0D71F1F5">
      <w:pPr>
        <w:pageBreakBefore w:val="0"/>
        <w:kinsoku/>
        <w:wordWrap/>
        <w:overflowPunct/>
        <w:topLinePunct w:val="0"/>
        <w:bidi w:val="0"/>
        <w:adjustRightInd w:val="0"/>
        <w:snapToGrid w:val="0"/>
        <w:spacing w:line="353" w:lineRule="auto"/>
        <w:ind w:firstLine="720"/>
        <w:rPr>
          <w:rFonts w:hint="eastAsia" w:ascii="仿宋_GB2312" w:eastAsia="仿宋_GB2312"/>
          <w:color w:val="auto"/>
          <w:spacing w:val="-4"/>
          <w:sz w:val="32"/>
          <w:szCs w:val="32"/>
        </w:rPr>
      </w:pPr>
      <w:r>
        <w:rPr>
          <w:rFonts w:hint="eastAsia" w:ascii="仿宋_GB2312" w:eastAsia="仿宋_GB2312"/>
          <w:color w:val="auto"/>
          <w:spacing w:val="-4"/>
          <w:sz w:val="32"/>
          <w:szCs w:val="32"/>
        </w:rPr>
        <w:t>目前前期建设手续已完成前期可研立项、环评批复、选址意见书、用地规划许可、消防备案审查、方案审定意见、初步设计批复、施工图审查、建筑节能审查备案、林地使用批准书等相关建设手续均已完成办理，但因该项目与游伦加压站国土报批为同一次批次，需要得到省国土厅同时对土地批准后才能进行申报国有土地划拨。导致该项目质量安全监督备案、工程规划许可证、施工许可证等相关建设手续无法办理，将直接影响项目后期竣工验收和无法投入使用等情况</w:t>
      </w:r>
    </w:p>
    <w:p w14:paraId="02CE8A2B">
      <w:pPr>
        <w:pageBreakBefore w:val="0"/>
        <w:kinsoku/>
        <w:wordWrap/>
        <w:overflowPunct/>
        <w:topLinePunct w:val="0"/>
        <w:bidi w:val="0"/>
        <w:adjustRightInd w:val="0"/>
        <w:snapToGrid w:val="0"/>
        <w:spacing w:line="353" w:lineRule="auto"/>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14EF5511">
      <w:pPr>
        <w:pageBreakBefore w:val="0"/>
        <w:kinsoku/>
        <w:wordWrap/>
        <w:overflowPunct/>
        <w:topLinePunct w:val="0"/>
        <w:bidi w:val="0"/>
        <w:spacing w:line="353" w:lineRule="auto"/>
        <w:ind w:firstLine="640"/>
        <w:rPr>
          <w:rFonts w:ascii="仿宋_GB2312" w:hAnsi="仿宋_GB2312" w:eastAsia="仿宋_GB2312" w:cs="仿宋_GB2312"/>
          <w:sz w:val="32"/>
          <w:szCs w:val="32"/>
        </w:rPr>
      </w:pPr>
      <w:r>
        <w:rPr>
          <w:rFonts w:hint="eastAsia" w:ascii="仿宋" w:hAnsi="仿宋" w:eastAsia="仿宋"/>
          <w:sz w:val="32"/>
          <w:szCs w:val="32"/>
        </w:rPr>
        <w:t>绩效目标的科学合理设置是考评实际工作效益的前提。下步，我</w:t>
      </w:r>
      <w:r>
        <w:rPr>
          <w:rFonts w:hint="eastAsia" w:ascii="仿宋" w:hAnsi="仿宋" w:eastAsia="仿宋"/>
          <w:sz w:val="32"/>
          <w:szCs w:val="32"/>
          <w:lang w:eastAsia="zh-CN"/>
        </w:rPr>
        <w:t>单位</w:t>
      </w:r>
      <w:r>
        <w:rPr>
          <w:rFonts w:hint="eastAsia" w:ascii="仿宋" w:hAnsi="仿宋" w:eastAsia="仿宋"/>
          <w:sz w:val="32"/>
          <w:szCs w:val="32"/>
        </w:rPr>
        <w:t>将继续加强研究，在目标设置上做细、做实，筑牢绩效评价工作基础，着力促进资金使用效益提高。</w:t>
      </w:r>
      <w:r>
        <w:rPr>
          <w:rStyle w:val="13"/>
          <w:rFonts w:eastAsia="黑体"/>
          <w:b w:val="0"/>
        </w:rPr>
        <w:br w:type="page"/>
      </w:r>
    </w:p>
    <w:p w14:paraId="164A9211">
      <w:pPr>
        <w:pageBreakBefore w:val="0"/>
        <w:kinsoku/>
        <w:wordWrap/>
        <w:overflowPunct/>
        <w:topLinePunct w:val="0"/>
        <w:bidi w:val="0"/>
        <w:spacing w:line="353" w:lineRule="auto"/>
        <w:jc w:val="center"/>
        <w:outlineLvl w:val="0"/>
        <w:rPr>
          <w:rStyle w:val="13"/>
          <w:rFonts w:ascii="黑体" w:hAnsi="黑体" w:eastAsia="黑体"/>
          <w:b w:val="0"/>
        </w:rPr>
      </w:pPr>
      <w:bookmarkStart w:id="62" w:name="_Toc15396618"/>
      <w:r>
        <w:rPr>
          <w:rFonts w:hint="eastAsia" w:ascii="黑体" w:hAnsi="黑体" w:eastAsia="黑体"/>
          <w:color w:val="000000"/>
          <w:sz w:val="44"/>
          <w:szCs w:val="44"/>
        </w:rPr>
        <w:t>第</w:t>
      </w:r>
      <w:r>
        <w:rPr>
          <w:rStyle w:val="13"/>
          <w:rFonts w:hint="eastAsia" w:ascii="黑体" w:hAnsi="黑体" w:eastAsia="黑体"/>
          <w:b w:val="0"/>
        </w:rPr>
        <w:t>五部分 附表</w:t>
      </w:r>
      <w:bookmarkEnd w:id="62"/>
    </w:p>
    <w:p w14:paraId="634243B5">
      <w:pPr>
        <w:pStyle w:val="3"/>
        <w:pageBreakBefore w:val="0"/>
        <w:kinsoku/>
        <w:wordWrap/>
        <w:overflowPunct/>
        <w:topLinePunct w:val="0"/>
        <w:bidi w:val="0"/>
        <w:spacing w:line="353" w:lineRule="auto"/>
        <w:rPr>
          <w:rFonts w:ascii="仿宋" w:hAnsi="仿宋" w:eastAsia="仿宋"/>
          <w:color w:val="000000"/>
        </w:rPr>
      </w:pPr>
      <w:bookmarkStart w:id="63" w:name="_Toc15396619"/>
      <w:r>
        <w:rPr>
          <w:rFonts w:hint="eastAsia" w:ascii="仿宋" w:hAnsi="仿宋" w:eastAsia="仿宋"/>
          <w:b w:val="0"/>
          <w:color w:val="000000"/>
        </w:rPr>
        <w:t>一、收</w:t>
      </w:r>
      <w:r>
        <w:rPr>
          <w:rStyle w:val="14"/>
          <w:rFonts w:hint="eastAsia" w:ascii="仿宋" w:hAnsi="仿宋" w:eastAsia="仿宋"/>
          <w:b w:val="0"/>
          <w:bCs w:val="0"/>
        </w:rPr>
        <w:t>入支出决算总表</w:t>
      </w:r>
      <w:bookmarkEnd w:id="63"/>
    </w:p>
    <w:p w14:paraId="5921C7F7">
      <w:pPr>
        <w:pStyle w:val="3"/>
        <w:pageBreakBefore w:val="0"/>
        <w:kinsoku/>
        <w:wordWrap/>
        <w:overflowPunct/>
        <w:topLinePunct w:val="0"/>
        <w:bidi w:val="0"/>
        <w:spacing w:line="353" w:lineRule="auto"/>
        <w:rPr>
          <w:rFonts w:ascii="仿宋" w:hAnsi="仿宋" w:eastAsia="仿宋"/>
          <w:color w:val="000000"/>
        </w:rPr>
      </w:pPr>
      <w:bookmarkStart w:id="64" w:name="_Toc15396620"/>
      <w:r>
        <w:rPr>
          <w:rFonts w:hint="eastAsia" w:ascii="仿宋" w:hAnsi="仿宋" w:eastAsia="仿宋"/>
          <w:b w:val="0"/>
          <w:color w:val="000000"/>
        </w:rPr>
        <w:t>二、收</w:t>
      </w:r>
      <w:r>
        <w:rPr>
          <w:rStyle w:val="14"/>
          <w:rFonts w:hint="eastAsia" w:ascii="仿宋" w:hAnsi="仿宋" w:eastAsia="仿宋"/>
          <w:b w:val="0"/>
          <w:bCs w:val="0"/>
        </w:rPr>
        <w:t>入决算表</w:t>
      </w:r>
      <w:bookmarkEnd w:id="64"/>
    </w:p>
    <w:p w14:paraId="55C8DA7D">
      <w:pPr>
        <w:pStyle w:val="3"/>
        <w:pageBreakBefore w:val="0"/>
        <w:kinsoku/>
        <w:wordWrap/>
        <w:overflowPunct/>
        <w:topLinePunct w:val="0"/>
        <w:bidi w:val="0"/>
        <w:spacing w:line="353" w:lineRule="auto"/>
        <w:rPr>
          <w:rFonts w:ascii="仿宋" w:hAnsi="仿宋" w:eastAsia="仿宋"/>
          <w:color w:val="000000"/>
        </w:rPr>
      </w:pPr>
      <w:bookmarkStart w:id="65" w:name="_Toc15396621"/>
      <w:r>
        <w:rPr>
          <w:rStyle w:val="14"/>
          <w:rFonts w:hint="eastAsia" w:ascii="仿宋" w:hAnsi="仿宋" w:eastAsia="仿宋"/>
          <w:b w:val="0"/>
          <w:bCs w:val="0"/>
        </w:rPr>
        <w:t>三、</w:t>
      </w:r>
      <w:r>
        <w:rPr>
          <w:rFonts w:hint="eastAsia" w:ascii="仿宋" w:hAnsi="仿宋" w:eastAsia="仿宋"/>
          <w:b w:val="0"/>
          <w:color w:val="000000"/>
        </w:rPr>
        <w:t>支</w:t>
      </w:r>
      <w:r>
        <w:rPr>
          <w:rStyle w:val="14"/>
          <w:rFonts w:hint="eastAsia" w:ascii="仿宋" w:hAnsi="仿宋" w:eastAsia="仿宋"/>
          <w:b w:val="0"/>
          <w:bCs w:val="0"/>
        </w:rPr>
        <w:t>出决算表</w:t>
      </w:r>
      <w:bookmarkEnd w:id="65"/>
    </w:p>
    <w:p w14:paraId="081EDBE8">
      <w:pPr>
        <w:pStyle w:val="3"/>
        <w:pageBreakBefore w:val="0"/>
        <w:kinsoku/>
        <w:wordWrap/>
        <w:overflowPunct/>
        <w:topLinePunct w:val="0"/>
        <w:bidi w:val="0"/>
        <w:spacing w:line="353" w:lineRule="auto"/>
        <w:rPr>
          <w:rFonts w:ascii="仿宋" w:hAnsi="仿宋" w:eastAsia="仿宋"/>
          <w:b w:val="0"/>
          <w:color w:val="000000"/>
        </w:rPr>
      </w:pPr>
      <w:bookmarkStart w:id="66" w:name="_Toc15396622"/>
      <w:r>
        <w:rPr>
          <w:rStyle w:val="14"/>
          <w:rFonts w:hint="eastAsia" w:ascii="仿宋" w:hAnsi="仿宋" w:eastAsia="仿宋"/>
          <w:b w:val="0"/>
          <w:bCs w:val="0"/>
        </w:rPr>
        <w:t>四、</w:t>
      </w:r>
      <w:r>
        <w:rPr>
          <w:rFonts w:hint="eastAsia" w:ascii="仿宋" w:hAnsi="仿宋" w:eastAsia="仿宋"/>
          <w:b w:val="0"/>
          <w:color w:val="000000"/>
        </w:rPr>
        <w:t>财</w:t>
      </w:r>
      <w:r>
        <w:rPr>
          <w:rStyle w:val="14"/>
          <w:rFonts w:hint="eastAsia" w:ascii="仿宋" w:hAnsi="仿宋" w:eastAsia="仿宋"/>
          <w:b w:val="0"/>
          <w:bCs w:val="0"/>
        </w:rPr>
        <w:t>政拨款收入支出决算总表</w:t>
      </w:r>
      <w:bookmarkEnd w:id="66"/>
    </w:p>
    <w:p w14:paraId="0EE35105">
      <w:pPr>
        <w:pStyle w:val="3"/>
        <w:pageBreakBefore w:val="0"/>
        <w:kinsoku/>
        <w:wordWrap/>
        <w:overflowPunct/>
        <w:topLinePunct w:val="0"/>
        <w:bidi w:val="0"/>
        <w:spacing w:line="353" w:lineRule="auto"/>
        <w:rPr>
          <w:rStyle w:val="14"/>
          <w:rFonts w:ascii="仿宋" w:hAnsi="仿宋" w:eastAsia="仿宋"/>
          <w:b w:val="0"/>
          <w:bCs w:val="0"/>
        </w:rPr>
      </w:pPr>
      <w:bookmarkStart w:id="67" w:name="_Toc15396623"/>
      <w:r>
        <w:rPr>
          <w:rStyle w:val="14"/>
          <w:rFonts w:hint="eastAsia" w:ascii="仿宋" w:hAnsi="仿宋" w:eastAsia="仿宋"/>
          <w:b w:val="0"/>
          <w:bCs w:val="0"/>
        </w:rPr>
        <w:t>五、</w:t>
      </w:r>
      <w:r>
        <w:rPr>
          <w:rFonts w:hint="eastAsia" w:ascii="仿宋" w:hAnsi="仿宋" w:eastAsia="仿宋"/>
          <w:b w:val="0"/>
          <w:color w:val="000000"/>
        </w:rPr>
        <w:t>财</w:t>
      </w:r>
      <w:r>
        <w:rPr>
          <w:rStyle w:val="14"/>
          <w:rFonts w:hint="eastAsia" w:ascii="仿宋" w:hAnsi="仿宋" w:eastAsia="仿宋"/>
          <w:b w:val="0"/>
          <w:bCs w:val="0"/>
        </w:rPr>
        <w:t>政拨款支出决算明细表</w:t>
      </w:r>
      <w:bookmarkEnd w:id="67"/>
      <w:bookmarkStart w:id="68" w:name="_Toc15396624"/>
    </w:p>
    <w:p w14:paraId="0E9DCA56">
      <w:pPr>
        <w:pStyle w:val="3"/>
        <w:pageBreakBefore w:val="0"/>
        <w:kinsoku/>
        <w:wordWrap/>
        <w:overflowPunct/>
        <w:topLinePunct w:val="0"/>
        <w:bidi w:val="0"/>
        <w:spacing w:line="353" w:lineRule="auto"/>
        <w:rPr>
          <w:rFonts w:ascii="仿宋" w:hAnsi="仿宋" w:eastAsia="仿宋"/>
          <w:color w:val="000000"/>
        </w:rPr>
      </w:pPr>
      <w:r>
        <w:rPr>
          <w:rStyle w:val="14"/>
          <w:rFonts w:hint="eastAsia" w:ascii="仿宋" w:hAnsi="仿宋" w:eastAsia="仿宋"/>
          <w:b w:val="0"/>
          <w:bCs w:val="0"/>
        </w:rPr>
        <w:t>六、</w:t>
      </w:r>
      <w:r>
        <w:rPr>
          <w:rFonts w:hint="eastAsia" w:ascii="仿宋" w:hAnsi="仿宋" w:eastAsia="仿宋"/>
          <w:b w:val="0"/>
          <w:color w:val="000000"/>
        </w:rPr>
        <w:t>一</w:t>
      </w:r>
      <w:r>
        <w:rPr>
          <w:rStyle w:val="14"/>
          <w:rFonts w:hint="eastAsia" w:ascii="仿宋" w:hAnsi="仿宋" w:eastAsia="仿宋"/>
          <w:b w:val="0"/>
          <w:bCs w:val="0"/>
        </w:rPr>
        <w:t>般公共预算财政拨款支出决算表</w:t>
      </w:r>
      <w:bookmarkEnd w:id="68"/>
    </w:p>
    <w:p w14:paraId="4F533B78">
      <w:pPr>
        <w:pStyle w:val="3"/>
        <w:pageBreakBefore w:val="0"/>
        <w:kinsoku/>
        <w:wordWrap/>
        <w:overflowPunct/>
        <w:topLinePunct w:val="0"/>
        <w:bidi w:val="0"/>
        <w:spacing w:line="353" w:lineRule="auto"/>
        <w:rPr>
          <w:rFonts w:ascii="仿宋" w:hAnsi="仿宋" w:eastAsia="仿宋"/>
          <w:color w:val="000000"/>
        </w:rPr>
      </w:pPr>
      <w:bookmarkStart w:id="69" w:name="_Toc15396625"/>
      <w:r>
        <w:rPr>
          <w:rStyle w:val="14"/>
          <w:rFonts w:hint="eastAsia" w:ascii="仿宋" w:hAnsi="仿宋" w:eastAsia="仿宋"/>
          <w:b w:val="0"/>
          <w:bCs w:val="0"/>
        </w:rPr>
        <w:t>七、</w:t>
      </w:r>
      <w:r>
        <w:rPr>
          <w:rFonts w:hint="eastAsia" w:ascii="仿宋" w:hAnsi="仿宋" w:eastAsia="仿宋"/>
          <w:b w:val="0"/>
          <w:color w:val="000000"/>
        </w:rPr>
        <w:t>一</w:t>
      </w:r>
      <w:r>
        <w:rPr>
          <w:rStyle w:val="14"/>
          <w:rFonts w:hint="eastAsia" w:ascii="仿宋" w:hAnsi="仿宋" w:eastAsia="仿宋"/>
          <w:b w:val="0"/>
          <w:bCs w:val="0"/>
        </w:rPr>
        <w:t>般公共预算财政拨款支出决算明细表</w:t>
      </w:r>
      <w:bookmarkEnd w:id="69"/>
    </w:p>
    <w:p w14:paraId="7B0D69F6">
      <w:pPr>
        <w:pStyle w:val="3"/>
        <w:pageBreakBefore w:val="0"/>
        <w:kinsoku/>
        <w:wordWrap/>
        <w:overflowPunct/>
        <w:topLinePunct w:val="0"/>
        <w:bidi w:val="0"/>
        <w:spacing w:line="353" w:lineRule="auto"/>
        <w:rPr>
          <w:rFonts w:ascii="仿宋" w:hAnsi="仿宋" w:eastAsia="仿宋"/>
          <w:color w:val="000000"/>
        </w:rPr>
      </w:pPr>
      <w:bookmarkStart w:id="70" w:name="_Toc15396626"/>
      <w:r>
        <w:rPr>
          <w:rStyle w:val="14"/>
          <w:rFonts w:hint="eastAsia" w:ascii="仿宋" w:hAnsi="仿宋" w:eastAsia="仿宋"/>
          <w:b w:val="0"/>
          <w:bCs w:val="0"/>
        </w:rPr>
        <w:t>八、</w:t>
      </w:r>
      <w:r>
        <w:rPr>
          <w:rFonts w:hint="eastAsia" w:ascii="仿宋" w:hAnsi="仿宋" w:eastAsia="仿宋"/>
          <w:b w:val="0"/>
          <w:color w:val="000000"/>
        </w:rPr>
        <w:t>一</w:t>
      </w:r>
      <w:r>
        <w:rPr>
          <w:rStyle w:val="14"/>
          <w:rFonts w:hint="eastAsia" w:ascii="仿宋" w:hAnsi="仿宋" w:eastAsia="仿宋"/>
          <w:b w:val="0"/>
          <w:bCs w:val="0"/>
        </w:rPr>
        <w:t>般公共预算财政拨款基本支出决算表</w:t>
      </w:r>
      <w:bookmarkEnd w:id="70"/>
    </w:p>
    <w:p w14:paraId="0C8A972F">
      <w:pPr>
        <w:pStyle w:val="3"/>
        <w:pageBreakBefore w:val="0"/>
        <w:kinsoku/>
        <w:wordWrap/>
        <w:overflowPunct/>
        <w:topLinePunct w:val="0"/>
        <w:bidi w:val="0"/>
        <w:spacing w:line="353" w:lineRule="auto"/>
        <w:rPr>
          <w:rFonts w:ascii="仿宋" w:hAnsi="仿宋" w:eastAsia="仿宋"/>
          <w:color w:val="000000"/>
        </w:rPr>
      </w:pPr>
      <w:bookmarkStart w:id="71" w:name="_Toc15396627"/>
      <w:r>
        <w:rPr>
          <w:rStyle w:val="14"/>
          <w:rFonts w:hint="eastAsia" w:ascii="仿宋" w:hAnsi="仿宋" w:eastAsia="仿宋"/>
          <w:b w:val="0"/>
          <w:bCs w:val="0"/>
        </w:rPr>
        <w:t>九、</w:t>
      </w:r>
      <w:r>
        <w:rPr>
          <w:rFonts w:hint="eastAsia" w:ascii="仿宋" w:hAnsi="仿宋" w:eastAsia="仿宋"/>
          <w:b w:val="0"/>
          <w:color w:val="000000"/>
        </w:rPr>
        <w:t>一</w:t>
      </w:r>
      <w:r>
        <w:rPr>
          <w:rStyle w:val="14"/>
          <w:rFonts w:hint="eastAsia" w:ascii="仿宋" w:hAnsi="仿宋" w:eastAsia="仿宋"/>
          <w:b w:val="0"/>
          <w:bCs w:val="0"/>
        </w:rPr>
        <w:t>般公共预算财政拨款项目支出决算表</w:t>
      </w:r>
      <w:bookmarkEnd w:id="71"/>
    </w:p>
    <w:p w14:paraId="6799F120">
      <w:pPr>
        <w:pStyle w:val="3"/>
        <w:pageBreakBefore w:val="0"/>
        <w:kinsoku/>
        <w:wordWrap/>
        <w:overflowPunct/>
        <w:topLinePunct w:val="0"/>
        <w:bidi w:val="0"/>
        <w:spacing w:line="353" w:lineRule="auto"/>
        <w:rPr>
          <w:rFonts w:ascii="仿宋" w:hAnsi="仿宋" w:eastAsia="仿宋"/>
          <w:color w:val="000000"/>
        </w:rPr>
      </w:pPr>
      <w:bookmarkStart w:id="72" w:name="_Toc15396628"/>
      <w:r>
        <w:rPr>
          <w:rStyle w:val="14"/>
          <w:rFonts w:hint="eastAsia" w:ascii="仿宋" w:hAnsi="仿宋" w:eastAsia="仿宋"/>
          <w:b w:val="0"/>
          <w:bCs w:val="0"/>
        </w:rPr>
        <w:t>十、</w:t>
      </w:r>
      <w:r>
        <w:rPr>
          <w:rFonts w:hint="eastAsia" w:ascii="仿宋" w:hAnsi="仿宋" w:eastAsia="仿宋"/>
          <w:b w:val="0"/>
          <w:color w:val="000000"/>
        </w:rPr>
        <w:t>一</w:t>
      </w:r>
      <w:r>
        <w:rPr>
          <w:rStyle w:val="14"/>
          <w:rFonts w:hint="eastAsia" w:ascii="仿宋" w:hAnsi="仿宋" w:eastAsia="仿宋"/>
          <w:b w:val="0"/>
          <w:bCs w:val="0"/>
        </w:rPr>
        <w:t>般公共预算财政拨款“三公”经费支出决算表</w:t>
      </w:r>
      <w:bookmarkEnd w:id="72"/>
    </w:p>
    <w:p w14:paraId="2C5C084C">
      <w:pPr>
        <w:pStyle w:val="3"/>
        <w:pageBreakBefore w:val="0"/>
        <w:kinsoku/>
        <w:wordWrap/>
        <w:overflowPunct/>
        <w:topLinePunct w:val="0"/>
        <w:bidi w:val="0"/>
        <w:spacing w:line="353" w:lineRule="auto"/>
        <w:rPr>
          <w:rFonts w:ascii="仿宋" w:hAnsi="仿宋" w:eastAsia="仿宋"/>
          <w:color w:val="000000"/>
        </w:rPr>
      </w:pPr>
      <w:bookmarkStart w:id="73" w:name="_Toc15396629"/>
      <w:r>
        <w:rPr>
          <w:rStyle w:val="14"/>
          <w:rFonts w:hint="eastAsia" w:ascii="仿宋" w:hAnsi="仿宋" w:eastAsia="仿宋"/>
          <w:b w:val="0"/>
          <w:bCs w:val="0"/>
        </w:rPr>
        <w:t>十一、</w:t>
      </w:r>
      <w:r>
        <w:rPr>
          <w:rFonts w:hint="eastAsia" w:ascii="仿宋" w:hAnsi="仿宋" w:eastAsia="仿宋"/>
          <w:b w:val="0"/>
          <w:color w:val="000000"/>
        </w:rPr>
        <w:t>政</w:t>
      </w:r>
      <w:r>
        <w:rPr>
          <w:rStyle w:val="14"/>
          <w:rFonts w:hint="eastAsia" w:ascii="仿宋" w:hAnsi="仿宋" w:eastAsia="仿宋"/>
          <w:b w:val="0"/>
          <w:bCs w:val="0"/>
        </w:rPr>
        <w:t>府性基金预算财政拨款收入支出决算表</w:t>
      </w:r>
      <w:bookmarkEnd w:id="73"/>
    </w:p>
    <w:p w14:paraId="68548DED">
      <w:pPr>
        <w:pStyle w:val="3"/>
        <w:pageBreakBefore w:val="0"/>
        <w:kinsoku/>
        <w:wordWrap/>
        <w:overflowPunct/>
        <w:topLinePunct w:val="0"/>
        <w:bidi w:val="0"/>
        <w:spacing w:line="353" w:lineRule="auto"/>
        <w:rPr>
          <w:rFonts w:ascii="仿宋" w:hAnsi="仿宋" w:eastAsia="仿宋"/>
          <w:color w:val="000000"/>
        </w:rPr>
      </w:pPr>
      <w:bookmarkStart w:id="74" w:name="_Toc15396630"/>
      <w:r>
        <w:rPr>
          <w:rStyle w:val="14"/>
          <w:rFonts w:hint="eastAsia" w:ascii="仿宋" w:hAnsi="仿宋" w:eastAsia="仿宋"/>
          <w:b w:val="0"/>
          <w:bCs w:val="0"/>
        </w:rPr>
        <w:t>十二、</w:t>
      </w:r>
      <w:r>
        <w:rPr>
          <w:rFonts w:hint="eastAsia" w:ascii="仿宋" w:hAnsi="仿宋" w:eastAsia="仿宋"/>
          <w:b w:val="0"/>
          <w:color w:val="000000"/>
        </w:rPr>
        <w:t>政</w:t>
      </w:r>
      <w:r>
        <w:rPr>
          <w:rStyle w:val="14"/>
          <w:rFonts w:hint="eastAsia" w:ascii="仿宋" w:hAnsi="仿宋" w:eastAsia="仿宋"/>
          <w:b w:val="0"/>
          <w:bCs w:val="0"/>
        </w:rPr>
        <w:t>府性基金预算财政拨款“三公”经费支出决算表</w:t>
      </w:r>
      <w:bookmarkEnd w:id="74"/>
    </w:p>
    <w:p w14:paraId="07D5582A">
      <w:pPr>
        <w:pStyle w:val="3"/>
        <w:pageBreakBefore w:val="0"/>
        <w:kinsoku/>
        <w:wordWrap/>
        <w:overflowPunct/>
        <w:topLinePunct w:val="0"/>
        <w:bidi w:val="0"/>
        <w:spacing w:line="353" w:lineRule="auto"/>
        <w:rPr>
          <w:rFonts w:ascii="仿宋" w:hAnsi="仿宋" w:eastAsia="仿宋"/>
          <w:color w:val="000000" w:themeColor="text1"/>
          <w14:textFill>
            <w14:solidFill>
              <w14:schemeClr w14:val="tx1"/>
            </w14:solidFill>
          </w14:textFill>
        </w:rPr>
      </w:pPr>
      <w:bookmarkStart w:id="75" w:name="_Toc15396631"/>
      <w:r>
        <w:rPr>
          <w:rStyle w:val="14"/>
          <w:rFonts w:hint="eastAsia" w:ascii="仿宋" w:hAnsi="仿宋" w:eastAsia="仿宋"/>
          <w:b w:val="0"/>
          <w:bCs w:val="0"/>
        </w:rPr>
        <w:t>十三、</w:t>
      </w:r>
      <w:r>
        <w:rPr>
          <w:rFonts w:hint="eastAsia" w:ascii="仿宋" w:hAnsi="仿宋" w:eastAsia="仿宋"/>
          <w:b w:val="0"/>
          <w:color w:val="000000"/>
        </w:rPr>
        <w:t>国</w:t>
      </w:r>
      <w:r>
        <w:rPr>
          <w:rStyle w:val="14"/>
          <w:rFonts w:hint="eastAsia" w:ascii="仿宋" w:hAnsi="仿宋" w:eastAsia="仿宋"/>
          <w:b w:val="0"/>
          <w:bCs w:val="0"/>
        </w:rPr>
        <w:t>有资本经营预算支出决算表</w:t>
      </w:r>
      <w:bookmarkEnd w:id="75"/>
    </w:p>
    <w:p w14:paraId="144D535A">
      <w:pPr>
        <w:pageBreakBefore w:val="0"/>
        <w:kinsoku/>
        <w:wordWrap/>
        <w:overflowPunct/>
        <w:topLinePunct w:val="0"/>
        <w:bidi w:val="0"/>
        <w:spacing w:line="353" w:lineRule="auto"/>
      </w:pPr>
    </w:p>
    <w:p w14:paraId="20D4EE8F">
      <w:pPr>
        <w:pageBreakBefore w:val="0"/>
        <w:kinsoku/>
        <w:wordWrap/>
        <w:overflowPunct/>
        <w:topLinePunct w:val="0"/>
        <w:bidi w:val="0"/>
        <w:spacing w:line="353" w:lineRule="auto"/>
        <w:jc w:val="center"/>
        <w:outlineLvl w:val="0"/>
        <w:rPr>
          <w:rFonts w:ascii="仿宋" w:hAnsi="仿宋" w:eastAsia="仿宋"/>
          <w:b/>
          <w:color w:val="000000"/>
          <w:sz w:val="44"/>
          <w:szCs w:val="44"/>
        </w:rPr>
      </w:pPr>
    </w:p>
    <w:p w14:paraId="195D3B76">
      <w:pPr>
        <w:pageBreakBefore w:val="0"/>
        <w:kinsoku/>
        <w:wordWrap/>
        <w:overflowPunct/>
        <w:topLinePunct w:val="0"/>
        <w:bidi w:val="0"/>
        <w:spacing w:line="353" w:lineRule="auto"/>
        <w:ind w:firstLine="640"/>
        <w:rPr>
          <w:rFonts w:ascii="仿宋_GB2312" w:hAnsi="仿宋_GB2312" w:eastAsia="仿宋_GB2312" w:cs="仿宋_GB2312"/>
          <w:sz w:val="32"/>
          <w:szCs w:val="32"/>
        </w:rPr>
      </w:pPr>
    </w:p>
    <w:p w14:paraId="73B3CF07">
      <w:pPr>
        <w:pageBreakBefore w:val="0"/>
        <w:widowControl/>
        <w:kinsoku/>
        <w:wordWrap/>
        <w:overflowPunct/>
        <w:topLinePunct w:val="0"/>
        <w:bidi w:val="0"/>
        <w:spacing w:line="353" w:lineRule="auto"/>
        <w:jc w:val="left"/>
        <w:rPr>
          <w:rStyle w:val="13"/>
          <w:rFonts w:ascii="黑体" w:hAnsi="黑体" w:eastAsia="黑体"/>
          <w:b w:val="0"/>
        </w:rPr>
      </w:pPr>
    </w:p>
    <w:p w14:paraId="4956A86A">
      <w:pPr>
        <w:pageBreakBefore w:val="0"/>
        <w:widowControl/>
        <w:kinsoku/>
        <w:wordWrap/>
        <w:overflowPunct/>
        <w:topLinePunct w:val="0"/>
        <w:bidi w:val="0"/>
        <w:spacing w:line="353" w:lineRule="auto"/>
        <w:jc w:val="left"/>
        <w:rPr>
          <w:rStyle w:val="13"/>
          <w:rFonts w:ascii="黑体" w:hAnsi="黑体" w:eastAsia="黑体"/>
          <w:b w:val="0"/>
        </w:rPr>
      </w:pPr>
      <w:r>
        <w:rPr>
          <w:rStyle w:val="13"/>
          <w:rFonts w:ascii="黑体" w:hAnsi="黑体" w:eastAsia="黑体"/>
          <w:b w:val="0"/>
        </w:rPr>
        <w:br w:type="page"/>
      </w:r>
      <w:bookmarkEnd w:id="61"/>
    </w:p>
    <w:sectPr>
      <w:headerReference r:id="rId3" w:type="default"/>
      <w:footerReference r:id="rId4" w:type="default"/>
      <w:pgSz w:w="11906" w:h="16838"/>
      <w:pgMar w:top="2098" w:right="1474" w:bottom="1984"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7FCBCB5">
        <w:pPr>
          <w:pStyle w:val="5"/>
          <w:jc w:val="center"/>
        </w:pPr>
        <w:r>
          <w:fldChar w:fldCharType="begin"/>
        </w:r>
        <w:r>
          <w:instrText xml:space="preserve">PAGE   \* MERGEFORMAT</w:instrText>
        </w:r>
        <w:r>
          <w:fldChar w:fldCharType="separate"/>
        </w:r>
        <w:r>
          <w:rPr>
            <w:lang w:val="zh-CN"/>
          </w:rPr>
          <w:t>24</w:t>
        </w:r>
        <w:r>
          <w:fldChar w:fldCharType="end"/>
        </w:r>
      </w:p>
    </w:sdtContent>
  </w:sdt>
  <w:p w14:paraId="4B74C2D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658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7B5A1"/>
    <w:multiLevelType w:val="singleLevel"/>
    <w:tmpl w:val="8DE7B5A1"/>
    <w:lvl w:ilvl="0" w:tentative="0">
      <w:start w:val="1"/>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0DA4461"/>
    <w:multiLevelType w:val="singleLevel"/>
    <w:tmpl w:val="10DA4461"/>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12D0F10"/>
    <w:multiLevelType w:val="singleLevel"/>
    <w:tmpl w:val="212D0F10"/>
    <w:lvl w:ilvl="0" w:tentative="0">
      <w:start w:val="1"/>
      <w:numFmt w:val="decimal"/>
      <w:lvlText w:val="%1."/>
      <w:lvlJc w:val="left"/>
      <w:pPr>
        <w:tabs>
          <w:tab w:val="left" w:pos="312"/>
        </w:tabs>
      </w:pPr>
    </w:lvl>
  </w:abstractNum>
  <w:abstractNum w:abstractNumId="6">
    <w:nsid w:val="2CACE9F6"/>
    <w:multiLevelType w:val="singleLevel"/>
    <w:tmpl w:val="2CACE9F6"/>
    <w:lvl w:ilvl="0" w:tentative="0">
      <w:start w:val="2"/>
      <w:numFmt w:val="chineseCounting"/>
      <w:suff w:val="nothing"/>
      <w:lvlText w:val="（%1）"/>
      <w:lvlJc w:val="left"/>
      <w:rPr>
        <w:rFonts w:hint="eastAsia"/>
      </w:rPr>
    </w:lvl>
  </w:abstractNum>
  <w:abstractNum w:abstractNumId="7">
    <w:nsid w:val="35761FDF"/>
    <w:multiLevelType w:val="singleLevel"/>
    <w:tmpl w:val="35761FDF"/>
    <w:lvl w:ilvl="0" w:tentative="0">
      <w:start w:val="2"/>
      <w:numFmt w:val="chineseCounting"/>
      <w:suff w:val="nothing"/>
      <w:lvlText w:val="%1、"/>
      <w:lvlJc w:val="left"/>
      <w:rPr>
        <w:rFonts w:hint="eastAsia"/>
      </w:rPr>
    </w:lvl>
  </w:abstractNum>
  <w:num w:numId="1">
    <w:abstractNumId w:val="7"/>
  </w:num>
  <w:num w:numId="2">
    <w:abstractNumId w:val="4"/>
  </w:num>
  <w:num w:numId="3">
    <w:abstractNumId w:val="1"/>
  </w:num>
  <w:num w:numId="4">
    <w:abstractNumId w:val="5"/>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E75DC"/>
    <w:rsid w:val="05BE7DB0"/>
    <w:rsid w:val="099C6839"/>
    <w:rsid w:val="107F7920"/>
    <w:rsid w:val="14BC25DD"/>
    <w:rsid w:val="1AF05BD3"/>
    <w:rsid w:val="29F74CAD"/>
    <w:rsid w:val="30AF39A0"/>
    <w:rsid w:val="32B02D09"/>
    <w:rsid w:val="339A107A"/>
    <w:rsid w:val="39407DC4"/>
    <w:rsid w:val="3FB04739"/>
    <w:rsid w:val="478E75DC"/>
    <w:rsid w:val="4E557854"/>
    <w:rsid w:val="52480ABE"/>
    <w:rsid w:val="603E421E"/>
    <w:rsid w:val="67690CE2"/>
    <w:rsid w:val="67F210B4"/>
    <w:rsid w:val="6D535020"/>
    <w:rsid w:val="6E56710A"/>
    <w:rsid w:val="731F5937"/>
    <w:rsid w:val="772A1367"/>
    <w:rsid w:val="7A87400A"/>
    <w:rsid w:val="7EEF53EC"/>
    <w:rsid w:val="7FAE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character" w:styleId="11">
    <w:name w:val="Strong"/>
    <w:basedOn w:val="10"/>
    <w:qFormat/>
    <w:uiPriority w:val="99"/>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1 Char"/>
    <w:basedOn w:val="10"/>
    <w:link w:val="2"/>
    <w:qFormat/>
    <w:uiPriority w:val="9"/>
    <w:rPr>
      <w:b/>
      <w:bCs/>
      <w:kern w:val="44"/>
      <w:sz w:val="44"/>
      <w:szCs w:val="44"/>
    </w:rPr>
  </w:style>
  <w:style w:type="character" w:customStyle="1" w:styleId="14">
    <w:name w:val="标题 2 Char"/>
    <w:basedOn w:val="10"/>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uawei/C:\Users\Administrator\AppData\Roaming\Kingsoft\wps\addons\pool\win-i386\knewfileruby_1.0.0.11\template\wps\0.docx"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单位：万元</a:t>
            </a:r>
            <a:endParaRPr sz="900"/>
          </a:p>
        </c:rich>
      </c:tx>
      <c:layout>
        <c:manualLayout>
          <c:xMode val="edge"/>
          <c:yMode val="edge"/>
          <c:x val="0.815744535519126"/>
          <c:y val="0.0160771704180064"/>
        </c:manualLayout>
      </c:layout>
      <c:overlay val="0"/>
      <c:spPr>
        <a:noFill/>
        <a:ln>
          <a:noFill/>
        </a:ln>
        <a:effectLst/>
      </c:spPr>
    </c:title>
    <c:autoTitleDeleted val="0"/>
    <c:plotArea>
      <c:layout>
        <c:manualLayout>
          <c:layoutTarget val="inner"/>
          <c:xMode val="edge"/>
          <c:yMode val="edge"/>
          <c:x val="0.0955601092896175"/>
          <c:y val="0.121438906752412"/>
          <c:w val="0.927925"/>
          <c:h val="0.716566666666667"/>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2018年</c:v>
                </c:pt>
                <c:pt idx="1">
                  <c:v>2019年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1356.03</c:v>
                </c:pt>
                <c:pt idx="1">
                  <c:v>502.16</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2018年</c:v>
                </c:pt>
                <c:pt idx="1">
                  <c:v>2019年</c:v>
                </c:pt>
              </c:strCache>
            </c:strRef>
          </c:cat>
          <c:val>
            <c:numRef>
              <c:extLst>
                <c:ext xmlns:c15="http://schemas.microsoft.com/office/drawing/2012/chart" uri="{02D57815-91ED-43cb-92C2-25804820EDAC}">
                  <c15:fullRef>
                    <c15:sqref>Sheet1!$C$2:$C$5</c15:sqref>
                  </c15:fullRef>
                </c:ext>
              </c:extLst>
              <c:f>Sheet1!$C$2:$C$3</c:f>
              <c:numCache>
                <c:formatCode>General</c:formatCode>
                <c:ptCount val="2"/>
                <c:pt idx="0">
                  <c:v>4177.01</c:v>
                </c:pt>
                <c:pt idx="1">
                  <c:v>1325.77</c:v>
                </c:pt>
              </c:numCache>
            </c:numRef>
          </c:val>
        </c:ser>
        <c:dLbls>
          <c:showLegendKey val="0"/>
          <c:showVal val="1"/>
          <c:showCatName val="0"/>
          <c:showSerName val="0"/>
          <c:showPercent val="0"/>
          <c:showBubbleSize val="0"/>
        </c:dLbls>
        <c:gapWidth val="219"/>
        <c:overlap val="-27"/>
        <c:axId val="641184491"/>
        <c:axId val="169185512"/>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2018年</c:v>
                      </c:pt>
                      <c:pt idx="1">
                        <c:v>2019年</c:v>
                      </c:pt>
                    </c:strCache>
                  </c:strRef>
                </c:cat>
                <c:val>
                  <c:numRef>
                    <c:extLst>
                      <c:ext uri="{02D57815-91ED-43cb-92C2-25804820EDAC}">
                        <c15:fullRef>
                          <c15:sqref>Sheet1!$D$2:$D$5</c15:sqref>
                        </c15:fullRef>
                        <c15:formulaRef>
                          <c15:sqref>Sheet1!$D$2:$D$3</c15:sqref>
                        </c15:formulaRef>
                      </c:ext>
                    </c:extLst>
                    <c:numCache>
                      <c:formatCode>General</c:formatCode>
                      <c:ptCount val="2"/>
                    </c:numCache>
                  </c:numRef>
                </c:val>
              </c15:ser>
            </c15:filteredBarSeries>
          </c:ext>
        </c:extLst>
      </c:barChart>
      <c:catAx>
        <c:axId val="64118449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9185512"/>
        <c:crosses val="autoZero"/>
        <c:auto val="1"/>
        <c:lblAlgn val="ctr"/>
        <c:lblOffset val="100"/>
        <c:noMultiLvlLbl val="0"/>
      </c:catAx>
      <c:valAx>
        <c:axId val="169185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184491"/>
        <c:crosses val="autoZero"/>
        <c:crossBetween val="between"/>
      </c:valAx>
      <c:spPr>
        <a:noFill/>
        <a:ln>
          <a:noFill/>
        </a:ln>
        <a:effectLst/>
      </c:spPr>
    </c:plotArea>
    <c:legend>
      <c:legendPos val="b"/>
      <c:layout>
        <c:manualLayout>
          <c:xMode val="edge"/>
          <c:yMode val="edge"/>
          <c:x val="0.373292349726776"/>
          <c:y val="0.9125401929260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f87c11f-b212-4ea3-b3c1-b8e41b378f2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2019年总收入</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Lbls>
            <c:dLbl>
              <c:idx val="0"/>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t>61</a:t>
                    </a:r>
                    <a:r>
                      <a:rPr lang="en-US" altLang="zh-CN"/>
                      <a:t>.46</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t>3</a:t>
                    </a:r>
                    <a:r>
                      <a:rPr lang="en-US" altLang="zh-CN"/>
                      <a:t>8.49</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t>0.05</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一般公共预算财政拨款收入（61.46%）</c:v>
                </c:pt>
                <c:pt idx="1">
                  <c:v>政府性基金预算财政拨款收入（38.49%）</c:v>
                </c:pt>
                <c:pt idx="2">
                  <c:v>其他收入（0.05%）</c:v>
                </c:pt>
              </c:strCache>
            </c:strRef>
          </c:cat>
          <c:val>
            <c:numRef>
              <c:f>Sheet1!$B$2:$B$4</c:f>
              <c:numCache>
                <c:formatCode>General</c:formatCode>
                <c:ptCount val="3"/>
                <c:pt idx="0">
                  <c:v>308.62</c:v>
                </c:pt>
                <c:pt idx="1">
                  <c:v>193.28</c:v>
                </c:pt>
                <c:pt idx="2">
                  <c:v>0.26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4381539-c50d-4b0b-86bd-94495a34310c}"/>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2019年总支出</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基本支出（8.49%）</c:v>
                </c:pt>
                <c:pt idx="1">
                  <c:v>项目支出（91.51%）</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112.6</c:v>
                </c:pt>
                <c:pt idx="1">
                  <c:v>1213.17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34da63f-82cb-4337-9cf8-f0d56315cd98}"/>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baseline="0">
                <a:solidFill>
                  <a:schemeClr val="tx2"/>
                </a:solidFill>
                <a:latin typeface="+mn-lt"/>
                <a:ea typeface="+mn-ea"/>
                <a:cs typeface="+mn-cs"/>
              </a:defRPr>
            </a:pPr>
            <a:r>
              <a:rPr sz="900" b="0">
                <a:solidFill>
                  <a:schemeClr val="tx2"/>
                </a:solidFill>
              </a:rPr>
              <a:t>单位：万元</a:t>
            </a:r>
            <a:endParaRPr sz="900" b="0">
              <a:solidFill>
                <a:schemeClr val="tx2"/>
              </a:solidFill>
            </a:endParaRPr>
          </a:p>
        </c:rich>
      </c:tx>
      <c:layout>
        <c:manualLayout>
          <c:xMode val="edge"/>
          <c:yMode val="edge"/>
          <c:x val="0.808084279497997"/>
          <c:y val="0.0330698368528534"/>
        </c:manualLayout>
      </c:layout>
      <c:overlay val="0"/>
      <c:spPr>
        <a:noFill/>
        <a:ln>
          <a:noFill/>
        </a:ln>
        <a:effectLst/>
      </c:spPr>
    </c:title>
    <c:autoTitleDeleted val="0"/>
    <c:plotArea>
      <c:layout>
        <c:manualLayout>
          <c:layoutTarget val="inner"/>
          <c:xMode val="edge"/>
          <c:yMode val="edge"/>
          <c:x val="0.107290279627164"/>
          <c:y val="0.162121212121212"/>
          <c:w val="0.858588548601864"/>
          <c:h val="0.601363636363636"/>
        </c:manualLayout>
      </c:layout>
      <c:barChart>
        <c:barDir val="col"/>
        <c:grouping val="clustered"/>
        <c:varyColors val="0"/>
        <c:ser>
          <c:idx val="0"/>
          <c:order val="0"/>
          <c:tx>
            <c:strRef>
              <c:f>Sheet1!$B$1</c:f>
              <c:strCache>
                <c:ptCount val="1"/>
                <c:pt idx="0">
                  <c:v>财政拨款收入</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2018年</c:v>
                </c:pt>
                <c:pt idx="1">
                  <c:v>2019年</c:v>
                </c:pt>
              </c:strCache>
            </c:strRef>
          </c:cat>
          <c:val>
            <c:numRef>
              <c:f>Sheet1!$B$2:$B$3</c:f>
              <c:numCache>
                <c:formatCode>General</c:formatCode>
                <c:ptCount val="2"/>
                <c:pt idx="0">
                  <c:v>1355.78</c:v>
                </c:pt>
                <c:pt idx="1">
                  <c:v>501.9</c:v>
                </c:pt>
              </c:numCache>
            </c:numRef>
          </c:val>
        </c:ser>
        <c:ser>
          <c:idx val="1"/>
          <c:order val="1"/>
          <c:tx>
            <c:strRef>
              <c:f>Sheet1!$C$1</c:f>
              <c:strCache>
                <c:ptCount val="1"/>
                <c:pt idx="0">
                  <c:v>财政拨款支出</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2018年</c:v>
                </c:pt>
                <c:pt idx="1">
                  <c:v>2019年</c:v>
                </c:pt>
              </c:strCache>
            </c:strRef>
          </c:cat>
          <c:val>
            <c:numRef>
              <c:f>Sheet1!$C$2:$C$3</c:f>
              <c:numCache>
                <c:formatCode>General</c:formatCode>
                <c:ptCount val="2"/>
                <c:pt idx="0">
                  <c:v>4173.72</c:v>
                </c:pt>
                <c:pt idx="1">
                  <c:v>1304.64</c:v>
                </c:pt>
              </c:numCache>
            </c:numRef>
          </c:val>
        </c:ser>
        <c:dLbls>
          <c:showLegendKey val="0"/>
          <c:showVal val="1"/>
          <c:showCatName val="0"/>
          <c:showSerName val="0"/>
          <c:showPercent val="0"/>
          <c:showBubbleSize val="0"/>
        </c:dLbls>
        <c:gapWidth val="100"/>
        <c:overlap val="-24"/>
        <c:axId val="329927692"/>
        <c:axId val="467646123"/>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单位：万元</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extLst>
                      <c:ext uri="{02D57815-91ED-43cb-92C2-25804820EDAC}">
                        <c15:fullRef>
                          <c15:sqref/>
                        </c15:fullRef>
                        <c15:formulaRef>
                          <c15:sqref>Sheet1!$A$2:$A$3</c15:sqref>
                        </c15:formulaRef>
                      </c:ext>
                    </c:extLst>
                    <c:strCache>
                      <c:ptCount val="2"/>
                      <c:pt idx="0">
                        <c:v>2018年</c:v>
                      </c:pt>
                      <c:pt idx="1">
                        <c:v>2019年</c:v>
                      </c:pt>
                    </c:strCache>
                  </c:strRef>
                </c:cat>
                <c:val>
                  <c:numRef>
                    <c:extLst>
                      <c:ext uri="{02D57815-91ED-43cb-92C2-25804820EDAC}">
                        <c15:formulaRef>
                          <c15:sqref>Sheet1!$D$2:$D$3</c15:sqref>
                        </c15:formulaRef>
                      </c:ext>
                    </c:extLst>
                    <c:numCache>
                      <c:formatCode>General</c:formatCode>
                      <c:ptCount val="2"/>
                    </c:numCache>
                  </c:numRef>
                </c:val>
              </c15:ser>
            </c15:filteredBarSeries>
          </c:ext>
        </c:extLst>
      </c:barChart>
      <c:catAx>
        <c:axId val="329927692"/>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67646123"/>
        <c:crosses val="autoZero"/>
        <c:auto val="1"/>
        <c:lblAlgn val="ctr"/>
        <c:lblOffset val="100"/>
        <c:noMultiLvlLbl val="0"/>
      </c:catAx>
      <c:valAx>
        <c:axId val="46764612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32992769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3ae85c66-319f-4302-be3f-c5615d1adcd7}"/>
      </c:ext>
    </c:extLst>
  </c:chart>
  <c:spPr>
    <a:solidFill>
      <a:schemeClr val="bg1"/>
    </a:solidFill>
    <a:ln w="9525" cap="flat" cmpd="sng" algn="ctr">
      <a:solidFill>
        <a:schemeClr val="tx2">
          <a:lumMod val="15000"/>
          <a:lumOff val="85000"/>
        </a:schemeClr>
      </a:solidFill>
      <a:round/>
    </a:ln>
    <a:effectLst/>
  </c:spPr>
  <c:txPr>
    <a:bodyPr/>
    <a:lstStyle/>
    <a:p>
      <a:pPr>
        <a:defRPr lang="zh-CN">
          <a:solidFill>
            <a:schemeClr val="tx2"/>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cap="all" spc="120" normalizeH="0" baseline="0">
                <a:solidFill>
                  <a:schemeClr val="tx1">
                    <a:lumMod val="65000"/>
                    <a:lumOff val="35000"/>
                  </a:schemeClr>
                </a:solidFill>
                <a:latin typeface="+mn-lt"/>
                <a:ea typeface="+mn-ea"/>
                <a:cs typeface="+mn-cs"/>
              </a:defRPr>
            </a:pPr>
            <a:r>
              <a:rPr sz="900" b="0"/>
              <a:t>单位：万元</a:t>
            </a:r>
            <a:endParaRPr sz="900" b="0"/>
          </a:p>
        </c:rich>
      </c:tx>
      <c:layout>
        <c:manualLayout>
          <c:xMode val="edge"/>
          <c:yMode val="edge"/>
          <c:x val="0.796241949293355"/>
          <c:y val="0.008004268943436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2018年</c:v>
                </c:pt>
                <c:pt idx="1">
                  <c:v>2019年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4131.03</c:v>
                </c:pt>
                <c:pt idx="1">
                  <c:v>1110.15</c:v>
                </c:pt>
              </c:numCache>
            </c:numRef>
          </c:val>
        </c:ser>
        <c:dLbls>
          <c:showLegendKey val="0"/>
          <c:showVal val="1"/>
          <c:showCatName val="0"/>
          <c:showSerName val="0"/>
          <c:showPercent val="0"/>
          <c:showBubbleSize val="0"/>
        </c:dLbls>
        <c:gapWidth val="444"/>
        <c:overlap val="-90"/>
        <c:axId val="114052818"/>
        <c:axId val="273035444"/>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extLst>
                      <c:ext uri="{02D57815-91ED-43cb-92C2-25804820EDAC}">
                        <c15:fullRef>
                          <c15:sqref>Sheet1!$A$2:$A$5</c15:sqref>
                        </c15:fullRef>
                        <c15:formulaRef>
                          <c15:sqref>Sheet1!$A$2:$A$3</c15:sqref>
                        </c15:formulaRef>
                      </c:ext>
                    </c:extLst>
                    <c:strCache>
                      <c:ptCount val="2"/>
                      <c:pt idx="0">
                        <c:v>2018年</c:v>
                      </c:pt>
                      <c:pt idx="1">
                        <c:v>2019年</c:v>
                      </c:pt>
                    </c:strCache>
                  </c:strRef>
                </c:cat>
                <c:val>
                  <c:numRef>
                    <c:extLst>
                      <c:ext uri="{02D57815-91ED-43cb-92C2-25804820EDAC}">
                        <c15:fullRef>
                          <c15:sqref>Sheet1!$C$2:$C$5</c15:sqref>
                        </c15:fullRef>
                        <c15:formulaRef>
                          <c15:sqref>Sheet1!$C$2:$C$3</c15:sqref>
                        </c15:formulaRef>
                      </c:ext>
                    </c:extLst>
                    <c:numCache>
                      <c:formatCode>General</c:formatCode>
                      <c:ptCount val="2"/>
                    </c:numCache>
                  </c:numRef>
                </c:val>
              </c15:ser>
            </c15:filteredBarSeries>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extLst>
                      <c:ext uri="{02D57815-91ED-43cb-92C2-25804820EDAC}">
                        <c15:fullRef>
                          <c15:sqref>Sheet1!$A$2:$A$5</c15:sqref>
                        </c15:fullRef>
                        <c15:formulaRef>
                          <c15:sqref>Sheet1!$A$2:$A$3</c15:sqref>
                        </c15:formulaRef>
                      </c:ext>
                    </c:extLst>
                    <c:strCache>
                      <c:ptCount val="2"/>
                      <c:pt idx="0">
                        <c:v>2018年</c:v>
                      </c:pt>
                      <c:pt idx="1">
                        <c:v>2019年</c:v>
                      </c:pt>
                    </c:strCache>
                  </c:strRef>
                </c:cat>
                <c:val>
                  <c:numRef>
                    <c:extLst>
                      <c:ext uri="{02D57815-91ED-43cb-92C2-25804820EDAC}">
                        <c15:fullRef>
                          <c15:sqref>Sheet1!$D$2:$D$5</c15:sqref>
                        </c15:fullRef>
                        <c15:formulaRef>
                          <c15:sqref>Sheet1!$D$2:$D$3</c15:sqref>
                        </c15:formulaRef>
                      </c:ext>
                    </c:extLst>
                    <c:numCache>
                      <c:formatCode>General</c:formatCode>
                      <c:ptCount val="2"/>
                    </c:numCache>
                  </c:numRef>
                </c:val>
              </c15:ser>
            </c15:filteredBarSeries>
          </c:ext>
        </c:extLst>
      </c:barChart>
      <c:catAx>
        <c:axId val="11405281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273035444"/>
        <c:crosses val="autoZero"/>
        <c:auto val="1"/>
        <c:lblAlgn val="ctr"/>
        <c:lblOffset val="100"/>
        <c:noMultiLvlLbl val="0"/>
      </c:catAx>
      <c:valAx>
        <c:axId val="27303544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4052818"/>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b0bbada-6c38-410a-97f0-3d2ed3148811}"/>
      </c:ext>
    </c:extLst>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Sheet1!$A$2:$A$7</c:f>
              <c:strCache>
                <c:ptCount val="6"/>
                <c:pt idx="0">
                  <c:v>一般公共服务支出</c:v>
                </c:pt>
                <c:pt idx="1">
                  <c:v>社会保障和就业支出</c:v>
                </c:pt>
                <c:pt idx="2">
                  <c:v>卫生健康支出</c:v>
                </c:pt>
                <c:pt idx="3">
                  <c:v>住房保障支出</c:v>
                </c:pt>
                <c:pt idx="4">
                  <c:v>城乡社区支出</c:v>
                </c:pt>
                <c:pt idx="5">
                  <c:v>其他支出</c:v>
                </c:pt>
              </c:strCache>
            </c:strRef>
          </c:cat>
          <c:val>
            <c:numRef>
              <c:f>Sheet1!$B$2:$B$7</c:f>
              <c:numCache>
                <c:formatCode>General</c:formatCode>
                <c:ptCount val="6"/>
                <c:pt idx="0">
                  <c:v>0.98</c:v>
                </c:pt>
                <c:pt idx="1">
                  <c:v>9.45</c:v>
                </c:pt>
                <c:pt idx="2">
                  <c:v>6.2</c:v>
                </c:pt>
                <c:pt idx="3">
                  <c:v>10.96</c:v>
                </c:pt>
                <c:pt idx="4">
                  <c:v>739.92</c:v>
                </c:pt>
                <c:pt idx="5">
                  <c:v>342.64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8095aa6-54b8-4488-a039-8c6fbeb30b6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52</Pages>
  <Words>0</Words>
  <Characters>0</Characters>
  <Lines>0</Lines>
  <Paragraphs>0</Paragraphs>
  <TotalTime>6</TotalTime>
  <ScaleCrop>false</ScaleCrop>
  <LinksUpToDate>false</LinksUpToDate>
  <CharactersWithSpaces>0</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2020-11-12T09:14:00Z</dcterms:created>
  <dc:creator>困倚危楼</dc:creator>
  <cp:lastModifiedBy>罗旭</cp:lastModifiedBy>
  <dcterms:modified xsi:type="dcterms:W3CDTF">2026-01-22T15:42:58Z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27092F6170704279ACA6F0CBA6995F0C</vt:lpwstr>
  </property>
</Properties>
</file>